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12.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4EEF" w:rsidRDefault="0099351E">
      <w:r>
        <w:rPr>
          <w:noProof/>
          <w:lang w:eastAsia="fr-BE"/>
        </w:rPr>
        <mc:AlternateContent>
          <mc:Choice Requires="wpg">
            <w:drawing>
              <wp:anchor distT="0" distB="0" distL="114300" distR="114300" simplePos="0" relativeHeight="251659264" behindDoc="0" locked="0" layoutInCell="1" allowOverlap="1">
                <wp:simplePos x="0" y="0"/>
                <wp:positionH relativeFrom="page">
                  <wp:posOffset>4362450</wp:posOffset>
                </wp:positionH>
                <wp:positionV relativeFrom="page">
                  <wp:posOffset>0</wp:posOffset>
                </wp:positionV>
                <wp:extent cx="3071495" cy="6467475"/>
                <wp:effectExtent l="0" t="0" r="0" b="0"/>
                <wp:wrapNone/>
                <wp:docPr id="4933" name="Groupe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1495" cy="6467475"/>
                          <a:chOff x="-1714" y="0"/>
                          <a:chExt cx="32679" cy="100584"/>
                        </a:xfrm>
                      </wpg:grpSpPr>
                      <wps:wsp>
                        <wps:cNvPr id="4940" name="Rectangle 459" descr="Light vertical"/>
                        <wps:cNvSpPr>
                          <a:spLocks noChangeArrowheads="1"/>
                        </wps:cNvSpPr>
                        <wps:spPr bwMode="auto">
                          <a:xfrm>
                            <a:off x="0" y="0"/>
                            <a:ext cx="1385" cy="100584"/>
                          </a:xfrm>
                          <a:prstGeom prst="rect">
                            <a:avLst/>
                          </a:prstGeom>
                          <a:pattFill prst="dkVert">
                            <a:fgClr>
                              <a:schemeClr val="accent6">
                                <a:lumMod val="60000"/>
                                <a:lumOff val="4000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941" name="Rectangle 460"/>
                        <wps:cNvSpPr>
                          <a:spLocks noChangeArrowheads="1"/>
                        </wps:cNvSpPr>
                        <wps:spPr bwMode="auto">
                          <a:xfrm>
                            <a:off x="1246" y="0"/>
                            <a:ext cx="29718" cy="100584"/>
                          </a:xfrm>
                          <a:prstGeom prst="rect">
                            <a:avLst/>
                          </a:prstGeom>
                          <a:solidFill>
                            <a:schemeClr val="accent6">
                              <a:lumMod val="60000"/>
                              <a:lumOff val="40000"/>
                            </a:schemeClr>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942" name="Rectangle 461"/>
                        <wps:cNvSpPr>
                          <a:spLocks noChangeArrowheads="1"/>
                        </wps:cNvSpPr>
                        <wps:spPr bwMode="auto">
                          <a:xfrm>
                            <a:off x="-1714" y="0"/>
                            <a:ext cx="31950" cy="23774"/>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rsidR="00F04EEF" w:rsidRDefault="0099351E">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id="Groupe 453" o:spid="_x0000_s1026" style="position:absolute;margin-left:343.5pt;margin-top:0;width:241.85pt;height:509.25pt;z-index:251659264;mso-height-percent:1000;mso-position-horizontal-relative:page;mso-position-vertical-relative:page;mso-height-percent:1000" coordorigin="-1714" coordsize="32679,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">
                <v:rect id="Rectangle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PsIA&#10;AADdAAAADwAAAGRycy9kb3ducmV2LnhtbERPy4rCMBTdC/5DuMLsNFVEbDWKCvPYic4M4/LS3GnL&#10;JDc1idr5e7MQXB7Oe7nurBFX8qFxrGA8ykAQl043XCn4+nwdzkGEiKzROCYF/xRgver3llhod+MD&#10;XY+xEimEQ4EK6hjbQspQ1mQxjFxLnLhf5y3GBH0ltcdbCrdGTrJsJi02nBpqbGlXU/l3vFgF7W7r&#10;83k0l7OZ7feng/sZf7+9K/Uy6DYLEJG6+BQ/3B9awTSfpv3pTXoC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lH4+wgAAAN0AAAAPAAAAAAAAAAAAAAAAAJgCAABkcnMvZG93&#10;bnJldi54bWxQSwUGAAAAAAQABAD1AAAAhwMAAAAA&#10;" fillcolor="#fabf8f [1945]" stroked="f" strokecolor="white" strokeweight="1pt">
                  <v:fill r:id="rId9" o:title="" opacity="52428f" color2="white [3212]" o:opacity2="52428f" type="pattern"/>
                  <v:shadow color="#d8d8d8" offset="3pt,3pt"/>
                </v:rect>
                <v:rect id="Rectangle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e0sYA&#10;AADdAAAADwAAAGRycy9kb3ducmV2LnhtbESP0WrCQBRE34X+w3ILfdNNikiM2YhtqdgiQlM/4Jq9&#10;JsHs3ZBdY/r33ULBx2FmzjDZejStGKh3jWUF8SwCQVxa3XCl4Pj9Pk1AOI+ssbVMCn7IwTp/mGSY&#10;anvjLxoKX4kAYZeigtr7LpXSlTUZdDPbEQfvbHuDPsi+krrHW4CbVj5H0UIabDgs1NjRa03lpbga&#10;BYdkfyr0Fg+fH8ehenmLk1O5d0o9PY6bFQhPo7+H/9s7rWC+nMfw9yY8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ye0sYAAADdAAAADwAAAAAAAAAAAAAAAACYAgAAZHJz&#10;L2Rvd25yZXYueG1sUEsFBgAAAAAEAAQA9QAAAIsDAAAAAA==&#10;" fillcolor="#fabf8f [1945]" stroked="f" strokecolor="#d8d8d8"/>
                <v:rect id="Rectangle 461" o:spid="_x0000_s1029" style="position:absolute;left:-1714;width:31950;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gT0sYA&#10;AADdAAAADwAAAGRycy9kb3ducmV2LnhtbESPQWsCMRSE74L/ITzBi9SkVkrdGqWUFtqLohXx+Hbz&#10;ulncvCybqNt/3wiCx2FmvmHmy87V4kxtqDxreBwrEMSFNxWXGnY/nw8vIEJENlh7Jg1/FGC56Pfm&#10;mBl/4Q2dt7EUCcIhQw02xiaTMhSWHIaxb4iT9+tbhzHJtpSmxUuCu1pOlHqWDitOCxYberdUHLcn&#10;p2FNe/v0PcvzD7U65oeDiiNDRuvhoHt7BRGpi/fwrf1lNExn0wlc36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2gT0sYAAADdAAAADwAAAAAAAAAAAAAAAACYAgAAZHJz&#10;L2Rvd25yZXYueG1sUEsFBgAAAAAEAAQA9QAAAIsDAAAAAA==&#10;" filled="f" stroked="f" strokecolor="white" strokeweight="1pt">
                  <v:fill opacity="52428f"/>
                  <v:textbox inset="28.8pt,14.4pt,14.4pt,14.4pt">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Content>
                          <w:p>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v:textbox>
                </v:rect>
                <w10:wrap anchorx="page" anchory="page"/>
              </v:group>
            </w:pict>
          </mc:Fallback>
        </mc:AlternateContent>
      </w:r>
    </w:p>
    <w:p w:rsidR="00F04EEF" w:rsidRDefault="0099351E">
      <w:r>
        <w:t xml:space="preserve"> </w:t>
      </w:r>
    </w:p>
    <w:sdt>
      <w:sdtPr>
        <w:rPr>
          <w:i w:val="0"/>
          <w:iCs w:val="0"/>
          <w:color w:val="auto"/>
        </w:rPr>
        <w:id w:val="-332464803"/>
        <w:docPartObj>
          <w:docPartGallery w:val="Cover Pages"/>
          <w:docPartUnique/>
        </w:docPartObj>
      </w:sdtPr>
      <w:sdtEndPr/>
      <w:sdtContent>
        <w:p w:rsidR="00F04EEF" w:rsidRDefault="0099351E">
          <w:pPr>
            <w:pStyle w:val="Citation"/>
          </w:pPr>
          <w:r>
            <w:rPr>
              <w:noProof/>
              <w:lang w:eastAsia="fr-BE"/>
            </w:rPr>
            <mc:AlternateContent>
              <mc:Choice Requires="wps">
                <w:drawing>
                  <wp:anchor distT="0" distB="0" distL="114300" distR="114300" simplePos="0" relativeHeight="251661312"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3462020" cy="704850"/>
                    <wp:effectExtent l="0" t="0" r="11430" b="1143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2020" cy="704850"/>
                            </a:xfrm>
                            <a:prstGeom prst="rect">
                              <a:avLst/>
                            </a:prstGeom>
                            <a:solidFill>
                              <a:schemeClr val="accent6">
                                <a:lumMod val="75000"/>
                              </a:schemeClr>
                            </a:solidFill>
                            <a:ln w="19050">
                              <a:solidFill>
                                <a:schemeClr val="tx1"/>
                              </a:solidFill>
                              <a:miter lim="800000"/>
                              <a:headEnd/>
                              <a:tailEnd/>
                            </a:ln>
                          </wps:spPr>
                          <wps:txbx>
                            <w:txbxContent>
                              <w:p w:rsidR="00F04EEF" w:rsidRDefault="0099351E">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secondaire spécialisé</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30" style="position:absolute;left:0;text-align:left;margin-left:0;margin-top:0;width:272.6pt;height:55.5pt;z-index:251661312;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" o:allowincell="f" fillcolor="#e36c0a [2409]" strokecolor="black [3213]" strokeweight="1.5pt">
                    <v:textbox style="mso-fit-shape-to-text:t" inset="14.4pt,,14.4pt">
                      <w:txbxContent>
                        <w:p>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secondaire spécialisé</w:t>
                          </w:r>
                        </w:p>
                      </w:txbxContent>
                    </v:textbox>
                    <w10:wrap anchorx="page" anchory="page"/>
                  </v:rect>
                </w:pict>
              </mc:Fallback>
            </mc:AlternateContent>
          </w:r>
        </w:p>
        <w:p w:rsidR="00F04EEF" w:rsidRDefault="0099351E">
          <w:r>
            <w:rPr>
              <w:noProof/>
              <w:lang w:eastAsia="fr-BE"/>
            </w:rPr>
            <mc:AlternateContent>
              <mc:Choice Requires="wps">
                <w:drawing>
                  <wp:anchor distT="0" distB="0" distL="114300" distR="114300" simplePos="0" relativeHeight="252019712" behindDoc="0" locked="0" layoutInCell="1" allowOverlap="1">
                    <wp:simplePos x="0" y="0"/>
                    <wp:positionH relativeFrom="column">
                      <wp:posOffset>1035050</wp:posOffset>
                    </wp:positionH>
                    <wp:positionV relativeFrom="paragraph">
                      <wp:posOffset>7096760</wp:posOffset>
                    </wp:positionV>
                    <wp:extent cx="4213860" cy="1021080"/>
                    <wp:effectExtent l="0" t="0" r="15240" b="26670"/>
                    <wp:wrapNone/>
                    <wp:docPr id="478" name="Rectangle 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3860" cy="1021080"/>
                            </a:xfrm>
                            <a:prstGeom prst="rect">
                              <a:avLst/>
                            </a:prstGeom>
                          </wps:spPr>
                          <wps:style>
                            <a:lnRef idx="2">
                              <a:schemeClr val="accent6"/>
                            </a:lnRef>
                            <a:fillRef idx="1">
                              <a:schemeClr val="lt1"/>
                            </a:fillRef>
                            <a:effectRef idx="0">
                              <a:schemeClr val="accent6"/>
                            </a:effectRef>
                            <a:fontRef idx="minor">
                              <a:schemeClr val="dk1"/>
                            </a:fontRef>
                          </wps:style>
                          <wps:txbx>
                            <w:txbxContent>
                              <w:p w:rsidR="00F04EEF" w:rsidRDefault="0099351E">
                                <w:pPr>
                                  <w:jc w:val="center"/>
                                  <w:rPr>
                                    <w:rFonts w:eastAsiaTheme="minorEastAsia"/>
                                    <w:sz w:val="44"/>
                                    <w:szCs w:val="44"/>
                                    <w:lang w:eastAsia="fr-BE"/>
                                  </w:rPr>
                                </w:pPr>
                                <w:r>
                                  <w:rPr>
                                    <w:rFonts w:eastAsiaTheme="minorEastAsia"/>
                                    <w:sz w:val="44"/>
                                    <w:szCs w:val="44"/>
                                    <w:lang w:eastAsia="fr-BE"/>
                                  </w:rPr>
                                  <w:t>Année scolaire 2020-2021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78" o:spid="_x0000_s1031" style="position:absolute;margin-left:81.5pt;margin-top:558.8pt;width:331.8pt;height:80.4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" fillcolor="white [3201]" strokecolor="#f79646 [3209]" strokeweight="2pt">
                    <v:path arrowok="t"/>
                    <v:textbox>
                      <w:txbxContent>
                        <w:p>
                          <w:pPr>
                            <w:jc w:val="center"/>
                            <w:rPr>
                              <w:rFonts w:eastAsiaTheme="minorEastAsia"/>
                              <w:sz w:val="44"/>
                              <w:szCs w:val="44"/>
                              <w:lang w:eastAsia="fr-BE"/>
                            </w:rPr>
                          </w:pPr>
                          <w:r>
                            <w:rPr>
                              <w:rFonts w:eastAsiaTheme="minorEastAsia"/>
                              <w:sz w:val="44"/>
                              <w:szCs w:val="44"/>
                              <w:lang w:eastAsia="fr-BE"/>
                            </w:rPr>
                            <w:t>Année scolaire 2020-2021</w:t>
                          </w:r>
                        </w:p>
                      </w:txbxContent>
                    </v:textbox>
                  </v:rect>
                </w:pict>
              </mc:Fallback>
            </mc:AlternateContent>
          </w:r>
          <w:r>
            <w:rPr>
              <w:noProof/>
              <w:lang w:eastAsia="fr-BE"/>
            </w:rPr>
            <w:drawing>
              <wp:anchor distT="0" distB="0" distL="114300" distR="114300" simplePos="0" relativeHeight="251660288" behindDoc="0" locked="0" layoutInCell="0" allowOverlap="1">
                <wp:simplePos x="0" y="0"/>
                <wp:positionH relativeFrom="page">
                  <wp:posOffset>1188720</wp:posOffset>
                </wp:positionH>
                <wp:positionV relativeFrom="page">
                  <wp:posOffset>3489960</wp:posOffset>
                </wp:positionV>
                <wp:extent cx="6353083" cy="4937760"/>
                <wp:effectExtent l="0" t="0" r="0" b="0"/>
                <wp:wrapNone/>
                <wp:docPr id="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69075" cy="4950190"/>
                        </a:xfrm>
                        <a:prstGeom prst="rect">
                          <a:avLst/>
                        </a:prstGeom>
                        <a:ln>
                          <a:noFill/>
                        </a:ln>
                        <a:effectLst>
                          <a:softEdge rad="112500"/>
                        </a:effectLst>
                      </pic:spPr>
                    </pic:pic>
                  </a:graphicData>
                </a:graphic>
              </wp:anchor>
            </w:drawing>
          </w:r>
          <w:r>
            <w:br w:type="page"/>
          </w:r>
        </w:p>
      </w:sdtContent>
    </w:sdt>
    <w:bookmarkStart w:id="0" w:name="_GoBack" w:displacedByCustomXml="next"/>
    <w:bookmarkEnd w:id="0" w:displacedByCustomXml="next"/>
    <w:bookmarkStart w:id="1" w:name="_Toc47708473" w:displacedByCustomXml="next"/>
    <w:sdt>
      <w:sdtPr>
        <w:rPr>
          <w:rFonts w:eastAsiaTheme="minorHAnsi" w:cs="Arial"/>
          <w:b w:val="0"/>
          <w:smallCaps w:val="0"/>
          <w:sz w:val="20"/>
          <w:szCs w:val="20"/>
          <w:lang w:eastAsia="en-US"/>
        </w:rPr>
        <w:id w:val="-956105601"/>
        <w:docPartObj>
          <w:docPartGallery w:val="Cover Pages"/>
          <w:docPartUnique/>
        </w:docPartObj>
      </w:sdtPr>
      <w:sdtEndPr>
        <w:rPr>
          <w:rFonts w:asciiTheme="minorHAnsi" w:eastAsia="Times New Roman" w:hAnsiTheme="minorHAnsi"/>
          <w:sz w:val="16"/>
          <w:szCs w:val="16"/>
          <w:lang w:eastAsia="ar-SA"/>
        </w:rPr>
      </w:sdtEndPr>
      <w:sdtContent>
        <w:p w:rsidR="00F04EEF" w:rsidRDefault="0099351E">
          <w:pPr>
            <w:pStyle w:val="Titre2"/>
            <w:jc w:val="center"/>
            <w:rPr>
              <w:sz w:val="52"/>
            </w:rPr>
          </w:pPr>
          <w:r>
            <w:rPr>
              <w:sz w:val="52"/>
            </w:rPr>
            <w:t>Introduction d’ordre administratiF</w:t>
          </w:r>
          <w:bookmarkEnd w:id="1"/>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pStyle w:val="Corpsdetexte21"/>
            <w:tabs>
              <w:tab w:val="left" w:pos="1134"/>
            </w:tabs>
            <w:jc w:val="both"/>
            <w:rPr>
              <w:rFonts w:asciiTheme="majorHAnsi" w:hAnsiTheme="majorHAnsi"/>
              <w:sz w:val="22"/>
              <w:szCs w:val="22"/>
            </w:rPr>
          </w:pPr>
        </w:p>
        <w:p w:rsidR="00F04EEF" w:rsidRDefault="0099351E">
          <w:pPr>
            <w:pStyle w:val="Corpsdetexte21"/>
            <w:tabs>
              <w:tab w:val="left" w:pos="1134"/>
            </w:tabs>
            <w:jc w:val="both"/>
            <w:rPr>
              <w:rFonts w:asciiTheme="majorHAnsi" w:hAnsiTheme="majorHAnsi"/>
              <w:sz w:val="22"/>
              <w:szCs w:val="22"/>
            </w:rPr>
          </w:pPr>
          <w:r>
            <w:rPr>
              <w:rFonts w:asciiTheme="majorHAnsi" w:hAnsiTheme="majorHAnsi"/>
              <w:sz w:val="22"/>
              <w:szCs w:val="22"/>
            </w:rPr>
            <w:t>Mesdames, Messieurs,</w:t>
          </w:r>
        </w:p>
        <w:p w:rsidR="00F04EEF" w:rsidRDefault="00F04EEF">
          <w:pPr>
            <w:pStyle w:val="Corpsdetexte21"/>
            <w:tabs>
              <w:tab w:val="left" w:pos="1134"/>
            </w:tabs>
            <w:jc w:val="both"/>
            <w:rPr>
              <w:rFonts w:asciiTheme="majorHAnsi" w:hAnsiTheme="majorHAnsi"/>
              <w:sz w:val="22"/>
              <w:szCs w:val="22"/>
            </w:rPr>
          </w:pPr>
        </w:p>
        <w:p w:rsidR="00F04EEF" w:rsidRDefault="0099351E">
          <w:pPr>
            <w:pStyle w:val="Corpsdetexte21"/>
            <w:tabs>
              <w:tab w:val="left" w:pos="1134"/>
            </w:tabs>
            <w:jc w:val="both"/>
            <w:rPr>
              <w:rFonts w:asciiTheme="majorHAnsi" w:hAnsiTheme="majorHAnsi"/>
              <w:sz w:val="22"/>
              <w:szCs w:val="22"/>
            </w:rPr>
          </w:pPr>
          <w:r>
            <w:rPr>
              <w:rFonts w:asciiTheme="majorHAnsi" w:hAnsiTheme="majorHAnsi"/>
              <w:sz w:val="22"/>
              <w:szCs w:val="22"/>
            </w:rPr>
            <w:t>Je vous invite à prendre connaissance de la présente circulaire qui réunit les thématiques les plus souvent abordées dans l’enseignement spécialisé.</w:t>
          </w:r>
        </w:p>
        <w:p w:rsidR="00F04EEF" w:rsidRDefault="00F04EEF">
          <w:pPr>
            <w:pStyle w:val="Corpsdetexte21"/>
            <w:tabs>
              <w:tab w:val="left" w:pos="1134"/>
            </w:tabs>
            <w:jc w:val="both"/>
            <w:rPr>
              <w:rFonts w:asciiTheme="majorHAnsi" w:hAnsiTheme="majorHAnsi"/>
              <w:sz w:val="22"/>
              <w:szCs w:val="22"/>
            </w:rPr>
          </w:pPr>
        </w:p>
        <w:p w:rsidR="00F04EEF" w:rsidRDefault="0099351E">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Cette circulaire annule et remplace </w:t>
          </w:r>
          <w:proofErr w:type="gramStart"/>
          <w:r>
            <w:rPr>
              <w:rFonts w:asciiTheme="majorHAnsi" w:hAnsiTheme="majorHAnsi"/>
              <w:sz w:val="22"/>
              <w:szCs w:val="22"/>
            </w:rPr>
            <w:t>la</w:t>
          </w:r>
          <w:proofErr w:type="gramEnd"/>
          <w:r>
            <w:rPr>
              <w:rFonts w:asciiTheme="majorHAnsi" w:hAnsiTheme="majorHAnsi"/>
              <w:sz w:val="22"/>
              <w:szCs w:val="22"/>
            </w:rPr>
            <w:t xml:space="preserve"> circulaire n° 7224 du 8 juillet 2019. </w:t>
          </w:r>
        </w:p>
        <w:p w:rsidR="00F04EEF" w:rsidRDefault="00F04EEF">
          <w:pPr>
            <w:pStyle w:val="Corpsdetexte21"/>
            <w:tabs>
              <w:tab w:val="left" w:pos="1134"/>
            </w:tabs>
            <w:rPr>
              <w:rFonts w:asciiTheme="majorHAnsi" w:hAnsiTheme="majorHAnsi"/>
              <w:sz w:val="22"/>
              <w:szCs w:val="22"/>
            </w:rPr>
          </w:pPr>
        </w:p>
        <w:p w:rsidR="00F04EEF" w:rsidRDefault="0099351E">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Pour plus de facilité, sont mises en exergue </w:t>
          </w:r>
          <w:r>
            <w:rPr>
              <w:rFonts w:asciiTheme="majorHAnsi" w:hAnsiTheme="majorHAnsi"/>
              <w:i/>
              <w:sz w:val="22"/>
              <w:szCs w:val="22"/>
            </w:rPr>
            <w:t>(trait vertical à droite du texte</w:t>
          </w:r>
          <w:r>
            <w:rPr>
              <w:rFonts w:asciiTheme="majorHAnsi" w:hAnsiTheme="majorHAnsi"/>
              <w:sz w:val="22"/>
              <w:szCs w:val="22"/>
            </w:rPr>
            <w:t>) les modifications par rapport à la circulaire précédente.</w:t>
          </w:r>
        </w:p>
        <w:p w:rsidR="00F04EEF" w:rsidRDefault="00F04EEF">
          <w:pPr>
            <w:pStyle w:val="Corpsdetexte21"/>
            <w:tabs>
              <w:tab w:val="left" w:pos="1134"/>
            </w:tabs>
            <w:jc w:val="both"/>
            <w:rPr>
              <w:rFonts w:asciiTheme="majorHAnsi" w:hAnsiTheme="majorHAnsi"/>
              <w:sz w:val="22"/>
              <w:szCs w:val="22"/>
            </w:rPr>
          </w:pPr>
        </w:p>
        <w:p w:rsidR="00F04EEF" w:rsidRDefault="0099351E">
          <w:pPr>
            <w:pStyle w:val="Corpsdetexte21"/>
            <w:tabs>
              <w:tab w:val="left" w:pos="1134"/>
            </w:tabs>
            <w:jc w:val="both"/>
            <w:rPr>
              <w:rFonts w:asciiTheme="majorHAnsi" w:hAnsiTheme="majorHAnsi"/>
              <w:sz w:val="22"/>
              <w:szCs w:val="22"/>
            </w:rPr>
          </w:pPr>
          <w:r>
            <w:rPr>
              <w:rFonts w:asciiTheme="majorHAnsi" w:hAnsiTheme="majorHAnsi"/>
              <w:sz w:val="22"/>
              <w:szCs w:val="22"/>
            </w:rPr>
            <w:t>Je vous rappelle que cette circulaire peut être consultée, imprimée et téléchargée à l’adresse suivante:</w:t>
          </w:r>
        </w:p>
        <w:p w:rsidR="00F04EEF" w:rsidRDefault="00F42422">
          <w:pPr>
            <w:tabs>
              <w:tab w:val="left" w:pos="1134"/>
            </w:tabs>
            <w:jc w:val="center"/>
            <w:rPr>
              <w:b/>
              <w:u w:val="single"/>
            </w:rPr>
          </w:pPr>
          <w:hyperlink r:id="rId11" w:history="1">
            <w:r w:rsidR="0099351E">
              <w:rPr>
                <w:rStyle w:val="Lienhypertexte"/>
                <w:rFonts w:cs="Arial"/>
              </w:rPr>
              <w:t>www.adm.cfwb.be</w:t>
            </w:r>
          </w:hyperlink>
          <w:r w:rsidR="0099351E">
            <w:rPr>
              <w:b/>
            </w:rPr>
            <w:t xml:space="preserve"> </w:t>
          </w:r>
          <w:r w:rsidR="0099351E">
            <w:rPr>
              <w:b/>
              <w:u w:val="single"/>
            </w:rPr>
            <w:t>(documents officiels)</w:t>
          </w:r>
        </w:p>
        <w:p w:rsidR="00F04EEF" w:rsidRDefault="00F04EEF">
          <w:pPr>
            <w:tabs>
              <w:tab w:val="left" w:pos="1134"/>
            </w:tabs>
            <w:jc w:val="both"/>
            <w:rPr>
              <w:b/>
              <w:u w:val="single"/>
            </w:rPr>
          </w:pPr>
        </w:p>
        <w:p w:rsidR="00F04EEF" w:rsidRDefault="0099351E">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De même, toute la réglementation concernant l’enseignement peut être consultée sur : </w:t>
          </w:r>
        </w:p>
        <w:p w:rsidR="00F04EEF" w:rsidRDefault="00F04EEF">
          <w:pPr>
            <w:pStyle w:val="Corpsdetexte21"/>
            <w:tabs>
              <w:tab w:val="left" w:pos="1134"/>
            </w:tabs>
            <w:jc w:val="both"/>
            <w:rPr>
              <w:rFonts w:asciiTheme="majorHAnsi" w:hAnsiTheme="majorHAnsi"/>
              <w:sz w:val="22"/>
              <w:szCs w:val="22"/>
            </w:rPr>
          </w:pPr>
        </w:p>
        <w:p w:rsidR="00F04EEF" w:rsidRDefault="00F42422">
          <w:pPr>
            <w:tabs>
              <w:tab w:val="left" w:pos="1134"/>
            </w:tabs>
            <w:jc w:val="center"/>
            <w:rPr>
              <w:b/>
              <w:u w:val="single"/>
            </w:rPr>
          </w:pPr>
          <w:hyperlink r:id="rId12" w:history="1">
            <w:r w:rsidR="0099351E">
              <w:rPr>
                <w:rStyle w:val="Lienhypertexte"/>
                <w:rFonts w:cs="Arial"/>
              </w:rPr>
              <w:t>www.gallilex.cfwb.be</w:t>
            </w:r>
          </w:hyperlink>
        </w:p>
        <w:p w:rsidR="00F04EEF" w:rsidRDefault="00F04EEF">
          <w:pPr>
            <w:tabs>
              <w:tab w:val="left" w:pos="1134"/>
            </w:tabs>
            <w:jc w:val="both"/>
            <w:rPr>
              <w:b/>
              <w:u w:val="single"/>
            </w:rPr>
          </w:pPr>
        </w:p>
        <w:p w:rsidR="00F04EEF" w:rsidRDefault="0099351E">
          <w:pPr>
            <w:tabs>
              <w:tab w:val="left" w:pos="1134"/>
            </w:tabs>
            <w:jc w:val="both"/>
          </w:pPr>
          <w:r>
            <w:t xml:space="preserve">Ces deux adresses sont accessibles en passant par </w:t>
          </w:r>
          <w:hyperlink r:id="rId13" w:history="1">
            <w:r>
              <w:rPr>
                <w:rStyle w:val="Lienhypertexte"/>
                <w:rFonts w:cs="Arial"/>
              </w:rPr>
              <w:t>www.enseignement.be</w:t>
            </w:r>
          </w:hyperlink>
          <w:r>
            <w:t xml:space="preserve">   </w:t>
          </w:r>
        </w:p>
        <w:p w:rsidR="00F04EEF" w:rsidRDefault="00F04EEF">
          <w:pPr>
            <w:tabs>
              <w:tab w:val="left" w:pos="1134"/>
            </w:tabs>
            <w:jc w:val="both"/>
            <w:rPr>
              <w:b/>
            </w:rPr>
          </w:pPr>
        </w:p>
        <w:p w:rsidR="00F04EEF" w:rsidRDefault="0099351E">
          <w:pPr>
            <w:tabs>
              <w:tab w:val="left" w:pos="1134"/>
            </w:tabs>
            <w:jc w:val="both"/>
            <w:rPr>
              <w:bCs/>
            </w:rPr>
          </w:pPr>
          <w:r>
            <w:rPr>
              <w:bCs/>
            </w:rPr>
            <w:t>Pour tout renseignement, je vous invite à contacter les personnes de référence, dont la liste est reprise en index.</w:t>
          </w:r>
        </w:p>
        <w:p w:rsidR="00F04EEF" w:rsidRDefault="00F04EEF">
          <w:pPr>
            <w:tabs>
              <w:tab w:val="left" w:pos="1134"/>
            </w:tabs>
            <w:jc w:val="both"/>
            <w:rPr>
              <w:bCs/>
            </w:rPr>
          </w:pPr>
        </w:p>
        <w:p w:rsidR="00F04EEF" w:rsidRDefault="0099351E">
          <w:pPr>
            <w:tabs>
              <w:tab w:val="left" w:pos="1134"/>
            </w:tabs>
            <w:jc w:val="both"/>
            <w:rPr>
              <w:bCs/>
            </w:rPr>
          </w:pPr>
          <w:r>
            <w:rPr>
              <w:bCs/>
            </w:rPr>
            <w:t>Je vous souhaite une bonne lecture.</w:t>
          </w:r>
        </w:p>
        <w:p w:rsidR="00F04EEF" w:rsidRDefault="00F04EEF">
          <w:pPr>
            <w:tabs>
              <w:tab w:val="left" w:pos="1134"/>
            </w:tabs>
            <w:jc w:val="both"/>
            <w:rPr>
              <w:bCs/>
            </w:rPr>
          </w:pPr>
        </w:p>
        <w:p w:rsidR="00F04EEF" w:rsidRDefault="00F04EEF">
          <w:pPr>
            <w:tabs>
              <w:tab w:val="left" w:pos="1134"/>
            </w:tabs>
            <w:jc w:val="both"/>
            <w:rPr>
              <w:bCs/>
            </w:rPr>
          </w:pPr>
        </w:p>
        <w:p w:rsidR="00F04EEF" w:rsidRDefault="00F04EEF">
          <w:pPr>
            <w:tabs>
              <w:tab w:val="left" w:pos="1134"/>
            </w:tabs>
            <w:jc w:val="both"/>
          </w:pPr>
        </w:p>
        <w:p w:rsidR="00F04EEF" w:rsidRDefault="00F04EEF">
          <w:pPr>
            <w:tabs>
              <w:tab w:val="left" w:pos="1134"/>
            </w:tabs>
            <w:jc w:val="both"/>
          </w:pPr>
        </w:p>
        <w:p w:rsidR="00F04EEF" w:rsidRDefault="0099351E">
          <w:pPr>
            <w:tabs>
              <w:tab w:val="left" w:pos="1134"/>
            </w:tabs>
            <w:ind w:left="4536"/>
            <w:jc w:val="both"/>
            <w:rPr>
              <w:b/>
            </w:rPr>
          </w:pPr>
          <w:r>
            <w:rPr>
              <w:b/>
            </w:rPr>
            <w:t>La Ministre,</w:t>
          </w:r>
        </w:p>
        <w:p w:rsidR="00F04EEF" w:rsidRDefault="00F04EEF">
          <w:pPr>
            <w:tabs>
              <w:tab w:val="left" w:pos="1134"/>
            </w:tabs>
            <w:ind w:left="4536"/>
            <w:jc w:val="both"/>
            <w:rPr>
              <w:b/>
            </w:rPr>
          </w:pPr>
        </w:p>
        <w:p w:rsidR="00F04EEF" w:rsidRDefault="00F04EEF">
          <w:pPr>
            <w:tabs>
              <w:tab w:val="left" w:pos="1134"/>
            </w:tabs>
            <w:ind w:left="4536"/>
            <w:jc w:val="both"/>
            <w:rPr>
              <w:b/>
            </w:rPr>
          </w:pPr>
        </w:p>
        <w:p w:rsidR="00F04EEF" w:rsidRDefault="00F04EEF">
          <w:pPr>
            <w:tabs>
              <w:tab w:val="left" w:pos="1134"/>
            </w:tabs>
            <w:ind w:left="4536"/>
            <w:jc w:val="both"/>
            <w:rPr>
              <w:b/>
            </w:rPr>
          </w:pPr>
        </w:p>
        <w:p w:rsidR="00F04EEF" w:rsidRDefault="0099351E">
          <w:pPr>
            <w:tabs>
              <w:tab w:val="left" w:pos="1134"/>
            </w:tabs>
            <w:ind w:left="4536"/>
            <w:jc w:val="both"/>
            <w:rPr>
              <w:b/>
            </w:rPr>
          </w:pPr>
          <w:r>
            <w:rPr>
              <w:b/>
            </w:rPr>
            <w:t>Caroline DESIR</w:t>
          </w:r>
        </w:p>
        <w:p w:rsidR="00F04EEF" w:rsidRDefault="00F04EEF">
          <w:pPr>
            <w:tabs>
              <w:tab w:val="left" w:pos="1134"/>
            </w:tabs>
            <w:jc w:val="both"/>
          </w:pPr>
        </w:p>
        <w:p w:rsidR="00F04EEF" w:rsidRDefault="00F04EEF">
          <w:pPr>
            <w:tabs>
              <w:tab w:val="left" w:pos="1134"/>
            </w:tabs>
            <w:jc w:val="both"/>
          </w:pPr>
        </w:p>
        <w:p w:rsidR="00F04EEF" w:rsidRDefault="0099351E">
          <w:pPr>
            <w:rPr>
              <w:rFonts w:eastAsiaTheme="minorEastAsia"/>
              <w:lang w:eastAsia="fr-BE"/>
            </w:rPr>
          </w:pPr>
          <w:r>
            <w:rPr>
              <w:rFonts w:eastAsiaTheme="minorEastAsia"/>
              <w:lang w:eastAsia="fr-BE"/>
            </w:rPr>
            <w:br w:type="page"/>
          </w:r>
        </w:p>
        <w:sdt>
          <w:sdtPr>
            <w:rPr>
              <w:rFonts w:asciiTheme="majorHAnsi" w:eastAsiaTheme="minorHAnsi" w:hAnsiTheme="majorHAnsi" w:cs="Arial"/>
              <w:sz w:val="20"/>
              <w:szCs w:val="20"/>
              <w:lang w:eastAsia="en-US"/>
            </w:rPr>
            <w:id w:val="75645178"/>
            <w:docPartObj>
              <w:docPartGallery w:val="Cover Pages"/>
              <w:docPartUnique/>
            </w:docPartObj>
          </w:sdtPr>
          <w:sdtEndPr>
            <w:rPr>
              <w:rFonts w:asciiTheme="minorHAnsi" w:eastAsia="Times New Roman" w:hAnsiTheme="minorHAnsi"/>
              <w:sz w:val="16"/>
              <w:szCs w:val="16"/>
              <w:lang w:eastAsia="ar-SA"/>
            </w:rPr>
          </w:sdtEndPr>
          <w:sdtContent>
            <w:p w:rsidR="00F04EEF" w:rsidRDefault="00F04EEF">
              <w:pPr>
                <w:pStyle w:val="Sansinterligne"/>
              </w:pPr>
            </w:p>
            <w:p w:rsidR="00F04EEF" w:rsidRDefault="0099351E">
              <w:pPr>
                <w:pStyle w:val="Titre2"/>
                <w:jc w:val="center"/>
                <w:rPr>
                  <w:sz w:val="52"/>
                </w:rPr>
              </w:pPr>
              <w:bookmarkStart w:id="2" w:name="_Toc47708474"/>
              <w:r>
                <w:rPr>
                  <w:sz w:val="52"/>
                </w:rPr>
                <w:t>Principales modifications</w:t>
              </w:r>
              <w:bookmarkEnd w:id="2"/>
            </w:p>
            <w:p w:rsidR="00F04EEF" w:rsidRDefault="00F04EEF">
              <w:pPr>
                <w:rPr>
                  <w:rFonts w:eastAsiaTheme="minorEastAsia"/>
                  <w:lang w:eastAsia="fr-BE"/>
                </w:rPr>
              </w:pPr>
            </w:p>
            <w:p w:rsidR="00F04EEF" w:rsidRDefault="00F04EEF">
              <w:pPr>
                <w:jc w:val="both"/>
              </w:pPr>
            </w:p>
            <w:p w:rsidR="00F04EEF" w:rsidRDefault="00F04EEF">
              <w:pPr>
                <w:jc w:val="both"/>
              </w:pPr>
            </w:p>
            <w:p w:rsidR="00F04EEF" w:rsidRDefault="0099351E">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Les éléments nouveaux sont indiqués par un trait vertical placé à droite du texte.</w:t>
              </w:r>
            </w:p>
            <w:p w:rsidR="00F04EEF" w:rsidRDefault="00F04EEF">
              <w:pPr>
                <w:pBdr>
                  <w:top w:val="single" w:sz="4" w:space="1" w:color="auto"/>
                  <w:left w:val="single" w:sz="4" w:space="4" w:color="auto"/>
                  <w:bottom w:val="single" w:sz="4" w:space="15" w:color="auto"/>
                  <w:right w:val="single" w:sz="4" w:space="4" w:color="auto"/>
                </w:pBdr>
                <w:ind w:left="567" w:hanging="567"/>
                <w:jc w:val="both"/>
              </w:pPr>
            </w:p>
            <w:p w:rsidR="00F04EEF" w:rsidRDefault="0099351E">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La liste des personnes-ressources de la Direction générale de l’Enseignement obligatoire pour les établissements d’enseignement spécialisé (</w:t>
              </w:r>
              <w:hyperlink w:anchor="_INDEX_I_:" w:history="1">
                <w:r>
                  <w:rPr>
                    <w:rStyle w:val="Lienhypertexte"/>
                    <w:rFonts w:cstheme="minorBidi"/>
                  </w:rPr>
                  <w:t>Index</w:t>
                </w:r>
              </w:hyperlink>
              <w:r>
                <w:t xml:space="preserve"> I) et l’aide-mémoire des documents à envoyer par le chef d’établissement d’enseignement spécialisé ont été placés en fin de volume (</w:t>
              </w:r>
              <w:hyperlink w:anchor="_INDEX_II_:" w:history="1">
                <w:r>
                  <w:rPr>
                    <w:rStyle w:val="Lienhypertexte"/>
                    <w:rFonts w:cstheme="minorBidi"/>
                  </w:rPr>
                  <w:t xml:space="preserve">Index </w:t>
                </w:r>
              </w:hyperlink>
              <w:r>
                <w:t>II).</w:t>
              </w:r>
            </w:p>
            <w:p w:rsidR="00F04EEF" w:rsidRDefault="00F04EEF">
              <w:pPr>
                <w:pBdr>
                  <w:top w:val="single" w:sz="4" w:space="1" w:color="auto"/>
                  <w:left w:val="single" w:sz="4" w:space="4" w:color="auto"/>
                  <w:bottom w:val="single" w:sz="4" w:space="15" w:color="auto"/>
                  <w:right w:val="single" w:sz="4" w:space="4" w:color="auto"/>
                </w:pBdr>
                <w:suppressAutoHyphens/>
                <w:ind w:left="567" w:hanging="567"/>
                <w:jc w:val="both"/>
              </w:pPr>
            </w:p>
            <w:p w:rsidR="00F04EEF" w:rsidRDefault="0099351E">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Des liens hypertextes sont activés au sein des chapitres (</w:t>
              </w:r>
              <w:r>
                <w:rPr>
                  <w:i/>
                </w:rPr>
                <w:t>Ctrl+clic pour suivre le lien</w:t>
              </w:r>
              <w:r>
                <w:t>).</w:t>
              </w:r>
            </w:p>
            <w:p w:rsidR="00F04EEF" w:rsidRDefault="00F04EEF">
              <w:pPr>
                <w:pBdr>
                  <w:top w:val="single" w:sz="4" w:space="1" w:color="auto"/>
                  <w:left w:val="single" w:sz="4" w:space="4" w:color="auto"/>
                  <w:bottom w:val="single" w:sz="4" w:space="15" w:color="auto"/>
                  <w:right w:val="single" w:sz="4" w:space="4" w:color="auto"/>
                </w:pBdr>
                <w:ind w:left="567" w:hanging="567"/>
                <w:jc w:val="both"/>
              </w:pPr>
            </w:p>
            <w:p w:rsidR="00F04EEF" w:rsidRDefault="0099351E">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 xml:space="preserve">Les modifications résumées ci-dessous sont accessibles via un lien hypertexte. </w:t>
              </w:r>
            </w:p>
            <w:p w:rsidR="00F04EEF" w:rsidRDefault="00F04EEF">
              <w:pPr>
                <w:pBdr>
                  <w:top w:val="single" w:sz="4" w:space="1" w:color="auto"/>
                  <w:left w:val="single" w:sz="4" w:space="4" w:color="auto"/>
                  <w:bottom w:val="single" w:sz="4" w:space="15" w:color="auto"/>
                  <w:right w:val="single" w:sz="4" w:space="4" w:color="auto"/>
                </w:pBdr>
              </w:pPr>
            </w:p>
            <w:p w:rsidR="00F04EEF" w:rsidRDefault="0099351E">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Les liens hypertextes relatifs aux différents décrets et arrêtés repris au sein des chapitres sont mis à jour dès qu’une modification est prise en compte par GALLILEX.</w:t>
              </w:r>
            </w:p>
            <w:p w:rsidR="00F04EEF" w:rsidRDefault="00F04EEF">
              <w:pPr>
                <w:pBdr>
                  <w:top w:val="single" w:sz="4" w:space="1" w:color="auto"/>
                  <w:left w:val="single" w:sz="4" w:space="4" w:color="auto"/>
                  <w:bottom w:val="single" w:sz="4" w:space="15" w:color="auto"/>
                  <w:right w:val="single" w:sz="4" w:space="4" w:color="auto"/>
                </w:pBdr>
                <w:ind w:left="567" w:hanging="567"/>
                <w:jc w:val="both"/>
              </w:pPr>
            </w:p>
            <w:p w:rsidR="00F04EEF" w:rsidRDefault="0099351E">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 xml:space="preserve">Les annexes sont disponibles en version Word sur le site des circulaires afin de vous permettre de </w:t>
              </w:r>
              <w:r>
                <w:rPr>
                  <w:b/>
                  <w:u w:val="single"/>
                </w:rPr>
                <w:t>compléter/modifier</w:t>
              </w:r>
              <w:r>
                <w:t xml:space="preserve"> directement le document souhaité.</w:t>
              </w:r>
            </w:p>
            <w:p w:rsidR="00F04EEF" w:rsidRDefault="00F04EEF">
              <w:pPr>
                <w:pBdr>
                  <w:top w:val="single" w:sz="4" w:space="1" w:color="auto"/>
                  <w:left w:val="single" w:sz="4" w:space="4" w:color="auto"/>
                  <w:bottom w:val="single" w:sz="4" w:space="15" w:color="auto"/>
                  <w:right w:val="single" w:sz="4" w:space="4" w:color="auto"/>
                </w:pBdr>
                <w:ind w:left="567" w:hanging="567"/>
                <w:jc w:val="both"/>
              </w:pPr>
            </w:p>
            <w:p w:rsidR="00F04EEF" w:rsidRDefault="0099351E">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t>Les annexes ont été mises à jour et ont donc parfois changé de numéro.</w:t>
              </w:r>
            </w:p>
            <w:p w:rsidR="00F04EEF" w:rsidRDefault="00F04EEF">
              <w:pPr>
                <w:pBdr>
                  <w:top w:val="single" w:sz="4" w:space="1" w:color="auto"/>
                  <w:left w:val="single" w:sz="4" w:space="4" w:color="auto"/>
                  <w:bottom w:val="single" w:sz="4" w:space="15" w:color="auto"/>
                  <w:right w:val="single" w:sz="4" w:space="4" w:color="auto"/>
                </w:pBdr>
                <w:tabs>
                  <w:tab w:val="left" w:pos="8647"/>
                </w:tabs>
                <w:jc w:val="both"/>
                <w:rPr>
                  <w:b/>
                </w:rPr>
              </w:pPr>
            </w:p>
            <w:p w:rsidR="00F04EEF" w:rsidRDefault="00F04EEF">
              <w:pPr>
                <w:jc w:val="both"/>
              </w:pPr>
            </w:p>
            <w:p w:rsidR="00F04EEF" w:rsidRDefault="00F04EEF">
              <w:pPr>
                <w:jc w:val="both"/>
              </w:pPr>
            </w:p>
            <w:p w:rsidR="00F04EEF" w:rsidRDefault="0099351E">
              <w:pPr>
                <w:jc w:val="both"/>
                <w:rPr>
                  <w:b/>
                </w:rPr>
              </w:pPr>
              <w:r>
                <w:rPr>
                  <w:b/>
                </w:rPr>
                <w:t>Chapitre 1 : Obligation scolaire, inscription des élèves, fréquentation scolaire, sanctions disciplinaires et gratuité dans l’enseignement fondamental et secondaire spécialisé organisé et subventionné par la Fédération Wallonie-Bruxelles :</w:t>
              </w:r>
            </w:p>
            <w:p w:rsidR="00F04EEF" w:rsidRDefault="0099351E">
              <w:pPr>
                <w:ind w:left="284" w:hanging="284"/>
                <w:jc w:val="both"/>
                <w:rPr>
                  <w:rStyle w:val="Lienhypertexte"/>
                  <w:rFonts w:cstheme="minorBidi"/>
                </w:rPr>
              </w:pPr>
              <w:r>
                <w:t>1.</w:t>
              </w:r>
              <w:r>
                <w:tab/>
                <w:t xml:space="preserve">point </w:t>
              </w:r>
              <w:r>
                <w:rPr>
                  <w:rFonts w:ascii="Verdana" w:hAnsi="Verdana"/>
                  <w:sz w:val="17"/>
                  <w:szCs w:val="17"/>
                </w:rPr>
                <w:t>1.1.2 Rapport d’inscription</w:t>
              </w:r>
              <w:r>
                <w:rPr>
                  <w:color w:val="000000"/>
                </w:rPr>
                <w:tab/>
              </w:r>
              <w:r>
                <w:rPr>
                  <w:color w:val="000000"/>
                </w:rPr>
                <w:tab/>
              </w:r>
              <w:r>
                <w:rPr>
                  <w:color w:val="000000"/>
                </w:rPr>
                <w:tab/>
              </w:r>
              <w:r>
                <w:rPr>
                  <w:color w:val="000000"/>
                </w:rPr>
                <w:tab/>
                <w:t xml:space="preserve">      </w:t>
              </w:r>
              <w:r>
                <w:rPr>
                  <w:color w:val="000000"/>
                </w:rPr>
                <w:tab/>
              </w:r>
              <w:r>
                <w:rPr>
                  <w:color w:val="000000"/>
                </w:rPr>
                <w:tab/>
              </w:r>
              <w:r>
                <w:rPr>
                  <w:color w:val="000000"/>
                </w:rPr>
                <w:tab/>
              </w:r>
              <w:r>
                <w:rPr>
                  <w:color w:val="000000"/>
                </w:rPr>
                <w:tab/>
              </w:r>
              <w:hyperlink w:anchor="_1.1.4._Inscription_des" w:history="1">
                <w:r>
                  <w:rPr>
                    <w:rStyle w:val="Lienhypertexte"/>
                    <w:rFonts w:cstheme="minorBidi"/>
                  </w:rPr>
                  <w:t>Lien</w:t>
                </w:r>
              </w:hyperlink>
            </w:p>
            <w:p w:rsidR="00F04EEF" w:rsidRDefault="0099351E">
              <w:pPr>
                <w:jc w:val="both"/>
                <w:rPr>
                  <w:rFonts w:ascii="Verdana" w:hAnsi="Verdana"/>
                  <w:sz w:val="17"/>
                  <w:szCs w:val="17"/>
                  <w:u w:val="single"/>
                </w:rPr>
              </w:pPr>
              <w:r>
                <w:t xml:space="preserve">2. point </w:t>
              </w:r>
              <w:r>
                <w:rPr>
                  <w:rFonts w:ascii="Verdana" w:hAnsi="Verdana"/>
                  <w:sz w:val="17"/>
                  <w:szCs w:val="17"/>
                </w:rPr>
                <w:t>1.1.4. Inscription des enfants malades</w:t>
              </w:r>
              <w:r>
                <w:rPr>
                  <w:rFonts w:ascii="Verdana" w:hAnsi="Verdana"/>
                  <w:sz w:val="17"/>
                  <w:szCs w:val="17"/>
                </w:rPr>
                <w:tab/>
              </w:r>
              <w:r>
                <w:rPr>
                  <w:rFonts w:ascii="Verdana" w:hAnsi="Verdana"/>
                  <w:sz w:val="17"/>
                  <w:szCs w:val="17"/>
                </w:rPr>
                <w:tab/>
              </w:r>
              <w:r>
                <w:rPr>
                  <w:rFonts w:ascii="Verdana" w:hAnsi="Verdana"/>
                  <w:sz w:val="17"/>
                  <w:szCs w:val="17"/>
                </w:rPr>
                <w:tab/>
              </w:r>
              <w:r>
                <w:rPr>
                  <w:rFonts w:ascii="Verdana" w:hAnsi="Verdana"/>
                  <w:sz w:val="17"/>
                  <w:szCs w:val="17"/>
                </w:rPr>
                <w:tab/>
              </w:r>
              <w:r>
                <w:rPr>
                  <w:rFonts w:ascii="Verdana" w:hAnsi="Verdana"/>
                  <w:sz w:val="17"/>
                  <w:szCs w:val="17"/>
                </w:rPr>
                <w:tab/>
              </w:r>
              <w:r>
                <w:rPr>
                  <w:rFonts w:ascii="Verdana" w:hAnsi="Verdana"/>
                  <w:sz w:val="17"/>
                  <w:szCs w:val="17"/>
                </w:rPr>
                <w:tab/>
              </w:r>
              <w:r>
                <w:rPr>
                  <w:rFonts w:ascii="Verdana" w:hAnsi="Verdana"/>
                  <w:sz w:val="17"/>
                  <w:szCs w:val="17"/>
                </w:rPr>
                <w:tab/>
              </w:r>
              <w:hyperlink w:anchor="_1.1.4._Inscription_des" w:history="1">
                <w:r>
                  <w:rPr>
                    <w:rStyle w:val="Lienhypertexte"/>
                    <w:rFonts w:cstheme="minorBidi"/>
                  </w:rPr>
                  <w:t>Lien</w:t>
                </w:r>
              </w:hyperlink>
              <w:r>
                <w:t xml:space="preserve"> </w:t>
              </w:r>
            </w:p>
            <w:p w:rsidR="00F04EEF" w:rsidRDefault="0099351E">
              <w:pPr>
                <w:ind w:left="284" w:hanging="284"/>
                <w:jc w:val="both"/>
              </w:pPr>
              <w:r>
                <w:t xml:space="preserve">3. </w:t>
              </w:r>
              <w:r>
                <w:tab/>
                <w:t xml:space="preserve">point </w:t>
              </w:r>
              <w:r>
                <w:rPr>
                  <w:rFonts w:ascii="Verdana" w:hAnsi="Verdana"/>
                  <w:sz w:val="17"/>
                  <w:szCs w:val="17"/>
                </w:rPr>
                <w:t>1.1.6.2.1 Changement d’école sans changement de type</w:t>
              </w:r>
              <w:r>
                <w:rPr>
                  <w:rFonts w:ascii="Verdana" w:hAnsi="Verdana"/>
                  <w:sz w:val="17"/>
                  <w:szCs w:val="17"/>
                </w:rPr>
                <w:tab/>
              </w:r>
              <w:r>
                <w:rPr>
                  <w:rFonts w:ascii="Verdana" w:hAnsi="Verdana"/>
                  <w:sz w:val="17"/>
                  <w:szCs w:val="17"/>
                </w:rPr>
                <w:tab/>
              </w:r>
              <w:r>
                <w:rPr>
                  <w:rFonts w:ascii="Verdana" w:hAnsi="Verdana"/>
                  <w:sz w:val="17"/>
                  <w:szCs w:val="17"/>
                </w:rPr>
                <w:tab/>
              </w:r>
              <w:r>
                <w:tab/>
              </w:r>
              <w:r>
                <w:tab/>
              </w:r>
              <w:hyperlink w:anchor="_1.1.6.2.1_Changement_d’école" w:history="1">
                <w:r>
                  <w:rPr>
                    <w:rStyle w:val="Lienhypertexte"/>
                    <w:rFonts w:cstheme="minorBidi"/>
                  </w:rPr>
                  <w:t>Lien</w:t>
                </w:r>
              </w:hyperlink>
            </w:p>
            <w:p w:rsidR="00F04EEF" w:rsidRDefault="0099351E">
              <w:pPr>
                <w:ind w:left="284" w:hanging="284"/>
                <w:jc w:val="both"/>
                <w:rPr>
                  <w:color w:val="0000FF"/>
                  <w:u w:val="single"/>
                </w:rPr>
              </w:pPr>
              <w:r>
                <w:t xml:space="preserve">4. </w:t>
              </w:r>
              <w:r>
                <w:tab/>
                <w:t xml:space="preserve">point </w:t>
              </w:r>
              <w:r>
                <w:rPr>
                  <w:rFonts w:ascii="Verdana" w:hAnsi="Verdana"/>
                  <w:sz w:val="17"/>
                  <w:szCs w:val="17"/>
                </w:rPr>
                <w:t>1.2.2.1 Démarches au sein de l’école</w:t>
              </w:r>
              <w:r>
                <w:t xml:space="preserve">. </w:t>
              </w:r>
              <w:r>
                <w:tab/>
              </w:r>
              <w:r>
                <w:tab/>
              </w:r>
              <w:r>
                <w:tab/>
              </w:r>
              <w:r>
                <w:tab/>
              </w:r>
              <w:r>
                <w:tab/>
              </w:r>
              <w:r>
                <w:tab/>
              </w:r>
              <w:r>
                <w:tab/>
              </w:r>
              <w:hyperlink w:anchor="_1.2.2.1._Démarches_au" w:history="1">
                <w:r>
                  <w:rPr>
                    <w:rStyle w:val="Lienhypertexte"/>
                    <w:rFonts w:cstheme="minorBidi"/>
                  </w:rPr>
                  <w:t>Lien</w:t>
                </w:r>
              </w:hyperlink>
            </w:p>
            <w:p w:rsidR="00F04EEF" w:rsidRDefault="0099351E">
              <w:pPr>
                <w:ind w:left="284" w:hanging="284"/>
                <w:jc w:val="both"/>
                <w:rPr>
                  <w:rStyle w:val="Lienhypertexte"/>
                  <w:rFonts w:cstheme="minorBidi"/>
                </w:rPr>
              </w:pPr>
              <w:r>
                <w:t xml:space="preserve">5. </w:t>
              </w:r>
              <w:r>
                <w:tab/>
                <w:t>point 1.1.6.2.1 Changement d’école sans changement de type : principes</w:t>
              </w:r>
              <w:r>
                <w:tab/>
              </w:r>
              <w:r>
                <w:tab/>
              </w:r>
              <w:r>
                <w:tab/>
              </w:r>
              <w:hyperlink w:anchor="_1.1.6.2.1_Changement_d’école" w:history="1">
                <w:r>
                  <w:rPr>
                    <w:rStyle w:val="Lienhypertexte"/>
                    <w:rFonts w:cstheme="minorBidi"/>
                  </w:rPr>
                  <w:t>Lien</w:t>
                </w:r>
              </w:hyperlink>
            </w:p>
            <w:p w:rsidR="00F04EEF" w:rsidRDefault="0099351E">
              <w:pPr>
                <w:ind w:left="284" w:hanging="284"/>
                <w:jc w:val="both"/>
              </w:pPr>
              <w:r>
                <w:t xml:space="preserve">6. </w:t>
              </w:r>
              <w:r>
                <w:tab/>
                <w:t xml:space="preserve">point </w:t>
              </w:r>
              <w:r>
                <w:rPr>
                  <w:rFonts w:ascii="Verdana" w:hAnsi="Verdana"/>
                  <w:sz w:val="17"/>
                  <w:szCs w:val="17"/>
                </w:rPr>
                <w:t>1.2.2.1 Démarches au sein de l’école</w:t>
              </w:r>
              <w:r>
                <w:tab/>
              </w:r>
              <w:r>
                <w:tab/>
              </w:r>
              <w:r>
                <w:tab/>
              </w:r>
              <w:r>
                <w:tab/>
              </w:r>
              <w:r>
                <w:tab/>
              </w:r>
              <w:r>
                <w:tab/>
              </w:r>
              <w:r>
                <w:tab/>
              </w:r>
              <w:hyperlink w:anchor="_1.2.2.1._Démarches_au" w:history="1">
                <w:r>
                  <w:rPr>
                    <w:rStyle w:val="Lienhypertexte"/>
                    <w:rFonts w:cstheme="minorBidi"/>
                  </w:rPr>
                  <w:t>Lien</w:t>
                </w:r>
              </w:hyperlink>
            </w:p>
            <w:p w:rsidR="00F04EEF" w:rsidRDefault="0099351E">
              <w:pPr>
                <w:ind w:left="284" w:hanging="284"/>
                <w:jc w:val="both"/>
              </w:pPr>
              <w:r>
                <w:t xml:space="preserve">7. </w:t>
              </w:r>
              <w:r>
                <w:tab/>
                <w:t>point 1.1.6.5. Transfert d’un élève d’un établissement spécialisé situé en Fédération Wallonie-Bruxelles vers  un établissement scolaire situé en Communauté flamande, en Communauté germanophone ou à l’étranger.</w:t>
              </w:r>
              <w:r>
                <w:tab/>
              </w:r>
              <w:r>
                <w:tab/>
              </w:r>
              <w:r>
                <w:tab/>
              </w:r>
              <w:r>
                <w:tab/>
              </w:r>
              <w:r>
                <w:tab/>
              </w:r>
              <w:r>
                <w:tab/>
              </w:r>
              <w:r>
                <w:tab/>
              </w:r>
              <w:r>
                <w:tab/>
              </w:r>
              <w:hyperlink w:anchor="_1.1.6.5._Transfert_d’un" w:history="1">
                <w:r>
                  <w:rPr>
                    <w:rStyle w:val="Lienhypertexte"/>
                    <w:rFonts w:cstheme="minorBidi"/>
                  </w:rPr>
                  <w:t>Lien</w:t>
                </w:r>
              </w:hyperlink>
            </w:p>
            <w:p w:rsidR="00F04EEF" w:rsidRDefault="0099351E">
              <w:pPr>
                <w:ind w:left="284" w:hanging="284"/>
                <w:jc w:val="both"/>
              </w:pPr>
              <w:r>
                <w:t xml:space="preserve">8. </w:t>
              </w:r>
              <w:r>
                <w:tab/>
                <w:t>point 1.2.2.1. Démarches au sein de l’école</w:t>
              </w:r>
              <w:r>
                <w:tab/>
              </w:r>
              <w:r>
                <w:tab/>
              </w:r>
              <w:r>
                <w:tab/>
              </w:r>
              <w:r>
                <w:tab/>
              </w:r>
              <w:r>
                <w:tab/>
              </w:r>
              <w:r>
                <w:tab/>
              </w:r>
              <w:r>
                <w:tab/>
              </w:r>
              <w:hyperlink w:anchor="_1.2.2.1._Démarches_au" w:history="1">
                <w:r>
                  <w:rPr>
                    <w:rStyle w:val="Lienhypertexte"/>
                    <w:rFonts w:cstheme="minorBidi"/>
                  </w:rPr>
                  <w:t>Lien</w:t>
                </w:r>
              </w:hyperlink>
            </w:p>
            <w:p w:rsidR="00F04EEF" w:rsidRDefault="0099351E">
              <w:pPr>
                <w:ind w:left="284" w:hanging="284"/>
                <w:jc w:val="both"/>
                <w:rPr>
                  <w:rStyle w:val="Lienhypertexte"/>
                  <w:rFonts w:cstheme="minorBidi"/>
                </w:rPr>
              </w:pPr>
              <w:r>
                <w:t xml:space="preserve">9. </w:t>
              </w:r>
              <w:r>
                <w:tab/>
                <w:t>point 1.2.3.2.2. Partenariat entre l’établissement scolaire et le service d’accrochage scolaire</w:t>
              </w:r>
              <w:r>
                <w:tab/>
              </w:r>
              <w:hyperlink w:anchor="_1.2.3.2.2._Partenariat_entre" w:history="1">
                <w:r>
                  <w:rPr>
                    <w:rStyle w:val="Lienhypertexte"/>
                    <w:rFonts w:cstheme="minorBidi"/>
                  </w:rPr>
                  <w:t>Lien</w:t>
                </w:r>
              </w:hyperlink>
            </w:p>
            <w:p w:rsidR="00F04EEF" w:rsidRDefault="0099351E">
              <w:pPr>
                <w:ind w:left="284" w:hanging="284"/>
                <w:jc w:val="both"/>
              </w:pPr>
              <w:r>
                <w:t>10.</w:t>
              </w:r>
              <w:r>
                <w:tab/>
                <w:t>point 1.3.2. Dans les établissements organisés par Wallonie-Bruxelles Enseignement (WBE).</w:t>
              </w:r>
              <w:r>
                <w:tab/>
              </w:r>
              <w:hyperlink w:anchor="_1.3.2._Dans_les" w:history="1">
                <w:r>
                  <w:rPr>
                    <w:rStyle w:val="Lienhypertexte"/>
                    <w:rFonts w:cstheme="minorBidi"/>
                  </w:rPr>
                  <w:t>Lien</w:t>
                </w:r>
              </w:hyperlink>
              <w:r>
                <w:t xml:space="preserve"> </w:t>
              </w:r>
            </w:p>
            <w:p w:rsidR="00F04EEF" w:rsidRDefault="0099351E">
              <w:pPr>
                <w:ind w:left="284" w:hanging="284"/>
                <w:jc w:val="both"/>
              </w:pPr>
              <w:r>
                <w:t>11. point 1.3.3.2.2. Procédure</w:t>
              </w:r>
              <w:r>
                <w:tab/>
              </w:r>
              <w:r>
                <w:tab/>
              </w:r>
              <w:r>
                <w:tab/>
              </w:r>
              <w:r>
                <w:tab/>
              </w:r>
              <w:r>
                <w:tab/>
              </w:r>
              <w:r>
                <w:tab/>
              </w:r>
              <w:r>
                <w:tab/>
              </w:r>
              <w:r>
                <w:tab/>
              </w:r>
              <w:r>
                <w:tab/>
              </w:r>
              <w:hyperlink w:anchor="_1.3.3.2.2._Procédure" w:history="1">
                <w:r>
                  <w:rPr>
                    <w:rStyle w:val="Lienhypertexte"/>
                    <w:rFonts w:cstheme="minorBidi"/>
                  </w:rPr>
                  <w:t>Lien</w:t>
                </w:r>
              </w:hyperlink>
            </w:p>
            <w:p w:rsidR="00F04EEF" w:rsidRDefault="0099351E">
              <w:pPr>
                <w:ind w:left="284" w:hanging="284"/>
                <w:jc w:val="both"/>
              </w:pPr>
              <w:r>
                <w:t>12. point 1.3.3.2.3. Recours</w:t>
              </w:r>
              <w:r>
                <w:tab/>
              </w:r>
              <w:r>
                <w:tab/>
              </w:r>
              <w:r>
                <w:tab/>
              </w:r>
              <w:r>
                <w:tab/>
              </w:r>
              <w:r>
                <w:tab/>
              </w:r>
              <w:r>
                <w:tab/>
              </w:r>
              <w:r>
                <w:tab/>
              </w:r>
              <w:r>
                <w:tab/>
              </w:r>
              <w:r>
                <w:tab/>
              </w:r>
              <w:hyperlink w:anchor="_1.3.3.2.3._Recours" w:history="1">
                <w:r>
                  <w:rPr>
                    <w:rStyle w:val="Lienhypertexte"/>
                    <w:rFonts w:cstheme="minorBidi"/>
                  </w:rPr>
                  <w:t>Lien</w:t>
                </w:r>
              </w:hyperlink>
            </w:p>
            <w:p w:rsidR="00F04EEF" w:rsidRDefault="0099351E">
              <w:pPr>
                <w:ind w:left="284" w:hanging="284"/>
                <w:jc w:val="both"/>
              </w:pPr>
              <w:r>
                <w:t>13. point 1.3.3.2.6. Dans l’enseignement organisé par Wallonie-Bruxelles Enseignement (WBE)</w:t>
              </w:r>
              <w:r>
                <w:tab/>
              </w:r>
              <w:hyperlink w:anchor="_1.3.3.2.6._Dans_l’enseignement" w:history="1">
                <w:r>
                  <w:rPr>
                    <w:rStyle w:val="Lienhypertexte"/>
                    <w:rFonts w:cstheme="minorBidi"/>
                  </w:rPr>
                  <w:t>Lien</w:t>
                </w:r>
              </w:hyperlink>
            </w:p>
            <w:p w:rsidR="00F04EEF" w:rsidRDefault="0099351E">
              <w:pPr>
                <w:ind w:left="284" w:hanging="284"/>
                <w:jc w:val="both"/>
              </w:pPr>
              <w:r>
                <w:t>14. point 1.3.3.2.7. Dans l’enseignement subventionné par la Fédération Wallonie-Bruxelles</w:t>
              </w:r>
              <w:r>
                <w:tab/>
              </w:r>
              <w:hyperlink w:anchor="_1.3.3.2.7._Dans_l’enseignement" w:history="1">
                <w:r>
                  <w:rPr>
                    <w:rStyle w:val="Lienhypertexte"/>
                    <w:rFonts w:cstheme="minorBidi"/>
                  </w:rPr>
                  <w:t>Lien</w:t>
                </w:r>
              </w:hyperlink>
            </w:p>
            <w:p w:rsidR="00F04EEF" w:rsidRDefault="0099351E">
              <w:pPr>
                <w:ind w:left="284" w:hanging="284"/>
                <w:jc w:val="both"/>
              </w:pPr>
              <w:r>
                <w:t>15. point 1.5.1. Règles générales</w:t>
              </w:r>
              <w:r>
                <w:tab/>
              </w:r>
              <w:r>
                <w:tab/>
              </w:r>
              <w:r>
                <w:tab/>
              </w:r>
              <w:r>
                <w:tab/>
              </w:r>
              <w:r>
                <w:tab/>
              </w:r>
              <w:r>
                <w:tab/>
              </w:r>
              <w:r>
                <w:tab/>
              </w:r>
              <w:r>
                <w:tab/>
              </w:r>
              <w:hyperlink w:anchor="_1.5.1._Règles_générales" w:history="1">
                <w:r>
                  <w:rPr>
                    <w:rStyle w:val="Lienhypertexte"/>
                    <w:rFonts w:cstheme="minorBidi"/>
                  </w:rPr>
                  <w:t>Lien</w:t>
                </w:r>
              </w:hyperlink>
            </w:p>
            <w:p w:rsidR="00F04EEF" w:rsidRDefault="0099351E">
              <w:pPr>
                <w:ind w:left="284" w:hanging="284"/>
                <w:jc w:val="both"/>
              </w:pPr>
              <w:r>
                <w:t>16. point 1.5.2.1. Définition</w:t>
              </w:r>
              <w:r>
                <w:tab/>
              </w:r>
              <w:r>
                <w:tab/>
              </w:r>
              <w:r>
                <w:tab/>
              </w:r>
              <w:r>
                <w:tab/>
              </w:r>
              <w:r>
                <w:tab/>
              </w:r>
              <w:r>
                <w:tab/>
              </w:r>
              <w:r>
                <w:tab/>
              </w:r>
              <w:r>
                <w:tab/>
              </w:r>
              <w:r>
                <w:tab/>
              </w:r>
              <w:hyperlink w:anchor="_1.5.2.1._Définition" w:history="1">
                <w:r>
                  <w:rPr>
                    <w:rStyle w:val="Lienhypertexte"/>
                    <w:rFonts w:cstheme="minorBidi"/>
                  </w:rPr>
                  <w:t>Lien</w:t>
                </w:r>
              </w:hyperlink>
            </w:p>
            <w:p w:rsidR="00F04EEF" w:rsidRDefault="0099351E">
              <w:pPr>
                <w:ind w:left="284" w:hanging="284"/>
                <w:jc w:val="both"/>
              </w:pPr>
              <w:r>
                <w:t>17. point 1.5.3. Informations aux parents</w:t>
              </w:r>
              <w:r>
                <w:tab/>
              </w:r>
              <w:r>
                <w:tab/>
              </w:r>
              <w:r>
                <w:tab/>
              </w:r>
              <w:r>
                <w:tab/>
              </w:r>
              <w:r>
                <w:tab/>
              </w:r>
              <w:r>
                <w:tab/>
              </w:r>
              <w:r>
                <w:tab/>
              </w:r>
              <w:hyperlink w:anchor="_1.5.3._Informations_aux" w:history="1">
                <w:r>
                  <w:rPr>
                    <w:rStyle w:val="Lienhypertexte"/>
                    <w:rFonts w:cstheme="minorBidi"/>
                  </w:rPr>
                  <w:t>Lien</w:t>
                </w:r>
              </w:hyperlink>
            </w:p>
            <w:p w:rsidR="00F04EEF" w:rsidRDefault="0099351E">
              <w:pPr>
                <w:ind w:left="284" w:hanging="284"/>
                <w:jc w:val="both"/>
                <w:rPr>
                  <w:rStyle w:val="Lienhypertexte"/>
                  <w:rFonts w:cstheme="minorBidi"/>
                </w:rPr>
              </w:pPr>
              <w:r>
                <w:t>18. point 1.6.2.1. En quoi consiste l’assistance en justice et/ou psychologique ?</w:t>
              </w:r>
              <w:r>
                <w:tab/>
              </w:r>
              <w:r>
                <w:tab/>
              </w:r>
              <w:r>
                <w:tab/>
              </w:r>
              <w:hyperlink w:anchor="_1.6.2.1._En_quoi" w:history="1">
                <w:r>
                  <w:rPr>
                    <w:rStyle w:val="Lienhypertexte"/>
                    <w:rFonts w:cstheme="minorBidi"/>
                  </w:rPr>
                  <w:t>Lien</w:t>
                </w:r>
              </w:hyperlink>
            </w:p>
            <w:p w:rsidR="00F04EEF" w:rsidRDefault="0099351E">
              <w:pPr>
                <w:ind w:left="284" w:hanging="284"/>
                <w:jc w:val="both"/>
                <w:rPr>
                  <w:rStyle w:val="Lienhypertexte"/>
                  <w:rFonts w:cstheme="minorBidi"/>
                </w:rPr>
              </w:pPr>
              <w:r>
                <w:t>19. point 2.1.1. Quelles sont les bases légales concernant l’obligation scolaire ?</w:t>
              </w:r>
              <w:r>
                <w:tab/>
              </w:r>
              <w:r>
                <w:tab/>
              </w:r>
              <w:r>
                <w:tab/>
              </w:r>
              <w:hyperlink w:anchor="_2.1.1._Quelles_sont" w:history="1">
                <w:r>
                  <w:rPr>
                    <w:rStyle w:val="Lienhypertexte"/>
                    <w:rFonts w:cstheme="minorBidi"/>
                  </w:rPr>
                  <w:t>Lien</w:t>
                </w:r>
              </w:hyperlink>
            </w:p>
            <w:p w:rsidR="00F04EEF" w:rsidRDefault="0099351E">
              <w:pPr>
                <w:ind w:left="284" w:hanging="284"/>
                <w:jc w:val="both"/>
              </w:pPr>
              <w:r>
                <w:t xml:space="preserve">20. point 2.1.2.2. La condition d’âge </w:t>
              </w:r>
              <w:r>
                <w:tab/>
              </w:r>
              <w:r>
                <w:tab/>
              </w:r>
              <w:r>
                <w:tab/>
              </w:r>
              <w:r>
                <w:tab/>
              </w:r>
              <w:r>
                <w:tab/>
              </w:r>
              <w:r>
                <w:tab/>
              </w:r>
              <w:r>
                <w:tab/>
              </w:r>
              <w:r>
                <w:tab/>
              </w:r>
              <w:hyperlink w:anchor="_2.1.2.2._La_condition" w:history="1">
                <w:r>
                  <w:rPr>
                    <w:rStyle w:val="Lienhypertexte"/>
                    <w:rFonts w:cstheme="minorBidi"/>
                  </w:rPr>
                  <w:t>Lien</w:t>
                </w:r>
              </w:hyperlink>
            </w:p>
            <w:p w:rsidR="00F04EEF" w:rsidRDefault="0099351E">
              <w:pPr>
                <w:rPr>
                  <w:rStyle w:val="Lienhypertexte"/>
                  <w:rFonts w:cstheme="minorBidi"/>
                  <w:color w:val="auto"/>
                  <w:u w:val="none"/>
                </w:rPr>
              </w:pPr>
              <w:r>
                <w:lastRenderedPageBreak/>
                <w:t xml:space="preserve">21. point 2.2.a.vi.A quoi servent les Services d’action en milieu </w:t>
              </w:r>
              <w:proofErr w:type="gramStart"/>
              <w:r>
                <w:t>ouvert  ?</w:t>
              </w:r>
              <w:proofErr w:type="gramEnd"/>
              <w:r>
                <w:tab/>
              </w:r>
              <w:r>
                <w:tab/>
              </w:r>
              <w:r>
                <w:tab/>
              </w:r>
              <w:hyperlink w:anchor="_A_quoi_servent" w:history="1">
                <w:r>
                  <w:rPr>
                    <w:rStyle w:val="Lienhypertexte"/>
                    <w:rFonts w:cstheme="minorBidi"/>
                  </w:rPr>
                  <w:t>Lien</w:t>
                </w:r>
              </w:hyperlink>
            </w:p>
            <w:p w:rsidR="00F04EEF" w:rsidRDefault="0099351E">
              <w:pPr>
                <w:ind w:left="284" w:hanging="284"/>
                <w:jc w:val="both"/>
              </w:pPr>
              <w:r>
                <w:t>22. point 2.2.e.III. iii.Le numéro vert « Ecoute Ecole »  0800/95.580: Pour qui ? Pour quoi ?</w:t>
              </w:r>
              <w:r>
                <w:tab/>
              </w:r>
              <w:hyperlink w:anchor="_2.7.3.__Le" w:history="1">
                <w:r>
                  <w:rPr>
                    <w:rStyle w:val="Lienhypertexte"/>
                    <w:rFonts w:cstheme="minorBidi"/>
                  </w:rPr>
                  <w:t>Lien</w:t>
                </w:r>
              </w:hyperlink>
            </w:p>
            <w:p w:rsidR="00F04EEF" w:rsidRDefault="0099351E">
              <w:pPr>
                <w:ind w:left="284" w:hanging="284"/>
                <w:jc w:val="both"/>
              </w:pPr>
              <w:r>
                <w:t>23. Annexes : modifications des numéros</w:t>
              </w:r>
            </w:p>
            <w:p w:rsidR="00F04EEF" w:rsidRDefault="0099351E">
              <w:pPr>
                <w:ind w:left="284" w:hanging="284"/>
                <w:jc w:val="both"/>
              </w:pPr>
              <w:r>
                <w:t>24. Suppression des annexes 3 et 4</w:t>
              </w:r>
            </w:p>
            <w:p w:rsidR="00F04EEF" w:rsidRDefault="0099351E">
              <w:pPr>
                <w:ind w:left="284" w:hanging="284"/>
                <w:jc w:val="both"/>
              </w:pPr>
              <w:r>
                <w:t>25. Mise à jour des informations des annexes 7, 16 et 19</w:t>
              </w:r>
            </w:p>
            <w:p w:rsidR="00F04EEF" w:rsidRDefault="00F04EEF">
              <w:pPr>
                <w:jc w:val="both"/>
              </w:pPr>
            </w:p>
            <w:p w:rsidR="00F04EEF" w:rsidRDefault="0099351E">
              <w:pPr>
                <w:jc w:val="both"/>
                <w:rPr>
                  <w:b/>
                </w:rPr>
              </w:pPr>
              <w:r>
                <w:rPr>
                  <w:b/>
                </w:rPr>
                <w:t xml:space="preserve">Chapitre 2 : Rationalisation et programmation : </w:t>
              </w:r>
            </w:p>
            <w:p w:rsidR="00F04EEF" w:rsidRDefault="0099351E">
              <w:pPr>
                <w:pStyle w:val="Paragraphedeliste"/>
                <w:numPr>
                  <w:ilvl w:val="0"/>
                  <w:numId w:val="213"/>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1.7.Organisation de classes et implantations à visée inclusive</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Organisation_de_classes" w:history="1">
                <w:r>
                  <w:rPr>
                    <w:rStyle w:val="Lienhypertexte"/>
                    <w:rFonts w:asciiTheme="minorHAnsi" w:hAnsiTheme="minorHAnsi" w:cstheme="minorHAnsi"/>
                    <w:sz w:val="22"/>
                    <w:szCs w:val="22"/>
                  </w:rPr>
                  <w:t>Lien</w:t>
                </w:r>
              </w:hyperlink>
              <w:r>
                <w:rPr>
                  <w:rFonts w:asciiTheme="minorHAnsi" w:hAnsiTheme="minorHAnsi" w:cstheme="minorHAnsi"/>
                  <w:sz w:val="22"/>
                  <w:szCs w:val="22"/>
                </w:rPr>
                <w:tab/>
              </w:r>
            </w:p>
            <w:p w:rsidR="00F04EEF" w:rsidRDefault="0099351E">
              <w:pPr>
                <w:pStyle w:val="Paragraphedeliste"/>
                <w:numPr>
                  <w:ilvl w:val="0"/>
                  <w:numId w:val="213"/>
                </w:numPr>
                <w:ind w:left="360"/>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7 Introduction des propositions de programmation d’une nouvelle forme, d’un nouveau type ou d’un nouveau métier</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7._Introduction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3"/>
                </w:numPr>
                <w:ind w:left="360"/>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 xml:space="preserve">point 8 </w:t>
              </w:r>
              <w:r>
                <w:rPr>
                  <w:rFonts w:asciiTheme="minorHAnsi" w:hAnsiTheme="minorHAnsi" w:cstheme="minorHAnsi"/>
                  <w:sz w:val="22"/>
                  <w:szCs w:val="22"/>
                </w:rPr>
                <w:t>Introduction des propositions de programmation d’implantation ou d’école, de transformation, de fusion, de scission</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8._Introduction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3"/>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9</w:t>
              </w:r>
              <w:r>
                <w:rPr>
                  <w:rFonts w:asciiTheme="minorHAnsi" w:hAnsiTheme="minorHAnsi" w:cstheme="minorHAnsi"/>
                  <w:sz w:val="22"/>
                  <w:szCs w:val="22"/>
                </w:rPr>
                <w:t xml:space="preserve"> Programmation d’une classe ou  implantation à visée inclusive</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9._Programmation_d’une" w:history="1">
                <w:r>
                  <w:rPr>
                    <w:rStyle w:val="Lienhypertexte"/>
                    <w:rFonts w:asciiTheme="minorHAnsi" w:hAnsiTheme="minorHAnsi" w:cstheme="minorHAnsi"/>
                    <w:sz w:val="22"/>
                    <w:szCs w:val="22"/>
                  </w:rPr>
                  <w:t>Lien</w:t>
                </w:r>
              </w:hyperlink>
            </w:p>
            <w:p w:rsidR="00F04EEF" w:rsidRDefault="0099351E">
              <w:pPr>
                <w:pStyle w:val="Paragraphedeliste"/>
                <w:numPr>
                  <w:ilvl w:val="0"/>
                  <w:numId w:val="213"/>
                </w:numPr>
                <w:ind w:left="360"/>
                <w:rPr>
                  <w:rFonts w:asciiTheme="minorHAnsi" w:hAnsiTheme="minorHAnsi" w:cstheme="minorHAnsi"/>
                  <w:sz w:val="22"/>
                  <w:szCs w:val="22"/>
                </w:rPr>
              </w:pPr>
              <w:r>
                <w:rPr>
                  <w:rFonts w:asciiTheme="minorHAnsi" w:eastAsiaTheme="minorHAnsi" w:hAnsiTheme="minorHAnsi" w:cstheme="minorHAnsi"/>
                  <w:sz w:val="22"/>
                  <w:szCs w:val="22"/>
                  <w:lang w:eastAsia="en-US"/>
                </w:rPr>
                <w:t>point 10 Organisation d’un enseignement de type 8 au niveau secondaire de l’enseignement spécialisé de forme 3</w:t>
              </w:r>
              <w:r>
                <w:rPr>
                  <w:rFonts w:asciiTheme="minorHAnsi" w:eastAsiaTheme="minorHAnsi" w:hAnsiTheme="minorHAnsi" w:cstheme="minorHAnsi"/>
                  <w:sz w:val="22"/>
                  <w:szCs w:val="22"/>
                  <w:lang w:eastAsia="en-US"/>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0_Organisation_d’un" w:history="1">
                <w:r>
                  <w:rPr>
                    <w:rStyle w:val="Lienhypertexte"/>
                    <w:rFonts w:asciiTheme="minorHAnsi" w:hAnsiTheme="minorHAnsi" w:cstheme="minorHAnsi"/>
                    <w:sz w:val="22"/>
                    <w:szCs w:val="22"/>
                  </w:rPr>
                  <w:t>Lien</w:t>
                </w:r>
              </w:hyperlink>
            </w:p>
            <w:p w:rsidR="00F04EEF" w:rsidRDefault="00F04EEF">
              <w:pPr>
                <w:jc w:val="both"/>
                <w:rPr>
                  <w:b/>
                </w:rPr>
              </w:pPr>
            </w:p>
            <w:p w:rsidR="00F04EEF" w:rsidRDefault="0099351E">
              <w:pPr>
                <w:jc w:val="both"/>
                <w:rPr>
                  <w:b/>
                </w:rPr>
              </w:pPr>
              <w:r>
                <w:rPr>
                  <w:b/>
                </w:rPr>
                <w:t>Chapitre 4 : Calendrier scolaire, suspension des cours et fermetures exceptionnelle :</w:t>
              </w:r>
            </w:p>
            <w:p w:rsidR="00F04EEF" w:rsidRDefault="0099351E">
              <w:pPr>
                <w:pStyle w:val="Paragraphedeliste"/>
                <w:numPr>
                  <w:ilvl w:val="0"/>
                  <w:numId w:val="214"/>
                </w:numPr>
                <w:ind w:left="360"/>
                <w:rPr>
                  <w:rFonts w:asciiTheme="majorHAnsi" w:hAnsiTheme="majorHAnsi"/>
                  <w:sz w:val="22"/>
                  <w:szCs w:val="22"/>
                </w:rPr>
              </w:pPr>
              <w:r>
                <w:rPr>
                  <w:rFonts w:asciiTheme="minorHAnsi" w:hAnsiTheme="minorHAnsi" w:cstheme="minorHAnsi"/>
                  <w:sz w:val="22"/>
                  <w:szCs w:val="22"/>
                </w:rPr>
                <w:t>point 1. Calendrier scolaire 2020-2021</w:t>
              </w:r>
              <w:r>
                <w:rPr>
                  <w:rFonts w:asciiTheme="minorHAnsi" w:hAnsiTheme="minorHAnsi" w:cstheme="min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1._Calendrier_scolaire" w:history="1">
                <w:r>
                  <w:rPr>
                    <w:rStyle w:val="Lienhypertexte"/>
                    <w:rFonts w:asciiTheme="majorHAnsi" w:hAnsiTheme="majorHAnsi" w:cs="Arial"/>
                    <w:sz w:val="22"/>
                    <w:szCs w:val="22"/>
                  </w:rPr>
                  <w:t>Lien </w:t>
                </w:r>
              </w:hyperlink>
            </w:p>
            <w:p w:rsidR="00F04EEF" w:rsidRDefault="00F04EEF">
              <w:pPr>
                <w:jc w:val="both"/>
              </w:pPr>
            </w:p>
            <w:p w:rsidR="00F04EEF" w:rsidRDefault="0099351E">
              <w:pPr>
                <w:jc w:val="both"/>
                <w:rPr>
                  <w:b/>
                </w:rPr>
              </w:pPr>
              <w:r>
                <w:rPr>
                  <w:b/>
                </w:rPr>
                <w:t>Chapitre 5 : Personnel directeur et enseignant des établissements et instituts d’enseignement spécialisé :</w:t>
              </w:r>
            </w:p>
            <w:p w:rsidR="00F04EEF" w:rsidRDefault="0099351E">
              <w:pPr>
                <w:pStyle w:val="Paragraphedeliste"/>
                <w:numPr>
                  <w:ilvl w:val="0"/>
                  <w:numId w:val="216"/>
                </w:numPr>
                <w:ind w:left="360"/>
                <w:jc w:val="both"/>
                <w:rPr>
                  <w:rFonts w:asciiTheme="minorHAnsi" w:hAnsiTheme="minorHAnsi" w:cstheme="minorHAnsi"/>
                  <w:sz w:val="22"/>
                  <w:szCs w:val="22"/>
                </w:rPr>
              </w:pPr>
              <w:r>
                <w:rPr>
                  <w:rFonts w:asciiTheme="minorHAnsi" w:hAnsiTheme="minorHAnsi" w:cstheme="minorHAnsi"/>
                  <w:sz w:val="22"/>
                </w:rPr>
                <w:t>Mise à jour des bases légales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_Principes_généraux_1" w:history="1">
                <w:r>
                  <w:rPr>
                    <w:rStyle w:val="Lienhypertexte"/>
                    <w:rFonts w:asciiTheme="minorHAnsi" w:hAnsiTheme="minorHAnsi" w:cstheme="minorHAnsi"/>
                    <w:sz w:val="22"/>
                    <w:szCs w:val="22"/>
                  </w:rPr>
                  <w:t>Lien</w:t>
                </w:r>
              </w:hyperlink>
            </w:p>
            <w:p w:rsidR="00F04EEF" w:rsidRDefault="0099351E">
              <w:pPr>
                <w:pStyle w:val="Paragraphedeliste"/>
                <w:numPr>
                  <w:ilvl w:val="0"/>
                  <w:numId w:val="216"/>
                </w:numPr>
                <w:ind w:left="360"/>
                <w:jc w:val="both"/>
                <w:rPr>
                  <w:rFonts w:asciiTheme="minorHAnsi" w:hAnsiTheme="minorHAnsi" w:cstheme="minorHAnsi"/>
                  <w:sz w:val="22"/>
                  <w:szCs w:val="22"/>
                </w:rPr>
              </w:pPr>
              <w:r>
                <w:rPr>
                  <w:rFonts w:asciiTheme="minorHAnsi" w:hAnsiTheme="minorHAnsi" w:cstheme="minorHAnsi"/>
                  <w:sz w:val="22"/>
                  <w:szCs w:val="22"/>
                </w:rPr>
                <w:t>Point 1.1 Capital Périodes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 xml:space="preserve"> </w:t>
              </w:r>
              <w:r>
                <w:rPr>
                  <w:rFonts w:asciiTheme="minorHAnsi" w:hAnsiTheme="minorHAnsi" w:cstheme="minorHAnsi"/>
                  <w:sz w:val="22"/>
                  <w:szCs w:val="22"/>
                </w:rPr>
                <w:tab/>
                <w:t xml:space="preserve">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1._Capital-périodes" w:history="1">
                <w:r>
                  <w:rPr>
                    <w:rStyle w:val="Lienhypertexte"/>
                    <w:rFonts w:asciiTheme="minorHAnsi" w:hAnsiTheme="minorHAnsi" w:cstheme="minorHAnsi"/>
                    <w:sz w:val="22"/>
                    <w:szCs w:val="22"/>
                  </w:rPr>
                  <w:t>Lien </w:t>
                </w:r>
              </w:hyperlink>
            </w:p>
            <w:p w:rsidR="00F04EEF" w:rsidRDefault="0099351E">
              <w:pPr>
                <w:pStyle w:val="Paragraphedeliste"/>
                <w:numPr>
                  <w:ilvl w:val="0"/>
                  <w:numId w:val="216"/>
                </w:numPr>
                <w:ind w:left="360"/>
                <w:jc w:val="both"/>
                <w:rPr>
                  <w:rFonts w:asciiTheme="minorHAnsi" w:hAnsiTheme="minorHAnsi" w:cstheme="minorHAnsi"/>
                  <w:sz w:val="22"/>
                  <w:szCs w:val="22"/>
                </w:rPr>
              </w:pPr>
              <w:r>
                <w:rPr>
                  <w:rFonts w:asciiTheme="minorHAnsi" w:hAnsiTheme="minorHAnsi" w:cstheme="minorHAnsi"/>
                  <w:sz w:val="22"/>
                  <w:szCs w:val="22"/>
                </w:rPr>
                <w:t>point 1.2. Eléments servant au calcul du capital-périodes</w:t>
              </w:r>
              <w:r>
                <w:rPr>
                  <w:rFonts w:asciiTheme="minorHAnsi" w:hAnsiTheme="minorHAnsi" w:cstheme="minorHAnsi"/>
                  <w:sz w:val="22"/>
                  <w:szCs w:val="22"/>
                </w:rPr>
                <w:tab/>
                <w:t xml:space="preserve"> : c) nombre guide</w:t>
              </w:r>
              <w:r>
                <w:rPr>
                  <w:rFonts w:asciiTheme="minorHAnsi" w:hAnsiTheme="minorHAnsi" w:cstheme="minorHAnsi"/>
                  <w:sz w:val="22"/>
                  <w:szCs w:val="22"/>
                </w:rPr>
                <w:tab/>
              </w:r>
              <w:r>
                <w:rPr>
                  <w:rFonts w:asciiTheme="minorHAnsi" w:hAnsiTheme="minorHAnsi" w:cstheme="minorHAnsi"/>
                  <w:sz w:val="22"/>
                  <w:szCs w:val="22"/>
                </w:rPr>
                <w:tab/>
              </w:r>
              <w:hyperlink w:anchor="_1.2._Éléments_servant" w:history="1">
                <w:r>
                  <w:rPr>
                    <w:rStyle w:val="Lienhypertexte"/>
                    <w:rFonts w:asciiTheme="minorHAnsi" w:hAnsiTheme="minorHAnsi" w:cstheme="minorHAnsi"/>
                    <w:sz w:val="22"/>
                    <w:szCs w:val="22"/>
                  </w:rPr>
                  <w:t>Lien</w:t>
                </w:r>
              </w:hyperlink>
            </w:p>
            <w:p w:rsidR="00F04EEF" w:rsidRDefault="0099351E">
              <w:pPr>
                <w:pStyle w:val="Paragraphedeliste"/>
                <w:numPr>
                  <w:ilvl w:val="0"/>
                  <w:numId w:val="216"/>
                </w:numPr>
                <w:ind w:left="360"/>
                <w:jc w:val="both"/>
                <w:rPr>
                  <w:rFonts w:asciiTheme="minorHAnsi" w:hAnsiTheme="minorHAnsi" w:cstheme="minorHAnsi"/>
                  <w:sz w:val="22"/>
                  <w:szCs w:val="22"/>
                </w:rPr>
              </w:pPr>
              <w:r>
                <w:rPr>
                  <w:rFonts w:asciiTheme="minorHAnsi" w:hAnsiTheme="minorHAnsi" w:cstheme="minorHAnsi"/>
                  <w:sz w:val="22"/>
                  <w:szCs w:val="22"/>
                </w:rPr>
                <w:t xml:space="preserve">point 1.5. Augmentation de la population scolaire en cours d’année.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5._Augmentation_de" w:history="1">
                <w:r>
                  <w:rPr>
                    <w:rStyle w:val="Lienhypertexte"/>
                    <w:rFonts w:asciiTheme="minorHAnsi" w:hAnsiTheme="minorHAnsi" w:cstheme="minorHAnsi"/>
                    <w:sz w:val="22"/>
                    <w:szCs w:val="22"/>
                  </w:rPr>
                  <w:t>Lien </w:t>
                </w:r>
              </w:hyperlink>
            </w:p>
            <w:p w:rsidR="00F04EEF" w:rsidRDefault="0099351E">
              <w:pPr>
                <w:pStyle w:val="Paragraphedeliste"/>
                <w:numPr>
                  <w:ilvl w:val="0"/>
                  <w:numId w:val="216"/>
                </w:numPr>
                <w:ind w:left="360"/>
                <w:jc w:val="both"/>
                <w:rPr>
                  <w:rFonts w:asciiTheme="majorHAnsi" w:hAnsiTheme="majorHAnsi"/>
                  <w:sz w:val="22"/>
                  <w:szCs w:val="22"/>
                </w:rPr>
              </w:pPr>
              <w:r>
                <w:rPr>
                  <w:rFonts w:asciiTheme="minorHAnsi" w:hAnsiTheme="minorHAnsi" w:cstheme="minorHAnsi"/>
                  <w:sz w:val="22"/>
                  <w:szCs w:val="22"/>
                </w:rPr>
                <w:t>point 2.3. Fonctions de recrutement</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3.3._Fonctions_de" w:history="1">
                <w:r>
                  <w:rPr>
                    <w:rStyle w:val="Lienhypertexte"/>
                    <w:rFonts w:asciiTheme="majorHAnsi" w:hAnsiTheme="majorHAnsi" w:cs="Arial"/>
                    <w:sz w:val="22"/>
                    <w:szCs w:val="22"/>
                  </w:rPr>
                  <w:t>Lien</w:t>
                </w:r>
              </w:hyperlink>
            </w:p>
            <w:p w:rsidR="00F04EEF" w:rsidRDefault="00F04EEF">
              <w:pPr>
                <w:jc w:val="both"/>
                <w:rPr>
                  <w:b/>
                </w:rPr>
              </w:pPr>
            </w:p>
            <w:p w:rsidR="00F04EEF" w:rsidRDefault="0099351E">
              <w:pPr>
                <w:jc w:val="both"/>
                <w:rPr>
                  <w:b/>
                </w:rPr>
              </w:pPr>
              <w:r>
                <w:rPr>
                  <w:b/>
                </w:rPr>
                <w:t>Chapitre 6 : Personnels administratif et auxiliaire d’éducation :</w:t>
              </w:r>
            </w:p>
            <w:p w:rsidR="00F04EEF" w:rsidRDefault="0099351E">
              <w:pPr>
                <w:pStyle w:val="Paragraphedeliste"/>
                <w:numPr>
                  <w:ilvl w:val="0"/>
                  <w:numId w:val="254"/>
                </w:numPr>
                <w:ind w:left="284" w:hanging="284"/>
                <w:jc w:val="both"/>
                <w:rPr>
                  <w:rFonts w:asciiTheme="minorHAnsi" w:hAnsiTheme="minorHAnsi" w:cstheme="minorHAnsi"/>
                  <w:sz w:val="22"/>
                  <w:szCs w:val="22"/>
                </w:rPr>
              </w:pPr>
              <w:r>
                <w:rPr>
                  <w:rFonts w:asciiTheme="minorHAnsi" w:hAnsiTheme="minorHAnsi" w:cstheme="minorHAnsi"/>
                  <w:sz w:val="22"/>
                  <w:szCs w:val="22"/>
                </w:rPr>
                <w:t>point 1 Capital périodes-Principes généraux</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_Capital-périodes_–" w:history="1">
                <w:r>
                  <w:rPr>
                    <w:rStyle w:val="Lienhypertexte"/>
                    <w:rFonts w:asciiTheme="minorHAnsi" w:hAnsiTheme="minorHAnsi" w:cstheme="minorHAnsi"/>
                    <w:sz w:val="22"/>
                    <w:szCs w:val="22"/>
                  </w:rPr>
                  <w:t>Lien</w:t>
                </w:r>
              </w:hyperlink>
            </w:p>
            <w:p w:rsidR="00F04EEF" w:rsidRDefault="0099351E">
              <w:pPr>
                <w:pStyle w:val="Paragraphedeliste"/>
                <w:numPr>
                  <w:ilvl w:val="0"/>
                  <w:numId w:val="254"/>
                </w:numPr>
                <w:ind w:left="284" w:hanging="284"/>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 xml:space="preserve">point 1.4 Augmentation </w:t>
              </w:r>
              <w:proofErr w:type="gramStart"/>
              <w:r>
                <w:rPr>
                  <w:rFonts w:asciiTheme="minorHAnsi" w:hAnsiTheme="minorHAnsi" w:cstheme="minorHAnsi"/>
                  <w:sz w:val="22"/>
                  <w:szCs w:val="22"/>
                </w:rPr>
                <w:t>du capital périodes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4._Augmentation_du" w:history="1">
                <w:r>
                  <w:rPr>
                    <w:rStyle w:val="Lienhypertexte"/>
                    <w:rFonts w:asciiTheme="minorHAnsi" w:hAnsiTheme="minorHAnsi" w:cstheme="minorHAnsi"/>
                    <w:sz w:val="22"/>
                    <w:szCs w:val="22"/>
                  </w:rPr>
                  <w:t>Lien</w:t>
                </w:r>
                <w:proofErr w:type="gramEnd"/>
              </w:hyperlink>
            </w:p>
            <w:p w:rsidR="00F04EEF" w:rsidRDefault="0099351E">
              <w:pPr>
                <w:pStyle w:val="Paragraphedeliste"/>
                <w:numPr>
                  <w:ilvl w:val="0"/>
                  <w:numId w:val="254"/>
                </w:numPr>
                <w:ind w:left="284" w:hanging="284"/>
                <w:jc w:val="both"/>
                <w:rPr>
                  <w:rFonts w:asciiTheme="majorHAnsi" w:hAnsiTheme="majorHAnsi"/>
                  <w:sz w:val="22"/>
                  <w:szCs w:val="22"/>
                </w:rPr>
              </w:pPr>
              <w:r>
                <w:rPr>
                  <w:rFonts w:asciiTheme="minorHAnsi" w:hAnsiTheme="minorHAnsi" w:cstheme="minorHAnsi"/>
                  <w:sz w:val="22"/>
                  <w:szCs w:val="22"/>
                </w:rPr>
                <w:t>point 5. Prestations durant les congés</w:t>
              </w:r>
              <w:r>
                <w:rPr>
                  <w:rFonts w:asciiTheme="minorHAnsi" w:hAnsiTheme="minorHAnsi" w:cstheme="min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5._Prestations_durant" w:history="1">
                <w:r>
                  <w:rPr>
                    <w:rStyle w:val="Lienhypertexte"/>
                    <w:rFonts w:asciiTheme="majorHAnsi" w:hAnsiTheme="majorHAnsi" w:cs="Arial"/>
                    <w:sz w:val="22"/>
                    <w:szCs w:val="22"/>
                  </w:rPr>
                  <w:t>Lien</w:t>
                </w:r>
              </w:hyperlink>
            </w:p>
            <w:p w:rsidR="00F04EEF" w:rsidRDefault="00F04EEF">
              <w:pPr>
                <w:jc w:val="both"/>
                <w:rPr>
                  <w:b/>
                </w:rPr>
              </w:pPr>
            </w:p>
            <w:p w:rsidR="00F04EEF" w:rsidRDefault="0099351E">
              <w:pPr>
                <w:jc w:val="both"/>
                <w:rPr>
                  <w:b/>
                </w:rPr>
              </w:pPr>
              <w:r>
                <w:rPr>
                  <w:b/>
                </w:rPr>
                <w:t>Chapitre 7 : Personnel paramédical, social et psychologique fonctionnant pendant la journée scolaire :</w:t>
              </w:r>
            </w:p>
            <w:p w:rsidR="00F04EEF" w:rsidRDefault="0099351E">
              <w:pPr>
                <w:pStyle w:val="Paragraphedeliste"/>
                <w:numPr>
                  <w:ilvl w:val="0"/>
                  <w:numId w:val="299"/>
                </w:numPr>
                <w:ind w:left="426"/>
                <w:jc w:val="both"/>
                <w:rPr>
                  <w:rFonts w:asciiTheme="minorHAnsi" w:hAnsiTheme="minorHAnsi" w:cstheme="minorHAnsi"/>
                  <w:sz w:val="22"/>
                  <w:szCs w:val="22"/>
                </w:rPr>
              </w:pPr>
              <w:r>
                <w:rPr>
                  <w:rFonts w:asciiTheme="minorHAnsi" w:hAnsiTheme="minorHAnsi" w:cstheme="minorHAnsi"/>
                  <w:sz w:val="22"/>
                  <w:szCs w:val="22"/>
                </w:rPr>
                <w:t xml:space="preserve">point 2.3 Calcul </w:t>
              </w:r>
              <w:proofErr w:type="gramStart"/>
              <w:r>
                <w:rPr>
                  <w:rFonts w:asciiTheme="minorHAnsi" w:hAnsiTheme="minorHAnsi" w:cstheme="minorHAnsi"/>
                  <w:sz w:val="22"/>
                  <w:szCs w:val="22"/>
                </w:rPr>
                <w:t>du capital périodes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3._Plages-horaire" w:history="1"/>
              <w:r>
                <w:rPr>
                  <w:rFonts w:asciiTheme="minorHAnsi" w:hAnsiTheme="minorHAnsi" w:cstheme="minorHAnsi"/>
                  <w:sz w:val="22"/>
                  <w:szCs w:val="22"/>
                </w:rPr>
                <w:tab/>
              </w:r>
              <w:r>
                <w:rPr>
                  <w:rFonts w:asciiTheme="minorHAnsi" w:hAnsiTheme="minorHAnsi" w:cstheme="minorHAnsi"/>
                  <w:sz w:val="22"/>
                  <w:szCs w:val="22"/>
                </w:rPr>
                <w:tab/>
              </w:r>
              <w:hyperlink w:anchor="_2.3._Calcul_du" w:history="1">
                <w:r>
                  <w:rPr>
                    <w:rStyle w:val="Lienhypertexte"/>
                    <w:rFonts w:asciiTheme="minorHAnsi" w:hAnsiTheme="minorHAnsi" w:cstheme="minorHAnsi"/>
                    <w:sz w:val="22"/>
                    <w:szCs w:val="22"/>
                  </w:rPr>
                  <w:t>Lien</w:t>
                </w:r>
                <w:proofErr w:type="gramEnd"/>
              </w:hyperlink>
              <w:r>
                <w:rPr>
                  <w:rFonts w:asciiTheme="minorHAnsi" w:hAnsiTheme="minorHAnsi" w:cstheme="minorHAnsi"/>
                  <w:sz w:val="22"/>
                  <w:szCs w:val="22"/>
                </w:rPr>
                <w:tab/>
              </w:r>
            </w:p>
            <w:p w:rsidR="00F04EEF" w:rsidRDefault="0099351E">
              <w:pPr>
                <w:pStyle w:val="Paragraphedeliste"/>
                <w:numPr>
                  <w:ilvl w:val="0"/>
                  <w:numId w:val="299"/>
                </w:numPr>
                <w:ind w:left="426"/>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2.5. Augmentation du capital-périodes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2.5._Augmentation_du" w:history="1">
                <w:r>
                  <w:rPr>
                    <w:rStyle w:val="Lienhypertexte"/>
                    <w:rFonts w:asciiTheme="minorHAnsi" w:hAnsiTheme="minorHAnsi" w:cstheme="minorHAnsi"/>
                    <w:sz w:val="22"/>
                    <w:szCs w:val="22"/>
                  </w:rPr>
                  <w:t>Lien</w:t>
                </w:r>
              </w:hyperlink>
            </w:p>
            <w:p w:rsidR="00F04EEF" w:rsidRDefault="0099351E">
              <w:pPr>
                <w:pStyle w:val="Paragraphedeliste"/>
                <w:numPr>
                  <w:ilvl w:val="0"/>
                  <w:numId w:val="299"/>
                </w:numPr>
                <w:ind w:left="426"/>
                <w:jc w:val="both"/>
                <w:rPr>
                  <w:rFonts w:asciiTheme="majorHAnsi" w:hAnsiTheme="majorHAnsi"/>
                  <w:sz w:val="22"/>
                  <w:szCs w:val="22"/>
                </w:rPr>
              </w:pPr>
              <w:r>
                <w:rPr>
                  <w:rFonts w:asciiTheme="minorHAnsi" w:hAnsiTheme="minorHAnsi" w:cstheme="minorHAnsi"/>
                  <w:sz w:val="22"/>
                  <w:szCs w:val="22"/>
                </w:rPr>
                <w:t>point 7. Prestations durant les congés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7._Prestations_durant" w:history="1">
                <w:r>
                  <w:rPr>
                    <w:rStyle w:val="Lienhypertexte"/>
                    <w:rFonts w:asciiTheme="majorHAnsi" w:hAnsiTheme="majorHAnsi" w:cs="Arial"/>
                    <w:sz w:val="22"/>
                  </w:rPr>
                  <w:t>Lien</w:t>
                </w:r>
              </w:hyperlink>
            </w:p>
            <w:p w:rsidR="00F04EEF" w:rsidRDefault="00F04EEF">
              <w:pPr>
                <w:jc w:val="both"/>
                <w:rPr>
                  <w:b/>
                </w:rPr>
              </w:pPr>
            </w:p>
            <w:p w:rsidR="00F04EEF" w:rsidRDefault="0099351E">
              <w:pPr>
                <w:jc w:val="both"/>
                <w:rPr>
                  <w:b/>
                </w:rPr>
              </w:pPr>
              <w:r>
                <w:rPr>
                  <w:b/>
                </w:rPr>
                <w:t>Chapitre 8 : Capitaux périodes. Transfert et affectation particulière</w:t>
              </w:r>
            </w:p>
            <w:p w:rsidR="00F04EEF" w:rsidRDefault="0099351E">
              <w:pPr>
                <w:pStyle w:val="Paragraphedeliste"/>
                <w:numPr>
                  <w:ilvl w:val="0"/>
                  <w:numId w:val="340"/>
                </w:numPr>
                <w:jc w:val="both"/>
                <w:rPr>
                  <w:rFonts w:asciiTheme="majorHAnsi" w:hAnsiTheme="majorHAnsi"/>
                  <w:sz w:val="22"/>
                </w:rPr>
              </w:pPr>
              <w:r>
                <w:rPr>
                  <w:rFonts w:asciiTheme="minorHAnsi" w:hAnsiTheme="minorHAnsi" w:cstheme="minorHAnsi"/>
                  <w:sz w:val="22"/>
                </w:rPr>
                <w:t>point 1 Rappel de la réglementation</w:t>
              </w:r>
              <w:r>
                <w:rPr>
                  <w:rFonts w:asciiTheme="minorHAnsi" w:hAnsiTheme="minorHAnsi" w:cstheme="min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1._Rappel_de" w:history="1">
                <w:r>
                  <w:rPr>
                    <w:rStyle w:val="Lienhypertexte"/>
                    <w:rFonts w:asciiTheme="majorHAnsi" w:hAnsiTheme="majorHAnsi" w:cs="Arial"/>
                    <w:sz w:val="22"/>
                    <w:szCs w:val="22"/>
                  </w:rPr>
                  <w:t>Lien</w:t>
                </w:r>
              </w:hyperlink>
              <w:r>
                <w:rPr>
                  <w:rFonts w:asciiTheme="majorHAnsi" w:hAnsiTheme="majorHAnsi"/>
                  <w:sz w:val="22"/>
                </w:rPr>
                <w:tab/>
              </w:r>
              <w:r>
                <w:rPr>
                  <w:rFonts w:asciiTheme="majorHAnsi" w:hAnsiTheme="majorHAnsi"/>
                  <w:sz w:val="22"/>
                </w:rPr>
                <w:tab/>
              </w:r>
              <w:hyperlink w:anchor="_3._Plages-horaire" w:history="1"/>
            </w:p>
            <w:p w:rsidR="00F04EEF" w:rsidRDefault="0099351E">
              <w:pPr>
                <w:jc w:val="both"/>
                <w:rPr>
                  <w:b/>
                </w:rPr>
              </w:pPr>
              <w:r>
                <w:rPr>
                  <w:b/>
                </w:rPr>
                <w:t xml:space="preserve">Chapitre 9 : Du Conseil de classe, du Plan Individuel d’Apprentissage (P.I.A.) et des procédures de recours </w:t>
              </w:r>
            </w:p>
            <w:p w:rsidR="00F04EEF" w:rsidRDefault="0099351E">
              <w:pPr>
                <w:pStyle w:val="Paragraphedeliste"/>
                <w:numPr>
                  <w:ilvl w:val="0"/>
                  <w:numId w:val="340"/>
                </w:numPr>
                <w:jc w:val="both"/>
                <w:rPr>
                  <w:rFonts w:asciiTheme="minorHAnsi" w:hAnsiTheme="minorHAnsi" w:cstheme="minorHAnsi"/>
                </w:rPr>
              </w:pPr>
              <w:r>
                <w:rPr>
                  <w:rFonts w:asciiTheme="minorHAnsi" w:hAnsiTheme="minorHAnsi" w:cstheme="minorHAnsi"/>
                  <w:sz w:val="22"/>
                </w:rPr>
                <w:t>Mise à jour des bases légales</w:t>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chapitre_9_:" w:history="1">
                <w:r>
                  <w:rPr>
                    <w:rStyle w:val="Lienhypertexte"/>
                    <w:rFonts w:asciiTheme="minorHAnsi" w:hAnsiTheme="minorHAnsi" w:cstheme="minorHAnsi"/>
                    <w:sz w:val="22"/>
                  </w:rPr>
                  <w:t>Lien</w:t>
                </w:r>
              </w:hyperlink>
              <w:r>
                <w:rPr>
                  <w:rFonts w:asciiTheme="minorHAnsi" w:hAnsiTheme="minorHAnsi" w:cstheme="minorHAnsi"/>
                </w:rPr>
                <w:tab/>
              </w:r>
            </w:p>
            <w:p w:rsidR="00F04EEF" w:rsidRDefault="0099351E">
              <w:pPr>
                <w:pStyle w:val="Paragraphedeliste"/>
                <w:numPr>
                  <w:ilvl w:val="0"/>
                  <w:numId w:val="340"/>
                </w:numPr>
                <w:jc w:val="both"/>
                <w:rPr>
                  <w:rFonts w:asciiTheme="minorHAnsi" w:hAnsiTheme="minorHAnsi" w:cstheme="minorHAnsi"/>
                  <w:sz w:val="22"/>
                </w:rPr>
              </w:pPr>
              <w:r>
                <w:rPr>
                  <w:rFonts w:asciiTheme="minorHAnsi" w:hAnsiTheme="minorHAnsi" w:cstheme="minorHAnsi"/>
                  <w:sz w:val="22"/>
                </w:rPr>
                <w:t>point 1.3. Le rôle du directeur de classe</w:t>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r>
              <w:hyperlink w:anchor="_1.3._Le_rôle" w:history="1">
                <w:r>
                  <w:rPr>
                    <w:rStyle w:val="Lienhypertexte"/>
                    <w:rFonts w:asciiTheme="minorHAnsi" w:hAnsiTheme="minorHAnsi" w:cstheme="minorHAnsi"/>
                    <w:sz w:val="22"/>
                  </w:rPr>
                  <w:t>Lien</w:t>
                </w:r>
              </w:hyperlink>
            </w:p>
            <w:p w:rsidR="00F04EEF" w:rsidRDefault="0099351E">
              <w:pPr>
                <w:pStyle w:val="Paragraphedeliste"/>
                <w:numPr>
                  <w:ilvl w:val="0"/>
                  <w:numId w:val="340"/>
                </w:numPr>
                <w:jc w:val="both"/>
                <w:rPr>
                  <w:rFonts w:asciiTheme="majorHAnsi" w:hAnsiTheme="majorHAnsi"/>
                  <w:sz w:val="22"/>
                </w:rPr>
              </w:pPr>
              <w:r>
                <w:rPr>
                  <w:rFonts w:asciiTheme="minorHAnsi" w:hAnsiTheme="minorHAnsi" w:cstheme="minorHAnsi"/>
                  <w:sz w:val="22"/>
                </w:rPr>
                <w:t>point 1.5 La gestion du P.I.A. des élèves</w:t>
              </w:r>
              <w:r>
                <w:rPr>
                  <w:rFonts w:asciiTheme="minorHAnsi" w:hAnsiTheme="minorHAnsi" w:cstheme="min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1.5._La_gestion" w:history="1">
                <w:r>
                  <w:rPr>
                    <w:rStyle w:val="Lienhypertexte"/>
                    <w:rFonts w:asciiTheme="majorHAnsi" w:hAnsiTheme="majorHAnsi" w:cs="Arial"/>
                    <w:sz w:val="22"/>
                  </w:rPr>
                  <w:t>Lien</w:t>
                </w:r>
              </w:hyperlink>
            </w:p>
            <w:p w:rsidR="00F04EEF" w:rsidRDefault="00F04EEF">
              <w:pPr>
                <w:jc w:val="both"/>
                <w:rPr>
                  <w:b/>
                </w:rPr>
              </w:pPr>
            </w:p>
            <w:p w:rsidR="00F04EEF" w:rsidRDefault="0099351E">
              <w:pPr>
                <w:jc w:val="both"/>
                <w:rPr>
                  <w:b/>
                </w:rPr>
              </w:pPr>
              <w:r>
                <w:rPr>
                  <w:b/>
                </w:rPr>
                <w:t>Chapitre 10 : Personnel affecté dans le cadre des internats et homes d’accueil organisés par la Fédération Wallonie-Bruxelles</w:t>
              </w:r>
            </w:p>
            <w:p w:rsidR="00F04EEF" w:rsidRDefault="0099351E">
              <w:pPr>
                <w:pStyle w:val="Paragraphedeliste"/>
                <w:numPr>
                  <w:ilvl w:val="0"/>
                  <w:numId w:val="341"/>
                </w:numPr>
                <w:jc w:val="both"/>
                <w:rPr>
                  <w:rFonts w:asciiTheme="majorHAnsi" w:hAnsiTheme="majorHAnsi"/>
                  <w:sz w:val="22"/>
                </w:rPr>
              </w:pPr>
              <w:r>
                <w:rPr>
                  <w:rFonts w:asciiTheme="minorHAnsi" w:hAnsiTheme="minorHAnsi" w:cstheme="minorHAnsi"/>
                  <w:sz w:val="22"/>
                </w:rPr>
                <w:t>Mise à jour des bases légales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Chapitre_10_:" w:history="1">
                <w:r>
                  <w:rPr>
                    <w:rStyle w:val="Lienhypertexte"/>
                    <w:rFonts w:asciiTheme="majorHAnsi" w:hAnsiTheme="majorHAnsi" w:cs="Arial"/>
                    <w:sz w:val="22"/>
                  </w:rPr>
                  <w:t>Lien</w:t>
                </w:r>
              </w:hyperlink>
            </w:p>
            <w:p w:rsidR="00F04EEF" w:rsidRDefault="00F04EEF">
              <w:pPr>
                <w:jc w:val="both"/>
                <w:rPr>
                  <w:b/>
                  <w:sz w:val="24"/>
                </w:rPr>
              </w:pPr>
            </w:p>
            <w:p w:rsidR="00F04EEF" w:rsidRDefault="0099351E">
              <w:pPr>
                <w:jc w:val="both"/>
                <w:rPr>
                  <w:b/>
                </w:rPr>
              </w:pPr>
              <w:r>
                <w:rPr>
                  <w:b/>
                </w:rPr>
                <w:t>Chapitre 11 : Homes d’accueil permanent organisés par la Fédération Wallonie-Bruxelles </w:t>
              </w:r>
            </w:p>
            <w:p w:rsidR="00F04EEF" w:rsidRDefault="0099351E">
              <w:pPr>
                <w:pStyle w:val="Paragraphedeliste"/>
                <w:numPr>
                  <w:ilvl w:val="0"/>
                  <w:numId w:val="368"/>
                </w:numPr>
                <w:jc w:val="both"/>
                <w:rPr>
                  <w:rFonts w:asciiTheme="majorHAnsi" w:hAnsiTheme="majorHAnsi"/>
                  <w:sz w:val="22"/>
                </w:rPr>
              </w:pPr>
              <w:r>
                <w:rPr>
                  <w:rFonts w:asciiTheme="minorHAnsi" w:hAnsiTheme="minorHAnsi" w:cstheme="minorHAnsi"/>
                  <w:sz w:val="22"/>
                </w:rPr>
                <w:t>Mise à jour des bases légales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Chapitre_11_:" w:history="1">
                <w:r>
                  <w:rPr>
                    <w:rStyle w:val="Lienhypertexte"/>
                    <w:rFonts w:asciiTheme="majorHAnsi" w:hAnsiTheme="majorHAnsi" w:cs="Arial"/>
                    <w:sz w:val="22"/>
                  </w:rPr>
                  <w:t>Lien</w:t>
                </w:r>
              </w:hyperlink>
            </w:p>
            <w:p w:rsidR="00F04EEF" w:rsidRDefault="0099351E">
              <w:pPr>
                <w:pStyle w:val="Paragraphedeliste"/>
                <w:numPr>
                  <w:ilvl w:val="0"/>
                  <w:numId w:val="368"/>
                </w:numPr>
                <w:jc w:val="both"/>
              </w:pPr>
              <w:r>
                <w:rPr>
                  <w:rFonts w:asciiTheme="minorHAnsi" w:hAnsiTheme="minorHAnsi" w:cstheme="minorHAnsi"/>
                  <w:sz w:val="22"/>
                </w:rPr>
                <w:t>point 1. Ouverture des homes d’accueil permanent.</w:t>
              </w:r>
              <w:r>
                <w:rPr>
                  <w:rFonts w:asciiTheme="majorHAnsi" w:hAnsiTheme="majorHAnsi"/>
                  <w:sz w:val="22"/>
                </w:rPr>
                <w:t xml:space="preserve"> </w:t>
              </w:r>
              <w:r>
                <w:rPr>
                  <w:rFonts w:asciiTheme="majorHAnsi" w:hAnsiTheme="majorHAnsi"/>
                  <w:sz w:val="22"/>
                </w:rPr>
                <w:tab/>
              </w:r>
              <w:r>
                <w:rPr>
                  <w:rFonts w:asciiTheme="majorHAnsi" w:hAnsiTheme="majorHAnsi"/>
                  <w:sz w:val="22"/>
                </w:rPr>
                <w:tab/>
                <w:t xml:space="preserve"> </w:t>
              </w:r>
              <w:r>
                <w:rPr>
                  <w:rFonts w:asciiTheme="majorHAnsi" w:hAnsiTheme="majorHAnsi"/>
                  <w:sz w:val="22"/>
                </w:rPr>
                <w:tab/>
              </w:r>
              <w:r>
                <w:rPr>
                  <w:rFonts w:asciiTheme="majorHAnsi" w:hAnsiTheme="majorHAnsi"/>
                  <w:sz w:val="22"/>
                </w:rPr>
                <w:tab/>
              </w:r>
              <w:r>
                <w:rPr>
                  <w:rFonts w:asciiTheme="majorHAnsi" w:hAnsiTheme="majorHAnsi"/>
                  <w:sz w:val="22"/>
                </w:rPr>
                <w:tab/>
              </w:r>
              <w:hyperlink w:anchor="_1._Ouverture_des" w:history="1">
                <w:r>
                  <w:rPr>
                    <w:rStyle w:val="Lienhypertexte"/>
                    <w:rFonts w:asciiTheme="majorHAnsi" w:hAnsiTheme="majorHAnsi" w:cs="Arial"/>
                    <w:sz w:val="22"/>
                  </w:rPr>
                  <w:t>Lien</w:t>
                </w:r>
              </w:hyperlink>
            </w:p>
            <w:p w:rsidR="00F04EEF" w:rsidRDefault="00F04EEF">
              <w:pPr>
                <w:jc w:val="both"/>
              </w:pPr>
            </w:p>
            <w:p w:rsidR="00F04EEF" w:rsidRDefault="0099351E">
              <w:pPr>
                <w:jc w:val="both"/>
                <w:rPr>
                  <w:b/>
                </w:rPr>
              </w:pPr>
              <w:r>
                <w:rPr>
                  <w:b/>
                </w:rPr>
                <w:t>Chapitre 12 Formalités administratives pour les élèves fréquentant l’enseignement spécialisé de type 5</w:t>
              </w:r>
            </w:p>
            <w:p w:rsidR="00F04EEF" w:rsidRDefault="0099351E">
              <w:pPr>
                <w:pStyle w:val="Paragraphedeliste"/>
                <w:numPr>
                  <w:ilvl w:val="0"/>
                  <w:numId w:val="369"/>
                </w:numPr>
                <w:jc w:val="both"/>
                <w:rPr>
                  <w:rFonts w:asciiTheme="majorHAnsi" w:hAnsiTheme="majorHAnsi"/>
                  <w:sz w:val="22"/>
                </w:rPr>
              </w:pPr>
              <w:r>
                <w:rPr>
                  <w:rFonts w:asciiTheme="majorHAnsi" w:hAnsiTheme="majorHAnsi"/>
                  <w:sz w:val="22"/>
                </w:rPr>
                <w:t>Mise à jour des bases légales</w:t>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r>
                <w:rPr>
                  <w:rFonts w:asciiTheme="majorHAnsi" w:hAnsiTheme="majorHAnsi"/>
                  <w:sz w:val="22"/>
                </w:rPr>
                <w:tab/>
              </w:r>
              <w:hyperlink w:anchor="_Chapitre_12_:_1" w:history="1">
                <w:r>
                  <w:rPr>
                    <w:rStyle w:val="Lienhypertexte"/>
                    <w:rFonts w:asciiTheme="majorHAnsi" w:hAnsiTheme="majorHAnsi" w:cs="Arial"/>
                    <w:sz w:val="22"/>
                  </w:rPr>
                  <w:t>Lien</w:t>
                </w:r>
              </w:hyperlink>
            </w:p>
            <w:p w:rsidR="00F04EEF" w:rsidRDefault="00F04EEF">
              <w:pPr>
                <w:jc w:val="both"/>
              </w:pPr>
            </w:p>
            <w:p w:rsidR="00F04EEF" w:rsidRDefault="0099351E">
              <w:pPr>
                <w:jc w:val="both"/>
                <w:rPr>
                  <w:b/>
                </w:rPr>
              </w:pPr>
              <w:r>
                <w:rPr>
                  <w:b/>
                </w:rPr>
                <w:t>Chapitre 13 : Intégrations </w:t>
              </w:r>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 xml:space="preserve">Mise à jour des bases légales. </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Chapitre_13_:"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 xml:space="preserve">point 2 </w:t>
              </w:r>
              <w:r>
                <w:rPr>
                  <w:rFonts w:asciiTheme="minorHAnsi" w:hAnsiTheme="minorHAnsi" w:cstheme="minorHAnsi"/>
                  <w:sz w:val="22"/>
                  <w:szCs w:val="22"/>
                </w:rPr>
                <w:t>Quels sont les élèves concernés par l’intégration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2._Quels_sont"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3 Quels sont les différents types d’intégration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3._Quels_sont_1"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lang w:val="fr-FR"/>
                </w:rPr>
                <w:t xml:space="preserve">point 4 Qui </w:t>
              </w:r>
              <w:proofErr w:type="gramStart"/>
              <w:r>
                <w:rPr>
                  <w:rFonts w:asciiTheme="minorHAnsi" w:hAnsiTheme="minorHAnsi" w:cstheme="minorHAnsi"/>
                  <w:sz w:val="22"/>
                  <w:szCs w:val="22"/>
                  <w:lang w:val="fr-FR"/>
                </w:rPr>
                <w:t>peut</w:t>
              </w:r>
              <w:proofErr w:type="gramEnd"/>
              <w:r>
                <w:rPr>
                  <w:rFonts w:asciiTheme="minorHAnsi" w:hAnsiTheme="minorHAnsi" w:cstheme="minorHAnsi"/>
                  <w:sz w:val="22"/>
                  <w:szCs w:val="22"/>
                  <w:lang w:val="fr-FR"/>
                </w:rPr>
                <w:t xml:space="preserve"> introduire une proposition d’intégration ?</w:t>
              </w:r>
              <w:r>
                <w:rPr>
                  <w:rFonts w:asciiTheme="minorHAnsi" w:hAnsiTheme="minorHAnsi" w:cstheme="minorHAnsi"/>
                  <w:sz w:val="22"/>
                  <w:szCs w:val="22"/>
                  <w:lang w:val="fr-FR"/>
                </w:rPr>
                <w:tab/>
              </w:r>
              <w:r>
                <w:rPr>
                  <w:rFonts w:asciiTheme="minorHAnsi" w:hAnsiTheme="minorHAnsi" w:cstheme="minorHAnsi"/>
                  <w:sz w:val="22"/>
                  <w:szCs w:val="22"/>
                  <w:lang w:val="fr-FR"/>
                </w:rPr>
                <w:tab/>
              </w:r>
              <w:r>
                <w:rPr>
                  <w:rFonts w:asciiTheme="minorHAnsi" w:hAnsiTheme="minorHAnsi" w:cstheme="minorHAnsi"/>
                  <w:sz w:val="22"/>
                  <w:szCs w:val="22"/>
                  <w:lang w:val="fr-FR"/>
                </w:rPr>
                <w:tab/>
              </w:r>
              <w:r>
                <w:rPr>
                  <w:rFonts w:asciiTheme="minorHAnsi" w:hAnsiTheme="minorHAnsi" w:cstheme="minorHAnsi"/>
                  <w:sz w:val="22"/>
                  <w:szCs w:val="22"/>
                  <w:lang w:val="fr-FR"/>
                </w:rPr>
                <w:tab/>
              </w:r>
              <w:r>
                <w:rPr>
                  <w:rFonts w:asciiTheme="minorHAnsi" w:hAnsiTheme="minorHAnsi" w:cstheme="minorHAnsi"/>
                  <w:sz w:val="22"/>
                  <w:szCs w:val="22"/>
                  <w:lang w:val="fr-FR"/>
                </w:rPr>
                <w:tab/>
              </w:r>
              <w:hyperlink w:anchor="_4._Qui_peut"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5. Quelle est la procédure à suivre pour débuter une intégration ? </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5._Quelle_est" w:history="1">
                <w:r>
                  <w:rPr>
                    <w:rStyle w:val="Lienhypertexte"/>
                    <w:rFonts w:asciiTheme="minorHAnsi" w:hAnsiTheme="minorHAnsi" w:cstheme="minorHAnsi"/>
                    <w:sz w:val="22"/>
                    <w:szCs w:val="22"/>
                  </w:rPr>
                  <w:t>Lien</w:t>
                </w:r>
              </w:hyperlink>
              <w:r>
                <w:rPr>
                  <w:rStyle w:val="Lienhypertexte"/>
                  <w:rFonts w:asciiTheme="minorHAnsi" w:hAnsiTheme="minorHAnsi" w:cstheme="minorHAnsi"/>
                  <w:color w:val="auto"/>
                  <w:sz w:val="22"/>
                  <w:szCs w:val="22"/>
                  <w:u w:val="none"/>
                </w:rPr>
                <w:tab/>
              </w:r>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7.Récapitulatif des modalités de fonctionnement (suivant le type d’intégration)</w:t>
              </w:r>
              <w:r>
                <w:rPr>
                  <w:rStyle w:val="Lienhypertexte"/>
                  <w:rFonts w:asciiTheme="minorHAnsi" w:hAnsiTheme="minorHAnsi" w:cstheme="minorHAnsi"/>
                  <w:color w:val="auto"/>
                  <w:sz w:val="22"/>
                  <w:szCs w:val="22"/>
                  <w:u w:val="none"/>
                </w:rPr>
                <w:tab/>
              </w:r>
              <w:hyperlink w:anchor="_7._Récapitulatif_des_1"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 xml:space="preserve">point 8. Foire aux questions </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t xml:space="preserve"> </w:t>
              </w:r>
              <w:r>
                <w:rPr>
                  <w:rStyle w:val="Lienhypertexte"/>
                  <w:rFonts w:asciiTheme="minorHAnsi" w:hAnsiTheme="minorHAnsi" w:cstheme="minorHAnsi"/>
                  <w:color w:val="auto"/>
                  <w:sz w:val="22"/>
                  <w:szCs w:val="22"/>
                  <w:u w:val="none"/>
                </w:rPr>
                <w:tab/>
              </w:r>
              <w:hyperlink w:anchor="_7._Récapitulatif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 xml:space="preserve">point 10. Mémo administratif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1._Mémo_administratif"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10.1. Signalisation des élèves</w:t>
              </w:r>
              <w:r>
                <w:rPr>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0.1._Signalisation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10.2 Dérogations au capital- périodes attribué (dans les limites des disponibilités budgétaires disponibles)</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0.2._Dérogations_au"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10.3 Autres dérogations</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0.3._Autres_dérogation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Signalement des intégrations des élèves à besoins spécifiques via le formulaire électronique</w:t>
              </w:r>
              <w:hyperlink w:anchor="_13._Signalement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16. Annexe 2c : Protocole d’intégration (3ème partie du protocole d’intégration)</w:t>
              </w:r>
              <w:r>
                <w:rPr>
                  <w:rFonts w:asciiTheme="minorHAnsi" w:hAnsiTheme="minorHAnsi" w:cstheme="minorHAnsi"/>
                  <w:sz w:val="22"/>
                  <w:szCs w:val="22"/>
                </w:rPr>
                <w:tab/>
              </w:r>
              <w:hyperlink w:anchor="_Annexe_2_:_3"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Fonts w:asciiTheme="minorHAnsi" w:hAnsiTheme="minorHAnsi" w:cstheme="minorHAnsi"/>
                  <w:sz w:val="22"/>
                  <w:szCs w:val="22"/>
                </w:rPr>
              </w:pPr>
              <w:r>
                <w:rPr>
                  <w:rFonts w:asciiTheme="minorHAnsi" w:hAnsiTheme="minorHAnsi" w:cstheme="minorHAnsi"/>
                  <w:sz w:val="22"/>
                  <w:szCs w:val="22"/>
                </w:rPr>
                <w:t>point 16. Annexe 4. Bilan de l’intégration</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Annexe_4_:_8"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16. Annexe 6b Demande de dérogation « GRANDE DISTANCE » (Intégrations autres que permanentes totales)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Annexe_6b_:"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16. Annexe 8 Demande d’accompagnement par un établissement</w:t>
              </w:r>
              <w:r>
                <w:rPr>
                  <w:rFonts w:asciiTheme="minorHAnsi" w:hAnsiTheme="minorHAnsi" w:cstheme="minorHAnsi"/>
                  <w:sz w:val="22"/>
                  <w:szCs w:val="22"/>
                </w:rPr>
                <w:footnoteReference w:id="1"/>
              </w:r>
              <w:r>
                <w:rPr>
                  <w:rFonts w:asciiTheme="minorHAnsi" w:hAnsiTheme="minorHAnsi" w:cstheme="minorHAnsi"/>
                  <w:sz w:val="22"/>
                  <w:szCs w:val="22"/>
                </w:rPr>
                <w:t xml:space="preserve"> qui n’organise pas le type d’enseignement mentionné sur l’attestation</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Annexe_8_:" w:history="1">
                <w:r>
                  <w:rPr>
                    <w:rStyle w:val="Lienhypertexte"/>
                    <w:rFonts w:asciiTheme="minorHAnsi" w:hAnsiTheme="minorHAnsi" w:cstheme="minorHAnsi"/>
                    <w:sz w:val="22"/>
                    <w:szCs w:val="22"/>
                  </w:rPr>
                  <w:t>Lien</w:t>
                </w:r>
              </w:hyperlink>
            </w:p>
            <w:p w:rsidR="00F04EEF" w:rsidRDefault="0099351E">
              <w:pPr>
                <w:pStyle w:val="Paragraphedeliste"/>
                <w:numPr>
                  <w:ilvl w:val="0"/>
                  <w:numId w:val="217"/>
                </w:numPr>
                <w:ind w:left="360"/>
                <w:jc w:val="both"/>
                <w:rPr>
                  <w:rStyle w:val="Lienhypertexte"/>
                  <w:rFonts w:asciiTheme="majorHAnsi" w:hAnsiTheme="majorHAnsi" w:cs="Arial"/>
                  <w:color w:val="auto"/>
                  <w:sz w:val="22"/>
                  <w:szCs w:val="22"/>
                  <w:u w:val="none"/>
                </w:rPr>
              </w:pPr>
              <w:r>
                <w:rPr>
                  <w:rStyle w:val="Lienhypertexte"/>
                  <w:rFonts w:asciiTheme="minorHAnsi" w:hAnsiTheme="minorHAnsi" w:cstheme="minorHAnsi"/>
                  <w:color w:val="auto"/>
                  <w:sz w:val="22"/>
                  <w:szCs w:val="22"/>
                  <w:u w:val="none"/>
                </w:rPr>
                <w:t xml:space="preserve">L’annexe 7 de la précédente circulaire a été supprimée </w:t>
              </w:r>
            </w:p>
            <w:p w:rsidR="00F04EEF" w:rsidRDefault="0099351E">
              <w:pPr>
                <w:pStyle w:val="Paragraphedeliste"/>
                <w:numPr>
                  <w:ilvl w:val="0"/>
                  <w:numId w:val="217"/>
                </w:numPr>
                <w:ind w:left="360"/>
                <w:jc w:val="both"/>
                <w:rPr>
                  <w:rStyle w:val="Lienhypertexte"/>
                  <w:rFonts w:asciiTheme="majorHAnsi" w:hAnsiTheme="majorHAnsi" w:cs="Arial"/>
                  <w:color w:val="auto"/>
                  <w:sz w:val="22"/>
                  <w:szCs w:val="22"/>
                  <w:u w:val="none"/>
                </w:rPr>
              </w:pPr>
              <w:r>
                <w:rPr>
                  <w:rStyle w:val="Lienhypertexte"/>
                  <w:rFonts w:asciiTheme="minorHAnsi" w:hAnsiTheme="minorHAnsi" w:cstheme="minorHAnsi"/>
                  <w:color w:val="auto"/>
                  <w:sz w:val="22"/>
                  <w:szCs w:val="22"/>
                  <w:u w:val="none"/>
                </w:rPr>
                <w:t xml:space="preserve">L’annexe 9 de la précédente circulaire a été supprimée </w:t>
              </w:r>
            </w:p>
            <w:p w:rsidR="00F04EEF" w:rsidRDefault="00F04EEF">
              <w:pPr>
                <w:pStyle w:val="Paragraphedeliste"/>
                <w:ind w:left="360"/>
                <w:jc w:val="both"/>
                <w:rPr>
                  <w:rFonts w:asciiTheme="majorHAnsi" w:hAnsiTheme="majorHAnsi"/>
                  <w:sz w:val="22"/>
                  <w:szCs w:val="22"/>
                </w:rPr>
              </w:pPr>
            </w:p>
            <w:p w:rsidR="00F04EEF" w:rsidRDefault="0099351E">
              <w:pPr>
                <w:jc w:val="both"/>
                <w:rPr>
                  <w:b/>
                </w:rPr>
              </w:pPr>
              <w:r>
                <w:rPr>
                  <w:b/>
                </w:rPr>
                <w:t>Chapitre 15: Rappel des conditions de maintien et de passage :</w:t>
              </w:r>
            </w:p>
            <w:p w:rsidR="00F04EEF" w:rsidRDefault="0099351E">
              <w:pPr>
                <w:pStyle w:val="Paragraphedeliste"/>
                <w:numPr>
                  <w:ilvl w:val="0"/>
                  <w:numId w:val="218"/>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1.1 : Le rapport d’inscription</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1._Le_rapport" w:history="1">
                <w:r>
                  <w:rPr>
                    <w:rStyle w:val="Lienhypertexte"/>
                    <w:rFonts w:asciiTheme="minorHAnsi" w:hAnsiTheme="minorHAnsi" w:cstheme="minorHAnsi"/>
                    <w:sz w:val="22"/>
                    <w:szCs w:val="22"/>
                  </w:rPr>
                  <w:t>Lien</w:t>
                </w:r>
              </w:hyperlink>
            </w:p>
            <w:p w:rsidR="00F04EEF" w:rsidRDefault="0099351E">
              <w:pPr>
                <w:pStyle w:val="Paragraphedeliste"/>
                <w:numPr>
                  <w:ilvl w:val="0"/>
                  <w:numId w:val="218"/>
                </w:numPr>
                <w:ind w:left="360"/>
                <w:jc w:val="both"/>
                <w:rPr>
                  <w:rFonts w:asciiTheme="minorHAnsi" w:hAnsiTheme="minorHAnsi" w:cstheme="minorHAnsi"/>
                  <w:sz w:val="22"/>
                  <w:szCs w:val="22"/>
                </w:rPr>
              </w:pPr>
              <w:r>
                <w:rPr>
                  <w:rFonts w:asciiTheme="minorHAnsi" w:hAnsiTheme="minorHAnsi" w:cstheme="minorHAnsi"/>
                  <w:sz w:val="22"/>
                  <w:szCs w:val="22"/>
                </w:rPr>
                <w:t>point 2. Age d’admission et de maintien</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2._Age_d'admission" w:history="1">
                <w:r>
                  <w:rPr>
                    <w:rStyle w:val="Lienhypertexte"/>
                    <w:rFonts w:asciiTheme="minorHAnsi" w:hAnsiTheme="minorHAnsi" w:cstheme="minorHAnsi"/>
                    <w:sz w:val="22"/>
                    <w:szCs w:val="22"/>
                  </w:rPr>
                  <w:t>Lien</w:t>
                </w:r>
              </w:hyperlink>
            </w:p>
            <w:p w:rsidR="00F04EEF" w:rsidRDefault="0099351E">
              <w:pPr>
                <w:pStyle w:val="Paragraphedeliste"/>
                <w:numPr>
                  <w:ilvl w:val="0"/>
                  <w:numId w:val="218"/>
                </w:numPr>
                <w:ind w:left="360"/>
                <w:jc w:val="both"/>
                <w:rPr>
                  <w:rStyle w:val="Lienhypertexte"/>
                  <w:rFonts w:asciiTheme="majorHAnsi" w:hAnsiTheme="majorHAnsi" w:cs="Arial"/>
                  <w:color w:val="auto"/>
                  <w:sz w:val="22"/>
                  <w:szCs w:val="22"/>
                  <w:u w:val="none"/>
                </w:rPr>
              </w:pPr>
              <w:r>
                <w:rPr>
                  <w:rFonts w:asciiTheme="minorHAnsi" w:hAnsiTheme="minorHAnsi" w:cstheme="minorHAnsi"/>
                  <w:sz w:val="22"/>
                  <w:szCs w:val="22"/>
                </w:rPr>
                <w:t>point 3 : Annexe 2 : mise à jour des dates</w:t>
              </w:r>
              <w:r>
                <w:rPr>
                  <w:rFonts w:asciiTheme="minorHAnsi" w:hAnsiTheme="minorHAnsi" w:cstheme="min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Annexe_4_:_1" w:history="1">
                <w:r>
                  <w:rPr>
                    <w:rStyle w:val="Lienhypertexte"/>
                    <w:rFonts w:asciiTheme="majorHAnsi" w:hAnsiTheme="majorHAnsi" w:cs="Arial"/>
                    <w:sz w:val="22"/>
                    <w:szCs w:val="22"/>
                  </w:rPr>
                  <w:t>Lien</w:t>
                </w:r>
              </w:hyperlink>
            </w:p>
            <w:p w:rsidR="00F04EEF" w:rsidRDefault="00F04EEF">
              <w:pPr>
                <w:jc w:val="both"/>
                <w:rPr>
                  <w:highlight w:val="magenta"/>
                </w:rPr>
              </w:pPr>
            </w:p>
            <w:p w:rsidR="00F04EEF" w:rsidRDefault="0099351E">
              <w:pPr>
                <w:jc w:val="both"/>
                <w:rPr>
                  <w:b/>
                </w:rPr>
              </w:pPr>
              <w:r>
                <w:rPr>
                  <w:b/>
                </w:rPr>
                <w:t>Chapitre 16 : La Vérification de la population scolaire et de la comptabilité :</w:t>
              </w:r>
            </w:p>
            <w:p w:rsidR="00F04EEF" w:rsidRDefault="0099351E">
              <w:pPr>
                <w:pStyle w:val="Paragraphedeliste"/>
                <w:numPr>
                  <w:ilvl w:val="0"/>
                  <w:numId w:val="215"/>
                </w:numPr>
                <w:ind w:left="360"/>
                <w:jc w:val="both"/>
                <w:rPr>
                  <w:rFonts w:asciiTheme="minorHAnsi" w:hAnsiTheme="minorHAnsi" w:cstheme="minorHAnsi"/>
                  <w:sz w:val="22"/>
                  <w:szCs w:val="22"/>
                </w:rPr>
              </w:pPr>
              <w:r>
                <w:rPr>
                  <w:rFonts w:asciiTheme="minorHAnsi" w:hAnsiTheme="minorHAnsi" w:cstheme="minorHAnsi"/>
                  <w:sz w:val="22"/>
                  <w:szCs w:val="22"/>
                </w:rPr>
                <w:t>point 1 : Les vérificateurs de la population scolaire</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_Les_vérificateurs" w:history="1">
                <w:r>
                  <w:rPr>
                    <w:rStyle w:val="Lienhypertexte"/>
                    <w:rFonts w:asciiTheme="minorHAnsi" w:hAnsiTheme="minorHAnsi" w:cstheme="minorHAnsi"/>
                    <w:sz w:val="22"/>
                    <w:szCs w:val="22"/>
                  </w:rPr>
                  <w:t>Lien</w:t>
                </w:r>
              </w:hyperlink>
              <w:r>
                <w:rPr>
                  <w:rFonts w:asciiTheme="minorHAnsi" w:hAnsiTheme="minorHAnsi" w:cstheme="minorHAnsi"/>
                  <w:sz w:val="22"/>
                  <w:szCs w:val="22"/>
                </w:rPr>
                <w:tab/>
              </w:r>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1.1.  Le rôle du vérificateur et les finalités du contrôle de la population scolaire</w:t>
              </w:r>
              <w:r>
                <w:rPr>
                  <w:rFonts w:asciiTheme="minorHAnsi" w:hAnsiTheme="minorHAnsi" w:cstheme="minorHAnsi"/>
                  <w:sz w:val="22"/>
                  <w:szCs w:val="22"/>
                </w:rPr>
                <w:tab/>
              </w:r>
              <w:hyperlink w:anchor="_1.1._Le_rôle"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1.2.  Les modalités de contrôle</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2._Les_modalité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1.3 Les fraudes à l’inscription</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3._Les_frau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1.4 Les documents à tenir à la disposition du vérificateur</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4._Documents_à"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1.4.1 Fiche individuelle d’inscription</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4.1._Fiche_individuelle"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1.4.2 Registres de présence des élèves</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4.2._Registres_de"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1.4.3 Registre matricule des élèves</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4.3._Registre_matricule"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1.4.4 Registre des procès verbaux des conseils de classe</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4.4._Registre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1.4.5 Enseignement de forme 4</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4.5._Enseignement_de"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1.4.6 Documents concernant la scolarisation à temps partiel</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4.6._Documents_concernant"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1.4.7 Enfants en séjour illégal</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4.7._Enfants_en"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1.5 Transmission des dossiers élèves</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5._Transmission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16 Enseignement de type 5</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6._Enseignement_de"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1.7 Internats, homes d'accueil et homes d’accueil permanent</w:t>
              </w:r>
              <w:r>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7._Internats,_hom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point 1.8 Comptabilisation des élèves</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8._Comptabilisation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 xml:space="preserve">point 2 Le service de la vérification comptable </w:t>
              </w:r>
              <w:r>
                <w:rPr>
                  <w:rStyle w:val="Lienhypertexte"/>
                  <w:rFonts w:asciiTheme="minorHAnsi" w:hAnsiTheme="minorHAnsi" w:cstheme="minorHAnsi"/>
                  <w:color w:val="auto"/>
                  <w:sz w:val="22"/>
                  <w:szCs w:val="22"/>
                  <w:u w:val="none"/>
                </w:rPr>
                <w:t xml:space="preserve"> </w:t>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r>
                <w:rPr>
                  <w:rStyle w:val="Lienhypertexte"/>
                  <w:rFonts w:asciiTheme="minorHAnsi" w:hAnsiTheme="minorHAnsi" w:cstheme="minorHAnsi"/>
                  <w:color w:val="auto"/>
                  <w:sz w:val="22"/>
                  <w:szCs w:val="22"/>
                  <w:u w:val="none"/>
                </w:rPr>
                <w:tab/>
              </w:r>
              <w:hyperlink w:anchor="_1.2._Liste_des" w:history="1">
                <w:r>
                  <w:rPr>
                    <w:rStyle w:val="Lienhypertexte"/>
                    <w:rFonts w:asciiTheme="minorHAnsi" w:hAnsiTheme="minorHAnsi" w:cstheme="minorHAnsi"/>
                    <w:sz w:val="22"/>
                    <w:szCs w:val="22"/>
                  </w:rPr>
                  <w:t>Lien</w:t>
                </w:r>
              </w:hyperlink>
            </w:p>
            <w:p w:rsidR="00F04EEF" w:rsidRDefault="0099351E">
              <w:pPr>
                <w:pStyle w:val="Paragraphedeliste"/>
                <w:numPr>
                  <w:ilvl w:val="0"/>
                  <w:numId w:val="215"/>
                </w:numPr>
                <w:ind w:left="360"/>
                <w:jc w:val="both"/>
                <w:rPr>
                  <w:rStyle w:val="Lienhypertexte"/>
                  <w:rFonts w:asciiTheme="majorHAnsi" w:hAnsiTheme="majorHAnsi" w:cs="Arial"/>
                  <w:color w:val="auto"/>
                  <w:sz w:val="22"/>
                  <w:szCs w:val="22"/>
                  <w:u w:val="none"/>
                </w:rPr>
              </w:pPr>
              <w:r>
                <w:rPr>
                  <w:rFonts w:asciiTheme="minorHAnsi" w:hAnsiTheme="minorHAnsi" w:cstheme="minorHAnsi"/>
                  <w:sz w:val="22"/>
                  <w:szCs w:val="22"/>
                  <w:lang w:val="fr-FR"/>
                </w:rPr>
                <w:t>point 3 Liste des zones géographique par vérificateur</w:t>
              </w:r>
              <w:r>
                <w:rPr>
                  <w:sz w:val="22"/>
                  <w:szCs w:val="22"/>
                  <w:lang w:val="fr-FR"/>
                </w:rPr>
                <w:tab/>
              </w:r>
              <w:r>
                <w:rPr>
                  <w:sz w:val="22"/>
                  <w:szCs w:val="22"/>
                  <w:lang w:val="fr-FR"/>
                </w:rPr>
                <w:tab/>
              </w:r>
              <w:r>
                <w:rPr>
                  <w:sz w:val="22"/>
                  <w:szCs w:val="22"/>
                  <w:lang w:val="fr-FR"/>
                </w:rPr>
                <w:tab/>
              </w:r>
              <w:r>
                <w:rPr>
                  <w:sz w:val="22"/>
                  <w:szCs w:val="22"/>
                  <w:lang w:val="fr-FR"/>
                </w:rPr>
                <w:tab/>
              </w:r>
              <w:r>
                <w:rPr>
                  <w:sz w:val="22"/>
                  <w:szCs w:val="22"/>
                  <w:lang w:val="fr-FR"/>
                </w:rPr>
                <w:tab/>
              </w:r>
              <w:hyperlink w:anchor="_3._Liste_des_1" w:history="1">
                <w:r>
                  <w:rPr>
                    <w:rStyle w:val="Lienhypertexte"/>
                    <w:rFonts w:asciiTheme="majorHAnsi" w:hAnsiTheme="majorHAnsi" w:cs="Arial"/>
                    <w:sz w:val="22"/>
                    <w:szCs w:val="22"/>
                  </w:rPr>
                  <w:t>Lien</w:t>
                </w:r>
              </w:hyperlink>
            </w:p>
            <w:p w:rsidR="00F04EEF" w:rsidRDefault="00F04EEF">
              <w:pPr>
                <w:jc w:val="both"/>
              </w:pPr>
            </w:p>
            <w:p w:rsidR="00F04EEF" w:rsidRDefault="0099351E">
              <w:pPr>
                <w:jc w:val="both"/>
                <w:rPr>
                  <w:rStyle w:val="Lienhypertexte"/>
                  <w:rFonts w:cstheme="minorBidi"/>
                  <w:b/>
                  <w:color w:val="auto"/>
                  <w:u w:val="none"/>
                </w:rPr>
              </w:pPr>
              <w:r>
                <w:rPr>
                  <w:b/>
                </w:rPr>
                <w:t>Chapitre 18 : Introduction des demandes de dérogation d’âge :</w:t>
              </w:r>
            </w:p>
            <w:p w:rsidR="00F04EEF" w:rsidRDefault="0099351E">
              <w:pPr>
                <w:pStyle w:val="Paragraphedeliste"/>
                <w:numPr>
                  <w:ilvl w:val="0"/>
                  <w:numId w:val="220"/>
                </w:numPr>
                <w:ind w:left="360"/>
                <w:jc w:val="both"/>
                <w:rPr>
                  <w:rFonts w:asciiTheme="majorHAnsi" w:hAnsiTheme="majorHAnsi"/>
                  <w:sz w:val="22"/>
                  <w:szCs w:val="22"/>
                </w:rPr>
              </w:pPr>
              <w:r>
                <w:rPr>
                  <w:rStyle w:val="Lienhypertexte"/>
                  <w:rFonts w:asciiTheme="minorHAnsi" w:hAnsiTheme="minorHAnsi" w:cstheme="minorHAnsi"/>
                  <w:color w:val="auto"/>
                  <w:sz w:val="22"/>
                  <w:szCs w:val="22"/>
                  <w:u w:val="none"/>
                </w:rPr>
                <w:t>point 2.1 Demandes de dérogations pour des raisons pédagogiques</w:t>
              </w:r>
              <w:r>
                <w:rPr>
                  <w:rStyle w:val="Lienhypertexte"/>
                  <w:rFonts w:asciiTheme="minorHAnsi" w:hAnsiTheme="minorHAnsi" w:cstheme="minorHAnsi"/>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2.1._Demandes_de" w:history="1">
                <w:r>
                  <w:rPr>
                    <w:rStyle w:val="Lienhypertexte"/>
                    <w:rFonts w:asciiTheme="majorHAnsi" w:hAnsiTheme="majorHAnsi" w:cs="Arial"/>
                    <w:sz w:val="22"/>
                    <w:szCs w:val="22"/>
                  </w:rPr>
                  <w:t>Lien</w:t>
                </w:r>
              </w:hyperlink>
            </w:p>
            <w:p w:rsidR="00F04EEF" w:rsidRDefault="00F04EEF">
              <w:pPr>
                <w:jc w:val="both"/>
                <w:rPr>
                  <w:b/>
                </w:rPr>
              </w:pPr>
            </w:p>
            <w:p w:rsidR="00F04EEF" w:rsidRDefault="0099351E">
              <w:pPr>
                <w:jc w:val="both"/>
                <w:rPr>
                  <w:b/>
                </w:rPr>
              </w:pPr>
              <w:r>
                <w:rPr>
                  <w:b/>
                </w:rPr>
                <w:t>Chapitre 19 : Liste des organismes habilités à délivrer et/ou à modifier les documents nécessaires à l’inscription en enseignement spécialisé :</w:t>
              </w:r>
            </w:p>
            <w:p w:rsidR="00F04EEF" w:rsidRDefault="0099351E">
              <w:pPr>
                <w:pStyle w:val="Paragraphedeliste"/>
                <w:numPr>
                  <w:ilvl w:val="0"/>
                  <w:numId w:val="219"/>
                </w:numPr>
                <w:ind w:left="360"/>
                <w:jc w:val="both"/>
                <w:rPr>
                  <w:rStyle w:val="Lienhypertexte"/>
                  <w:rFonts w:asciiTheme="majorHAnsi" w:hAnsiTheme="majorHAnsi" w:cs="Arial"/>
                  <w:color w:val="auto"/>
                  <w:sz w:val="22"/>
                  <w:szCs w:val="22"/>
                  <w:u w:val="none"/>
                </w:rPr>
              </w:pPr>
              <w:r>
                <w:rPr>
                  <w:rStyle w:val="Lienhypertexte"/>
                  <w:rFonts w:asciiTheme="minorHAnsi" w:hAnsiTheme="minorHAnsi" w:cstheme="minorHAnsi"/>
                  <w:color w:val="auto"/>
                  <w:sz w:val="22"/>
                  <w:szCs w:val="22"/>
                  <w:u w:val="none"/>
                </w:rPr>
                <w:t>point 4. Annexe 6 : Mise à jour de la liste des organismes habilités</w:t>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r>
                <w:rPr>
                  <w:rStyle w:val="Lienhypertexte"/>
                  <w:rFonts w:asciiTheme="majorHAnsi" w:hAnsiTheme="majorHAnsi" w:cs="Arial"/>
                  <w:color w:val="auto"/>
                  <w:sz w:val="22"/>
                  <w:szCs w:val="22"/>
                  <w:u w:val="none"/>
                </w:rPr>
                <w:tab/>
              </w:r>
              <w:hyperlink w:anchor="_Annexe_6_:_3" w:history="1">
                <w:r>
                  <w:rPr>
                    <w:rStyle w:val="Lienhypertexte"/>
                    <w:rFonts w:asciiTheme="majorHAnsi" w:hAnsiTheme="majorHAnsi" w:cs="Arial"/>
                    <w:sz w:val="22"/>
                    <w:szCs w:val="22"/>
                  </w:rPr>
                  <w:t>Lien</w:t>
                </w:r>
              </w:hyperlink>
            </w:p>
            <w:p w:rsidR="00F04EEF" w:rsidRDefault="00F04EEF">
              <w:pPr>
                <w:jc w:val="both"/>
              </w:pPr>
            </w:p>
            <w:p w:rsidR="00F04EEF" w:rsidRDefault="0099351E">
              <w:pPr>
                <w:jc w:val="both"/>
                <w:rPr>
                  <w:b/>
                </w:rPr>
              </w:pPr>
              <w:r>
                <w:rPr>
                  <w:b/>
                </w:rPr>
                <w:t>Chapitre 20 : Objets produits ou services rendus par un établissement scolaire d’enseignement spécialisé :</w:t>
              </w:r>
            </w:p>
            <w:p w:rsidR="00F04EEF" w:rsidRDefault="0099351E">
              <w:pPr>
                <w:pStyle w:val="Paragraphedeliste"/>
                <w:numPr>
                  <w:ilvl w:val="0"/>
                  <w:numId w:val="342"/>
                </w:numPr>
                <w:jc w:val="both"/>
                <w:rPr>
                  <w:rFonts w:asciiTheme="minorHAnsi" w:hAnsiTheme="minorHAnsi" w:cstheme="minorHAnsi"/>
                  <w:sz w:val="22"/>
                  <w:szCs w:val="22"/>
                </w:rPr>
              </w:pPr>
              <w:r>
                <w:rPr>
                  <w:rFonts w:asciiTheme="minorHAnsi" w:hAnsiTheme="minorHAnsi" w:cstheme="minorHAnsi"/>
                  <w:sz w:val="22"/>
                  <w:szCs w:val="22"/>
                </w:rPr>
                <w:t>point 2. Destination du bien ou du service</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2._Destination_du" w:history="1">
                <w:r>
                  <w:rPr>
                    <w:rStyle w:val="Lienhypertexte"/>
                    <w:rFonts w:asciiTheme="minorHAnsi" w:hAnsiTheme="minorHAnsi" w:cstheme="minorHAnsi"/>
                    <w:sz w:val="22"/>
                    <w:szCs w:val="22"/>
                  </w:rPr>
                  <w:t>Lien</w:t>
                </w:r>
              </w:hyperlink>
            </w:p>
            <w:p w:rsidR="00F04EEF" w:rsidRDefault="0099351E">
              <w:pPr>
                <w:pStyle w:val="Paragraphedeliste"/>
                <w:numPr>
                  <w:ilvl w:val="0"/>
                  <w:numId w:val="342"/>
                </w:numPr>
                <w:jc w:val="both"/>
                <w:rPr>
                  <w:rFonts w:asciiTheme="majorHAnsi" w:hAnsiTheme="majorHAnsi"/>
                  <w:sz w:val="22"/>
                  <w:szCs w:val="22"/>
                </w:rPr>
              </w:pPr>
              <w:r>
                <w:rPr>
                  <w:rFonts w:asciiTheme="minorHAnsi" w:hAnsiTheme="minorHAnsi" w:cstheme="minorHAnsi"/>
                  <w:sz w:val="22"/>
                  <w:szCs w:val="22"/>
                </w:rPr>
                <w:t>point 3. Vente ou location des objets fabriqués et fournitures de services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3._Vente_ou" w:history="1">
                <w:r>
                  <w:rPr>
                    <w:rStyle w:val="Lienhypertexte"/>
                    <w:rFonts w:asciiTheme="majorHAnsi" w:hAnsiTheme="majorHAnsi" w:cs="Arial"/>
                    <w:sz w:val="22"/>
                    <w:szCs w:val="22"/>
                  </w:rPr>
                  <w:t>Lien</w:t>
                </w:r>
              </w:hyperlink>
            </w:p>
            <w:p w:rsidR="00F04EEF" w:rsidRDefault="00F04EEF">
              <w:pPr>
                <w:pStyle w:val="Paragraphedeliste"/>
                <w:ind w:left="360"/>
                <w:jc w:val="both"/>
                <w:rPr>
                  <w:b/>
                </w:rPr>
              </w:pPr>
            </w:p>
            <w:p w:rsidR="00F04EEF" w:rsidRDefault="0099351E">
              <w:pPr>
                <w:jc w:val="both"/>
              </w:pPr>
              <w:r>
                <w:rPr>
                  <w:b/>
                </w:rPr>
                <w:t>Chapitre 21 : Les Commissions consultatives :</w:t>
              </w:r>
            </w:p>
            <w:p w:rsidR="00F04EEF" w:rsidRDefault="0099351E">
              <w:pPr>
                <w:jc w:val="both"/>
                <w:rPr>
                  <w:rStyle w:val="Lienhypertexte"/>
                  <w:rFonts w:cstheme="minorBidi"/>
                </w:rPr>
              </w:pPr>
              <w:r>
                <w:t xml:space="preserve">1. point 6 : Présidences des Commissions consultatives : Mise à jour </w:t>
              </w:r>
              <w:r>
                <w:tab/>
              </w:r>
              <w:r>
                <w:tab/>
              </w:r>
              <w:r>
                <w:tab/>
              </w:r>
              <w:r>
                <w:tab/>
              </w:r>
              <w:hyperlink w:anchor="_6._Présidences_des" w:history="1">
                <w:r>
                  <w:rPr>
                    <w:rStyle w:val="Lienhypertexte"/>
                    <w:rFonts w:cstheme="minorBidi"/>
                  </w:rPr>
                  <w:t>Lien</w:t>
                </w:r>
              </w:hyperlink>
            </w:p>
            <w:p w:rsidR="00F04EEF" w:rsidRDefault="00F04EEF">
              <w:pPr>
                <w:jc w:val="both"/>
              </w:pPr>
            </w:p>
            <w:p w:rsidR="00F04EEF" w:rsidRDefault="0099351E">
              <w:pPr>
                <w:jc w:val="both"/>
              </w:pPr>
              <w:r>
                <w:rPr>
                  <w:b/>
                </w:rPr>
                <w:t xml:space="preserve">Chapitre 23 : Les données et </w:t>
              </w:r>
              <w:proofErr w:type="gramStart"/>
              <w:r>
                <w:rPr>
                  <w:b/>
                </w:rPr>
                <w:t>les application</w:t>
              </w:r>
              <w:proofErr w:type="gramEnd"/>
              <w:r>
                <w:rPr>
                  <w:b/>
                </w:rPr>
                <w:t xml:space="preserve"> métier</w:t>
              </w:r>
            </w:p>
            <w:p w:rsidR="00F04EEF" w:rsidRDefault="0099351E">
              <w:pPr>
                <w:jc w:val="both"/>
                <w:rPr>
                  <w:rStyle w:val="Lienhypertexte"/>
                  <w:rFonts w:cstheme="minorBidi"/>
                </w:rPr>
              </w:pPr>
              <w:r>
                <w:t>1. point 1 CERBERE</w:t>
              </w:r>
              <w:r>
                <w:tab/>
              </w:r>
              <w:r>
                <w:tab/>
              </w:r>
              <w:r>
                <w:tab/>
              </w:r>
              <w:r>
                <w:tab/>
              </w:r>
              <w:r>
                <w:tab/>
              </w:r>
              <w:r>
                <w:tab/>
              </w:r>
              <w:r>
                <w:tab/>
              </w:r>
              <w:r>
                <w:tab/>
              </w:r>
              <w:r>
                <w:tab/>
              </w:r>
              <w:r>
                <w:tab/>
              </w:r>
              <w:hyperlink w:anchor="_1._CERBERE" w:history="1">
                <w:r>
                  <w:rPr>
                    <w:rStyle w:val="Lienhypertexte"/>
                    <w:rFonts w:cstheme="minorBidi"/>
                  </w:rPr>
                  <w:t>Lien</w:t>
                </w:r>
              </w:hyperlink>
            </w:p>
            <w:p w:rsidR="00F04EEF" w:rsidRDefault="00F04EEF">
              <w:pPr>
                <w:jc w:val="both"/>
                <w:rPr>
                  <w:b/>
                </w:rPr>
              </w:pPr>
            </w:p>
            <w:p w:rsidR="00F04EEF" w:rsidRDefault="0099351E">
              <w:pPr>
                <w:jc w:val="both"/>
                <w:rPr>
                  <w:b/>
                </w:rPr>
              </w:pPr>
              <w:r>
                <w:rPr>
                  <w:b/>
                </w:rPr>
                <w:t>Chapitre 24 : Organisation des séjours pédagogiques avec nuitée(s) en Belgique et à l’étranger</w:t>
              </w:r>
            </w:p>
            <w:p w:rsidR="00F04EEF" w:rsidRDefault="0099351E">
              <w:pPr>
                <w:jc w:val="both"/>
                <w:rPr>
                  <w:rStyle w:val="Lienhypertexte"/>
                  <w:rFonts w:cstheme="minorBidi"/>
                </w:rPr>
              </w:pPr>
              <w:r>
                <w:t>1. Ajout d’une personne de contact</w:t>
              </w:r>
              <w:r>
                <w:tab/>
              </w:r>
              <w:r>
                <w:tab/>
              </w:r>
              <w:r>
                <w:tab/>
              </w:r>
              <w:r>
                <w:tab/>
              </w:r>
              <w:r>
                <w:tab/>
              </w:r>
              <w:r>
                <w:tab/>
              </w:r>
              <w:r>
                <w:tab/>
              </w:r>
              <w:r>
                <w:tab/>
              </w:r>
              <w:hyperlink w:anchor="_Chapitre_24_:" w:history="1">
                <w:r>
                  <w:rPr>
                    <w:rStyle w:val="Lienhypertexte"/>
                    <w:rFonts w:cstheme="minorBidi"/>
                  </w:rPr>
                  <w:t>Lien</w:t>
                </w:r>
              </w:hyperlink>
            </w:p>
            <w:p w:rsidR="00F04EEF" w:rsidRDefault="00F04EEF">
              <w:pPr>
                <w:jc w:val="both"/>
              </w:pPr>
            </w:p>
            <w:p w:rsidR="00F04EEF" w:rsidRDefault="0099351E">
              <w:pPr>
                <w:jc w:val="both"/>
                <w:rPr>
                  <w:b/>
                </w:rPr>
              </w:pPr>
              <w:r>
                <w:rPr>
                  <w:b/>
                </w:rPr>
                <w:t>Chapitre 26 : Modèles des attestations, des avis, du certificat de qualification et du procès-verbal délivrés dans l’enseignement secondaire spécialisé de forme 3 :</w:t>
              </w:r>
            </w:p>
            <w:p w:rsidR="00F04EEF" w:rsidRDefault="0099351E">
              <w:pPr>
                <w:pStyle w:val="Paragraphedeliste"/>
                <w:numPr>
                  <w:ilvl w:val="0"/>
                  <w:numId w:val="221"/>
                </w:numPr>
                <w:ind w:left="360"/>
                <w:jc w:val="both"/>
                <w:rPr>
                  <w:rStyle w:val="Lienhypertexte"/>
                  <w:rFonts w:asciiTheme="minorHAnsi" w:hAnsiTheme="minorHAnsi" w:cstheme="minorHAnsi"/>
                  <w:color w:val="auto"/>
                  <w:sz w:val="22"/>
                  <w:szCs w:val="22"/>
                  <w:u w:val="none"/>
                </w:rPr>
              </w:pPr>
              <w:r>
                <w:rPr>
                  <w:rFonts w:asciiTheme="minorHAnsi" w:hAnsiTheme="minorHAnsi" w:cstheme="minorHAnsi"/>
                  <w:sz w:val="22"/>
                  <w:szCs w:val="22"/>
                </w:rPr>
                <w:t>Bases légales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Chapitre_26_:_1" w:history="1">
                <w:r>
                  <w:rPr>
                    <w:rStyle w:val="Lienhypertexte"/>
                    <w:rFonts w:asciiTheme="minorHAnsi" w:hAnsiTheme="minorHAnsi" w:cstheme="minorHAnsi"/>
                    <w:sz w:val="22"/>
                    <w:szCs w:val="22"/>
                  </w:rPr>
                  <w:t>Lien</w:t>
                </w:r>
              </w:hyperlink>
            </w:p>
            <w:p w:rsidR="00F04EEF" w:rsidRDefault="0099351E">
              <w:pPr>
                <w:pStyle w:val="Paragraphedeliste"/>
                <w:numPr>
                  <w:ilvl w:val="0"/>
                  <w:numId w:val="221"/>
                </w:numPr>
                <w:ind w:left="360"/>
                <w:jc w:val="both"/>
                <w:rPr>
                  <w:rFonts w:asciiTheme="minorHAnsi" w:hAnsiTheme="minorHAnsi" w:cstheme="minorHAnsi"/>
                  <w:sz w:val="22"/>
                  <w:szCs w:val="22"/>
                </w:rPr>
              </w:pPr>
              <w:r>
                <w:rPr>
                  <w:rFonts w:asciiTheme="minorHAnsi" w:hAnsiTheme="minorHAnsi" w:cstheme="minorHAnsi"/>
                  <w:sz w:val="22"/>
                  <w:szCs w:val="22"/>
                </w:rPr>
                <w:t>point 1 Présentation et rédaction des attestations, des avis, du certificat de qualification et du procès-verbal</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1._Présentation_et_1" w:history="1">
                <w:r>
                  <w:rPr>
                    <w:rStyle w:val="Lienhypertexte"/>
                    <w:rFonts w:asciiTheme="minorHAnsi" w:hAnsiTheme="minorHAnsi" w:cstheme="minorHAnsi"/>
                    <w:sz w:val="22"/>
                    <w:szCs w:val="22"/>
                  </w:rPr>
                  <w:t>Lien</w:t>
                </w:r>
              </w:hyperlink>
            </w:p>
            <w:p w:rsidR="00F04EEF" w:rsidRDefault="0099351E">
              <w:pPr>
                <w:pStyle w:val="Paragraphedeliste"/>
                <w:numPr>
                  <w:ilvl w:val="0"/>
                  <w:numId w:val="221"/>
                </w:numPr>
                <w:ind w:left="360"/>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2 : Foire aux questions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2._Foire_aux_1" w:history="1">
                <w:r>
                  <w:rPr>
                    <w:rStyle w:val="Lienhypertexte"/>
                    <w:rFonts w:asciiTheme="minorHAnsi" w:hAnsiTheme="minorHAnsi" w:cstheme="minorHAnsi"/>
                    <w:sz w:val="22"/>
                    <w:szCs w:val="22"/>
                  </w:rPr>
                  <w:t>Lien</w:t>
                </w:r>
              </w:hyperlink>
            </w:p>
            <w:p w:rsidR="00F04EEF" w:rsidRDefault="0099351E">
              <w:pPr>
                <w:pStyle w:val="Paragraphedeliste"/>
                <w:numPr>
                  <w:ilvl w:val="0"/>
                  <w:numId w:val="221"/>
                </w:numPr>
                <w:ind w:left="360"/>
                <w:rPr>
                  <w:rStyle w:val="Lienhypertexte"/>
                  <w:rFonts w:asciiTheme="minorHAnsi" w:hAnsiTheme="minorHAnsi" w:cstheme="minorHAnsi"/>
                  <w:color w:val="auto"/>
                  <w:sz w:val="22"/>
                  <w:szCs w:val="22"/>
                  <w:u w:val="none"/>
                </w:rPr>
              </w:pPr>
              <w:r>
                <w:rPr>
                  <w:rFonts w:asciiTheme="minorHAnsi" w:hAnsiTheme="minorHAnsi" w:cstheme="minorHAnsi"/>
                  <w:sz w:val="22"/>
                  <w:szCs w:val="22"/>
                </w:rPr>
                <w:t xml:space="preserve">point 4 annexe 17 </w:t>
              </w:r>
              <w:proofErr w:type="gramStart"/>
              <w:r>
                <w:rPr>
                  <w:rFonts w:asciiTheme="minorHAnsi" w:hAnsiTheme="minorHAnsi" w:cstheme="minorHAnsi"/>
                  <w:sz w:val="22"/>
                  <w:szCs w:val="22"/>
                </w:rPr>
                <w:t>Liste</w:t>
              </w:r>
              <w:proofErr w:type="gramEnd"/>
              <w:r>
                <w:rPr>
                  <w:rFonts w:asciiTheme="minorHAnsi" w:hAnsiTheme="minorHAnsi" w:cstheme="minorHAnsi"/>
                  <w:sz w:val="22"/>
                  <w:szCs w:val="22"/>
                </w:rPr>
                <w:t xml:space="preserve"> des élèves obtenant le certificat de qualification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Annexe_17_:_1" w:history="1">
                <w:r>
                  <w:rPr>
                    <w:rStyle w:val="Lienhypertexte"/>
                    <w:rFonts w:asciiTheme="minorHAnsi" w:hAnsiTheme="minorHAnsi" w:cstheme="minorHAnsi"/>
                    <w:sz w:val="22"/>
                    <w:szCs w:val="22"/>
                  </w:rPr>
                  <w:t>Lien</w:t>
                </w:r>
              </w:hyperlink>
            </w:p>
            <w:p w:rsidR="00F04EEF" w:rsidRDefault="0099351E">
              <w:pPr>
                <w:pStyle w:val="Paragraphedeliste"/>
                <w:numPr>
                  <w:ilvl w:val="0"/>
                  <w:numId w:val="221"/>
                </w:numPr>
                <w:ind w:left="360"/>
                <w:rPr>
                  <w:rStyle w:val="Lienhypertexte"/>
                  <w:rFonts w:asciiTheme="minorHAnsi" w:hAnsiTheme="minorHAnsi" w:cstheme="minorHAnsi"/>
                  <w:color w:val="auto"/>
                  <w:sz w:val="22"/>
                  <w:szCs w:val="22"/>
                  <w:u w:val="none"/>
                </w:rPr>
              </w:pPr>
              <w:r>
                <w:rPr>
                  <w:rFonts w:asciiTheme="minorHAnsi" w:hAnsiTheme="minorHAnsi" w:cstheme="minorHAnsi"/>
                  <w:sz w:val="22"/>
                  <w:szCs w:val="22"/>
                </w:rPr>
                <w:t xml:space="preserve">point 4 </w:t>
              </w:r>
              <w:proofErr w:type="gramStart"/>
              <w:r>
                <w:rPr>
                  <w:rFonts w:asciiTheme="minorHAnsi" w:hAnsiTheme="minorHAnsi" w:cstheme="minorHAnsi"/>
                  <w:sz w:val="22"/>
                  <w:szCs w:val="22"/>
                </w:rPr>
                <w:t>annexe 21 Intitulés des secteurs/groupes/métiers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Annexe_15_:" w:history="1">
                <w:r>
                  <w:rPr>
                    <w:rStyle w:val="Lienhypertexte"/>
                    <w:rFonts w:asciiTheme="minorHAnsi" w:hAnsiTheme="minorHAnsi" w:cstheme="minorHAnsi"/>
                    <w:sz w:val="22"/>
                    <w:szCs w:val="22"/>
                  </w:rPr>
                  <w:t>Lien</w:t>
                </w:r>
                <w:proofErr w:type="gramEnd"/>
              </w:hyperlink>
            </w:p>
            <w:p w:rsidR="00F04EEF" w:rsidRDefault="0099351E">
              <w:pPr>
                <w:pStyle w:val="Paragraphedeliste"/>
                <w:numPr>
                  <w:ilvl w:val="0"/>
                  <w:numId w:val="221"/>
                </w:numPr>
                <w:ind w:left="360"/>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 xml:space="preserve">L’annexe 9 du précédent volume Certificat de qualification a été supprinée </w:t>
              </w:r>
            </w:p>
            <w:p w:rsidR="00F04EEF" w:rsidRDefault="0099351E">
              <w:pPr>
                <w:pStyle w:val="Paragraphedeliste"/>
                <w:numPr>
                  <w:ilvl w:val="0"/>
                  <w:numId w:val="221"/>
                </w:numPr>
                <w:ind w:left="360"/>
                <w:rPr>
                  <w:rStyle w:val="Lienhypertexte"/>
                  <w:rFonts w:asciiTheme="minorHAnsi" w:hAnsiTheme="minorHAnsi" w:cstheme="minorHAnsi"/>
                  <w:color w:val="auto"/>
                  <w:sz w:val="22"/>
                  <w:szCs w:val="22"/>
                  <w:u w:val="none"/>
                </w:rPr>
              </w:pPr>
              <w:r>
                <w:rPr>
                  <w:rStyle w:val="Lienhypertexte"/>
                  <w:rFonts w:asciiTheme="minorHAnsi" w:hAnsiTheme="minorHAnsi" w:cstheme="minorHAnsi"/>
                  <w:color w:val="auto"/>
                  <w:sz w:val="22"/>
                  <w:szCs w:val="22"/>
                  <w:u w:val="none"/>
                </w:rPr>
                <w:t>L’annexe 17 Liste des élèves obtenant le certificat de qualification a été ajoutée au présent volume</w:t>
              </w:r>
            </w:p>
            <w:p w:rsidR="00F04EEF" w:rsidRDefault="00F04EEF">
              <w:pPr>
                <w:pStyle w:val="Paragraphedeliste"/>
                <w:ind w:left="360"/>
                <w:rPr>
                  <w:rStyle w:val="Lienhypertexte"/>
                  <w:rFonts w:asciiTheme="majorHAnsi" w:hAnsiTheme="majorHAnsi" w:cs="Arial"/>
                  <w:color w:val="auto"/>
                  <w:sz w:val="22"/>
                  <w:szCs w:val="22"/>
                  <w:u w:val="none"/>
                </w:rPr>
              </w:pPr>
            </w:p>
            <w:p w:rsidR="00F04EEF" w:rsidRDefault="0099351E">
              <w:pPr>
                <w:rPr>
                  <w:b/>
                </w:rPr>
              </w:pPr>
              <w:r>
                <w:rPr>
                  <w:b/>
                </w:rPr>
                <w:t xml:space="preserve">Chapitre 27 : Qualification dans l’enseignement de forme 3 : </w:t>
              </w:r>
            </w:p>
            <w:p w:rsidR="00F04EEF" w:rsidRDefault="0099351E">
              <w:pPr>
                <w:pStyle w:val="Paragraphedeliste"/>
                <w:numPr>
                  <w:ilvl w:val="0"/>
                  <w:numId w:val="222"/>
                </w:numPr>
                <w:ind w:left="360"/>
                <w:rPr>
                  <w:rFonts w:asciiTheme="minorHAnsi" w:hAnsiTheme="minorHAnsi" w:cstheme="minorHAnsi"/>
                  <w:sz w:val="22"/>
                  <w:szCs w:val="22"/>
                </w:rPr>
              </w:pPr>
              <w:r>
                <w:rPr>
                  <w:rFonts w:asciiTheme="minorHAnsi" w:hAnsiTheme="minorHAnsi" w:cstheme="minorHAnsi"/>
                  <w:sz w:val="22"/>
                  <w:szCs w:val="22"/>
                </w:rPr>
                <w:t>point 2.2 : Procédure </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2.2._Procédure" w:history="1">
                <w:r>
                  <w:rPr>
                    <w:rStyle w:val="Lienhypertexte"/>
                    <w:rFonts w:asciiTheme="minorHAnsi" w:hAnsiTheme="minorHAnsi" w:cstheme="minorHAnsi"/>
                    <w:sz w:val="22"/>
                    <w:szCs w:val="22"/>
                  </w:rPr>
                  <w:t>Lien</w:t>
                </w:r>
              </w:hyperlink>
            </w:p>
            <w:p w:rsidR="00F04EEF" w:rsidRDefault="0099351E">
              <w:pPr>
                <w:pStyle w:val="Paragraphedeliste"/>
                <w:numPr>
                  <w:ilvl w:val="0"/>
                  <w:numId w:val="222"/>
                </w:numPr>
                <w:ind w:left="360"/>
                <w:rPr>
                  <w:rStyle w:val="Lienhypertexte"/>
                  <w:rFonts w:asciiTheme="majorHAnsi" w:hAnsiTheme="majorHAnsi" w:cs="Arial"/>
                  <w:color w:val="auto"/>
                  <w:sz w:val="22"/>
                  <w:szCs w:val="22"/>
                  <w:u w:val="none"/>
                </w:rPr>
              </w:pPr>
              <w:r>
                <w:rPr>
                  <w:rFonts w:asciiTheme="minorHAnsi" w:hAnsiTheme="minorHAnsi" w:cstheme="minorHAnsi"/>
                  <w:sz w:val="22"/>
                  <w:szCs w:val="22"/>
                </w:rPr>
                <w:t>point 6 Enseignement spécialisé et certtification par uniés (CPU)</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6._Enseignement_spécialisé" w:history="1">
                <w:r>
                  <w:rPr>
                    <w:rStyle w:val="Lienhypertexte"/>
                    <w:rFonts w:asciiTheme="majorHAnsi" w:hAnsiTheme="majorHAnsi" w:cs="Arial"/>
                    <w:sz w:val="22"/>
                    <w:szCs w:val="22"/>
                  </w:rPr>
                  <w:t>Lien</w:t>
                </w:r>
              </w:hyperlink>
            </w:p>
            <w:p w:rsidR="00F04EEF" w:rsidRDefault="00F04EEF">
              <w:pPr>
                <w:rPr>
                  <w:rFonts w:asciiTheme="majorHAnsi" w:hAnsiTheme="majorHAnsi"/>
                </w:rPr>
              </w:pPr>
            </w:p>
            <w:p w:rsidR="00F04EEF" w:rsidRDefault="0099351E">
              <w:pPr>
                <w:rPr>
                  <w:b/>
                </w:rPr>
              </w:pPr>
              <w:r>
                <w:rPr>
                  <w:b/>
                </w:rPr>
                <w:t>Chapitre 28 : L’enseignement en alternance et la coopération avec les Centres d’Education et de Formation en Alternance</w:t>
              </w:r>
            </w:p>
            <w:p w:rsidR="00F04EEF" w:rsidRDefault="0099351E">
              <w:pPr>
                <w:pStyle w:val="Paragraphedeliste"/>
                <w:numPr>
                  <w:ilvl w:val="0"/>
                  <w:numId w:val="359"/>
                </w:numPr>
                <w:ind w:left="284" w:hanging="284"/>
                <w:rPr>
                  <w:rStyle w:val="Lienhypertexte"/>
                  <w:rFonts w:asciiTheme="minorHAnsi" w:hAnsiTheme="minorHAnsi" w:cstheme="minorHAnsi"/>
                  <w:color w:val="auto"/>
                  <w:sz w:val="22"/>
                  <w:szCs w:val="22"/>
                  <w:u w:val="none"/>
                </w:rPr>
              </w:pPr>
              <w:r>
                <w:rPr>
                  <w:rFonts w:asciiTheme="minorHAnsi" w:hAnsiTheme="minorHAnsi" w:cstheme="minorHAnsi"/>
                  <w:sz w:val="22"/>
                  <w:szCs w:val="22"/>
                </w:rPr>
                <w:t>point 4 Certificats et attestations</w:t>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hyperlink w:anchor="_4._Certificats_et" w:history="1">
                <w:r>
                  <w:rPr>
                    <w:rStyle w:val="Lienhypertexte"/>
                    <w:rFonts w:asciiTheme="minorHAnsi" w:hAnsiTheme="minorHAnsi" w:cstheme="minorHAnsi"/>
                    <w:sz w:val="22"/>
                    <w:szCs w:val="22"/>
                  </w:rPr>
                  <w:t>Lien</w:t>
                </w:r>
              </w:hyperlink>
            </w:p>
            <w:p w:rsidR="00F04EEF" w:rsidRDefault="0099351E">
              <w:pPr>
                <w:pStyle w:val="Paragraphedeliste"/>
                <w:numPr>
                  <w:ilvl w:val="0"/>
                  <w:numId w:val="359"/>
                </w:numPr>
                <w:ind w:left="284" w:hanging="284"/>
                <w:rPr>
                  <w:rFonts w:asciiTheme="majorHAnsi" w:hAnsiTheme="majorHAnsi"/>
                  <w:sz w:val="22"/>
                  <w:szCs w:val="22"/>
                </w:rPr>
              </w:pPr>
              <w:r>
                <w:rPr>
                  <w:rFonts w:asciiTheme="minorHAnsi" w:hAnsiTheme="minorHAnsi" w:cstheme="minorHAnsi"/>
                  <w:sz w:val="22"/>
                  <w:szCs w:val="22"/>
                </w:rPr>
                <w:t>point 4 Qualification</w:t>
              </w:r>
              <w:r>
                <w:rPr>
                  <w:rFonts w:asciiTheme="minorHAnsi" w:hAnsiTheme="minorHAnsi" w:cstheme="minorHAnsi"/>
                  <w:sz w:val="22"/>
                  <w:szCs w:val="22"/>
                </w:rPr>
                <w:tab/>
              </w:r>
              <w:r>
                <w:rPr>
                  <w:rFonts w:asciiTheme="minorHAnsi" w:hAnsiTheme="minorHAnsi" w:cstheme="min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8.6._Qualification" w:history="1">
                <w:r>
                  <w:rPr>
                    <w:rStyle w:val="Lienhypertexte"/>
                    <w:rFonts w:asciiTheme="majorHAnsi" w:hAnsiTheme="majorHAnsi" w:cs="Arial"/>
                    <w:sz w:val="22"/>
                    <w:szCs w:val="22"/>
                  </w:rPr>
                  <w:t>Lien</w:t>
                </w:r>
              </w:hyperlink>
            </w:p>
            <w:p w:rsidR="00F04EEF" w:rsidRDefault="00F04EEF">
              <w:pPr>
                <w:rPr>
                  <w:rFonts w:eastAsia="Times New Roman" w:cs="Arial"/>
                  <w:b/>
                  <w:lang w:eastAsia="ar-SA"/>
                </w:rPr>
              </w:pPr>
            </w:p>
            <w:p w:rsidR="00F04EEF" w:rsidRDefault="0099351E">
              <w:pPr>
                <w:rPr>
                  <w:rFonts w:eastAsia="Times New Roman" w:cs="Arial"/>
                  <w:b/>
                  <w:lang w:eastAsia="ar-SA"/>
                </w:rPr>
              </w:pPr>
              <w:r>
                <w:rPr>
                  <w:rFonts w:eastAsia="Times New Roman" w:cs="Arial"/>
                  <w:b/>
                  <w:lang w:eastAsia="ar-SA"/>
                </w:rPr>
                <w:t>Chapitre 29 : Stages dans l’enseignement secondaire spécialisé des formes 1, 2, 3 et 4</w:t>
              </w:r>
            </w:p>
            <w:p w:rsidR="00F04EEF" w:rsidRDefault="0099351E">
              <w:pPr>
                <w:rPr>
                  <w:rStyle w:val="Lienhypertexte"/>
                  <w:rFonts w:cs="Arial"/>
                </w:rPr>
              </w:pPr>
              <w:r>
                <w:rPr>
                  <w:rFonts w:eastAsia="Times New Roman" w:cstheme="minorHAnsi"/>
                  <w:lang w:eastAsia="ar-SA"/>
                </w:rPr>
                <w:t>1.    point 1.10. Liste et coordonnées des IPIEQ</w:t>
              </w:r>
              <w:r>
                <w:rPr>
                  <w:rFonts w:eastAsia="Times New Roman" w:cstheme="minorHAnsi"/>
                  <w:lang w:eastAsia="ar-SA"/>
                </w:rPr>
                <w:tab/>
              </w:r>
              <w:r>
                <w:rPr>
                  <w:rFonts w:eastAsia="Times New Roman" w:cstheme="minorHAnsi"/>
                  <w:lang w:eastAsia="ar-SA"/>
                </w:rPr>
                <w:tab/>
              </w:r>
              <w:r>
                <w:tab/>
              </w:r>
              <w:r>
                <w:tab/>
              </w:r>
              <w:r>
                <w:tab/>
              </w:r>
              <w:r>
                <w:tab/>
              </w:r>
              <w:r>
                <w:tab/>
              </w:r>
              <w:hyperlink w:anchor="_1.10._Liste_et" w:history="1">
                <w:r>
                  <w:rPr>
                    <w:rStyle w:val="Lienhypertexte"/>
                    <w:rFonts w:cs="Arial"/>
                  </w:rPr>
                  <w:t>Lien</w:t>
                </w:r>
              </w:hyperlink>
            </w:p>
            <w:p w:rsidR="00F04EEF" w:rsidRDefault="00F04EEF"/>
            <w:p w:rsidR="00F04EEF" w:rsidRDefault="0099351E">
              <w:pPr>
                <w:rPr>
                  <w:rFonts w:eastAsia="Times New Roman" w:cs="Arial"/>
                  <w:b/>
                  <w:lang w:eastAsia="ar-SA"/>
                </w:rPr>
              </w:pPr>
              <w:r>
                <w:rPr>
                  <w:rFonts w:eastAsia="Times New Roman" w:cs="Arial"/>
                  <w:b/>
                  <w:lang w:eastAsia="ar-SA"/>
                </w:rPr>
                <w:t>Chapitre 30 : Approbation des grilles-horaires</w:t>
              </w:r>
            </w:p>
            <w:p w:rsidR="00F04EEF" w:rsidRDefault="0099351E">
              <w:pPr>
                <w:pStyle w:val="Paragraphedeliste"/>
                <w:numPr>
                  <w:ilvl w:val="0"/>
                  <w:numId w:val="360"/>
                </w:numPr>
                <w:ind w:left="284" w:hanging="284"/>
                <w:rPr>
                  <w:rFonts w:asciiTheme="majorHAnsi" w:hAnsiTheme="majorHAnsi"/>
                  <w:sz w:val="22"/>
                  <w:szCs w:val="22"/>
                </w:rPr>
              </w:pPr>
              <w:r>
                <w:rPr>
                  <w:rFonts w:asciiTheme="minorHAnsi" w:hAnsiTheme="minorHAnsi" w:cstheme="minorHAnsi"/>
                  <w:sz w:val="22"/>
                  <w:szCs w:val="22"/>
                </w:rPr>
                <w:t>Modification de la chronologie d’approbation des grilles horaires</w:t>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r>
                <w:rPr>
                  <w:rFonts w:asciiTheme="majorHAnsi" w:hAnsiTheme="majorHAnsi"/>
                  <w:sz w:val="22"/>
                  <w:szCs w:val="22"/>
                </w:rPr>
                <w:tab/>
              </w:r>
              <w:hyperlink w:anchor="_Chapitre_30_:" w:history="1">
                <w:r>
                  <w:rPr>
                    <w:rStyle w:val="Lienhypertexte"/>
                    <w:rFonts w:asciiTheme="majorHAnsi" w:hAnsiTheme="majorHAnsi" w:cs="Arial"/>
                    <w:sz w:val="22"/>
                    <w:szCs w:val="22"/>
                  </w:rPr>
                  <w:t>Lien</w:t>
                </w:r>
              </w:hyperlink>
            </w:p>
            <w:p w:rsidR="00F04EEF" w:rsidRDefault="00F04EEF"/>
            <w:p w:rsidR="00F04EEF" w:rsidRDefault="0099351E">
              <w:pPr>
                <w:tabs>
                  <w:tab w:val="left" w:pos="7797"/>
                </w:tabs>
                <w:ind w:right="-2"/>
                <w:jc w:val="both"/>
                <w:rPr>
                  <w:b/>
                </w:rPr>
              </w:pPr>
              <w:r>
                <w:rPr>
                  <w:b/>
                </w:rPr>
                <w:t xml:space="preserve">INDEX I : Les personnes-ressources de la Direction générale de l’Enseignement obligatoire pour les établissements d’Enseignement spécialisé : </w:t>
              </w:r>
            </w:p>
            <w:p w:rsidR="00F04EEF" w:rsidRDefault="0099351E">
              <w:pPr>
                <w:tabs>
                  <w:tab w:val="left" w:pos="7797"/>
                </w:tabs>
                <w:ind w:right="-2"/>
                <w:jc w:val="both"/>
                <w:rPr>
                  <w:rStyle w:val="Lienhypertexte"/>
                  <w:rFonts w:cstheme="minorBidi"/>
                </w:rPr>
              </w:pPr>
              <w:proofErr w:type="gramStart"/>
              <w:r>
                <w:t>la</w:t>
              </w:r>
              <w:proofErr w:type="gramEnd"/>
              <w:r>
                <w:t xml:space="preserve"> liste des personnes de contact au sein de la D.G.E.O. a été mise à jour </w:t>
              </w:r>
              <w:r>
                <w:tab/>
              </w:r>
              <w:r>
                <w:tab/>
              </w:r>
              <w:r>
                <w:tab/>
              </w:r>
              <w:hyperlink w:anchor="_INDEX_I_:" w:history="1">
                <w:r>
                  <w:rPr>
                    <w:rStyle w:val="Lienhypertexte"/>
                    <w:rFonts w:cstheme="minorBidi"/>
                  </w:rPr>
                  <w:t>Lien</w:t>
                </w:r>
              </w:hyperlink>
            </w:p>
            <w:p w:rsidR="00F04EEF" w:rsidRDefault="00F04EEF">
              <w:pPr>
                <w:tabs>
                  <w:tab w:val="left" w:pos="7797"/>
                </w:tabs>
                <w:ind w:right="-2"/>
                <w:jc w:val="both"/>
                <w:rPr>
                  <w:rStyle w:val="Lienhypertexte"/>
                  <w:rFonts w:cstheme="minorBidi"/>
                </w:rPr>
              </w:pPr>
            </w:p>
            <w:p w:rsidR="00F04EEF" w:rsidRDefault="0099351E">
              <w:pPr>
                <w:tabs>
                  <w:tab w:val="left" w:pos="7797"/>
                </w:tabs>
                <w:ind w:right="-2"/>
                <w:jc w:val="both"/>
                <w:rPr>
                  <w:b/>
                </w:rPr>
              </w:pPr>
              <w:r>
                <w:rPr>
                  <w:b/>
                </w:rPr>
                <w:t>INDEX III : Lien avec d’autres circulaires</w:t>
              </w:r>
            </w:p>
            <w:p w:rsidR="00F04EEF" w:rsidRDefault="0099351E">
              <w:pPr>
                <w:tabs>
                  <w:tab w:val="left" w:pos="7797"/>
                </w:tabs>
                <w:ind w:right="-2"/>
                <w:jc w:val="both"/>
              </w:pPr>
              <w:r>
                <w:t xml:space="preserve">Ajout de la </w:t>
              </w:r>
              <w:hyperlink r:id="rId14" w:history="1">
                <w:r>
                  <w:t>Circulaire 7625 du 24/06/2020 Définition d’une stratégie en vue de la rentrée de septembre 2020/2021 dans le contexte du Covid-19 - Enseignement secondaire</w:t>
                </w:r>
              </w:hyperlink>
              <w:r>
                <w:tab/>
              </w:r>
              <w:r>
                <w:tab/>
              </w:r>
              <w:r>
                <w:tab/>
              </w:r>
              <w:hyperlink w:anchor="_INDEX_III_:" w:history="1">
                <w:r>
                  <w:rPr>
                    <w:rStyle w:val="Lienhypertexte"/>
                    <w:rFonts w:cstheme="minorBidi"/>
                  </w:rPr>
                  <w:t>Lien</w:t>
                </w:r>
              </w:hyperlink>
            </w:p>
            <w:p w:rsidR="00F04EEF" w:rsidRDefault="00F04EEF">
              <w:pPr>
                <w:tabs>
                  <w:tab w:val="left" w:pos="7797"/>
                </w:tabs>
                <w:ind w:right="-2"/>
                <w:jc w:val="both"/>
                <w:rPr>
                  <w:b/>
                </w:rPr>
              </w:pPr>
            </w:p>
            <w:p w:rsidR="00F04EEF" w:rsidRDefault="00F04EEF"/>
            <w:p w:rsidR="00F04EEF" w:rsidRDefault="00F04EEF">
              <w:pPr>
                <w:rPr>
                  <w:b/>
                </w:rPr>
              </w:pPr>
            </w:p>
            <w:p w:rsidR="00F04EEF" w:rsidRDefault="00F04EEF">
              <w:pPr>
                <w:rPr>
                  <w:b/>
                </w:rPr>
              </w:pPr>
            </w:p>
            <w:p w:rsidR="00F04EEF" w:rsidRDefault="00F04EEF">
              <w:pPr>
                <w:rPr>
                  <w:b/>
                </w:rPr>
              </w:pPr>
            </w:p>
            <w:p w:rsidR="00F04EEF" w:rsidRDefault="00F04EEF">
              <w:pPr>
                <w:rPr>
                  <w:b/>
                </w:rPr>
              </w:pPr>
            </w:p>
            <w:sdt>
              <w:sdtPr>
                <w:rPr>
                  <w:rFonts w:eastAsia="Times New Roman" w:cs="Arial"/>
                  <w:color w:val="0000FF"/>
                  <w:sz w:val="20"/>
                  <w:szCs w:val="20"/>
                  <w:u w:val="single"/>
                  <w:lang w:eastAsia="ar-SA"/>
                </w:rPr>
                <w:id w:val="778380281"/>
                <w:docPartObj>
                  <w:docPartGallery w:val="Cover Pages"/>
                  <w:docPartUnique/>
                </w:docPartObj>
              </w:sdtPr>
              <w:sdtEndPr>
                <w:rPr>
                  <w:sz w:val="16"/>
                  <w:szCs w:val="16"/>
                </w:rPr>
              </w:sdtEndPr>
              <w:sdtContent>
                <w:p w:rsidR="00F04EEF" w:rsidRDefault="00F04EEF">
                  <w:pPr>
                    <w:jc w:val="center"/>
                    <w:rPr>
                      <w:rFonts w:eastAsia="Times New Roman" w:cs="Arial"/>
                      <w:sz w:val="20"/>
                      <w:szCs w:val="20"/>
                      <w:lang w:eastAsia="ar-SA"/>
                    </w:rPr>
                  </w:pPr>
                </w:p>
                <w:p w:rsidR="00F04EEF" w:rsidRDefault="00F04EEF">
                  <w:pPr>
                    <w:rPr>
                      <w:rFonts w:eastAsia="Times New Roman" w:cs="Arial"/>
                      <w:sz w:val="20"/>
                      <w:szCs w:val="20"/>
                      <w:lang w:eastAsia="ar-SA"/>
                    </w:rPr>
                  </w:pPr>
                </w:p>
                <w:p w:rsidR="00F04EEF" w:rsidRDefault="0099351E">
                  <w:pPr>
                    <w:pStyle w:val="Titre2"/>
                    <w:jc w:val="center"/>
                    <w:rPr>
                      <w:rStyle w:val="Titre2Car1"/>
                      <w:b/>
                      <w:smallCaps/>
                      <w:sz w:val="56"/>
                    </w:rPr>
                  </w:pPr>
                  <w:bookmarkStart w:id="3" w:name="_Toc47708475"/>
                  <w:r>
                    <w:rPr>
                      <w:rStyle w:val="Titre2Car1"/>
                      <w:b/>
                      <w:smallCaps/>
                      <w:sz w:val="56"/>
                    </w:rPr>
                    <w:t>Table des matières</w:t>
                  </w:r>
                  <w:bookmarkEnd w:id="3"/>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99351E">
                  <w:pPr>
                    <w:pStyle w:val="TM2"/>
                    <w:tabs>
                      <w:tab w:val="right" w:leader="dot" w:pos="9344"/>
                    </w:tabs>
                    <w:rPr>
                      <w:rFonts w:eastAsiaTheme="minorEastAsia" w:cstheme="minorBidi"/>
                      <w:b w:val="0"/>
                      <w:iCs w:val="0"/>
                      <w:noProof/>
                      <w:szCs w:val="22"/>
                      <w:lang w:eastAsia="fr-BE"/>
                    </w:rPr>
                  </w:pPr>
                  <w:r>
                    <w:rPr>
                      <w:iCs w:val="0"/>
                      <w:noProof/>
                    </w:rPr>
                    <w:fldChar w:fldCharType="begin"/>
                  </w:r>
                  <w:r>
                    <w:rPr>
                      <w:iCs w:val="0"/>
                      <w:noProof/>
                    </w:rPr>
                    <w:instrText xml:space="preserve"> TOC \o "1-3" \h \z \u </w:instrText>
                  </w:r>
                  <w:r>
                    <w:rPr>
                      <w:iCs w:val="0"/>
                      <w:noProof/>
                    </w:rPr>
                    <w:fldChar w:fldCharType="separate"/>
                  </w:r>
                  <w:hyperlink w:anchor="_Toc47708473" w:history="1">
                    <w:r>
                      <w:rPr>
                        <w:rStyle w:val="Lienhypertexte"/>
                        <w:noProof/>
                      </w:rPr>
                      <w:t>Introduction d’ordre administratiF</w:t>
                    </w:r>
                    <w:r>
                      <w:rPr>
                        <w:noProof/>
                        <w:webHidden/>
                      </w:rPr>
                      <w:tab/>
                    </w:r>
                    <w:r>
                      <w:rPr>
                        <w:noProof/>
                        <w:webHidden/>
                      </w:rPr>
                      <w:fldChar w:fldCharType="begin"/>
                    </w:r>
                    <w:r>
                      <w:rPr>
                        <w:noProof/>
                        <w:webHidden/>
                      </w:rPr>
                      <w:instrText xml:space="preserve"> PAGEREF _Toc47708473 \h </w:instrText>
                    </w:r>
                    <w:r>
                      <w:rPr>
                        <w:noProof/>
                        <w:webHidden/>
                      </w:rPr>
                    </w:r>
                    <w:r>
                      <w:rPr>
                        <w:noProof/>
                        <w:webHidden/>
                      </w:rPr>
                      <w:fldChar w:fldCharType="separate"/>
                    </w:r>
                    <w:r>
                      <w:rPr>
                        <w:noProof/>
                        <w:webHidden/>
                      </w:rPr>
                      <w:t>2</w:t>
                    </w:r>
                    <w:r>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474" w:history="1">
                    <w:r w:rsidR="0099351E">
                      <w:rPr>
                        <w:rStyle w:val="Lienhypertexte"/>
                        <w:noProof/>
                      </w:rPr>
                      <w:t>Principales modifications</w:t>
                    </w:r>
                    <w:r w:rsidR="0099351E">
                      <w:rPr>
                        <w:noProof/>
                        <w:webHidden/>
                      </w:rPr>
                      <w:tab/>
                    </w:r>
                    <w:r w:rsidR="0099351E">
                      <w:rPr>
                        <w:noProof/>
                        <w:webHidden/>
                      </w:rPr>
                      <w:fldChar w:fldCharType="begin"/>
                    </w:r>
                    <w:r w:rsidR="0099351E">
                      <w:rPr>
                        <w:noProof/>
                        <w:webHidden/>
                      </w:rPr>
                      <w:instrText xml:space="preserve"> PAGEREF _Toc47708474 \h </w:instrText>
                    </w:r>
                    <w:r w:rsidR="0099351E">
                      <w:rPr>
                        <w:noProof/>
                        <w:webHidden/>
                      </w:rPr>
                    </w:r>
                    <w:r w:rsidR="0099351E">
                      <w:rPr>
                        <w:noProof/>
                        <w:webHidden/>
                      </w:rPr>
                      <w:fldChar w:fldCharType="separate"/>
                    </w:r>
                    <w:r w:rsidR="0099351E">
                      <w:rPr>
                        <w:noProof/>
                        <w:webHidden/>
                      </w:rPr>
                      <w:t>3</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475" w:history="1">
                    <w:r w:rsidR="0099351E">
                      <w:rPr>
                        <w:rStyle w:val="Lienhypertexte"/>
                        <w:noProof/>
                      </w:rPr>
                      <w:t>Table des matières</w:t>
                    </w:r>
                    <w:r w:rsidR="0099351E">
                      <w:rPr>
                        <w:noProof/>
                        <w:webHidden/>
                      </w:rPr>
                      <w:tab/>
                    </w:r>
                    <w:r w:rsidR="0099351E">
                      <w:rPr>
                        <w:noProof/>
                        <w:webHidden/>
                      </w:rPr>
                      <w:fldChar w:fldCharType="begin"/>
                    </w:r>
                    <w:r w:rsidR="0099351E">
                      <w:rPr>
                        <w:noProof/>
                        <w:webHidden/>
                      </w:rPr>
                      <w:instrText xml:space="preserve"> PAGEREF _Toc47708475 \h </w:instrText>
                    </w:r>
                    <w:r w:rsidR="0099351E">
                      <w:rPr>
                        <w:noProof/>
                        <w:webHidden/>
                      </w:rPr>
                    </w:r>
                    <w:r w:rsidR="0099351E">
                      <w:rPr>
                        <w:noProof/>
                        <w:webHidden/>
                      </w:rPr>
                      <w:fldChar w:fldCharType="separate"/>
                    </w:r>
                    <w:r w:rsidR="0099351E">
                      <w:rPr>
                        <w:noProof/>
                        <w:webHidden/>
                      </w:rPr>
                      <w:t>7</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476" w:history="1">
                    <w:r w:rsidR="0099351E">
                      <w:rPr>
                        <w:rStyle w:val="Lienhypertexte"/>
                        <w:noProof/>
                      </w:rPr>
                      <w:t>Chapitre 1 : Obligation scolaire, inscription des élèves, fréquentation scolaire, sanctions disciplinaires et gratuité dans l’enseignement secondaire spécialisé subventionné par la Fédération Wallonie-Bruxelles ET ORGANISÉ PAR WALLONIE-BRUXELLES ENSEIGNEMENT (WBE).</w:t>
                    </w:r>
                    <w:r w:rsidR="0099351E">
                      <w:rPr>
                        <w:noProof/>
                        <w:webHidden/>
                      </w:rPr>
                      <w:tab/>
                    </w:r>
                    <w:r w:rsidR="0099351E">
                      <w:rPr>
                        <w:noProof/>
                        <w:webHidden/>
                      </w:rPr>
                      <w:fldChar w:fldCharType="begin"/>
                    </w:r>
                    <w:r w:rsidR="0099351E">
                      <w:rPr>
                        <w:noProof/>
                        <w:webHidden/>
                      </w:rPr>
                      <w:instrText xml:space="preserve"> PAGEREF _Toc47708476 \h </w:instrText>
                    </w:r>
                    <w:r w:rsidR="0099351E">
                      <w:rPr>
                        <w:noProof/>
                        <w:webHidden/>
                      </w:rPr>
                    </w:r>
                    <w:r w:rsidR="0099351E">
                      <w:rPr>
                        <w:noProof/>
                        <w:webHidden/>
                      </w:rPr>
                      <w:fldChar w:fldCharType="separate"/>
                    </w:r>
                    <w:r w:rsidR="0099351E">
                      <w:rPr>
                        <w:noProof/>
                        <w:webHidden/>
                      </w:rPr>
                      <w:t>12</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477" w:history="1">
                    <w:r w:rsidR="0099351E">
                      <w:rPr>
                        <w:rStyle w:val="Lienhypertexte"/>
                        <w:noProof/>
                      </w:rPr>
                      <w:t>.</w:t>
                    </w:r>
                    <w:r w:rsidR="0099351E">
                      <w:rPr>
                        <w:noProof/>
                        <w:webHidden/>
                      </w:rPr>
                      <w:tab/>
                    </w:r>
                    <w:r w:rsidR="0099351E">
                      <w:rPr>
                        <w:noProof/>
                        <w:webHidden/>
                      </w:rPr>
                      <w:fldChar w:fldCharType="begin"/>
                    </w:r>
                    <w:r w:rsidR="0099351E">
                      <w:rPr>
                        <w:noProof/>
                        <w:webHidden/>
                      </w:rPr>
                      <w:instrText xml:space="preserve"> PAGEREF _Toc47708477 \h </w:instrText>
                    </w:r>
                    <w:r w:rsidR="0099351E">
                      <w:rPr>
                        <w:noProof/>
                        <w:webHidden/>
                      </w:rPr>
                    </w:r>
                    <w:r w:rsidR="0099351E">
                      <w:rPr>
                        <w:noProof/>
                        <w:webHidden/>
                      </w:rPr>
                      <w:fldChar w:fldCharType="separate"/>
                    </w:r>
                    <w:r w:rsidR="0099351E">
                      <w:rPr>
                        <w:noProof/>
                        <w:webHidden/>
                      </w:rPr>
                      <w:t>12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78" w:history="1">
                    <w:r w:rsidR="0099351E">
                      <w:rPr>
                        <w:rStyle w:val="Lienhypertexte"/>
                        <w:noProof/>
                      </w:rPr>
                      <w:t>1. Consignes</w:t>
                    </w:r>
                    <w:r w:rsidR="0099351E">
                      <w:rPr>
                        <w:noProof/>
                        <w:webHidden/>
                      </w:rPr>
                      <w:tab/>
                    </w:r>
                    <w:r w:rsidR="0099351E">
                      <w:rPr>
                        <w:noProof/>
                        <w:webHidden/>
                      </w:rPr>
                      <w:fldChar w:fldCharType="begin"/>
                    </w:r>
                    <w:r w:rsidR="0099351E">
                      <w:rPr>
                        <w:noProof/>
                        <w:webHidden/>
                      </w:rPr>
                      <w:instrText xml:space="preserve"> PAGEREF _Toc47708478 \h </w:instrText>
                    </w:r>
                    <w:r w:rsidR="0099351E">
                      <w:rPr>
                        <w:noProof/>
                        <w:webHidden/>
                      </w:rPr>
                    </w:r>
                    <w:r w:rsidR="0099351E">
                      <w:rPr>
                        <w:noProof/>
                        <w:webHidden/>
                      </w:rPr>
                      <w:fldChar w:fldCharType="separate"/>
                    </w:r>
                    <w:r w:rsidR="0099351E">
                      <w:rPr>
                        <w:noProof/>
                        <w:webHidden/>
                      </w:rPr>
                      <w:t>12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79" w:history="1">
                    <w:r w:rsidR="0099351E">
                      <w:rPr>
                        <w:rStyle w:val="Lienhypertexte"/>
                        <w:noProof/>
                      </w:rPr>
                      <w:t>2. Questions-réponses</w:t>
                    </w:r>
                    <w:r w:rsidR="0099351E">
                      <w:rPr>
                        <w:noProof/>
                        <w:webHidden/>
                      </w:rPr>
                      <w:tab/>
                    </w:r>
                    <w:r w:rsidR="0099351E">
                      <w:rPr>
                        <w:noProof/>
                        <w:webHidden/>
                      </w:rPr>
                      <w:fldChar w:fldCharType="begin"/>
                    </w:r>
                    <w:r w:rsidR="0099351E">
                      <w:rPr>
                        <w:noProof/>
                        <w:webHidden/>
                      </w:rPr>
                      <w:instrText xml:space="preserve"> PAGEREF _Toc47708479 \h </w:instrText>
                    </w:r>
                    <w:r w:rsidR="0099351E">
                      <w:rPr>
                        <w:noProof/>
                        <w:webHidden/>
                      </w:rPr>
                    </w:r>
                    <w:r w:rsidR="0099351E">
                      <w:rPr>
                        <w:noProof/>
                        <w:webHidden/>
                      </w:rPr>
                      <w:fldChar w:fldCharType="separate"/>
                    </w:r>
                    <w:r w:rsidR="0099351E">
                      <w:rPr>
                        <w:noProof/>
                        <w:webHidden/>
                      </w:rPr>
                      <w:t>54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0" w:history="1">
                    <w:r w:rsidR="0099351E">
                      <w:rPr>
                        <w:rStyle w:val="Lienhypertexte"/>
                        <w:noProof/>
                      </w:rPr>
                      <w:t>3. Annexes</w:t>
                    </w:r>
                    <w:r w:rsidR="0099351E">
                      <w:rPr>
                        <w:noProof/>
                        <w:webHidden/>
                      </w:rPr>
                      <w:tab/>
                    </w:r>
                    <w:r w:rsidR="0099351E">
                      <w:rPr>
                        <w:noProof/>
                        <w:webHidden/>
                      </w:rPr>
                      <w:fldChar w:fldCharType="begin"/>
                    </w:r>
                    <w:r w:rsidR="0099351E">
                      <w:rPr>
                        <w:noProof/>
                        <w:webHidden/>
                      </w:rPr>
                      <w:instrText xml:space="preserve"> PAGEREF _Toc47708480 \h </w:instrText>
                    </w:r>
                    <w:r w:rsidR="0099351E">
                      <w:rPr>
                        <w:noProof/>
                        <w:webHidden/>
                      </w:rPr>
                    </w:r>
                    <w:r w:rsidR="0099351E">
                      <w:rPr>
                        <w:noProof/>
                        <w:webHidden/>
                      </w:rPr>
                      <w:fldChar w:fldCharType="separate"/>
                    </w:r>
                    <w:r w:rsidR="0099351E">
                      <w:rPr>
                        <w:noProof/>
                        <w:webHidden/>
                      </w:rPr>
                      <w:t>67</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481" w:history="1">
                    <w:r w:rsidR="0099351E">
                      <w:rPr>
                        <w:rStyle w:val="Lienhypertexte"/>
                        <w:noProof/>
                      </w:rPr>
                      <w:t>Chapitre 2 : Rationalisation et programmation</w:t>
                    </w:r>
                    <w:r w:rsidR="0099351E">
                      <w:rPr>
                        <w:noProof/>
                        <w:webHidden/>
                      </w:rPr>
                      <w:tab/>
                    </w:r>
                    <w:r w:rsidR="0099351E">
                      <w:rPr>
                        <w:noProof/>
                        <w:webHidden/>
                      </w:rPr>
                      <w:fldChar w:fldCharType="begin"/>
                    </w:r>
                    <w:r w:rsidR="0099351E">
                      <w:rPr>
                        <w:noProof/>
                        <w:webHidden/>
                      </w:rPr>
                      <w:instrText xml:space="preserve"> PAGEREF _Toc47708481 \h </w:instrText>
                    </w:r>
                    <w:r w:rsidR="0099351E">
                      <w:rPr>
                        <w:noProof/>
                        <w:webHidden/>
                      </w:rPr>
                    </w:r>
                    <w:r w:rsidR="0099351E">
                      <w:rPr>
                        <w:noProof/>
                        <w:webHidden/>
                      </w:rPr>
                      <w:fldChar w:fldCharType="separate"/>
                    </w:r>
                    <w:r w:rsidR="0099351E">
                      <w:rPr>
                        <w:noProof/>
                        <w:webHidden/>
                      </w:rPr>
                      <w:t>100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2" w:history="1">
                    <w:r w:rsidR="0099351E">
                      <w:rPr>
                        <w:rStyle w:val="Lienhypertexte"/>
                        <w:rFonts w:ascii="Cambria" w:hAnsi="Cambria"/>
                        <w:noProof/>
                      </w:rPr>
                      <w:t>1. Notions essentielles</w:t>
                    </w:r>
                    <w:r w:rsidR="0099351E">
                      <w:rPr>
                        <w:noProof/>
                        <w:webHidden/>
                      </w:rPr>
                      <w:tab/>
                    </w:r>
                    <w:r w:rsidR="0099351E">
                      <w:rPr>
                        <w:noProof/>
                        <w:webHidden/>
                      </w:rPr>
                      <w:fldChar w:fldCharType="begin"/>
                    </w:r>
                    <w:r w:rsidR="0099351E">
                      <w:rPr>
                        <w:noProof/>
                        <w:webHidden/>
                      </w:rPr>
                      <w:instrText xml:space="preserve"> PAGEREF _Toc47708482 \h </w:instrText>
                    </w:r>
                    <w:r w:rsidR="0099351E">
                      <w:rPr>
                        <w:noProof/>
                        <w:webHidden/>
                      </w:rPr>
                    </w:r>
                    <w:r w:rsidR="0099351E">
                      <w:rPr>
                        <w:noProof/>
                        <w:webHidden/>
                      </w:rPr>
                      <w:fldChar w:fldCharType="separate"/>
                    </w:r>
                    <w:r w:rsidR="0099351E">
                      <w:rPr>
                        <w:noProof/>
                        <w:webHidden/>
                      </w:rPr>
                      <w:t>100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3" w:history="1">
                    <w:r w:rsidR="0099351E">
                      <w:rPr>
                        <w:rStyle w:val="Lienhypertexte"/>
                        <w:noProof/>
                      </w:rPr>
                      <w:t>2. Champ d’application du plan de rationalisation et de programmation</w:t>
                    </w:r>
                    <w:r w:rsidR="0099351E">
                      <w:rPr>
                        <w:noProof/>
                        <w:webHidden/>
                      </w:rPr>
                      <w:tab/>
                    </w:r>
                    <w:r w:rsidR="0099351E">
                      <w:rPr>
                        <w:noProof/>
                        <w:webHidden/>
                      </w:rPr>
                      <w:fldChar w:fldCharType="begin"/>
                    </w:r>
                    <w:r w:rsidR="0099351E">
                      <w:rPr>
                        <w:noProof/>
                        <w:webHidden/>
                      </w:rPr>
                      <w:instrText xml:space="preserve"> PAGEREF _Toc47708483 \h </w:instrText>
                    </w:r>
                    <w:r w:rsidR="0099351E">
                      <w:rPr>
                        <w:noProof/>
                        <w:webHidden/>
                      </w:rPr>
                    </w:r>
                    <w:r w:rsidR="0099351E">
                      <w:rPr>
                        <w:noProof/>
                        <w:webHidden/>
                      </w:rPr>
                      <w:fldChar w:fldCharType="separate"/>
                    </w:r>
                    <w:r w:rsidR="0099351E">
                      <w:rPr>
                        <w:noProof/>
                        <w:webHidden/>
                      </w:rPr>
                      <w:t>103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4" w:history="1">
                    <w:r w:rsidR="0099351E">
                      <w:rPr>
                        <w:rStyle w:val="Lienhypertexte"/>
                        <w:noProof/>
                      </w:rPr>
                      <w:t>3. Rationalisation de l’enseignement secondaire spécialisé « Normes de maintien »</w:t>
                    </w:r>
                    <w:r w:rsidR="0099351E">
                      <w:rPr>
                        <w:noProof/>
                        <w:webHidden/>
                      </w:rPr>
                      <w:tab/>
                    </w:r>
                    <w:r w:rsidR="0099351E">
                      <w:rPr>
                        <w:noProof/>
                        <w:webHidden/>
                      </w:rPr>
                      <w:fldChar w:fldCharType="begin"/>
                    </w:r>
                    <w:r w:rsidR="0099351E">
                      <w:rPr>
                        <w:noProof/>
                        <w:webHidden/>
                      </w:rPr>
                      <w:instrText xml:space="preserve"> PAGEREF _Toc47708484 \h </w:instrText>
                    </w:r>
                    <w:r w:rsidR="0099351E">
                      <w:rPr>
                        <w:noProof/>
                        <w:webHidden/>
                      </w:rPr>
                    </w:r>
                    <w:r w:rsidR="0099351E">
                      <w:rPr>
                        <w:noProof/>
                        <w:webHidden/>
                      </w:rPr>
                      <w:fldChar w:fldCharType="separate"/>
                    </w:r>
                    <w:r w:rsidR="0099351E">
                      <w:rPr>
                        <w:noProof/>
                        <w:webHidden/>
                      </w:rPr>
                      <w:t>103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5" w:history="1">
                    <w:r w:rsidR="0099351E">
                      <w:rPr>
                        <w:rStyle w:val="Lienhypertexte"/>
                        <w:noProof/>
                      </w:rPr>
                      <w:t>4. Programmation de l’enseignement secondaire spécialisé « Normes de création »</w:t>
                    </w:r>
                    <w:r w:rsidR="0099351E">
                      <w:rPr>
                        <w:noProof/>
                        <w:webHidden/>
                      </w:rPr>
                      <w:tab/>
                    </w:r>
                    <w:r w:rsidR="0099351E">
                      <w:rPr>
                        <w:noProof/>
                        <w:webHidden/>
                      </w:rPr>
                      <w:fldChar w:fldCharType="begin"/>
                    </w:r>
                    <w:r w:rsidR="0099351E">
                      <w:rPr>
                        <w:noProof/>
                        <w:webHidden/>
                      </w:rPr>
                      <w:instrText xml:space="preserve"> PAGEREF _Toc47708485 \h </w:instrText>
                    </w:r>
                    <w:r w:rsidR="0099351E">
                      <w:rPr>
                        <w:noProof/>
                        <w:webHidden/>
                      </w:rPr>
                    </w:r>
                    <w:r w:rsidR="0099351E">
                      <w:rPr>
                        <w:noProof/>
                        <w:webHidden/>
                      </w:rPr>
                      <w:fldChar w:fldCharType="separate"/>
                    </w:r>
                    <w:r w:rsidR="0099351E">
                      <w:rPr>
                        <w:noProof/>
                        <w:webHidden/>
                      </w:rPr>
                      <w:t>107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6" w:history="1">
                    <w:r w:rsidR="0099351E">
                      <w:rPr>
                        <w:rStyle w:val="Lienhypertexte"/>
                        <w:noProof/>
                      </w:rPr>
                      <w:t>5. Régime particulier en faveur des membres du personnel mis en disponibilité par défaut d’emploi par application du plan de rationalisation</w:t>
                    </w:r>
                    <w:r w:rsidR="0099351E">
                      <w:rPr>
                        <w:noProof/>
                        <w:webHidden/>
                      </w:rPr>
                      <w:tab/>
                    </w:r>
                    <w:r w:rsidR="0099351E">
                      <w:rPr>
                        <w:noProof/>
                        <w:webHidden/>
                      </w:rPr>
                      <w:fldChar w:fldCharType="begin"/>
                    </w:r>
                    <w:r w:rsidR="0099351E">
                      <w:rPr>
                        <w:noProof/>
                        <w:webHidden/>
                      </w:rPr>
                      <w:instrText xml:space="preserve"> PAGEREF _Toc47708486 \h </w:instrText>
                    </w:r>
                    <w:r w:rsidR="0099351E">
                      <w:rPr>
                        <w:noProof/>
                        <w:webHidden/>
                      </w:rPr>
                    </w:r>
                    <w:r w:rsidR="0099351E">
                      <w:rPr>
                        <w:noProof/>
                        <w:webHidden/>
                      </w:rPr>
                      <w:fldChar w:fldCharType="separate"/>
                    </w:r>
                    <w:r w:rsidR="0099351E">
                      <w:rPr>
                        <w:noProof/>
                        <w:webHidden/>
                      </w:rPr>
                      <w:t>112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7" w:history="1">
                    <w:r w:rsidR="0099351E">
                      <w:rPr>
                        <w:rStyle w:val="Lienhypertexte"/>
                        <w:noProof/>
                      </w:rPr>
                      <w:t>6. Calcul des capitaux-périodes utilisables en cas de programmation</w:t>
                    </w:r>
                    <w:r w:rsidR="0099351E">
                      <w:rPr>
                        <w:noProof/>
                        <w:webHidden/>
                      </w:rPr>
                      <w:tab/>
                    </w:r>
                    <w:r w:rsidR="0099351E">
                      <w:rPr>
                        <w:noProof/>
                        <w:webHidden/>
                      </w:rPr>
                      <w:fldChar w:fldCharType="begin"/>
                    </w:r>
                    <w:r w:rsidR="0099351E">
                      <w:rPr>
                        <w:noProof/>
                        <w:webHidden/>
                      </w:rPr>
                      <w:instrText xml:space="preserve"> PAGEREF _Toc47708487 \h </w:instrText>
                    </w:r>
                    <w:r w:rsidR="0099351E">
                      <w:rPr>
                        <w:noProof/>
                        <w:webHidden/>
                      </w:rPr>
                    </w:r>
                    <w:r w:rsidR="0099351E">
                      <w:rPr>
                        <w:noProof/>
                        <w:webHidden/>
                      </w:rPr>
                      <w:fldChar w:fldCharType="separate"/>
                    </w:r>
                    <w:r w:rsidR="0099351E">
                      <w:rPr>
                        <w:noProof/>
                        <w:webHidden/>
                      </w:rPr>
                      <w:t>112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8" w:history="1">
                    <w:r w:rsidR="0099351E">
                      <w:rPr>
                        <w:rStyle w:val="Lienhypertexte"/>
                        <w:noProof/>
                      </w:rPr>
                      <w:t>8. Introduction des propositions de programmation d’implantation ou d’école, de transformation, de fusion, de scission</w:t>
                    </w:r>
                    <w:r w:rsidR="0099351E">
                      <w:rPr>
                        <w:noProof/>
                        <w:webHidden/>
                      </w:rPr>
                      <w:tab/>
                    </w:r>
                    <w:r w:rsidR="0099351E">
                      <w:rPr>
                        <w:noProof/>
                        <w:webHidden/>
                      </w:rPr>
                      <w:fldChar w:fldCharType="begin"/>
                    </w:r>
                    <w:r w:rsidR="0099351E">
                      <w:rPr>
                        <w:noProof/>
                        <w:webHidden/>
                      </w:rPr>
                      <w:instrText xml:space="preserve"> PAGEREF _Toc47708488 \h </w:instrText>
                    </w:r>
                    <w:r w:rsidR="0099351E">
                      <w:rPr>
                        <w:noProof/>
                        <w:webHidden/>
                      </w:rPr>
                    </w:r>
                    <w:r w:rsidR="0099351E">
                      <w:rPr>
                        <w:noProof/>
                        <w:webHidden/>
                      </w:rPr>
                      <w:fldChar w:fldCharType="separate"/>
                    </w:r>
                    <w:r w:rsidR="0099351E">
                      <w:rPr>
                        <w:noProof/>
                        <w:webHidden/>
                      </w:rPr>
                      <w:t>115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89" w:history="1">
                    <w:r w:rsidR="0099351E">
                      <w:rPr>
                        <w:rStyle w:val="Lienhypertexte"/>
                        <w:noProof/>
                      </w:rPr>
                      <w:t>9. Programmation d’une classe ou  implantation à visée inclusive</w:t>
                    </w:r>
                    <w:r w:rsidR="0099351E">
                      <w:rPr>
                        <w:noProof/>
                        <w:webHidden/>
                      </w:rPr>
                      <w:tab/>
                    </w:r>
                    <w:r w:rsidR="0099351E">
                      <w:rPr>
                        <w:noProof/>
                        <w:webHidden/>
                      </w:rPr>
                      <w:fldChar w:fldCharType="begin"/>
                    </w:r>
                    <w:r w:rsidR="0099351E">
                      <w:rPr>
                        <w:noProof/>
                        <w:webHidden/>
                      </w:rPr>
                      <w:instrText xml:space="preserve"> PAGEREF _Toc47708489 \h </w:instrText>
                    </w:r>
                    <w:r w:rsidR="0099351E">
                      <w:rPr>
                        <w:noProof/>
                        <w:webHidden/>
                      </w:rPr>
                    </w:r>
                    <w:r w:rsidR="0099351E">
                      <w:rPr>
                        <w:noProof/>
                        <w:webHidden/>
                      </w:rPr>
                      <w:fldChar w:fldCharType="separate"/>
                    </w:r>
                    <w:r w:rsidR="0099351E">
                      <w:rPr>
                        <w:noProof/>
                        <w:webHidden/>
                      </w:rPr>
                      <w:t>116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0" w:history="1">
                    <w:r w:rsidR="0099351E">
                      <w:rPr>
                        <w:rStyle w:val="Lienhypertexte"/>
                        <w:noProof/>
                      </w:rPr>
                      <w:t>10. Organisation d’un enseignement de type 8 au niveau secondaire de l’enseignement spécialisé de forme 3</w:t>
                    </w:r>
                    <w:r w:rsidR="0099351E">
                      <w:rPr>
                        <w:noProof/>
                        <w:webHidden/>
                      </w:rPr>
                      <w:tab/>
                    </w:r>
                    <w:r w:rsidR="0099351E">
                      <w:rPr>
                        <w:noProof/>
                        <w:webHidden/>
                      </w:rPr>
                      <w:fldChar w:fldCharType="begin"/>
                    </w:r>
                    <w:r w:rsidR="0099351E">
                      <w:rPr>
                        <w:noProof/>
                        <w:webHidden/>
                      </w:rPr>
                      <w:instrText xml:space="preserve"> PAGEREF _Toc47708490 \h </w:instrText>
                    </w:r>
                    <w:r w:rsidR="0099351E">
                      <w:rPr>
                        <w:noProof/>
                        <w:webHidden/>
                      </w:rPr>
                    </w:r>
                    <w:r w:rsidR="0099351E">
                      <w:rPr>
                        <w:noProof/>
                        <w:webHidden/>
                      </w:rPr>
                      <w:fldChar w:fldCharType="separate"/>
                    </w:r>
                    <w:r w:rsidR="0099351E">
                      <w:rPr>
                        <w:noProof/>
                        <w:webHidden/>
                      </w:rPr>
                      <w:t>116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1" w:history="1">
                    <w:r w:rsidR="0099351E">
                      <w:rPr>
                        <w:rStyle w:val="Lienhypertexte"/>
                        <w:noProof/>
                      </w:rPr>
                      <w:t>11. Annexes</w:t>
                    </w:r>
                    <w:r w:rsidR="0099351E">
                      <w:rPr>
                        <w:noProof/>
                        <w:webHidden/>
                      </w:rPr>
                      <w:tab/>
                    </w:r>
                    <w:r w:rsidR="0099351E">
                      <w:rPr>
                        <w:noProof/>
                        <w:webHidden/>
                      </w:rPr>
                      <w:fldChar w:fldCharType="begin"/>
                    </w:r>
                    <w:r w:rsidR="0099351E">
                      <w:rPr>
                        <w:noProof/>
                        <w:webHidden/>
                      </w:rPr>
                      <w:instrText xml:space="preserve"> PAGEREF _Toc47708491 \h </w:instrText>
                    </w:r>
                    <w:r w:rsidR="0099351E">
                      <w:rPr>
                        <w:noProof/>
                        <w:webHidden/>
                      </w:rPr>
                    </w:r>
                    <w:r w:rsidR="0099351E">
                      <w:rPr>
                        <w:noProof/>
                        <w:webHidden/>
                      </w:rPr>
                      <w:fldChar w:fldCharType="separate"/>
                    </w:r>
                    <w:r w:rsidR="0099351E">
                      <w:rPr>
                        <w:noProof/>
                        <w:webHidden/>
                      </w:rPr>
                      <w:t>117</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492" w:history="1">
                    <w:r w:rsidR="0099351E">
                      <w:rPr>
                        <w:rStyle w:val="Lienhypertexte"/>
                        <w:noProof/>
                      </w:rPr>
                      <w:t>Chapitre 3 : Admission aux subventions</w:t>
                    </w:r>
                    <w:r w:rsidR="0099351E">
                      <w:rPr>
                        <w:noProof/>
                        <w:webHidden/>
                      </w:rPr>
                      <w:tab/>
                    </w:r>
                    <w:r w:rsidR="0099351E">
                      <w:rPr>
                        <w:noProof/>
                        <w:webHidden/>
                      </w:rPr>
                      <w:fldChar w:fldCharType="begin"/>
                    </w:r>
                    <w:r w:rsidR="0099351E">
                      <w:rPr>
                        <w:noProof/>
                        <w:webHidden/>
                      </w:rPr>
                      <w:instrText xml:space="preserve"> PAGEREF _Toc47708492 \h </w:instrText>
                    </w:r>
                    <w:r w:rsidR="0099351E">
                      <w:rPr>
                        <w:noProof/>
                        <w:webHidden/>
                      </w:rPr>
                    </w:r>
                    <w:r w:rsidR="0099351E">
                      <w:rPr>
                        <w:noProof/>
                        <w:webHidden/>
                      </w:rPr>
                      <w:fldChar w:fldCharType="separate"/>
                    </w:r>
                    <w:r w:rsidR="0099351E">
                      <w:rPr>
                        <w:noProof/>
                        <w:webHidden/>
                      </w:rPr>
                      <w:t>120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3" w:history="1">
                    <w:r w:rsidR="0099351E">
                      <w:rPr>
                        <w:rStyle w:val="Lienhypertexte"/>
                        <w:noProof/>
                      </w:rPr>
                      <w:t>1. Création d’un nouvel établissement scolaire d’enseignement secondaire spécialisé</w:t>
                    </w:r>
                    <w:r w:rsidR="0099351E">
                      <w:rPr>
                        <w:noProof/>
                        <w:webHidden/>
                      </w:rPr>
                      <w:tab/>
                    </w:r>
                    <w:r w:rsidR="0099351E">
                      <w:rPr>
                        <w:noProof/>
                        <w:webHidden/>
                      </w:rPr>
                      <w:fldChar w:fldCharType="begin"/>
                    </w:r>
                    <w:r w:rsidR="0099351E">
                      <w:rPr>
                        <w:noProof/>
                        <w:webHidden/>
                      </w:rPr>
                      <w:instrText xml:space="preserve"> PAGEREF _Toc47708493 \h </w:instrText>
                    </w:r>
                    <w:r w:rsidR="0099351E">
                      <w:rPr>
                        <w:noProof/>
                        <w:webHidden/>
                      </w:rPr>
                    </w:r>
                    <w:r w:rsidR="0099351E">
                      <w:rPr>
                        <w:noProof/>
                        <w:webHidden/>
                      </w:rPr>
                      <w:fldChar w:fldCharType="separate"/>
                    </w:r>
                    <w:r w:rsidR="0099351E">
                      <w:rPr>
                        <w:noProof/>
                        <w:webHidden/>
                      </w:rPr>
                      <w:t>120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4" w:history="1">
                    <w:r w:rsidR="0099351E">
                      <w:rPr>
                        <w:rStyle w:val="Lienhypertexte"/>
                        <w:noProof/>
                        <w:lang w:val="fr-FR" w:eastAsia="fr-FR"/>
                      </w:rPr>
                      <w:t>2. Admission aux subventions pour création de nouveaux types, formes et métiers</w:t>
                    </w:r>
                    <w:r w:rsidR="0099351E">
                      <w:rPr>
                        <w:noProof/>
                        <w:webHidden/>
                      </w:rPr>
                      <w:tab/>
                    </w:r>
                    <w:r w:rsidR="0099351E">
                      <w:rPr>
                        <w:noProof/>
                        <w:webHidden/>
                      </w:rPr>
                      <w:fldChar w:fldCharType="begin"/>
                    </w:r>
                    <w:r w:rsidR="0099351E">
                      <w:rPr>
                        <w:noProof/>
                        <w:webHidden/>
                      </w:rPr>
                      <w:instrText xml:space="preserve"> PAGEREF _Toc47708494 \h </w:instrText>
                    </w:r>
                    <w:r w:rsidR="0099351E">
                      <w:rPr>
                        <w:noProof/>
                        <w:webHidden/>
                      </w:rPr>
                    </w:r>
                    <w:r w:rsidR="0099351E">
                      <w:rPr>
                        <w:noProof/>
                        <w:webHidden/>
                      </w:rPr>
                      <w:fldChar w:fldCharType="separate"/>
                    </w:r>
                    <w:r w:rsidR="0099351E">
                      <w:rPr>
                        <w:noProof/>
                        <w:webHidden/>
                      </w:rPr>
                      <w:t>123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5" w:history="1">
                    <w:r w:rsidR="0099351E">
                      <w:rPr>
                        <w:rStyle w:val="Lienhypertexte"/>
                        <w:noProof/>
                      </w:rPr>
                      <w:t>3. Annexes</w:t>
                    </w:r>
                    <w:r w:rsidR="0099351E">
                      <w:rPr>
                        <w:noProof/>
                        <w:webHidden/>
                      </w:rPr>
                      <w:tab/>
                    </w:r>
                    <w:r w:rsidR="0099351E">
                      <w:rPr>
                        <w:noProof/>
                        <w:webHidden/>
                      </w:rPr>
                      <w:fldChar w:fldCharType="begin"/>
                    </w:r>
                    <w:r w:rsidR="0099351E">
                      <w:rPr>
                        <w:noProof/>
                        <w:webHidden/>
                      </w:rPr>
                      <w:instrText xml:space="preserve"> PAGEREF _Toc47708495 \h </w:instrText>
                    </w:r>
                    <w:r w:rsidR="0099351E">
                      <w:rPr>
                        <w:noProof/>
                        <w:webHidden/>
                      </w:rPr>
                    </w:r>
                    <w:r w:rsidR="0099351E">
                      <w:rPr>
                        <w:noProof/>
                        <w:webHidden/>
                      </w:rPr>
                      <w:fldChar w:fldCharType="separate"/>
                    </w:r>
                    <w:r w:rsidR="0099351E">
                      <w:rPr>
                        <w:noProof/>
                        <w:webHidden/>
                      </w:rPr>
                      <w:t>124</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496" w:history="1">
                    <w:r w:rsidR="0099351E">
                      <w:rPr>
                        <w:rStyle w:val="Lienhypertexte"/>
                        <w:noProof/>
                      </w:rPr>
                      <w:t>Chapitre 4 : Calendrier scolaire, suspension des cours et fermeture exceptionnelle</w:t>
                    </w:r>
                    <w:r w:rsidR="0099351E">
                      <w:rPr>
                        <w:noProof/>
                        <w:webHidden/>
                      </w:rPr>
                      <w:tab/>
                    </w:r>
                    <w:r w:rsidR="0099351E">
                      <w:rPr>
                        <w:noProof/>
                        <w:webHidden/>
                      </w:rPr>
                      <w:fldChar w:fldCharType="begin"/>
                    </w:r>
                    <w:r w:rsidR="0099351E">
                      <w:rPr>
                        <w:noProof/>
                        <w:webHidden/>
                      </w:rPr>
                      <w:instrText xml:space="preserve"> PAGEREF _Toc47708496 \h </w:instrText>
                    </w:r>
                    <w:r w:rsidR="0099351E">
                      <w:rPr>
                        <w:noProof/>
                        <w:webHidden/>
                      </w:rPr>
                    </w:r>
                    <w:r w:rsidR="0099351E">
                      <w:rPr>
                        <w:noProof/>
                        <w:webHidden/>
                      </w:rPr>
                      <w:fldChar w:fldCharType="separate"/>
                    </w:r>
                    <w:r w:rsidR="0099351E">
                      <w:rPr>
                        <w:noProof/>
                        <w:webHidden/>
                      </w:rPr>
                      <w:t>134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7" w:history="1">
                    <w:r w:rsidR="0099351E">
                      <w:rPr>
                        <w:rStyle w:val="Lienhypertexte"/>
                        <w:noProof/>
                      </w:rPr>
                      <w:t>1. Calendrier scolaire 2020-2021</w:t>
                    </w:r>
                    <w:r w:rsidR="0099351E">
                      <w:rPr>
                        <w:noProof/>
                        <w:webHidden/>
                      </w:rPr>
                      <w:tab/>
                    </w:r>
                    <w:r w:rsidR="0099351E">
                      <w:rPr>
                        <w:noProof/>
                        <w:webHidden/>
                      </w:rPr>
                      <w:fldChar w:fldCharType="begin"/>
                    </w:r>
                    <w:r w:rsidR="0099351E">
                      <w:rPr>
                        <w:noProof/>
                        <w:webHidden/>
                      </w:rPr>
                      <w:instrText xml:space="preserve"> PAGEREF _Toc47708497 \h </w:instrText>
                    </w:r>
                    <w:r w:rsidR="0099351E">
                      <w:rPr>
                        <w:noProof/>
                        <w:webHidden/>
                      </w:rPr>
                    </w:r>
                    <w:r w:rsidR="0099351E">
                      <w:rPr>
                        <w:noProof/>
                        <w:webHidden/>
                      </w:rPr>
                      <w:fldChar w:fldCharType="separate"/>
                    </w:r>
                    <w:r w:rsidR="0099351E">
                      <w:rPr>
                        <w:noProof/>
                        <w:webHidden/>
                      </w:rPr>
                      <w:t>134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8" w:history="1">
                    <w:r w:rsidR="0099351E">
                      <w:rPr>
                        <w:rStyle w:val="Lienhypertexte"/>
                        <w:noProof/>
                      </w:rPr>
                      <w:t>2. Suspension de cours</w:t>
                    </w:r>
                    <w:r w:rsidR="0099351E">
                      <w:rPr>
                        <w:noProof/>
                        <w:webHidden/>
                      </w:rPr>
                      <w:tab/>
                    </w:r>
                    <w:r w:rsidR="0099351E">
                      <w:rPr>
                        <w:noProof/>
                        <w:webHidden/>
                      </w:rPr>
                      <w:fldChar w:fldCharType="begin"/>
                    </w:r>
                    <w:r w:rsidR="0099351E">
                      <w:rPr>
                        <w:noProof/>
                        <w:webHidden/>
                      </w:rPr>
                      <w:instrText xml:space="preserve"> PAGEREF _Toc47708498 \h </w:instrText>
                    </w:r>
                    <w:r w:rsidR="0099351E">
                      <w:rPr>
                        <w:noProof/>
                        <w:webHidden/>
                      </w:rPr>
                    </w:r>
                    <w:r w:rsidR="0099351E">
                      <w:rPr>
                        <w:noProof/>
                        <w:webHidden/>
                      </w:rPr>
                      <w:fldChar w:fldCharType="separate"/>
                    </w:r>
                    <w:r w:rsidR="0099351E">
                      <w:rPr>
                        <w:noProof/>
                        <w:webHidden/>
                      </w:rPr>
                      <w:t>134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499" w:history="1">
                    <w:r w:rsidR="0099351E">
                      <w:rPr>
                        <w:rStyle w:val="Lienhypertexte"/>
                        <w:noProof/>
                      </w:rPr>
                      <w:t>3. Annexe</w:t>
                    </w:r>
                    <w:r w:rsidR="0099351E">
                      <w:rPr>
                        <w:noProof/>
                        <w:webHidden/>
                      </w:rPr>
                      <w:tab/>
                    </w:r>
                    <w:r w:rsidR="0099351E">
                      <w:rPr>
                        <w:noProof/>
                        <w:webHidden/>
                      </w:rPr>
                      <w:fldChar w:fldCharType="begin"/>
                    </w:r>
                    <w:r w:rsidR="0099351E">
                      <w:rPr>
                        <w:noProof/>
                        <w:webHidden/>
                      </w:rPr>
                      <w:instrText xml:space="preserve"> PAGEREF _Toc47708499 \h </w:instrText>
                    </w:r>
                    <w:r w:rsidR="0099351E">
                      <w:rPr>
                        <w:noProof/>
                        <w:webHidden/>
                      </w:rPr>
                    </w:r>
                    <w:r w:rsidR="0099351E">
                      <w:rPr>
                        <w:noProof/>
                        <w:webHidden/>
                      </w:rPr>
                      <w:fldChar w:fldCharType="separate"/>
                    </w:r>
                    <w:r w:rsidR="0099351E">
                      <w:rPr>
                        <w:noProof/>
                        <w:webHidden/>
                      </w:rPr>
                      <w:t>136</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00" w:history="1">
                    <w:r w:rsidR="0099351E">
                      <w:rPr>
                        <w:rStyle w:val="Lienhypertexte"/>
                        <w:noProof/>
                      </w:rPr>
                      <w:t>Chapitre 5 : Personnel directeur et enseignant des établissements et instituts d’enseignement spécialisé</w:t>
                    </w:r>
                    <w:r w:rsidR="0099351E">
                      <w:rPr>
                        <w:noProof/>
                        <w:webHidden/>
                      </w:rPr>
                      <w:tab/>
                    </w:r>
                    <w:r w:rsidR="0099351E">
                      <w:rPr>
                        <w:noProof/>
                        <w:webHidden/>
                      </w:rPr>
                      <w:fldChar w:fldCharType="begin"/>
                    </w:r>
                    <w:r w:rsidR="0099351E">
                      <w:rPr>
                        <w:noProof/>
                        <w:webHidden/>
                      </w:rPr>
                      <w:instrText xml:space="preserve"> PAGEREF _Toc47708500 \h </w:instrText>
                    </w:r>
                    <w:r w:rsidR="0099351E">
                      <w:rPr>
                        <w:noProof/>
                        <w:webHidden/>
                      </w:rPr>
                    </w:r>
                    <w:r w:rsidR="0099351E">
                      <w:rPr>
                        <w:noProof/>
                        <w:webHidden/>
                      </w:rPr>
                      <w:fldChar w:fldCharType="separate"/>
                    </w:r>
                    <w:r w:rsidR="0099351E">
                      <w:rPr>
                        <w:noProof/>
                        <w:webHidden/>
                      </w:rPr>
                      <w:t>138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1" w:history="1">
                    <w:r w:rsidR="0099351E">
                      <w:rPr>
                        <w:rStyle w:val="Lienhypertexte"/>
                        <w:noProof/>
                      </w:rPr>
                      <w:t xml:space="preserve">1. </w:t>
                    </w:r>
                    <w:r w:rsidR="0099351E">
                      <w:rPr>
                        <w:rStyle w:val="Lienhypertexte"/>
                        <w:noProof/>
                        <w:spacing w:val="1"/>
                      </w:rPr>
                      <w:t>Pr</w:t>
                    </w:r>
                    <w:r w:rsidR="0099351E">
                      <w:rPr>
                        <w:rStyle w:val="Lienhypertexte"/>
                        <w:noProof/>
                        <w:spacing w:val="-3"/>
                      </w:rPr>
                      <w:t>i</w:t>
                    </w:r>
                    <w:r w:rsidR="0099351E">
                      <w:rPr>
                        <w:rStyle w:val="Lienhypertexte"/>
                        <w:noProof/>
                        <w:spacing w:val="-2"/>
                      </w:rPr>
                      <w:t>n</w:t>
                    </w:r>
                    <w:r w:rsidR="0099351E">
                      <w:rPr>
                        <w:rStyle w:val="Lienhypertexte"/>
                        <w:noProof/>
                        <w:spacing w:val="1"/>
                      </w:rPr>
                      <w:t>c</w:t>
                    </w:r>
                    <w:r w:rsidR="0099351E">
                      <w:rPr>
                        <w:rStyle w:val="Lienhypertexte"/>
                        <w:noProof/>
                      </w:rPr>
                      <w:t xml:space="preserve">ipes </w:t>
                    </w:r>
                    <w:r w:rsidR="0099351E">
                      <w:rPr>
                        <w:rStyle w:val="Lienhypertexte"/>
                        <w:noProof/>
                        <w:spacing w:val="1"/>
                      </w:rPr>
                      <w:t>g</w:t>
                    </w:r>
                    <w:r w:rsidR="0099351E">
                      <w:rPr>
                        <w:rStyle w:val="Lienhypertexte"/>
                        <w:noProof/>
                        <w:spacing w:val="-3"/>
                      </w:rPr>
                      <w:t>é</w:t>
                    </w:r>
                    <w:r w:rsidR="0099351E">
                      <w:rPr>
                        <w:rStyle w:val="Lienhypertexte"/>
                        <w:noProof/>
                        <w:spacing w:val="1"/>
                      </w:rPr>
                      <w:t>n</w:t>
                    </w:r>
                    <w:r w:rsidR="0099351E">
                      <w:rPr>
                        <w:rStyle w:val="Lienhypertexte"/>
                        <w:noProof/>
                        <w:spacing w:val="-3"/>
                      </w:rPr>
                      <w:t>é</w:t>
                    </w:r>
                    <w:r w:rsidR="0099351E">
                      <w:rPr>
                        <w:rStyle w:val="Lienhypertexte"/>
                        <w:noProof/>
                        <w:spacing w:val="1"/>
                      </w:rPr>
                      <w:t>r</w:t>
                    </w:r>
                    <w:r w:rsidR="0099351E">
                      <w:rPr>
                        <w:rStyle w:val="Lienhypertexte"/>
                        <w:noProof/>
                      </w:rPr>
                      <w:t>aux</w:t>
                    </w:r>
                    <w:r w:rsidR="0099351E">
                      <w:rPr>
                        <w:noProof/>
                        <w:webHidden/>
                      </w:rPr>
                      <w:tab/>
                    </w:r>
                    <w:r w:rsidR="0099351E">
                      <w:rPr>
                        <w:noProof/>
                        <w:webHidden/>
                      </w:rPr>
                      <w:fldChar w:fldCharType="begin"/>
                    </w:r>
                    <w:r w:rsidR="0099351E">
                      <w:rPr>
                        <w:noProof/>
                        <w:webHidden/>
                      </w:rPr>
                      <w:instrText xml:space="preserve"> PAGEREF _Toc47708501 \h </w:instrText>
                    </w:r>
                    <w:r w:rsidR="0099351E">
                      <w:rPr>
                        <w:noProof/>
                        <w:webHidden/>
                      </w:rPr>
                    </w:r>
                    <w:r w:rsidR="0099351E">
                      <w:rPr>
                        <w:noProof/>
                        <w:webHidden/>
                      </w:rPr>
                      <w:fldChar w:fldCharType="separate"/>
                    </w:r>
                    <w:r w:rsidR="0099351E">
                      <w:rPr>
                        <w:noProof/>
                        <w:webHidden/>
                      </w:rPr>
                      <w:t>138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2" w:history="1">
                    <w:r w:rsidR="0099351E">
                      <w:rPr>
                        <w:rStyle w:val="Lienhypertexte"/>
                        <w:noProof/>
                      </w:rPr>
                      <w:t>2. Capital-périodes</w:t>
                    </w:r>
                    <w:r w:rsidR="0099351E">
                      <w:rPr>
                        <w:noProof/>
                        <w:webHidden/>
                      </w:rPr>
                      <w:tab/>
                    </w:r>
                    <w:r w:rsidR="0099351E">
                      <w:rPr>
                        <w:noProof/>
                        <w:webHidden/>
                      </w:rPr>
                      <w:fldChar w:fldCharType="begin"/>
                    </w:r>
                    <w:r w:rsidR="0099351E">
                      <w:rPr>
                        <w:noProof/>
                        <w:webHidden/>
                      </w:rPr>
                      <w:instrText xml:space="preserve"> PAGEREF _Toc47708502 \h </w:instrText>
                    </w:r>
                    <w:r w:rsidR="0099351E">
                      <w:rPr>
                        <w:noProof/>
                        <w:webHidden/>
                      </w:rPr>
                    </w:r>
                    <w:r w:rsidR="0099351E">
                      <w:rPr>
                        <w:noProof/>
                        <w:webHidden/>
                      </w:rPr>
                      <w:fldChar w:fldCharType="separate"/>
                    </w:r>
                    <w:r w:rsidR="0099351E">
                      <w:rPr>
                        <w:noProof/>
                        <w:webHidden/>
                      </w:rPr>
                      <w:t>144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3" w:history="1">
                    <w:r w:rsidR="0099351E">
                      <w:rPr>
                        <w:rStyle w:val="Lienhypertexte"/>
                        <w:noProof/>
                      </w:rPr>
                      <w:t>3. Modification du numéro de compte bancaire de l’établissement.</w:t>
                    </w:r>
                    <w:r w:rsidR="0099351E">
                      <w:rPr>
                        <w:noProof/>
                        <w:webHidden/>
                      </w:rPr>
                      <w:tab/>
                    </w:r>
                    <w:r w:rsidR="0099351E">
                      <w:rPr>
                        <w:noProof/>
                        <w:webHidden/>
                      </w:rPr>
                      <w:fldChar w:fldCharType="begin"/>
                    </w:r>
                    <w:r w:rsidR="0099351E">
                      <w:rPr>
                        <w:noProof/>
                        <w:webHidden/>
                      </w:rPr>
                      <w:instrText xml:space="preserve"> PAGEREF _Toc47708503 \h </w:instrText>
                    </w:r>
                    <w:r w:rsidR="0099351E">
                      <w:rPr>
                        <w:noProof/>
                        <w:webHidden/>
                      </w:rPr>
                    </w:r>
                    <w:r w:rsidR="0099351E">
                      <w:rPr>
                        <w:noProof/>
                        <w:webHidden/>
                      </w:rPr>
                      <w:fldChar w:fldCharType="separate"/>
                    </w:r>
                    <w:r w:rsidR="0099351E">
                      <w:rPr>
                        <w:noProof/>
                        <w:webHidden/>
                      </w:rPr>
                      <w:t>150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4" w:history="1">
                    <w:r w:rsidR="0099351E">
                      <w:rPr>
                        <w:rStyle w:val="Lienhypertexte"/>
                        <w:noProof/>
                      </w:rPr>
                      <w:t>4. Annexe</w:t>
                    </w:r>
                    <w:r w:rsidR="0099351E">
                      <w:rPr>
                        <w:noProof/>
                        <w:webHidden/>
                      </w:rPr>
                      <w:tab/>
                    </w:r>
                    <w:r w:rsidR="0099351E">
                      <w:rPr>
                        <w:noProof/>
                        <w:webHidden/>
                      </w:rPr>
                      <w:fldChar w:fldCharType="begin"/>
                    </w:r>
                    <w:r w:rsidR="0099351E">
                      <w:rPr>
                        <w:noProof/>
                        <w:webHidden/>
                      </w:rPr>
                      <w:instrText xml:space="preserve"> PAGEREF _Toc47708504 \h </w:instrText>
                    </w:r>
                    <w:r w:rsidR="0099351E">
                      <w:rPr>
                        <w:noProof/>
                        <w:webHidden/>
                      </w:rPr>
                    </w:r>
                    <w:r w:rsidR="0099351E">
                      <w:rPr>
                        <w:noProof/>
                        <w:webHidden/>
                      </w:rPr>
                      <w:fldChar w:fldCharType="separate"/>
                    </w:r>
                    <w:r w:rsidR="0099351E">
                      <w:rPr>
                        <w:noProof/>
                        <w:webHidden/>
                      </w:rPr>
                      <w:t>150</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05" w:history="1">
                    <w:r w:rsidR="0099351E">
                      <w:rPr>
                        <w:rStyle w:val="Lienhypertexte"/>
                        <w:noProof/>
                      </w:rPr>
                      <w:t>Chapitre 6 : Personnels administratif et auxiliaire d’éducation</w:t>
                    </w:r>
                    <w:r w:rsidR="0099351E">
                      <w:rPr>
                        <w:noProof/>
                        <w:webHidden/>
                      </w:rPr>
                      <w:tab/>
                    </w:r>
                    <w:r w:rsidR="0099351E">
                      <w:rPr>
                        <w:noProof/>
                        <w:webHidden/>
                      </w:rPr>
                      <w:fldChar w:fldCharType="begin"/>
                    </w:r>
                    <w:r w:rsidR="0099351E">
                      <w:rPr>
                        <w:noProof/>
                        <w:webHidden/>
                      </w:rPr>
                      <w:instrText xml:space="preserve"> PAGEREF _Toc47708505 \h </w:instrText>
                    </w:r>
                    <w:r w:rsidR="0099351E">
                      <w:rPr>
                        <w:noProof/>
                        <w:webHidden/>
                      </w:rPr>
                    </w:r>
                    <w:r w:rsidR="0099351E">
                      <w:rPr>
                        <w:noProof/>
                        <w:webHidden/>
                      </w:rPr>
                      <w:fldChar w:fldCharType="separate"/>
                    </w:r>
                    <w:r w:rsidR="0099351E">
                      <w:rPr>
                        <w:noProof/>
                        <w:webHidden/>
                      </w:rPr>
                      <w:t>153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6" w:history="1">
                    <w:r w:rsidR="0099351E">
                      <w:rPr>
                        <w:rStyle w:val="Lienhypertexte"/>
                        <w:noProof/>
                      </w:rPr>
                      <w:t>1. Capital-périodes – Principes généraux</w:t>
                    </w:r>
                    <w:r w:rsidR="0099351E">
                      <w:rPr>
                        <w:noProof/>
                        <w:webHidden/>
                      </w:rPr>
                      <w:tab/>
                    </w:r>
                    <w:r w:rsidR="0099351E">
                      <w:rPr>
                        <w:noProof/>
                        <w:webHidden/>
                      </w:rPr>
                      <w:fldChar w:fldCharType="begin"/>
                    </w:r>
                    <w:r w:rsidR="0099351E">
                      <w:rPr>
                        <w:noProof/>
                        <w:webHidden/>
                      </w:rPr>
                      <w:instrText xml:space="preserve"> PAGEREF _Toc47708506 \h </w:instrText>
                    </w:r>
                    <w:r w:rsidR="0099351E">
                      <w:rPr>
                        <w:noProof/>
                        <w:webHidden/>
                      </w:rPr>
                    </w:r>
                    <w:r w:rsidR="0099351E">
                      <w:rPr>
                        <w:noProof/>
                        <w:webHidden/>
                      </w:rPr>
                      <w:fldChar w:fldCharType="separate"/>
                    </w:r>
                    <w:r w:rsidR="0099351E">
                      <w:rPr>
                        <w:noProof/>
                        <w:webHidden/>
                      </w:rPr>
                      <w:t>153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7" w:history="1">
                    <w:r w:rsidR="0099351E">
                      <w:rPr>
                        <w:rStyle w:val="Lienhypertexte"/>
                        <w:noProof/>
                      </w:rPr>
                      <w:t>2. Enseignement secondaire spécialisé organisé et subventionné par la Fédération Wallonie-Bruxelles</w:t>
                    </w:r>
                    <w:r w:rsidR="0099351E">
                      <w:rPr>
                        <w:noProof/>
                        <w:webHidden/>
                      </w:rPr>
                      <w:tab/>
                    </w:r>
                    <w:r w:rsidR="0099351E">
                      <w:rPr>
                        <w:noProof/>
                        <w:webHidden/>
                      </w:rPr>
                      <w:fldChar w:fldCharType="begin"/>
                    </w:r>
                    <w:r w:rsidR="0099351E">
                      <w:rPr>
                        <w:noProof/>
                        <w:webHidden/>
                      </w:rPr>
                      <w:instrText xml:space="preserve"> PAGEREF _Toc47708507 \h </w:instrText>
                    </w:r>
                    <w:r w:rsidR="0099351E">
                      <w:rPr>
                        <w:noProof/>
                        <w:webHidden/>
                      </w:rPr>
                    </w:r>
                    <w:r w:rsidR="0099351E">
                      <w:rPr>
                        <w:noProof/>
                        <w:webHidden/>
                      </w:rPr>
                      <w:fldChar w:fldCharType="separate"/>
                    </w:r>
                    <w:r w:rsidR="0099351E">
                      <w:rPr>
                        <w:noProof/>
                        <w:webHidden/>
                      </w:rPr>
                      <w:t>154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8" w:history="1">
                    <w:r w:rsidR="0099351E">
                      <w:rPr>
                        <w:rStyle w:val="Lienhypertexte"/>
                        <w:rFonts w:asciiTheme="majorHAnsi" w:hAnsiTheme="majorHAnsi"/>
                        <w:noProof/>
                      </w:rPr>
                      <w:t>3. Enseignement secondaire spécialisé organisé et subventionné par la Fédération Wallonie-Bruxelles</w:t>
                    </w:r>
                    <w:r w:rsidR="0099351E">
                      <w:rPr>
                        <w:rStyle w:val="Lienhypertexte"/>
                        <w:noProof/>
                      </w:rPr>
                      <w:t xml:space="preserve"> (article 116 bis du Décret du 3 mars 2004 organisant l'Enseignement spécialisé)</w:t>
                    </w:r>
                    <w:r w:rsidR="0099351E">
                      <w:rPr>
                        <w:noProof/>
                        <w:webHidden/>
                      </w:rPr>
                      <w:tab/>
                    </w:r>
                    <w:r w:rsidR="0099351E">
                      <w:rPr>
                        <w:noProof/>
                        <w:webHidden/>
                      </w:rPr>
                      <w:fldChar w:fldCharType="begin"/>
                    </w:r>
                    <w:r w:rsidR="0099351E">
                      <w:rPr>
                        <w:noProof/>
                        <w:webHidden/>
                      </w:rPr>
                      <w:instrText xml:space="preserve"> PAGEREF _Toc47708508 \h </w:instrText>
                    </w:r>
                    <w:r w:rsidR="0099351E">
                      <w:rPr>
                        <w:noProof/>
                        <w:webHidden/>
                      </w:rPr>
                    </w:r>
                    <w:r w:rsidR="0099351E">
                      <w:rPr>
                        <w:noProof/>
                        <w:webHidden/>
                      </w:rPr>
                      <w:fldChar w:fldCharType="separate"/>
                    </w:r>
                    <w:r w:rsidR="0099351E">
                      <w:rPr>
                        <w:noProof/>
                        <w:webHidden/>
                      </w:rPr>
                      <w:t>157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09" w:history="1">
                    <w:r w:rsidR="0099351E">
                      <w:rPr>
                        <w:rStyle w:val="Lienhypertexte"/>
                        <w:noProof/>
                      </w:rPr>
                      <w:t>4. Détermination d’une charge complète</w:t>
                    </w:r>
                    <w:r w:rsidR="0099351E">
                      <w:rPr>
                        <w:noProof/>
                        <w:webHidden/>
                      </w:rPr>
                      <w:tab/>
                    </w:r>
                    <w:r w:rsidR="0099351E">
                      <w:rPr>
                        <w:noProof/>
                        <w:webHidden/>
                      </w:rPr>
                      <w:fldChar w:fldCharType="begin"/>
                    </w:r>
                    <w:r w:rsidR="0099351E">
                      <w:rPr>
                        <w:noProof/>
                        <w:webHidden/>
                      </w:rPr>
                      <w:instrText xml:space="preserve"> PAGEREF _Toc47708509 \h </w:instrText>
                    </w:r>
                    <w:r w:rsidR="0099351E">
                      <w:rPr>
                        <w:noProof/>
                        <w:webHidden/>
                      </w:rPr>
                    </w:r>
                    <w:r w:rsidR="0099351E">
                      <w:rPr>
                        <w:noProof/>
                        <w:webHidden/>
                      </w:rPr>
                      <w:fldChar w:fldCharType="separate"/>
                    </w:r>
                    <w:r w:rsidR="0099351E">
                      <w:rPr>
                        <w:noProof/>
                        <w:webHidden/>
                      </w:rPr>
                      <w:t>158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0" w:history="1">
                    <w:r w:rsidR="0099351E">
                      <w:rPr>
                        <w:rStyle w:val="Lienhypertexte"/>
                        <w:noProof/>
                      </w:rPr>
                      <w:t>5. Prestations durant les congés</w:t>
                    </w:r>
                    <w:r w:rsidR="0099351E">
                      <w:rPr>
                        <w:noProof/>
                        <w:webHidden/>
                      </w:rPr>
                      <w:tab/>
                    </w:r>
                    <w:r w:rsidR="0099351E">
                      <w:rPr>
                        <w:noProof/>
                        <w:webHidden/>
                      </w:rPr>
                      <w:fldChar w:fldCharType="begin"/>
                    </w:r>
                    <w:r w:rsidR="0099351E">
                      <w:rPr>
                        <w:noProof/>
                        <w:webHidden/>
                      </w:rPr>
                      <w:instrText xml:space="preserve"> PAGEREF _Toc47708510 \h </w:instrText>
                    </w:r>
                    <w:r w:rsidR="0099351E">
                      <w:rPr>
                        <w:noProof/>
                        <w:webHidden/>
                      </w:rPr>
                    </w:r>
                    <w:r w:rsidR="0099351E">
                      <w:rPr>
                        <w:noProof/>
                        <w:webHidden/>
                      </w:rPr>
                      <w:fldChar w:fldCharType="separate"/>
                    </w:r>
                    <w:r w:rsidR="0099351E">
                      <w:rPr>
                        <w:noProof/>
                        <w:webHidden/>
                      </w:rPr>
                      <w:t>158</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11" w:history="1">
                    <w:r w:rsidR="0099351E">
                      <w:rPr>
                        <w:rStyle w:val="Lienhypertexte"/>
                        <w:noProof/>
                      </w:rPr>
                      <w:t>Chapitre 7 : Personnel paramédical, social et psychologique fonctionnant pendant la journée scolaire</w:t>
                    </w:r>
                    <w:r w:rsidR="0099351E">
                      <w:rPr>
                        <w:noProof/>
                        <w:webHidden/>
                      </w:rPr>
                      <w:tab/>
                    </w:r>
                    <w:r w:rsidR="0099351E">
                      <w:rPr>
                        <w:noProof/>
                        <w:webHidden/>
                      </w:rPr>
                      <w:fldChar w:fldCharType="begin"/>
                    </w:r>
                    <w:r w:rsidR="0099351E">
                      <w:rPr>
                        <w:noProof/>
                        <w:webHidden/>
                      </w:rPr>
                      <w:instrText xml:space="preserve"> PAGEREF _Toc47708511 \h </w:instrText>
                    </w:r>
                    <w:r w:rsidR="0099351E">
                      <w:rPr>
                        <w:noProof/>
                        <w:webHidden/>
                      </w:rPr>
                    </w:r>
                    <w:r w:rsidR="0099351E">
                      <w:rPr>
                        <w:noProof/>
                        <w:webHidden/>
                      </w:rPr>
                      <w:fldChar w:fldCharType="separate"/>
                    </w:r>
                    <w:r w:rsidR="0099351E">
                      <w:rPr>
                        <w:noProof/>
                        <w:webHidden/>
                      </w:rPr>
                      <w:t>159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2" w:history="1">
                    <w:r w:rsidR="0099351E">
                      <w:rPr>
                        <w:rStyle w:val="Lienhypertexte"/>
                        <w:noProof/>
                      </w:rPr>
                      <w:t>1. Personnel concerné</w:t>
                    </w:r>
                    <w:r w:rsidR="0099351E">
                      <w:rPr>
                        <w:noProof/>
                        <w:webHidden/>
                      </w:rPr>
                      <w:tab/>
                    </w:r>
                    <w:r w:rsidR="0099351E">
                      <w:rPr>
                        <w:noProof/>
                        <w:webHidden/>
                      </w:rPr>
                      <w:fldChar w:fldCharType="begin"/>
                    </w:r>
                    <w:r w:rsidR="0099351E">
                      <w:rPr>
                        <w:noProof/>
                        <w:webHidden/>
                      </w:rPr>
                      <w:instrText xml:space="preserve"> PAGEREF _Toc47708512 \h </w:instrText>
                    </w:r>
                    <w:r w:rsidR="0099351E">
                      <w:rPr>
                        <w:noProof/>
                        <w:webHidden/>
                      </w:rPr>
                    </w:r>
                    <w:r w:rsidR="0099351E">
                      <w:rPr>
                        <w:noProof/>
                        <w:webHidden/>
                      </w:rPr>
                      <w:fldChar w:fldCharType="separate"/>
                    </w:r>
                    <w:r w:rsidR="0099351E">
                      <w:rPr>
                        <w:noProof/>
                        <w:webHidden/>
                      </w:rPr>
                      <w:t>159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3" w:history="1">
                    <w:r w:rsidR="0099351E">
                      <w:rPr>
                        <w:rStyle w:val="Lienhypertexte"/>
                        <w:noProof/>
                      </w:rPr>
                      <w:t>2. Capital-périodes</w:t>
                    </w:r>
                    <w:r w:rsidR="0099351E">
                      <w:rPr>
                        <w:noProof/>
                        <w:webHidden/>
                      </w:rPr>
                      <w:tab/>
                    </w:r>
                    <w:r w:rsidR="0099351E">
                      <w:rPr>
                        <w:noProof/>
                        <w:webHidden/>
                      </w:rPr>
                      <w:fldChar w:fldCharType="begin"/>
                    </w:r>
                    <w:r w:rsidR="0099351E">
                      <w:rPr>
                        <w:noProof/>
                        <w:webHidden/>
                      </w:rPr>
                      <w:instrText xml:space="preserve"> PAGEREF _Toc47708513 \h </w:instrText>
                    </w:r>
                    <w:r w:rsidR="0099351E">
                      <w:rPr>
                        <w:noProof/>
                        <w:webHidden/>
                      </w:rPr>
                    </w:r>
                    <w:r w:rsidR="0099351E">
                      <w:rPr>
                        <w:noProof/>
                        <w:webHidden/>
                      </w:rPr>
                      <w:fldChar w:fldCharType="separate"/>
                    </w:r>
                    <w:r w:rsidR="0099351E">
                      <w:rPr>
                        <w:noProof/>
                        <w:webHidden/>
                      </w:rPr>
                      <w:t>159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4" w:history="1">
                    <w:r w:rsidR="0099351E">
                      <w:rPr>
                        <w:rStyle w:val="Lienhypertexte"/>
                        <w:noProof/>
                      </w:rPr>
                      <w:t>3. Horaires</w:t>
                    </w:r>
                    <w:r w:rsidR="0099351E">
                      <w:rPr>
                        <w:noProof/>
                        <w:webHidden/>
                      </w:rPr>
                      <w:tab/>
                    </w:r>
                    <w:r w:rsidR="0099351E">
                      <w:rPr>
                        <w:noProof/>
                        <w:webHidden/>
                      </w:rPr>
                      <w:fldChar w:fldCharType="begin"/>
                    </w:r>
                    <w:r w:rsidR="0099351E">
                      <w:rPr>
                        <w:noProof/>
                        <w:webHidden/>
                      </w:rPr>
                      <w:instrText xml:space="preserve"> PAGEREF _Toc47708514 \h </w:instrText>
                    </w:r>
                    <w:r w:rsidR="0099351E">
                      <w:rPr>
                        <w:noProof/>
                        <w:webHidden/>
                      </w:rPr>
                    </w:r>
                    <w:r w:rsidR="0099351E">
                      <w:rPr>
                        <w:noProof/>
                        <w:webHidden/>
                      </w:rPr>
                      <w:fldChar w:fldCharType="separate"/>
                    </w:r>
                    <w:r w:rsidR="0099351E">
                      <w:rPr>
                        <w:noProof/>
                        <w:webHidden/>
                      </w:rPr>
                      <w:t>163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5" w:history="1">
                    <w:r w:rsidR="0099351E">
                      <w:rPr>
                        <w:rStyle w:val="Lienhypertexte"/>
                        <w:noProof/>
                      </w:rPr>
                      <w:t>4. Utilisation du capital-périodes</w:t>
                    </w:r>
                    <w:r w:rsidR="0099351E">
                      <w:rPr>
                        <w:noProof/>
                        <w:webHidden/>
                      </w:rPr>
                      <w:tab/>
                    </w:r>
                    <w:r w:rsidR="0099351E">
                      <w:rPr>
                        <w:noProof/>
                        <w:webHidden/>
                      </w:rPr>
                      <w:fldChar w:fldCharType="begin"/>
                    </w:r>
                    <w:r w:rsidR="0099351E">
                      <w:rPr>
                        <w:noProof/>
                        <w:webHidden/>
                      </w:rPr>
                      <w:instrText xml:space="preserve"> PAGEREF _Toc47708515 \h </w:instrText>
                    </w:r>
                    <w:r w:rsidR="0099351E">
                      <w:rPr>
                        <w:noProof/>
                        <w:webHidden/>
                      </w:rPr>
                    </w:r>
                    <w:r w:rsidR="0099351E">
                      <w:rPr>
                        <w:noProof/>
                        <w:webHidden/>
                      </w:rPr>
                      <w:fldChar w:fldCharType="separate"/>
                    </w:r>
                    <w:r w:rsidR="0099351E">
                      <w:rPr>
                        <w:noProof/>
                        <w:webHidden/>
                      </w:rPr>
                      <w:t>163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6" w:history="1">
                    <w:r w:rsidR="0099351E">
                      <w:rPr>
                        <w:rStyle w:val="Lienhypertexte"/>
                        <w:noProof/>
                      </w:rPr>
                      <w:t>5. Répartition du capital-périodes par fonction</w:t>
                    </w:r>
                    <w:r w:rsidR="0099351E">
                      <w:rPr>
                        <w:noProof/>
                        <w:webHidden/>
                      </w:rPr>
                      <w:tab/>
                    </w:r>
                    <w:r w:rsidR="0099351E">
                      <w:rPr>
                        <w:noProof/>
                        <w:webHidden/>
                      </w:rPr>
                      <w:fldChar w:fldCharType="begin"/>
                    </w:r>
                    <w:r w:rsidR="0099351E">
                      <w:rPr>
                        <w:noProof/>
                        <w:webHidden/>
                      </w:rPr>
                      <w:instrText xml:space="preserve"> PAGEREF _Toc47708516 \h </w:instrText>
                    </w:r>
                    <w:r w:rsidR="0099351E">
                      <w:rPr>
                        <w:noProof/>
                        <w:webHidden/>
                      </w:rPr>
                    </w:r>
                    <w:r w:rsidR="0099351E">
                      <w:rPr>
                        <w:noProof/>
                        <w:webHidden/>
                      </w:rPr>
                      <w:fldChar w:fldCharType="separate"/>
                    </w:r>
                    <w:r w:rsidR="0099351E">
                      <w:rPr>
                        <w:noProof/>
                        <w:webHidden/>
                      </w:rPr>
                      <w:t>163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7" w:history="1">
                    <w:r w:rsidR="0099351E">
                      <w:rPr>
                        <w:rStyle w:val="Lienhypertexte"/>
                        <w:noProof/>
                      </w:rPr>
                      <w:t>6. Encodage dans SIEL</w:t>
                    </w:r>
                    <w:r w:rsidR="0099351E">
                      <w:rPr>
                        <w:noProof/>
                        <w:webHidden/>
                      </w:rPr>
                      <w:tab/>
                    </w:r>
                    <w:r w:rsidR="0099351E">
                      <w:rPr>
                        <w:noProof/>
                        <w:webHidden/>
                      </w:rPr>
                      <w:fldChar w:fldCharType="begin"/>
                    </w:r>
                    <w:r w:rsidR="0099351E">
                      <w:rPr>
                        <w:noProof/>
                        <w:webHidden/>
                      </w:rPr>
                      <w:instrText xml:space="preserve"> PAGEREF _Toc47708517 \h </w:instrText>
                    </w:r>
                    <w:r w:rsidR="0099351E">
                      <w:rPr>
                        <w:noProof/>
                        <w:webHidden/>
                      </w:rPr>
                    </w:r>
                    <w:r w:rsidR="0099351E">
                      <w:rPr>
                        <w:noProof/>
                        <w:webHidden/>
                      </w:rPr>
                      <w:fldChar w:fldCharType="separate"/>
                    </w:r>
                    <w:r w:rsidR="0099351E">
                      <w:rPr>
                        <w:noProof/>
                        <w:webHidden/>
                      </w:rPr>
                      <w:t>164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18" w:history="1">
                    <w:r w:rsidR="0099351E">
                      <w:rPr>
                        <w:rStyle w:val="Lienhypertexte"/>
                        <w:noProof/>
                      </w:rPr>
                      <w:t>7. Prestations durant les congés</w:t>
                    </w:r>
                    <w:r w:rsidR="0099351E">
                      <w:rPr>
                        <w:noProof/>
                        <w:webHidden/>
                      </w:rPr>
                      <w:tab/>
                    </w:r>
                    <w:r w:rsidR="0099351E">
                      <w:rPr>
                        <w:noProof/>
                        <w:webHidden/>
                      </w:rPr>
                      <w:fldChar w:fldCharType="begin"/>
                    </w:r>
                    <w:r w:rsidR="0099351E">
                      <w:rPr>
                        <w:noProof/>
                        <w:webHidden/>
                      </w:rPr>
                      <w:instrText xml:space="preserve"> PAGEREF _Toc47708518 \h </w:instrText>
                    </w:r>
                    <w:r w:rsidR="0099351E">
                      <w:rPr>
                        <w:noProof/>
                        <w:webHidden/>
                      </w:rPr>
                    </w:r>
                    <w:r w:rsidR="0099351E">
                      <w:rPr>
                        <w:noProof/>
                        <w:webHidden/>
                      </w:rPr>
                      <w:fldChar w:fldCharType="separate"/>
                    </w:r>
                    <w:r w:rsidR="0099351E">
                      <w:rPr>
                        <w:noProof/>
                        <w:webHidden/>
                      </w:rPr>
                      <w:t>164</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19" w:history="1">
                    <w:r w:rsidR="0099351E">
                      <w:rPr>
                        <w:rStyle w:val="Lienhypertexte"/>
                        <w:noProof/>
                      </w:rPr>
                      <w:t>Chapitre 8 : Capitaux-périodes : Transfert et affectation particulière</w:t>
                    </w:r>
                    <w:r w:rsidR="0099351E">
                      <w:rPr>
                        <w:noProof/>
                        <w:webHidden/>
                      </w:rPr>
                      <w:tab/>
                    </w:r>
                    <w:r w:rsidR="0099351E">
                      <w:rPr>
                        <w:noProof/>
                        <w:webHidden/>
                      </w:rPr>
                      <w:fldChar w:fldCharType="begin"/>
                    </w:r>
                    <w:r w:rsidR="0099351E">
                      <w:rPr>
                        <w:noProof/>
                        <w:webHidden/>
                      </w:rPr>
                      <w:instrText xml:space="preserve"> PAGEREF _Toc47708519 \h </w:instrText>
                    </w:r>
                    <w:r w:rsidR="0099351E">
                      <w:rPr>
                        <w:noProof/>
                        <w:webHidden/>
                      </w:rPr>
                    </w:r>
                    <w:r w:rsidR="0099351E">
                      <w:rPr>
                        <w:noProof/>
                        <w:webHidden/>
                      </w:rPr>
                      <w:fldChar w:fldCharType="separate"/>
                    </w:r>
                    <w:r w:rsidR="0099351E">
                      <w:rPr>
                        <w:noProof/>
                        <w:webHidden/>
                      </w:rPr>
                      <w:t>165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0" w:history="1">
                    <w:r w:rsidR="0099351E">
                      <w:rPr>
                        <w:rStyle w:val="Lienhypertexte"/>
                        <w:noProof/>
                      </w:rPr>
                      <w:t>1. Rappel de la réglementation</w:t>
                    </w:r>
                    <w:r w:rsidR="0099351E">
                      <w:rPr>
                        <w:noProof/>
                        <w:webHidden/>
                      </w:rPr>
                      <w:tab/>
                    </w:r>
                    <w:r w:rsidR="0099351E">
                      <w:rPr>
                        <w:noProof/>
                        <w:webHidden/>
                      </w:rPr>
                      <w:fldChar w:fldCharType="begin"/>
                    </w:r>
                    <w:r w:rsidR="0099351E">
                      <w:rPr>
                        <w:noProof/>
                        <w:webHidden/>
                      </w:rPr>
                      <w:instrText xml:space="preserve"> PAGEREF _Toc47708520 \h </w:instrText>
                    </w:r>
                    <w:r w:rsidR="0099351E">
                      <w:rPr>
                        <w:noProof/>
                        <w:webHidden/>
                      </w:rPr>
                    </w:r>
                    <w:r w:rsidR="0099351E">
                      <w:rPr>
                        <w:noProof/>
                        <w:webHidden/>
                      </w:rPr>
                      <w:fldChar w:fldCharType="separate"/>
                    </w:r>
                    <w:r w:rsidR="0099351E">
                      <w:rPr>
                        <w:noProof/>
                        <w:webHidden/>
                      </w:rPr>
                      <w:t>165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1" w:history="1">
                    <w:r w:rsidR="0099351E">
                      <w:rPr>
                        <w:rStyle w:val="Lienhypertexte"/>
                        <w:noProof/>
                      </w:rPr>
                      <w:t>2. Transfert de périodes enseignants du fondamental et de périodes professeurs du secondaire. (Articles 44 bis et 96 du Décret du 3 mars 2004 organisant l'Enseignement spécialisé tel que modifié).</w:t>
                    </w:r>
                    <w:r w:rsidR="0099351E">
                      <w:rPr>
                        <w:noProof/>
                        <w:webHidden/>
                      </w:rPr>
                      <w:tab/>
                    </w:r>
                    <w:r w:rsidR="0099351E">
                      <w:rPr>
                        <w:noProof/>
                        <w:webHidden/>
                      </w:rPr>
                      <w:fldChar w:fldCharType="begin"/>
                    </w:r>
                    <w:r w:rsidR="0099351E">
                      <w:rPr>
                        <w:noProof/>
                        <w:webHidden/>
                      </w:rPr>
                      <w:instrText xml:space="preserve"> PAGEREF _Toc47708521 \h </w:instrText>
                    </w:r>
                    <w:r w:rsidR="0099351E">
                      <w:rPr>
                        <w:noProof/>
                        <w:webHidden/>
                      </w:rPr>
                    </w:r>
                    <w:r w:rsidR="0099351E">
                      <w:rPr>
                        <w:noProof/>
                        <w:webHidden/>
                      </w:rPr>
                      <w:fldChar w:fldCharType="separate"/>
                    </w:r>
                    <w:r w:rsidR="0099351E">
                      <w:rPr>
                        <w:noProof/>
                        <w:webHidden/>
                      </w:rPr>
                      <w:t>165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2" w:history="1">
                    <w:r w:rsidR="0099351E">
                      <w:rPr>
                        <w:rStyle w:val="Lienhypertexte"/>
                        <w:noProof/>
                      </w:rPr>
                      <w:t>3. Affectations des capitaux-périodes non utilisés</w:t>
                    </w:r>
                    <w:r w:rsidR="0099351E">
                      <w:rPr>
                        <w:noProof/>
                        <w:webHidden/>
                      </w:rPr>
                      <w:tab/>
                    </w:r>
                    <w:r w:rsidR="0099351E">
                      <w:rPr>
                        <w:noProof/>
                        <w:webHidden/>
                      </w:rPr>
                      <w:fldChar w:fldCharType="begin"/>
                    </w:r>
                    <w:r w:rsidR="0099351E">
                      <w:rPr>
                        <w:noProof/>
                        <w:webHidden/>
                      </w:rPr>
                      <w:instrText xml:space="preserve"> PAGEREF _Toc47708522 \h </w:instrText>
                    </w:r>
                    <w:r w:rsidR="0099351E">
                      <w:rPr>
                        <w:noProof/>
                        <w:webHidden/>
                      </w:rPr>
                    </w:r>
                    <w:r w:rsidR="0099351E">
                      <w:rPr>
                        <w:noProof/>
                        <w:webHidden/>
                      </w:rPr>
                      <w:fldChar w:fldCharType="separate"/>
                    </w:r>
                    <w:r w:rsidR="0099351E">
                      <w:rPr>
                        <w:noProof/>
                        <w:webHidden/>
                      </w:rPr>
                      <w:t>166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3" w:history="1">
                    <w:r w:rsidR="0099351E">
                      <w:rPr>
                        <w:rStyle w:val="Lienhypertexte"/>
                        <w:noProof/>
                      </w:rPr>
                      <w:t>4. Annexe</w:t>
                    </w:r>
                    <w:r w:rsidR="0099351E">
                      <w:rPr>
                        <w:noProof/>
                        <w:webHidden/>
                      </w:rPr>
                      <w:tab/>
                    </w:r>
                    <w:r w:rsidR="0099351E">
                      <w:rPr>
                        <w:noProof/>
                        <w:webHidden/>
                      </w:rPr>
                      <w:fldChar w:fldCharType="begin"/>
                    </w:r>
                    <w:r w:rsidR="0099351E">
                      <w:rPr>
                        <w:noProof/>
                        <w:webHidden/>
                      </w:rPr>
                      <w:instrText xml:space="preserve"> PAGEREF _Toc47708523 \h </w:instrText>
                    </w:r>
                    <w:r w:rsidR="0099351E">
                      <w:rPr>
                        <w:noProof/>
                        <w:webHidden/>
                      </w:rPr>
                    </w:r>
                    <w:r w:rsidR="0099351E">
                      <w:rPr>
                        <w:noProof/>
                        <w:webHidden/>
                      </w:rPr>
                      <w:fldChar w:fldCharType="separate"/>
                    </w:r>
                    <w:r w:rsidR="0099351E">
                      <w:rPr>
                        <w:noProof/>
                        <w:webHidden/>
                      </w:rPr>
                      <w:t>168</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24" w:history="1">
                    <w:r w:rsidR="0099351E">
                      <w:rPr>
                        <w:rStyle w:val="Lienhypertexte"/>
                        <w:noProof/>
                      </w:rPr>
                      <w:t>Chapitre 9 : Du conseil de classe, du Plan Individuel d’Apprentissage (P.I.A) et des procédures de recours</w:t>
                    </w:r>
                    <w:r w:rsidR="0099351E">
                      <w:rPr>
                        <w:noProof/>
                        <w:webHidden/>
                      </w:rPr>
                      <w:tab/>
                    </w:r>
                    <w:r w:rsidR="0099351E">
                      <w:rPr>
                        <w:noProof/>
                        <w:webHidden/>
                      </w:rPr>
                      <w:fldChar w:fldCharType="begin"/>
                    </w:r>
                    <w:r w:rsidR="0099351E">
                      <w:rPr>
                        <w:noProof/>
                        <w:webHidden/>
                      </w:rPr>
                      <w:instrText xml:space="preserve"> PAGEREF _Toc47708524 \h </w:instrText>
                    </w:r>
                    <w:r w:rsidR="0099351E">
                      <w:rPr>
                        <w:noProof/>
                        <w:webHidden/>
                      </w:rPr>
                    </w:r>
                    <w:r w:rsidR="0099351E">
                      <w:rPr>
                        <w:noProof/>
                        <w:webHidden/>
                      </w:rPr>
                      <w:fldChar w:fldCharType="separate"/>
                    </w:r>
                    <w:r w:rsidR="0099351E">
                      <w:rPr>
                        <w:noProof/>
                        <w:webHidden/>
                      </w:rPr>
                      <w:t>170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5" w:history="1">
                    <w:r w:rsidR="0099351E">
                      <w:rPr>
                        <w:rStyle w:val="Lienhypertexte"/>
                        <w:noProof/>
                      </w:rPr>
                      <w:t>1. Le conseil de classe dans l’enseignement secondaire</w:t>
                    </w:r>
                    <w:r w:rsidR="0099351E">
                      <w:rPr>
                        <w:noProof/>
                        <w:webHidden/>
                      </w:rPr>
                      <w:tab/>
                    </w:r>
                    <w:r w:rsidR="0099351E">
                      <w:rPr>
                        <w:noProof/>
                        <w:webHidden/>
                      </w:rPr>
                      <w:fldChar w:fldCharType="begin"/>
                    </w:r>
                    <w:r w:rsidR="0099351E">
                      <w:rPr>
                        <w:noProof/>
                        <w:webHidden/>
                      </w:rPr>
                      <w:instrText xml:space="preserve"> PAGEREF _Toc47708525 \h </w:instrText>
                    </w:r>
                    <w:r w:rsidR="0099351E">
                      <w:rPr>
                        <w:noProof/>
                        <w:webHidden/>
                      </w:rPr>
                    </w:r>
                    <w:r w:rsidR="0099351E">
                      <w:rPr>
                        <w:noProof/>
                        <w:webHidden/>
                      </w:rPr>
                      <w:fldChar w:fldCharType="separate"/>
                    </w:r>
                    <w:r w:rsidR="0099351E">
                      <w:rPr>
                        <w:noProof/>
                        <w:webHidden/>
                      </w:rPr>
                      <w:t>170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6" w:history="1">
                    <w:r w:rsidR="0099351E">
                      <w:rPr>
                        <w:rStyle w:val="Lienhypertexte"/>
                        <w:noProof/>
                      </w:rPr>
                      <w:t>2. Les procédures de recours</w:t>
                    </w:r>
                    <w:r w:rsidR="0099351E">
                      <w:rPr>
                        <w:noProof/>
                        <w:webHidden/>
                      </w:rPr>
                      <w:tab/>
                    </w:r>
                    <w:r w:rsidR="0099351E">
                      <w:rPr>
                        <w:noProof/>
                        <w:webHidden/>
                      </w:rPr>
                      <w:fldChar w:fldCharType="begin"/>
                    </w:r>
                    <w:r w:rsidR="0099351E">
                      <w:rPr>
                        <w:noProof/>
                        <w:webHidden/>
                      </w:rPr>
                      <w:instrText xml:space="preserve"> PAGEREF _Toc47708526 \h </w:instrText>
                    </w:r>
                    <w:r w:rsidR="0099351E">
                      <w:rPr>
                        <w:noProof/>
                        <w:webHidden/>
                      </w:rPr>
                    </w:r>
                    <w:r w:rsidR="0099351E">
                      <w:rPr>
                        <w:noProof/>
                        <w:webHidden/>
                      </w:rPr>
                      <w:fldChar w:fldCharType="separate"/>
                    </w:r>
                    <w:r w:rsidR="0099351E">
                      <w:rPr>
                        <w:noProof/>
                        <w:webHidden/>
                      </w:rPr>
                      <w:t>172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7" w:history="1">
                    <w:r w:rsidR="0099351E">
                      <w:rPr>
                        <w:rStyle w:val="Lienhypertexte"/>
                        <w:noProof/>
                      </w:rPr>
                      <w:t>3. Le transfert du P.I.A.</w:t>
                    </w:r>
                    <w:r w:rsidR="0099351E">
                      <w:rPr>
                        <w:noProof/>
                        <w:webHidden/>
                      </w:rPr>
                      <w:tab/>
                    </w:r>
                    <w:r w:rsidR="0099351E">
                      <w:rPr>
                        <w:noProof/>
                        <w:webHidden/>
                      </w:rPr>
                      <w:fldChar w:fldCharType="begin"/>
                    </w:r>
                    <w:r w:rsidR="0099351E">
                      <w:rPr>
                        <w:noProof/>
                        <w:webHidden/>
                      </w:rPr>
                      <w:instrText xml:space="preserve"> PAGEREF _Toc47708527 \h </w:instrText>
                    </w:r>
                    <w:r w:rsidR="0099351E">
                      <w:rPr>
                        <w:noProof/>
                        <w:webHidden/>
                      </w:rPr>
                    </w:r>
                    <w:r w:rsidR="0099351E">
                      <w:rPr>
                        <w:noProof/>
                        <w:webHidden/>
                      </w:rPr>
                      <w:fldChar w:fldCharType="separate"/>
                    </w:r>
                    <w:r w:rsidR="0099351E">
                      <w:rPr>
                        <w:noProof/>
                        <w:webHidden/>
                      </w:rPr>
                      <w:t>177</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28" w:history="1">
                    <w:r w:rsidR="0099351E">
                      <w:rPr>
                        <w:rStyle w:val="Lienhypertexte"/>
                        <w:noProof/>
                      </w:rPr>
                      <w:t>Chapitre 10 : Personnel affecté dans le cadre des internats et homes d’accueil organisés par la Fédération Wallonie-Bruxelles</w:t>
                    </w:r>
                    <w:r w:rsidR="0099351E">
                      <w:rPr>
                        <w:noProof/>
                        <w:webHidden/>
                      </w:rPr>
                      <w:tab/>
                    </w:r>
                    <w:r w:rsidR="0099351E">
                      <w:rPr>
                        <w:noProof/>
                        <w:webHidden/>
                      </w:rPr>
                      <w:fldChar w:fldCharType="begin"/>
                    </w:r>
                    <w:r w:rsidR="0099351E">
                      <w:rPr>
                        <w:noProof/>
                        <w:webHidden/>
                      </w:rPr>
                      <w:instrText xml:space="preserve"> PAGEREF _Toc47708528 \h </w:instrText>
                    </w:r>
                    <w:r w:rsidR="0099351E">
                      <w:rPr>
                        <w:noProof/>
                        <w:webHidden/>
                      </w:rPr>
                    </w:r>
                    <w:r w:rsidR="0099351E">
                      <w:rPr>
                        <w:noProof/>
                        <w:webHidden/>
                      </w:rPr>
                      <w:fldChar w:fldCharType="separate"/>
                    </w:r>
                    <w:r w:rsidR="0099351E">
                      <w:rPr>
                        <w:noProof/>
                        <w:webHidden/>
                      </w:rPr>
                      <w:t>178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29" w:history="1">
                    <w:r w:rsidR="0099351E">
                      <w:rPr>
                        <w:rStyle w:val="Lienhypertexte"/>
                        <w:noProof/>
                      </w:rPr>
                      <w:t>1. Définitions</w:t>
                    </w:r>
                    <w:r w:rsidR="0099351E">
                      <w:rPr>
                        <w:noProof/>
                        <w:webHidden/>
                      </w:rPr>
                      <w:tab/>
                    </w:r>
                    <w:r w:rsidR="0099351E">
                      <w:rPr>
                        <w:noProof/>
                        <w:webHidden/>
                      </w:rPr>
                      <w:fldChar w:fldCharType="begin"/>
                    </w:r>
                    <w:r w:rsidR="0099351E">
                      <w:rPr>
                        <w:noProof/>
                        <w:webHidden/>
                      </w:rPr>
                      <w:instrText xml:space="preserve"> PAGEREF _Toc47708529 \h </w:instrText>
                    </w:r>
                    <w:r w:rsidR="0099351E">
                      <w:rPr>
                        <w:noProof/>
                        <w:webHidden/>
                      </w:rPr>
                    </w:r>
                    <w:r w:rsidR="0099351E">
                      <w:rPr>
                        <w:noProof/>
                        <w:webHidden/>
                      </w:rPr>
                      <w:fldChar w:fldCharType="separate"/>
                    </w:r>
                    <w:r w:rsidR="0099351E">
                      <w:rPr>
                        <w:noProof/>
                        <w:webHidden/>
                      </w:rPr>
                      <w:t>178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0" w:history="1">
                    <w:r w:rsidR="0099351E">
                      <w:rPr>
                        <w:rStyle w:val="Lienhypertexte"/>
                        <w:noProof/>
                      </w:rPr>
                      <w:t>2. Capital-périodes</w:t>
                    </w:r>
                    <w:r w:rsidR="0099351E">
                      <w:rPr>
                        <w:noProof/>
                        <w:webHidden/>
                      </w:rPr>
                      <w:tab/>
                    </w:r>
                    <w:r w:rsidR="0099351E">
                      <w:rPr>
                        <w:noProof/>
                        <w:webHidden/>
                      </w:rPr>
                      <w:fldChar w:fldCharType="begin"/>
                    </w:r>
                    <w:r w:rsidR="0099351E">
                      <w:rPr>
                        <w:noProof/>
                        <w:webHidden/>
                      </w:rPr>
                      <w:instrText xml:space="preserve"> PAGEREF _Toc47708530 \h </w:instrText>
                    </w:r>
                    <w:r w:rsidR="0099351E">
                      <w:rPr>
                        <w:noProof/>
                        <w:webHidden/>
                      </w:rPr>
                    </w:r>
                    <w:r w:rsidR="0099351E">
                      <w:rPr>
                        <w:noProof/>
                        <w:webHidden/>
                      </w:rPr>
                      <w:fldChar w:fldCharType="separate"/>
                    </w:r>
                    <w:r w:rsidR="0099351E">
                      <w:rPr>
                        <w:noProof/>
                        <w:webHidden/>
                      </w:rPr>
                      <w:t>178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1" w:history="1">
                    <w:r w:rsidR="0099351E">
                      <w:rPr>
                        <w:rStyle w:val="Lienhypertexte"/>
                        <w:noProof/>
                      </w:rPr>
                      <w:t>3. Fonctions</w:t>
                    </w:r>
                    <w:r w:rsidR="0099351E">
                      <w:rPr>
                        <w:noProof/>
                        <w:webHidden/>
                      </w:rPr>
                      <w:tab/>
                    </w:r>
                    <w:r w:rsidR="0099351E">
                      <w:rPr>
                        <w:noProof/>
                        <w:webHidden/>
                      </w:rPr>
                      <w:fldChar w:fldCharType="begin"/>
                    </w:r>
                    <w:r w:rsidR="0099351E">
                      <w:rPr>
                        <w:noProof/>
                        <w:webHidden/>
                      </w:rPr>
                      <w:instrText xml:space="preserve"> PAGEREF _Toc47708531 \h </w:instrText>
                    </w:r>
                    <w:r w:rsidR="0099351E">
                      <w:rPr>
                        <w:noProof/>
                        <w:webHidden/>
                      </w:rPr>
                    </w:r>
                    <w:r w:rsidR="0099351E">
                      <w:rPr>
                        <w:noProof/>
                        <w:webHidden/>
                      </w:rPr>
                      <w:fldChar w:fldCharType="separate"/>
                    </w:r>
                    <w:r w:rsidR="0099351E">
                      <w:rPr>
                        <w:noProof/>
                        <w:webHidden/>
                      </w:rPr>
                      <w:t>180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2" w:history="1">
                    <w:r w:rsidR="0099351E">
                      <w:rPr>
                        <w:rStyle w:val="Lienhypertexte"/>
                        <w:noProof/>
                      </w:rPr>
                      <w:t>4. Plages-horaire</w:t>
                    </w:r>
                    <w:r w:rsidR="0099351E">
                      <w:rPr>
                        <w:noProof/>
                        <w:webHidden/>
                      </w:rPr>
                      <w:tab/>
                    </w:r>
                    <w:r w:rsidR="0099351E">
                      <w:rPr>
                        <w:noProof/>
                        <w:webHidden/>
                      </w:rPr>
                      <w:fldChar w:fldCharType="begin"/>
                    </w:r>
                    <w:r w:rsidR="0099351E">
                      <w:rPr>
                        <w:noProof/>
                        <w:webHidden/>
                      </w:rPr>
                      <w:instrText xml:space="preserve"> PAGEREF _Toc47708532 \h </w:instrText>
                    </w:r>
                    <w:r w:rsidR="0099351E">
                      <w:rPr>
                        <w:noProof/>
                        <w:webHidden/>
                      </w:rPr>
                    </w:r>
                    <w:r w:rsidR="0099351E">
                      <w:rPr>
                        <w:noProof/>
                        <w:webHidden/>
                      </w:rPr>
                      <w:fldChar w:fldCharType="separate"/>
                    </w:r>
                    <w:r w:rsidR="0099351E">
                      <w:rPr>
                        <w:noProof/>
                        <w:webHidden/>
                      </w:rPr>
                      <w:t>181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3" w:history="1">
                    <w:r w:rsidR="0099351E">
                      <w:rPr>
                        <w:rStyle w:val="Lienhypertexte"/>
                        <w:noProof/>
                      </w:rPr>
                      <w:t>5. Travail collaboratif</w:t>
                    </w:r>
                    <w:r w:rsidR="0099351E">
                      <w:rPr>
                        <w:noProof/>
                        <w:webHidden/>
                      </w:rPr>
                      <w:tab/>
                    </w:r>
                    <w:r w:rsidR="0099351E">
                      <w:rPr>
                        <w:noProof/>
                        <w:webHidden/>
                      </w:rPr>
                      <w:fldChar w:fldCharType="begin"/>
                    </w:r>
                    <w:r w:rsidR="0099351E">
                      <w:rPr>
                        <w:noProof/>
                        <w:webHidden/>
                      </w:rPr>
                      <w:instrText xml:space="preserve"> PAGEREF _Toc47708533 \h </w:instrText>
                    </w:r>
                    <w:r w:rsidR="0099351E">
                      <w:rPr>
                        <w:noProof/>
                        <w:webHidden/>
                      </w:rPr>
                    </w:r>
                    <w:r w:rsidR="0099351E">
                      <w:rPr>
                        <w:noProof/>
                        <w:webHidden/>
                      </w:rPr>
                      <w:fldChar w:fldCharType="separate"/>
                    </w:r>
                    <w:r w:rsidR="0099351E">
                      <w:rPr>
                        <w:noProof/>
                        <w:webHidden/>
                      </w:rPr>
                      <w:t>181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4" w:history="1">
                    <w:r w:rsidR="0099351E">
                      <w:rPr>
                        <w:rStyle w:val="Lienhypertexte"/>
                        <w:noProof/>
                      </w:rPr>
                      <w:t>6. Répartition des emplois</w:t>
                    </w:r>
                    <w:r w:rsidR="0099351E">
                      <w:rPr>
                        <w:noProof/>
                        <w:webHidden/>
                      </w:rPr>
                      <w:tab/>
                    </w:r>
                    <w:r w:rsidR="0099351E">
                      <w:rPr>
                        <w:noProof/>
                        <w:webHidden/>
                      </w:rPr>
                      <w:fldChar w:fldCharType="begin"/>
                    </w:r>
                    <w:r w:rsidR="0099351E">
                      <w:rPr>
                        <w:noProof/>
                        <w:webHidden/>
                      </w:rPr>
                      <w:instrText xml:space="preserve"> PAGEREF _Toc47708534 \h </w:instrText>
                    </w:r>
                    <w:r w:rsidR="0099351E">
                      <w:rPr>
                        <w:noProof/>
                        <w:webHidden/>
                      </w:rPr>
                    </w:r>
                    <w:r w:rsidR="0099351E">
                      <w:rPr>
                        <w:noProof/>
                        <w:webHidden/>
                      </w:rPr>
                      <w:fldChar w:fldCharType="separate"/>
                    </w:r>
                    <w:r w:rsidR="0099351E">
                      <w:rPr>
                        <w:noProof/>
                        <w:webHidden/>
                      </w:rPr>
                      <w:t>181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5" w:history="1">
                    <w:r w:rsidR="0099351E">
                      <w:rPr>
                        <w:rStyle w:val="Lienhypertexte"/>
                        <w:noProof/>
                      </w:rPr>
                      <w:t>7. Tenue de la comptabilité dans les homes d’accueil</w:t>
                    </w:r>
                    <w:r w:rsidR="0099351E">
                      <w:rPr>
                        <w:noProof/>
                        <w:webHidden/>
                      </w:rPr>
                      <w:tab/>
                    </w:r>
                    <w:r w:rsidR="0099351E">
                      <w:rPr>
                        <w:noProof/>
                        <w:webHidden/>
                      </w:rPr>
                      <w:fldChar w:fldCharType="begin"/>
                    </w:r>
                    <w:r w:rsidR="0099351E">
                      <w:rPr>
                        <w:noProof/>
                        <w:webHidden/>
                      </w:rPr>
                      <w:instrText xml:space="preserve"> PAGEREF _Toc47708535 \h </w:instrText>
                    </w:r>
                    <w:r w:rsidR="0099351E">
                      <w:rPr>
                        <w:noProof/>
                        <w:webHidden/>
                      </w:rPr>
                    </w:r>
                    <w:r w:rsidR="0099351E">
                      <w:rPr>
                        <w:noProof/>
                        <w:webHidden/>
                      </w:rPr>
                      <w:fldChar w:fldCharType="separate"/>
                    </w:r>
                    <w:r w:rsidR="0099351E">
                      <w:rPr>
                        <w:noProof/>
                        <w:webHidden/>
                      </w:rPr>
                      <w:t>181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6" w:history="1">
                    <w:r w:rsidR="0099351E">
                      <w:rPr>
                        <w:rStyle w:val="Lienhypertexte"/>
                        <w:noProof/>
                      </w:rPr>
                      <w:t>8. Annexes</w:t>
                    </w:r>
                    <w:r w:rsidR="0099351E">
                      <w:rPr>
                        <w:noProof/>
                        <w:webHidden/>
                      </w:rPr>
                      <w:tab/>
                    </w:r>
                    <w:r w:rsidR="0099351E">
                      <w:rPr>
                        <w:noProof/>
                        <w:webHidden/>
                      </w:rPr>
                      <w:fldChar w:fldCharType="begin"/>
                    </w:r>
                    <w:r w:rsidR="0099351E">
                      <w:rPr>
                        <w:noProof/>
                        <w:webHidden/>
                      </w:rPr>
                      <w:instrText xml:space="preserve"> PAGEREF _Toc47708536 \h </w:instrText>
                    </w:r>
                    <w:r w:rsidR="0099351E">
                      <w:rPr>
                        <w:noProof/>
                        <w:webHidden/>
                      </w:rPr>
                    </w:r>
                    <w:r w:rsidR="0099351E">
                      <w:rPr>
                        <w:noProof/>
                        <w:webHidden/>
                      </w:rPr>
                      <w:fldChar w:fldCharType="separate"/>
                    </w:r>
                    <w:r w:rsidR="0099351E">
                      <w:rPr>
                        <w:noProof/>
                        <w:webHidden/>
                      </w:rPr>
                      <w:t>181</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37" w:history="1">
                    <w:r w:rsidR="0099351E">
                      <w:rPr>
                        <w:rStyle w:val="Lienhypertexte"/>
                        <w:noProof/>
                      </w:rPr>
                      <w:t>Chapitre 11 : Homes d’accueil permanent organisés par la Fédération Wallonie-Bruxelles</w:t>
                    </w:r>
                    <w:r w:rsidR="0099351E">
                      <w:rPr>
                        <w:noProof/>
                        <w:webHidden/>
                      </w:rPr>
                      <w:tab/>
                    </w:r>
                    <w:r w:rsidR="0099351E">
                      <w:rPr>
                        <w:noProof/>
                        <w:webHidden/>
                      </w:rPr>
                      <w:fldChar w:fldCharType="begin"/>
                    </w:r>
                    <w:r w:rsidR="0099351E">
                      <w:rPr>
                        <w:noProof/>
                        <w:webHidden/>
                      </w:rPr>
                      <w:instrText xml:space="preserve"> PAGEREF _Toc47708537 \h </w:instrText>
                    </w:r>
                    <w:r w:rsidR="0099351E">
                      <w:rPr>
                        <w:noProof/>
                        <w:webHidden/>
                      </w:rPr>
                    </w:r>
                    <w:r w:rsidR="0099351E">
                      <w:rPr>
                        <w:noProof/>
                        <w:webHidden/>
                      </w:rPr>
                      <w:fldChar w:fldCharType="separate"/>
                    </w:r>
                    <w:r w:rsidR="0099351E">
                      <w:rPr>
                        <w:noProof/>
                        <w:webHidden/>
                      </w:rPr>
                      <w:t>185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8" w:history="1">
                    <w:r w:rsidR="0099351E">
                      <w:rPr>
                        <w:rStyle w:val="Lienhypertexte"/>
                        <w:noProof/>
                      </w:rPr>
                      <w:t>1. Ouverture des homes d’accueil permanent</w:t>
                    </w:r>
                    <w:r w:rsidR="0099351E">
                      <w:rPr>
                        <w:noProof/>
                        <w:webHidden/>
                      </w:rPr>
                      <w:tab/>
                    </w:r>
                    <w:r w:rsidR="0099351E">
                      <w:rPr>
                        <w:noProof/>
                        <w:webHidden/>
                      </w:rPr>
                      <w:fldChar w:fldCharType="begin"/>
                    </w:r>
                    <w:r w:rsidR="0099351E">
                      <w:rPr>
                        <w:noProof/>
                        <w:webHidden/>
                      </w:rPr>
                      <w:instrText xml:space="preserve"> PAGEREF _Toc47708538 \h </w:instrText>
                    </w:r>
                    <w:r w:rsidR="0099351E">
                      <w:rPr>
                        <w:noProof/>
                        <w:webHidden/>
                      </w:rPr>
                    </w:r>
                    <w:r w:rsidR="0099351E">
                      <w:rPr>
                        <w:noProof/>
                        <w:webHidden/>
                      </w:rPr>
                      <w:fldChar w:fldCharType="separate"/>
                    </w:r>
                    <w:r w:rsidR="0099351E">
                      <w:rPr>
                        <w:noProof/>
                        <w:webHidden/>
                      </w:rPr>
                      <w:t>185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39" w:history="1">
                    <w:r w:rsidR="0099351E">
                      <w:rPr>
                        <w:rStyle w:val="Lienhypertexte"/>
                        <w:noProof/>
                      </w:rPr>
                      <w:t>2. Capital-périodes complémentaire</w:t>
                    </w:r>
                    <w:r w:rsidR="0099351E">
                      <w:rPr>
                        <w:noProof/>
                        <w:webHidden/>
                      </w:rPr>
                      <w:tab/>
                    </w:r>
                    <w:r w:rsidR="0099351E">
                      <w:rPr>
                        <w:noProof/>
                        <w:webHidden/>
                      </w:rPr>
                      <w:fldChar w:fldCharType="begin"/>
                    </w:r>
                    <w:r w:rsidR="0099351E">
                      <w:rPr>
                        <w:noProof/>
                        <w:webHidden/>
                      </w:rPr>
                      <w:instrText xml:space="preserve"> PAGEREF _Toc47708539 \h </w:instrText>
                    </w:r>
                    <w:r w:rsidR="0099351E">
                      <w:rPr>
                        <w:noProof/>
                        <w:webHidden/>
                      </w:rPr>
                    </w:r>
                    <w:r w:rsidR="0099351E">
                      <w:rPr>
                        <w:noProof/>
                        <w:webHidden/>
                      </w:rPr>
                      <w:fldChar w:fldCharType="separate"/>
                    </w:r>
                    <w:r w:rsidR="0099351E">
                      <w:rPr>
                        <w:noProof/>
                        <w:webHidden/>
                      </w:rPr>
                      <w:t>185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0" w:history="1">
                    <w:r w:rsidR="0099351E">
                      <w:rPr>
                        <w:rStyle w:val="Lienhypertexte"/>
                        <w:noProof/>
                      </w:rPr>
                      <w:t>3. Reliquats</w:t>
                    </w:r>
                    <w:r w:rsidR="0099351E">
                      <w:rPr>
                        <w:noProof/>
                        <w:webHidden/>
                      </w:rPr>
                      <w:tab/>
                    </w:r>
                    <w:r w:rsidR="0099351E">
                      <w:rPr>
                        <w:noProof/>
                        <w:webHidden/>
                      </w:rPr>
                      <w:fldChar w:fldCharType="begin"/>
                    </w:r>
                    <w:r w:rsidR="0099351E">
                      <w:rPr>
                        <w:noProof/>
                        <w:webHidden/>
                      </w:rPr>
                      <w:instrText xml:space="preserve"> PAGEREF _Toc47708540 \h </w:instrText>
                    </w:r>
                    <w:r w:rsidR="0099351E">
                      <w:rPr>
                        <w:noProof/>
                        <w:webHidden/>
                      </w:rPr>
                    </w:r>
                    <w:r w:rsidR="0099351E">
                      <w:rPr>
                        <w:noProof/>
                        <w:webHidden/>
                      </w:rPr>
                      <w:fldChar w:fldCharType="separate"/>
                    </w:r>
                    <w:r w:rsidR="0099351E">
                      <w:rPr>
                        <w:noProof/>
                        <w:webHidden/>
                      </w:rPr>
                      <w:t>187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1" w:history="1">
                    <w:r w:rsidR="0099351E">
                      <w:rPr>
                        <w:rStyle w:val="Lienhypertexte"/>
                        <w:noProof/>
                      </w:rPr>
                      <w:t>4. Personnels paramédical, psychologique, social, auxiliaire d’éducation et administratif attribués pour l’accueil permanent des élèves internes</w:t>
                    </w:r>
                    <w:r w:rsidR="0099351E">
                      <w:rPr>
                        <w:noProof/>
                        <w:webHidden/>
                      </w:rPr>
                      <w:tab/>
                    </w:r>
                    <w:r w:rsidR="0099351E">
                      <w:rPr>
                        <w:noProof/>
                        <w:webHidden/>
                      </w:rPr>
                      <w:fldChar w:fldCharType="begin"/>
                    </w:r>
                    <w:r w:rsidR="0099351E">
                      <w:rPr>
                        <w:noProof/>
                        <w:webHidden/>
                      </w:rPr>
                      <w:instrText xml:space="preserve"> PAGEREF _Toc47708541 \h </w:instrText>
                    </w:r>
                    <w:r w:rsidR="0099351E">
                      <w:rPr>
                        <w:noProof/>
                        <w:webHidden/>
                      </w:rPr>
                    </w:r>
                    <w:r w:rsidR="0099351E">
                      <w:rPr>
                        <w:noProof/>
                        <w:webHidden/>
                      </w:rPr>
                      <w:fldChar w:fldCharType="separate"/>
                    </w:r>
                    <w:r w:rsidR="0099351E">
                      <w:rPr>
                        <w:noProof/>
                        <w:webHidden/>
                      </w:rPr>
                      <w:t>187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2" w:history="1">
                    <w:r w:rsidR="0099351E">
                      <w:rPr>
                        <w:rStyle w:val="Lienhypertexte"/>
                        <w:noProof/>
                      </w:rPr>
                      <w:t>5. Travail collaboratif</w:t>
                    </w:r>
                    <w:r w:rsidR="0099351E">
                      <w:rPr>
                        <w:noProof/>
                        <w:webHidden/>
                      </w:rPr>
                      <w:tab/>
                    </w:r>
                    <w:r w:rsidR="0099351E">
                      <w:rPr>
                        <w:noProof/>
                        <w:webHidden/>
                      </w:rPr>
                      <w:fldChar w:fldCharType="begin"/>
                    </w:r>
                    <w:r w:rsidR="0099351E">
                      <w:rPr>
                        <w:noProof/>
                        <w:webHidden/>
                      </w:rPr>
                      <w:instrText xml:space="preserve"> PAGEREF _Toc47708542 \h </w:instrText>
                    </w:r>
                    <w:r w:rsidR="0099351E">
                      <w:rPr>
                        <w:noProof/>
                        <w:webHidden/>
                      </w:rPr>
                    </w:r>
                    <w:r w:rsidR="0099351E">
                      <w:rPr>
                        <w:noProof/>
                        <w:webHidden/>
                      </w:rPr>
                      <w:fldChar w:fldCharType="separate"/>
                    </w:r>
                    <w:r w:rsidR="0099351E">
                      <w:rPr>
                        <w:noProof/>
                        <w:webHidden/>
                      </w:rPr>
                      <w:t>187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3" w:history="1">
                    <w:r w:rsidR="0099351E">
                      <w:rPr>
                        <w:rStyle w:val="Lienhypertexte"/>
                        <w:noProof/>
                      </w:rPr>
                      <w:t>6. Annexes</w:t>
                    </w:r>
                    <w:r w:rsidR="0099351E">
                      <w:rPr>
                        <w:noProof/>
                        <w:webHidden/>
                      </w:rPr>
                      <w:tab/>
                    </w:r>
                    <w:r w:rsidR="0099351E">
                      <w:rPr>
                        <w:noProof/>
                        <w:webHidden/>
                      </w:rPr>
                      <w:fldChar w:fldCharType="begin"/>
                    </w:r>
                    <w:r w:rsidR="0099351E">
                      <w:rPr>
                        <w:noProof/>
                        <w:webHidden/>
                      </w:rPr>
                      <w:instrText xml:space="preserve"> PAGEREF _Toc47708543 \h </w:instrText>
                    </w:r>
                    <w:r w:rsidR="0099351E">
                      <w:rPr>
                        <w:noProof/>
                        <w:webHidden/>
                      </w:rPr>
                    </w:r>
                    <w:r w:rsidR="0099351E">
                      <w:rPr>
                        <w:noProof/>
                        <w:webHidden/>
                      </w:rPr>
                      <w:fldChar w:fldCharType="separate"/>
                    </w:r>
                    <w:r w:rsidR="0099351E">
                      <w:rPr>
                        <w:noProof/>
                        <w:webHidden/>
                      </w:rPr>
                      <w:t>188</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44" w:history="1">
                    <w:r w:rsidR="0099351E">
                      <w:rPr>
                        <w:rStyle w:val="Lienhypertexte"/>
                        <w:noProof/>
                      </w:rPr>
                      <w:t>Chapitre 12 : Formalités administratives pour les élèves fréquentant l’enseignement spécialisé de type 5</w:t>
                    </w:r>
                    <w:r w:rsidR="0099351E">
                      <w:rPr>
                        <w:noProof/>
                        <w:webHidden/>
                      </w:rPr>
                      <w:tab/>
                    </w:r>
                    <w:r w:rsidR="0099351E">
                      <w:rPr>
                        <w:noProof/>
                        <w:webHidden/>
                      </w:rPr>
                      <w:fldChar w:fldCharType="begin"/>
                    </w:r>
                    <w:r w:rsidR="0099351E">
                      <w:rPr>
                        <w:noProof/>
                        <w:webHidden/>
                      </w:rPr>
                      <w:instrText xml:space="preserve"> PAGEREF _Toc47708544 \h </w:instrText>
                    </w:r>
                    <w:r w:rsidR="0099351E">
                      <w:rPr>
                        <w:noProof/>
                        <w:webHidden/>
                      </w:rPr>
                    </w:r>
                    <w:r w:rsidR="0099351E">
                      <w:rPr>
                        <w:noProof/>
                        <w:webHidden/>
                      </w:rPr>
                      <w:fldChar w:fldCharType="separate"/>
                    </w:r>
                    <w:r w:rsidR="0099351E">
                      <w:rPr>
                        <w:noProof/>
                        <w:webHidden/>
                      </w:rPr>
                      <w:t>192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5" w:history="1">
                    <w:r w:rsidR="0099351E">
                      <w:rPr>
                        <w:rStyle w:val="Lienhypertexte"/>
                        <w:noProof/>
                      </w:rPr>
                      <w:t>1. Entrée et accueil</w:t>
                    </w:r>
                    <w:r w:rsidR="0099351E">
                      <w:rPr>
                        <w:noProof/>
                        <w:webHidden/>
                      </w:rPr>
                      <w:tab/>
                    </w:r>
                    <w:r w:rsidR="0099351E">
                      <w:rPr>
                        <w:noProof/>
                        <w:webHidden/>
                      </w:rPr>
                      <w:fldChar w:fldCharType="begin"/>
                    </w:r>
                    <w:r w:rsidR="0099351E">
                      <w:rPr>
                        <w:noProof/>
                        <w:webHidden/>
                      </w:rPr>
                      <w:instrText xml:space="preserve"> PAGEREF _Toc47708545 \h </w:instrText>
                    </w:r>
                    <w:r w:rsidR="0099351E">
                      <w:rPr>
                        <w:noProof/>
                        <w:webHidden/>
                      </w:rPr>
                    </w:r>
                    <w:r w:rsidR="0099351E">
                      <w:rPr>
                        <w:noProof/>
                        <w:webHidden/>
                      </w:rPr>
                      <w:fldChar w:fldCharType="separate"/>
                    </w:r>
                    <w:r w:rsidR="0099351E">
                      <w:rPr>
                        <w:noProof/>
                        <w:webHidden/>
                      </w:rPr>
                      <w:t>192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6" w:history="1">
                    <w:r w:rsidR="0099351E">
                      <w:rPr>
                        <w:rStyle w:val="Lienhypertexte"/>
                        <w:noProof/>
                      </w:rPr>
                      <w:t>2. Séjour</w:t>
                    </w:r>
                    <w:r w:rsidR="0099351E">
                      <w:rPr>
                        <w:noProof/>
                        <w:webHidden/>
                      </w:rPr>
                      <w:tab/>
                    </w:r>
                    <w:r w:rsidR="0099351E">
                      <w:rPr>
                        <w:noProof/>
                        <w:webHidden/>
                      </w:rPr>
                      <w:fldChar w:fldCharType="begin"/>
                    </w:r>
                    <w:r w:rsidR="0099351E">
                      <w:rPr>
                        <w:noProof/>
                        <w:webHidden/>
                      </w:rPr>
                      <w:instrText xml:space="preserve"> PAGEREF _Toc47708546 \h </w:instrText>
                    </w:r>
                    <w:r w:rsidR="0099351E">
                      <w:rPr>
                        <w:noProof/>
                        <w:webHidden/>
                      </w:rPr>
                    </w:r>
                    <w:r w:rsidR="0099351E">
                      <w:rPr>
                        <w:noProof/>
                        <w:webHidden/>
                      </w:rPr>
                      <w:fldChar w:fldCharType="separate"/>
                    </w:r>
                    <w:r w:rsidR="0099351E">
                      <w:rPr>
                        <w:noProof/>
                        <w:webHidden/>
                      </w:rPr>
                      <w:t>193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7" w:history="1">
                    <w:r w:rsidR="0099351E">
                      <w:rPr>
                        <w:rStyle w:val="Lienhypertexte"/>
                        <w:noProof/>
                      </w:rPr>
                      <w:t>3. Sortie</w:t>
                    </w:r>
                    <w:r w:rsidR="0099351E">
                      <w:rPr>
                        <w:noProof/>
                        <w:webHidden/>
                      </w:rPr>
                      <w:tab/>
                    </w:r>
                    <w:r w:rsidR="0099351E">
                      <w:rPr>
                        <w:noProof/>
                        <w:webHidden/>
                      </w:rPr>
                      <w:fldChar w:fldCharType="begin"/>
                    </w:r>
                    <w:r w:rsidR="0099351E">
                      <w:rPr>
                        <w:noProof/>
                        <w:webHidden/>
                      </w:rPr>
                      <w:instrText xml:space="preserve"> PAGEREF _Toc47708547 \h </w:instrText>
                    </w:r>
                    <w:r w:rsidR="0099351E">
                      <w:rPr>
                        <w:noProof/>
                        <w:webHidden/>
                      </w:rPr>
                    </w:r>
                    <w:r w:rsidR="0099351E">
                      <w:rPr>
                        <w:noProof/>
                        <w:webHidden/>
                      </w:rPr>
                      <w:fldChar w:fldCharType="separate"/>
                    </w:r>
                    <w:r w:rsidR="0099351E">
                      <w:rPr>
                        <w:noProof/>
                        <w:webHidden/>
                      </w:rPr>
                      <w:t>194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48" w:history="1">
                    <w:r w:rsidR="0099351E">
                      <w:rPr>
                        <w:rStyle w:val="Lienhypertexte"/>
                        <w:noProof/>
                      </w:rPr>
                      <w:t>4. Dispositions afférentes au calcul du capital période dans les établissements scolaires organisant l’enseignement spécialisé de type 5</w:t>
                    </w:r>
                    <w:r w:rsidR="0099351E">
                      <w:rPr>
                        <w:noProof/>
                        <w:webHidden/>
                      </w:rPr>
                      <w:tab/>
                    </w:r>
                    <w:r w:rsidR="0099351E">
                      <w:rPr>
                        <w:noProof/>
                        <w:webHidden/>
                      </w:rPr>
                      <w:fldChar w:fldCharType="begin"/>
                    </w:r>
                    <w:r w:rsidR="0099351E">
                      <w:rPr>
                        <w:noProof/>
                        <w:webHidden/>
                      </w:rPr>
                      <w:instrText xml:space="preserve"> PAGEREF _Toc47708548 \h </w:instrText>
                    </w:r>
                    <w:r w:rsidR="0099351E">
                      <w:rPr>
                        <w:noProof/>
                        <w:webHidden/>
                      </w:rPr>
                    </w:r>
                    <w:r w:rsidR="0099351E">
                      <w:rPr>
                        <w:noProof/>
                        <w:webHidden/>
                      </w:rPr>
                      <w:fldChar w:fldCharType="separate"/>
                    </w:r>
                    <w:r w:rsidR="0099351E">
                      <w:rPr>
                        <w:noProof/>
                        <w:webHidden/>
                      </w:rPr>
                      <w:t>196</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49" w:history="1">
                    <w:r w:rsidR="0099351E">
                      <w:rPr>
                        <w:rStyle w:val="Lienhypertexte"/>
                        <w:noProof/>
                      </w:rPr>
                      <w:t>Chapitre 13 : Intégrations</w:t>
                    </w:r>
                    <w:r w:rsidR="0099351E">
                      <w:rPr>
                        <w:noProof/>
                        <w:webHidden/>
                      </w:rPr>
                      <w:tab/>
                    </w:r>
                    <w:r w:rsidR="0099351E">
                      <w:rPr>
                        <w:noProof/>
                        <w:webHidden/>
                      </w:rPr>
                      <w:fldChar w:fldCharType="begin"/>
                    </w:r>
                    <w:r w:rsidR="0099351E">
                      <w:rPr>
                        <w:noProof/>
                        <w:webHidden/>
                      </w:rPr>
                      <w:instrText xml:space="preserve"> PAGEREF _Toc47708549 \h </w:instrText>
                    </w:r>
                    <w:r w:rsidR="0099351E">
                      <w:rPr>
                        <w:noProof/>
                        <w:webHidden/>
                      </w:rPr>
                    </w:r>
                    <w:r w:rsidR="0099351E">
                      <w:rPr>
                        <w:noProof/>
                        <w:webHidden/>
                      </w:rPr>
                      <w:fldChar w:fldCharType="separate"/>
                    </w:r>
                    <w:r w:rsidR="0099351E">
                      <w:rPr>
                        <w:noProof/>
                        <w:webHidden/>
                      </w:rPr>
                      <w:t>198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0" w:history="1">
                    <w:r w:rsidR="0099351E">
                      <w:rPr>
                        <w:rStyle w:val="Lienhypertexte"/>
                        <w:noProof/>
                      </w:rPr>
                      <w:t>1. Principes généraux</w:t>
                    </w:r>
                    <w:r w:rsidR="0099351E">
                      <w:rPr>
                        <w:noProof/>
                        <w:webHidden/>
                      </w:rPr>
                      <w:tab/>
                    </w:r>
                    <w:r w:rsidR="0099351E">
                      <w:rPr>
                        <w:noProof/>
                        <w:webHidden/>
                      </w:rPr>
                      <w:fldChar w:fldCharType="begin"/>
                    </w:r>
                    <w:r w:rsidR="0099351E">
                      <w:rPr>
                        <w:noProof/>
                        <w:webHidden/>
                      </w:rPr>
                      <w:instrText xml:space="preserve"> PAGEREF _Toc47708550 \h </w:instrText>
                    </w:r>
                    <w:r w:rsidR="0099351E">
                      <w:rPr>
                        <w:noProof/>
                        <w:webHidden/>
                      </w:rPr>
                    </w:r>
                    <w:r w:rsidR="0099351E">
                      <w:rPr>
                        <w:noProof/>
                        <w:webHidden/>
                      </w:rPr>
                      <w:fldChar w:fldCharType="separate"/>
                    </w:r>
                    <w:r w:rsidR="0099351E">
                      <w:rPr>
                        <w:noProof/>
                        <w:webHidden/>
                      </w:rPr>
                      <w:t>199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1" w:history="1">
                    <w:r w:rsidR="0099351E">
                      <w:rPr>
                        <w:rStyle w:val="Lienhypertexte"/>
                        <w:noProof/>
                      </w:rPr>
                      <w:t>2. Quels sont les élèves concernés par l’intégration ?</w:t>
                    </w:r>
                    <w:r w:rsidR="0099351E">
                      <w:rPr>
                        <w:noProof/>
                        <w:webHidden/>
                      </w:rPr>
                      <w:tab/>
                    </w:r>
                    <w:r w:rsidR="0099351E">
                      <w:rPr>
                        <w:noProof/>
                        <w:webHidden/>
                      </w:rPr>
                      <w:fldChar w:fldCharType="begin"/>
                    </w:r>
                    <w:r w:rsidR="0099351E">
                      <w:rPr>
                        <w:noProof/>
                        <w:webHidden/>
                      </w:rPr>
                      <w:instrText xml:space="preserve"> PAGEREF _Toc47708551 \h </w:instrText>
                    </w:r>
                    <w:r w:rsidR="0099351E">
                      <w:rPr>
                        <w:noProof/>
                        <w:webHidden/>
                      </w:rPr>
                    </w:r>
                    <w:r w:rsidR="0099351E">
                      <w:rPr>
                        <w:noProof/>
                        <w:webHidden/>
                      </w:rPr>
                      <w:fldChar w:fldCharType="separate"/>
                    </w:r>
                    <w:r w:rsidR="0099351E">
                      <w:rPr>
                        <w:noProof/>
                        <w:webHidden/>
                      </w:rPr>
                      <w:t>199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2" w:history="1">
                    <w:r w:rsidR="0099351E">
                      <w:rPr>
                        <w:rStyle w:val="Lienhypertexte"/>
                        <w:noProof/>
                      </w:rPr>
                      <w:t>3. Quels sont les différents types d’intégration ?</w:t>
                    </w:r>
                    <w:r w:rsidR="0099351E">
                      <w:rPr>
                        <w:noProof/>
                        <w:webHidden/>
                      </w:rPr>
                      <w:tab/>
                    </w:r>
                    <w:r w:rsidR="0099351E">
                      <w:rPr>
                        <w:noProof/>
                        <w:webHidden/>
                      </w:rPr>
                      <w:fldChar w:fldCharType="begin"/>
                    </w:r>
                    <w:r w:rsidR="0099351E">
                      <w:rPr>
                        <w:noProof/>
                        <w:webHidden/>
                      </w:rPr>
                      <w:instrText xml:space="preserve"> PAGEREF _Toc47708552 \h </w:instrText>
                    </w:r>
                    <w:r w:rsidR="0099351E">
                      <w:rPr>
                        <w:noProof/>
                        <w:webHidden/>
                      </w:rPr>
                    </w:r>
                    <w:r w:rsidR="0099351E">
                      <w:rPr>
                        <w:noProof/>
                        <w:webHidden/>
                      </w:rPr>
                      <w:fldChar w:fldCharType="separate"/>
                    </w:r>
                    <w:r w:rsidR="0099351E">
                      <w:rPr>
                        <w:noProof/>
                        <w:webHidden/>
                      </w:rPr>
                      <w:t>199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3" w:history="1">
                    <w:r w:rsidR="0099351E">
                      <w:rPr>
                        <w:rStyle w:val="Lienhypertexte"/>
                        <w:noProof/>
                        <w:lang w:val="fr-FR"/>
                      </w:rPr>
                      <w:t>4. Qui peut introduire une proposition d’intégration ?</w:t>
                    </w:r>
                    <w:r w:rsidR="0099351E">
                      <w:rPr>
                        <w:noProof/>
                        <w:webHidden/>
                      </w:rPr>
                      <w:tab/>
                    </w:r>
                    <w:r w:rsidR="0099351E">
                      <w:rPr>
                        <w:noProof/>
                        <w:webHidden/>
                      </w:rPr>
                      <w:fldChar w:fldCharType="begin"/>
                    </w:r>
                    <w:r w:rsidR="0099351E">
                      <w:rPr>
                        <w:noProof/>
                        <w:webHidden/>
                      </w:rPr>
                      <w:instrText xml:space="preserve"> PAGEREF _Toc47708553 \h </w:instrText>
                    </w:r>
                    <w:r w:rsidR="0099351E">
                      <w:rPr>
                        <w:noProof/>
                        <w:webHidden/>
                      </w:rPr>
                    </w:r>
                    <w:r w:rsidR="0099351E">
                      <w:rPr>
                        <w:noProof/>
                        <w:webHidden/>
                      </w:rPr>
                      <w:fldChar w:fldCharType="separate"/>
                    </w:r>
                    <w:r w:rsidR="0099351E">
                      <w:rPr>
                        <w:noProof/>
                        <w:webHidden/>
                      </w:rPr>
                      <w:t>200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4" w:history="1">
                    <w:r w:rsidR="0099351E">
                      <w:rPr>
                        <w:rStyle w:val="Lienhypertexte"/>
                        <w:noProof/>
                      </w:rPr>
                      <w:t>5. Quelle est la procédure à suivre pour débuter une intégration?</w:t>
                    </w:r>
                    <w:r w:rsidR="0099351E">
                      <w:rPr>
                        <w:noProof/>
                        <w:webHidden/>
                      </w:rPr>
                      <w:tab/>
                    </w:r>
                    <w:r w:rsidR="0099351E">
                      <w:rPr>
                        <w:noProof/>
                        <w:webHidden/>
                      </w:rPr>
                      <w:fldChar w:fldCharType="begin"/>
                    </w:r>
                    <w:r w:rsidR="0099351E">
                      <w:rPr>
                        <w:noProof/>
                        <w:webHidden/>
                      </w:rPr>
                      <w:instrText xml:space="preserve"> PAGEREF _Toc47708554 \h </w:instrText>
                    </w:r>
                    <w:r w:rsidR="0099351E">
                      <w:rPr>
                        <w:noProof/>
                        <w:webHidden/>
                      </w:rPr>
                    </w:r>
                    <w:r w:rsidR="0099351E">
                      <w:rPr>
                        <w:noProof/>
                        <w:webHidden/>
                      </w:rPr>
                      <w:fldChar w:fldCharType="separate"/>
                    </w:r>
                    <w:r w:rsidR="0099351E">
                      <w:rPr>
                        <w:noProof/>
                        <w:webHidden/>
                      </w:rPr>
                      <w:t>200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5" w:history="1">
                    <w:r w:rsidR="0099351E">
                      <w:rPr>
                        <w:rStyle w:val="Lienhypertexte"/>
                        <w:noProof/>
                      </w:rPr>
                      <w:t>6. Que doit contenir le protocole ?</w:t>
                    </w:r>
                    <w:r w:rsidR="0099351E">
                      <w:rPr>
                        <w:noProof/>
                        <w:webHidden/>
                      </w:rPr>
                      <w:tab/>
                    </w:r>
                    <w:r w:rsidR="0099351E">
                      <w:rPr>
                        <w:noProof/>
                        <w:webHidden/>
                      </w:rPr>
                      <w:fldChar w:fldCharType="begin"/>
                    </w:r>
                    <w:r w:rsidR="0099351E">
                      <w:rPr>
                        <w:noProof/>
                        <w:webHidden/>
                      </w:rPr>
                      <w:instrText xml:space="preserve"> PAGEREF _Toc47708555 \h </w:instrText>
                    </w:r>
                    <w:r w:rsidR="0099351E">
                      <w:rPr>
                        <w:noProof/>
                        <w:webHidden/>
                      </w:rPr>
                    </w:r>
                    <w:r w:rsidR="0099351E">
                      <w:rPr>
                        <w:noProof/>
                        <w:webHidden/>
                      </w:rPr>
                      <w:fldChar w:fldCharType="separate"/>
                    </w:r>
                    <w:r w:rsidR="0099351E">
                      <w:rPr>
                        <w:noProof/>
                        <w:webHidden/>
                      </w:rPr>
                      <w:t>200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6" w:history="1">
                    <w:r w:rsidR="0099351E">
                      <w:rPr>
                        <w:rStyle w:val="Lienhypertexte"/>
                        <w:noProof/>
                      </w:rPr>
                      <w:t>7. Récapitulatif des modalités de fonctionnement (suivant le type d’intégration)</w:t>
                    </w:r>
                    <w:r w:rsidR="0099351E">
                      <w:rPr>
                        <w:noProof/>
                        <w:webHidden/>
                      </w:rPr>
                      <w:tab/>
                    </w:r>
                    <w:r w:rsidR="0099351E">
                      <w:rPr>
                        <w:noProof/>
                        <w:webHidden/>
                      </w:rPr>
                      <w:fldChar w:fldCharType="begin"/>
                    </w:r>
                    <w:r w:rsidR="0099351E">
                      <w:rPr>
                        <w:noProof/>
                        <w:webHidden/>
                      </w:rPr>
                      <w:instrText xml:space="preserve"> PAGEREF _Toc47708556 \h </w:instrText>
                    </w:r>
                    <w:r w:rsidR="0099351E">
                      <w:rPr>
                        <w:noProof/>
                        <w:webHidden/>
                      </w:rPr>
                    </w:r>
                    <w:r w:rsidR="0099351E">
                      <w:rPr>
                        <w:noProof/>
                        <w:webHidden/>
                      </w:rPr>
                      <w:fldChar w:fldCharType="separate"/>
                    </w:r>
                    <w:r w:rsidR="0099351E">
                      <w:rPr>
                        <w:noProof/>
                        <w:webHidden/>
                      </w:rPr>
                      <w:t>200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7" w:history="1">
                    <w:r w:rsidR="0099351E">
                      <w:rPr>
                        <w:rStyle w:val="Lienhypertexte"/>
                        <w:noProof/>
                      </w:rPr>
                      <w:t>8. Foire aux questions</w:t>
                    </w:r>
                    <w:r w:rsidR="0099351E">
                      <w:rPr>
                        <w:noProof/>
                        <w:webHidden/>
                      </w:rPr>
                      <w:tab/>
                    </w:r>
                    <w:r w:rsidR="0099351E">
                      <w:rPr>
                        <w:noProof/>
                        <w:webHidden/>
                      </w:rPr>
                      <w:fldChar w:fldCharType="begin"/>
                    </w:r>
                    <w:r w:rsidR="0099351E">
                      <w:rPr>
                        <w:noProof/>
                        <w:webHidden/>
                      </w:rPr>
                      <w:instrText xml:space="preserve"> PAGEREF _Toc47708557 \h </w:instrText>
                    </w:r>
                    <w:r w:rsidR="0099351E">
                      <w:rPr>
                        <w:noProof/>
                        <w:webHidden/>
                      </w:rPr>
                    </w:r>
                    <w:r w:rsidR="0099351E">
                      <w:rPr>
                        <w:noProof/>
                        <w:webHidden/>
                      </w:rPr>
                      <w:fldChar w:fldCharType="separate"/>
                    </w:r>
                    <w:r w:rsidR="0099351E">
                      <w:rPr>
                        <w:noProof/>
                        <w:webHidden/>
                      </w:rPr>
                      <w:t>207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8" w:history="1">
                    <w:r w:rsidR="0099351E">
                      <w:rPr>
                        <w:rStyle w:val="Lienhypertexte"/>
                        <w:noProof/>
                      </w:rPr>
                      <w:t>9. Articulation entre l’accompagnement par le personnel de l’établissement d’enseignement spécialisé et les services d’accompagnement ou SAI.</w:t>
                    </w:r>
                    <w:r w:rsidR="0099351E">
                      <w:rPr>
                        <w:noProof/>
                        <w:webHidden/>
                      </w:rPr>
                      <w:tab/>
                    </w:r>
                    <w:r w:rsidR="0099351E">
                      <w:rPr>
                        <w:noProof/>
                        <w:webHidden/>
                      </w:rPr>
                      <w:fldChar w:fldCharType="begin"/>
                    </w:r>
                    <w:r w:rsidR="0099351E">
                      <w:rPr>
                        <w:noProof/>
                        <w:webHidden/>
                      </w:rPr>
                      <w:instrText xml:space="preserve"> PAGEREF _Toc47708558 \h </w:instrText>
                    </w:r>
                    <w:r w:rsidR="0099351E">
                      <w:rPr>
                        <w:noProof/>
                        <w:webHidden/>
                      </w:rPr>
                    </w:r>
                    <w:r w:rsidR="0099351E">
                      <w:rPr>
                        <w:noProof/>
                        <w:webHidden/>
                      </w:rPr>
                      <w:fldChar w:fldCharType="separate"/>
                    </w:r>
                    <w:r w:rsidR="0099351E">
                      <w:rPr>
                        <w:noProof/>
                        <w:webHidden/>
                      </w:rPr>
                      <w:t>212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59" w:history="1">
                    <w:r w:rsidR="0099351E">
                      <w:rPr>
                        <w:rStyle w:val="Lienhypertexte"/>
                        <w:noProof/>
                      </w:rPr>
                      <w:t>10. Mémo administratif</w:t>
                    </w:r>
                    <w:r w:rsidR="0099351E">
                      <w:rPr>
                        <w:noProof/>
                        <w:webHidden/>
                      </w:rPr>
                      <w:tab/>
                    </w:r>
                    <w:r w:rsidR="0099351E">
                      <w:rPr>
                        <w:noProof/>
                        <w:webHidden/>
                      </w:rPr>
                      <w:fldChar w:fldCharType="begin"/>
                    </w:r>
                    <w:r w:rsidR="0099351E">
                      <w:rPr>
                        <w:noProof/>
                        <w:webHidden/>
                      </w:rPr>
                      <w:instrText xml:space="preserve"> PAGEREF _Toc47708559 \h </w:instrText>
                    </w:r>
                    <w:r w:rsidR="0099351E">
                      <w:rPr>
                        <w:noProof/>
                        <w:webHidden/>
                      </w:rPr>
                    </w:r>
                    <w:r w:rsidR="0099351E">
                      <w:rPr>
                        <w:noProof/>
                        <w:webHidden/>
                      </w:rPr>
                      <w:fldChar w:fldCharType="separate"/>
                    </w:r>
                    <w:r w:rsidR="0099351E">
                      <w:rPr>
                        <w:noProof/>
                        <w:webHidden/>
                      </w:rPr>
                      <w:t>214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60" w:history="1">
                    <w:r w:rsidR="0099351E">
                      <w:rPr>
                        <w:rStyle w:val="Lienhypertexte"/>
                        <w:noProof/>
                      </w:rPr>
                      <w:t>11. Transmission des informations concernant des élèves en intégration permanente totale au-delà du 30 septembre de l’année scolaire pour laquelle est prévue l’intégration.</w:t>
                    </w:r>
                    <w:r w:rsidR="0099351E">
                      <w:rPr>
                        <w:noProof/>
                        <w:webHidden/>
                      </w:rPr>
                      <w:tab/>
                    </w:r>
                    <w:r w:rsidR="0099351E">
                      <w:rPr>
                        <w:noProof/>
                        <w:webHidden/>
                      </w:rPr>
                      <w:fldChar w:fldCharType="begin"/>
                    </w:r>
                    <w:r w:rsidR="0099351E">
                      <w:rPr>
                        <w:noProof/>
                        <w:webHidden/>
                      </w:rPr>
                      <w:instrText xml:space="preserve"> PAGEREF _Toc47708560 \h </w:instrText>
                    </w:r>
                    <w:r w:rsidR="0099351E">
                      <w:rPr>
                        <w:noProof/>
                        <w:webHidden/>
                      </w:rPr>
                    </w:r>
                    <w:r w:rsidR="0099351E">
                      <w:rPr>
                        <w:noProof/>
                        <w:webHidden/>
                      </w:rPr>
                      <w:fldChar w:fldCharType="separate"/>
                    </w:r>
                    <w:r w:rsidR="0099351E">
                      <w:rPr>
                        <w:noProof/>
                        <w:webHidden/>
                      </w:rPr>
                      <w:t>216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61" w:history="1">
                    <w:r w:rsidR="0099351E">
                      <w:rPr>
                        <w:rStyle w:val="Lienhypertexte"/>
                        <w:noProof/>
                      </w:rPr>
                      <w:t>12. Dérogations « autre type »</w:t>
                    </w:r>
                    <w:r w:rsidR="0099351E">
                      <w:rPr>
                        <w:noProof/>
                        <w:webHidden/>
                      </w:rPr>
                      <w:tab/>
                    </w:r>
                    <w:r w:rsidR="0099351E">
                      <w:rPr>
                        <w:noProof/>
                        <w:webHidden/>
                      </w:rPr>
                      <w:fldChar w:fldCharType="begin"/>
                    </w:r>
                    <w:r w:rsidR="0099351E">
                      <w:rPr>
                        <w:noProof/>
                        <w:webHidden/>
                      </w:rPr>
                      <w:instrText xml:space="preserve"> PAGEREF _Toc47708561 \h </w:instrText>
                    </w:r>
                    <w:r w:rsidR="0099351E">
                      <w:rPr>
                        <w:noProof/>
                        <w:webHidden/>
                      </w:rPr>
                    </w:r>
                    <w:r w:rsidR="0099351E">
                      <w:rPr>
                        <w:noProof/>
                        <w:webHidden/>
                      </w:rPr>
                      <w:fldChar w:fldCharType="separate"/>
                    </w:r>
                    <w:r w:rsidR="0099351E">
                      <w:rPr>
                        <w:noProof/>
                        <w:webHidden/>
                      </w:rPr>
                      <w:t>216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62" w:history="1">
                    <w:r w:rsidR="0099351E">
                      <w:rPr>
                        <w:rStyle w:val="Lienhypertexte"/>
                        <w:noProof/>
                      </w:rPr>
                      <w:t>13. Signalement des intégrations des élèves à besoins spécifiques via le formulaire électronique.</w:t>
                    </w:r>
                    <w:r w:rsidR="0099351E">
                      <w:rPr>
                        <w:noProof/>
                        <w:webHidden/>
                      </w:rPr>
                      <w:tab/>
                    </w:r>
                    <w:r w:rsidR="0099351E">
                      <w:rPr>
                        <w:noProof/>
                        <w:webHidden/>
                      </w:rPr>
                      <w:fldChar w:fldCharType="begin"/>
                    </w:r>
                    <w:r w:rsidR="0099351E">
                      <w:rPr>
                        <w:noProof/>
                        <w:webHidden/>
                      </w:rPr>
                      <w:instrText xml:space="preserve"> PAGEREF _Toc47708562 \h </w:instrText>
                    </w:r>
                    <w:r w:rsidR="0099351E">
                      <w:rPr>
                        <w:noProof/>
                        <w:webHidden/>
                      </w:rPr>
                    </w:r>
                    <w:r w:rsidR="0099351E">
                      <w:rPr>
                        <w:noProof/>
                        <w:webHidden/>
                      </w:rPr>
                      <w:fldChar w:fldCharType="separate"/>
                    </w:r>
                    <w:r w:rsidR="0099351E">
                      <w:rPr>
                        <w:noProof/>
                        <w:webHidden/>
                      </w:rPr>
                      <w:t>216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63" w:history="1">
                    <w:r w:rsidR="0099351E">
                      <w:rPr>
                        <w:rStyle w:val="Lienhypertexte"/>
                        <w:noProof/>
                      </w:rPr>
                      <w:t>14. Annexes</w:t>
                    </w:r>
                    <w:r w:rsidR="0099351E">
                      <w:rPr>
                        <w:noProof/>
                        <w:webHidden/>
                      </w:rPr>
                      <w:tab/>
                    </w:r>
                    <w:r w:rsidR="0099351E">
                      <w:rPr>
                        <w:noProof/>
                        <w:webHidden/>
                      </w:rPr>
                      <w:fldChar w:fldCharType="begin"/>
                    </w:r>
                    <w:r w:rsidR="0099351E">
                      <w:rPr>
                        <w:noProof/>
                        <w:webHidden/>
                      </w:rPr>
                      <w:instrText xml:space="preserve"> PAGEREF _Toc47708563 \h </w:instrText>
                    </w:r>
                    <w:r w:rsidR="0099351E">
                      <w:rPr>
                        <w:noProof/>
                        <w:webHidden/>
                      </w:rPr>
                    </w:r>
                    <w:r w:rsidR="0099351E">
                      <w:rPr>
                        <w:noProof/>
                        <w:webHidden/>
                      </w:rPr>
                      <w:fldChar w:fldCharType="separate"/>
                    </w:r>
                    <w:r w:rsidR="0099351E">
                      <w:rPr>
                        <w:noProof/>
                        <w:webHidden/>
                      </w:rPr>
                      <w:t>218</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64" w:history="1">
                    <w:r w:rsidR="0099351E">
                      <w:rPr>
                        <w:rStyle w:val="Lienhypertexte"/>
                        <w:noProof/>
                      </w:rPr>
                      <w:t>Chapitre 14 : Organisation d’une pédagogie adaptée pour les élèves :</w:t>
                    </w:r>
                    <w:r w:rsidR="0099351E">
                      <w:rPr>
                        <w:noProof/>
                        <w:webHidden/>
                      </w:rPr>
                      <w:tab/>
                    </w:r>
                    <w:r w:rsidR="0099351E">
                      <w:rPr>
                        <w:noProof/>
                        <w:webHidden/>
                      </w:rPr>
                      <w:fldChar w:fldCharType="begin"/>
                    </w:r>
                    <w:r w:rsidR="0099351E">
                      <w:rPr>
                        <w:noProof/>
                        <w:webHidden/>
                      </w:rPr>
                      <w:instrText xml:space="preserve"> PAGEREF _Toc47708564 \h </w:instrText>
                    </w:r>
                    <w:r w:rsidR="0099351E">
                      <w:rPr>
                        <w:noProof/>
                        <w:webHidden/>
                      </w:rPr>
                    </w:r>
                    <w:r w:rsidR="0099351E">
                      <w:rPr>
                        <w:noProof/>
                        <w:webHidden/>
                      </w:rPr>
                      <w:fldChar w:fldCharType="separate"/>
                    </w:r>
                    <w:r w:rsidR="0099351E">
                      <w:rPr>
                        <w:noProof/>
                        <w:webHidden/>
                      </w:rPr>
                      <w:t>235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65" w:history="1">
                    <w:r w:rsidR="0099351E">
                      <w:rPr>
                        <w:rStyle w:val="Lienhypertexte"/>
                        <w:rFonts w:ascii="Cambria" w:eastAsia="Calibri" w:hAnsi="Cambria"/>
                        <w:bCs/>
                        <w:noProof/>
                      </w:rPr>
                      <w:t>1. Préambule</w:t>
                    </w:r>
                    <w:r w:rsidR="0099351E">
                      <w:rPr>
                        <w:noProof/>
                        <w:webHidden/>
                      </w:rPr>
                      <w:tab/>
                    </w:r>
                    <w:r w:rsidR="0099351E">
                      <w:rPr>
                        <w:noProof/>
                        <w:webHidden/>
                      </w:rPr>
                      <w:fldChar w:fldCharType="begin"/>
                    </w:r>
                    <w:r w:rsidR="0099351E">
                      <w:rPr>
                        <w:noProof/>
                        <w:webHidden/>
                      </w:rPr>
                      <w:instrText xml:space="preserve"> PAGEREF _Toc47708565 \h </w:instrText>
                    </w:r>
                    <w:r w:rsidR="0099351E">
                      <w:rPr>
                        <w:noProof/>
                        <w:webHidden/>
                      </w:rPr>
                    </w:r>
                    <w:r w:rsidR="0099351E">
                      <w:rPr>
                        <w:noProof/>
                        <w:webHidden/>
                      </w:rPr>
                      <w:fldChar w:fldCharType="separate"/>
                    </w:r>
                    <w:r w:rsidR="0099351E">
                      <w:rPr>
                        <w:noProof/>
                        <w:webHidden/>
                      </w:rPr>
                      <w:t>235</w:t>
                    </w:r>
                    <w:r w:rsidR="0099351E">
                      <w:rPr>
                        <w:noProof/>
                        <w:webHidden/>
                      </w:rPr>
                      <w:fldChar w:fldCharType="end"/>
                    </w:r>
                  </w:hyperlink>
                </w:p>
                <w:p w:rsidR="00F04EEF" w:rsidRDefault="00F42422">
                  <w:pPr>
                    <w:pStyle w:val="TM3"/>
                    <w:tabs>
                      <w:tab w:val="left" w:pos="709"/>
                      <w:tab w:val="right" w:leader="dot" w:pos="9344"/>
                    </w:tabs>
                    <w:rPr>
                      <w:rFonts w:eastAsiaTheme="minorEastAsia" w:cstheme="minorBidi"/>
                      <w:noProof/>
                      <w:szCs w:val="22"/>
                      <w:lang w:eastAsia="fr-BE"/>
                    </w:rPr>
                  </w:pPr>
                  <w:hyperlink w:anchor="_Toc47708566" w:history="1">
                    <w:r w:rsidR="0099351E">
                      <w:rPr>
                        <w:rStyle w:val="Lienhypertexte"/>
                        <w:rFonts w:ascii="Symbol" w:eastAsia="Calibri" w:hAnsi="Symbol"/>
                        <w:bCs/>
                        <w:noProof/>
                      </w:rPr>
                      <w:t></w:t>
                    </w:r>
                    <w:r w:rsidR="0099351E">
                      <w:rPr>
                        <w:rFonts w:eastAsiaTheme="minorEastAsia" w:cstheme="minorBidi"/>
                        <w:noProof/>
                        <w:szCs w:val="22"/>
                        <w:lang w:eastAsia="fr-BE"/>
                      </w:rPr>
                      <w:tab/>
                    </w:r>
                    <w:r w:rsidR="0099351E">
                      <w:rPr>
                        <w:rStyle w:val="Lienhypertexte"/>
                        <w:rFonts w:ascii="Cambria" w:eastAsia="Calibri" w:hAnsi="Cambria"/>
                        <w:bCs/>
                        <w:noProof/>
                      </w:rPr>
                      <w:t>Mode de calcul :</w:t>
                    </w:r>
                    <w:r w:rsidR="0099351E">
                      <w:rPr>
                        <w:noProof/>
                        <w:webHidden/>
                      </w:rPr>
                      <w:tab/>
                    </w:r>
                    <w:r w:rsidR="0099351E">
                      <w:rPr>
                        <w:noProof/>
                        <w:webHidden/>
                      </w:rPr>
                      <w:fldChar w:fldCharType="begin"/>
                    </w:r>
                    <w:r w:rsidR="0099351E">
                      <w:rPr>
                        <w:noProof/>
                        <w:webHidden/>
                      </w:rPr>
                      <w:instrText xml:space="preserve"> PAGEREF _Toc47708566 \h </w:instrText>
                    </w:r>
                    <w:r w:rsidR="0099351E">
                      <w:rPr>
                        <w:noProof/>
                        <w:webHidden/>
                      </w:rPr>
                    </w:r>
                    <w:r w:rsidR="0099351E">
                      <w:rPr>
                        <w:noProof/>
                        <w:webHidden/>
                      </w:rPr>
                      <w:fldChar w:fldCharType="separate"/>
                    </w:r>
                    <w:r w:rsidR="0099351E">
                      <w:rPr>
                        <w:noProof/>
                        <w:webHidden/>
                      </w:rPr>
                      <w:t>236</w:t>
                    </w:r>
                    <w:r w:rsidR="0099351E">
                      <w:rPr>
                        <w:noProof/>
                        <w:webHidden/>
                      </w:rPr>
                      <w:fldChar w:fldCharType="end"/>
                    </w:r>
                  </w:hyperlink>
                </w:p>
                <w:p w:rsidR="00F04EEF" w:rsidRDefault="00F42422">
                  <w:pPr>
                    <w:pStyle w:val="TM3"/>
                    <w:tabs>
                      <w:tab w:val="left" w:pos="709"/>
                      <w:tab w:val="right" w:leader="dot" w:pos="9344"/>
                    </w:tabs>
                    <w:rPr>
                      <w:rFonts w:eastAsiaTheme="minorEastAsia" w:cstheme="minorBidi"/>
                      <w:noProof/>
                      <w:szCs w:val="22"/>
                      <w:lang w:eastAsia="fr-BE"/>
                    </w:rPr>
                  </w:pPr>
                  <w:hyperlink w:anchor="_Toc47708567" w:history="1">
                    <w:r w:rsidR="0099351E">
                      <w:rPr>
                        <w:rStyle w:val="Lienhypertexte"/>
                        <w:rFonts w:ascii="Symbol" w:eastAsia="Calibri" w:hAnsi="Symbol"/>
                        <w:bCs/>
                        <w:noProof/>
                      </w:rPr>
                      <w:t></w:t>
                    </w:r>
                    <w:r w:rsidR="0099351E">
                      <w:rPr>
                        <w:rFonts w:eastAsiaTheme="minorEastAsia" w:cstheme="minorBidi"/>
                        <w:noProof/>
                        <w:szCs w:val="22"/>
                        <w:lang w:eastAsia="fr-BE"/>
                      </w:rPr>
                      <w:tab/>
                    </w:r>
                    <w:r w:rsidR="0099351E">
                      <w:rPr>
                        <w:rStyle w:val="Lienhypertexte"/>
                        <w:rFonts w:ascii="Cambria" w:eastAsia="Calibri" w:hAnsi="Cambria"/>
                        <w:bCs/>
                        <w:noProof/>
                      </w:rPr>
                      <w:t>Exemple :</w:t>
                    </w:r>
                    <w:r w:rsidR="0099351E">
                      <w:rPr>
                        <w:noProof/>
                        <w:webHidden/>
                      </w:rPr>
                      <w:tab/>
                    </w:r>
                    <w:r w:rsidR="0099351E">
                      <w:rPr>
                        <w:noProof/>
                        <w:webHidden/>
                      </w:rPr>
                      <w:fldChar w:fldCharType="begin"/>
                    </w:r>
                    <w:r w:rsidR="0099351E">
                      <w:rPr>
                        <w:noProof/>
                        <w:webHidden/>
                      </w:rPr>
                      <w:instrText xml:space="preserve"> PAGEREF _Toc47708567 \h </w:instrText>
                    </w:r>
                    <w:r w:rsidR="0099351E">
                      <w:rPr>
                        <w:noProof/>
                        <w:webHidden/>
                      </w:rPr>
                    </w:r>
                    <w:r w:rsidR="0099351E">
                      <w:rPr>
                        <w:noProof/>
                        <w:webHidden/>
                      </w:rPr>
                      <w:fldChar w:fldCharType="separate"/>
                    </w:r>
                    <w:r w:rsidR="0099351E">
                      <w:rPr>
                        <w:noProof/>
                        <w:webHidden/>
                      </w:rPr>
                      <w:t>236</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68" w:history="1">
                    <w:r w:rsidR="0099351E">
                      <w:rPr>
                        <w:rStyle w:val="Lienhypertexte"/>
                        <w:noProof/>
                      </w:rPr>
                      <w:t>Chapitre 15 : Rappel des conditions d’admission, de maintien et de passage</w:t>
                    </w:r>
                    <w:r w:rsidR="0099351E">
                      <w:rPr>
                        <w:noProof/>
                        <w:webHidden/>
                      </w:rPr>
                      <w:tab/>
                    </w:r>
                    <w:r w:rsidR="0099351E">
                      <w:rPr>
                        <w:noProof/>
                        <w:webHidden/>
                      </w:rPr>
                      <w:fldChar w:fldCharType="begin"/>
                    </w:r>
                    <w:r w:rsidR="0099351E">
                      <w:rPr>
                        <w:noProof/>
                        <w:webHidden/>
                      </w:rPr>
                      <w:instrText xml:space="preserve"> PAGEREF _Toc47708568 \h </w:instrText>
                    </w:r>
                    <w:r w:rsidR="0099351E">
                      <w:rPr>
                        <w:noProof/>
                        <w:webHidden/>
                      </w:rPr>
                    </w:r>
                    <w:r w:rsidR="0099351E">
                      <w:rPr>
                        <w:noProof/>
                        <w:webHidden/>
                      </w:rPr>
                      <w:fldChar w:fldCharType="separate"/>
                    </w:r>
                    <w:r w:rsidR="0099351E">
                      <w:rPr>
                        <w:noProof/>
                        <w:webHidden/>
                      </w:rPr>
                      <w:t>248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69" w:history="1">
                    <w:r w:rsidR="0099351E">
                      <w:rPr>
                        <w:rStyle w:val="Lienhypertexte"/>
                        <w:noProof/>
                      </w:rPr>
                      <w:t>1. Admission dans l'enseignement spécialisé</w:t>
                    </w:r>
                    <w:r w:rsidR="0099351E">
                      <w:rPr>
                        <w:noProof/>
                        <w:webHidden/>
                      </w:rPr>
                      <w:tab/>
                    </w:r>
                    <w:r w:rsidR="0099351E">
                      <w:rPr>
                        <w:noProof/>
                        <w:webHidden/>
                      </w:rPr>
                      <w:fldChar w:fldCharType="begin"/>
                    </w:r>
                    <w:r w:rsidR="0099351E">
                      <w:rPr>
                        <w:noProof/>
                        <w:webHidden/>
                      </w:rPr>
                      <w:instrText xml:space="preserve"> PAGEREF _Toc47708569 \h </w:instrText>
                    </w:r>
                    <w:r w:rsidR="0099351E">
                      <w:rPr>
                        <w:noProof/>
                        <w:webHidden/>
                      </w:rPr>
                    </w:r>
                    <w:r w:rsidR="0099351E">
                      <w:rPr>
                        <w:noProof/>
                        <w:webHidden/>
                      </w:rPr>
                      <w:fldChar w:fldCharType="separate"/>
                    </w:r>
                    <w:r w:rsidR="0099351E">
                      <w:rPr>
                        <w:noProof/>
                        <w:webHidden/>
                      </w:rPr>
                      <w:t>248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70" w:history="1">
                    <w:r w:rsidR="0099351E">
                      <w:rPr>
                        <w:rStyle w:val="Lienhypertexte"/>
                        <w:noProof/>
                      </w:rPr>
                      <w:t>2. Age d'admission et de maintien</w:t>
                    </w:r>
                    <w:r w:rsidR="0099351E">
                      <w:rPr>
                        <w:noProof/>
                        <w:webHidden/>
                      </w:rPr>
                      <w:tab/>
                    </w:r>
                    <w:r w:rsidR="0099351E">
                      <w:rPr>
                        <w:noProof/>
                        <w:webHidden/>
                      </w:rPr>
                      <w:fldChar w:fldCharType="begin"/>
                    </w:r>
                    <w:r w:rsidR="0099351E">
                      <w:rPr>
                        <w:noProof/>
                        <w:webHidden/>
                      </w:rPr>
                      <w:instrText xml:space="preserve"> PAGEREF _Toc47708570 \h </w:instrText>
                    </w:r>
                    <w:r w:rsidR="0099351E">
                      <w:rPr>
                        <w:noProof/>
                        <w:webHidden/>
                      </w:rPr>
                    </w:r>
                    <w:r w:rsidR="0099351E">
                      <w:rPr>
                        <w:noProof/>
                        <w:webHidden/>
                      </w:rPr>
                      <w:fldChar w:fldCharType="separate"/>
                    </w:r>
                    <w:r w:rsidR="0099351E">
                      <w:rPr>
                        <w:noProof/>
                        <w:webHidden/>
                      </w:rPr>
                      <w:t>249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71" w:history="1">
                    <w:r w:rsidR="0099351E">
                      <w:rPr>
                        <w:rStyle w:val="Lienhypertexte"/>
                        <w:noProof/>
                      </w:rPr>
                      <w:t>3. Annexes</w:t>
                    </w:r>
                    <w:r w:rsidR="0099351E">
                      <w:rPr>
                        <w:noProof/>
                        <w:webHidden/>
                      </w:rPr>
                      <w:tab/>
                    </w:r>
                    <w:r w:rsidR="0099351E">
                      <w:rPr>
                        <w:noProof/>
                        <w:webHidden/>
                      </w:rPr>
                      <w:fldChar w:fldCharType="begin"/>
                    </w:r>
                    <w:r w:rsidR="0099351E">
                      <w:rPr>
                        <w:noProof/>
                        <w:webHidden/>
                      </w:rPr>
                      <w:instrText xml:space="preserve"> PAGEREF _Toc47708571 \h </w:instrText>
                    </w:r>
                    <w:r w:rsidR="0099351E">
                      <w:rPr>
                        <w:noProof/>
                        <w:webHidden/>
                      </w:rPr>
                    </w:r>
                    <w:r w:rsidR="0099351E">
                      <w:rPr>
                        <w:noProof/>
                        <w:webHidden/>
                      </w:rPr>
                      <w:fldChar w:fldCharType="separate"/>
                    </w:r>
                    <w:r w:rsidR="0099351E">
                      <w:rPr>
                        <w:noProof/>
                        <w:webHidden/>
                      </w:rPr>
                      <w:t>249</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72" w:history="1">
                    <w:r w:rsidR="0099351E">
                      <w:rPr>
                        <w:rStyle w:val="Lienhypertexte"/>
                        <w:noProof/>
                      </w:rPr>
                      <w:t>Chapitre 16 : La Vérification de la population scolaire et de la comptabilité</w:t>
                    </w:r>
                    <w:r w:rsidR="0099351E">
                      <w:rPr>
                        <w:noProof/>
                        <w:webHidden/>
                      </w:rPr>
                      <w:tab/>
                    </w:r>
                    <w:r w:rsidR="0099351E">
                      <w:rPr>
                        <w:noProof/>
                        <w:webHidden/>
                      </w:rPr>
                      <w:fldChar w:fldCharType="begin"/>
                    </w:r>
                    <w:r w:rsidR="0099351E">
                      <w:rPr>
                        <w:noProof/>
                        <w:webHidden/>
                      </w:rPr>
                      <w:instrText xml:space="preserve"> PAGEREF _Toc47708572 \h </w:instrText>
                    </w:r>
                    <w:r w:rsidR="0099351E">
                      <w:rPr>
                        <w:noProof/>
                        <w:webHidden/>
                      </w:rPr>
                    </w:r>
                    <w:r w:rsidR="0099351E">
                      <w:rPr>
                        <w:noProof/>
                        <w:webHidden/>
                      </w:rPr>
                      <w:fldChar w:fldCharType="separate"/>
                    </w:r>
                    <w:r w:rsidR="0099351E">
                      <w:rPr>
                        <w:noProof/>
                        <w:webHidden/>
                      </w:rPr>
                      <w:t>256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73" w:history="1">
                    <w:r w:rsidR="0099351E">
                      <w:rPr>
                        <w:rStyle w:val="Lienhypertexte"/>
                        <w:bCs/>
                        <w:noProof/>
                      </w:rPr>
                      <w:t xml:space="preserve">1. </w:t>
                    </w:r>
                    <w:r w:rsidR="0099351E">
                      <w:rPr>
                        <w:rStyle w:val="Lienhypertexte"/>
                        <w:noProof/>
                      </w:rPr>
                      <w:t>Les vérificateurs de la population scolaire</w:t>
                    </w:r>
                    <w:r w:rsidR="0099351E">
                      <w:rPr>
                        <w:noProof/>
                        <w:webHidden/>
                      </w:rPr>
                      <w:tab/>
                    </w:r>
                    <w:r w:rsidR="0099351E">
                      <w:rPr>
                        <w:noProof/>
                        <w:webHidden/>
                      </w:rPr>
                      <w:fldChar w:fldCharType="begin"/>
                    </w:r>
                    <w:r w:rsidR="0099351E">
                      <w:rPr>
                        <w:noProof/>
                        <w:webHidden/>
                      </w:rPr>
                      <w:instrText xml:space="preserve"> PAGEREF _Toc47708573 \h </w:instrText>
                    </w:r>
                    <w:r w:rsidR="0099351E">
                      <w:rPr>
                        <w:noProof/>
                        <w:webHidden/>
                      </w:rPr>
                    </w:r>
                    <w:r w:rsidR="0099351E">
                      <w:rPr>
                        <w:noProof/>
                        <w:webHidden/>
                      </w:rPr>
                      <w:fldChar w:fldCharType="separate"/>
                    </w:r>
                    <w:r w:rsidR="0099351E">
                      <w:rPr>
                        <w:noProof/>
                        <w:webHidden/>
                      </w:rPr>
                      <w:t>256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74" w:history="1">
                    <w:r w:rsidR="0099351E">
                      <w:rPr>
                        <w:rStyle w:val="Lienhypertexte"/>
                        <w:noProof/>
                      </w:rPr>
                      <w:t>2. Le service de la vérification comptable</w:t>
                    </w:r>
                    <w:r w:rsidR="0099351E">
                      <w:rPr>
                        <w:noProof/>
                        <w:webHidden/>
                      </w:rPr>
                      <w:tab/>
                    </w:r>
                    <w:r w:rsidR="0099351E">
                      <w:rPr>
                        <w:noProof/>
                        <w:webHidden/>
                      </w:rPr>
                      <w:fldChar w:fldCharType="begin"/>
                    </w:r>
                    <w:r w:rsidR="0099351E">
                      <w:rPr>
                        <w:noProof/>
                        <w:webHidden/>
                      </w:rPr>
                      <w:instrText xml:space="preserve"> PAGEREF _Toc47708574 \h </w:instrText>
                    </w:r>
                    <w:r w:rsidR="0099351E">
                      <w:rPr>
                        <w:noProof/>
                        <w:webHidden/>
                      </w:rPr>
                    </w:r>
                    <w:r w:rsidR="0099351E">
                      <w:rPr>
                        <w:noProof/>
                        <w:webHidden/>
                      </w:rPr>
                      <w:fldChar w:fldCharType="separate"/>
                    </w:r>
                    <w:r w:rsidR="0099351E">
                      <w:rPr>
                        <w:noProof/>
                        <w:webHidden/>
                      </w:rPr>
                      <w:t>264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75" w:history="1">
                    <w:r w:rsidR="0099351E">
                      <w:rPr>
                        <w:rStyle w:val="Lienhypertexte"/>
                        <w:noProof/>
                        <w:lang w:val="fr-FR"/>
                      </w:rPr>
                      <w:t>3. Liste des zones géographique par vérificateur</w:t>
                    </w:r>
                    <w:r w:rsidR="0099351E">
                      <w:rPr>
                        <w:noProof/>
                        <w:webHidden/>
                      </w:rPr>
                      <w:tab/>
                    </w:r>
                    <w:r w:rsidR="0099351E">
                      <w:rPr>
                        <w:noProof/>
                        <w:webHidden/>
                      </w:rPr>
                      <w:fldChar w:fldCharType="begin"/>
                    </w:r>
                    <w:r w:rsidR="0099351E">
                      <w:rPr>
                        <w:noProof/>
                        <w:webHidden/>
                      </w:rPr>
                      <w:instrText xml:space="preserve"> PAGEREF _Toc47708575 \h </w:instrText>
                    </w:r>
                    <w:r w:rsidR="0099351E">
                      <w:rPr>
                        <w:noProof/>
                        <w:webHidden/>
                      </w:rPr>
                    </w:r>
                    <w:r w:rsidR="0099351E">
                      <w:rPr>
                        <w:noProof/>
                        <w:webHidden/>
                      </w:rPr>
                      <w:fldChar w:fldCharType="separate"/>
                    </w:r>
                    <w:r w:rsidR="0099351E">
                      <w:rPr>
                        <w:noProof/>
                        <w:webHidden/>
                      </w:rPr>
                      <w:t>265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76" w:history="1">
                    <w:r w:rsidR="0099351E">
                      <w:rPr>
                        <w:rStyle w:val="Lienhypertexte"/>
                        <w:noProof/>
                        <w:lang w:val="fr-FR"/>
                      </w:rPr>
                      <w:t>4. Foire aux questions</w:t>
                    </w:r>
                    <w:r w:rsidR="0099351E">
                      <w:rPr>
                        <w:noProof/>
                        <w:webHidden/>
                      </w:rPr>
                      <w:tab/>
                    </w:r>
                    <w:r w:rsidR="0099351E">
                      <w:rPr>
                        <w:noProof/>
                        <w:webHidden/>
                      </w:rPr>
                      <w:fldChar w:fldCharType="begin"/>
                    </w:r>
                    <w:r w:rsidR="0099351E">
                      <w:rPr>
                        <w:noProof/>
                        <w:webHidden/>
                      </w:rPr>
                      <w:instrText xml:space="preserve"> PAGEREF _Toc47708576 \h </w:instrText>
                    </w:r>
                    <w:r w:rsidR="0099351E">
                      <w:rPr>
                        <w:noProof/>
                        <w:webHidden/>
                      </w:rPr>
                    </w:r>
                    <w:r w:rsidR="0099351E">
                      <w:rPr>
                        <w:noProof/>
                        <w:webHidden/>
                      </w:rPr>
                      <w:fldChar w:fldCharType="separate"/>
                    </w:r>
                    <w:r w:rsidR="0099351E">
                      <w:rPr>
                        <w:noProof/>
                        <w:webHidden/>
                      </w:rPr>
                      <w:t>275</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77" w:history="1">
                    <w:r w:rsidR="0099351E">
                      <w:rPr>
                        <w:rStyle w:val="Lienhypertexte"/>
                        <w:noProof/>
                      </w:rPr>
                      <w:t>Chapitre 17 : Modèles des attestations de fréquentation délivrées dans l’enseignement  secondaire spécialisé de forme 1 et de forme 2</w:t>
                    </w:r>
                    <w:r w:rsidR="0099351E">
                      <w:rPr>
                        <w:noProof/>
                        <w:webHidden/>
                      </w:rPr>
                      <w:tab/>
                    </w:r>
                    <w:r w:rsidR="0099351E">
                      <w:rPr>
                        <w:noProof/>
                        <w:webHidden/>
                      </w:rPr>
                      <w:fldChar w:fldCharType="begin"/>
                    </w:r>
                    <w:r w:rsidR="0099351E">
                      <w:rPr>
                        <w:noProof/>
                        <w:webHidden/>
                      </w:rPr>
                      <w:instrText xml:space="preserve"> PAGEREF _Toc47708577 \h </w:instrText>
                    </w:r>
                    <w:r w:rsidR="0099351E">
                      <w:rPr>
                        <w:noProof/>
                        <w:webHidden/>
                      </w:rPr>
                    </w:r>
                    <w:r w:rsidR="0099351E">
                      <w:rPr>
                        <w:noProof/>
                        <w:webHidden/>
                      </w:rPr>
                      <w:fldChar w:fldCharType="separate"/>
                    </w:r>
                    <w:r w:rsidR="0099351E">
                      <w:rPr>
                        <w:noProof/>
                        <w:webHidden/>
                      </w:rPr>
                      <w:t>278</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78" w:history="1">
                    <w:r w:rsidR="0099351E">
                      <w:rPr>
                        <w:rStyle w:val="Lienhypertexte"/>
                        <w:noProof/>
                      </w:rPr>
                      <w:t>Chapitre 18 : Introduction des demandes de dérogation d’âge</w:t>
                    </w:r>
                    <w:r w:rsidR="0099351E">
                      <w:rPr>
                        <w:noProof/>
                        <w:webHidden/>
                      </w:rPr>
                      <w:tab/>
                    </w:r>
                    <w:r w:rsidR="0099351E">
                      <w:rPr>
                        <w:noProof/>
                        <w:webHidden/>
                      </w:rPr>
                      <w:fldChar w:fldCharType="begin"/>
                    </w:r>
                    <w:r w:rsidR="0099351E">
                      <w:rPr>
                        <w:noProof/>
                        <w:webHidden/>
                      </w:rPr>
                      <w:instrText xml:space="preserve"> PAGEREF _Toc47708578 \h </w:instrText>
                    </w:r>
                    <w:r w:rsidR="0099351E">
                      <w:rPr>
                        <w:noProof/>
                        <w:webHidden/>
                      </w:rPr>
                    </w:r>
                    <w:r w:rsidR="0099351E">
                      <w:rPr>
                        <w:noProof/>
                        <w:webHidden/>
                      </w:rPr>
                      <w:fldChar w:fldCharType="separate"/>
                    </w:r>
                    <w:r w:rsidR="0099351E">
                      <w:rPr>
                        <w:noProof/>
                        <w:webHidden/>
                      </w:rPr>
                      <w:t>282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79" w:history="1">
                    <w:r w:rsidR="0099351E">
                      <w:rPr>
                        <w:rStyle w:val="Lienhypertexte"/>
                        <w:noProof/>
                      </w:rPr>
                      <w:t>1. Dispositions générales</w:t>
                    </w:r>
                    <w:r w:rsidR="0099351E">
                      <w:rPr>
                        <w:noProof/>
                        <w:webHidden/>
                      </w:rPr>
                      <w:tab/>
                    </w:r>
                    <w:r w:rsidR="0099351E">
                      <w:rPr>
                        <w:noProof/>
                        <w:webHidden/>
                      </w:rPr>
                      <w:fldChar w:fldCharType="begin"/>
                    </w:r>
                    <w:r w:rsidR="0099351E">
                      <w:rPr>
                        <w:noProof/>
                        <w:webHidden/>
                      </w:rPr>
                      <w:instrText xml:space="preserve"> PAGEREF _Toc47708579 \h </w:instrText>
                    </w:r>
                    <w:r w:rsidR="0099351E">
                      <w:rPr>
                        <w:noProof/>
                        <w:webHidden/>
                      </w:rPr>
                    </w:r>
                    <w:r w:rsidR="0099351E">
                      <w:rPr>
                        <w:noProof/>
                        <w:webHidden/>
                      </w:rPr>
                      <w:fldChar w:fldCharType="separate"/>
                    </w:r>
                    <w:r w:rsidR="0099351E">
                      <w:rPr>
                        <w:noProof/>
                        <w:webHidden/>
                      </w:rPr>
                      <w:t>282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0" w:history="1">
                    <w:r w:rsidR="0099351E">
                      <w:rPr>
                        <w:rStyle w:val="Lienhypertexte"/>
                        <w:noProof/>
                      </w:rPr>
                      <w:t>2. Types de dérogation</w:t>
                    </w:r>
                    <w:r w:rsidR="0099351E">
                      <w:rPr>
                        <w:noProof/>
                        <w:webHidden/>
                      </w:rPr>
                      <w:tab/>
                    </w:r>
                    <w:r w:rsidR="0099351E">
                      <w:rPr>
                        <w:noProof/>
                        <w:webHidden/>
                      </w:rPr>
                      <w:fldChar w:fldCharType="begin"/>
                    </w:r>
                    <w:r w:rsidR="0099351E">
                      <w:rPr>
                        <w:noProof/>
                        <w:webHidden/>
                      </w:rPr>
                      <w:instrText xml:space="preserve"> PAGEREF _Toc47708580 \h </w:instrText>
                    </w:r>
                    <w:r w:rsidR="0099351E">
                      <w:rPr>
                        <w:noProof/>
                        <w:webHidden/>
                      </w:rPr>
                    </w:r>
                    <w:r w:rsidR="0099351E">
                      <w:rPr>
                        <w:noProof/>
                        <w:webHidden/>
                      </w:rPr>
                      <w:fldChar w:fldCharType="separate"/>
                    </w:r>
                    <w:r w:rsidR="0099351E">
                      <w:rPr>
                        <w:noProof/>
                        <w:webHidden/>
                      </w:rPr>
                      <w:t>282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1" w:history="1">
                    <w:r w:rsidR="0099351E">
                      <w:rPr>
                        <w:rStyle w:val="Lienhypertexte"/>
                        <w:noProof/>
                      </w:rPr>
                      <w:t>3. Annexes</w:t>
                    </w:r>
                    <w:r w:rsidR="0099351E">
                      <w:rPr>
                        <w:noProof/>
                        <w:webHidden/>
                      </w:rPr>
                      <w:tab/>
                    </w:r>
                    <w:r w:rsidR="0099351E">
                      <w:rPr>
                        <w:noProof/>
                        <w:webHidden/>
                      </w:rPr>
                      <w:fldChar w:fldCharType="begin"/>
                    </w:r>
                    <w:r w:rsidR="0099351E">
                      <w:rPr>
                        <w:noProof/>
                        <w:webHidden/>
                      </w:rPr>
                      <w:instrText xml:space="preserve"> PAGEREF _Toc47708581 \h </w:instrText>
                    </w:r>
                    <w:r w:rsidR="0099351E">
                      <w:rPr>
                        <w:noProof/>
                        <w:webHidden/>
                      </w:rPr>
                    </w:r>
                    <w:r w:rsidR="0099351E">
                      <w:rPr>
                        <w:noProof/>
                        <w:webHidden/>
                      </w:rPr>
                      <w:fldChar w:fldCharType="separate"/>
                    </w:r>
                    <w:r w:rsidR="0099351E">
                      <w:rPr>
                        <w:noProof/>
                        <w:webHidden/>
                      </w:rPr>
                      <w:t>283</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82" w:history="1">
                    <w:r w:rsidR="0099351E">
                      <w:rPr>
                        <w:rStyle w:val="Lienhypertexte"/>
                        <w:noProof/>
                      </w:rPr>
                      <w:t>Chapitre 19 : Liste des organismes habilités à délivrer et/ou à modifier les documents nécessaires à l’inscription en enseignement spécialisé</w:t>
                    </w:r>
                    <w:r w:rsidR="0099351E">
                      <w:rPr>
                        <w:noProof/>
                        <w:webHidden/>
                      </w:rPr>
                      <w:tab/>
                    </w:r>
                    <w:r w:rsidR="0099351E">
                      <w:rPr>
                        <w:noProof/>
                        <w:webHidden/>
                      </w:rPr>
                      <w:fldChar w:fldCharType="begin"/>
                    </w:r>
                    <w:r w:rsidR="0099351E">
                      <w:rPr>
                        <w:noProof/>
                        <w:webHidden/>
                      </w:rPr>
                      <w:instrText xml:space="preserve"> PAGEREF _Toc47708582 \h </w:instrText>
                    </w:r>
                    <w:r w:rsidR="0099351E">
                      <w:rPr>
                        <w:noProof/>
                        <w:webHidden/>
                      </w:rPr>
                    </w:r>
                    <w:r w:rsidR="0099351E">
                      <w:rPr>
                        <w:noProof/>
                        <w:webHidden/>
                      </w:rPr>
                      <w:fldChar w:fldCharType="separate"/>
                    </w:r>
                    <w:r w:rsidR="0099351E">
                      <w:rPr>
                        <w:noProof/>
                        <w:webHidden/>
                      </w:rPr>
                      <w:t>286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3" w:history="1">
                    <w:r w:rsidR="0099351E">
                      <w:rPr>
                        <w:rStyle w:val="Lienhypertexte"/>
                        <w:noProof/>
                      </w:rPr>
                      <w:t>1. Généralités</w:t>
                    </w:r>
                    <w:r w:rsidR="0099351E">
                      <w:rPr>
                        <w:noProof/>
                        <w:webHidden/>
                      </w:rPr>
                      <w:tab/>
                    </w:r>
                    <w:r w:rsidR="0099351E">
                      <w:rPr>
                        <w:noProof/>
                        <w:webHidden/>
                      </w:rPr>
                      <w:fldChar w:fldCharType="begin"/>
                    </w:r>
                    <w:r w:rsidR="0099351E">
                      <w:rPr>
                        <w:noProof/>
                        <w:webHidden/>
                      </w:rPr>
                      <w:instrText xml:space="preserve"> PAGEREF _Toc47708583 \h </w:instrText>
                    </w:r>
                    <w:r w:rsidR="0099351E">
                      <w:rPr>
                        <w:noProof/>
                        <w:webHidden/>
                      </w:rPr>
                    </w:r>
                    <w:r w:rsidR="0099351E">
                      <w:rPr>
                        <w:noProof/>
                        <w:webHidden/>
                      </w:rPr>
                      <w:fldChar w:fldCharType="separate"/>
                    </w:r>
                    <w:r w:rsidR="0099351E">
                      <w:rPr>
                        <w:noProof/>
                        <w:webHidden/>
                      </w:rPr>
                      <w:t>286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4" w:history="1">
                    <w:r w:rsidR="0099351E">
                      <w:rPr>
                        <w:rStyle w:val="Lienhypertexte"/>
                        <w:noProof/>
                      </w:rPr>
                      <w:t>2. Rappel</w:t>
                    </w:r>
                    <w:r w:rsidR="0099351E">
                      <w:rPr>
                        <w:noProof/>
                        <w:webHidden/>
                      </w:rPr>
                      <w:tab/>
                    </w:r>
                    <w:r w:rsidR="0099351E">
                      <w:rPr>
                        <w:noProof/>
                        <w:webHidden/>
                      </w:rPr>
                      <w:fldChar w:fldCharType="begin"/>
                    </w:r>
                    <w:r w:rsidR="0099351E">
                      <w:rPr>
                        <w:noProof/>
                        <w:webHidden/>
                      </w:rPr>
                      <w:instrText xml:space="preserve"> PAGEREF _Toc47708584 \h </w:instrText>
                    </w:r>
                    <w:r w:rsidR="0099351E">
                      <w:rPr>
                        <w:noProof/>
                        <w:webHidden/>
                      </w:rPr>
                    </w:r>
                    <w:r w:rsidR="0099351E">
                      <w:rPr>
                        <w:noProof/>
                        <w:webHidden/>
                      </w:rPr>
                      <w:fldChar w:fldCharType="separate"/>
                    </w:r>
                    <w:r w:rsidR="0099351E">
                      <w:rPr>
                        <w:noProof/>
                        <w:webHidden/>
                      </w:rPr>
                      <w:t>286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5" w:history="1">
                    <w:r w:rsidR="0099351E">
                      <w:rPr>
                        <w:rStyle w:val="Lienhypertexte"/>
                        <w:noProof/>
                      </w:rPr>
                      <w:t>3. Listes</w:t>
                    </w:r>
                    <w:r w:rsidR="0099351E">
                      <w:rPr>
                        <w:noProof/>
                        <w:webHidden/>
                      </w:rPr>
                      <w:tab/>
                    </w:r>
                    <w:r w:rsidR="0099351E">
                      <w:rPr>
                        <w:noProof/>
                        <w:webHidden/>
                      </w:rPr>
                      <w:fldChar w:fldCharType="begin"/>
                    </w:r>
                    <w:r w:rsidR="0099351E">
                      <w:rPr>
                        <w:noProof/>
                        <w:webHidden/>
                      </w:rPr>
                      <w:instrText xml:space="preserve"> PAGEREF _Toc47708585 \h </w:instrText>
                    </w:r>
                    <w:r w:rsidR="0099351E">
                      <w:rPr>
                        <w:noProof/>
                        <w:webHidden/>
                      </w:rPr>
                    </w:r>
                    <w:r w:rsidR="0099351E">
                      <w:rPr>
                        <w:noProof/>
                        <w:webHidden/>
                      </w:rPr>
                      <w:fldChar w:fldCharType="separate"/>
                    </w:r>
                    <w:r w:rsidR="0099351E">
                      <w:rPr>
                        <w:noProof/>
                        <w:webHidden/>
                      </w:rPr>
                      <w:t>287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6" w:history="1">
                    <w:r w:rsidR="0099351E">
                      <w:rPr>
                        <w:rStyle w:val="Lienhypertexte"/>
                        <w:noProof/>
                      </w:rPr>
                      <w:t>4. Annexes</w:t>
                    </w:r>
                    <w:r w:rsidR="0099351E">
                      <w:rPr>
                        <w:noProof/>
                        <w:webHidden/>
                      </w:rPr>
                      <w:tab/>
                    </w:r>
                    <w:r w:rsidR="0099351E">
                      <w:rPr>
                        <w:noProof/>
                        <w:webHidden/>
                      </w:rPr>
                      <w:fldChar w:fldCharType="begin"/>
                    </w:r>
                    <w:r w:rsidR="0099351E">
                      <w:rPr>
                        <w:noProof/>
                        <w:webHidden/>
                      </w:rPr>
                      <w:instrText xml:space="preserve"> PAGEREF _Toc47708586 \h </w:instrText>
                    </w:r>
                    <w:r w:rsidR="0099351E">
                      <w:rPr>
                        <w:noProof/>
                        <w:webHidden/>
                      </w:rPr>
                    </w:r>
                    <w:r w:rsidR="0099351E">
                      <w:rPr>
                        <w:noProof/>
                        <w:webHidden/>
                      </w:rPr>
                      <w:fldChar w:fldCharType="separate"/>
                    </w:r>
                    <w:r w:rsidR="0099351E">
                      <w:rPr>
                        <w:noProof/>
                        <w:webHidden/>
                      </w:rPr>
                      <w:t>287</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87" w:history="1">
                    <w:r w:rsidR="0099351E">
                      <w:rPr>
                        <w:rStyle w:val="Lienhypertexte"/>
                        <w:noProof/>
                      </w:rPr>
                      <w:t>Chapitre 20 : Objets produits ou services rendus par un établissement scolaire d’enseignement spécialisé</w:t>
                    </w:r>
                    <w:r w:rsidR="0099351E">
                      <w:rPr>
                        <w:noProof/>
                        <w:webHidden/>
                      </w:rPr>
                      <w:tab/>
                    </w:r>
                    <w:r w:rsidR="0099351E">
                      <w:rPr>
                        <w:noProof/>
                        <w:webHidden/>
                      </w:rPr>
                      <w:fldChar w:fldCharType="begin"/>
                    </w:r>
                    <w:r w:rsidR="0099351E">
                      <w:rPr>
                        <w:noProof/>
                        <w:webHidden/>
                      </w:rPr>
                      <w:instrText xml:space="preserve"> PAGEREF _Toc47708587 \h </w:instrText>
                    </w:r>
                    <w:r w:rsidR="0099351E">
                      <w:rPr>
                        <w:noProof/>
                        <w:webHidden/>
                      </w:rPr>
                    </w:r>
                    <w:r w:rsidR="0099351E">
                      <w:rPr>
                        <w:noProof/>
                        <w:webHidden/>
                      </w:rPr>
                      <w:fldChar w:fldCharType="separate"/>
                    </w:r>
                    <w:r w:rsidR="0099351E">
                      <w:rPr>
                        <w:noProof/>
                        <w:webHidden/>
                      </w:rPr>
                      <w:t>309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8" w:history="1">
                    <w:r w:rsidR="0099351E">
                      <w:rPr>
                        <w:rStyle w:val="Lienhypertexte"/>
                        <w:noProof/>
                      </w:rPr>
                      <w:t>1. Principes</w:t>
                    </w:r>
                    <w:r w:rsidR="0099351E">
                      <w:rPr>
                        <w:noProof/>
                        <w:webHidden/>
                      </w:rPr>
                      <w:tab/>
                    </w:r>
                    <w:r w:rsidR="0099351E">
                      <w:rPr>
                        <w:noProof/>
                        <w:webHidden/>
                      </w:rPr>
                      <w:fldChar w:fldCharType="begin"/>
                    </w:r>
                    <w:r w:rsidR="0099351E">
                      <w:rPr>
                        <w:noProof/>
                        <w:webHidden/>
                      </w:rPr>
                      <w:instrText xml:space="preserve"> PAGEREF _Toc47708588 \h </w:instrText>
                    </w:r>
                    <w:r w:rsidR="0099351E">
                      <w:rPr>
                        <w:noProof/>
                        <w:webHidden/>
                      </w:rPr>
                    </w:r>
                    <w:r w:rsidR="0099351E">
                      <w:rPr>
                        <w:noProof/>
                        <w:webHidden/>
                      </w:rPr>
                      <w:fldChar w:fldCharType="separate"/>
                    </w:r>
                    <w:r w:rsidR="0099351E">
                      <w:rPr>
                        <w:noProof/>
                        <w:webHidden/>
                      </w:rPr>
                      <w:t>309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89" w:history="1">
                    <w:r w:rsidR="0099351E">
                      <w:rPr>
                        <w:rStyle w:val="Lienhypertexte"/>
                        <w:noProof/>
                      </w:rPr>
                      <w:t>2. Destination du bien ou du service</w:t>
                    </w:r>
                    <w:r w:rsidR="0099351E">
                      <w:rPr>
                        <w:noProof/>
                        <w:webHidden/>
                      </w:rPr>
                      <w:tab/>
                    </w:r>
                    <w:r w:rsidR="0099351E">
                      <w:rPr>
                        <w:noProof/>
                        <w:webHidden/>
                      </w:rPr>
                      <w:fldChar w:fldCharType="begin"/>
                    </w:r>
                    <w:r w:rsidR="0099351E">
                      <w:rPr>
                        <w:noProof/>
                        <w:webHidden/>
                      </w:rPr>
                      <w:instrText xml:space="preserve"> PAGEREF _Toc47708589 \h </w:instrText>
                    </w:r>
                    <w:r w:rsidR="0099351E">
                      <w:rPr>
                        <w:noProof/>
                        <w:webHidden/>
                      </w:rPr>
                    </w:r>
                    <w:r w:rsidR="0099351E">
                      <w:rPr>
                        <w:noProof/>
                        <w:webHidden/>
                      </w:rPr>
                      <w:fldChar w:fldCharType="separate"/>
                    </w:r>
                    <w:r w:rsidR="0099351E">
                      <w:rPr>
                        <w:noProof/>
                        <w:webHidden/>
                      </w:rPr>
                      <w:t>310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0" w:history="1">
                    <w:r w:rsidR="0099351E">
                      <w:rPr>
                        <w:rStyle w:val="Lienhypertexte"/>
                        <w:noProof/>
                      </w:rPr>
                      <w:t>3. Vente ou location des objets fabriqués et fourniture de services</w:t>
                    </w:r>
                    <w:r w:rsidR="0099351E">
                      <w:rPr>
                        <w:noProof/>
                        <w:webHidden/>
                      </w:rPr>
                      <w:tab/>
                    </w:r>
                    <w:r w:rsidR="0099351E">
                      <w:rPr>
                        <w:noProof/>
                        <w:webHidden/>
                      </w:rPr>
                      <w:fldChar w:fldCharType="begin"/>
                    </w:r>
                    <w:r w:rsidR="0099351E">
                      <w:rPr>
                        <w:noProof/>
                        <w:webHidden/>
                      </w:rPr>
                      <w:instrText xml:space="preserve"> PAGEREF _Toc47708590 \h </w:instrText>
                    </w:r>
                    <w:r w:rsidR="0099351E">
                      <w:rPr>
                        <w:noProof/>
                        <w:webHidden/>
                      </w:rPr>
                    </w:r>
                    <w:r w:rsidR="0099351E">
                      <w:rPr>
                        <w:noProof/>
                        <w:webHidden/>
                      </w:rPr>
                      <w:fldChar w:fldCharType="separate"/>
                    </w:r>
                    <w:r w:rsidR="0099351E">
                      <w:rPr>
                        <w:noProof/>
                        <w:webHidden/>
                      </w:rPr>
                      <w:t>310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1" w:history="1">
                    <w:r w:rsidR="0099351E">
                      <w:rPr>
                        <w:rStyle w:val="Lienhypertexte"/>
                        <w:noProof/>
                      </w:rPr>
                      <w:t>4. Utilisation du bénéfice de la vente ou de la location</w:t>
                    </w:r>
                    <w:r w:rsidR="0099351E">
                      <w:rPr>
                        <w:noProof/>
                        <w:webHidden/>
                      </w:rPr>
                      <w:tab/>
                    </w:r>
                    <w:r w:rsidR="0099351E">
                      <w:rPr>
                        <w:noProof/>
                        <w:webHidden/>
                      </w:rPr>
                      <w:fldChar w:fldCharType="begin"/>
                    </w:r>
                    <w:r w:rsidR="0099351E">
                      <w:rPr>
                        <w:noProof/>
                        <w:webHidden/>
                      </w:rPr>
                      <w:instrText xml:space="preserve"> PAGEREF _Toc47708591 \h </w:instrText>
                    </w:r>
                    <w:r w:rsidR="0099351E">
                      <w:rPr>
                        <w:noProof/>
                        <w:webHidden/>
                      </w:rPr>
                    </w:r>
                    <w:r w:rsidR="0099351E">
                      <w:rPr>
                        <w:noProof/>
                        <w:webHidden/>
                      </w:rPr>
                      <w:fldChar w:fldCharType="separate"/>
                    </w:r>
                    <w:r w:rsidR="0099351E">
                      <w:rPr>
                        <w:noProof/>
                        <w:webHidden/>
                      </w:rPr>
                      <w:t>311</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592" w:history="1">
                    <w:r w:rsidR="0099351E">
                      <w:rPr>
                        <w:rStyle w:val="Lienhypertexte"/>
                        <w:noProof/>
                      </w:rPr>
                      <w:t>Chapitre 21 : Les Commissions consultatives</w:t>
                    </w:r>
                    <w:r w:rsidR="0099351E">
                      <w:rPr>
                        <w:noProof/>
                        <w:webHidden/>
                      </w:rPr>
                      <w:tab/>
                    </w:r>
                    <w:r w:rsidR="0099351E">
                      <w:rPr>
                        <w:noProof/>
                        <w:webHidden/>
                      </w:rPr>
                      <w:fldChar w:fldCharType="begin"/>
                    </w:r>
                    <w:r w:rsidR="0099351E">
                      <w:rPr>
                        <w:noProof/>
                        <w:webHidden/>
                      </w:rPr>
                      <w:instrText xml:space="preserve"> PAGEREF _Toc47708592 \h </w:instrText>
                    </w:r>
                    <w:r w:rsidR="0099351E">
                      <w:rPr>
                        <w:noProof/>
                        <w:webHidden/>
                      </w:rPr>
                    </w:r>
                    <w:r w:rsidR="0099351E">
                      <w:rPr>
                        <w:noProof/>
                        <w:webHidden/>
                      </w:rPr>
                      <w:fldChar w:fldCharType="separate"/>
                    </w:r>
                    <w:r w:rsidR="0099351E">
                      <w:rPr>
                        <w:noProof/>
                        <w:webHidden/>
                      </w:rPr>
                      <w:t>313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3" w:history="1">
                    <w:r w:rsidR="0099351E">
                      <w:rPr>
                        <w:rStyle w:val="Lienhypertexte"/>
                        <w:noProof/>
                      </w:rPr>
                      <w:t>1. Commissions consultatives</w:t>
                    </w:r>
                    <w:r w:rsidR="0099351E">
                      <w:rPr>
                        <w:noProof/>
                        <w:webHidden/>
                      </w:rPr>
                      <w:tab/>
                    </w:r>
                    <w:r w:rsidR="0099351E">
                      <w:rPr>
                        <w:noProof/>
                        <w:webHidden/>
                      </w:rPr>
                      <w:fldChar w:fldCharType="begin"/>
                    </w:r>
                    <w:r w:rsidR="0099351E">
                      <w:rPr>
                        <w:noProof/>
                        <w:webHidden/>
                      </w:rPr>
                      <w:instrText xml:space="preserve"> PAGEREF _Toc47708593 \h </w:instrText>
                    </w:r>
                    <w:r w:rsidR="0099351E">
                      <w:rPr>
                        <w:noProof/>
                        <w:webHidden/>
                      </w:rPr>
                    </w:r>
                    <w:r w:rsidR="0099351E">
                      <w:rPr>
                        <w:noProof/>
                        <w:webHidden/>
                      </w:rPr>
                      <w:fldChar w:fldCharType="separate"/>
                    </w:r>
                    <w:r w:rsidR="0099351E">
                      <w:rPr>
                        <w:noProof/>
                        <w:webHidden/>
                      </w:rPr>
                      <w:t>313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4" w:history="1">
                    <w:r w:rsidR="0099351E">
                      <w:rPr>
                        <w:rStyle w:val="Lienhypertexte"/>
                        <w:noProof/>
                      </w:rPr>
                      <w:t>2. Missions des commissions consultatives</w:t>
                    </w:r>
                    <w:r w:rsidR="0099351E">
                      <w:rPr>
                        <w:noProof/>
                        <w:webHidden/>
                      </w:rPr>
                      <w:tab/>
                    </w:r>
                    <w:r w:rsidR="0099351E">
                      <w:rPr>
                        <w:noProof/>
                        <w:webHidden/>
                      </w:rPr>
                      <w:fldChar w:fldCharType="begin"/>
                    </w:r>
                    <w:r w:rsidR="0099351E">
                      <w:rPr>
                        <w:noProof/>
                        <w:webHidden/>
                      </w:rPr>
                      <w:instrText xml:space="preserve"> PAGEREF _Toc47708594 \h </w:instrText>
                    </w:r>
                    <w:r w:rsidR="0099351E">
                      <w:rPr>
                        <w:noProof/>
                        <w:webHidden/>
                      </w:rPr>
                    </w:r>
                    <w:r w:rsidR="0099351E">
                      <w:rPr>
                        <w:noProof/>
                        <w:webHidden/>
                      </w:rPr>
                      <w:fldChar w:fldCharType="separate"/>
                    </w:r>
                    <w:r w:rsidR="0099351E">
                      <w:rPr>
                        <w:noProof/>
                        <w:webHidden/>
                      </w:rPr>
                      <w:t>313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5" w:history="1">
                    <w:r w:rsidR="0099351E">
                      <w:rPr>
                        <w:rStyle w:val="Lienhypertexte"/>
                        <w:noProof/>
                      </w:rPr>
                      <w:t>3. Introduction des demandes</w:t>
                    </w:r>
                    <w:r w:rsidR="0099351E">
                      <w:rPr>
                        <w:noProof/>
                        <w:webHidden/>
                      </w:rPr>
                      <w:tab/>
                    </w:r>
                    <w:r w:rsidR="0099351E">
                      <w:rPr>
                        <w:noProof/>
                        <w:webHidden/>
                      </w:rPr>
                      <w:fldChar w:fldCharType="begin"/>
                    </w:r>
                    <w:r w:rsidR="0099351E">
                      <w:rPr>
                        <w:noProof/>
                        <w:webHidden/>
                      </w:rPr>
                      <w:instrText xml:space="preserve"> PAGEREF _Toc47708595 \h </w:instrText>
                    </w:r>
                    <w:r w:rsidR="0099351E">
                      <w:rPr>
                        <w:noProof/>
                        <w:webHidden/>
                      </w:rPr>
                    </w:r>
                    <w:r w:rsidR="0099351E">
                      <w:rPr>
                        <w:noProof/>
                        <w:webHidden/>
                      </w:rPr>
                      <w:fldChar w:fldCharType="separate"/>
                    </w:r>
                    <w:r w:rsidR="0099351E">
                      <w:rPr>
                        <w:noProof/>
                        <w:webHidden/>
                      </w:rPr>
                      <w:t>315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6" w:history="1">
                    <w:r w:rsidR="0099351E">
                      <w:rPr>
                        <w:rStyle w:val="Lienhypertexte"/>
                        <w:noProof/>
                      </w:rPr>
                      <w:t>4. Modalités d’organisation des commissions consultatives</w:t>
                    </w:r>
                    <w:r w:rsidR="0099351E">
                      <w:rPr>
                        <w:noProof/>
                        <w:webHidden/>
                      </w:rPr>
                      <w:tab/>
                    </w:r>
                    <w:r w:rsidR="0099351E">
                      <w:rPr>
                        <w:noProof/>
                        <w:webHidden/>
                      </w:rPr>
                      <w:fldChar w:fldCharType="begin"/>
                    </w:r>
                    <w:r w:rsidR="0099351E">
                      <w:rPr>
                        <w:noProof/>
                        <w:webHidden/>
                      </w:rPr>
                      <w:instrText xml:space="preserve"> PAGEREF _Toc47708596 \h </w:instrText>
                    </w:r>
                    <w:r w:rsidR="0099351E">
                      <w:rPr>
                        <w:noProof/>
                        <w:webHidden/>
                      </w:rPr>
                    </w:r>
                    <w:r w:rsidR="0099351E">
                      <w:rPr>
                        <w:noProof/>
                        <w:webHidden/>
                      </w:rPr>
                      <w:fldChar w:fldCharType="separate"/>
                    </w:r>
                    <w:r w:rsidR="0099351E">
                      <w:rPr>
                        <w:noProof/>
                        <w:webHidden/>
                      </w:rPr>
                      <w:t>315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7" w:history="1">
                    <w:r w:rsidR="0099351E">
                      <w:rPr>
                        <w:rStyle w:val="Lienhypertexte"/>
                        <w:noProof/>
                      </w:rPr>
                      <w:t>5. Fonctionnement des commissions consultatives</w:t>
                    </w:r>
                    <w:r w:rsidR="0099351E">
                      <w:rPr>
                        <w:noProof/>
                        <w:webHidden/>
                      </w:rPr>
                      <w:tab/>
                    </w:r>
                    <w:r w:rsidR="0099351E">
                      <w:rPr>
                        <w:noProof/>
                        <w:webHidden/>
                      </w:rPr>
                      <w:fldChar w:fldCharType="begin"/>
                    </w:r>
                    <w:r w:rsidR="0099351E">
                      <w:rPr>
                        <w:noProof/>
                        <w:webHidden/>
                      </w:rPr>
                      <w:instrText xml:space="preserve"> PAGEREF _Toc47708597 \h </w:instrText>
                    </w:r>
                    <w:r w:rsidR="0099351E">
                      <w:rPr>
                        <w:noProof/>
                        <w:webHidden/>
                      </w:rPr>
                    </w:r>
                    <w:r w:rsidR="0099351E">
                      <w:rPr>
                        <w:noProof/>
                        <w:webHidden/>
                      </w:rPr>
                      <w:fldChar w:fldCharType="separate"/>
                    </w:r>
                    <w:r w:rsidR="0099351E">
                      <w:rPr>
                        <w:noProof/>
                        <w:webHidden/>
                      </w:rPr>
                      <w:t>315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8" w:history="1">
                    <w:r w:rsidR="0099351E">
                      <w:rPr>
                        <w:rStyle w:val="Lienhypertexte"/>
                        <w:noProof/>
                      </w:rPr>
                      <w:t>6. Présidences des Commissions consultatives</w:t>
                    </w:r>
                    <w:r w:rsidR="0099351E">
                      <w:rPr>
                        <w:noProof/>
                        <w:webHidden/>
                      </w:rPr>
                      <w:tab/>
                    </w:r>
                    <w:r w:rsidR="0099351E">
                      <w:rPr>
                        <w:noProof/>
                        <w:webHidden/>
                      </w:rPr>
                      <w:fldChar w:fldCharType="begin"/>
                    </w:r>
                    <w:r w:rsidR="0099351E">
                      <w:rPr>
                        <w:noProof/>
                        <w:webHidden/>
                      </w:rPr>
                      <w:instrText xml:space="preserve"> PAGEREF _Toc47708598 \h </w:instrText>
                    </w:r>
                    <w:r w:rsidR="0099351E">
                      <w:rPr>
                        <w:noProof/>
                        <w:webHidden/>
                      </w:rPr>
                    </w:r>
                    <w:r w:rsidR="0099351E">
                      <w:rPr>
                        <w:noProof/>
                        <w:webHidden/>
                      </w:rPr>
                      <w:fldChar w:fldCharType="separate"/>
                    </w:r>
                    <w:r w:rsidR="0099351E">
                      <w:rPr>
                        <w:noProof/>
                        <w:webHidden/>
                      </w:rPr>
                      <w:t>316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599" w:history="1">
                    <w:r w:rsidR="0099351E">
                      <w:rPr>
                        <w:rStyle w:val="Lienhypertexte"/>
                        <w:noProof/>
                        <w:lang w:val="fr-FR"/>
                      </w:rPr>
                      <w:t>7. Documents utiles au traitement de la situation</w:t>
                    </w:r>
                    <w:r w:rsidR="0099351E">
                      <w:rPr>
                        <w:noProof/>
                        <w:webHidden/>
                      </w:rPr>
                      <w:tab/>
                    </w:r>
                    <w:r w:rsidR="0099351E">
                      <w:rPr>
                        <w:noProof/>
                        <w:webHidden/>
                      </w:rPr>
                      <w:fldChar w:fldCharType="begin"/>
                    </w:r>
                    <w:r w:rsidR="0099351E">
                      <w:rPr>
                        <w:noProof/>
                        <w:webHidden/>
                      </w:rPr>
                      <w:instrText xml:space="preserve"> PAGEREF _Toc47708599 \h </w:instrText>
                    </w:r>
                    <w:r w:rsidR="0099351E">
                      <w:rPr>
                        <w:noProof/>
                        <w:webHidden/>
                      </w:rPr>
                    </w:r>
                    <w:r w:rsidR="0099351E">
                      <w:rPr>
                        <w:noProof/>
                        <w:webHidden/>
                      </w:rPr>
                      <w:fldChar w:fldCharType="separate"/>
                    </w:r>
                    <w:r w:rsidR="0099351E">
                      <w:rPr>
                        <w:noProof/>
                        <w:webHidden/>
                      </w:rPr>
                      <w:t>316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0" w:history="1">
                    <w:r w:rsidR="0099351E">
                      <w:rPr>
                        <w:rStyle w:val="Lienhypertexte"/>
                        <w:noProof/>
                        <w:lang w:val="fr-FR"/>
                      </w:rPr>
                      <w:t>8. Annexes (7 situations)</w:t>
                    </w:r>
                    <w:r w:rsidR="0099351E">
                      <w:rPr>
                        <w:noProof/>
                        <w:webHidden/>
                      </w:rPr>
                      <w:tab/>
                    </w:r>
                    <w:r w:rsidR="0099351E">
                      <w:rPr>
                        <w:noProof/>
                        <w:webHidden/>
                      </w:rPr>
                      <w:fldChar w:fldCharType="begin"/>
                    </w:r>
                    <w:r w:rsidR="0099351E">
                      <w:rPr>
                        <w:noProof/>
                        <w:webHidden/>
                      </w:rPr>
                      <w:instrText xml:space="preserve"> PAGEREF _Toc47708600 \h </w:instrText>
                    </w:r>
                    <w:r w:rsidR="0099351E">
                      <w:rPr>
                        <w:noProof/>
                        <w:webHidden/>
                      </w:rPr>
                    </w:r>
                    <w:r w:rsidR="0099351E">
                      <w:rPr>
                        <w:noProof/>
                        <w:webHidden/>
                      </w:rPr>
                      <w:fldChar w:fldCharType="separate"/>
                    </w:r>
                    <w:r w:rsidR="0099351E">
                      <w:rPr>
                        <w:noProof/>
                        <w:webHidden/>
                      </w:rPr>
                      <w:t>316</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01" w:history="1">
                    <w:r w:rsidR="0099351E">
                      <w:rPr>
                        <w:rStyle w:val="Lienhypertexte"/>
                        <w:noProof/>
                      </w:rPr>
                      <w:t>Chapitre 22 : Organisation d’une Structure Scolaire d’Aide à la Socialisation (SSAS)</w:t>
                    </w:r>
                    <w:r w:rsidR="0099351E">
                      <w:rPr>
                        <w:noProof/>
                        <w:webHidden/>
                      </w:rPr>
                      <w:tab/>
                    </w:r>
                    <w:r w:rsidR="0099351E">
                      <w:rPr>
                        <w:noProof/>
                        <w:webHidden/>
                      </w:rPr>
                      <w:fldChar w:fldCharType="begin"/>
                    </w:r>
                    <w:r w:rsidR="0099351E">
                      <w:rPr>
                        <w:noProof/>
                        <w:webHidden/>
                      </w:rPr>
                      <w:instrText xml:space="preserve"> PAGEREF _Toc47708601 \h </w:instrText>
                    </w:r>
                    <w:r w:rsidR="0099351E">
                      <w:rPr>
                        <w:noProof/>
                        <w:webHidden/>
                      </w:rPr>
                    </w:r>
                    <w:r w:rsidR="0099351E">
                      <w:rPr>
                        <w:noProof/>
                        <w:webHidden/>
                      </w:rPr>
                      <w:fldChar w:fldCharType="separate"/>
                    </w:r>
                    <w:r w:rsidR="0099351E">
                      <w:rPr>
                        <w:noProof/>
                        <w:webHidden/>
                      </w:rPr>
                      <w:t>324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2" w:history="1">
                    <w:r w:rsidR="0099351E">
                      <w:rPr>
                        <w:rStyle w:val="Lienhypertexte"/>
                        <w:noProof/>
                      </w:rPr>
                      <w:t>1. Principe</w:t>
                    </w:r>
                    <w:r w:rsidR="0099351E">
                      <w:rPr>
                        <w:noProof/>
                        <w:webHidden/>
                      </w:rPr>
                      <w:tab/>
                    </w:r>
                    <w:r w:rsidR="0099351E">
                      <w:rPr>
                        <w:noProof/>
                        <w:webHidden/>
                      </w:rPr>
                      <w:fldChar w:fldCharType="begin"/>
                    </w:r>
                    <w:r w:rsidR="0099351E">
                      <w:rPr>
                        <w:noProof/>
                        <w:webHidden/>
                      </w:rPr>
                      <w:instrText xml:space="preserve"> PAGEREF _Toc47708602 \h </w:instrText>
                    </w:r>
                    <w:r w:rsidR="0099351E">
                      <w:rPr>
                        <w:noProof/>
                        <w:webHidden/>
                      </w:rPr>
                    </w:r>
                    <w:r w:rsidR="0099351E">
                      <w:rPr>
                        <w:noProof/>
                        <w:webHidden/>
                      </w:rPr>
                      <w:fldChar w:fldCharType="separate"/>
                    </w:r>
                    <w:r w:rsidR="0099351E">
                      <w:rPr>
                        <w:noProof/>
                        <w:webHidden/>
                      </w:rPr>
                      <w:t>324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3" w:history="1">
                    <w:r w:rsidR="0099351E">
                      <w:rPr>
                        <w:rStyle w:val="Lienhypertexte"/>
                        <w:noProof/>
                      </w:rPr>
                      <w:t>2. Organisation</w:t>
                    </w:r>
                    <w:r w:rsidR="0099351E">
                      <w:rPr>
                        <w:noProof/>
                        <w:webHidden/>
                      </w:rPr>
                      <w:tab/>
                    </w:r>
                    <w:r w:rsidR="0099351E">
                      <w:rPr>
                        <w:noProof/>
                        <w:webHidden/>
                      </w:rPr>
                      <w:fldChar w:fldCharType="begin"/>
                    </w:r>
                    <w:r w:rsidR="0099351E">
                      <w:rPr>
                        <w:noProof/>
                        <w:webHidden/>
                      </w:rPr>
                      <w:instrText xml:space="preserve"> PAGEREF _Toc47708603 \h </w:instrText>
                    </w:r>
                    <w:r w:rsidR="0099351E">
                      <w:rPr>
                        <w:noProof/>
                        <w:webHidden/>
                      </w:rPr>
                    </w:r>
                    <w:r w:rsidR="0099351E">
                      <w:rPr>
                        <w:noProof/>
                        <w:webHidden/>
                      </w:rPr>
                      <w:fldChar w:fldCharType="separate"/>
                    </w:r>
                    <w:r w:rsidR="0099351E">
                      <w:rPr>
                        <w:noProof/>
                        <w:webHidden/>
                      </w:rPr>
                      <w:t>324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4" w:history="1">
                    <w:r w:rsidR="0099351E">
                      <w:rPr>
                        <w:rStyle w:val="Lienhypertexte"/>
                        <w:noProof/>
                      </w:rPr>
                      <w:t>3. Encadrement</w:t>
                    </w:r>
                    <w:r w:rsidR="0099351E">
                      <w:rPr>
                        <w:noProof/>
                        <w:webHidden/>
                      </w:rPr>
                      <w:tab/>
                    </w:r>
                    <w:r w:rsidR="0099351E">
                      <w:rPr>
                        <w:noProof/>
                        <w:webHidden/>
                      </w:rPr>
                      <w:fldChar w:fldCharType="begin"/>
                    </w:r>
                    <w:r w:rsidR="0099351E">
                      <w:rPr>
                        <w:noProof/>
                        <w:webHidden/>
                      </w:rPr>
                      <w:instrText xml:space="preserve"> PAGEREF _Toc47708604 \h </w:instrText>
                    </w:r>
                    <w:r w:rsidR="0099351E">
                      <w:rPr>
                        <w:noProof/>
                        <w:webHidden/>
                      </w:rPr>
                    </w:r>
                    <w:r w:rsidR="0099351E">
                      <w:rPr>
                        <w:noProof/>
                        <w:webHidden/>
                      </w:rPr>
                      <w:fldChar w:fldCharType="separate"/>
                    </w:r>
                    <w:r w:rsidR="0099351E">
                      <w:rPr>
                        <w:noProof/>
                        <w:webHidden/>
                      </w:rPr>
                      <w:t>324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5" w:history="1">
                    <w:r w:rsidR="0099351E">
                      <w:rPr>
                        <w:rStyle w:val="Lienhypertexte"/>
                        <w:noProof/>
                      </w:rPr>
                      <w:t>4. Structure</w:t>
                    </w:r>
                    <w:r w:rsidR="0099351E">
                      <w:rPr>
                        <w:noProof/>
                        <w:webHidden/>
                      </w:rPr>
                      <w:tab/>
                    </w:r>
                    <w:r w:rsidR="0099351E">
                      <w:rPr>
                        <w:noProof/>
                        <w:webHidden/>
                      </w:rPr>
                      <w:fldChar w:fldCharType="begin"/>
                    </w:r>
                    <w:r w:rsidR="0099351E">
                      <w:rPr>
                        <w:noProof/>
                        <w:webHidden/>
                      </w:rPr>
                      <w:instrText xml:space="preserve"> PAGEREF _Toc47708605 \h </w:instrText>
                    </w:r>
                    <w:r w:rsidR="0099351E">
                      <w:rPr>
                        <w:noProof/>
                        <w:webHidden/>
                      </w:rPr>
                    </w:r>
                    <w:r w:rsidR="0099351E">
                      <w:rPr>
                        <w:noProof/>
                        <w:webHidden/>
                      </w:rPr>
                      <w:fldChar w:fldCharType="separate"/>
                    </w:r>
                    <w:r w:rsidR="0099351E">
                      <w:rPr>
                        <w:noProof/>
                        <w:webHidden/>
                      </w:rPr>
                      <w:t>324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6" w:history="1">
                    <w:r w:rsidR="0099351E">
                      <w:rPr>
                        <w:rStyle w:val="Lienhypertexte"/>
                        <w:noProof/>
                      </w:rPr>
                      <w:t>5. Conditions d’admission</w:t>
                    </w:r>
                    <w:r w:rsidR="0099351E">
                      <w:rPr>
                        <w:noProof/>
                        <w:webHidden/>
                      </w:rPr>
                      <w:tab/>
                    </w:r>
                    <w:r w:rsidR="0099351E">
                      <w:rPr>
                        <w:noProof/>
                        <w:webHidden/>
                      </w:rPr>
                      <w:fldChar w:fldCharType="begin"/>
                    </w:r>
                    <w:r w:rsidR="0099351E">
                      <w:rPr>
                        <w:noProof/>
                        <w:webHidden/>
                      </w:rPr>
                      <w:instrText xml:space="preserve"> PAGEREF _Toc47708606 \h </w:instrText>
                    </w:r>
                    <w:r w:rsidR="0099351E">
                      <w:rPr>
                        <w:noProof/>
                        <w:webHidden/>
                      </w:rPr>
                    </w:r>
                    <w:r w:rsidR="0099351E">
                      <w:rPr>
                        <w:noProof/>
                        <w:webHidden/>
                      </w:rPr>
                      <w:fldChar w:fldCharType="separate"/>
                    </w:r>
                    <w:r w:rsidR="0099351E">
                      <w:rPr>
                        <w:noProof/>
                        <w:webHidden/>
                      </w:rPr>
                      <w:t>325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7" w:history="1">
                    <w:r w:rsidR="0099351E">
                      <w:rPr>
                        <w:rStyle w:val="Lienhypertexte"/>
                        <w:noProof/>
                      </w:rPr>
                      <w:t>6. Conseil de classe</w:t>
                    </w:r>
                    <w:r w:rsidR="0099351E">
                      <w:rPr>
                        <w:noProof/>
                        <w:webHidden/>
                      </w:rPr>
                      <w:tab/>
                    </w:r>
                    <w:r w:rsidR="0099351E">
                      <w:rPr>
                        <w:noProof/>
                        <w:webHidden/>
                      </w:rPr>
                      <w:fldChar w:fldCharType="begin"/>
                    </w:r>
                    <w:r w:rsidR="0099351E">
                      <w:rPr>
                        <w:noProof/>
                        <w:webHidden/>
                      </w:rPr>
                      <w:instrText xml:space="preserve"> PAGEREF _Toc47708607 \h </w:instrText>
                    </w:r>
                    <w:r w:rsidR="0099351E">
                      <w:rPr>
                        <w:noProof/>
                        <w:webHidden/>
                      </w:rPr>
                    </w:r>
                    <w:r w:rsidR="0099351E">
                      <w:rPr>
                        <w:noProof/>
                        <w:webHidden/>
                      </w:rPr>
                      <w:fldChar w:fldCharType="separate"/>
                    </w:r>
                    <w:r w:rsidR="0099351E">
                      <w:rPr>
                        <w:noProof/>
                        <w:webHidden/>
                      </w:rPr>
                      <w:t>325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8" w:history="1">
                    <w:r w:rsidR="0099351E">
                      <w:rPr>
                        <w:rStyle w:val="Lienhypertexte"/>
                        <w:noProof/>
                      </w:rPr>
                      <w:t>7. Comité de suivi</w:t>
                    </w:r>
                    <w:r w:rsidR="0099351E">
                      <w:rPr>
                        <w:noProof/>
                        <w:webHidden/>
                      </w:rPr>
                      <w:tab/>
                    </w:r>
                    <w:r w:rsidR="0099351E">
                      <w:rPr>
                        <w:noProof/>
                        <w:webHidden/>
                      </w:rPr>
                      <w:fldChar w:fldCharType="begin"/>
                    </w:r>
                    <w:r w:rsidR="0099351E">
                      <w:rPr>
                        <w:noProof/>
                        <w:webHidden/>
                      </w:rPr>
                      <w:instrText xml:space="preserve"> PAGEREF _Toc47708608 \h </w:instrText>
                    </w:r>
                    <w:r w:rsidR="0099351E">
                      <w:rPr>
                        <w:noProof/>
                        <w:webHidden/>
                      </w:rPr>
                    </w:r>
                    <w:r w:rsidR="0099351E">
                      <w:rPr>
                        <w:noProof/>
                        <w:webHidden/>
                      </w:rPr>
                      <w:fldChar w:fldCharType="separate"/>
                    </w:r>
                    <w:r w:rsidR="0099351E">
                      <w:rPr>
                        <w:noProof/>
                        <w:webHidden/>
                      </w:rPr>
                      <w:t>325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09" w:history="1">
                    <w:r w:rsidR="0099351E">
                      <w:rPr>
                        <w:rStyle w:val="Lienhypertexte"/>
                        <w:noProof/>
                      </w:rPr>
                      <w:t>8. Sanction des études</w:t>
                    </w:r>
                    <w:r w:rsidR="0099351E">
                      <w:rPr>
                        <w:noProof/>
                        <w:webHidden/>
                      </w:rPr>
                      <w:tab/>
                    </w:r>
                    <w:r w:rsidR="0099351E">
                      <w:rPr>
                        <w:noProof/>
                        <w:webHidden/>
                      </w:rPr>
                      <w:fldChar w:fldCharType="begin"/>
                    </w:r>
                    <w:r w:rsidR="0099351E">
                      <w:rPr>
                        <w:noProof/>
                        <w:webHidden/>
                      </w:rPr>
                      <w:instrText xml:space="preserve"> PAGEREF _Toc47708609 \h </w:instrText>
                    </w:r>
                    <w:r w:rsidR="0099351E">
                      <w:rPr>
                        <w:noProof/>
                        <w:webHidden/>
                      </w:rPr>
                    </w:r>
                    <w:r w:rsidR="0099351E">
                      <w:rPr>
                        <w:noProof/>
                        <w:webHidden/>
                      </w:rPr>
                      <w:fldChar w:fldCharType="separate"/>
                    </w:r>
                    <w:r w:rsidR="0099351E">
                      <w:rPr>
                        <w:noProof/>
                        <w:webHidden/>
                      </w:rPr>
                      <w:t>325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0" w:history="1">
                    <w:r w:rsidR="0099351E">
                      <w:rPr>
                        <w:rStyle w:val="Lienhypertexte"/>
                        <w:noProof/>
                      </w:rPr>
                      <w:t>9.  Annexes</w:t>
                    </w:r>
                    <w:r w:rsidR="0099351E">
                      <w:rPr>
                        <w:noProof/>
                        <w:webHidden/>
                      </w:rPr>
                      <w:tab/>
                    </w:r>
                    <w:r w:rsidR="0099351E">
                      <w:rPr>
                        <w:noProof/>
                        <w:webHidden/>
                      </w:rPr>
                      <w:fldChar w:fldCharType="begin"/>
                    </w:r>
                    <w:r w:rsidR="0099351E">
                      <w:rPr>
                        <w:noProof/>
                        <w:webHidden/>
                      </w:rPr>
                      <w:instrText xml:space="preserve"> PAGEREF _Toc47708610 \h </w:instrText>
                    </w:r>
                    <w:r w:rsidR="0099351E">
                      <w:rPr>
                        <w:noProof/>
                        <w:webHidden/>
                      </w:rPr>
                    </w:r>
                    <w:r w:rsidR="0099351E">
                      <w:rPr>
                        <w:noProof/>
                        <w:webHidden/>
                      </w:rPr>
                      <w:fldChar w:fldCharType="separate"/>
                    </w:r>
                    <w:r w:rsidR="0099351E">
                      <w:rPr>
                        <w:noProof/>
                        <w:webHidden/>
                      </w:rPr>
                      <w:t>325</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11" w:history="1">
                    <w:r w:rsidR="0099351E">
                      <w:rPr>
                        <w:rStyle w:val="Lienhypertexte"/>
                        <w:noProof/>
                      </w:rPr>
                      <w:t>Chapitre 23 : Les données et les applications métier</w:t>
                    </w:r>
                    <w:r w:rsidR="0099351E">
                      <w:rPr>
                        <w:noProof/>
                        <w:webHidden/>
                      </w:rPr>
                      <w:tab/>
                    </w:r>
                    <w:r w:rsidR="0099351E">
                      <w:rPr>
                        <w:noProof/>
                        <w:webHidden/>
                      </w:rPr>
                      <w:fldChar w:fldCharType="begin"/>
                    </w:r>
                    <w:r w:rsidR="0099351E">
                      <w:rPr>
                        <w:noProof/>
                        <w:webHidden/>
                      </w:rPr>
                      <w:instrText xml:space="preserve"> PAGEREF _Toc47708611 \h </w:instrText>
                    </w:r>
                    <w:r w:rsidR="0099351E">
                      <w:rPr>
                        <w:noProof/>
                        <w:webHidden/>
                      </w:rPr>
                    </w:r>
                    <w:r w:rsidR="0099351E">
                      <w:rPr>
                        <w:noProof/>
                        <w:webHidden/>
                      </w:rPr>
                      <w:fldChar w:fldCharType="separate"/>
                    </w:r>
                    <w:r w:rsidR="0099351E">
                      <w:rPr>
                        <w:noProof/>
                        <w:webHidden/>
                      </w:rPr>
                      <w:t>330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2" w:history="1">
                    <w:r w:rsidR="0099351E">
                      <w:rPr>
                        <w:rStyle w:val="Lienhypertexte"/>
                        <w:noProof/>
                      </w:rPr>
                      <w:t>1. CERBERE</w:t>
                    </w:r>
                    <w:r w:rsidR="0099351E">
                      <w:rPr>
                        <w:noProof/>
                        <w:webHidden/>
                      </w:rPr>
                      <w:tab/>
                    </w:r>
                    <w:r w:rsidR="0099351E">
                      <w:rPr>
                        <w:noProof/>
                        <w:webHidden/>
                      </w:rPr>
                      <w:fldChar w:fldCharType="begin"/>
                    </w:r>
                    <w:r w:rsidR="0099351E">
                      <w:rPr>
                        <w:noProof/>
                        <w:webHidden/>
                      </w:rPr>
                      <w:instrText xml:space="preserve"> PAGEREF _Toc47708612 \h </w:instrText>
                    </w:r>
                    <w:r w:rsidR="0099351E">
                      <w:rPr>
                        <w:noProof/>
                        <w:webHidden/>
                      </w:rPr>
                    </w:r>
                    <w:r w:rsidR="0099351E">
                      <w:rPr>
                        <w:noProof/>
                        <w:webHidden/>
                      </w:rPr>
                      <w:fldChar w:fldCharType="separate"/>
                    </w:r>
                    <w:r w:rsidR="0099351E">
                      <w:rPr>
                        <w:noProof/>
                        <w:webHidden/>
                      </w:rPr>
                      <w:t>330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3" w:history="1">
                    <w:r w:rsidR="0099351E">
                      <w:rPr>
                        <w:rStyle w:val="Lienhypertexte"/>
                        <w:noProof/>
                      </w:rPr>
                      <w:t>2. Application SIEL</w:t>
                    </w:r>
                    <w:r w:rsidR="0099351E">
                      <w:rPr>
                        <w:noProof/>
                        <w:webHidden/>
                      </w:rPr>
                      <w:tab/>
                    </w:r>
                    <w:r w:rsidR="0099351E">
                      <w:rPr>
                        <w:noProof/>
                        <w:webHidden/>
                      </w:rPr>
                      <w:fldChar w:fldCharType="begin"/>
                    </w:r>
                    <w:r w:rsidR="0099351E">
                      <w:rPr>
                        <w:noProof/>
                        <w:webHidden/>
                      </w:rPr>
                      <w:instrText xml:space="preserve"> PAGEREF _Toc47708613 \h </w:instrText>
                    </w:r>
                    <w:r w:rsidR="0099351E">
                      <w:rPr>
                        <w:noProof/>
                        <w:webHidden/>
                      </w:rPr>
                    </w:r>
                    <w:r w:rsidR="0099351E">
                      <w:rPr>
                        <w:noProof/>
                        <w:webHidden/>
                      </w:rPr>
                      <w:fldChar w:fldCharType="separate"/>
                    </w:r>
                    <w:r w:rsidR="0099351E">
                      <w:rPr>
                        <w:noProof/>
                        <w:webHidden/>
                      </w:rPr>
                      <w:t>330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4" w:history="1">
                    <w:r w:rsidR="0099351E">
                      <w:rPr>
                        <w:rStyle w:val="Lienhypertexte"/>
                        <w:noProof/>
                      </w:rPr>
                      <w:t>3. L’entrée en vigueur du RGPD.</w:t>
                    </w:r>
                    <w:r w:rsidR="0099351E">
                      <w:rPr>
                        <w:noProof/>
                        <w:webHidden/>
                      </w:rPr>
                      <w:tab/>
                    </w:r>
                    <w:r w:rsidR="0099351E">
                      <w:rPr>
                        <w:noProof/>
                        <w:webHidden/>
                      </w:rPr>
                      <w:fldChar w:fldCharType="begin"/>
                    </w:r>
                    <w:r w:rsidR="0099351E">
                      <w:rPr>
                        <w:noProof/>
                        <w:webHidden/>
                      </w:rPr>
                      <w:instrText xml:space="preserve"> PAGEREF _Toc47708614 \h </w:instrText>
                    </w:r>
                    <w:r w:rsidR="0099351E">
                      <w:rPr>
                        <w:noProof/>
                        <w:webHidden/>
                      </w:rPr>
                    </w:r>
                    <w:r w:rsidR="0099351E">
                      <w:rPr>
                        <w:noProof/>
                        <w:webHidden/>
                      </w:rPr>
                      <w:fldChar w:fldCharType="separate"/>
                    </w:r>
                    <w:r w:rsidR="0099351E">
                      <w:rPr>
                        <w:noProof/>
                        <w:webHidden/>
                      </w:rPr>
                      <w:t>331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5" w:history="1">
                    <w:r w:rsidR="0099351E">
                      <w:rPr>
                        <w:rStyle w:val="Lienhypertexte"/>
                        <w:noProof/>
                      </w:rPr>
                      <w:t>Sécurité physique</w:t>
                    </w:r>
                    <w:r w:rsidR="0099351E">
                      <w:rPr>
                        <w:noProof/>
                        <w:webHidden/>
                      </w:rPr>
                      <w:tab/>
                    </w:r>
                    <w:r w:rsidR="0099351E">
                      <w:rPr>
                        <w:noProof/>
                        <w:webHidden/>
                      </w:rPr>
                      <w:fldChar w:fldCharType="begin"/>
                    </w:r>
                    <w:r w:rsidR="0099351E">
                      <w:rPr>
                        <w:noProof/>
                        <w:webHidden/>
                      </w:rPr>
                      <w:instrText xml:space="preserve"> PAGEREF _Toc47708615 \h </w:instrText>
                    </w:r>
                    <w:r w:rsidR="0099351E">
                      <w:rPr>
                        <w:noProof/>
                        <w:webHidden/>
                      </w:rPr>
                    </w:r>
                    <w:r w:rsidR="0099351E">
                      <w:rPr>
                        <w:noProof/>
                        <w:webHidden/>
                      </w:rPr>
                      <w:fldChar w:fldCharType="separate"/>
                    </w:r>
                    <w:r w:rsidR="0099351E">
                      <w:rPr>
                        <w:noProof/>
                        <w:webHidden/>
                      </w:rPr>
                      <w:t>337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6" w:history="1">
                    <w:r w:rsidR="0099351E">
                      <w:rPr>
                        <w:rStyle w:val="Lienhypertexte"/>
                        <w:noProof/>
                      </w:rPr>
                      <w:t>Sécurité</w:t>
                    </w:r>
                    <w:r w:rsidR="0099351E">
                      <w:rPr>
                        <w:noProof/>
                        <w:webHidden/>
                      </w:rPr>
                      <w:tab/>
                    </w:r>
                    <w:r w:rsidR="0099351E">
                      <w:rPr>
                        <w:noProof/>
                        <w:webHidden/>
                      </w:rPr>
                      <w:fldChar w:fldCharType="begin"/>
                    </w:r>
                    <w:r w:rsidR="0099351E">
                      <w:rPr>
                        <w:noProof/>
                        <w:webHidden/>
                      </w:rPr>
                      <w:instrText xml:space="preserve"> PAGEREF _Toc47708616 \h </w:instrText>
                    </w:r>
                    <w:r w:rsidR="0099351E">
                      <w:rPr>
                        <w:noProof/>
                        <w:webHidden/>
                      </w:rPr>
                    </w:r>
                    <w:r w:rsidR="0099351E">
                      <w:rPr>
                        <w:noProof/>
                        <w:webHidden/>
                      </w:rPr>
                      <w:fldChar w:fldCharType="separate"/>
                    </w:r>
                    <w:r w:rsidR="0099351E">
                      <w:rPr>
                        <w:noProof/>
                        <w:webHidden/>
                      </w:rPr>
                      <w:t>338</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17" w:history="1">
                    <w:r w:rsidR="0099351E">
                      <w:rPr>
                        <w:rStyle w:val="Lienhypertexte"/>
                        <w:noProof/>
                      </w:rPr>
                      <w:t>Chapitre 24 : Organisation des séjours pédagogiques avec nuitée(s) en Belgique et à l’étranger</w:t>
                    </w:r>
                    <w:r w:rsidR="0099351E">
                      <w:rPr>
                        <w:noProof/>
                        <w:webHidden/>
                      </w:rPr>
                      <w:tab/>
                    </w:r>
                    <w:r w:rsidR="0099351E">
                      <w:rPr>
                        <w:noProof/>
                        <w:webHidden/>
                      </w:rPr>
                      <w:fldChar w:fldCharType="begin"/>
                    </w:r>
                    <w:r w:rsidR="0099351E">
                      <w:rPr>
                        <w:noProof/>
                        <w:webHidden/>
                      </w:rPr>
                      <w:instrText xml:space="preserve"> PAGEREF _Toc47708617 \h </w:instrText>
                    </w:r>
                    <w:r w:rsidR="0099351E">
                      <w:rPr>
                        <w:noProof/>
                        <w:webHidden/>
                      </w:rPr>
                    </w:r>
                    <w:r w:rsidR="0099351E">
                      <w:rPr>
                        <w:noProof/>
                        <w:webHidden/>
                      </w:rPr>
                      <w:fldChar w:fldCharType="separate"/>
                    </w:r>
                    <w:r w:rsidR="0099351E">
                      <w:rPr>
                        <w:noProof/>
                        <w:webHidden/>
                      </w:rPr>
                      <w:t>340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8" w:history="1">
                    <w:r w:rsidR="0099351E">
                      <w:rPr>
                        <w:rStyle w:val="Lienhypertexte"/>
                        <w:noProof/>
                      </w:rPr>
                      <w:t>1. Philosophie</w:t>
                    </w:r>
                    <w:r w:rsidR="0099351E">
                      <w:rPr>
                        <w:noProof/>
                        <w:webHidden/>
                      </w:rPr>
                      <w:tab/>
                    </w:r>
                    <w:r w:rsidR="0099351E">
                      <w:rPr>
                        <w:noProof/>
                        <w:webHidden/>
                      </w:rPr>
                      <w:fldChar w:fldCharType="begin"/>
                    </w:r>
                    <w:r w:rsidR="0099351E">
                      <w:rPr>
                        <w:noProof/>
                        <w:webHidden/>
                      </w:rPr>
                      <w:instrText xml:space="preserve"> PAGEREF _Toc47708618 \h </w:instrText>
                    </w:r>
                    <w:r w:rsidR="0099351E">
                      <w:rPr>
                        <w:noProof/>
                        <w:webHidden/>
                      </w:rPr>
                    </w:r>
                    <w:r w:rsidR="0099351E">
                      <w:rPr>
                        <w:noProof/>
                        <w:webHidden/>
                      </w:rPr>
                      <w:fldChar w:fldCharType="separate"/>
                    </w:r>
                    <w:r w:rsidR="0099351E">
                      <w:rPr>
                        <w:noProof/>
                        <w:webHidden/>
                      </w:rPr>
                      <w:t>341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19" w:history="1">
                    <w:r w:rsidR="0099351E">
                      <w:rPr>
                        <w:rStyle w:val="Lienhypertexte"/>
                        <w:noProof/>
                      </w:rPr>
                      <w:t>2. Modalités pratiques d’organisation des séjours pédagogiques avec nuitée(s)</w:t>
                    </w:r>
                    <w:r w:rsidR="0099351E">
                      <w:rPr>
                        <w:noProof/>
                        <w:webHidden/>
                      </w:rPr>
                      <w:tab/>
                    </w:r>
                    <w:r w:rsidR="0099351E">
                      <w:rPr>
                        <w:noProof/>
                        <w:webHidden/>
                      </w:rPr>
                      <w:fldChar w:fldCharType="begin"/>
                    </w:r>
                    <w:r w:rsidR="0099351E">
                      <w:rPr>
                        <w:noProof/>
                        <w:webHidden/>
                      </w:rPr>
                      <w:instrText xml:space="preserve"> PAGEREF _Toc47708619 \h </w:instrText>
                    </w:r>
                    <w:r w:rsidR="0099351E">
                      <w:rPr>
                        <w:noProof/>
                        <w:webHidden/>
                      </w:rPr>
                    </w:r>
                    <w:r w:rsidR="0099351E">
                      <w:rPr>
                        <w:noProof/>
                        <w:webHidden/>
                      </w:rPr>
                      <w:fldChar w:fldCharType="separate"/>
                    </w:r>
                    <w:r w:rsidR="0099351E">
                      <w:rPr>
                        <w:noProof/>
                        <w:webHidden/>
                      </w:rPr>
                      <w:t>343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0" w:history="1">
                    <w:r w:rsidR="0099351E">
                      <w:rPr>
                        <w:rStyle w:val="Lienhypertexte"/>
                        <w:noProof/>
                      </w:rPr>
                      <w:t>3.  Normes d’organisation</w:t>
                    </w:r>
                    <w:r w:rsidR="0099351E">
                      <w:rPr>
                        <w:noProof/>
                        <w:webHidden/>
                      </w:rPr>
                      <w:tab/>
                    </w:r>
                    <w:r w:rsidR="0099351E">
                      <w:rPr>
                        <w:noProof/>
                        <w:webHidden/>
                      </w:rPr>
                      <w:fldChar w:fldCharType="begin"/>
                    </w:r>
                    <w:r w:rsidR="0099351E">
                      <w:rPr>
                        <w:noProof/>
                        <w:webHidden/>
                      </w:rPr>
                      <w:instrText xml:space="preserve"> PAGEREF _Toc47708620 \h </w:instrText>
                    </w:r>
                    <w:r w:rsidR="0099351E">
                      <w:rPr>
                        <w:noProof/>
                        <w:webHidden/>
                      </w:rPr>
                    </w:r>
                    <w:r w:rsidR="0099351E">
                      <w:rPr>
                        <w:noProof/>
                        <w:webHidden/>
                      </w:rPr>
                      <w:fldChar w:fldCharType="separate"/>
                    </w:r>
                    <w:r w:rsidR="0099351E">
                      <w:rPr>
                        <w:noProof/>
                        <w:webHidden/>
                      </w:rPr>
                      <w:t>344</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1" w:history="1">
                    <w:r w:rsidR="0099351E">
                      <w:rPr>
                        <w:rStyle w:val="Lienhypertexte"/>
                        <w:noProof/>
                      </w:rPr>
                      <w:t>4. Procédure d’introduction des demandes</w:t>
                    </w:r>
                    <w:r w:rsidR="0099351E">
                      <w:rPr>
                        <w:noProof/>
                        <w:webHidden/>
                      </w:rPr>
                      <w:tab/>
                    </w:r>
                    <w:r w:rsidR="0099351E">
                      <w:rPr>
                        <w:noProof/>
                        <w:webHidden/>
                      </w:rPr>
                      <w:fldChar w:fldCharType="begin"/>
                    </w:r>
                    <w:r w:rsidR="0099351E">
                      <w:rPr>
                        <w:noProof/>
                        <w:webHidden/>
                      </w:rPr>
                      <w:instrText xml:space="preserve"> PAGEREF _Toc47708621 \h </w:instrText>
                    </w:r>
                    <w:r w:rsidR="0099351E">
                      <w:rPr>
                        <w:noProof/>
                        <w:webHidden/>
                      </w:rPr>
                    </w:r>
                    <w:r w:rsidR="0099351E">
                      <w:rPr>
                        <w:noProof/>
                        <w:webHidden/>
                      </w:rPr>
                      <w:fldChar w:fldCharType="separate"/>
                    </w:r>
                    <w:r w:rsidR="0099351E">
                      <w:rPr>
                        <w:noProof/>
                        <w:webHidden/>
                      </w:rPr>
                      <w:t>347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2" w:history="1">
                    <w:r w:rsidR="0099351E">
                      <w:rPr>
                        <w:rStyle w:val="Lienhypertexte"/>
                        <w:noProof/>
                      </w:rPr>
                      <w:t>5. Dispositions diverses</w:t>
                    </w:r>
                    <w:r w:rsidR="0099351E">
                      <w:rPr>
                        <w:noProof/>
                        <w:webHidden/>
                      </w:rPr>
                      <w:tab/>
                    </w:r>
                    <w:r w:rsidR="0099351E">
                      <w:rPr>
                        <w:noProof/>
                        <w:webHidden/>
                      </w:rPr>
                      <w:fldChar w:fldCharType="begin"/>
                    </w:r>
                    <w:r w:rsidR="0099351E">
                      <w:rPr>
                        <w:noProof/>
                        <w:webHidden/>
                      </w:rPr>
                      <w:instrText xml:space="preserve"> PAGEREF _Toc47708622 \h </w:instrText>
                    </w:r>
                    <w:r w:rsidR="0099351E">
                      <w:rPr>
                        <w:noProof/>
                        <w:webHidden/>
                      </w:rPr>
                    </w:r>
                    <w:r w:rsidR="0099351E">
                      <w:rPr>
                        <w:noProof/>
                        <w:webHidden/>
                      </w:rPr>
                      <w:fldChar w:fldCharType="separate"/>
                    </w:r>
                    <w:r w:rsidR="0099351E">
                      <w:rPr>
                        <w:noProof/>
                        <w:webHidden/>
                      </w:rPr>
                      <w:t>349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3" w:history="1">
                    <w:r w:rsidR="0099351E">
                      <w:rPr>
                        <w:rStyle w:val="Lienhypertexte"/>
                        <w:noProof/>
                      </w:rPr>
                      <w:t>6. Synthèse</w:t>
                    </w:r>
                    <w:r w:rsidR="0099351E">
                      <w:rPr>
                        <w:noProof/>
                        <w:webHidden/>
                      </w:rPr>
                      <w:tab/>
                    </w:r>
                    <w:r w:rsidR="0099351E">
                      <w:rPr>
                        <w:noProof/>
                        <w:webHidden/>
                      </w:rPr>
                      <w:fldChar w:fldCharType="begin"/>
                    </w:r>
                    <w:r w:rsidR="0099351E">
                      <w:rPr>
                        <w:noProof/>
                        <w:webHidden/>
                      </w:rPr>
                      <w:instrText xml:space="preserve"> PAGEREF _Toc47708623 \h </w:instrText>
                    </w:r>
                    <w:r w:rsidR="0099351E">
                      <w:rPr>
                        <w:noProof/>
                        <w:webHidden/>
                      </w:rPr>
                    </w:r>
                    <w:r w:rsidR="0099351E">
                      <w:rPr>
                        <w:noProof/>
                        <w:webHidden/>
                      </w:rPr>
                      <w:fldChar w:fldCharType="separate"/>
                    </w:r>
                    <w:r w:rsidR="0099351E">
                      <w:rPr>
                        <w:noProof/>
                        <w:webHidden/>
                      </w:rPr>
                      <w:t>351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4" w:history="1">
                    <w:r w:rsidR="0099351E">
                      <w:rPr>
                        <w:rStyle w:val="Lienhypertexte"/>
                        <w:noProof/>
                      </w:rPr>
                      <w:t>7. Annexes</w:t>
                    </w:r>
                    <w:r w:rsidR="0099351E">
                      <w:rPr>
                        <w:noProof/>
                        <w:webHidden/>
                      </w:rPr>
                      <w:tab/>
                    </w:r>
                    <w:r w:rsidR="0099351E">
                      <w:rPr>
                        <w:noProof/>
                        <w:webHidden/>
                      </w:rPr>
                      <w:fldChar w:fldCharType="begin"/>
                    </w:r>
                    <w:r w:rsidR="0099351E">
                      <w:rPr>
                        <w:noProof/>
                        <w:webHidden/>
                      </w:rPr>
                      <w:instrText xml:space="preserve"> PAGEREF _Toc47708624 \h </w:instrText>
                    </w:r>
                    <w:r w:rsidR="0099351E">
                      <w:rPr>
                        <w:noProof/>
                        <w:webHidden/>
                      </w:rPr>
                    </w:r>
                    <w:r w:rsidR="0099351E">
                      <w:rPr>
                        <w:noProof/>
                        <w:webHidden/>
                      </w:rPr>
                      <w:fldChar w:fldCharType="separate"/>
                    </w:r>
                    <w:r w:rsidR="0099351E">
                      <w:rPr>
                        <w:noProof/>
                        <w:webHidden/>
                      </w:rPr>
                      <w:t>351</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25" w:history="1">
                    <w:r w:rsidR="0099351E">
                      <w:rPr>
                        <w:rStyle w:val="Lienhypertexte"/>
                        <w:noProof/>
                      </w:rPr>
                      <w:t>Chapitre 25 : Charges d’activités éducatives et pédagogiques</w:t>
                    </w:r>
                    <w:r w:rsidR="0099351E">
                      <w:rPr>
                        <w:noProof/>
                        <w:webHidden/>
                      </w:rPr>
                      <w:tab/>
                    </w:r>
                    <w:r w:rsidR="0099351E">
                      <w:rPr>
                        <w:noProof/>
                        <w:webHidden/>
                      </w:rPr>
                      <w:fldChar w:fldCharType="begin"/>
                    </w:r>
                    <w:r w:rsidR="0099351E">
                      <w:rPr>
                        <w:noProof/>
                        <w:webHidden/>
                      </w:rPr>
                      <w:instrText xml:space="preserve"> PAGEREF _Toc47708625 \h </w:instrText>
                    </w:r>
                    <w:r w:rsidR="0099351E">
                      <w:rPr>
                        <w:noProof/>
                        <w:webHidden/>
                      </w:rPr>
                    </w:r>
                    <w:r w:rsidR="0099351E">
                      <w:rPr>
                        <w:noProof/>
                        <w:webHidden/>
                      </w:rPr>
                      <w:fldChar w:fldCharType="separate"/>
                    </w:r>
                    <w:r w:rsidR="0099351E">
                      <w:rPr>
                        <w:noProof/>
                        <w:webHidden/>
                      </w:rPr>
                      <w:t>356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6" w:history="1">
                    <w:r w:rsidR="0099351E">
                      <w:rPr>
                        <w:rStyle w:val="Lienhypertexte"/>
                        <w:noProof/>
                      </w:rPr>
                      <w:t>1. Dispositions générales</w:t>
                    </w:r>
                    <w:r w:rsidR="0099351E">
                      <w:rPr>
                        <w:noProof/>
                        <w:webHidden/>
                      </w:rPr>
                      <w:tab/>
                    </w:r>
                    <w:r w:rsidR="0099351E">
                      <w:rPr>
                        <w:noProof/>
                        <w:webHidden/>
                      </w:rPr>
                      <w:fldChar w:fldCharType="begin"/>
                    </w:r>
                    <w:r w:rsidR="0099351E">
                      <w:rPr>
                        <w:noProof/>
                        <w:webHidden/>
                      </w:rPr>
                      <w:instrText xml:space="preserve"> PAGEREF _Toc47708626 \h </w:instrText>
                    </w:r>
                    <w:r w:rsidR="0099351E">
                      <w:rPr>
                        <w:noProof/>
                        <w:webHidden/>
                      </w:rPr>
                    </w:r>
                    <w:r w:rsidR="0099351E">
                      <w:rPr>
                        <w:noProof/>
                        <w:webHidden/>
                      </w:rPr>
                      <w:fldChar w:fldCharType="separate"/>
                    </w:r>
                    <w:r w:rsidR="0099351E">
                      <w:rPr>
                        <w:noProof/>
                        <w:webHidden/>
                      </w:rPr>
                      <w:t>356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7" w:history="1">
                    <w:r w:rsidR="0099351E">
                      <w:rPr>
                        <w:rStyle w:val="Lienhypertexte"/>
                        <w:noProof/>
                      </w:rPr>
                      <w:t>2. Conditions d’attribution du poste</w:t>
                    </w:r>
                    <w:r w:rsidR="0099351E">
                      <w:rPr>
                        <w:noProof/>
                        <w:webHidden/>
                      </w:rPr>
                      <w:tab/>
                    </w:r>
                    <w:r w:rsidR="0099351E">
                      <w:rPr>
                        <w:noProof/>
                        <w:webHidden/>
                      </w:rPr>
                      <w:fldChar w:fldCharType="begin"/>
                    </w:r>
                    <w:r w:rsidR="0099351E">
                      <w:rPr>
                        <w:noProof/>
                        <w:webHidden/>
                      </w:rPr>
                      <w:instrText xml:space="preserve"> PAGEREF _Toc47708627 \h </w:instrText>
                    </w:r>
                    <w:r w:rsidR="0099351E">
                      <w:rPr>
                        <w:noProof/>
                        <w:webHidden/>
                      </w:rPr>
                    </w:r>
                    <w:r w:rsidR="0099351E">
                      <w:rPr>
                        <w:noProof/>
                        <w:webHidden/>
                      </w:rPr>
                      <w:fldChar w:fldCharType="separate"/>
                    </w:r>
                    <w:r w:rsidR="0099351E">
                      <w:rPr>
                        <w:noProof/>
                        <w:webHidden/>
                      </w:rPr>
                      <w:t>356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8" w:history="1">
                    <w:r w:rsidR="0099351E">
                      <w:rPr>
                        <w:rStyle w:val="Lienhypertexte"/>
                        <w:noProof/>
                      </w:rPr>
                      <w:t>3. Description de la fonction et plage-horaire</w:t>
                    </w:r>
                    <w:r w:rsidR="0099351E">
                      <w:rPr>
                        <w:noProof/>
                        <w:webHidden/>
                      </w:rPr>
                      <w:tab/>
                    </w:r>
                    <w:r w:rsidR="0099351E">
                      <w:rPr>
                        <w:noProof/>
                        <w:webHidden/>
                      </w:rPr>
                      <w:fldChar w:fldCharType="begin"/>
                    </w:r>
                    <w:r w:rsidR="0099351E">
                      <w:rPr>
                        <w:noProof/>
                        <w:webHidden/>
                      </w:rPr>
                      <w:instrText xml:space="preserve"> PAGEREF _Toc47708628 \h </w:instrText>
                    </w:r>
                    <w:r w:rsidR="0099351E">
                      <w:rPr>
                        <w:noProof/>
                        <w:webHidden/>
                      </w:rPr>
                    </w:r>
                    <w:r w:rsidR="0099351E">
                      <w:rPr>
                        <w:noProof/>
                        <w:webHidden/>
                      </w:rPr>
                      <w:fldChar w:fldCharType="separate"/>
                    </w:r>
                    <w:r w:rsidR="0099351E">
                      <w:rPr>
                        <w:noProof/>
                        <w:webHidden/>
                      </w:rPr>
                      <w:t>356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29" w:history="1">
                    <w:r w:rsidR="0099351E">
                      <w:rPr>
                        <w:rStyle w:val="Lienhypertexte"/>
                        <w:noProof/>
                      </w:rPr>
                      <w:t>4. Recommandations</w:t>
                    </w:r>
                    <w:r w:rsidR="0099351E">
                      <w:rPr>
                        <w:noProof/>
                        <w:webHidden/>
                      </w:rPr>
                      <w:tab/>
                    </w:r>
                    <w:r w:rsidR="0099351E">
                      <w:rPr>
                        <w:noProof/>
                        <w:webHidden/>
                      </w:rPr>
                      <w:fldChar w:fldCharType="begin"/>
                    </w:r>
                    <w:r w:rsidR="0099351E">
                      <w:rPr>
                        <w:noProof/>
                        <w:webHidden/>
                      </w:rPr>
                      <w:instrText xml:space="preserve"> PAGEREF _Toc47708629 \h </w:instrText>
                    </w:r>
                    <w:r w:rsidR="0099351E">
                      <w:rPr>
                        <w:noProof/>
                        <w:webHidden/>
                      </w:rPr>
                    </w:r>
                    <w:r w:rsidR="0099351E">
                      <w:rPr>
                        <w:noProof/>
                        <w:webHidden/>
                      </w:rPr>
                      <w:fldChar w:fldCharType="separate"/>
                    </w:r>
                    <w:r w:rsidR="0099351E">
                      <w:rPr>
                        <w:noProof/>
                        <w:webHidden/>
                      </w:rPr>
                      <w:t>357</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30" w:history="1">
                    <w:r w:rsidR="0099351E">
                      <w:rPr>
                        <w:rStyle w:val="Lienhypertexte"/>
                        <w:noProof/>
                      </w:rPr>
                      <w:t>Chapitre 26 : Modèles des attestations, des avis, du certificat de qualification et du procès-verbal délivrés dans l’enseignement secondaire spécialisé de forme 3</w:t>
                    </w:r>
                    <w:r w:rsidR="0099351E">
                      <w:rPr>
                        <w:noProof/>
                        <w:webHidden/>
                      </w:rPr>
                      <w:tab/>
                    </w:r>
                    <w:r w:rsidR="0099351E">
                      <w:rPr>
                        <w:noProof/>
                        <w:webHidden/>
                      </w:rPr>
                      <w:fldChar w:fldCharType="begin"/>
                    </w:r>
                    <w:r w:rsidR="0099351E">
                      <w:rPr>
                        <w:noProof/>
                        <w:webHidden/>
                      </w:rPr>
                      <w:instrText xml:space="preserve"> PAGEREF _Toc47708630 \h </w:instrText>
                    </w:r>
                    <w:r w:rsidR="0099351E">
                      <w:rPr>
                        <w:noProof/>
                        <w:webHidden/>
                      </w:rPr>
                    </w:r>
                    <w:r w:rsidR="0099351E">
                      <w:rPr>
                        <w:noProof/>
                        <w:webHidden/>
                      </w:rPr>
                      <w:fldChar w:fldCharType="separate"/>
                    </w:r>
                    <w:r w:rsidR="0099351E">
                      <w:rPr>
                        <w:noProof/>
                        <w:webHidden/>
                      </w:rPr>
                      <w:t>358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1" w:history="1">
                    <w:r w:rsidR="0099351E">
                      <w:rPr>
                        <w:rStyle w:val="Lienhypertexte"/>
                        <w:noProof/>
                        <w:lang w:val="fr-FR"/>
                      </w:rPr>
                      <w:t xml:space="preserve">1. Présentation et rédaction des </w:t>
                    </w:r>
                    <w:r w:rsidR="0099351E">
                      <w:rPr>
                        <w:rStyle w:val="Lienhypertexte"/>
                        <w:noProof/>
                      </w:rPr>
                      <w:t>attestations, des avis, du certificat de qualification et du procès-verbal</w:t>
                    </w:r>
                    <w:r w:rsidR="0099351E">
                      <w:rPr>
                        <w:noProof/>
                        <w:webHidden/>
                      </w:rPr>
                      <w:tab/>
                    </w:r>
                    <w:r w:rsidR="0099351E">
                      <w:rPr>
                        <w:noProof/>
                        <w:webHidden/>
                      </w:rPr>
                      <w:fldChar w:fldCharType="begin"/>
                    </w:r>
                    <w:r w:rsidR="0099351E">
                      <w:rPr>
                        <w:noProof/>
                        <w:webHidden/>
                      </w:rPr>
                      <w:instrText xml:space="preserve"> PAGEREF _Toc47708631 \h </w:instrText>
                    </w:r>
                    <w:r w:rsidR="0099351E">
                      <w:rPr>
                        <w:noProof/>
                        <w:webHidden/>
                      </w:rPr>
                    </w:r>
                    <w:r w:rsidR="0099351E">
                      <w:rPr>
                        <w:noProof/>
                        <w:webHidden/>
                      </w:rPr>
                      <w:fldChar w:fldCharType="separate"/>
                    </w:r>
                    <w:r w:rsidR="0099351E">
                      <w:rPr>
                        <w:noProof/>
                        <w:webHidden/>
                      </w:rPr>
                      <w:t>359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2" w:history="1">
                    <w:r w:rsidR="0099351E">
                      <w:rPr>
                        <w:rStyle w:val="Lienhypertexte"/>
                        <w:rFonts w:ascii="Cambria" w:hAnsi="Cambria" w:cs="Calibri"/>
                        <w:b/>
                        <w:noProof/>
                        <w:lang w:eastAsia="fr-BE"/>
                      </w:rPr>
                      <w:t>2. Foire aux questions</w:t>
                    </w:r>
                    <w:r w:rsidR="0099351E">
                      <w:rPr>
                        <w:noProof/>
                        <w:webHidden/>
                      </w:rPr>
                      <w:tab/>
                    </w:r>
                    <w:r w:rsidR="0099351E">
                      <w:rPr>
                        <w:noProof/>
                        <w:webHidden/>
                      </w:rPr>
                      <w:fldChar w:fldCharType="begin"/>
                    </w:r>
                    <w:r w:rsidR="0099351E">
                      <w:rPr>
                        <w:noProof/>
                        <w:webHidden/>
                      </w:rPr>
                      <w:instrText xml:space="preserve"> PAGEREF _Toc47708632 \h </w:instrText>
                    </w:r>
                    <w:r w:rsidR="0099351E">
                      <w:rPr>
                        <w:noProof/>
                        <w:webHidden/>
                      </w:rPr>
                    </w:r>
                    <w:r w:rsidR="0099351E">
                      <w:rPr>
                        <w:noProof/>
                        <w:webHidden/>
                      </w:rPr>
                      <w:fldChar w:fldCharType="separate"/>
                    </w:r>
                    <w:r w:rsidR="0099351E">
                      <w:rPr>
                        <w:noProof/>
                        <w:webHidden/>
                      </w:rPr>
                      <w:t>361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3" w:history="1">
                    <w:r w:rsidR="0099351E">
                      <w:rPr>
                        <w:rStyle w:val="Lienhypertexte"/>
                        <w:rFonts w:ascii="Cambria" w:hAnsi="Cambria" w:cs="Calibri"/>
                        <w:b/>
                        <w:noProof/>
                        <w:lang w:eastAsia="fr-BE"/>
                      </w:rPr>
                      <w:t>3. Intitulé des secteurs/groupes/métiers</w:t>
                    </w:r>
                    <w:r w:rsidR="0099351E">
                      <w:rPr>
                        <w:noProof/>
                        <w:webHidden/>
                      </w:rPr>
                      <w:tab/>
                    </w:r>
                    <w:r w:rsidR="0099351E">
                      <w:rPr>
                        <w:noProof/>
                        <w:webHidden/>
                      </w:rPr>
                      <w:fldChar w:fldCharType="begin"/>
                    </w:r>
                    <w:r w:rsidR="0099351E">
                      <w:rPr>
                        <w:noProof/>
                        <w:webHidden/>
                      </w:rPr>
                      <w:instrText xml:space="preserve"> PAGEREF _Toc47708633 \h </w:instrText>
                    </w:r>
                    <w:r w:rsidR="0099351E">
                      <w:rPr>
                        <w:noProof/>
                        <w:webHidden/>
                      </w:rPr>
                    </w:r>
                    <w:r w:rsidR="0099351E">
                      <w:rPr>
                        <w:noProof/>
                        <w:webHidden/>
                      </w:rPr>
                      <w:fldChar w:fldCharType="separate"/>
                    </w:r>
                    <w:r w:rsidR="0099351E">
                      <w:rPr>
                        <w:noProof/>
                        <w:webHidden/>
                      </w:rPr>
                      <w:t>365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4" w:history="1">
                    <w:r w:rsidR="0099351E">
                      <w:rPr>
                        <w:rStyle w:val="Lienhypertexte"/>
                        <w:noProof/>
                      </w:rPr>
                      <w:t>4. Annexes</w:t>
                    </w:r>
                    <w:r w:rsidR="0099351E">
                      <w:rPr>
                        <w:noProof/>
                        <w:webHidden/>
                      </w:rPr>
                      <w:tab/>
                    </w:r>
                    <w:r w:rsidR="0099351E">
                      <w:rPr>
                        <w:noProof/>
                        <w:webHidden/>
                      </w:rPr>
                      <w:fldChar w:fldCharType="begin"/>
                    </w:r>
                    <w:r w:rsidR="0099351E">
                      <w:rPr>
                        <w:noProof/>
                        <w:webHidden/>
                      </w:rPr>
                      <w:instrText xml:space="preserve"> PAGEREF _Toc47708634 \h </w:instrText>
                    </w:r>
                    <w:r w:rsidR="0099351E">
                      <w:rPr>
                        <w:noProof/>
                        <w:webHidden/>
                      </w:rPr>
                    </w:r>
                    <w:r w:rsidR="0099351E">
                      <w:rPr>
                        <w:noProof/>
                        <w:webHidden/>
                      </w:rPr>
                      <w:fldChar w:fldCharType="separate"/>
                    </w:r>
                    <w:r w:rsidR="0099351E">
                      <w:rPr>
                        <w:noProof/>
                        <w:webHidden/>
                      </w:rPr>
                      <w:t>365</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35" w:history="1">
                    <w:r w:rsidR="0099351E">
                      <w:rPr>
                        <w:rStyle w:val="Lienhypertexte"/>
                        <w:noProof/>
                      </w:rPr>
                      <w:t>Chapitre 27 : Qualification dans l’enseignement de forme 3</w:t>
                    </w:r>
                    <w:r w:rsidR="0099351E">
                      <w:rPr>
                        <w:noProof/>
                        <w:webHidden/>
                      </w:rPr>
                      <w:tab/>
                    </w:r>
                    <w:r w:rsidR="0099351E">
                      <w:rPr>
                        <w:noProof/>
                        <w:webHidden/>
                      </w:rPr>
                      <w:fldChar w:fldCharType="begin"/>
                    </w:r>
                    <w:r w:rsidR="0099351E">
                      <w:rPr>
                        <w:noProof/>
                        <w:webHidden/>
                      </w:rPr>
                      <w:instrText xml:space="preserve"> PAGEREF _Toc47708635 \h </w:instrText>
                    </w:r>
                    <w:r w:rsidR="0099351E">
                      <w:rPr>
                        <w:noProof/>
                        <w:webHidden/>
                      </w:rPr>
                    </w:r>
                    <w:r w:rsidR="0099351E">
                      <w:rPr>
                        <w:noProof/>
                        <w:webHidden/>
                      </w:rPr>
                      <w:fldChar w:fldCharType="separate"/>
                    </w:r>
                    <w:r w:rsidR="0099351E">
                      <w:rPr>
                        <w:noProof/>
                        <w:webHidden/>
                      </w:rPr>
                      <w:t>397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6" w:history="1">
                    <w:r w:rsidR="0099351E">
                      <w:rPr>
                        <w:rStyle w:val="Lienhypertexte"/>
                        <w:noProof/>
                      </w:rPr>
                      <w:t>1. Les épreuves de qualification</w:t>
                    </w:r>
                    <w:r w:rsidR="0099351E">
                      <w:rPr>
                        <w:noProof/>
                        <w:webHidden/>
                      </w:rPr>
                      <w:tab/>
                    </w:r>
                    <w:r w:rsidR="0099351E">
                      <w:rPr>
                        <w:noProof/>
                        <w:webHidden/>
                      </w:rPr>
                      <w:fldChar w:fldCharType="begin"/>
                    </w:r>
                    <w:r w:rsidR="0099351E">
                      <w:rPr>
                        <w:noProof/>
                        <w:webHidden/>
                      </w:rPr>
                      <w:instrText xml:space="preserve"> PAGEREF _Toc47708636 \h </w:instrText>
                    </w:r>
                    <w:r w:rsidR="0099351E">
                      <w:rPr>
                        <w:noProof/>
                        <w:webHidden/>
                      </w:rPr>
                    </w:r>
                    <w:r w:rsidR="0099351E">
                      <w:rPr>
                        <w:noProof/>
                        <w:webHidden/>
                      </w:rPr>
                      <w:fldChar w:fldCharType="separate"/>
                    </w:r>
                    <w:r w:rsidR="0099351E">
                      <w:rPr>
                        <w:noProof/>
                        <w:webHidden/>
                      </w:rPr>
                      <w:t>397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7" w:history="1">
                    <w:r w:rsidR="0099351E">
                      <w:rPr>
                        <w:rStyle w:val="Lienhypertexte"/>
                        <w:noProof/>
                      </w:rPr>
                      <w:t>2. Le jury de qualification</w:t>
                    </w:r>
                    <w:r w:rsidR="0099351E">
                      <w:rPr>
                        <w:noProof/>
                        <w:webHidden/>
                      </w:rPr>
                      <w:tab/>
                    </w:r>
                    <w:r w:rsidR="0099351E">
                      <w:rPr>
                        <w:noProof/>
                        <w:webHidden/>
                      </w:rPr>
                      <w:fldChar w:fldCharType="begin"/>
                    </w:r>
                    <w:r w:rsidR="0099351E">
                      <w:rPr>
                        <w:noProof/>
                        <w:webHidden/>
                      </w:rPr>
                      <w:instrText xml:space="preserve"> PAGEREF _Toc47708637 \h </w:instrText>
                    </w:r>
                    <w:r w:rsidR="0099351E">
                      <w:rPr>
                        <w:noProof/>
                        <w:webHidden/>
                      </w:rPr>
                    </w:r>
                    <w:r w:rsidR="0099351E">
                      <w:rPr>
                        <w:noProof/>
                        <w:webHidden/>
                      </w:rPr>
                      <w:fldChar w:fldCharType="separate"/>
                    </w:r>
                    <w:r w:rsidR="0099351E">
                      <w:rPr>
                        <w:noProof/>
                        <w:webHidden/>
                      </w:rPr>
                      <w:t>398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8" w:history="1">
                    <w:r w:rsidR="0099351E">
                      <w:rPr>
                        <w:rStyle w:val="Lienhypertexte"/>
                        <w:noProof/>
                      </w:rPr>
                      <w:t>3. La délibération du jury de qualification</w:t>
                    </w:r>
                    <w:r w:rsidR="0099351E">
                      <w:rPr>
                        <w:noProof/>
                        <w:webHidden/>
                      </w:rPr>
                      <w:tab/>
                    </w:r>
                    <w:r w:rsidR="0099351E">
                      <w:rPr>
                        <w:noProof/>
                        <w:webHidden/>
                      </w:rPr>
                      <w:fldChar w:fldCharType="begin"/>
                    </w:r>
                    <w:r w:rsidR="0099351E">
                      <w:rPr>
                        <w:noProof/>
                        <w:webHidden/>
                      </w:rPr>
                      <w:instrText xml:space="preserve"> PAGEREF _Toc47708638 \h </w:instrText>
                    </w:r>
                    <w:r w:rsidR="0099351E">
                      <w:rPr>
                        <w:noProof/>
                        <w:webHidden/>
                      </w:rPr>
                    </w:r>
                    <w:r w:rsidR="0099351E">
                      <w:rPr>
                        <w:noProof/>
                        <w:webHidden/>
                      </w:rPr>
                      <w:fldChar w:fldCharType="separate"/>
                    </w:r>
                    <w:r w:rsidR="0099351E">
                      <w:rPr>
                        <w:noProof/>
                        <w:webHidden/>
                      </w:rPr>
                      <w:t>400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39" w:history="1">
                    <w:r w:rsidR="0099351E">
                      <w:rPr>
                        <w:rStyle w:val="Lienhypertexte"/>
                        <w:noProof/>
                      </w:rPr>
                      <w:t>4. Le certificat de qualification et le certificat d’enseignement secondaire du deuxième degré</w:t>
                    </w:r>
                    <w:r w:rsidR="0099351E">
                      <w:rPr>
                        <w:noProof/>
                        <w:webHidden/>
                      </w:rPr>
                      <w:tab/>
                    </w:r>
                    <w:r w:rsidR="0099351E">
                      <w:rPr>
                        <w:noProof/>
                        <w:webHidden/>
                      </w:rPr>
                      <w:fldChar w:fldCharType="begin"/>
                    </w:r>
                    <w:r w:rsidR="0099351E">
                      <w:rPr>
                        <w:noProof/>
                        <w:webHidden/>
                      </w:rPr>
                      <w:instrText xml:space="preserve"> PAGEREF _Toc47708639 \h </w:instrText>
                    </w:r>
                    <w:r w:rsidR="0099351E">
                      <w:rPr>
                        <w:noProof/>
                        <w:webHidden/>
                      </w:rPr>
                    </w:r>
                    <w:r w:rsidR="0099351E">
                      <w:rPr>
                        <w:noProof/>
                        <w:webHidden/>
                      </w:rPr>
                      <w:fldChar w:fldCharType="separate"/>
                    </w:r>
                    <w:r w:rsidR="0099351E">
                      <w:rPr>
                        <w:noProof/>
                        <w:webHidden/>
                      </w:rPr>
                      <w:t>400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0" w:history="1">
                    <w:r w:rsidR="0099351E">
                      <w:rPr>
                        <w:rStyle w:val="Lienhypertexte"/>
                        <w:noProof/>
                      </w:rPr>
                      <w:t>5. La procédure de « conciliation interne » contre la décision du jury de qualification</w:t>
                    </w:r>
                    <w:r w:rsidR="0099351E">
                      <w:rPr>
                        <w:noProof/>
                        <w:webHidden/>
                      </w:rPr>
                      <w:tab/>
                    </w:r>
                    <w:r w:rsidR="0099351E">
                      <w:rPr>
                        <w:noProof/>
                        <w:webHidden/>
                      </w:rPr>
                      <w:fldChar w:fldCharType="begin"/>
                    </w:r>
                    <w:r w:rsidR="0099351E">
                      <w:rPr>
                        <w:noProof/>
                        <w:webHidden/>
                      </w:rPr>
                      <w:instrText xml:space="preserve"> PAGEREF _Toc47708640 \h </w:instrText>
                    </w:r>
                    <w:r w:rsidR="0099351E">
                      <w:rPr>
                        <w:noProof/>
                        <w:webHidden/>
                      </w:rPr>
                    </w:r>
                    <w:r w:rsidR="0099351E">
                      <w:rPr>
                        <w:noProof/>
                        <w:webHidden/>
                      </w:rPr>
                      <w:fldChar w:fldCharType="separate"/>
                    </w:r>
                    <w:r w:rsidR="0099351E">
                      <w:rPr>
                        <w:noProof/>
                        <w:webHidden/>
                      </w:rPr>
                      <w:t>400</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1" w:history="1">
                    <w:r w:rsidR="0099351E">
                      <w:rPr>
                        <w:rStyle w:val="Lienhypertexte"/>
                        <w:noProof/>
                      </w:rPr>
                      <w:t>6. Enseignement spécialisé et certification par unités (CPU)</w:t>
                    </w:r>
                    <w:r w:rsidR="0099351E">
                      <w:rPr>
                        <w:noProof/>
                        <w:webHidden/>
                      </w:rPr>
                      <w:tab/>
                    </w:r>
                    <w:r w:rsidR="0099351E">
                      <w:rPr>
                        <w:noProof/>
                        <w:webHidden/>
                      </w:rPr>
                      <w:fldChar w:fldCharType="begin"/>
                    </w:r>
                    <w:r w:rsidR="0099351E">
                      <w:rPr>
                        <w:noProof/>
                        <w:webHidden/>
                      </w:rPr>
                      <w:instrText xml:space="preserve"> PAGEREF _Toc47708641 \h </w:instrText>
                    </w:r>
                    <w:r w:rsidR="0099351E">
                      <w:rPr>
                        <w:noProof/>
                        <w:webHidden/>
                      </w:rPr>
                    </w:r>
                    <w:r w:rsidR="0099351E">
                      <w:rPr>
                        <w:noProof/>
                        <w:webHidden/>
                      </w:rPr>
                      <w:fldChar w:fldCharType="separate"/>
                    </w:r>
                    <w:r w:rsidR="0099351E">
                      <w:rPr>
                        <w:noProof/>
                        <w:webHidden/>
                      </w:rPr>
                      <w:t>401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2" w:history="1">
                    <w:r w:rsidR="0099351E">
                      <w:rPr>
                        <w:rStyle w:val="Lienhypertexte"/>
                        <w:noProof/>
                      </w:rPr>
                      <w:t>7. Règlement des études</w:t>
                    </w:r>
                    <w:r w:rsidR="0099351E">
                      <w:rPr>
                        <w:noProof/>
                        <w:webHidden/>
                      </w:rPr>
                      <w:tab/>
                    </w:r>
                    <w:r w:rsidR="0099351E">
                      <w:rPr>
                        <w:noProof/>
                        <w:webHidden/>
                      </w:rPr>
                      <w:fldChar w:fldCharType="begin"/>
                    </w:r>
                    <w:r w:rsidR="0099351E">
                      <w:rPr>
                        <w:noProof/>
                        <w:webHidden/>
                      </w:rPr>
                      <w:instrText xml:space="preserve"> PAGEREF _Toc47708642 \h </w:instrText>
                    </w:r>
                    <w:r w:rsidR="0099351E">
                      <w:rPr>
                        <w:noProof/>
                        <w:webHidden/>
                      </w:rPr>
                    </w:r>
                    <w:r w:rsidR="0099351E">
                      <w:rPr>
                        <w:noProof/>
                        <w:webHidden/>
                      </w:rPr>
                      <w:fldChar w:fldCharType="separate"/>
                    </w:r>
                    <w:r w:rsidR="0099351E">
                      <w:rPr>
                        <w:noProof/>
                        <w:webHidden/>
                      </w:rPr>
                      <w:t>401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3" w:history="1">
                    <w:r w:rsidR="0099351E">
                      <w:rPr>
                        <w:rStyle w:val="Lienhypertexte"/>
                        <w:noProof/>
                      </w:rPr>
                      <w:t>8. Dérogations aux accroches secteurs professionnels-groupes professionnels-métiers</w:t>
                    </w:r>
                    <w:r w:rsidR="0099351E">
                      <w:rPr>
                        <w:noProof/>
                        <w:webHidden/>
                      </w:rPr>
                      <w:tab/>
                    </w:r>
                    <w:r w:rsidR="0099351E">
                      <w:rPr>
                        <w:noProof/>
                        <w:webHidden/>
                      </w:rPr>
                      <w:fldChar w:fldCharType="begin"/>
                    </w:r>
                    <w:r w:rsidR="0099351E">
                      <w:rPr>
                        <w:noProof/>
                        <w:webHidden/>
                      </w:rPr>
                      <w:instrText xml:space="preserve"> PAGEREF _Toc47708643 \h </w:instrText>
                    </w:r>
                    <w:r w:rsidR="0099351E">
                      <w:rPr>
                        <w:noProof/>
                        <w:webHidden/>
                      </w:rPr>
                    </w:r>
                    <w:r w:rsidR="0099351E">
                      <w:rPr>
                        <w:noProof/>
                        <w:webHidden/>
                      </w:rPr>
                      <w:fldChar w:fldCharType="separate"/>
                    </w:r>
                    <w:r w:rsidR="0099351E">
                      <w:rPr>
                        <w:noProof/>
                        <w:webHidden/>
                      </w:rPr>
                      <w:t>401</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44" w:history="1">
                    <w:r w:rsidR="0099351E">
                      <w:rPr>
                        <w:rStyle w:val="Lienhypertexte"/>
                        <w:noProof/>
                      </w:rPr>
                      <w:t>Chapitre 28 : L’enseignement en alternance et la coopération avec les Centres d’Education et de Formation en Alternance</w:t>
                    </w:r>
                    <w:r w:rsidR="0099351E">
                      <w:rPr>
                        <w:noProof/>
                        <w:webHidden/>
                      </w:rPr>
                      <w:tab/>
                    </w:r>
                    <w:r w:rsidR="0099351E">
                      <w:rPr>
                        <w:noProof/>
                        <w:webHidden/>
                      </w:rPr>
                      <w:fldChar w:fldCharType="begin"/>
                    </w:r>
                    <w:r w:rsidR="0099351E">
                      <w:rPr>
                        <w:noProof/>
                        <w:webHidden/>
                      </w:rPr>
                      <w:instrText xml:space="preserve"> PAGEREF _Toc47708644 \h </w:instrText>
                    </w:r>
                    <w:r w:rsidR="0099351E">
                      <w:rPr>
                        <w:noProof/>
                        <w:webHidden/>
                      </w:rPr>
                    </w:r>
                    <w:r w:rsidR="0099351E">
                      <w:rPr>
                        <w:noProof/>
                        <w:webHidden/>
                      </w:rPr>
                      <w:fldChar w:fldCharType="separate"/>
                    </w:r>
                    <w:r w:rsidR="0099351E">
                      <w:rPr>
                        <w:noProof/>
                        <w:webHidden/>
                      </w:rPr>
                      <w:t>402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5" w:history="1">
                    <w:r w:rsidR="0099351E">
                      <w:rPr>
                        <w:rStyle w:val="Lienhypertexte"/>
                        <w:noProof/>
                      </w:rPr>
                      <w:t>1. Conditions pour qu’un élève soit inscrit en alternance dans l’enseignement secondaire spécialisé</w:t>
                    </w:r>
                    <w:r w:rsidR="0099351E">
                      <w:rPr>
                        <w:noProof/>
                        <w:webHidden/>
                      </w:rPr>
                      <w:tab/>
                    </w:r>
                    <w:r w:rsidR="0099351E">
                      <w:rPr>
                        <w:noProof/>
                        <w:webHidden/>
                      </w:rPr>
                      <w:fldChar w:fldCharType="begin"/>
                    </w:r>
                    <w:r w:rsidR="0099351E">
                      <w:rPr>
                        <w:noProof/>
                        <w:webHidden/>
                      </w:rPr>
                      <w:instrText xml:space="preserve"> PAGEREF _Toc47708645 \h </w:instrText>
                    </w:r>
                    <w:r w:rsidR="0099351E">
                      <w:rPr>
                        <w:noProof/>
                        <w:webHidden/>
                      </w:rPr>
                    </w:r>
                    <w:r w:rsidR="0099351E">
                      <w:rPr>
                        <w:noProof/>
                        <w:webHidden/>
                      </w:rPr>
                      <w:fldChar w:fldCharType="separate"/>
                    </w:r>
                    <w:r w:rsidR="0099351E">
                      <w:rPr>
                        <w:noProof/>
                        <w:webHidden/>
                      </w:rPr>
                      <w:t>402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6" w:history="1">
                    <w:r w:rsidR="0099351E">
                      <w:rPr>
                        <w:rStyle w:val="Lienhypertexte"/>
                        <w:noProof/>
                      </w:rPr>
                      <w:t>2. Modalités d’organisation du module de préparation à l’alternance</w:t>
                    </w:r>
                    <w:r w:rsidR="0099351E">
                      <w:rPr>
                        <w:noProof/>
                        <w:webHidden/>
                      </w:rPr>
                      <w:tab/>
                    </w:r>
                    <w:r w:rsidR="0099351E">
                      <w:rPr>
                        <w:noProof/>
                        <w:webHidden/>
                      </w:rPr>
                      <w:fldChar w:fldCharType="begin"/>
                    </w:r>
                    <w:r w:rsidR="0099351E">
                      <w:rPr>
                        <w:noProof/>
                        <w:webHidden/>
                      </w:rPr>
                      <w:instrText xml:space="preserve"> PAGEREF _Toc47708646 \h </w:instrText>
                    </w:r>
                    <w:r w:rsidR="0099351E">
                      <w:rPr>
                        <w:noProof/>
                        <w:webHidden/>
                      </w:rPr>
                    </w:r>
                    <w:r w:rsidR="0099351E">
                      <w:rPr>
                        <w:noProof/>
                        <w:webHidden/>
                      </w:rPr>
                      <w:fldChar w:fldCharType="separate"/>
                    </w:r>
                    <w:r w:rsidR="0099351E">
                      <w:rPr>
                        <w:noProof/>
                        <w:webHidden/>
                      </w:rPr>
                      <w:t>402</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7" w:history="1">
                    <w:r w:rsidR="0099351E">
                      <w:rPr>
                        <w:rStyle w:val="Lienhypertexte"/>
                        <w:noProof/>
                      </w:rPr>
                      <w:t>3. Modalités d’organisation de l’alternance</w:t>
                    </w:r>
                    <w:r w:rsidR="0099351E">
                      <w:rPr>
                        <w:noProof/>
                        <w:webHidden/>
                      </w:rPr>
                      <w:tab/>
                    </w:r>
                    <w:r w:rsidR="0099351E">
                      <w:rPr>
                        <w:noProof/>
                        <w:webHidden/>
                      </w:rPr>
                      <w:fldChar w:fldCharType="begin"/>
                    </w:r>
                    <w:r w:rsidR="0099351E">
                      <w:rPr>
                        <w:noProof/>
                        <w:webHidden/>
                      </w:rPr>
                      <w:instrText xml:space="preserve"> PAGEREF _Toc47708647 \h </w:instrText>
                    </w:r>
                    <w:r w:rsidR="0099351E">
                      <w:rPr>
                        <w:noProof/>
                        <w:webHidden/>
                      </w:rPr>
                    </w:r>
                    <w:r w:rsidR="0099351E">
                      <w:rPr>
                        <w:noProof/>
                        <w:webHidden/>
                      </w:rPr>
                      <w:fldChar w:fldCharType="separate"/>
                    </w:r>
                    <w:r w:rsidR="0099351E">
                      <w:rPr>
                        <w:noProof/>
                        <w:webHidden/>
                      </w:rPr>
                      <w:t>403</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8" w:history="1">
                    <w:r w:rsidR="0099351E">
                      <w:rPr>
                        <w:rStyle w:val="Lienhypertexte"/>
                        <w:noProof/>
                      </w:rPr>
                      <w:t>4. Certificats et attestations</w:t>
                    </w:r>
                    <w:r w:rsidR="0099351E">
                      <w:rPr>
                        <w:noProof/>
                        <w:webHidden/>
                      </w:rPr>
                      <w:tab/>
                    </w:r>
                    <w:r w:rsidR="0099351E">
                      <w:rPr>
                        <w:noProof/>
                        <w:webHidden/>
                      </w:rPr>
                      <w:fldChar w:fldCharType="begin"/>
                    </w:r>
                    <w:r w:rsidR="0099351E">
                      <w:rPr>
                        <w:noProof/>
                        <w:webHidden/>
                      </w:rPr>
                      <w:instrText xml:space="preserve"> PAGEREF _Toc47708648 \h </w:instrText>
                    </w:r>
                    <w:r w:rsidR="0099351E">
                      <w:rPr>
                        <w:noProof/>
                        <w:webHidden/>
                      </w:rPr>
                    </w:r>
                    <w:r w:rsidR="0099351E">
                      <w:rPr>
                        <w:noProof/>
                        <w:webHidden/>
                      </w:rPr>
                      <w:fldChar w:fldCharType="separate"/>
                    </w:r>
                    <w:r w:rsidR="0099351E">
                      <w:rPr>
                        <w:noProof/>
                        <w:webHidden/>
                      </w:rPr>
                      <w:t>405</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49" w:history="1">
                    <w:r w:rsidR="0099351E">
                      <w:rPr>
                        <w:rStyle w:val="Lienhypertexte"/>
                        <w:noProof/>
                      </w:rPr>
                      <w:t>5. Modalités de coopération avec le CEFA</w:t>
                    </w:r>
                    <w:r w:rsidR="0099351E">
                      <w:rPr>
                        <w:noProof/>
                        <w:webHidden/>
                      </w:rPr>
                      <w:tab/>
                    </w:r>
                    <w:r w:rsidR="0099351E">
                      <w:rPr>
                        <w:noProof/>
                        <w:webHidden/>
                      </w:rPr>
                      <w:fldChar w:fldCharType="begin"/>
                    </w:r>
                    <w:r w:rsidR="0099351E">
                      <w:rPr>
                        <w:noProof/>
                        <w:webHidden/>
                      </w:rPr>
                      <w:instrText xml:space="preserve"> PAGEREF _Toc47708649 \h </w:instrText>
                    </w:r>
                    <w:r w:rsidR="0099351E">
                      <w:rPr>
                        <w:noProof/>
                        <w:webHidden/>
                      </w:rPr>
                    </w:r>
                    <w:r w:rsidR="0099351E">
                      <w:rPr>
                        <w:noProof/>
                        <w:webHidden/>
                      </w:rPr>
                      <w:fldChar w:fldCharType="separate"/>
                    </w:r>
                    <w:r w:rsidR="0099351E">
                      <w:rPr>
                        <w:noProof/>
                        <w:webHidden/>
                      </w:rPr>
                      <w:t>406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0" w:history="1">
                    <w:r w:rsidR="0099351E">
                      <w:rPr>
                        <w:rStyle w:val="Lienhypertexte"/>
                        <w:noProof/>
                      </w:rPr>
                      <w:t>6. Recours</w:t>
                    </w:r>
                    <w:r w:rsidR="0099351E">
                      <w:rPr>
                        <w:noProof/>
                        <w:webHidden/>
                      </w:rPr>
                      <w:tab/>
                    </w:r>
                    <w:r w:rsidR="0099351E">
                      <w:rPr>
                        <w:noProof/>
                        <w:webHidden/>
                      </w:rPr>
                      <w:fldChar w:fldCharType="begin"/>
                    </w:r>
                    <w:r w:rsidR="0099351E">
                      <w:rPr>
                        <w:noProof/>
                        <w:webHidden/>
                      </w:rPr>
                      <w:instrText xml:space="preserve"> PAGEREF _Toc47708650 \h </w:instrText>
                    </w:r>
                    <w:r w:rsidR="0099351E">
                      <w:rPr>
                        <w:noProof/>
                        <w:webHidden/>
                      </w:rPr>
                    </w:r>
                    <w:r w:rsidR="0099351E">
                      <w:rPr>
                        <w:noProof/>
                        <w:webHidden/>
                      </w:rPr>
                      <w:fldChar w:fldCharType="separate"/>
                    </w:r>
                    <w:r w:rsidR="0099351E">
                      <w:rPr>
                        <w:noProof/>
                        <w:webHidden/>
                      </w:rPr>
                      <w:t>406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1" w:history="1">
                    <w:r w:rsidR="0099351E">
                      <w:rPr>
                        <w:rStyle w:val="Lienhypertexte"/>
                        <w:noProof/>
                      </w:rPr>
                      <w:t>7. Comptabilisation de l’élève</w:t>
                    </w:r>
                    <w:r w:rsidR="0099351E">
                      <w:rPr>
                        <w:noProof/>
                        <w:webHidden/>
                      </w:rPr>
                      <w:tab/>
                    </w:r>
                    <w:r w:rsidR="0099351E">
                      <w:rPr>
                        <w:noProof/>
                        <w:webHidden/>
                      </w:rPr>
                      <w:fldChar w:fldCharType="begin"/>
                    </w:r>
                    <w:r w:rsidR="0099351E">
                      <w:rPr>
                        <w:noProof/>
                        <w:webHidden/>
                      </w:rPr>
                      <w:instrText xml:space="preserve"> PAGEREF _Toc47708651 \h </w:instrText>
                    </w:r>
                    <w:r w:rsidR="0099351E">
                      <w:rPr>
                        <w:noProof/>
                        <w:webHidden/>
                      </w:rPr>
                    </w:r>
                    <w:r w:rsidR="0099351E">
                      <w:rPr>
                        <w:noProof/>
                        <w:webHidden/>
                      </w:rPr>
                      <w:fldChar w:fldCharType="separate"/>
                    </w:r>
                    <w:r w:rsidR="0099351E">
                      <w:rPr>
                        <w:noProof/>
                        <w:webHidden/>
                      </w:rPr>
                      <w:t>406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2" w:history="1">
                    <w:r w:rsidR="0099351E">
                      <w:rPr>
                        <w:rStyle w:val="Lienhypertexte"/>
                        <w:noProof/>
                      </w:rPr>
                      <w:t>8. Modalités particulières d’organisation</w:t>
                    </w:r>
                    <w:r w:rsidR="0099351E">
                      <w:rPr>
                        <w:noProof/>
                        <w:webHidden/>
                      </w:rPr>
                      <w:tab/>
                    </w:r>
                    <w:r w:rsidR="0099351E">
                      <w:rPr>
                        <w:noProof/>
                        <w:webHidden/>
                      </w:rPr>
                      <w:fldChar w:fldCharType="begin"/>
                    </w:r>
                    <w:r w:rsidR="0099351E">
                      <w:rPr>
                        <w:noProof/>
                        <w:webHidden/>
                      </w:rPr>
                      <w:instrText xml:space="preserve"> PAGEREF _Toc47708652 \h </w:instrText>
                    </w:r>
                    <w:r w:rsidR="0099351E">
                      <w:rPr>
                        <w:noProof/>
                        <w:webHidden/>
                      </w:rPr>
                    </w:r>
                    <w:r w:rsidR="0099351E">
                      <w:rPr>
                        <w:noProof/>
                        <w:webHidden/>
                      </w:rPr>
                      <w:fldChar w:fldCharType="separate"/>
                    </w:r>
                    <w:r w:rsidR="0099351E">
                      <w:rPr>
                        <w:noProof/>
                        <w:webHidden/>
                      </w:rPr>
                      <w:t>407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3" w:history="1">
                    <w:r w:rsidR="0099351E">
                      <w:rPr>
                        <w:rStyle w:val="Lienhypertexte"/>
                        <w:noProof/>
                      </w:rPr>
                      <w:t>9. Annexes</w:t>
                    </w:r>
                    <w:r w:rsidR="0099351E">
                      <w:rPr>
                        <w:noProof/>
                        <w:webHidden/>
                      </w:rPr>
                      <w:tab/>
                    </w:r>
                    <w:r w:rsidR="0099351E">
                      <w:rPr>
                        <w:noProof/>
                        <w:webHidden/>
                      </w:rPr>
                      <w:fldChar w:fldCharType="begin"/>
                    </w:r>
                    <w:r w:rsidR="0099351E">
                      <w:rPr>
                        <w:noProof/>
                        <w:webHidden/>
                      </w:rPr>
                      <w:instrText xml:space="preserve"> PAGEREF _Toc47708653 \h </w:instrText>
                    </w:r>
                    <w:r w:rsidR="0099351E">
                      <w:rPr>
                        <w:noProof/>
                        <w:webHidden/>
                      </w:rPr>
                    </w:r>
                    <w:r w:rsidR="0099351E">
                      <w:rPr>
                        <w:noProof/>
                        <w:webHidden/>
                      </w:rPr>
                      <w:fldChar w:fldCharType="separate"/>
                    </w:r>
                    <w:r w:rsidR="0099351E">
                      <w:rPr>
                        <w:noProof/>
                        <w:webHidden/>
                      </w:rPr>
                      <w:t>409</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54" w:history="1">
                    <w:r w:rsidR="0099351E">
                      <w:rPr>
                        <w:rStyle w:val="Lienhypertexte"/>
                        <w:noProof/>
                      </w:rPr>
                      <w:t>Chapitre 29 : Stages dans l’enseignement secondaire spécialisé des formes 1, 2, 3 et 4</w:t>
                    </w:r>
                    <w:r w:rsidR="0099351E">
                      <w:rPr>
                        <w:noProof/>
                        <w:webHidden/>
                      </w:rPr>
                      <w:tab/>
                    </w:r>
                    <w:r w:rsidR="0099351E">
                      <w:rPr>
                        <w:noProof/>
                        <w:webHidden/>
                      </w:rPr>
                      <w:fldChar w:fldCharType="begin"/>
                    </w:r>
                    <w:r w:rsidR="0099351E">
                      <w:rPr>
                        <w:noProof/>
                        <w:webHidden/>
                      </w:rPr>
                      <w:instrText xml:space="preserve"> PAGEREF _Toc47708654 \h </w:instrText>
                    </w:r>
                    <w:r w:rsidR="0099351E">
                      <w:rPr>
                        <w:noProof/>
                        <w:webHidden/>
                      </w:rPr>
                    </w:r>
                    <w:r w:rsidR="0099351E">
                      <w:rPr>
                        <w:noProof/>
                        <w:webHidden/>
                      </w:rPr>
                      <w:fldChar w:fldCharType="separate"/>
                    </w:r>
                    <w:r w:rsidR="0099351E">
                      <w:rPr>
                        <w:noProof/>
                        <w:webHidden/>
                      </w:rPr>
                      <w:t>451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5" w:history="1">
                    <w:r w:rsidR="0099351E">
                      <w:rPr>
                        <w:rStyle w:val="Lienhypertexte"/>
                        <w:noProof/>
                      </w:rPr>
                      <w:t>1. Forme 3</w:t>
                    </w:r>
                    <w:r w:rsidR="0099351E">
                      <w:rPr>
                        <w:noProof/>
                        <w:webHidden/>
                      </w:rPr>
                      <w:tab/>
                    </w:r>
                    <w:r w:rsidR="0099351E">
                      <w:rPr>
                        <w:noProof/>
                        <w:webHidden/>
                      </w:rPr>
                      <w:fldChar w:fldCharType="begin"/>
                    </w:r>
                    <w:r w:rsidR="0099351E">
                      <w:rPr>
                        <w:noProof/>
                        <w:webHidden/>
                      </w:rPr>
                      <w:instrText xml:space="preserve"> PAGEREF _Toc47708655 \h </w:instrText>
                    </w:r>
                    <w:r w:rsidR="0099351E">
                      <w:rPr>
                        <w:noProof/>
                        <w:webHidden/>
                      </w:rPr>
                    </w:r>
                    <w:r w:rsidR="0099351E">
                      <w:rPr>
                        <w:noProof/>
                        <w:webHidden/>
                      </w:rPr>
                      <w:fldChar w:fldCharType="separate"/>
                    </w:r>
                    <w:r w:rsidR="0099351E">
                      <w:rPr>
                        <w:noProof/>
                        <w:webHidden/>
                      </w:rPr>
                      <w:t>451</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6" w:history="1">
                    <w:r w:rsidR="0099351E">
                      <w:rPr>
                        <w:rStyle w:val="Lienhypertexte"/>
                        <w:noProof/>
                      </w:rPr>
                      <w:t>2. Forme 2</w:t>
                    </w:r>
                    <w:r w:rsidR="0099351E">
                      <w:rPr>
                        <w:noProof/>
                        <w:webHidden/>
                      </w:rPr>
                      <w:tab/>
                    </w:r>
                    <w:r w:rsidR="0099351E">
                      <w:rPr>
                        <w:noProof/>
                        <w:webHidden/>
                      </w:rPr>
                      <w:fldChar w:fldCharType="begin"/>
                    </w:r>
                    <w:r w:rsidR="0099351E">
                      <w:rPr>
                        <w:noProof/>
                        <w:webHidden/>
                      </w:rPr>
                      <w:instrText xml:space="preserve"> PAGEREF _Toc47708656 \h </w:instrText>
                    </w:r>
                    <w:r w:rsidR="0099351E">
                      <w:rPr>
                        <w:noProof/>
                        <w:webHidden/>
                      </w:rPr>
                    </w:r>
                    <w:r w:rsidR="0099351E">
                      <w:rPr>
                        <w:noProof/>
                        <w:webHidden/>
                      </w:rPr>
                      <w:fldChar w:fldCharType="separate"/>
                    </w:r>
                    <w:r w:rsidR="0099351E">
                      <w:rPr>
                        <w:noProof/>
                        <w:webHidden/>
                      </w:rPr>
                      <w:t>458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7" w:history="1">
                    <w:r w:rsidR="0099351E">
                      <w:rPr>
                        <w:rStyle w:val="Lienhypertexte"/>
                        <w:noProof/>
                      </w:rPr>
                      <w:t>3. Forme 1</w:t>
                    </w:r>
                    <w:r w:rsidR="0099351E">
                      <w:rPr>
                        <w:noProof/>
                        <w:webHidden/>
                      </w:rPr>
                      <w:tab/>
                    </w:r>
                    <w:r w:rsidR="0099351E">
                      <w:rPr>
                        <w:noProof/>
                        <w:webHidden/>
                      </w:rPr>
                      <w:fldChar w:fldCharType="begin"/>
                    </w:r>
                    <w:r w:rsidR="0099351E">
                      <w:rPr>
                        <w:noProof/>
                        <w:webHidden/>
                      </w:rPr>
                      <w:instrText xml:space="preserve"> PAGEREF _Toc47708657 \h </w:instrText>
                    </w:r>
                    <w:r w:rsidR="0099351E">
                      <w:rPr>
                        <w:noProof/>
                        <w:webHidden/>
                      </w:rPr>
                    </w:r>
                    <w:r w:rsidR="0099351E">
                      <w:rPr>
                        <w:noProof/>
                        <w:webHidden/>
                      </w:rPr>
                      <w:fldChar w:fldCharType="separate"/>
                    </w:r>
                    <w:r w:rsidR="0099351E">
                      <w:rPr>
                        <w:noProof/>
                        <w:webHidden/>
                      </w:rPr>
                      <w:t>459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58" w:history="1">
                    <w:r w:rsidR="0099351E">
                      <w:rPr>
                        <w:rStyle w:val="Lienhypertexte"/>
                        <w:noProof/>
                      </w:rPr>
                      <w:t>4. Annexes</w:t>
                    </w:r>
                    <w:r w:rsidR="0099351E">
                      <w:rPr>
                        <w:noProof/>
                        <w:webHidden/>
                      </w:rPr>
                      <w:tab/>
                    </w:r>
                    <w:r w:rsidR="0099351E">
                      <w:rPr>
                        <w:noProof/>
                        <w:webHidden/>
                      </w:rPr>
                      <w:fldChar w:fldCharType="begin"/>
                    </w:r>
                    <w:r w:rsidR="0099351E">
                      <w:rPr>
                        <w:noProof/>
                        <w:webHidden/>
                      </w:rPr>
                      <w:instrText xml:space="preserve"> PAGEREF _Toc47708658 \h </w:instrText>
                    </w:r>
                    <w:r w:rsidR="0099351E">
                      <w:rPr>
                        <w:noProof/>
                        <w:webHidden/>
                      </w:rPr>
                    </w:r>
                    <w:r w:rsidR="0099351E">
                      <w:rPr>
                        <w:noProof/>
                        <w:webHidden/>
                      </w:rPr>
                      <w:fldChar w:fldCharType="separate"/>
                    </w:r>
                    <w:r w:rsidR="0099351E">
                      <w:rPr>
                        <w:noProof/>
                        <w:webHidden/>
                      </w:rPr>
                      <w:t>460</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59" w:history="1">
                    <w:r w:rsidR="0099351E">
                      <w:rPr>
                        <w:rStyle w:val="Lienhypertexte"/>
                        <w:noProof/>
                      </w:rPr>
                      <w:t>Chapitre 30 : Approbation des grilles-horaires</w:t>
                    </w:r>
                    <w:r w:rsidR="0099351E">
                      <w:rPr>
                        <w:noProof/>
                        <w:webHidden/>
                      </w:rPr>
                      <w:tab/>
                    </w:r>
                    <w:r w:rsidR="0099351E">
                      <w:rPr>
                        <w:noProof/>
                        <w:webHidden/>
                      </w:rPr>
                      <w:fldChar w:fldCharType="begin"/>
                    </w:r>
                    <w:r w:rsidR="0099351E">
                      <w:rPr>
                        <w:noProof/>
                        <w:webHidden/>
                      </w:rPr>
                      <w:instrText xml:space="preserve"> PAGEREF _Toc47708659 \h </w:instrText>
                    </w:r>
                    <w:r w:rsidR="0099351E">
                      <w:rPr>
                        <w:noProof/>
                        <w:webHidden/>
                      </w:rPr>
                    </w:r>
                    <w:r w:rsidR="0099351E">
                      <w:rPr>
                        <w:noProof/>
                        <w:webHidden/>
                      </w:rPr>
                      <w:fldChar w:fldCharType="separate"/>
                    </w:r>
                    <w:r w:rsidR="0099351E">
                      <w:rPr>
                        <w:noProof/>
                        <w:webHidden/>
                      </w:rPr>
                      <w:t>485</w:t>
                    </w:r>
                    <w:r w:rsidR="0099351E">
                      <w:rPr>
                        <w:noProof/>
                        <w:webHidden/>
                      </w:rPr>
                      <w:fldChar w:fldCharType="end"/>
                    </w:r>
                  </w:hyperlink>
                </w:p>
                <w:p w:rsidR="00F04EEF" w:rsidRDefault="00F42422">
                  <w:pPr>
                    <w:pStyle w:val="TM1"/>
                    <w:tabs>
                      <w:tab w:val="right" w:leader="dot" w:pos="9344"/>
                    </w:tabs>
                    <w:rPr>
                      <w:rFonts w:eastAsiaTheme="minorEastAsia" w:cstheme="minorBidi"/>
                      <w:b w:val="0"/>
                      <w:bCs w:val="0"/>
                      <w:smallCaps w:val="0"/>
                      <w:noProof/>
                      <w:sz w:val="22"/>
                      <w:szCs w:val="22"/>
                      <w:lang w:eastAsia="fr-BE"/>
                    </w:rPr>
                  </w:pPr>
                  <w:hyperlink w:anchor="_Toc47708660" w:history="1">
                    <w:r w:rsidR="0099351E">
                      <w:rPr>
                        <w:rStyle w:val="Lienhypertexte"/>
                        <w:noProof/>
                      </w:rPr>
                      <w:t>INDEX</w:t>
                    </w:r>
                    <w:r w:rsidR="0099351E">
                      <w:rPr>
                        <w:noProof/>
                        <w:webHidden/>
                      </w:rPr>
                      <w:tab/>
                    </w:r>
                    <w:r w:rsidR="0099351E">
                      <w:rPr>
                        <w:noProof/>
                        <w:webHidden/>
                      </w:rPr>
                      <w:fldChar w:fldCharType="begin"/>
                    </w:r>
                    <w:r w:rsidR="0099351E">
                      <w:rPr>
                        <w:noProof/>
                        <w:webHidden/>
                      </w:rPr>
                      <w:instrText xml:space="preserve"> PAGEREF _Toc47708660 \h </w:instrText>
                    </w:r>
                    <w:r w:rsidR="0099351E">
                      <w:rPr>
                        <w:noProof/>
                        <w:webHidden/>
                      </w:rPr>
                    </w:r>
                    <w:r w:rsidR="0099351E">
                      <w:rPr>
                        <w:noProof/>
                        <w:webHidden/>
                      </w:rPr>
                      <w:fldChar w:fldCharType="separate"/>
                    </w:r>
                    <w:r w:rsidR="0099351E">
                      <w:rPr>
                        <w:noProof/>
                        <w:webHidden/>
                      </w:rPr>
                      <w:t>486</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61" w:history="1">
                    <w:r w:rsidR="0099351E">
                      <w:rPr>
                        <w:rStyle w:val="Lienhypertexte"/>
                        <w:noProof/>
                      </w:rPr>
                      <w:t>INDEX I : Les personnes-ressources de la Direction générale de l’Enseignement obligatoire pour les établissements d’Enseignement spécialisé</w:t>
                    </w:r>
                    <w:r w:rsidR="0099351E">
                      <w:rPr>
                        <w:noProof/>
                        <w:webHidden/>
                      </w:rPr>
                      <w:tab/>
                    </w:r>
                    <w:r w:rsidR="0099351E">
                      <w:rPr>
                        <w:noProof/>
                        <w:webHidden/>
                      </w:rPr>
                      <w:fldChar w:fldCharType="begin"/>
                    </w:r>
                    <w:r w:rsidR="0099351E">
                      <w:rPr>
                        <w:noProof/>
                        <w:webHidden/>
                      </w:rPr>
                      <w:instrText xml:space="preserve"> PAGEREF _Toc47708661 \h </w:instrText>
                    </w:r>
                    <w:r w:rsidR="0099351E">
                      <w:rPr>
                        <w:noProof/>
                        <w:webHidden/>
                      </w:rPr>
                    </w:r>
                    <w:r w:rsidR="0099351E">
                      <w:rPr>
                        <w:noProof/>
                        <w:webHidden/>
                      </w:rPr>
                      <w:fldChar w:fldCharType="separate"/>
                    </w:r>
                    <w:r w:rsidR="0099351E">
                      <w:rPr>
                        <w:noProof/>
                        <w:webHidden/>
                      </w:rPr>
                      <w:t>486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2" w:history="1">
                    <w:r w:rsidR="0099351E">
                      <w:rPr>
                        <w:rStyle w:val="Lienhypertexte"/>
                        <w:noProof/>
                      </w:rPr>
                      <w:t>1. Direction générale de l’enseignement obligatoire</w:t>
                    </w:r>
                    <w:r w:rsidR="0099351E">
                      <w:rPr>
                        <w:noProof/>
                        <w:webHidden/>
                      </w:rPr>
                      <w:tab/>
                    </w:r>
                    <w:r w:rsidR="0099351E">
                      <w:rPr>
                        <w:noProof/>
                        <w:webHidden/>
                      </w:rPr>
                      <w:fldChar w:fldCharType="begin"/>
                    </w:r>
                    <w:r w:rsidR="0099351E">
                      <w:rPr>
                        <w:noProof/>
                        <w:webHidden/>
                      </w:rPr>
                      <w:instrText xml:space="preserve"> PAGEREF _Toc47708662 \h </w:instrText>
                    </w:r>
                    <w:r w:rsidR="0099351E">
                      <w:rPr>
                        <w:noProof/>
                        <w:webHidden/>
                      </w:rPr>
                    </w:r>
                    <w:r w:rsidR="0099351E">
                      <w:rPr>
                        <w:noProof/>
                        <w:webHidden/>
                      </w:rPr>
                      <w:fldChar w:fldCharType="separate"/>
                    </w:r>
                    <w:r w:rsidR="0099351E">
                      <w:rPr>
                        <w:noProof/>
                        <w:webHidden/>
                      </w:rPr>
                      <w:t>486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3" w:history="1">
                    <w:r w:rsidR="0099351E">
                      <w:rPr>
                        <w:rStyle w:val="Lienhypertexte"/>
                        <w:noProof/>
                      </w:rPr>
                      <w:t>2. Service général de l’enseignement fondamental ordinaire et de l’enseignement spécialisé</w:t>
                    </w:r>
                    <w:r w:rsidR="0099351E">
                      <w:rPr>
                        <w:noProof/>
                        <w:webHidden/>
                      </w:rPr>
                      <w:tab/>
                    </w:r>
                    <w:r w:rsidR="0099351E">
                      <w:rPr>
                        <w:noProof/>
                        <w:webHidden/>
                      </w:rPr>
                      <w:fldChar w:fldCharType="begin"/>
                    </w:r>
                    <w:r w:rsidR="0099351E">
                      <w:rPr>
                        <w:noProof/>
                        <w:webHidden/>
                      </w:rPr>
                      <w:instrText xml:space="preserve"> PAGEREF _Toc47708663 \h </w:instrText>
                    </w:r>
                    <w:r w:rsidR="0099351E">
                      <w:rPr>
                        <w:noProof/>
                        <w:webHidden/>
                      </w:rPr>
                    </w:r>
                    <w:r w:rsidR="0099351E">
                      <w:rPr>
                        <w:noProof/>
                        <w:webHidden/>
                      </w:rPr>
                      <w:fldChar w:fldCharType="separate"/>
                    </w:r>
                    <w:r w:rsidR="0099351E">
                      <w:rPr>
                        <w:noProof/>
                        <w:webHidden/>
                      </w:rPr>
                      <w:t>486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4" w:history="1">
                    <w:r w:rsidR="0099351E">
                      <w:rPr>
                        <w:rStyle w:val="Lienhypertexte"/>
                        <w:noProof/>
                      </w:rPr>
                      <w:t>3. Direction des Affaires générales et de l’Enseignement spécialisé</w:t>
                    </w:r>
                    <w:r w:rsidR="0099351E">
                      <w:rPr>
                        <w:noProof/>
                        <w:webHidden/>
                      </w:rPr>
                      <w:tab/>
                    </w:r>
                    <w:r w:rsidR="0099351E">
                      <w:rPr>
                        <w:noProof/>
                        <w:webHidden/>
                      </w:rPr>
                      <w:fldChar w:fldCharType="begin"/>
                    </w:r>
                    <w:r w:rsidR="0099351E">
                      <w:rPr>
                        <w:noProof/>
                        <w:webHidden/>
                      </w:rPr>
                      <w:instrText xml:space="preserve"> PAGEREF _Toc47708664 \h </w:instrText>
                    </w:r>
                    <w:r w:rsidR="0099351E">
                      <w:rPr>
                        <w:noProof/>
                        <w:webHidden/>
                      </w:rPr>
                    </w:r>
                    <w:r w:rsidR="0099351E">
                      <w:rPr>
                        <w:noProof/>
                        <w:webHidden/>
                      </w:rPr>
                      <w:fldChar w:fldCharType="separate"/>
                    </w:r>
                    <w:r w:rsidR="0099351E">
                      <w:rPr>
                        <w:noProof/>
                        <w:webHidden/>
                      </w:rPr>
                      <w:t>486</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5" w:history="1">
                    <w:r w:rsidR="0099351E">
                      <w:rPr>
                        <w:rStyle w:val="Lienhypertexte"/>
                        <w:noProof/>
                      </w:rPr>
                      <w:t>4. Matières traitées par les agent(e)s de la Direction des Affaires générales et de l’Enseignement spécialisé</w:t>
                    </w:r>
                    <w:r w:rsidR="0099351E">
                      <w:rPr>
                        <w:noProof/>
                        <w:webHidden/>
                      </w:rPr>
                      <w:tab/>
                    </w:r>
                    <w:r w:rsidR="0099351E">
                      <w:rPr>
                        <w:noProof/>
                        <w:webHidden/>
                      </w:rPr>
                      <w:fldChar w:fldCharType="begin"/>
                    </w:r>
                    <w:r w:rsidR="0099351E">
                      <w:rPr>
                        <w:noProof/>
                        <w:webHidden/>
                      </w:rPr>
                      <w:instrText xml:space="preserve"> PAGEREF _Toc47708665 \h </w:instrText>
                    </w:r>
                    <w:r w:rsidR="0099351E">
                      <w:rPr>
                        <w:noProof/>
                        <w:webHidden/>
                      </w:rPr>
                    </w:r>
                    <w:r w:rsidR="0099351E">
                      <w:rPr>
                        <w:noProof/>
                        <w:webHidden/>
                      </w:rPr>
                      <w:fldChar w:fldCharType="separate"/>
                    </w:r>
                    <w:r w:rsidR="0099351E">
                      <w:rPr>
                        <w:noProof/>
                        <w:webHidden/>
                      </w:rPr>
                      <w:t>487</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6" w:history="1">
                    <w:r w:rsidR="0099351E">
                      <w:rPr>
                        <w:rStyle w:val="Lienhypertexte"/>
                        <w:noProof/>
                      </w:rPr>
                      <w:t>5. Budget</w:t>
                    </w:r>
                    <w:r w:rsidR="0099351E">
                      <w:rPr>
                        <w:noProof/>
                        <w:webHidden/>
                      </w:rPr>
                      <w:tab/>
                    </w:r>
                    <w:r w:rsidR="0099351E">
                      <w:rPr>
                        <w:noProof/>
                        <w:webHidden/>
                      </w:rPr>
                      <w:fldChar w:fldCharType="begin"/>
                    </w:r>
                    <w:r w:rsidR="0099351E">
                      <w:rPr>
                        <w:noProof/>
                        <w:webHidden/>
                      </w:rPr>
                      <w:instrText xml:space="preserve"> PAGEREF _Toc47708666 \h </w:instrText>
                    </w:r>
                    <w:r w:rsidR="0099351E">
                      <w:rPr>
                        <w:noProof/>
                        <w:webHidden/>
                      </w:rPr>
                    </w:r>
                    <w:r w:rsidR="0099351E">
                      <w:rPr>
                        <w:noProof/>
                        <w:webHidden/>
                      </w:rPr>
                      <w:fldChar w:fldCharType="separate"/>
                    </w:r>
                    <w:r w:rsidR="0099351E">
                      <w:rPr>
                        <w:noProof/>
                        <w:webHidden/>
                      </w:rPr>
                      <w:t>488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7" w:history="1">
                    <w:r w:rsidR="0099351E">
                      <w:rPr>
                        <w:rStyle w:val="Lienhypertexte"/>
                        <w:noProof/>
                      </w:rPr>
                      <w:t>6. Demandes de dérogation</w:t>
                    </w:r>
                    <w:r w:rsidR="0099351E">
                      <w:rPr>
                        <w:noProof/>
                        <w:webHidden/>
                      </w:rPr>
                      <w:tab/>
                    </w:r>
                    <w:r w:rsidR="0099351E">
                      <w:rPr>
                        <w:noProof/>
                        <w:webHidden/>
                      </w:rPr>
                      <w:fldChar w:fldCharType="begin"/>
                    </w:r>
                    <w:r w:rsidR="0099351E">
                      <w:rPr>
                        <w:noProof/>
                        <w:webHidden/>
                      </w:rPr>
                      <w:instrText xml:space="preserve"> PAGEREF _Toc47708667 \h </w:instrText>
                    </w:r>
                    <w:r w:rsidR="0099351E">
                      <w:rPr>
                        <w:noProof/>
                        <w:webHidden/>
                      </w:rPr>
                    </w:r>
                    <w:r w:rsidR="0099351E">
                      <w:rPr>
                        <w:noProof/>
                        <w:webHidden/>
                      </w:rPr>
                      <w:fldChar w:fldCharType="separate"/>
                    </w:r>
                    <w:r w:rsidR="0099351E">
                      <w:rPr>
                        <w:noProof/>
                        <w:webHidden/>
                      </w:rPr>
                      <w:t>488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8" w:history="1">
                    <w:r w:rsidR="0099351E">
                      <w:rPr>
                        <w:rStyle w:val="Lienhypertexte"/>
                        <w:noProof/>
                      </w:rPr>
                      <w:t>7. Enseignement secondaire spécialisé</w:t>
                    </w:r>
                    <w:r w:rsidR="0099351E">
                      <w:rPr>
                        <w:noProof/>
                        <w:webHidden/>
                      </w:rPr>
                      <w:tab/>
                    </w:r>
                    <w:r w:rsidR="0099351E">
                      <w:rPr>
                        <w:noProof/>
                        <w:webHidden/>
                      </w:rPr>
                      <w:fldChar w:fldCharType="begin"/>
                    </w:r>
                    <w:r w:rsidR="0099351E">
                      <w:rPr>
                        <w:noProof/>
                        <w:webHidden/>
                      </w:rPr>
                      <w:instrText xml:space="preserve"> PAGEREF _Toc47708668 \h </w:instrText>
                    </w:r>
                    <w:r w:rsidR="0099351E">
                      <w:rPr>
                        <w:noProof/>
                        <w:webHidden/>
                      </w:rPr>
                    </w:r>
                    <w:r w:rsidR="0099351E">
                      <w:rPr>
                        <w:noProof/>
                        <w:webHidden/>
                      </w:rPr>
                      <w:fldChar w:fldCharType="separate"/>
                    </w:r>
                    <w:r w:rsidR="0099351E">
                      <w:rPr>
                        <w:noProof/>
                        <w:webHidden/>
                      </w:rPr>
                      <w:t>488</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69" w:history="1">
                    <w:r w:rsidR="0099351E">
                      <w:rPr>
                        <w:rStyle w:val="Lienhypertexte"/>
                        <w:noProof/>
                      </w:rPr>
                      <w:t>8. Gestion des écoles</w:t>
                    </w:r>
                    <w:r w:rsidR="0099351E">
                      <w:rPr>
                        <w:noProof/>
                        <w:webHidden/>
                      </w:rPr>
                      <w:tab/>
                    </w:r>
                    <w:r w:rsidR="0099351E">
                      <w:rPr>
                        <w:noProof/>
                        <w:webHidden/>
                      </w:rPr>
                      <w:fldChar w:fldCharType="begin"/>
                    </w:r>
                    <w:r w:rsidR="0099351E">
                      <w:rPr>
                        <w:noProof/>
                        <w:webHidden/>
                      </w:rPr>
                      <w:instrText xml:space="preserve"> PAGEREF _Toc47708669 \h </w:instrText>
                    </w:r>
                    <w:r w:rsidR="0099351E">
                      <w:rPr>
                        <w:noProof/>
                        <w:webHidden/>
                      </w:rPr>
                    </w:r>
                    <w:r w:rsidR="0099351E">
                      <w:rPr>
                        <w:noProof/>
                        <w:webHidden/>
                      </w:rPr>
                      <w:fldChar w:fldCharType="separate"/>
                    </w:r>
                    <w:r w:rsidR="0099351E">
                      <w:rPr>
                        <w:noProof/>
                        <w:webHidden/>
                      </w:rPr>
                      <w:t>489</w:t>
                    </w:r>
                    <w:r w:rsidR="0099351E">
                      <w:rPr>
                        <w:noProof/>
                        <w:webHidden/>
                      </w:rPr>
                      <w:fldChar w:fldCharType="end"/>
                    </w:r>
                  </w:hyperlink>
                </w:p>
                <w:p w:rsidR="00F04EEF" w:rsidRDefault="00F42422">
                  <w:pPr>
                    <w:pStyle w:val="TM3"/>
                    <w:tabs>
                      <w:tab w:val="right" w:leader="dot" w:pos="9344"/>
                    </w:tabs>
                    <w:rPr>
                      <w:rFonts w:eastAsiaTheme="minorEastAsia" w:cstheme="minorBidi"/>
                      <w:noProof/>
                      <w:szCs w:val="22"/>
                      <w:lang w:eastAsia="fr-BE"/>
                    </w:rPr>
                  </w:pPr>
                  <w:hyperlink w:anchor="_Toc47708670" w:history="1">
                    <w:r w:rsidR="0099351E">
                      <w:rPr>
                        <w:rStyle w:val="Lienhypertexte"/>
                        <w:noProof/>
                      </w:rPr>
                      <w:t>9. Matières traitées par les directions transversales à la Direction générale de l’Enseignement obligatoire</w:t>
                    </w:r>
                    <w:r w:rsidR="0099351E">
                      <w:rPr>
                        <w:noProof/>
                        <w:webHidden/>
                      </w:rPr>
                      <w:tab/>
                    </w:r>
                    <w:r w:rsidR="0099351E">
                      <w:rPr>
                        <w:noProof/>
                        <w:webHidden/>
                      </w:rPr>
                      <w:fldChar w:fldCharType="begin"/>
                    </w:r>
                    <w:r w:rsidR="0099351E">
                      <w:rPr>
                        <w:noProof/>
                        <w:webHidden/>
                      </w:rPr>
                      <w:instrText xml:space="preserve"> PAGEREF _Toc47708670 \h </w:instrText>
                    </w:r>
                    <w:r w:rsidR="0099351E">
                      <w:rPr>
                        <w:noProof/>
                        <w:webHidden/>
                      </w:rPr>
                    </w:r>
                    <w:r w:rsidR="0099351E">
                      <w:rPr>
                        <w:noProof/>
                        <w:webHidden/>
                      </w:rPr>
                      <w:fldChar w:fldCharType="separate"/>
                    </w:r>
                    <w:r w:rsidR="0099351E">
                      <w:rPr>
                        <w:noProof/>
                        <w:webHidden/>
                      </w:rPr>
                      <w:t>489</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71" w:history="1">
                    <w:r w:rsidR="0099351E">
                      <w:rPr>
                        <w:rStyle w:val="Lienhypertexte"/>
                        <w:noProof/>
                      </w:rPr>
                      <w:t>INDEX II : Aide-mémoire des documents à envoyer par le chef d’établissement d’Enseignement spécialisé</w:t>
                    </w:r>
                    <w:r w:rsidR="0099351E">
                      <w:rPr>
                        <w:noProof/>
                        <w:webHidden/>
                      </w:rPr>
                      <w:tab/>
                    </w:r>
                    <w:r w:rsidR="0099351E">
                      <w:rPr>
                        <w:noProof/>
                        <w:webHidden/>
                      </w:rPr>
                      <w:fldChar w:fldCharType="begin"/>
                    </w:r>
                    <w:r w:rsidR="0099351E">
                      <w:rPr>
                        <w:noProof/>
                        <w:webHidden/>
                      </w:rPr>
                      <w:instrText xml:space="preserve"> PAGEREF _Toc47708671 \h </w:instrText>
                    </w:r>
                    <w:r w:rsidR="0099351E">
                      <w:rPr>
                        <w:noProof/>
                        <w:webHidden/>
                      </w:rPr>
                    </w:r>
                    <w:r w:rsidR="0099351E">
                      <w:rPr>
                        <w:noProof/>
                        <w:webHidden/>
                      </w:rPr>
                      <w:fldChar w:fldCharType="separate"/>
                    </w:r>
                    <w:r w:rsidR="0099351E">
                      <w:rPr>
                        <w:noProof/>
                        <w:webHidden/>
                      </w:rPr>
                      <w:t>491</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72" w:history="1">
                    <w:r w:rsidR="0099351E">
                      <w:rPr>
                        <w:rStyle w:val="Lienhypertexte"/>
                        <w:noProof/>
                      </w:rPr>
                      <w:t>INDEX III : Lien avec d’autres circulaires</w:t>
                    </w:r>
                    <w:r w:rsidR="0099351E">
                      <w:rPr>
                        <w:noProof/>
                        <w:webHidden/>
                      </w:rPr>
                      <w:tab/>
                    </w:r>
                    <w:r w:rsidR="0099351E">
                      <w:rPr>
                        <w:noProof/>
                        <w:webHidden/>
                      </w:rPr>
                      <w:fldChar w:fldCharType="begin"/>
                    </w:r>
                    <w:r w:rsidR="0099351E">
                      <w:rPr>
                        <w:noProof/>
                        <w:webHidden/>
                      </w:rPr>
                      <w:instrText xml:space="preserve"> PAGEREF _Toc47708672 \h </w:instrText>
                    </w:r>
                    <w:r w:rsidR="0099351E">
                      <w:rPr>
                        <w:noProof/>
                        <w:webHidden/>
                      </w:rPr>
                    </w:r>
                    <w:r w:rsidR="0099351E">
                      <w:rPr>
                        <w:noProof/>
                        <w:webHidden/>
                      </w:rPr>
                      <w:fldChar w:fldCharType="separate"/>
                    </w:r>
                    <w:r w:rsidR="0099351E">
                      <w:rPr>
                        <w:noProof/>
                        <w:webHidden/>
                      </w:rPr>
                      <w:t>493</w:t>
                    </w:r>
                    <w:r w:rsidR="0099351E">
                      <w:rPr>
                        <w:noProof/>
                        <w:webHidden/>
                      </w:rPr>
                      <w:fldChar w:fldCharType="end"/>
                    </w:r>
                  </w:hyperlink>
                </w:p>
                <w:p w:rsidR="00F04EEF" w:rsidRDefault="00F42422">
                  <w:pPr>
                    <w:pStyle w:val="TM2"/>
                    <w:tabs>
                      <w:tab w:val="right" w:leader="dot" w:pos="9344"/>
                    </w:tabs>
                    <w:rPr>
                      <w:rFonts w:eastAsiaTheme="minorEastAsia" w:cstheme="minorBidi"/>
                      <w:b w:val="0"/>
                      <w:iCs w:val="0"/>
                      <w:noProof/>
                      <w:szCs w:val="22"/>
                      <w:lang w:eastAsia="fr-BE"/>
                    </w:rPr>
                  </w:pPr>
                  <w:hyperlink w:anchor="_Toc47708673" w:history="1">
                    <w:r w:rsidR="0099351E">
                      <w:rPr>
                        <w:rStyle w:val="Lienhypertexte"/>
                        <w:noProof/>
                      </w:rPr>
                      <w:t>INDEX IV : Schéma de principe du processus administratif</w:t>
                    </w:r>
                    <w:r w:rsidR="0099351E">
                      <w:rPr>
                        <w:noProof/>
                        <w:webHidden/>
                      </w:rPr>
                      <w:tab/>
                    </w:r>
                    <w:r w:rsidR="0099351E">
                      <w:rPr>
                        <w:noProof/>
                        <w:webHidden/>
                      </w:rPr>
                      <w:fldChar w:fldCharType="begin"/>
                    </w:r>
                    <w:r w:rsidR="0099351E">
                      <w:rPr>
                        <w:noProof/>
                        <w:webHidden/>
                      </w:rPr>
                      <w:instrText xml:space="preserve"> PAGEREF _Toc47708673 \h </w:instrText>
                    </w:r>
                    <w:r w:rsidR="0099351E">
                      <w:rPr>
                        <w:noProof/>
                        <w:webHidden/>
                      </w:rPr>
                    </w:r>
                    <w:r w:rsidR="0099351E">
                      <w:rPr>
                        <w:noProof/>
                        <w:webHidden/>
                      </w:rPr>
                      <w:fldChar w:fldCharType="separate"/>
                    </w:r>
                    <w:r w:rsidR="0099351E">
                      <w:rPr>
                        <w:noProof/>
                        <w:webHidden/>
                      </w:rPr>
                      <w:t>495</w:t>
                    </w:r>
                    <w:r w:rsidR="0099351E">
                      <w:rPr>
                        <w:noProof/>
                        <w:webHidden/>
                      </w:rPr>
                      <w:fldChar w:fldCharType="end"/>
                    </w:r>
                  </w:hyperlink>
                </w:p>
                <w:p w:rsidR="00F04EEF" w:rsidRDefault="0099351E">
                  <w:pPr>
                    <w:rPr>
                      <w:rFonts w:eastAsiaTheme="minorEastAsia"/>
                      <w:lang w:eastAsia="fr-BE"/>
                    </w:rPr>
                  </w:pPr>
                  <w:r>
                    <w:rPr>
                      <w:rFonts w:eastAsia="Times New Roman" w:cs="Arial"/>
                      <w:iCs/>
                      <w:noProof/>
                      <w:lang w:eastAsia="ar-SA"/>
                    </w:rPr>
                    <w:fldChar w:fldCharType="end"/>
                  </w:r>
                  <w:r>
                    <w:rPr>
                      <w:noProof/>
                    </w:rPr>
                    <w:t xml:space="preserve"> </w:t>
                  </w:r>
                  <w:r>
                    <w:rPr>
                      <w:rFonts w:eastAsiaTheme="minorEastAsia"/>
                      <w:lang w:eastAsia="fr-BE"/>
                    </w:rPr>
                    <w:br w:type="page"/>
                  </w:r>
                </w:p>
                <w:p w:rsidR="00F04EEF" w:rsidRDefault="00F04EEF">
                  <w:pPr>
                    <w:rPr>
                      <w:rFonts w:eastAsiaTheme="minorEastAsia"/>
                      <w:lang w:eastAsia="fr-BE"/>
                    </w:rPr>
                  </w:pPr>
                </w:p>
                <w:p w:rsidR="00F04EEF" w:rsidRDefault="00F04EEF">
                  <w:pPr>
                    <w:rPr>
                      <w:lang w:eastAsia="fr-BE"/>
                    </w:rPr>
                  </w:pPr>
                  <w:bookmarkStart w:id="4" w:name="_Toc477623557"/>
                  <w:bookmarkStart w:id="5" w:name="_Toc477767238"/>
                </w:p>
                <w:bookmarkStart w:id="6" w:name="_Chapitre_1_:"/>
                <w:bookmarkStart w:id="7" w:name="_Toc47708476"/>
                <w:bookmarkEnd w:id="6"/>
                <w:p w:rsidR="00F04EEF" w:rsidRDefault="0099351E">
                  <w:pPr>
                    <w:pStyle w:val="Titre2"/>
                  </w:pPr>
                  <w:r>
                    <w:rPr>
                      <w:noProof/>
                    </w:rPr>
                    <mc:AlternateContent>
                      <mc:Choice Requires="wps">
                        <w:drawing>
                          <wp:anchor distT="0" distB="0" distL="114300" distR="114300" simplePos="0" relativeHeight="252139520" behindDoc="0" locked="0" layoutInCell="1" allowOverlap="1">
                            <wp:simplePos x="0" y="0"/>
                            <wp:positionH relativeFrom="column">
                              <wp:posOffset>6119495</wp:posOffset>
                            </wp:positionH>
                            <wp:positionV relativeFrom="paragraph">
                              <wp:posOffset>1405890</wp:posOffset>
                            </wp:positionV>
                            <wp:extent cx="0" cy="762000"/>
                            <wp:effectExtent l="0" t="0" r="19050" b="19050"/>
                            <wp:wrapNone/>
                            <wp:docPr id="453" name="Connecteur droit 453"/>
                            <wp:cNvGraphicFramePr/>
                            <a:graphic xmlns:a="http://schemas.openxmlformats.org/drawingml/2006/main">
                              <a:graphicData uri="http://schemas.microsoft.com/office/word/2010/wordprocessingShape">
                                <wps:wsp>
                                  <wps:cNvCnPr/>
                                  <wps:spPr>
                                    <a:xfrm>
                                      <a:off x="0" y="0"/>
                                      <a:ext cx="0" cy="762000"/>
                                    </a:xfrm>
                                    <a:prstGeom prst="line">
                                      <a:avLst/>
                                    </a:prstGeom>
                                    <a:ln>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FB017E" id="Connecteur droit 453" o:spid="_x0000_s1026" style="position:absolute;z-index:252139520;visibility:visible;mso-wrap-style:square;mso-wrap-distance-left:9pt;mso-wrap-distance-top:0;mso-wrap-distance-right:9pt;mso-wrap-distance-bottom:0;mso-position-horizontal:absolute;mso-position-horizontal-relative:text;mso-position-vertical:absolute;mso-position-vertical-relative:text" from="481.85pt,110.7pt" to="481.85pt,17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" strokecolor="black [3213]"/>
                        </w:pict>
                      </mc:Fallback>
                    </mc:AlternateContent>
                  </w:r>
                  <w:r>
                    <w:t>Chapitre</w:t>
                  </w:r>
                  <w:bookmarkEnd w:id="4"/>
                  <w:bookmarkEnd w:id="5"/>
                  <w:r>
                    <w:t xml:space="preserve"> 1 :</w:t>
                  </w:r>
                  <w:bookmarkStart w:id="8" w:name="_Toc477623558"/>
                  <w:bookmarkStart w:id="9" w:name="_Toc477767239"/>
                  <w:r>
                    <w:t xml:space="preserve"> Obligation scolaire, inscription des élèves, fréquentation scolaire, sanctions disciplinaires et gratuité dans l’enseignement secondaire spécialisé subventionné par la Fédération Wallonie-Bruxelles ET ORGANISÉ PAR WALLONIE-BRUXELLES ENSEIGNEMENT (WBE).</w:t>
                  </w:r>
                  <w:bookmarkEnd w:id="7"/>
                </w:p>
                <w:p w:rsidR="00F04EEF" w:rsidRDefault="0099351E">
                  <w:pPr>
                    <w:pStyle w:val="Titre2"/>
                  </w:pPr>
                  <w:bookmarkStart w:id="10" w:name="_Toc47708477"/>
                  <w:r>
                    <w:t>.</w:t>
                  </w:r>
                  <w:bookmarkEnd w:id="8"/>
                  <w:bookmarkEnd w:id="9"/>
                  <w:bookmarkEnd w:id="10"/>
                </w:p>
                <w:p w:rsidR="00F04EEF" w:rsidRDefault="00F04EEF">
                  <w:pPr>
                    <w:rPr>
                      <w:rFonts w:eastAsiaTheme="minorEastAsia"/>
                      <w:lang w:eastAsia="fr-BE"/>
                    </w:rPr>
                  </w:pPr>
                </w:p>
                <w:p w:rsidR="00F04EEF" w:rsidRDefault="00F04EEF">
                  <w:pPr>
                    <w:rPr>
                      <w:rFonts w:eastAsiaTheme="minorEastAsia"/>
                      <w:lang w:eastAsia="fr-BE"/>
                    </w:rPr>
                  </w:pPr>
                </w:p>
                <w:p w:rsidR="00F04EEF" w:rsidRDefault="0099351E">
                  <w:pPr>
                    <w:pStyle w:val="Titre3"/>
                    <w:rPr>
                      <w:sz w:val="22"/>
                      <w:szCs w:val="22"/>
                    </w:rPr>
                  </w:pPr>
                  <w:bookmarkStart w:id="11" w:name="__RefHeading__319_957262308"/>
                  <w:bookmarkStart w:id="12" w:name="_Toc291075468"/>
                  <w:bookmarkStart w:id="13" w:name="_Toc291075892"/>
                  <w:bookmarkStart w:id="14" w:name="_Toc291076316"/>
                  <w:bookmarkStart w:id="15" w:name="_Toc291076740"/>
                  <w:bookmarkStart w:id="16" w:name="_Toc291077164"/>
                  <w:bookmarkStart w:id="17" w:name="_Toc293652007"/>
                  <w:bookmarkStart w:id="18" w:name="_Toc293653589"/>
                  <w:bookmarkStart w:id="19" w:name="_Toc293654200"/>
                  <w:bookmarkStart w:id="20" w:name="_Toc294004780"/>
                  <w:bookmarkStart w:id="21" w:name="_Toc294185276"/>
                  <w:bookmarkStart w:id="22" w:name="_Toc324767142"/>
                  <w:bookmarkStart w:id="23" w:name="_Toc414352884"/>
                  <w:bookmarkStart w:id="24" w:name="_Toc453836907"/>
                  <w:bookmarkStart w:id="25" w:name="_Toc47708478"/>
                  <w:bookmarkEnd w:id="11"/>
                  <w:r>
                    <w:rPr>
                      <w:sz w:val="22"/>
                      <w:szCs w:val="22"/>
                    </w:rPr>
                    <w:t>1. Consignes</w:t>
                  </w:r>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F04EEF" w:rsidRDefault="00F04EEF">
                  <w:bookmarkStart w:id="26" w:name="_Toc291075469"/>
                  <w:bookmarkStart w:id="27" w:name="_Toc291075893"/>
                  <w:bookmarkStart w:id="28" w:name="_Toc291076317"/>
                  <w:bookmarkStart w:id="29" w:name="_Toc291076741"/>
                  <w:bookmarkStart w:id="30" w:name="_Toc291077165"/>
                  <w:bookmarkStart w:id="31" w:name="_Toc293652008"/>
                  <w:bookmarkStart w:id="32" w:name="_Toc293653590"/>
                  <w:bookmarkStart w:id="33" w:name="_Toc293654201"/>
                  <w:bookmarkStart w:id="34" w:name="_Toc294004781"/>
                  <w:bookmarkStart w:id="35" w:name="_Toc294185277"/>
                  <w:bookmarkStart w:id="36" w:name="_Toc324767143"/>
                  <w:bookmarkStart w:id="37" w:name="_Toc414352885"/>
                  <w:bookmarkStart w:id="38" w:name="_Toc453836908"/>
                </w:p>
                <w:p w:rsidR="00F04EEF" w:rsidRDefault="0099351E">
                  <w:pPr>
                    <w:pStyle w:val="Titre4"/>
                  </w:pPr>
                  <w:r>
                    <w:rPr>
                      <w:u w:val="none"/>
                    </w:rPr>
                    <w:tab/>
                  </w:r>
                  <w:r>
                    <w:t>1.1. Inscriptions</w:t>
                  </w:r>
                  <w:bookmarkEnd w:id="26"/>
                  <w:bookmarkEnd w:id="27"/>
                  <w:bookmarkEnd w:id="28"/>
                  <w:bookmarkEnd w:id="29"/>
                  <w:bookmarkEnd w:id="30"/>
                  <w:bookmarkEnd w:id="31"/>
                  <w:bookmarkEnd w:id="32"/>
                  <w:bookmarkEnd w:id="33"/>
                  <w:bookmarkEnd w:id="34"/>
                  <w:bookmarkEnd w:id="35"/>
                  <w:bookmarkEnd w:id="36"/>
                  <w:bookmarkEnd w:id="37"/>
                  <w:bookmarkEnd w:id="38"/>
                </w:p>
                <w:p w:rsidR="00F04EEF" w:rsidRDefault="00F04EEF">
                  <w:pPr>
                    <w:rPr>
                      <w:b/>
                      <w:u w:val="single"/>
                    </w:rPr>
                  </w:pPr>
                  <w:bookmarkStart w:id="39" w:name="_1.1.1._Règles_de"/>
                  <w:bookmarkStart w:id="40" w:name="_Toc291075470"/>
                  <w:bookmarkStart w:id="41" w:name="_Toc291075894"/>
                  <w:bookmarkStart w:id="42" w:name="_Toc291076318"/>
                  <w:bookmarkStart w:id="43" w:name="_Toc291076742"/>
                  <w:bookmarkStart w:id="44" w:name="_Toc291077166"/>
                  <w:bookmarkStart w:id="45" w:name="_Toc293652009"/>
                  <w:bookmarkStart w:id="46" w:name="_Toc293653591"/>
                  <w:bookmarkStart w:id="47" w:name="_Toc293654202"/>
                  <w:bookmarkStart w:id="48" w:name="_Toc294004782"/>
                  <w:bookmarkStart w:id="49" w:name="_Toc294185278"/>
                  <w:bookmarkStart w:id="50" w:name="_Toc324767144"/>
                  <w:bookmarkStart w:id="51" w:name="_Toc324768002"/>
                  <w:bookmarkEnd w:id="39"/>
                </w:p>
                <w:p w:rsidR="00F04EEF" w:rsidRDefault="0099351E">
                  <w:pPr>
                    <w:pStyle w:val="Titre5"/>
                  </w:pPr>
                  <w:r>
                    <w:t>1.1.1. Règles de base</w:t>
                  </w:r>
                  <w:bookmarkEnd w:id="40"/>
                  <w:bookmarkEnd w:id="41"/>
                  <w:bookmarkEnd w:id="42"/>
                  <w:bookmarkEnd w:id="43"/>
                  <w:bookmarkEnd w:id="44"/>
                  <w:bookmarkEnd w:id="45"/>
                  <w:bookmarkEnd w:id="46"/>
                  <w:bookmarkEnd w:id="47"/>
                  <w:bookmarkEnd w:id="48"/>
                  <w:bookmarkEnd w:id="49"/>
                  <w:bookmarkEnd w:id="50"/>
                  <w:bookmarkEnd w:id="51"/>
                </w:p>
                <w:p w:rsidR="00F04EEF" w:rsidRDefault="00F04EEF">
                  <w:pPr>
                    <w:jc w:val="both"/>
                    <w:rPr>
                      <w:rFonts w:cs="Arial"/>
                    </w:rPr>
                  </w:pPr>
                </w:p>
                <w:p w:rsidR="00F04EEF" w:rsidRDefault="0099351E">
                  <w:pPr>
                    <w:jc w:val="both"/>
                    <w:rPr>
                      <w:rFonts w:cs="Arial"/>
                    </w:rPr>
                  </w:pPr>
                  <w:r>
                    <w:rPr>
                      <w:rFonts w:cs="Arial"/>
                    </w:rPr>
                    <w:t>Les parents ou la personne investie de l'autorité parentale ont la liberté d'envoyer leurs enfants dans l'école qu'ils choisissent et il est interdit d'user à leur égard d'aucun moyen de pression pour leur imposer une école qui ne serait pas celle de leur choix</w:t>
                  </w:r>
                  <w:r>
                    <w:rPr>
                      <w:rStyle w:val="Appelnotedebasdep1"/>
                    </w:rPr>
                    <w:footnoteReference w:id="2"/>
                  </w:r>
                  <w:r>
                    <w:rPr>
                      <w:rFonts w:cs="Arial"/>
                    </w:rPr>
                    <w:t>.</w:t>
                  </w:r>
                </w:p>
                <w:p w:rsidR="00F04EEF" w:rsidRDefault="00F04EEF">
                  <w:pPr>
                    <w:jc w:val="both"/>
                    <w:rPr>
                      <w:rFonts w:cs="Arial"/>
                    </w:rPr>
                  </w:pPr>
                </w:p>
                <w:p w:rsidR="00F04EEF" w:rsidRDefault="0099351E">
                  <w:pPr>
                    <w:jc w:val="both"/>
                    <w:rPr>
                      <w:rFonts w:cs="Arial"/>
                    </w:rPr>
                  </w:pPr>
                  <w:r>
                    <w:rPr>
                      <w:rFonts w:cs="Arial"/>
                    </w:rPr>
                    <w:t>Par l’inscription dans une école, l’élève et ses parents ou la personne investie de l’autorité parentale en acceptent le projet éducatif, le projet pédagogique, le projet d’établissement, le règlement des études et le règlement d’ordre intérieur. Préalablement à l'inscription, le chef d'établissement communique ces documents aux parents ou à la personne investie de l'autorité parentale.</w:t>
                  </w:r>
                </w:p>
                <w:p w:rsidR="00F04EEF" w:rsidRDefault="00F04EEF">
                  <w:pPr>
                    <w:jc w:val="both"/>
                    <w:rPr>
                      <w:rFonts w:cs="Arial"/>
                    </w:rPr>
                  </w:pPr>
                </w:p>
                <w:p w:rsidR="00F04EEF" w:rsidRDefault="0099351E">
                  <w:pPr>
                    <w:jc w:val="both"/>
                    <w:rPr>
                      <w:rFonts w:cs="Arial"/>
                    </w:rPr>
                  </w:pPr>
                  <w:r>
                    <w:rPr>
                      <w:rFonts w:cs="Arial"/>
                    </w:rPr>
                    <w:t>Tout élève mineur est réputé être réinscrit d’année en année dans le même établissement tant que ses parents ou la personne investie de l’autorité parentale ne notifient pas par écrit leur décision de le désinscrire</w:t>
                  </w:r>
                  <w:r>
                    <w:rPr>
                      <w:rStyle w:val="Appelnotedebasdep"/>
                    </w:rPr>
                    <w:footnoteReference w:id="3"/>
                  </w:r>
                  <w:r>
                    <w:rPr>
                      <w:rFonts w:cs="Arial"/>
                    </w:rPr>
                    <w:t>.</w:t>
                  </w:r>
                </w:p>
                <w:p w:rsidR="00F04EEF" w:rsidRDefault="00F04EEF">
                  <w:pPr>
                    <w:jc w:val="both"/>
                    <w:rPr>
                      <w:rFonts w:cs="Arial"/>
                    </w:rPr>
                  </w:pPr>
                </w:p>
                <w:p w:rsidR="00F04EEF" w:rsidRDefault="0099351E">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rPr>
                  </w:pPr>
                  <w:r>
                    <w:rPr>
                      <w:rFonts w:asciiTheme="majorHAnsi" w:hAnsiTheme="majorHAnsi"/>
                      <w:b/>
                      <w:sz w:val="22"/>
                      <w:szCs w:val="22"/>
                      <w:u w:val="single"/>
                    </w:rPr>
                    <w:t>Remarque</w:t>
                  </w:r>
                  <w:r>
                    <w:rPr>
                      <w:rFonts w:asciiTheme="majorHAnsi" w:hAnsiTheme="majorHAnsi"/>
                      <w:b/>
                      <w:sz w:val="22"/>
                      <w:szCs w:val="22"/>
                    </w:rPr>
                    <w:t xml:space="preserve"> : </w:t>
                  </w:r>
                  <w:r>
                    <w:rPr>
                      <w:rFonts w:asciiTheme="majorHAnsi" w:hAnsiTheme="majorHAnsi"/>
                      <w:sz w:val="22"/>
                      <w:szCs w:val="22"/>
                    </w:rPr>
                    <w:t>en application des règles du code civil, un parent peut inscrire seul un mineur dans un établissement scolaire car chaque parent agissant seul est réputé agir avec l’accord de l’autre à l’égard des tiers de bonne foi</w:t>
                  </w:r>
                  <w:r>
                    <w:rPr>
                      <w:rStyle w:val="Appelnotedebasdep"/>
                      <w:rFonts w:asciiTheme="majorHAnsi" w:hAnsiTheme="majorHAnsi"/>
                      <w:sz w:val="22"/>
                      <w:szCs w:val="22"/>
                    </w:rPr>
                    <w:footnoteReference w:id="4"/>
                  </w:r>
                  <w:r>
                    <w:rPr>
                      <w:rFonts w:asciiTheme="majorHAnsi" w:hAnsiTheme="majorHAnsi"/>
                      <w:sz w:val="22"/>
                      <w:szCs w:val="22"/>
                    </w:rPr>
                    <w:t>. (En l’occurrence, le chef d’établissement qui ignore qu’il existe un désaccord entre les parents quant au choix de l’établissement scolaire).</w:t>
                  </w:r>
                </w:p>
                <w:p w:rsidR="00F04EEF" w:rsidRDefault="00F04EEF">
                  <w:pPr>
                    <w:jc w:val="both"/>
                    <w:rPr>
                      <w:rFonts w:cs="Arial"/>
                    </w:rPr>
                  </w:pPr>
                </w:p>
                <w:p w:rsidR="00F04EEF" w:rsidRDefault="0099351E">
                  <w:pPr>
                    <w:jc w:val="both"/>
                    <w:rPr>
                      <w:rFonts w:cs="Arial"/>
                    </w:rPr>
                  </w:pPr>
                  <w:r>
                    <w:rPr>
                      <w:rFonts w:cs="Arial"/>
                      <w:b/>
                    </w:rPr>
                    <w:t>Dans l’enseignement spécialisé, l’inscription est reçue toute l’année</w:t>
                  </w:r>
                  <w:r>
                    <w:rPr>
                      <w:rStyle w:val="Appelnotedebasdep"/>
                      <w:b/>
                    </w:rPr>
                    <w:footnoteReference w:id="5"/>
                  </w:r>
                  <w:r>
                    <w:rPr>
                      <w:rFonts w:cs="Arial"/>
                      <w:b/>
                    </w:rPr>
                    <w:t xml:space="preserve">. </w:t>
                  </w:r>
                </w:p>
                <w:p w:rsidR="00F04EEF" w:rsidRDefault="00F04EEF">
                  <w:pPr>
                    <w:pStyle w:val="Notedebasdepage"/>
                  </w:pPr>
                </w:p>
                <w:p w:rsidR="00F04EEF" w:rsidRDefault="0099351E">
                  <w:pPr>
                    <w:rPr>
                      <w:rFonts w:eastAsia="Times New Roman" w:cs="Arial"/>
                      <w:b/>
                      <w:u w:val="single"/>
                      <w:lang w:eastAsia="ar-SA"/>
                    </w:rPr>
                  </w:pPr>
                  <w:bookmarkStart w:id="52" w:name="_1.1.2._Rapport_d’inscription"/>
                  <w:bookmarkStart w:id="53" w:name="_Toc291075471"/>
                  <w:bookmarkStart w:id="54" w:name="_Toc291075895"/>
                  <w:bookmarkStart w:id="55" w:name="_Toc291076319"/>
                  <w:bookmarkStart w:id="56" w:name="_Toc291076743"/>
                  <w:bookmarkStart w:id="57" w:name="_Toc291077167"/>
                  <w:bookmarkStart w:id="58" w:name="_Toc293652010"/>
                  <w:bookmarkStart w:id="59" w:name="_Toc293653592"/>
                  <w:bookmarkStart w:id="60" w:name="_Toc293654203"/>
                  <w:bookmarkStart w:id="61" w:name="_Toc294004783"/>
                  <w:bookmarkStart w:id="62" w:name="_Toc294185279"/>
                  <w:bookmarkStart w:id="63" w:name="_Toc324767145"/>
                  <w:bookmarkStart w:id="64" w:name="_Toc324768003"/>
                  <w:bookmarkEnd w:id="52"/>
                  <w:r>
                    <w:br w:type="page"/>
                  </w:r>
                </w:p>
                <w:p w:rsidR="00F04EEF" w:rsidRDefault="0099351E">
                  <w:pPr>
                    <w:pStyle w:val="Titre5"/>
                  </w:pPr>
                  <w:r>
                    <w:t>1.1.2. Rapport d’inscription</w:t>
                  </w:r>
                  <w:bookmarkEnd w:id="53"/>
                  <w:bookmarkEnd w:id="54"/>
                  <w:bookmarkEnd w:id="55"/>
                  <w:bookmarkEnd w:id="56"/>
                  <w:bookmarkEnd w:id="57"/>
                  <w:bookmarkEnd w:id="58"/>
                  <w:bookmarkEnd w:id="59"/>
                  <w:bookmarkEnd w:id="60"/>
                  <w:bookmarkEnd w:id="61"/>
                  <w:bookmarkEnd w:id="62"/>
                  <w:bookmarkEnd w:id="63"/>
                  <w:bookmarkEnd w:id="64"/>
                </w:p>
                <w:p w:rsidR="00F04EEF" w:rsidRDefault="00F04EEF">
                  <w:pPr>
                    <w:jc w:val="both"/>
                    <w:rPr>
                      <w:rFonts w:cs="Arial"/>
                    </w:rPr>
                  </w:pPr>
                </w:p>
                <w:p w:rsidR="00F04EEF" w:rsidRDefault="0099351E">
                  <w:pPr>
                    <w:pStyle w:val="Corpsdetexte31"/>
                    <w:spacing w:line="240" w:lineRule="auto"/>
                    <w:jc w:val="both"/>
                    <w:rPr>
                      <w:rFonts w:asciiTheme="majorHAnsi" w:hAnsiTheme="majorHAnsi"/>
                      <w:szCs w:val="22"/>
                    </w:rPr>
                  </w:pPr>
                  <w:r>
                    <w:rPr>
                      <w:rFonts w:asciiTheme="majorHAnsi" w:hAnsiTheme="majorHAnsi"/>
                      <w:szCs w:val="22"/>
                    </w:rPr>
                    <w:t>L'inscription des enfants dans un établissement d’enseignement, une école ou un institut d'enseignement spécialisé est subordonnée à la production d'un rapport précisant le niveau et le type d'enseignement spécialisé qui correspond aux besoins de l'élève et qui est dispensé dans cet établissement.</w:t>
                  </w:r>
                </w:p>
                <w:p w:rsidR="00F04EEF" w:rsidRDefault="0099351E">
                  <w:pPr>
                    <w:jc w:val="both"/>
                    <w:rPr>
                      <w:rFonts w:asciiTheme="majorHAnsi" w:hAnsiTheme="majorHAnsi" w:cs="Arial"/>
                    </w:rPr>
                  </w:pPr>
                  <w:r>
                    <w:rPr>
                      <w:rFonts w:asciiTheme="majorHAnsi" w:hAnsiTheme="majorHAnsi" w:cs="Arial"/>
                      <w:noProof/>
                      <w:lang w:eastAsia="fr-BE"/>
                    </w:rPr>
                    <mc:AlternateContent>
                      <mc:Choice Requires="wps">
                        <w:drawing>
                          <wp:anchor distT="0" distB="0" distL="114300" distR="114300" simplePos="0" relativeHeight="252140544" behindDoc="0" locked="0" layoutInCell="1" allowOverlap="1">
                            <wp:simplePos x="0" y="0"/>
                            <wp:positionH relativeFrom="column">
                              <wp:posOffset>6129020</wp:posOffset>
                            </wp:positionH>
                            <wp:positionV relativeFrom="paragraph">
                              <wp:posOffset>34290</wp:posOffset>
                            </wp:positionV>
                            <wp:extent cx="0" cy="333375"/>
                            <wp:effectExtent l="0" t="0" r="19050" b="28575"/>
                            <wp:wrapNone/>
                            <wp:docPr id="458" name="Connecteur droit 458"/>
                            <wp:cNvGraphicFramePr/>
                            <a:graphic xmlns:a="http://schemas.openxmlformats.org/drawingml/2006/main">
                              <a:graphicData uri="http://schemas.microsoft.com/office/word/2010/wordprocessingShape">
                                <wps:wsp>
                                  <wps:cNvCnPr/>
                                  <wps:spPr>
                                    <a:xfrm>
                                      <a:off x="0" y="0"/>
                                      <a:ext cx="0" cy="333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6B092B" id="Connecteur droit 458" o:spid="_x0000_s1026" style="position:absolute;z-index:252140544;visibility:visible;mso-wrap-style:square;mso-wrap-distance-left:9pt;mso-wrap-distance-top:0;mso-wrap-distance-right:9pt;mso-wrap-distance-bottom:0;mso-position-horizontal:absolute;mso-position-horizontal-relative:text;mso-position-vertical:absolute;mso-position-vertical-relative:text" from="482.6pt,2.7pt" to="482.6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" strokecolor="black [3213]"/>
                        </w:pict>
                      </mc:Fallback>
                    </mc:AlternateContent>
                  </w:r>
                  <w:r>
                    <w:rPr>
                      <w:rFonts w:asciiTheme="majorHAnsi" w:hAnsiTheme="majorHAnsi" w:cs="Arial"/>
                    </w:rPr>
                    <w:t xml:space="preserve">Les élèves ne peuvent être inscrits que dans des écoles organisant le type d’enseignement repris sur leur attestation d’orientation. Une dérogation à cette règle existe, elle est exposée au </w:t>
                  </w:r>
                  <w:r>
                    <w:rPr>
                      <w:rFonts w:asciiTheme="majorHAnsi" w:hAnsiTheme="majorHAnsi"/>
                    </w:rPr>
                    <w:t>chapitre 15,</w:t>
                  </w:r>
                  <w:r>
                    <w:rPr>
                      <w:rFonts w:asciiTheme="majorHAnsi" w:hAnsiTheme="majorHAnsi" w:cs="Arial"/>
                    </w:rPr>
                    <w:t xml:space="preserve"> </w:t>
                  </w:r>
                  <w:hyperlink w:anchor="_1.1._Le_rapport" w:history="1">
                    <w:r>
                      <w:rPr>
                        <w:rStyle w:val="Lienhypertexte"/>
                        <w:rFonts w:asciiTheme="majorHAnsi" w:hAnsiTheme="majorHAnsi" w:cstheme="minorBidi"/>
                      </w:rPr>
                      <w:t>point 1.1</w:t>
                    </w:r>
                    <w:r>
                      <w:rPr>
                        <w:rStyle w:val="Lienhypertexte"/>
                        <w:rFonts w:asciiTheme="majorHAnsi" w:hAnsiTheme="majorHAnsi" w:cs="Arial"/>
                      </w:rPr>
                      <w:t xml:space="preserve"> </w:t>
                    </w:r>
                    <w:proofErr w:type="gramStart"/>
                    <w:r>
                      <w:rPr>
                        <w:rStyle w:val="Lienhypertexte"/>
                        <w:rFonts w:asciiTheme="majorHAnsi" w:hAnsiTheme="majorHAnsi" w:cs="Arial"/>
                        <w:color w:val="auto"/>
                        <w:u w:val="none"/>
                      </w:rPr>
                      <w:t>de la</w:t>
                    </w:r>
                    <w:proofErr w:type="gramEnd"/>
                    <w:r>
                      <w:rPr>
                        <w:rStyle w:val="Lienhypertexte"/>
                        <w:rFonts w:asciiTheme="majorHAnsi" w:hAnsiTheme="majorHAnsi" w:cs="Arial"/>
                        <w:color w:val="auto"/>
                        <w:u w:val="none"/>
                      </w:rPr>
                      <w:t xml:space="preserve"> présen</w:t>
                    </w:r>
                  </w:hyperlink>
                  <w:r>
                    <w:rPr>
                      <w:rFonts w:asciiTheme="majorHAnsi" w:hAnsiTheme="majorHAnsi" w:cs="Arial"/>
                    </w:rPr>
                    <w:t>te circulaire.</w:t>
                  </w:r>
                </w:p>
                <w:p w:rsidR="00F04EEF" w:rsidRDefault="00F04EEF">
                  <w:pPr>
                    <w:pStyle w:val="Corpsdetexte31"/>
                    <w:spacing w:line="240" w:lineRule="auto"/>
                    <w:jc w:val="both"/>
                    <w:rPr>
                      <w:rFonts w:asciiTheme="majorHAnsi" w:hAnsiTheme="majorHAnsi"/>
                      <w:szCs w:val="22"/>
                    </w:rPr>
                  </w:pPr>
                </w:p>
                <w:p w:rsidR="00F04EEF" w:rsidRDefault="0099351E">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 xml:space="preserve">Toutefois, le gouvernement, sur proposition du Conseil Général pour l’Enseignement Secondaire, peut autoriser dans le cadre d’une intégration, l’inscription d’un élève relevant de l’enseignement spécialisé dans une école organisant un autre type d’enseignement spécialisé que celui mentionné sur l’attestation d’orientation de l’élève lorsqu’une offre d’enseignement spécialisé est disponible à une distance raisonnable et qu’un ou plusieurs partenaires de l’intégration refuse de participer à l’intégration. </w:t>
                  </w:r>
                </w:p>
                <w:p w:rsidR="00F04EEF" w:rsidRDefault="0099351E">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De même, le gouvernement, sur proposition du conseil général de l’enseignement secondaire, peut accorder une même dérogation lorsqu’aucune offre d’enseignement spécialisé n’est disponible à une distance raisonnable.</w:t>
                  </w:r>
                </w:p>
                <w:p w:rsidR="00F04EEF" w:rsidRDefault="00F04EEF">
                  <w:pPr>
                    <w:jc w:val="both"/>
                    <w:rPr>
                      <w:rFonts w:cs="Arial"/>
                    </w:rPr>
                  </w:pPr>
                </w:p>
                <w:p w:rsidR="00F04EEF" w:rsidRDefault="0099351E">
                  <w:pPr>
                    <w:jc w:val="both"/>
                    <w:rPr>
                      <w:rFonts w:cs="Arial"/>
                    </w:rPr>
                  </w:pPr>
                  <w:r>
                    <w:rPr>
                      <w:rFonts w:cs="Arial"/>
                    </w:rPr>
                    <w:t>Ce rapport est réalisé par un CPMS ou un autre organisme agréé ou, pour les types 6 et 7, par un médecin spécialiste. Pour le type 5, le rapport est effectué par un pédiatre ou par un médecin référent du service pédiatrie de l’établissement de soins ou de l’institution médico-sociale reconnue par les pouvoirs publics.</w:t>
                  </w:r>
                </w:p>
                <w:p w:rsidR="00F04EEF" w:rsidRDefault="00F04EEF">
                  <w:pPr>
                    <w:jc w:val="both"/>
                    <w:rPr>
                      <w:rFonts w:cs="Arial"/>
                    </w:rPr>
                  </w:pPr>
                </w:p>
                <w:p w:rsidR="00F04EEF" w:rsidRDefault="0099351E">
                  <w:pPr>
                    <w:jc w:val="both"/>
                    <w:rPr>
                      <w:rFonts w:cs="Arial"/>
                    </w:rPr>
                  </w:pPr>
                  <w:r>
                    <w:rPr>
                      <w:rFonts w:cs="Arial"/>
                    </w:rPr>
                    <w:t>Le rapport comprend :</w:t>
                  </w:r>
                </w:p>
                <w:p w:rsidR="00F04EEF" w:rsidRDefault="00F04EEF">
                  <w:pPr>
                    <w:jc w:val="both"/>
                    <w:rPr>
                      <w:rFonts w:cs="Arial"/>
                    </w:rPr>
                  </w:pPr>
                </w:p>
                <w:p w:rsidR="00F04EEF" w:rsidRDefault="0099351E">
                  <w:pPr>
                    <w:numPr>
                      <w:ilvl w:val="0"/>
                      <w:numId w:val="85"/>
                    </w:numPr>
                    <w:suppressAutoHyphens/>
                    <w:ind w:left="0" w:firstLine="0"/>
                    <w:jc w:val="both"/>
                    <w:rPr>
                      <w:rFonts w:cs="Arial"/>
                    </w:rPr>
                  </w:pPr>
                  <w:r>
                    <w:rPr>
                      <w:rFonts w:cs="Arial"/>
                    </w:rPr>
                    <w:t>l’attestation précisant le type d’enseignement,</w:t>
                  </w:r>
                </w:p>
                <w:p w:rsidR="00F04EEF" w:rsidRDefault="0099351E">
                  <w:pPr>
                    <w:numPr>
                      <w:ilvl w:val="0"/>
                      <w:numId w:val="85"/>
                    </w:numPr>
                    <w:suppressAutoHyphens/>
                    <w:ind w:left="0" w:firstLine="0"/>
                    <w:jc w:val="both"/>
                    <w:rPr>
                      <w:rFonts w:cs="Arial"/>
                    </w:rPr>
                  </w:pPr>
                  <w:r>
                    <w:rPr>
                      <w:rFonts w:cs="Arial"/>
                    </w:rPr>
                    <w:t>le protocole justificatif</w:t>
                  </w:r>
                  <w:r>
                    <w:rPr>
                      <w:rStyle w:val="Caractresdenotedebasdepage"/>
                      <w:rFonts w:cs="Arial"/>
                    </w:rPr>
                    <w:footnoteReference w:id="6"/>
                  </w:r>
                  <w:r>
                    <w:rPr>
                      <w:rFonts w:cs="Arial"/>
                    </w:rPr>
                    <w:t>.</w:t>
                  </w:r>
                </w:p>
                <w:p w:rsidR="00F04EEF" w:rsidRDefault="00F04EEF">
                  <w:pPr>
                    <w:suppressAutoHyphens/>
                    <w:jc w:val="both"/>
                    <w:rPr>
                      <w:rFonts w:cs="Arial"/>
                    </w:rPr>
                  </w:pPr>
                </w:p>
                <w:p w:rsidR="00F04EEF" w:rsidRDefault="0099351E">
                  <w:pPr>
                    <w:jc w:val="both"/>
                    <w:rPr>
                      <w:rFonts w:cs="Arial"/>
                    </w:rPr>
                  </w:pPr>
                  <w:r>
                    <w:rPr>
                      <w:rFonts w:cs="Arial"/>
                    </w:rPr>
                    <w:t>Au moment où l'élève quitte l'établissement d'enseignement spécialisé, l'attestation est restituée au chef de famille à sa demande.</w:t>
                  </w:r>
                </w:p>
                <w:p w:rsidR="00F04EEF" w:rsidRDefault="00F04EEF">
                  <w:pPr>
                    <w:jc w:val="both"/>
                    <w:rPr>
                      <w:rFonts w:cs="Arial"/>
                    </w:rPr>
                  </w:pPr>
                </w:p>
                <w:p w:rsidR="00F04EEF" w:rsidRDefault="0099351E">
                  <w:pPr>
                    <w:jc w:val="both"/>
                    <w:rPr>
                      <w:rFonts w:cs="Arial"/>
                    </w:rPr>
                  </w:pPr>
                  <w:r>
                    <w:rPr>
                      <w:rFonts w:cs="Arial"/>
                    </w:rPr>
                    <w:t>Sinon, elle est transmise au chef du nouvel établissement d'enseignement spécialisé fréquenté par l'élève, sans attendre le passage du vérificateur.</w:t>
                  </w:r>
                </w:p>
                <w:p w:rsidR="00F04EEF" w:rsidRDefault="00F04EEF">
                  <w:pPr>
                    <w:jc w:val="both"/>
                    <w:rPr>
                      <w:rFonts w:cs="Arial"/>
                    </w:rPr>
                  </w:pPr>
                </w:p>
                <w:p w:rsidR="00F04EEF" w:rsidRDefault="0099351E">
                  <w:pPr>
                    <w:pBdr>
                      <w:top w:val="single" w:sz="4" w:space="1" w:color="000000"/>
                      <w:left w:val="single" w:sz="4" w:space="4" w:color="000000"/>
                      <w:bottom w:val="single" w:sz="4" w:space="1" w:color="auto"/>
                      <w:right w:val="single" w:sz="4" w:space="4" w:color="000000"/>
                    </w:pBdr>
                    <w:jc w:val="center"/>
                    <w:rPr>
                      <w:rFonts w:cs="Arial"/>
                      <w:b/>
                      <w:u w:val="single"/>
                    </w:rPr>
                  </w:pPr>
                  <w:r>
                    <w:rPr>
                      <w:rFonts w:cs="Arial"/>
                      <w:b/>
                      <w:u w:val="single"/>
                    </w:rPr>
                    <w:t>Attention</w:t>
                  </w:r>
                </w:p>
                <w:p w:rsidR="00F04EEF" w:rsidRDefault="0099351E">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L’article 12, § 3 du </w:t>
                  </w:r>
                  <w:hyperlink r:id="rId15"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rsidR="00F04EEF" w:rsidRDefault="00F04EEF">
                  <w:pPr>
                    <w:pBdr>
                      <w:top w:val="single" w:sz="4" w:space="1" w:color="000000"/>
                      <w:left w:val="single" w:sz="4" w:space="4" w:color="000000"/>
                      <w:bottom w:val="single" w:sz="4" w:space="1" w:color="auto"/>
                      <w:right w:val="single" w:sz="4" w:space="4" w:color="000000"/>
                    </w:pBdr>
                    <w:jc w:val="both"/>
                    <w:rPr>
                      <w:rFonts w:cs="Arial"/>
                    </w:rPr>
                  </w:pPr>
                </w:p>
                <w:p w:rsidR="00F04EEF" w:rsidRDefault="0099351E">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F04EEF" w:rsidRDefault="00F04EEF">
                  <w:pPr>
                    <w:pBdr>
                      <w:top w:val="single" w:sz="4" w:space="1" w:color="000000"/>
                      <w:left w:val="single" w:sz="4" w:space="4" w:color="000000"/>
                      <w:bottom w:val="single" w:sz="4" w:space="1" w:color="auto"/>
                      <w:right w:val="single" w:sz="4" w:space="4" w:color="000000"/>
                    </w:pBdr>
                    <w:jc w:val="both"/>
                    <w:rPr>
                      <w:rFonts w:cs="Arial"/>
                    </w:rPr>
                  </w:pPr>
                </w:p>
                <w:p w:rsidR="00F04EEF" w:rsidRDefault="0099351E">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bookmarkStart w:id="65" w:name="_1.1.3._Refus_d’inscription"/>
                  <w:bookmarkStart w:id="66" w:name="_Toc291075472"/>
                  <w:bookmarkStart w:id="67" w:name="_Toc291075896"/>
                  <w:bookmarkStart w:id="68" w:name="_Toc291076320"/>
                  <w:bookmarkStart w:id="69" w:name="_Toc291076744"/>
                  <w:bookmarkStart w:id="70" w:name="_Toc291077168"/>
                  <w:bookmarkStart w:id="71" w:name="_Toc293652011"/>
                  <w:bookmarkStart w:id="72" w:name="_Toc293653593"/>
                  <w:bookmarkStart w:id="73" w:name="_Toc293654204"/>
                  <w:bookmarkStart w:id="74" w:name="_Toc294004784"/>
                  <w:bookmarkStart w:id="75" w:name="_Toc294185280"/>
                  <w:bookmarkStart w:id="76" w:name="_Toc324767146"/>
                  <w:bookmarkStart w:id="77" w:name="_Toc324768004"/>
                  <w:bookmarkEnd w:id="65"/>
                </w:p>
                <w:p w:rsidR="00F04EEF" w:rsidRDefault="00F04EEF">
                  <w:bookmarkStart w:id="78" w:name="_1.1.3._Refus_d’inscription_1"/>
                  <w:bookmarkEnd w:id="78"/>
                </w:p>
                <w:p w:rsidR="00F04EEF" w:rsidRDefault="00F04EEF">
                  <w:pPr>
                    <w:rPr>
                      <w:rFonts w:eastAsia="Times New Roman" w:cs="Arial"/>
                      <w:b/>
                      <w:u w:val="single"/>
                      <w:lang w:eastAsia="ar-SA"/>
                    </w:rPr>
                  </w:pPr>
                </w:p>
                <w:p w:rsidR="00F04EEF" w:rsidRDefault="0099351E">
                  <w:pPr>
                    <w:rPr>
                      <w:rFonts w:eastAsia="Times New Roman" w:cs="Arial"/>
                      <w:b/>
                      <w:u w:val="single"/>
                      <w:lang w:eastAsia="ar-SA"/>
                    </w:rPr>
                  </w:pPr>
                  <w:r>
                    <w:br w:type="page"/>
                  </w:r>
                </w:p>
                <w:p w:rsidR="00F04EEF" w:rsidRDefault="0099351E">
                  <w:pPr>
                    <w:pStyle w:val="Titre5"/>
                  </w:pPr>
                  <w:r>
                    <w:t>1.1.3. Refus d’inscription</w:t>
                  </w:r>
                  <w:bookmarkEnd w:id="66"/>
                  <w:bookmarkEnd w:id="67"/>
                  <w:bookmarkEnd w:id="68"/>
                  <w:bookmarkEnd w:id="69"/>
                  <w:bookmarkEnd w:id="70"/>
                  <w:bookmarkEnd w:id="71"/>
                  <w:bookmarkEnd w:id="72"/>
                  <w:bookmarkEnd w:id="73"/>
                  <w:bookmarkEnd w:id="74"/>
                  <w:bookmarkEnd w:id="75"/>
                  <w:bookmarkEnd w:id="76"/>
                  <w:bookmarkEnd w:id="77"/>
                </w:p>
                <w:p w:rsidR="00F04EEF" w:rsidRDefault="00F04EEF">
                  <w:pPr>
                    <w:rPr>
                      <w:rFonts w:cs="Arial"/>
                      <w:b/>
                      <w:color w:val="008000"/>
                      <w:u w:val="single"/>
                    </w:rPr>
                  </w:pPr>
                </w:p>
                <w:p w:rsidR="00F04EEF" w:rsidRDefault="0099351E">
                  <w:pPr>
                    <w:pStyle w:val="Titre6"/>
                  </w:pPr>
                  <w:bookmarkStart w:id="79" w:name="_1.1.3.1._L’attestation_de"/>
                  <w:bookmarkStart w:id="80" w:name="_Toc291075473"/>
                  <w:bookmarkStart w:id="81" w:name="_Toc291075897"/>
                  <w:bookmarkStart w:id="82" w:name="_Toc291076321"/>
                  <w:bookmarkStart w:id="83" w:name="_Toc291076745"/>
                  <w:bookmarkStart w:id="84" w:name="_Toc291077169"/>
                  <w:bookmarkStart w:id="85" w:name="_Toc293652012"/>
                  <w:bookmarkStart w:id="86" w:name="_Toc293653594"/>
                  <w:bookmarkStart w:id="87" w:name="_Toc293654205"/>
                  <w:bookmarkStart w:id="88" w:name="_Toc294004785"/>
                  <w:bookmarkStart w:id="89" w:name="_Toc294185281"/>
                  <w:bookmarkStart w:id="90" w:name="_Toc324767147"/>
                  <w:bookmarkStart w:id="91" w:name="_Toc324768005"/>
                  <w:bookmarkEnd w:id="79"/>
                  <w:r>
                    <w:t>1.1.3.1. L’attestation de demande d’inscription</w:t>
                  </w:r>
                  <w:bookmarkEnd w:id="80"/>
                  <w:bookmarkEnd w:id="81"/>
                  <w:bookmarkEnd w:id="82"/>
                  <w:bookmarkEnd w:id="83"/>
                  <w:bookmarkEnd w:id="84"/>
                  <w:bookmarkEnd w:id="85"/>
                  <w:bookmarkEnd w:id="86"/>
                  <w:bookmarkEnd w:id="87"/>
                  <w:bookmarkEnd w:id="88"/>
                  <w:bookmarkEnd w:id="89"/>
                  <w:bookmarkEnd w:id="90"/>
                  <w:bookmarkEnd w:id="91"/>
                </w:p>
                <w:p w:rsidR="00F04EEF" w:rsidRDefault="00F04EEF">
                  <w:pPr>
                    <w:jc w:val="both"/>
                    <w:rPr>
                      <w:rFonts w:cs="Arial"/>
                      <w:b/>
                    </w:rPr>
                  </w:pPr>
                </w:p>
                <w:p w:rsidR="00F04EEF" w:rsidRDefault="0099351E">
                  <w:pPr>
                    <w:jc w:val="both"/>
                    <w:rPr>
                      <w:rFonts w:cs="Arial"/>
                      <w:b/>
                    </w:rPr>
                  </w:pPr>
                  <w:r>
                    <w:rPr>
                      <w:rFonts w:cs="Arial"/>
                      <w:b/>
                    </w:rPr>
                    <w:t>Quel que soit le moment de l’année, le chef d’établissement qui ne peut inscrire un élève qui en fait la demande est tenu de lui remettre une attestation de demande d’inscription</w:t>
                  </w:r>
                  <w:r>
                    <w:rPr>
                      <w:rStyle w:val="Caractresdenotedebasdepage"/>
                      <w:rFonts w:cs="Arial"/>
                      <w:b/>
                    </w:rPr>
                    <w:footnoteReference w:id="7"/>
                  </w:r>
                  <w:r>
                    <w:rPr>
                      <w:rFonts w:cs="Arial"/>
                      <w:b/>
                    </w:rPr>
                    <w:t xml:space="preserve">. </w:t>
                  </w:r>
                </w:p>
                <w:p w:rsidR="00F04EEF" w:rsidRDefault="00F04EEF">
                  <w:pPr>
                    <w:pStyle w:val="Corpsdetexte21"/>
                    <w:jc w:val="both"/>
                    <w:rPr>
                      <w:rFonts w:asciiTheme="majorHAnsi" w:hAnsiTheme="majorHAnsi"/>
                      <w:sz w:val="22"/>
                      <w:szCs w:val="22"/>
                    </w:rPr>
                  </w:pPr>
                </w:p>
                <w:p w:rsidR="00F04EEF" w:rsidRDefault="0099351E">
                  <w:pPr>
                    <w:jc w:val="both"/>
                    <w:rPr>
                      <w:rFonts w:cs="Arial"/>
                      <w:u w:val="single"/>
                    </w:rPr>
                  </w:pPr>
                  <w:r>
                    <w:rPr>
                      <w:rFonts w:cs="Arial"/>
                      <w:u w:val="single"/>
                    </w:rPr>
                    <w:t>L’attestation de demande d’inscription comprend :</w:t>
                  </w:r>
                </w:p>
                <w:p w:rsidR="00F04EEF" w:rsidRDefault="00F04EEF">
                  <w:pPr>
                    <w:jc w:val="both"/>
                    <w:rPr>
                      <w:rFonts w:cs="Arial"/>
                      <w:u w:val="single"/>
                    </w:rPr>
                  </w:pPr>
                </w:p>
                <w:p w:rsidR="00F04EEF" w:rsidRDefault="0099351E">
                  <w:pPr>
                    <w:numPr>
                      <w:ilvl w:val="0"/>
                      <w:numId w:val="101"/>
                    </w:numPr>
                    <w:tabs>
                      <w:tab w:val="clear" w:pos="360"/>
                      <w:tab w:val="num" w:pos="851"/>
                    </w:tabs>
                    <w:suppressAutoHyphens/>
                    <w:ind w:left="851" w:hanging="284"/>
                    <w:jc w:val="both"/>
                    <w:rPr>
                      <w:rFonts w:cs="Arial"/>
                    </w:rPr>
                  </w:pPr>
                  <w:r>
                    <w:rPr>
                      <w:rFonts w:cs="Arial"/>
                      <w:b/>
                    </w:rPr>
                    <w:t>les motifs du refus</w:t>
                  </w:r>
                  <w:r>
                    <w:rPr>
                      <w:rFonts w:cs="Arial"/>
                    </w:rPr>
                    <w:t>,</w:t>
                  </w:r>
                </w:p>
                <w:p w:rsidR="00F04EEF" w:rsidRDefault="0099351E">
                  <w:pPr>
                    <w:numPr>
                      <w:ilvl w:val="0"/>
                      <w:numId w:val="101"/>
                    </w:numPr>
                    <w:tabs>
                      <w:tab w:val="clear" w:pos="360"/>
                      <w:tab w:val="num" w:pos="851"/>
                    </w:tabs>
                    <w:suppressAutoHyphens/>
                    <w:ind w:left="851" w:hanging="284"/>
                    <w:jc w:val="both"/>
                    <w:rPr>
                      <w:rFonts w:cs="Arial"/>
                    </w:rPr>
                  </w:pPr>
                  <w:r>
                    <w:rPr>
                      <w:rFonts w:cs="Arial"/>
                      <w:b/>
                    </w:rPr>
                    <w:t>l’indication des services</w:t>
                  </w:r>
                  <w:r>
                    <w:rPr>
                      <w:rFonts w:cs="Arial"/>
                    </w:rPr>
                    <w:t xml:space="preserve"> (les Commissions d’inscription) où les parents de l’élève ou la personne investie de l’autorité parentale peuvent obtenir une assistance en vue d’une inscription dans un établissement organisé ou subventionné par la Fédération Wallonie-Bruxelles.</w:t>
                  </w:r>
                </w:p>
                <w:p w:rsidR="00F04EEF" w:rsidRDefault="00F04EEF">
                  <w:pPr>
                    <w:jc w:val="both"/>
                    <w:rPr>
                      <w:rFonts w:cs="Arial"/>
                      <w:u w:val="single"/>
                    </w:rPr>
                  </w:pPr>
                </w:p>
                <w:p w:rsidR="00F04EEF" w:rsidRDefault="0099351E">
                  <w:pPr>
                    <w:jc w:val="both"/>
                    <w:rPr>
                      <w:rFonts w:cs="Arial"/>
                      <w:u w:val="single"/>
                    </w:rPr>
                  </w:pPr>
                  <w:r>
                    <w:rPr>
                      <w:rFonts w:cs="Arial"/>
                      <w:u w:val="single"/>
                    </w:rPr>
                    <w:t>Il existe 3 cas de figure :</w:t>
                  </w:r>
                </w:p>
                <w:p w:rsidR="00F04EEF" w:rsidRDefault="0099351E">
                  <w:pPr>
                    <w:jc w:val="both"/>
                    <w:rPr>
                      <w:rFonts w:cs="Arial"/>
                      <w:u w:val="single"/>
                    </w:rPr>
                  </w:pPr>
                  <w:r>
                    <w:rPr>
                      <w:rFonts w:cs="Arial"/>
                      <w:b/>
                      <w:noProof/>
                      <w:lang w:eastAsia="fr-BE"/>
                    </w:rPr>
                    <mc:AlternateContent>
                      <mc:Choice Requires="wps">
                        <w:drawing>
                          <wp:anchor distT="0" distB="0" distL="114300" distR="114300" simplePos="0" relativeHeight="252141568" behindDoc="0" locked="0" layoutInCell="1" allowOverlap="1">
                            <wp:simplePos x="0" y="0"/>
                            <wp:positionH relativeFrom="column">
                              <wp:posOffset>6243320</wp:posOffset>
                            </wp:positionH>
                            <wp:positionV relativeFrom="paragraph">
                              <wp:posOffset>202565</wp:posOffset>
                            </wp:positionV>
                            <wp:extent cx="0" cy="152400"/>
                            <wp:effectExtent l="0" t="0" r="19050" b="19050"/>
                            <wp:wrapNone/>
                            <wp:docPr id="459" name="Connecteur droit 45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E14C96" id="Connecteur droit 459" o:spid="_x0000_s1026" style="position:absolute;z-index:252141568;visibility:visible;mso-wrap-style:square;mso-wrap-distance-left:9pt;mso-wrap-distance-top:0;mso-wrap-distance-right:9pt;mso-wrap-distance-bottom:0;mso-position-horizontal:absolute;mso-position-horizontal-relative:text;mso-position-vertical:absolute;mso-position-vertical-relative:text" from="491.6pt,15.95pt" to="491.6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" strokecolor="black [3213]"/>
                        </w:pict>
                      </mc:Fallback>
                    </mc:AlternateContent>
                  </w:r>
                </w:p>
                <w:p w:rsidR="00F04EEF" w:rsidRDefault="0099351E">
                  <w:pPr>
                    <w:ind w:left="993" w:hanging="426"/>
                    <w:jc w:val="both"/>
                    <w:rPr>
                      <w:rFonts w:cs="Arial"/>
                    </w:rPr>
                  </w:pPr>
                  <w:r>
                    <w:rPr>
                      <w:rFonts w:cs="Arial"/>
                      <w:b/>
                    </w:rPr>
                    <w:t>a)</w:t>
                  </w:r>
                  <w:r>
                    <w:rPr>
                      <w:rFonts w:cs="Arial"/>
                    </w:rPr>
                    <w:t xml:space="preserve"> Le chef d’un établissement organisé par la Wallonie-Bruxelles Enseignement (WBE) transmet immédiatement copie de l’attestation à l’une des commissions zonales des inscriptions.</w:t>
                  </w:r>
                </w:p>
                <w:p w:rsidR="00F04EEF" w:rsidRDefault="0099351E">
                  <w:pPr>
                    <w:ind w:left="993" w:hanging="426"/>
                    <w:jc w:val="both"/>
                    <w:rPr>
                      <w:rFonts w:cs="Arial"/>
                    </w:rPr>
                  </w:pPr>
                  <w:r>
                    <w:rPr>
                      <w:rFonts w:cs="Arial"/>
                      <w:b/>
                    </w:rPr>
                    <w:t>b)</w:t>
                  </w:r>
                  <w:r>
                    <w:rPr>
                      <w:rFonts w:cs="Arial"/>
                    </w:rPr>
                    <w:t xml:space="preserve"> 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rsidR="00F04EEF" w:rsidRDefault="0099351E">
                  <w:pPr>
                    <w:ind w:left="993" w:hanging="426"/>
                    <w:jc w:val="both"/>
                    <w:rPr>
                      <w:rFonts w:cs="Arial"/>
                    </w:rPr>
                  </w:pPr>
                  <w:r>
                    <w:rPr>
                      <w:rFonts w:cs="Arial"/>
                      <w:b/>
                    </w:rPr>
                    <w:t>c)</w:t>
                  </w:r>
                  <w:r>
                    <w:rPr>
                      <w:rFonts w:cs="Arial"/>
                    </w:rPr>
                    <w:t xml:space="preserve"> Dans l’enseignement subventionné, lorsque le pouvoir organisateur n’a pas adhéré à un organe de représentation et de coordination, il (ou son délégué) transmet l’attestation à la Direction générale de l’enseignement obligatoire.</w:t>
                  </w:r>
                </w:p>
                <w:p w:rsidR="00F04EEF" w:rsidRDefault="00F04EEF">
                  <w:pPr>
                    <w:jc w:val="both"/>
                    <w:rPr>
                      <w:rFonts w:cs="Arial"/>
                      <w:b/>
                      <w:u w:val="single"/>
                    </w:rPr>
                  </w:pPr>
                </w:p>
                <w:p w:rsidR="00F04EEF" w:rsidRDefault="0099351E">
                  <w:pPr>
                    <w:jc w:val="both"/>
                    <w:rPr>
                      <w:rFonts w:cs="Arial"/>
                      <w:b/>
                      <w:u w:val="single"/>
                    </w:rPr>
                  </w:pPr>
                  <w:r>
                    <w:rPr>
                      <w:rFonts w:cs="Arial"/>
                      <w:b/>
                      <w:u w:val="single"/>
                    </w:rPr>
                    <w:t>Motifs de refus</w:t>
                  </w:r>
                </w:p>
                <w:p w:rsidR="00F04EEF" w:rsidRDefault="00F04EEF">
                  <w:pPr>
                    <w:jc w:val="both"/>
                    <w:rPr>
                      <w:rFonts w:cs="Arial"/>
                    </w:rPr>
                  </w:pPr>
                </w:p>
                <w:p w:rsidR="00F04EEF" w:rsidRDefault="0099351E">
                  <w:pPr>
                    <w:jc w:val="both"/>
                    <w:rPr>
                      <w:rFonts w:cs="Arial"/>
                    </w:rPr>
                  </w:pPr>
                  <w:r>
                    <w:rPr>
                      <w:rFonts w:cs="Arial"/>
                    </w:rPr>
                    <w:t>Un chef d’établissement ou un pouvoir organisateur n’est pas tenu d’inscrire :</w:t>
                  </w:r>
                </w:p>
                <w:p w:rsidR="00F04EEF" w:rsidRDefault="00F04EEF">
                  <w:pPr>
                    <w:jc w:val="both"/>
                    <w:rPr>
                      <w:rFonts w:cs="Arial"/>
                    </w:rPr>
                  </w:pPr>
                </w:p>
                <w:p w:rsidR="00F04EEF" w:rsidRDefault="0099351E">
                  <w:pPr>
                    <w:numPr>
                      <w:ilvl w:val="0"/>
                      <w:numId w:val="79"/>
                    </w:numPr>
                    <w:suppressAutoHyphens/>
                    <w:ind w:left="624" w:firstLine="0"/>
                    <w:jc w:val="both"/>
                    <w:rPr>
                      <w:rFonts w:cs="Arial"/>
                    </w:rPr>
                  </w:pPr>
                  <w:r>
                    <w:rPr>
                      <w:rFonts w:cs="Arial"/>
                    </w:rPr>
                    <w:t>l’élève qui ne répond pas aux conditions d’admission ;</w:t>
                  </w:r>
                </w:p>
                <w:p w:rsidR="00F04EEF" w:rsidRDefault="0099351E">
                  <w:pPr>
                    <w:pStyle w:val="Corpsdetexte21"/>
                    <w:numPr>
                      <w:ilvl w:val="0"/>
                      <w:numId w:val="79"/>
                    </w:numPr>
                    <w:ind w:left="624" w:firstLine="0"/>
                    <w:jc w:val="both"/>
                    <w:rPr>
                      <w:rFonts w:asciiTheme="minorHAnsi" w:eastAsiaTheme="minorHAnsi" w:hAnsiTheme="minorHAnsi"/>
                      <w:sz w:val="22"/>
                      <w:szCs w:val="22"/>
                      <w:lang w:eastAsia="en-US"/>
                    </w:rPr>
                  </w:pPr>
                  <w:r>
                    <w:rPr>
                      <w:rFonts w:asciiTheme="minorHAnsi" w:eastAsiaTheme="minorHAnsi" w:hAnsiTheme="minorHAnsi"/>
                      <w:sz w:val="22"/>
                      <w:szCs w:val="22"/>
                      <w:lang w:eastAsia="en-US"/>
                    </w:rPr>
                    <w:t>en cas d’insuffisance de locaux disponibles ;</w:t>
                  </w:r>
                </w:p>
                <w:p w:rsidR="00F04EEF" w:rsidRDefault="0099351E">
                  <w:pPr>
                    <w:pStyle w:val="Corpsdetexte21"/>
                    <w:numPr>
                      <w:ilvl w:val="0"/>
                      <w:numId w:val="113"/>
                    </w:numPr>
                    <w:tabs>
                      <w:tab w:val="clear" w:pos="357"/>
                      <w:tab w:val="num" w:pos="1260"/>
                    </w:tabs>
                    <w:ind w:left="2337" w:hanging="409"/>
                    <w:jc w:val="both"/>
                    <w:rPr>
                      <w:rFonts w:asciiTheme="minorHAnsi" w:eastAsiaTheme="minorHAnsi" w:hAnsiTheme="minorHAnsi"/>
                      <w:sz w:val="22"/>
                      <w:szCs w:val="22"/>
                      <w:lang w:eastAsia="en-US"/>
                    </w:rPr>
                  </w:pPr>
                  <w:r>
                    <w:rPr>
                      <w:rFonts w:asciiTheme="minorHAnsi" w:eastAsiaTheme="minorHAnsi" w:hAnsiTheme="minorHAnsi"/>
                      <w:sz w:val="22"/>
                      <w:szCs w:val="22"/>
                      <w:lang w:eastAsia="en-US"/>
                    </w:rPr>
                    <w:t>Lorsqu’une école doit, pour des raisons d’insuffisance de locaux disponibles uniquement, limiter le nombre d’élèves qu’elle accueille, le chef d’établissement dans l’enseignement organisé par la Fédération Wallonie-Bruxelles, le pouvoir organisateur dans l’enseignement subventionné, en informe immédiatement la Direction générale de l’enseignement obligatoire.</w:t>
                  </w:r>
                </w:p>
                <w:p w:rsidR="00F04EEF" w:rsidRDefault="0099351E">
                  <w:pPr>
                    <w:pStyle w:val="Corpsdetexte21"/>
                    <w:ind w:left="2337"/>
                    <w:jc w:val="both"/>
                    <w:rPr>
                      <w:rFonts w:asciiTheme="minorHAnsi" w:eastAsiaTheme="minorHAnsi" w:hAnsiTheme="minorHAnsi"/>
                      <w:sz w:val="22"/>
                      <w:szCs w:val="22"/>
                      <w:lang w:eastAsia="en-US"/>
                    </w:rPr>
                  </w:pPr>
                  <w:r>
                    <w:rPr>
                      <w:rFonts w:asciiTheme="minorHAnsi" w:eastAsiaTheme="minorHAnsi" w:hAnsiTheme="minorHAnsi"/>
                      <w:sz w:val="22"/>
                      <w:szCs w:val="22"/>
                      <w:lang w:eastAsia="en-US"/>
                    </w:rPr>
                    <w:t xml:space="preserve">Ce signalement doit s’effectuer  via le formulaire prévu </w:t>
                  </w:r>
                  <w:r>
                    <w:rPr>
                      <w:rFonts w:asciiTheme="minorHAnsi" w:eastAsiaTheme="minorHAnsi" w:hAnsiTheme="minorHAnsi"/>
                      <w:lang w:eastAsia="en-US"/>
                    </w:rPr>
                    <w:footnoteReference w:id="8"/>
                  </w:r>
                  <w:r>
                    <w:rPr>
                      <w:rFonts w:asciiTheme="minorHAnsi" w:eastAsiaTheme="minorHAnsi" w:hAnsiTheme="minorHAnsi"/>
                      <w:sz w:val="22"/>
                      <w:szCs w:val="22"/>
                      <w:lang w:eastAsia="en-US"/>
                    </w:rPr>
                    <w:t xml:space="preserve"> </w:t>
                  </w:r>
                </w:p>
                <w:p w:rsidR="00F04EEF" w:rsidRDefault="0099351E">
                  <w:pPr>
                    <w:numPr>
                      <w:ilvl w:val="0"/>
                      <w:numId w:val="79"/>
                    </w:numPr>
                    <w:tabs>
                      <w:tab w:val="clear" w:pos="360"/>
                      <w:tab w:val="num" w:pos="709"/>
                    </w:tabs>
                    <w:suppressAutoHyphens/>
                    <w:ind w:left="907" w:hanging="283"/>
                    <w:jc w:val="both"/>
                    <w:rPr>
                      <w:rFonts w:cs="Arial"/>
                    </w:rPr>
                  </w:pPr>
                  <w:r>
                    <w:rPr>
                      <w:rFonts w:cs="Arial"/>
                    </w:rPr>
                    <w:t xml:space="preserve">l’élève majeur (ou les parents qui le représentent) qui refuse de signer le document par lequel il souscrit aux droits et obligations figurant dans les projets éducatif, pédagogique, d’établissement, ainsi que dans les règlements des études et d’ordre intérieur ; </w:t>
                  </w:r>
                </w:p>
                <w:p w:rsidR="00F04EEF" w:rsidRDefault="0099351E">
                  <w:pPr>
                    <w:numPr>
                      <w:ilvl w:val="0"/>
                      <w:numId w:val="79"/>
                    </w:numPr>
                    <w:tabs>
                      <w:tab w:val="clear" w:pos="360"/>
                      <w:tab w:val="num" w:pos="709"/>
                    </w:tabs>
                    <w:suppressAutoHyphens/>
                    <w:ind w:left="907" w:hanging="283"/>
                    <w:jc w:val="both"/>
                    <w:rPr>
                      <w:rFonts w:cs="Arial"/>
                    </w:rPr>
                  </w:pPr>
                  <w:r>
                    <w:rPr>
                      <w:rFonts w:cs="Arial"/>
                    </w:rPr>
                    <w:t>l’élève majeur qui a été exclu définitivement d’un établissement scolaire alors qu’il était majeur ;</w:t>
                  </w:r>
                </w:p>
                <w:p w:rsidR="00F04EEF" w:rsidRDefault="0099351E">
                  <w:pPr>
                    <w:numPr>
                      <w:ilvl w:val="0"/>
                      <w:numId w:val="79"/>
                    </w:numPr>
                    <w:tabs>
                      <w:tab w:val="clear" w:pos="360"/>
                      <w:tab w:val="num" w:pos="709"/>
                    </w:tabs>
                    <w:suppressAutoHyphens/>
                    <w:ind w:left="907" w:hanging="283"/>
                    <w:jc w:val="both"/>
                    <w:rPr>
                      <w:rFonts w:cs="Arial"/>
                    </w:rPr>
                  </w:pPr>
                  <w:r>
                    <w:rPr>
                      <w:rFonts w:cs="Arial"/>
                    </w:rPr>
                    <w:t>au sein du 1er degré de l’enseignement secondaire de forme 4, l’élève orienté vers l’année supplémentaire.</w:t>
                  </w:r>
                </w:p>
                <w:p w:rsidR="00F04EEF" w:rsidRDefault="0099351E">
                  <w:pPr>
                    <w:jc w:val="both"/>
                    <w:rPr>
                      <w:rFonts w:cs="Arial"/>
                    </w:rPr>
                  </w:pPr>
                  <w:r>
                    <w:rPr>
                      <w:rFonts w:cs="Arial"/>
                      <w:noProof/>
                      <w:lang w:eastAsia="fr-BE"/>
                    </w:rPr>
                    <mc:AlternateContent>
                      <mc:Choice Requires="wps">
                        <w:drawing>
                          <wp:anchor distT="0" distB="0" distL="114300" distR="114300" simplePos="0" relativeHeight="252142592" behindDoc="0" locked="0" layoutInCell="1" allowOverlap="1">
                            <wp:simplePos x="0" y="0"/>
                            <wp:positionH relativeFrom="column">
                              <wp:posOffset>6243320</wp:posOffset>
                            </wp:positionH>
                            <wp:positionV relativeFrom="paragraph">
                              <wp:posOffset>150495</wp:posOffset>
                            </wp:positionV>
                            <wp:extent cx="0" cy="304800"/>
                            <wp:effectExtent l="0" t="0" r="19050" b="19050"/>
                            <wp:wrapNone/>
                            <wp:docPr id="460" name="Connecteur droit 460"/>
                            <wp:cNvGraphicFramePr/>
                            <a:graphic xmlns:a="http://schemas.openxmlformats.org/drawingml/2006/main">
                              <a:graphicData uri="http://schemas.microsoft.com/office/word/2010/wordprocessingShape">
                                <wps:wsp>
                                  <wps:cNvCnPr/>
                                  <wps:spPr>
                                    <a:xfrm>
                                      <a:off x="0" y="0"/>
                                      <a:ext cx="0" cy="30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EE49BB" id="Connecteur droit 460" o:spid="_x0000_s1026" style="position:absolute;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1.6pt,11.85pt" to="491.6pt,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" strokecolor="black [3213]"/>
                        </w:pict>
                      </mc:Fallback>
                    </mc:AlternateContent>
                  </w:r>
                </w:p>
                <w:p w:rsidR="00F04EEF" w:rsidRDefault="0099351E">
                  <w:pPr>
                    <w:jc w:val="both"/>
                    <w:rPr>
                      <w:rFonts w:cs="Arial"/>
                    </w:rPr>
                  </w:pPr>
                  <w:r>
                    <w:rPr>
                      <w:rFonts w:cs="Arial"/>
                    </w:rPr>
                    <w:t xml:space="preserve">L’Administration </w:t>
                  </w:r>
                  <w:r>
                    <w:rPr>
                      <w:rFonts w:cs="Arial"/>
                      <w:b/>
                    </w:rPr>
                    <w:t>n’est tenue</w:t>
                  </w:r>
                  <w:r>
                    <w:rPr>
                      <w:rFonts w:cs="Arial"/>
                    </w:rPr>
                    <w:t xml:space="preserve"> de faire inscrire dans un établissement organisé par Wallonie-Bruxelles Enseignement (WBE) l'élève exclu d'un établissement d'enseignement subventionné qui sollicite son inscription </w:t>
                  </w:r>
                  <w:r>
                    <w:t xml:space="preserve">après </w:t>
                  </w:r>
                  <w:r>
                    <w:rPr>
                      <w:b/>
                    </w:rPr>
                    <w:t>le 1er jour ouvrable scolaire</w:t>
                  </w:r>
                  <w:r>
                    <w:t xml:space="preserve"> de septembre</w:t>
                  </w:r>
                  <w:r>
                    <w:rPr>
                      <w:rFonts w:cs="Arial"/>
                    </w:rPr>
                    <w:t xml:space="preserve">, </w:t>
                  </w:r>
                  <w:r>
                    <w:rPr>
                      <w:rFonts w:cs="Arial"/>
                      <w:b/>
                    </w:rPr>
                    <w:t xml:space="preserve">que s'il </w:t>
                  </w:r>
                  <w:r>
                    <w:rPr>
                      <w:rFonts w:cs="Arial"/>
                    </w:rPr>
                    <w:t>a épuisé les procédures prévues aux articles 89 et 90 du décret « missions ».</w:t>
                  </w:r>
                </w:p>
                <w:p w:rsidR="00F04EEF" w:rsidRDefault="0099351E">
                  <w:pPr>
                    <w:rPr>
                      <w:rFonts w:cs="Arial"/>
                    </w:rPr>
                  </w:pPr>
                  <w:r>
                    <w:rPr>
                      <w:rFonts w:cs="Arial"/>
                    </w:rPr>
                    <w:br w:type="page"/>
                  </w:r>
                </w:p>
                <w:p w:rsidR="00F04EEF" w:rsidRDefault="00F04EEF">
                  <w:pPr>
                    <w:jc w:val="both"/>
                    <w:rPr>
                      <w:rFonts w:cs="Arial"/>
                    </w:rPr>
                  </w:pPr>
                </w:p>
                <w:p w:rsidR="00F04EEF" w:rsidRDefault="0099351E">
                  <w:pPr>
                    <w:pBdr>
                      <w:top w:val="single" w:sz="4" w:space="1" w:color="000000"/>
                      <w:left w:val="single" w:sz="4" w:space="4" w:color="000000"/>
                      <w:bottom w:val="single" w:sz="4" w:space="0" w:color="000000"/>
                      <w:right w:val="single" w:sz="4" w:space="4" w:color="000000"/>
                    </w:pBdr>
                    <w:jc w:val="both"/>
                    <w:rPr>
                      <w:rFonts w:cs="Arial"/>
                      <w:b/>
                      <w:u w:val="single"/>
                    </w:rPr>
                  </w:pPr>
                  <w:proofErr w:type="gramStart"/>
                  <w:r>
                    <w:rPr>
                      <w:rFonts w:cs="Arial"/>
                      <w:b/>
                      <w:u w:val="single"/>
                    </w:rPr>
                    <w:t>Remarques</w:t>
                  </w:r>
                  <w:proofErr w:type="gramEnd"/>
                  <w:r>
                    <w:rPr>
                      <w:rFonts w:cs="Arial"/>
                      <w:b/>
                      <w:u w:val="single"/>
                    </w:rPr>
                    <w:t> :</w:t>
                  </w:r>
                </w:p>
                <w:p w:rsidR="00F04EEF" w:rsidRDefault="0099351E">
                  <w:pPr>
                    <w:pBdr>
                      <w:top w:val="single" w:sz="4" w:space="1" w:color="000000"/>
                      <w:left w:val="single" w:sz="4" w:space="4" w:color="000000"/>
                      <w:bottom w:val="single" w:sz="4" w:space="0" w:color="000000"/>
                      <w:right w:val="single" w:sz="4" w:space="4" w:color="000000"/>
                    </w:pBdr>
                    <w:jc w:val="both"/>
                    <w:rPr>
                      <w:rFonts w:cs="Arial"/>
                      <w:b/>
                      <w:u w:val="single"/>
                    </w:rPr>
                  </w:pPr>
                  <w:r>
                    <w:rPr>
                      <w:rFonts w:cs="Arial"/>
                    </w:rPr>
                    <w:t>L'introduction d'un recours contre une décision d'exclusion communiquée au début du mois de septembre ne dispense pas les parents ou la personne investie de l'autorité parentale, dans le cas d'un élève mineur, de l'inscrire dans un autre établissement ;</w:t>
                  </w:r>
                </w:p>
                <w:p w:rsidR="00F04EEF" w:rsidRDefault="00F04EEF">
                  <w:pPr>
                    <w:pBdr>
                      <w:top w:val="single" w:sz="4" w:space="1" w:color="000000"/>
                      <w:left w:val="single" w:sz="4" w:space="4" w:color="000000"/>
                      <w:bottom w:val="single" w:sz="4" w:space="0" w:color="000000"/>
                      <w:right w:val="single" w:sz="4" w:space="4" w:color="000000"/>
                    </w:pBdr>
                    <w:jc w:val="both"/>
                    <w:rPr>
                      <w:rFonts w:cs="Arial"/>
                      <w:b/>
                      <w:u w:val="single"/>
                    </w:rPr>
                  </w:pPr>
                </w:p>
                <w:p w:rsidR="00F04EEF" w:rsidRDefault="0099351E">
                  <w:pPr>
                    <w:pBdr>
                      <w:top w:val="single" w:sz="4" w:space="1" w:color="000000"/>
                      <w:left w:val="single" w:sz="4" w:space="4" w:color="000000"/>
                      <w:bottom w:val="single" w:sz="4" w:space="0" w:color="000000"/>
                      <w:right w:val="single" w:sz="4" w:space="4" w:color="000000"/>
                    </w:pBdr>
                    <w:jc w:val="both"/>
                    <w:rPr>
                      <w:rFonts w:cs="Arial"/>
                      <w:b/>
                      <w:u w:val="single"/>
                    </w:rPr>
                  </w:pPr>
                  <w:r>
                    <w:t>A défaut d’avoir respecté la procédure d’exclusion, un établissement ne peut procéder à un refus de réinscription.</w:t>
                  </w:r>
                </w:p>
                <w:p w:rsidR="00F04EEF" w:rsidRDefault="00F04EEF">
                  <w:bookmarkStart w:id="92" w:name="_2.1.2.5._Inscription_des"/>
                  <w:bookmarkStart w:id="93" w:name="_1.1.4._Transmission_des"/>
                  <w:bookmarkStart w:id="94" w:name="_Toc291075474"/>
                  <w:bookmarkStart w:id="95" w:name="_Toc291075898"/>
                  <w:bookmarkStart w:id="96" w:name="_Toc291076322"/>
                  <w:bookmarkStart w:id="97" w:name="_Toc291076746"/>
                  <w:bookmarkStart w:id="98" w:name="_Toc291077170"/>
                  <w:bookmarkStart w:id="99" w:name="_Toc293652013"/>
                  <w:bookmarkStart w:id="100" w:name="_Toc293653595"/>
                  <w:bookmarkStart w:id="101" w:name="_Toc293654206"/>
                  <w:bookmarkStart w:id="102" w:name="_Toc294004786"/>
                  <w:bookmarkStart w:id="103" w:name="_Toc294185282"/>
                  <w:bookmarkStart w:id="104" w:name="_Toc324767148"/>
                  <w:bookmarkStart w:id="105" w:name="_Toc324768006"/>
                  <w:bookmarkEnd w:id="92"/>
                  <w:bookmarkEnd w:id="93"/>
                </w:p>
                <w:p w:rsidR="00F04EEF" w:rsidRDefault="0099351E">
                  <w:r>
                    <w:rPr>
                      <w:noProof/>
                      <w:lang w:eastAsia="fr-BE"/>
                    </w:rPr>
                    <mc:AlternateContent>
                      <mc:Choice Requires="wps">
                        <w:drawing>
                          <wp:anchor distT="0" distB="0" distL="114300" distR="114300" simplePos="0" relativeHeight="252143616" behindDoc="0" locked="0" layoutInCell="1" allowOverlap="1">
                            <wp:simplePos x="0" y="0"/>
                            <wp:positionH relativeFrom="column">
                              <wp:posOffset>6281420</wp:posOffset>
                            </wp:positionH>
                            <wp:positionV relativeFrom="paragraph">
                              <wp:posOffset>135255</wp:posOffset>
                            </wp:positionV>
                            <wp:extent cx="0" cy="247650"/>
                            <wp:effectExtent l="0" t="0" r="19050" b="19050"/>
                            <wp:wrapNone/>
                            <wp:docPr id="461" name="Connecteur droit 461"/>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1385E8" id="Connecteur droit 461" o:spid="_x0000_s1026" style="position:absolute;z-index:252143616;visibility:visible;mso-wrap-style:square;mso-wrap-distance-left:9pt;mso-wrap-distance-top:0;mso-wrap-distance-right:9pt;mso-wrap-distance-bottom:0;mso-position-horizontal:absolute;mso-position-horizontal-relative:text;mso-position-vertical:absolute;mso-position-vertical-relative:text" from="494.6pt,10.65pt" to="494.6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" strokecolor="black [3213]"/>
                        </w:pict>
                      </mc:Fallback>
                    </mc:AlternateContent>
                  </w:r>
                </w:p>
                <w:p w:rsidR="00F04EEF" w:rsidRDefault="0099351E">
                  <w:pPr>
                    <w:pStyle w:val="Titre5"/>
                  </w:pPr>
                  <w:bookmarkStart w:id="106" w:name="_1.1.4._Inscription_des"/>
                  <w:bookmarkEnd w:id="106"/>
                  <w:r>
                    <w:t>1.1.4. Inscription des enfants malades</w:t>
                  </w:r>
                  <w:bookmarkEnd w:id="94"/>
                  <w:bookmarkEnd w:id="95"/>
                  <w:bookmarkEnd w:id="96"/>
                  <w:bookmarkEnd w:id="97"/>
                  <w:bookmarkEnd w:id="98"/>
                  <w:bookmarkEnd w:id="99"/>
                  <w:bookmarkEnd w:id="100"/>
                  <w:bookmarkEnd w:id="101"/>
                  <w:bookmarkEnd w:id="102"/>
                  <w:bookmarkEnd w:id="103"/>
                  <w:bookmarkEnd w:id="104"/>
                  <w:bookmarkEnd w:id="105"/>
                  <w:r>
                    <w:t xml:space="preserve"> et/ou en convalescence.</w:t>
                  </w:r>
                </w:p>
                <w:p w:rsidR="00F04EEF" w:rsidRDefault="00F04EEF">
                  <w:pPr>
                    <w:jc w:val="both"/>
                    <w:rPr>
                      <w:rFonts w:cs="Arial"/>
                      <w:color w:val="000000"/>
                    </w:rPr>
                  </w:pPr>
                </w:p>
                <w:p w:rsidR="00F04EEF" w:rsidRDefault="0099351E">
                  <w:pPr>
                    <w:jc w:val="both"/>
                    <w:rPr>
                      <w:rFonts w:cs="Arial"/>
                      <w:b/>
                      <w:u w:val="single"/>
                    </w:rPr>
                  </w:pPr>
                  <w:r>
                    <w:rPr>
                      <w:rFonts w:cs="Arial"/>
                    </w:rPr>
                    <w:t xml:space="preserve">Un élève fréquentant une école à l’hôpital bénéficie d’une double inscription scolaire : celle dans son école d’origine et celle de l’école à l’hôpital, c'est-à-dire dans l’enseignement spécialisé de type 5. L’élève reste administrativement attaché à son école d’origine durant tout le temps de son hospitalisation (et parfois aussi durant sa convalescence à domicile). </w:t>
                  </w:r>
                  <w:r>
                    <w:rPr>
                      <w:rFonts w:cs="Arial"/>
                      <w:b/>
                      <w:u w:val="single"/>
                    </w:rPr>
                    <w:t>Dans cette optique, tout passage dans l’année supérieure reste de la compétence de l’école d’origine.</w:t>
                  </w:r>
                </w:p>
                <w:p w:rsidR="00F04EEF" w:rsidRDefault="0099351E">
                  <w:pPr>
                    <w:jc w:val="both"/>
                    <w:rPr>
                      <w:rFonts w:cs="Arial"/>
                    </w:rPr>
                  </w:pPr>
                  <w:r>
                    <w:rPr>
                      <w:rFonts w:cs="Arial"/>
                    </w:rPr>
                    <w:t>Lors de sa sortie d’hôpital, aucune formalité particulière n’est à entreprendre si l’enfant retourne vers son école d’origine.</w:t>
                  </w:r>
                </w:p>
                <w:p w:rsidR="00F04EEF" w:rsidRDefault="00F04EEF">
                  <w:pPr>
                    <w:jc w:val="both"/>
                    <w:rPr>
                      <w:rFonts w:cs="Arial"/>
                    </w:rPr>
                  </w:pPr>
                </w:p>
                <w:p w:rsidR="00F04EEF" w:rsidRDefault="0099351E">
                  <w:pPr>
                    <w:pStyle w:val="Titre5"/>
                  </w:pPr>
                  <w:bookmarkStart w:id="107" w:name="_Toc291075475"/>
                  <w:bookmarkStart w:id="108" w:name="_Toc291075899"/>
                  <w:bookmarkStart w:id="109" w:name="_Toc291076323"/>
                  <w:bookmarkStart w:id="110" w:name="_Toc291076747"/>
                  <w:bookmarkStart w:id="111" w:name="_Toc291077171"/>
                  <w:bookmarkStart w:id="112" w:name="_Toc293652014"/>
                  <w:bookmarkStart w:id="113" w:name="_Toc293653596"/>
                  <w:bookmarkStart w:id="114" w:name="_Toc293654207"/>
                  <w:bookmarkStart w:id="115" w:name="_Toc294004787"/>
                  <w:bookmarkStart w:id="116" w:name="_Toc294185283"/>
                  <w:bookmarkStart w:id="117" w:name="_Toc324767149"/>
                  <w:bookmarkStart w:id="118" w:name="_Toc324768007"/>
                  <w:r>
                    <w:t>1.1.5. Inscription de l’élève majeur</w:t>
                  </w:r>
                  <w:bookmarkEnd w:id="107"/>
                  <w:bookmarkEnd w:id="108"/>
                  <w:bookmarkEnd w:id="109"/>
                  <w:bookmarkEnd w:id="110"/>
                  <w:bookmarkEnd w:id="111"/>
                  <w:bookmarkEnd w:id="112"/>
                  <w:bookmarkEnd w:id="113"/>
                  <w:bookmarkEnd w:id="114"/>
                  <w:bookmarkEnd w:id="115"/>
                  <w:bookmarkEnd w:id="116"/>
                  <w:bookmarkEnd w:id="117"/>
                  <w:bookmarkEnd w:id="118"/>
                </w:p>
                <w:p w:rsidR="00F04EEF" w:rsidRDefault="00F04EEF">
                  <w:pPr>
                    <w:jc w:val="both"/>
                    <w:rPr>
                      <w:rFonts w:cs="Arial"/>
                    </w:rPr>
                  </w:pPr>
                </w:p>
                <w:p w:rsidR="00F04EEF" w:rsidRDefault="0099351E">
                  <w:pPr>
                    <w:jc w:val="both"/>
                    <w:rPr>
                      <w:rFonts w:cs="Arial"/>
                      <w:b/>
                    </w:rPr>
                  </w:pPr>
                  <w:r>
                    <w:rPr>
                      <w:rFonts w:cs="Arial"/>
                      <w:b/>
                    </w:rPr>
                    <w:t xml:space="preserve">Ces modalités ne sont pas obligatoires pour </w:t>
                  </w:r>
                  <w:proofErr w:type="gramStart"/>
                  <w:r>
                    <w:rPr>
                      <w:rFonts w:cs="Arial"/>
                      <w:b/>
                    </w:rPr>
                    <w:t>les formes</w:t>
                  </w:r>
                  <w:proofErr w:type="gramEnd"/>
                  <w:r>
                    <w:rPr>
                      <w:rFonts w:cs="Arial"/>
                      <w:b/>
                    </w:rPr>
                    <w:t xml:space="preserve"> 1 et 2.</w:t>
                  </w:r>
                </w:p>
                <w:p w:rsidR="00F04EEF" w:rsidRDefault="00F04EEF">
                  <w:pPr>
                    <w:jc w:val="both"/>
                    <w:rPr>
                      <w:rFonts w:cs="Arial"/>
                      <w:b/>
                      <w:u w:val="single"/>
                    </w:rPr>
                  </w:pPr>
                </w:p>
                <w:p w:rsidR="00F04EEF" w:rsidRDefault="0099351E">
                  <w:pPr>
                    <w:jc w:val="both"/>
                    <w:rPr>
                      <w:rFonts w:cs="Arial"/>
                    </w:rPr>
                  </w:pPr>
                  <w:r>
                    <w:rPr>
                      <w:rFonts w:cs="Arial"/>
                    </w:rPr>
                    <w:t>S’il veut continuer sa scolarité dans le même établissement, tout élève qui a atteint l’âge de la majorité est tenu de s’y inscrire au début de chaque année scolaire conformément aux modalités énoncées ci-dessous.</w:t>
                  </w:r>
                </w:p>
                <w:p w:rsidR="00F04EEF" w:rsidRDefault="00F04EEF">
                  <w:pPr>
                    <w:jc w:val="both"/>
                    <w:rPr>
                      <w:rFonts w:cs="Arial"/>
                    </w:rPr>
                  </w:pPr>
                </w:p>
                <w:p w:rsidR="00F04EEF" w:rsidRDefault="0099351E">
                  <w:pPr>
                    <w:jc w:val="both"/>
                    <w:rPr>
                      <w:rFonts w:cs="Arial"/>
                    </w:rPr>
                  </w:pPr>
                  <w:r>
                    <w:rPr>
                      <w:rFonts w:cs="Arial"/>
                    </w:rPr>
                    <w:t xml:space="preserve">L’inscription dans un établissement d’un élève majeur est subordonnée à la condition qu’il signe, au préalable, avec le chef d’établissement ou son délégué, un écrit par lequel les deux parties souscrivent aux droits et obligations figurant dans le projet éducatif, le projet d’établissement, le règlement des études et le règlement d’ordre intérieur. </w:t>
                  </w:r>
                </w:p>
                <w:p w:rsidR="00F04EEF" w:rsidRDefault="00F04EEF">
                  <w:pPr>
                    <w:jc w:val="both"/>
                    <w:rPr>
                      <w:rFonts w:cs="Arial"/>
                    </w:rPr>
                  </w:pPr>
                </w:p>
                <w:p w:rsidR="00F04EEF" w:rsidRDefault="0099351E">
                  <w:pPr>
                    <w:jc w:val="both"/>
                    <w:rPr>
                      <w:rFonts w:cs="Arial"/>
                      <w:b/>
                    </w:rPr>
                  </w:pPr>
                  <w:r>
                    <w:rPr>
                      <w:rFonts w:cs="Arial"/>
                      <w:b/>
                    </w:rPr>
                    <w:t>En forme 4 :</w:t>
                  </w:r>
                </w:p>
                <w:p w:rsidR="00F04EEF" w:rsidRDefault="00F04EEF">
                  <w:pPr>
                    <w:jc w:val="both"/>
                    <w:rPr>
                      <w:rFonts w:cs="Arial"/>
                      <w:b/>
                    </w:rPr>
                  </w:pPr>
                </w:p>
                <w:p w:rsidR="00F04EEF" w:rsidRDefault="0099351E">
                  <w:pPr>
                    <w:jc w:val="both"/>
                    <w:rPr>
                      <w:rFonts w:cs="Arial"/>
                    </w:rPr>
                  </w:pPr>
                  <w:r>
                    <w:rPr>
                      <w:rFonts w:cs="Arial"/>
                    </w:rPr>
                    <w:t>Lors de son inscription dans le 1er ou le 2ème degré de l’enseignement secondaire, l’élève majeur est avisé de son obligation  de prendre contact avec le chef d’établissement ou avec le centre PMS compétent afin de bénéficier d’un entretien d’orientation et d’élaborer un projet de vie scolaire et professionnelle. Un entretien entre cet élève et un membre du centre PMS est réalisé au moins une fois par an. Une évaluation de la mise en œuvre et du respect de ce projet est réalisée et communiquée par le chef d’établissement ou le centre PMS au conseil de classe lors de chaque</w:t>
                  </w:r>
                  <w:bookmarkStart w:id="119" w:name="_Toc291075476"/>
                  <w:bookmarkStart w:id="120" w:name="_Toc291075900"/>
                  <w:bookmarkStart w:id="121" w:name="_Toc291076324"/>
                  <w:bookmarkStart w:id="122" w:name="_Toc291076748"/>
                  <w:bookmarkStart w:id="123" w:name="_Toc291077172"/>
                  <w:bookmarkStart w:id="124" w:name="_Toc293652015"/>
                  <w:bookmarkStart w:id="125" w:name="_Toc293653597"/>
                  <w:bookmarkStart w:id="126" w:name="_Toc293654208"/>
                  <w:bookmarkStart w:id="127" w:name="_Toc294004788"/>
                  <w:bookmarkStart w:id="128" w:name="_Toc294185284"/>
                  <w:bookmarkStart w:id="129" w:name="_Toc324767150"/>
                  <w:bookmarkStart w:id="130" w:name="_Toc324768008"/>
                  <w:r>
                    <w:rPr>
                      <w:rFonts w:cs="Arial"/>
                    </w:rPr>
                    <w:t xml:space="preserve"> période d’évaluation scolaire.</w:t>
                  </w:r>
                </w:p>
                <w:p w:rsidR="00F04EEF" w:rsidRDefault="00F04EEF">
                  <w:bookmarkStart w:id="131" w:name="_1.1.7._Pour_les"/>
                  <w:bookmarkEnd w:id="131"/>
                </w:p>
                <w:p w:rsidR="00F04EEF" w:rsidRDefault="00F04EEF">
                  <w:bookmarkStart w:id="132" w:name="_1.1.8._Transferts_entre"/>
                  <w:bookmarkEnd w:id="132"/>
                </w:p>
                <w:p w:rsidR="00F04EEF" w:rsidRDefault="0099351E">
                  <w:pPr>
                    <w:pStyle w:val="Titre5"/>
                  </w:pPr>
                  <w:bookmarkStart w:id="133" w:name="_1.1.8._Transferts_entre_1"/>
                  <w:bookmarkEnd w:id="133"/>
                  <w:r>
                    <w:t>1.1.6. Transferts entre établissements scolaires</w:t>
                  </w:r>
                </w:p>
                <w:p w:rsidR="00F04EEF" w:rsidRDefault="00F04EEF">
                  <w:pPr>
                    <w:rPr>
                      <w:bCs/>
                      <w:color w:val="000000"/>
                    </w:rPr>
                  </w:pPr>
                </w:p>
                <w:p w:rsidR="00F04EEF" w:rsidRDefault="0099351E">
                  <w:pPr>
                    <w:pBdr>
                      <w:top w:val="double" w:sz="4" w:space="1" w:color="auto"/>
                      <w:left w:val="double" w:sz="4" w:space="4" w:color="auto"/>
                      <w:bottom w:val="double" w:sz="4" w:space="7" w:color="auto"/>
                      <w:right w:val="double" w:sz="4" w:space="2" w:color="auto"/>
                    </w:pBdr>
                    <w:jc w:val="center"/>
                    <w:rPr>
                      <w:rFonts w:cs="Arial"/>
                      <w:b/>
                    </w:rPr>
                  </w:pPr>
                  <w:r>
                    <w:rPr>
                      <w:rFonts w:cs="Arial"/>
                      <w:b/>
                      <w:u w:val="single"/>
                    </w:rPr>
                    <w:t>Remarque </w:t>
                  </w:r>
                  <w:r>
                    <w:rPr>
                      <w:rFonts w:cs="Arial"/>
                      <w:b/>
                    </w:rPr>
                    <w:t>:</w:t>
                  </w:r>
                </w:p>
                <w:p w:rsidR="00F04EEF" w:rsidRDefault="0099351E">
                  <w:pPr>
                    <w:pBdr>
                      <w:top w:val="double" w:sz="4" w:space="1" w:color="auto"/>
                      <w:left w:val="double" w:sz="4" w:space="4" w:color="auto"/>
                      <w:bottom w:val="double" w:sz="4" w:space="7" w:color="auto"/>
                      <w:right w:val="double" w:sz="4" w:space="2" w:color="auto"/>
                    </w:pBdr>
                    <w:jc w:val="both"/>
                    <w:rPr>
                      <w:rFonts w:cs="Arial"/>
                    </w:rPr>
                  </w:pPr>
                  <w:r>
                    <w:rPr>
                      <w:rFonts w:cs="Arial"/>
                      <w:b/>
                    </w:rPr>
                    <w:t>Dans tous les cas</w:t>
                  </w:r>
                  <w:r>
                    <w:rPr>
                      <w:rFonts w:cs="Arial"/>
                    </w:rPr>
                    <w:t xml:space="preserve">, qu’il s’agisse d’un </w:t>
                  </w:r>
                  <w:r>
                    <w:rPr>
                      <w:rFonts w:cs="Arial"/>
                      <w:b/>
                    </w:rPr>
                    <w:t>transfert d’un établissement</w:t>
                  </w:r>
                  <w:r>
                    <w:rPr>
                      <w:rFonts w:cs="Arial"/>
                    </w:rPr>
                    <w:t xml:space="preserve"> d’enseignement </w:t>
                  </w:r>
                  <w:r>
                    <w:rPr>
                      <w:rFonts w:cs="Arial"/>
                      <w:u w:val="single"/>
                    </w:rPr>
                    <w:t>spécialisé</w:t>
                  </w:r>
                  <w:r>
                    <w:rPr>
                      <w:rFonts w:cs="Arial"/>
                    </w:rPr>
                    <w:t xml:space="preserve"> vers un autre établissement d’enseignement </w:t>
                  </w:r>
                  <w:r>
                    <w:rPr>
                      <w:rFonts w:cs="Arial"/>
                      <w:u w:val="single"/>
                    </w:rPr>
                    <w:t>spécialisé</w:t>
                  </w:r>
                  <w:r>
                    <w:rPr>
                      <w:rFonts w:cs="Arial"/>
                    </w:rPr>
                    <w:t xml:space="preserve"> ou d’un transfert d’un établissement d’enseignement </w:t>
                  </w:r>
                  <w:r>
                    <w:rPr>
                      <w:rFonts w:cs="Arial"/>
                      <w:u w:val="single"/>
                    </w:rPr>
                    <w:t>ordinaire</w:t>
                  </w:r>
                  <w:r>
                    <w:rPr>
                      <w:rFonts w:cs="Arial"/>
                    </w:rPr>
                    <w:t xml:space="preserve"> vers un établissement d’enseignement </w:t>
                  </w:r>
                  <w:r>
                    <w:rPr>
                      <w:rFonts w:cs="Arial"/>
                      <w:u w:val="single"/>
                    </w:rPr>
                    <w:t>spécialisé</w:t>
                  </w:r>
                  <w:r>
                    <w:rPr>
                      <w:rFonts w:cs="Arial"/>
                    </w:rPr>
                    <w:t xml:space="preserve">, </w:t>
                  </w:r>
                  <w:r>
                    <w:rPr>
                      <w:rFonts w:cs="Arial"/>
                      <w:b/>
                    </w:rPr>
                    <w:t>la Direction de l’école d’enseignement spécialisé</w:t>
                  </w:r>
                  <w:r>
                    <w:rPr>
                      <w:rFonts w:cs="Arial"/>
                    </w:rPr>
                    <w:t xml:space="preserve"> </w:t>
                  </w:r>
                  <w:r>
                    <w:rPr>
                      <w:rFonts w:cs="Arial"/>
                      <w:b/>
                    </w:rPr>
                    <w:t xml:space="preserve">d’arrivée (nouvelle école) </w:t>
                  </w:r>
                  <w:r>
                    <w:rPr>
                      <w:rFonts w:cs="Arial"/>
                      <w:b/>
                      <w:u w:val="single"/>
                    </w:rPr>
                    <w:t>informe le chef de</w:t>
                  </w:r>
                  <w:r>
                    <w:rPr>
                      <w:rFonts w:cs="Arial"/>
                    </w:rPr>
                    <w:t xml:space="preserve"> </w:t>
                  </w:r>
                  <w:r>
                    <w:rPr>
                      <w:rFonts w:cs="Arial"/>
                      <w:b/>
                      <w:u w:val="single"/>
                    </w:rPr>
                    <w:t>l’établissement de départ</w:t>
                  </w:r>
                  <w:r>
                    <w:rPr>
                      <w:rFonts w:cs="Arial"/>
                      <w:b/>
                    </w:rPr>
                    <w:t xml:space="preserve"> (ancienne école) </w:t>
                  </w:r>
                  <w:r>
                    <w:rPr>
                      <w:rFonts w:cs="Arial"/>
                    </w:rPr>
                    <w:t xml:space="preserve">de l’inscription de l’élève. </w:t>
                  </w:r>
                </w:p>
                <w:p w:rsidR="00F04EEF" w:rsidRDefault="00F04EEF"/>
                <w:p w:rsidR="00F04EEF" w:rsidRDefault="0099351E">
                  <w:pPr>
                    <w:pStyle w:val="Titre6"/>
                  </w:pPr>
                  <w:r>
                    <w:t>1.1.6.1 Transfert d'un élève d'un établissement d'enseignement spécialisé vers un autre établissement d'enseignement spécialisé, nécessité par un changement de type.</w:t>
                  </w:r>
                </w:p>
                <w:p w:rsidR="00F04EEF" w:rsidRDefault="00F04EEF">
                  <w:pPr>
                    <w:pStyle w:val="Pieddepage"/>
                    <w:tabs>
                      <w:tab w:val="clear" w:pos="4819"/>
                      <w:tab w:val="clear" w:pos="9071"/>
                    </w:tabs>
                    <w:jc w:val="both"/>
                    <w:rPr>
                      <w:rFonts w:asciiTheme="majorHAnsi" w:hAnsiTheme="majorHAnsi"/>
                      <w:sz w:val="22"/>
                      <w:szCs w:val="22"/>
                    </w:rPr>
                  </w:pPr>
                </w:p>
                <w:p w:rsidR="00F04EEF" w:rsidRDefault="0099351E">
                  <w:pPr>
                    <w:jc w:val="both"/>
                    <w:rPr>
                      <w:rFonts w:cs="Arial"/>
                    </w:rPr>
                  </w:pPr>
                  <w:r>
                    <w:rPr>
                      <w:rFonts w:cs="Arial"/>
                    </w:rPr>
                    <w:t xml:space="preserve">En cas de désaccord entre les parties concernées (parents, chef d'établissement, inspection, médecin du Service de Promotion et de Santé à l’école (S.P.S.E).et guidance), la Commission consultative compétente est saisie et donne son avis comme le prévoit l'article 125, 5° du </w:t>
                  </w:r>
                  <w:hyperlink r:id="rId16" w:history="1">
                    <w:r>
                      <w:rPr>
                        <w:rStyle w:val="Lienhypertexte"/>
                        <w:rFonts w:cs="Arial"/>
                      </w:rPr>
                      <w:t>Décret du 3 mars 2004 organisant l'Enseignement spécialisé</w:t>
                    </w:r>
                  </w:hyperlink>
                  <w:r>
                    <w:rPr>
                      <w:rFonts w:cs="Arial"/>
                    </w:rPr>
                    <w:t>. Si les parents ne s’opposent pas à son avis, elle transmet le dossier au Gouvernement, selon la procédure fixée à l'article 128, alinéa 5 du Décret susmentionné.</w:t>
                  </w:r>
                </w:p>
                <w:p w:rsidR="00F04EEF" w:rsidRDefault="00F04EEF">
                  <w:pPr>
                    <w:jc w:val="both"/>
                    <w:rPr>
                      <w:b/>
                      <w:u w:val="single"/>
                    </w:rPr>
                  </w:pPr>
                </w:p>
                <w:p w:rsidR="00F04EEF" w:rsidRDefault="0099351E">
                  <w:pPr>
                    <w:pStyle w:val="Titre6"/>
                  </w:pPr>
                  <w:bookmarkStart w:id="134" w:name="_1.1.6.2_Transfert_d'un"/>
                  <w:bookmarkEnd w:id="134"/>
                  <w:r>
                    <w:t>1.1.6.2 Transfert d'un élève d'un établissement d'enseignement spécialisé vers un autre établissement d'enseignement spécialisé, sans changement de type.</w:t>
                  </w:r>
                </w:p>
                <w:p w:rsidR="00F04EEF" w:rsidRDefault="00F04EEF">
                  <w:pPr>
                    <w:jc w:val="both"/>
                    <w:rPr>
                      <w:rFonts w:cs="Arial"/>
                    </w:rPr>
                  </w:pPr>
                </w:p>
                <w:p w:rsidR="00F04EEF" w:rsidRDefault="0099351E">
                  <w:pPr>
                    <w:jc w:val="both"/>
                    <w:rPr>
                      <w:i/>
                      <w:spacing w:val="2"/>
                    </w:rPr>
                  </w:pPr>
                  <w:r>
                    <w:rPr>
                      <w:i/>
                      <w:spacing w:val="2"/>
                    </w:rPr>
                    <w:t xml:space="preserve">Base légale </w:t>
                  </w:r>
                </w:p>
                <w:p w:rsidR="00F04EEF" w:rsidRDefault="0099351E">
                  <w:pPr>
                    <w:jc w:val="both"/>
                    <w:rPr>
                      <w:i/>
                      <w:spacing w:val="2"/>
                    </w:rPr>
                  </w:pPr>
                  <w:r>
                    <w:rPr>
                      <w:i/>
                      <w:spacing w:val="2"/>
                    </w:rPr>
                    <w:t>Décret du 3 mars 2004 relatif à l’enseignement spécialisé, article 66 bis</w:t>
                  </w:r>
                </w:p>
                <w:p w:rsidR="00F04EEF" w:rsidRDefault="00F04EEF">
                  <w:pPr>
                    <w:jc w:val="both"/>
                    <w:rPr>
                      <w:spacing w:val="2"/>
                    </w:rPr>
                  </w:pPr>
                </w:p>
                <w:p w:rsidR="00F04EEF" w:rsidRDefault="0099351E">
                  <w:pPr>
                    <w:jc w:val="both"/>
                    <w:rPr>
                      <w:rFonts w:cs="Arial"/>
                    </w:rPr>
                  </w:pPr>
                  <w:r>
                    <w:rPr>
                      <w:rFonts w:cs="Arial"/>
                    </w:rPr>
                    <w:t xml:space="preserve">Les dispositions qui suivent s'appliquent à tout enfant fréquentant un établissement d’enseignement secondaire spécialisé, organisé ou subventionné par la Fédération Wallonie-Bruxelles. </w:t>
                  </w:r>
                </w:p>
                <w:p w:rsidR="00F04EEF" w:rsidRDefault="00F04EEF">
                  <w:pPr>
                    <w:jc w:val="both"/>
                    <w:rPr>
                      <w:rFonts w:cs="Arial"/>
                    </w:rPr>
                  </w:pPr>
                </w:p>
                <w:p w:rsidR="00F04EEF" w:rsidRDefault="0099351E">
                  <w:pPr>
                    <w:jc w:val="both"/>
                    <w:rPr>
                      <w:rFonts w:cs="Arial"/>
                    </w:rPr>
                  </w:pPr>
                  <w:r>
                    <w:rPr>
                      <w:rFonts w:cs="Arial"/>
                    </w:rPr>
                    <w:t>En début d’année scolaire, les directions d’établissement donnent aux parents, aux élèves majeurs, toutes les informations utiles en matière de changement d’école en cours d’année scolaire.</w:t>
                  </w:r>
                </w:p>
                <w:p w:rsidR="00F04EEF" w:rsidRDefault="00F04EEF">
                  <w:pPr>
                    <w:jc w:val="both"/>
                    <w:rPr>
                      <w:rFonts w:cs="Arial"/>
                    </w:rPr>
                  </w:pPr>
                </w:p>
                <w:p w:rsidR="00F04EEF" w:rsidRDefault="0099351E">
                  <w:pPr>
                    <w:pStyle w:val="Titre7"/>
                    <w:rPr>
                      <w:rFonts w:eastAsiaTheme="minorHAnsi"/>
                    </w:rPr>
                  </w:pPr>
                  <w:bookmarkStart w:id="135" w:name="_1.1.6.2.1_Changement_d’école"/>
                  <w:bookmarkEnd w:id="135"/>
                  <w:r>
                    <w:rPr>
                      <w:rFonts w:eastAsiaTheme="minorHAnsi"/>
                    </w:rPr>
                    <w:t>1.1.6.2.1 Changement d’école sans changement de type : principes</w:t>
                  </w:r>
                </w:p>
                <w:p w:rsidR="00F04EEF" w:rsidRDefault="00F04EEF">
                  <w:pPr>
                    <w:pStyle w:val="Paragraphedeliste"/>
                    <w:jc w:val="both"/>
                    <w:rPr>
                      <w:rFonts w:asciiTheme="majorHAnsi" w:eastAsiaTheme="minorHAnsi" w:hAnsiTheme="majorHAnsi"/>
                      <w:sz w:val="22"/>
                      <w:szCs w:val="22"/>
                      <w:lang w:eastAsia="en-US"/>
                    </w:rPr>
                  </w:pPr>
                </w:p>
                <w:p w:rsidR="00F04EEF" w:rsidRDefault="0099351E">
                  <w:pPr>
                    <w:jc w:val="both"/>
                    <w:rPr>
                      <w:rFonts w:cs="Arial"/>
                    </w:rPr>
                  </w:pPr>
                  <w:r>
                    <w:rPr>
                      <w:rFonts w:cs="Arial"/>
                    </w:rPr>
                    <w:t>Après le 30 septembre d'une année scolaire en cours, un élève régulièrement inscrit dans un établissement d'enseignement secondaire spécialisé peut être inscrit dans un autre établissement d'enseignement secondaire spécialisé qui organise le même type d'enseignement après demande écrite des parents, de la personne investie de l'autorité parentale ou de l'élève majeur, à la condition d'avoir obtenu un avis de la direction de l'établissement spécialisé d'origine.</w:t>
                  </w:r>
                </w:p>
                <w:p w:rsidR="00F04EEF" w:rsidRDefault="00F04EEF">
                  <w:pPr>
                    <w:jc w:val="both"/>
                    <w:rPr>
                      <w:rFonts w:cs="Arial"/>
                    </w:rPr>
                  </w:pPr>
                </w:p>
                <w:p w:rsidR="00F04EEF" w:rsidRDefault="0099351E">
                  <w:pPr>
                    <w:jc w:val="both"/>
                    <w:rPr>
                      <w:rFonts w:cs="Arial"/>
                    </w:rPr>
                  </w:pPr>
                  <w:r>
                    <w:rPr>
                      <w:rFonts w:cs="Arial"/>
                    </w:rPr>
                    <w:t>En cas d'avis défavorable de la direction de l'établissement spécialisé d'origine, l'inscription est toutefois possible à la condition d'avoir obtenu un avis de l'organisme chargé de la guidance des élèves de l'établissement spécialisé d'origine.</w:t>
                  </w:r>
                </w:p>
                <w:p w:rsidR="00F04EEF" w:rsidRDefault="00F04EEF">
                  <w:pPr>
                    <w:jc w:val="both"/>
                    <w:rPr>
                      <w:rFonts w:cs="Arial"/>
                    </w:rPr>
                  </w:pPr>
                </w:p>
                <w:p w:rsidR="00F04EEF" w:rsidRDefault="0099351E">
                  <w:pPr>
                    <w:jc w:val="both"/>
                    <w:rPr>
                      <w:rFonts w:cs="Arial"/>
                    </w:rPr>
                  </w:pPr>
                  <w:r>
                    <w:rPr>
                      <w:rFonts w:cs="Arial"/>
                    </w:rPr>
                    <w:t xml:space="preserve">Tout parent qui souhaite changer son enfant ou tout élève majeur devra demander au chef de l’établissement d’origine, le formulaire permettant d’introduire la demande de changement d’établissement. Le dossier devra obligatoirement être composé à l’aide des </w:t>
                  </w:r>
                  <w:hyperlink w:anchor="_Annexe_10._Demande" w:history="1">
                    <w:r>
                      <w:rPr>
                        <w:rFonts w:cs="Arial"/>
                      </w:rPr>
                      <w:t xml:space="preserve">annexes … à </w:t>
                    </w:r>
                  </w:hyperlink>
                  <w:r>
                    <w:rPr>
                      <w:rFonts w:cs="Arial"/>
                    </w:rPr>
                    <w:t>…. La direction d’établissement est dans l’obligation de remettre aux parents/à l’élève majeur, les documents nécessaires à la demande, même s’il ne juge pas ce changement opportun.</w:t>
                  </w:r>
                </w:p>
                <w:p w:rsidR="00F04EEF" w:rsidRDefault="00F04EEF">
                  <w:pPr>
                    <w:jc w:val="both"/>
                    <w:rPr>
                      <w:rFonts w:cs="Arial"/>
                    </w:rPr>
                  </w:pPr>
                </w:p>
                <w:p w:rsidR="00F04EEF" w:rsidRDefault="0099351E">
                  <w:pPr>
                    <w:jc w:val="both"/>
                    <w:rPr>
                      <w:rFonts w:cs="Arial"/>
                    </w:rPr>
                  </w:pPr>
                  <w:r>
                    <w:rPr>
                      <w:rFonts w:cs="Arial"/>
                    </w:rPr>
                    <w:t>Lorsqu'un changement d’établissement est demandé après le 30 septembre, la procédure relève, en premier lieu de la direction de l’école fréquentée par l’élève. Elle nécessite l'intervention de l'organisme chargé de la guidance des élèves de l'établissement spécialisé d'origine uniquement en cas d’avis défavorable de la direction.</w:t>
                  </w:r>
                </w:p>
                <w:p w:rsidR="00F04EEF" w:rsidRDefault="00F04EEF">
                  <w:pPr>
                    <w:jc w:val="both"/>
                    <w:rPr>
                      <w:rFonts w:cs="Arial"/>
                    </w:rPr>
                  </w:pPr>
                </w:p>
                <w:p w:rsidR="00F04EEF" w:rsidRDefault="0099351E">
                  <w:pPr>
                    <w:jc w:val="both"/>
                    <w:rPr>
                      <w:rFonts w:cs="Arial"/>
                    </w:rPr>
                  </w:pPr>
                  <w:r>
                    <w:rPr>
                      <w:rFonts w:cs="Arial"/>
                    </w:rPr>
                    <w:t xml:space="preserve">Si après avoir entendu les parents ou l’élève majeur, l’avis de la direction est favorable, le changement est autorisé. </w:t>
                  </w:r>
                </w:p>
                <w:p w:rsidR="00F04EEF" w:rsidRDefault="00F04EEF">
                  <w:pPr>
                    <w:jc w:val="both"/>
                    <w:rPr>
                      <w:rFonts w:cs="Arial"/>
                    </w:rPr>
                  </w:pPr>
                </w:p>
                <w:p w:rsidR="00F04EEF" w:rsidRDefault="0099351E">
                  <w:pPr>
                    <w:jc w:val="both"/>
                    <w:rPr>
                      <w:rFonts w:cs="Arial"/>
                    </w:rPr>
                  </w:pPr>
                  <w:r>
                    <w:rPr>
                      <w:rFonts w:cs="Arial"/>
                    </w:rPr>
                    <w:t>Si l’avis de la direction de l’établissement est défavorable, elle transmet le dossier dans les</w:t>
                  </w:r>
                  <w:r>
                    <w:rPr>
                      <w:rFonts w:cs="Arial"/>
                    </w:rPr>
                    <w:br/>
                    <w:t>3 jours ouvrables à l'organisme chargé de la guidance des élèves de l'établissement.</w:t>
                  </w:r>
                </w:p>
                <w:p w:rsidR="00F04EEF" w:rsidRDefault="00F04EEF">
                  <w:pPr>
                    <w:jc w:val="both"/>
                    <w:rPr>
                      <w:rFonts w:cs="Arial"/>
                    </w:rPr>
                  </w:pPr>
                </w:p>
                <w:p w:rsidR="00F04EEF" w:rsidRDefault="0099351E">
                  <w:pPr>
                    <w:jc w:val="both"/>
                    <w:rPr>
                      <w:rFonts w:cs="Arial"/>
                    </w:rPr>
                  </w:pPr>
                  <w:r>
                    <w:rPr>
                      <w:rFonts w:cs="Arial"/>
                    </w:rPr>
                    <w:t>Cet organisme devra entendre les parents/l’élève majeur et émettre un avis dans les 10 jours ouvrables de la réception de la demande transmise par la Direction de l’établissement.</w:t>
                  </w:r>
                </w:p>
                <w:p w:rsidR="00F04EEF" w:rsidRDefault="0099351E">
                  <w:pPr>
                    <w:rPr>
                      <w:rFonts w:cs="Arial"/>
                    </w:rPr>
                  </w:pPr>
                  <w:r>
                    <w:rPr>
                      <w:rFonts w:cs="Arial"/>
                    </w:rPr>
                    <w:br w:type="page"/>
                  </w:r>
                </w:p>
                <w:p w:rsidR="00F04EEF" w:rsidRDefault="00F04EEF">
                  <w:pPr>
                    <w:jc w:val="both"/>
                    <w:rPr>
                      <w:rFonts w:cs="Arial"/>
                    </w:rPr>
                  </w:pPr>
                </w:p>
                <w:p w:rsidR="00F04EEF" w:rsidRDefault="0099351E">
                  <w:pPr>
                    <w:pStyle w:val="Paragraphedeliste"/>
                    <w:numPr>
                      <w:ilvl w:val="0"/>
                      <w:numId w:val="328"/>
                    </w:numPr>
                    <w:suppressAutoHyphens w:val="0"/>
                    <w:contextualSpacing/>
                    <w:jc w:val="both"/>
                    <w:rPr>
                      <w:rFonts w:asciiTheme="majorHAnsi" w:eastAsiaTheme="minorHAnsi" w:hAnsiTheme="majorHAnsi"/>
                      <w:b/>
                      <w:sz w:val="22"/>
                      <w:szCs w:val="22"/>
                      <w:lang w:eastAsia="en-US"/>
                    </w:rPr>
                  </w:pPr>
                  <w:r>
                    <w:rPr>
                      <w:rFonts w:asciiTheme="majorHAnsi" w:eastAsiaTheme="minorHAnsi" w:hAnsiTheme="majorHAnsi"/>
                      <w:b/>
                      <w:sz w:val="22"/>
                      <w:szCs w:val="22"/>
                      <w:lang w:eastAsia="en-US"/>
                    </w:rPr>
                    <w:t>Procédures à suivre</w:t>
                  </w:r>
                </w:p>
                <w:p w:rsidR="00F04EEF" w:rsidRDefault="00F04EEF">
                  <w:pPr>
                    <w:rPr>
                      <w:rFonts w:cs="Arial"/>
                    </w:rPr>
                  </w:pPr>
                </w:p>
                <w:p w:rsidR="00F04EEF" w:rsidRDefault="0099351E">
                  <w:pPr>
                    <w:pStyle w:val="Paragraphedeliste"/>
                    <w:ind w:left="0"/>
                    <w:jc w:val="both"/>
                    <w:rPr>
                      <w:rFonts w:asciiTheme="majorHAnsi" w:eastAsiaTheme="minorHAnsi" w:hAnsiTheme="majorHAnsi"/>
                      <w:sz w:val="22"/>
                      <w:szCs w:val="22"/>
                      <w:u w:val="single"/>
                      <w:lang w:eastAsia="en-US"/>
                    </w:rPr>
                  </w:pPr>
                  <w:r>
                    <w:rPr>
                      <w:rFonts w:asciiTheme="majorHAnsi" w:eastAsiaTheme="minorHAnsi" w:hAnsiTheme="majorHAnsi"/>
                      <w:sz w:val="22"/>
                      <w:szCs w:val="22"/>
                      <w:u w:val="single"/>
                      <w:lang w:eastAsia="en-US"/>
                    </w:rPr>
                    <w:t>a) Introduction de la demande par les parents/l’élève majeur</w:t>
                  </w:r>
                </w:p>
                <w:p w:rsidR="00F04EEF" w:rsidRDefault="00F04EEF">
                  <w:pPr>
                    <w:jc w:val="both"/>
                    <w:rPr>
                      <w:rFonts w:cs="Arial"/>
                    </w:rPr>
                  </w:pPr>
                </w:p>
                <w:p w:rsidR="00F04EEF" w:rsidRDefault="0099351E">
                  <w:pPr>
                    <w:jc w:val="both"/>
                    <w:rPr>
                      <w:rFonts w:cs="Arial"/>
                    </w:rPr>
                  </w:pPr>
                  <w:r>
                    <w:rPr>
                      <w:rFonts w:cs="Arial"/>
                    </w:rPr>
                    <w:t>La demande de changement d’établissement est introduite par les parents de l’élève ou par l’élève majeur auprès de la direction de l’école dans laquelle l’élève est inscrit (l’école d’origine).</w:t>
                  </w:r>
                </w:p>
                <w:p w:rsidR="00F04EEF" w:rsidRDefault="00F04EEF">
                  <w:pPr>
                    <w:jc w:val="both"/>
                    <w:rPr>
                      <w:rFonts w:cs="Arial"/>
                    </w:rPr>
                  </w:pPr>
                </w:p>
                <w:p w:rsidR="00F04EEF" w:rsidRDefault="0099351E">
                  <w:pPr>
                    <w:jc w:val="both"/>
                    <w:rPr>
                      <w:rFonts w:cs="Arial"/>
                    </w:rPr>
                  </w:pPr>
                  <w:r>
                    <w:rPr>
                      <w:rFonts w:cs="Arial"/>
                    </w:rPr>
                    <w:t>Cette demande est introduite à l’aide de la formule I (</w:t>
                  </w:r>
                  <w:hyperlink w:anchor="_Annexe_7_:_1" w:history="1">
                    <w:r>
                      <w:rPr>
                        <w:rStyle w:val="Lienhypertexte"/>
                        <w:rFonts w:cs="Arial"/>
                      </w:rPr>
                      <w:t>Annexe 5</w:t>
                    </w:r>
                  </w:hyperlink>
                  <w:r>
                    <w:rPr>
                      <w:rFonts w:cs="Arial"/>
                    </w:rPr>
                    <w:t xml:space="preserve">), en un exemplaire, accompagnée des documents justificatifs nécessaires ou de tout autre document jugé utile. </w:t>
                  </w:r>
                </w:p>
                <w:p w:rsidR="00F04EEF" w:rsidRDefault="00F04EEF">
                  <w:pPr>
                    <w:jc w:val="both"/>
                    <w:rPr>
                      <w:rFonts w:cs="Arial"/>
                      <w:u w:val="single"/>
                    </w:rPr>
                  </w:pPr>
                </w:p>
                <w:p w:rsidR="00F04EEF" w:rsidRDefault="0099351E">
                  <w:pPr>
                    <w:jc w:val="both"/>
                    <w:rPr>
                      <w:rFonts w:cs="Arial"/>
                      <w:u w:val="single"/>
                    </w:rPr>
                  </w:pPr>
                  <w:r>
                    <w:rPr>
                      <w:rFonts w:cs="Arial"/>
                      <w:u w:val="single"/>
                    </w:rPr>
                    <w:t>b) Traitement initial du dossier par la direction de l’école d’origine.</w:t>
                  </w:r>
                </w:p>
                <w:p w:rsidR="00F04EEF" w:rsidRDefault="00F04EEF">
                  <w:pPr>
                    <w:jc w:val="both"/>
                    <w:rPr>
                      <w:rFonts w:cs="Arial"/>
                    </w:rPr>
                  </w:pPr>
                </w:p>
                <w:p w:rsidR="00F04EEF" w:rsidRDefault="0099351E">
                  <w:pPr>
                    <w:pStyle w:val="Corpsdetexte"/>
                    <w:jc w:val="both"/>
                    <w:rPr>
                      <w:rFonts w:eastAsiaTheme="minorHAnsi"/>
                      <w:b w:val="0"/>
                      <w:szCs w:val="22"/>
                      <w:lang w:eastAsia="en-US"/>
                    </w:rPr>
                  </w:pPr>
                  <w:r>
                    <w:rPr>
                      <w:rFonts w:eastAsiaTheme="minorHAnsi"/>
                      <w:b w:val="0"/>
                      <w:szCs w:val="22"/>
                      <w:lang w:eastAsia="en-US"/>
                    </w:rPr>
                    <w:t>La direction de l’école note la date de réception de la demande complétée par les parents/l’élève majeur au cadre A de la formule I. (</w:t>
                  </w:r>
                  <w:hyperlink w:anchor="_Annexe_7_:_1" w:history="1">
                    <w:r>
                      <w:rPr>
                        <w:rStyle w:val="Lienhypertexte"/>
                        <w:rFonts w:eastAsiaTheme="minorHAnsi" w:cs="Arial"/>
                        <w:b w:val="0"/>
                        <w:szCs w:val="22"/>
                        <w:lang w:eastAsia="en-US"/>
                      </w:rPr>
                      <w:t>Annexe 5</w:t>
                    </w:r>
                  </w:hyperlink>
                  <w:r>
                    <w:rPr>
                      <w:rFonts w:eastAsiaTheme="minorHAnsi"/>
                      <w:b w:val="0"/>
                      <w:szCs w:val="22"/>
                      <w:lang w:eastAsia="en-US"/>
                    </w:rPr>
                    <w:t>).</w:t>
                  </w:r>
                </w:p>
                <w:p w:rsidR="00F04EEF" w:rsidRDefault="00F04EEF">
                  <w:pPr>
                    <w:spacing w:after="80"/>
                    <w:jc w:val="both"/>
                    <w:rPr>
                      <w:rFonts w:cstheme="minorHAnsi"/>
                    </w:rPr>
                  </w:pPr>
                </w:p>
                <w:p w:rsidR="00F04EEF" w:rsidRDefault="0099351E">
                  <w:pPr>
                    <w:pStyle w:val="Paragraphedeliste"/>
                    <w:numPr>
                      <w:ilvl w:val="0"/>
                      <w:numId w:val="325"/>
                    </w:numPr>
                    <w:suppressAutoHyphens w:val="0"/>
                    <w:spacing w:after="80"/>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2 cas peuvent se présenter:</w:t>
                  </w:r>
                </w:p>
                <w:p w:rsidR="00F04EEF" w:rsidRDefault="00F04EEF">
                  <w:pPr>
                    <w:pStyle w:val="Corpsdetexte3"/>
                    <w:ind w:hanging="1622"/>
                    <w:rPr>
                      <w:rFonts w:asciiTheme="minorHAnsi" w:eastAsiaTheme="minorHAnsi" w:hAnsiTheme="minorHAnsi" w:cstheme="minorHAnsi"/>
                      <w:sz w:val="22"/>
                      <w:szCs w:val="22"/>
                      <w:lang w:eastAsia="en-US"/>
                    </w:rPr>
                  </w:pPr>
                </w:p>
                <w:p w:rsidR="00F04EEF" w:rsidRDefault="0099351E">
                  <w:pPr>
                    <w:pStyle w:val="Corpsdetexte3"/>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1°) Changement d’école autorisé.</w:t>
                  </w:r>
                </w:p>
                <w:p w:rsidR="00F04EEF" w:rsidRDefault="00F04EEF">
                  <w:pPr>
                    <w:jc w:val="both"/>
                    <w:rPr>
                      <w:rFonts w:cstheme="minorHAnsi"/>
                    </w:rPr>
                  </w:pPr>
                </w:p>
                <w:p w:rsidR="00F04EEF" w:rsidRDefault="0099351E">
                  <w:pPr>
                    <w:jc w:val="both"/>
                    <w:rPr>
                      <w:rFonts w:cstheme="minorHAnsi"/>
                    </w:rPr>
                  </w:pPr>
                  <w:r>
                    <w:rPr>
                      <w:rFonts w:cstheme="minorHAnsi"/>
                    </w:rPr>
                    <w:t>Si la direction de l’école d’origine accorde le changement d’établissement :</w:t>
                  </w:r>
                </w:p>
                <w:p w:rsidR="00F04EEF" w:rsidRDefault="00F04EEF">
                  <w:pPr>
                    <w:jc w:val="both"/>
                    <w:rPr>
                      <w:rFonts w:cstheme="minorHAnsi"/>
                    </w:rPr>
                  </w:pPr>
                </w:p>
                <w:p w:rsidR="00F04EEF" w:rsidRDefault="0099351E">
                  <w:pPr>
                    <w:pStyle w:val="Paragraphedeliste"/>
                    <w:numPr>
                      <w:ilvl w:val="0"/>
                      <w:numId w:val="324"/>
                    </w:numPr>
                    <w:suppressAutoHyphens w:val="0"/>
                    <w:spacing w:after="10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elle biffe, au cadre A de la Formule I (</w:t>
                  </w:r>
                  <w:hyperlink w:anchor="_Annexe_7_:_1" w:history="1">
                    <w:r>
                      <w:rPr>
                        <w:rStyle w:val="Lienhypertexte"/>
                        <w:rFonts w:asciiTheme="minorHAnsi" w:eastAsiaTheme="minorHAnsi" w:hAnsiTheme="minorHAnsi" w:cstheme="minorHAnsi"/>
                        <w:sz w:val="22"/>
                        <w:szCs w:val="22"/>
                        <w:lang w:eastAsia="en-US"/>
                      </w:rPr>
                      <w:t>Annexe 5</w:t>
                    </w:r>
                  </w:hyperlink>
                  <w:r>
                    <w:rPr>
                      <w:rFonts w:asciiTheme="minorHAnsi" w:eastAsiaTheme="minorHAnsi" w:hAnsiTheme="minorHAnsi" w:cstheme="minorHAnsi"/>
                      <w:sz w:val="22"/>
                      <w:szCs w:val="22"/>
                      <w:lang w:eastAsia="en-US"/>
                    </w:rPr>
                    <w:t>), la mention « avis défavorable » en conservant la mention « autorisé »;</w:t>
                  </w:r>
                </w:p>
                <w:p w:rsidR="00F04EEF" w:rsidRDefault="0099351E">
                  <w:pPr>
                    <w:pStyle w:val="Paragraphedeliste"/>
                    <w:numPr>
                      <w:ilvl w:val="0"/>
                      <w:numId w:val="324"/>
                    </w:numPr>
                    <w:suppressAutoHyphens w:val="0"/>
                    <w:spacing w:after="10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elle complète le cadre B (dernier jour de classe dans l’école de départ);</w:t>
                  </w:r>
                </w:p>
                <w:p w:rsidR="00F04EEF" w:rsidRDefault="0099351E">
                  <w:pPr>
                    <w:pStyle w:val="Paragraphedeliste"/>
                    <w:numPr>
                      <w:ilvl w:val="0"/>
                      <w:numId w:val="324"/>
                    </w:numPr>
                    <w:suppressAutoHyphens w:val="0"/>
                    <w:spacing w:after="10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dans les 3 jours ouvrables qui suivent la réception de la demande, elle remet l’original de la formule I aux parents/à l’élève majeur afin qu’il(s) puisse(nt) procéder à l’inscription dans le nouvel établissement (l’école conserve une copie de tous les documents dans ses propres archives et les tient à disposition du service de la Vérification).</w:t>
                  </w:r>
                </w:p>
                <w:p w:rsidR="00F04EEF" w:rsidRDefault="00F04EEF">
                  <w:pPr>
                    <w:jc w:val="both"/>
                    <w:rPr>
                      <w:rFonts w:cstheme="minorHAnsi"/>
                    </w:rPr>
                  </w:pPr>
                </w:p>
                <w:p w:rsidR="00F04EEF" w:rsidRDefault="0099351E">
                  <w:pPr>
                    <w:pStyle w:val="Corpsdetexte3"/>
                    <w:rPr>
                      <w:rFonts w:asciiTheme="minorHAnsi" w:eastAsiaTheme="minorHAnsi" w:hAnsiTheme="minorHAnsi" w:cstheme="minorHAnsi"/>
                      <w:sz w:val="22"/>
                      <w:szCs w:val="22"/>
                      <w:lang w:eastAsia="en-US"/>
                    </w:rPr>
                  </w:pPr>
                  <w:r>
                    <w:rPr>
                      <w:rFonts w:asciiTheme="minorHAnsi" w:hAnsiTheme="minorHAnsi" w:cstheme="minorHAnsi"/>
                      <w:noProof/>
                      <w:lang w:eastAsia="fr-BE"/>
                    </w:rPr>
                    <mc:AlternateContent>
                      <mc:Choice Requires="wps">
                        <w:drawing>
                          <wp:anchor distT="0" distB="0" distL="114300" distR="114300" simplePos="0" relativeHeight="252144640" behindDoc="0" locked="0" layoutInCell="1" allowOverlap="1">
                            <wp:simplePos x="0" y="0"/>
                            <wp:positionH relativeFrom="column">
                              <wp:posOffset>6214745</wp:posOffset>
                            </wp:positionH>
                            <wp:positionV relativeFrom="paragraph">
                              <wp:posOffset>154305</wp:posOffset>
                            </wp:positionV>
                            <wp:extent cx="0" cy="228600"/>
                            <wp:effectExtent l="0" t="0" r="19050" b="19050"/>
                            <wp:wrapNone/>
                            <wp:docPr id="462" name="Connecteur droit 46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9F192C" id="Connecteur droit 462" o:spid="_x0000_s1026" style="position:absolute;z-index:252144640;visibility:visible;mso-wrap-style:square;mso-wrap-distance-left:9pt;mso-wrap-distance-top:0;mso-wrap-distance-right:9pt;mso-wrap-distance-bottom:0;mso-position-horizontal:absolute;mso-position-horizontal-relative:text;mso-position-vertical:absolute;mso-position-vertical-relative:text" from="489.35pt,12.15pt" to="489.3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" strokecolor="black [3213]"/>
                        </w:pict>
                      </mc:Fallback>
                    </mc:AlternateContent>
                  </w:r>
                  <w:r>
                    <w:rPr>
                      <w:rFonts w:asciiTheme="minorHAnsi" w:eastAsiaTheme="minorHAnsi" w:hAnsiTheme="minorHAnsi" w:cstheme="minorHAnsi"/>
                      <w:sz w:val="22"/>
                      <w:szCs w:val="22"/>
                      <w:lang w:eastAsia="en-US"/>
                    </w:rPr>
                    <w:t>2°) La direction n’accepte pas le changement d’établissement.</w:t>
                  </w:r>
                </w:p>
                <w:p w:rsidR="00F04EEF" w:rsidRDefault="0099351E">
                  <w:pPr>
                    <w:pStyle w:val="Corpsdetexte3"/>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Après avoir entendu les parents/l’élève majeur (Cfr Annexe 7 ter), la Direction s’oppose au changement : </w:t>
                  </w:r>
                </w:p>
                <w:p w:rsidR="00F04EEF" w:rsidRDefault="0099351E">
                  <w:pPr>
                    <w:numPr>
                      <w:ilvl w:val="0"/>
                      <w:numId w:val="323"/>
                    </w:numPr>
                    <w:tabs>
                      <w:tab w:val="num" w:pos="901"/>
                    </w:tabs>
                    <w:ind w:left="284" w:hanging="284"/>
                    <w:jc w:val="both"/>
                    <w:rPr>
                      <w:rFonts w:cstheme="minorHAnsi"/>
                    </w:rPr>
                  </w:pPr>
                  <w:r>
                    <w:rPr>
                      <w:rFonts w:cstheme="minorHAnsi"/>
                    </w:rPr>
                    <w:t>elle remet son avis en biffant au cadre A de la formule I (</w:t>
                  </w:r>
                  <w:hyperlink w:anchor="_Annexe_7_:_1" w:history="1">
                    <w:r>
                      <w:rPr>
                        <w:rStyle w:val="Lienhypertexte"/>
                        <w:rFonts w:cstheme="minorHAnsi"/>
                      </w:rPr>
                      <w:t>Annexe 5</w:t>
                    </w:r>
                  </w:hyperlink>
                  <w:r>
                    <w:rPr>
                      <w:rFonts w:cstheme="minorHAnsi"/>
                    </w:rPr>
                    <w:t>) la mention « autorisé » en conservant la mention « avis défavorable »;</w:t>
                  </w:r>
                </w:p>
                <w:p w:rsidR="00F04EEF" w:rsidRDefault="0099351E">
                  <w:pPr>
                    <w:numPr>
                      <w:ilvl w:val="0"/>
                      <w:numId w:val="323"/>
                    </w:numPr>
                    <w:tabs>
                      <w:tab w:val="num" w:pos="901"/>
                    </w:tabs>
                    <w:ind w:left="284" w:hanging="284"/>
                    <w:jc w:val="both"/>
                    <w:rPr>
                      <w:rFonts w:cstheme="minorHAnsi"/>
                    </w:rPr>
                  </w:pPr>
                  <w:r>
                    <w:rPr>
                      <w:rFonts w:cstheme="minorHAnsi"/>
                    </w:rPr>
                    <w:t>elle complète la formule II (</w:t>
                  </w:r>
                  <w:hyperlink w:anchor="_Annexe_7bis_:" w:history="1">
                    <w:r>
                      <w:rPr>
                        <w:rStyle w:val="Lienhypertexte"/>
                        <w:rFonts w:cstheme="minorHAnsi"/>
                      </w:rPr>
                      <w:t>Annexe 5bis</w:t>
                    </w:r>
                  </w:hyperlink>
                  <w:r>
                    <w:rPr>
                      <w:rFonts w:cstheme="minorHAnsi"/>
                    </w:rPr>
                    <w:t>) en justifiant son avis de manière circonstanciée;</w:t>
                  </w:r>
                </w:p>
                <w:p w:rsidR="00F04EEF" w:rsidRDefault="0099351E">
                  <w:pPr>
                    <w:tabs>
                      <w:tab w:val="num" w:pos="901"/>
                    </w:tabs>
                    <w:ind w:left="284" w:hanging="284"/>
                    <w:jc w:val="both"/>
                    <w:rPr>
                      <w:rFonts w:cstheme="minorHAnsi"/>
                    </w:rPr>
                  </w:pPr>
                  <w:r>
                    <w:rPr>
                      <w:rFonts w:cstheme="minorHAnsi"/>
                    </w:rPr>
                    <w:t>-</w:t>
                  </w:r>
                  <w:r>
                    <w:rPr>
                      <w:rFonts w:cstheme="minorHAnsi"/>
                    </w:rPr>
                    <w:tab/>
                    <w:t>elle transmet à l'organisme chargé de la guidance des élèves de l'établissement, la formule I originale, la formule II originale, ainsi que les documents annexes éventuels dans les</w:t>
                  </w:r>
                  <w:r>
                    <w:rPr>
                      <w:rFonts w:cstheme="minorHAnsi"/>
                    </w:rPr>
                    <w:br/>
                    <w:t>3 jours ouvrables qui suivent la réception de la demande des parents/de l’élève majeur.</w:t>
                  </w:r>
                </w:p>
                <w:p w:rsidR="00F04EEF" w:rsidRDefault="00F04EEF">
                  <w:pPr>
                    <w:jc w:val="both"/>
                    <w:rPr>
                      <w:rFonts w:cstheme="minorHAnsi"/>
                    </w:rPr>
                  </w:pPr>
                </w:p>
                <w:p w:rsidR="00F04EEF" w:rsidRDefault="0099351E">
                  <w:pPr>
                    <w:jc w:val="both"/>
                    <w:rPr>
                      <w:rFonts w:cs="Arial"/>
                    </w:rPr>
                  </w:pPr>
                  <w:r>
                    <w:rPr>
                      <w:rFonts w:cs="Arial"/>
                    </w:rPr>
                    <w:t>c) Traitement du dossier par l'organisme chargé de la guidance des élèves de l'établissement spécialisé d'origine.</w:t>
                  </w:r>
                </w:p>
                <w:p w:rsidR="00F04EEF" w:rsidRDefault="00F04EEF">
                  <w:pPr>
                    <w:jc w:val="both"/>
                    <w:rPr>
                      <w:rFonts w:cs="Arial"/>
                    </w:rPr>
                  </w:pPr>
                </w:p>
                <w:p w:rsidR="00F04EEF" w:rsidRDefault="0099351E">
                  <w:pPr>
                    <w:jc w:val="both"/>
                    <w:rPr>
                      <w:rFonts w:cs="Arial"/>
                    </w:rPr>
                  </w:pPr>
                  <w:r>
                    <w:rPr>
                      <w:rFonts w:cs="Arial"/>
                    </w:rPr>
                    <w:t xml:space="preserve">Après avoir entendu les parents/l’élève majeur dans </w:t>
                  </w:r>
                  <w:r>
                    <w:rPr>
                      <w:rFonts w:cs="Arial"/>
                      <w:b/>
                    </w:rPr>
                    <w:t>les 10 jours ouvrables</w:t>
                  </w:r>
                  <w:r>
                    <w:rPr>
                      <w:rFonts w:cs="Arial"/>
                    </w:rPr>
                    <w:t xml:space="preserve"> à dater de la réception de la demande transmise par la Direction de l’établissement, l’organisme chargé de la guidance des élèves remet son avis au sein du cadre D de la formule I (</w:t>
                  </w:r>
                  <w:hyperlink w:anchor="_Annexe_7_:_1" w:history="1">
                    <w:r>
                      <w:rPr>
                        <w:rStyle w:val="Lienhypertexte"/>
                        <w:rFonts w:cs="Arial"/>
                      </w:rPr>
                      <w:t>Annexe 5</w:t>
                    </w:r>
                  </w:hyperlink>
                  <w:r>
                    <w:rPr>
                      <w:rFonts w:cs="Arial"/>
                    </w:rPr>
                    <w:t>).</w:t>
                  </w:r>
                </w:p>
                <w:p w:rsidR="00F04EEF" w:rsidRDefault="00F04EEF">
                  <w:pPr>
                    <w:jc w:val="both"/>
                    <w:rPr>
                      <w:rFonts w:cs="Arial"/>
                    </w:rPr>
                  </w:pPr>
                </w:p>
                <w:p w:rsidR="00F04EEF" w:rsidRDefault="0099351E">
                  <w:pPr>
                    <w:jc w:val="both"/>
                    <w:rPr>
                      <w:rFonts w:cs="Arial"/>
                    </w:rPr>
                  </w:pPr>
                  <w:r>
                    <w:rPr>
                      <w:rFonts w:cs="Arial"/>
                    </w:rPr>
                    <w:t xml:space="preserve">Celui-ci renvoie immédiatement la formule I à la Direction de l’école d’origine. </w:t>
                  </w:r>
                </w:p>
                <w:p w:rsidR="00F04EEF" w:rsidRDefault="00F04EEF">
                  <w:pPr>
                    <w:jc w:val="both"/>
                    <w:rPr>
                      <w:rFonts w:cs="Arial"/>
                    </w:rPr>
                  </w:pPr>
                </w:p>
                <w:p w:rsidR="00F04EEF" w:rsidRDefault="0099351E">
                  <w:pPr>
                    <w:rPr>
                      <w:rFonts w:cs="Arial"/>
                    </w:rPr>
                  </w:pPr>
                  <w:r>
                    <w:rPr>
                      <w:rFonts w:cs="Arial"/>
                    </w:rPr>
                    <w:br w:type="page"/>
                  </w:r>
                </w:p>
                <w:p w:rsidR="00F04EEF" w:rsidRDefault="0099351E">
                  <w:pPr>
                    <w:jc w:val="both"/>
                    <w:rPr>
                      <w:rFonts w:cs="Arial"/>
                    </w:rPr>
                  </w:pPr>
                  <w:r>
                    <w:rPr>
                      <w:rFonts w:cs="Arial"/>
                    </w:rPr>
                    <w:t>d) Traitement final du dossier par la direction de l’école d’origine (après intervention de l’organisme chargé de la guidance des élèves).</w:t>
                  </w:r>
                </w:p>
                <w:p w:rsidR="00F04EEF" w:rsidRDefault="00F04EEF">
                  <w:pPr>
                    <w:jc w:val="both"/>
                    <w:rPr>
                      <w:rFonts w:cs="Arial"/>
                    </w:rPr>
                  </w:pPr>
                </w:p>
                <w:p w:rsidR="00F04EEF" w:rsidRDefault="0099351E">
                  <w:pPr>
                    <w:spacing w:after="120"/>
                    <w:jc w:val="both"/>
                    <w:rPr>
                      <w:rFonts w:cs="Arial"/>
                    </w:rPr>
                  </w:pPr>
                  <w:r>
                    <w:rPr>
                      <w:rFonts w:cs="Arial"/>
                    </w:rPr>
                    <w:t>Après retour du dossier, la direction de l’école d’origine :</w:t>
                  </w:r>
                </w:p>
                <w:p w:rsidR="00F04EEF" w:rsidRDefault="0099351E">
                  <w:pPr>
                    <w:pStyle w:val="Paragraphedeliste"/>
                    <w:numPr>
                      <w:ilvl w:val="0"/>
                      <w:numId w:val="326"/>
                    </w:numPr>
                    <w:suppressAutoHyphens w:val="0"/>
                    <w:ind w:left="567"/>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complète le cadre B de la formule I (</w:t>
                  </w:r>
                  <w:hyperlink w:anchor="_Annexe_7_:_1" w:history="1">
                    <w:r>
                      <w:rPr>
                        <w:rStyle w:val="Lienhypertexte"/>
                        <w:rFonts w:asciiTheme="minorHAnsi" w:eastAsiaTheme="minorHAnsi" w:hAnsiTheme="minorHAnsi" w:cstheme="minorHAnsi"/>
                        <w:sz w:val="22"/>
                        <w:szCs w:val="22"/>
                        <w:lang w:eastAsia="en-US"/>
                      </w:rPr>
                      <w:t>Annexe 5</w:t>
                    </w:r>
                  </w:hyperlink>
                  <w:r>
                    <w:rPr>
                      <w:rFonts w:asciiTheme="minorHAnsi" w:eastAsiaTheme="minorHAnsi" w:hAnsiTheme="minorHAnsi" w:cstheme="minorHAnsi"/>
                      <w:sz w:val="22"/>
                      <w:szCs w:val="22"/>
                      <w:lang w:eastAsia="en-US"/>
                    </w:rPr>
                    <w:t>)</w:t>
                  </w:r>
                </w:p>
                <w:p w:rsidR="00F04EEF" w:rsidRDefault="0099351E">
                  <w:pPr>
                    <w:pStyle w:val="Paragraphedeliste"/>
                    <w:numPr>
                      <w:ilvl w:val="0"/>
                      <w:numId w:val="326"/>
                    </w:numPr>
                    <w:suppressAutoHyphens w:val="0"/>
                    <w:ind w:left="567"/>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remet immédiatement la formule I originale aux parents/élève majeur afin qu’il(s) puisse(nt) procéder à l’inscription dans le nouvel établissement (et conserve une copie dans ses propres archives et les tient à disposition du service de la Vérification).</w:t>
                  </w:r>
                </w:p>
                <w:p w:rsidR="00F04EEF" w:rsidRDefault="00F04EEF">
                  <w:pPr>
                    <w:jc w:val="both"/>
                    <w:rPr>
                      <w:rFonts w:cs="Arial"/>
                    </w:rPr>
                  </w:pPr>
                </w:p>
                <w:p w:rsidR="00F04EEF" w:rsidRDefault="0099351E">
                  <w:pPr>
                    <w:jc w:val="both"/>
                    <w:rPr>
                      <w:rFonts w:cs="Arial"/>
                    </w:rPr>
                  </w:pPr>
                  <w:r>
                    <w:rPr>
                      <w:rFonts w:cs="Arial"/>
                    </w:rPr>
                    <w:t>Si dans un délai de 10 jours suivant la remise du formulaire autorisant le changement aux parents d’un élève mineur, aucune information concernant l’inscription de l’élève dans la nouvelle école ne peut être obtenue par la Direction de l’école d’origine, celle-ci prend contact avec le service de l’obligation scolaire (</w:t>
                  </w:r>
                  <w:hyperlink r:id="rId17" w:history="1">
                    <w:r>
                      <w:rPr>
                        <w:rFonts w:cs="Arial"/>
                      </w:rPr>
                      <w:t>obsi@cfwb.be</w:t>
                    </w:r>
                  </w:hyperlink>
                  <w:r>
                    <w:rPr>
                      <w:rFonts w:cs="Arial"/>
                    </w:rPr>
                    <w:t>).</w:t>
                  </w:r>
                </w:p>
                <w:p w:rsidR="00F04EEF" w:rsidRDefault="00F04EEF">
                  <w:pPr>
                    <w:jc w:val="both"/>
                    <w:rPr>
                      <w:rFonts w:cs="Arial"/>
                    </w:rPr>
                  </w:pPr>
                </w:p>
                <w:p w:rsidR="00F04EEF" w:rsidRDefault="0099351E">
                  <w:pPr>
                    <w:jc w:val="both"/>
                    <w:rPr>
                      <w:rFonts w:cs="Arial"/>
                    </w:rPr>
                  </w:pPr>
                  <w:r>
                    <w:rPr>
                      <w:rFonts w:cs="Arial"/>
                    </w:rPr>
                    <w:t>e) Intervention de la direction du nouvel établissement d’enseignement spécialisé</w:t>
                  </w:r>
                </w:p>
                <w:p w:rsidR="00F04EEF" w:rsidRDefault="0099351E">
                  <w:pPr>
                    <w:jc w:val="both"/>
                    <w:rPr>
                      <w:rFonts w:cs="Arial"/>
                    </w:rPr>
                  </w:pPr>
                  <w:r>
                    <w:rPr>
                      <w:rFonts w:cs="Arial"/>
                      <w:noProof/>
                      <w:lang w:eastAsia="fr-BE"/>
                    </w:rPr>
                    <mc:AlternateContent>
                      <mc:Choice Requires="wps">
                        <w:drawing>
                          <wp:anchor distT="0" distB="0" distL="114300" distR="114300" simplePos="0" relativeHeight="252145664" behindDoc="0" locked="0" layoutInCell="1" allowOverlap="1">
                            <wp:simplePos x="0" y="0"/>
                            <wp:positionH relativeFrom="column">
                              <wp:posOffset>6243320</wp:posOffset>
                            </wp:positionH>
                            <wp:positionV relativeFrom="paragraph">
                              <wp:posOffset>156845</wp:posOffset>
                            </wp:positionV>
                            <wp:extent cx="0" cy="219075"/>
                            <wp:effectExtent l="0" t="0" r="19050" b="28575"/>
                            <wp:wrapNone/>
                            <wp:docPr id="466" name="Connecteur droit 466"/>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0D0AD5" id="Connecteur droit 466" o:spid="_x0000_s1026" style="position:absolute;z-index:252145664;visibility:visible;mso-wrap-style:square;mso-wrap-distance-left:9pt;mso-wrap-distance-top:0;mso-wrap-distance-right:9pt;mso-wrap-distance-bottom:0;mso-position-horizontal:absolute;mso-position-horizontal-relative:text;mso-position-vertical:absolute;mso-position-vertical-relative:text" from="491.6pt,12.35pt" to="491.6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" strokecolor="black [3213]"/>
                        </w:pict>
                      </mc:Fallback>
                    </mc:AlternateContent>
                  </w:r>
                </w:p>
                <w:p w:rsidR="00F04EEF" w:rsidRDefault="0099351E">
                  <w:pPr>
                    <w:jc w:val="both"/>
                    <w:rPr>
                      <w:rFonts w:cs="Arial"/>
                    </w:rPr>
                  </w:pPr>
                  <w:r>
                    <w:rPr>
                      <w:rFonts w:cs="Arial"/>
                    </w:rPr>
                    <w:t>La direction ne peut accepter l’élève que lorsqu’elle est en possession de la formule figurant à l’annexe 5 autorisant le changement d’établissement.</w:t>
                  </w:r>
                </w:p>
                <w:p w:rsidR="00F04EEF" w:rsidRDefault="00F04EEF">
                  <w:pPr>
                    <w:jc w:val="both"/>
                    <w:rPr>
                      <w:rFonts w:cs="Arial"/>
                    </w:rPr>
                  </w:pPr>
                </w:p>
                <w:p w:rsidR="00F04EEF" w:rsidRDefault="0099351E">
                  <w:pPr>
                    <w:jc w:val="both"/>
                    <w:rPr>
                      <w:rFonts w:cs="Arial"/>
                    </w:rPr>
                  </w:pPr>
                  <w:r>
                    <w:rPr>
                      <w:rFonts w:cs="Arial"/>
                    </w:rPr>
                    <w:t xml:space="preserve">La direction du nouvel établissement </w:t>
                  </w:r>
                </w:p>
                <w:p w:rsidR="00F04EEF" w:rsidRDefault="00F04EEF">
                  <w:pPr>
                    <w:jc w:val="both"/>
                    <w:rPr>
                      <w:rFonts w:cs="Arial"/>
                    </w:rPr>
                  </w:pPr>
                </w:p>
                <w:p w:rsidR="00F04EEF" w:rsidRDefault="0099351E">
                  <w:pPr>
                    <w:pStyle w:val="Paragraphedeliste"/>
                    <w:numPr>
                      <w:ilvl w:val="0"/>
                      <w:numId w:val="327"/>
                    </w:numPr>
                    <w:suppressAutoHyphens w:val="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complète le cadre C de la formule I (premier jour de classe dans la nouvelle école) (</w:t>
                  </w:r>
                  <w:hyperlink w:anchor="_Annexe_7_:_1" w:history="1">
                    <w:r>
                      <w:rPr>
                        <w:rStyle w:val="Lienhypertexte"/>
                        <w:rFonts w:asciiTheme="minorHAnsi" w:eastAsiaTheme="minorHAnsi" w:hAnsiTheme="minorHAnsi" w:cstheme="minorHAnsi"/>
                        <w:sz w:val="22"/>
                        <w:szCs w:val="22"/>
                        <w:lang w:eastAsia="en-US"/>
                      </w:rPr>
                      <w:t>Annexe 5</w:t>
                    </w:r>
                  </w:hyperlink>
                  <w:r>
                    <w:rPr>
                      <w:rFonts w:asciiTheme="minorHAnsi" w:eastAsiaTheme="minorHAnsi" w:hAnsiTheme="minorHAnsi" w:cstheme="minorHAnsi"/>
                      <w:sz w:val="22"/>
                      <w:szCs w:val="22"/>
                      <w:lang w:eastAsia="en-US"/>
                    </w:rPr>
                    <w:t>) ;</w:t>
                  </w:r>
                </w:p>
                <w:p w:rsidR="00F04EEF" w:rsidRDefault="0099351E">
                  <w:pPr>
                    <w:pStyle w:val="Paragraphedeliste"/>
                    <w:numPr>
                      <w:ilvl w:val="0"/>
                      <w:numId w:val="327"/>
                    </w:numPr>
                    <w:suppressAutoHyphens w:val="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transmet une copie de formule I complétée par ses soins à la direction de l’école d’origine.</w:t>
                  </w:r>
                </w:p>
                <w:p w:rsidR="00F04EEF" w:rsidRDefault="00F04EEF">
                  <w:pPr>
                    <w:jc w:val="both"/>
                    <w:rPr>
                      <w:rFonts w:cs="Arial"/>
                    </w:rPr>
                  </w:pPr>
                </w:p>
                <w:p w:rsidR="00F04EEF" w:rsidRDefault="0099351E">
                  <w:pPr>
                    <w:jc w:val="both"/>
                    <w:rPr>
                      <w:rFonts w:cstheme="minorHAnsi"/>
                      <w:b/>
                      <w:u w:val="single"/>
                    </w:rPr>
                  </w:pPr>
                  <w:r>
                    <w:rPr>
                      <w:rFonts w:cstheme="minorHAnsi"/>
                      <w:b/>
                      <w:noProof/>
                      <w:u w:val="single"/>
                      <w:lang w:eastAsia="fr-BE"/>
                    </w:rPr>
                    <mc:AlternateContent>
                      <mc:Choice Requires="wps">
                        <w:drawing>
                          <wp:anchor distT="0" distB="0" distL="114300" distR="114300" simplePos="0" relativeHeight="252146688" behindDoc="0" locked="0" layoutInCell="1" allowOverlap="1">
                            <wp:simplePos x="0" y="0"/>
                            <wp:positionH relativeFrom="column">
                              <wp:posOffset>6281420</wp:posOffset>
                            </wp:positionH>
                            <wp:positionV relativeFrom="paragraph">
                              <wp:posOffset>102870</wp:posOffset>
                            </wp:positionV>
                            <wp:extent cx="0" cy="257175"/>
                            <wp:effectExtent l="0" t="0" r="19050" b="28575"/>
                            <wp:wrapNone/>
                            <wp:docPr id="467" name="Connecteur droit 467"/>
                            <wp:cNvGraphicFramePr/>
                            <a:graphic xmlns:a="http://schemas.openxmlformats.org/drawingml/2006/main">
                              <a:graphicData uri="http://schemas.microsoft.com/office/word/2010/wordprocessingShape">
                                <wps:wsp>
                                  <wps:cNvCnPr/>
                                  <wps:spPr>
                                    <a:xfrm>
                                      <a:off x="0" y="0"/>
                                      <a:ext cx="0" cy="257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582F2A" id="Connecteur droit 467" o:spid="_x0000_s1026" style="position:absolute;z-index:252146688;visibility:visible;mso-wrap-style:square;mso-wrap-distance-left:9pt;mso-wrap-distance-top:0;mso-wrap-distance-right:9pt;mso-wrap-distance-bottom:0;mso-position-horizontal:absolute;mso-position-horizontal-relative:text;mso-position-vertical:absolute;mso-position-vertical-relative:text" from="494.6pt,8.1pt" to="494.6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" strokecolor="black [3213]"/>
                        </w:pict>
                      </mc:Fallback>
                    </mc:AlternateContent>
                  </w:r>
                  <w:r>
                    <w:rPr>
                      <w:rFonts w:cstheme="minorHAnsi"/>
                      <w:b/>
                      <w:u w:val="single"/>
                    </w:rPr>
                    <w:t>Remarque :</w:t>
                  </w:r>
                </w:p>
                <w:p w:rsidR="00F04EEF" w:rsidRDefault="0099351E">
                  <w:pPr>
                    <w:jc w:val="both"/>
                    <w:rPr>
                      <w:rFonts w:cstheme="minorHAnsi"/>
                      <w:b/>
                    </w:rPr>
                  </w:pPr>
                  <w:r>
                    <w:rPr>
                      <w:rFonts w:cstheme="minorHAnsi"/>
                      <w:b/>
                    </w:rPr>
                    <w:t>En cas d’exclusion les documents de transfert ne doivent pas être complétés.</w:t>
                  </w:r>
                </w:p>
                <w:p w:rsidR="00F04EEF" w:rsidRDefault="00F04EEF"/>
                <w:p w:rsidR="00F04EEF" w:rsidRDefault="00F04EEF"/>
                <w:p w:rsidR="00F04EEF" w:rsidRDefault="0099351E">
                  <w:pPr>
                    <w:pStyle w:val="Titre6"/>
                  </w:pPr>
                  <w:r>
                    <w:t>1.1.6.3 Transfert d'un élève d’un établissement d'enseignement ordinaire vers un établissement d'enseignement spécialisé.</w:t>
                  </w:r>
                </w:p>
                <w:p w:rsidR="00F04EEF" w:rsidRDefault="00F04EEF">
                  <w:pPr>
                    <w:jc w:val="both"/>
                    <w:rPr>
                      <w:rFonts w:cs="Arial"/>
                    </w:rPr>
                  </w:pPr>
                </w:p>
                <w:p w:rsidR="00F04EEF" w:rsidRDefault="0099351E">
                  <w:pPr>
                    <w:pStyle w:val="Corpsdetexte"/>
                    <w:jc w:val="both"/>
                    <w:rPr>
                      <w:szCs w:val="22"/>
                    </w:rPr>
                  </w:pPr>
                  <w:r>
                    <w:rPr>
                      <w:szCs w:val="22"/>
                    </w:rPr>
                    <w:t xml:space="preserve">Le chef de l'établissement d'enseignement spécialisé admettra l'élève à tout moment de l'année pour autant que celui-ci réponde à toutes les conditions d'admission (cfr. </w:t>
                  </w:r>
                  <w:hyperlink w:anchor="_Chapitre_15_:" w:history="1">
                    <w:r>
                      <w:rPr>
                        <w:rStyle w:val="Lienhypertexte"/>
                        <w:rFonts w:cs="Arial"/>
                        <w:szCs w:val="22"/>
                      </w:rPr>
                      <w:t>Chapitre 15</w:t>
                    </w:r>
                  </w:hyperlink>
                  <w:r>
                    <w:rPr>
                      <w:szCs w:val="22"/>
                    </w:rPr>
                    <w:t>).</w:t>
                  </w:r>
                </w:p>
                <w:p w:rsidR="00F04EEF" w:rsidRDefault="00F04EEF">
                  <w:pPr>
                    <w:jc w:val="both"/>
                    <w:rPr>
                      <w:rFonts w:cs="Arial"/>
                    </w:rPr>
                  </w:pPr>
                </w:p>
                <w:p w:rsidR="00F04EEF" w:rsidRDefault="0099351E">
                  <w:pPr>
                    <w:jc w:val="both"/>
                    <w:rPr>
                      <w:rFonts w:cs="Arial"/>
                    </w:rPr>
                  </w:pPr>
                  <w:r>
                    <w:rPr>
                      <w:rFonts w:cs="Arial"/>
                    </w:rPr>
                    <w:t xml:space="preserve">En cas de désaccord entre les parties concernées (parents, chef de l'établissement d'enseignement ordinaire, inspection, médecin du Service de Promotion et de Santé à l’école (S.P.S.E), et guidance), la Commission consultative compétente est saisie et donne son avis comme le prévoit l'article 125, 3° du </w:t>
                  </w:r>
                  <w:hyperlink r:id="rId18" w:history="1">
                    <w:r>
                      <w:rPr>
                        <w:rStyle w:val="Lienhypertexte"/>
                        <w:rFonts w:cs="Arial"/>
                      </w:rPr>
                      <w:t>Décret du 3 mars 2004 organisant l'Enseignement spécialisé</w:t>
                    </w:r>
                  </w:hyperlink>
                  <w:r>
                    <w:rPr>
                      <w:rFonts w:cs="Arial"/>
                    </w:rPr>
                    <w:t xml:space="preserve">. </w:t>
                  </w:r>
                </w:p>
                <w:p w:rsidR="00F04EEF" w:rsidRDefault="00F04EEF">
                  <w:pPr>
                    <w:jc w:val="both"/>
                    <w:rPr>
                      <w:rFonts w:cs="Arial"/>
                    </w:rPr>
                  </w:pPr>
                </w:p>
                <w:p w:rsidR="00F04EEF" w:rsidRDefault="0099351E">
                  <w:pPr>
                    <w:rPr>
                      <w:rFonts w:cs="Arial"/>
                    </w:rPr>
                  </w:pPr>
                  <w:r>
                    <w:rPr>
                      <w:rFonts w:cs="Arial"/>
                    </w:rPr>
                    <w:t>Si les parents ne réagissent pas à l’avis de la Commission consultative, celle-ci transmet le dossier au Gouvernement, selon la procédure fixée à l'article 128 alinéa 5 du Décret précité.</w:t>
                  </w:r>
                </w:p>
                <w:p w:rsidR="00F04EEF" w:rsidRDefault="00F04EEF">
                  <w:pPr>
                    <w:pStyle w:val="Paragraphedeliste"/>
                    <w:tabs>
                      <w:tab w:val="left" w:pos="567"/>
                      <w:tab w:val="left" w:pos="851"/>
                    </w:tabs>
                    <w:ind w:left="0"/>
                    <w:jc w:val="both"/>
                    <w:rPr>
                      <w:rFonts w:asciiTheme="majorHAnsi" w:eastAsiaTheme="minorHAnsi" w:hAnsiTheme="majorHAnsi"/>
                      <w:sz w:val="22"/>
                      <w:szCs w:val="22"/>
                      <w:lang w:eastAsia="en-US"/>
                    </w:rPr>
                  </w:pPr>
                  <w:bookmarkStart w:id="136" w:name="_1.1.8.3_Transfert_d'un"/>
                  <w:bookmarkEnd w:id="136"/>
                </w:p>
                <w:p w:rsidR="00F04EEF" w:rsidRDefault="00F04EEF">
                  <w:pPr>
                    <w:jc w:val="both"/>
                    <w:rPr>
                      <w:rFonts w:cs="Arial"/>
                    </w:rPr>
                  </w:pPr>
                </w:p>
                <w:p w:rsidR="00F04EEF" w:rsidRDefault="0099351E">
                  <w:pPr>
                    <w:pStyle w:val="Titre6"/>
                    <w:rPr>
                      <w:rFonts w:eastAsiaTheme="minorHAnsi"/>
                    </w:rPr>
                  </w:pPr>
                  <w:bookmarkStart w:id="137" w:name="_1.1.8.4._Transfert_d'un"/>
                  <w:bookmarkEnd w:id="137"/>
                  <w:r>
                    <w:rPr>
                      <w:rFonts w:eastAsiaTheme="minorHAnsi"/>
                    </w:rPr>
                    <w:t>1.1.6.4. Transfert d’un élève d’un établissement d’enseignement spécialisé vers un établissement d’enseignement secondaire ordinaire.</w:t>
                  </w:r>
                </w:p>
                <w:p w:rsidR="00F04EEF" w:rsidRDefault="00F04EEF">
                  <w:pPr>
                    <w:jc w:val="both"/>
                    <w:rPr>
                      <w:rFonts w:cs="Arial"/>
                    </w:rPr>
                  </w:pPr>
                </w:p>
                <w:p w:rsidR="00F04EEF" w:rsidRDefault="0099351E">
                  <w:pPr>
                    <w:pStyle w:val="Corpsdetexte"/>
                    <w:jc w:val="both"/>
                    <w:rPr>
                      <w:szCs w:val="22"/>
                    </w:rPr>
                  </w:pPr>
                  <w:r>
                    <w:rPr>
                      <w:szCs w:val="22"/>
                    </w:rPr>
                    <w:t>Un élève régulièrement inscrit dans un établissement d’enseignement spécialisé peut être inscrit dans l’enseignement secondaire ordinaire sur décision de ses parents, de la personne investie de l’autorité parentale ou sur décision de l’élève lui-même s’il est majeur, à la condition toutefois de respecter les modalités suivantes :</w:t>
                  </w:r>
                </w:p>
                <w:p w:rsidR="00F04EEF" w:rsidRDefault="00F04EEF">
                  <w:pPr>
                    <w:pStyle w:val="Corpsdetexte"/>
                    <w:jc w:val="both"/>
                    <w:rPr>
                      <w:szCs w:val="22"/>
                    </w:rPr>
                  </w:pPr>
                </w:p>
                <w:p w:rsidR="00F04EEF" w:rsidRDefault="0099351E">
                  <w:pPr>
                    <w:jc w:val="both"/>
                    <w:rPr>
                      <w:rFonts w:cs="Arial"/>
                    </w:rPr>
                  </w:pPr>
                  <w:r>
                    <w:rPr>
                      <w:rFonts w:cs="Arial"/>
                    </w:rPr>
                    <w:t>1° L’avis du CPMS de l’enseignement spécialisé est toujours requis mais non contraignant.</w:t>
                  </w:r>
                </w:p>
                <w:p w:rsidR="00F04EEF" w:rsidRDefault="0099351E">
                  <w:pPr>
                    <w:jc w:val="both"/>
                    <w:rPr>
                      <w:rFonts w:cs="Arial"/>
                    </w:rPr>
                  </w:pPr>
                  <w:r>
                    <w:rPr>
                      <w:rFonts w:cs="Arial"/>
                    </w:rPr>
                    <w:t xml:space="preserve">2° L’avis favorable du conseil d’admission de l’école ordinaire est également requis. </w:t>
                  </w:r>
                </w:p>
                <w:p w:rsidR="00F04EEF" w:rsidRDefault="00F04EEF">
                  <w:pPr>
                    <w:jc w:val="both"/>
                    <w:rPr>
                      <w:rFonts w:cs="Arial"/>
                    </w:rPr>
                  </w:pPr>
                </w:p>
                <w:p w:rsidR="00F04EEF" w:rsidRDefault="0099351E">
                  <w:pPr>
                    <w:jc w:val="both"/>
                    <w:rPr>
                      <w:rFonts w:cs="Arial"/>
                    </w:rPr>
                  </w:pPr>
                  <w:r>
                    <w:rPr>
                      <w:rFonts w:cs="Arial"/>
                    </w:rPr>
                    <w:t>En cas de désaccord, chaque intervenant peut solliciter l’avis de la commission consultative à l’adresse suivante :</w:t>
                  </w:r>
                </w:p>
                <w:p w:rsidR="00F04EEF" w:rsidRDefault="00F04EEF">
                  <w:pPr>
                    <w:jc w:val="both"/>
                    <w:rPr>
                      <w:rFonts w:cs="Arial"/>
                    </w:rPr>
                  </w:pPr>
                </w:p>
                <w:p w:rsidR="00F04EEF" w:rsidRDefault="0099351E">
                  <w:pPr>
                    <w:pBdr>
                      <w:top w:val="single" w:sz="4" w:space="1" w:color="auto"/>
                      <w:left w:val="single" w:sz="4" w:space="4" w:color="auto"/>
                      <w:bottom w:val="single" w:sz="4" w:space="6" w:color="auto"/>
                      <w:right w:val="single" w:sz="4" w:space="4" w:color="auto"/>
                    </w:pBdr>
                    <w:jc w:val="center"/>
                    <w:rPr>
                      <w:rFonts w:cs="Arial"/>
                    </w:rPr>
                  </w:pPr>
                  <w:r>
                    <w:rPr>
                      <w:rFonts w:cs="Arial"/>
                    </w:rPr>
                    <w:t xml:space="preserve">Commission consultative </w:t>
                  </w:r>
                </w:p>
                <w:p w:rsidR="00F04EEF" w:rsidRDefault="0099351E">
                  <w:pPr>
                    <w:pBdr>
                      <w:top w:val="single" w:sz="4" w:space="1" w:color="auto"/>
                      <w:left w:val="single" w:sz="4" w:space="4" w:color="auto"/>
                      <w:bottom w:val="single" w:sz="4" w:space="6" w:color="auto"/>
                      <w:right w:val="single" w:sz="4" w:space="4" w:color="auto"/>
                    </w:pBdr>
                    <w:jc w:val="center"/>
                    <w:rPr>
                      <w:rFonts w:cs="Arial"/>
                    </w:rPr>
                  </w:pPr>
                  <w:r>
                    <w:rPr>
                      <w:rFonts w:cs="Arial"/>
                    </w:rPr>
                    <w:t>Madame Nathalie DUJARDIN</w:t>
                  </w:r>
                </w:p>
                <w:p w:rsidR="00F04EEF" w:rsidRDefault="0099351E">
                  <w:pPr>
                    <w:pBdr>
                      <w:top w:val="single" w:sz="4" w:space="1" w:color="auto"/>
                      <w:left w:val="single" w:sz="4" w:space="4" w:color="auto"/>
                      <w:bottom w:val="single" w:sz="4" w:space="6" w:color="auto"/>
                      <w:right w:val="single" w:sz="4" w:space="4" w:color="auto"/>
                    </w:pBdr>
                    <w:jc w:val="center"/>
                    <w:rPr>
                      <w:rFonts w:cs="Arial"/>
                    </w:rPr>
                  </w:pPr>
                  <w:r>
                    <w:rPr>
                      <w:rFonts w:cs="Arial"/>
                    </w:rPr>
                    <w:t>Bureau 2 F 250</w:t>
                  </w:r>
                </w:p>
                <w:p w:rsidR="00F04EEF" w:rsidRDefault="0099351E">
                  <w:pPr>
                    <w:pBdr>
                      <w:top w:val="single" w:sz="4" w:space="1" w:color="auto"/>
                      <w:left w:val="single" w:sz="4" w:space="4" w:color="auto"/>
                      <w:bottom w:val="single" w:sz="4" w:space="6" w:color="auto"/>
                      <w:right w:val="single" w:sz="4" w:space="4" w:color="auto"/>
                    </w:pBdr>
                    <w:jc w:val="center"/>
                    <w:rPr>
                      <w:rFonts w:cs="Arial"/>
                    </w:rPr>
                  </w:pPr>
                  <w:r>
                    <w:rPr>
                      <w:rFonts w:cs="Arial"/>
                    </w:rPr>
                    <w:t>Rue Adolphe Lavallée, 1</w:t>
                  </w:r>
                </w:p>
                <w:p w:rsidR="00F04EEF" w:rsidRDefault="0099351E">
                  <w:pPr>
                    <w:pBdr>
                      <w:top w:val="single" w:sz="4" w:space="1" w:color="auto"/>
                      <w:left w:val="single" w:sz="4" w:space="4" w:color="auto"/>
                      <w:bottom w:val="single" w:sz="4" w:space="6" w:color="auto"/>
                      <w:right w:val="single" w:sz="4" w:space="4" w:color="auto"/>
                    </w:pBdr>
                    <w:jc w:val="center"/>
                    <w:rPr>
                      <w:rFonts w:cs="Arial"/>
                    </w:rPr>
                  </w:pPr>
                  <w:r>
                    <w:rPr>
                      <w:rFonts w:cs="Arial"/>
                    </w:rPr>
                    <w:t>1080   BRUXELLES</w:t>
                  </w:r>
                </w:p>
                <w:p w:rsidR="00F04EEF" w:rsidRDefault="0099351E">
                  <w:pPr>
                    <w:pBdr>
                      <w:top w:val="single" w:sz="4" w:space="1" w:color="auto"/>
                      <w:left w:val="single" w:sz="4" w:space="4" w:color="auto"/>
                      <w:bottom w:val="single" w:sz="4" w:space="6" w:color="auto"/>
                      <w:right w:val="single" w:sz="4" w:space="4" w:color="auto"/>
                    </w:pBdr>
                    <w:jc w:val="center"/>
                    <w:rPr>
                      <w:rFonts w:cs="Arial"/>
                      <w:lang w:val="fr-FR"/>
                    </w:rPr>
                  </w:pPr>
                  <w:r>
                    <w:rPr>
                      <w:rFonts w:cs="Arial"/>
                    </w:rPr>
                    <w:sym w:font="Wingdings" w:char="F028"/>
                  </w:r>
                  <w:r>
                    <w:rPr>
                      <w:rFonts w:cs="Arial"/>
                      <w:lang w:val="fr-FR"/>
                    </w:rPr>
                    <w:t> : 02/690.88.59 – GSM : 0472/94.31.95</w:t>
                  </w:r>
                </w:p>
                <w:p w:rsidR="00F04EEF" w:rsidRDefault="0099351E">
                  <w:pPr>
                    <w:pBdr>
                      <w:top w:val="single" w:sz="4" w:space="1" w:color="auto"/>
                      <w:left w:val="single" w:sz="4" w:space="4" w:color="auto"/>
                      <w:bottom w:val="single" w:sz="4" w:space="6" w:color="auto"/>
                      <w:right w:val="single" w:sz="4" w:space="4" w:color="auto"/>
                    </w:pBdr>
                    <w:jc w:val="center"/>
                    <w:rPr>
                      <w:rFonts w:cs="Arial"/>
                      <w:lang w:val="fr-FR"/>
                    </w:rPr>
                  </w:pPr>
                  <w:r>
                    <w:rPr>
                      <w:rFonts w:cs="Arial"/>
                      <w:bCs/>
                    </w:rPr>
                    <w:sym w:font="Wingdings" w:char="F03A"/>
                  </w:r>
                  <w:r>
                    <w:rPr>
                      <w:rFonts w:cs="Arial"/>
                      <w:bCs/>
                      <w:lang w:val="fr-FR"/>
                    </w:rPr>
                    <w:t xml:space="preserve"> : </w:t>
                  </w:r>
                  <w:hyperlink r:id="rId19" w:history="1">
                    <w:r>
                      <w:rPr>
                        <w:rStyle w:val="Lienhypertexte"/>
                        <w:rFonts w:cs="Arial"/>
                        <w:b/>
                        <w:lang w:val="fr-FR"/>
                      </w:rPr>
                      <w:t>nathalie.dujardin@cfwb.be</w:t>
                    </w:r>
                  </w:hyperlink>
                  <w:r>
                    <w:rPr>
                      <w:rFonts w:cs="Arial"/>
                      <w:lang w:val="fr-FR"/>
                    </w:rPr>
                    <w:t xml:space="preserve"> </w:t>
                  </w:r>
                </w:p>
                <w:p w:rsidR="00F04EEF" w:rsidRDefault="00F04EEF">
                  <w:pPr>
                    <w:jc w:val="center"/>
                    <w:rPr>
                      <w:rFonts w:cs="Arial"/>
                      <w:lang w:val="fr-FR"/>
                    </w:rPr>
                  </w:pPr>
                </w:p>
                <w:p w:rsidR="00F04EEF" w:rsidRDefault="0099351E">
                  <w:pPr>
                    <w:jc w:val="both"/>
                    <w:rPr>
                      <w:rFonts w:cs="Arial"/>
                    </w:rPr>
                  </w:pPr>
                  <w:r>
                    <w:rPr>
                      <w:rFonts w:cs="Arial"/>
                    </w:rPr>
                    <w:t>Le chef de l’établissement d’enseignement ordinaire réclame un rapport explicatif :</w:t>
                  </w:r>
                </w:p>
                <w:p w:rsidR="00F04EEF" w:rsidRDefault="00F04EEF">
                  <w:pPr>
                    <w:jc w:val="both"/>
                    <w:rPr>
                      <w:rFonts w:cs="Arial"/>
                    </w:rPr>
                  </w:pPr>
                </w:p>
                <w:p w:rsidR="00F04EEF" w:rsidRDefault="0099351E">
                  <w:pPr>
                    <w:numPr>
                      <w:ilvl w:val="0"/>
                      <w:numId w:val="124"/>
                    </w:numPr>
                    <w:tabs>
                      <w:tab w:val="clear" w:pos="360"/>
                      <w:tab w:val="num" w:pos="851"/>
                    </w:tabs>
                    <w:suppressAutoHyphens/>
                    <w:ind w:left="851" w:hanging="284"/>
                    <w:jc w:val="both"/>
                    <w:rPr>
                      <w:rFonts w:cs="Arial"/>
                    </w:rPr>
                  </w:pPr>
                  <w:r>
                    <w:rPr>
                      <w:rFonts w:cs="Arial"/>
                    </w:rPr>
                    <w:t>à l’école d’enseignement spécialisé, le dossier pédagogique reprenant les compétences acquises par l’élève, son parcours scolaire ;</w:t>
                  </w:r>
                </w:p>
                <w:p w:rsidR="00F04EEF" w:rsidRDefault="0099351E">
                  <w:pPr>
                    <w:numPr>
                      <w:ilvl w:val="0"/>
                      <w:numId w:val="124"/>
                    </w:numPr>
                    <w:tabs>
                      <w:tab w:val="clear" w:pos="360"/>
                      <w:tab w:val="num" w:pos="851"/>
                    </w:tabs>
                    <w:suppressAutoHyphens/>
                    <w:ind w:left="851" w:hanging="284"/>
                    <w:jc w:val="both"/>
                    <w:rPr>
                      <w:rFonts w:cs="Arial"/>
                    </w:rPr>
                  </w:pPr>
                  <w:r>
                    <w:rPr>
                      <w:rFonts w:cs="Arial"/>
                    </w:rPr>
                    <w:t>au CPMS de l’enseignement spécialisé, un rapport reprenant des éléments autres que pédagogiques et explicitant son avis afin de permettre au conseil (ou jury) d’admission de prendre position en connaissance de cause.</w:t>
                  </w:r>
                </w:p>
                <w:p w:rsidR="00F04EEF" w:rsidRDefault="00F04EEF">
                  <w:pPr>
                    <w:jc w:val="both"/>
                    <w:rPr>
                      <w:rFonts w:cs="Arial"/>
                    </w:rPr>
                  </w:pPr>
                </w:p>
                <w:p w:rsidR="00F04EEF" w:rsidRDefault="0099351E">
                  <w:pPr>
                    <w:jc w:val="both"/>
                    <w:rPr>
                      <w:rFonts w:cs="Arial"/>
                    </w:rPr>
                  </w:pPr>
                  <w:r>
                    <w:rPr>
                      <w:rFonts w:cs="Arial"/>
                    </w:rPr>
                    <w:t>La délivrance éventuelle du CEB vaut dossier pédagogique.</w:t>
                  </w:r>
                </w:p>
                <w:p w:rsidR="00F04EEF" w:rsidRDefault="00F04EEF">
                  <w:pPr>
                    <w:jc w:val="both"/>
                    <w:rPr>
                      <w:rFonts w:cs="Arial"/>
                    </w:rPr>
                  </w:pPr>
                </w:p>
                <w:p w:rsidR="00F04EEF" w:rsidRDefault="0099351E">
                  <w:pPr>
                    <w:jc w:val="both"/>
                    <w:rPr>
                      <w:rFonts w:cs="Arial"/>
                    </w:rPr>
                  </w:pPr>
                  <w:r>
                    <w:rPr>
                      <w:rFonts w:cs="Arial"/>
                      <w:noProof/>
                      <w:lang w:eastAsia="fr-BE"/>
                    </w:rPr>
                    <mc:AlternateContent>
                      <mc:Choice Requires="wps">
                        <w:drawing>
                          <wp:anchor distT="0" distB="0" distL="114300" distR="114300" simplePos="0" relativeHeight="252147712" behindDoc="0" locked="0" layoutInCell="1" allowOverlap="1">
                            <wp:simplePos x="0" y="0"/>
                            <wp:positionH relativeFrom="column">
                              <wp:posOffset>6300470</wp:posOffset>
                            </wp:positionH>
                            <wp:positionV relativeFrom="paragraph">
                              <wp:posOffset>185419</wp:posOffset>
                            </wp:positionV>
                            <wp:extent cx="0" cy="2181225"/>
                            <wp:effectExtent l="0" t="0" r="19050" b="28575"/>
                            <wp:wrapNone/>
                            <wp:docPr id="468" name="Connecteur droit 468"/>
                            <wp:cNvGraphicFramePr/>
                            <a:graphic xmlns:a="http://schemas.openxmlformats.org/drawingml/2006/main">
                              <a:graphicData uri="http://schemas.microsoft.com/office/word/2010/wordprocessingShape">
                                <wps:wsp>
                                  <wps:cNvCnPr/>
                                  <wps:spPr>
                                    <a:xfrm>
                                      <a:off x="0" y="0"/>
                                      <a:ext cx="0" cy="2181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F8C2BB" id="Connecteur droit 468" o:spid="_x0000_s1026" style="position:absolute;z-index:252147712;visibility:visible;mso-wrap-style:square;mso-wrap-distance-left:9pt;mso-wrap-distance-top:0;mso-wrap-distance-right:9pt;mso-wrap-distance-bottom:0;mso-position-horizontal:absolute;mso-position-horizontal-relative:text;mso-position-vertical:absolute;mso-position-vertical-relative:text" from="496.1pt,14.6pt" to="496.1pt,18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" strokecolor="black [3213]"/>
                        </w:pict>
                      </mc:Fallback>
                    </mc:AlternateContent>
                  </w:r>
                </w:p>
                <w:p w:rsidR="00F04EEF" w:rsidRDefault="0099351E">
                  <w:pPr>
                    <w:pStyle w:val="Titre4"/>
                  </w:pPr>
                  <w:bookmarkStart w:id="138" w:name="_1.1.7._Changement_d’école"/>
                  <w:bookmarkStart w:id="139" w:name="_1.1.7._Conditions_d’admission"/>
                  <w:bookmarkStart w:id="140" w:name="_1.1.8.5._Transfert_d'un"/>
                  <w:bookmarkStart w:id="141" w:name="_1.1.6.5._Transfert_d’un"/>
                  <w:bookmarkStart w:id="142" w:name="_Toc291075477"/>
                  <w:bookmarkStart w:id="143" w:name="_Toc291075901"/>
                  <w:bookmarkStart w:id="144" w:name="_Toc291076325"/>
                  <w:bookmarkStart w:id="145" w:name="_Toc291076749"/>
                  <w:bookmarkStart w:id="146" w:name="_Toc291077173"/>
                  <w:bookmarkStart w:id="147" w:name="_Toc293652016"/>
                  <w:bookmarkStart w:id="148" w:name="_Toc293653598"/>
                  <w:bookmarkStart w:id="149" w:name="_Toc293654209"/>
                  <w:bookmarkStart w:id="150" w:name="_Toc294004789"/>
                  <w:bookmarkStart w:id="151" w:name="_Toc294185285"/>
                  <w:bookmarkStart w:id="152" w:name="_Toc324767151"/>
                  <w:bookmarkStart w:id="153" w:name="_Toc324768009"/>
                  <w:bookmarkEnd w:id="119"/>
                  <w:bookmarkEnd w:id="120"/>
                  <w:bookmarkEnd w:id="121"/>
                  <w:bookmarkEnd w:id="122"/>
                  <w:bookmarkEnd w:id="123"/>
                  <w:bookmarkEnd w:id="124"/>
                  <w:bookmarkEnd w:id="125"/>
                  <w:bookmarkEnd w:id="126"/>
                  <w:bookmarkEnd w:id="127"/>
                  <w:bookmarkEnd w:id="128"/>
                  <w:bookmarkEnd w:id="129"/>
                  <w:bookmarkEnd w:id="130"/>
                  <w:bookmarkEnd w:id="138"/>
                  <w:bookmarkEnd w:id="139"/>
                  <w:bookmarkEnd w:id="140"/>
                  <w:bookmarkEnd w:id="141"/>
                  <w:r>
                    <w:t>1.1.6.5. Transfert d’un élève d’un établissement spécialisé situé en Fédération Wallonie-Bruxelles vers  un établissement scolaire situé en Communauté flamande, en Communauté germanophone ou à l’étranger.</w:t>
                  </w:r>
                </w:p>
                <w:p w:rsidR="00F04EEF" w:rsidRDefault="00F04EEF"/>
                <w:p w:rsidR="00F04EEF" w:rsidRDefault="0099351E">
                  <w:r>
                    <w:t xml:space="preserve">Lors du passage d’une école organisée par WBE ou subventionnée par la Fédération Wallonie-Bruxelles vers une école organisée ou subventionnée par la Communauté flamande ou germanophone, la procédure, ainsi que la décision, appartiennent à la Communauté flamande ou germanophone. </w:t>
                  </w:r>
                </w:p>
                <w:p w:rsidR="00F04EEF" w:rsidRDefault="0099351E">
                  <w:r>
                    <w:t xml:space="preserve"> Le directeur de l’école n’a donc aucun formulaire à remplir, y compris en ce qui concerne le départ d’un élève vers une école située à l’étranger. </w:t>
                  </w:r>
                </w:p>
                <w:p w:rsidR="00F04EEF" w:rsidRDefault="0099351E">
                  <w:r>
                    <w:t xml:space="preserve">Cependant, la direction doit demander aux parents un écrit stipulant la scolarisation de l’enfant au sein d’une école située dans une autre communauté ou à l’étranger. </w:t>
                  </w:r>
                </w:p>
                <w:p w:rsidR="00F04EEF" w:rsidRDefault="0099351E">
                  <w:r>
                    <w:t> </w:t>
                  </w:r>
                </w:p>
                <w:p w:rsidR="00F04EEF" w:rsidRDefault="0099351E">
                  <w:r>
                    <w:t xml:space="preserve">Pour toute information concernant l’obligation scolaire : </w:t>
                  </w:r>
                  <w:hyperlink r:id="rId20" w:history="1">
                    <w:r>
                      <w:rPr>
                        <w:rStyle w:val="Lienhypertexte"/>
                      </w:rPr>
                      <w:t>obsi@cfwb.be</w:t>
                    </w:r>
                  </w:hyperlink>
                  <w:r>
                    <w:t xml:space="preserve"> </w:t>
                  </w:r>
                </w:p>
                <w:p w:rsidR="00F04EEF" w:rsidRDefault="00F04EEF">
                  <w:pPr>
                    <w:rPr>
                      <w:b/>
                      <w:color w:val="000000"/>
                      <w:u w:val="single"/>
                    </w:rPr>
                  </w:pPr>
                </w:p>
                <w:p w:rsidR="00F04EEF" w:rsidRDefault="0099351E">
                  <w:pPr>
                    <w:rPr>
                      <w:rFonts w:cs="Arial"/>
                      <w:b/>
                      <w:szCs w:val="20"/>
                      <w:u w:val="single"/>
                      <w:lang w:eastAsia="ar-SA"/>
                    </w:rPr>
                  </w:pPr>
                  <w:bookmarkStart w:id="154" w:name="_1.1.6.6._Conditions_d’admission"/>
                  <w:bookmarkStart w:id="155" w:name="_Toc291075479"/>
                  <w:bookmarkStart w:id="156" w:name="_Toc291075903"/>
                  <w:bookmarkStart w:id="157" w:name="_Toc291076327"/>
                  <w:bookmarkStart w:id="158" w:name="_Toc291076751"/>
                  <w:bookmarkStart w:id="159" w:name="_Toc291077175"/>
                  <w:bookmarkStart w:id="160" w:name="_Toc293652018"/>
                  <w:bookmarkStart w:id="161" w:name="_Toc293653600"/>
                  <w:bookmarkStart w:id="162" w:name="_Toc293654211"/>
                  <w:bookmarkStart w:id="163" w:name="_Toc294004791"/>
                  <w:bookmarkStart w:id="164" w:name="_Toc294185287"/>
                  <w:bookmarkStart w:id="165" w:name="_Toc324767153"/>
                  <w:bookmarkStart w:id="166" w:name="_Toc324768011"/>
                  <w:bookmarkStart w:id="167" w:name="_Toc291075488"/>
                  <w:bookmarkStart w:id="168" w:name="_Toc291075912"/>
                  <w:bookmarkStart w:id="169" w:name="_Toc291076336"/>
                  <w:bookmarkStart w:id="170" w:name="_Toc291076760"/>
                  <w:bookmarkStart w:id="171" w:name="_Toc291077184"/>
                  <w:bookmarkStart w:id="172" w:name="_Toc293652027"/>
                  <w:bookmarkStart w:id="173" w:name="_Toc293653609"/>
                  <w:bookmarkStart w:id="174" w:name="_Toc293654220"/>
                  <w:bookmarkStart w:id="175" w:name="_Toc294004800"/>
                  <w:bookmarkStart w:id="176" w:name="_Toc294185296"/>
                  <w:bookmarkStart w:id="177" w:name="_Toc324767162"/>
                  <w:bookmarkEnd w:id="142"/>
                  <w:bookmarkEnd w:id="143"/>
                  <w:bookmarkEnd w:id="144"/>
                  <w:bookmarkEnd w:id="145"/>
                  <w:bookmarkEnd w:id="146"/>
                  <w:bookmarkEnd w:id="147"/>
                  <w:bookmarkEnd w:id="148"/>
                  <w:bookmarkEnd w:id="149"/>
                  <w:bookmarkEnd w:id="150"/>
                  <w:bookmarkEnd w:id="151"/>
                  <w:bookmarkEnd w:id="152"/>
                  <w:bookmarkEnd w:id="153"/>
                  <w:bookmarkEnd w:id="154"/>
                  <w:r>
                    <w:br w:type="page"/>
                  </w:r>
                </w:p>
                <w:p w:rsidR="00F04EEF" w:rsidRDefault="0099351E">
                  <w:pPr>
                    <w:pStyle w:val="Titre6"/>
                    <w:rPr>
                      <w:rFonts w:eastAsiaTheme="minorHAnsi"/>
                    </w:rPr>
                  </w:pPr>
                  <w:r>
                    <w:rPr>
                      <w:rFonts w:eastAsiaTheme="minorHAnsi"/>
                    </w:rPr>
                    <w:t>1.1.6.6. Conditions d’admission dans l’enseignement secondaire ordinaire</w:t>
                  </w:r>
                  <w:bookmarkEnd w:id="155"/>
                  <w:bookmarkEnd w:id="156"/>
                  <w:bookmarkEnd w:id="157"/>
                  <w:bookmarkEnd w:id="158"/>
                  <w:bookmarkEnd w:id="159"/>
                  <w:bookmarkEnd w:id="160"/>
                  <w:bookmarkEnd w:id="161"/>
                  <w:bookmarkEnd w:id="162"/>
                  <w:bookmarkEnd w:id="163"/>
                  <w:bookmarkEnd w:id="164"/>
                  <w:bookmarkEnd w:id="165"/>
                  <w:bookmarkEnd w:id="166"/>
                </w:p>
                <w:p w:rsidR="00F04EEF" w:rsidRDefault="00F04EEF">
                  <w:pPr>
                    <w:jc w:val="both"/>
                    <w:rPr>
                      <w:rFonts w:cs="Arial"/>
                      <w:b/>
                      <w:bCs/>
                      <w:u w:val="single"/>
                    </w:rPr>
                  </w:pPr>
                </w:p>
                <w:p w:rsidR="00F04EEF" w:rsidRDefault="0099351E">
                  <w:pPr>
                    <w:jc w:val="both"/>
                    <w:rPr>
                      <w:u w:val="single"/>
                    </w:rPr>
                  </w:pPr>
                  <w:bookmarkStart w:id="178" w:name="_Toc291075480"/>
                  <w:bookmarkStart w:id="179" w:name="_Toc291075904"/>
                  <w:bookmarkStart w:id="180" w:name="_Toc291076328"/>
                  <w:bookmarkStart w:id="181" w:name="_Toc291076752"/>
                  <w:bookmarkStart w:id="182" w:name="_Toc291077176"/>
                  <w:bookmarkStart w:id="183" w:name="_Toc293652019"/>
                  <w:bookmarkStart w:id="184" w:name="_Toc293653601"/>
                  <w:bookmarkStart w:id="185" w:name="_Toc293654212"/>
                  <w:bookmarkStart w:id="186" w:name="_Toc294004792"/>
                  <w:bookmarkStart w:id="187" w:name="_Toc294185288"/>
                  <w:bookmarkStart w:id="188" w:name="_Toc324767154"/>
                  <w:bookmarkStart w:id="189" w:name="_Toc324768012"/>
                  <w:r>
                    <w:rPr>
                      <w:u w:val="single"/>
                    </w:rPr>
                    <w:t>Les élèves issus de l’enseignement primaire spécialisé</w:t>
                  </w:r>
                  <w:bookmarkEnd w:id="178"/>
                  <w:bookmarkEnd w:id="179"/>
                  <w:bookmarkEnd w:id="180"/>
                  <w:bookmarkEnd w:id="181"/>
                  <w:bookmarkEnd w:id="182"/>
                  <w:bookmarkEnd w:id="183"/>
                  <w:bookmarkEnd w:id="184"/>
                  <w:bookmarkEnd w:id="185"/>
                  <w:bookmarkEnd w:id="186"/>
                  <w:bookmarkEnd w:id="187"/>
                  <w:bookmarkEnd w:id="188"/>
                  <w:bookmarkEnd w:id="189"/>
                </w:p>
                <w:p w:rsidR="00F04EEF" w:rsidRDefault="00F04EEF"/>
                <w:tbl>
                  <w:tblPr>
                    <w:tblW w:w="9802" w:type="dxa"/>
                    <w:tblInd w:w="-34" w:type="dxa"/>
                    <w:tblLayout w:type="fixed"/>
                    <w:tblLook w:val="0000" w:firstRow="0" w:lastRow="0" w:firstColumn="0" w:lastColumn="0" w:noHBand="0" w:noVBand="0"/>
                  </w:tblPr>
                  <w:tblGrid>
                    <w:gridCol w:w="4948"/>
                    <w:gridCol w:w="4854"/>
                  </w:tblGrid>
                  <w:tr w:rsidR="00F04EEF">
                    <w:tc>
                      <w:tcPr>
                        <w:tcW w:w="4948" w:type="dxa"/>
                        <w:tcBorders>
                          <w:top w:val="single" w:sz="8" w:space="0" w:color="808080"/>
                          <w:left w:val="single" w:sz="8" w:space="0" w:color="808080"/>
                          <w:bottom w:val="single" w:sz="4" w:space="0" w:color="808080"/>
                        </w:tcBorders>
                      </w:tcPr>
                      <w:p w:rsidR="00F04EEF" w:rsidRDefault="00F04EEF">
                        <w:pPr>
                          <w:snapToGrid w:val="0"/>
                          <w:jc w:val="both"/>
                          <w:rPr>
                            <w:rFonts w:cs="Arial"/>
                            <w:b/>
                            <w:bCs/>
                            <w:i/>
                            <w:iCs/>
                            <w:u w:val="single"/>
                          </w:rPr>
                        </w:pPr>
                      </w:p>
                    </w:tc>
                    <w:tc>
                      <w:tcPr>
                        <w:tcW w:w="4854" w:type="dxa"/>
                        <w:tcBorders>
                          <w:top w:val="single" w:sz="8" w:space="0" w:color="808080"/>
                          <w:left w:val="single" w:sz="4" w:space="0" w:color="C0C0C0"/>
                          <w:bottom w:val="single" w:sz="4" w:space="0" w:color="808080"/>
                          <w:right w:val="single" w:sz="8" w:space="0" w:color="808080"/>
                        </w:tcBorders>
                      </w:tcPr>
                      <w:p w:rsidR="00F04EEF" w:rsidRDefault="0099351E">
                        <w:pPr>
                          <w:snapToGrid w:val="0"/>
                          <w:jc w:val="both"/>
                          <w:rPr>
                            <w:rFonts w:cs="Arial"/>
                            <w:b/>
                            <w:bCs/>
                            <w:i/>
                            <w:iCs/>
                            <w:u w:val="single"/>
                          </w:rPr>
                        </w:pPr>
                        <w:r>
                          <w:rPr>
                            <w:rFonts w:cs="Arial"/>
                            <w:b/>
                            <w:bCs/>
                            <w:i/>
                            <w:iCs/>
                            <w:u w:val="single"/>
                          </w:rPr>
                          <w:t>Application au 1 septembre 2006 :</w:t>
                        </w:r>
                      </w:p>
                      <w:p w:rsidR="00F04EEF" w:rsidRDefault="0099351E">
                        <w:pPr>
                          <w:jc w:val="both"/>
                          <w:rPr>
                            <w:rFonts w:cs="Arial"/>
                            <w:b/>
                            <w:bCs/>
                            <w:i/>
                            <w:iCs/>
                            <w:u w:val="single"/>
                          </w:rPr>
                        </w:pPr>
                        <w:r>
                          <w:rPr>
                            <w:rFonts w:cs="Arial"/>
                            <w:b/>
                            <w:bCs/>
                            <w:i/>
                            <w:iCs/>
                            <w:u w:val="single"/>
                          </w:rPr>
                          <w:t>Décret du 30 juin 2006</w:t>
                        </w:r>
                      </w:p>
                      <w:p w:rsidR="00F04EEF" w:rsidRDefault="00F04EEF">
                        <w:pPr>
                          <w:jc w:val="both"/>
                          <w:rPr>
                            <w:rFonts w:cs="Arial"/>
                            <w:b/>
                            <w:bCs/>
                            <w:i/>
                            <w:iCs/>
                            <w:u w:val="single"/>
                          </w:rPr>
                        </w:pPr>
                      </w:p>
                    </w:tc>
                  </w:tr>
                  <w:tr w:rsidR="00F04EEF">
                    <w:tc>
                      <w:tcPr>
                        <w:tcW w:w="4948" w:type="dxa"/>
                        <w:tcBorders>
                          <w:top w:val="single" w:sz="4" w:space="0" w:color="808080"/>
                          <w:left w:val="single" w:sz="8" w:space="0" w:color="808080"/>
                          <w:bottom w:val="single" w:sz="4" w:space="0" w:color="000000"/>
                        </w:tcBorders>
                      </w:tcPr>
                      <w:p w:rsidR="00F04EEF" w:rsidRDefault="0099351E">
                        <w:pPr>
                          <w:numPr>
                            <w:ilvl w:val="0"/>
                            <w:numId w:val="74"/>
                          </w:numPr>
                          <w:suppressAutoHyphens/>
                          <w:snapToGrid w:val="0"/>
                          <w:ind w:left="0"/>
                          <w:jc w:val="both"/>
                          <w:rPr>
                            <w:rFonts w:cs="Arial"/>
                          </w:rPr>
                        </w:pPr>
                        <w:r>
                          <w:rPr>
                            <w:rFonts w:cs="Arial"/>
                          </w:rPr>
                          <w:t xml:space="preserve">Élève porteur du CEB externe </w:t>
                        </w:r>
                      </w:p>
                    </w:tc>
                    <w:tc>
                      <w:tcPr>
                        <w:tcW w:w="4854" w:type="dxa"/>
                        <w:tcBorders>
                          <w:top w:val="single" w:sz="4" w:space="0" w:color="808080"/>
                          <w:left w:val="single" w:sz="4" w:space="0" w:color="C0C0C0"/>
                          <w:bottom w:val="single" w:sz="4" w:space="0" w:color="000000"/>
                          <w:right w:val="single" w:sz="8" w:space="0" w:color="808080"/>
                        </w:tcBorders>
                      </w:tcPr>
                      <w:p w:rsidR="00F04EEF" w:rsidRDefault="0099351E">
                        <w:pPr>
                          <w:snapToGrid w:val="0"/>
                          <w:jc w:val="both"/>
                          <w:rPr>
                            <w:rFonts w:cs="Arial"/>
                            <w:b/>
                            <w:bCs/>
                          </w:rPr>
                        </w:pPr>
                        <w:r>
                          <w:rPr>
                            <w:rFonts w:cs="Arial"/>
                            <w:b/>
                            <w:bCs/>
                          </w:rPr>
                          <w:t>1</w:t>
                        </w:r>
                        <w:r>
                          <w:rPr>
                            <w:rFonts w:cs="Arial"/>
                            <w:b/>
                            <w:bCs/>
                            <w:vertAlign w:val="superscript"/>
                          </w:rPr>
                          <w:t>ère</w:t>
                        </w:r>
                        <w:r>
                          <w:rPr>
                            <w:rFonts w:cs="Arial"/>
                            <w:b/>
                            <w:bCs/>
                          </w:rPr>
                          <w:t xml:space="preserve"> commune </w:t>
                        </w:r>
                      </w:p>
                      <w:p w:rsidR="00F04EEF" w:rsidRDefault="00F04EEF">
                        <w:pPr>
                          <w:snapToGrid w:val="0"/>
                          <w:jc w:val="both"/>
                          <w:rPr>
                            <w:rFonts w:cs="Arial"/>
                            <w:b/>
                            <w:bCs/>
                          </w:rPr>
                        </w:pPr>
                      </w:p>
                    </w:tc>
                  </w:tr>
                  <w:tr w:rsidR="00F04EEF">
                    <w:tc>
                      <w:tcPr>
                        <w:tcW w:w="4948" w:type="dxa"/>
                        <w:tcBorders>
                          <w:top w:val="single" w:sz="4" w:space="0" w:color="000000"/>
                          <w:left w:val="single" w:sz="8" w:space="0" w:color="808080"/>
                          <w:bottom w:val="single" w:sz="4" w:space="0" w:color="000000"/>
                        </w:tcBorders>
                      </w:tcPr>
                      <w:p w:rsidR="00F04EEF" w:rsidRDefault="0099351E">
                        <w:pPr>
                          <w:snapToGrid w:val="0"/>
                          <w:jc w:val="both"/>
                          <w:rPr>
                            <w:rFonts w:cs="Arial"/>
                          </w:rPr>
                        </w:pPr>
                        <w:r>
                          <w:rPr>
                            <w:rFonts w:cs="Arial"/>
                          </w:rPr>
                          <w:t>Élève n’ayant pas obtenu le CEB</w:t>
                        </w:r>
                      </w:p>
                    </w:tc>
                    <w:tc>
                      <w:tcPr>
                        <w:tcW w:w="4854" w:type="dxa"/>
                        <w:tcBorders>
                          <w:top w:val="single" w:sz="4" w:space="0" w:color="000000"/>
                          <w:left w:val="single" w:sz="4" w:space="0" w:color="C0C0C0"/>
                          <w:bottom w:val="single" w:sz="4" w:space="0" w:color="000000"/>
                          <w:right w:val="single" w:sz="8" w:space="0" w:color="808080"/>
                        </w:tcBorders>
                      </w:tcPr>
                      <w:p w:rsidR="00F04EEF" w:rsidRDefault="0099351E">
                        <w:pPr>
                          <w:snapToGrid w:val="0"/>
                          <w:jc w:val="both"/>
                          <w:rPr>
                            <w:rFonts w:cs="Arial"/>
                          </w:rPr>
                        </w:pPr>
                        <w:r>
                          <w:rPr>
                            <w:rFonts w:cs="Arial"/>
                            <w:b/>
                            <w:bCs/>
                          </w:rPr>
                          <w:t>1</w:t>
                        </w:r>
                        <w:r>
                          <w:rPr>
                            <w:rFonts w:cs="Arial"/>
                            <w:b/>
                            <w:bCs/>
                            <w:vertAlign w:val="superscript"/>
                          </w:rPr>
                          <w:t>ère</w:t>
                        </w:r>
                        <w:r>
                          <w:rPr>
                            <w:rFonts w:cs="Arial"/>
                            <w:b/>
                            <w:bCs/>
                          </w:rPr>
                          <w:t xml:space="preserve"> Commune avant le 15 novembre si réunion des 4 Conditions cumulatives</w:t>
                        </w:r>
                        <w:r>
                          <w:rPr>
                            <w:rFonts w:cs="Arial"/>
                          </w:rPr>
                          <w:t> :</w:t>
                        </w:r>
                      </w:p>
                      <w:p w:rsidR="00F04EEF" w:rsidRDefault="0099351E">
                        <w:pPr>
                          <w:numPr>
                            <w:ilvl w:val="0"/>
                            <w:numId w:val="80"/>
                          </w:numPr>
                          <w:suppressAutoHyphens/>
                          <w:ind w:left="0"/>
                          <w:jc w:val="both"/>
                          <w:rPr>
                            <w:rFonts w:cs="Arial"/>
                          </w:rPr>
                        </w:pPr>
                        <w:r>
                          <w:rPr>
                            <w:rFonts w:cs="Arial"/>
                          </w:rPr>
                          <w:t xml:space="preserve">accord des parents, </w:t>
                        </w:r>
                      </w:p>
                      <w:p w:rsidR="00F04EEF" w:rsidRDefault="0099351E">
                        <w:pPr>
                          <w:numPr>
                            <w:ilvl w:val="0"/>
                            <w:numId w:val="80"/>
                          </w:numPr>
                          <w:suppressAutoHyphens/>
                          <w:ind w:left="0"/>
                          <w:jc w:val="both"/>
                          <w:rPr>
                            <w:rFonts w:cs="Arial"/>
                          </w:rPr>
                        </w:pPr>
                        <w:r>
                          <w:rPr>
                            <w:rFonts w:cs="Arial"/>
                          </w:rPr>
                          <w:t xml:space="preserve">âgé de 12 ans au moins 31 décembre, </w:t>
                        </w:r>
                      </w:p>
                      <w:p w:rsidR="00F04EEF" w:rsidRDefault="0099351E">
                        <w:pPr>
                          <w:numPr>
                            <w:ilvl w:val="0"/>
                            <w:numId w:val="80"/>
                          </w:numPr>
                          <w:suppressAutoHyphens/>
                          <w:ind w:left="0"/>
                          <w:jc w:val="both"/>
                          <w:rPr>
                            <w:rFonts w:cs="Arial"/>
                          </w:rPr>
                        </w:pPr>
                        <w:r>
                          <w:rPr>
                            <w:rFonts w:cs="Arial"/>
                          </w:rPr>
                          <w:t>6</w:t>
                        </w:r>
                        <w:r>
                          <w:rPr>
                            <w:rFonts w:cs="Arial"/>
                            <w:vertAlign w:val="superscript"/>
                          </w:rPr>
                          <w:t>ème</w:t>
                        </w:r>
                        <w:r>
                          <w:rPr>
                            <w:rFonts w:cs="Arial"/>
                          </w:rPr>
                          <w:t xml:space="preserve"> primaire suivie</w:t>
                        </w:r>
                      </w:p>
                      <w:p w:rsidR="00F04EEF" w:rsidRDefault="0099351E">
                        <w:pPr>
                          <w:numPr>
                            <w:ilvl w:val="0"/>
                            <w:numId w:val="80"/>
                          </w:numPr>
                          <w:suppressAutoHyphens/>
                          <w:ind w:left="0"/>
                          <w:jc w:val="both"/>
                          <w:rPr>
                            <w:rFonts w:cs="Arial"/>
                          </w:rPr>
                        </w:pPr>
                        <w:r>
                          <w:rPr>
                            <w:rFonts w:cs="Arial"/>
                          </w:rPr>
                          <w:t>un avis favorable du Conseil d’admission</w:t>
                        </w:r>
                      </w:p>
                      <w:p w:rsidR="00F04EEF" w:rsidRDefault="00F04EEF">
                        <w:pPr>
                          <w:jc w:val="both"/>
                          <w:rPr>
                            <w:rFonts w:cs="Arial"/>
                          </w:rPr>
                        </w:pPr>
                      </w:p>
                    </w:tc>
                  </w:tr>
                  <w:tr w:rsidR="00F04EEF">
                    <w:tc>
                      <w:tcPr>
                        <w:tcW w:w="4948" w:type="dxa"/>
                        <w:tcBorders>
                          <w:top w:val="single" w:sz="4" w:space="0" w:color="000000"/>
                          <w:left w:val="single" w:sz="8" w:space="0" w:color="808080"/>
                          <w:bottom w:val="single" w:sz="4" w:space="0" w:color="000000"/>
                        </w:tcBorders>
                      </w:tcPr>
                      <w:p w:rsidR="00F04EEF" w:rsidRDefault="0099351E">
                        <w:pPr>
                          <w:snapToGrid w:val="0"/>
                          <w:jc w:val="both"/>
                          <w:rPr>
                            <w:rFonts w:cs="Arial"/>
                          </w:rPr>
                        </w:pPr>
                        <w:r>
                          <w:rPr>
                            <w:rFonts w:cs="Arial"/>
                          </w:rPr>
                          <w:t>Élève n’ayant pas obtenu le CEB et/ou</w:t>
                        </w:r>
                      </w:p>
                      <w:p w:rsidR="00F04EEF" w:rsidRDefault="0099351E">
                        <w:pPr>
                          <w:numPr>
                            <w:ilvl w:val="0"/>
                            <w:numId w:val="104"/>
                          </w:numPr>
                          <w:suppressAutoHyphens/>
                          <w:ind w:left="0"/>
                          <w:jc w:val="both"/>
                          <w:rPr>
                            <w:rFonts w:cs="Arial"/>
                          </w:rPr>
                        </w:pPr>
                        <w:r>
                          <w:rPr>
                            <w:rFonts w:cs="Arial"/>
                          </w:rPr>
                          <w:t>âgé de 12 ans au moins n’ayant pas fréquenté la 6</w:t>
                        </w:r>
                        <w:r>
                          <w:rPr>
                            <w:rFonts w:cs="Arial"/>
                            <w:vertAlign w:val="superscript"/>
                          </w:rPr>
                          <w:t>ème</w:t>
                        </w:r>
                        <w:r>
                          <w:rPr>
                            <w:rFonts w:cs="Arial"/>
                          </w:rPr>
                          <w:t xml:space="preserve"> primaire</w:t>
                        </w:r>
                      </w:p>
                      <w:p w:rsidR="00F04EEF" w:rsidRDefault="0099351E">
                        <w:pPr>
                          <w:numPr>
                            <w:ilvl w:val="0"/>
                            <w:numId w:val="104"/>
                          </w:numPr>
                          <w:suppressAutoHyphens/>
                          <w:ind w:left="0"/>
                          <w:jc w:val="both"/>
                          <w:rPr>
                            <w:rFonts w:cs="Arial"/>
                          </w:rPr>
                        </w:pPr>
                        <w:r>
                          <w:rPr>
                            <w:rFonts w:cs="Arial"/>
                          </w:rPr>
                          <w:t>Ayant suivi une 6</w:t>
                        </w:r>
                        <w:r>
                          <w:rPr>
                            <w:rFonts w:cs="Arial"/>
                            <w:vertAlign w:val="superscript"/>
                          </w:rPr>
                          <w:t>ème</w:t>
                        </w:r>
                        <w:r>
                          <w:rPr>
                            <w:rFonts w:cs="Arial"/>
                          </w:rPr>
                          <w:t xml:space="preserve"> primaire</w:t>
                        </w:r>
                      </w:p>
                    </w:tc>
                    <w:tc>
                      <w:tcPr>
                        <w:tcW w:w="4854" w:type="dxa"/>
                        <w:tcBorders>
                          <w:top w:val="single" w:sz="4" w:space="0" w:color="000000"/>
                          <w:left w:val="single" w:sz="4" w:space="0" w:color="C0C0C0"/>
                          <w:bottom w:val="single" w:sz="4" w:space="0" w:color="000000"/>
                          <w:right w:val="single" w:sz="8" w:space="0" w:color="808080"/>
                        </w:tcBorders>
                        <w:vAlign w:val="center"/>
                      </w:tcPr>
                      <w:p w:rsidR="00F04EEF" w:rsidRDefault="0099351E">
                        <w:pPr>
                          <w:snapToGrid w:val="0"/>
                          <w:jc w:val="both"/>
                          <w:rPr>
                            <w:rFonts w:cs="Arial"/>
                            <w:b/>
                            <w:bCs/>
                          </w:rPr>
                        </w:pPr>
                        <w:r>
                          <w:rPr>
                            <w:rFonts w:cs="Arial"/>
                            <w:b/>
                            <w:bCs/>
                          </w:rPr>
                          <w:t>1</w:t>
                        </w:r>
                        <w:r>
                          <w:rPr>
                            <w:rFonts w:cs="Arial"/>
                            <w:b/>
                            <w:bCs/>
                            <w:vertAlign w:val="superscript"/>
                          </w:rPr>
                          <w:t>ère</w:t>
                        </w:r>
                        <w:r>
                          <w:rPr>
                            <w:rFonts w:cs="Arial"/>
                            <w:b/>
                            <w:bCs/>
                          </w:rPr>
                          <w:t xml:space="preserve"> différenciée</w:t>
                        </w:r>
                      </w:p>
                    </w:tc>
                  </w:tr>
                </w:tbl>
                <w:p w:rsidR="00F04EEF" w:rsidRDefault="00F04EEF">
                  <w:pPr>
                    <w:rPr>
                      <w:u w:val="single"/>
                    </w:rPr>
                  </w:pPr>
                  <w:bookmarkStart w:id="190" w:name="_Toc291075481"/>
                  <w:bookmarkStart w:id="191" w:name="_Toc291075905"/>
                  <w:bookmarkStart w:id="192" w:name="_Toc291076329"/>
                  <w:bookmarkStart w:id="193" w:name="_Toc291076753"/>
                  <w:bookmarkStart w:id="194" w:name="_Toc291077177"/>
                  <w:bookmarkStart w:id="195" w:name="_Toc293652020"/>
                  <w:bookmarkStart w:id="196" w:name="_Toc293653602"/>
                  <w:bookmarkStart w:id="197" w:name="_Toc293654213"/>
                  <w:bookmarkStart w:id="198" w:name="_Toc294004793"/>
                  <w:bookmarkStart w:id="199" w:name="_Toc294185289"/>
                  <w:bookmarkStart w:id="200" w:name="_Toc324767155"/>
                  <w:bookmarkStart w:id="201" w:name="_Toc324768013"/>
                </w:p>
                <w:p w:rsidR="00F04EEF" w:rsidRDefault="0099351E">
                  <w:pPr>
                    <w:jc w:val="both"/>
                    <w:rPr>
                      <w:u w:val="single"/>
                    </w:rPr>
                  </w:pPr>
                  <w:r>
                    <w:rPr>
                      <w:u w:val="single"/>
                    </w:rPr>
                    <w:t xml:space="preserve">Les élèves issus </w:t>
                  </w:r>
                  <w:proofErr w:type="gramStart"/>
                  <w:r>
                    <w:rPr>
                      <w:u w:val="single"/>
                    </w:rPr>
                    <w:t>des formes</w:t>
                  </w:r>
                  <w:proofErr w:type="gramEnd"/>
                  <w:r>
                    <w:rPr>
                      <w:u w:val="single"/>
                    </w:rPr>
                    <w:t xml:space="preserve"> 1 et 2</w:t>
                  </w:r>
                  <w:bookmarkEnd w:id="190"/>
                  <w:bookmarkEnd w:id="191"/>
                  <w:bookmarkEnd w:id="192"/>
                  <w:bookmarkEnd w:id="193"/>
                  <w:bookmarkEnd w:id="194"/>
                  <w:bookmarkEnd w:id="195"/>
                  <w:bookmarkEnd w:id="196"/>
                  <w:bookmarkEnd w:id="197"/>
                  <w:bookmarkEnd w:id="198"/>
                  <w:bookmarkEnd w:id="199"/>
                  <w:bookmarkEnd w:id="200"/>
                  <w:bookmarkEnd w:id="201"/>
                  <w:r>
                    <w:rPr>
                      <w:u w:val="single"/>
                    </w:rPr>
                    <w:t> :</w:t>
                  </w:r>
                </w:p>
                <w:p w:rsidR="00F04EEF" w:rsidRDefault="00F04EEF">
                  <w:pPr>
                    <w:jc w:val="both"/>
                    <w:rPr>
                      <w:u w:val="single"/>
                    </w:rPr>
                  </w:pPr>
                </w:p>
                <w:p w:rsidR="00F04EEF" w:rsidRDefault="0099351E">
                  <w:pPr>
                    <w:jc w:val="both"/>
                    <w:rPr>
                      <w:rFonts w:cs="Arial"/>
                    </w:rPr>
                  </w:pPr>
                  <w:r>
                    <w:rPr>
                      <w:rFonts w:cs="Arial"/>
                    </w:rPr>
                    <w:t>Ces élèves ne sont pas concernés par le passage vers l’enseignement ordinaire.</w:t>
                  </w:r>
                </w:p>
                <w:p w:rsidR="00F04EEF" w:rsidRDefault="00F04EEF">
                  <w:pPr>
                    <w:jc w:val="both"/>
                    <w:rPr>
                      <w:rFonts w:cs="Arial"/>
                    </w:rPr>
                  </w:pPr>
                </w:p>
                <w:p w:rsidR="00F04EEF" w:rsidRDefault="0099351E">
                  <w:pPr>
                    <w:jc w:val="both"/>
                    <w:rPr>
                      <w:rFonts w:cs="Arial"/>
                    </w:rPr>
                  </w:pPr>
                  <w:r>
                    <w:rPr>
                      <w:rFonts w:cs="Arial"/>
                    </w:rPr>
                    <w:t xml:space="preserve">A titre </w:t>
                  </w:r>
                  <w:r>
                    <w:rPr>
                      <w:rFonts w:cs="Arial"/>
                      <w:u w:val="single"/>
                    </w:rPr>
                    <w:t>exceptionnel</w:t>
                  </w:r>
                  <w:r>
                    <w:rPr>
                      <w:rFonts w:cs="Arial"/>
                    </w:rPr>
                    <w:t xml:space="preserve">, une dérogation au principe énoncé ci-dessus pourra faire l’objet </w:t>
                  </w:r>
                  <w:r>
                    <w:rPr>
                      <w:rFonts w:cs="Arial"/>
                      <w:b/>
                    </w:rPr>
                    <w:t>d’une autorisation ministérielle</w:t>
                  </w:r>
                  <w:r>
                    <w:rPr>
                      <w:rFonts w:cs="Arial"/>
                    </w:rPr>
                    <w:t xml:space="preserve"> spécifique, sur demande introduite par le chef d’établissement d’enseignement secondaire ordinaire, après avis favorable du CPMS de l’enseignement spécialisé et de l’inspection pédagogique de l’enseignement spécialisé.</w:t>
                  </w:r>
                </w:p>
                <w:p w:rsidR="00F04EEF" w:rsidRDefault="00F04EEF"/>
                <w:p w:rsidR="00F04EEF" w:rsidRDefault="0099351E">
                  <w:pPr>
                    <w:jc w:val="both"/>
                    <w:rPr>
                      <w:u w:val="single"/>
                    </w:rPr>
                  </w:pPr>
                  <w:bookmarkStart w:id="202" w:name="_Toc291075482"/>
                  <w:bookmarkStart w:id="203" w:name="_Toc291075906"/>
                  <w:bookmarkStart w:id="204" w:name="_Toc291076330"/>
                  <w:bookmarkStart w:id="205" w:name="_Toc291076754"/>
                  <w:bookmarkStart w:id="206" w:name="_Toc291077178"/>
                  <w:bookmarkStart w:id="207" w:name="_Toc293652021"/>
                  <w:bookmarkStart w:id="208" w:name="_Toc293653603"/>
                  <w:bookmarkStart w:id="209" w:name="_Toc293654214"/>
                  <w:bookmarkStart w:id="210" w:name="_Toc294004794"/>
                  <w:bookmarkStart w:id="211" w:name="_Toc294185290"/>
                  <w:bookmarkStart w:id="212" w:name="_Toc324767156"/>
                  <w:bookmarkStart w:id="213" w:name="_Toc324768014"/>
                  <w:r>
                    <w:rPr>
                      <w:u w:val="single"/>
                    </w:rPr>
                    <w:t>Les élèves issus de la forme 3</w:t>
                  </w:r>
                  <w:bookmarkEnd w:id="202"/>
                  <w:bookmarkEnd w:id="203"/>
                  <w:bookmarkEnd w:id="204"/>
                  <w:bookmarkEnd w:id="205"/>
                  <w:bookmarkEnd w:id="206"/>
                  <w:bookmarkEnd w:id="207"/>
                  <w:bookmarkEnd w:id="208"/>
                  <w:bookmarkEnd w:id="209"/>
                  <w:bookmarkEnd w:id="210"/>
                  <w:bookmarkEnd w:id="211"/>
                  <w:bookmarkEnd w:id="212"/>
                  <w:bookmarkEnd w:id="213"/>
                </w:p>
                <w:p w:rsidR="00F04EEF" w:rsidRDefault="0099351E">
                  <w:pPr>
                    <w:jc w:val="both"/>
                    <w:rPr>
                      <w:b/>
                    </w:rPr>
                  </w:pPr>
                  <w:bookmarkStart w:id="214" w:name="_Toc291075483"/>
                  <w:bookmarkStart w:id="215" w:name="_Toc291075907"/>
                  <w:bookmarkStart w:id="216" w:name="_Toc291076331"/>
                  <w:bookmarkStart w:id="217" w:name="_Toc291076755"/>
                  <w:bookmarkStart w:id="218" w:name="_Toc291077179"/>
                  <w:bookmarkStart w:id="219" w:name="_Toc293652022"/>
                  <w:bookmarkStart w:id="220" w:name="_Toc293653604"/>
                  <w:bookmarkStart w:id="221" w:name="_Toc293654215"/>
                  <w:bookmarkStart w:id="222" w:name="_Toc294004795"/>
                  <w:bookmarkStart w:id="223" w:name="_Toc294185291"/>
                  <w:bookmarkStart w:id="224" w:name="_Toc324767157"/>
                  <w:bookmarkStart w:id="225" w:name="_Toc324768015"/>
                  <w:r>
                    <w:t xml:space="preserve">Ces élèves seront désormais admissibles dans l’enseignement ordinaire dans le strict respect des deux tableaux de concordance qui </w:t>
                  </w:r>
                  <w:bookmarkEnd w:id="214"/>
                  <w:bookmarkEnd w:id="215"/>
                  <w:bookmarkEnd w:id="216"/>
                  <w:bookmarkEnd w:id="217"/>
                  <w:bookmarkEnd w:id="218"/>
                  <w:bookmarkEnd w:id="219"/>
                  <w:bookmarkEnd w:id="220"/>
                  <w:bookmarkEnd w:id="221"/>
                  <w:bookmarkEnd w:id="222"/>
                  <w:bookmarkEnd w:id="223"/>
                  <w:r>
                    <w:t>figurent aux pages suivantes.</w:t>
                  </w:r>
                  <w:bookmarkEnd w:id="224"/>
                  <w:bookmarkEnd w:id="225"/>
                </w:p>
                <w:p w:rsidR="00F04EEF" w:rsidRDefault="00F04EEF">
                  <w:pPr>
                    <w:jc w:val="both"/>
                  </w:pPr>
                </w:p>
                <w:p w:rsidR="00F04EEF" w:rsidRDefault="0099351E">
                  <w:pPr>
                    <w:jc w:val="both"/>
                    <w:rPr>
                      <w:b/>
                    </w:rPr>
                  </w:pPr>
                  <w:bookmarkStart w:id="226" w:name="_Toc291075484"/>
                  <w:bookmarkStart w:id="227" w:name="_Toc291075908"/>
                  <w:bookmarkStart w:id="228" w:name="_Toc291076332"/>
                  <w:bookmarkStart w:id="229" w:name="_Toc291076756"/>
                  <w:bookmarkStart w:id="230" w:name="_Toc291077180"/>
                  <w:bookmarkStart w:id="231" w:name="_Toc293652023"/>
                  <w:bookmarkStart w:id="232" w:name="_Toc293653605"/>
                  <w:bookmarkStart w:id="233" w:name="_Toc293654216"/>
                  <w:bookmarkStart w:id="234" w:name="_Toc294004796"/>
                  <w:bookmarkStart w:id="235" w:name="_Toc294185292"/>
                  <w:bookmarkStart w:id="236" w:name="_Toc324767158"/>
                  <w:bookmarkStart w:id="237" w:name="_Toc324768016"/>
                  <w:r>
                    <w:t>A titre exceptionnel, une dérogation au principe énoncé ci-dessus pourra faire l’objet d’une autorisation ministérielle spécifique auprès du service de la sanction des études de l’enseignement secondaire ordinaire, sur demande introduite par le chef d’établissement d’enseignement secondaire ordinaire, après avis favorable du CPMS de l’enseignement spécialisé et de l’inspection pédagogique de l’enseignement spécialisé.</w:t>
                  </w:r>
                  <w:bookmarkEnd w:id="226"/>
                  <w:bookmarkEnd w:id="227"/>
                  <w:bookmarkEnd w:id="228"/>
                  <w:bookmarkEnd w:id="229"/>
                  <w:bookmarkEnd w:id="230"/>
                  <w:bookmarkEnd w:id="231"/>
                  <w:bookmarkEnd w:id="232"/>
                  <w:bookmarkEnd w:id="233"/>
                  <w:bookmarkEnd w:id="234"/>
                  <w:bookmarkEnd w:id="235"/>
                  <w:bookmarkEnd w:id="236"/>
                  <w:bookmarkEnd w:id="237"/>
                </w:p>
                <w:p w:rsidR="00F04EEF" w:rsidRDefault="00F04EEF"/>
                <w:p w:rsidR="00F04EEF" w:rsidRDefault="0099351E">
                  <w:bookmarkStart w:id="238" w:name="_Toc291075485"/>
                  <w:bookmarkStart w:id="239" w:name="_Toc291075909"/>
                  <w:bookmarkStart w:id="240" w:name="_Toc291076333"/>
                  <w:bookmarkStart w:id="241" w:name="_Toc291076757"/>
                  <w:bookmarkStart w:id="242" w:name="_Toc291077181"/>
                  <w:bookmarkStart w:id="243" w:name="_Toc293652024"/>
                  <w:bookmarkStart w:id="244" w:name="_Toc293653606"/>
                  <w:bookmarkStart w:id="245" w:name="_Toc293654217"/>
                  <w:bookmarkStart w:id="246" w:name="_Toc294004797"/>
                  <w:bookmarkStart w:id="247" w:name="_Toc294185293"/>
                  <w:bookmarkStart w:id="248" w:name="_Toc324767159"/>
                  <w:bookmarkStart w:id="249" w:name="_Toc324768017"/>
                  <w:r>
                    <w:br w:type="page"/>
                  </w:r>
                </w:p>
                <w:p w:rsidR="00F04EEF" w:rsidRDefault="00F04EEF"/>
                <w:p w:rsidR="00F04EEF" w:rsidRDefault="0099351E">
                  <w:pPr>
                    <w:pBdr>
                      <w:top w:val="single" w:sz="4" w:space="1" w:color="auto"/>
                      <w:left w:val="single" w:sz="4" w:space="4" w:color="auto"/>
                      <w:bottom w:val="single" w:sz="4" w:space="1" w:color="auto"/>
                      <w:right w:val="single" w:sz="4" w:space="4" w:color="auto"/>
                    </w:pBdr>
                    <w:jc w:val="center"/>
                    <w:rPr>
                      <w:rFonts w:cs="Arial"/>
                      <w:b/>
                      <w:u w:val="single"/>
                    </w:rPr>
                  </w:pPr>
                  <w:r>
                    <w:rPr>
                      <w:rFonts w:cs="Arial"/>
                    </w:rPr>
                    <w:t>Tableau reprenant les conditions de passage de l’enseignement secondaire spécialisé de forme 3 vers l’enseignement ordinaire</w:t>
                  </w:r>
                  <w:r>
                    <w:rPr>
                      <w:rFonts w:cs="Arial"/>
                      <w:b/>
                    </w:rPr>
                    <w:t xml:space="preserve"> </w:t>
                  </w:r>
                  <w:r>
                    <w:rPr>
                      <w:rFonts w:cs="Arial"/>
                      <w:b/>
                      <w:u w:val="single"/>
                    </w:rPr>
                    <w:t>des élèves porteurs du CEB</w:t>
                  </w:r>
                </w:p>
                <w:p w:rsidR="00F04EEF" w:rsidRDefault="00F04EEF"/>
                <w:tbl>
                  <w:tblPr>
                    <w:tblW w:w="9659" w:type="dxa"/>
                    <w:tblInd w:w="-25" w:type="dxa"/>
                    <w:tblLayout w:type="fixed"/>
                    <w:tblLook w:val="0000" w:firstRow="0" w:lastRow="0" w:firstColumn="0" w:lastColumn="0" w:noHBand="0" w:noVBand="0"/>
                  </w:tblPr>
                  <w:tblGrid>
                    <w:gridCol w:w="3139"/>
                    <w:gridCol w:w="2268"/>
                    <w:gridCol w:w="2126"/>
                    <w:gridCol w:w="2126"/>
                  </w:tblGrid>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Situation scolaire de l’élève</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 xml:space="preserve">Année d’étude de l’enseignement secondaire ordinaire (alternance art.49) où l’élève peut être inscrit(e)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rPr>
                            <w:b/>
                            <w:vertAlign w:val="superscript"/>
                          </w:rPr>
                        </w:pPr>
                        <w:r>
                          <w:rPr>
                            <w:b/>
                          </w:rPr>
                          <w:t xml:space="preserve">Niveau de l’enseignement secondaire en alternance (art.45 et formations en urgence) où l’élève peut être inscrit(e) </w:t>
                        </w:r>
                      </w:p>
                    </w:tc>
                  </w:tr>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Elève inscrit(e) en 1</w:t>
                        </w:r>
                        <w:r>
                          <w:rPr>
                            <w:b/>
                            <w:vertAlign w:val="superscript"/>
                          </w:rPr>
                          <w:t>ère</w:t>
                        </w:r>
                        <w:r>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rPr>
                            <w:vertAlign w:val="superscript"/>
                          </w:rPr>
                        </w:pPr>
                        <w:r>
                          <w:t xml:space="preserve">1C </w:t>
                        </w:r>
                        <w:r>
                          <w:rPr>
                            <w:rStyle w:val="Appelnotedebasdep"/>
                          </w:rPr>
                          <w:footnoteReference w:id="9"/>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Accès refusé</w:t>
                        </w:r>
                      </w:p>
                    </w:tc>
                  </w:tr>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Elève inscrit(e) en 1</w:t>
                        </w:r>
                        <w:r>
                          <w:rPr>
                            <w:b/>
                            <w:vertAlign w:val="superscript"/>
                          </w:rPr>
                          <w:t>ère</w:t>
                        </w:r>
                        <w:r>
                          <w:rPr>
                            <w:b/>
                          </w:rPr>
                          <w:t xml:space="preserve"> phase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rPr>
                            <w:b/>
                            <w:vertAlign w:val="superscript"/>
                          </w:rPr>
                        </w:pPr>
                        <w:r>
                          <w:t xml:space="preserve">2C- </w:t>
                        </w:r>
                        <w:r>
                          <w:rPr>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rPr>
                            <w:b/>
                            <w:vertAlign w:val="superscript"/>
                          </w:rPr>
                        </w:pPr>
                        <w:r>
                          <w:t>2</w:t>
                        </w:r>
                        <w:r>
                          <w:rPr>
                            <w:vertAlign w:val="superscript"/>
                          </w:rPr>
                          <w:t>ème</w:t>
                        </w:r>
                        <w:r>
                          <w:t xml:space="preserve"> degré </w:t>
                        </w:r>
                        <w:r>
                          <w:rPr>
                            <w:rStyle w:val="Appelnotedebasdep"/>
                          </w:rPr>
                          <w:footnoteReference w:id="10"/>
                        </w:r>
                      </w:p>
                    </w:tc>
                  </w:tr>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1</w:t>
                        </w:r>
                        <w:r>
                          <w:rPr>
                            <w:b/>
                            <w:vertAlign w:val="superscript"/>
                          </w:rPr>
                          <w:t>ère</w:t>
                        </w:r>
                        <w:r>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rPr>
                            <w:vertAlign w:val="superscript"/>
                          </w:rPr>
                        </w:pPr>
                        <w:r>
                          <w:t xml:space="preserve">2C- </w:t>
                        </w:r>
                        <w:r>
                          <w:rPr>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Accès refusé</w:t>
                        </w:r>
                      </w:p>
                    </w:tc>
                  </w:tr>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1</w:t>
                        </w:r>
                        <w:r>
                          <w:rPr>
                            <w:b/>
                            <w:vertAlign w:val="superscript"/>
                          </w:rPr>
                          <w:t>ère</w:t>
                        </w:r>
                        <w:r>
                          <w:rPr>
                            <w:b/>
                          </w:rPr>
                          <w:t xml:space="preserve"> phase en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t xml:space="preserve">2C- </w:t>
                        </w:r>
                        <w:r>
                          <w:rPr>
                            <w:b/>
                          </w:rPr>
                          <w:t>ou année supplémentaire organisée au terme du premier degré (2S)</w:t>
                        </w:r>
                      </w:p>
                      <w:p w:rsidR="00F04EEF" w:rsidRDefault="0099351E">
                        <w:pPr>
                          <w:snapToGrid w:val="0"/>
                          <w:rPr>
                            <w:vertAlign w:val="superscript"/>
                          </w:rPr>
                        </w:pPr>
                        <w:r>
                          <w:rPr>
                            <w:b/>
                          </w:rPr>
                          <w:t>3P</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rPr>
                            <w:b/>
                          </w:rPr>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rPr>
                            <w:b/>
                            <w:vertAlign w:val="superscript"/>
                          </w:rPr>
                        </w:pPr>
                        <w:r>
                          <w:t>2</w:t>
                        </w:r>
                        <w:r>
                          <w:rPr>
                            <w:vertAlign w:val="superscript"/>
                          </w:rPr>
                          <w:t>ème</w:t>
                        </w:r>
                        <w:r>
                          <w:t xml:space="preserve"> degré </w:t>
                        </w:r>
                        <w:r>
                          <w:rPr>
                            <w:rStyle w:val="Appelnotedebasdep"/>
                          </w:rPr>
                          <w:footnoteReference w:id="11"/>
                        </w:r>
                      </w:p>
                    </w:tc>
                  </w:tr>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Elève inscrit(e) en 2</w:t>
                        </w:r>
                        <w:r>
                          <w:rPr>
                            <w:b/>
                            <w:vertAlign w:val="superscript"/>
                          </w:rPr>
                          <w:t>ème</w:t>
                        </w:r>
                        <w:r>
                          <w:rPr>
                            <w:b/>
                          </w:rPr>
                          <w:t xml:space="preserve"> phase ayant fréquenté 1 année scolaire complète en 2</w:t>
                        </w:r>
                        <w:r>
                          <w:rPr>
                            <w:b/>
                            <w:vertAlign w:val="superscript"/>
                          </w:rPr>
                          <w:t>ème</w:t>
                        </w:r>
                        <w:r>
                          <w:rPr>
                            <w:b/>
                          </w:rPr>
                          <w:t xml:space="preserve"> phase + 15 ans accomplis</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pPr>
                        <w:r>
                          <w:t>3P – 3S-DO – 2S</w:t>
                        </w:r>
                      </w:p>
                      <w:p w:rsidR="00F04EEF" w:rsidRDefault="00F04EEF">
                        <w:pPr>
                          <w:snapToGrid w:val="0"/>
                          <w:rPr>
                            <w:b/>
                          </w:rPr>
                        </w:pP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rPr>
                            <w:b/>
                            <w:vertAlign w:val="superscript"/>
                          </w:rPr>
                        </w:pPr>
                        <w:r>
                          <w:t>2</w:t>
                        </w:r>
                        <w:r>
                          <w:rPr>
                            <w:vertAlign w:val="superscript"/>
                          </w:rPr>
                          <w:t>ème</w:t>
                        </w:r>
                        <w:r>
                          <w:t xml:space="preserve"> degré </w:t>
                        </w:r>
                        <w:r>
                          <w:rPr>
                            <w:rStyle w:val="Appelnotedebasdep"/>
                          </w:rPr>
                          <w:footnoteReference w:id="12"/>
                        </w:r>
                      </w:p>
                    </w:tc>
                  </w:tr>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2</w:t>
                        </w:r>
                        <w:r>
                          <w:rPr>
                            <w:b/>
                            <w:vertAlign w:val="superscript"/>
                          </w:rPr>
                          <w:t>ème</w:t>
                        </w:r>
                        <w:r>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rPr>
                            <w:lang w:val="en-US"/>
                          </w:rPr>
                        </w:pPr>
                        <w:r>
                          <w:rPr>
                            <w:b/>
                            <w:lang w:val="en-US"/>
                          </w:rPr>
                          <w:t>4P – 3S-DO</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rPr>
                            <w:b/>
                            <w:lang w:val="en-US"/>
                          </w:rPr>
                          <w:t>4P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rPr>
                            <w:b/>
                            <w:vertAlign w:val="superscript"/>
                          </w:rPr>
                        </w:pPr>
                        <w:r>
                          <w:t>2</w:t>
                        </w:r>
                        <w:r>
                          <w:rPr>
                            <w:vertAlign w:val="superscript"/>
                          </w:rPr>
                          <w:t>ème</w:t>
                        </w:r>
                        <w:r>
                          <w:t xml:space="preserve"> degré </w:t>
                        </w:r>
                        <w:r>
                          <w:rPr>
                            <w:rStyle w:val="Appelnotedebasdep"/>
                          </w:rPr>
                          <w:footnoteReference w:id="13"/>
                        </w:r>
                        <w:r>
                          <w:t>(3)</w:t>
                        </w:r>
                      </w:p>
                    </w:tc>
                  </w:tr>
                  <w:tr w:rsidR="00F04EEF">
                    <w:tc>
                      <w:tcPr>
                        <w:tcW w:w="3139"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3</w:t>
                        </w:r>
                        <w:r>
                          <w:rPr>
                            <w:b/>
                            <w:vertAlign w:val="superscript"/>
                          </w:rPr>
                          <w:t>ème</w:t>
                        </w:r>
                        <w:r>
                          <w:rPr>
                            <w:b/>
                          </w:rPr>
                          <w:t xml:space="preserve"> phase (CQ)</w:t>
                        </w:r>
                      </w:p>
                    </w:tc>
                    <w:tc>
                      <w:tcPr>
                        <w:tcW w:w="2268"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5P</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rPr>
                            <w:b/>
                          </w:rPr>
                          <w:t>5P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rPr>
                            <w:vertAlign w:val="superscript"/>
                          </w:rPr>
                        </w:pPr>
                        <w:r>
                          <w:t>3</w:t>
                        </w:r>
                        <w:r>
                          <w:rPr>
                            <w:vertAlign w:val="superscript"/>
                          </w:rPr>
                          <w:t>ème</w:t>
                        </w:r>
                        <w:r>
                          <w:t xml:space="preserve"> degré </w:t>
                        </w:r>
                        <w:r>
                          <w:rPr>
                            <w:rStyle w:val="Appelnotedebasdep"/>
                          </w:rPr>
                          <w:footnoteReference w:id="14"/>
                        </w:r>
                      </w:p>
                    </w:tc>
                  </w:tr>
                </w:tbl>
                <w:p w:rsidR="00F04EEF" w:rsidRDefault="00F04EEF">
                  <w:pPr>
                    <w:rPr>
                      <w:b/>
                      <w:u w:val="single"/>
                    </w:rPr>
                  </w:pPr>
                </w:p>
                <w:p w:rsidR="00F04EEF" w:rsidRDefault="0099351E">
                  <w:proofErr w:type="gramStart"/>
                  <w:r>
                    <w:rPr>
                      <w:b/>
                      <w:u w:val="single"/>
                    </w:rPr>
                    <w:t>Remarques</w:t>
                  </w:r>
                  <w:proofErr w:type="gramEnd"/>
                  <w:r>
                    <w:rPr>
                      <w:b/>
                      <w:u w:val="single"/>
                    </w:rPr>
                    <w:t> :</w:t>
                  </w:r>
                  <w:r>
                    <w:rPr>
                      <w:b/>
                      <w:noProof/>
                      <w:lang w:eastAsia="fr-BE"/>
                    </w:rPr>
                    <w:t xml:space="preserve"> </w:t>
                  </w:r>
                </w:p>
                <w:p w:rsidR="00F04EEF" w:rsidRDefault="00F04EEF"/>
                <w:p w:rsidR="00F04EEF" w:rsidRDefault="0099351E">
                  <w:pPr>
                    <w:pStyle w:val="Paragraphedeliste"/>
                    <w:numPr>
                      <w:ilvl w:val="0"/>
                      <w:numId w:val="297"/>
                    </w:numPr>
                    <w:ind w:left="284" w:hanging="284"/>
                    <w:rPr>
                      <w:rFonts w:asciiTheme="majorHAnsi" w:hAnsiTheme="majorHAnsi"/>
                      <w:sz w:val="22"/>
                      <w:szCs w:val="22"/>
                    </w:rPr>
                  </w:pPr>
                  <w:r>
                    <w:rPr>
                      <w:rFonts w:asciiTheme="majorHAnsi" w:hAnsiTheme="majorHAnsi"/>
                      <w:sz w:val="22"/>
                      <w:szCs w:val="22"/>
                    </w:rPr>
                    <w:t>Article 65. § 1</w:t>
                  </w:r>
                  <w:r>
                    <w:rPr>
                      <w:rFonts w:asciiTheme="majorHAnsi" w:hAnsiTheme="majorHAnsi"/>
                      <w:sz w:val="22"/>
                      <w:szCs w:val="22"/>
                      <w:vertAlign w:val="superscript"/>
                    </w:rPr>
                    <w:t>er</w:t>
                  </w:r>
                  <w:r>
                    <w:rPr>
                      <w:rFonts w:asciiTheme="majorHAnsi" w:hAnsiTheme="majorHAnsi"/>
                      <w:sz w:val="22"/>
                      <w:szCs w:val="22"/>
                    </w:rPr>
                    <w:t xml:space="preserve"> du décret du 3 mars 2004 organisant l’enseignement spécialisé.</w:t>
                  </w:r>
                </w:p>
                <w:p w:rsidR="00F04EEF" w:rsidRDefault="00F04EEF"/>
                <w:p w:rsidR="00F04EEF" w:rsidRDefault="0099351E">
                  <w:pPr>
                    <w:ind w:left="284"/>
                  </w:pPr>
                  <w:r>
                    <w:t>Le passage de l’enseignement spécialisé vers l’enseignement secondaire ordinaire nécessite :</w:t>
                  </w:r>
                </w:p>
                <w:p w:rsidR="00F04EEF" w:rsidRDefault="00F04EEF"/>
                <w:p w:rsidR="00F04EEF" w:rsidRDefault="0099351E">
                  <w:pPr>
                    <w:pStyle w:val="Paragraphedeliste2"/>
                    <w:numPr>
                      <w:ilvl w:val="1"/>
                      <w:numId w:val="113"/>
                    </w:numPr>
                    <w:ind w:left="927"/>
                    <w:rPr>
                      <w:rFonts w:asciiTheme="majorHAnsi" w:hAnsiTheme="majorHAnsi"/>
                      <w:sz w:val="22"/>
                    </w:rPr>
                  </w:pPr>
                  <w:r>
                    <w:rPr>
                      <w:rFonts w:asciiTheme="majorHAnsi" w:hAnsiTheme="majorHAnsi"/>
                      <w:sz w:val="22"/>
                    </w:rPr>
                    <w:t>la demande écrite des parents, de la personne exerçant l’autorité parentale ou de l’élève, s’il est majeur ;</w:t>
                  </w:r>
                </w:p>
                <w:p w:rsidR="00F04EEF" w:rsidRDefault="0099351E">
                  <w:pPr>
                    <w:pStyle w:val="Paragraphedeliste2"/>
                    <w:numPr>
                      <w:ilvl w:val="1"/>
                      <w:numId w:val="113"/>
                    </w:numPr>
                    <w:ind w:left="927"/>
                    <w:rPr>
                      <w:rFonts w:asciiTheme="majorHAnsi" w:hAnsiTheme="majorHAnsi"/>
                      <w:sz w:val="22"/>
                    </w:rPr>
                  </w:pPr>
                  <w:r>
                    <w:rPr>
                      <w:rFonts w:asciiTheme="majorHAnsi" w:hAnsiTheme="majorHAnsi"/>
                      <w:sz w:val="22"/>
                    </w:rPr>
                    <w:t>l’avis motivé de l’organisme chargé de la guidance des élèves de l’établissement spécialisé concerné ;</w:t>
                  </w:r>
                </w:p>
                <w:p w:rsidR="00F04EEF" w:rsidRDefault="0099351E">
                  <w:pPr>
                    <w:pStyle w:val="Paragraphedeliste2"/>
                    <w:numPr>
                      <w:ilvl w:val="1"/>
                      <w:numId w:val="113"/>
                    </w:numPr>
                    <w:ind w:left="927"/>
                    <w:rPr>
                      <w:rFonts w:asciiTheme="majorHAnsi" w:hAnsiTheme="majorHAnsi"/>
                      <w:sz w:val="22"/>
                    </w:rPr>
                  </w:pPr>
                  <w:r>
                    <w:rPr>
                      <w:rFonts w:asciiTheme="majorHAnsi" w:hAnsiTheme="majorHAnsi"/>
                      <w:sz w:val="22"/>
                    </w:rPr>
                    <w:t>l’avis favorable du conseil d’admission de l’école d’accueil.</w:t>
                  </w:r>
                </w:p>
                <w:p w:rsidR="00F04EEF" w:rsidRDefault="00F04EEF">
                  <w:pPr>
                    <w:pStyle w:val="Paragraphedeliste2"/>
                    <w:ind w:left="0"/>
                    <w:rPr>
                      <w:rFonts w:asciiTheme="majorHAnsi" w:hAnsiTheme="majorHAnsi"/>
                      <w:sz w:val="22"/>
                    </w:rPr>
                  </w:pPr>
                </w:p>
                <w:p w:rsidR="00F04EEF" w:rsidRDefault="0099351E">
                  <w:pPr>
                    <w:pStyle w:val="Paragraphedeliste2"/>
                    <w:numPr>
                      <w:ilvl w:val="0"/>
                      <w:numId w:val="297"/>
                    </w:numPr>
                    <w:spacing w:after="200" w:line="276" w:lineRule="auto"/>
                    <w:ind w:left="284" w:hanging="284"/>
                    <w:jc w:val="both"/>
                    <w:rPr>
                      <w:rFonts w:asciiTheme="majorHAnsi" w:hAnsiTheme="majorHAnsi"/>
                      <w:sz w:val="22"/>
                    </w:rPr>
                  </w:pPr>
                  <w:r>
                    <w:rPr>
                      <w:rFonts w:asciiTheme="majorHAnsi" w:hAnsiTheme="majorHAnsi"/>
                      <w:sz w:val="22"/>
                    </w:rPr>
                    <w:t>Il n’existe pas de degrés dans l’enseignement secondaire spécialisé de forme 3. Dès lors, la réglementation relative au nombre d’années fréquentées au 1</w:t>
                  </w:r>
                  <w:r>
                    <w:rPr>
                      <w:rFonts w:asciiTheme="majorHAnsi" w:hAnsiTheme="majorHAnsi"/>
                      <w:sz w:val="22"/>
                      <w:vertAlign w:val="superscript"/>
                    </w:rPr>
                    <w:t>er</w:t>
                  </w:r>
                  <w:r>
                    <w:rPr>
                      <w:rFonts w:asciiTheme="majorHAnsi" w:hAnsiTheme="maj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Pr>
                      <w:rFonts w:asciiTheme="majorHAnsi" w:hAnsiTheme="majorHAnsi"/>
                      <w:sz w:val="22"/>
                      <w:vertAlign w:val="superscript"/>
                    </w:rPr>
                    <w:t>er</w:t>
                  </w:r>
                  <w:r>
                    <w:rPr>
                      <w:rFonts w:asciiTheme="majorHAnsi" w:hAnsiTheme="majorHAnsi"/>
                      <w:sz w:val="22"/>
                    </w:rPr>
                    <w:t xml:space="preserve"> degré de l’enseignement secondaire ordinaire.</w:t>
                  </w:r>
                </w:p>
                <w:p w:rsidR="00F04EEF" w:rsidRDefault="00F04EEF"/>
                <w:p w:rsidR="00F04EEF" w:rsidRDefault="0099351E">
                  <w:pPr>
                    <w:pBdr>
                      <w:top w:val="single" w:sz="4" w:space="1" w:color="auto"/>
                      <w:left w:val="single" w:sz="4" w:space="19" w:color="auto"/>
                      <w:bottom w:val="single" w:sz="4" w:space="1" w:color="auto"/>
                      <w:right w:val="single" w:sz="4" w:space="4" w:color="auto"/>
                    </w:pBdr>
                    <w:jc w:val="center"/>
                    <w:rPr>
                      <w:rFonts w:cs="Arial"/>
                      <w:b/>
                      <w:u w:val="single"/>
                    </w:rPr>
                  </w:pPr>
                  <w:r>
                    <w:rPr>
                      <w:rFonts w:cs="Arial"/>
                    </w:rPr>
                    <w:t>Tableau reprenant les conditions de passage de l’enseignement secondaire spécialisé de forme 3 vers l’enseignement ordinaire</w:t>
                  </w:r>
                  <w:r>
                    <w:rPr>
                      <w:rFonts w:cs="Arial"/>
                      <w:b/>
                    </w:rPr>
                    <w:t xml:space="preserve"> </w:t>
                  </w:r>
                  <w:r>
                    <w:rPr>
                      <w:rFonts w:cs="Arial"/>
                      <w:b/>
                      <w:u w:val="single"/>
                    </w:rPr>
                    <w:t>des élèves qui ne sont pas porteurs du CEB</w:t>
                  </w:r>
                  <w:r>
                    <w:rPr>
                      <w:rStyle w:val="Appelnotedebasdep"/>
                      <w:b/>
                      <w:u w:val="single"/>
                    </w:rPr>
                    <w:footnoteReference w:id="15"/>
                  </w:r>
                </w:p>
                <w:p w:rsidR="00F04EEF" w:rsidRDefault="00F04EEF"/>
                <w:tbl>
                  <w:tblPr>
                    <w:tblW w:w="9952" w:type="dxa"/>
                    <w:tblInd w:w="-318" w:type="dxa"/>
                    <w:tblLayout w:type="fixed"/>
                    <w:tblLook w:val="0000" w:firstRow="0" w:lastRow="0" w:firstColumn="0" w:lastColumn="0" w:noHBand="0" w:noVBand="0"/>
                  </w:tblPr>
                  <w:tblGrid>
                    <w:gridCol w:w="3007"/>
                    <w:gridCol w:w="2551"/>
                    <w:gridCol w:w="2126"/>
                    <w:gridCol w:w="2268"/>
                  </w:tblGrid>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Situation scolaire de l’élève</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 xml:space="preserve">Année d’étude de l’enseignement secondaire ordinaire (alternance art.49) où l’élève peut être inscrit(e)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rPr>
                            <w:b/>
                          </w:rPr>
                        </w:pPr>
                        <w:r>
                          <w:rPr>
                            <w:b/>
                          </w:rPr>
                          <w:t xml:space="preserve">Niveau de l’enseignement secondaire en alternance (art.45 et formations en urgence) où l’élève peut être inscrit(e) </w:t>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Elève inscrit(e) en 1</w:t>
                        </w:r>
                        <w:r>
                          <w:rPr>
                            <w:b/>
                            <w:vertAlign w:val="superscript"/>
                          </w:rPr>
                          <w:t>ère</w:t>
                        </w:r>
                        <w:r>
                          <w:rPr>
                            <w:b/>
                          </w:rPr>
                          <w:t xml:space="preserve"> phase</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rPr>
                            <w:vertAlign w:val="superscript"/>
                          </w:rPr>
                        </w:pPr>
                        <w:r>
                          <w:t>1</w:t>
                        </w:r>
                        <w:r>
                          <w:rPr>
                            <w:vertAlign w:val="superscript"/>
                          </w:rPr>
                          <w:t>ère</w:t>
                        </w:r>
                        <w:r>
                          <w:t xml:space="preserve"> Différenciée</w:t>
                        </w:r>
                        <w:r>
                          <w:rPr>
                            <w:rStyle w:val="Appelnotedebasdep"/>
                          </w:rPr>
                          <w:footnoteReference w:id="16"/>
                        </w:r>
                        <w:r>
                          <w:t xml:space="preserve"> </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Accès refusé</w:t>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Elève inscrit(e) en 1</w:t>
                        </w:r>
                        <w:r>
                          <w:rPr>
                            <w:b/>
                            <w:vertAlign w:val="superscript"/>
                          </w:rPr>
                          <w:t>ère</w:t>
                        </w:r>
                        <w:r>
                          <w:rPr>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rPr>
                            <w:vertAlign w:val="superscript"/>
                          </w:rPr>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2</w:t>
                        </w:r>
                        <w:r>
                          <w:rPr>
                            <w:vertAlign w:val="superscript"/>
                          </w:rPr>
                          <w:t>ème</w:t>
                        </w:r>
                        <w:r>
                          <w:t xml:space="preserve"> degré </w:t>
                        </w:r>
                        <w:r>
                          <w:rPr>
                            <w:rStyle w:val="Appelnotedebasdep"/>
                          </w:rPr>
                          <w:footnoteReference w:id="17"/>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Elève inscrit(e) en 1</w:t>
                        </w:r>
                        <w:r>
                          <w:rPr>
                            <w:b/>
                            <w:vertAlign w:val="superscript"/>
                          </w:rPr>
                          <w:t>ère</w:t>
                        </w:r>
                        <w:r>
                          <w:rPr>
                            <w:b/>
                          </w:rPr>
                          <w:t xml:space="preserve"> phase + 16 ans accomplis</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rPr>
                            <w:vertAlign w:val="superscript"/>
                          </w:rPr>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2</w:t>
                        </w:r>
                        <w:r>
                          <w:rPr>
                            <w:vertAlign w:val="superscript"/>
                          </w:rPr>
                          <w:t>ème</w:t>
                        </w:r>
                        <w:r>
                          <w:t xml:space="preserve"> degré </w:t>
                        </w:r>
                        <w:r>
                          <w:rPr>
                            <w:rStyle w:val="Appelnotedebasdep"/>
                          </w:rPr>
                          <w:footnoteReference w:id="18"/>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1</w:t>
                        </w:r>
                        <w:r>
                          <w:rPr>
                            <w:b/>
                            <w:vertAlign w:val="superscript"/>
                          </w:rPr>
                          <w:t>ère</w:t>
                        </w:r>
                        <w:r>
                          <w:rPr>
                            <w:b/>
                          </w:rPr>
                          <w:t xml:space="preserve"> phase</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Accès refusé</w:t>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1</w:t>
                        </w:r>
                        <w:r>
                          <w:rPr>
                            <w:b/>
                            <w:vertAlign w:val="superscript"/>
                          </w:rPr>
                          <w:t>ère</w:t>
                        </w:r>
                        <w:r>
                          <w:rPr>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pPr>
                        <w:r>
                          <w:t>2</w:t>
                        </w:r>
                        <w:r>
                          <w:rPr>
                            <w:vertAlign w:val="superscript"/>
                          </w:rPr>
                          <w:t>ème</w:t>
                        </w:r>
                        <w: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2</w:t>
                        </w:r>
                        <w:r>
                          <w:rPr>
                            <w:vertAlign w:val="superscript"/>
                          </w:rPr>
                          <w:t>ème</w:t>
                        </w:r>
                        <w:r>
                          <w:t xml:space="preserve"> degré </w:t>
                        </w:r>
                        <w:r>
                          <w:rPr>
                            <w:rStyle w:val="Appelnotedebasdep"/>
                          </w:rPr>
                          <w:footnoteReference w:id="19"/>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Elève inscrit(e) en 2</w:t>
                        </w:r>
                        <w:r>
                          <w:rPr>
                            <w:b/>
                            <w:vertAlign w:val="superscript"/>
                          </w:rPr>
                          <w:t>ème</w:t>
                        </w:r>
                        <w:r>
                          <w:rPr>
                            <w:b/>
                          </w:rPr>
                          <w:t xml:space="preserve"> phase ayant fréquenté 1 année scolaire complète en 2</w:t>
                        </w:r>
                        <w:r>
                          <w:rPr>
                            <w:b/>
                            <w:vertAlign w:val="superscript"/>
                          </w:rPr>
                          <w:t>ème</w:t>
                        </w:r>
                        <w:r>
                          <w:rPr>
                            <w:b/>
                          </w:rPr>
                          <w:t xml:space="preserve"> phase + 15 ans accomplis</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pPr>
                        <w:r>
                          <w:t>3P/2S/3S-DO</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3P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2</w:t>
                        </w:r>
                        <w:r>
                          <w:rPr>
                            <w:vertAlign w:val="superscript"/>
                          </w:rPr>
                          <w:t>ème</w:t>
                        </w:r>
                        <w:r>
                          <w:t xml:space="preserve"> degré </w:t>
                        </w:r>
                        <w:r>
                          <w:rPr>
                            <w:rStyle w:val="Appelnotedebasdep"/>
                          </w:rPr>
                          <w:footnoteReference w:id="20"/>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2</w:t>
                        </w:r>
                        <w:r>
                          <w:rPr>
                            <w:b/>
                            <w:vertAlign w:val="superscript"/>
                          </w:rPr>
                          <w:t>ème</w:t>
                        </w:r>
                        <w:r>
                          <w:rPr>
                            <w:b/>
                          </w:rPr>
                          <w:t xml:space="preserve"> phase </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pPr>
                        <w:r>
                          <w:t>4P/3S-DO</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4P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2</w:t>
                        </w:r>
                        <w:r>
                          <w:rPr>
                            <w:vertAlign w:val="superscript"/>
                          </w:rPr>
                          <w:t>ème</w:t>
                        </w:r>
                        <w:r>
                          <w:t xml:space="preserve"> degré</w:t>
                        </w:r>
                        <w:r>
                          <w:rPr>
                            <w:rStyle w:val="Appelnotedebasdep"/>
                          </w:rPr>
                          <w:footnoteReference w:id="21"/>
                        </w:r>
                      </w:p>
                    </w:tc>
                  </w:tr>
                  <w:tr w:rsidR="00F04EEF">
                    <w:tc>
                      <w:tcPr>
                        <w:tcW w:w="3007" w:type="dxa"/>
                        <w:tcBorders>
                          <w:top w:val="single" w:sz="4" w:space="0" w:color="000000"/>
                          <w:left w:val="single" w:sz="4" w:space="0" w:color="000000"/>
                          <w:bottom w:val="single" w:sz="4" w:space="0" w:color="000000"/>
                        </w:tcBorders>
                        <w:shd w:val="clear" w:color="auto" w:fill="auto"/>
                      </w:tcPr>
                      <w:p w:rsidR="00F04EEF" w:rsidRDefault="0099351E">
                        <w:pPr>
                          <w:snapToGrid w:val="0"/>
                          <w:rPr>
                            <w:b/>
                          </w:rPr>
                        </w:pPr>
                        <w:r>
                          <w:rPr>
                            <w:b/>
                          </w:rPr>
                          <w:t>A réussi la 3</w:t>
                        </w:r>
                        <w:r>
                          <w:rPr>
                            <w:b/>
                            <w:vertAlign w:val="superscript"/>
                          </w:rPr>
                          <w:t>ème</w:t>
                        </w:r>
                        <w:r>
                          <w:rPr>
                            <w:b/>
                          </w:rPr>
                          <w:t xml:space="preserve"> phase CQ</w:t>
                        </w:r>
                      </w:p>
                    </w:tc>
                    <w:tc>
                      <w:tcPr>
                        <w:tcW w:w="2551" w:type="dxa"/>
                        <w:tcBorders>
                          <w:top w:val="single" w:sz="4" w:space="0" w:color="000000"/>
                          <w:left w:val="single" w:sz="4" w:space="0" w:color="000000"/>
                          <w:bottom w:val="single" w:sz="4" w:space="0" w:color="000000"/>
                        </w:tcBorders>
                        <w:shd w:val="clear" w:color="auto" w:fill="auto"/>
                      </w:tcPr>
                      <w:p w:rsidR="00F04EEF" w:rsidRDefault="0099351E">
                        <w:pPr>
                          <w:snapToGrid w:val="0"/>
                        </w:pPr>
                        <w:r>
                          <w:t>5P</w:t>
                        </w:r>
                      </w:p>
                    </w:tc>
                    <w:tc>
                      <w:tcPr>
                        <w:tcW w:w="2126" w:type="dxa"/>
                        <w:tcBorders>
                          <w:top w:val="single" w:sz="4" w:space="0" w:color="000000"/>
                          <w:left w:val="single" w:sz="4" w:space="0" w:color="000000"/>
                          <w:bottom w:val="single" w:sz="4" w:space="0" w:color="000000"/>
                        </w:tcBorders>
                        <w:shd w:val="clear" w:color="auto" w:fill="auto"/>
                      </w:tcPr>
                      <w:p w:rsidR="00F04EEF" w:rsidRDefault="0099351E">
                        <w:pPr>
                          <w:snapToGrid w:val="0"/>
                        </w:pPr>
                        <w:r>
                          <w:t>5P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napToGrid w:val="0"/>
                        </w:pPr>
                        <w:r>
                          <w:t>3</w:t>
                        </w:r>
                        <w:r>
                          <w:rPr>
                            <w:vertAlign w:val="superscript"/>
                          </w:rPr>
                          <w:t>ème</w:t>
                        </w:r>
                        <w:r>
                          <w:t xml:space="preserve"> degré</w:t>
                        </w:r>
                        <w:r>
                          <w:rPr>
                            <w:rStyle w:val="Appelnotedebasdep"/>
                          </w:rPr>
                          <w:footnoteReference w:id="22"/>
                        </w:r>
                      </w:p>
                    </w:tc>
                  </w:tr>
                </w:tbl>
                <w:p w:rsidR="00F04EEF" w:rsidRDefault="00F04EEF"/>
                <w:p w:rsidR="00F04EEF" w:rsidRDefault="0099351E">
                  <w:proofErr w:type="gramStart"/>
                  <w:r>
                    <w:rPr>
                      <w:b/>
                      <w:u w:val="single"/>
                    </w:rPr>
                    <w:t>Remarques</w:t>
                  </w:r>
                  <w:proofErr w:type="gramEnd"/>
                  <w:r>
                    <w:rPr>
                      <w:b/>
                      <w:u w:val="single"/>
                    </w:rPr>
                    <w:t> :</w:t>
                  </w:r>
                  <w:r>
                    <w:t xml:space="preserve"> </w:t>
                  </w:r>
                </w:p>
                <w:p w:rsidR="00F04EEF" w:rsidRDefault="00F04EEF"/>
                <w:p w:rsidR="00F04EEF" w:rsidRDefault="0099351E">
                  <w:pPr>
                    <w:pStyle w:val="Paragraphedeliste"/>
                    <w:numPr>
                      <w:ilvl w:val="0"/>
                      <w:numId w:val="297"/>
                    </w:numPr>
                    <w:ind w:left="426" w:hanging="426"/>
                    <w:rPr>
                      <w:rFonts w:asciiTheme="majorHAnsi" w:hAnsiTheme="majorHAnsi"/>
                      <w:sz w:val="22"/>
                      <w:szCs w:val="22"/>
                    </w:rPr>
                  </w:pPr>
                  <w:r>
                    <w:rPr>
                      <w:rFonts w:asciiTheme="majorHAnsi" w:hAnsiTheme="majorHAnsi"/>
                      <w:sz w:val="22"/>
                      <w:szCs w:val="22"/>
                    </w:rPr>
                    <w:t>Article 65. § 1</w:t>
                  </w:r>
                  <w:r>
                    <w:rPr>
                      <w:rFonts w:asciiTheme="majorHAnsi" w:hAnsiTheme="majorHAnsi"/>
                      <w:sz w:val="22"/>
                      <w:szCs w:val="22"/>
                      <w:vertAlign w:val="superscript"/>
                    </w:rPr>
                    <w:t>er</w:t>
                  </w:r>
                  <w:r>
                    <w:rPr>
                      <w:rFonts w:asciiTheme="majorHAnsi" w:hAnsiTheme="majorHAnsi"/>
                      <w:sz w:val="22"/>
                      <w:szCs w:val="22"/>
                    </w:rPr>
                    <w:t xml:space="preserve"> du décret du 3 mars 2004 organisant l’enseignement spécialisé.</w:t>
                  </w:r>
                </w:p>
                <w:p w:rsidR="00F04EEF" w:rsidRDefault="00F04EEF"/>
                <w:p w:rsidR="00F04EEF" w:rsidRDefault="0099351E">
                  <w:r>
                    <w:br w:type="page"/>
                  </w:r>
                </w:p>
                <w:p w:rsidR="00F04EEF" w:rsidRDefault="0099351E">
                  <w:pPr>
                    <w:ind w:left="426"/>
                  </w:pPr>
                  <w:r>
                    <w:t>Le passage de l’enseignement spécialisé vers l’enseignement secondaire ordinaire nécessite :</w:t>
                  </w:r>
                </w:p>
                <w:p w:rsidR="00F04EEF" w:rsidRDefault="00F04EEF"/>
                <w:p w:rsidR="00F04EEF" w:rsidRDefault="0099351E">
                  <w:pPr>
                    <w:pStyle w:val="Paragraphedeliste2"/>
                    <w:numPr>
                      <w:ilvl w:val="1"/>
                      <w:numId w:val="113"/>
                    </w:numPr>
                    <w:ind w:left="927"/>
                    <w:rPr>
                      <w:rFonts w:asciiTheme="majorHAnsi" w:hAnsiTheme="majorHAnsi"/>
                      <w:sz w:val="22"/>
                    </w:rPr>
                  </w:pPr>
                  <w:r>
                    <w:rPr>
                      <w:rFonts w:asciiTheme="majorHAnsi" w:hAnsiTheme="majorHAnsi"/>
                      <w:sz w:val="22"/>
                    </w:rPr>
                    <w:t>la demande écrite des parents, de la personne exerçant l’autorité parentale ou de l’élève, s’il est majeur ;</w:t>
                  </w:r>
                </w:p>
                <w:p w:rsidR="00F04EEF" w:rsidRDefault="0099351E">
                  <w:pPr>
                    <w:pStyle w:val="Paragraphedeliste2"/>
                    <w:numPr>
                      <w:ilvl w:val="1"/>
                      <w:numId w:val="113"/>
                    </w:numPr>
                    <w:ind w:left="927"/>
                    <w:rPr>
                      <w:rFonts w:asciiTheme="majorHAnsi" w:hAnsiTheme="majorHAnsi"/>
                      <w:sz w:val="22"/>
                    </w:rPr>
                  </w:pPr>
                  <w:r>
                    <w:rPr>
                      <w:rFonts w:asciiTheme="majorHAnsi" w:hAnsiTheme="majorHAnsi"/>
                      <w:sz w:val="22"/>
                    </w:rPr>
                    <w:t>l’avis motivé de l’organisme chargé de la guidance des élèves de l’établissement spécialisé concerné ;</w:t>
                  </w:r>
                </w:p>
                <w:p w:rsidR="00F04EEF" w:rsidRDefault="0099351E">
                  <w:pPr>
                    <w:pStyle w:val="Paragraphedeliste2"/>
                    <w:numPr>
                      <w:ilvl w:val="1"/>
                      <w:numId w:val="113"/>
                    </w:numPr>
                    <w:ind w:left="927"/>
                    <w:rPr>
                      <w:rFonts w:asciiTheme="majorHAnsi" w:hAnsiTheme="majorHAnsi"/>
                      <w:sz w:val="22"/>
                    </w:rPr>
                  </w:pPr>
                  <w:r>
                    <w:rPr>
                      <w:rFonts w:asciiTheme="majorHAnsi" w:hAnsiTheme="majorHAnsi"/>
                      <w:sz w:val="22"/>
                    </w:rPr>
                    <w:t>l’avis favorable du conseil d’admission de l’école d’accueil.</w:t>
                  </w:r>
                </w:p>
                <w:p w:rsidR="00F04EEF" w:rsidRDefault="00F04EEF">
                  <w:pPr>
                    <w:rPr>
                      <w:rFonts w:eastAsia="Times New Roman" w:cs="Times New Roman"/>
                      <w:lang w:eastAsia="ar-SA"/>
                    </w:rPr>
                  </w:pPr>
                </w:p>
                <w:p w:rsidR="00F04EEF" w:rsidRDefault="0099351E">
                  <w:pPr>
                    <w:pStyle w:val="Paragraphedeliste2"/>
                    <w:numPr>
                      <w:ilvl w:val="0"/>
                      <w:numId w:val="297"/>
                    </w:numPr>
                    <w:spacing w:after="200"/>
                    <w:ind w:left="284" w:hanging="284"/>
                    <w:jc w:val="both"/>
                    <w:rPr>
                      <w:rFonts w:asciiTheme="majorHAnsi" w:hAnsiTheme="majorHAnsi"/>
                      <w:sz w:val="22"/>
                    </w:rPr>
                  </w:pPr>
                  <w:r>
                    <w:rPr>
                      <w:rFonts w:asciiTheme="majorHAnsi" w:hAnsiTheme="majorHAnsi"/>
                      <w:sz w:val="22"/>
                    </w:rPr>
                    <w:t>Il n’existe pas de degrés dans l’enseignement secondaire spécialisé de forme 3. Dès lors, la réglementation relative au nombre d’années fréquentées au 1</w:t>
                  </w:r>
                  <w:r>
                    <w:rPr>
                      <w:rFonts w:asciiTheme="majorHAnsi" w:hAnsiTheme="majorHAnsi"/>
                      <w:sz w:val="22"/>
                      <w:vertAlign w:val="superscript"/>
                    </w:rPr>
                    <w:t>er</w:t>
                  </w:r>
                  <w:r>
                    <w:rPr>
                      <w:rFonts w:asciiTheme="majorHAnsi" w:hAnsiTheme="maj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Pr>
                      <w:rFonts w:asciiTheme="majorHAnsi" w:hAnsiTheme="majorHAnsi"/>
                      <w:sz w:val="22"/>
                      <w:vertAlign w:val="superscript"/>
                    </w:rPr>
                    <w:t>er</w:t>
                  </w:r>
                  <w:r>
                    <w:rPr>
                      <w:rFonts w:asciiTheme="majorHAnsi" w:hAnsiTheme="majorHAnsi"/>
                      <w:sz w:val="22"/>
                    </w:rPr>
                    <w:t xml:space="preserve"> degré de l’enseignement secondaire ordinaire.</w:t>
                  </w:r>
                </w:p>
                <w:p w:rsidR="00F04EEF" w:rsidRDefault="0099351E">
                  <w:pPr>
                    <w:pStyle w:val="Paragraphedeliste2"/>
                    <w:numPr>
                      <w:ilvl w:val="0"/>
                      <w:numId w:val="297"/>
                    </w:numPr>
                    <w:spacing w:after="200"/>
                    <w:ind w:left="284" w:hanging="284"/>
                    <w:jc w:val="both"/>
                    <w:rPr>
                      <w:rFonts w:asciiTheme="majorHAnsi" w:hAnsiTheme="majorHAnsi"/>
                      <w:sz w:val="22"/>
                    </w:rPr>
                  </w:pPr>
                  <w:r>
                    <w:rPr>
                      <w:rFonts w:asciiTheme="majorHAnsi" w:hAnsiTheme="majorHAnsi"/>
                      <w:sz w:val="22"/>
                    </w:rPr>
                    <w:t>La réussite de la deuxième phase entraîne l’octroi du Certificat d’études de base à l’élève qui n’en est pas encore titulaire.</w:t>
                  </w:r>
                  <w:r>
                    <w:rPr>
                      <w:rStyle w:val="Appelnotedebasdep"/>
                      <w:rFonts w:asciiTheme="majorHAnsi" w:hAnsiTheme="majorHAnsi"/>
                      <w:sz w:val="22"/>
                    </w:rPr>
                    <w:footnoteReference w:id="23"/>
                  </w:r>
                </w:p>
                <w:p w:rsidR="00F04EEF" w:rsidRDefault="0099351E">
                  <w:pPr>
                    <w:pStyle w:val="Paragraphedeliste"/>
                    <w:numPr>
                      <w:ilvl w:val="0"/>
                      <w:numId w:val="297"/>
                    </w:numPr>
                    <w:ind w:left="284" w:hanging="284"/>
                    <w:rPr>
                      <w:rFonts w:asciiTheme="majorHAnsi" w:hAnsiTheme="majorHAnsi"/>
                      <w:sz w:val="22"/>
                      <w:szCs w:val="22"/>
                    </w:rPr>
                  </w:pPr>
                  <w:r>
                    <w:rPr>
                      <w:rFonts w:asciiTheme="majorHAnsi" w:hAnsiTheme="majorHAnsi"/>
                      <w:sz w:val="22"/>
                      <w:szCs w:val="22"/>
                    </w:rPr>
                    <w:t>L</w:t>
                  </w:r>
                  <w:r>
                    <w:rPr>
                      <w:rFonts w:asciiTheme="majorHAnsi" w:hAnsiTheme="majorHAnsi"/>
                      <w:sz w:val="22"/>
                      <w:szCs w:val="22"/>
                      <w:u w:val="single"/>
                    </w:rPr>
                    <w:t>es élèves issus de la forme 4</w:t>
                  </w:r>
                  <w:bookmarkEnd w:id="238"/>
                  <w:bookmarkEnd w:id="239"/>
                  <w:bookmarkEnd w:id="240"/>
                  <w:bookmarkEnd w:id="241"/>
                  <w:bookmarkEnd w:id="242"/>
                  <w:bookmarkEnd w:id="243"/>
                  <w:bookmarkEnd w:id="244"/>
                  <w:bookmarkEnd w:id="245"/>
                  <w:bookmarkEnd w:id="246"/>
                  <w:bookmarkEnd w:id="247"/>
                  <w:bookmarkEnd w:id="248"/>
                  <w:bookmarkEnd w:id="249"/>
                </w:p>
                <w:p w:rsidR="00F04EEF" w:rsidRDefault="00F04EEF">
                  <w:pPr>
                    <w:pStyle w:val="Paragraphedeliste"/>
                    <w:ind w:left="284"/>
                    <w:rPr>
                      <w:rFonts w:asciiTheme="majorHAnsi" w:hAnsiTheme="majorHAnsi"/>
                      <w:sz w:val="22"/>
                      <w:szCs w:val="22"/>
                    </w:rPr>
                  </w:pPr>
                </w:p>
                <w:p w:rsidR="00F04EEF" w:rsidRDefault="0099351E">
                  <w:pPr>
                    <w:jc w:val="both"/>
                    <w:rPr>
                      <w:b/>
                      <w:u w:val="single"/>
                    </w:rPr>
                  </w:pPr>
                  <w:bookmarkStart w:id="250" w:name="_Toc291075486"/>
                  <w:bookmarkStart w:id="251" w:name="_Toc291075910"/>
                  <w:bookmarkStart w:id="252" w:name="_Toc291076334"/>
                  <w:bookmarkStart w:id="253" w:name="_Toc291076758"/>
                  <w:bookmarkStart w:id="254" w:name="_Toc291077182"/>
                  <w:bookmarkStart w:id="255" w:name="_Toc293652025"/>
                  <w:bookmarkStart w:id="256" w:name="_Toc293653607"/>
                  <w:bookmarkStart w:id="257" w:name="_Toc293654218"/>
                  <w:bookmarkStart w:id="258" w:name="_Toc294004798"/>
                  <w:bookmarkStart w:id="259" w:name="_Toc294185294"/>
                  <w:bookmarkStart w:id="260" w:name="_Toc324767160"/>
                  <w:bookmarkStart w:id="261" w:name="_Toc324768018"/>
                  <w:r>
                    <w:rPr>
                      <w:b/>
                      <w:u w:val="single"/>
                    </w:rPr>
                    <w:t xml:space="preserve">Seuls les élèves issus de la forme 4 sont concernés par les conditions d’admission fixées par </w:t>
                  </w:r>
                  <w:hyperlink r:id="rId21" w:history="1">
                    <w:r>
                      <w:rPr>
                        <w:rStyle w:val="Lienhypertexte"/>
                        <w:b/>
                      </w:rPr>
                      <w:t>l’Arrêté Royal du 29 juin 1984</w:t>
                    </w:r>
                  </w:hyperlink>
                  <w:r>
                    <w:rPr>
                      <w:b/>
                      <w:u w:val="single"/>
                    </w:rPr>
                    <w:t xml:space="preserve"> ainsi que par les dérogations prévues par ledit arrêté.</w:t>
                  </w:r>
                  <w:bookmarkEnd w:id="250"/>
                  <w:bookmarkEnd w:id="251"/>
                  <w:bookmarkEnd w:id="252"/>
                  <w:bookmarkEnd w:id="253"/>
                  <w:bookmarkEnd w:id="254"/>
                  <w:bookmarkEnd w:id="255"/>
                  <w:bookmarkEnd w:id="256"/>
                  <w:bookmarkEnd w:id="257"/>
                  <w:bookmarkEnd w:id="258"/>
                  <w:bookmarkEnd w:id="259"/>
                  <w:bookmarkEnd w:id="260"/>
                  <w:bookmarkEnd w:id="261"/>
                </w:p>
                <w:p w:rsidR="00F04EEF" w:rsidRDefault="00F04EEF"/>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84"/>
                    <w:jc w:val="both"/>
                    <w:rPr>
                      <w:rFonts w:cs="Arial"/>
                    </w:rPr>
                  </w:pPr>
                  <w:r>
                    <w:rPr>
                      <w:rFonts w:cs="Arial"/>
                    </w:rPr>
                    <w:t xml:space="preserve">Pour rappel, en application de l’article 63 du </w:t>
                  </w:r>
                  <w:hyperlink r:id="rId22" w:history="1">
                    <w:r>
                      <w:rPr>
                        <w:rStyle w:val="Lienhypertexte"/>
                        <w:rFonts w:cs="Arial"/>
                      </w:rPr>
                      <w:t>Décret du 3 mars 2004 organisant l’enseignement spécialisé</w:t>
                    </w:r>
                  </w:hyperlink>
                  <w:r>
                    <w:rPr>
                      <w:rFonts w:cs="Arial"/>
                    </w:rPr>
                    <w:t xml:space="preserve">, ces élèves ont pu fréquenter le premier degré (spécialisé et ordinaire confondus) pendant plus de trois années scolaires avec dérogation accordée par le Gouvernement en raison de problèmes liés à leur handicap. </w:t>
                  </w:r>
                </w:p>
                <w:p w:rsidR="00F04EEF" w:rsidRDefault="00F04EEF">
                  <w:bookmarkStart w:id="262" w:name="_1.1.9._Dérogation_liée"/>
                  <w:bookmarkEnd w:id="262"/>
                </w:p>
                <w:p w:rsidR="00F04EEF" w:rsidRDefault="0099351E">
                  <w:pPr>
                    <w:pStyle w:val="Titre5"/>
                  </w:pPr>
                  <w:bookmarkStart w:id="263" w:name="_1.1.9_Dérogation_liée"/>
                  <w:bookmarkStart w:id="264" w:name="_1.1.7._Dérogation_liée"/>
                  <w:bookmarkEnd w:id="263"/>
                  <w:bookmarkEnd w:id="264"/>
                  <w:r>
                    <w:t>1.1.7. Dérogation liée au cursus de l’élève à besoins spécifiques</w:t>
                  </w:r>
                </w:p>
                <w:p w:rsidR="00F04EEF" w:rsidRDefault="00F04EEF">
                  <w:pPr>
                    <w:rPr>
                      <w:b/>
                      <w:u w:val="single"/>
                    </w:rPr>
                  </w:pPr>
                </w:p>
                <w:p w:rsidR="00F04EEF" w:rsidRDefault="0099351E">
                  <w:pPr>
                    <w:autoSpaceDE w:val="0"/>
                    <w:autoSpaceDN w:val="0"/>
                    <w:adjustRightInd w:val="0"/>
                    <w:jc w:val="both"/>
                    <w:rPr>
                      <w:rFonts w:cs="CenturySchoolbook"/>
                      <w:i/>
                      <w:lang w:eastAsia="fr-BE"/>
                    </w:rPr>
                  </w:pPr>
                  <w:r>
                    <w:rPr>
                      <w:rFonts w:cs="CenturySchoolbook"/>
                      <w:lang w:eastAsia="fr-BE"/>
                    </w:rPr>
                    <w:t xml:space="preserve">Le Décret du 3 mars 2004 organisant l’enseignement spécialisé, article 63 stipule que «  </w:t>
                  </w:r>
                  <w:r>
                    <w:rPr>
                      <w:rFonts w:cs="CenturySchoolbook"/>
                      <w:i/>
                      <w:lang w:eastAsia="fr-BE"/>
                    </w:rPr>
                    <w:t xml:space="preserve">L’enseignement secondaire spécialisé de forme 4 est soumis en ce qui concerne les structures et la sanction des études, aux mêmes dispositions légales et réglementaires que l’enseignement secondaire ordinaire de type 1. </w:t>
                  </w:r>
                </w:p>
                <w:p w:rsidR="00F04EEF" w:rsidRDefault="0099351E">
                  <w:pPr>
                    <w:autoSpaceDE w:val="0"/>
                    <w:autoSpaceDN w:val="0"/>
                    <w:adjustRightInd w:val="0"/>
                    <w:jc w:val="both"/>
                    <w:rPr>
                      <w:rFonts w:cs="CenturySchoolbook"/>
                      <w:i/>
                      <w:lang w:eastAsia="fr-BE"/>
                    </w:rPr>
                  </w:pPr>
                  <w:r>
                    <w:rPr>
                      <w:rFonts w:cs="CenturySchoolbook"/>
                      <w:i/>
                      <w:lang w:eastAsia="fr-BE"/>
                    </w:rPr>
                    <w:t xml:space="preserve">Toutefois le Gouvernement peut accorder une </w:t>
                  </w:r>
                  <w:r>
                    <w:rPr>
                      <w:rFonts w:cs="CenturySchoolbook"/>
                      <w:b/>
                      <w:i/>
                      <w:lang w:eastAsia="fr-BE"/>
                    </w:rPr>
                    <w:t>dérogation à l’obligation d’effectuer le 1</w:t>
                  </w:r>
                  <w:r>
                    <w:rPr>
                      <w:rFonts w:cs="CenturySchoolbook"/>
                      <w:b/>
                      <w:i/>
                      <w:vertAlign w:val="superscript"/>
                      <w:lang w:eastAsia="fr-BE"/>
                    </w:rPr>
                    <w:t>er</w:t>
                  </w:r>
                  <w:r>
                    <w:rPr>
                      <w:rFonts w:cs="CenturySchoolbook"/>
                      <w:b/>
                      <w:i/>
                      <w:lang w:eastAsia="fr-BE"/>
                    </w:rPr>
                    <w:t xml:space="preserve"> degré en 3 ans maximum</w:t>
                  </w:r>
                  <w:r>
                    <w:rPr>
                      <w:rFonts w:cs="CenturySchoolbook"/>
                      <w:i/>
                      <w:lang w:eastAsia="fr-BE"/>
                    </w:rPr>
                    <w:t>, et ce en raison des difficultés spécifiques de l’élève.</w:t>
                  </w:r>
                </w:p>
                <w:p w:rsidR="00F04EEF" w:rsidRDefault="0099351E">
                  <w:pPr>
                    <w:autoSpaceDE w:val="0"/>
                    <w:autoSpaceDN w:val="0"/>
                    <w:adjustRightInd w:val="0"/>
                    <w:jc w:val="both"/>
                    <w:rPr>
                      <w:rFonts w:cs="CenturySchoolbook"/>
                      <w:lang w:eastAsia="fr-BE"/>
                    </w:rPr>
                  </w:pPr>
                  <w:r>
                    <w:rPr>
                      <w:rFonts w:cs="CenturySchoolbook"/>
                      <w:i/>
                      <w:lang w:eastAsia="fr-BE"/>
                    </w:rPr>
                    <w:t>L’enseignement secondaire spécialisé de forme 4 est autorisé à regrouper au sein d’une même classe des élèves fréquentant le premier degré commun et le premier degré différencié</w:t>
                  </w:r>
                  <w:r>
                    <w:rPr>
                      <w:rFonts w:cs="CenturySchoolbook"/>
                      <w:lang w:eastAsia="fr-BE"/>
                    </w:rPr>
                    <w:t> ».</w:t>
                  </w:r>
                </w:p>
                <w:p w:rsidR="00F04EEF" w:rsidRDefault="00F04EEF">
                  <w:pPr>
                    <w:autoSpaceDE w:val="0"/>
                    <w:autoSpaceDN w:val="0"/>
                    <w:adjustRightInd w:val="0"/>
                    <w:jc w:val="both"/>
                    <w:rPr>
                      <w:rFonts w:cs="CenturySchoolbook"/>
                      <w:lang w:eastAsia="fr-BE"/>
                    </w:rPr>
                  </w:pPr>
                </w:p>
                <w:p w:rsidR="00F04EEF" w:rsidRDefault="0099351E">
                  <w:pPr>
                    <w:autoSpaceDE w:val="0"/>
                    <w:autoSpaceDN w:val="0"/>
                    <w:adjustRightInd w:val="0"/>
                    <w:jc w:val="both"/>
                    <w:rPr>
                      <w:rFonts w:cs="CenturySchoolbook"/>
                      <w:lang w:eastAsia="fr-BE"/>
                    </w:rPr>
                  </w:pPr>
                  <w:r>
                    <w:rPr>
                      <w:rFonts w:cs="CenturySchoolbook"/>
                      <w:lang w:eastAsia="fr-BE"/>
                    </w:rPr>
                    <w:t>La demande de dérogation est introduite par la Direction de l’école auprès du Service de l’Inspection de l’enseignement spécialisé dès que la nécessité est constatée, en indiquant :</w:t>
                  </w:r>
                </w:p>
                <w:p w:rsidR="00F04EEF" w:rsidRDefault="00F04EEF">
                  <w:pPr>
                    <w:autoSpaceDE w:val="0"/>
                    <w:autoSpaceDN w:val="0"/>
                    <w:adjustRightInd w:val="0"/>
                    <w:jc w:val="both"/>
                    <w:rPr>
                      <w:rFonts w:cs="CenturySchoolbook"/>
                      <w:lang w:eastAsia="fr-BE"/>
                    </w:rPr>
                  </w:pPr>
                </w:p>
                <w:p w:rsidR="00F04EEF" w:rsidRDefault="0099351E">
                  <w:pPr>
                    <w:numPr>
                      <w:ilvl w:val="0"/>
                      <w:numId w:val="125"/>
                    </w:numPr>
                    <w:autoSpaceDE w:val="0"/>
                    <w:autoSpaceDN w:val="0"/>
                    <w:adjustRightInd w:val="0"/>
                    <w:ind w:left="927"/>
                    <w:jc w:val="both"/>
                    <w:rPr>
                      <w:rFonts w:cs="CenturySchoolbook"/>
                      <w:u w:val="single"/>
                      <w:lang w:eastAsia="fr-BE"/>
                    </w:rPr>
                  </w:pPr>
                  <w:r>
                    <w:rPr>
                      <w:rFonts w:cs="CenturySchoolbook"/>
                      <w:u w:val="single"/>
                      <w:lang w:eastAsia="fr-BE"/>
                    </w:rPr>
                    <w:t>pour l’établissement :</w:t>
                  </w:r>
                </w:p>
                <w:p w:rsidR="00F04EEF" w:rsidRDefault="00F04EEF">
                  <w:pPr>
                    <w:autoSpaceDE w:val="0"/>
                    <w:autoSpaceDN w:val="0"/>
                    <w:adjustRightInd w:val="0"/>
                    <w:jc w:val="both"/>
                    <w:rPr>
                      <w:rFonts w:cs="CenturySchoolbook"/>
                      <w:lang w:eastAsia="fr-BE"/>
                    </w:rPr>
                  </w:pPr>
                </w:p>
                <w:p w:rsidR="00F04EEF" w:rsidRDefault="0099351E">
                  <w:pPr>
                    <w:pStyle w:val="Paragraphedeliste"/>
                    <w:numPr>
                      <w:ilvl w:val="1"/>
                      <w:numId w:val="113"/>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 xml:space="preserve">numéro FASE, </w:t>
                  </w:r>
                </w:p>
                <w:p w:rsidR="00F04EEF" w:rsidRDefault="0099351E">
                  <w:pPr>
                    <w:pStyle w:val="Paragraphedeliste"/>
                    <w:numPr>
                      <w:ilvl w:val="1"/>
                      <w:numId w:val="113"/>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dénomination de l’établissement et adresse,</w:t>
                  </w:r>
                </w:p>
                <w:p w:rsidR="00F04EEF" w:rsidRDefault="0099351E">
                  <w:pPr>
                    <w:pStyle w:val="Paragraphedeliste"/>
                    <w:numPr>
                      <w:ilvl w:val="1"/>
                      <w:numId w:val="113"/>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Nom, prénom et numéro de téléphone de la direction.</w:t>
                  </w:r>
                </w:p>
                <w:p w:rsidR="00F04EEF" w:rsidRDefault="00F04EEF">
                  <w:pPr>
                    <w:autoSpaceDE w:val="0"/>
                    <w:autoSpaceDN w:val="0"/>
                    <w:adjustRightInd w:val="0"/>
                    <w:jc w:val="both"/>
                    <w:rPr>
                      <w:rFonts w:cs="CenturySchoolbook"/>
                      <w:lang w:eastAsia="fr-BE"/>
                    </w:rPr>
                  </w:pPr>
                </w:p>
                <w:p w:rsidR="00F04EEF" w:rsidRDefault="0099351E">
                  <w:pPr>
                    <w:autoSpaceDE w:val="0"/>
                    <w:autoSpaceDN w:val="0"/>
                    <w:adjustRightInd w:val="0"/>
                    <w:jc w:val="both"/>
                    <w:rPr>
                      <w:rFonts w:cs="CenturySchoolbook"/>
                      <w:lang w:eastAsia="fr-BE"/>
                    </w:rPr>
                  </w:pPr>
                  <w:r>
                    <w:rPr>
                      <w:rFonts w:cs="CenturySchoolbook"/>
                      <w:lang w:eastAsia="fr-BE"/>
                    </w:rPr>
                    <w:t>Une motivation avec l’avis circonstancié du Conseil de classe assisté du centre de guidance doit être jointe afin d’expliciter la demande de dérogation. Tout dossier incomplet sera considéré comme irrecevable et ne sera pas traité.</w:t>
                  </w:r>
                </w:p>
                <w:p w:rsidR="00F04EEF" w:rsidRDefault="00F04EEF">
                  <w:pPr>
                    <w:autoSpaceDE w:val="0"/>
                    <w:autoSpaceDN w:val="0"/>
                    <w:adjustRightInd w:val="0"/>
                    <w:jc w:val="both"/>
                    <w:rPr>
                      <w:rFonts w:cs="CenturySchoolbook"/>
                      <w:lang w:eastAsia="fr-BE"/>
                    </w:rPr>
                  </w:pPr>
                </w:p>
                <w:p w:rsidR="00F04EEF" w:rsidRDefault="0099351E">
                  <w:pPr>
                    <w:rPr>
                      <w:rFonts w:cs="CenturySchoolbook"/>
                      <w:u w:val="single"/>
                      <w:lang w:eastAsia="fr-BE"/>
                    </w:rPr>
                  </w:pPr>
                  <w:r>
                    <w:rPr>
                      <w:rFonts w:cs="CenturySchoolbook"/>
                      <w:u w:val="single"/>
                      <w:lang w:eastAsia="fr-BE"/>
                    </w:rPr>
                    <w:br w:type="page"/>
                  </w:r>
                </w:p>
                <w:p w:rsidR="00F04EEF" w:rsidRDefault="0099351E">
                  <w:pPr>
                    <w:numPr>
                      <w:ilvl w:val="0"/>
                      <w:numId w:val="125"/>
                    </w:numPr>
                    <w:autoSpaceDE w:val="0"/>
                    <w:autoSpaceDN w:val="0"/>
                    <w:adjustRightInd w:val="0"/>
                    <w:ind w:left="927"/>
                    <w:jc w:val="both"/>
                    <w:rPr>
                      <w:rFonts w:cs="CenturySchoolbook"/>
                      <w:u w:val="single"/>
                      <w:lang w:eastAsia="fr-BE"/>
                    </w:rPr>
                  </w:pPr>
                  <w:r>
                    <w:rPr>
                      <w:rFonts w:cs="CenturySchoolbook"/>
                      <w:u w:val="single"/>
                      <w:lang w:eastAsia="fr-BE"/>
                    </w:rPr>
                    <w:t>pour l’élève :</w:t>
                  </w:r>
                </w:p>
                <w:p w:rsidR="00F04EEF" w:rsidRDefault="00F04EEF">
                  <w:pPr>
                    <w:autoSpaceDE w:val="0"/>
                    <w:autoSpaceDN w:val="0"/>
                    <w:adjustRightInd w:val="0"/>
                    <w:jc w:val="both"/>
                    <w:rPr>
                      <w:rFonts w:cs="CenturySchoolbook"/>
                      <w:u w:val="single"/>
                      <w:lang w:eastAsia="fr-BE"/>
                    </w:rPr>
                  </w:pPr>
                </w:p>
                <w:p w:rsidR="00F04EEF" w:rsidRDefault="0099351E">
                  <w:pPr>
                    <w:pStyle w:val="Paragraphedeliste"/>
                    <w:numPr>
                      <w:ilvl w:val="1"/>
                      <w:numId w:val="113"/>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 xml:space="preserve">Nom, prénom, </w:t>
                  </w:r>
                </w:p>
                <w:p w:rsidR="00F04EEF" w:rsidRDefault="0099351E">
                  <w:pPr>
                    <w:pStyle w:val="Paragraphedeliste"/>
                    <w:numPr>
                      <w:ilvl w:val="1"/>
                      <w:numId w:val="113"/>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sexe,</w:t>
                  </w:r>
                </w:p>
                <w:p w:rsidR="00F04EEF" w:rsidRDefault="0099351E">
                  <w:pPr>
                    <w:pStyle w:val="Paragraphedeliste"/>
                    <w:numPr>
                      <w:ilvl w:val="1"/>
                      <w:numId w:val="113"/>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type d’enseignement,</w:t>
                  </w:r>
                </w:p>
                <w:p w:rsidR="00F04EEF" w:rsidRDefault="0099351E">
                  <w:pPr>
                    <w:pStyle w:val="Paragraphedeliste"/>
                    <w:numPr>
                      <w:ilvl w:val="1"/>
                      <w:numId w:val="113"/>
                    </w:numPr>
                    <w:autoSpaceDE w:val="0"/>
                    <w:autoSpaceDN w:val="0"/>
                    <w:adjustRightInd w:val="0"/>
                    <w:jc w:val="both"/>
                    <w:rPr>
                      <w:rFonts w:asciiTheme="majorHAnsi" w:eastAsiaTheme="minorHAnsi" w:hAnsiTheme="majorHAnsi" w:cs="CenturySchoolbook"/>
                      <w:sz w:val="22"/>
                      <w:szCs w:val="22"/>
                      <w:lang w:eastAsia="fr-BE"/>
                    </w:rPr>
                  </w:pPr>
                  <w:r>
                    <w:rPr>
                      <w:rFonts w:asciiTheme="majorHAnsi" w:eastAsiaTheme="minorHAnsi" w:hAnsiTheme="majorHAnsi" w:cs="CenturySchoolbook"/>
                      <w:sz w:val="22"/>
                      <w:szCs w:val="22"/>
                      <w:lang w:eastAsia="fr-BE"/>
                    </w:rPr>
                    <w:t>date de naissance.</w:t>
                  </w:r>
                </w:p>
                <w:p w:rsidR="00F04EEF" w:rsidRDefault="00F04EEF">
                  <w:pPr>
                    <w:autoSpaceDE w:val="0"/>
                    <w:autoSpaceDN w:val="0"/>
                    <w:adjustRightInd w:val="0"/>
                    <w:jc w:val="both"/>
                    <w:rPr>
                      <w:rFonts w:cs="CenturySchoolbook"/>
                      <w:lang w:eastAsia="fr-BE"/>
                    </w:rPr>
                  </w:pPr>
                </w:p>
                <w:p w:rsidR="00F04EEF" w:rsidRDefault="0099351E">
                  <w:pPr>
                    <w:jc w:val="both"/>
                    <w:rPr>
                      <w:rFonts w:cs="CenturySchoolbook"/>
                      <w:lang w:eastAsia="fr-BE"/>
                    </w:rPr>
                  </w:pPr>
                  <w:r>
                    <w:rPr>
                      <w:rFonts w:cs="CenturySchoolbook"/>
                      <w:lang w:eastAsia="fr-BE"/>
                    </w:rPr>
                    <w:t>Le Service de l’Inspection de l’enseignement spécialisé rend son avis et transfère la demande au service de l’enseignement spécialisé afin de statuer.</w:t>
                  </w:r>
                </w:p>
                <w:p w:rsidR="00F04EEF" w:rsidRDefault="00F04EEF">
                  <w:pPr>
                    <w:rPr>
                      <w:rFonts w:cs="CenturySchoolbook"/>
                      <w:lang w:eastAsia="fr-BE"/>
                    </w:rPr>
                  </w:pPr>
                </w:p>
                <w:p w:rsidR="00F04EEF" w:rsidRDefault="0099351E">
                  <w:pPr>
                    <w:pStyle w:val="Titre4"/>
                  </w:pPr>
                  <w:bookmarkStart w:id="265" w:name="_1.2._Fréquentation_scolaire"/>
                  <w:bookmarkStart w:id="266" w:name="_Toc414352886"/>
                  <w:bookmarkStart w:id="267" w:name="_Toc453836909"/>
                  <w:bookmarkEnd w:id="265"/>
                  <w:r>
                    <w:t>1.2. Fréquentation scolaire : Gestion des absences</w:t>
                  </w:r>
                  <w:bookmarkEnd w:id="167"/>
                  <w:bookmarkEnd w:id="168"/>
                  <w:bookmarkEnd w:id="169"/>
                  <w:bookmarkEnd w:id="170"/>
                  <w:bookmarkEnd w:id="171"/>
                  <w:bookmarkEnd w:id="172"/>
                  <w:bookmarkEnd w:id="173"/>
                  <w:bookmarkEnd w:id="174"/>
                  <w:bookmarkEnd w:id="175"/>
                  <w:bookmarkEnd w:id="176"/>
                  <w:bookmarkEnd w:id="177"/>
                  <w:bookmarkEnd w:id="266"/>
                  <w:bookmarkEnd w:id="267"/>
                </w:p>
                <w:p w:rsidR="00F04EEF" w:rsidRDefault="00F04EEF">
                  <w:pPr>
                    <w:jc w:val="both"/>
                    <w:rPr>
                      <w:rFonts w:cs="Arial"/>
                    </w:rPr>
                  </w:pPr>
                </w:p>
                <w:p w:rsidR="00F04EEF" w:rsidRDefault="0099351E">
                  <w:pPr>
                    <w:jc w:val="both"/>
                    <w:rPr>
                      <w:rFonts w:cs="Arial"/>
                    </w:rPr>
                  </w:pPr>
                  <w:r>
                    <w:rPr>
                      <w:rFonts w:cs="Arial"/>
                    </w:rPr>
                    <w:t>La Fédération Wallonie-Bruxelles, pour l’enseignement qu’elle organise, et tout pouvoir organisateur pour l’enseignement subventionné, veillent</w:t>
                  </w:r>
                  <w:r>
                    <w:rPr>
                      <w:rFonts w:cs="Arial"/>
                      <w:color w:val="FF0000"/>
                    </w:rPr>
                    <w:t xml:space="preserve"> </w:t>
                  </w:r>
                  <w:r>
                    <w:rPr>
                      <w:rFonts w:cs="Arial"/>
                    </w:rPr>
                    <w:t>à ce que chaque établissement fasse respecter par chaque élève l’obligation de participer à toutes les activités liées à la certification organisée par l’établissement, et d’accomplir les tâches qui en découlent</w:t>
                  </w:r>
                  <w:r>
                    <w:rPr>
                      <w:rStyle w:val="Caractresdenotedebasdepage"/>
                      <w:rFonts w:cs="Arial"/>
                    </w:rPr>
                    <w:footnoteReference w:id="24"/>
                  </w:r>
                </w:p>
                <w:p w:rsidR="00F04EEF" w:rsidRDefault="00F04EEF">
                  <w:pPr>
                    <w:jc w:val="both"/>
                    <w:rPr>
                      <w:b/>
                      <w:u w:val="single"/>
                    </w:rPr>
                  </w:pPr>
                </w:p>
                <w:p w:rsidR="00F04EEF" w:rsidRDefault="0099351E">
                  <w:pPr>
                    <w:pStyle w:val="Titre5"/>
                  </w:pPr>
                  <w:bookmarkStart w:id="268" w:name="_1.2.1._Généralités"/>
                  <w:bookmarkStart w:id="269" w:name="_Généralités"/>
                  <w:bookmarkStart w:id="270" w:name="_Toc291075489"/>
                  <w:bookmarkStart w:id="271" w:name="_Toc291075913"/>
                  <w:bookmarkStart w:id="272" w:name="_Toc291076337"/>
                  <w:bookmarkStart w:id="273" w:name="_Toc291076761"/>
                  <w:bookmarkStart w:id="274" w:name="_Toc291077185"/>
                  <w:bookmarkStart w:id="275" w:name="_Toc293652028"/>
                  <w:bookmarkStart w:id="276" w:name="_Toc293653610"/>
                  <w:bookmarkStart w:id="277" w:name="_Toc293654221"/>
                  <w:bookmarkStart w:id="278" w:name="_Toc294004801"/>
                  <w:bookmarkStart w:id="279" w:name="_Toc294185297"/>
                  <w:bookmarkStart w:id="280" w:name="_Toc324767163"/>
                  <w:bookmarkStart w:id="281" w:name="_Toc324768021"/>
                  <w:bookmarkEnd w:id="268"/>
                  <w:bookmarkEnd w:id="269"/>
                  <w:r>
                    <w:t>1.2.1. Généralités</w:t>
                  </w:r>
                  <w:bookmarkEnd w:id="270"/>
                  <w:bookmarkEnd w:id="271"/>
                  <w:bookmarkEnd w:id="272"/>
                  <w:bookmarkEnd w:id="273"/>
                  <w:bookmarkEnd w:id="274"/>
                  <w:bookmarkEnd w:id="275"/>
                  <w:bookmarkEnd w:id="276"/>
                  <w:bookmarkEnd w:id="277"/>
                  <w:bookmarkEnd w:id="278"/>
                  <w:bookmarkEnd w:id="279"/>
                  <w:bookmarkEnd w:id="280"/>
                  <w:bookmarkEnd w:id="281"/>
                  <w:r>
                    <w:t xml:space="preserve"> </w:t>
                  </w:r>
                </w:p>
                <w:p w:rsidR="00F04EEF" w:rsidRDefault="00F04EEF">
                  <w:pPr>
                    <w:jc w:val="both"/>
                    <w:rPr>
                      <w:b/>
                      <w:u w:val="single"/>
                    </w:rPr>
                  </w:pPr>
                </w:p>
                <w:p w:rsidR="00F04EEF" w:rsidRDefault="0099351E">
                  <w:pPr>
                    <w:pStyle w:val="Titre6"/>
                  </w:pPr>
                  <w:bookmarkStart w:id="282" w:name="_1.2.1.1._Modalités_relatives"/>
                  <w:bookmarkStart w:id="283" w:name="_Toc291075490"/>
                  <w:bookmarkStart w:id="284" w:name="_Toc291075914"/>
                  <w:bookmarkStart w:id="285" w:name="_Toc291076338"/>
                  <w:bookmarkStart w:id="286" w:name="_Toc291076762"/>
                  <w:bookmarkStart w:id="287" w:name="_Toc291077186"/>
                  <w:bookmarkStart w:id="288" w:name="_Toc293652029"/>
                  <w:bookmarkStart w:id="289" w:name="_Toc293653611"/>
                  <w:bookmarkStart w:id="290" w:name="_Toc293654222"/>
                  <w:bookmarkStart w:id="291" w:name="_Toc294004802"/>
                  <w:bookmarkStart w:id="292" w:name="_Toc294185298"/>
                  <w:bookmarkStart w:id="293" w:name="_Toc324767164"/>
                  <w:bookmarkStart w:id="294" w:name="_Toc324768022"/>
                  <w:bookmarkEnd w:id="282"/>
                  <w:r>
                    <w:t>1.2.1.1. Modalités relatives aux absences et à leur justification</w:t>
                  </w:r>
                  <w:bookmarkEnd w:id="283"/>
                  <w:bookmarkEnd w:id="284"/>
                  <w:bookmarkEnd w:id="285"/>
                  <w:bookmarkEnd w:id="286"/>
                  <w:bookmarkEnd w:id="287"/>
                  <w:bookmarkEnd w:id="288"/>
                  <w:bookmarkEnd w:id="289"/>
                  <w:bookmarkEnd w:id="290"/>
                  <w:bookmarkEnd w:id="291"/>
                  <w:bookmarkEnd w:id="292"/>
                  <w:bookmarkEnd w:id="293"/>
                  <w:bookmarkEnd w:id="294"/>
                </w:p>
                <w:p w:rsidR="00F04EEF" w:rsidRDefault="00F04EEF">
                  <w:pPr>
                    <w:jc w:val="both"/>
                    <w:rPr>
                      <w:b/>
                      <w:u w:val="single"/>
                    </w:rPr>
                  </w:pPr>
                </w:p>
                <w:p w:rsidR="00F04EEF" w:rsidRDefault="0099351E">
                  <w:pPr>
                    <w:pStyle w:val="Corpsdetexte"/>
                    <w:jc w:val="both"/>
                    <w:rPr>
                      <w:b w:val="0"/>
                      <w:szCs w:val="22"/>
                    </w:rPr>
                  </w:pPr>
                  <w:r>
                    <w:rPr>
                      <w:b w:val="0"/>
                      <w:szCs w:val="22"/>
                    </w:rPr>
                    <w:t>Les présences et absences sont transcrites par demi-journée dans le registre de fréquentation.</w:t>
                  </w:r>
                </w:p>
                <w:p w:rsidR="00F04EEF" w:rsidRDefault="00F04EEF">
                  <w:pPr>
                    <w:pStyle w:val="Corpsdetexte"/>
                    <w:jc w:val="both"/>
                    <w:rPr>
                      <w:b w:val="0"/>
                      <w:szCs w:val="22"/>
                    </w:rPr>
                  </w:pPr>
                </w:p>
                <w:p w:rsidR="00F04EEF" w:rsidRDefault="0099351E">
                  <w:pPr>
                    <w:pStyle w:val="Corpsdetexte"/>
                    <w:jc w:val="both"/>
                    <w:rPr>
                      <w:b w:val="0"/>
                      <w:szCs w:val="22"/>
                    </w:rPr>
                  </w:pPr>
                  <w:r>
                    <w:rPr>
                      <w:bCs/>
                      <w:szCs w:val="22"/>
                      <w:u w:val="single"/>
                    </w:rPr>
                    <w:t>Dans l’enseignement secondaire</w:t>
                  </w:r>
                  <w:r>
                    <w:rPr>
                      <w:szCs w:val="22"/>
                    </w:rPr>
                    <w:t>,</w:t>
                  </w:r>
                  <w:r>
                    <w:rPr>
                      <w:b w:val="0"/>
                      <w:szCs w:val="22"/>
                    </w:rPr>
                    <w:t xml:space="preserve"> les absences sont prises en compte à partir du 5</w:t>
                  </w:r>
                  <w:r>
                    <w:rPr>
                      <w:b w:val="0"/>
                      <w:szCs w:val="22"/>
                      <w:vertAlign w:val="superscript"/>
                    </w:rPr>
                    <w:t>ème</w:t>
                  </w:r>
                  <w:r>
                    <w:rPr>
                      <w:b w:val="0"/>
                      <w:szCs w:val="22"/>
                    </w:rPr>
                    <w:t xml:space="preserve"> jour ouvrable de septembre. Les présences et absences sont relevées à chaque heure de cours. L’absence non justifiée de l’élève à </w:t>
                  </w:r>
                  <w:r>
                    <w:rPr>
                      <w:b w:val="0"/>
                      <w:szCs w:val="22"/>
                      <w:u w:val="single"/>
                    </w:rPr>
                    <w:t>une période de cours</w:t>
                  </w:r>
                  <w:r>
                    <w:rPr>
                      <w:b w:val="0"/>
                      <w:szCs w:val="22"/>
                    </w:rPr>
                    <w:t xml:space="preserve"> est  considérée comme une demi-journée d’absence injustifiée.</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Toute absence non justifiée inférieure à la durée ainsi fixée n’est pas considérée comme une absence, mais comme un retard et sanctionnée comme tel en application du règlement d’ordre intérieur.</w:t>
                  </w:r>
                </w:p>
                <w:p w:rsidR="00F04EEF" w:rsidRDefault="00F04EEF">
                  <w:pPr>
                    <w:pStyle w:val="Corpsdetexte"/>
                    <w:jc w:val="both"/>
                    <w:rPr>
                      <w:b w:val="0"/>
                      <w:szCs w:val="22"/>
                    </w:rPr>
                  </w:pPr>
                </w:p>
                <w:p w:rsidR="00F04EEF" w:rsidRDefault="0099351E">
                  <w:pPr>
                    <w:pStyle w:val="Titre6"/>
                  </w:pPr>
                  <w:bookmarkStart w:id="295" w:name="_1.2.1.2._Les_absences"/>
                  <w:bookmarkStart w:id="296" w:name="_Toc291075491"/>
                  <w:bookmarkStart w:id="297" w:name="_Toc291075915"/>
                  <w:bookmarkStart w:id="298" w:name="_Toc291076339"/>
                  <w:bookmarkStart w:id="299" w:name="_Toc291076763"/>
                  <w:bookmarkStart w:id="300" w:name="_Toc291077187"/>
                  <w:bookmarkStart w:id="301" w:name="_Toc293652030"/>
                  <w:bookmarkStart w:id="302" w:name="_Toc293653612"/>
                  <w:bookmarkStart w:id="303" w:name="_Toc293654223"/>
                  <w:bookmarkStart w:id="304" w:name="_Toc294004803"/>
                  <w:bookmarkStart w:id="305" w:name="_Toc294185299"/>
                  <w:bookmarkStart w:id="306" w:name="_Toc324767165"/>
                  <w:bookmarkStart w:id="307" w:name="_Toc324768023"/>
                  <w:bookmarkEnd w:id="295"/>
                  <w:r>
                    <w:t xml:space="preserve">1.2.1.2. Les absences justifiées </w:t>
                  </w:r>
                </w:p>
                <w:p w:rsidR="00F04EEF" w:rsidRDefault="00F04EEF">
                  <w:pPr>
                    <w:pStyle w:val="2"/>
                    <w:rPr>
                      <w:rFonts w:asciiTheme="majorHAnsi" w:hAnsiTheme="majorHAnsi"/>
                      <w:sz w:val="22"/>
                      <w:szCs w:val="22"/>
                      <w:lang w:val="fr-BE"/>
                    </w:rPr>
                  </w:pPr>
                </w:p>
                <w:p w:rsidR="00F04EEF" w:rsidRDefault="0099351E">
                  <w:pPr>
                    <w:pStyle w:val="2"/>
                    <w:jc w:val="both"/>
                    <w:rPr>
                      <w:rFonts w:asciiTheme="majorHAnsi" w:hAnsiTheme="majorHAnsi"/>
                      <w:sz w:val="22"/>
                      <w:szCs w:val="22"/>
                      <w:lang w:val="fr-BE"/>
                    </w:rPr>
                  </w:pPr>
                  <w:r>
                    <w:rPr>
                      <w:rFonts w:asciiTheme="majorHAnsi" w:hAnsiTheme="majorHAnsi"/>
                      <w:sz w:val="22"/>
                      <w:szCs w:val="22"/>
                      <w:u w:val="single"/>
                      <w:lang w:val="fr-BE"/>
                    </w:rPr>
                    <w:t>Base légale</w:t>
                  </w:r>
                  <w:r>
                    <w:rPr>
                      <w:rFonts w:asciiTheme="majorHAnsi" w:hAnsiTheme="majorHAnsi"/>
                      <w:sz w:val="22"/>
                      <w:szCs w:val="22"/>
                      <w:lang w:val="fr-BE"/>
                    </w:rPr>
                    <w:t xml:space="preserve"> : </w:t>
                  </w:r>
                  <w:hyperlink r:id="rId23" w:history="1">
                    <w:r>
                      <w:rPr>
                        <w:rStyle w:val="Lienhypertexte"/>
                        <w:rFonts w:asciiTheme="majorHAnsi" w:hAnsiTheme="majorHAnsi" w:cs="Arial"/>
                        <w:sz w:val="22"/>
                        <w:szCs w:val="22"/>
                        <w:lang w:val="fr-BE"/>
                      </w:rPr>
                      <w:t>Arrêté du Gouvernement de la Communauté française du 22 mai 2014 portant application des articles 8 §1</w:t>
                    </w:r>
                    <w:r>
                      <w:rPr>
                        <w:rStyle w:val="Lienhypertexte"/>
                        <w:rFonts w:asciiTheme="majorHAnsi" w:hAnsiTheme="majorHAnsi" w:cs="Arial"/>
                        <w:sz w:val="22"/>
                        <w:szCs w:val="22"/>
                        <w:vertAlign w:val="superscript"/>
                        <w:lang w:val="fr-BE"/>
                      </w:rPr>
                      <w:t>er</w:t>
                    </w:r>
                    <w:r>
                      <w:rPr>
                        <w:rStyle w:val="Lienhypertexte"/>
                        <w:rFonts w:asciiTheme="majorHAnsi" w:hAnsiTheme="majorHAnsi" w:cs="Arial"/>
                        <w:sz w:val="22"/>
                        <w:szCs w:val="22"/>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 (Article 9).</w:t>
                    </w:r>
                  </w:hyperlink>
                </w:p>
                <w:p w:rsidR="00F04EEF" w:rsidRDefault="00F04EEF">
                  <w:pPr>
                    <w:pStyle w:val="2"/>
                    <w:rPr>
                      <w:rFonts w:asciiTheme="majorHAnsi" w:hAnsiTheme="majorHAnsi"/>
                      <w:sz w:val="22"/>
                      <w:szCs w:val="22"/>
                      <w:lang w:val="fr-BE"/>
                    </w:rPr>
                  </w:pPr>
                </w:p>
                <w:p w:rsidR="00F04EEF" w:rsidRDefault="0099351E">
                  <w:pPr>
                    <w:pStyle w:val="Corpsdetexte"/>
                    <w:jc w:val="both"/>
                    <w:rPr>
                      <w:b w:val="0"/>
                      <w:szCs w:val="22"/>
                    </w:rPr>
                  </w:pPr>
                  <w:r>
                    <w:rPr>
                      <w:szCs w:val="22"/>
                      <w:u w:val="single"/>
                    </w:rPr>
                    <w:t>Dans l’enseignement secondaire</w:t>
                  </w:r>
                  <w:r>
                    <w:rPr>
                      <w:b w:val="0"/>
                      <w:szCs w:val="22"/>
                    </w:rPr>
                    <w:t>, sont considérées comme justifiées, les absences motivées par :</w:t>
                  </w:r>
                </w:p>
                <w:p w:rsidR="00F04EEF" w:rsidRDefault="00F04EEF">
                  <w:pPr>
                    <w:pStyle w:val="Corpsdetexte"/>
                    <w:jc w:val="both"/>
                    <w:rPr>
                      <w:b w:val="0"/>
                      <w:szCs w:val="22"/>
                    </w:rPr>
                  </w:pPr>
                </w:p>
                <w:p w:rsidR="00F04EEF" w:rsidRDefault="0099351E">
                  <w:pPr>
                    <w:pStyle w:val="Corpsdetexte"/>
                    <w:widowControl/>
                    <w:numPr>
                      <w:ilvl w:val="0"/>
                      <w:numId w:val="126"/>
                    </w:numPr>
                    <w:ind w:left="567"/>
                    <w:jc w:val="both"/>
                    <w:rPr>
                      <w:b w:val="0"/>
                      <w:szCs w:val="22"/>
                    </w:rPr>
                  </w:pPr>
                  <w:r>
                    <w:rPr>
                      <w:b w:val="0"/>
                      <w:szCs w:val="22"/>
                    </w:rPr>
                    <w:t>l’indisposition ou la maladie de l’élève couverte par un certificat médical ou une attestation délivrée par un centre hospitalier ;</w:t>
                  </w:r>
                </w:p>
                <w:p w:rsidR="00F04EEF" w:rsidRDefault="0099351E">
                  <w:pPr>
                    <w:pStyle w:val="Corpsdetexte"/>
                    <w:widowControl/>
                    <w:numPr>
                      <w:ilvl w:val="0"/>
                      <w:numId w:val="126"/>
                    </w:numPr>
                    <w:ind w:left="567"/>
                    <w:jc w:val="both"/>
                    <w:rPr>
                      <w:b w:val="0"/>
                      <w:szCs w:val="22"/>
                    </w:rPr>
                  </w:pPr>
                  <w:r>
                    <w:rPr>
                      <w:b w:val="0"/>
                      <w:szCs w:val="22"/>
                    </w:rPr>
                    <w:t>la convocation par une autorité publique ou la nécessité pour l’élève de se rendre auprès de cette autorité, qui lui délivre une attestation ;</w:t>
                  </w:r>
                </w:p>
                <w:p w:rsidR="00F04EEF" w:rsidRDefault="0099351E">
                  <w:pPr>
                    <w:pStyle w:val="Corpsdetexte"/>
                    <w:widowControl/>
                    <w:numPr>
                      <w:ilvl w:val="0"/>
                      <w:numId w:val="126"/>
                    </w:numPr>
                    <w:ind w:left="567" w:hanging="425"/>
                    <w:jc w:val="both"/>
                    <w:rPr>
                      <w:b w:val="0"/>
                      <w:szCs w:val="22"/>
                    </w:rPr>
                  </w:pPr>
                  <w:r>
                    <w:rPr>
                      <w:b w:val="0"/>
                      <w:szCs w:val="22"/>
                    </w:rPr>
                    <w:t>le décès d’un parent ou allié de l’élève, au 1</w:t>
                  </w:r>
                  <w:r>
                    <w:rPr>
                      <w:b w:val="0"/>
                      <w:szCs w:val="22"/>
                      <w:vertAlign w:val="superscript"/>
                    </w:rPr>
                    <w:t>er</w:t>
                  </w:r>
                  <w:r>
                    <w:rPr>
                      <w:b w:val="0"/>
                      <w:szCs w:val="22"/>
                    </w:rPr>
                    <w:t xml:space="preserve"> degré</w:t>
                  </w:r>
                  <w:r>
                    <w:rPr>
                      <w:rStyle w:val="Appelnotedebasdep"/>
                      <w:b w:val="0"/>
                      <w:szCs w:val="22"/>
                    </w:rPr>
                    <w:footnoteReference w:id="25"/>
                  </w:r>
                  <w:r>
                    <w:rPr>
                      <w:b w:val="0"/>
                      <w:szCs w:val="22"/>
                    </w:rPr>
                    <w:t> ; l’absence ne peut dépasser 4 jours ;</w:t>
                  </w:r>
                </w:p>
                <w:p w:rsidR="00F04EEF" w:rsidRDefault="0099351E">
                  <w:pPr>
                    <w:pStyle w:val="Corpsdetexte"/>
                    <w:widowControl/>
                    <w:numPr>
                      <w:ilvl w:val="0"/>
                      <w:numId w:val="126"/>
                    </w:numPr>
                    <w:ind w:left="567" w:hanging="425"/>
                    <w:jc w:val="both"/>
                    <w:rPr>
                      <w:b w:val="0"/>
                      <w:szCs w:val="22"/>
                    </w:rPr>
                  </w:pPr>
                  <w:r>
                    <w:rPr>
                      <w:b w:val="0"/>
                      <w:szCs w:val="22"/>
                    </w:rPr>
                    <w:t>le décès d’un parent ou allié de l’élève, à quelque degré que ce soit, habitant sous le même toit que l’élève ; l’absence ne peut dépasser 2 jours ;</w:t>
                  </w:r>
                </w:p>
                <w:p w:rsidR="00F04EEF" w:rsidRDefault="0099351E">
                  <w:pPr>
                    <w:pStyle w:val="Corpsdetexte"/>
                    <w:widowControl/>
                    <w:numPr>
                      <w:ilvl w:val="0"/>
                      <w:numId w:val="126"/>
                    </w:numPr>
                    <w:ind w:left="567" w:hanging="425"/>
                    <w:jc w:val="both"/>
                    <w:rPr>
                      <w:b w:val="0"/>
                      <w:szCs w:val="22"/>
                    </w:rPr>
                  </w:pPr>
                  <w:r>
                    <w:rPr>
                      <w:b w:val="0"/>
                      <w:szCs w:val="22"/>
                    </w:rPr>
                    <w:t>le décès d’un parent ou allié de l’élève, du 2</w:t>
                  </w:r>
                  <w:r>
                    <w:rPr>
                      <w:b w:val="0"/>
                      <w:szCs w:val="22"/>
                      <w:vertAlign w:val="superscript"/>
                    </w:rPr>
                    <w:t>e</w:t>
                  </w:r>
                  <w:r>
                    <w:rPr>
                      <w:b w:val="0"/>
                      <w:szCs w:val="22"/>
                    </w:rPr>
                    <w:t xml:space="preserve"> au 4</w:t>
                  </w:r>
                  <w:r>
                    <w:rPr>
                      <w:b w:val="0"/>
                      <w:szCs w:val="22"/>
                      <w:vertAlign w:val="superscript"/>
                    </w:rPr>
                    <w:t>e</w:t>
                  </w:r>
                  <w:r>
                    <w:rPr>
                      <w:b w:val="0"/>
                      <w:szCs w:val="22"/>
                    </w:rPr>
                    <w:t xml:space="preserve"> degré n’habitant pas sous le même toit que l’élève ; l’absence ne peut dépasser 1 jour.</w:t>
                  </w:r>
                </w:p>
                <w:p w:rsidR="00F04EEF" w:rsidRDefault="00F04EEF">
                  <w:pPr>
                    <w:pStyle w:val="Corpsdetexte"/>
                    <w:widowControl/>
                    <w:ind w:left="567"/>
                    <w:jc w:val="both"/>
                    <w:rPr>
                      <w:b w:val="0"/>
                      <w:szCs w:val="22"/>
                    </w:rPr>
                  </w:pPr>
                </w:p>
                <w:p w:rsidR="00F04EEF" w:rsidRDefault="0099351E">
                  <w:pPr>
                    <w:pStyle w:val="Corpsdetexte"/>
                    <w:jc w:val="both"/>
                    <w:rPr>
                      <w:b w:val="0"/>
                      <w:szCs w:val="22"/>
                    </w:rPr>
                  </w:pPr>
                  <w:r>
                    <w:rPr>
                      <w:b w:val="0"/>
                      <w:szCs w:val="22"/>
                    </w:rPr>
                    <w:t>Pour que les motifs soient reconnus valables, sans contestation possible, les documents mentionnés ci-dessus doivent être remis au chef d’établissement ou à son délégué au plus tard le lendemain du dernier jour d’absence lorsque celle-ci ne dépasse pas 3 jours, et au plus tard le 4</w:t>
                  </w:r>
                  <w:r>
                    <w:rPr>
                      <w:b w:val="0"/>
                      <w:szCs w:val="22"/>
                      <w:vertAlign w:val="superscript"/>
                    </w:rPr>
                    <w:t>e</w:t>
                  </w:r>
                  <w:r>
                    <w:rPr>
                      <w:b w:val="0"/>
                      <w:szCs w:val="22"/>
                    </w:rPr>
                    <w:t xml:space="preserve"> jour d’absence dans les autres cas.</w:t>
                  </w:r>
                </w:p>
                <w:p w:rsidR="00F04EEF" w:rsidRDefault="00F04EEF">
                  <w:pPr>
                    <w:pStyle w:val="Corpsdetexte"/>
                    <w:jc w:val="both"/>
                    <w:rPr>
                      <w:b w:val="0"/>
                      <w:szCs w:val="22"/>
                    </w:rPr>
                  </w:pPr>
                </w:p>
                <w:p w:rsidR="00F04EEF" w:rsidRDefault="0099351E">
                  <w:pPr>
                    <w:pStyle w:val="Corpsdetexte"/>
                    <w:numPr>
                      <w:ilvl w:val="0"/>
                      <w:numId w:val="126"/>
                    </w:numPr>
                    <w:ind w:left="567" w:hanging="425"/>
                    <w:jc w:val="both"/>
                    <w:rPr>
                      <w:b w:val="0"/>
                      <w:szCs w:val="22"/>
                    </w:rPr>
                  </w:pPr>
                  <w:r>
                    <w:rPr>
                      <w:b w:val="0"/>
                      <w:szCs w:val="22"/>
                    </w:rPr>
                    <w:t xml:space="preserve"> la participation des élèves reconnus  comme sportifs de haut niveau, espoirs sportifs ou partenaires d’entraînement par la Fédération Wallonie-Bruxelles à des activités de préparation sportive sous forme de stages ou d’entraînement et de compétition. Le nombre total d’absences ainsi justifiées ne peut cependant pas dépasser 30 demi-journées, sauf dérogation</w:t>
                  </w:r>
                  <w:r>
                    <w:rPr>
                      <w:rStyle w:val="Caractresdenotedebasdepage"/>
                      <w:szCs w:val="22"/>
                    </w:rPr>
                    <w:footnoteReference w:id="26"/>
                  </w:r>
                  <w:r>
                    <w:rPr>
                      <w:b w:val="0"/>
                      <w:szCs w:val="22"/>
                    </w:rPr>
                    <w:t xml:space="preserve"> accordée par le Ministre.  Dans ce cas, l’absence doit être annoncée au chef d’établissement au plus tard une semaine avant le stage ou la compétition, à l’aide de l’attestation de la fédération sportive compétente à laquelle sera jointe l’autorisation des parents.</w:t>
                  </w:r>
                </w:p>
                <w:p w:rsidR="00F04EEF" w:rsidRDefault="0099351E">
                  <w:pPr>
                    <w:pStyle w:val="Corpsdetexte"/>
                    <w:numPr>
                      <w:ilvl w:val="0"/>
                      <w:numId w:val="126"/>
                    </w:numPr>
                    <w:ind w:left="567" w:hanging="425"/>
                    <w:jc w:val="both"/>
                    <w:rPr>
                      <w:b w:val="0"/>
                      <w:szCs w:val="22"/>
                    </w:rPr>
                  </w:pPr>
                  <w:r>
                    <w:rPr>
                      <w:b w:val="0"/>
                      <w:szCs w:val="22"/>
                    </w:rPr>
                    <w:t>la participation de l’élève à un séjour scolaire individuel reconnu par la Fédération Wallonie-Bruxelles ;</w:t>
                  </w:r>
                </w:p>
                <w:p w:rsidR="00F04EEF" w:rsidRDefault="0099351E">
                  <w:pPr>
                    <w:pStyle w:val="Corpsdetexte"/>
                    <w:numPr>
                      <w:ilvl w:val="0"/>
                      <w:numId w:val="126"/>
                    </w:numPr>
                    <w:ind w:left="567" w:hanging="425"/>
                    <w:jc w:val="both"/>
                    <w:rPr>
                      <w:b w:val="0"/>
                      <w:szCs w:val="22"/>
                    </w:rPr>
                  </w:pPr>
                  <w:r>
                    <w:rPr>
                      <w:b w:val="0"/>
                      <w:szCs w:val="22"/>
                    </w:rPr>
                    <w:t>la participation des élèves non visés au point 6 à des stages ou compétitions organisées ou reconnues par la fédération sportive à laquelle ils appartiennent.   Le nombre total d’absences ainsi justifiées ne peut dépasser 20 demi-journées par année scolaire ;</w:t>
                  </w:r>
                </w:p>
                <w:p w:rsidR="00F04EEF" w:rsidRDefault="0099351E">
                  <w:pPr>
                    <w:pStyle w:val="Corpsdetexte"/>
                    <w:numPr>
                      <w:ilvl w:val="0"/>
                      <w:numId w:val="126"/>
                    </w:numPr>
                    <w:ind w:left="567" w:hanging="425"/>
                    <w:jc w:val="both"/>
                    <w:rPr>
                      <w:b w:val="0"/>
                      <w:szCs w:val="22"/>
                    </w:rPr>
                  </w:pPr>
                  <w:r>
                    <w:rPr>
                      <w:b w:val="0"/>
                      <w:szCs w:val="22"/>
                    </w:rPr>
                    <w:t xml:space="preserve">la participation des élèves à des stages, évènements ou activités à caractère artistique organisés ou reconnus par la Fédération Wallonie-Bruxelles. Le nombre total d’absences ainsi justifiées ne peut dépasser 20 demi-journées par année scolaire. </w:t>
                  </w:r>
                </w:p>
                <w:p w:rsidR="00F04EEF" w:rsidRDefault="00F04EEF">
                  <w:pPr>
                    <w:pStyle w:val="Corpsdetexte"/>
                    <w:ind w:left="567"/>
                    <w:jc w:val="both"/>
                    <w:rPr>
                      <w:b w:val="0"/>
                      <w:szCs w:val="22"/>
                    </w:rPr>
                  </w:pPr>
                </w:p>
                <w:p w:rsidR="00F04EEF" w:rsidRDefault="0099351E">
                  <w:pPr>
                    <w:pStyle w:val="Corpsdetexte"/>
                    <w:jc w:val="both"/>
                    <w:rPr>
                      <w:b w:val="0"/>
                      <w:szCs w:val="22"/>
                    </w:rPr>
                  </w:pPr>
                  <w:r>
                    <w:rPr>
                      <w:b w:val="0"/>
                      <w:szCs w:val="22"/>
                    </w:rPr>
                    <w:t>Dans ces derniers cas, la durée de l’absence doit être annoncée au chef d’établissement au plus tard une semaine avant le stage, la compétition, l’évènement ou l’activité à l’aide de l’attestation de la fédération sportive compétente ou de l’organisme compétent à laquelle est jointe, si l’élève est mineur, une autorisation de ses responsables légaux.</w:t>
                  </w:r>
                </w:p>
                <w:p w:rsidR="00F04EEF" w:rsidRDefault="00F04EEF"/>
                <w:p w:rsidR="00F04EEF" w:rsidRDefault="0099351E">
                  <w:pPr>
                    <w:pStyle w:val="Corpsdetexte"/>
                    <w:jc w:val="both"/>
                    <w:rPr>
                      <w:szCs w:val="22"/>
                      <w:u w:val="single"/>
                    </w:rPr>
                  </w:pPr>
                  <w:proofErr w:type="gramStart"/>
                  <w:r>
                    <w:rPr>
                      <w:szCs w:val="22"/>
                      <w:u w:val="single"/>
                    </w:rPr>
                    <w:t>Remarques</w:t>
                  </w:r>
                  <w:proofErr w:type="gramEnd"/>
                  <w:r>
                    <w:rPr>
                      <w:szCs w:val="22"/>
                    </w:rPr>
                    <w:t> :</w:t>
                  </w:r>
                </w:p>
                <w:p w:rsidR="00F04EEF" w:rsidRDefault="0099351E">
                  <w:pPr>
                    <w:pStyle w:val="Corpsdetexte"/>
                    <w:numPr>
                      <w:ilvl w:val="0"/>
                      <w:numId w:val="11"/>
                    </w:numPr>
                    <w:ind w:left="927"/>
                    <w:jc w:val="both"/>
                    <w:rPr>
                      <w:b w:val="0"/>
                      <w:szCs w:val="22"/>
                    </w:rPr>
                  </w:pPr>
                  <w:r>
                    <w:rPr>
                      <w:b w:val="0"/>
                      <w:szCs w:val="22"/>
                    </w:rPr>
                    <w:t>Les élèves placés dans une Institution Publique de Protection de la Jeunesse (IPPJ) relèvent de l’enseignement à domicile</w:t>
                  </w:r>
                  <w:r>
                    <w:rPr>
                      <w:rStyle w:val="Appelnotedebasdep"/>
                      <w:b w:val="0"/>
                      <w:szCs w:val="22"/>
                    </w:rPr>
                    <w:footnoteReference w:id="27"/>
                  </w:r>
                  <w:r>
                    <w:rPr>
                      <w:b w:val="0"/>
                      <w:szCs w:val="22"/>
                    </w:rPr>
                    <w:t xml:space="preserve"> pour toute la durée de leur placement et sont en absence justifiée. </w:t>
                  </w:r>
                </w:p>
                <w:p w:rsidR="00F04EEF" w:rsidRDefault="0099351E">
                  <w:pPr>
                    <w:pStyle w:val="Corpsdetexte"/>
                    <w:numPr>
                      <w:ilvl w:val="0"/>
                      <w:numId w:val="11"/>
                    </w:numPr>
                    <w:ind w:left="927"/>
                    <w:jc w:val="both"/>
                    <w:rPr>
                      <w:b w:val="0"/>
                      <w:szCs w:val="22"/>
                    </w:rPr>
                  </w:pPr>
                  <w:r>
                    <w:rPr>
                      <w:b w:val="0"/>
                      <w:szCs w:val="22"/>
                    </w:rPr>
                    <w:t>Les parents, la personne investie de l’autorité parentale ou la personne qui assume la garde en fait du mineur détenu dans un établissement pénitentiaire ou faisant l’objet d’une mesure de placement au centre fermé d’EVERBERG, doivent informer le chef d’établissement que le mineur s’est présenté devant l’autorité publique.</w:t>
                  </w:r>
                </w:p>
                <w:p w:rsidR="00F04EEF" w:rsidRDefault="00F04EEF">
                  <w:pPr>
                    <w:pStyle w:val="Corpsdetexte21"/>
                    <w:jc w:val="both"/>
                    <w:rPr>
                      <w:rFonts w:asciiTheme="majorHAnsi" w:hAnsiTheme="majorHAnsi"/>
                      <w:b/>
                      <w:sz w:val="22"/>
                      <w:szCs w:val="22"/>
                      <w:u w:val="single"/>
                    </w:rPr>
                  </w:pPr>
                </w:p>
                <w:p w:rsidR="00F04EEF" w:rsidRDefault="0099351E">
                  <w:pPr>
                    <w:pStyle w:val="Titre6"/>
                  </w:pPr>
                  <w:bookmarkStart w:id="308" w:name="_1.2.1.3._Les_absences"/>
                  <w:bookmarkEnd w:id="296"/>
                  <w:bookmarkEnd w:id="297"/>
                  <w:bookmarkEnd w:id="298"/>
                  <w:bookmarkEnd w:id="299"/>
                  <w:bookmarkEnd w:id="300"/>
                  <w:bookmarkEnd w:id="301"/>
                  <w:bookmarkEnd w:id="302"/>
                  <w:bookmarkEnd w:id="303"/>
                  <w:bookmarkEnd w:id="304"/>
                  <w:bookmarkEnd w:id="305"/>
                  <w:bookmarkEnd w:id="306"/>
                  <w:bookmarkEnd w:id="307"/>
                  <w:bookmarkEnd w:id="308"/>
                  <w:r>
                    <w:t>1.2.1.3. Les absences justifiées par le chef d’établissement</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Outre les motifs listés ci-dessus, le chef d’établissement peut accepter d’autres justificatifs d’absence pour autant qu’ils relèvent d’un cas de force majeure ou de circonstances exceptionnelles liées à des problèmes familiaux, de santé mentale ou physique de l’élève ou de transports. </w:t>
                  </w:r>
                </w:p>
                <w:p w:rsidR="00F04EEF" w:rsidRDefault="00F04EEF">
                  <w:pPr>
                    <w:pStyle w:val="Corpsdetexte"/>
                    <w:jc w:val="both"/>
                    <w:rPr>
                      <w:b w:val="0"/>
                      <w:szCs w:val="22"/>
                    </w:rPr>
                  </w:pPr>
                </w:p>
                <w:p w:rsidR="00F04EEF" w:rsidRDefault="0099351E">
                  <w:pPr>
                    <w:pStyle w:val="Corpsdetexte"/>
                    <w:jc w:val="both"/>
                    <w:rPr>
                      <w:b w:val="0"/>
                      <w:szCs w:val="22"/>
                    </w:rPr>
                  </w:pPr>
                  <w:r>
                    <w:rPr>
                      <w:szCs w:val="22"/>
                      <w:u w:val="single"/>
                    </w:rPr>
                    <w:t>Dans l’enseignement secondaire</w:t>
                  </w:r>
                  <w:r>
                    <w:rPr>
                      <w:b w:val="0"/>
                      <w:szCs w:val="22"/>
                    </w:rPr>
                    <w:t xml:space="preserve">, dans le respect de ces critères, le nombre de demi-journées d’absence qui peuvent être motivées par les responsables légaux ou l’élève majeur et acceptées par le chef d’établissement doit être fixé dans le règlement d’ordre intérieur de l’établissement. Ce nombre peut aller de 8 à 16 demi-journées d’absence ainsi justifiée au cours d’une année scolaire.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Le chef d’établissement doit indiquer les arguments précis pour lesquels il reconnaît le cas de force majeure ou les circonstances exceptionnelles.  L’appréciation motivée doit être conservée au sein de l’établissement.</w:t>
                  </w:r>
                </w:p>
                <w:p w:rsidR="00F04EEF" w:rsidRDefault="00F04EEF">
                  <w:pPr>
                    <w:pStyle w:val="Corpsdetexte"/>
                    <w:jc w:val="both"/>
                    <w:rPr>
                      <w:b w:val="0"/>
                      <w:szCs w:val="22"/>
                    </w:rPr>
                  </w:pPr>
                </w:p>
                <w:p w:rsidR="00F04EEF" w:rsidRDefault="0099351E">
                  <w:pPr>
                    <w:rPr>
                      <w:rFonts w:eastAsia="Times New Roman" w:cs="Arial"/>
                      <w:b/>
                      <w:szCs w:val="20"/>
                      <w:u w:val="single"/>
                      <w:lang w:eastAsia="ar-SA"/>
                    </w:rPr>
                  </w:pPr>
                  <w:bookmarkStart w:id="309" w:name="_1.2.1.4._Les_absences"/>
                  <w:bookmarkEnd w:id="309"/>
                  <w:r>
                    <w:br w:type="page"/>
                  </w:r>
                </w:p>
                <w:p w:rsidR="00F04EEF" w:rsidRDefault="0099351E">
                  <w:pPr>
                    <w:pStyle w:val="Titre6"/>
                  </w:pPr>
                  <w:r>
                    <w:t>1.2.1.4. Les absences non justifiées</w:t>
                  </w:r>
                </w:p>
                <w:p w:rsidR="00F04EEF" w:rsidRDefault="00F04EEF">
                  <w:pPr>
                    <w:pStyle w:val="Corpsdetexte"/>
                    <w:jc w:val="both"/>
                    <w:rPr>
                      <w:szCs w:val="22"/>
                      <w:u w:val="single"/>
                    </w:rPr>
                  </w:pPr>
                </w:p>
                <w:p w:rsidR="00F04EEF" w:rsidRDefault="0099351E">
                  <w:pPr>
                    <w:pStyle w:val="Corpsdetexte"/>
                    <w:jc w:val="both"/>
                    <w:rPr>
                      <w:b w:val="0"/>
                      <w:szCs w:val="22"/>
                    </w:rPr>
                  </w:pPr>
                  <w:r>
                    <w:rPr>
                      <w:b w:val="0"/>
                      <w:szCs w:val="22"/>
                    </w:rPr>
                    <w:t xml:space="preserve">Dès qu’un élève </w:t>
                  </w:r>
                  <w:r>
                    <w:rPr>
                      <w:szCs w:val="22"/>
                    </w:rPr>
                    <w:t>mineur</w:t>
                  </w:r>
                  <w:r>
                    <w:rPr>
                      <w:b w:val="0"/>
                      <w:color w:val="FF0000"/>
                      <w:szCs w:val="22"/>
                    </w:rPr>
                    <w:t xml:space="preserve"> </w:t>
                  </w:r>
                  <w:r>
                    <w:rPr>
                      <w:b w:val="0"/>
                      <w:szCs w:val="22"/>
                    </w:rPr>
                    <w:t xml:space="preserve">compte </w:t>
                  </w:r>
                  <w:r>
                    <w:rPr>
                      <w:szCs w:val="22"/>
                      <w:u w:val="single"/>
                    </w:rPr>
                    <w:t>9 demi-journées d’absence injustifiée</w:t>
                  </w:r>
                  <w:r>
                    <w:rPr>
                      <w:b w:val="0"/>
                      <w:szCs w:val="22"/>
                    </w:rPr>
                    <w:t>, le chef d’établissement le signale impérativement à la DGEO – Service du Droit à l’Instruction, via le formulaire mis à sa disposition</w:t>
                  </w:r>
                  <w:r>
                    <w:rPr>
                      <w:szCs w:val="22"/>
                    </w:rPr>
                    <w:t xml:space="preserve">, </w:t>
                  </w:r>
                  <w:r>
                    <w:rPr>
                      <w:b w:val="0"/>
                      <w:szCs w:val="22"/>
                    </w:rPr>
                    <w:t>afin de permettre à l’administration d’opérer un suivi dans les plus brefs délais.</w:t>
                  </w:r>
                </w:p>
                <w:p w:rsidR="00F04EEF" w:rsidRDefault="00F04EEF">
                  <w:pPr>
                    <w:pStyle w:val="Corpsdetexte"/>
                    <w:jc w:val="both"/>
                    <w:rPr>
                      <w:szCs w:val="22"/>
                    </w:rPr>
                  </w:pPr>
                </w:p>
                <w:p w:rsidR="00F04EEF" w:rsidRDefault="0099351E">
                  <w:pPr>
                    <w:pStyle w:val="Titre6"/>
                  </w:pPr>
                  <w:bookmarkStart w:id="310" w:name="_1.2.1.5._Tenue_du"/>
                  <w:bookmarkStart w:id="311" w:name="_Toc291075492"/>
                  <w:bookmarkStart w:id="312" w:name="_Toc291075916"/>
                  <w:bookmarkStart w:id="313" w:name="_Toc291076340"/>
                  <w:bookmarkStart w:id="314" w:name="_Toc291076764"/>
                  <w:bookmarkStart w:id="315" w:name="_Toc291077188"/>
                  <w:bookmarkStart w:id="316" w:name="_Toc293652031"/>
                  <w:bookmarkStart w:id="317" w:name="_Toc293653613"/>
                  <w:bookmarkStart w:id="318" w:name="_Toc293654224"/>
                  <w:bookmarkStart w:id="319" w:name="_Toc294004804"/>
                  <w:bookmarkStart w:id="320" w:name="_Toc294185300"/>
                  <w:bookmarkStart w:id="321" w:name="_Toc324767166"/>
                  <w:bookmarkStart w:id="322" w:name="_Toc324768024"/>
                  <w:bookmarkEnd w:id="310"/>
                  <w:r>
                    <w:t>1.2.1.5. Tenue du registre de fréquentation</w:t>
                  </w:r>
                  <w:bookmarkEnd w:id="311"/>
                  <w:bookmarkEnd w:id="312"/>
                  <w:bookmarkEnd w:id="313"/>
                  <w:bookmarkEnd w:id="314"/>
                  <w:bookmarkEnd w:id="315"/>
                  <w:bookmarkEnd w:id="316"/>
                  <w:bookmarkEnd w:id="317"/>
                  <w:bookmarkEnd w:id="318"/>
                  <w:bookmarkEnd w:id="319"/>
                  <w:bookmarkEnd w:id="320"/>
                  <w:bookmarkEnd w:id="321"/>
                  <w:bookmarkEnd w:id="322"/>
                  <w:r>
                    <w:t xml:space="preserve"> </w:t>
                  </w:r>
                </w:p>
                <w:p w:rsidR="00F04EEF" w:rsidRDefault="00F04EEF">
                  <w:pPr>
                    <w:jc w:val="both"/>
                    <w:rPr>
                      <w:rFonts w:cs="Arial"/>
                    </w:rPr>
                  </w:pPr>
                </w:p>
                <w:p w:rsidR="00F04EEF" w:rsidRDefault="0099351E">
                  <w:pPr>
                    <w:pStyle w:val="Corpsdetexte"/>
                    <w:jc w:val="both"/>
                    <w:rPr>
                      <w:b w:val="0"/>
                      <w:szCs w:val="22"/>
                    </w:rPr>
                  </w:pPr>
                  <w:r>
                    <w:rPr>
                      <w:b w:val="0"/>
                      <w:szCs w:val="22"/>
                    </w:rPr>
                    <w:t>Les registres doivent être complétés tous les jours. En outre, les données y figurant doivent être indiquées à l’encre indélébile.</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Les élèves absents sont signalés par la lettre  « </w:t>
                  </w:r>
                  <w:r>
                    <w:rPr>
                      <w:szCs w:val="22"/>
                    </w:rPr>
                    <w:t>a</w:t>
                  </w:r>
                  <w:r>
                    <w:rPr>
                      <w:b w:val="0"/>
                      <w:szCs w:val="22"/>
                    </w:rPr>
                    <w:t> »  affectée le cas échéant :</w:t>
                  </w:r>
                </w:p>
                <w:p w:rsidR="00F04EEF" w:rsidRDefault="00F04EEF">
                  <w:pPr>
                    <w:pStyle w:val="Corpsdetexte"/>
                    <w:jc w:val="both"/>
                    <w:rPr>
                      <w:b w:val="0"/>
                      <w:szCs w:val="22"/>
                    </w:rPr>
                  </w:pPr>
                </w:p>
                <w:p w:rsidR="00F04EEF" w:rsidRDefault="0099351E">
                  <w:pPr>
                    <w:pStyle w:val="Corpsdetexte"/>
                    <w:widowControl/>
                    <w:numPr>
                      <w:ilvl w:val="0"/>
                      <w:numId w:val="102"/>
                    </w:numPr>
                    <w:ind w:left="567" w:firstLine="0"/>
                    <w:jc w:val="both"/>
                    <w:rPr>
                      <w:b w:val="0"/>
                      <w:szCs w:val="22"/>
                    </w:rPr>
                  </w:pPr>
                  <w:r>
                    <w:rPr>
                      <w:b w:val="0"/>
                      <w:szCs w:val="22"/>
                    </w:rPr>
                    <w:t>de l’exposant  « </w:t>
                  </w:r>
                  <w:r>
                    <w:rPr>
                      <w:szCs w:val="22"/>
                    </w:rPr>
                    <w:t>r</w:t>
                  </w:r>
                  <w:r>
                    <w:rPr>
                      <w:b w:val="0"/>
                      <w:szCs w:val="22"/>
                    </w:rPr>
                    <w:t> », lorsque l’élève est en retard ;</w:t>
                  </w:r>
                </w:p>
                <w:p w:rsidR="00F04EEF" w:rsidRDefault="0099351E">
                  <w:pPr>
                    <w:pStyle w:val="Corpsdetexte"/>
                    <w:widowControl/>
                    <w:numPr>
                      <w:ilvl w:val="0"/>
                      <w:numId w:val="102"/>
                    </w:numPr>
                    <w:ind w:left="567" w:firstLine="0"/>
                    <w:jc w:val="both"/>
                    <w:rPr>
                      <w:b w:val="0"/>
                      <w:szCs w:val="22"/>
                    </w:rPr>
                  </w:pPr>
                  <w:r>
                    <w:rPr>
                      <w:b w:val="0"/>
                      <w:szCs w:val="22"/>
                    </w:rPr>
                    <w:t>de l’exposant  « </w:t>
                  </w:r>
                  <w:r>
                    <w:rPr>
                      <w:szCs w:val="22"/>
                    </w:rPr>
                    <w:t>e</w:t>
                  </w:r>
                  <w:r>
                    <w:rPr>
                      <w:b w:val="0"/>
                      <w:szCs w:val="22"/>
                    </w:rPr>
                    <w:t> », dès que l’absence est excusée ;</w:t>
                  </w:r>
                </w:p>
                <w:p w:rsidR="00F04EEF" w:rsidRDefault="0099351E">
                  <w:pPr>
                    <w:pStyle w:val="Corpsdetexte"/>
                    <w:widowControl/>
                    <w:numPr>
                      <w:ilvl w:val="0"/>
                      <w:numId w:val="102"/>
                    </w:numPr>
                    <w:ind w:left="567" w:firstLine="0"/>
                    <w:jc w:val="both"/>
                    <w:rPr>
                      <w:b w:val="0"/>
                      <w:szCs w:val="22"/>
                    </w:rPr>
                  </w:pPr>
                  <w:r>
                    <w:rPr>
                      <w:b w:val="0"/>
                      <w:szCs w:val="22"/>
                    </w:rPr>
                    <w:t>de l’exposant  « </w:t>
                  </w:r>
                  <w:r>
                    <w:rPr>
                      <w:szCs w:val="22"/>
                    </w:rPr>
                    <w:t>m</w:t>
                  </w:r>
                  <w:r>
                    <w:rPr>
                      <w:b w:val="0"/>
                      <w:szCs w:val="22"/>
                    </w:rPr>
                    <w:t> »,  lorsque l’absence est justifiée par un certificat médical.</w:t>
                  </w:r>
                </w:p>
                <w:p w:rsidR="00F04EEF" w:rsidRDefault="00F04EEF">
                  <w:pPr>
                    <w:jc w:val="both"/>
                    <w:rPr>
                      <w:b/>
                      <w:u w:val="single"/>
                    </w:rPr>
                  </w:pPr>
                </w:p>
                <w:p w:rsidR="00F04EEF" w:rsidRDefault="0099351E">
                  <w:pPr>
                    <w:pStyle w:val="Titre5"/>
                  </w:pPr>
                  <w:bookmarkStart w:id="323" w:name="_Toc291075493"/>
                  <w:bookmarkStart w:id="324" w:name="_Toc291075917"/>
                  <w:bookmarkStart w:id="325" w:name="_Toc291076341"/>
                  <w:bookmarkStart w:id="326" w:name="_Toc291076765"/>
                  <w:bookmarkStart w:id="327" w:name="_Toc291077189"/>
                  <w:bookmarkStart w:id="328" w:name="_Toc293652032"/>
                  <w:bookmarkStart w:id="329" w:name="_Toc293653614"/>
                  <w:bookmarkStart w:id="330" w:name="_Toc293654225"/>
                  <w:bookmarkStart w:id="331" w:name="_Toc294004805"/>
                  <w:bookmarkStart w:id="332" w:name="_Toc294185301"/>
                  <w:bookmarkStart w:id="333" w:name="_Toc324767167"/>
                  <w:bookmarkStart w:id="334" w:name="_Toc324768025"/>
                  <w:r>
                    <w:t>1.2.2. Marche à suivre en cas d’absentéisme ou de décrochage scolaire</w:t>
                  </w:r>
                  <w:bookmarkEnd w:id="323"/>
                  <w:bookmarkEnd w:id="324"/>
                  <w:bookmarkEnd w:id="325"/>
                  <w:bookmarkEnd w:id="326"/>
                  <w:bookmarkEnd w:id="327"/>
                  <w:bookmarkEnd w:id="328"/>
                  <w:bookmarkEnd w:id="329"/>
                  <w:bookmarkEnd w:id="330"/>
                  <w:bookmarkEnd w:id="331"/>
                  <w:bookmarkEnd w:id="332"/>
                  <w:bookmarkEnd w:id="333"/>
                  <w:bookmarkEnd w:id="334"/>
                </w:p>
                <w:p w:rsidR="00F04EEF" w:rsidRDefault="00F04EEF">
                  <w:pPr>
                    <w:jc w:val="both"/>
                    <w:rPr>
                      <w:b/>
                      <w:u w:val="single"/>
                    </w:rPr>
                  </w:pPr>
                </w:p>
                <w:p w:rsidR="00F04EEF" w:rsidRDefault="0099351E">
                  <w:pPr>
                    <w:pStyle w:val="Titre6"/>
                  </w:pPr>
                  <w:bookmarkStart w:id="335" w:name="_1.2.2.1._Démarches_au"/>
                  <w:bookmarkStart w:id="336" w:name="_Toc291075495"/>
                  <w:bookmarkStart w:id="337" w:name="_Toc291075919"/>
                  <w:bookmarkStart w:id="338" w:name="_Toc291076343"/>
                  <w:bookmarkStart w:id="339" w:name="_Toc291076767"/>
                  <w:bookmarkStart w:id="340" w:name="_Toc291077191"/>
                  <w:bookmarkStart w:id="341" w:name="_Toc293652034"/>
                  <w:bookmarkStart w:id="342" w:name="_Toc293653616"/>
                  <w:bookmarkStart w:id="343" w:name="_Toc293654227"/>
                  <w:bookmarkStart w:id="344" w:name="_Toc294004807"/>
                  <w:bookmarkStart w:id="345" w:name="_Toc294185303"/>
                  <w:bookmarkStart w:id="346" w:name="_Toc324767169"/>
                  <w:bookmarkStart w:id="347" w:name="_Toc324768027"/>
                  <w:bookmarkEnd w:id="335"/>
                  <w:r>
                    <w:t>1.2.2.1. Démarches au sein de l’école</w:t>
                  </w:r>
                  <w:bookmarkEnd w:id="336"/>
                  <w:bookmarkEnd w:id="337"/>
                  <w:bookmarkEnd w:id="338"/>
                  <w:bookmarkEnd w:id="339"/>
                  <w:bookmarkEnd w:id="340"/>
                  <w:bookmarkEnd w:id="341"/>
                  <w:bookmarkEnd w:id="342"/>
                  <w:bookmarkEnd w:id="343"/>
                  <w:bookmarkEnd w:id="344"/>
                  <w:bookmarkEnd w:id="345"/>
                  <w:bookmarkEnd w:id="346"/>
                  <w:bookmarkEnd w:id="347"/>
                  <w:r>
                    <w:t xml:space="preserve"> </w:t>
                  </w:r>
                </w:p>
                <w:p w:rsidR="00F04EEF" w:rsidRDefault="00F04EEF">
                  <w:pPr>
                    <w:jc w:val="both"/>
                    <w:rPr>
                      <w:b/>
                      <w:u w:val="single"/>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Dans l’enseignement secondaire, toute absence non justifiée dans les délais fixés est notifiée aux parents, à la personne investie de l’autorité parentale ou qui assume la garde en fait du mineur, au plus tard à la fin de la semaine pendant laquelle elle a pris cours</w:t>
                  </w:r>
                  <w:r>
                    <w:rPr>
                      <w:rStyle w:val="Appelnotedebasdep1"/>
                      <w:rFonts w:asciiTheme="majorHAnsi" w:hAnsiTheme="majorHAnsi"/>
                      <w:sz w:val="22"/>
                      <w:szCs w:val="22"/>
                    </w:rPr>
                    <w:footnoteReference w:id="28"/>
                  </w:r>
                  <w:r>
                    <w:rPr>
                      <w:rFonts w:asciiTheme="majorHAnsi" w:hAnsiTheme="majorHAnsi"/>
                      <w:sz w:val="22"/>
                      <w:szCs w:val="22"/>
                    </w:rPr>
                    <w:t>.</w:t>
                  </w:r>
                </w:p>
                <w:p w:rsidR="00F04EEF" w:rsidRDefault="00F04EEF">
                  <w:pPr>
                    <w:pStyle w:val="Corpsdetexte21"/>
                    <w:jc w:val="both"/>
                    <w:rPr>
                      <w:rFonts w:asciiTheme="majorHAnsi" w:hAnsiTheme="majorHAnsi"/>
                      <w:b/>
                      <w:sz w:val="22"/>
                      <w:szCs w:val="22"/>
                      <w:u w:val="single"/>
                    </w:rPr>
                  </w:pPr>
                </w:p>
                <w:p w:rsidR="00F04EEF" w:rsidRDefault="0099351E">
                  <w:pPr>
                    <w:pStyle w:val="Corpsdetexte21"/>
                    <w:jc w:val="both"/>
                    <w:rPr>
                      <w:rFonts w:asciiTheme="majorHAnsi" w:hAnsiTheme="majorHAnsi"/>
                      <w:sz w:val="22"/>
                      <w:szCs w:val="22"/>
                    </w:rPr>
                  </w:pPr>
                  <w:r>
                    <w:rPr>
                      <w:rFonts w:asciiTheme="majorHAnsi" w:hAnsiTheme="majorHAnsi"/>
                      <w:b/>
                      <w:sz w:val="22"/>
                      <w:szCs w:val="22"/>
                      <w:u w:val="single"/>
                    </w:rPr>
                    <w:t>Au plus tard</w:t>
                  </w:r>
                  <w:r>
                    <w:rPr>
                      <w:rFonts w:asciiTheme="majorHAnsi" w:hAnsiTheme="majorHAnsi"/>
                      <w:sz w:val="22"/>
                      <w:szCs w:val="22"/>
                    </w:rPr>
                    <w:t xml:space="preserve"> à partir du </w:t>
                  </w:r>
                  <w:r>
                    <w:rPr>
                      <w:rFonts w:asciiTheme="majorHAnsi" w:hAnsiTheme="majorHAnsi"/>
                      <w:b/>
                      <w:sz w:val="22"/>
                      <w:szCs w:val="22"/>
                      <w:u w:val="single"/>
                    </w:rPr>
                    <w:t>10</w:t>
                  </w:r>
                  <w:r>
                    <w:rPr>
                      <w:rFonts w:asciiTheme="majorHAnsi" w:hAnsiTheme="majorHAnsi"/>
                      <w:b/>
                      <w:sz w:val="22"/>
                      <w:szCs w:val="22"/>
                      <w:u w:val="single"/>
                      <w:vertAlign w:val="superscript"/>
                    </w:rPr>
                    <w:t>ème</w:t>
                  </w:r>
                  <w:r>
                    <w:rPr>
                      <w:rFonts w:asciiTheme="majorHAnsi" w:hAnsiTheme="majorHAnsi"/>
                      <w:b/>
                      <w:sz w:val="22"/>
                      <w:szCs w:val="22"/>
                      <w:u w:val="single"/>
                    </w:rPr>
                    <w:t xml:space="preserve"> demi-jour d’absence injustifiée</w:t>
                  </w:r>
                  <w:r>
                    <w:rPr>
                      <w:rStyle w:val="Caractresdenotedebasdepage"/>
                      <w:bCs/>
                      <w:sz w:val="22"/>
                      <w:szCs w:val="22"/>
                    </w:rPr>
                    <w:footnoteReference w:id="29"/>
                  </w:r>
                  <w:r>
                    <w:rPr>
                      <w:rFonts w:asciiTheme="majorHAnsi" w:hAnsiTheme="majorHAnsi"/>
                      <w:bCs/>
                      <w:sz w:val="22"/>
                      <w:szCs w:val="22"/>
                    </w:rPr>
                    <w:t xml:space="preserve"> </w:t>
                  </w:r>
                  <w:r>
                    <w:rPr>
                      <w:rFonts w:asciiTheme="majorHAnsi" w:hAnsiTheme="majorHAnsi"/>
                      <w:sz w:val="22"/>
                      <w:szCs w:val="22"/>
                    </w:rPr>
                    <w:t>d’un élève, le chef d’établissement ou son délégué convoque l’élève et ses parents ou la personne investie de l’autorité parentale, s’il est mineur, par courrier recommandé avec accusé de réception.</w:t>
                  </w:r>
                </w:p>
                <w:p w:rsidR="00F04EEF" w:rsidRDefault="0099351E">
                  <w:pPr>
                    <w:pStyle w:val="Corpsdetexte21"/>
                    <w:jc w:val="both"/>
                    <w:rPr>
                      <w:rFonts w:asciiTheme="majorHAnsi" w:hAnsiTheme="majorHAnsi"/>
                      <w:sz w:val="22"/>
                      <w:szCs w:val="22"/>
                    </w:rPr>
                  </w:pPr>
                  <w:r>
                    <w:rPr>
                      <w:rFonts w:asciiTheme="majorHAnsi" w:hAnsiTheme="majorHAnsi"/>
                      <w:sz w:val="22"/>
                      <w:szCs w:val="22"/>
                      <w:lang w:val="fr-FR"/>
                    </w:rPr>
                    <w:t>L’objectif de cette rencontre est de rappeler à l’élève ainsi qu’à ses parents les règles en matière de fréquentation scolaire et d’envisager avec eux des actions visant à prévenir les absences futures.</w:t>
                  </w:r>
                </w:p>
                <w:p w:rsidR="00F04EEF" w:rsidRDefault="00F04EEF">
                  <w:pPr>
                    <w:pStyle w:val="Corpsdetexte21"/>
                    <w:jc w:val="both"/>
                    <w:rPr>
                      <w:rFonts w:asciiTheme="majorHAnsi" w:hAnsiTheme="majorHAnsi"/>
                      <w:sz w:val="22"/>
                      <w:szCs w:val="22"/>
                    </w:rPr>
                  </w:pPr>
                </w:p>
                <w:p w:rsidR="00F04EEF" w:rsidRDefault="0099351E">
                  <w:pPr>
                    <w:jc w:val="both"/>
                    <w:rPr>
                      <w:rFonts w:cs="Arial"/>
                    </w:rPr>
                  </w:pPr>
                  <w:r>
                    <w:rPr>
                      <w:rFonts w:cs="Arial"/>
                      <w:noProof/>
                      <w:lang w:eastAsia="fr-BE"/>
                    </w:rPr>
                    <mc:AlternateContent>
                      <mc:Choice Requires="wps">
                        <w:drawing>
                          <wp:anchor distT="0" distB="0" distL="114300" distR="114300" simplePos="0" relativeHeight="252148736" behindDoc="0" locked="0" layoutInCell="1" allowOverlap="1">
                            <wp:simplePos x="0" y="0"/>
                            <wp:positionH relativeFrom="column">
                              <wp:posOffset>6205220</wp:posOffset>
                            </wp:positionH>
                            <wp:positionV relativeFrom="paragraph">
                              <wp:posOffset>867410</wp:posOffset>
                            </wp:positionV>
                            <wp:extent cx="0" cy="209550"/>
                            <wp:effectExtent l="0" t="0" r="19050" b="19050"/>
                            <wp:wrapNone/>
                            <wp:docPr id="469" name="Connecteur droit 469"/>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DE908F" id="Connecteur droit 469" o:spid="_x0000_s1026" style="position:absolute;z-index:252148736;visibility:visible;mso-wrap-style:square;mso-wrap-distance-left:9pt;mso-wrap-distance-top:0;mso-wrap-distance-right:9pt;mso-wrap-distance-bottom:0;mso-position-horizontal:absolute;mso-position-horizontal-relative:text;mso-position-vertical:absolute;mso-position-vertical-relative:text" from="488.6pt,68.3pt" to="488.6pt,8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" strokecolor="black [3213]"/>
                        </w:pict>
                      </mc:Fallback>
                    </mc:AlternateContent>
                  </w:r>
                  <w:r>
                    <w:rPr>
                      <w:rFonts w:cs="Arial"/>
                    </w:rPr>
                    <w:t>A défaut de présentation à ladite convocation et chaque fois qu’il l’estime utile, le chef d’établissement pourra déléguer au domicile ou au lieu de résidence de l’élève un membre du personnel auxiliaire d’éducation. Selon la situation le chef d’établissement pourra par ailleurs solliciter auprès du directeur du CPMS l’intervention d’un membre de son équipe.  Le chef d’établissement peut également, dans un second temps, solliciter l’intervention des équipes mobiles pour l’enseignement fondamental ou du service de médiation scolaire pour l’enseignement secondaire auprès de la Direction générale de l’enseignement obligatoire.</w:t>
                  </w:r>
                </w:p>
                <w:p w:rsidR="00F04EEF" w:rsidRDefault="00F04EEF">
                  <w:pPr>
                    <w:jc w:val="both"/>
                    <w:rPr>
                      <w:rFonts w:cs="Arial"/>
                    </w:rPr>
                  </w:pPr>
                </w:p>
                <w:p w:rsidR="00F04EEF" w:rsidRDefault="0099351E">
                  <w:pPr>
                    <w:pBdr>
                      <w:top w:val="single" w:sz="4" w:space="1" w:color="000000"/>
                      <w:left w:val="single" w:sz="4" w:space="4" w:color="000000"/>
                      <w:bottom w:val="single" w:sz="4" w:space="0" w:color="000000"/>
                      <w:right w:val="single" w:sz="4" w:space="2" w:color="000000"/>
                    </w:pBdr>
                    <w:jc w:val="both"/>
                    <w:rPr>
                      <w:rFonts w:cs="Arial"/>
                      <w:b/>
                    </w:rPr>
                  </w:pPr>
                  <w:r>
                    <w:rPr>
                      <w:rFonts w:cs="Arial"/>
                      <w:b/>
                      <w:u w:val="single"/>
                    </w:rPr>
                    <w:t>Remarque :</w:t>
                  </w:r>
                  <w:r>
                    <w:rPr>
                      <w:rFonts w:cs="Arial"/>
                      <w:b/>
                    </w:rPr>
                    <w:t xml:space="preserve"> </w:t>
                  </w:r>
                  <w:r>
                    <w:rPr>
                      <w:rFonts w:cs="Arial"/>
                    </w:rPr>
                    <w:t>le chef d’établissement peut évidemment réaliser l’une de ces démarches à tout moment s’il l’estime nécessaire et ce, indépendamment de la procédure obligatoire.</w:t>
                  </w:r>
                </w:p>
                <w:p w:rsidR="00F04EEF" w:rsidRDefault="00F04EEF">
                  <w:pPr>
                    <w:rPr>
                      <w:rFonts w:eastAsia="Times New Roman" w:cs="Arial"/>
                      <w:b/>
                      <w:u w:val="single"/>
                      <w:lang w:eastAsia="ar-SA"/>
                    </w:rPr>
                  </w:pPr>
                  <w:bookmarkStart w:id="348" w:name="_1.2.2.2._Signalement_de"/>
                  <w:bookmarkStart w:id="349" w:name="_Toc291075496"/>
                  <w:bookmarkStart w:id="350" w:name="_Toc291075920"/>
                  <w:bookmarkStart w:id="351" w:name="_Toc291076344"/>
                  <w:bookmarkStart w:id="352" w:name="_Toc291076768"/>
                  <w:bookmarkStart w:id="353" w:name="_Toc291077192"/>
                  <w:bookmarkStart w:id="354" w:name="_Toc293652035"/>
                  <w:bookmarkStart w:id="355" w:name="_Toc293653617"/>
                  <w:bookmarkStart w:id="356" w:name="_Toc293654228"/>
                  <w:bookmarkStart w:id="357" w:name="_Toc294004808"/>
                  <w:bookmarkStart w:id="358" w:name="_Toc294185304"/>
                  <w:bookmarkStart w:id="359" w:name="_Toc324767170"/>
                  <w:bookmarkStart w:id="360" w:name="_Toc324768028"/>
                  <w:bookmarkEnd w:id="348"/>
                </w:p>
                <w:p w:rsidR="00F04EEF" w:rsidRDefault="0099351E">
                  <w:pPr>
                    <w:pStyle w:val="Titre6"/>
                  </w:pPr>
                  <w:bookmarkStart w:id="361" w:name="_1.2.2.2._Signalement_de_1"/>
                  <w:bookmarkEnd w:id="361"/>
                  <w:r>
                    <w:t>1.2.2.2. Signalement de l’absentéisme d’un élève à la DGEO</w:t>
                  </w:r>
                  <w:bookmarkEnd w:id="349"/>
                  <w:bookmarkEnd w:id="350"/>
                  <w:bookmarkEnd w:id="351"/>
                  <w:bookmarkEnd w:id="352"/>
                  <w:bookmarkEnd w:id="353"/>
                  <w:bookmarkEnd w:id="354"/>
                  <w:bookmarkEnd w:id="355"/>
                  <w:bookmarkEnd w:id="356"/>
                  <w:bookmarkEnd w:id="357"/>
                  <w:bookmarkEnd w:id="358"/>
                  <w:bookmarkEnd w:id="359"/>
                  <w:bookmarkEnd w:id="360"/>
                </w:p>
                <w:p w:rsidR="00F04EEF" w:rsidRDefault="00F04EEF">
                  <w:pPr>
                    <w:jc w:val="both"/>
                    <w:rPr>
                      <w:rFonts w:cs="Arial"/>
                    </w:rPr>
                  </w:pPr>
                </w:p>
                <w:p w:rsidR="00F04EEF" w:rsidRDefault="0099351E">
                  <w:pPr>
                    <w:pStyle w:val="Corpsdetexte21"/>
                    <w:jc w:val="both"/>
                    <w:rPr>
                      <w:rFonts w:asciiTheme="majorHAnsi" w:hAnsiTheme="majorHAnsi"/>
                      <w:b/>
                      <w:sz w:val="22"/>
                      <w:szCs w:val="22"/>
                    </w:rPr>
                  </w:pPr>
                  <w:r>
                    <w:rPr>
                      <w:rFonts w:asciiTheme="majorHAnsi" w:hAnsiTheme="majorHAnsi"/>
                      <w:b/>
                      <w:sz w:val="22"/>
                      <w:szCs w:val="22"/>
                    </w:rPr>
                    <w:t xml:space="preserve">En cas d’absence injustifiée, dès qu’un élève mineur compte </w:t>
                  </w:r>
                  <w:r>
                    <w:rPr>
                      <w:rFonts w:asciiTheme="majorHAnsi" w:hAnsiTheme="majorHAnsi"/>
                      <w:b/>
                      <w:sz w:val="22"/>
                      <w:szCs w:val="22"/>
                      <w:u w:val="single"/>
                    </w:rPr>
                    <w:t>9 demi-journées d’absence</w:t>
                  </w:r>
                  <w:r>
                    <w:rPr>
                      <w:rFonts w:asciiTheme="majorHAnsi" w:hAnsiTheme="majorHAnsi"/>
                      <w:b/>
                      <w:sz w:val="22"/>
                      <w:szCs w:val="22"/>
                    </w:rPr>
                    <w:t>, le chef d’établissement</w:t>
                  </w:r>
                  <w:r>
                    <w:rPr>
                      <w:rStyle w:val="Appelnotedebasdep1"/>
                      <w:rFonts w:asciiTheme="majorHAnsi" w:hAnsiTheme="majorHAnsi"/>
                      <w:b/>
                      <w:sz w:val="22"/>
                      <w:szCs w:val="22"/>
                    </w:rPr>
                    <w:footnoteReference w:id="30"/>
                  </w:r>
                  <w:r>
                    <w:rPr>
                      <w:rFonts w:asciiTheme="majorHAnsi" w:hAnsiTheme="majorHAnsi"/>
                      <w:b/>
                      <w:sz w:val="22"/>
                      <w:szCs w:val="22"/>
                      <w:vertAlign w:val="superscript"/>
                    </w:rPr>
                    <w:t xml:space="preserve"> </w:t>
                  </w:r>
                  <w:r>
                    <w:rPr>
                      <w:rFonts w:asciiTheme="majorHAnsi" w:hAnsiTheme="majorHAnsi"/>
                      <w:b/>
                      <w:sz w:val="22"/>
                      <w:szCs w:val="22"/>
                    </w:rPr>
                    <w:t>le signale impérativement au Service du Droit à l’Instruction, DGEO, via le formulaire</w:t>
                  </w:r>
                  <w:r>
                    <w:rPr>
                      <w:rStyle w:val="Appelnotedebasdep"/>
                      <w:rFonts w:asciiTheme="majorHAnsi" w:hAnsiTheme="majorHAnsi"/>
                      <w:b/>
                      <w:sz w:val="22"/>
                      <w:szCs w:val="22"/>
                    </w:rPr>
                    <w:footnoteReference w:id="31"/>
                  </w:r>
                  <w:r>
                    <w:rPr>
                      <w:rFonts w:asciiTheme="majorHAnsi" w:hAnsiTheme="majorHAnsi"/>
                      <w:b/>
                      <w:sz w:val="22"/>
                      <w:szCs w:val="22"/>
                    </w:rPr>
                    <w:t xml:space="preserve"> électronique afin de permettre à l’administration d’opérer un suivi dans les plus brefs délais.</w:t>
                  </w:r>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b/>
                      <w:sz w:val="22"/>
                      <w:szCs w:val="22"/>
                    </w:rPr>
                  </w:pPr>
                  <w:proofErr w:type="gramStart"/>
                  <w:r>
                    <w:rPr>
                      <w:rFonts w:asciiTheme="majorHAnsi" w:hAnsiTheme="majorHAnsi"/>
                      <w:b/>
                      <w:sz w:val="22"/>
                      <w:szCs w:val="22"/>
                    </w:rPr>
                    <w:t>Remarques</w:t>
                  </w:r>
                  <w:proofErr w:type="gramEnd"/>
                  <w:r>
                    <w:rPr>
                      <w:rFonts w:asciiTheme="majorHAnsi" w:hAnsiTheme="majorHAnsi"/>
                      <w:b/>
                      <w:sz w:val="22"/>
                      <w:szCs w:val="22"/>
                    </w:rPr>
                    <w:t> :</w:t>
                  </w:r>
                </w:p>
                <w:p w:rsidR="00F04EEF" w:rsidRDefault="00F04EEF">
                  <w:pPr>
                    <w:pStyle w:val="Corpsdetexte21"/>
                    <w:jc w:val="both"/>
                    <w:rPr>
                      <w:rFonts w:asciiTheme="majorHAnsi" w:hAnsiTheme="majorHAnsi"/>
                      <w:b/>
                      <w:sz w:val="22"/>
                      <w:szCs w:val="22"/>
                    </w:rPr>
                  </w:pPr>
                </w:p>
                <w:p w:rsidR="00F04EEF" w:rsidRDefault="0099351E">
                  <w:pPr>
                    <w:pStyle w:val="Corpsdetexte21"/>
                    <w:numPr>
                      <w:ilvl w:val="0"/>
                      <w:numId w:val="90"/>
                    </w:numPr>
                    <w:ind w:left="567"/>
                    <w:jc w:val="both"/>
                    <w:rPr>
                      <w:rFonts w:asciiTheme="majorHAnsi" w:hAnsiTheme="majorHAnsi"/>
                      <w:b/>
                      <w:sz w:val="22"/>
                      <w:szCs w:val="22"/>
                    </w:rPr>
                  </w:pPr>
                  <w:r>
                    <w:rPr>
                      <w:rFonts w:asciiTheme="majorHAnsi" w:hAnsiTheme="majorHAnsi"/>
                      <w:b/>
                      <w:sz w:val="22"/>
                      <w:szCs w:val="22"/>
                    </w:rPr>
                    <w:t xml:space="preserve">Le signalement d’absence se fait par voie électronique, grâce au formulaire électronique mis à disposition des établissements. Ce dernier est disponible sur le site web : </w:t>
                  </w:r>
                  <w:hyperlink r:id="rId24" w:history="1">
                    <w:r>
                      <w:rPr>
                        <w:rStyle w:val="Lienhypertexte"/>
                        <w:rFonts w:asciiTheme="majorHAnsi" w:hAnsiTheme="majorHAnsi"/>
                        <w:sz w:val="22"/>
                        <w:szCs w:val="22"/>
                      </w:rPr>
                      <w:t>http </w:t>
                    </w:r>
                    <w:proofErr w:type="gramStart"/>
                    <w:r>
                      <w:rPr>
                        <w:rStyle w:val="Lienhypertexte"/>
                        <w:rFonts w:asciiTheme="majorHAnsi" w:hAnsiTheme="majorHAnsi"/>
                        <w:sz w:val="22"/>
                        <w:szCs w:val="22"/>
                      </w:rPr>
                      <w:t>:/</w:t>
                    </w:r>
                    <w:proofErr w:type="gramEnd"/>
                    <w:r>
                      <w:rPr>
                        <w:rStyle w:val="Lienhypertexte"/>
                        <w:rFonts w:asciiTheme="majorHAnsi" w:hAnsiTheme="majorHAnsi"/>
                        <w:sz w:val="22"/>
                        <w:szCs w:val="22"/>
                      </w:rPr>
                      <w:t>/www.am.cfwb.be</w:t>
                    </w:r>
                  </w:hyperlink>
                  <w:r>
                    <w:rPr>
                      <w:rFonts w:asciiTheme="majorHAnsi" w:hAnsiTheme="majorHAnsi"/>
                      <w:b/>
                      <w:sz w:val="22"/>
                      <w:szCs w:val="22"/>
                    </w:rPr>
                    <w:t xml:space="preserve">. </w:t>
                  </w:r>
                </w:p>
                <w:p w:rsidR="00F04EEF" w:rsidRDefault="0099351E">
                  <w:pPr>
                    <w:pStyle w:val="Corpsdetexte21"/>
                    <w:numPr>
                      <w:ilvl w:val="0"/>
                      <w:numId w:val="90"/>
                    </w:numPr>
                    <w:ind w:left="567"/>
                    <w:jc w:val="both"/>
                    <w:rPr>
                      <w:rFonts w:asciiTheme="majorHAnsi" w:hAnsiTheme="majorHAnsi"/>
                      <w:sz w:val="22"/>
                      <w:szCs w:val="22"/>
                    </w:rPr>
                  </w:pPr>
                  <w:r>
                    <w:rPr>
                      <w:rFonts w:asciiTheme="majorHAnsi" w:hAnsiTheme="majorHAnsi"/>
                      <w:sz w:val="22"/>
                      <w:szCs w:val="22"/>
                    </w:rPr>
                    <w:t>Le chef d’établissement informe via le formulaire l’administration des démarches effectuées au sein de l’école pour remédier à la situation d’absentéisme, en vue de permettre un suivi adéquat par le Service du Droit à l’Instruction. (Exemples : en indiquant si les responsables légaux ont été interpellés et convoqués suite aux absences injustifiées de leur enfant, si le C.P.M.S. a été averti de la situation de décrochage scolaire,…).</w:t>
                  </w:r>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Toute nouvelle absence est ensuite signalée mensuellement selon la même procédure au Service du Droit à l’Instruction. </w:t>
                  </w:r>
                  <w:r>
                    <w:rPr>
                      <w:rFonts w:asciiTheme="majorHAnsi" w:hAnsiTheme="majorHAnsi"/>
                      <w:sz w:val="22"/>
                      <w:szCs w:val="22"/>
                      <w:lang w:val="fr-FR"/>
                    </w:rPr>
                    <w:t>En l’absence de nouveaux signalements, l’élève est présumé fréquenter l’école régulièrement et assidûment.</w:t>
                  </w: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Il est demandé au chef d’établissement de veiller à indiquer à chaque fois </w:t>
                  </w:r>
                  <w:r>
                    <w:rPr>
                      <w:rFonts w:asciiTheme="majorHAnsi" w:hAnsiTheme="majorHAnsi"/>
                      <w:b/>
                      <w:sz w:val="22"/>
                      <w:szCs w:val="22"/>
                    </w:rPr>
                    <w:t>le total des demi-journées</w:t>
                  </w:r>
                  <w:r>
                    <w:rPr>
                      <w:rFonts w:asciiTheme="majorHAnsi" w:hAnsiTheme="majorHAnsi"/>
                      <w:sz w:val="22"/>
                      <w:szCs w:val="22"/>
                    </w:rPr>
                    <w:t xml:space="preserve"> d’absence injustifiée atteint par le mineur en cause depuis le début de l’année scolaire.</w:t>
                  </w:r>
                </w:p>
                <w:p w:rsidR="00F04EEF" w:rsidRDefault="0099351E">
                  <w:pPr>
                    <w:pStyle w:val="Corpsdetexte21"/>
                    <w:jc w:val="both"/>
                    <w:rPr>
                      <w:rFonts w:asciiTheme="majorHAnsi" w:hAnsiTheme="majorHAnsi"/>
                      <w:sz w:val="22"/>
                      <w:szCs w:val="22"/>
                    </w:rPr>
                  </w:pPr>
                  <w:r>
                    <w:rPr>
                      <w:rFonts w:asciiTheme="majorHAnsi" w:hAnsiTheme="majorHAnsi"/>
                      <w:sz w:val="22"/>
                      <w:szCs w:val="22"/>
                    </w:rPr>
                    <w:t>Le Service du Droit à l’Instruction. envoie des courriels sur l’adresse officielle de l’établissement pour informer le chef d’établissement de toutes les orientations réalisées vers un service d’aide non contrainte ou vers le Parquet.</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lang w:val="fr-FR"/>
                    </w:rPr>
                  </w:pPr>
                  <w:r>
                    <w:rPr>
                      <w:rFonts w:asciiTheme="majorHAnsi" w:hAnsiTheme="majorHAnsi"/>
                      <w:sz w:val="22"/>
                      <w:szCs w:val="22"/>
                      <w:lang w:val="fr-FR"/>
                    </w:rPr>
                    <w:t xml:space="preserve">Le chef d’établissement a jusqu’au </w:t>
                  </w:r>
                  <w:r>
                    <w:rPr>
                      <w:rFonts w:asciiTheme="majorHAnsi" w:hAnsiTheme="majorHAnsi"/>
                      <w:b/>
                      <w:sz w:val="22"/>
                      <w:szCs w:val="22"/>
                      <w:lang w:val="fr-FR"/>
                    </w:rPr>
                    <w:t>15 juillet au plus tard</w:t>
                  </w:r>
                  <w:r>
                    <w:rPr>
                      <w:rFonts w:asciiTheme="majorHAnsi" w:hAnsiTheme="majorHAnsi"/>
                      <w:sz w:val="22"/>
                      <w:szCs w:val="22"/>
                      <w:lang w:val="fr-FR"/>
                    </w:rPr>
                    <w:t xml:space="preserve"> pour déclarer à l’Administration les élèves en absence injustifiée. Après cette date, le formulaire électronique n’est plus accessible et aucun signalement ne peut être pris en compte par le </w:t>
                  </w:r>
                  <w:r>
                    <w:rPr>
                      <w:rFonts w:asciiTheme="majorHAnsi" w:hAnsiTheme="majorHAnsi"/>
                      <w:sz w:val="22"/>
                      <w:szCs w:val="22"/>
                    </w:rPr>
                    <w:t>Service du Droit à l’Instruction.</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Dans la mesure où l’élève majeur n’est plus soumis à l’obligation scolaire, le chef d’établissement </w:t>
                  </w:r>
                  <w:r>
                    <w:rPr>
                      <w:rFonts w:asciiTheme="majorHAnsi" w:hAnsiTheme="majorHAnsi"/>
                      <w:b/>
                      <w:bCs/>
                      <w:sz w:val="22"/>
                      <w:szCs w:val="22"/>
                      <w:u w:val="single"/>
                    </w:rPr>
                    <w:t>ne doit pas signaler ses absences injustifiées à la DGEO</w:t>
                  </w:r>
                  <w:bookmarkStart w:id="362" w:name="_1.2.2.4._Enseignement_de"/>
                  <w:bookmarkStart w:id="363" w:name="_1.2.2.3._Enseignement_de"/>
                  <w:bookmarkStart w:id="364" w:name="_Enseignement_de_Forme"/>
                  <w:bookmarkStart w:id="365" w:name="_Toc291075498"/>
                  <w:bookmarkStart w:id="366" w:name="_Toc291075922"/>
                  <w:bookmarkStart w:id="367" w:name="_Toc291076346"/>
                  <w:bookmarkStart w:id="368" w:name="_Toc291076770"/>
                  <w:bookmarkStart w:id="369" w:name="_Toc291077194"/>
                  <w:bookmarkStart w:id="370" w:name="_Toc293652037"/>
                  <w:bookmarkStart w:id="371" w:name="_Toc293653619"/>
                  <w:bookmarkStart w:id="372" w:name="_Toc293654230"/>
                  <w:bookmarkStart w:id="373" w:name="_Toc294004810"/>
                  <w:bookmarkStart w:id="374" w:name="_Toc294185306"/>
                  <w:bookmarkStart w:id="375" w:name="_Toc324767172"/>
                  <w:bookmarkStart w:id="376" w:name="_Toc324768030"/>
                  <w:bookmarkEnd w:id="362"/>
                  <w:bookmarkEnd w:id="363"/>
                  <w:bookmarkEnd w:id="364"/>
                  <w:r>
                    <w:rPr>
                      <w:rStyle w:val="Appelnotedebasdep"/>
                      <w:sz w:val="22"/>
                    </w:rPr>
                    <w:footnoteReference w:id="32"/>
                  </w:r>
                </w:p>
                <w:p w:rsidR="00F04EEF" w:rsidRDefault="00F04EEF">
                  <w:pPr>
                    <w:jc w:val="both"/>
                    <w:rPr>
                      <w:b/>
                      <w:u w:val="single"/>
                    </w:rPr>
                  </w:pPr>
                </w:p>
                <w:p w:rsidR="00F04EEF" w:rsidRDefault="0099351E">
                  <w:pPr>
                    <w:pStyle w:val="Titre5"/>
                  </w:pPr>
                  <w:r>
                    <w:t>1.2.3. Les dispositifs de lutte pour l’accrochage scolaire</w:t>
                  </w:r>
                  <w:bookmarkEnd w:id="365"/>
                  <w:bookmarkEnd w:id="366"/>
                  <w:bookmarkEnd w:id="367"/>
                  <w:bookmarkEnd w:id="368"/>
                  <w:bookmarkEnd w:id="369"/>
                  <w:bookmarkEnd w:id="370"/>
                  <w:bookmarkEnd w:id="371"/>
                  <w:bookmarkEnd w:id="372"/>
                  <w:bookmarkEnd w:id="373"/>
                  <w:bookmarkEnd w:id="374"/>
                  <w:bookmarkEnd w:id="375"/>
                  <w:bookmarkEnd w:id="376"/>
                </w:p>
                <w:p w:rsidR="00F04EEF" w:rsidRDefault="00F04EEF">
                  <w:pPr>
                    <w:jc w:val="both"/>
                    <w:rPr>
                      <w:b/>
                      <w:u w:val="single"/>
                    </w:rPr>
                  </w:pPr>
                </w:p>
                <w:p w:rsidR="00F04EEF" w:rsidRDefault="0099351E">
                  <w:pPr>
                    <w:pStyle w:val="Titre6"/>
                  </w:pPr>
                  <w:bookmarkStart w:id="377" w:name="_1.2.3.1._Les_intervenants"/>
                  <w:bookmarkStart w:id="378" w:name="_Toc291075499"/>
                  <w:bookmarkStart w:id="379" w:name="_Toc291075923"/>
                  <w:bookmarkStart w:id="380" w:name="_Toc291076347"/>
                  <w:bookmarkStart w:id="381" w:name="_Toc291076771"/>
                  <w:bookmarkStart w:id="382" w:name="_Toc291077195"/>
                  <w:bookmarkStart w:id="383" w:name="_Toc293652038"/>
                  <w:bookmarkStart w:id="384" w:name="_Toc293653620"/>
                  <w:bookmarkStart w:id="385" w:name="_Toc293654231"/>
                  <w:bookmarkStart w:id="386" w:name="_Toc294004811"/>
                  <w:bookmarkStart w:id="387" w:name="_Toc294185307"/>
                  <w:bookmarkStart w:id="388" w:name="_Toc324767173"/>
                  <w:bookmarkStart w:id="389" w:name="_Toc324768031"/>
                  <w:bookmarkEnd w:id="377"/>
                  <w:r>
                    <w:t>1.2.3.1. Les intervenants de la Direction générale de l’Enseignement obligatoire</w:t>
                  </w:r>
                  <w:bookmarkEnd w:id="378"/>
                  <w:bookmarkEnd w:id="379"/>
                  <w:bookmarkEnd w:id="380"/>
                  <w:bookmarkEnd w:id="381"/>
                  <w:bookmarkEnd w:id="382"/>
                  <w:bookmarkEnd w:id="383"/>
                  <w:bookmarkEnd w:id="384"/>
                  <w:bookmarkEnd w:id="385"/>
                  <w:bookmarkEnd w:id="386"/>
                  <w:bookmarkEnd w:id="387"/>
                  <w:bookmarkEnd w:id="388"/>
                  <w:bookmarkEnd w:id="389"/>
                  <w:r>
                    <w:t> </w:t>
                  </w:r>
                </w:p>
                <w:p w:rsidR="00F04EEF" w:rsidRDefault="00F04EEF">
                  <w:pPr>
                    <w:jc w:val="both"/>
                    <w:rPr>
                      <w:b/>
                      <w:u w:val="single"/>
                    </w:rPr>
                  </w:pPr>
                </w:p>
                <w:p w:rsidR="00F04EEF" w:rsidRDefault="0099351E">
                  <w:pPr>
                    <w:jc w:val="both"/>
                    <w:rPr>
                      <w:rFonts w:cs="Arial"/>
                    </w:rPr>
                  </w:pPr>
                  <w:bookmarkStart w:id="390" w:name="_Toc291075500"/>
                  <w:bookmarkStart w:id="391" w:name="_Toc291075924"/>
                  <w:bookmarkStart w:id="392" w:name="_Toc291076348"/>
                  <w:bookmarkStart w:id="393" w:name="_Toc291076772"/>
                  <w:bookmarkStart w:id="394" w:name="_Toc291077196"/>
                  <w:bookmarkStart w:id="395" w:name="_Toc293652039"/>
                  <w:bookmarkStart w:id="396" w:name="_Toc293653621"/>
                  <w:bookmarkStart w:id="397" w:name="_Toc293654232"/>
                  <w:bookmarkStart w:id="398" w:name="_Toc294004812"/>
                  <w:bookmarkStart w:id="399" w:name="_Toc294185308"/>
                  <w:bookmarkStart w:id="400" w:name="_Toc324767174"/>
                  <w:bookmarkStart w:id="401" w:name="_Toc324768032"/>
                  <w:r>
                    <w:rPr>
                      <w:rFonts w:cs="Arial"/>
                    </w:rPr>
                    <w:t xml:space="preserve">Dans le traitement de situations individuelles, </w:t>
                  </w:r>
                  <w:r>
                    <w:rPr>
                      <w:rFonts w:cs="Arial"/>
                      <w:b/>
                    </w:rPr>
                    <w:t>notamment</w:t>
                  </w:r>
                  <w:r>
                    <w:rPr>
                      <w:rFonts w:cs="Arial"/>
                    </w:rPr>
                    <w:t xml:space="preserve"> d’absentéisme ou de décrochage scolaire, et lorsqu’il l’estime nécessaire, le chef d’établissement peut, outre l’intervention du CPMS</w:t>
                  </w:r>
                  <w:r>
                    <w:rPr>
                      <w:rStyle w:val="Appelnotedebasdep1"/>
                    </w:rPr>
                    <w:footnoteReference w:id="33"/>
                  </w:r>
                  <w:r>
                    <w:rPr>
                      <w:rFonts w:cs="Arial"/>
                    </w:rPr>
                    <w:t>, demander dans un second temps auprès de la Direction générale de l’enseignement obligatoire, le concours de personnes extérieures à l’école en vue de recevoir une aide à la remobilisation scolaire de l’élève absent ou en décrochage scolaire.</w:t>
                  </w:r>
                </w:p>
                <w:p w:rsidR="00F04EEF" w:rsidRDefault="00F04EEF">
                  <w:pPr>
                    <w:jc w:val="both"/>
                    <w:rPr>
                      <w:rFonts w:cs="Arial"/>
                    </w:rPr>
                  </w:pPr>
                </w:p>
                <w:p w:rsidR="00F04EEF" w:rsidRDefault="0099351E">
                  <w:pPr>
                    <w:jc w:val="both"/>
                    <w:rPr>
                      <w:rFonts w:cs="Arial"/>
                    </w:rPr>
                  </w:pPr>
                  <w:r>
                    <w:rPr>
                      <w:rFonts w:cs="Arial"/>
                    </w:rPr>
                    <w:t>Il s’agit de la médiation scolaire pour l’enseignement secondaire et des équipes mobiles (si l’élève est non-inscrit ou inscrit dans un établissement scolaire mais qu’il ne l’a de fait pas fréquenté).</w:t>
                  </w:r>
                  <w:r>
                    <w:rPr>
                      <w:rStyle w:val="Appelnotedebasdep1"/>
                    </w:rPr>
                    <w:footnoteReference w:id="34"/>
                  </w:r>
                </w:p>
                <w:p w:rsidR="00F04EEF" w:rsidRDefault="0099351E">
                  <w:pPr>
                    <w:jc w:val="both"/>
                    <w:rPr>
                      <w:rFonts w:cs="Arial"/>
                    </w:rPr>
                  </w:pPr>
                  <w:r>
                    <w:rPr>
                      <w:rFonts w:cs="Arial"/>
                    </w:rPr>
                    <w:t xml:space="preserve">La </w:t>
                  </w:r>
                  <w:hyperlink r:id="rId25" w:history="1">
                    <w:r>
                      <w:rPr>
                        <w:rStyle w:val="Lienhypertexte"/>
                        <w:rFonts w:cs="Arial"/>
                      </w:rPr>
                      <w:t>circulaire 4961 du 26 août 2014</w:t>
                    </w:r>
                  </w:hyperlink>
                  <w:r>
                    <w:rPr>
                      <w:rFonts w:cs="Arial"/>
                    </w:rPr>
                    <w:t xml:space="preserve"> </w:t>
                  </w:r>
                  <w:proofErr w:type="gramStart"/>
                  <w:r>
                    <w:rPr>
                      <w:rFonts w:cs="Arial"/>
                    </w:rPr>
                    <w:t>présente</w:t>
                  </w:r>
                  <w:proofErr w:type="gramEnd"/>
                  <w:r>
                    <w:rPr>
                      <w:rFonts w:cs="Arial"/>
                    </w:rPr>
                    <w:t xml:space="preserve"> toutes </w:t>
                  </w:r>
                  <w:r>
                    <w:rPr>
                      <w:rFonts w:cs="Arial"/>
                      <w:b/>
                    </w:rPr>
                    <w:t>les missions</w:t>
                  </w:r>
                  <w:r>
                    <w:rPr>
                      <w:rFonts w:cs="Arial"/>
                    </w:rPr>
                    <w:t xml:space="preserve"> de ces deux services ainsi que les modalités de contact. </w:t>
                  </w:r>
                  <w:r>
                    <w:rPr>
                      <w:iCs/>
                    </w:rPr>
                    <w:t>A noter que dans le cadre de situations liées à de l’absentéisme scolaire ou du décrochage scolaire, le Service de médiation scolaire poursuit l’objectif de recréer du lien entre la famille/l’élève et l’école. Lorsque des éléments relationnels (conflit, tensions) sous-tendent l’absentéisme, ils peuvent être travaillés en médiation entre les protagonistes concernés.</w:t>
                  </w:r>
                </w:p>
                <w:p w:rsidR="00F04EEF" w:rsidRDefault="0099351E">
                  <w:pPr>
                    <w:jc w:val="both"/>
                    <w:rPr>
                      <w:rFonts w:cs="Arial"/>
                      <w:iCs/>
                    </w:rPr>
                  </w:pPr>
                  <w:r>
                    <w:rPr>
                      <w:rFonts w:cs="Arial"/>
                      <w:iCs/>
                    </w:rPr>
                    <w:t>Lorsque d’autres facteurs (problématiques économiques, sociales, familiales), sont à l’origine de l’absentéisme, le médiateur travaillera le relais vers les services de première ligne adéquats.</w:t>
                  </w:r>
                </w:p>
                <w:p w:rsidR="00F04EEF" w:rsidRDefault="0099351E">
                  <w:pPr>
                    <w:jc w:val="both"/>
                    <w:rPr>
                      <w:b/>
                      <w:u w:val="single"/>
                    </w:rPr>
                  </w:pPr>
                  <w:r>
                    <w:rPr>
                      <w:rFonts w:cs="Arial"/>
                      <w:iCs/>
                    </w:rPr>
                    <w:t>Le rôle du médiateur n’est donc pas d’assurer l’accompagnement à long terme de l’élève mais de proposer un processus de médiation entre lui et l’école ou entre lui et le(s) service(s) d’aide approprié(s).</w:t>
                  </w:r>
                </w:p>
                <w:p w:rsidR="00F04EEF" w:rsidRDefault="0099351E">
                  <w:pPr>
                    <w:pStyle w:val="Titre6"/>
                  </w:pPr>
                  <w:r>
                    <w:t>1.2.3.2. Les services d’accrochage scolaire</w:t>
                  </w:r>
                  <w:r>
                    <w:rPr>
                      <w:rStyle w:val="Appelnotedebasdep1"/>
                      <w:b w:val="0"/>
                      <w:color w:val="000000"/>
                      <w:szCs w:val="22"/>
                    </w:rPr>
                    <w:footnoteReference w:id="35"/>
                  </w:r>
                  <w:r>
                    <w:t> (SAS) : mineur exclu ou en situation de crise</w:t>
                  </w:r>
                  <w:bookmarkEnd w:id="390"/>
                  <w:bookmarkEnd w:id="391"/>
                  <w:bookmarkEnd w:id="392"/>
                  <w:bookmarkEnd w:id="393"/>
                  <w:bookmarkEnd w:id="394"/>
                  <w:bookmarkEnd w:id="395"/>
                  <w:bookmarkEnd w:id="396"/>
                  <w:bookmarkEnd w:id="397"/>
                  <w:bookmarkEnd w:id="398"/>
                  <w:bookmarkEnd w:id="399"/>
                  <w:bookmarkEnd w:id="400"/>
                  <w:bookmarkEnd w:id="401"/>
                </w:p>
                <w:p w:rsidR="00F04EEF" w:rsidRDefault="00F04EEF">
                  <w:pPr>
                    <w:jc w:val="both"/>
                    <w:rPr>
                      <w:b/>
                      <w:u w:val="single"/>
                    </w:rPr>
                  </w:pPr>
                </w:p>
                <w:p w:rsidR="00F04EEF" w:rsidRDefault="0099351E">
                  <w:pPr>
                    <w:tabs>
                      <w:tab w:val="left" w:pos="3420"/>
                    </w:tabs>
                    <w:jc w:val="both"/>
                    <w:rPr>
                      <w:rFonts w:cs="Arial"/>
                    </w:rPr>
                  </w:pPr>
                  <w:r>
                    <w:rPr>
                      <w:rFonts w:cs="Arial"/>
                    </w:rPr>
                    <w:t>Un mineur exclu de son établissement scolaire en absentéisme/décrochage scolaire ou en situation de crise</w:t>
                  </w:r>
                  <w:r>
                    <w:rPr>
                      <w:rStyle w:val="Caractresdenotedebasdepage"/>
                      <w:rFonts w:cs="Arial"/>
                    </w:rPr>
                    <w:footnoteReference w:id="36"/>
                  </w:r>
                  <w:r>
                    <w:rPr>
                      <w:rFonts w:cs="Arial"/>
                    </w:rPr>
                    <w:t xml:space="preserve"> peut être orienté par l’intermédiaire de ses parents, de la personne investie de l’autorité parentale ou qui assume la garde en fait du mineur, vers un service d’accrochage scolaire, </w:t>
                  </w:r>
                  <w:r>
                    <w:rPr>
                      <w:rFonts w:cs="Arial"/>
                      <w:b/>
                      <w:bCs/>
                    </w:rPr>
                    <w:t>sur base volontaire</w:t>
                  </w:r>
                  <w:r>
                    <w:rPr>
                      <w:rFonts w:cs="Arial"/>
                    </w:rPr>
                    <w:t xml:space="preserve"> de ces derniers et du mineur. </w:t>
                  </w:r>
                </w:p>
                <w:p w:rsidR="00F04EEF" w:rsidRDefault="00F04EEF">
                  <w:pPr>
                    <w:jc w:val="both"/>
                    <w:rPr>
                      <w:b/>
                      <w:u w:val="single"/>
                    </w:rPr>
                  </w:pPr>
                </w:p>
                <w:p w:rsidR="00F04EEF" w:rsidRDefault="0099351E">
                  <w:pPr>
                    <w:pStyle w:val="Titre7"/>
                  </w:pPr>
                  <w:bookmarkStart w:id="402" w:name="_1.2.3.2.1._Obligation_scolaire"/>
                  <w:bookmarkStart w:id="403" w:name="_Toc291075501"/>
                  <w:bookmarkStart w:id="404" w:name="_Toc291075925"/>
                  <w:bookmarkStart w:id="405" w:name="_Toc291076349"/>
                  <w:bookmarkStart w:id="406" w:name="_Toc291076773"/>
                  <w:bookmarkStart w:id="407" w:name="_Toc291077197"/>
                  <w:bookmarkStart w:id="408" w:name="_Toc293652040"/>
                  <w:bookmarkStart w:id="409" w:name="_Toc293653622"/>
                  <w:bookmarkStart w:id="410" w:name="_Toc293654233"/>
                  <w:bookmarkStart w:id="411" w:name="_Toc294004813"/>
                  <w:bookmarkStart w:id="412" w:name="_Toc294185309"/>
                  <w:bookmarkStart w:id="413" w:name="_Toc324767175"/>
                  <w:bookmarkStart w:id="414" w:name="_Toc324768033"/>
                  <w:bookmarkEnd w:id="402"/>
                  <w:r>
                    <w:t>1.2.3.2.1. Obligation scolaire et objectif de la prise en charge par un service d’accrochage scolaire</w:t>
                  </w:r>
                  <w:bookmarkEnd w:id="403"/>
                  <w:bookmarkEnd w:id="404"/>
                  <w:bookmarkEnd w:id="405"/>
                  <w:bookmarkEnd w:id="406"/>
                  <w:bookmarkEnd w:id="407"/>
                  <w:bookmarkEnd w:id="408"/>
                  <w:bookmarkEnd w:id="409"/>
                  <w:bookmarkEnd w:id="410"/>
                  <w:bookmarkEnd w:id="411"/>
                  <w:bookmarkEnd w:id="412"/>
                  <w:bookmarkEnd w:id="413"/>
                  <w:bookmarkEnd w:id="414"/>
                </w:p>
                <w:p w:rsidR="00F04EEF" w:rsidRDefault="00F04EEF">
                  <w:pPr>
                    <w:jc w:val="both"/>
                    <w:rPr>
                      <w:b/>
                      <w:u w:val="single"/>
                    </w:rPr>
                  </w:pPr>
                </w:p>
                <w:p w:rsidR="00F04EEF" w:rsidRDefault="0099351E">
                  <w:pPr>
                    <w:jc w:val="both"/>
                    <w:rPr>
                      <w:rFonts w:cs="Arial"/>
                    </w:rPr>
                  </w:pPr>
                  <w:r>
                    <w:rPr>
                      <w:rFonts w:cs="Arial"/>
                    </w:rPr>
                    <w:t>La prise en charge d’un mineur par un service d’accrochage scolaire satisfait pleinement à l’obligation scolaire, c’est une aide sociale, éducative et pédagogique, qui consiste en l’accueil en journée et un accompagnement en lien avec le milieu familial ou de vie du jeune.</w:t>
                  </w:r>
                </w:p>
                <w:p w:rsidR="00F04EEF" w:rsidRDefault="00F04EEF">
                  <w:pPr>
                    <w:jc w:val="both"/>
                    <w:rPr>
                      <w:rFonts w:cs="Arial"/>
                    </w:rPr>
                  </w:pPr>
                </w:p>
                <w:p w:rsidR="00F04EEF" w:rsidRDefault="0099351E">
                  <w:pPr>
                    <w:pStyle w:val="Titre7"/>
                  </w:pPr>
                  <w:bookmarkStart w:id="415" w:name="_1.2.3.2.2._Partenariat_entre"/>
                  <w:bookmarkStart w:id="416" w:name="_Toc291075502"/>
                  <w:bookmarkStart w:id="417" w:name="_Toc291075926"/>
                  <w:bookmarkStart w:id="418" w:name="_Toc291076350"/>
                  <w:bookmarkStart w:id="419" w:name="_Toc291076774"/>
                  <w:bookmarkStart w:id="420" w:name="_Toc291077198"/>
                  <w:bookmarkStart w:id="421" w:name="_Toc293652041"/>
                  <w:bookmarkStart w:id="422" w:name="_Toc293653623"/>
                  <w:bookmarkStart w:id="423" w:name="_Toc293654234"/>
                  <w:bookmarkStart w:id="424" w:name="_Toc294004814"/>
                  <w:bookmarkStart w:id="425" w:name="_Toc294185310"/>
                  <w:bookmarkStart w:id="426" w:name="_Toc324767176"/>
                  <w:bookmarkStart w:id="427" w:name="_Toc324768034"/>
                  <w:bookmarkEnd w:id="415"/>
                  <w:r>
                    <w:t>1.2.3.2.2. Partenariat entre l’établissement scolaire et le service d’accrochage scolaire</w:t>
                  </w:r>
                  <w:bookmarkEnd w:id="416"/>
                  <w:bookmarkEnd w:id="417"/>
                  <w:bookmarkEnd w:id="418"/>
                  <w:bookmarkEnd w:id="419"/>
                  <w:bookmarkEnd w:id="420"/>
                  <w:bookmarkEnd w:id="421"/>
                  <w:bookmarkEnd w:id="422"/>
                  <w:bookmarkEnd w:id="423"/>
                  <w:bookmarkEnd w:id="424"/>
                  <w:bookmarkEnd w:id="425"/>
                  <w:bookmarkEnd w:id="426"/>
                  <w:bookmarkEnd w:id="427"/>
                </w:p>
                <w:p w:rsidR="00F04EEF" w:rsidRDefault="00F04EEF">
                  <w:pPr>
                    <w:pStyle w:val="2"/>
                    <w:jc w:val="both"/>
                    <w:rPr>
                      <w:rFonts w:asciiTheme="majorHAnsi" w:hAnsiTheme="majorHAnsi"/>
                      <w:sz w:val="22"/>
                      <w:szCs w:val="22"/>
                      <w:lang w:val="fr-BE"/>
                    </w:rPr>
                  </w:pPr>
                </w:p>
                <w:p w:rsidR="00F04EEF" w:rsidRDefault="0099351E">
                  <w:pPr>
                    <w:jc w:val="both"/>
                    <w:rPr>
                      <w:rFonts w:cs="Arial"/>
                    </w:rPr>
                  </w:pPr>
                  <w:r>
                    <w:rPr>
                      <w:rFonts w:cs="Arial"/>
                    </w:rPr>
                    <w:t>Durant cette prise en charge, le service d’accrochage scolaire veille à organiser un partenariat avec l’établissement d’enseignement du mineur (par ex. : fréquenté avant ou après la prise en charge) ou tout autre établissement scolaire afin qu’il puisse continuer son apprentissage.</w:t>
                  </w:r>
                </w:p>
                <w:p w:rsidR="00F04EEF" w:rsidRDefault="00F04EEF">
                  <w:pPr>
                    <w:jc w:val="both"/>
                    <w:rPr>
                      <w:rFonts w:cs="Arial"/>
                    </w:rPr>
                  </w:pPr>
                </w:p>
                <w:p w:rsidR="00F04EEF" w:rsidRDefault="0099351E">
                  <w:pPr>
                    <w:jc w:val="both"/>
                    <w:rPr>
                      <w:rFonts w:cs="Arial"/>
                    </w:rPr>
                  </w:pPr>
                  <w:r>
                    <w:rPr>
                      <w:rFonts w:cs="Arial"/>
                    </w:rPr>
                    <w:t>Le partenariat peut notamment porter sur la fourniture de documents pédagogiques ou sur l’intervention de membres du personnel enseignant et auxiliaire d’éducation dans le cadre des activités mises en place par le service d’accrochage scolaire.</w:t>
                  </w:r>
                </w:p>
                <w:p w:rsidR="00F04EEF" w:rsidRDefault="00F04EEF">
                  <w:pPr>
                    <w:jc w:val="both"/>
                    <w:rPr>
                      <w:rFonts w:cs="Arial"/>
                    </w:rPr>
                  </w:pPr>
                </w:p>
                <w:p w:rsidR="00F04EEF" w:rsidRDefault="0099351E">
                  <w:pPr>
                    <w:tabs>
                      <w:tab w:val="num" w:pos="3420"/>
                    </w:tabs>
                    <w:spacing w:after="120"/>
                    <w:jc w:val="both"/>
                    <w:rPr>
                      <w:rFonts w:cs="Arial"/>
                    </w:rPr>
                  </w:pPr>
                  <w:r>
                    <w:rPr>
                      <w:rFonts w:cs="Arial"/>
                    </w:rPr>
                    <w:t>Dans le mois qui suit la date de prise en charge du mineur, le service d’accrochage scolaire prend contact avec les partenaires impliqués pour les informer des actions entreprises.</w:t>
                  </w:r>
                </w:p>
                <w:p w:rsidR="00F04EEF" w:rsidRDefault="0099351E">
                  <w:pPr>
                    <w:jc w:val="both"/>
                    <w:rPr>
                      <w:rFonts w:cs="Arial"/>
                    </w:rPr>
                  </w:pPr>
                  <w:r>
                    <w:rPr>
                      <w:rFonts w:cs="Arial"/>
                    </w:rPr>
                    <w:t>Des bilans</w:t>
                  </w:r>
                  <w:r>
                    <w:rPr>
                      <w:rStyle w:val="Appelnotedebasdep1"/>
                    </w:rPr>
                    <w:footnoteReference w:id="37"/>
                  </w:r>
                  <w:r>
                    <w:rPr>
                      <w:rFonts w:cs="Arial"/>
                    </w:rPr>
                    <w:t xml:space="preserve"> sont transmis par le service d’accrochage scolaire aux partenaires impliqués, dont l’établissement scolaire concerné, pendant la prise en charge du mineur.</w:t>
                  </w:r>
                </w:p>
                <w:p w:rsidR="00F04EEF" w:rsidRDefault="00F04EEF">
                  <w:pPr>
                    <w:jc w:val="both"/>
                    <w:rPr>
                      <w:rFonts w:cs="Arial"/>
                    </w:rPr>
                  </w:pPr>
                </w:p>
                <w:p w:rsidR="00F04EEF" w:rsidRDefault="0099351E">
                  <w:pPr>
                    <w:jc w:val="both"/>
                    <w:rPr>
                      <w:rFonts w:cs="Arial"/>
                    </w:rPr>
                  </w:pPr>
                  <w:r>
                    <w:rPr>
                      <w:rFonts w:cs="Arial"/>
                    </w:rPr>
                    <w:t>Ces bilans sont, au moins, au nombre de deux :</w:t>
                  </w:r>
                </w:p>
                <w:p w:rsidR="00F04EEF" w:rsidRDefault="00F04EEF">
                  <w:pPr>
                    <w:jc w:val="both"/>
                    <w:rPr>
                      <w:rFonts w:cs="Arial"/>
                    </w:rPr>
                  </w:pPr>
                </w:p>
                <w:p w:rsidR="00F04EEF" w:rsidRDefault="0099351E">
                  <w:pPr>
                    <w:numPr>
                      <w:ilvl w:val="0"/>
                      <w:numId w:val="100"/>
                    </w:numPr>
                    <w:tabs>
                      <w:tab w:val="clear" w:pos="360"/>
                      <w:tab w:val="num" w:pos="851"/>
                    </w:tabs>
                    <w:suppressAutoHyphens/>
                    <w:ind w:left="567" w:hanging="425"/>
                    <w:jc w:val="both"/>
                    <w:rPr>
                      <w:rFonts w:cs="Arial"/>
                    </w:rPr>
                  </w:pPr>
                  <w:r>
                    <w:rPr>
                      <w:rFonts w:cs="Arial"/>
                    </w:rPr>
                    <w:t xml:space="preserve">un premier bilan </w:t>
                  </w:r>
                  <w:r>
                    <w:t xml:space="preserve">au plus tard à l’échéance des trois mois qui suit </w:t>
                  </w:r>
                  <w:r>
                    <w:rPr>
                      <w:rFonts w:cs="Arial"/>
                    </w:rPr>
                    <w:t>la date de prise en charge du mineur ;</w:t>
                  </w:r>
                </w:p>
                <w:p w:rsidR="00F04EEF" w:rsidRDefault="0099351E">
                  <w:pPr>
                    <w:numPr>
                      <w:ilvl w:val="0"/>
                      <w:numId w:val="100"/>
                    </w:numPr>
                    <w:tabs>
                      <w:tab w:val="clear" w:pos="360"/>
                      <w:tab w:val="num" w:pos="851"/>
                    </w:tabs>
                    <w:suppressAutoHyphens/>
                    <w:ind w:left="567" w:hanging="425"/>
                    <w:jc w:val="both"/>
                    <w:rPr>
                      <w:rFonts w:cs="Arial"/>
                    </w:rPr>
                  </w:pPr>
                  <w:r>
                    <w:rPr>
                      <w:rFonts w:cs="Arial"/>
                    </w:rPr>
                    <w:t xml:space="preserve">un second bilan </w:t>
                  </w:r>
                  <w:r>
                    <w:t>en fin de prise en charge par le service d’accrochage scolaire</w:t>
                  </w:r>
                  <w:r>
                    <w:rPr>
                      <w:rFonts w:cs="Arial"/>
                    </w:rPr>
                    <w:t>.</w:t>
                  </w:r>
                </w:p>
                <w:p w:rsidR="00F04EEF" w:rsidRDefault="00F04EEF">
                  <w:pPr>
                    <w:jc w:val="both"/>
                    <w:rPr>
                      <w:rFonts w:cs="Arial"/>
                    </w:rPr>
                  </w:pPr>
                </w:p>
                <w:p w:rsidR="00F04EEF" w:rsidRDefault="0099351E">
                  <w:pPr>
                    <w:jc w:val="both"/>
                    <w:rPr>
                      <w:rFonts w:cs="Arial"/>
                    </w:rPr>
                  </w:pPr>
                  <w:r>
                    <w:rPr>
                      <w:rFonts w:cs="Arial"/>
                    </w:rPr>
                    <w:t>Les travailleurs du service d’accrochage scolaire respectent le secret professionnel et le code de déontologie de l’Aide à la Jeunesse. Ce sont donc des informations de type pédagogique qui sont communiquées à l’établissement scolaire.</w:t>
                  </w:r>
                </w:p>
                <w:p w:rsidR="00F04EEF" w:rsidRDefault="00F04EEF">
                  <w:pPr>
                    <w:jc w:val="both"/>
                  </w:pPr>
                </w:p>
                <w:p w:rsidR="00F04EEF" w:rsidRDefault="0099351E">
                  <w:pPr>
                    <w:jc w:val="both"/>
                    <w:rPr>
                      <w:rFonts w:cs="Arial"/>
                    </w:rPr>
                  </w:pPr>
                  <w:r>
                    <w:rPr>
                      <w:noProof/>
                      <w:lang w:eastAsia="fr-BE"/>
                    </w:rPr>
                    <mc:AlternateContent>
                      <mc:Choice Requires="wps">
                        <w:drawing>
                          <wp:anchor distT="4294967295" distB="4294967295" distL="114299" distR="114299" simplePos="0" relativeHeight="251695104" behindDoc="0" locked="0" layoutInCell="1" allowOverlap="1">
                            <wp:simplePos x="0" y="0"/>
                            <wp:positionH relativeFrom="column">
                              <wp:posOffset>6629399</wp:posOffset>
                            </wp:positionH>
                            <wp:positionV relativeFrom="paragraph">
                              <wp:posOffset>104774</wp:posOffset>
                            </wp:positionV>
                            <wp:extent cx="0" cy="0"/>
                            <wp:effectExtent l="0" t="0" r="0" b="0"/>
                            <wp:wrapNone/>
                            <wp:docPr id="155" name="Connecteur droit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85C306" id="Connecteur droit 155" o:spid="_x0000_s1026" style="position:absolute;z-index:251695104;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522pt,8.25pt" to="52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" strokeweight=".26mm">
                            <v:stroke joinstyle="miter"/>
                          </v:line>
                        </w:pict>
                      </mc:Fallback>
                    </mc:AlternateContent>
                  </w:r>
                  <w:r>
                    <w:rPr>
                      <w:rFonts w:cs="Arial"/>
                    </w:rPr>
                    <w:t>Quelles sont les conditions pour qu’un mineur en âge d’obligation scolaire puisse être temporairement accueilli par un service d’accrochage scolaire tout en répondant à cette obligation ?</w:t>
                  </w:r>
                </w:p>
                <w:p w:rsidR="00F04EEF" w:rsidRDefault="0099351E">
                  <w:pPr>
                    <w:jc w:val="both"/>
                    <w:rPr>
                      <w:rFonts w:cs="Arial"/>
                    </w:rPr>
                  </w:pPr>
                  <w:r>
                    <w:rPr>
                      <w:rFonts w:cs="Arial"/>
                      <w:noProof/>
                      <w:lang w:eastAsia="fr-BE"/>
                    </w:rPr>
                    <mc:AlternateContent>
                      <mc:Choice Requires="wps">
                        <w:drawing>
                          <wp:anchor distT="0" distB="0" distL="114300" distR="114300" simplePos="0" relativeHeight="252149760" behindDoc="0" locked="0" layoutInCell="1" allowOverlap="1">
                            <wp:simplePos x="0" y="0"/>
                            <wp:positionH relativeFrom="column">
                              <wp:posOffset>6252845</wp:posOffset>
                            </wp:positionH>
                            <wp:positionV relativeFrom="paragraph">
                              <wp:posOffset>150495</wp:posOffset>
                            </wp:positionV>
                            <wp:extent cx="0" cy="428625"/>
                            <wp:effectExtent l="0" t="0" r="19050" b="28575"/>
                            <wp:wrapNone/>
                            <wp:docPr id="470" name="Connecteur droit 470"/>
                            <wp:cNvGraphicFramePr/>
                            <a:graphic xmlns:a="http://schemas.openxmlformats.org/drawingml/2006/main">
                              <a:graphicData uri="http://schemas.microsoft.com/office/word/2010/wordprocessingShape">
                                <wps:wsp>
                                  <wps:cNvCnPr/>
                                  <wps:spPr>
                                    <a:xfrm>
                                      <a:off x="0" y="0"/>
                                      <a:ext cx="0" cy="4286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7B1073" id="Connecteur droit 470" o:spid="_x0000_s1026" style="position:absolute;z-index:252149760;visibility:visible;mso-wrap-style:square;mso-wrap-distance-left:9pt;mso-wrap-distance-top:0;mso-wrap-distance-right:9pt;mso-wrap-distance-bottom:0;mso-position-horizontal:absolute;mso-position-horizontal-relative:text;mso-position-vertical:absolute;mso-position-vertical-relative:text" from="492.35pt,11.85pt" to="492.35pt,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" strokecolor="black [3213]"/>
                        </w:pict>
                      </mc:Fallback>
                    </mc:AlternateContent>
                  </w:r>
                </w:p>
                <w:p w:rsidR="00F04EEF" w:rsidRDefault="0099351E">
                  <w:pPr>
                    <w:jc w:val="both"/>
                    <w:rPr>
                      <w:b/>
                    </w:rPr>
                  </w:pPr>
                  <w:bookmarkStart w:id="428" w:name="_Toc291075503"/>
                  <w:bookmarkStart w:id="429" w:name="_Toc291075927"/>
                  <w:bookmarkStart w:id="430" w:name="_Toc291076351"/>
                  <w:bookmarkStart w:id="431" w:name="_Toc291076775"/>
                  <w:bookmarkStart w:id="432" w:name="_Toc291077199"/>
                  <w:bookmarkStart w:id="433" w:name="_Toc293652042"/>
                  <w:bookmarkStart w:id="434" w:name="_Toc293653624"/>
                  <w:bookmarkStart w:id="435" w:name="_Toc293654235"/>
                  <w:bookmarkStart w:id="436" w:name="_Toc294004815"/>
                  <w:bookmarkStart w:id="437" w:name="_Toc294185311"/>
                  <w:bookmarkStart w:id="438" w:name="_Toc324767177"/>
                  <w:bookmarkStart w:id="439" w:name="_Toc324768035"/>
                  <w:r>
                    <w:rPr>
                      <w:b/>
                    </w:rPr>
                    <w:t xml:space="preserve">a. En cas d’exclusion d’un élève. </w:t>
                  </w:r>
                  <w:bookmarkEnd w:id="428"/>
                  <w:bookmarkEnd w:id="429"/>
                  <w:bookmarkEnd w:id="430"/>
                  <w:bookmarkEnd w:id="431"/>
                  <w:bookmarkEnd w:id="432"/>
                  <w:bookmarkEnd w:id="433"/>
                  <w:bookmarkEnd w:id="434"/>
                  <w:bookmarkEnd w:id="435"/>
                  <w:bookmarkEnd w:id="436"/>
                  <w:bookmarkEnd w:id="437"/>
                  <w:bookmarkEnd w:id="438"/>
                  <w:bookmarkEnd w:id="439"/>
                  <w:proofErr w:type="gramStart"/>
                  <w:r>
                    <w:rPr>
                      <w:b/>
                    </w:rPr>
                    <w:t>.(</w:t>
                  </w:r>
                  <w:proofErr w:type="gramEnd"/>
                  <w:r>
                    <w:rPr>
                      <w:b/>
                    </w:rPr>
                    <w:t>Art. 1.7.1-29  du Décret du 03/05/19 portant les livres 1er et 2 du Code de l'enseignement fondamental et de l'enseignement secondaire, et mettant en place le tronc commun).</w:t>
                  </w:r>
                </w:p>
                <w:p w:rsidR="00F04EEF" w:rsidRDefault="00F04EEF">
                  <w:pPr>
                    <w:jc w:val="both"/>
                    <w:rPr>
                      <w:rFonts w:asciiTheme="majorHAnsi" w:hAnsiTheme="majorHAnsi"/>
                    </w:rPr>
                  </w:pPr>
                </w:p>
                <w:p w:rsidR="00F04EEF" w:rsidRDefault="0099351E">
                  <w:pPr>
                    <w:jc w:val="both"/>
                    <w:rPr>
                      <w:rFonts w:cs="Arial"/>
                    </w:rPr>
                  </w:pPr>
                  <w:r>
                    <w:rPr>
                      <w:rFonts w:cs="Arial"/>
                    </w:rPr>
                    <w:t>Lorsqu’un mineur est exclu et que la Commission des inscriptions ou l’organe de représentation et de coordination des pouvoirs organisateurs compétents ne peut proposer à l’administration l’inscription de l’élève exclu dans un autre établissement de la Fédération Wallonie-Bruxelles, le Ministre peut considérer comme satisfaisant aux obligations relatives à la fréquentation scolaire la prise en charge pour une période ne pouvant dépasser trois mois, renouvelable une fois, du jeune.</w:t>
                  </w:r>
                </w:p>
                <w:p w:rsidR="00F04EEF" w:rsidRDefault="00F04EEF">
                  <w:pPr>
                    <w:jc w:val="both"/>
                    <w:rPr>
                      <w:rFonts w:cs="Arial"/>
                      <w:u w:val="single"/>
                    </w:rPr>
                  </w:pPr>
                </w:p>
                <w:bookmarkStart w:id="440" w:name="_Toc291075504"/>
                <w:bookmarkStart w:id="441" w:name="_Toc291075928"/>
                <w:bookmarkStart w:id="442" w:name="_Toc291076352"/>
                <w:bookmarkStart w:id="443" w:name="_Toc291076776"/>
                <w:bookmarkStart w:id="444" w:name="_Toc291077200"/>
                <w:bookmarkStart w:id="445" w:name="_Toc293652043"/>
                <w:bookmarkStart w:id="446" w:name="_Toc293653625"/>
                <w:bookmarkStart w:id="447" w:name="_Toc293654236"/>
                <w:bookmarkStart w:id="448" w:name="_Toc294004816"/>
                <w:bookmarkStart w:id="449" w:name="_Toc294185312"/>
                <w:bookmarkStart w:id="450" w:name="_Toc324767178"/>
                <w:bookmarkStart w:id="451" w:name="_Toc324768036"/>
                <w:p w:rsidR="00F04EEF" w:rsidRDefault="0099351E">
                  <w:pPr>
                    <w:jc w:val="both"/>
                    <w:rPr>
                      <w:b/>
                    </w:rPr>
                  </w:pPr>
                  <w:r>
                    <w:rPr>
                      <w:b/>
                      <w:noProof/>
                      <w:lang w:eastAsia="fr-BE"/>
                    </w:rPr>
                    <mc:AlternateContent>
                      <mc:Choice Requires="wps">
                        <w:drawing>
                          <wp:anchor distT="0" distB="0" distL="114300" distR="114300" simplePos="0" relativeHeight="252151808" behindDoc="0" locked="0" layoutInCell="1" allowOverlap="1">
                            <wp:simplePos x="0" y="0"/>
                            <wp:positionH relativeFrom="column">
                              <wp:posOffset>6290945</wp:posOffset>
                            </wp:positionH>
                            <wp:positionV relativeFrom="paragraph">
                              <wp:posOffset>222885</wp:posOffset>
                            </wp:positionV>
                            <wp:extent cx="0" cy="323850"/>
                            <wp:effectExtent l="0" t="0" r="19050" b="19050"/>
                            <wp:wrapNone/>
                            <wp:docPr id="472" name="Connecteur droit 472"/>
                            <wp:cNvGraphicFramePr/>
                            <a:graphic xmlns:a="http://schemas.openxmlformats.org/drawingml/2006/main">
                              <a:graphicData uri="http://schemas.microsoft.com/office/word/2010/wordprocessingShape">
                                <wps:wsp>
                                  <wps:cNvCnPr/>
                                  <wps:spPr>
                                    <a:xfrm>
                                      <a:off x="0" y="0"/>
                                      <a:ext cx="0" cy="323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CF7658" id="Connecteur droit 472" o:spid="_x0000_s1026" style="position:absolute;z-index:252151808;visibility:visible;mso-wrap-style:square;mso-wrap-distance-left:9pt;mso-wrap-distance-top:0;mso-wrap-distance-right:9pt;mso-wrap-distance-bottom:0;mso-position-horizontal:absolute;mso-position-horizontal-relative:text;mso-position-vertical:absolute;mso-position-vertical-relative:text" from="495.35pt,17.55pt" to="495.35pt,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" strokecolor="black [3213]"/>
                        </w:pict>
                      </mc:Fallback>
                    </mc:AlternateContent>
                  </w:r>
                  <w:r>
                    <w:rPr>
                      <w:b/>
                    </w:rPr>
                    <w:t>b. En cas de situation d’absentéisme, de crise ou  de décrochage scolaire</w:t>
                  </w:r>
                  <w:r>
                    <w:rPr>
                      <w:b/>
                      <w:color w:val="FF0000"/>
                    </w:rPr>
                    <w:t xml:space="preserve"> </w:t>
                  </w:r>
                  <w:r>
                    <w:rPr>
                      <w:b/>
                    </w:rPr>
                    <w:t xml:space="preserve">d’un élève mineur au sein d’un établissement scolaire. </w:t>
                  </w:r>
                  <w:bookmarkEnd w:id="440"/>
                  <w:bookmarkEnd w:id="441"/>
                  <w:bookmarkEnd w:id="442"/>
                  <w:bookmarkEnd w:id="443"/>
                  <w:bookmarkEnd w:id="444"/>
                  <w:bookmarkEnd w:id="445"/>
                  <w:bookmarkEnd w:id="446"/>
                  <w:bookmarkEnd w:id="447"/>
                  <w:bookmarkEnd w:id="448"/>
                  <w:bookmarkEnd w:id="449"/>
                  <w:bookmarkEnd w:id="450"/>
                  <w:bookmarkEnd w:id="451"/>
                  <w:r>
                    <w:rPr>
                      <w:b/>
                    </w:rPr>
                    <w:t>(Art. . 1.7.1-31 du Décret du 03/05/19 portant les livres 1er et 2 du Code de l'enseignement fondamental et de l'enseignement secondaire, et mettant en place le tronc commun)</w:t>
                  </w:r>
                </w:p>
                <w:p w:rsidR="00F04EEF" w:rsidRDefault="00F04EEF">
                  <w:pPr>
                    <w:pStyle w:val="2"/>
                    <w:jc w:val="both"/>
                    <w:rPr>
                      <w:rFonts w:asciiTheme="majorHAnsi" w:hAnsiTheme="majorHAnsi"/>
                      <w:sz w:val="22"/>
                      <w:szCs w:val="22"/>
                      <w:lang w:val="fr-BE"/>
                    </w:rPr>
                  </w:pPr>
                </w:p>
                <w:p w:rsidR="00F04EEF" w:rsidRDefault="0099351E">
                  <w:pPr>
                    <w:jc w:val="both"/>
                    <w:rPr>
                      <w:rFonts w:cs="Arial"/>
                    </w:rPr>
                  </w:pPr>
                  <w:r>
                    <w:rPr>
                      <w:rFonts w:cs="Arial"/>
                    </w:rPr>
                    <w:t>En cas de situation d’absentéisme, de crise ou de décrochage scolaire et sur demande conjointe du mineur, de ses parents ou de la personne investie de l’autorité parentale et du chef d’établissement, après avoir pris l’avis du conseil de classe et du C.P.M.S., le Ministre peut aussi autoriser un élève, qui reste régulièrement inscrit dans son établissement, à être pris en charge, pour une période ne dépassant pas trois mois, renouvelable une fois.</w:t>
                  </w:r>
                </w:p>
                <w:p w:rsidR="00F04EEF" w:rsidRDefault="00F04EEF">
                  <w:pPr>
                    <w:jc w:val="both"/>
                    <w:rPr>
                      <w:rFonts w:cs="Arial"/>
                    </w:rPr>
                  </w:pPr>
                </w:p>
                <w:bookmarkStart w:id="452" w:name="_Toc291075505"/>
                <w:bookmarkStart w:id="453" w:name="_Toc291075929"/>
                <w:bookmarkStart w:id="454" w:name="_Toc291076353"/>
                <w:bookmarkStart w:id="455" w:name="_Toc291076777"/>
                <w:bookmarkStart w:id="456" w:name="_Toc291077201"/>
                <w:bookmarkStart w:id="457" w:name="_Toc293652044"/>
                <w:bookmarkStart w:id="458" w:name="_Toc293653626"/>
                <w:bookmarkStart w:id="459" w:name="_Toc293654237"/>
                <w:bookmarkStart w:id="460" w:name="_Toc294004817"/>
                <w:bookmarkStart w:id="461" w:name="_Toc294185313"/>
                <w:bookmarkStart w:id="462" w:name="_Toc324767179"/>
                <w:bookmarkStart w:id="463" w:name="_Toc324768037"/>
                <w:p w:rsidR="00F04EEF" w:rsidRDefault="0099351E">
                  <w:pPr>
                    <w:jc w:val="both"/>
                    <w:rPr>
                      <w:b/>
                    </w:rPr>
                  </w:pPr>
                  <w:r>
                    <w:rPr>
                      <w:b/>
                      <w:noProof/>
                      <w:lang w:eastAsia="fr-BE"/>
                    </w:rPr>
                    <mc:AlternateContent>
                      <mc:Choice Requires="wps">
                        <w:drawing>
                          <wp:anchor distT="0" distB="0" distL="114300" distR="114300" simplePos="0" relativeHeight="252152832" behindDoc="0" locked="0" layoutInCell="1" allowOverlap="1">
                            <wp:simplePos x="0" y="0"/>
                            <wp:positionH relativeFrom="column">
                              <wp:posOffset>6290945</wp:posOffset>
                            </wp:positionH>
                            <wp:positionV relativeFrom="paragraph">
                              <wp:posOffset>353060</wp:posOffset>
                            </wp:positionV>
                            <wp:extent cx="0" cy="333375"/>
                            <wp:effectExtent l="0" t="0" r="19050" b="28575"/>
                            <wp:wrapNone/>
                            <wp:docPr id="473" name="Connecteur droit 473"/>
                            <wp:cNvGraphicFramePr/>
                            <a:graphic xmlns:a="http://schemas.openxmlformats.org/drawingml/2006/main">
                              <a:graphicData uri="http://schemas.microsoft.com/office/word/2010/wordprocessingShape">
                                <wps:wsp>
                                  <wps:cNvCnPr/>
                                  <wps:spPr>
                                    <a:xfrm>
                                      <a:off x="0" y="0"/>
                                      <a:ext cx="0" cy="333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6BAB4B" id="Connecteur droit 473" o:spid="_x0000_s1026" style="position:absolute;z-index:252152832;visibility:visible;mso-wrap-style:square;mso-wrap-distance-left:9pt;mso-wrap-distance-top:0;mso-wrap-distance-right:9pt;mso-wrap-distance-bottom:0;mso-position-horizontal:absolute;mso-position-horizontal-relative:text;mso-position-vertical:absolute;mso-position-vertical-relative:text" from="495.35pt,27.8pt" to="495.35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" strokecolor="black [3213]"/>
                        </w:pict>
                      </mc:Fallback>
                    </mc:AlternateContent>
                  </w:r>
                  <w:r>
                    <w:rPr>
                      <w:b/>
                    </w:rPr>
                    <w:t xml:space="preserve">c. En cas de décrochage scolaire d’un mineur qui est inscrit dans un établissement mais ne l’a pas de fait fréquenté sans motif valable ou qui n’est inscrit dans aucun établissement et qui n’est pas instruit à domicile. </w:t>
                  </w:r>
                  <w:bookmarkEnd w:id="452"/>
                  <w:bookmarkEnd w:id="453"/>
                  <w:bookmarkEnd w:id="454"/>
                  <w:bookmarkEnd w:id="455"/>
                  <w:bookmarkEnd w:id="456"/>
                  <w:bookmarkEnd w:id="457"/>
                  <w:bookmarkEnd w:id="458"/>
                  <w:bookmarkEnd w:id="459"/>
                  <w:bookmarkEnd w:id="460"/>
                  <w:bookmarkEnd w:id="461"/>
                  <w:bookmarkEnd w:id="462"/>
                  <w:bookmarkEnd w:id="463"/>
                  <w:r>
                    <w:rPr>
                      <w:b/>
                    </w:rPr>
                    <w:t>(Art. 1.7.1-30 du Décret du 03/05/19 portant les livres 1er et 2 du Code de l'enseignement fondamental et de l'enseignement secondaire, et mettant en place le tronc commun).</w:t>
                  </w:r>
                </w:p>
                <w:p w:rsidR="00F04EEF" w:rsidRDefault="00F04EEF">
                  <w:pPr>
                    <w:pStyle w:val="2"/>
                    <w:jc w:val="both"/>
                    <w:rPr>
                      <w:rFonts w:asciiTheme="majorHAnsi" w:hAnsiTheme="majorHAnsi"/>
                      <w:sz w:val="22"/>
                      <w:szCs w:val="22"/>
                      <w:lang w:val="fr-BE"/>
                    </w:rPr>
                  </w:pPr>
                </w:p>
                <w:p w:rsidR="00F04EEF" w:rsidRDefault="0099351E">
                  <w:pPr>
                    <w:jc w:val="both"/>
                    <w:rPr>
                      <w:rFonts w:cs="Arial"/>
                    </w:rPr>
                  </w:pPr>
                  <w:r>
                    <w:rPr>
                      <w:rFonts w:cs="Arial"/>
                    </w:rPr>
                    <w:t>En cas de situation d’un élève soumis à l’obligation scolaire qui</w:t>
                  </w:r>
                  <w:r>
                    <w:t xml:space="preserve"> </w:t>
                  </w:r>
                  <w:r>
                    <w:rPr>
                      <w:rFonts w:cs="Arial"/>
                    </w:rPr>
                    <w:t>est inscrit dans un établissement mais ne l’a pas de fait fréquenté sans motif valable ou bien qui  n’est inscrit dans aucun établissement et qui n’est pas instruit à domicile, sur demande conjointe du mineur et de ses parents ou de la personne investie de l’autorité parentale, et après avis favorable de la Commission des inscriptions ou de l’organe de représentation et de coordination des pouvoirs organisateurs compétents, le Ministre peut aussi autoriser un élève à être pris en charge, pour une période ne dépassant pas trois mois, renouvelable une fois.</w:t>
                  </w:r>
                </w:p>
                <w:p w:rsidR="00F04EEF" w:rsidRDefault="00F04EEF">
                  <w:pPr>
                    <w:jc w:val="both"/>
                    <w:rPr>
                      <w:rFonts w:cs="Arial"/>
                    </w:rPr>
                  </w:pPr>
                </w:p>
                <w:p w:rsidR="00F04EEF" w:rsidRDefault="0099351E">
                  <w:pPr>
                    <w:jc w:val="both"/>
                    <w:rPr>
                      <w:rFonts w:cs="Arial"/>
                    </w:rPr>
                  </w:pPr>
                  <w:r>
                    <w:rPr>
                      <w:rFonts w:cs="Arial"/>
                    </w:rPr>
                    <w:t>Pour ces trois types de situations, les prises en charge s’effectuent par :</w:t>
                  </w:r>
                </w:p>
                <w:p w:rsidR="00F04EEF" w:rsidRDefault="00F04EEF">
                  <w:pPr>
                    <w:jc w:val="both"/>
                    <w:rPr>
                      <w:rFonts w:cs="Arial"/>
                    </w:rPr>
                  </w:pPr>
                </w:p>
                <w:p w:rsidR="00F04EEF" w:rsidRDefault="0099351E">
                  <w:pPr>
                    <w:numPr>
                      <w:ilvl w:val="0"/>
                      <w:numId w:val="87"/>
                    </w:numPr>
                    <w:tabs>
                      <w:tab w:val="clear" w:pos="360"/>
                      <w:tab w:val="num" w:pos="900"/>
                    </w:tabs>
                    <w:suppressAutoHyphens/>
                    <w:ind w:left="851" w:hanging="851"/>
                    <w:jc w:val="both"/>
                    <w:rPr>
                      <w:rFonts w:cs="Arial"/>
                    </w:rPr>
                  </w:pPr>
                  <w:r>
                    <w:rPr>
                      <w:rFonts w:cs="Arial"/>
                    </w:rPr>
                    <w:t>des services qui apportent leur concours à l’exécution de décisions individuelles dans le cadre des programmes d’aide élaborés, soit par le conseiller de l’Aide à la jeunesse, soit par le directeur de l’Aide à la jeunesse, soit par le Tribunal de la jeunesse ;</w:t>
                  </w:r>
                </w:p>
                <w:p w:rsidR="00F04EEF" w:rsidRDefault="0099351E">
                  <w:pPr>
                    <w:numPr>
                      <w:ilvl w:val="0"/>
                      <w:numId w:val="87"/>
                    </w:numPr>
                    <w:tabs>
                      <w:tab w:val="clear" w:pos="360"/>
                      <w:tab w:val="num" w:pos="900"/>
                    </w:tabs>
                    <w:suppressAutoHyphens/>
                    <w:ind w:left="851" w:hanging="851"/>
                    <w:jc w:val="both"/>
                    <w:rPr>
                      <w:rFonts w:cs="Arial"/>
                    </w:rPr>
                  </w:pPr>
                  <w:r>
                    <w:rPr>
                      <w:rFonts w:cs="Arial"/>
                    </w:rPr>
                    <w:t>un service d’accrochage scolaire.</w:t>
                  </w:r>
                </w:p>
                <w:p w:rsidR="00F04EEF" w:rsidRDefault="00F04EEF">
                  <w:pPr>
                    <w:jc w:val="both"/>
                    <w:rPr>
                      <w:rFonts w:cs="Arial"/>
                    </w:rPr>
                  </w:pPr>
                </w:p>
                <w:p w:rsidR="00F04EEF" w:rsidRDefault="0099351E">
                  <w:pPr>
                    <w:jc w:val="both"/>
                    <w:rPr>
                      <w:rFonts w:cs="Arial"/>
                    </w:rPr>
                  </w:pPr>
                  <w:r>
                    <w:rPr>
                      <w:rFonts w:cs="Arial"/>
                    </w:rPr>
                    <w:t>Le conseiller de l’Aide à la jeunesse, le directeur de l’Aide à la jeunesse, le Tribunal de la jeunesse ou le service d’accrochage scolaire notifient au Ministre la date de début et de fin de prise en charge prévue.</w:t>
                  </w:r>
                </w:p>
                <w:p w:rsidR="00F04EEF" w:rsidRDefault="00F04EEF">
                  <w:pPr>
                    <w:jc w:val="both"/>
                    <w:rPr>
                      <w:rFonts w:cs="Arial"/>
                    </w:rPr>
                  </w:pPr>
                </w:p>
                <w:p w:rsidR="00F04EEF" w:rsidRDefault="0099351E">
                  <w:pPr>
                    <w:rPr>
                      <w:b/>
                    </w:rPr>
                  </w:pPr>
                  <w:bookmarkStart w:id="464" w:name="_Toc291075506"/>
                  <w:bookmarkStart w:id="465" w:name="_Toc291075930"/>
                  <w:bookmarkStart w:id="466" w:name="_Toc291076354"/>
                  <w:bookmarkStart w:id="467" w:name="_Toc291076778"/>
                  <w:bookmarkStart w:id="468" w:name="_Toc291077202"/>
                  <w:bookmarkStart w:id="469" w:name="_Toc293652045"/>
                  <w:bookmarkStart w:id="470" w:name="_Toc293653627"/>
                  <w:bookmarkStart w:id="471" w:name="_Toc293654238"/>
                  <w:bookmarkStart w:id="472" w:name="_Toc294004818"/>
                  <w:bookmarkStart w:id="473" w:name="_Toc294185314"/>
                  <w:bookmarkStart w:id="474" w:name="_Toc324767180"/>
                  <w:bookmarkStart w:id="475" w:name="_Toc324768038"/>
                  <w:r>
                    <w:rPr>
                      <w:b/>
                    </w:rPr>
                    <w:t>d. Remarque générale sur la durée des prises en charge</w:t>
                  </w:r>
                  <w:bookmarkEnd w:id="464"/>
                  <w:bookmarkEnd w:id="465"/>
                  <w:bookmarkEnd w:id="466"/>
                  <w:bookmarkEnd w:id="467"/>
                  <w:bookmarkEnd w:id="468"/>
                  <w:bookmarkEnd w:id="469"/>
                  <w:bookmarkEnd w:id="470"/>
                  <w:bookmarkEnd w:id="471"/>
                  <w:bookmarkEnd w:id="472"/>
                  <w:bookmarkEnd w:id="473"/>
                  <w:bookmarkEnd w:id="474"/>
                  <w:bookmarkEnd w:id="475"/>
                </w:p>
                <w:p w:rsidR="00F04EEF" w:rsidRDefault="00F04EEF">
                  <w:pPr>
                    <w:autoSpaceDE w:val="0"/>
                    <w:jc w:val="both"/>
                    <w:rPr>
                      <w:rFonts w:cs="Arial"/>
                    </w:rPr>
                  </w:pPr>
                </w:p>
                <w:p w:rsidR="00F04EEF" w:rsidRDefault="0099351E">
                  <w:pPr>
                    <w:autoSpaceDE w:val="0"/>
                    <w:jc w:val="both"/>
                    <w:rPr>
                      <w:rFonts w:cs="Arial"/>
                      <w:b/>
                      <w:u w:val="single"/>
                    </w:rPr>
                  </w:pPr>
                  <w:r>
                    <w:rPr>
                      <w:rFonts w:cs="Arial"/>
                    </w:rPr>
                    <w:t xml:space="preserve">La prise en charge d’un mineur par un service d’accrochage scolaire, toutes situations confondues, </w:t>
                  </w:r>
                  <w:r>
                    <w:rPr>
                      <w:rFonts w:cs="Arial"/>
                      <w:b/>
                      <w:u w:val="single"/>
                    </w:rPr>
                    <w:t>ne peut pas dépasser au total :</w:t>
                  </w:r>
                </w:p>
                <w:p w:rsidR="00F04EEF" w:rsidRDefault="00F04EEF">
                  <w:pPr>
                    <w:autoSpaceDE w:val="0"/>
                    <w:jc w:val="both"/>
                    <w:rPr>
                      <w:rFonts w:cs="Arial"/>
                      <w:b/>
                      <w:u w:val="single"/>
                    </w:rPr>
                  </w:pPr>
                </w:p>
                <w:p w:rsidR="00F04EEF" w:rsidRDefault="0099351E">
                  <w:pPr>
                    <w:numPr>
                      <w:ilvl w:val="0"/>
                      <w:numId w:val="87"/>
                    </w:numPr>
                    <w:tabs>
                      <w:tab w:val="clear" w:pos="360"/>
                      <w:tab w:val="num" w:pos="1080"/>
                    </w:tabs>
                    <w:suppressAutoHyphens/>
                    <w:ind w:left="0" w:firstLine="0"/>
                    <w:jc w:val="both"/>
                    <w:rPr>
                      <w:rFonts w:cs="Arial"/>
                      <w:b/>
                    </w:rPr>
                  </w:pPr>
                  <w:r>
                    <w:rPr>
                      <w:rFonts w:cs="Arial"/>
                      <w:b/>
                    </w:rPr>
                    <w:t>six mois par année scolaire ;</w:t>
                  </w:r>
                </w:p>
                <w:p w:rsidR="00F04EEF" w:rsidRDefault="0099351E">
                  <w:pPr>
                    <w:numPr>
                      <w:ilvl w:val="0"/>
                      <w:numId w:val="87"/>
                    </w:numPr>
                    <w:tabs>
                      <w:tab w:val="clear" w:pos="360"/>
                      <w:tab w:val="num" w:pos="1080"/>
                    </w:tabs>
                    <w:suppressAutoHyphens/>
                    <w:ind w:left="0" w:firstLine="0"/>
                    <w:jc w:val="both"/>
                  </w:pPr>
                  <w:r>
                    <w:rPr>
                      <w:rFonts w:cs="Arial"/>
                      <w:b/>
                    </w:rPr>
                    <w:t>une année sur l’ensemble de la scolarité du mineur ;</w:t>
                  </w:r>
                </w:p>
                <w:p w:rsidR="00F04EEF" w:rsidRDefault="00F04EEF">
                  <w:pPr>
                    <w:autoSpaceDE w:val="0"/>
                    <w:jc w:val="both"/>
                    <w:rPr>
                      <w:rFonts w:cs="Arial"/>
                    </w:rPr>
                  </w:pPr>
                </w:p>
                <w:p w:rsidR="00F04EEF" w:rsidRDefault="0099351E">
                  <w:pPr>
                    <w:autoSpaceDE w:val="0"/>
                    <w:jc w:val="both"/>
                    <w:rPr>
                      <w:rFonts w:cs="Arial"/>
                    </w:rPr>
                  </w:pPr>
                  <w:r>
                    <w:rPr>
                      <w:rFonts w:cs="Arial"/>
                    </w:rPr>
                    <w:t>Cela signifie, par exemple, que le mineur qui aura fréquenté deux services d’accrochage scolaire à des périodes différentes de sa scolarité, à chaque fois pendant une durée de 6 mois, ne pourra plus jamais en bénéficier.</w:t>
                  </w:r>
                </w:p>
                <w:p w:rsidR="00F04EEF" w:rsidRDefault="00F04EEF">
                  <w:pPr>
                    <w:autoSpaceDE w:val="0"/>
                    <w:jc w:val="both"/>
                    <w:rPr>
                      <w:rFonts w:cs="Arial"/>
                    </w:rPr>
                  </w:pPr>
                </w:p>
                <w:p w:rsidR="00F04EEF" w:rsidRDefault="0099351E">
                  <w:pPr>
                    <w:autoSpaceDE w:val="0"/>
                    <w:jc w:val="both"/>
                    <w:rPr>
                      <w:rFonts w:cs="Arial"/>
                      <w:b/>
                    </w:rPr>
                  </w:pPr>
                  <w:r>
                    <w:rPr>
                      <w:rFonts w:cs="Arial"/>
                      <w:b/>
                    </w:rPr>
                    <w:t>L’objectif de cette mesure est de permettre à un maximum de jeunes de recevoir de l’aide de ces structures.</w:t>
                  </w:r>
                </w:p>
                <w:p w:rsidR="00F04EEF" w:rsidRDefault="00F04EEF">
                  <w:pPr>
                    <w:autoSpaceDE w:val="0"/>
                    <w:autoSpaceDN w:val="0"/>
                    <w:adjustRightInd w:val="0"/>
                    <w:jc w:val="both"/>
                    <w:rPr>
                      <w:rFonts w:cs="Arial"/>
                    </w:rPr>
                  </w:pPr>
                </w:p>
                <w:p w:rsidR="00F04EEF" w:rsidRDefault="0099351E">
                  <w:pPr>
                    <w:rPr>
                      <w:rFonts w:cs="Arial"/>
                    </w:rPr>
                  </w:pPr>
                  <w:r>
                    <w:rPr>
                      <w:rFonts w:cs="Arial"/>
                    </w:rPr>
                    <w:br w:type="page"/>
                  </w:r>
                </w:p>
                <w:p w:rsidR="00F04EEF" w:rsidRDefault="0099351E">
                  <w:pPr>
                    <w:autoSpaceDE w:val="0"/>
                    <w:autoSpaceDN w:val="0"/>
                    <w:adjustRightInd w:val="0"/>
                    <w:jc w:val="both"/>
                    <w:rPr>
                      <w:rFonts w:cs="Arial"/>
                    </w:rPr>
                  </w:pPr>
                  <w:r>
                    <w:rPr>
                      <w:rFonts w:cs="Arial"/>
                    </w:rPr>
                    <w:t>Cependant, une dérogation peut être accordée à un jeune pour qu’il puisse bénéficier d’une prise en charge par le SAS prolongée au-delà du 15 avril et jusqu’à la fin de l’année scolaire en cours (même si la durée totale de cette prise en charge excède les trois mois renouvelables une fois sur l’année scolaire).</w:t>
                  </w:r>
                </w:p>
                <w:p w:rsidR="00F04EEF" w:rsidRDefault="0099351E">
                  <w:pPr>
                    <w:autoSpaceDE w:val="0"/>
                    <w:jc w:val="both"/>
                    <w:rPr>
                      <w:rFonts w:cs="Arial"/>
                    </w:rPr>
                  </w:pPr>
                  <w:r>
                    <w:rPr>
                      <w:rFonts w:cs="Arial"/>
                    </w:rPr>
                    <w:t>La période de prise en charge située pendant les vacances scolaires n’est pas prise en considération dans le calcul de la durée de prise en charge du mineur.</w:t>
                  </w:r>
                </w:p>
                <w:p w:rsidR="00F04EEF" w:rsidRDefault="00F04EEF">
                  <w:pPr>
                    <w:autoSpaceDE w:val="0"/>
                    <w:jc w:val="both"/>
                    <w:rPr>
                      <w:rFonts w:cs="Arial"/>
                    </w:rPr>
                  </w:pPr>
                </w:p>
                <w:p w:rsidR="00F04EEF" w:rsidRDefault="0099351E">
                  <w:pPr>
                    <w:rPr>
                      <w:b/>
                    </w:rPr>
                  </w:pPr>
                  <w:bookmarkStart w:id="476" w:name="_Toc291075507"/>
                  <w:bookmarkStart w:id="477" w:name="_Toc291075931"/>
                  <w:bookmarkStart w:id="478" w:name="_Toc291076355"/>
                  <w:bookmarkStart w:id="479" w:name="_Toc291076779"/>
                  <w:bookmarkStart w:id="480" w:name="_Toc291077203"/>
                  <w:bookmarkStart w:id="481" w:name="_Toc293652046"/>
                  <w:bookmarkStart w:id="482" w:name="_Toc293653628"/>
                  <w:bookmarkStart w:id="483" w:name="_Toc293654239"/>
                  <w:bookmarkStart w:id="484" w:name="_Toc294004819"/>
                  <w:bookmarkStart w:id="485" w:name="_Toc294185315"/>
                  <w:bookmarkStart w:id="486" w:name="_Toc324767181"/>
                  <w:bookmarkStart w:id="487" w:name="_Toc324768039"/>
                  <w:r>
                    <w:rPr>
                      <w:b/>
                    </w:rPr>
                    <w:t>e. Fin de la prise en charge</w:t>
                  </w:r>
                  <w:bookmarkEnd w:id="476"/>
                  <w:bookmarkEnd w:id="477"/>
                  <w:bookmarkEnd w:id="478"/>
                  <w:bookmarkEnd w:id="479"/>
                  <w:bookmarkEnd w:id="480"/>
                  <w:bookmarkEnd w:id="481"/>
                  <w:bookmarkEnd w:id="482"/>
                  <w:bookmarkEnd w:id="483"/>
                  <w:bookmarkEnd w:id="484"/>
                  <w:bookmarkEnd w:id="485"/>
                  <w:bookmarkEnd w:id="486"/>
                  <w:bookmarkEnd w:id="487"/>
                </w:p>
                <w:p w:rsidR="00F04EEF" w:rsidRDefault="00F04EEF">
                  <w:pPr>
                    <w:pStyle w:val="2"/>
                    <w:jc w:val="both"/>
                    <w:rPr>
                      <w:rFonts w:asciiTheme="majorHAnsi" w:hAnsiTheme="majorHAnsi"/>
                      <w:sz w:val="22"/>
                      <w:szCs w:val="22"/>
                      <w:lang w:val="fr-BE"/>
                    </w:rPr>
                  </w:pPr>
                </w:p>
                <w:p w:rsidR="00F04EEF" w:rsidRDefault="0099351E">
                  <w:pPr>
                    <w:jc w:val="both"/>
                    <w:rPr>
                      <w:rFonts w:cs="Arial"/>
                    </w:rPr>
                  </w:pPr>
                  <w:r>
                    <w:rPr>
                      <w:rFonts w:cs="Arial"/>
                    </w:rPr>
                    <w:t>La fin de l’accompagnement du mineur par le service d’accrochage scolaire est, sans préjudice des dispositions légales, déterminée par l’acquisition de compétences</w:t>
                  </w:r>
                  <w:r>
                    <w:t xml:space="preserve"> </w:t>
                  </w:r>
                  <w:r>
                    <w:rPr>
                      <w:rFonts w:cs="Arial"/>
                    </w:rPr>
                    <w:t>permettant au mineur de reprendre adéquatement sa scolarité.</w:t>
                  </w:r>
                </w:p>
                <w:p w:rsidR="00F04EEF" w:rsidRDefault="00F04EEF">
                  <w:pPr>
                    <w:jc w:val="both"/>
                    <w:rPr>
                      <w:rFonts w:cs="Arial"/>
                    </w:rPr>
                  </w:pPr>
                </w:p>
                <w:p w:rsidR="00F04EEF" w:rsidRDefault="0099351E">
                  <w:pPr>
                    <w:autoSpaceDE w:val="0"/>
                    <w:autoSpaceDN w:val="0"/>
                    <w:adjustRightInd w:val="0"/>
                    <w:jc w:val="both"/>
                    <w:rPr>
                      <w:rFonts w:cs="Arial"/>
                    </w:rPr>
                  </w:pPr>
                  <w:r>
                    <w:rPr>
                      <w:rFonts w:cs="Arial"/>
                    </w:rPr>
                    <w:t>Le retour de l’élève à l’école se fait après concertation entre l’élève, ses parents ou la personne investie de l’autorité parentale, le service d’accrochage scolaire et le chef d’établissement si l’élève est inscrit dans un établissement scolaire.</w:t>
                  </w:r>
                </w:p>
                <w:p w:rsidR="00F04EEF" w:rsidRDefault="00F04EEF">
                  <w:pPr>
                    <w:autoSpaceDE w:val="0"/>
                    <w:autoSpaceDN w:val="0"/>
                    <w:adjustRightInd w:val="0"/>
                    <w:jc w:val="both"/>
                    <w:rPr>
                      <w:rFonts w:cs="Arial"/>
                    </w:rPr>
                  </w:pPr>
                </w:p>
                <w:p w:rsidR="00F04EEF" w:rsidRDefault="0099351E">
                  <w:pPr>
                    <w:autoSpaceDE w:val="0"/>
                    <w:autoSpaceDN w:val="0"/>
                    <w:adjustRightInd w:val="0"/>
                    <w:jc w:val="both"/>
                    <w:rPr>
                      <w:rFonts w:cs="Arial"/>
                    </w:rPr>
                  </w:pPr>
                  <w:r>
                    <w:rPr>
                      <w:rFonts w:cs="Arial"/>
                    </w:rPr>
                    <w:t>Le chef d’établissement doit définir des dispositions</w:t>
                  </w:r>
                  <w:r>
                    <w:rPr>
                      <w:rFonts w:cs="Arial"/>
                      <w:vertAlign w:val="superscript"/>
                    </w:rPr>
                    <w:footnoteReference w:id="38"/>
                  </w:r>
                  <w:r>
                    <w:rPr>
                      <w:rFonts w:cs="Arial"/>
                    </w:rPr>
                    <w:t xml:space="preserve"> (au niveau collectif et individuel), qui permettront à l’élève de reprendre sa scolarité dans les meilleures conditions.</w:t>
                  </w:r>
                </w:p>
                <w:p w:rsidR="00F04EEF" w:rsidRDefault="0099351E">
                  <w:pPr>
                    <w:autoSpaceDE w:val="0"/>
                    <w:autoSpaceDN w:val="0"/>
                    <w:adjustRightInd w:val="0"/>
                    <w:jc w:val="both"/>
                    <w:rPr>
                      <w:rFonts w:cs="Arial"/>
                    </w:rPr>
                  </w:pPr>
                  <w:r>
                    <w:rPr>
                      <w:rFonts w:cs="Arial"/>
                    </w:rPr>
                    <w:t xml:space="preserve">Il prend ces dispositions, en concertation avec les acteurs concernés et au sein de la cellule de concertation locale si elle a été mise en place. </w:t>
                  </w:r>
                </w:p>
                <w:p w:rsidR="00F04EEF" w:rsidRDefault="00F04EEF">
                  <w:pPr>
                    <w:autoSpaceDE w:val="0"/>
                    <w:autoSpaceDN w:val="0"/>
                    <w:adjustRightInd w:val="0"/>
                    <w:jc w:val="both"/>
                    <w:rPr>
                      <w:rFonts w:cs="Arial"/>
                    </w:rPr>
                  </w:pPr>
                </w:p>
                <w:p w:rsidR="00F04EEF" w:rsidRDefault="0099351E">
                  <w:pPr>
                    <w:autoSpaceDE w:val="0"/>
                    <w:autoSpaceDN w:val="0"/>
                    <w:adjustRightInd w:val="0"/>
                    <w:jc w:val="both"/>
                    <w:rPr>
                      <w:rFonts w:cs="Arial"/>
                    </w:rPr>
                  </w:pPr>
                  <w:r>
                    <w:rPr>
                      <w:rFonts w:cs="Arial"/>
                    </w:rPr>
                    <w:t>Pour définir ces dispositions et pour leur mise en œuvre :</w:t>
                  </w:r>
                </w:p>
                <w:p w:rsidR="00F04EEF" w:rsidRDefault="00F04EEF">
                  <w:pPr>
                    <w:autoSpaceDE w:val="0"/>
                    <w:autoSpaceDN w:val="0"/>
                    <w:adjustRightInd w:val="0"/>
                    <w:jc w:val="both"/>
                    <w:rPr>
                      <w:rFonts w:cs="Arial"/>
                    </w:rPr>
                  </w:pPr>
                </w:p>
                <w:p w:rsidR="00F04EEF" w:rsidRDefault="0099351E">
                  <w:pPr>
                    <w:autoSpaceDE w:val="0"/>
                    <w:autoSpaceDN w:val="0"/>
                    <w:adjustRightInd w:val="0"/>
                    <w:ind w:firstLine="540"/>
                    <w:jc w:val="both"/>
                    <w:rPr>
                      <w:rFonts w:cs="Arial"/>
                    </w:rPr>
                  </w:pPr>
                  <w:r>
                    <w:rPr>
                      <w:rFonts w:cs="Arial"/>
                    </w:rPr>
                    <w:t>1° il s’appuie sur le CPMS, SPSE et sur la cellule de concertation locale (le cas échéant) ;</w:t>
                  </w:r>
                </w:p>
                <w:p w:rsidR="00F04EEF" w:rsidRDefault="0099351E">
                  <w:pPr>
                    <w:autoSpaceDE w:val="0"/>
                    <w:autoSpaceDN w:val="0"/>
                    <w:adjustRightInd w:val="0"/>
                    <w:ind w:firstLine="540"/>
                    <w:jc w:val="both"/>
                    <w:rPr>
                      <w:rFonts w:cs="Arial"/>
                    </w:rPr>
                  </w:pPr>
                  <w:r>
                    <w:rPr>
                      <w:rFonts w:cs="Arial"/>
                    </w:rPr>
                    <w:t>2° il travaille en concertation étroite avec le CPMS, afin d’articuler au mieux les mesures relevant de l’accompagnement pédagogique, qui sont du ressort de l’équipe éducative, et la prise en compte de la dimension psycho-médico-sociale, qui est du ressort de l’équipe du centre psycho-médico-social.</w:t>
                  </w:r>
                </w:p>
                <w:p w:rsidR="00F04EEF" w:rsidRDefault="00F04EEF">
                  <w:pPr>
                    <w:autoSpaceDE w:val="0"/>
                    <w:autoSpaceDN w:val="0"/>
                    <w:adjustRightInd w:val="0"/>
                    <w:jc w:val="both"/>
                    <w:rPr>
                      <w:rFonts w:cs="Arial"/>
                    </w:rPr>
                  </w:pPr>
                </w:p>
                <w:p w:rsidR="00F04EEF" w:rsidRDefault="0099351E">
                  <w:pPr>
                    <w:autoSpaceDE w:val="0"/>
                    <w:autoSpaceDN w:val="0"/>
                    <w:adjustRightInd w:val="0"/>
                    <w:jc w:val="both"/>
                    <w:rPr>
                      <w:rFonts w:cs="Arial"/>
                    </w:rPr>
                  </w:pPr>
                  <w:r>
                    <w:rPr>
                      <w:rFonts w:cs="Arial"/>
                    </w:rPr>
                    <w:t>Une fois intégré ou réintégré dans un établissement scolaire, l’élève peut continuer à fréquenter le service d’accrochage scolaire qui a assuré sa prise en charge, à raison de maximum deux demi-jours par semaine au cours des deux mois qui suivent son retour à l’école</w:t>
                  </w:r>
                  <w:r>
                    <w:rPr>
                      <w:rFonts w:cs="Arial"/>
                      <w:vertAlign w:val="superscript"/>
                    </w:rPr>
                    <w:footnoteReference w:id="39"/>
                  </w:r>
                  <w:r>
                    <w:rPr>
                      <w:rFonts w:cs="Arial"/>
                    </w:rPr>
                    <w:t>.</w:t>
                  </w:r>
                </w:p>
                <w:p w:rsidR="00F04EEF" w:rsidRDefault="0099351E">
                  <w:pPr>
                    <w:tabs>
                      <w:tab w:val="num" w:pos="3420"/>
                    </w:tabs>
                    <w:jc w:val="both"/>
                    <w:rPr>
                      <w:rFonts w:cs="Arial"/>
                    </w:rPr>
                  </w:pPr>
                  <w:r>
                    <w:rPr>
                      <w:rFonts w:cs="Arial"/>
                    </w:rPr>
                    <w:t>La fréquentation du service d’accrochage scolaire durant cette période doit faire l’objet d’une convention entre le chef d’établissement, l’élève, ses parents ou la personne investie de l’autorité parentale, le centre psycho-médico-social et le service d’accrochage scolaire concernés.</w:t>
                  </w:r>
                </w:p>
                <w:p w:rsidR="00F04EEF" w:rsidRDefault="00F04EEF">
                  <w:pPr>
                    <w:tabs>
                      <w:tab w:val="num" w:pos="3420"/>
                    </w:tabs>
                    <w:jc w:val="both"/>
                    <w:rPr>
                      <w:rFonts w:cs="Arial"/>
                    </w:rPr>
                  </w:pPr>
                </w:p>
                <w:p w:rsidR="00F04EEF" w:rsidRDefault="0099351E">
                  <w:pPr>
                    <w:tabs>
                      <w:tab w:val="num" w:pos="3420"/>
                    </w:tabs>
                    <w:jc w:val="both"/>
                    <w:rPr>
                      <w:rFonts w:cs="Arial"/>
                    </w:rPr>
                  </w:pPr>
                  <w:r>
                    <w:rPr>
                      <w:rFonts w:cs="Arial"/>
                    </w:rPr>
                    <w:t>Le chef d’établissement, à la demande du mineur et de sa famille, peut faire appel au CPMS et au Service de médiation scolaire afin d’accompagner le retour de l’élève à l’école.</w:t>
                  </w:r>
                </w:p>
                <w:p w:rsidR="00F04EEF" w:rsidRDefault="00F04EEF">
                  <w:pPr>
                    <w:jc w:val="both"/>
                    <w:rPr>
                      <w:rFonts w:cs="Arial"/>
                    </w:rPr>
                  </w:pPr>
                </w:p>
                <w:p w:rsidR="00F04EEF" w:rsidRDefault="0099351E">
                  <w:pPr>
                    <w:autoSpaceDE w:val="0"/>
                    <w:autoSpaceDN w:val="0"/>
                    <w:adjustRightInd w:val="0"/>
                    <w:jc w:val="both"/>
                    <w:rPr>
                      <w:rFonts w:cs="Arial"/>
                    </w:rPr>
                  </w:pPr>
                  <w:r>
                    <w:rPr>
                      <w:rFonts w:cs="Arial"/>
                    </w:rPr>
                    <w:t>Il peut également demander des moyens humains supplémentaires pour assurer son accompagnement dans les meilleures conditions possibles lors  de son retour à l’école</w:t>
                  </w:r>
                  <w:r>
                    <w:rPr>
                      <w:rStyle w:val="Appelnotedebasdep"/>
                    </w:rPr>
                    <w:footnoteReference w:id="40"/>
                  </w:r>
                  <w:r>
                    <w:rPr>
                      <w:rFonts w:cs="Arial"/>
                    </w:rPr>
                    <w:t xml:space="preserve">, à savoir, l’engagement ou la désignation à titre temporaire pour six périodes d’un membre du personnel enseignant ou auxiliaire d’éducation par élève, sans jamais dépasser un total de vingt-quatre périodes par établissement. Il peut également affecter un membre de l’équipe éducative à l’accompagnement de l’élève accueilli. Les périodes-professeur supplémentaires sont alors affectées au remplacement de ce membre, pour la partie de charge qu’il abandonne. </w:t>
                  </w:r>
                </w:p>
                <w:p w:rsidR="00F04EEF" w:rsidRDefault="0099351E">
                  <w:pPr>
                    <w:tabs>
                      <w:tab w:val="num" w:pos="3420"/>
                    </w:tabs>
                    <w:spacing w:after="120"/>
                    <w:jc w:val="both"/>
                    <w:rPr>
                      <w:rFonts w:cs="Arial"/>
                    </w:rPr>
                  </w:pPr>
                  <w:r>
                    <w:rPr>
                      <w:rFonts w:cs="Arial"/>
                    </w:rPr>
                    <w:t>Ces moyens supplémentaires peuvent être utilisés, pour une période de deux mois dès le onzième jour scolaire qui suit l’intégration ou la réintégration du jeune dans l’établissement scolaire.</w:t>
                  </w:r>
                </w:p>
                <w:p w:rsidR="00F04EEF" w:rsidRDefault="0099351E">
                  <w:pPr>
                    <w:rPr>
                      <w:rFonts w:cs="Arial"/>
                    </w:rPr>
                  </w:pPr>
                  <w:r>
                    <w:rPr>
                      <w:rFonts w:cs="Arial"/>
                    </w:rPr>
                    <w:br w:type="page"/>
                  </w:r>
                </w:p>
                <w:p w:rsidR="00F04EEF" w:rsidRDefault="0099351E">
                  <w:pPr>
                    <w:tabs>
                      <w:tab w:val="num" w:pos="3420"/>
                    </w:tabs>
                    <w:spacing w:after="120"/>
                    <w:jc w:val="both"/>
                    <w:rPr>
                      <w:rFonts w:cs="Arial"/>
                    </w:rPr>
                  </w:pPr>
                  <w:r>
                    <w:rPr>
                      <w:rFonts w:cs="Arial"/>
                    </w:rPr>
                    <w:t xml:space="preserve">L’établissement qui accueille un élève dont la prise en charge par un SAS </w:t>
                  </w:r>
                  <w:r>
                    <w:rPr>
                      <w:rFonts w:cs="Arial"/>
                      <w:u w:val="single"/>
                    </w:rPr>
                    <w:t xml:space="preserve">s’est </w:t>
                  </w:r>
                  <w:proofErr w:type="gramStart"/>
                  <w:r>
                    <w:rPr>
                      <w:rFonts w:cs="Arial"/>
                      <w:u w:val="single"/>
                    </w:rPr>
                    <w:t>terminée</w:t>
                  </w:r>
                  <w:proofErr w:type="gramEnd"/>
                  <w:r>
                    <w:rPr>
                      <w:rFonts w:cs="Arial"/>
                      <w:u w:val="single"/>
                    </w:rPr>
                    <w:t xml:space="preserve"> le 30 juin de l’année scolaire précédente</w:t>
                  </w:r>
                  <w:r>
                    <w:rPr>
                      <w:rFonts w:cs="Arial"/>
                    </w:rPr>
                    <w:t xml:space="preserve">, peut demander l’activation de ces moyens complémentaires au début de l’année scolaire suivante. </w:t>
                  </w:r>
                </w:p>
                <w:p w:rsidR="00F04EEF" w:rsidRDefault="0099351E">
                  <w:pPr>
                    <w:jc w:val="both"/>
                    <w:rPr>
                      <w:rFonts w:cs="Arial"/>
                    </w:rPr>
                  </w:pPr>
                  <w:r>
                    <w:rPr>
                      <w:rFonts w:cs="Arial"/>
                    </w:rPr>
                    <w:t xml:space="preserve">La demande de moyens humains complémentaires se fait via l’envoi de </w:t>
                  </w:r>
                  <w:hyperlink w:anchor="_Annexe_24:_Inscription" w:history="1">
                    <w:r>
                      <w:rPr>
                        <w:rStyle w:val="Lienhypertexte"/>
                      </w:rPr>
                      <w:t>l’annexe 22</w:t>
                    </w:r>
                  </w:hyperlink>
                  <w:r>
                    <w:rPr>
                      <w:rStyle w:val="Lienhypertexte"/>
                      <w:u w:val="none"/>
                    </w:rPr>
                    <w:t xml:space="preserve"> </w:t>
                  </w:r>
                  <w:r>
                    <w:rPr>
                      <w:rFonts w:cs="Arial"/>
                    </w:rPr>
                    <w:t>dûment complétée à :</w:t>
                  </w:r>
                </w:p>
                <w:p w:rsidR="00F04EEF" w:rsidRDefault="00F04EEF">
                  <w:pPr>
                    <w:jc w:val="both"/>
                    <w:rPr>
                      <w:rFonts w:cs="Arial"/>
                    </w:rPr>
                  </w:pPr>
                </w:p>
                <w:p w:rsidR="00F04EEF" w:rsidRDefault="0099351E">
                  <w:pPr>
                    <w:pBdr>
                      <w:top w:val="single" w:sz="4" w:space="1" w:color="auto"/>
                      <w:left w:val="single" w:sz="4" w:space="4" w:color="auto"/>
                      <w:bottom w:val="single" w:sz="4" w:space="1" w:color="auto"/>
                      <w:right w:val="single" w:sz="4" w:space="4" w:color="auto"/>
                    </w:pBdr>
                    <w:ind w:right="-1"/>
                    <w:jc w:val="center"/>
                  </w:pPr>
                  <w: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ind w:right="-1"/>
                    <w:jc w:val="center"/>
                  </w:pPr>
                  <w:r>
                    <w:t>Monsieur AERTS-BANCKEN</w:t>
                  </w:r>
                </w:p>
                <w:p w:rsidR="00F04EEF" w:rsidRDefault="0099351E">
                  <w:pPr>
                    <w:pBdr>
                      <w:top w:val="single" w:sz="4" w:space="1" w:color="auto"/>
                      <w:left w:val="single" w:sz="4" w:space="4" w:color="auto"/>
                      <w:bottom w:val="single" w:sz="4" w:space="1" w:color="auto"/>
                      <w:right w:val="single" w:sz="4" w:space="4" w:color="auto"/>
                    </w:pBdr>
                    <w:ind w:right="-1"/>
                    <w:jc w:val="center"/>
                  </w:pPr>
                  <w:r>
                    <w:t>Directeur général</w:t>
                  </w:r>
                </w:p>
                <w:p w:rsidR="00F04EEF" w:rsidRDefault="0099351E">
                  <w:pPr>
                    <w:pBdr>
                      <w:top w:val="single" w:sz="4" w:space="1" w:color="auto"/>
                      <w:left w:val="single" w:sz="4" w:space="4" w:color="auto"/>
                      <w:bottom w:val="single" w:sz="4" w:space="1" w:color="auto"/>
                      <w:right w:val="single" w:sz="4" w:space="4" w:color="auto"/>
                    </w:pBdr>
                    <w:ind w:right="-1"/>
                    <w:jc w:val="center"/>
                  </w:pPr>
                  <w:r>
                    <w:t>Rue Adolphe Lavallée, 1</w:t>
                  </w:r>
                </w:p>
                <w:p w:rsidR="00F04EEF" w:rsidRDefault="0099351E">
                  <w:pPr>
                    <w:pBdr>
                      <w:top w:val="single" w:sz="4" w:space="1" w:color="auto"/>
                      <w:left w:val="single" w:sz="4" w:space="4" w:color="auto"/>
                      <w:bottom w:val="single" w:sz="4" w:space="1" w:color="auto"/>
                      <w:right w:val="single" w:sz="4" w:space="4" w:color="auto"/>
                    </w:pBdr>
                    <w:ind w:right="-1"/>
                    <w:jc w:val="center"/>
                  </w:pPr>
                  <w:r>
                    <w:t>1080   BRUXELLES</w:t>
                  </w:r>
                </w:p>
                <w:p w:rsidR="00F04EEF" w:rsidRDefault="0099351E">
                  <w:pPr>
                    <w:pBdr>
                      <w:top w:val="single" w:sz="4" w:space="1" w:color="auto"/>
                      <w:left w:val="single" w:sz="4" w:space="4" w:color="auto"/>
                      <w:bottom w:val="single" w:sz="4" w:space="1" w:color="auto"/>
                      <w:right w:val="single" w:sz="4" w:space="4" w:color="auto"/>
                    </w:pBdr>
                    <w:ind w:right="-1"/>
                    <w:jc w:val="center"/>
                  </w:pPr>
                  <w:r>
                    <w:t>A l’attention de Madame Patricia BUYL</w:t>
                  </w:r>
                </w:p>
                <w:p w:rsidR="00F04EEF" w:rsidRDefault="0099351E">
                  <w:pPr>
                    <w:pBdr>
                      <w:top w:val="single" w:sz="4" w:space="1" w:color="auto"/>
                      <w:left w:val="single" w:sz="4" w:space="4" w:color="auto"/>
                      <w:bottom w:val="single" w:sz="4" w:space="1" w:color="auto"/>
                      <w:right w:val="single" w:sz="4" w:space="4" w:color="auto"/>
                    </w:pBdr>
                    <w:ind w:right="-1"/>
                    <w:jc w:val="center"/>
                    <w:rPr>
                      <w:rFonts w:cs="Arial"/>
                    </w:rPr>
                  </w:pPr>
                  <w:r>
                    <w:t xml:space="preserve">Ou par mail à </w:t>
                  </w:r>
                  <w:hyperlink r:id="rId26" w:history="1">
                    <w:r>
                      <w:rPr>
                        <w:rStyle w:val="Lienhypertexte"/>
                        <w:rFonts w:cstheme="minorBidi"/>
                        <w:color w:val="auto"/>
                      </w:rPr>
                      <w:t>sas@cfwb.be</w:t>
                    </w:r>
                  </w:hyperlink>
                </w:p>
                <w:p w:rsidR="00F04EEF" w:rsidRDefault="00F04EEF">
                  <w:pPr>
                    <w:jc w:val="both"/>
                    <w:rPr>
                      <w:rFonts w:cs="Arial"/>
                      <w:b/>
                    </w:rPr>
                  </w:pPr>
                </w:p>
                <w:p w:rsidR="00F04EEF" w:rsidRDefault="0099351E">
                  <w:pPr>
                    <w:jc w:val="both"/>
                    <w:rPr>
                      <w:rFonts w:cs="Arial"/>
                    </w:rPr>
                  </w:pPr>
                  <w:r>
                    <w:rPr>
                      <w:rFonts w:cs="Arial"/>
                      <w:b/>
                    </w:rPr>
                    <w:t>Dans l’enseignement secondaire de forme 4</w:t>
                  </w:r>
                  <w:r>
                    <w:rPr>
                      <w:rFonts w:cs="Arial"/>
                    </w:rPr>
                    <w:t xml:space="preserve">, le chef d’établissement qui réintègre un élève après son passage dans un SAS doit également s’assurer que l’éventuelle période de transition qui s’étend entre la fin de la fréquentation scolaire et le début de la prise en charge dans le SAS est couverte par l’octroi d’une dérogation à l’obligation d’avoir suivi effectivement et assidûment tous les cours et exercices d’une année d’étude déterminée. </w:t>
                  </w:r>
                </w:p>
                <w:p w:rsidR="00F04EEF" w:rsidRDefault="0099351E">
                  <w:pPr>
                    <w:jc w:val="both"/>
                    <w:rPr>
                      <w:rFonts w:cs="Arial"/>
                    </w:rPr>
                  </w:pPr>
                  <w:r>
                    <w:rPr>
                      <w:rFonts w:cs="Arial"/>
                    </w:rPr>
                    <w:t xml:space="preserve">Dans le cas contraire, le chef d’établissement doit faire une demande de dérogation, conformément à l’article 56, 2° de </w:t>
                  </w:r>
                  <w:hyperlink r:id="rId27" w:history="1">
                    <w:r>
                      <w:rPr>
                        <w:rStyle w:val="Lienhypertexte"/>
                        <w:rFonts w:cs="Arial"/>
                      </w:rPr>
                      <w:t>l’Arrêté Royal du 29 juin 1984</w:t>
                    </w:r>
                  </w:hyperlink>
                  <w:r>
                    <w:rPr>
                      <w:rFonts w:cs="Arial"/>
                    </w:rPr>
                    <w:t>, à l’administration. Sans cette dernière, l’élève ne pourra pas prétendre à la sanction des études.</w:t>
                  </w:r>
                </w:p>
                <w:p w:rsidR="00F04EEF" w:rsidRDefault="00F04EEF">
                  <w:pPr>
                    <w:jc w:val="both"/>
                    <w:rPr>
                      <w:rFonts w:cs="Arial"/>
                    </w:rPr>
                  </w:pPr>
                </w:p>
                <w:p w:rsidR="00F04EEF" w:rsidRDefault="0099351E">
                  <w:pPr>
                    <w:rPr>
                      <w:b/>
                    </w:rPr>
                  </w:pPr>
                  <w:bookmarkStart w:id="488" w:name="_Toc291075508"/>
                  <w:bookmarkStart w:id="489" w:name="_Toc291075932"/>
                  <w:bookmarkStart w:id="490" w:name="_Toc291076356"/>
                  <w:bookmarkStart w:id="491" w:name="_Toc291076780"/>
                  <w:bookmarkStart w:id="492" w:name="_Toc291077204"/>
                  <w:bookmarkStart w:id="493" w:name="_Toc293652047"/>
                  <w:bookmarkStart w:id="494" w:name="_Toc293653629"/>
                  <w:bookmarkStart w:id="495" w:name="_Toc293654240"/>
                  <w:bookmarkStart w:id="496" w:name="_Toc294004820"/>
                  <w:bookmarkStart w:id="497" w:name="_Toc294185316"/>
                  <w:bookmarkStart w:id="498" w:name="_Toc324767182"/>
                  <w:bookmarkStart w:id="499" w:name="_Toc324768040"/>
                  <w:r>
                    <w:rPr>
                      <w:b/>
                    </w:rPr>
                    <w:br w:type="page"/>
                  </w:r>
                </w:p>
                <w:p w:rsidR="00F04EEF" w:rsidRDefault="0099351E">
                  <w:pPr>
                    <w:rPr>
                      <w:b/>
                    </w:rPr>
                  </w:pPr>
                  <w:r>
                    <w:rPr>
                      <w:b/>
                    </w:rPr>
                    <w:t>f. Tableau récapitulatif</w:t>
                  </w:r>
                  <w:bookmarkEnd w:id="488"/>
                  <w:bookmarkEnd w:id="489"/>
                  <w:bookmarkEnd w:id="490"/>
                  <w:bookmarkEnd w:id="491"/>
                  <w:bookmarkEnd w:id="492"/>
                  <w:bookmarkEnd w:id="493"/>
                  <w:bookmarkEnd w:id="494"/>
                  <w:bookmarkEnd w:id="495"/>
                  <w:bookmarkEnd w:id="496"/>
                  <w:bookmarkEnd w:id="497"/>
                  <w:bookmarkEnd w:id="498"/>
                  <w:bookmarkEnd w:id="499"/>
                </w:p>
                <w:p w:rsidR="00F04EEF" w:rsidRDefault="00F04EEF">
                  <w:pPr>
                    <w:pStyle w:val="2"/>
                    <w:jc w:val="both"/>
                    <w:rPr>
                      <w:rFonts w:asciiTheme="majorHAnsi" w:hAnsiTheme="majorHAnsi"/>
                      <w:sz w:val="22"/>
                      <w:szCs w:val="22"/>
                      <w:lang w:val="fr-BE"/>
                    </w:rPr>
                  </w:pPr>
                </w:p>
                <w:p w:rsidR="00F04EEF" w:rsidRDefault="0099351E">
                  <w:pPr>
                    <w:jc w:val="both"/>
                    <w:rPr>
                      <w:rFonts w:cs="Arial"/>
                    </w:rPr>
                  </w:pPr>
                  <w:r>
                    <w:rPr>
                      <w:rFonts w:cs="Arial"/>
                    </w:rPr>
                    <w:t>Un tableau récapitulatif des prises en charge qui peuvent être réalisées par un service d’accrochage scolaire dans le cadre de l’obligation scolaire se trouve ci-dessous :</w:t>
                  </w:r>
                </w:p>
                <w:p w:rsidR="00F04EEF" w:rsidRDefault="0099351E">
                  <w:pPr>
                    <w:jc w:val="both"/>
                    <w:rPr>
                      <w:rFonts w:cs="Arial"/>
                    </w:rPr>
                  </w:pPr>
                  <w:r>
                    <w:rPr>
                      <w:rFonts w:cs="Arial"/>
                      <w:noProof/>
                      <w:lang w:eastAsia="fr-BE"/>
                    </w:rPr>
                    <mc:AlternateContent>
                      <mc:Choice Requires="wps">
                        <w:drawing>
                          <wp:anchor distT="0" distB="0" distL="114300" distR="114300" simplePos="0" relativeHeight="252153856" behindDoc="0" locked="0" layoutInCell="1" allowOverlap="1">
                            <wp:simplePos x="0" y="0"/>
                            <wp:positionH relativeFrom="column">
                              <wp:posOffset>6281420</wp:posOffset>
                            </wp:positionH>
                            <wp:positionV relativeFrom="paragraph">
                              <wp:posOffset>139065</wp:posOffset>
                            </wp:positionV>
                            <wp:extent cx="0" cy="257175"/>
                            <wp:effectExtent l="0" t="0" r="19050" b="28575"/>
                            <wp:wrapNone/>
                            <wp:docPr id="474" name="Connecteur droit 474"/>
                            <wp:cNvGraphicFramePr/>
                            <a:graphic xmlns:a="http://schemas.openxmlformats.org/drawingml/2006/main">
                              <a:graphicData uri="http://schemas.microsoft.com/office/word/2010/wordprocessingShape">
                                <wps:wsp>
                                  <wps:cNvCnPr/>
                                  <wps:spPr>
                                    <a:xfrm>
                                      <a:off x="0" y="0"/>
                                      <a:ext cx="0" cy="257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D996BE" id="Connecteur droit 474" o:spid="_x0000_s1026" style="position:absolute;z-index:252153856;visibility:visible;mso-wrap-style:square;mso-wrap-distance-left:9pt;mso-wrap-distance-top:0;mso-wrap-distance-right:9pt;mso-wrap-distance-bottom:0;mso-position-horizontal:absolute;mso-position-horizontal-relative:text;mso-position-vertical:absolute;mso-position-vertical-relative:text" from="494.6pt,10.95pt" to="494.6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" strokecolor="black [3213]"/>
                        </w:pict>
                      </mc:Fallback>
                    </mc:AlternateContent>
                  </w:r>
                </w:p>
                <w:tbl>
                  <w:tblPr>
                    <w:tblW w:w="9376" w:type="dxa"/>
                    <w:tblInd w:w="-25" w:type="dxa"/>
                    <w:tblLayout w:type="fixed"/>
                    <w:tblLook w:val="0000" w:firstRow="0" w:lastRow="0" w:firstColumn="0" w:lastColumn="0" w:noHBand="0" w:noVBand="0"/>
                  </w:tblPr>
                  <w:tblGrid>
                    <w:gridCol w:w="4244"/>
                    <w:gridCol w:w="1985"/>
                    <w:gridCol w:w="1984"/>
                    <w:gridCol w:w="1163"/>
                  </w:tblGrid>
                  <w:tr w:rsidR="00F04EEF">
                    <w:tc>
                      <w:tcPr>
                        <w:tcW w:w="4244" w:type="dxa"/>
                        <w:tcBorders>
                          <w:top w:val="single" w:sz="4" w:space="0" w:color="000000"/>
                          <w:left w:val="single" w:sz="4" w:space="0" w:color="000000"/>
                          <w:bottom w:val="single" w:sz="4" w:space="0" w:color="000000"/>
                        </w:tcBorders>
                      </w:tcPr>
                      <w:p w:rsidR="00F04EEF" w:rsidRDefault="00F04EEF">
                        <w:pPr>
                          <w:snapToGrid w:val="0"/>
                          <w:rPr>
                            <w:rFonts w:cs="Arial"/>
                            <w:b/>
                          </w:rPr>
                        </w:pPr>
                      </w:p>
                    </w:tc>
                    <w:tc>
                      <w:tcPr>
                        <w:tcW w:w="1985" w:type="dxa"/>
                        <w:tcBorders>
                          <w:top w:val="single" w:sz="4" w:space="0" w:color="000000"/>
                          <w:left w:val="single" w:sz="4" w:space="0" w:color="000000"/>
                          <w:bottom w:val="single" w:sz="4" w:space="0" w:color="000000"/>
                        </w:tcBorders>
                      </w:tcPr>
                      <w:p w:rsidR="00F04EEF" w:rsidRDefault="0099351E">
                        <w:pPr>
                          <w:rPr>
                            <w:rFonts w:cs="Arial"/>
                            <w:b/>
                          </w:rPr>
                        </w:pPr>
                        <w:r>
                          <w:rPr>
                            <w:rFonts w:cs="Arial"/>
                            <w:b/>
                          </w:rPr>
                          <w:t xml:space="preserve">Art. 1.7.1-29  </w:t>
                        </w:r>
                      </w:p>
                      <w:p w:rsidR="00F04EEF" w:rsidRDefault="0099351E">
                        <w:pPr>
                          <w:rPr>
                            <w:rFonts w:cs="Arial"/>
                            <w:b/>
                          </w:rPr>
                        </w:pPr>
                        <w:r>
                          <w:rPr>
                            <w:rFonts w:cs="Arial"/>
                            <w:b/>
                          </w:rPr>
                          <w:t>En cas d’exclusion</w:t>
                        </w:r>
                      </w:p>
                    </w:tc>
                    <w:tc>
                      <w:tcPr>
                        <w:tcW w:w="1984" w:type="dxa"/>
                        <w:tcBorders>
                          <w:top w:val="single" w:sz="4" w:space="0" w:color="000000"/>
                          <w:left w:val="single" w:sz="4" w:space="0" w:color="000000"/>
                          <w:bottom w:val="single" w:sz="4" w:space="0" w:color="000000"/>
                        </w:tcBorders>
                      </w:tcPr>
                      <w:p w:rsidR="00F04EEF" w:rsidRDefault="0099351E">
                        <w:pPr>
                          <w:rPr>
                            <w:rFonts w:cs="Arial"/>
                            <w:b/>
                          </w:rPr>
                        </w:pPr>
                        <w:r>
                          <w:rPr>
                            <w:rFonts w:cs="Arial"/>
                            <w:b/>
                          </w:rPr>
                          <w:t xml:space="preserve">Art. . 1.7.1-31 </w:t>
                        </w:r>
                      </w:p>
                      <w:p w:rsidR="00F04EEF" w:rsidRDefault="0099351E">
                        <w:pPr>
                          <w:rPr>
                            <w:rFonts w:cs="Arial"/>
                            <w:b/>
                          </w:rPr>
                        </w:pPr>
                        <w:r>
                          <w:rPr>
                            <w:rFonts w:cs="Arial"/>
                            <w:b/>
                          </w:rPr>
                          <w:t>En cas d’absentéisme, de situation de crise ou  de décrochage scolaire</w:t>
                        </w:r>
                      </w:p>
                    </w:tc>
                    <w:tc>
                      <w:tcPr>
                        <w:tcW w:w="1163" w:type="dxa"/>
                        <w:tcBorders>
                          <w:top w:val="single" w:sz="4" w:space="0" w:color="000000"/>
                          <w:left w:val="single" w:sz="4" w:space="0" w:color="000000"/>
                          <w:bottom w:val="single" w:sz="4" w:space="0" w:color="000000"/>
                          <w:right w:val="single" w:sz="4" w:space="0" w:color="000000"/>
                        </w:tcBorders>
                      </w:tcPr>
                      <w:p w:rsidR="00F04EEF" w:rsidRDefault="0099351E">
                        <w:pPr>
                          <w:rPr>
                            <w:rFonts w:cs="Arial"/>
                            <w:b/>
                          </w:rPr>
                        </w:pPr>
                        <w:r>
                          <w:rPr>
                            <w:rFonts w:cs="Arial"/>
                            <w:b/>
                          </w:rPr>
                          <w:t xml:space="preserve">Art. 1.7.1-30 </w:t>
                        </w:r>
                      </w:p>
                      <w:p w:rsidR="00F04EEF" w:rsidRDefault="0099351E">
                        <w:pPr>
                          <w:rPr>
                            <w:rFonts w:cs="Arial"/>
                            <w:b/>
                          </w:rPr>
                        </w:pPr>
                        <w:r>
                          <w:rPr>
                            <w:rFonts w:cs="Arial"/>
                            <w:b/>
                          </w:rPr>
                          <w:t>En cas de non inscription</w:t>
                        </w:r>
                        <w:r>
                          <w:rPr>
                            <w:b/>
                          </w:rPr>
                          <w:t xml:space="preserve"> </w:t>
                        </w:r>
                        <w:r>
                          <w:rPr>
                            <w:rFonts w:cs="Arial"/>
                            <w:b/>
                          </w:rPr>
                          <w:t>ou d’inscription sans aucune fréquentation</w:t>
                        </w:r>
                      </w:p>
                    </w:tc>
                  </w:tr>
                  <w:tr w:rsidR="00F04EEF">
                    <w:tc>
                      <w:tcPr>
                        <w:tcW w:w="4244"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Accord des responsables légaux et du mineur</w:t>
                        </w:r>
                      </w:p>
                    </w:tc>
                    <w:tc>
                      <w:tcPr>
                        <w:tcW w:w="1985"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oui</w:t>
                        </w:r>
                      </w:p>
                    </w:tc>
                  </w:tr>
                  <w:tr w:rsidR="00F04EEF">
                    <w:tc>
                      <w:tcPr>
                        <w:tcW w:w="4244"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Avis Commission zonale d’inscription (CZI), Commission décentralisé (CD), ou organe de représentation et de coordination</w:t>
                        </w:r>
                      </w:p>
                    </w:tc>
                    <w:tc>
                      <w:tcPr>
                        <w:tcW w:w="1985"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w:t>
                        </w:r>
                      </w:p>
                    </w:tc>
                    <w:tc>
                      <w:tcPr>
                        <w:tcW w:w="1163"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oui</w:t>
                        </w:r>
                      </w:p>
                    </w:tc>
                  </w:tr>
                  <w:tr w:rsidR="00F04EEF">
                    <w:tc>
                      <w:tcPr>
                        <w:tcW w:w="4244"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Avis conseil de classe</w:t>
                        </w:r>
                      </w:p>
                    </w:tc>
                    <w:tc>
                      <w:tcPr>
                        <w:tcW w:w="1985"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w:t>
                        </w:r>
                      </w:p>
                    </w:tc>
                  </w:tr>
                  <w:tr w:rsidR="00F04EEF">
                    <w:tc>
                      <w:tcPr>
                        <w:tcW w:w="4244"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Avis CPMS</w:t>
                        </w:r>
                      </w:p>
                    </w:tc>
                    <w:tc>
                      <w:tcPr>
                        <w:tcW w:w="1985"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w:t>
                        </w:r>
                      </w:p>
                    </w:tc>
                  </w:tr>
                  <w:tr w:rsidR="00F04EEF">
                    <w:tc>
                      <w:tcPr>
                        <w:tcW w:w="4244"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Organisation d’un partenariat entre le SAS et l’école</w:t>
                        </w:r>
                      </w:p>
                    </w:tc>
                    <w:tc>
                      <w:tcPr>
                        <w:tcW w:w="1985"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oui</w:t>
                        </w:r>
                      </w:p>
                    </w:tc>
                  </w:tr>
                  <w:tr w:rsidR="00F04EEF">
                    <w:tc>
                      <w:tcPr>
                        <w:tcW w:w="4244" w:type="dxa"/>
                        <w:tcBorders>
                          <w:top w:val="single" w:sz="4" w:space="0" w:color="000000"/>
                          <w:left w:val="single" w:sz="4" w:space="0" w:color="000000"/>
                          <w:bottom w:val="single" w:sz="4" w:space="0" w:color="000000"/>
                        </w:tcBorders>
                      </w:tcPr>
                      <w:p w:rsidR="00F04EEF" w:rsidRDefault="0099351E">
                        <w:pPr>
                          <w:snapToGrid w:val="0"/>
                          <w:rPr>
                            <w:rFonts w:cs="Arial"/>
                            <w:b/>
                            <w:color w:val="008000"/>
                          </w:rPr>
                        </w:pPr>
                        <w:r>
                          <w:rPr>
                            <w:rFonts w:cs="Arial"/>
                            <w:b/>
                          </w:rPr>
                          <w:t>Durée de la prise en charge sur une année scolaire</w:t>
                        </w:r>
                      </w:p>
                    </w:tc>
                    <w:tc>
                      <w:tcPr>
                        <w:tcW w:w="1985"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3 mois</w:t>
                        </w:r>
                      </w:p>
                      <w:p w:rsidR="00F04EEF" w:rsidRDefault="0099351E">
                        <w:pPr>
                          <w:jc w:val="center"/>
                          <w:rPr>
                            <w:rFonts w:cs="Arial"/>
                            <w:b/>
                          </w:rPr>
                        </w:pPr>
                        <w:r>
                          <w:rPr>
                            <w:rFonts w:cs="Arial"/>
                            <w:b/>
                          </w:rPr>
                          <w:t>(renouvelable</w:t>
                        </w:r>
                      </w:p>
                      <w:p w:rsidR="00F04EEF" w:rsidRDefault="0099351E">
                        <w:pPr>
                          <w:jc w:val="center"/>
                          <w:rPr>
                            <w:rFonts w:cs="Arial"/>
                            <w:b/>
                          </w:rPr>
                        </w:pPr>
                        <w:r>
                          <w:rPr>
                            <w:rFonts w:cs="Arial"/>
                            <w:b/>
                          </w:rPr>
                          <w:t>1 fois) + dérogation possible après le 15 avril jusqu’au 30 juin</w:t>
                        </w:r>
                      </w:p>
                    </w:tc>
                    <w:tc>
                      <w:tcPr>
                        <w:tcW w:w="1984"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3 mois</w:t>
                        </w:r>
                      </w:p>
                      <w:p w:rsidR="00F04EEF" w:rsidRDefault="0099351E">
                        <w:pPr>
                          <w:jc w:val="center"/>
                          <w:rPr>
                            <w:rFonts w:cs="Arial"/>
                            <w:b/>
                          </w:rPr>
                        </w:pPr>
                        <w:r>
                          <w:rPr>
                            <w:rFonts w:cs="Arial"/>
                            <w:b/>
                          </w:rPr>
                          <w:t>(renouvelable</w:t>
                        </w:r>
                      </w:p>
                      <w:p w:rsidR="00F04EEF" w:rsidRDefault="0099351E">
                        <w:pPr>
                          <w:jc w:val="center"/>
                          <w:rPr>
                            <w:rFonts w:cs="Arial"/>
                            <w:b/>
                          </w:rPr>
                        </w:pPr>
                        <w:r>
                          <w:rPr>
                            <w:rFonts w:cs="Arial"/>
                            <w:b/>
                          </w:rPr>
                          <w:t>1 fois) + dérogation possible après le 15 avril jusqu’au 30 juin</w:t>
                        </w:r>
                      </w:p>
                    </w:tc>
                    <w:tc>
                      <w:tcPr>
                        <w:tcW w:w="1163"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3 mois</w:t>
                        </w:r>
                      </w:p>
                      <w:p w:rsidR="00F04EEF" w:rsidRDefault="0099351E">
                        <w:pPr>
                          <w:jc w:val="center"/>
                          <w:rPr>
                            <w:rFonts w:cs="Arial"/>
                            <w:b/>
                          </w:rPr>
                        </w:pPr>
                        <w:r>
                          <w:rPr>
                            <w:rFonts w:cs="Arial"/>
                            <w:b/>
                          </w:rPr>
                          <w:t>(renouvelable</w:t>
                        </w:r>
                      </w:p>
                      <w:p w:rsidR="00F04EEF" w:rsidRDefault="0099351E">
                        <w:pPr>
                          <w:jc w:val="center"/>
                          <w:rPr>
                            <w:rFonts w:cs="Arial"/>
                            <w:b/>
                          </w:rPr>
                        </w:pPr>
                        <w:r>
                          <w:rPr>
                            <w:rFonts w:cs="Arial"/>
                            <w:b/>
                          </w:rPr>
                          <w:t>1 fois)  + dérogation possible après le 15 avril jusqu’au 30 juin</w:t>
                        </w:r>
                      </w:p>
                    </w:tc>
                  </w:tr>
                  <w:tr w:rsidR="00F04EEF">
                    <w:tc>
                      <w:tcPr>
                        <w:tcW w:w="4244" w:type="dxa"/>
                        <w:tcBorders>
                          <w:top w:val="single" w:sz="4" w:space="0" w:color="000000"/>
                          <w:left w:val="single" w:sz="4" w:space="0" w:color="000000"/>
                          <w:bottom w:val="single" w:sz="4" w:space="0" w:color="000000"/>
                        </w:tcBorders>
                        <w:shd w:val="clear" w:color="auto" w:fill="CCCCCC"/>
                      </w:tcPr>
                      <w:p w:rsidR="00F04EEF" w:rsidRDefault="0099351E">
                        <w:pPr>
                          <w:snapToGrid w:val="0"/>
                          <w:rPr>
                            <w:rFonts w:cs="Arial"/>
                            <w:b/>
                          </w:rPr>
                        </w:pPr>
                        <w:r>
                          <w:rPr>
                            <w:rFonts w:cs="Arial"/>
                            <w:b/>
                          </w:rPr>
                          <w:t>Durée maximale sur l’ensemble de la scolarité</w:t>
                        </w:r>
                      </w:p>
                    </w:tc>
                    <w:tc>
                      <w:tcPr>
                        <w:tcW w:w="5132" w:type="dxa"/>
                        <w:gridSpan w:val="3"/>
                        <w:tcBorders>
                          <w:top w:val="single" w:sz="4" w:space="0" w:color="000000"/>
                          <w:left w:val="single" w:sz="4" w:space="0" w:color="000000"/>
                          <w:bottom w:val="single" w:sz="4" w:space="0" w:color="000000"/>
                          <w:right w:val="single" w:sz="4" w:space="0" w:color="000000"/>
                        </w:tcBorders>
                        <w:shd w:val="clear" w:color="auto" w:fill="CCCCCC"/>
                      </w:tcPr>
                      <w:p w:rsidR="00F04EEF" w:rsidRDefault="0099351E">
                        <w:pPr>
                          <w:pStyle w:val="Paragraphedeliste"/>
                          <w:numPr>
                            <w:ilvl w:val="0"/>
                            <w:numId w:val="285"/>
                          </w:numPr>
                          <w:snapToGrid w:val="0"/>
                          <w:jc w:val="center"/>
                          <w:rPr>
                            <w:rFonts w:asciiTheme="majorHAnsi" w:hAnsiTheme="majorHAnsi"/>
                            <w:b/>
                          </w:rPr>
                        </w:pPr>
                        <w:r>
                          <w:rPr>
                            <w:rFonts w:asciiTheme="majorHAnsi" w:hAnsiTheme="majorHAnsi"/>
                            <w:b/>
                          </w:rPr>
                          <w:t>an</w:t>
                        </w:r>
                      </w:p>
                    </w:tc>
                  </w:tr>
                </w:tbl>
                <w:p w:rsidR="00F04EEF" w:rsidRDefault="00F04EEF">
                  <w:bookmarkStart w:id="500" w:name="_Toc291075509"/>
                  <w:bookmarkStart w:id="501" w:name="_Toc291075933"/>
                  <w:bookmarkStart w:id="502" w:name="_Toc291076357"/>
                  <w:bookmarkStart w:id="503" w:name="_Toc291076781"/>
                  <w:bookmarkStart w:id="504" w:name="_Toc291077205"/>
                  <w:bookmarkStart w:id="505" w:name="_Toc293652048"/>
                  <w:bookmarkStart w:id="506" w:name="_Toc293653630"/>
                  <w:bookmarkStart w:id="507" w:name="_Toc293654241"/>
                  <w:bookmarkStart w:id="508" w:name="_Toc294004821"/>
                  <w:bookmarkStart w:id="509" w:name="_Toc294185317"/>
                  <w:bookmarkStart w:id="510" w:name="_Toc324767183"/>
                  <w:bookmarkStart w:id="511" w:name="_Toc324768041"/>
                </w:p>
                <w:p w:rsidR="00F04EEF" w:rsidRDefault="00F04EEF"/>
                <w:p w:rsidR="00F04EEF" w:rsidRDefault="00F04EEF"/>
                <w:p w:rsidR="00F04EEF" w:rsidRDefault="0099351E">
                  <w:pPr>
                    <w:pStyle w:val="Titre6"/>
                  </w:pPr>
                  <w:bookmarkStart w:id="512" w:name="_1.2.3.3._Concertation_et"/>
                  <w:bookmarkEnd w:id="500"/>
                  <w:bookmarkEnd w:id="501"/>
                  <w:bookmarkEnd w:id="502"/>
                  <w:bookmarkEnd w:id="503"/>
                  <w:bookmarkEnd w:id="504"/>
                  <w:bookmarkEnd w:id="505"/>
                  <w:bookmarkEnd w:id="506"/>
                  <w:bookmarkEnd w:id="507"/>
                  <w:bookmarkEnd w:id="508"/>
                  <w:bookmarkEnd w:id="509"/>
                  <w:bookmarkEnd w:id="510"/>
                  <w:bookmarkEnd w:id="511"/>
                  <w:bookmarkEnd w:id="512"/>
                  <w:r>
                    <w:t>1.2.3.3. Concertation et collaboration entre les acteurs scolaires et non scolaires favorisant l’accrochage scolaire</w:t>
                  </w:r>
                </w:p>
                <w:p w:rsidR="00F04EEF" w:rsidRDefault="00F04EEF">
                  <w:pPr>
                    <w:jc w:val="both"/>
                    <w:rPr>
                      <w:rFonts w:cs="Arial"/>
                    </w:rPr>
                  </w:pPr>
                </w:p>
                <w:p w:rsidR="00F04EEF" w:rsidRDefault="0099351E">
                  <w:pPr>
                    <w:jc w:val="both"/>
                    <w:rPr>
                      <w:rFonts w:cs="Arial"/>
                    </w:rPr>
                  </w:pPr>
                  <w:r>
                    <w:rPr>
                      <w:rFonts w:cs="Arial"/>
                    </w:rPr>
                    <w:t>Le chef d’établissement et l’équipe éducative développent un climat d’école favorisant le bien-être des élèves, le vivre ensemble et la sérénité propice à l’apprentissage. Ils cherchent à améliorer la situation des élèves, tant sur le plan de leur devenir scolaire que de leur épanouissement personnel.</w:t>
                  </w:r>
                </w:p>
                <w:p w:rsidR="00F04EEF" w:rsidRDefault="0099351E">
                  <w:pPr>
                    <w:jc w:val="both"/>
                    <w:rPr>
                      <w:rFonts w:cs="Arial"/>
                    </w:rPr>
                  </w:pPr>
                  <w:r>
                    <w:rPr>
                      <w:rFonts w:cs="Arial"/>
                    </w:rPr>
                    <w:t>L’équipe du centre psycho-médico-social et le service de la promotion de la santé à l’école collaborent pour leur part à ces objectifs, à l’interface entre le monde scolaire et les intervenants extérieurs à l’école.</w:t>
                  </w:r>
                </w:p>
                <w:p w:rsidR="00F04EEF" w:rsidRDefault="00F04EEF">
                  <w:pPr>
                    <w:jc w:val="both"/>
                  </w:pPr>
                </w:p>
                <w:p w:rsidR="00F04EEF" w:rsidRDefault="00F04EEF">
                  <w:pPr>
                    <w:jc w:val="both"/>
                  </w:pPr>
                </w:p>
                <w:p w:rsidR="00F04EEF" w:rsidRDefault="0099351E">
                  <w:pPr>
                    <w:rPr>
                      <w:rFonts w:eastAsia="Times New Roman" w:cs="Arial"/>
                      <w:b/>
                      <w:szCs w:val="20"/>
                      <w:u w:val="single"/>
                      <w:lang w:eastAsia="ar-SA"/>
                    </w:rPr>
                  </w:pPr>
                  <w:r>
                    <w:br w:type="page"/>
                  </w:r>
                </w:p>
                <w:p w:rsidR="00F04EEF" w:rsidRDefault="0099351E">
                  <w:pPr>
                    <w:pStyle w:val="Titre7"/>
                  </w:pPr>
                  <w:r>
                    <w:t>1.2.3.3.1. Organisation par le chef d’établissement d’une rencontre annuelle</w:t>
                  </w:r>
                </w:p>
                <w:p w:rsidR="00F04EEF" w:rsidRDefault="00F04EEF">
                  <w:pPr>
                    <w:pStyle w:val="Paragraphedeliste"/>
                    <w:autoSpaceDE w:val="0"/>
                    <w:autoSpaceDN w:val="0"/>
                    <w:adjustRightInd w:val="0"/>
                    <w:ind w:left="1440"/>
                    <w:rPr>
                      <w:rFonts w:asciiTheme="majorHAnsi" w:hAnsiTheme="majorHAnsi"/>
                      <w:b/>
                      <w:sz w:val="22"/>
                      <w:szCs w:val="22"/>
                      <w:u w:val="single"/>
                    </w:rPr>
                  </w:pPr>
                </w:p>
                <w:p w:rsidR="00F04EEF" w:rsidRDefault="0099351E">
                  <w:pPr>
                    <w:jc w:val="both"/>
                    <w:rPr>
                      <w:rFonts w:cs="Arial"/>
                    </w:rPr>
                  </w:pPr>
                  <w:r>
                    <w:rPr>
                      <w:rFonts w:cs="Arial"/>
                    </w:rPr>
                    <w:t>Annuellement</w:t>
                  </w:r>
                  <w:r>
                    <w:rPr>
                      <w:rFonts w:cs="Arial"/>
                      <w:vertAlign w:val="superscript"/>
                    </w:rPr>
                    <w:footnoteReference w:id="41"/>
                  </w:r>
                  <w:proofErr w:type="gramStart"/>
                  <w:r>
                    <w:rPr>
                      <w:rFonts w:cs="Arial"/>
                      <w:vertAlign w:val="superscript"/>
                    </w:rPr>
                    <w:t>,</w:t>
                  </w:r>
                  <w:r>
                    <w:rPr>
                      <w:rFonts w:cs="Arial"/>
                    </w:rPr>
                    <w:t>,</w:t>
                  </w:r>
                  <w:proofErr w:type="gramEnd"/>
                  <w:r>
                    <w:rPr>
                      <w:rFonts w:cs="Arial"/>
                    </w:rPr>
                    <w:t xml:space="preserve"> le chef d’établissement organise une rencontre entre des délégués de l’équipe éducative, du centre psycho-médico-social et du service de promotion de la santé à l’école. </w:t>
                  </w:r>
                </w:p>
                <w:p w:rsidR="00F04EEF" w:rsidRDefault="0099351E">
                  <w:pPr>
                    <w:jc w:val="both"/>
                    <w:rPr>
                      <w:rFonts w:cs="Arial"/>
                    </w:rPr>
                  </w:pPr>
                  <w:r>
                    <w:rPr>
                      <w:rFonts w:cs="Arial"/>
                    </w:rPr>
                    <w:t>La rencontre peut être ouverte à d’autres acteurs collaborant avec l’école : médiateur scolaire, etc.</w:t>
                  </w:r>
                </w:p>
                <w:p w:rsidR="00F04EEF" w:rsidRDefault="0099351E">
                  <w:pPr>
                    <w:jc w:val="both"/>
                    <w:rPr>
                      <w:rFonts w:cs="Arial"/>
                    </w:rPr>
                  </w:pPr>
                  <w:r>
                    <w:rPr>
                      <w:rFonts w:cs="Arial"/>
                    </w:rPr>
                    <w:t>En région de Bruxelles-Capitale, le médiateur scolaire affecté à l’établissement est associé à la rencontre.</w:t>
                  </w:r>
                </w:p>
                <w:p w:rsidR="00F04EEF" w:rsidRDefault="00F04EEF">
                  <w:pPr>
                    <w:jc w:val="both"/>
                    <w:rPr>
                      <w:rFonts w:cs="Arial"/>
                    </w:rPr>
                  </w:pPr>
                </w:p>
                <w:p w:rsidR="00F04EEF" w:rsidRDefault="0099351E">
                  <w:pPr>
                    <w:jc w:val="both"/>
                    <w:rPr>
                      <w:rFonts w:cs="Arial"/>
                      <w:b/>
                    </w:rPr>
                  </w:pPr>
                  <w:r>
                    <w:rPr>
                      <w:rFonts w:cs="Arial"/>
                      <w:b/>
                    </w:rPr>
                    <w:t xml:space="preserve">Cette rencontre vise à : </w:t>
                  </w:r>
                </w:p>
                <w:p w:rsidR="00F04EEF" w:rsidRDefault="00F04EEF">
                  <w:pPr>
                    <w:jc w:val="both"/>
                    <w:rPr>
                      <w:rFonts w:cs="Arial"/>
                      <w:b/>
                    </w:rPr>
                  </w:pPr>
                </w:p>
                <w:p w:rsidR="00F04EEF" w:rsidRDefault="0099351E">
                  <w:pPr>
                    <w:pStyle w:val="Paragraphedeliste"/>
                    <w:numPr>
                      <w:ilvl w:val="0"/>
                      <w:numId w:val="223"/>
                    </w:numPr>
                    <w:ind w:left="927"/>
                    <w:jc w:val="both"/>
                    <w:rPr>
                      <w:rFonts w:asciiTheme="minorHAnsi" w:hAnsiTheme="minorHAnsi" w:cstheme="minorHAnsi"/>
                      <w:sz w:val="22"/>
                      <w:szCs w:val="22"/>
                    </w:rPr>
                  </w:pPr>
                  <w:r>
                    <w:rPr>
                      <w:rFonts w:asciiTheme="minorHAnsi" w:hAnsiTheme="minorHAnsi" w:cstheme="minorHAnsi"/>
                      <w:sz w:val="22"/>
                      <w:szCs w:val="22"/>
                    </w:rPr>
                    <w:t>échanger sur les projets éducatif, pédagogique et d’établissement, sur le projet du centre psycho-médico-social, sur, le cas échéant, celui du centre de promotion de la santé à l’école et sur le projet de service du service de médiation scolaire, lorsqu’un médiateur est affecté à l’établissement en région de Bruxelles-Capitale ;</w:t>
                  </w:r>
                </w:p>
                <w:p w:rsidR="00F04EEF" w:rsidRDefault="0099351E">
                  <w:pPr>
                    <w:pStyle w:val="Paragraphedeliste"/>
                    <w:numPr>
                      <w:ilvl w:val="0"/>
                      <w:numId w:val="223"/>
                    </w:numPr>
                    <w:ind w:left="927"/>
                    <w:jc w:val="both"/>
                    <w:rPr>
                      <w:rFonts w:asciiTheme="minorHAnsi" w:hAnsiTheme="minorHAnsi" w:cstheme="minorHAnsi"/>
                      <w:sz w:val="22"/>
                      <w:szCs w:val="22"/>
                    </w:rPr>
                  </w:pPr>
                  <w:r>
                    <w:rPr>
                      <w:rFonts w:asciiTheme="minorHAnsi" w:hAnsiTheme="minorHAnsi" w:cstheme="minorHAnsi"/>
                      <w:sz w:val="22"/>
                      <w:szCs w:val="22"/>
                    </w:rPr>
                    <w:t xml:space="preserve">établir les besoins spécifiques de l’école en matière d’accrochage scolaire </w:t>
                  </w:r>
                  <w:r>
                    <w:rPr>
                      <w:rFonts w:asciiTheme="minorHAnsi" w:hAnsiTheme="minorHAnsi" w:cstheme="minorHAnsi"/>
                      <w:b/>
                      <w:sz w:val="22"/>
                      <w:szCs w:val="22"/>
                    </w:rPr>
                    <w:t>mais aussi</w:t>
                  </w:r>
                  <w:r>
                    <w:rPr>
                      <w:rFonts w:asciiTheme="minorHAnsi" w:hAnsiTheme="minorHAnsi" w:cstheme="minorHAnsi"/>
                      <w:sz w:val="22"/>
                      <w:szCs w:val="22"/>
                    </w:rPr>
                    <w:t>, de bien-être des jeunes, de prévention de la violence à l’école et d’accompagnement des démarches d’orientation scolaire ;</w:t>
                  </w:r>
                </w:p>
                <w:p w:rsidR="00F04EEF" w:rsidRDefault="0099351E">
                  <w:pPr>
                    <w:pStyle w:val="Paragraphedeliste"/>
                    <w:numPr>
                      <w:ilvl w:val="0"/>
                      <w:numId w:val="223"/>
                    </w:numPr>
                    <w:ind w:left="927"/>
                    <w:jc w:val="both"/>
                    <w:rPr>
                      <w:rFonts w:asciiTheme="minorHAnsi" w:hAnsiTheme="minorHAnsi" w:cstheme="minorHAnsi"/>
                      <w:sz w:val="22"/>
                      <w:szCs w:val="22"/>
                    </w:rPr>
                  </w:pPr>
                  <w:r>
                    <w:rPr>
                      <w:rFonts w:asciiTheme="minorHAnsi" w:hAnsiTheme="minorHAnsi" w:cstheme="minorHAnsi"/>
                      <w:sz w:val="22"/>
                      <w:szCs w:val="22"/>
                    </w:rPr>
                    <w:t>définir des priorités pour les années ultérieures ;</w:t>
                  </w:r>
                </w:p>
                <w:p w:rsidR="00F04EEF" w:rsidRDefault="0099351E">
                  <w:pPr>
                    <w:pStyle w:val="Paragraphedeliste"/>
                    <w:numPr>
                      <w:ilvl w:val="0"/>
                      <w:numId w:val="223"/>
                    </w:numPr>
                    <w:ind w:left="927"/>
                    <w:jc w:val="both"/>
                    <w:rPr>
                      <w:rFonts w:asciiTheme="minorHAnsi" w:hAnsiTheme="minorHAnsi" w:cstheme="minorHAnsi"/>
                      <w:sz w:val="22"/>
                      <w:szCs w:val="22"/>
                    </w:rPr>
                  </w:pPr>
                  <w:r>
                    <w:rPr>
                      <w:rFonts w:asciiTheme="minorHAnsi" w:hAnsiTheme="minorHAnsi" w:cstheme="minorHAnsi"/>
                      <w:sz w:val="22"/>
                      <w:szCs w:val="22"/>
                    </w:rPr>
                    <w:t>identifier les ressources internes et externes mobilisables ;</w:t>
                  </w:r>
                </w:p>
                <w:p w:rsidR="00F04EEF" w:rsidRDefault="0099351E">
                  <w:pPr>
                    <w:pStyle w:val="Paragraphedeliste"/>
                    <w:numPr>
                      <w:ilvl w:val="0"/>
                      <w:numId w:val="223"/>
                    </w:numPr>
                    <w:ind w:left="927"/>
                    <w:jc w:val="both"/>
                    <w:rPr>
                      <w:rFonts w:asciiTheme="minorHAnsi" w:hAnsiTheme="minorHAnsi" w:cstheme="minorHAnsi"/>
                      <w:sz w:val="22"/>
                      <w:szCs w:val="22"/>
                    </w:rPr>
                  </w:pPr>
                  <w:r>
                    <w:rPr>
                      <w:rFonts w:asciiTheme="minorHAnsi" w:hAnsiTheme="minorHAnsi" w:cstheme="minorHAnsi"/>
                      <w:sz w:val="22"/>
                      <w:szCs w:val="22"/>
                    </w:rPr>
                    <w:t>préciser le rôle de chacun et, en particulier, identifier un une personne de référence pour chaque priorité retenue ;</w:t>
                  </w:r>
                </w:p>
                <w:p w:rsidR="00F04EEF" w:rsidRDefault="0099351E">
                  <w:pPr>
                    <w:pStyle w:val="Paragraphedeliste"/>
                    <w:numPr>
                      <w:ilvl w:val="0"/>
                      <w:numId w:val="223"/>
                    </w:numPr>
                    <w:ind w:left="927"/>
                    <w:jc w:val="both"/>
                    <w:rPr>
                      <w:rFonts w:asciiTheme="minorHAnsi" w:hAnsiTheme="minorHAnsi" w:cstheme="minorHAnsi"/>
                      <w:sz w:val="22"/>
                      <w:szCs w:val="22"/>
                    </w:rPr>
                  </w:pPr>
                  <w:r>
                    <w:rPr>
                      <w:rFonts w:asciiTheme="minorHAnsi" w:hAnsiTheme="minorHAnsi" w:cstheme="minorHAnsi"/>
                      <w:sz w:val="22"/>
                      <w:szCs w:val="22"/>
                    </w:rPr>
                    <w:t>définir, dans le cas où un médiateur scolaire est affecté à un établissement, un protocole de collaboration entre les acteurs concernés ;</w:t>
                  </w:r>
                </w:p>
                <w:p w:rsidR="00F04EEF" w:rsidRDefault="0099351E">
                  <w:pPr>
                    <w:pStyle w:val="Paragraphedeliste"/>
                    <w:numPr>
                      <w:ilvl w:val="0"/>
                      <w:numId w:val="223"/>
                    </w:numPr>
                    <w:ind w:left="927"/>
                    <w:jc w:val="both"/>
                    <w:rPr>
                      <w:rFonts w:asciiTheme="minorHAnsi" w:hAnsiTheme="minorHAnsi" w:cstheme="minorHAnsi"/>
                      <w:sz w:val="22"/>
                      <w:szCs w:val="22"/>
                    </w:rPr>
                  </w:pPr>
                  <w:r>
                    <w:rPr>
                      <w:rFonts w:asciiTheme="minorHAnsi" w:hAnsiTheme="minorHAnsi" w:cstheme="minorHAnsi"/>
                      <w:sz w:val="22"/>
                      <w:szCs w:val="22"/>
                    </w:rPr>
                    <w:t>établir un bilan des actions entreprises et des collaborations développées.</w:t>
                  </w:r>
                </w:p>
                <w:p w:rsidR="00F04EEF" w:rsidRDefault="00F04EEF">
                  <w:pPr>
                    <w:jc w:val="both"/>
                    <w:rPr>
                      <w:rFonts w:cs="Arial"/>
                    </w:rPr>
                  </w:pPr>
                </w:p>
                <w:p w:rsidR="00F04EEF" w:rsidRDefault="0099351E">
                  <w:pPr>
                    <w:jc w:val="both"/>
                    <w:rPr>
                      <w:rFonts w:cs="Arial"/>
                    </w:rPr>
                  </w:pPr>
                  <w:r>
                    <w:rPr>
                      <w:rFonts w:cs="Arial"/>
                    </w:rPr>
                    <w:t>Lorsqu’une Cellule de concertation locale a été mise en place, c’est notamment en son sein que s’organisent la concertation et les actions visées ci-dessus.</w:t>
                  </w:r>
                </w:p>
                <w:p w:rsidR="00F04EEF" w:rsidRDefault="00F04EEF">
                  <w:pPr>
                    <w:jc w:val="both"/>
                    <w:rPr>
                      <w:rFonts w:cs="Arial"/>
                    </w:rPr>
                  </w:pPr>
                </w:p>
                <w:p w:rsidR="00F04EEF" w:rsidRDefault="0099351E">
                  <w:pPr>
                    <w:pStyle w:val="Titre7"/>
                  </w:pPr>
                  <w:r>
                    <w:t>1.2.3.3.2. La cellule de concertation locale</w:t>
                  </w:r>
                  <w:r>
                    <w:rPr>
                      <w:rStyle w:val="Appelnotedebasdep"/>
                      <w:b w:val="0"/>
                      <w:szCs w:val="22"/>
                    </w:rPr>
                    <w:footnoteReference w:id="42"/>
                  </w:r>
                </w:p>
                <w:p w:rsidR="00F04EEF" w:rsidRDefault="00F04EEF">
                  <w:pPr>
                    <w:autoSpaceDE w:val="0"/>
                    <w:autoSpaceDN w:val="0"/>
                    <w:adjustRightInd w:val="0"/>
                    <w:rPr>
                      <w:lang w:val="fr-FR"/>
                    </w:rPr>
                  </w:pPr>
                </w:p>
                <w:p w:rsidR="00F04EEF" w:rsidRDefault="0099351E">
                  <w:pPr>
                    <w:jc w:val="both"/>
                    <w:rPr>
                      <w:rFonts w:cs="Arial"/>
                    </w:rPr>
                  </w:pPr>
                  <w:r>
                    <w:rPr>
                      <w:rFonts w:cs="Arial"/>
                    </w:rPr>
                    <w:t>Le chef d’établissement peut d’initiative ou à la demande d’un des acteurs de l’Aide à la Jeunesse ou de la plate-forme de concertation</w:t>
                  </w:r>
                  <w:r>
                    <w:rPr>
                      <w:rStyle w:val="Appelnotedebasdep"/>
                    </w:rPr>
                    <w:footnoteReference w:id="43"/>
                  </w:r>
                  <w:r>
                    <w:rPr>
                      <w:rFonts w:cs="Arial"/>
                    </w:rPr>
                    <w:t xml:space="preserve"> mettre en place une cellule de concertation locale au sein de son établissement.</w:t>
                  </w:r>
                </w:p>
                <w:p w:rsidR="00F04EEF" w:rsidRDefault="0099351E">
                  <w:pPr>
                    <w:jc w:val="both"/>
                    <w:rPr>
                      <w:rFonts w:cs="Arial"/>
                    </w:rPr>
                  </w:pPr>
                  <w:r>
                    <w:rPr>
                      <w:rFonts w:cs="Arial"/>
                    </w:rPr>
                    <w:t>Il en informe le Conseil de participation et l’organe de démocratie sociale compétent.</w:t>
                  </w:r>
                </w:p>
                <w:p w:rsidR="00F04EEF" w:rsidRDefault="00F04EEF">
                  <w:pPr>
                    <w:rPr>
                      <w:rFonts w:cs="Arial"/>
                    </w:rPr>
                  </w:pPr>
                </w:p>
                <w:p w:rsidR="00F04EEF" w:rsidRDefault="0099351E">
                  <w:pPr>
                    <w:rPr>
                      <w:rFonts w:cs="Arial"/>
                    </w:rPr>
                  </w:pPr>
                  <w:r>
                    <w:rPr>
                      <w:rFonts w:cs="Arial"/>
                    </w:rPr>
                    <w:t>La cellule de concertation locale est appelée à intervenir à trois niveaux :</w:t>
                  </w:r>
                </w:p>
                <w:p w:rsidR="00F04EEF" w:rsidRDefault="00F04EEF">
                  <w:pPr>
                    <w:rPr>
                      <w:rFonts w:cs="Arial"/>
                    </w:rPr>
                  </w:pPr>
                </w:p>
                <w:p w:rsidR="00F04EEF" w:rsidRDefault="0099351E">
                  <w:pPr>
                    <w:numPr>
                      <w:ilvl w:val="0"/>
                      <w:numId w:val="123"/>
                    </w:numPr>
                    <w:suppressAutoHyphens/>
                    <w:ind w:left="927"/>
                    <w:jc w:val="both"/>
                    <w:rPr>
                      <w:rFonts w:cs="Arial"/>
                    </w:rPr>
                  </w:pPr>
                  <w:r>
                    <w:rPr>
                      <w:rFonts w:cs="Arial"/>
                    </w:rPr>
                    <w:t>celui des démarches générales de sensibilisation, d’information et de prévention visant à améliorer la situation du jeune, tant sur le plan de son devenir scolaire que de son épanouissement personnel ainsi que défavoriser le vivre-ensemble et un climat serein propice à l’apprentissage ;</w:t>
                  </w:r>
                </w:p>
                <w:p w:rsidR="00F04EEF" w:rsidRDefault="0099351E">
                  <w:pPr>
                    <w:numPr>
                      <w:ilvl w:val="0"/>
                      <w:numId w:val="123"/>
                    </w:numPr>
                    <w:suppressAutoHyphens/>
                    <w:ind w:left="927"/>
                    <w:jc w:val="both"/>
                    <w:rPr>
                      <w:rFonts w:cs="Arial"/>
                    </w:rPr>
                  </w:pPr>
                  <w:r>
                    <w:rPr>
                      <w:rFonts w:cs="Arial"/>
                    </w:rPr>
                    <w:t>celui des démarches ciblées de prévention, d’information et d’accompagnement adaptées à des situations identifiées comme problématiques ;</w:t>
                  </w:r>
                </w:p>
                <w:p w:rsidR="00F04EEF" w:rsidRDefault="0099351E">
                  <w:pPr>
                    <w:numPr>
                      <w:ilvl w:val="0"/>
                      <w:numId w:val="123"/>
                    </w:numPr>
                    <w:suppressAutoHyphens/>
                    <w:ind w:left="927"/>
                    <w:jc w:val="both"/>
                    <w:rPr>
                      <w:rFonts w:cs="Arial"/>
                    </w:rPr>
                  </w:pPr>
                  <w:r>
                    <w:rPr>
                      <w:rFonts w:cs="Arial"/>
                    </w:rPr>
                    <w:t>celui des démarches d’intervention de crise consécutives à un fait précis qui provoque une « crise » dans l’établissement.</w:t>
                  </w:r>
                </w:p>
                <w:p w:rsidR="00F04EEF" w:rsidRDefault="00F04EEF">
                  <w:pPr>
                    <w:rPr>
                      <w:rFonts w:cs="Arial"/>
                    </w:rPr>
                  </w:pPr>
                </w:p>
                <w:p w:rsidR="00F04EEF" w:rsidRDefault="00F04EEF">
                  <w:pPr>
                    <w:rPr>
                      <w:rFonts w:cs="Arial"/>
                      <w:b/>
                    </w:rPr>
                  </w:pPr>
                </w:p>
                <w:p w:rsidR="00F04EEF" w:rsidRDefault="0099351E">
                  <w:pPr>
                    <w:rPr>
                      <w:rFonts w:cs="Arial"/>
                      <w:b/>
                    </w:rPr>
                  </w:pPr>
                  <w:r>
                    <w:rPr>
                      <w:rFonts w:cs="Arial"/>
                      <w:b/>
                    </w:rPr>
                    <w:br w:type="page"/>
                  </w:r>
                </w:p>
                <w:p w:rsidR="00F04EEF" w:rsidRDefault="0099351E">
                  <w:pPr>
                    <w:rPr>
                      <w:rFonts w:cstheme="minorHAnsi"/>
                      <w:b/>
                    </w:rPr>
                  </w:pPr>
                  <w:r>
                    <w:rPr>
                      <w:rFonts w:cstheme="minorHAnsi"/>
                      <w:b/>
                    </w:rPr>
                    <w:t>Elle a pour mission :</w:t>
                  </w:r>
                </w:p>
                <w:p w:rsidR="00F04EEF" w:rsidRDefault="00F04EEF">
                  <w:pPr>
                    <w:rPr>
                      <w:rFonts w:cstheme="minorHAnsi"/>
                      <w:b/>
                    </w:rPr>
                  </w:pP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d’identifier, de manière dynamique et systémique, les caractéristiques spécifiques à l’école des thématiques abordées (accrochage, prévention et réduction des violences, orientation…) ;</w:t>
                  </w: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d’établir, dans le cadre du projet d’établissement, un plan d’action collective (sensibilisation, prévention, intervention) et le mettre en œuvre ; ce plan d’action est, s’il échet, articulé au PGAED de l’établissement ;</w:t>
                  </w: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d’enrichir ses projets à partir des outils, études, propositions, indicateurs et autres données mis à sa disposition à l’intervention du comité de pilotage et/ou de la plate-forme ;</w:t>
                  </w: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de garantir qu’un accompagnement individuel est mis en place pour les enfants et les jeunes en difficulté ou en danger et leur famille ; les orienter, si nécessaire, vers le(s) service(s) adéquat(s) ;</w:t>
                  </w: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de prévoir toutes dispositions qui permettront à tout mineur qui a bénéficié d’une prise en charge par un service d’accrochage scolaire (SAS), de poursuivre ou de reprendre sa scolarité dans les meilleures conditions ;</w:t>
                  </w: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de mettre en place les coopérations utiles avec les services et organismes œuvrant dans le quartier proche de l’école ;</w:t>
                  </w:r>
                </w:p>
                <w:p w:rsidR="00F04EEF" w:rsidRDefault="0099351E">
                  <w:pPr>
                    <w:pStyle w:val="Paragraphedeliste"/>
                    <w:numPr>
                      <w:ilvl w:val="0"/>
                      <w:numId w:val="224"/>
                    </w:numPr>
                    <w:jc w:val="both"/>
                    <w:rPr>
                      <w:rFonts w:asciiTheme="minorHAnsi" w:hAnsiTheme="minorHAnsi" w:cstheme="minorHAnsi"/>
                      <w:sz w:val="22"/>
                      <w:szCs w:val="22"/>
                    </w:rPr>
                  </w:pPr>
                  <w:r>
                    <w:rPr>
                      <w:rFonts w:asciiTheme="minorHAnsi" w:hAnsiTheme="minorHAnsi" w:cstheme="minorHAnsi"/>
                      <w:sz w:val="22"/>
                      <w:szCs w:val="22"/>
                    </w:rPr>
                    <w:t>de veiller à la régulation du système, notamment en suscitant régulièrement la modélisation et l’échange de pratiques entre acteurs impliqués dans des dispositifs particuliers.</w:t>
                  </w:r>
                </w:p>
                <w:p w:rsidR="00F04EEF" w:rsidRDefault="00F04EEF">
                  <w:pPr>
                    <w:jc w:val="both"/>
                    <w:rPr>
                      <w:rFonts w:cs="Arial"/>
                    </w:rPr>
                  </w:pPr>
                </w:p>
                <w:p w:rsidR="00F04EEF" w:rsidRDefault="0099351E">
                  <w:pPr>
                    <w:jc w:val="both"/>
                    <w:rPr>
                      <w:rFonts w:cs="Arial"/>
                    </w:rPr>
                  </w:pPr>
                  <w:r>
                    <w:rPr>
                      <w:rFonts w:cs="Arial"/>
                    </w:rPr>
                    <w:t>La cellule de concertation locale comprend :</w:t>
                  </w:r>
                </w:p>
                <w:p w:rsidR="00F04EEF" w:rsidRDefault="00F04EEF">
                  <w:pPr>
                    <w:jc w:val="both"/>
                    <w:rPr>
                      <w:rFonts w:cs="Arial"/>
                    </w:rPr>
                  </w:pPr>
                </w:p>
                <w:p w:rsidR="00F04EEF" w:rsidRDefault="0099351E">
                  <w:pPr>
                    <w:pStyle w:val="Paragraphedeliste"/>
                    <w:numPr>
                      <w:ilvl w:val="0"/>
                      <w:numId w:val="225"/>
                    </w:numPr>
                    <w:ind w:left="709" w:hanging="283"/>
                    <w:rPr>
                      <w:rFonts w:asciiTheme="minorHAnsi" w:eastAsiaTheme="minorHAnsi" w:hAnsiTheme="minorHAnsi"/>
                      <w:sz w:val="22"/>
                      <w:szCs w:val="22"/>
                      <w:lang w:eastAsia="en-US"/>
                    </w:rPr>
                  </w:pPr>
                  <w:r>
                    <w:rPr>
                      <w:rFonts w:asciiTheme="minorHAnsi" w:eastAsiaTheme="minorHAnsi" w:hAnsiTheme="minorHAnsi"/>
                      <w:sz w:val="22"/>
                      <w:szCs w:val="22"/>
                      <w:lang w:eastAsia="en-US"/>
                    </w:rPr>
                    <w:t>un ou des membres du personnel directeur et enseignant ;</w:t>
                  </w:r>
                </w:p>
                <w:p w:rsidR="00F04EEF" w:rsidRDefault="0099351E">
                  <w:pPr>
                    <w:pStyle w:val="Paragraphedeliste"/>
                    <w:numPr>
                      <w:ilvl w:val="0"/>
                      <w:numId w:val="225"/>
                    </w:numPr>
                    <w:ind w:left="709" w:hanging="283"/>
                    <w:rPr>
                      <w:rFonts w:asciiTheme="minorHAnsi" w:eastAsiaTheme="minorHAnsi" w:hAnsiTheme="minorHAnsi"/>
                      <w:sz w:val="22"/>
                      <w:szCs w:val="22"/>
                      <w:lang w:eastAsia="en-US"/>
                    </w:rPr>
                  </w:pPr>
                  <w:r>
                    <w:rPr>
                      <w:rFonts w:asciiTheme="minorHAnsi" w:eastAsiaTheme="minorHAnsi" w:hAnsiTheme="minorHAnsi"/>
                      <w:sz w:val="22"/>
                      <w:szCs w:val="22"/>
                      <w:lang w:eastAsia="en-US"/>
                    </w:rPr>
                    <w:t>un ou des membres du personnel auxiliaire d’éducation, là où ils existent ;</w:t>
                  </w:r>
                </w:p>
                <w:p w:rsidR="00F04EEF" w:rsidRDefault="0099351E">
                  <w:pPr>
                    <w:pStyle w:val="Paragraphedeliste"/>
                    <w:numPr>
                      <w:ilvl w:val="0"/>
                      <w:numId w:val="225"/>
                    </w:numPr>
                    <w:ind w:left="709" w:hanging="283"/>
                    <w:rPr>
                      <w:rFonts w:asciiTheme="minorHAnsi" w:eastAsiaTheme="minorHAnsi" w:hAnsiTheme="minorHAnsi"/>
                      <w:sz w:val="22"/>
                      <w:szCs w:val="22"/>
                      <w:lang w:eastAsia="en-US"/>
                    </w:rPr>
                  </w:pPr>
                  <w:r>
                    <w:rPr>
                      <w:rFonts w:asciiTheme="minorHAnsi" w:eastAsiaTheme="minorHAnsi" w:hAnsiTheme="minorHAnsi"/>
                      <w:sz w:val="22"/>
                      <w:szCs w:val="22"/>
                      <w:lang w:eastAsia="en-US"/>
                    </w:rPr>
                    <w:t>un ou des membres de l’équipe du CPMS ;</w:t>
                  </w:r>
                </w:p>
                <w:p w:rsidR="00F04EEF" w:rsidRDefault="0099351E">
                  <w:pPr>
                    <w:pStyle w:val="Paragraphedeliste"/>
                    <w:numPr>
                      <w:ilvl w:val="0"/>
                      <w:numId w:val="225"/>
                    </w:numPr>
                    <w:ind w:left="709" w:hanging="283"/>
                    <w:rPr>
                      <w:rFonts w:asciiTheme="minorHAnsi" w:eastAsiaTheme="minorHAnsi" w:hAnsiTheme="minorHAnsi"/>
                      <w:sz w:val="22"/>
                      <w:szCs w:val="22"/>
                      <w:lang w:eastAsia="en-US"/>
                    </w:rPr>
                  </w:pPr>
                  <w:r>
                    <w:rPr>
                      <w:rFonts w:asciiTheme="minorHAnsi" w:eastAsiaTheme="minorHAnsi" w:hAnsiTheme="minorHAnsi"/>
                      <w:sz w:val="22"/>
                      <w:szCs w:val="22"/>
                      <w:lang w:eastAsia="en-US"/>
                    </w:rPr>
                    <w:t>pour les écoles qui en disposent, le ou les médiateurs scolaires qui leur sont affectés ;</w:t>
                  </w:r>
                </w:p>
                <w:p w:rsidR="00F04EEF" w:rsidRDefault="0099351E">
                  <w:pPr>
                    <w:pStyle w:val="Paragraphedeliste"/>
                    <w:numPr>
                      <w:ilvl w:val="0"/>
                      <w:numId w:val="225"/>
                    </w:numPr>
                    <w:ind w:left="709" w:hanging="283"/>
                    <w:jc w:val="both"/>
                    <w:rPr>
                      <w:rFonts w:asciiTheme="minorHAnsi" w:eastAsiaTheme="minorHAnsi" w:hAnsiTheme="minorHAnsi"/>
                      <w:sz w:val="22"/>
                      <w:szCs w:val="22"/>
                      <w:lang w:eastAsia="en-US"/>
                    </w:rPr>
                  </w:pPr>
                  <w:r>
                    <w:rPr>
                      <w:rFonts w:asciiTheme="minorHAnsi" w:eastAsiaTheme="minorHAnsi" w:hAnsiTheme="minorHAnsi"/>
                      <w:sz w:val="22"/>
                      <w:szCs w:val="22"/>
                      <w:lang w:eastAsia="en-US"/>
                    </w:rPr>
                    <w:t>un représentant du conseiller ou du directeur de l’Aide à la Jeunesse de l’arrondissement dans lequel est situé l’établissement scolaire ;</w:t>
                  </w:r>
                </w:p>
                <w:p w:rsidR="00F04EEF" w:rsidRDefault="0099351E">
                  <w:pPr>
                    <w:pStyle w:val="Paragraphedeliste"/>
                    <w:numPr>
                      <w:ilvl w:val="0"/>
                      <w:numId w:val="225"/>
                    </w:numPr>
                    <w:ind w:left="709" w:hanging="283"/>
                    <w:jc w:val="both"/>
                    <w:rPr>
                      <w:rFonts w:asciiTheme="minorHAnsi" w:eastAsiaTheme="minorHAnsi" w:hAnsiTheme="minorHAnsi"/>
                      <w:sz w:val="22"/>
                      <w:szCs w:val="22"/>
                      <w:lang w:eastAsia="en-US"/>
                    </w:rPr>
                  </w:pPr>
                  <w:r>
                    <w:rPr>
                      <w:rFonts w:asciiTheme="minorHAnsi" w:eastAsiaTheme="minorHAnsi" w:hAnsiTheme="minorHAnsi"/>
                      <w:sz w:val="22"/>
                      <w:szCs w:val="22"/>
                      <w:lang w:eastAsia="en-US"/>
                    </w:rPr>
                    <w:t>un ou des représentants des services d’actions en milieu ouvert (AMO) et/ou les services qui apportent leurs concours à l’exécution de décisions individuelles dans le cadre des programmes d’aide élaborés par le conseiller ou le directeur de l’Aide à la Jeunesse ou par le Tribunal de jeunesse.</w:t>
                  </w:r>
                </w:p>
                <w:p w:rsidR="00F04EEF" w:rsidRDefault="00F04EEF">
                  <w:pPr>
                    <w:jc w:val="both"/>
                    <w:rPr>
                      <w:rFonts w:cs="Arial"/>
                    </w:rPr>
                  </w:pPr>
                </w:p>
                <w:p w:rsidR="00F04EEF" w:rsidRDefault="0099351E">
                  <w:pPr>
                    <w:jc w:val="both"/>
                    <w:rPr>
                      <w:rFonts w:cs="Arial"/>
                    </w:rPr>
                  </w:pPr>
                  <w:r>
                    <w:rPr>
                      <w:rFonts w:cs="Arial"/>
                    </w:rPr>
                    <w:t>Elle établit les contacts utiles avec les autres services externes (le service de médiation scolaire, les équipes mobiles, les SAS, les commissions décentralisées rendant un avis en matière d’inscription ou les commissions zonales des inscriptions, etc.) et peut en intégrer un ou des représentants.</w:t>
                  </w:r>
                </w:p>
                <w:p w:rsidR="00F04EEF" w:rsidRDefault="0099351E">
                  <w:pPr>
                    <w:jc w:val="both"/>
                    <w:rPr>
                      <w:rFonts w:cs="Arial"/>
                    </w:rPr>
                  </w:pPr>
                  <w:r>
                    <w:rPr>
                      <w:rFonts w:cs="Arial"/>
                    </w:rPr>
                    <w:t>La composition de la cellule est définie dans le règlement d’ordre intérieur.  Celui-ci est établi lors de la 1</w:t>
                  </w:r>
                  <w:r>
                    <w:rPr>
                      <w:rFonts w:cs="Arial"/>
                      <w:vertAlign w:val="superscript"/>
                    </w:rPr>
                    <w:t>ère</w:t>
                  </w:r>
                  <w:r>
                    <w:rPr>
                      <w:rFonts w:cs="Arial"/>
                    </w:rPr>
                    <w:t xml:space="preserve"> réunion de la cellule convoquée par le chef d’établissement à laquelle participe au moins un représentant de chacune des catégories susmentionnées (1° à 6°) et est soumis, pour approbation, au chef d’établissement pour l’enseignement organisé par la Fédération Wallonie-Bruxelles, et au Pouvoir organisateur pour l’enseignement subventionné par la Fédération Wallonie-Bruxelles.</w:t>
                  </w:r>
                </w:p>
                <w:p w:rsidR="00F04EEF" w:rsidRDefault="00F04EEF">
                  <w:pPr>
                    <w:jc w:val="both"/>
                    <w:rPr>
                      <w:rFonts w:cs="Arial"/>
                    </w:rPr>
                  </w:pPr>
                </w:p>
                <w:p w:rsidR="00F04EEF" w:rsidRDefault="0099351E">
                  <w:pPr>
                    <w:jc w:val="both"/>
                    <w:rPr>
                      <w:rFonts w:cs="Arial"/>
                    </w:rPr>
                  </w:pPr>
                  <w:r>
                    <w:rPr>
                      <w:rFonts w:cs="Arial"/>
                    </w:rPr>
                    <w:t>Elle peut inviter toute personne jugée utile à la réalisation des objectifs poursuivis.</w:t>
                  </w:r>
                </w:p>
                <w:p w:rsidR="00F04EEF" w:rsidRDefault="00F04EEF">
                  <w:pPr>
                    <w:jc w:val="both"/>
                    <w:rPr>
                      <w:rFonts w:cs="Arial"/>
                    </w:rPr>
                  </w:pPr>
                </w:p>
                <w:p w:rsidR="00F04EEF" w:rsidRDefault="0099351E">
                  <w:pPr>
                    <w:jc w:val="both"/>
                    <w:rPr>
                      <w:rFonts w:cs="Arial"/>
                    </w:rPr>
                  </w:pPr>
                  <w:r>
                    <w:rPr>
                      <w:rFonts w:cs="Arial"/>
                    </w:rPr>
                    <w:t>Elle peut se réunir valablement même si toutes les composantes ne peuvent être présentes, pour autant que tous les membres aient été dûment convoqués.</w:t>
                  </w:r>
                </w:p>
                <w:p w:rsidR="00F04EEF" w:rsidRDefault="00F04EEF">
                  <w:pPr>
                    <w:jc w:val="both"/>
                    <w:rPr>
                      <w:rFonts w:cs="Arial"/>
                    </w:rPr>
                  </w:pPr>
                </w:p>
                <w:p w:rsidR="00F04EEF" w:rsidRDefault="0099351E">
                  <w:pPr>
                    <w:jc w:val="both"/>
                    <w:rPr>
                      <w:rFonts w:cs="Arial"/>
                    </w:rPr>
                  </w:pPr>
                  <w:r>
                    <w:rPr>
                      <w:rFonts w:cs="Arial"/>
                    </w:rPr>
                    <w:t>Au moins une fois l’an, le chef d’établissement informe le Conseil de participation et l’organe de démocratie sociale compétent des actions développées par la cellule de concertation locale.</w:t>
                  </w:r>
                </w:p>
                <w:p w:rsidR="00F04EEF" w:rsidRDefault="00F04EEF">
                  <w:pPr>
                    <w:jc w:val="both"/>
                    <w:rPr>
                      <w:b/>
                      <w:u w:val="single"/>
                    </w:rPr>
                  </w:pPr>
                </w:p>
                <w:p w:rsidR="00F04EEF" w:rsidRDefault="0099351E">
                  <w:pPr>
                    <w:rPr>
                      <w:b/>
                      <w:u w:val="single"/>
                    </w:rPr>
                  </w:pPr>
                  <w:r>
                    <w:rPr>
                      <w:b/>
                      <w:u w:val="single"/>
                    </w:rPr>
                    <w:br w:type="page"/>
                  </w:r>
                </w:p>
                <w:p w:rsidR="00F04EEF" w:rsidRDefault="0099351E">
                  <w:pPr>
                    <w:pStyle w:val="Titre6"/>
                    <w:rPr>
                      <w:bCs/>
                    </w:rPr>
                  </w:pPr>
                  <w:r>
                    <w:t>1.2.3.4. Situations particulières qui doivent être signalées au conseiller de l’Aide à la Jeunesse</w:t>
                  </w:r>
                </w:p>
                <w:p w:rsidR="00F04EEF" w:rsidRDefault="00F04EEF">
                  <w:pPr>
                    <w:jc w:val="both"/>
                    <w:rPr>
                      <w:rFonts w:cs="Arial"/>
                    </w:rPr>
                  </w:pPr>
                </w:p>
                <w:p w:rsidR="00F04EEF" w:rsidRDefault="0099351E">
                  <w:pPr>
                    <w:jc w:val="both"/>
                    <w:rPr>
                      <w:rFonts w:cs="Arial"/>
                    </w:rPr>
                  </w:pPr>
                  <w:r>
                    <w:rPr>
                      <w:rFonts w:cs="Arial"/>
                    </w:rPr>
                    <w:t>Dans certaines situations, il est du devoir du chef d’établissement de collaborer avec le service de l’Aide à la Jeunesse, par l’intermédiaire de son conseiller de l’Aide à la jeunesse</w:t>
                  </w:r>
                  <w:r>
                    <w:rPr>
                      <w:rStyle w:val="Appelnotedebasdep1"/>
                    </w:rPr>
                    <w:footnoteReference w:id="44"/>
                  </w:r>
                  <w:r>
                    <w:rPr>
                      <w:rFonts w:cs="Arial"/>
                    </w:rPr>
                    <w:t>, afin d’aider des élèves mineurs fréquentant son établissement scolaire.</w:t>
                  </w:r>
                </w:p>
                <w:p w:rsidR="00F04EEF" w:rsidRDefault="00F04EEF">
                  <w:pPr>
                    <w:pStyle w:val="2"/>
                    <w:jc w:val="both"/>
                    <w:rPr>
                      <w:rFonts w:asciiTheme="majorHAnsi" w:hAnsiTheme="majorHAnsi"/>
                      <w:sz w:val="22"/>
                      <w:szCs w:val="22"/>
                      <w:lang w:val="fr-BE"/>
                    </w:rPr>
                  </w:pPr>
                </w:p>
                <w:p w:rsidR="00F04EEF" w:rsidRDefault="0099351E">
                  <w:pPr>
                    <w:jc w:val="both"/>
                    <w:rPr>
                      <w:rFonts w:cs="Arial"/>
                    </w:rPr>
                  </w:pPr>
                  <w:r>
                    <w:rPr>
                      <w:rFonts w:cs="Arial"/>
                    </w:rPr>
                    <w:t>Comme prérequis à cette collaboration, le chef d’établissement définit avec le conseiller de l’Aide à la Jeunesse les modalités de communication et de motivation de signalement de ces élèves mineurs.</w:t>
                  </w:r>
                </w:p>
                <w:p w:rsidR="00F04EEF" w:rsidRDefault="00F04EEF">
                  <w:pPr>
                    <w:jc w:val="both"/>
                    <w:rPr>
                      <w:rFonts w:cs="Arial"/>
                    </w:rPr>
                  </w:pPr>
                </w:p>
                <w:p w:rsidR="00F04EEF" w:rsidRDefault="0099351E">
                  <w:pPr>
                    <w:jc w:val="both"/>
                    <w:rPr>
                      <w:rFonts w:cs="Arial"/>
                    </w:rPr>
                  </w:pPr>
                  <w:r>
                    <w:rPr>
                      <w:rFonts w:cs="Arial"/>
                    </w:rPr>
                    <w:t>Le chef d’établissement et le conseiller de l’Aide à la Jeunesse peuvent par exemple convenir de modèles de formulaires</w:t>
                  </w:r>
                  <w:r>
                    <w:rPr>
                      <w:rStyle w:val="Appelnotedebasdep1"/>
                    </w:rPr>
                    <w:footnoteReference w:id="45"/>
                  </w:r>
                  <w:r>
                    <w:rPr>
                      <w:rFonts w:cs="Arial"/>
                      <w:vertAlign w:val="superscript"/>
                    </w:rPr>
                    <w:t xml:space="preserve"> </w:t>
                  </w:r>
                  <w:r>
                    <w:rPr>
                      <w:rFonts w:cs="Arial"/>
                    </w:rPr>
                    <w:t>de signalement de ces élèves mineurs par le chef d’établissement au conseiller de l’Aide à la jeunesse et de réponse de celui-ci.</w:t>
                  </w:r>
                </w:p>
                <w:p w:rsidR="00F04EEF" w:rsidRDefault="00F04EEF"/>
                <w:p w:rsidR="00F04EEF" w:rsidRDefault="0099351E">
                  <w:pPr>
                    <w:jc w:val="both"/>
                    <w:rPr>
                      <w:rFonts w:cs="Arial"/>
                    </w:rPr>
                  </w:pPr>
                  <w:r>
                    <w:rPr>
                      <w:rFonts w:cs="Arial"/>
                    </w:rPr>
                    <w:t>Le chef d’établissement collabore avec le secteur de l’Aide à la Jeunesse</w:t>
                  </w:r>
                  <w:r>
                    <w:rPr>
                      <w:rStyle w:val="Appelnotedebasdep1"/>
                    </w:rPr>
                    <w:footnoteReference w:id="46"/>
                  </w:r>
                  <w:r>
                    <w:rPr>
                      <w:rFonts w:cs="Arial"/>
                      <w:vertAlign w:val="superscript"/>
                    </w:rPr>
                    <w:t xml:space="preserve"> </w:t>
                  </w:r>
                  <w:r>
                    <w:rPr>
                      <w:rFonts w:cs="Arial"/>
                    </w:rPr>
                    <w:t>quand il constate, notamment :</w:t>
                  </w:r>
                </w:p>
                <w:p w:rsidR="00F04EEF" w:rsidRDefault="0099351E">
                  <w:pPr>
                    <w:numPr>
                      <w:ilvl w:val="0"/>
                      <w:numId w:val="106"/>
                    </w:numPr>
                    <w:tabs>
                      <w:tab w:val="clear" w:pos="360"/>
                      <w:tab w:val="num" w:pos="720"/>
                    </w:tabs>
                    <w:suppressAutoHyphens/>
                    <w:ind w:left="567" w:hanging="283"/>
                    <w:jc w:val="both"/>
                    <w:rPr>
                      <w:rFonts w:cs="Arial"/>
                    </w:rPr>
                  </w:pPr>
                  <w:r>
                    <w:rPr>
                      <w:rFonts w:cs="Arial"/>
                    </w:rPr>
                    <w:t>soit qu’un élève mineur est en difficulté ;</w:t>
                  </w:r>
                </w:p>
                <w:p w:rsidR="00F04EEF" w:rsidRDefault="0099351E">
                  <w:pPr>
                    <w:numPr>
                      <w:ilvl w:val="0"/>
                      <w:numId w:val="106"/>
                    </w:numPr>
                    <w:tabs>
                      <w:tab w:val="clear" w:pos="360"/>
                      <w:tab w:val="num" w:pos="720"/>
                    </w:tabs>
                    <w:suppressAutoHyphens/>
                    <w:ind w:left="567" w:hanging="283"/>
                    <w:jc w:val="both"/>
                    <w:rPr>
                      <w:rFonts w:cs="Arial"/>
                    </w:rPr>
                  </w:pPr>
                  <w:r>
                    <w:rPr>
                      <w:rFonts w:cs="Arial"/>
                    </w:rPr>
                    <w:t>soit que la santé ou la sécurité d’un élève mineur sont en danger ;</w:t>
                  </w:r>
                </w:p>
                <w:p w:rsidR="00F04EEF" w:rsidRDefault="0099351E">
                  <w:pPr>
                    <w:numPr>
                      <w:ilvl w:val="0"/>
                      <w:numId w:val="106"/>
                    </w:numPr>
                    <w:tabs>
                      <w:tab w:val="clear" w:pos="360"/>
                      <w:tab w:val="num" w:pos="720"/>
                    </w:tabs>
                    <w:suppressAutoHyphens/>
                    <w:ind w:left="567" w:hanging="283"/>
                    <w:jc w:val="both"/>
                    <w:rPr>
                      <w:rFonts w:cs="Arial"/>
                    </w:rPr>
                  </w:pPr>
                  <w:r>
                    <w:rPr>
                      <w:rFonts w:cs="Arial"/>
                    </w:rPr>
                    <w:t>soit que les conditions d’éducation d’un élève mineur sont compromises par son comportement, celui de sa famille ou de ses familiers.</w:t>
                  </w:r>
                </w:p>
                <w:p w:rsidR="00F04EEF" w:rsidRDefault="00F04EEF">
                  <w:pPr>
                    <w:jc w:val="both"/>
                    <w:rPr>
                      <w:rFonts w:cs="Arial"/>
                    </w:rPr>
                  </w:pPr>
                </w:p>
                <w:p w:rsidR="00F04EEF" w:rsidRDefault="0099351E">
                  <w:pPr>
                    <w:jc w:val="both"/>
                    <w:rPr>
                      <w:rFonts w:cs="Arial"/>
                    </w:rPr>
                  </w:pPr>
                  <w:r>
                    <w:rPr>
                      <w:rFonts w:cs="Arial"/>
                    </w:rPr>
                    <w:t>Le chef d’établissement signale alors les coordonnées de cet élève mineur au conseiller de l’Aide à la jeunesse sur base, éventuellement, du formulaire prévu à cet effet.</w:t>
                  </w:r>
                </w:p>
                <w:p w:rsidR="00F04EEF" w:rsidRDefault="00F04EEF">
                  <w:pPr>
                    <w:jc w:val="both"/>
                    <w:rPr>
                      <w:rFonts w:cs="Arial"/>
                    </w:rPr>
                  </w:pPr>
                </w:p>
                <w:p w:rsidR="00F04EEF" w:rsidRDefault="0099351E">
                  <w:pPr>
                    <w:jc w:val="both"/>
                    <w:rPr>
                      <w:rFonts w:cs="Arial"/>
                    </w:rPr>
                  </w:pPr>
                  <w:r>
                    <w:rPr>
                      <w:rFonts w:cs="Arial"/>
                    </w:rPr>
                    <w:t>Pour que le conseiller de l’Aide à la Jeunesse puisse agir efficacement, il conviendra que le chef d’établissement indique, d’une part, tout ce qui a déjà été entrepris par l’école face à la situation de l’élève mineur et de ses éventuelles absences et, d’autre part, les éléments qui font craindre que l’élève mineur est en danger physique ou psychologique ou qu’il est confronté à des difficultés graves.</w:t>
                  </w:r>
                </w:p>
                <w:p w:rsidR="00F04EEF" w:rsidRDefault="00F04EEF">
                  <w:pPr>
                    <w:jc w:val="both"/>
                    <w:rPr>
                      <w:rFonts w:cs="Arial"/>
                    </w:rPr>
                  </w:pPr>
                </w:p>
                <w:p w:rsidR="00F04EEF" w:rsidRDefault="0099351E">
                  <w:pPr>
                    <w:pStyle w:val="Titre4"/>
                  </w:pPr>
                  <w:bookmarkStart w:id="513" w:name="_1.3._Sanctions_disciplinaires"/>
                  <w:bookmarkStart w:id="514" w:name="_Toc293653633"/>
                  <w:bookmarkStart w:id="515" w:name="_Toc293654244"/>
                  <w:bookmarkStart w:id="516" w:name="_Toc294004824"/>
                  <w:bookmarkStart w:id="517" w:name="_Toc294185320"/>
                  <w:bookmarkStart w:id="518" w:name="_Toc324767186"/>
                  <w:bookmarkStart w:id="519" w:name="_Toc412204079"/>
                  <w:bookmarkStart w:id="520" w:name="_Toc414352887"/>
                  <w:bookmarkStart w:id="521" w:name="_Toc453836910"/>
                  <w:bookmarkEnd w:id="513"/>
                  <w:r>
                    <w:t>1.3. Sanctions disciplinaires</w:t>
                  </w:r>
                  <w:bookmarkEnd w:id="514"/>
                  <w:bookmarkEnd w:id="515"/>
                  <w:bookmarkEnd w:id="516"/>
                  <w:bookmarkEnd w:id="517"/>
                  <w:bookmarkEnd w:id="518"/>
                  <w:bookmarkEnd w:id="519"/>
                  <w:bookmarkEnd w:id="520"/>
                  <w:bookmarkEnd w:id="521"/>
                  <w:r>
                    <w:t xml:space="preserve"> </w:t>
                  </w:r>
                </w:p>
                <w:p w:rsidR="00F04EEF" w:rsidRDefault="00F04EEF">
                  <w:pPr>
                    <w:pStyle w:val="Notedebasdepage"/>
                  </w:pPr>
                </w:p>
                <w:p w:rsidR="00F04EEF" w:rsidRDefault="0099351E">
                  <w:pPr>
                    <w:pStyle w:val="Corpsdetexte21"/>
                    <w:pBdr>
                      <w:top w:val="single" w:sz="4" w:space="1" w:color="000000"/>
                      <w:left w:val="single" w:sz="4" w:space="4" w:color="000000"/>
                      <w:bottom w:val="single" w:sz="4" w:space="1" w:color="000000"/>
                      <w:right w:val="single" w:sz="4" w:space="4" w:color="000000"/>
                    </w:pBdr>
                    <w:ind w:right="-6"/>
                    <w:jc w:val="both"/>
                    <w:rPr>
                      <w:rFonts w:asciiTheme="majorHAnsi" w:hAnsiTheme="majorHAnsi"/>
                      <w:sz w:val="22"/>
                      <w:szCs w:val="22"/>
                    </w:rPr>
                  </w:pPr>
                  <w:r>
                    <w:rPr>
                      <w:rFonts w:asciiTheme="majorHAnsi" w:hAnsiTheme="majorHAnsi"/>
                      <w:sz w:val="22"/>
                      <w:szCs w:val="22"/>
                    </w:rPr>
                    <w:t>Les sanctions disciplinaires et les modalités selon lesquelles elles sont prises doivent figurer dans le règlement d’ordre intérieur (R.O.I.) de chaque école.</w:t>
                  </w:r>
                </w:p>
                <w:p w:rsidR="00F04EEF" w:rsidRDefault="0099351E">
                  <w:pPr>
                    <w:pStyle w:val="Corpsdetexte21"/>
                    <w:pBdr>
                      <w:top w:val="single" w:sz="4" w:space="1" w:color="000000"/>
                      <w:left w:val="single" w:sz="4" w:space="4" w:color="000000"/>
                      <w:bottom w:val="single" w:sz="4" w:space="1" w:color="000000"/>
                      <w:right w:val="single" w:sz="4" w:space="4" w:color="000000"/>
                    </w:pBdr>
                    <w:ind w:right="-6"/>
                    <w:jc w:val="both"/>
                    <w:rPr>
                      <w:rFonts w:asciiTheme="majorHAnsi" w:hAnsiTheme="majorHAnsi"/>
                      <w:sz w:val="22"/>
                      <w:szCs w:val="22"/>
                    </w:rPr>
                  </w:pPr>
                  <w:r>
                    <w:rPr>
                      <w:rFonts w:asciiTheme="majorHAnsi" w:hAnsiTheme="majorHAnsi"/>
                      <w:sz w:val="22"/>
                      <w:szCs w:val="22"/>
                    </w:rPr>
                    <w:t>Il est important que les élèves soient associés d’une manière ou d’une autre à celui-ci : par exemple, par une présentation du R.O.I. aux élèves lors de la rentrée scolaire.</w:t>
                  </w:r>
                </w:p>
                <w:p w:rsidR="00F04EEF" w:rsidRDefault="00F04EEF">
                  <w:pPr>
                    <w:jc w:val="both"/>
                    <w:rPr>
                      <w:b/>
                      <w:u w:val="single"/>
                    </w:rPr>
                  </w:pPr>
                </w:p>
                <w:p w:rsidR="00F04EEF" w:rsidRDefault="0099351E">
                  <w:pPr>
                    <w:pStyle w:val="Titre5"/>
                  </w:pPr>
                  <w:bookmarkStart w:id="522" w:name="_Toc291075513"/>
                  <w:bookmarkStart w:id="523" w:name="_Toc291075937"/>
                  <w:bookmarkStart w:id="524" w:name="_Toc291076361"/>
                  <w:bookmarkStart w:id="525" w:name="_Toc291076785"/>
                  <w:bookmarkStart w:id="526" w:name="_Toc291077209"/>
                  <w:bookmarkStart w:id="527" w:name="_Toc293652052"/>
                  <w:bookmarkStart w:id="528" w:name="_Toc293653634"/>
                  <w:bookmarkStart w:id="529" w:name="_Toc293654245"/>
                  <w:bookmarkStart w:id="530" w:name="_Toc294004825"/>
                  <w:bookmarkStart w:id="531" w:name="_Toc294185321"/>
                  <w:bookmarkStart w:id="532" w:name="_Toc324767187"/>
                  <w:bookmarkStart w:id="533" w:name="_Toc324768045"/>
                  <w:r>
                    <w:t xml:space="preserve">1.3.1. Dans les établissements subventionnés par la </w:t>
                  </w:r>
                  <w:bookmarkEnd w:id="522"/>
                  <w:bookmarkEnd w:id="523"/>
                  <w:bookmarkEnd w:id="524"/>
                  <w:bookmarkEnd w:id="525"/>
                  <w:bookmarkEnd w:id="526"/>
                  <w:bookmarkEnd w:id="527"/>
                  <w:bookmarkEnd w:id="528"/>
                  <w:bookmarkEnd w:id="529"/>
                  <w:bookmarkEnd w:id="530"/>
                  <w:bookmarkEnd w:id="531"/>
                  <w:r>
                    <w:t>Fédération Wallonie-Bruxelles</w:t>
                  </w:r>
                  <w:bookmarkEnd w:id="532"/>
                  <w:bookmarkEnd w:id="533"/>
                </w:p>
                <w:p w:rsidR="00F04EEF" w:rsidRDefault="00F04EEF">
                  <w:pPr>
                    <w:jc w:val="both"/>
                    <w:rPr>
                      <w:b/>
                      <w:u w:val="single"/>
                    </w:rPr>
                  </w:pPr>
                </w:p>
                <w:p w:rsidR="00F04EEF" w:rsidRDefault="0099351E">
                  <w:pPr>
                    <w:pStyle w:val="Corpsdetexte21"/>
                    <w:jc w:val="both"/>
                    <w:rPr>
                      <w:rFonts w:asciiTheme="majorHAnsi" w:hAnsiTheme="majorHAnsi"/>
                      <w:b/>
                      <w:sz w:val="22"/>
                      <w:szCs w:val="22"/>
                    </w:rPr>
                  </w:pPr>
                  <w:r>
                    <w:rPr>
                      <w:rFonts w:asciiTheme="majorHAnsi" w:hAnsiTheme="majorHAnsi"/>
                      <w:b/>
                      <w:sz w:val="22"/>
                      <w:szCs w:val="22"/>
                    </w:rPr>
                    <w:t>Les sanctions disciplinaires prononcées à l’encontre d’un élève ne peuvent pas être prises en compte dans l’évaluation des compétences.</w:t>
                  </w:r>
                </w:p>
                <w:p w:rsidR="00F04EEF" w:rsidRDefault="00F04EEF">
                  <w:pPr>
                    <w:jc w:val="both"/>
                    <w:rPr>
                      <w:rFonts w:cs="Arial"/>
                    </w:rPr>
                  </w:pPr>
                </w:p>
                <w:p w:rsidR="00F04EEF" w:rsidRDefault="0099351E">
                  <w:pPr>
                    <w:pStyle w:val="Notedebasdepage"/>
                    <w:rPr>
                      <w:rFonts w:asciiTheme="majorHAnsi" w:hAnsiTheme="majorHAnsi"/>
                      <w:sz w:val="22"/>
                      <w:szCs w:val="22"/>
                    </w:rPr>
                  </w:pPr>
                  <w:r>
                    <w:rPr>
                      <w:rFonts w:asciiTheme="majorHAnsi" w:hAnsiTheme="majorHAnsi"/>
                      <w:sz w:val="22"/>
                      <w:szCs w:val="22"/>
                    </w:rPr>
                    <w:t>Chaque PO définit les sanctions disciplinaires et détermine les modalités selon lesquelles elles sont prises dans les établissements d’enseignement qu’il organise.</w:t>
                  </w:r>
                </w:p>
                <w:bookmarkStart w:id="534" w:name="_Toc291075514"/>
                <w:bookmarkStart w:id="535" w:name="_Toc291075938"/>
                <w:bookmarkStart w:id="536" w:name="_Toc291076362"/>
                <w:bookmarkStart w:id="537" w:name="_Toc291076786"/>
                <w:bookmarkStart w:id="538" w:name="_Toc291077210"/>
                <w:bookmarkStart w:id="539" w:name="_Toc293652053"/>
                <w:bookmarkStart w:id="540" w:name="_Toc293653635"/>
                <w:bookmarkStart w:id="541" w:name="_Toc293654246"/>
                <w:bookmarkStart w:id="542" w:name="_Toc294004826"/>
                <w:bookmarkStart w:id="543" w:name="_Toc294185322"/>
                <w:bookmarkStart w:id="544" w:name="_Toc324767188"/>
                <w:bookmarkStart w:id="545" w:name="_Toc324768046"/>
                <w:p w:rsidR="00F04EEF" w:rsidRDefault="0099351E">
                  <w:r>
                    <w:rPr>
                      <w:noProof/>
                      <w:lang w:eastAsia="fr-BE"/>
                    </w:rPr>
                    <mc:AlternateContent>
                      <mc:Choice Requires="wps">
                        <w:drawing>
                          <wp:anchor distT="0" distB="0" distL="114300" distR="114300" simplePos="0" relativeHeight="252154880" behindDoc="0" locked="0" layoutInCell="1" allowOverlap="1">
                            <wp:simplePos x="0" y="0"/>
                            <wp:positionH relativeFrom="column">
                              <wp:posOffset>6252845</wp:posOffset>
                            </wp:positionH>
                            <wp:positionV relativeFrom="paragraph">
                              <wp:posOffset>168910</wp:posOffset>
                            </wp:positionV>
                            <wp:extent cx="0" cy="209550"/>
                            <wp:effectExtent l="0" t="0" r="19050" b="19050"/>
                            <wp:wrapNone/>
                            <wp:docPr id="475" name="Connecteur droit 475"/>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09D1C0" id="Connecteur droit 475" o:spid="_x0000_s1026" style="position:absolute;z-index:252154880;visibility:visible;mso-wrap-style:square;mso-wrap-distance-left:9pt;mso-wrap-distance-top:0;mso-wrap-distance-right:9pt;mso-wrap-distance-bottom:0;mso-position-horizontal:absolute;mso-position-horizontal-relative:text;mso-position-vertical:absolute;mso-position-vertical-relative:text" from="492.35pt,13.3pt" to="492.35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" strokecolor="black [3213]"/>
                        </w:pict>
                      </mc:Fallback>
                    </mc:AlternateContent>
                  </w:r>
                </w:p>
                <w:p w:rsidR="00F04EEF" w:rsidRDefault="0099351E">
                  <w:pPr>
                    <w:rPr>
                      <w:rFonts w:eastAsia="Times New Roman" w:cs="Arial"/>
                      <w:b/>
                      <w:u w:val="single"/>
                      <w:lang w:eastAsia="ar-SA"/>
                    </w:rPr>
                  </w:pPr>
                  <w:bookmarkStart w:id="546" w:name="_1.3.2._Dans_les"/>
                  <w:bookmarkEnd w:id="546"/>
                  <w:r>
                    <w:br w:type="page"/>
                  </w:r>
                </w:p>
                <w:p w:rsidR="00F04EEF" w:rsidRDefault="0099351E">
                  <w:pPr>
                    <w:pStyle w:val="Titre5"/>
                  </w:pPr>
                  <w:r>
                    <w:t xml:space="preserve">1.3.2. Dans les établissements organisés par </w:t>
                  </w:r>
                  <w:bookmarkEnd w:id="534"/>
                  <w:bookmarkEnd w:id="535"/>
                  <w:bookmarkEnd w:id="536"/>
                  <w:bookmarkEnd w:id="537"/>
                  <w:bookmarkEnd w:id="538"/>
                  <w:bookmarkEnd w:id="539"/>
                  <w:bookmarkEnd w:id="540"/>
                  <w:bookmarkEnd w:id="541"/>
                  <w:bookmarkEnd w:id="542"/>
                  <w:bookmarkEnd w:id="543"/>
                  <w:r>
                    <w:t>Wallonie-Bruxelles</w:t>
                  </w:r>
                  <w:bookmarkEnd w:id="544"/>
                  <w:bookmarkEnd w:id="545"/>
                  <w:r>
                    <w:t xml:space="preserve"> Enseignement (WBE).</w:t>
                  </w:r>
                </w:p>
                <w:p w:rsidR="00F04EEF" w:rsidRDefault="00F04EEF">
                  <w:pPr>
                    <w:jc w:val="both"/>
                    <w:rPr>
                      <w:b/>
                      <w:u w:val="single"/>
                    </w:rPr>
                  </w:pPr>
                </w:p>
                <w:p w:rsidR="00F04EEF" w:rsidRDefault="0099351E">
                  <w:pPr>
                    <w:pStyle w:val="Corpsdetexte21"/>
                    <w:spacing w:after="120"/>
                    <w:jc w:val="both"/>
                    <w:rPr>
                      <w:rFonts w:asciiTheme="minorHAnsi" w:hAnsiTheme="minorHAnsi" w:cstheme="minorHAnsi"/>
                      <w:b/>
                      <w:sz w:val="22"/>
                      <w:szCs w:val="22"/>
                    </w:rPr>
                  </w:pPr>
                  <w:r>
                    <w:rPr>
                      <w:rFonts w:asciiTheme="minorHAnsi" w:hAnsiTheme="minorHAnsi" w:cstheme="minorHAnsi"/>
                      <w:b/>
                      <w:sz w:val="22"/>
                      <w:szCs w:val="22"/>
                    </w:rPr>
                    <w:t>Les sanctions disciplinaires prononcées à l’encontre d’un élève ne peuvent pas être prises en compte dans l’évaluation des compétences.</w:t>
                  </w:r>
                </w:p>
                <w:p w:rsidR="00F04EEF" w:rsidRDefault="0099351E">
                  <w:pPr>
                    <w:pStyle w:val="Corpsdetexte21"/>
                    <w:spacing w:after="120"/>
                    <w:jc w:val="both"/>
                    <w:rPr>
                      <w:rFonts w:asciiTheme="minorHAnsi" w:hAnsiTheme="minorHAnsi" w:cstheme="minorHAnsi"/>
                      <w:b/>
                      <w:sz w:val="22"/>
                      <w:szCs w:val="22"/>
                    </w:rPr>
                  </w:pPr>
                  <w:r>
                    <w:rPr>
                      <w:rFonts w:asciiTheme="minorHAnsi" w:hAnsiTheme="minorHAnsi" w:cstheme="minorHAnsi"/>
                      <w:sz w:val="22"/>
                      <w:szCs w:val="22"/>
                    </w:rPr>
                    <w:t>Dans le respect des dispositions du règlement d’ordre intérieur</w:t>
                  </w:r>
                  <w:r>
                    <w:rPr>
                      <w:rStyle w:val="Appelnotedebasdep"/>
                      <w:rFonts w:asciiTheme="minorHAnsi" w:hAnsiTheme="minorHAnsi" w:cstheme="minorHAnsi"/>
                      <w:sz w:val="22"/>
                      <w:szCs w:val="22"/>
                    </w:rPr>
                    <w:footnoteReference w:id="47"/>
                  </w:r>
                  <w:r>
                    <w:rPr>
                      <w:rFonts w:asciiTheme="minorHAnsi" w:hAnsiTheme="minorHAnsi" w:cstheme="minorHAnsi"/>
                      <w:sz w:val="22"/>
                      <w:szCs w:val="22"/>
                    </w:rPr>
                    <w:t xml:space="preserve">,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 </w:t>
                  </w:r>
                  <w:r>
                    <w:rPr>
                      <w:rFonts w:asciiTheme="minorHAnsi" w:hAnsiTheme="minorHAnsi" w:cstheme="minorHAnsi"/>
                      <w:b/>
                      <w:sz w:val="22"/>
                      <w:szCs w:val="22"/>
                    </w:rPr>
                    <w:t>Toute sanction disciplinaire doit être proportionnée à la gravité des faits et à leurs antécédents éventuels.</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Les sanctions disciplinaires qui peuvent être prononcées à l’égard des élèves sont les suivantes :</w:t>
                  </w:r>
                </w:p>
                <w:p w:rsidR="00F04EEF" w:rsidRDefault="0099351E">
                  <w:pPr>
                    <w:pStyle w:val="Corpsdetexte21"/>
                    <w:numPr>
                      <w:ilvl w:val="0"/>
                      <w:numId w:val="105"/>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 rappel à l’ordre par une note au journal de classe à faire signer pour le lendemain par les</w:t>
                  </w:r>
                  <w:r>
                    <w:rPr>
                      <w:rFonts w:asciiTheme="majorHAnsi" w:hAnsiTheme="majorHAnsi"/>
                      <w:sz w:val="22"/>
                      <w:szCs w:val="22"/>
                    </w:rPr>
                    <w:t xml:space="preserve"> </w:t>
                  </w:r>
                  <w:r>
                    <w:rPr>
                      <w:rFonts w:asciiTheme="minorHAnsi" w:hAnsiTheme="minorHAnsi" w:cstheme="minorHAnsi"/>
                      <w:sz w:val="22"/>
                      <w:szCs w:val="22"/>
                    </w:rPr>
                    <w:t>parents ou l’élève majeur ;</w:t>
                  </w:r>
                </w:p>
                <w:p w:rsidR="00F04EEF" w:rsidRDefault="0099351E">
                  <w:pPr>
                    <w:pStyle w:val="Corpsdetexte21"/>
                    <w:numPr>
                      <w:ilvl w:val="0"/>
                      <w:numId w:val="105"/>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la retenue à l’établissement, en dehors du cadre de la journée scolaire, sous la surveillance d’un membre du personnel ;</w:t>
                  </w:r>
                </w:p>
                <w:p w:rsidR="00F04EEF" w:rsidRDefault="0099351E">
                  <w:pPr>
                    <w:pStyle w:val="Corpsdetexte21"/>
                    <w:numPr>
                      <w:ilvl w:val="0"/>
                      <w:numId w:val="105"/>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l’exclusion temporaire d’un cours ou de tous les cours d’un même enseignant dans le respect des dispositions de l’article 86 alinéas 2 et 3 du décret « missions » ; l’élève reste à l’établissement sous la surveillance d’un membre du personnel ;</w:t>
                  </w:r>
                </w:p>
                <w:p w:rsidR="00F04EEF" w:rsidRDefault="0099351E">
                  <w:pPr>
                    <w:pStyle w:val="Corpsdetexte21"/>
                    <w:numPr>
                      <w:ilvl w:val="0"/>
                      <w:numId w:val="105"/>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l’exclusion temporaire de tous les cours dans le respect des dispositions de l’article 86 alinéas 2 et 3 du décret « missions » ;</w:t>
                  </w:r>
                </w:p>
                <w:p w:rsidR="00F04EEF" w:rsidRDefault="0099351E">
                  <w:pPr>
                    <w:pStyle w:val="Corpsdetexte21"/>
                    <w:numPr>
                      <w:ilvl w:val="0"/>
                      <w:numId w:val="105"/>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l’exclusion définitive de l’établissement dans le respect des dispositions des articles 81, 82 et 86 du décret « missions » et de l’article 26 du décret du 21/11/2013 favorisant le bien-être des jeunes à l’école</w:t>
                  </w:r>
                  <w:r>
                    <w:rPr>
                      <w:rStyle w:val="Appelnotedebasdep"/>
                      <w:rFonts w:asciiTheme="minorHAnsi" w:hAnsiTheme="minorHAnsi" w:cstheme="minorHAnsi"/>
                      <w:sz w:val="22"/>
                      <w:szCs w:val="22"/>
                    </w:rPr>
                    <w:footnoteReference w:id="48"/>
                  </w:r>
                  <w:r>
                    <w:rPr>
                      <w:rFonts w:asciiTheme="minorHAnsi" w:hAnsiTheme="minorHAnsi" w:cstheme="minorHAnsi"/>
                      <w:sz w:val="22"/>
                      <w:szCs w:val="22"/>
                    </w:rPr>
                    <w:t>.  Une notification écrite est adressée, s’il échet, à l’Administration de l’internat où l’élève est inscrit.</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En cas d’exclusion temporaire, l’élève est tenu de mettre ses documents scolaires en ordre et l’école veille à ce que l’élève soit mis en situation de satisfaire à cette exigence.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Les sanctions prévues ci-dessus aux points 1°, 2°, 3° et 4°, peuvent s’accompagner d’une mesure diminuant la note d’évaluation du comportement social et personnel si l’école a fait le choix d’une note chiffrée pour évaluer ce comportement.</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chef d’établissement peut imposer une nouvelle tâche.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Les sanctions prévues ci-dessus aux points 2°, 3° et 4°, sont prononcées par le chef d’établissement ou son délégué après avoir préalablement entendu l’élève. Les sanctions et la motivation qui les fonde sont communiquées à l’élève, à ses parents par la voie du journal de classe ou par un autre moyen jugé plus approprié. La note au journal de classe doit être signée pour le lendemain par les parents ou par l’élève majeur. L’élève doit toujours être en mesure de présenter son journal de classe au membre du personnel qui le réclame.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Les sanctions visées à l’alinéa précédent sont accompagnées de tâches supplémentaires qui font l’objet d’une évaluation par le membre du personnel que le chef d’établissement ou son délégué désigne. Si l’évaluation n’est pas satisfaisante, le chef d’établissement peut imposer une nouvelle tâche.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rsidR="00F04EEF" w:rsidRDefault="00F04EEF"/>
                <w:p w:rsidR="00F04EEF" w:rsidRDefault="0099351E">
                  <w:pPr>
                    <w:pStyle w:val="Titre5"/>
                  </w:pPr>
                  <w:bookmarkStart w:id="547" w:name="_Toc291075515"/>
                  <w:bookmarkStart w:id="548" w:name="_Toc291075939"/>
                  <w:bookmarkStart w:id="549" w:name="_Toc291076363"/>
                  <w:bookmarkStart w:id="550" w:name="_Toc291076787"/>
                  <w:bookmarkStart w:id="551" w:name="_Toc291077211"/>
                  <w:bookmarkStart w:id="552" w:name="_Toc293652054"/>
                  <w:bookmarkStart w:id="553" w:name="_Toc293653636"/>
                  <w:bookmarkStart w:id="554" w:name="_Toc293654247"/>
                  <w:bookmarkStart w:id="555" w:name="_Toc294004827"/>
                  <w:bookmarkStart w:id="556" w:name="_Toc294185323"/>
                  <w:bookmarkStart w:id="557" w:name="_Toc324767189"/>
                  <w:bookmarkStart w:id="558" w:name="_Toc324768047"/>
                  <w:r>
                    <w:t xml:space="preserve">1.3.3. Exclusions dans l’enseignement organisé ou subventionné par la </w:t>
                  </w:r>
                  <w:bookmarkEnd w:id="547"/>
                  <w:bookmarkEnd w:id="548"/>
                  <w:bookmarkEnd w:id="549"/>
                  <w:bookmarkEnd w:id="550"/>
                  <w:bookmarkEnd w:id="551"/>
                  <w:bookmarkEnd w:id="552"/>
                  <w:bookmarkEnd w:id="553"/>
                  <w:bookmarkEnd w:id="554"/>
                  <w:bookmarkEnd w:id="555"/>
                  <w:bookmarkEnd w:id="556"/>
                  <w:r>
                    <w:t>Fédération Wallonie-Bruxelles</w:t>
                  </w:r>
                  <w:bookmarkEnd w:id="557"/>
                  <w:bookmarkEnd w:id="558"/>
                </w:p>
                <w:p w:rsidR="00F04EEF" w:rsidRDefault="00F04EEF">
                  <w:pPr>
                    <w:jc w:val="both"/>
                    <w:rPr>
                      <w:rFonts w:cs="Arial"/>
                      <w:b/>
                      <w:u w:val="single"/>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Le chef d’établissement veille à informer au plus tôt le CPMS de la situation de l’élève dont le comportement pourrait conduire à une mesure d’exclusion provisoire ou définitive. En effet, il est conseillé au chef d’établissement de contacter le CPMS afin de lui donner la possibilité d’assurer son rôle de guidance vis-à-vis de l’élève, de ses parents ou de la personne investie de l’autorité parentale et de lui permettre d’apporter tout éclairage utile en vue de la prise de décision.</w:t>
                  </w:r>
                </w:p>
                <w:p w:rsidR="00F04EEF" w:rsidRDefault="00F04EEF">
                  <w:pPr>
                    <w:jc w:val="both"/>
                    <w:rPr>
                      <w:rFonts w:cstheme="minorHAnsi"/>
                    </w:rPr>
                  </w:pPr>
                </w:p>
                <w:p w:rsidR="00F04EEF" w:rsidRDefault="0099351E">
                  <w:pPr>
                    <w:pStyle w:val="Titre6"/>
                    <w:rPr>
                      <w:rFonts w:cstheme="minorHAnsi"/>
                    </w:rPr>
                  </w:pPr>
                  <w:bookmarkStart w:id="559" w:name="_Toc291075516"/>
                  <w:bookmarkStart w:id="560" w:name="_Toc291075940"/>
                  <w:bookmarkStart w:id="561" w:name="_Toc291076364"/>
                  <w:bookmarkStart w:id="562" w:name="_Toc291076788"/>
                  <w:bookmarkStart w:id="563" w:name="_Toc291077212"/>
                  <w:bookmarkStart w:id="564" w:name="_Toc293652055"/>
                  <w:bookmarkStart w:id="565" w:name="_Toc293653637"/>
                  <w:bookmarkStart w:id="566" w:name="_Toc293654248"/>
                  <w:bookmarkStart w:id="567" w:name="_Toc294004828"/>
                  <w:bookmarkStart w:id="568" w:name="_Toc294185324"/>
                  <w:bookmarkStart w:id="569" w:name="_Toc324767190"/>
                  <w:bookmarkStart w:id="570" w:name="_Toc324768048"/>
                  <w:r>
                    <w:rPr>
                      <w:rFonts w:cstheme="minorHAnsi"/>
                    </w:rPr>
                    <w:t>1.3.3.1 L’exclusion provisoire</w:t>
                  </w:r>
                  <w:bookmarkEnd w:id="559"/>
                  <w:bookmarkEnd w:id="560"/>
                  <w:bookmarkEnd w:id="561"/>
                  <w:bookmarkEnd w:id="562"/>
                  <w:bookmarkEnd w:id="563"/>
                  <w:bookmarkEnd w:id="564"/>
                  <w:bookmarkEnd w:id="565"/>
                  <w:bookmarkEnd w:id="566"/>
                  <w:bookmarkEnd w:id="567"/>
                  <w:bookmarkEnd w:id="568"/>
                  <w:bookmarkEnd w:id="569"/>
                  <w:bookmarkEnd w:id="570"/>
                </w:p>
                <w:p w:rsidR="00F04EEF" w:rsidRDefault="00F04EEF">
                  <w:pPr>
                    <w:jc w:val="both"/>
                    <w:rPr>
                      <w:rFonts w:cstheme="minorHAnsi"/>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Dans le courant d’une même année scolaire, l’exclusion provisoire de l’établissement ou d’un cours ne peut excéder 12 demi-journées. A la demande du chef d’établissement, du pouvoir organisateur ou de son délégué, le Ministre peut déroger à cette règle dans des circonstances exceptionnelles.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Par contre, un même fait ne peut faire l’objet d’une décision d’exclusion provisoire suivie d’une décision d’exclusion définitive en vertu du principe général de droit « NON BIS IN IDEM » selon lequel un même fait ne peut être sanctionné deux fois.</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Si ce principe n’interdit pas qu’un même fait soit puni pénalement et disciplinairement, il interdit, en revanche, qu’un même fait entraîne deux sanctions d’un même ordre. Ainsi, lorsqu’un chef d’établissement sanctionne un élève pour un fait déterminé d’une retenue à l’établissement ou d’une exclusion temporaire des cours, il ne pourra l’exclure définitivement que si une nouvelle faute lui est reprochée. </w:t>
                  </w:r>
                </w:p>
                <w:p w:rsidR="00F04EEF" w:rsidRDefault="00F04EEF">
                  <w:pPr>
                    <w:pStyle w:val="Corpsdetexte21"/>
                    <w:jc w:val="both"/>
                    <w:rPr>
                      <w:rFonts w:asciiTheme="minorHAnsi" w:hAnsiTheme="minorHAnsi" w:cstheme="minorHAnsi"/>
                      <w:sz w:val="22"/>
                      <w:szCs w:val="22"/>
                    </w:rPr>
                  </w:pPr>
                </w:p>
                <w:p w:rsidR="00F04EEF" w:rsidRDefault="0099351E">
                  <w:pPr>
                    <w:pStyle w:val="Titre6"/>
                  </w:pPr>
                  <w:bookmarkStart w:id="571" w:name="_Toc291075517"/>
                  <w:bookmarkStart w:id="572" w:name="_Toc291075941"/>
                  <w:bookmarkStart w:id="573" w:name="_Toc291076365"/>
                  <w:bookmarkStart w:id="574" w:name="_Toc291076789"/>
                  <w:bookmarkStart w:id="575" w:name="_Toc291077213"/>
                  <w:bookmarkStart w:id="576" w:name="_Toc293652056"/>
                  <w:bookmarkStart w:id="577" w:name="_Toc293653638"/>
                  <w:bookmarkStart w:id="578" w:name="_Toc293654249"/>
                  <w:bookmarkStart w:id="579" w:name="_Toc294004829"/>
                  <w:bookmarkStart w:id="580" w:name="_Toc294185325"/>
                  <w:bookmarkStart w:id="581" w:name="_Toc324767191"/>
                  <w:bookmarkStart w:id="582" w:name="_Toc324768049"/>
                  <w:r>
                    <w:t>1.3.3.2. L’exclusion définitive</w:t>
                  </w:r>
                  <w:bookmarkEnd w:id="571"/>
                  <w:bookmarkEnd w:id="572"/>
                  <w:bookmarkEnd w:id="573"/>
                  <w:bookmarkEnd w:id="574"/>
                  <w:bookmarkEnd w:id="575"/>
                  <w:bookmarkEnd w:id="576"/>
                  <w:bookmarkEnd w:id="577"/>
                  <w:bookmarkEnd w:id="578"/>
                  <w:bookmarkEnd w:id="579"/>
                  <w:bookmarkEnd w:id="580"/>
                  <w:bookmarkEnd w:id="581"/>
                  <w:bookmarkEnd w:id="582"/>
                </w:p>
                <w:p w:rsidR="00F04EEF" w:rsidRDefault="00F04EEF">
                  <w:pPr>
                    <w:jc w:val="both"/>
                    <w:rPr>
                      <w:rFonts w:cs="Arial"/>
                    </w:rPr>
                  </w:pPr>
                </w:p>
                <w:p w:rsidR="00F04EEF" w:rsidRDefault="0099351E">
                  <w:pPr>
                    <w:pStyle w:val="Titre7"/>
                  </w:pPr>
                  <w:bookmarkStart w:id="583" w:name="_Toc291075518"/>
                  <w:bookmarkStart w:id="584" w:name="_Toc291075942"/>
                  <w:bookmarkStart w:id="585" w:name="_Toc291076366"/>
                  <w:bookmarkStart w:id="586" w:name="_Toc291076790"/>
                  <w:bookmarkStart w:id="587" w:name="_Toc291077214"/>
                  <w:bookmarkStart w:id="588" w:name="_Toc293652057"/>
                  <w:bookmarkStart w:id="589" w:name="_Toc293653639"/>
                  <w:bookmarkStart w:id="590" w:name="_Toc293654250"/>
                  <w:bookmarkStart w:id="591" w:name="_Toc294004830"/>
                  <w:bookmarkStart w:id="592" w:name="_Toc294185326"/>
                  <w:bookmarkStart w:id="593" w:name="_Toc324767192"/>
                  <w:bookmarkStart w:id="594" w:name="_Toc324768050"/>
                  <w:r>
                    <w:rPr>
                      <w:sz w:val="21"/>
                      <w:szCs w:val="21"/>
                    </w:rPr>
                    <w:t>1.3.3.2.1.</w:t>
                  </w:r>
                  <w:bookmarkEnd w:id="583"/>
                  <w:bookmarkEnd w:id="584"/>
                  <w:bookmarkEnd w:id="585"/>
                  <w:bookmarkEnd w:id="586"/>
                  <w:bookmarkEnd w:id="587"/>
                  <w:bookmarkEnd w:id="588"/>
                  <w:bookmarkEnd w:id="589"/>
                  <w:bookmarkEnd w:id="590"/>
                  <w:bookmarkEnd w:id="591"/>
                  <w:bookmarkEnd w:id="592"/>
                  <w:bookmarkEnd w:id="593"/>
                  <w:bookmarkEnd w:id="594"/>
                  <w:r>
                    <w:t xml:space="preserve"> Motifs d’exclusion définitive. (Articles 81et 89 du </w:t>
                  </w:r>
                  <w:hyperlink r:id="rId28" w:history="1">
                    <w:r>
                      <w:rPr>
                        <w:rStyle w:val="Lienhypertexte"/>
                        <w:b w:val="0"/>
                        <w:color w:val="auto"/>
                        <w:szCs w:val="22"/>
                      </w:rPr>
                      <w:t>Décret du 24 juillet 1997</w:t>
                    </w:r>
                  </w:hyperlink>
                  <w:r>
                    <w:t xml:space="preserve"> et article 26 du </w:t>
                  </w:r>
                  <w:hyperlink r:id="rId29" w:history="1">
                    <w:r>
                      <w:rPr>
                        <w:rStyle w:val="Lienhypertexte"/>
                        <w:rFonts w:cs="Arial"/>
                        <w:b w:val="0"/>
                        <w:color w:val="auto"/>
                        <w:szCs w:val="22"/>
                      </w:rPr>
                      <w:t>Décret du 21 novembre 2013</w:t>
                    </w:r>
                  </w:hyperlink>
                  <w:r>
                    <w:t xml:space="preserve"> )</w:t>
                  </w:r>
                </w:p>
                <w:p w:rsidR="00F04EEF" w:rsidRDefault="00F04EEF">
                  <w:pPr>
                    <w:rPr>
                      <w:rFonts w:cstheme="minorHAnsi"/>
                    </w:rPr>
                  </w:pP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Un élève régulièrement inscrit ne peut être exclu définitivement que si les faits dont il s’est rendu coupable portent atteinte à l’intégrité physique, psychologique ou morale d’un membre du personnel ou d’un élève, compromettent l’organisation ou la bonne marche de l’établissement ou lui font subir un préjudice matériel ou moral grave.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Un élève majeur qui totalise plus de 20 demi-journées d’absence injustifiée au cours d’une même année scolaire peut également être exclu.</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Dans l’enseignement spécialisé, l’exclusion définitive peut avoir des conséquences particulièrement graves pour la suite de la scolarité de l’élève.</w:t>
                  </w:r>
                </w:p>
                <w:p w:rsidR="00F04EEF" w:rsidRDefault="0099351E">
                  <w:pPr>
                    <w:pStyle w:val="Corpsdetexte21"/>
                    <w:jc w:val="both"/>
                    <w:rPr>
                      <w:rFonts w:asciiTheme="minorHAnsi" w:hAnsiTheme="minorHAnsi" w:cstheme="minorHAnsi"/>
                      <w:b/>
                      <w:sz w:val="22"/>
                      <w:szCs w:val="22"/>
                    </w:rPr>
                  </w:pPr>
                  <w:r>
                    <w:rPr>
                      <w:rFonts w:asciiTheme="minorHAnsi" w:hAnsiTheme="minorHAnsi" w:cstheme="minorHAnsi"/>
                      <w:b/>
                      <w:sz w:val="22"/>
                      <w:szCs w:val="22"/>
                    </w:rPr>
                    <w:t>Cette procédure devrait dès lors impliquer un accompagnement du jeune en faisant appel à une aide médicale, sociale ou psychologique.</w:t>
                  </w:r>
                </w:p>
                <w:p w:rsidR="00F04EEF" w:rsidRDefault="00F04EEF">
                  <w:pPr>
                    <w:rPr>
                      <w:rFonts w:cstheme="minorHAnsi"/>
                    </w:rPr>
                  </w:pPr>
                </w:p>
                <w:p w:rsidR="00F04EEF" w:rsidRDefault="0099351E">
                  <w:pPr>
                    <w:rPr>
                      <w:rFonts w:eastAsia="Times New Roman" w:cstheme="minorHAnsi"/>
                      <w:b/>
                      <w:szCs w:val="20"/>
                      <w:u w:val="single"/>
                      <w:lang w:eastAsia="ar-SA"/>
                    </w:rPr>
                  </w:pPr>
                  <w:bookmarkStart w:id="595" w:name="_1.3.3.2.2._Procédure"/>
                  <w:bookmarkStart w:id="596" w:name="_Toc291075519"/>
                  <w:bookmarkStart w:id="597" w:name="_Toc291075943"/>
                  <w:bookmarkStart w:id="598" w:name="_Toc291076367"/>
                  <w:bookmarkStart w:id="599" w:name="_Toc291076791"/>
                  <w:bookmarkStart w:id="600" w:name="_Toc291077215"/>
                  <w:bookmarkStart w:id="601" w:name="_Toc293652058"/>
                  <w:bookmarkStart w:id="602" w:name="_Toc293653640"/>
                  <w:bookmarkStart w:id="603" w:name="_Toc293654251"/>
                  <w:bookmarkStart w:id="604" w:name="_Toc294004831"/>
                  <w:bookmarkStart w:id="605" w:name="_Toc294185327"/>
                  <w:bookmarkStart w:id="606" w:name="_Toc324767193"/>
                  <w:bookmarkStart w:id="607" w:name="_Toc324768051"/>
                  <w:bookmarkEnd w:id="595"/>
                  <w:r>
                    <w:rPr>
                      <w:rFonts w:cstheme="minorHAnsi"/>
                    </w:rPr>
                    <w:br w:type="page"/>
                  </w:r>
                </w:p>
                <w:p w:rsidR="00F04EEF" w:rsidRDefault="0099351E">
                  <w:pPr>
                    <w:pStyle w:val="Titre7"/>
                    <w:rPr>
                      <w:rFonts w:cstheme="minorHAnsi"/>
                    </w:rPr>
                  </w:pPr>
                  <w:r>
                    <w:rPr>
                      <w:rFonts w:cstheme="minorHAnsi"/>
                    </w:rPr>
                    <w:t xml:space="preserve">1.3.3.2.2. Procédure </w:t>
                  </w:r>
                  <w:r>
                    <w:rPr>
                      <w:rStyle w:val="Appelnotedebasdep1"/>
                      <w:rFonts w:cstheme="minorHAnsi"/>
                      <w:b w:val="0"/>
                      <w:color w:val="000000"/>
                      <w:szCs w:val="22"/>
                    </w:rPr>
                    <w:footnoteReference w:id="49"/>
                  </w:r>
                  <w:bookmarkEnd w:id="596"/>
                  <w:bookmarkEnd w:id="597"/>
                  <w:bookmarkEnd w:id="598"/>
                  <w:bookmarkEnd w:id="599"/>
                  <w:bookmarkEnd w:id="600"/>
                  <w:bookmarkEnd w:id="601"/>
                  <w:bookmarkEnd w:id="602"/>
                  <w:bookmarkEnd w:id="603"/>
                  <w:bookmarkEnd w:id="604"/>
                  <w:bookmarkEnd w:id="605"/>
                  <w:bookmarkEnd w:id="606"/>
                  <w:bookmarkEnd w:id="607"/>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Préalablement à toute exclusion définitive, l’élève, s’il est majeur, l’élève et ses parents ou la personne investie de l’autorité parentale, si l’élève est mineur, sont invités, via lettre recommandée avec accusé de réception, par le chef d’établissement qui leur expose les faits et les entend.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Par conséquent, si un seul des parents a, conformément au droit civil, inscrit l’élève, l’invitation à l’audition ainsi que la décision d’exclusion définitive (Confer infra) doivent être adressées, non pas uniquement à celui qui a procédé à l’inscription mais parents de l’élève. Si les parents vivent ensemble, le chef d’établissement indiquera sur la lettre recommandée avec accusé de réception : « Monsieur et/ou Madame X ». En outre, cette formule a comme avantage que le facteur acceptera de remettre le pli même si un seul des conjoints est présent. Si le chef d’établissement n’a pas été informé que les parents avaient changé d’adresse ou n’habitaient plus sous le même toit, il répond au prescrit légal en envoyant la convocation à l’audition (ou en notifiant la décision d’exclusion définitive : confer infra) à l’adresse qui lui a été communiquée lors de l’inscription.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La convocation indique explicitement qu’une procédure pouvant conduire à l’exclusion définitive est engagée ainsi que les faits précis</w:t>
                  </w:r>
                  <w:r>
                    <w:rPr>
                      <w:rFonts w:asciiTheme="minorHAnsi" w:hAnsiTheme="minorHAnsi" w:cstheme="minorHAnsi"/>
                      <w:vertAlign w:val="superscript"/>
                    </w:rPr>
                    <w:footnoteReference w:id="50"/>
                  </w:r>
                  <w:r>
                    <w:rPr>
                      <w:rFonts w:asciiTheme="minorHAnsi" w:hAnsiTheme="minorHAnsi" w:cstheme="minorHAnsi"/>
                      <w:sz w:val="22"/>
                      <w:szCs w:val="22"/>
                    </w:rPr>
                    <w:t xml:space="preserve"> pris en considération.</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Afin de permettre à la défense de pouvoir effectivement exercer ses droits, les faits doivent être décrits de manière claire, précise et concrète. Cela permet à l’élève, s’il est majeur, l’élève et ses parents ou la personne investie de l’autorité parentale de prendre connaissance des faits qui sont à l’origine de la procédure d’exclusion définitive et de pouvoir préparer, en connaissance de cause, l’audition organisée dans le cadre de cette procédure.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Exemple de motivation adéquate : « ce lundi 15 octobre 2018, à 14h30, l’élève X a donné un coup de poing à l’élève Y parce que la victime refusait de lui prêter son livre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Exemple de motivation inadéquate : « agression physique envers un élève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L’audition a lieu au plus tôt le 4ème jour ouvrable qui suit la présentation de la lettre d’invitation.</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L’audition peut avoir lieu avant le 4ème jour ouvrable qui suit la présentation de la lettre d’invitation si l’élève, s’il est majeur, l’élève et ses parents ou la personne investie de l’autorité parentale demandent à être entendus avant l’expiration du délai légal. Dans pareille situation, le chef d’établissement indique dans le procès-verbal d’audition que celle-ci s’est  déroulée, à la demande de l’élève majeur, de l’élève et de ses parents ou de la personne investie de l’autorité parentale avant l’expiration du délai légal. Si la partie adverse refuse de signer et d’approuver la mention précitée, le chef d’établissement met un terme à l’entretien et l’informe que l’audition sera organisée à la date initialement fixée dans la lettre d’invitation.</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 procès-verbal d’audition mentionne</w:t>
                  </w:r>
                  <w:r>
                    <w:rPr>
                      <w:rFonts w:asciiTheme="minorHAnsi" w:hAnsiTheme="minorHAnsi" w:cstheme="minorHAnsi"/>
                      <w:vertAlign w:val="superscript"/>
                    </w:rPr>
                    <w:footnoteReference w:id="51"/>
                  </w:r>
                  <w:r>
                    <w:rPr>
                      <w:rFonts w:asciiTheme="minorHAnsi" w:hAnsiTheme="minorHAnsi" w:cstheme="minorHAnsi"/>
                      <w:sz w:val="22"/>
                      <w:szCs w:val="22"/>
                    </w:rPr>
                    <w:t xml:space="preserve"> les pièces dont les parents ou l’élève majeur ont pris connaissance.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Si l’élève majeur, les parents de l’élève mineur ou la personne investie de l’autorité parentale souhaitent consulter les pièces constitutives du dossier disciplinaire avant le jour de l’audition, le chef d’établissement doit réserver une issue favorable à cette demande.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Si le dossier disciplinaire contient des témoignages d’élèves, le chef d’établissement doit les rendre anonymes.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Si l’élève majeur, les parents de l’élève mineur ou la personne investie de l’autorité parentale souhaitent disposer d’un exemplaire du dossier avant, pendant ou après l’audition, le chef d’établissement doit leur en remettre une copie. Le chef d’établissement peut conditionner la remise d’un exemplaire du dossier au payement préalable du coût des copies.</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 procès-verbal d’audition est signé par l’élève majeur ou par les parents ou la personne investie de l’autorité parentale de l’élève mineur et par le chef d’établissement.</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 refus de signature de ce procès-verbal est constaté par un membre du personnel enseignant ou auxiliaire d’éducation et n’empêche pas la poursuite de la procédure. En cas d’absence des personnes invitées à être entendues, un procès-verbal de carence est établi et la procédure se poursuit.</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Si la gravité des faits le justifie, le chef d’établissement peut écarter provisoirement l’élève de l’établissement pendant la durée de la procédure d’exclusion définitive. Cette procédure doit être appliquée avec grande prudence et réservée aux cas où il y a danger. Procéder autrement tendrait à accréditer la thèse que la décision d’exclusion est prise avant même l’audition de l’élève et de ses parents. L’écartement provisoire ne peut dépasser 10 jours d’ouverture d’école.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Il importe, par ailleurs, de respecter le principe général de droit « NON BIS IN IDEM » selon lequel un même fait ne peut être sanctionné deux fois. Toutefois, la décision d’exclusion définitive peut faire référence aux antécédents précédemment sanctionnés.</w:t>
                  </w: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noProof/>
                      <w:sz w:val="22"/>
                      <w:szCs w:val="22"/>
                      <w:lang w:eastAsia="fr-BE"/>
                    </w:rPr>
                    <mc:AlternateContent>
                      <mc:Choice Requires="wps">
                        <w:drawing>
                          <wp:anchor distT="0" distB="0" distL="114300" distR="114300" simplePos="0" relativeHeight="252155904" behindDoc="0" locked="0" layoutInCell="1" allowOverlap="1">
                            <wp:simplePos x="0" y="0"/>
                            <wp:positionH relativeFrom="column">
                              <wp:posOffset>6252845</wp:posOffset>
                            </wp:positionH>
                            <wp:positionV relativeFrom="paragraph">
                              <wp:posOffset>160020</wp:posOffset>
                            </wp:positionV>
                            <wp:extent cx="0" cy="247650"/>
                            <wp:effectExtent l="0" t="0" r="19050" b="19050"/>
                            <wp:wrapNone/>
                            <wp:docPr id="476" name="Connecteur droit 476"/>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966C57" id="Connecteur droit 476" o:spid="_x0000_s1026" style="position:absolute;z-index:252155904;visibility:visible;mso-wrap-style:square;mso-wrap-distance-left:9pt;mso-wrap-distance-top:0;mso-wrap-distance-right:9pt;mso-wrap-distance-bottom:0;mso-position-horizontal:absolute;mso-position-horizontal-relative:text;mso-position-vertical:absolute;mso-position-vertical-relative:text" from="492.35pt,12.6pt" to="492.3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" strokecolor="black [3213]"/>
                        </w:pict>
                      </mc:Fallback>
                    </mc:AlternateContent>
                  </w:r>
                  <w:r>
                    <w:rPr>
                      <w:rFonts w:asciiTheme="minorHAnsi" w:hAnsiTheme="minorHAnsi" w:cstheme="minorHAnsi"/>
                      <w:sz w:val="22"/>
                      <w:szCs w:val="22"/>
                    </w:rPr>
                    <w:t>L’exclusion définitive est décidée par le chef d’établissement pour l’enseignement organisé par la Wallonie-Bruxelles Enseignement (WBE), le pouvoir organisateur ou son délégué pour l’enseignement subventionné, après avoir pris l’avis du conseil de classe. La décision, à laquelle est annexé l’avis du conseil de classe ou du corps enseignant  (uniquement pour l’enseignement organisé par la Fédération Wallonie-Bruxelles), est signifiée par lettre recommandée avec accusé de réception à l’élève, s’il est majeur, à ses parents ou à la personne investie de l’autorité parentale, si l’élève est mineur. Dans l’enseignement organisé par la Fédération Wallonie-Bruxelles, cet avis sera rédigé au moyen d’un formulaire</w:t>
                  </w:r>
                  <w:r>
                    <w:rPr>
                      <w:rFonts w:asciiTheme="minorHAnsi" w:hAnsiTheme="minorHAnsi" w:cstheme="minorHAnsi"/>
                    </w:rPr>
                    <w:footnoteReference w:id="52"/>
                  </w:r>
                  <w:r>
                    <w:rPr>
                      <w:rFonts w:asciiTheme="minorHAnsi" w:hAnsiTheme="minorHAnsi" w:cstheme="minorHAnsi"/>
                      <w:sz w:val="22"/>
                      <w:szCs w:val="22"/>
                    </w:rPr>
                    <w:t xml:space="preserve"> et versé au dossier.</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Afin de respecter le principe des droits de la défense, les motifs sur lesquels s’appuie la décision d’exclusion définitive doivent être identiques à ceux repris dans la lettre recommandée avec accusé de réception invitant l’élève s’il est majeur, l’élève et ses parents ou la personne investie de l’autorité parentale, si l’élève est mineur, à assister à l’audition durant laquelle le chef d’établissement leur expose les faits et les entend. Par conséquent, si l’élève commet, pendant une procédure d’exclusion définitive, un nouveau fait susceptible d’être sanctionné d’une décision d’exclusion définitive, celui-ci ne peut être pris en considération dans la procédure en cours et dans les motifs justifiant la décision d’exclusion définitive.</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Pour qu’un fait s’étant produit durant une procédure d’exclusion définitive puisse constituer un motif d’exclusion définitive, il est impératif de lancer une nouvelle procédure d’exclusion définitive.</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L’existence d’un droit de recours et ses modalités doivent figurer dans la lettre recommandée qui notifie l’exclusion.</w:t>
                  </w: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b/>
                      <w:noProof/>
                      <w:spacing w:val="-4"/>
                      <w:sz w:val="22"/>
                      <w:szCs w:val="22"/>
                      <w:u w:val="single"/>
                      <w:lang w:eastAsia="fr-BE"/>
                    </w:rPr>
                    <mc:AlternateContent>
                      <mc:Choice Requires="wps">
                        <w:drawing>
                          <wp:anchor distT="0" distB="0" distL="114300" distR="114300" simplePos="0" relativeHeight="252156928" behindDoc="0" locked="0" layoutInCell="1" allowOverlap="1">
                            <wp:simplePos x="0" y="0"/>
                            <wp:positionH relativeFrom="column">
                              <wp:posOffset>6300470</wp:posOffset>
                            </wp:positionH>
                            <wp:positionV relativeFrom="paragraph">
                              <wp:posOffset>22225</wp:posOffset>
                            </wp:positionV>
                            <wp:extent cx="0" cy="228600"/>
                            <wp:effectExtent l="0" t="0" r="19050" b="19050"/>
                            <wp:wrapNone/>
                            <wp:docPr id="477" name="Connecteur droit 477"/>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17BC343" id="Connecteur droit 477" o:spid="_x0000_s1026" style="position:absolute;z-index:252156928;visibility:visible;mso-wrap-style:square;mso-wrap-distance-left:9pt;mso-wrap-distance-top:0;mso-wrap-distance-right:9pt;mso-wrap-distance-bottom:0;mso-position-horizontal:absolute;mso-position-horizontal-relative:text;mso-position-vertical:absolute;mso-position-vertical-relative:text" from="496.1pt,1.75pt" to="496.1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" strokecolor="black [3213]"/>
                        </w:pict>
                      </mc:Fallback>
                    </mc:AlternateContent>
                  </w:r>
                  <w:r>
                    <w:rPr>
                      <w:rFonts w:asciiTheme="minorHAnsi" w:hAnsiTheme="minorHAnsi" w:cstheme="minorHAnsi"/>
                      <w:b/>
                      <w:spacing w:val="-4"/>
                      <w:sz w:val="22"/>
                      <w:szCs w:val="22"/>
                      <w:u w:val="single"/>
                    </w:rPr>
                    <w:t xml:space="preserve">Dans l’enseignement organisé par </w:t>
                  </w:r>
                  <w:r>
                    <w:rPr>
                      <w:rFonts w:asciiTheme="minorHAnsi" w:hAnsiTheme="minorHAnsi" w:cstheme="minorHAnsi"/>
                      <w:b/>
                      <w:sz w:val="22"/>
                      <w:szCs w:val="22"/>
                      <w:u w:val="single"/>
                    </w:rPr>
                    <w:t>Wallonie-Bruxelles Enseignement (WBE)</w:t>
                  </w:r>
                  <w:r>
                    <w:rPr>
                      <w:rFonts w:asciiTheme="minorHAnsi" w:hAnsiTheme="minorHAnsi" w:cstheme="minorHAnsi"/>
                      <w:spacing w:val="-4"/>
                      <w:sz w:val="22"/>
                      <w:szCs w:val="22"/>
                    </w:rPr>
                    <w:t xml:space="preserve">, </w:t>
                  </w:r>
                  <w:r>
                    <w:rPr>
                      <w:rFonts w:asciiTheme="minorHAnsi" w:hAnsiTheme="minorHAnsi" w:cstheme="minorHAnsi"/>
                      <w:sz w:val="22"/>
                      <w:szCs w:val="22"/>
                    </w:rPr>
                    <w:t>le chef d’établissement transmet dans les deux jours d’ouverture d’école qui suivent la date d’exclusion :</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numPr>
                      <w:ilvl w:val="0"/>
                      <w:numId w:val="81"/>
                    </w:numPr>
                    <w:ind w:left="927"/>
                    <w:jc w:val="both"/>
                    <w:rPr>
                      <w:rFonts w:asciiTheme="minorHAnsi" w:hAnsiTheme="minorHAnsi" w:cstheme="minorHAnsi"/>
                      <w:sz w:val="22"/>
                      <w:szCs w:val="22"/>
                    </w:rPr>
                  </w:pPr>
                  <w:r>
                    <w:rPr>
                      <w:rFonts w:asciiTheme="minorHAnsi" w:hAnsiTheme="minorHAnsi" w:cstheme="minorHAnsi"/>
                      <w:sz w:val="22"/>
                      <w:szCs w:val="22"/>
                    </w:rPr>
                    <w:t xml:space="preserve">le formulaire </w:t>
                  </w:r>
                  <w:r>
                    <w:rPr>
                      <w:rFonts w:asciiTheme="minorHAnsi" w:hAnsiTheme="minorHAnsi" w:cstheme="minorHAnsi"/>
                      <w:sz w:val="22"/>
                      <w:szCs w:val="22"/>
                      <w:u w:val="single"/>
                    </w:rPr>
                    <w:t>électronique</w:t>
                  </w:r>
                  <w:r>
                    <w:rPr>
                      <w:rStyle w:val="Appelnotedebasdep"/>
                      <w:rFonts w:asciiTheme="minorHAnsi" w:hAnsiTheme="minorHAnsi" w:cstheme="minorHAnsi"/>
                      <w:sz w:val="22"/>
                      <w:szCs w:val="22"/>
                    </w:rPr>
                    <w:footnoteReference w:id="53"/>
                  </w:r>
                  <w:r>
                    <w:rPr>
                      <w:rFonts w:asciiTheme="minorHAnsi" w:hAnsiTheme="minorHAnsi" w:cstheme="minorHAnsi"/>
                      <w:sz w:val="22"/>
                      <w:szCs w:val="22"/>
                    </w:rPr>
                    <w:t xml:space="preserve">de signalement d’exclusion définitive de l’élève à la Direction générale de l’Enseignement obligatoire.  </w:t>
                  </w:r>
                  <w:r>
                    <w:rPr>
                      <w:rFonts w:asciiTheme="minorHAnsi" w:hAnsiTheme="minorHAnsi" w:cstheme="minorHAnsi"/>
                      <w:b/>
                      <w:sz w:val="22"/>
                      <w:szCs w:val="22"/>
                    </w:rPr>
                    <w:t>Il tient la copie de la décision d’exclusion définitive au sein de son établissement à la disposition de la Direction générale de l’Enseignement obligatoire </w:t>
                  </w:r>
                  <w:r>
                    <w:rPr>
                      <w:rFonts w:asciiTheme="minorHAnsi" w:hAnsiTheme="minorHAnsi" w:cstheme="minorHAnsi"/>
                      <w:sz w:val="22"/>
                      <w:szCs w:val="22"/>
                    </w:rPr>
                    <w:t>;</w:t>
                  </w:r>
                </w:p>
                <w:p w:rsidR="00F04EEF" w:rsidRDefault="0099351E">
                  <w:pPr>
                    <w:pStyle w:val="Corpsdetexte21"/>
                    <w:numPr>
                      <w:ilvl w:val="0"/>
                      <w:numId w:val="81"/>
                    </w:numPr>
                    <w:ind w:left="927"/>
                    <w:jc w:val="both"/>
                    <w:rPr>
                      <w:rFonts w:asciiTheme="minorHAnsi" w:hAnsiTheme="minorHAnsi" w:cstheme="minorHAnsi"/>
                      <w:sz w:val="22"/>
                      <w:szCs w:val="22"/>
                    </w:rPr>
                  </w:pPr>
                  <w:r>
                    <w:rPr>
                      <w:rFonts w:asciiTheme="minorHAnsi" w:hAnsiTheme="minorHAnsi" w:cstheme="minorHAnsi"/>
                      <w:b/>
                      <w:noProof/>
                      <w:spacing w:val="-4"/>
                      <w:sz w:val="22"/>
                      <w:szCs w:val="22"/>
                      <w:u w:val="single"/>
                      <w:lang w:eastAsia="fr-BE"/>
                    </w:rPr>
                    <mc:AlternateContent>
                      <mc:Choice Requires="wps">
                        <w:drawing>
                          <wp:anchor distT="0" distB="0" distL="114300" distR="114300" simplePos="0" relativeHeight="252158976" behindDoc="0" locked="0" layoutInCell="1" allowOverlap="1">
                            <wp:simplePos x="0" y="0"/>
                            <wp:positionH relativeFrom="column">
                              <wp:posOffset>6296025</wp:posOffset>
                            </wp:positionH>
                            <wp:positionV relativeFrom="paragraph">
                              <wp:posOffset>99060</wp:posOffset>
                            </wp:positionV>
                            <wp:extent cx="0" cy="228600"/>
                            <wp:effectExtent l="0" t="0" r="19050" b="19050"/>
                            <wp:wrapNone/>
                            <wp:docPr id="479" name="Connecteur droit 479"/>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9D1CC3" id="Connecteur droit 479" o:spid="_x0000_s1026" style="position:absolute;z-index:252158976;visibility:visible;mso-wrap-style:square;mso-wrap-distance-left:9pt;mso-wrap-distance-top:0;mso-wrap-distance-right:9pt;mso-wrap-distance-bottom:0;mso-position-horizontal:absolute;mso-position-horizontal-relative:text;mso-position-vertical:absolute;mso-position-vertical-relative:text" from="495.75pt,7.8pt" to="495.7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" strokecolor="black [3213]"/>
                        </w:pict>
                      </mc:Fallback>
                    </mc:AlternateContent>
                  </w:r>
                  <w:r>
                    <w:rPr>
                      <w:rFonts w:asciiTheme="minorHAnsi" w:hAnsiTheme="minorHAnsi" w:cstheme="minorHAnsi"/>
                      <w:sz w:val="22"/>
                      <w:szCs w:val="22"/>
                    </w:rPr>
                    <w:t xml:space="preserve">une copie de l’ensemble du dossier disciplinaire (toutes les pièces de la procédure) </w:t>
                  </w:r>
                  <w:r>
                    <w:rPr>
                      <w:rFonts w:asciiTheme="minorHAnsi" w:hAnsiTheme="minorHAnsi" w:cstheme="minorHAnsi"/>
                      <w:b/>
                      <w:sz w:val="22"/>
                      <w:szCs w:val="22"/>
                    </w:rPr>
                    <w:t xml:space="preserve">à la Commission zonale des inscriptions et à WBE via le Service général de l’Enseignement </w:t>
                  </w:r>
                  <w:r>
                    <w:rPr>
                      <w:rFonts w:asciiTheme="minorHAnsi" w:hAnsiTheme="minorHAnsi" w:cstheme="minorHAnsi"/>
                      <w:sz w:val="22"/>
                      <w:szCs w:val="22"/>
                    </w:rPr>
                    <w:t xml:space="preserve">Boulevard du Jardin Botanique, 20-22 à 1000 Bruxelles, conformément à l’article 82 du décret du 24 juillet 1997 précité. </w:t>
                  </w:r>
                </w:p>
                <w:p w:rsidR="00F04EEF" w:rsidRDefault="00F04EEF">
                  <w:pPr>
                    <w:pStyle w:val="Corpsdetexte21"/>
                    <w:jc w:val="both"/>
                    <w:rPr>
                      <w:rFonts w:asciiTheme="minorHAnsi" w:hAnsiTheme="minorHAnsi" w:cstheme="minorHAnsi"/>
                      <w:spacing w:val="-4"/>
                      <w:sz w:val="22"/>
                      <w:szCs w:val="22"/>
                    </w:rPr>
                  </w:pPr>
                </w:p>
                <w:p w:rsidR="00F04EEF" w:rsidRDefault="0099351E">
                  <w:pPr>
                    <w:pStyle w:val="Corpsdetexte21"/>
                    <w:jc w:val="both"/>
                    <w:rPr>
                      <w:rFonts w:asciiTheme="minorHAnsi" w:hAnsiTheme="minorHAnsi" w:cstheme="minorHAnsi"/>
                      <w:spacing w:val="-4"/>
                      <w:sz w:val="22"/>
                      <w:szCs w:val="22"/>
                    </w:rPr>
                  </w:pPr>
                  <w:r>
                    <w:rPr>
                      <w:rFonts w:asciiTheme="minorHAnsi" w:hAnsiTheme="minorHAnsi" w:cstheme="minorHAnsi"/>
                      <w:spacing w:val="-4"/>
                      <w:sz w:val="22"/>
                      <w:szCs w:val="22"/>
                    </w:rPr>
                    <w:t>Ces formalités doivent donc être accomplies pour toute décision d’exclusion définitive prononcée entre le 1</w:t>
                  </w:r>
                  <w:r>
                    <w:rPr>
                      <w:rFonts w:asciiTheme="minorHAnsi" w:hAnsiTheme="minorHAnsi" w:cstheme="minorHAnsi"/>
                      <w:spacing w:val="-4"/>
                      <w:sz w:val="22"/>
                      <w:szCs w:val="22"/>
                      <w:vertAlign w:val="superscript"/>
                    </w:rPr>
                    <w:t>er</w:t>
                  </w:r>
                  <w:r>
                    <w:rPr>
                      <w:rFonts w:asciiTheme="minorHAnsi" w:hAnsiTheme="minorHAnsi" w:cstheme="minorHAnsi"/>
                      <w:spacing w:val="-4"/>
                      <w:sz w:val="22"/>
                      <w:szCs w:val="22"/>
                    </w:rPr>
                    <w:t xml:space="preserve"> septembre et le 30 juin mais également pour toute décision de refus de réinscription d’un élève.</w:t>
                  </w:r>
                </w:p>
                <w:p w:rsidR="00F04EEF" w:rsidRDefault="00F04EEF">
                  <w:pPr>
                    <w:pStyle w:val="Corpsdetexte21"/>
                    <w:jc w:val="both"/>
                    <w:rPr>
                      <w:rFonts w:asciiTheme="minorHAnsi" w:hAnsiTheme="minorHAnsi" w:cstheme="minorHAnsi"/>
                      <w:spacing w:val="-4"/>
                      <w:sz w:val="22"/>
                      <w:szCs w:val="22"/>
                    </w:rPr>
                  </w:pPr>
                </w:p>
                <w:p w:rsidR="00F04EEF" w:rsidRDefault="0099351E">
                  <w:pPr>
                    <w:pStyle w:val="Corpsdetexte21"/>
                    <w:jc w:val="both"/>
                    <w:rPr>
                      <w:rFonts w:asciiTheme="minorHAnsi" w:hAnsiTheme="minorHAnsi" w:cstheme="minorHAnsi"/>
                      <w:b/>
                      <w:sz w:val="22"/>
                      <w:szCs w:val="22"/>
                    </w:rPr>
                  </w:pPr>
                  <w:r>
                    <w:rPr>
                      <w:rFonts w:asciiTheme="minorHAnsi" w:hAnsiTheme="minorHAnsi" w:cstheme="minorHAnsi"/>
                      <w:b/>
                      <w:spacing w:val="-4"/>
                      <w:sz w:val="22"/>
                      <w:szCs w:val="22"/>
                      <w:u w:val="single"/>
                    </w:rPr>
                    <w:t xml:space="preserve">Dans l’enseignement subventionné par la </w:t>
                  </w:r>
                  <w:r>
                    <w:rPr>
                      <w:rFonts w:asciiTheme="minorHAnsi" w:hAnsiTheme="minorHAnsi" w:cstheme="minorHAnsi"/>
                      <w:b/>
                      <w:sz w:val="22"/>
                      <w:szCs w:val="22"/>
                      <w:u w:val="single"/>
                    </w:rPr>
                    <w:t>Fédération Wallonie-Bruxelles</w:t>
                  </w:r>
                  <w:r>
                    <w:rPr>
                      <w:rFonts w:asciiTheme="minorHAnsi" w:hAnsiTheme="minorHAnsi" w:cstheme="minorHAnsi"/>
                      <w:spacing w:val="-4"/>
                      <w:sz w:val="22"/>
                      <w:szCs w:val="22"/>
                    </w:rPr>
                    <w:t>, e</w:t>
                  </w:r>
                  <w:r>
                    <w:rPr>
                      <w:rFonts w:asciiTheme="minorHAnsi" w:hAnsiTheme="minorHAnsi" w:cstheme="minorHAnsi"/>
                      <w:sz w:val="22"/>
                      <w:szCs w:val="22"/>
                    </w:rPr>
                    <w:t xml:space="preserve">n application de l’article 89, § 2, alinéa 4, du décret du 24 juillet 1997 précité, le pouvoir organisateur ou son délégué transmet à la Direction générale de l’Enseignement obligatoire le formulaire </w:t>
                  </w:r>
                  <w:r>
                    <w:rPr>
                      <w:rFonts w:asciiTheme="minorHAnsi" w:hAnsiTheme="minorHAnsi" w:cstheme="minorHAnsi"/>
                      <w:sz w:val="22"/>
                      <w:szCs w:val="22"/>
                      <w:u w:val="single"/>
                    </w:rPr>
                    <w:t>électronique</w:t>
                  </w:r>
                  <w:r>
                    <w:rPr>
                      <w:rStyle w:val="Appelnotedebasdep"/>
                      <w:rFonts w:asciiTheme="minorHAnsi" w:hAnsiTheme="minorHAnsi" w:cstheme="minorHAnsi"/>
                      <w:sz w:val="22"/>
                      <w:szCs w:val="22"/>
                    </w:rPr>
                    <w:footnoteReference w:id="54"/>
                  </w:r>
                  <w:r>
                    <w:rPr>
                      <w:rFonts w:asciiTheme="minorHAnsi" w:hAnsiTheme="minorHAnsi" w:cstheme="minorHAnsi"/>
                      <w:sz w:val="22"/>
                      <w:szCs w:val="22"/>
                    </w:rPr>
                    <w:t>de signalement dans les dix jours ouvrables qui suivent la notification de la décision d’exclusion</w:t>
                  </w:r>
                  <w:r>
                    <w:rPr>
                      <w:rFonts w:asciiTheme="minorHAnsi" w:hAnsiTheme="minorHAnsi" w:cstheme="minorHAnsi"/>
                      <w:b/>
                      <w:color w:val="008000"/>
                      <w:sz w:val="22"/>
                      <w:szCs w:val="22"/>
                    </w:rPr>
                    <w:t xml:space="preserve"> </w:t>
                  </w:r>
                  <w:r>
                    <w:rPr>
                      <w:rFonts w:asciiTheme="minorHAnsi" w:hAnsiTheme="minorHAnsi" w:cstheme="minorHAnsi"/>
                      <w:b/>
                      <w:sz w:val="22"/>
                      <w:szCs w:val="22"/>
                    </w:rPr>
                    <w:t>de l’élève mineur ou majeur.</w:t>
                  </w:r>
                  <w:r>
                    <w:rPr>
                      <w:rFonts w:asciiTheme="minorHAnsi" w:hAnsiTheme="minorHAnsi" w:cstheme="minorHAnsi"/>
                      <w:sz w:val="22"/>
                      <w:szCs w:val="22"/>
                    </w:rPr>
                    <w:t xml:space="preserve"> </w:t>
                  </w:r>
                  <w:r>
                    <w:rPr>
                      <w:rFonts w:asciiTheme="minorHAnsi" w:hAnsiTheme="minorHAnsi" w:cstheme="minorHAnsi"/>
                      <w:b/>
                      <w:sz w:val="22"/>
                      <w:szCs w:val="22"/>
                    </w:rPr>
                    <w:t>Le chef d’établissement tient la copie de la décision d’exclusion définitive au sein de son établissement à la disposition de la Direction générale de l’Enseignement obligatoire.</w:t>
                  </w:r>
                </w:p>
                <w:p w:rsidR="00F04EEF" w:rsidRDefault="00F04EEF">
                  <w:pPr>
                    <w:pStyle w:val="Corpsdetexte21"/>
                    <w:jc w:val="both"/>
                    <w:rPr>
                      <w:rFonts w:asciiTheme="minorHAnsi" w:hAnsiTheme="minorHAnsi" w:cstheme="minorHAnsi"/>
                      <w:spacing w:val="-4"/>
                      <w:sz w:val="22"/>
                      <w:szCs w:val="22"/>
                    </w:rPr>
                  </w:pPr>
                </w:p>
                <w:p w:rsidR="00F04EEF" w:rsidRDefault="0099351E">
                  <w:pPr>
                    <w:pStyle w:val="Corpsdetexte21"/>
                    <w:jc w:val="both"/>
                    <w:rPr>
                      <w:rFonts w:asciiTheme="minorHAnsi" w:hAnsiTheme="minorHAnsi" w:cstheme="minorHAnsi"/>
                      <w:spacing w:val="-4"/>
                      <w:sz w:val="22"/>
                      <w:szCs w:val="22"/>
                    </w:rPr>
                  </w:pPr>
                  <w:r>
                    <w:rPr>
                      <w:rFonts w:asciiTheme="minorHAnsi" w:hAnsiTheme="minorHAnsi" w:cstheme="minorHAnsi"/>
                      <w:spacing w:val="-4"/>
                      <w:sz w:val="22"/>
                      <w:szCs w:val="22"/>
                    </w:rPr>
                    <w:t>Cette formalité doit donc être accomplie pour toute décision d’exclusion définitive prononcée entre le 1</w:t>
                  </w:r>
                  <w:r>
                    <w:rPr>
                      <w:rFonts w:asciiTheme="minorHAnsi" w:hAnsiTheme="minorHAnsi" w:cstheme="minorHAnsi"/>
                      <w:spacing w:val="-4"/>
                      <w:sz w:val="22"/>
                      <w:szCs w:val="22"/>
                      <w:vertAlign w:val="superscript"/>
                    </w:rPr>
                    <w:t>er</w:t>
                  </w:r>
                  <w:r>
                    <w:rPr>
                      <w:rFonts w:asciiTheme="minorHAnsi" w:hAnsiTheme="minorHAnsi" w:cstheme="minorHAnsi"/>
                      <w:spacing w:val="-4"/>
                      <w:sz w:val="22"/>
                      <w:szCs w:val="22"/>
                    </w:rPr>
                    <w:t xml:space="preserve"> septembre et le 30 juin </w:t>
                  </w:r>
                  <w:r>
                    <w:rPr>
                      <w:rFonts w:asciiTheme="minorHAnsi" w:hAnsiTheme="minorHAnsi" w:cstheme="minorHAnsi"/>
                      <w:spacing w:val="-4"/>
                      <w:sz w:val="22"/>
                      <w:szCs w:val="22"/>
                      <w:u w:val="single"/>
                    </w:rPr>
                    <w:t>et également pour toute décision de refus de réinscription de l’élève</w:t>
                  </w:r>
                  <w:r>
                    <w:rPr>
                      <w:rFonts w:asciiTheme="minorHAnsi" w:hAnsiTheme="minorHAnsi" w:cstheme="minorHAnsi"/>
                      <w:spacing w:val="-4"/>
                      <w:sz w:val="22"/>
                      <w:szCs w:val="22"/>
                    </w:rPr>
                    <w:t>.</w:t>
                  </w:r>
                </w:p>
                <w:p w:rsidR="00F04EEF" w:rsidRDefault="00F04EEF">
                  <w:pPr>
                    <w:jc w:val="both"/>
                    <w:rPr>
                      <w:rFonts w:cstheme="minorHAnsi"/>
                      <w:spacing w:val="-4"/>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Il est conseillé aux établissements scolaires de solliciter les CPMS pour qu’ils rencontrent les élèves aux comportements difficiles, avant d’en arriver à entamer une procédure d’exclusion</w:t>
                  </w:r>
                  <w:r>
                    <w:rPr>
                      <w:rStyle w:val="Appelnotedebasdep1"/>
                      <w:rFonts w:asciiTheme="minorHAnsi" w:hAnsiTheme="minorHAnsi" w:cstheme="minorHAnsi"/>
                      <w:sz w:val="22"/>
                      <w:szCs w:val="22"/>
                    </w:rPr>
                    <w:footnoteReference w:id="55"/>
                  </w:r>
                  <w:r>
                    <w:rPr>
                      <w:rFonts w:asciiTheme="minorHAnsi" w:hAnsiTheme="minorHAnsi" w:cstheme="minorHAnsi"/>
                      <w:sz w:val="22"/>
                      <w:szCs w:val="22"/>
                    </w:rPr>
                    <w:t>.</w:t>
                  </w:r>
                </w:p>
                <w:p w:rsidR="00F04EEF" w:rsidRDefault="00F04EEF">
                  <w:pPr>
                    <w:pStyle w:val="Corpsdetexte21"/>
                    <w:jc w:val="both"/>
                    <w:rPr>
                      <w:rFonts w:asciiTheme="minorHAnsi" w:hAnsiTheme="minorHAnsi" w:cstheme="minorHAnsi"/>
                      <w:sz w:val="22"/>
                      <w:szCs w:val="22"/>
                    </w:rPr>
                  </w:pPr>
                </w:p>
                <w:p w:rsidR="00F04EEF" w:rsidRDefault="0099351E">
                  <w:pPr>
                    <w:pStyle w:val="Titre7"/>
                  </w:pPr>
                  <w:bookmarkStart w:id="608" w:name="_1.3.3.2.3._Recours"/>
                  <w:bookmarkStart w:id="609" w:name="_Toc291075520"/>
                  <w:bookmarkStart w:id="610" w:name="_Toc291075944"/>
                  <w:bookmarkStart w:id="611" w:name="_Toc291076368"/>
                  <w:bookmarkStart w:id="612" w:name="_Toc291076792"/>
                  <w:bookmarkStart w:id="613" w:name="_Toc291077216"/>
                  <w:bookmarkStart w:id="614" w:name="_Toc293652059"/>
                  <w:bookmarkStart w:id="615" w:name="_Toc293653641"/>
                  <w:bookmarkStart w:id="616" w:name="_Toc293654252"/>
                  <w:bookmarkStart w:id="617" w:name="_Toc294004832"/>
                  <w:bookmarkStart w:id="618" w:name="_Toc294185328"/>
                  <w:bookmarkStart w:id="619" w:name="_Toc324767194"/>
                  <w:bookmarkStart w:id="620" w:name="_Toc324768052"/>
                  <w:bookmarkEnd w:id="608"/>
                  <w:r>
                    <w:t>1.3.3.2.3. Recours</w:t>
                  </w:r>
                  <w:bookmarkEnd w:id="609"/>
                  <w:bookmarkEnd w:id="610"/>
                  <w:bookmarkEnd w:id="611"/>
                  <w:bookmarkEnd w:id="612"/>
                  <w:bookmarkEnd w:id="613"/>
                  <w:bookmarkEnd w:id="614"/>
                  <w:bookmarkEnd w:id="615"/>
                  <w:bookmarkEnd w:id="616"/>
                  <w:bookmarkEnd w:id="617"/>
                  <w:bookmarkEnd w:id="618"/>
                  <w:bookmarkEnd w:id="619"/>
                  <w:bookmarkEnd w:id="620"/>
                </w:p>
                <w:p w:rsidR="00F04EEF" w:rsidRDefault="00F04EEF">
                  <w:pPr>
                    <w:jc w:val="both"/>
                    <w:rPr>
                      <w:rFonts w:cs="Arial"/>
                    </w:rPr>
                  </w:pPr>
                </w:p>
                <w:p w:rsidR="00F04EEF" w:rsidRDefault="0099351E">
                  <w:pPr>
                    <w:pStyle w:val="Corpsdetexte"/>
                    <w:widowControl/>
                    <w:numPr>
                      <w:ilvl w:val="0"/>
                      <w:numId w:val="108"/>
                    </w:numPr>
                    <w:autoSpaceDE w:val="0"/>
                    <w:ind w:left="567"/>
                    <w:jc w:val="both"/>
                    <w:rPr>
                      <w:b w:val="0"/>
                      <w:szCs w:val="22"/>
                    </w:rPr>
                  </w:pPr>
                  <w:r>
                    <w:rPr>
                      <w:szCs w:val="22"/>
                    </w:rPr>
                    <w:t xml:space="preserve">Dans l’enseignement subventionné, </w:t>
                  </w:r>
                  <w:r>
                    <w:rPr>
                      <w:b w:val="0"/>
                      <w:szCs w:val="22"/>
                    </w:rPr>
                    <w:t>lorsque le pouvoir organisateur adhère à un organe de représentation et de coordination et délègue le droit de prononcer l’exclusion à un membre de son personnel, il prévoit une possibilité de recours selon les cas :</w:t>
                  </w:r>
                </w:p>
                <w:p w:rsidR="00F04EEF" w:rsidRDefault="00F04EEF">
                  <w:pPr>
                    <w:pStyle w:val="Corpsdetexte"/>
                    <w:widowControl/>
                    <w:autoSpaceDE w:val="0"/>
                    <w:ind w:left="567"/>
                    <w:jc w:val="both"/>
                    <w:rPr>
                      <w:b w:val="0"/>
                      <w:szCs w:val="22"/>
                    </w:rPr>
                  </w:pPr>
                </w:p>
                <w:p w:rsidR="00F04EEF" w:rsidRDefault="0099351E">
                  <w:pPr>
                    <w:pStyle w:val="Paragraphedeliste"/>
                    <w:numPr>
                      <w:ilvl w:val="0"/>
                      <w:numId w:val="108"/>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provincial</w:t>
                  </w:r>
                </w:p>
                <w:p w:rsidR="00F04EEF" w:rsidRDefault="0099351E">
                  <w:pPr>
                    <w:pStyle w:val="Paragraphedeliste"/>
                    <w:numPr>
                      <w:ilvl w:val="0"/>
                      <w:numId w:val="108"/>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des Bourgmestre et Échevins</w:t>
                  </w:r>
                </w:p>
                <w:p w:rsidR="00F04EEF" w:rsidRDefault="0099351E">
                  <w:pPr>
                    <w:pStyle w:val="Paragraphedeliste"/>
                    <w:numPr>
                      <w:ilvl w:val="0"/>
                      <w:numId w:val="108"/>
                    </w:numPr>
                    <w:tabs>
                      <w:tab w:val="clear" w:pos="357"/>
                      <w:tab w:val="num" w:pos="1491"/>
                    </w:tabs>
                    <w:ind w:left="1474"/>
                    <w:jc w:val="both"/>
                    <w:rPr>
                      <w:rFonts w:asciiTheme="majorHAnsi" w:hAnsiTheme="majorHAnsi"/>
                      <w:sz w:val="22"/>
                      <w:szCs w:val="22"/>
                    </w:rPr>
                  </w:pPr>
                  <w:r>
                    <w:rPr>
                      <w:rFonts w:asciiTheme="majorHAnsi" w:hAnsiTheme="majorHAnsi"/>
                      <w:sz w:val="22"/>
                      <w:szCs w:val="22"/>
                    </w:rPr>
                    <w:t xml:space="preserve">au Collège de la COCOF </w:t>
                  </w:r>
                </w:p>
                <w:p w:rsidR="00F04EEF" w:rsidRDefault="0099351E">
                  <w:pPr>
                    <w:pStyle w:val="Paragraphedeliste"/>
                    <w:numPr>
                      <w:ilvl w:val="0"/>
                      <w:numId w:val="108"/>
                    </w:numPr>
                    <w:tabs>
                      <w:tab w:val="clear" w:pos="357"/>
                      <w:tab w:val="num" w:pos="1491"/>
                    </w:tabs>
                    <w:ind w:left="1474"/>
                    <w:jc w:val="both"/>
                    <w:rPr>
                      <w:rFonts w:asciiTheme="majorHAnsi" w:hAnsiTheme="majorHAnsi"/>
                      <w:sz w:val="22"/>
                      <w:szCs w:val="22"/>
                    </w:rPr>
                  </w:pPr>
                  <w:r>
                    <w:rPr>
                      <w:rFonts w:asciiTheme="majorHAnsi" w:hAnsiTheme="majorHAnsi"/>
                      <w:sz w:val="22"/>
                      <w:szCs w:val="22"/>
                    </w:rPr>
                    <w:t>à son Conseil d’administration. (Pour cette dernière possibilité, il est souhaitable que si le chef d’établissement ayant prononcé l’exclusion fait partie du Conseil d’administration, il se retire lors de la délibération relative au recours).</w:t>
                  </w:r>
                </w:p>
                <w:p w:rsidR="00F04EEF" w:rsidRDefault="00F04EEF">
                  <w:pPr>
                    <w:pStyle w:val="Corpsdetexte"/>
                    <w:widowControl/>
                    <w:autoSpaceDE w:val="0"/>
                    <w:jc w:val="both"/>
                    <w:rPr>
                      <w:b w:val="0"/>
                      <w:szCs w:val="22"/>
                    </w:rPr>
                  </w:pPr>
                </w:p>
                <w:p w:rsidR="00F04EEF" w:rsidRDefault="0099351E">
                  <w:pPr>
                    <w:pStyle w:val="Corpsdetexte"/>
                    <w:widowControl/>
                    <w:autoSpaceDE w:val="0"/>
                    <w:jc w:val="both"/>
                    <w:rPr>
                      <w:b w:val="0"/>
                      <w:szCs w:val="22"/>
                    </w:rPr>
                  </w:pPr>
                  <w:r>
                    <w:rPr>
                      <w:b w:val="0"/>
                      <w:szCs w:val="22"/>
                    </w:rPr>
                    <w:t xml:space="preserve">Quand le pouvoir organisateur adhère à un organe de représentation et de coordination </w:t>
                  </w:r>
                  <w:r>
                    <w:rPr>
                      <w:szCs w:val="22"/>
                    </w:rPr>
                    <w:t>mais ne délègue pas à un membre de son personnel le droit de prononcer l’exclusion</w:t>
                  </w:r>
                  <w:r>
                    <w:rPr>
                      <w:b w:val="0"/>
                      <w:szCs w:val="22"/>
                    </w:rPr>
                    <w:t>, le recours est introduit auprès :</w:t>
                  </w:r>
                </w:p>
                <w:p w:rsidR="00F04EEF" w:rsidRDefault="00F04EEF">
                  <w:pPr>
                    <w:pStyle w:val="Corpsdetexte"/>
                    <w:widowControl/>
                    <w:autoSpaceDE w:val="0"/>
                    <w:jc w:val="both"/>
                    <w:rPr>
                      <w:b w:val="0"/>
                      <w:szCs w:val="22"/>
                    </w:rPr>
                  </w:pPr>
                </w:p>
                <w:p w:rsidR="00F04EEF" w:rsidRDefault="0099351E">
                  <w:pPr>
                    <w:pStyle w:val="Paragraphedeliste"/>
                    <w:numPr>
                      <w:ilvl w:val="0"/>
                      <w:numId w:val="226"/>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conseil d’état pour le réseau officiel subventionné,</w:t>
                  </w:r>
                </w:p>
                <w:p w:rsidR="00F04EEF" w:rsidRDefault="0099351E">
                  <w:pPr>
                    <w:pStyle w:val="Paragraphedeliste"/>
                    <w:numPr>
                      <w:ilvl w:val="0"/>
                      <w:numId w:val="226"/>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tribunal de première instance pour le réseau libre subventionné.</w:t>
                  </w:r>
                </w:p>
                <w:p w:rsidR="00F04EEF" w:rsidRDefault="0099351E">
                  <w:pPr>
                    <w:jc w:val="both"/>
                    <w:rPr>
                      <w:rFonts w:cs="Arial"/>
                    </w:rPr>
                  </w:pPr>
                  <w:r>
                    <w:rPr>
                      <w:rFonts w:asciiTheme="majorHAnsi" w:hAnsiTheme="majorHAnsi"/>
                      <w:b/>
                      <w:noProof/>
                      <w:spacing w:val="-4"/>
                      <w:u w:val="single"/>
                      <w:lang w:eastAsia="fr-BE"/>
                    </w:rPr>
                    <mc:AlternateContent>
                      <mc:Choice Requires="wps">
                        <w:drawing>
                          <wp:anchor distT="0" distB="0" distL="114300" distR="114300" simplePos="0" relativeHeight="252161024" behindDoc="0" locked="0" layoutInCell="1" allowOverlap="1">
                            <wp:simplePos x="0" y="0"/>
                            <wp:positionH relativeFrom="column">
                              <wp:posOffset>6205220</wp:posOffset>
                            </wp:positionH>
                            <wp:positionV relativeFrom="paragraph">
                              <wp:posOffset>170815</wp:posOffset>
                            </wp:positionV>
                            <wp:extent cx="0" cy="114300"/>
                            <wp:effectExtent l="0" t="0" r="19050" b="19050"/>
                            <wp:wrapNone/>
                            <wp:docPr id="4944" name="Connecteur droit 4944"/>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43FB4D5" id="Connecteur droit 4944" o:spid="_x0000_s1026" style="position:absolute;z-index:252161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6pt,13.45pt" to="488.6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" strokecolor="black [3213]"/>
                        </w:pict>
                      </mc:Fallback>
                    </mc:AlternateContent>
                  </w:r>
                </w:p>
                <w:p w:rsidR="00F04EEF" w:rsidRDefault="0099351E">
                  <w:pPr>
                    <w:pStyle w:val="Corpsdetexte21"/>
                    <w:numPr>
                      <w:ilvl w:val="0"/>
                      <w:numId w:val="109"/>
                    </w:numPr>
                    <w:ind w:left="426" w:hanging="284"/>
                    <w:jc w:val="both"/>
                    <w:rPr>
                      <w:rFonts w:asciiTheme="majorHAnsi" w:hAnsiTheme="majorHAnsi"/>
                      <w:sz w:val="22"/>
                      <w:szCs w:val="22"/>
                    </w:rPr>
                  </w:pPr>
                  <w:r>
                    <w:rPr>
                      <w:rFonts w:asciiTheme="majorHAnsi" w:hAnsiTheme="majorHAnsi"/>
                      <w:b/>
                      <w:noProof/>
                      <w:spacing w:val="-4"/>
                      <w:sz w:val="22"/>
                      <w:szCs w:val="22"/>
                      <w:u w:val="single"/>
                      <w:lang w:eastAsia="fr-BE"/>
                    </w:rPr>
                    <mc:AlternateContent>
                      <mc:Choice Requires="wps">
                        <w:drawing>
                          <wp:anchor distT="0" distB="0" distL="114300" distR="114300" simplePos="0" relativeHeight="252163072" behindDoc="0" locked="0" layoutInCell="1" allowOverlap="1">
                            <wp:simplePos x="0" y="0"/>
                            <wp:positionH relativeFrom="column">
                              <wp:posOffset>6205220</wp:posOffset>
                            </wp:positionH>
                            <wp:positionV relativeFrom="paragraph">
                              <wp:posOffset>209550</wp:posOffset>
                            </wp:positionV>
                            <wp:extent cx="0" cy="114300"/>
                            <wp:effectExtent l="0" t="0" r="19050" b="19050"/>
                            <wp:wrapNone/>
                            <wp:docPr id="4951" name="Connecteur droit 4951"/>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FB911F" id="Connecteur droit 4951" o:spid="_x0000_s1026" style="position:absolute;z-index:252163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6pt,16.5pt" to="488.6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" strokecolor="black [3213]"/>
                        </w:pict>
                      </mc:Fallback>
                    </mc:AlternateContent>
                  </w:r>
                  <w:r>
                    <w:rPr>
                      <w:rFonts w:asciiTheme="majorHAnsi" w:hAnsiTheme="majorHAnsi"/>
                      <w:b/>
                      <w:sz w:val="22"/>
                      <w:szCs w:val="22"/>
                    </w:rPr>
                    <w:t>Dans l’enseignement organisé par WBE</w:t>
                  </w:r>
                  <w:r>
                    <w:rPr>
                      <w:rFonts w:asciiTheme="majorHAnsi" w:hAnsiTheme="majorHAnsi"/>
                      <w:sz w:val="22"/>
                      <w:szCs w:val="22"/>
                    </w:rPr>
                    <w:t xml:space="preserve"> l’élève s’il est majeur, ses parents ou la personne investie de l’autorité parentale, s’il est mineur, disposent d’un droit de recours auprès de WBE qui statue, via le Service général de l’Enseignement organisé par la Fédération Wallonie-Bruxelles, Boulevard du Jardin Botanique, 20-22 à 1000 BRUXELLES.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Le recours est introduit par lettre recommandée dans les dix jours ouvrables qui suivent la notification de l’exclusion définitive, auprès de l’instance de recours. Le délai commence à courir le premier jour qui suit celui où le pli a été présenté au domicile du destinataire (que celui-ci soit présent ou non). L’introduction du recours n’est pas suspensive de la décision d’exclusion. </w:t>
                  </w:r>
                </w:p>
                <w:p w:rsidR="00F04EEF" w:rsidRDefault="00F04EEF">
                  <w:pPr>
                    <w:pStyle w:val="Corpsdetexte21"/>
                    <w:jc w:val="both"/>
                    <w:rPr>
                      <w:rFonts w:asciiTheme="majorHAnsi" w:hAnsiTheme="majorHAnsi"/>
                      <w:sz w:val="22"/>
                      <w:szCs w:val="22"/>
                    </w:rPr>
                  </w:pPr>
                </w:p>
                <w:p w:rsidR="00F04EEF" w:rsidRDefault="0099351E">
                  <w:pPr>
                    <w:pStyle w:val="Titre7"/>
                  </w:pPr>
                  <w:bookmarkStart w:id="621" w:name="_Toc291075521"/>
                  <w:bookmarkStart w:id="622" w:name="_Toc291075945"/>
                  <w:bookmarkStart w:id="623" w:name="_Toc291076369"/>
                  <w:bookmarkStart w:id="624" w:name="_Toc291076793"/>
                  <w:bookmarkStart w:id="625" w:name="_Toc291077217"/>
                  <w:bookmarkStart w:id="626" w:name="_Toc293652060"/>
                  <w:bookmarkStart w:id="627" w:name="_Toc293653642"/>
                  <w:bookmarkStart w:id="628" w:name="_Toc293654253"/>
                  <w:bookmarkStart w:id="629" w:name="_Toc294004833"/>
                  <w:bookmarkStart w:id="630" w:name="_Toc294185329"/>
                  <w:bookmarkStart w:id="631" w:name="_Toc324767195"/>
                  <w:bookmarkStart w:id="632" w:name="_Toc324768053"/>
                  <w:r>
                    <w:t>1.3.3.2.4. Le refus de réinscription de l’élève</w:t>
                  </w:r>
                  <w:bookmarkEnd w:id="621"/>
                  <w:bookmarkEnd w:id="622"/>
                  <w:bookmarkEnd w:id="623"/>
                  <w:bookmarkEnd w:id="624"/>
                  <w:bookmarkEnd w:id="625"/>
                  <w:bookmarkEnd w:id="626"/>
                  <w:bookmarkEnd w:id="627"/>
                  <w:bookmarkEnd w:id="628"/>
                  <w:bookmarkEnd w:id="629"/>
                  <w:bookmarkEnd w:id="630"/>
                  <w:bookmarkEnd w:id="631"/>
                  <w:bookmarkEnd w:id="632"/>
                  <w:r>
                    <w:t xml:space="preserve"> </w:t>
                  </w:r>
                </w:p>
                <w:p w:rsidR="00F04EEF" w:rsidRDefault="00F04EEF">
                  <w:pPr>
                    <w:jc w:val="both"/>
                    <w:rPr>
                      <w:rFonts w:cs="Arial"/>
                    </w:rPr>
                  </w:pPr>
                </w:p>
                <w:p w:rsidR="00F04EEF" w:rsidRDefault="0099351E">
                  <w:pPr>
                    <w:jc w:val="both"/>
                    <w:rPr>
                      <w:rFonts w:cs="Arial"/>
                    </w:rPr>
                  </w:pPr>
                  <w:r>
                    <w:rPr>
                      <w:rFonts w:cs="Arial"/>
                    </w:rPr>
                    <w:t>Dans toute école, le refus de réinscription pour l’année scolaire suivante est traité comme une exclusion définitive. Le refus de réinscription ne peut prendre effet qu’à partir du 1</w:t>
                  </w:r>
                  <w:r>
                    <w:rPr>
                      <w:rFonts w:cs="Arial"/>
                      <w:vertAlign w:val="superscript"/>
                    </w:rPr>
                    <w:t>er</w:t>
                  </w:r>
                  <w:r>
                    <w:rPr>
                      <w:rFonts w:cs="Arial"/>
                    </w:rPr>
                    <w:t xml:space="preserve"> juillet</w:t>
                  </w:r>
                  <w:r>
                    <w:rPr>
                      <w:rStyle w:val="Caractresdenotedebasdepage"/>
                      <w:rFonts w:cs="Arial"/>
                    </w:rPr>
                    <w:footnoteReference w:id="56"/>
                  </w:r>
                  <w:r>
                    <w:rPr>
                      <w:rFonts w:cs="Arial"/>
                    </w:rPr>
                    <w:t>. Il est notifié au plus tard le 5 septembre, selon les mêmes modalités : le refus de réinscription, dûment motivé, est signifié par lettre recommandée avec accusé de réception aux parents ou à la personne investie de l’autorité parentale.</w:t>
                  </w:r>
                </w:p>
                <w:p w:rsidR="00F04EEF" w:rsidRDefault="00F04EEF">
                  <w:pPr>
                    <w:jc w:val="both"/>
                    <w:rPr>
                      <w:rFonts w:cs="Arial"/>
                    </w:rPr>
                  </w:pPr>
                </w:p>
                <w:p w:rsidR="00F04EEF" w:rsidRDefault="0099351E">
                  <w:pPr>
                    <w:jc w:val="both"/>
                    <w:rPr>
                      <w:rFonts w:cs="Arial"/>
                    </w:rPr>
                  </w:pPr>
                  <w:r>
                    <w:rPr>
                      <w:rFonts w:cs="Arial"/>
                    </w:rPr>
                    <w:t>Quand les motifs qui justifieraient le refus de réinscription sont connus à la fin du mois de juin, ce qui est la situation la plus fréquente, rien ne s’oppose à ce que l’audition de l’élève majeur ou mineur et ses parents ou la personne investie de l’autorité parentale ait lieu avant le 5 juillet ou après le 15 août. Le conseil de classe de seconde session organisé durant les premiers jours de septembre peut alors émettre l’avis requis avant la décision du chef d’établissement.</w:t>
                  </w:r>
                </w:p>
                <w:p w:rsidR="00F04EEF" w:rsidRDefault="00F04EEF">
                  <w:pPr>
                    <w:jc w:val="both"/>
                    <w:rPr>
                      <w:rFonts w:cs="Arial"/>
                    </w:rPr>
                  </w:pPr>
                </w:p>
                <w:p w:rsidR="00F04EEF" w:rsidRDefault="0099351E">
                  <w:pPr>
                    <w:jc w:val="both"/>
                    <w:rPr>
                      <w:rFonts w:cs="Arial"/>
                      <w:vertAlign w:val="superscript"/>
                    </w:rPr>
                  </w:pPr>
                  <w:r>
                    <w:rPr>
                      <w:rFonts w:cs="Arial"/>
                    </w:rPr>
                    <w:t>L’existence d’un droit de recours et ses modalités doivent figurer dans la lettre de notification</w:t>
                  </w:r>
                  <w:r>
                    <w:rPr>
                      <w:rStyle w:val="Appelnotedebasdep1"/>
                    </w:rPr>
                    <w:footnoteReference w:id="57"/>
                  </w:r>
                  <w:r>
                    <w:rPr>
                      <w:rFonts w:cs="Arial"/>
                      <w:vertAlign w:val="superscript"/>
                    </w:rPr>
                    <w:t>.</w:t>
                  </w:r>
                </w:p>
                <w:p w:rsidR="00F04EEF" w:rsidRDefault="00F04EEF"/>
                <w:p w:rsidR="00F04EEF" w:rsidRDefault="0099351E">
                  <w:pPr>
                    <w:pStyle w:val="Titre7"/>
                  </w:pPr>
                  <w:bookmarkStart w:id="633" w:name="_Toc291075522"/>
                  <w:bookmarkStart w:id="634" w:name="_Toc291075946"/>
                  <w:bookmarkStart w:id="635" w:name="_Toc291076370"/>
                  <w:bookmarkStart w:id="636" w:name="_Toc291076794"/>
                  <w:bookmarkStart w:id="637" w:name="_Toc291077218"/>
                  <w:bookmarkStart w:id="638" w:name="_Toc293652061"/>
                  <w:bookmarkStart w:id="639" w:name="_Toc293653643"/>
                  <w:bookmarkStart w:id="640" w:name="_Toc293654254"/>
                  <w:bookmarkStart w:id="641" w:name="_Toc294004834"/>
                  <w:bookmarkStart w:id="642" w:name="_Toc294185330"/>
                  <w:bookmarkStart w:id="643" w:name="_Toc324767196"/>
                  <w:bookmarkStart w:id="644" w:name="_Toc324768054"/>
                  <w:r>
                    <w:t>1.3.3.2.5. Désignation d’un autre établissement</w:t>
                  </w:r>
                  <w:bookmarkEnd w:id="633"/>
                  <w:bookmarkEnd w:id="634"/>
                  <w:bookmarkEnd w:id="635"/>
                  <w:bookmarkEnd w:id="636"/>
                  <w:bookmarkEnd w:id="637"/>
                  <w:bookmarkEnd w:id="638"/>
                  <w:bookmarkEnd w:id="639"/>
                  <w:bookmarkEnd w:id="640"/>
                  <w:bookmarkEnd w:id="641"/>
                  <w:bookmarkEnd w:id="642"/>
                  <w:bookmarkEnd w:id="643"/>
                  <w:bookmarkEnd w:id="644"/>
                </w:p>
                <w:p w:rsidR="00F04EEF" w:rsidRDefault="00F04EEF">
                  <w:pPr>
                    <w:jc w:val="both"/>
                    <w:rPr>
                      <w:rFonts w:cs="Arial"/>
                    </w:rPr>
                  </w:pPr>
                </w:p>
                <w:p w:rsidR="00F04EEF" w:rsidRDefault="0099351E">
                  <w:pPr>
                    <w:jc w:val="both"/>
                    <w:rPr>
                      <w:rFonts w:cs="Arial"/>
                    </w:rPr>
                  </w:pPr>
                  <w:r>
                    <w:rPr>
                      <w:rFonts w:cs="Arial"/>
                    </w:rPr>
                    <w:t xml:space="preserve">Dans l’enseignement organisé et subventionné par la Fédération Wallonie-Bruxelles, il est important que chaque chef d’établissement s’inquiète de l’inscription de l’élève exclu dans une autre école ou dans une autre institution permettant de satisfaire à l’obligation scolaire. </w:t>
                  </w:r>
                </w:p>
                <w:p w:rsidR="00F04EEF" w:rsidRDefault="00F04EEF">
                  <w:pPr>
                    <w:jc w:val="both"/>
                    <w:rPr>
                      <w:rFonts w:cs="Arial"/>
                    </w:rPr>
                  </w:pPr>
                </w:p>
                <w:p w:rsidR="00F04EEF" w:rsidRDefault="0099351E">
                  <w:pPr>
                    <w:jc w:val="both"/>
                    <w:rPr>
                      <w:rFonts w:cs="Arial"/>
                    </w:rPr>
                  </w:pPr>
                  <w:r>
                    <w:rPr>
                      <w:rFonts w:cs="Arial"/>
                    </w:rPr>
                    <w:t>Le CPMS de l’établissement d’enseignement de l’élève est à la disposition de ce dernier et de ses parents, de la personne investie de l’autorité parentale ou qui assume la garde en fait du mineur entre autres dans le cadre d’une aide à la recherche d’un nouvel établissement d’enseignement, en ce compris pour une éventuelle réorientation.</w:t>
                  </w:r>
                </w:p>
                <w:p w:rsidR="00F04EEF" w:rsidRDefault="0099351E">
                  <w:r>
                    <w:rPr>
                      <w:rFonts w:asciiTheme="majorHAnsi" w:hAnsiTheme="majorHAnsi"/>
                      <w:b/>
                      <w:noProof/>
                      <w:spacing w:val="-4"/>
                      <w:u w:val="single"/>
                      <w:lang w:eastAsia="fr-BE"/>
                    </w:rPr>
                    <mc:AlternateContent>
                      <mc:Choice Requires="wps">
                        <w:drawing>
                          <wp:anchor distT="0" distB="0" distL="114300" distR="114300" simplePos="0" relativeHeight="252165120" behindDoc="0" locked="0" layoutInCell="1" allowOverlap="1">
                            <wp:simplePos x="0" y="0"/>
                            <wp:positionH relativeFrom="column">
                              <wp:posOffset>6229350</wp:posOffset>
                            </wp:positionH>
                            <wp:positionV relativeFrom="paragraph">
                              <wp:posOffset>170180</wp:posOffset>
                            </wp:positionV>
                            <wp:extent cx="0" cy="114300"/>
                            <wp:effectExtent l="0" t="0" r="19050" b="19050"/>
                            <wp:wrapNone/>
                            <wp:docPr id="4952" name="Connecteur droit 4952"/>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31892D3" id="Connecteur droit 4952" o:spid="_x0000_s1026" style="position:absolute;z-index:252165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5pt,13.4pt" to="490.5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" strokecolor="black [3213]"/>
                        </w:pict>
                      </mc:Fallback>
                    </mc:AlternateContent>
                  </w:r>
                </w:p>
                <w:p w:rsidR="00F04EEF" w:rsidRDefault="0099351E">
                  <w:pPr>
                    <w:pStyle w:val="Titre7"/>
                  </w:pPr>
                  <w:bookmarkStart w:id="645" w:name="_1.3.3.2.6._Dans_l’enseignement"/>
                  <w:bookmarkStart w:id="646" w:name="_Toc291075523"/>
                  <w:bookmarkStart w:id="647" w:name="_Toc291075947"/>
                  <w:bookmarkStart w:id="648" w:name="_Toc291076371"/>
                  <w:bookmarkStart w:id="649" w:name="_Toc291076795"/>
                  <w:bookmarkStart w:id="650" w:name="_Toc291077219"/>
                  <w:bookmarkStart w:id="651" w:name="_Toc293652062"/>
                  <w:bookmarkStart w:id="652" w:name="_Toc293653644"/>
                  <w:bookmarkStart w:id="653" w:name="_Toc293654255"/>
                  <w:bookmarkStart w:id="654" w:name="_Toc294004835"/>
                  <w:bookmarkStart w:id="655" w:name="_Toc294185331"/>
                  <w:bookmarkStart w:id="656" w:name="_Toc324767197"/>
                  <w:bookmarkStart w:id="657" w:name="_Toc324768055"/>
                  <w:bookmarkEnd w:id="645"/>
                  <w:r>
                    <w:t xml:space="preserve">1.3.3.2.6. Dans l’enseignement organisé par </w:t>
                  </w:r>
                  <w:bookmarkEnd w:id="646"/>
                  <w:bookmarkEnd w:id="647"/>
                  <w:bookmarkEnd w:id="648"/>
                  <w:bookmarkEnd w:id="649"/>
                  <w:bookmarkEnd w:id="650"/>
                  <w:bookmarkEnd w:id="651"/>
                  <w:bookmarkEnd w:id="652"/>
                  <w:bookmarkEnd w:id="653"/>
                  <w:bookmarkEnd w:id="654"/>
                  <w:bookmarkEnd w:id="655"/>
                  <w:bookmarkEnd w:id="656"/>
                  <w:bookmarkEnd w:id="657"/>
                  <w:r>
                    <w:t>Wallonie-Bruxelles Enseignement (WBE)</w:t>
                  </w:r>
                  <w:r>
                    <w:rPr>
                      <w:rFonts w:asciiTheme="majorHAnsi" w:hAnsiTheme="majorHAnsi"/>
                      <w:b w:val="0"/>
                      <w:noProof/>
                      <w:spacing w:val="-4"/>
                      <w:szCs w:val="22"/>
                      <w:lang w:eastAsia="fr-BE"/>
                    </w:rPr>
                    <w:t xml:space="preserve"> </w:t>
                  </w:r>
                </w:p>
                <w:p w:rsidR="00F04EEF" w:rsidRDefault="00F04EEF">
                  <w:pPr>
                    <w:pStyle w:val="Corpsdetexte21"/>
                    <w:spacing w:after="120"/>
                    <w:jc w:val="both"/>
                    <w:rPr>
                      <w:rFonts w:asciiTheme="majorHAnsi" w:hAnsiTheme="majorHAnsi"/>
                      <w:sz w:val="22"/>
                      <w:szCs w:val="22"/>
                    </w:rPr>
                  </w:pP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asciiTheme="majorHAnsi" w:hAnsiTheme="majorHAnsi"/>
                      <w:sz w:val="22"/>
                      <w:szCs w:val="22"/>
                      <w:vertAlign w:val="superscript"/>
                    </w:rPr>
                    <w:t>er</w:t>
                  </w:r>
                  <w:r>
                    <w:rPr>
                      <w:rFonts w:asciiTheme="majorHAnsi" w:hAnsiTheme="majorHAnsi"/>
                      <w:sz w:val="22"/>
                      <w:szCs w:val="22"/>
                    </w:rPr>
                    <w:t xml:space="preserve"> septembre et le 30 juin. L’objectif étant de veiller à la rescolarisation de l’élève dans les meilleurs délais. </w:t>
                  </w:r>
                </w:p>
                <w:p w:rsidR="00F04EEF" w:rsidRDefault="0099351E">
                  <w:pPr>
                    <w:jc w:val="both"/>
                    <w:rPr>
                      <w:rFonts w:cs="Arial"/>
                    </w:rPr>
                  </w:pPr>
                  <w:r>
                    <w:rPr>
                      <w:rFonts w:cs="Arial"/>
                    </w:rPr>
                    <w:t xml:space="preserve">Si, </w:t>
                  </w:r>
                  <w:r>
                    <w:rPr>
                      <w:rFonts w:cs="Arial"/>
                      <w:b/>
                      <w:u w:val="single"/>
                    </w:rPr>
                    <w:t>dans le mois suivant la notification de l’exclusion définitive</w:t>
                  </w:r>
                  <w:r>
                    <w:rPr>
                      <w:rFonts w:cs="Arial"/>
                    </w:rPr>
                    <w:t>, le chef d’établissement constate la non réinscription de l’élève qu’il a exclu dans une autre institution permettant de satisfaire à l’obligation scolaire, comme par exemple, outre un établissement scolaire, un service d’accrochage scolaire, la direction en informera l’Administration par courrier</w:t>
                  </w:r>
                  <w:r>
                    <w:rPr>
                      <w:rStyle w:val="Appelnotedebasdep1"/>
                    </w:rPr>
                    <w:footnoteReference w:id="58"/>
                  </w:r>
                  <w:r>
                    <w:rPr>
                      <w:rFonts w:cs="Arial"/>
                    </w:rPr>
                    <w:t> .</w:t>
                  </w:r>
                </w:p>
                <w:p w:rsidR="00F04EEF" w:rsidRDefault="00F04EEF">
                  <w:pPr>
                    <w:jc w:val="both"/>
                    <w:rPr>
                      <w:b/>
                      <w:u w:val="single"/>
                    </w:rPr>
                  </w:pPr>
                </w:p>
                <w:p w:rsidR="00F04EEF" w:rsidRDefault="0099351E">
                  <w:pPr>
                    <w:pStyle w:val="Titre7"/>
                  </w:pPr>
                  <w:bookmarkStart w:id="658" w:name="_1.3.3.2.7._Dans_l’enseignement"/>
                  <w:bookmarkStart w:id="659" w:name="_Toc291075524"/>
                  <w:bookmarkStart w:id="660" w:name="_Toc291075948"/>
                  <w:bookmarkStart w:id="661" w:name="_Toc291076372"/>
                  <w:bookmarkStart w:id="662" w:name="_Toc291076796"/>
                  <w:bookmarkStart w:id="663" w:name="_Toc291077220"/>
                  <w:bookmarkStart w:id="664" w:name="_Toc293652063"/>
                  <w:bookmarkStart w:id="665" w:name="_Toc293653645"/>
                  <w:bookmarkStart w:id="666" w:name="_Toc293654256"/>
                  <w:bookmarkStart w:id="667" w:name="_Toc294004836"/>
                  <w:bookmarkStart w:id="668" w:name="_Toc294185332"/>
                  <w:bookmarkStart w:id="669" w:name="_Toc324767198"/>
                  <w:bookmarkStart w:id="670" w:name="_Toc324768056"/>
                  <w:bookmarkEnd w:id="658"/>
                  <w:r>
                    <w:t xml:space="preserve">1.3.3.2.7. Dans l’enseignement subventionné par la </w:t>
                  </w:r>
                  <w:bookmarkEnd w:id="659"/>
                  <w:bookmarkEnd w:id="660"/>
                  <w:bookmarkEnd w:id="661"/>
                  <w:bookmarkEnd w:id="662"/>
                  <w:bookmarkEnd w:id="663"/>
                  <w:bookmarkEnd w:id="664"/>
                  <w:bookmarkEnd w:id="665"/>
                  <w:bookmarkEnd w:id="666"/>
                  <w:bookmarkEnd w:id="667"/>
                  <w:bookmarkEnd w:id="668"/>
                  <w:bookmarkEnd w:id="669"/>
                  <w:bookmarkEnd w:id="670"/>
                  <w:r>
                    <w:t>Fédération Wallonie-Bruxelles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Inscription dans un autre établissement. Différentes possibilités ont été prévues.</w:t>
                  </w:r>
                </w:p>
                <w:p w:rsidR="00F04EEF" w:rsidRDefault="00F04EEF">
                  <w:pPr>
                    <w:jc w:val="both"/>
                    <w:rPr>
                      <w:rFonts w:cs="Arial"/>
                    </w:rPr>
                  </w:pPr>
                </w:p>
                <w:p w:rsidR="00F04EEF" w:rsidRDefault="0099351E">
                  <w:pPr>
                    <w:rPr>
                      <w:u w:val="single"/>
                    </w:rPr>
                  </w:pPr>
                  <w:bookmarkStart w:id="671" w:name="_Toc291075525"/>
                  <w:bookmarkStart w:id="672" w:name="_Toc291075949"/>
                  <w:bookmarkStart w:id="673" w:name="_Toc291076373"/>
                  <w:bookmarkStart w:id="674" w:name="_Toc291076797"/>
                  <w:bookmarkStart w:id="675" w:name="_Toc291077221"/>
                  <w:bookmarkStart w:id="676" w:name="_Toc293652064"/>
                  <w:bookmarkStart w:id="677" w:name="_Toc293653646"/>
                  <w:bookmarkStart w:id="678" w:name="_Toc293654257"/>
                  <w:bookmarkStart w:id="679" w:name="_Toc294004837"/>
                  <w:bookmarkStart w:id="680" w:name="_Toc294185333"/>
                  <w:bookmarkStart w:id="681" w:name="_Toc324767199"/>
                  <w:bookmarkStart w:id="682" w:name="_Toc324768057"/>
                  <w:r>
                    <w:rPr>
                      <w:u w:val="single"/>
                    </w:rPr>
                    <w:t>- Le pouvoir organisateur propose l’inscription dans un autre établissement qu’il organise</w:t>
                  </w:r>
                  <w:bookmarkEnd w:id="671"/>
                  <w:bookmarkEnd w:id="672"/>
                  <w:bookmarkEnd w:id="673"/>
                  <w:bookmarkEnd w:id="674"/>
                  <w:bookmarkEnd w:id="675"/>
                  <w:bookmarkEnd w:id="676"/>
                  <w:bookmarkEnd w:id="677"/>
                  <w:bookmarkEnd w:id="678"/>
                  <w:bookmarkEnd w:id="679"/>
                  <w:bookmarkEnd w:id="680"/>
                  <w:bookmarkEnd w:id="681"/>
                  <w:bookmarkEnd w:id="682"/>
                </w:p>
                <w:p w:rsidR="00F04EEF" w:rsidRDefault="00F04EEF">
                  <w:pPr>
                    <w:pStyle w:val="2"/>
                    <w:rPr>
                      <w:rFonts w:asciiTheme="majorHAnsi" w:hAnsiTheme="majorHAnsi"/>
                      <w:sz w:val="22"/>
                      <w:szCs w:val="22"/>
                      <w:lang w:val="fr-BE"/>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Le pouvoir organisateur ou son délégué peut proposer à l’élève exclu s’il est majeur, ou à l’élève mineur et à ses parents ou à la personne investie de l’autorité parentale son inscription dans un autre établissement qu’il organise.</w:t>
                  </w:r>
                </w:p>
                <w:p w:rsidR="00F04EEF" w:rsidRDefault="00F04EEF">
                  <w:pPr>
                    <w:pStyle w:val="Corpsdetexte21"/>
                    <w:jc w:val="both"/>
                    <w:rPr>
                      <w:rFonts w:asciiTheme="majorHAnsi" w:hAnsiTheme="majorHAnsi"/>
                      <w:sz w:val="22"/>
                      <w:szCs w:val="22"/>
                    </w:rPr>
                  </w:pPr>
                </w:p>
                <w:p w:rsidR="00F04EEF" w:rsidRDefault="0099351E">
                  <w:pPr>
                    <w:jc w:val="both"/>
                    <w:rPr>
                      <w:rFonts w:cs="Arial"/>
                      <w:u w:val="single"/>
                    </w:rPr>
                  </w:pPr>
                  <w:r>
                    <w:rPr>
                      <w:rFonts w:cs="Arial"/>
                      <w:u w:val="single"/>
                    </w:rPr>
                    <w:t>- Le pouvoir organisateur ne propose pas d’autre établissement, mais il adhère à un organe de représentation et de coordination</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Le pouvoir organisateur qui n’a pas proposé d’établissement transmet dans les 10 jours d’ouverture d’école qui suivent la date d’exclusion, l’ensemble du dossier disciplinaire de l’élève concerné à l’organe de représentation et de coordination auquel il adhère et celui-ci </w:t>
                  </w:r>
                  <w:r>
                    <w:rPr>
                      <w:rFonts w:asciiTheme="minorHAnsi" w:hAnsiTheme="minorHAnsi" w:cstheme="minorHAnsi"/>
                      <w:b/>
                      <w:bCs/>
                      <w:sz w:val="22"/>
                      <w:szCs w:val="22"/>
                    </w:rPr>
                    <w:t>propose à l’élève l’inscription dans un autre établissement organisé par un pouvoir organisateur qu’il représente</w:t>
                  </w:r>
                  <w:r>
                    <w:rPr>
                      <w:rFonts w:asciiTheme="minorHAnsi" w:hAnsiTheme="minorHAnsi" w:cstheme="minorHAnsi"/>
                      <w:sz w:val="22"/>
                      <w:szCs w:val="22"/>
                    </w:rPr>
                    <w:t>. L’organe de représentation et de coordination peut imposer à un des pouvoirs organisateurs qu’il représente l’obligation d’inscrire un élève exclu d’un autre établissement.</w:t>
                  </w:r>
                </w:p>
                <w:p w:rsidR="00F04EEF" w:rsidRDefault="00F04EEF">
                  <w:pPr>
                    <w:pStyle w:val="Corpsdetexte21"/>
                    <w:jc w:val="both"/>
                    <w:rPr>
                      <w:rFonts w:asciiTheme="majorHAnsi" w:hAnsiTheme="majorHAnsi"/>
                      <w:sz w:val="22"/>
                      <w:szCs w:val="22"/>
                    </w:rPr>
                  </w:pPr>
                </w:p>
                <w:p w:rsidR="00F04EEF" w:rsidRDefault="0099351E">
                  <w:pPr>
                    <w:jc w:val="both"/>
                    <w:rPr>
                      <w:rFonts w:cs="Arial"/>
                      <w:u w:val="single"/>
                    </w:rPr>
                  </w:pPr>
                  <w:r>
                    <w:rPr>
                      <w:rFonts w:cs="Arial"/>
                      <w:u w:val="single"/>
                    </w:rPr>
                    <w:t>- Le pouvoir organisateur ne propose pas d’autre établissement, et n’adhère à aucun organe de représentation et de coordination</w:t>
                  </w:r>
                </w:p>
                <w:p w:rsidR="00F04EEF" w:rsidRDefault="00F04EEF">
                  <w:pPr>
                    <w:pStyle w:val="Corpsdetexte21"/>
                    <w:jc w:val="both"/>
                    <w:rPr>
                      <w:rFonts w:asciiTheme="majorHAnsi" w:hAnsiTheme="majorHAnsi"/>
                      <w:sz w:val="22"/>
                      <w:szCs w:val="22"/>
                    </w:rPr>
                  </w:pP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Dans le cas où un pouvoir organisateur n’ayant pas adhéré à un organe de représentation et de coordination ne peut proposer à l’élève exclu son inscription dans un autre établissement qu’il organise, il transmet copie de l’ensemble du dossier disciplinaire de l’élève exclu à la Direction générale de l’enseignement obligatoire.</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b/>
                      <w:noProof/>
                      <w:spacing w:val="-4"/>
                      <w:sz w:val="22"/>
                      <w:szCs w:val="22"/>
                      <w:u w:val="single"/>
                      <w:lang w:eastAsia="fr-BE"/>
                    </w:rPr>
                    <mc:AlternateContent>
                      <mc:Choice Requires="wps">
                        <w:drawing>
                          <wp:anchor distT="0" distB="0" distL="114300" distR="114300" simplePos="0" relativeHeight="252167168" behindDoc="0" locked="0" layoutInCell="1" allowOverlap="1">
                            <wp:simplePos x="0" y="0"/>
                            <wp:positionH relativeFrom="column">
                              <wp:posOffset>6267450</wp:posOffset>
                            </wp:positionH>
                            <wp:positionV relativeFrom="paragraph">
                              <wp:posOffset>194310</wp:posOffset>
                            </wp:positionV>
                            <wp:extent cx="0" cy="114300"/>
                            <wp:effectExtent l="0" t="0" r="19050" b="19050"/>
                            <wp:wrapNone/>
                            <wp:docPr id="4953" name="Connecteur droit 4953"/>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E37CA72" id="Connecteur droit 4953" o:spid="_x0000_s1026" style="position:absolute;z-index:252167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pt,15.3pt" to="493.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" strokecolor="black [3213]"/>
                        </w:pict>
                      </mc:Fallback>
                    </mc:AlternateContent>
                  </w:r>
                  <w:r>
                    <w:rPr>
                      <w:rFonts w:asciiTheme="minorHAnsi" w:hAnsiTheme="minorHAnsi" w:cstheme="minorHAnsi"/>
                      <w:b/>
                      <w:bCs/>
                      <w:sz w:val="22"/>
                      <w:szCs w:val="22"/>
                      <w:u w:val="single"/>
                    </w:rPr>
                    <w:t>Remarque</w:t>
                  </w:r>
                  <w:r>
                    <w:rPr>
                      <w:rFonts w:asciiTheme="minorHAnsi" w:hAnsiTheme="minorHAnsi" w:cstheme="minorHAnsi"/>
                      <w:sz w:val="22"/>
                      <w:szCs w:val="22"/>
                      <w:u w:val="single"/>
                    </w:rPr>
                    <w:t> :</w:t>
                  </w:r>
                  <w:r>
                    <w:rPr>
                      <w:rFonts w:asciiTheme="minorHAnsi" w:hAnsiTheme="minorHAnsi" w:cstheme="minorHAnsi"/>
                      <w:sz w:val="22"/>
                      <w:szCs w:val="22"/>
                    </w:rPr>
                    <w:t xml:space="preserve"> dans tous les cas, l’Administration n’est tenue de faire inscrire dans un établissement organisé par Wallonie-Bruxelles Enseignement (WBE) l’élève exclu d’un établissement d’enseignement subventionné qui sollicite son inscription </w:t>
                  </w:r>
                  <w:r>
                    <w:rPr>
                      <w:rFonts w:asciiTheme="minorHAnsi" w:hAnsiTheme="minorHAnsi" w:cstheme="minorHAnsi"/>
                      <w:b/>
                      <w:sz w:val="22"/>
                      <w:szCs w:val="22"/>
                    </w:rPr>
                    <w:t>après le 1</w:t>
                  </w:r>
                  <w:r>
                    <w:rPr>
                      <w:rFonts w:asciiTheme="minorHAnsi" w:hAnsiTheme="minorHAnsi" w:cstheme="minorHAnsi"/>
                      <w:b/>
                      <w:sz w:val="22"/>
                      <w:szCs w:val="22"/>
                      <w:vertAlign w:val="superscript"/>
                    </w:rPr>
                    <w:t>er</w:t>
                  </w:r>
                  <w:r>
                    <w:rPr>
                      <w:rFonts w:asciiTheme="minorHAnsi" w:hAnsiTheme="minorHAnsi" w:cstheme="minorHAnsi"/>
                      <w:b/>
                      <w:sz w:val="22"/>
                      <w:szCs w:val="22"/>
                    </w:rPr>
                    <w:t xml:space="preserve"> jour ouvrable scolaire de septembre</w:t>
                  </w:r>
                  <w:r>
                    <w:rPr>
                      <w:rFonts w:asciiTheme="minorHAnsi" w:hAnsiTheme="minorHAnsi" w:cstheme="minorHAnsi"/>
                      <w:sz w:val="22"/>
                      <w:szCs w:val="22"/>
                    </w:rPr>
                    <w:t>, que s’il a épuisé les procédures prévues aux articles 89 et 90 du décret « missions ». (Recours et recherche d’un établissement organisé par le même pouvoir organisateur ou par un pouvoir organisateur adhérant au même organe de représentation et de coordination).</w:t>
                  </w:r>
                </w:p>
                <w:p w:rsidR="00F04EEF" w:rsidRDefault="0099351E">
                  <w:pPr>
                    <w:jc w:val="both"/>
                    <w:rPr>
                      <w:rFonts w:cs="Arial"/>
                    </w:rPr>
                  </w:pPr>
                  <w:r>
                    <w:rPr>
                      <w:rFonts w:cs="Arial"/>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cs="Arial"/>
                      <w:vertAlign w:val="superscript"/>
                    </w:rPr>
                    <w:t>er</w:t>
                  </w:r>
                  <w:r>
                    <w:rPr>
                      <w:rFonts w:cs="Arial"/>
                    </w:rPr>
                    <w:t xml:space="preserve"> septembre et le 30 juin. L’objectif étant de veiller à la rescolarisation de l’élève dans les meilleurs délais et de procéder à l’actualisation, après le 15 janvier, du calcul du capital-période de base de l’école qui a inscrit un élève exclu. </w:t>
                  </w:r>
                </w:p>
                <w:p w:rsidR="00F04EEF" w:rsidRDefault="00F04EEF">
                  <w:pPr>
                    <w:jc w:val="both"/>
                    <w:rPr>
                      <w:rFonts w:cs="Arial"/>
                    </w:rPr>
                  </w:pPr>
                </w:p>
                <w:p w:rsidR="00F04EEF" w:rsidRDefault="0099351E">
                  <w:pPr>
                    <w:jc w:val="both"/>
                    <w:rPr>
                      <w:rFonts w:cs="Arial"/>
                    </w:rPr>
                  </w:pPr>
                  <w:r>
                    <w:rPr>
                      <w:rFonts w:cs="Arial"/>
                      <w:noProof/>
                      <w:lang w:val="fr-FR" w:eastAsia="fr-FR"/>
                    </w:rPr>
                    <w:t xml:space="preserve">Pour rappel, l’élève exclu définitivement d’un établissement après le 15 janvier n’entre pas en compte pour le calcul du capital-période de base de cet établissement mais bien pour celui de l’établissement qui l’accueille.  (Voir </w:t>
                  </w:r>
                  <w:hyperlink r:id="rId30" w:history="1">
                    <w:r>
                      <w:rPr>
                        <w:rStyle w:val="Lienhypertexte"/>
                        <w:rFonts w:cs="Arial"/>
                      </w:rPr>
                      <w:t>circulaire n°2080 du 24 octobre 2007</w:t>
                    </w:r>
                  </w:hyperlink>
                  <w:r>
                    <w:rPr>
                      <w:rFonts w:cs="Arial"/>
                    </w:rPr>
                    <w:t>).</w:t>
                  </w:r>
                </w:p>
                <w:p w:rsidR="00F04EEF" w:rsidRDefault="00F04EEF">
                  <w:pPr>
                    <w:jc w:val="both"/>
                    <w:rPr>
                      <w:rFonts w:cs="Arial"/>
                    </w:rPr>
                  </w:pPr>
                </w:p>
                <w:p w:rsidR="00F04EEF" w:rsidRDefault="0099351E">
                  <w:pPr>
                    <w:jc w:val="both"/>
                    <w:rPr>
                      <w:rFonts w:cs="Arial"/>
                    </w:rPr>
                  </w:pPr>
                  <w:r>
                    <w:rPr>
                      <w:rFonts w:cs="Arial"/>
                    </w:rPr>
                    <w:t xml:space="preserve">Dans l’enseignement subventionné par la Fédération Wallonie-Bruxelles, si, </w:t>
                  </w:r>
                  <w:r>
                    <w:rPr>
                      <w:rFonts w:cs="Arial"/>
                      <w:b/>
                      <w:u w:val="single"/>
                    </w:rPr>
                    <w:t xml:space="preserve">dans le mois suivant la notification de l’exclusion définitive </w:t>
                  </w:r>
                  <w:r>
                    <w:rPr>
                      <w:rFonts w:cs="Arial"/>
                    </w:rPr>
                    <w:t>(dans les 30 jours calendrier à dater du lendemain du jour de la notification de l’exclusion définitive), le chef d’établissement constate la non réinscription de l’élève qu’il a exclu dans une autre institution permettant de satisfaire à l’obligation scolaire, comme par exemple, outre un établissement scolaire, un service d’accrochage scolaire, le pouvoir organisateur ou son délégué en informera l’Administration par courrier</w:t>
                  </w:r>
                  <w:r>
                    <w:rPr>
                      <w:rStyle w:val="Appelnotedebasdep1"/>
                    </w:rPr>
                    <w:footnoteReference w:id="59"/>
                  </w:r>
                  <w:r>
                    <w:rPr>
                      <w:rFonts w:cs="Arial"/>
                    </w:rPr>
                    <w:t> .</w:t>
                  </w:r>
                </w:p>
                <w:p w:rsidR="00F04EEF" w:rsidRDefault="00F04EEF">
                  <w:bookmarkStart w:id="683" w:name="_1.3.3.2.8._Dispositions_relatives"/>
                  <w:bookmarkEnd w:id="683"/>
                </w:p>
                <w:p w:rsidR="00F04EEF" w:rsidRDefault="0099351E">
                  <w:pPr>
                    <w:pStyle w:val="Titre7"/>
                  </w:pPr>
                  <w:r>
                    <w:t>1.3.3.2.8. Dispositions relatives aux faits graves devant figurer dans le règlement d’ordre intérieur</w:t>
                  </w:r>
                  <w:r>
                    <w:rPr>
                      <w:rStyle w:val="Appelnotedebasdep1"/>
                      <w:b w:val="0"/>
                      <w:color w:val="000000"/>
                      <w:szCs w:val="22"/>
                    </w:rPr>
                    <w:footnoteReference w:id="60"/>
                  </w:r>
                </w:p>
                <w:p w:rsidR="00F04EEF" w:rsidRDefault="00F04EEF">
                  <w:pPr>
                    <w:pStyle w:val="2"/>
                    <w:rPr>
                      <w:rFonts w:asciiTheme="majorHAnsi" w:hAnsiTheme="majorHAnsi"/>
                      <w:sz w:val="22"/>
                      <w:szCs w:val="22"/>
                      <w:lang w:val="fr-BE"/>
                    </w:rPr>
                  </w:pP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Les dispositions suivantes doivent être insérées dans le règlement d’ordre intérieur de tous les établissements scolaires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L’arrêté du 18 janvier 2008</w:t>
                  </w:r>
                  <w:r>
                    <w:rPr>
                      <w:rStyle w:val="Caractresdenotedebasdepage"/>
                      <w:rFonts w:asciiTheme="minorHAnsi" w:hAnsiTheme="minorHAnsi" w:cstheme="minorHAnsi"/>
                      <w:sz w:val="22"/>
                      <w:szCs w:val="22"/>
                    </w:rPr>
                    <w:footnoteReference w:id="61"/>
                  </w:r>
                  <w:r>
                    <w:rPr>
                      <w:rFonts w:asciiTheme="minorHAnsi" w:hAnsiTheme="minorHAnsi" w:cstheme="minorHAnsi"/>
                      <w:sz w:val="22"/>
                      <w:szCs w:val="22"/>
                    </w:rPr>
                    <w:t xml:space="preserve"> impose aux établissements scolaires d’inclure dans leur règlement d’ordre intérieur les dispositions suivantes :</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Les </w:t>
                  </w:r>
                  <w:r>
                    <w:rPr>
                      <w:rFonts w:asciiTheme="minorHAnsi" w:hAnsiTheme="minorHAnsi" w:cstheme="minorHAnsi"/>
                      <w:b/>
                      <w:sz w:val="22"/>
                      <w:szCs w:val="22"/>
                      <w:u w:val="single"/>
                    </w:rPr>
                    <w:t>faits graves</w:t>
                  </w:r>
                  <w:r>
                    <w:rPr>
                      <w:rFonts w:asciiTheme="minorHAnsi" w:hAnsiTheme="minorHAnsi" w:cstheme="minorHAnsi"/>
                      <w:sz w:val="22"/>
                      <w:szCs w:val="22"/>
                    </w:rPr>
                    <w:t xml:space="preserve"> suivants sont considérés comme pouvant justifier l’exclusion définitive prévue aux articles 81 et 89 du </w:t>
                  </w:r>
                  <w:hyperlink r:id="rId31" w:history="1">
                    <w:r>
                      <w:rPr>
                        <w:rStyle w:val="Lienhypertexte"/>
                        <w:rFonts w:asciiTheme="minorHAnsi" w:hAnsiTheme="minorHAnsi" w:cstheme="minorHAnsi"/>
                        <w:sz w:val="22"/>
                        <w:szCs w:val="22"/>
                      </w:rPr>
                      <w:t>décret du 24 juillet 1997</w:t>
                    </w:r>
                  </w:hyperlink>
                  <w:r>
                    <w:rPr>
                      <w:rFonts w:asciiTheme="minorHAnsi" w:hAnsiTheme="minorHAnsi" w:cstheme="minorHAnsi"/>
                      <w:sz w:val="22"/>
                      <w:szCs w:val="22"/>
                    </w:rPr>
                    <w:t xml:space="preserve"> définissant les missions prioritaires de l’enseignement fondamental et de l’enseignement secondaire et organisant les structures propres à les atteindre :</w:t>
                  </w:r>
                </w:p>
                <w:p w:rsidR="00F04EEF" w:rsidRDefault="0099351E">
                  <w:pPr>
                    <w:pStyle w:val="Corpsdetexte21"/>
                    <w:numPr>
                      <w:ilvl w:val="0"/>
                      <w:numId w:val="110"/>
                    </w:numPr>
                    <w:tabs>
                      <w:tab w:val="clear" w:pos="720"/>
                    </w:tabs>
                    <w:ind w:left="0" w:firstLine="0"/>
                    <w:jc w:val="both"/>
                    <w:rPr>
                      <w:rFonts w:asciiTheme="minorHAnsi" w:hAnsiTheme="minorHAnsi" w:cstheme="minorHAnsi"/>
                      <w:sz w:val="22"/>
                      <w:szCs w:val="22"/>
                    </w:rPr>
                  </w:pPr>
                  <w:r>
                    <w:rPr>
                      <w:rFonts w:asciiTheme="minorHAnsi" w:hAnsiTheme="minorHAnsi" w:cstheme="minorHAnsi"/>
                      <w:sz w:val="22"/>
                      <w:szCs w:val="22"/>
                    </w:rPr>
                    <w:t>dans l’enceinte de l’établissement ou hors de celle-ci :</w:t>
                  </w:r>
                </w:p>
                <w:p w:rsidR="00F04EEF" w:rsidRDefault="00F04EEF">
                  <w:pPr>
                    <w:pStyle w:val="Corpsdetexte21"/>
                    <w:jc w:val="both"/>
                    <w:rPr>
                      <w:rFonts w:asciiTheme="majorHAnsi" w:hAnsiTheme="majorHAnsi"/>
                      <w:sz w:val="22"/>
                      <w:szCs w:val="22"/>
                    </w:rPr>
                  </w:pPr>
                </w:p>
                <w:p w:rsidR="00F04EEF" w:rsidRDefault="0099351E">
                  <w:pPr>
                    <w:pStyle w:val="Corpsdetexte21"/>
                    <w:numPr>
                      <w:ilvl w:val="0"/>
                      <w:numId w:val="127"/>
                    </w:numPr>
                    <w:ind w:left="927"/>
                    <w:jc w:val="both"/>
                    <w:rPr>
                      <w:rFonts w:asciiTheme="minorHAnsi" w:hAnsiTheme="minorHAnsi" w:cstheme="minorHAnsi"/>
                      <w:sz w:val="22"/>
                      <w:szCs w:val="22"/>
                    </w:rPr>
                  </w:pPr>
                  <w:r>
                    <w:rPr>
                      <w:rFonts w:asciiTheme="minorHAnsi" w:hAnsiTheme="minorHAnsi" w:cstheme="minorHAnsi"/>
                      <w:sz w:val="22"/>
                      <w:szCs w:val="22"/>
                    </w:rPr>
                    <w:t>tout coup et blessure porté sciemment par un élève à un autre élève ou à un membre du personnel de l’établissement ;</w:t>
                  </w:r>
                </w:p>
                <w:p w:rsidR="00F04EEF" w:rsidRDefault="0099351E">
                  <w:pPr>
                    <w:pStyle w:val="Corpsdetexte21"/>
                    <w:numPr>
                      <w:ilvl w:val="0"/>
                      <w:numId w:val="127"/>
                    </w:numPr>
                    <w:ind w:left="927"/>
                    <w:jc w:val="both"/>
                    <w:rPr>
                      <w:rFonts w:asciiTheme="minorHAnsi" w:hAnsiTheme="minorHAnsi" w:cstheme="minorHAnsi"/>
                      <w:sz w:val="22"/>
                      <w:szCs w:val="22"/>
                    </w:rPr>
                  </w:pPr>
                  <w:r>
                    <w:rPr>
                      <w:rFonts w:asciiTheme="minorHAnsi" w:hAnsiTheme="minorHAnsi" w:cstheme="minorHAnsi"/>
                      <w:sz w:val="22"/>
                      <w:szCs w:val="22"/>
                    </w:rPr>
                    <w:t>le fait d’exercer sciemment et de manière répétée sur un autre élève ou un membre du personnel de l’établissement une pression psychologique insupportable, par menaces, insultes, injures, calomnies ou diffamation ;</w:t>
                  </w:r>
                </w:p>
                <w:p w:rsidR="00F04EEF" w:rsidRDefault="0099351E">
                  <w:pPr>
                    <w:pStyle w:val="Corpsdetexte21"/>
                    <w:numPr>
                      <w:ilvl w:val="0"/>
                      <w:numId w:val="127"/>
                    </w:numPr>
                    <w:ind w:left="927"/>
                    <w:jc w:val="both"/>
                    <w:rPr>
                      <w:rFonts w:asciiTheme="minorHAnsi" w:hAnsiTheme="minorHAnsi" w:cstheme="minorHAnsi"/>
                      <w:sz w:val="22"/>
                      <w:szCs w:val="22"/>
                    </w:rPr>
                  </w:pPr>
                  <w:r>
                    <w:rPr>
                      <w:rFonts w:asciiTheme="minorHAnsi" w:hAnsiTheme="minorHAnsi" w:cstheme="minorHAnsi"/>
                      <w:sz w:val="22"/>
                      <w:szCs w:val="22"/>
                    </w:rPr>
                    <w:t>le racket à l’encontre d’un autre élève de l’établissement ;</w:t>
                  </w:r>
                </w:p>
                <w:p w:rsidR="00F04EEF" w:rsidRDefault="0099351E">
                  <w:pPr>
                    <w:pStyle w:val="Corpsdetexte21"/>
                    <w:numPr>
                      <w:ilvl w:val="0"/>
                      <w:numId w:val="127"/>
                    </w:numPr>
                    <w:ind w:left="927"/>
                    <w:jc w:val="both"/>
                    <w:rPr>
                      <w:rFonts w:asciiTheme="minorHAnsi" w:hAnsiTheme="minorHAnsi" w:cstheme="minorHAnsi"/>
                      <w:sz w:val="22"/>
                      <w:szCs w:val="22"/>
                    </w:rPr>
                  </w:pPr>
                  <w:r>
                    <w:rPr>
                      <w:rFonts w:asciiTheme="minorHAnsi" w:hAnsiTheme="minorHAnsi" w:cstheme="minorHAnsi"/>
                      <w:sz w:val="22"/>
                      <w:szCs w:val="22"/>
                    </w:rPr>
                    <w:t>tout acte de violence sexuelle à l’encontre d’un élève ou d’un membre du personnel de l’établissement ;</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numPr>
                      <w:ilvl w:val="0"/>
                      <w:numId w:val="110"/>
                    </w:numPr>
                    <w:tabs>
                      <w:tab w:val="clear" w:pos="720"/>
                    </w:tabs>
                    <w:ind w:left="0" w:firstLine="0"/>
                    <w:jc w:val="both"/>
                    <w:rPr>
                      <w:rFonts w:asciiTheme="minorHAnsi" w:hAnsiTheme="minorHAnsi" w:cstheme="minorHAnsi"/>
                      <w:sz w:val="22"/>
                      <w:szCs w:val="22"/>
                    </w:rPr>
                  </w:pPr>
                  <w:r>
                    <w:rPr>
                      <w:rFonts w:asciiTheme="minorHAnsi" w:hAnsiTheme="minorHAnsi" w:cstheme="minorHAnsi"/>
                      <w:sz w:val="22"/>
                      <w:szCs w:val="22"/>
                    </w:rPr>
                    <w:t>dans l’enceinte de l’établissement, sur le chemin de celui-ci ou dans le cadre d’activités scolaires organisées en dehors de l’enceinte de l’école :</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 la détention ou l’usage d’une arme.</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L’élève sanctionné et ses responsables légaux sont informés des missions</w:t>
                  </w:r>
                  <w:r>
                    <w:rPr>
                      <w:rStyle w:val="Appelnotedebasdep"/>
                      <w:rFonts w:asciiTheme="minorHAnsi" w:hAnsiTheme="minorHAnsi" w:cstheme="minorHAnsi"/>
                      <w:sz w:val="22"/>
                      <w:szCs w:val="22"/>
                    </w:rPr>
                    <w:footnoteReference w:id="62"/>
                  </w:r>
                  <w:r>
                    <w:rPr>
                      <w:rFonts w:asciiTheme="minorHAnsi" w:hAnsiTheme="minorHAnsi" w:cstheme="minorHAnsi"/>
                      <w:sz w:val="22"/>
                      <w:szCs w:val="22"/>
                    </w:rPr>
                    <w:t xml:space="preserve"> du centre psycho-médico-social, entre autres, dans le cadre d’une aide à la recherche d’un nouvel établissement.</w:t>
                  </w:r>
                </w:p>
                <w:p w:rsidR="00F04EEF" w:rsidRDefault="0099351E">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Le service compétent pour la réinscription de l’élève exclu peut, si les faits commis par l’élève le justifient, recommander la prise en charge de celui-ci, s’il est mineur, par un service d’accrochage scolaire. Si l’élève refuse cette prise en charge, il fera l’objet d’un signalement auprès du Conseiller de l’Aide à la Jeunesse. </w:t>
                  </w: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Sans préjudice de l’article 30 du </w:t>
                  </w:r>
                  <w:hyperlink r:id="rId32" w:history="1">
                    <w:r>
                      <w:rPr>
                        <w:rStyle w:val="Lienhypertexte"/>
                        <w:rFonts w:asciiTheme="minorHAnsi" w:hAnsiTheme="minorHAnsi" w:cstheme="minorHAnsi"/>
                        <w:sz w:val="22"/>
                        <w:szCs w:val="22"/>
                      </w:rPr>
                      <w:t>Code d’Instruction criminelle</w:t>
                    </w:r>
                  </w:hyperlink>
                  <w:r>
                    <w:rPr>
                      <w:rFonts w:asciiTheme="minorHAnsi" w:hAnsiTheme="minorHAnsi" w:cstheme="minorHAnsi"/>
                      <w:sz w:val="22"/>
                      <w:szCs w:val="22"/>
                    </w:rPr>
                    <w:t>, le chef d’établissement signale les faits visés à l’alinéa 1</w:t>
                  </w:r>
                  <w:r>
                    <w:rPr>
                      <w:rFonts w:asciiTheme="minorHAnsi" w:hAnsiTheme="minorHAnsi" w:cstheme="minorHAnsi"/>
                      <w:sz w:val="22"/>
                      <w:szCs w:val="22"/>
                      <w:vertAlign w:val="superscript"/>
                    </w:rPr>
                    <w:t>er</w:t>
                  </w:r>
                  <w:r>
                    <w:rPr>
                      <w:rFonts w:asciiTheme="minorHAnsi" w:hAnsiTheme="minorHAnsi" w:cstheme="minorHAnsi"/>
                      <w:sz w:val="22"/>
                      <w:szCs w:val="22"/>
                    </w:rPr>
                    <w:t>, en fonction de la gravité de ceux-ci, aux services de police et conseille la victime ou ses responsables légaux, s’il s’agit d’un élève mineur, sur les modalités de dépôt d’une plainte.</w:t>
                  </w:r>
                </w:p>
                <w:p w:rsidR="00F04EEF" w:rsidRDefault="00F04EEF">
                  <w:pPr>
                    <w:pStyle w:val="Corpsdetexte21"/>
                    <w:jc w:val="both"/>
                    <w:rPr>
                      <w:rFonts w:asciiTheme="minorHAnsi" w:hAnsiTheme="minorHAnsi" w:cstheme="minorHAnsi"/>
                      <w:sz w:val="22"/>
                      <w:szCs w:val="22"/>
                    </w:rPr>
                  </w:pPr>
                </w:p>
                <w:p w:rsidR="00F04EEF" w:rsidRDefault="0099351E">
                  <w:pPr>
                    <w:pStyle w:val="Titre7"/>
                    <w:rPr>
                      <w:rFonts w:cstheme="minorHAnsi"/>
                    </w:rPr>
                  </w:pPr>
                  <w:bookmarkStart w:id="684" w:name="_1.3.3.2.9._Signalement_des"/>
                  <w:bookmarkEnd w:id="684"/>
                  <w:r>
                    <w:rPr>
                      <w:rFonts w:cstheme="minorHAnsi"/>
                    </w:rPr>
                    <w:t>1.3.3.2.9. Signalement des faits de violence n’ayant pas mené à une exclusion</w:t>
                  </w:r>
                  <w:r>
                    <w:rPr>
                      <w:rFonts w:cstheme="minorHAnsi"/>
                      <w:vertAlign w:val="superscript"/>
                    </w:rPr>
                    <w:footnoteReference w:id="63"/>
                  </w:r>
                </w:p>
                <w:p w:rsidR="00F04EEF" w:rsidRDefault="00F04EEF">
                  <w:pPr>
                    <w:pStyle w:val="2"/>
                    <w:rPr>
                      <w:rFonts w:asciiTheme="minorHAnsi" w:hAnsiTheme="minorHAnsi" w:cstheme="minorHAnsi"/>
                      <w:sz w:val="22"/>
                      <w:szCs w:val="22"/>
                      <w:lang w:val="fr-BE"/>
                    </w:rPr>
                  </w:pPr>
                </w:p>
                <w:p w:rsidR="00F04EEF" w:rsidRDefault="0099351E">
                  <w:pPr>
                    <w:pStyle w:val="corpsdetexte210"/>
                    <w:spacing w:after="120"/>
                    <w:jc w:val="both"/>
                    <w:rPr>
                      <w:rFonts w:asciiTheme="minorHAnsi" w:hAnsiTheme="minorHAnsi" w:cstheme="minorHAnsi"/>
                      <w:sz w:val="22"/>
                      <w:szCs w:val="22"/>
                      <w:lang w:val="fr-BE"/>
                    </w:rPr>
                  </w:pPr>
                  <w:bookmarkStart w:id="685" w:name="_Toc291075526"/>
                  <w:bookmarkStart w:id="686" w:name="_Toc291075950"/>
                  <w:bookmarkStart w:id="687" w:name="_Toc291076374"/>
                  <w:bookmarkStart w:id="688" w:name="_Toc291076798"/>
                  <w:bookmarkStart w:id="689" w:name="_Toc291077222"/>
                  <w:bookmarkStart w:id="690" w:name="_Toc293652065"/>
                  <w:bookmarkStart w:id="691" w:name="_Toc293653647"/>
                  <w:bookmarkStart w:id="692" w:name="_Toc293654258"/>
                  <w:bookmarkStart w:id="693" w:name="_Toc294004838"/>
                  <w:bookmarkStart w:id="694" w:name="_Toc294185334"/>
                  <w:r>
                    <w:rPr>
                      <w:rFonts w:asciiTheme="minorHAnsi" w:hAnsiTheme="minorHAnsi" w:cstheme="minorHAnsi"/>
                      <w:sz w:val="22"/>
                      <w:szCs w:val="22"/>
                      <w:lang w:val="fr-BE"/>
                    </w:rPr>
                    <w:t>Un formulaire électronique</w:t>
                  </w:r>
                  <w:r>
                    <w:rPr>
                      <w:rStyle w:val="Appelnotedebasdep"/>
                      <w:rFonts w:asciiTheme="minorHAnsi" w:hAnsiTheme="minorHAnsi" w:cstheme="minorHAnsi"/>
                      <w:sz w:val="22"/>
                      <w:szCs w:val="22"/>
                    </w:rPr>
                    <w:footnoteReference w:id="64"/>
                  </w:r>
                  <w:r>
                    <w:rPr>
                      <w:rFonts w:asciiTheme="minorHAnsi" w:hAnsiTheme="minorHAnsi" w:cstheme="minorHAnsi"/>
                      <w:sz w:val="22"/>
                      <w:szCs w:val="22"/>
                      <w:lang w:val="fr-BE"/>
                    </w:rPr>
                    <w:t xml:space="preserve"> (FE) est destiné à signaler des faits de violence survenus à l’école et ses abords, n’ayant pas fait l’objet d’une exclusion.</w:t>
                  </w:r>
                </w:p>
                <w:p w:rsidR="00F04EEF" w:rsidRDefault="0099351E">
                  <w:pPr>
                    <w:jc w:val="both"/>
                    <w:rPr>
                      <w:rFonts w:cs="Arial"/>
                      <w:spacing w:val="-4"/>
                    </w:rPr>
                  </w:pPr>
                  <w:r>
                    <w:rPr>
                      <w:rFonts w:cs="Arial"/>
                      <w:spacing w:val="-4"/>
                    </w:rPr>
                    <w:t xml:space="preserve">Ce formulaire de signalement ainsi que le formulaire de signalement d’exclusion définitive constituent un moyen pour recueillir une partie d’information sur les problématiques de violence et de décrochage scolaire. Les données recueillies via ce formulaire seront traitées de manière anonymisée dans le cadre de l’Observatoire de la Violence en milieu scolaire </w:t>
                  </w:r>
                  <w:r>
                    <w:rPr>
                      <w:rStyle w:val="appelnotedebasdep10"/>
                      <w:rFonts w:cs="Arial"/>
                      <w:spacing w:val="-4"/>
                    </w:rPr>
                    <w:footnoteReference w:customMarkFollows="1" w:id="65"/>
                    <w:t xml:space="preserve">[1] </w:t>
                  </w:r>
                  <w:r>
                    <w:rPr>
                      <w:rFonts w:cs="Arial"/>
                      <w:spacing w:val="-4"/>
                    </w:rPr>
                    <w:t xml:space="preserve">et feront l’objet d’une réflexion et d’un retour auprès des chefs d’établissement. </w:t>
                  </w:r>
                </w:p>
                <w:p w:rsidR="00F04EEF" w:rsidRDefault="00F04EEF"/>
                <w:p w:rsidR="00F04EEF" w:rsidRDefault="0099351E">
                  <w:pPr>
                    <w:pStyle w:val="Titre4"/>
                  </w:pPr>
                  <w:bookmarkStart w:id="695" w:name="_Toc324767200"/>
                  <w:bookmarkStart w:id="696" w:name="_Toc412204080"/>
                  <w:bookmarkStart w:id="697" w:name="_Toc414352888"/>
                  <w:bookmarkStart w:id="698" w:name="_Toc453836911"/>
                  <w:r>
                    <w:t>1.4. Collaboration avec les services de police</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r>
                    <w:t xml:space="preserve"> </w:t>
                  </w:r>
                </w:p>
                <w:p w:rsidR="00F04EEF" w:rsidRDefault="00F04EEF">
                  <w:pPr>
                    <w:jc w:val="both"/>
                    <w:rPr>
                      <w:rFonts w:cs="Arial"/>
                    </w:rPr>
                  </w:pPr>
                </w:p>
                <w:p w:rsidR="00F04EEF" w:rsidRDefault="0099351E">
                  <w:pPr>
                    <w:jc w:val="both"/>
                    <w:rPr>
                      <w:rFonts w:cs="Arial"/>
                      <w:b/>
                    </w:rPr>
                  </w:pPr>
                  <w:r>
                    <w:rPr>
                      <w:rFonts w:cs="Arial"/>
                      <w:b/>
                    </w:rPr>
                    <w:t>Conçu pour l’enseignement organisé par la Fédération Wallonie-Bruxelles, ce point est inséré à titre informatif pour l’enseignement subventionné.</w:t>
                  </w:r>
                </w:p>
                <w:p w:rsidR="00F04EEF" w:rsidRDefault="00F04EEF">
                  <w:pPr>
                    <w:jc w:val="both"/>
                    <w:rPr>
                      <w:rFonts w:cs="Arial"/>
                      <w:b/>
                    </w:rPr>
                  </w:pPr>
                </w:p>
                <w:p w:rsidR="00F04EEF" w:rsidRDefault="0099351E">
                  <w:pPr>
                    <w:jc w:val="both"/>
                    <w:rPr>
                      <w:rFonts w:cs="Arial"/>
                    </w:rPr>
                  </w:pPr>
                  <w:r>
                    <w:rPr>
                      <w:rFonts w:cs="Arial"/>
                    </w:rPr>
                    <w:t>En juillet 2006, le Ministre de l’Intérieur publiait une circulaire relative à la collaboration de la police avec les établissements scolaires, ci-après dénommée circulaire PLP 41</w:t>
                  </w:r>
                  <w:r>
                    <w:rPr>
                      <w:rStyle w:val="Caractresdenotedebasdepage"/>
                      <w:rFonts w:cs="Arial"/>
                    </w:rPr>
                    <w:footnoteReference w:id="66"/>
                  </w:r>
                  <w:r>
                    <w:rPr>
                      <w:rFonts w:cs="Arial"/>
                    </w:rPr>
                    <w:t>.</w:t>
                  </w:r>
                </w:p>
                <w:p w:rsidR="00F04EEF" w:rsidRDefault="00F04EEF">
                  <w:pPr>
                    <w:jc w:val="both"/>
                    <w:rPr>
                      <w:rFonts w:cs="Arial"/>
                    </w:rPr>
                  </w:pPr>
                </w:p>
                <w:p w:rsidR="00F04EEF" w:rsidRDefault="0099351E">
                  <w:pPr>
                    <w:jc w:val="both"/>
                    <w:rPr>
                      <w:rFonts w:cs="Arial"/>
                    </w:rPr>
                  </w:pPr>
                  <w:r>
                    <w:rPr>
                      <w:rFonts w:cs="Arial"/>
                    </w:rPr>
                    <w:t>Cette circulaire définit un certain nombre d’objectifs et de moyens pour les atteindre, parmi lesquels la conclusion de conventions (protocoles de sécurité) entre différents intervenants dont les chefs d’établissement.</w:t>
                  </w:r>
                </w:p>
                <w:p w:rsidR="00F04EEF" w:rsidRDefault="00F04EEF">
                  <w:pPr>
                    <w:jc w:val="both"/>
                    <w:rPr>
                      <w:rFonts w:cs="Arial"/>
                    </w:rPr>
                  </w:pPr>
                </w:p>
                <w:p w:rsidR="00F04EEF" w:rsidRDefault="0099351E">
                  <w:pPr>
                    <w:jc w:val="both"/>
                    <w:rPr>
                      <w:rFonts w:cs="Arial"/>
                    </w:rPr>
                  </w:pPr>
                  <w:r>
                    <w:rPr>
                      <w:rFonts w:cs="Arial"/>
                    </w:rPr>
                    <w:t>L’objet de ce chapitre est de définir la procédure à suivre en vue de l’éventuelle conclusion d’une telle convention ainsi que les principes qui doivent la présider.</w:t>
                  </w:r>
                </w:p>
                <w:p w:rsidR="00F04EEF" w:rsidRDefault="00F04EEF"/>
                <w:p w:rsidR="00F04EEF" w:rsidRDefault="00F04EEF">
                  <w:pPr>
                    <w:pStyle w:val="Titre5"/>
                  </w:pPr>
                  <w:bookmarkStart w:id="699" w:name="_Toc291075527"/>
                  <w:bookmarkStart w:id="700" w:name="_Toc291075951"/>
                  <w:bookmarkStart w:id="701" w:name="_Toc291076375"/>
                  <w:bookmarkStart w:id="702" w:name="_Toc291076799"/>
                  <w:bookmarkStart w:id="703" w:name="_Toc291077223"/>
                  <w:bookmarkStart w:id="704" w:name="_Toc293652066"/>
                  <w:bookmarkStart w:id="705" w:name="_Toc293653648"/>
                  <w:bookmarkStart w:id="706" w:name="_Toc293654259"/>
                  <w:bookmarkStart w:id="707" w:name="_Toc294004839"/>
                  <w:bookmarkStart w:id="708" w:name="_Toc294185335"/>
                  <w:bookmarkStart w:id="709" w:name="_Toc324767201"/>
                  <w:bookmarkStart w:id="710" w:name="_Toc324768059"/>
                </w:p>
                <w:p w:rsidR="00F04EEF" w:rsidRDefault="0099351E">
                  <w:pPr>
                    <w:pStyle w:val="Titre5"/>
                  </w:pPr>
                  <w:r>
                    <w:t>1.4.1. Principes</w:t>
                  </w:r>
                  <w:bookmarkEnd w:id="699"/>
                  <w:bookmarkEnd w:id="700"/>
                  <w:bookmarkEnd w:id="701"/>
                  <w:bookmarkEnd w:id="702"/>
                  <w:bookmarkEnd w:id="703"/>
                  <w:bookmarkEnd w:id="704"/>
                  <w:bookmarkEnd w:id="705"/>
                  <w:bookmarkEnd w:id="706"/>
                  <w:bookmarkEnd w:id="707"/>
                  <w:bookmarkEnd w:id="708"/>
                  <w:bookmarkEnd w:id="709"/>
                  <w:bookmarkEnd w:id="710"/>
                </w:p>
                <w:p w:rsidR="00F04EEF" w:rsidRDefault="00F04EEF">
                  <w:bookmarkStart w:id="711" w:name="_Toc291075528"/>
                  <w:bookmarkStart w:id="712" w:name="_Toc291075952"/>
                  <w:bookmarkStart w:id="713" w:name="_Toc291076376"/>
                  <w:bookmarkStart w:id="714" w:name="_Toc291076800"/>
                  <w:bookmarkStart w:id="715" w:name="_Toc291077224"/>
                  <w:bookmarkStart w:id="716" w:name="_Toc293652067"/>
                  <w:bookmarkStart w:id="717" w:name="_Toc293653649"/>
                  <w:bookmarkStart w:id="718" w:name="_Toc293654260"/>
                  <w:bookmarkStart w:id="719" w:name="_Toc294004840"/>
                  <w:bookmarkStart w:id="720" w:name="_Toc294185336"/>
                  <w:bookmarkStart w:id="721" w:name="_Toc324767202"/>
                  <w:bookmarkStart w:id="722" w:name="_Toc324768060"/>
                </w:p>
                <w:p w:rsidR="00F04EEF" w:rsidRDefault="0099351E">
                  <w:pPr>
                    <w:pStyle w:val="Titre6"/>
                  </w:pPr>
                  <w:r>
                    <w:t>1.4.1.1. Contexte</w:t>
                  </w:r>
                  <w:bookmarkEnd w:id="711"/>
                  <w:bookmarkEnd w:id="712"/>
                  <w:bookmarkEnd w:id="713"/>
                  <w:bookmarkEnd w:id="714"/>
                  <w:bookmarkEnd w:id="715"/>
                  <w:bookmarkEnd w:id="716"/>
                  <w:bookmarkEnd w:id="717"/>
                  <w:bookmarkEnd w:id="718"/>
                  <w:bookmarkEnd w:id="719"/>
                  <w:bookmarkEnd w:id="720"/>
                  <w:bookmarkEnd w:id="721"/>
                  <w:bookmarkEnd w:id="722"/>
                </w:p>
                <w:p w:rsidR="00F04EEF" w:rsidRDefault="00F04EEF">
                  <w:pPr>
                    <w:jc w:val="both"/>
                    <w:rPr>
                      <w:rFonts w:cs="Arial"/>
                    </w:rPr>
                  </w:pPr>
                </w:p>
                <w:p w:rsidR="00F04EEF" w:rsidRDefault="0099351E">
                  <w:pPr>
                    <w:jc w:val="both"/>
                    <w:rPr>
                      <w:rFonts w:cs="Arial"/>
                    </w:rPr>
                  </w:pPr>
                  <w:r>
                    <w:rPr>
                      <w:rFonts w:cs="Arial"/>
                    </w:rPr>
                    <w:t>La circulaire PLP 41 s’appuie sur la notion de Community Policing</w:t>
                  </w:r>
                  <w:r>
                    <w:rPr>
                      <w:rStyle w:val="Caractresdenotedebasdepage"/>
                      <w:rFonts w:cs="Arial"/>
                    </w:rPr>
                    <w:footnoteReference w:id="67"/>
                  </w:r>
                  <w:r>
                    <w:rPr>
                      <w:rFonts w:cs="Arial"/>
                    </w:rPr>
                    <w:t xml:space="preserve"> et, dans ce cadre, prévoit le développement de partenariats avec la communauté scolaire.</w:t>
                  </w:r>
                </w:p>
                <w:p w:rsidR="00F04EEF" w:rsidRDefault="0099351E">
                  <w:pPr>
                    <w:jc w:val="both"/>
                    <w:rPr>
                      <w:rFonts w:cs="Arial"/>
                    </w:rPr>
                  </w:pPr>
                  <w:r>
                    <w:rPr>
                      <w:rFonts w:cs="Arial"/>
                    </w:rPr>
                    <w:t>Ces partenariats doivent se traduire par :</w:t>
                  </w:r>
                </w:p>
                <w:p w:rsidR="00F04EEF" w:rsidRDefault="0099351E">
                  <w:pPr>
                    <w:numPr>
                      <w:ilvl w:val="0"/>
                      <w:numId w:val="109"/>
                    </w:numPr>
                    <w:suppressAutoHyphens/>
                    <w:ind w:left="567"/>
                    <w:jc w:val="both"/>
                    <w:rPr>
                      <w:rFonts w:cs="Arial"/>
                    </w:rPr>
                  </w:pPr>
                  <w:r>
                    <w:rPr>
                      <w:rFonts w:cs="Arial"/>
                    </w:rPr>
                    <w:t>la définition, « </w:t>
                  </w:r>
                  <w:r>
                    <w:rPr>
                      <w:rFonts w:cs="Arial"/>
                      <w:i/>
                    </w:rPr>
                    <w:t>d’une manière claire et conviviale</w:t>
                  </w:r>
                  <w:r>
                    <w:rPr>
                      <w:rFonts w:cs="Arial"/>
                    </w:rPr>
                    <w:t> », de</w:t>
                  </w:r>
                  <w:r>
                    <w:rPr>
                      <w:rFonts w:cs="Arial"/>
                      <w:i/>
                    </w:rPr>
                    <w:t xml:space="preserve"> « procédures de renvoi et de collaboration entre les diverses communautés scolaires et la police</w:t>
                  </w:r>
                  <w:r>
                    <w:rPr>
                      <w:rFonts w:cs="Arial"/>
                    </w:rPr>
                    <w:t> »</w:t>
                  </w:r>
                </w:p>
                <w:p w:rsidR="00F04EEF" w:rsidRDefault="0099351E">
                  <w:pPr>
                    <w:numPr>
                      <w:ilvl w:val="0"/>
                      <w:numId w:val="109"/>
                    </w:numPr>
                    <w:suppressAutoHyphens/>
                    <w:ind w:left="567"/>
                    <w:jc w:val="both"/>
                    <w:rPr>
                      <w:rFonts w:cs="Arial"/>
                    </w:rPr>
                  </w:pPr>
                  <w:r>
                    <w:rPr>
                      <w:rFonts w:cs="Arial"/>
                    </w:rPr>
                    <w:t>l’établissement d’un « </w:t>
                  </w:r>
                  <w:r>
                    <w:rPr>
                      <w:rFonts w:cs="Arial"/>
                      <w:i/>
                    </w:rPr>
                    <w:t>point de contact permanent</w:t>
                  </w:r>
                  <w:r>
                    <w:rPr>
                      <w:rFonts w:cs="Arial"/>
                    </w:rPr>
                    <w:t> », chargé des relations avec lesdites communautés et de la conclusion d’accords portant sur différentes problématiques dont le traitement serait de nature à « </w:t>
                  </w:r>
                  <w:r>
                    <w:rPr>
                      <w:rFonts w:cs="Arial"/>
                      <w:i/>
                    </w:rPr>
                    <w:t>garantir un environnement scolaire sûr</w:t>
                  </w:r>
                  <w:r>
                    <w:rPr>
                      <w:rFonts w:cs="Arial"/>
                    </w:rPr>
                    <w:t> ».</w:t>
                  </w:r>
                </w:p>
                <w:p w:rsidR="00F04EEF" w:rsidRDefault="0099351E">
                  <w:pPr>
                    <w:ind w:left="567"/>
                    <w:jc w:val="both"/>
                    <w:rPr>
                      <w:rFonts w:cs="Arial"/>
                    </w:rPr>
                  </w:pPr>
                  <w:r>
                    <w:rPr>
                      <w:rFonts w:cs="Arial"/>
                    </w:rPr>
                    <w:t>En vertu de la circulaire PLP 41, ces accords doivent être formalisés dans des conventions écrites associant, dans l’état actuel des choses, établissements scolaires, police, procureur du Roi et bourgmestres compétents dans la zone de police concernée.</w:t>
                  </w:r>
                </w:p>
                <w:p w:rsidR="00F04EEF" w:rsidRDefault="00F04EEF">
                  <w:pPr>
                    <w:jc w:val="both"/>
                    <w:rPr>
                      <w:rFonts w:cs="Arial"/>
                    </w:rPr>
                  </w:pPr>
                </w:p>
                <w:p w:rsidR="00F04EEF" w:rsidRDefault="0099351E">
                  <w:pPr>
                    <w:jc w:val="both"/>
                    <w:rPr>
                      <w:rFonts w:cs="Arial"/>
                    </w:rPr>
                  </w:pPr>
                  <w:r>
                    <w:rPr>
                      <w:rFonts w:cs="Arial"/>
                    </w:rPr>
                    <w:t>Les points qui suivent sont destinés à fournir aux chefs d’établissement quelques balises qui devraient leur permettre de mener les négociations préalables à la conclusion de ces conventions.</w:t>
                  </w:r>
                </w:p>
                <w:p w:rsidR="00F04EEF" w:rsidRDefault="00F04EEF">
                  <w:pPr>
                    <w:jc w:val="both"/>
                    <w:rPr>
                      <w:rFonts w:cs="Arial"/>
                    </w:rPr>
                  </w:pPr>
                </w:p>
                <w:p w:rsidR="00F04EEF" w:rsidRDefault="0099351E">
                  <w:pPr>
                    <w:pStyle w:val="Titre6"/>
                  </w:pPr>
                  <w:bookmarkStart w:id="723" w:name="_Toc291075529"/>
                  <w:bookmarkStart w:id="724" w:name="_Toc291075953"/>
                  <w:bookmarkStart w:id="725" w:name="_Toc291076377"/>
                  <w:bookmarkStart w:id="726" w:name="_Toc291076801"/>
                  <w:bookmarkStart w:id="727" w:name="_Toc291077225"/>
                  <w:bookmarkStart w:id="728" w:name="_Toc293652068"/>
                  <w:bookmarkStart w:id="729" w:name="_Toc293653650"/>
                  <w:bookmarkStart w:id="730" w:name="_Toc293654261"/>
                  <w:bookmarkStart w:id="731" w:name="_Toc294004841"/>
                  <w:bookmarkStart w:id="732" w:name="_Toc294185337"/>
                  <w:bookmarkStart w:id="733" w:name="_Toc324767203"/>
                  <w:bookmarkStart w:id="734" w:name="_Toc324768061"/>
                  <w:r>
                    <w:t>1.4.1.2. Principe de base : la liberté de conclure ou de ne pas conclure</w:t>
                  </w:r>
                  <w:bookmarkEnd w:id="723"/>
                  <w:bookmarkEnd w:id="724"/>
                  <w:bookmarkEnd w:id="725"/>
                  <w:bookmarkEnd w:id="726"/>
                  <w:bookmarkEnd w:id="727"/>
                  <w:bookmarkEnd w:id="728"/>
                  <w:bookmarkEnd w:id="729"/>
                  <w:bookmarkEnd w:id="730"/>
                  <w:bookmarkEnd w:id="731"/>
                  <w:bookmarkEnd w:id="732"/>
                  <w:bookmarkEnd w:id="733"/>
                  <w:bookmarkEnd w:id="734"/>
                </w:p>
                <w:p w:rsidR="00F04EEF" w:rsidRDefault="00F04EEF">
                  <w:pPr>
                    <w:jc w:val="both"/>
                    <w:rPr>
                      <w:rFonts w:cs="Arial"/>
                    </w:rPr>
                  </w:pPr>
                </w:p>
                <w:p w:rsidR="00F04EEF" w:rsidRDefault="0099351E">
                  <w:pPr>
                    <w:jc w:val="both"/>
                    <w:rPr>
                      <w:rFonts w:cs="Arial"/>
                      <w:b/>
                      <w:bCs/>
                    </w:rPr>
                  </w:pPr>
                  <w:r>
                    <w:rPr>
                      <w:rFonts w:cs="Arial"/>
                      <w:b/>
                      <w:bCs/>
                    </w:rPr>
                    <w:t xml:space="preserve">Avant toute chose, l’opportunité de conclure ces conventions relève de l’appréciation du chef d’établissement. </w:t>
                  </w:r>
                </w:p>
                <w:p w:rsidR="00F04EEF" w:rsidRDefault="0099351E">
                  <w:pPr>
                    <w:jc w:val="both"/>
                    <w:rPr>
                      <w:rFonts w:cs="Arial"/>
                    </w:rPr>
                  </w:pPr>
                  <w:r>
                    <w:rPr>
                      <w:rFonts w:cs="Arial"/>
                    </w:rPr>
                    <w:t>Il s’agit d’apprécier ce que peut apporter la conclusion de la convention compte tenu du contexte dans lequel travaille l’établissement et des négociations préalables.</w:t>
                  </w:r>
                </w:p>
                <w:p w:rsidR="00F04EEF" w:rsidRDefault="0099351E">
                  <w:pPr>
                    <w:jc w:val="both"/>
                    <w:rPr>
                      <w:rFonts w:cs="Arial"/>
                    </w:rPr>
                  </w:pPr>
                  <w:r>
                    <w:rPr>
                      <w:rFonts w:cs="Arial"/>
                    </w:rPr>
                    <w:t xml:space="preserve">On notera que l’absence de convention n’exclut pas le recours au point de contact, ni des collaborations plus ponctuelles dans le cadre de campagnes de prévention. </w:t>
                  </w:r>
                </w:p>
                <w:p w:rsidR="00F04EEF" w:rsidRDefault="0099351E">
                  <w:pPr>
                    <w:jc w:val="both"/>
                    <w:rPr>
                      <w:rFonts w:cs="Arial"/>
                    </w:rPr>
                  </w:pPr>
                  <w:r>
                    <w:rPr>
                      <w:rFonts w:cs="Arial"/>
                    </w:rPr>
                    <w:t>Ces deux aspects – désignation d’un point de contact et politique préventive – sont en effet imposés aux zones de police par la circulaire PLP 41.</w:t>
                  </w:r>
                </w:p>
                <w:p w:rsidR="00F04EEF" w:rsidRDefault="00F04EEF">
                  <w:pPr>
                    <w:jc w:val="both"/>
                    <w:rPr>
                      <w:rFonts w:cs="Arial"/>
                    </w:rPr>
                  </w:pPr>
                </w:p>
                <w:p w:rsidR="00F04EEF" w:rsidRDefault="0099351E">
                  <w:pPr>
                    <w:pStyle w:val="Titre6"/>
                  </w:pPr>
                  <w:bookmarkStart w:id="735" w:name="_Toc291075530"/>
                  <w:bookmarkStart w:id="736" w:name="_Toc291075954"/>
                  <w:bookmarkStart w:id="737" w:name="_Toc291076378"/>
                  <w:bookmarkStart w:id="738" w:name="_Toc291076802"/>
                  <w:bookmarkStart w:id="739" w:name="_Toc291077226"/>
                  <w:bookmarkStart w:id="740" w:name="_Toc293652069"/>
                  <w:bookmarkStart w:id="741" w:name="_Toc293653651"/>
                  <w:bookmarkStart w:id="742" w:name="_Toc293654262"/>
                  <w:bookmarkStart w:id="743" w:name="_Toc294004842"/>
                  <w:bookmarkStart w:id="744" w:name="_Toc294185338"/>
                  <w:bookmarkStart w:id="745" w:name="_Toc324767204"/>
                  <w:bookmarkStart w:id="746" w:name="_Toc324768062"/>
                  <w:r>
                    <w:t>1.4.1.3. Le décrochage scolaire</w:t>
                  </w:r>
                  <w:bookmarkEnd w:id="735"/>
                  <w:bookmarkEnd w:id="736"/>
                  <w:bookmarkEnd w:id="737"/>
                  <w:bookmarkEnd w:id="738"/>
                  <w:bookmarkEnd w:id="739"/>
                  <w:bookmarkEnd w:id="740"/>
                  <w:bookmarkEnd w:id="741"/>
                  <w:bookmarkEnd w:id="742"/>
                  <w:bookmarkEnd w:id="743"/>
                  <w:bookmarkEnd w:id="744"/>
                  <w:bookmarkEnd w:id="745"/>
                  <w:bookmarkEnd w:id="746"/>
                </w:p>
                <w:p w:rsidR="00F04EEF" w:rsidRDefault="00F04EEF">
                  <w:pPr>
                    <w:jc w:val="both"/>
                    <w:rPr>
                      <w:rFonts w:cs="Arial"/>
                    </w:rPr>
                  </w:pPr>
                </w:p>
                <w:p w:rsidR="00F04EEF" w:rsidRDefault="0099351E">
                  <w:pPr>
                    <w:jc w:val="both"/>
                    <w:rPr>
                      <w:rFonts w:cs="Arial"/>
                    </w:rPr>
                  </w:pPr>
                  <w:r>
                    <w:rPr>
                      <w:rFonts w:cs="Arial"/>
                    </w:rPr>
                    <w:t xml:space="preserve">Tant la circulaire PLP 41 que les projets de convention examinés se </w:t>
                  </w:r>
                  <w:proofErr w:type="gramStart"/>
                  <w:r>
                    <w:rPr>
                      <w:rFonts w:cs="Arial"/>
                    </w:rPr>
                    <w:t>réfèrent</w:t>
                  </w:r>
                  <w:proofErr w:type="gramEnd"/>
                  <w:r>
                    <w:rPr>
                      <w:rFonts w:cs="Arial"/>
                    </w:rPr>
                    <w:t xml:space="preserve"> aux situations de décrochage ou d’absentéisme scolaire.</w:t>
                  </w:r>
                </w:p>
                <w:p w:rsidR="00F04EEF" w:rsidRDefault="0099351E">
                  <w:pPr>
                    <w:jc w:val="both"/>
                    <w:rPr>
                      <w:rFonts w:cs="Arial"/>
                    </w:rPr>
                  </w:pPr>
                  <w:r>
                    <w:rPr>
                      <w:rFonts w:cs="Arial"/>
                    </w:rPr>
                    <w:t>Ainsi que le rappelle la présente circulaire, la Fédération Wallonie-Bruxelles a élaboré une série de dispositifs destinés à faire face à cette problématique. Ces dispositifs s’inscrivent résolument dans une optique non répressive et s’organisent autour de l’intervention d’organismes de type social.</w:t>
                  </w:r>
                </w:p>
                <w:p w:rsidR="00F04EEF" w:rsidRDefault="0099351E">
                  <w:pPr>
                    <w:jc w:val="both"/>
                    <w:rPr>
                      <w:rFonts w:cs="Arial"/>
                    </w:rPr>
                  </w:pPr>
                  <w:r>
                    <w:rPr>
                      <w:rFonts w:cs="Arial"/>
                    </w:rPr>
                    <w:t>Les cas dans lesquels la police ou le procureur du Roi sont amenés à intervenir sont clairement définis.</w:t>
                  </w:r>
                </w:p>
                <w:p w:rsidR="00F04EEF" w:rsidRDefault="0099351E">
                  <w:pPr>
                    <w:jc w:val="both"/>
                    <w:rPr>
                      <w:rFonts w:cs="Arial"/>
                      <w:b/>
                      <w:bCs/>
                    </w:rPr>
                  </w:pPr>
                  <w:r>
                    <w:rPr>
                      <w:rFonts w:cs="Arial"/>
                      <w:b/>
                      <w:bCs/>
                    </w:rPr>
                    <w:t>La transmission de données individuelles et nominatives relatives à des élèves en décrochage scolaire est donc exclue et ne peut être prévue dans la convention.</w:t>
                  </w:r>
                </w:p>
                <w:p w:rsidR="00F04EEF" w:rsidRDefault="00F04EEF">
                  <w:pPr>
                    <w:jc w:val="both"/>
                    <w:rPr>
                      <w:rFonts w:cs="Arial"/>
                    </w:rPr>
                  </w:pPr>
                </w:p>
                <w:p w:rsidR="00F04EEF" w:rsidRDefault="0099351E">
                  <w:pPr>
                    <w:rPr>
                      <w:rFonts w:eastAsia="Times New Roman" w:cs="Arial"/>
                      <w:b/>
                      <w:szCs w:val="20"/>
                      <w:u w:val="single"/>
                      <w:lang w:eastAsia="ar-SA"/>
                    </w:rPr>
                  </w:pPr>
                  <w:bookmarkStart w:id="747" w:name="_Toc291075531"/>
                  <w:bookmarkStart w:id="748" w:name="_Toc291075955"/>
                  <w:bookmarkStart w:id="749" w:name="_Toc291076379"/>
                  <w:bookmarkStart w:id="750" w:name="_Toc291076803"/>
                  <w:bookmarkStart w:id="751" w:name="_Toc291077227"/>
                  <w:bookmarkStart w:id="752" w:name="_Toc293652070"/>
                  <w:bookmarkStart w:id="753" w:name="_Toc293653652"/>
                  <w:bookmarkStart w:id="754" w:name="_Toc293654263"/>
                  <w:bookmarkStart w:id="755" w:name="_Toc294004843"/>
                  <w:bookmarkStart w:id="756" w:name="_Toc294185339"/>
                  <w:bookmarkStart w:id="757" w:name="_Toc324767205"/>
                  <w:bookmarkStart w:id="758" w:name="_Toc324768063"/>
                  <w:r>
                    <w:br w:type="page"/>
                  </w:r>
                </w:p>
                <w:p w:rsidR="00F04EEF" w:rsidRDefault="0099351E">
                  <w:pPr>
                    <w:pStyle w:val="Titre6"/>
                  </w:pPr>
                  <w:r>
                    <w:t>1.4.1.4. Portée de la collaboration</w:t>
                  </w:r>
                  <w:bookmarkEnd w:id="747"/>
                  <w:bookmarkEnd w:id="748"/>
                  <w:bookmarkEnd w:id="749"/>
                  <w:bookmarkEnd w:id="750"/>
                  <w:bookmarkEnd w:id="751"/>
                  <w:bookmarkEnd w:id="752"/>
                  <w:bookmarkEnd w:id="753"/>
                  <w:bookmarkEnd w:id="754"/>
                  <w:bookmarkEnd w:id="755"/>
                  <w:bookmarkEnd w:id="756"/>
                  <w:bookmarkEnd w:id="757"/>
                  <w:bookmarkEnd w:id="758"/>
                </w:p>
                <w:p w:rsidR="00F04EEF" w:rsidRDefault="00F04EEF">
                  <w:pPr>
                    <w:jc w:val="both"/>
                    <w:rPr>
                      <w:rFonts w:cs="Arial"/>
                    </w:rPr>
                  </w:pPr>
                </w:p>
                <w:p w:rsidR="00F04EEF" w:rsidRDefault="0099351E">
                  <w:pPr>
                    <w:jc w:val="both"/>
                    <w:rPr>
                      <w:rFonts w:cs="Arial"/>
                    </w:rPr>
                  </w:pPr>
                  <w:r>
                    <w:rPr>
                      <w:rFonts w:cs="Arial"/>
                    </w:rPr>
                    <w:t>De manière générale, on peut distinguer les accords de collaboration portant sur des mesures générales de ceux portant sur des situations individuelles.</w:t>
                  </w:r>
                </w:p>
                <w:p w:rsidR="00F04EEF" w:rsidRDefault="00F04EEF">
                  <w:pPr>
                    <w:jc w:val="both"/>
                    <w:rPr>
                      <w:rFonts w:cs="Arial"/>
                    </w:rPr>
                  </w:pPr>
                </w:p>
                <w:p w:rsidR="00F04EEF" w:rsidRDefault="0099351E">
                  <w:pPr>
                    <w:jc w:val="both"/>
                    <w:rPr>
                      <w:rFonts w:cs="Arial"/>
                    </w:rPr>
                  </w:pPr>
                  <w:r>
                    <w:rPr>
                      <w:rFonts w:cs="Arial"/>
                    </w:rPr>
                    <w:t>Les accords peuvent en effet porter sur l’organisation de campagnes de sensibilisation, d’information ou de prévention dont les thèmes et les modalités seraient établis de commun accord, étant entendu que ce type d’intervention doit également pouvoir être organisé avec d’autres services.</w:t>
                  </w:r>
                </w:p>
                <w:p w:rsidR="00F04EEF" w:rsidRDefault="00F04EEF">
                  <w:pPr>
                    <w:jc w:val="both"/>
                    <w:rPr>
                      <w:rFonts w:cs="Arial"/>
                    </w:rPr>
                  </w:pPr>
                </w:p>
                <w:p w:rsidR="00F04EEF" w:rsidRDefault="0099351E">
                  <w:pPr>
                    <w:jc w:val="both"/>
                    <w:rPr>
                      <w:rFonts w:cs="Arial"/>
                    </w:rPr>
                  </w:pPr>
                  <w:r>
                    <w:rPr>
                      <w:rFonts w:cs="Arial"/>
                    </w:rPr>
                    <w:t>En ce qui concerne les situations individuelles, il faut rappeler que le Code d’instruction criminelle impose de toute façon la dénonciation de crimes ou délits dont on prendrait connaissance</w:t>
                  </w:r>
                  <w:r>
                    <w:rPr>
                      <w:rStyle w:val="Caractresdenotedebasdepage"/>
                      <w:rFonts w:cs="Arial"/>
                    </w:rPr>
                    <w:footnoteReference w:id="68"/>
                  </w:r>
                  <w:r>
                    <w:rPr>
                      <w:rFonts w:cs="Arial"/>
                    </w:rPr>
                    <w:t xml:space="preserve">. </w:t>
                  </w:r>
                </w:p>
                <w:p w:rsidR="00F04EEF" w:rsidRDefault="0099351E">
                  <w:pPr>
                    <w:jc w:val="both"/>
                    <w:rPr>
                      <w:rFonts w:cs="Arial"/>
                    </w:rPr>
                  </w:pPr>
                  <w:r>
                    <w:rPr>
                      <w:rFonts w:cs="Arial"/>
                    </w:rPr>
                    <w:t>Dans ce cadre, le chef d’établissement n’a pas à être amené à sortir de son rôle d’éducateur. Il n’est pas non plus tenu de mettre en cause sa responsabilité en dehors de ses obligations légales.</w:t>
                  </w:r>
                </w:p>
                <w:p w:rsidR="00F04EEF" w:rsidRDefault="00F04EEF">
                  <w:pPr>
                    <w:jc w:val="both"/>
                    <w:rPr>
                      <w:rFonts w:cs="Arial"/>
                    </w:rPr>
                  </w:pPr>
                </w:p>
                <w:p w:rsidR="00F04EEF" w:rsidRDefault="00F04EEF">
                  <w:pPr>
                    <w:jc w:val="both"/>
                    <w:rPr>
                      <w:rFonts w:cs="Arial"/>
                    </w:rPr>
                  </w:pPr>
                </w:p>
                <w:p w:rsidR="00F04EEF" w:rsidRDefault="0099351E">
                  <w:pPr>
                    <w:pStyle w:val="Titre5"/>
                  </w:pPr>
                  <w:bookmarkStart w:id="759" w:name="_Toc291075532"/>
                  <w:bookmarkStart w:id="760" w:name="_Toc291075956"/>
                  <w:bookmarkStart w:id="761" w:name="_Toc291076380"/>
                  <w:bookmarkStart w:id="762" w:name="_Toc291076804"/>
                  <w:bookmarkStart w:id="763" w:name="_Toc291077228"/>
                  <w:bookmarkStart w:id="764" w:name="_Toc293652071"/>
                  <w:bookmarkStart w:id="765" w:name="_Toc293653653"/>
                  <w:bookmarkStart w:id="766" w:name="_Toc293654264"/>
                  <w:bookmarkStart w:id="767" w:name="_Toc294004844"/>
                  <w:bookmarkStart w:id="768" w:name="_Toc294185340"/>
                  <w:bookmarkStart w:id="769" w:name="_Toc324767206"/>
                  <w:bookmarkStart w:id="770" w:name="_Toc324768064"/>
                  <w:r>
                    <w:t>1.4.2. Procédure</w:t>
                  </w:r>
                  <w:bookmarkEnd w:id="759"/>
                  <w:bookmarkEnd w:id="760"/>
                  <w:bookmarkEnd w:id="761"/>
                  <w:bookmarkEnd w:id="762"/>
                  <w:bookmarkEnd w:id="763"/>
                  <w:bookmarkEnd w:id="764"/>
                  <w:bookmarkEnd w:id="765"/>
                  <w:bookmarkEnd w:id="766"/>
                  <w:bookmarkEnd w:id="767"/>
                  <w:bookmarkEnd w:id="768"/>
                  <w:bookmarkEnd w:id="769"/>
                  <w:bookmarkEnd w:id="770"/>
                </w:p>
                <w:p w:rsidR="00F04EEF" w:rsidRDefault="00F04EEF">
                  <w:pPr>
                    <w:jc w:val="both"/>
                    <w:rPr>
                      <w:rFonts w:cs="Arial"/>
                    </w:rPr>
                  </w:pPr>
                </w:p>
                <w:p w:rsidR="00F04EEF" w:rsidRDefault="0099351E">
                  <w:pPr>
                    <w:jc w:val="both"/>
                    <w:rPr>
                      <w:rFonts w:cs="Arial"/>
                    </w:rPr>
                  </w:pPr>
                  <w:r>
                    <w:rPr>
                      <w:rFonts w:cs="Arial"/>
                    </w:rPr>
                    <w:t>Puisque la décision de conclure ou non une convention relève de l’appréciation du chef d’établissement, lorsque celui-ci estime une telle convention opportune, il doit motiver par écrit sa décision. Cette motivation permettra à la Direction générale et, le cas échéant, au Ministre compétent de mieux cerner le contexte dans lequel s’inscrit la convention.</w:t>
                  </w:r>
                </w:p>
                <w:p w:rsidR="00F04EEF" w:rsidRDefault="00F04EEF">
                  <w:pPr>
                    <w:jc w:val="both"/>
                    <w:rPr>
                      <w:rFonts w:cs="Arial"/>
                    </w:rPr>
                  </w:pPr>
                </w:p>
                <w:p w:rsidR="00F04EEF" w:rsidRDefault="0099351E">
                  <w:pPr>
                    <w:jc w:val="both"/>
                    <w:rPr>
                      <w:rFonts w:cs="Arial"/>
                    </w:rPr>
                  </w:pPr>
                  <w:r>
                    <w:rPr>
                      <w:rFonts w:cs="Arial"/>
                    </w:rPr>
                    <w:t>Lorsqu’il a mené à bien les négociations préalables, il communique, préalablement à la signature, le projet</w:t>
                  </w:r>
                  <w:r>
                    <w:rPr>
                      <w:rStyle w:val="Caractresdenotedebasdepage"/>
                      <w:rFonts w:cs="Arial"/>
                    </w:rPr>
                    <w:footnoteReference w:id="69"/>
                  </w:r>
                  <w:r>
                    <w:rPr>
                      <w:rFonts w:cs="Arial"/>
                    </w:rPr>
                    <w:t>, accompagné de sa motivation, à la Direction générale pour accord</w:t>
                  </w:r>
                  <w:r>
                    <w:rPr>
                      <w:rStyle w:val="Caractresdenotedebasdepage"/>
                      <w:rFonts w:cs="Arial"/>
                    </w:rPr>
                    <w:footnoteReference w:id="70"/>
                  </w:r>
                  <w:r>
                    <w:rPr>
                      <w:rFonts w:cs="Arial"/>
                    </w:rPr>
                    <w:t>.</w:t>
                  </w:r>
                </w:p>
                <w:p w:rsidR="00F04EEF" w:rsidRDefault="0099351E">
                  <w:pPr>
                    <w:jc w:val="both"/>
                    <w:rPr>
                      <w:rFonts w:cs="Arial"/>
                    </w:rPr>
                  </w:pPr>
                  <w:r>
                    <w:rPr>
                      <w:rFonts w:cs="Arial"/>
                    </w:rPr>
                    <w:t>En cas de désaccord portant sur un point essentiel de la convention, celle-ci sera transmise au Ministre qui a l’Enseignement obligatoire dans ses attributions qui tranchera.</w:t>
                  </w:r>
                </w:p>
                <w:p w:rsidR="00F04EEF" w:rsidRDefault="00F04EEF">
                  <w:pPr>
                    <w:jc w:val="both"/>
                    <w:rPr>
                      <w:rFonts w:cs="Arial"/>
                    </w:rPr>
                  </w:pPr>
                </w:p>
                <w:p w:rsidR="00F04EEF" w:rsidRDefault="0099351E">
                  <w:pPr>
                    <w:pStyle w:val="Titre4"/>
                    <w:rPr>
                      <w:rFonts w:ascii="Cambria" w:hAnsi="Cambria"/>
                    </w:rPr>
                  </w:pPr>
                  <w:bookmarkStart w:id="771" w:name="_Toc356216042"/>
                  <w:bookmarkStart w:id="772" w:name="_Toc412204081"/>
                  <w:bookmarkStart w:id="773" w:name="_Toc414352889"/>
                  <w:bookmarkStart w:id="774" w:name="_Toc453836912"/>
                  <w:r>
                    <w:rPr>
                      <w:rFonts w:ascii="Cambria" w:hAnsi="Cambria"/>
                    </w:rPr>
                    <w:t>1.5. Gratuité d’accès</w:t>
                  </w:r>
                  <w:r>
                    <w:rPr>
                      <w:rFonts w:ascii="Cambria" w:hAnsi="Cambria"/>
                      <w:color w:val="FF0000"/>
                    </w:rPr>
                    <w:t xml:space="preserve"> </w:t>
                  </w:r>
                  <w:r>
                    <w:rPr>
                      <w:rFonts w:ascii="Cambria" w:hAnsi="Cambria"/>
                    </w:rPr>
                    <w:t>à l’enseignement</w:t>
                  </w:r>
                  <w:bookmarkEnd w:id="771"/>
                  <w:r>
                    <w:rPr>
                      <w:rStyle w:val="Appelnotedebasdep"/>
                      <w:rFonts w:ascii="Cambria" w:hAnsi="Cambria"/>
                    </w:rPr>
                    <w:footnoteReference w:id="71"/>
                  </w:r>
                  <w:bookmarkEnd w:id="772"/>
                  <w:bookmarkEnd w:id="773"/>
                  <w:bookmarkEnd w:id="774"/>
                </w:p>
                <w:p w:rsidR="00F04EEF" w:rsidRDefault="00F04EEF"/>
                <w:p w:rsidR="00F04EEF" w:rsidRDefault="0099351E">
                  <w:pPr>
                    <w:pStyle w:val="Titre5"/>
                  </w:pPr>
                  <w:bookmarkStart w:id="775" w:name="_1.5.1._Règles_générales"/>
                  <w:bookmarkEnd w:id="775"/>
                  <w:r>
                    <w:t>1.5.1. Règles générales</w:t>
                  </w:r>
                </w:p>
                <w:p w:rsidR="00F04EEF" w:rsidRDefault="00F04EEF">
                  <w:pPr>
                    <w:jc w:val="both"/>
                  </w:pPr>
                </w:p>
                <w:p w:rsidR="00F04EEF" w:rsidRDefault="0099351E">
                  <w:pPr>
                    <w:jc w:val="both"/>
                    <w:rPr>
                      <w:rFonts w:cstheme="minorHAnsi"/>
                    </w:rPr>
                  </w:pPr>
                  <w:r>
                    <w:rPr>
                      <w:rFonts w:cstheme="minorHAnsi"/>
                    </w:rPr>
                    <w:t xml:space="preserve">L’accès à l’enseignement obligatoire est gratuit dans les établissements organisés ou subventionnés par la Fédération Wallonie-Bruxelles. </w:t>
                  </w:r>
                </w:p>
                <w:p w:rsidR="00F04EEF" w:rsidRDefault="00F04EEF">
                  <w:pPr>
                    <w:jc w:val="both"/>
                    <w:rPr>
                      <w:rFonts w:cstheme="minorHAnsi"/>
                    </w:rPr>
                  </w:pPr>
                </w:p>
                <w:p w:rsidR="00F04EEF" w:rsidRDefault="0099351E">
                  <w:pPr>
                    <w:jc w:val="both"/>
                  </w:pPr>
                  <w:r>
                    <w:t xml:space="preserve">Aucun </w:t>
                  </w:r>
                  <w:r>
                    <w:rPr>
                      <w:b/>
                    </w:rPr>
                    <w:t>minerval</w:t>
                  </w:r>
                  <w:r>
                    <w:rPr>
                      <w:rStyle w:val="Appelnotedebasdep"/>
                      <w:rFonts w:cstheme="minorHAnsi"/>
                    </w:rPr>
                    <w:footnoteReference w:id="72"/>
                  </w:r>
                  <w:r>
                    <w:t xml:space="preserve"> direct ou indirect ne peut être demandé préalablement, au moment et après l’inscription de tout élève. Cela signifie notamment qu’un établissement scolaire ne peut pas conditionner une inscription au versement d’une somme d’argent, que ce soit à l’établissement lui-même ou à tout autre organisme (ASBL, Amicale, Association de fait…). </w:t>
                  </w:r>
                </w:p>
                <w:p w:rsidR="00F04EEF" w:rsidRDefault="00F04EEF">
                  <w:pPr>
                    <w:jc w:val="both"/>
                  </w:pPr>
                </w:p>
                <w:p w:rsidR="00F04EEF" w:rsidRDefault="0099351E">
                  <w:pPr>
                    <w:jc w:val="both"/>
                  </w:pPr>
                  <w:r>
                    <w:t xml:space="preserve">Le </w:t>
                  </w:r>
                  <w:r>
                    <w:rPr>
                      <w:b/>
                    </w:rPr>
                    <w:t>non-paiement des frais</w:t>
                  </w:r>
                  <w:r>
                    <w:t xml:space="preserve"> ne peut en aucun cas constituer, pour l’élève, un motif de refus d’inscription ou d’exclusion définitive ou de toute autre sanction.</w:t>
                  </w:r>
                </w:p>
                <w:p w:rsidR="00F04EEF" w:rsidRDefault="0099351E">
                  <w:pPr>
                    <w:jc w:val="both"/>
                  </w:pPr>
                  <w:r>
                    <w:t>Les Pouvoirs organisateurs n’impliquent pas les élèves mineurs dans le processus de paiement et dans le dialogue qu’ils entretiennent avec les parents ou la personne investie de l’autorité parentale</w:t>
                  </w:r>
                  <w:r>
                    <w:rPr>
                      <w:rFonts w:ascii="Cambria" w:hAnsi="Cambria" w:cs="Calibri"/>
                    </w:rPr>
                    <w:t xml:space="preserve"> </w:t>
                  </w:r>
                  <w:r>
                    <w:t>à propos</w:t>
                  </w:r>
                  <w:r>
                    <w:rPr>
                      <w:rFonts w:ascii="Cambria" w:hAnsi="Cambria" w:cs="Calibri"/>
                    </w:rPr>
                    <w:t xml:space="preserve"> </w:t>
                  </w:r>
                  <w:r>
                    <w:t>des</w:t>
                  </w:r>
                  <w:r>
                    <w:rPr>
                      <w:rFonts w:ascii="Cambria" w:hAnsi="Cambria" w:cs="Calibri"/>
                    </w:rPr>
                    <w:t xml:space="preserve"> </w:t>
                  </w:r>
                  <w:r>
                    <w:t xml:space="preserve">frais scolaires et des décomptes périodiques. En ce sens, il appartient au Pouvoir organisateur ou à la Direction de l’école de fixer un mode de paiement qui permette d’éviter que de l’argent liquide ne transite par l’intermédiaire d’élèves mineurs (par exemple en privilégiant le paiement par virement bancaire). </w:t>
                  </w:r>
                </w:p>
                <w:p w:rsidR="00F04EEF" w:rsidRDefault="00F04EEF">
                  <w:pPr>
                    <w:jc w:val="both"/>
                    <w:rPr>
                      <w:rFonts w:cstheme="minorHAnsi"/>
                    </w:rPr>
                  </w:pPr>
                </w:p>
                <w:p w:rsidR="00F04EEF" w:rsidRDefault="0099351E">
                  <w:pPr>
                    <w:pStyle w:val="Titre5"/>
                  </w:pPr>
                  <w:r>
                    <w:t>1.5.2. Frais scolaires</w:t>
                  </w:r>
                </w:p>
                <w:p w:rsidR="00F04EEF" w:rsidRDefault="00F04EEF">
                  <w:pPr>
                    <w:pStyle w:val="Default"/>
                    <w:jc w:val="both"/>
                    <w:rPr>
                      <w:rFonts w:ascii="Cambria" w:hAnsi="Cambria"/>
                      <w:sz w:val="22"/>
                      <w:szCs w:val="22"/>
                    </w:rPr>
                  </w:pPr>
                </w:p>
                <w:p w:rsidR="00F04EEF" w:rsidRDefault="0099351E">
                  <w:pPr>
                    <w:pStyle w:val="Titre6"/>
                    <w:ind w:left="709" w:firstLine="992"/>
                    <w:rPr>
                      <w:szCs w:val="22"/>
                    </w:rPr>
                  </w:pPr>
                  <w:bookmarkStart w:id="776" w:name="_1.5.2.1._Définition"/>
                  <w:bookmarkEnd w:id="776"/>
                  <w:r>
                    <w:rPr>
                      <w:szCs w:val="22"/>
                    </w:rPr>
                    <w:t xml:space="preserve">1.5.2.1. Définition </w:t>
                  </w:r>
                </w:p>
                <w:p w:rsidR="00F04EEF" w:rsidRDefault="00F04EEF">
                  <w:pPr>
                    <w:jc w:val="both"/>
                  </w:pPr>
                </w:p>
                <w:p w:rsidR="00F04EEF" w:rsidRDefault="0099351E">
                  <w:pPr>
                    <w:jc w:val="both"/>
                  </w:pPr>
                  <w:r>
                    <w:t xml:space="preserve">Les </w:t>
                  </w:r>
                  <w:r>
                    <w:rPr>
                      <w:b/>
                    </w:rPr>
                    <w:t>frais scolaires</w:t>
                  </w:r>
                  <w:r>
                    <w:t xml:space="preserve"> sont définis comme étant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Pr>
                      <w:rStyle w:val="Appelnotedebasdep"/>
                      <w:rFonts w:cstheme="minorHAnsi"/>
                    </w:rPr>
                    <w:footnoteReference w:id="73"/>
                  </w:r>
                  <w:r>
                    <w:t>.</w:t>
                  </w:r>
                </w:p>
                <w:p w:rsidR="00F04EEF" w:rsidRDefault="00F04EEF">
                  <w:pPr>
                    <w:jc w:val="both"/>
                    <w:rPr>
                      <w:b/>
                      <w:u w:val="single"/>
                    </w:rPr>
                  </w:pPr>
                </w:p>
                <w:p w:rsidR="00F04EEF" w:rsidRDefault="0099351E">
                  <w:pPr>
                    <w:jc w:val="both"/>
                  </w:pPr>
                  <w:r>
                    <w:rPr>
                      <w:b/>
                    </w:rPr>
                    <w:t>Les frais extrascolaires</w:t>
                  </w:r>
                  <w:r>
                    <w:t xml:space="preserve">, recouvrent les frais liés aux services annexes proposés par l’école, c’est-à-dire les frais liés aux temps durant lesquels l’élève n’est pas tenu d’être présent. </w:t>
                  </w:r>
                </w:p>
                <w:p w:rsidR="00F04EEF" w:rsidRDefault="0099351E">
                  <w:pPr>
                    <w:jc w:val="both"/>
                  </w:pPr>
                  <w:r>
                    <w:t>Dès lors, le temps de midi, les garderies du matin et du soir ne constituent pas un temps scolaire. Par conséquent, le prescrit de l’article 100 du décret du 24 juillet 1997 « Missions » n’est pas applicable à ces périodes de la journée.</w:t>
                  </w:r>
                </w:p>
                <w:p w:rsidR="00F04EEF" w:rsidRDefault="00F04EEF">
                  <w:pPr>
                    <w:jc w:val="both"/>
                  </w:pPr>
                </w:p>
                <w:p w:rsidR="00F04EEF" w:rsidRDefault="0099351E">
                  <w:pPr>
                    <w:jc w:val="both"/>
                  </w:pPr>
                  <w:r>
                    <w:t xml:space="preserve">Pour les services proposés durant le temps de midi autres que la surveillance proprement dite, une participation des parents d’élèves aux frais peut être réclamée. Il peut ainsi notamment s’agir du bol de soupe distribué ou du repas servi aux élèves. </w:t>
                  </w:r>
                </w:p>
                <w:p w:rsidR="00F04EEF" w:rsidRDefault="00F04EEF">
                  <w:pPr>
                    <w:jc w:val="both"/>
                  </w:pPr>
                </w:p>
                <w:p w:rsidR="00F04EEF" w:rsidRDefault="0099351E">
                  <w:pPr>
                    <w:jc w:val="both"/>
                  </w:pPr>
                  <w:r>
                    <w:t>Enfin, le temps de midi étant un temps extrascolaire, un établissement scolaire ne peut pas imposer de manière absolue la présence des élèves à l’école durant le temps de midi et que les frais de surveillance/de garderie ne peuvent être imputés qu’aux élèves qui bénéficient de cet encadrement.</w:t>
                  </w:r>
                </w:p>
                <w:p w:rsidR="00F04EEF" w:rsidRDefault="00F04EEF">
                  <w:pPr>
                    <w:jc w:val="both"/>
                    <w:rPr>
                      <w:rFonts w:cstheme="minorHAnsi"/>
                      <w:b/>
                    </w:rPr>
                  </w:pPr>
                </w:p>
                <w:p w:rsidR="00F04EEF" w:rsidRDefault="0099351E">
                  <w:pPr>
                    <w:jc w:val="both"/>
                  </w:pPr>
                  <w:r>
                    <w:rPr>
                      <w:b/>
                    </w:rPr>
                    <w:t>Seuls les 5 types de frais suivants</w:t>
                  </w:r>
                  <w:r>
                    <w:t xml:space="preserve"> peuvent être demandés aux parents ou à la personne investie de l’autorité parentale :</w:t>
                  </w:r>
                </w:p>
                <w:p w:rsidR="00F04EEF" w:rsidRDefault="00F04EEF"/>
                <w:p w:rsidR="00F04EEF" w:rsidRDefault="0099351E">
                  <w:pPr>
                    <w:ind w:left="1417" w:hanging="708"/>
                  </w:pPr>
                  <w:r>
                    <w:t>-</w:t>
                  </w:r>
                  <w:r>
                    <w:tab/>
                    <w:t>les droits d'accès à la piscine ainsi que les déplacements qui y sont liés ;</w:t>
                  </w:r>
                </w:p>
                <w:p w:rsidR="00F04EEF" w:rsidRDefault="0099351E">
                  <w:pPr>
                    <w:ind w:left="1417" w:hanging="708"/>
                  </w:pPr>
                  <w:r>
                    <w:t>-</w:t>
                  </w:r>
                  <w:r>
                    <w:tab/>
                    <w:t xml:space="preserve">les </w:t>
                  </w:r>
                  <w:r>
                    <w:rPr>
                      <w:b/>
                    </w:rPr>
                    <w:t>droits d’accès aux activités culturelles et sportives</w:t>
                  </w:r>
                  <w:r>
                    <w:t xml:space="preserve"> s'inscrivant dans le projet pédagogique du pouvoir organisateur ou dans le projet d'établissement ainsi que les déplacements qui y sont liés, dans les limites des plafonds qui seront ultérieurement fixés par le Gouvernement ;</w:t>
                  </w:r>
                </w:p>
                <w:p w:rsidR="00F04EEF" w:rsidRDefault="0099351E">
                  <w:pPr>
                    <w:ind w:left="1417" w:hanging="708"/>
                  </w:pPr>
                  <w:r>
                    <w:t>-</w:t>
                  </w:r>
                  <w:r>
                    <w:tab/>
                    <w:t xml:space="preserve">les </w:t>
                  </w:r>
                  <w:r>
                    <w:rPr>
                      <w:b/>
                    </w:rPr>
                    <w:t>photocopies</w:t>
                  </w:r>
                  <w:r>
                    <w:t xml:space="preserve"> distribuées aux élèves; dans les limites du montant maximum fixé par le Gouvernement et du cout de celles-ci pour une année scolaire ;</w:t>
                  </w:r>
                </w:p>
                <w:p w:rsidR="00F04EEF" w:rsidRDefault="0099351E">
                  <w:pPr>
                    <w:ind w:firstLine="709"/>
                  </w:pPr>
                  <w:r>
                    <w:t>-</w:t>
                  </w:r>
                  <w:r>
                    <w:tab/>
                    <w:t xml:space="preserve">le </w:t>
                  </w:r>
                  <w:r>
                    <w:rPr>
                      <w:b/>
                    </w:rPr>
                    <w:t>prêt</w:t>
                  </w:r>
                  <w:r>
                    <w:t xml:space="preserve"> de livres scolaires, d'équipements personnels et d'outillage ;</w:t>
                  </w:r>
                </w:p>
                <w:p w:rsidR="00F04EEF" w:rsidRDefault="0099351E">
                  <w:pPr>
                    <w:ind w:left="1417" w:hanging="708"/>
                  </w:pPr>
                  <w:r>
                    <w:t>-</w:t>
                  </w:r>
                  <w:r>
                    <w:tab/>
                    <w:t xml:space="preserve">les </w:t>
                  </w:r>
                  <w:r>
                    <w:rPr>
                      <w:b/>
                    </w:rPr>
                    <w:t>frais liés aux séjours pédagogiques avec nuitée(s),</w:t>
                  </w:r>
                  <w:r>
                    <w:t xml:space="preserve"> organisés par l’école et s'inscrivant dans le projet pédagogique du pouvoir organisateur ou dans le projet d'établissement ainsi que les déplacements qui y sont liés, dans les limites des plafonds qui seront ultérieurement fixés par le Gouvernement.</w:t>
                  </w:r>
                </w:p>
                <w:p w:rsidR="00F04EEF" w:rsidRDefault="00F04EEF">
                  <w:pPr>
                    <w:rPr>
                      <w:rFonts w:cstheme="minorHAnsi"/>
                      <w:bCs/>
                    </w:rPr>
                  </w:pPr>
                </w:p>
                <w:p w:rsidR="00F04EEF" w:rsidRDefault="0099351E">
                  <w:r>
                    <w:t xml:space="preserve">Les frais scolaires autorisés visés ci-dessus ne peuvent en aucun cas être cumulés en vue d’un paiement forfaitaire et unique. Ils sont imputés à des services précis et effectivement organisés. </w:t>
                  </w:r>
                </w:p>
                <w:p w:rsidR="00F04EEF" w:rsidRDefault="00F04EEF">
                  <w:pPr>
                    <w:jc w:val="both"/>
                  </w:pPr>
                </w:p>
                <w:p w:rsidR="00F04EEF" w:rsidRDefault="0099351E">
                  <w:pPr>
                    <w:jc w:val="both"/>
                  </w:pPr>
                  <w:r>
                    <w:t>Aucun fournisseur ou marque de fournitures scolaires, de tenues vestimentaires ou sportives usuelles ne peut être imposé aux parents ou à la personne investie de l’autorité parentale.</w:t>
                  </w:r>
                </w:p>
                <w:p w:rsidR="00F04EEF" w:rsidRDefault="00F04EEF">
                  <w:pPr>
                    <w:jc w:val="both"/>
                  </w:pPr>
                </w:p>
                <w:p w:rsidR="00F04EEF" w:rsidRDefault="0099351E">
                  <w:pPr>
                    <w:jc w:val="both"/>
                  </w:pPr>
                  <w:r>
                    <w:t xml:space="preserve">Aucun droit ou frais, direct ou indirect, ne peut non plus être demandé à la personne investie de l'autorité parentale pour la délivrance de </w:t>
                  </w:r>
                  <w:r>
                    <w:rPr>
                      <w:b/>
                    </w:rPr>
                    <w:t>diplômes</w:t>
                  </w:r>
                  <w:r>
                    <w:t xml:space="preserve">, </w:t>
                  </w:r>
                  <w:r>
                    <w:rPr>
                      <w:b/>
                    </w:rPr>
                    <w:t>certificats d'enseignement</w:t>
                  </w:r>
                  <w:r>
                    <w:t xml:space="preserve"> et </w:t>
                  </w:r>
                  <w:r>
                    <w:rPr>
                      <w:b/>
                    </w:rPr>
                    <w:t>bulletins scolaires</w:t>
                  </w:r>
                  <w:r>
                    <w:t>.</w:t>
                  </w:r>
                </w:p>
                <w:p w:rsidR="00F04EEF" w:rsidRDefault="00F04EEF">
                  <w:pPr>
                    <w:jc w:val="both"/>
                    <w:rPr>
                      <w:rFonts w:cstheme="minorHAnsi"/>
                      <w:bCs/>
                    </w:rPr>
                  </w:pPr>
                </w:p>
                <w:p w:rsidR="00F04EEF" w:rsidRDefault="0099351E">
                  <w:pPr>
                    <w:rPr>
                      <w:b/>
                    </w:rPr>
                  </w:pPr>
                  <w:r>
                    <w:rPr>
                      <w:b/>
                      <w:noProof/>
                      <w:lang w:eastAsia="fr-BE"/>
                    </w:rPr>
                    <mc:AlternateContent>
                      <mc:Choice Requires="wps">
                        <w:drawing>
                          <wp:anchor distT="0" distB="0" distL="114300" distR="114300" simplePos="0" relativeHeight="252404736" behindDoc="0" locked="0" layoutInCell="1" allowOverlap="1">
                            <wp:simplePos x="0" y="0"/>
                            <wp:positionH relativeFrom="column">
                              <wp:posOffset>6011999</wp:posOffset>
                            </wp:positionH>
                            <wp:positionV relativeFrom="paragraph">
                              <wp:posOffset>183424</wp:posOffset>
                            </wp:positionV>
                            <wp:extent cx="0" cy="174172"/>
                            <wp:effectExtent l="0" t="0" r="19050" b="35560"/>
                            <wp:wrapNone/>
                            <wp:docPr id="5542" name="Connecteur droit 5542"/>
                            <wp:cNvGraphicFramePr/>
                            <a:graphic xmlns:a="http://schemas.openxmlformats.org/drawingml/2006/main">
                              <a:graphicData uri="http://schemas.microsoft.com/office/word/2010/wordprocessingShape">
                                <wps:wsp>
                                  <wps:cNvCnPr/>
                                  <wps:spPr>
                                    <a:xfrm>
                                      <a:off x="0" y="0"/>
                                      <a:ext cx="0" cy="1741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C37ACD" id="Connecteur droit 5542" o:spid="_x0000_s1026" style="position:absolute;z-index:252404736;visibility:visible;mso-wrap-style:square;mso-wrap-distance-left:9pt;mso-wrap-distance-top:0;mso-wrap-distance-right:9pt;mso-wrap-distance-bottom:0;mso-position-horizontal:absolute;mso-position-horizontal-relative:text;mso-position-vertical:absolute;mso-position-vertical-relative:text" from="473.4pt,14.45pt" to="473.4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" strokecolor="black [3213]"/>
                        </w:pict>
                      </mc:Fallback>
                    </mc:AlternateContent>
                  </w:r>
                  <w:r>
                    <w:rPr>
                      <w:b/>
                    </w:rPr>
                    <w:t xml:space="preserve">En résumé, tous frais scolaires autres que ceux repris précédemment sont interdits et ne peuvent donc être imposés à la personne investie de l’autorité parentale ou à l’élève majeur. </w:t>
                  </w:r>
                </w:p>
                <w:p w:rsidR="00F04EEF" w:rsidRDefault="00F04EEF">
                  <w:pPr>
                    <w:rPr>
                      <w:b/>
                    </w:rPr>
                  </w:pPr>
                </w:p>
                <w:p w:rsidR="00F04EEF" w:rsidRDefault="00F04EEF">
                  <w:pPr>
                    <w:rPr>
                      <w:b/>
                    </w:rPr>
                  </w:pPr>
                </w:p>
                <w:p w:rsidR="00F04EEF" w:rsidRDefault="0099351E">
                  <w:pPr>
                    <w:pStyle w:val="Titre6"/>
                    <w:rPr>
                      <w:szCs w:val="22"/>
                    </w:rPr>
                  </w:pPr>
                  <w:r>
                    <w:rPr>
                      <w:szCs w:val="22"/>
                    </w:rPr>
                    <w:t>1.5.2.2. Frais autorisés à caractère facultatif</w:t>
                  </w:r>
                </w:p>
                <w:p w:rsidR="00F04EEF" w:rsidRDefault="00F04EEF"/>
                <w:p w:rsidR="00F04EEF" w:rsidRDefault="0099351E">
                  <w:r>
                    <w:t xml:space="preserve">Dans l’enseignement secondaire, les frais scolaires suivants peuvent être proposés aux personnes investies de l’autorité parentale ou à l’élève majeur pour autant que le </w:t>
                  </w:r>
                  <w:r>
                    <w:rPr>
                      <w:b/>
                    </w:rPr>
                    <w:t>caractère facultatif</w:t>
                  </w:r>
                  <w:r>
                    <w:t xml:space="preserve"> ait été explicitement été porté à leur connaissance : </w:t>
                  </w:r>
                </w:p>
                <w:p w:rsidR="00F04EEF" w:rsidRDefault="0099351E">
                  <w:pPr>
                    <w:ind w:left="1417" w:hanging="708"/>
                  </w:pPr>
                  <w:r>
                    <w:t xml:space="preserve">- </w:t>
                  </w:r>
                  <w:r>
                    <w:tab/>
                    <w:t>les achats groupés : en prévision de la rentrée scolaire, il est intéressant de proposer un achat groupé de ressources pédagogiques de fournitures scolaires ou autres afin de bénéficier de prix avantageux et de s’assurer de ce que chaque élève dispose de ressources similaires, conformes aux priorités pédagogiques convenues par l’équipe éducative et complémentaires d’une année à l’autre ;</w:t>
                  </w:r>
                </w:p>
                <w:p w:rsidR="00F04EEF" w:rsidRDefault="0099351E">
                  <w:pPr>
                    <w:ind w:left="1417" w:hanging="708"/>
                  </w:pPr>
                  <w:r>
                    <w:t>-</w:t>
                  </w:r>
                  <w:r>
                    <w:tab/>
                    <w:t>les frais de participation à des activités facultatives : l’activité qui n’est pas obligatoire doit être organisée en dehors du temps de cours ;</w:t>
                  </w:r>
                </w:p>
                <w:p w:rsidR="00F04EEF" w:rsidRDefault="0099351E">
                  <w:pPr>
                    <w:ind w:left="1417" w:hanging="708"/>
                  </w:pPr>
                  <w:r>
                    <w:t>-</w:t>
                  </w:r>
                  <w:r>
                    <w:tab/>
                    <w:t>les abonnements à des revues : un abonnement à une revue éducative peut être très utile aux apprentissages, mais son usage en classe doit s’organiser selon les modalités prévues au dernier alinéa.</w:t>
                  </w:r>
                </w:p>
                <w:p w:rsidR="00F04EEF" w:rsidRDefault="00F04EEF">
                  <w:pPr>
                    <w:rPr>
                      <w:rFonts w:cstheme="minorHAnsi"/>
                    </w:rPr>
                  </w:pPr>
                </w:p>
                <w:p w:rsidR="00F04EEF" w:rsidRDefault="0099351E">
                  <w:pPr>
                    <w:rPr>
                      <w:rFonts w:cstheme="minorHAnsi"/>
                      <w:bCs/>
                    </w:rPr>
                  </w:pPr>
                  <w:r>
                    <w:rPr>
                      <w:rFonts w:cstheme="minorHAnsi"/>
                    </w:rPr>
                    <w:t xml:space="preserve">Ils sont </w:t>
                  </w:r>
                  <w:r>
                    <w:rPr>
                      <w:rFonts w:cstheme="minorHAnsi"/>
                      <w:b/>
                    </w:rPr>
                    <w:t>proposés</w:t>
                  </w:r>
                  <w:r>
                    <w:rPr>
                      <w:rFonts w:cstheme="minorHAnsi"/>
                    </w:rPr>
                    <w:t xml:space="preserve"> à leur coût réel pour autant qu'ils soient liés au projet pédagogique.</w:t>
                  </w:r>
                  <w:r>
                    <w:rPr>
                      <w:rFonts w:cstheme="minorHAnsi"/>
                      <w:bCs/>
                    </w:rPr>
                    <w:t xml:space="preserve"> </w:t>
                  </w:r>
                </w:p>
                <w:p w:rsidR="00F04EEF" w:rsidRDefault="00F04EEF">
                  <w:pPr>
                    <w:rPr>
                      <w:rFonts w:eastAsia="Times New Roman" w:cstheme="minorHAnsi"/>
                      <w:b/>
                      <w:u w:val="single"/>
                      <w:lang w:eastAsia="ar-SA"/>
                    </w:rPr>
                  </w:pPr>
                  <w:bookmarkStart w:id="777" w:name="_1.5.2.2._Frais_que"/>
                  <w:bookmarkEnd w:id="777"/>
                </w:p>
                <w:p w:rsidR="00F04EEF" w:rsidRDefault="0099351E">
                  <w:pPr>
                    <w:jc w:val="both"/>
                    <w:rPr>
                      <w:rFonts w:eastAsia="Times New Roman" w:cstheme="minorHAnsi"/>
                      <w:lang w:eastAsia="ar-SA"/>
                    </w:rPr>
                  </w:pPr>
                  <w:r>
                    <w:rPr>
                      <w:rFonts w:eastAsia="Times New Roman" w:cstheme="minorHAnsi"/>
                      <w:lang w:eastAsia="ar-SA"/>
                    </w:rPr>
                    <w:t>Nous insistons particulièrement pour que l’équipe pédagogique soit attentive à limiter ses dépenses, à ne relayer que celles qui ont un objectif éducatif et à les présenter clairement aux parents comme des dépenses tout à fait facultatives. Lorsqu’un manuel scolaire ou un cahier d’exercices pré imprimé est proposé dans un achat groupé facultatif ou lorsqu’une revue faisant l’objet d’un abonnement sert de support pédagogique lors d’un cours, l’école est tenue de mettre le support concerné à disposition des élèves dont les parents n’y ont pas souscrit (mise à disposition gratuite ou payante via un système de prêt ou location)</w:t>
                  </w:r>
                </w:p>
                <w:p w:rsidR="00F04EEF" w:rsidRDefault="00F04EEF">
                  <w:pPr>
                    <w:rPr>
                      <w:rFonts w:eastAsia="Times New Roman" w:cstheme="minorHAnsi"/>
                      <w:b/>
                      <w:u w:val="single"/>
                      <w:lang w:eastAsia="ar-SA"/>
                    </w:rPr>
                  </w:pPr>
                </w:p>
                <w:p w:rsidR="00F04EEF" w:rsidRDefault="0099351E">
                  <w:pPr>
                    <w:pStyle w:val="Titre5"/>
                    <w:rPr>
                      <w:rFonts w:cstheme="minorHAnsi"/>
                    </w:rPr>
                  </w:pPr>
                  <w:bookmarkStart w:id="778" w:name="_1.5.3._Informations_aux"/>
                  <w:bookmarkEnd w:id="778"/>
                  <w:r>
                    <w:rPr>
                      <w:rFonts w:cstheme="minorHAnsi"/>
                    </w:rPr>
                    <w:t>1.5.3. Informations aux parents</w:t>
                  </w:r>
                </w:p>
                <w:p w:rsidR="00F04EEF" w:rsidRDefault="00F04EEF">
                  <w:pPr>
                    <w:jc w:val="both"/>
                  </w:pPr>
                </w:p>
                <w:p w:rsidR="00F04EEF" w:rsidRDefault="0099351E">
                  <w:pPr>
                    <w:jc w:val="both"/>
                  </w:pPr>
                  <w:r>
                    <w:rPr>
                      <w:noProof/>
                      <w:lang w:eastAsia="fr-BE"/>
                    </w:rPr>
                    <mc:AlternateContent>
                      <mc:Choice Requires="wps">
                        <w:drawing>
                          <wp:anchor distT="0" distB="0" distL="114300" distR="114300" simplePos="0" relativeHeight="252405760" behindDoc="0" locked="0" layoutInCell="1" allowOverlap="1">
                            <wp:simplePos x="0" y="0"/>
                            <wp:positionH relativeFrom="column">
                              <wp:posOffset>6224270</wp:posOffset>
                            </wp:positionH>
                            <wp:positionV relativeFrom="paragraph">
                              <wp:posOffset>441234</wp:posOffset>
                            </wp:positionV>
                            <wp:extent cx="0" cy="342900"/>
                            <wp:effectExtent l="0" t="0" r="19050" b="19050"/>
                            <wp:wrapNone/>
                            <wp:docPr id="5543" name="Connecteur droit 5543"/>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3FAA33" id="Connecteur droit 5543" o:spid="_x0000_s1026" style="position:absolute;z-index:252405760;visibility:visible;mso-wrap-style:square;mso-wrap-distance-left:9pt;mso-wrap-distance-top:0;mso-wrap-distance-right:9pt;mso-wrap-distance-bottom:0;mso-position-horizontal:absolute;mso-position-horizontal-relative:text;mso-position-vertical:absolute;mso-position-vertical-relative:text" from="490.1pt,34.75pt" to="490.1pt,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" strokecolor="black [3213]"/>
                        </w:pict>
                      </mc:Fallback>
                    </mc:AlternateContent>
                  </w:r>
                  <w:r>
                    <w:t xml:space="preserve">Depuis septembre 2019, la </w:t>
                  </w:r>
                  <w:r>
                    <w:rPr>
                      <w:b/>
                    </w:rPr>
                    <w:t>référence légale et le texte intégral de l’article 100</w:t>
                  </w:r>
                  <w:r>
                    <w:t xml:space="preserve"> du décret du </w:t>
                  </w:r>
                  <w:hyperlink r:id="rId33" w:history="1">
                    <w:r>
                      <w:rPr>
                        <w:rStyle w:val="Lienhypertexte"/>
                        <w:rFonts w:cstheme="minorHAnsi"/>
                      </w:rPr>
                      <w:t>24 juillet 1997</w:t>
                    </w:r>
                  </w:hyperlink>
                  <w:r>
                    <w:t xml:space="preserve"> définissant les missions prioritaires de l’enseignement fondamental et de l’enseignement secondaire et organisant les structures propres à les atteindre doivent être reproduites dans le</w:t>
                  </w:r>
                  <w:r>
                    <w:rPr>
                      <w:b/>
                    </w:rPr>
                    <w:t xml:space="preserve"> règlement d’ordre intérieur </w:t>
                  </w:r>
                  <w:r>
                    <w:t xml:space="preserve">de chaque école ainsi que sur </w:t>
                  </w:r>
                  <w:r>
                    <w:rPr>
                      <w:b/>
                    </w:rPr>
                    <w:t>l’estimation</w:t>
                  </w:r>
                  <w:r>
                    <w:t xml:space="preserve"> des frais réclamés et les </w:t>
                  </w:r>
                  <w:r>
                    <w:rPr>
                      <w:b/>
                    </w:rPr>
                    <w:t>décomptes périodiques</w:t>
                  </w:r>
                  <w:r>
                    <w:t xml:space="preserve"> (par exemple au verso). </w:t>
                  </w:r>
                </w:p>
                <w:p w:rsidR="00F04EEF" w:rsidRDefault="00F04EEF">
                  <w:pPr>
                    <w:jc w:val="both"/>
                    <w:rPr>
                      <w:rFonts w:cstheme="minorHAnsi"/>
                      <w:b/>
                      <w:u w:val="single"/>
                    </w:rPr>
                  </w:pPr>
                </w:p>
                <w:p w:rsidR="00F04EEF" w:rsidRDefault="0099351E">
                  <w:pPr>
                    <w:jc w:val="both"/>
                    <w:rPr>
                      <w:b/>
                    </w:rPr>
                  </w:pPr>
                  <w:r>
                    <w:rPr>
                      <w:b/>
                    </w:rPr>
                    <w:t xml:space="preserve">Conformément à l’article 76 du Décret missions du 24 juillet 1997, « avant de prendre l’inscription d’un élève, le chef de l’établissement porte à sa connaissance ainsi qu’à celle de ses parents ou de la personne investie de l’autorité parentale s’il est mineur, les documents suivants : (…) </w:t>
                  </w:r>
                  <w:r>
                    <w:rPr>
                      <w:b/>
                      <w:u w:val="single"/>
                    </w:rPr>
                    <w:t>un document informatif relatif à la gratuité d’accès à l’enseignement</w:t>
                  </w:r>
                  <w:r>
                    <w:rPr>
                      <w:b/>
                    </w:rPr>
                    <w:t xml:space="preserve"> établi et mis à disposition des écoles par le service du gouvernement ».</w:t>
                  </w:r>
                </w:p>
                <w:p w:rsidR="00F04EEF" w:rsidRDefault="00F04EEF">
                  <w:pPr>
                    <w:jc w:val="both"/>
                    <w:rPr>
                      <w:b/>
                    </w:rPr>
                  </w:pPr>
                </w:p>
                <w:p w:rsidR="00F04EEF" w:rsidRDefault="0099351E">
                  <w:pPr>
                    <w:jc w:val="both"/>
                    <w:rPr>
                      <w:b/>
                    </w:rPr>
                  </w:pPr>
                  <w:r>
                    <w:rPr>
                      <w:b/>
                    </w:rPr>
                    <w:t xml:space="preserve">Ce document, à distribuer aux parents ou à la personne investie de l’autorité parentale, est disponible en </w:t>
                  </w:r>
                  <w:hyperlink w:history="1">
                    <w:r>
                      <w:rPr>
                        <w:rStyle w:val="Lienhypertexte"/>
                        <w:rFonts w:cstheme="minorHAnsi"/>
                        <w:b/>
                      </w:rPr>
                      <w:t>Annexe 21</w:t>
                    </w:r>
                  </w:hyperlink>
                  <w:r>
                    <w:rPr>
                      <w:b/>
                    </w:rPr>
                    <w:t xml:space="preserve"> et sur le site </w:t>
                  </w:r>
                  <w:hyperlink r:id="rId34" w:history="1">
                    <w:r>
                      <w:rPr>
                        <w:rStyle w:val="Lienhypertexte"/>
                        <w:rFonts w:cstheme="minorHAnsi"/>
                        <w:b/>
                      </w:rPr>
                      <w:t>www.enseignement.be</w:t>
                    </w:r>
                  </w:hyperlink>
                  <w:r>
                    <w:rPr>
                      <w:b/>
                    </w:rPr>
                    <w:t xml:space="preserve"> </w:t>
                  </w:r>
                </w:p>
                <w:p w:rsidR="00F04EEF" w:rsidRDefault="00F04EEF"/>
                <w:p w:rsidR="00F04EEF" w:rsidRDefault="0099351E">
                  <w:pPr>
                    <w:pStyle w:val="Titre6"/>
                    <w:rPr>
                      <w:szCs w:val="22"/>
                    </w:rPr>
                  </w:pPr>
                  <w:r>
                    <w:rPr>
                      <w:szCs w:val="22"/>
                    </w:rPr>
                    <w:t>1.5.3.1. Estimation et ventilation des frais</w:t>
                  </w:r>
                </w:p>
                <w:p w:rsidR="00F04EEF" w:rsidRDefault="00F04EEF">
                  <w:pPr>
                    <w:jc w:val="both"/>
                  </w:pPr>
                </w:p>
                <w:p w:rsidR="00F04EEF" w:rsidRDefault="0099351E">
                  <w:pPr>
                    <w:jc w:val="both"/>
                  </w:pPr>
                  <w:r>
                    <w:t xml:space="preserve">Avant le début de l’année scolaire ou au moment de l’inscription de l’élève, chaque école est tenue de fournir aux parents ou à l’élève majeur, une </w:t>
                  </w:r>
                  <w:r>
                    <w:rPr>
                      <w:bCs/>
                    </w:rPr>
                    <w:t xml:space="preserve">estimation du montant des frais réclamés </w:t>
                  </w:r>
                  <w:r>
                    <w:t xml:space="preserve">et de </w:t>
                  </w:r>
                  <w:r>
                    <w:rPr>
                      <w:bCs/>
                    </w:rPr>
                    <w:t>leur ventilation</w:t>
                  </w:r>
                  <w:r>
                    <w:t xml:space="preserve">. Cette information, </w:t>
                  </w:r>
                  <w:r>
                    <w:rPr>
                      <w:bCs/>
                    </w:rPr>
                    <w:t xml:space="preserve">par écrit, </w:t>
                  </w:r>
                  <w:r>
                    <w:t>doit renseigner un montant unique par rubrique qui se rapproche le plus possible de ce que sera la dépense réelle.</w:t>
                  </w:r>
                </w:p>
                <w:p w:rsidR="00F04EEF" w:rsidRDefault="00F04EEF">
                  <w:pPr>
                    <w:rPr>
                      <w:rFonts w:cstheme="minorHAnsi"/>
                    </w:rPr>
                  </w:pPr>
                </w:p>
                <w:p w:rsidR="00F04EEF" w:rsidRDefault="0099351E">
                  <w:pPr>
                    <w:pStyle w:val="Titre6"/>
                    <w:rPr>
                      <w:rFonts w:cstheme="minorHAnsi"/>
                      <w:szCs w:val="22"/>
                    </w:rPr>
                  </w:pPr>
                  <w:r>
                    <w:rPr>
                      <w:rFonts w:cstheme="minorHAnsi"/>
                      <w:szCs w:val="22"/>
                    </w:rPr>
                    <w:t>1.5.3.2. Décomptes périodiques </w:t>
                  </w:r>
                </w:p>
                <w:p w:rsidR="00F04EEF" w:rsidRDefault="00F04EEF">
                  <w:pPr>
                    <w:rPr>
                      <w:rFonts w:cstheme="minorHAnsi"/>
                    </w:rPr>
                  </w:pPr>
                </w:p>
                <w:p w:rsidR="00F04EEF" w:rsidRDefault="0099351E">
                  <w:pPr>
                    <w:jc w:val="both"/>
                  </w:pPr>
                  <w:r>
                    <w:t xml:space="preserve">Les décomptes périodiques sont transmis aux responsables légaux ou à l’élève majeur selon une périodicité choisie par le pouvoir organisateur. Ceux-ci peuvent couvrir une période allant d’un mois à quatre mois. </w:t>
                  </w:r>
                </w:p>
                <w:p w:rsidR="00F04EEF" w:rsidRDefault="0099351E">
                  <w:pPr>
                    <w:jc w:val="both"/>
                  </w:pPr>
                  <w:r>
                    <w:t>Ces décomptes détaillent au minimum pour chacun des élèves l’ensemble des frais qui sont dus à l’établissement à savoir leurs montants, leurs objets et leur caractère obligatoire ou facultatif. Ces documents mentionnent en outre les modalités et les éventuelles facilités de paiement. Dès que le montant excède cinquante euros, les pouvoirs organisateurs, à la demande des parents, doivent prévoir la possibilité d’un échelonnement sur plusieurs décomptes périodiques. Seuls les frais renseignés sur les décomptes périodiques peuvent  être réclamés.</w:t>
                  </w:r>
                </w:p>
                <w:p w:rsidR="00F04EEF" w:rsidRDefault="00F04EEF">
                  <w:pPr>
                    <w:jc w:val="both"/>
                    <w:rPr>
                      <w:color w:val="000000"/>
                    </w:rPr>
                  </w:pPr>
                </w:p>
                <w:p w:rsidR="00F04EEF" w:rsidRDefault="0099351E">
                  <w:pPr>
                    <w:pStyle w:val="Titre5"/>
                    <w:rPr>
                      <w:rFonts w:cstheme="minorHAnsi"/>
                    </w:rPr>
                  </w:pPr>
                  <w:r>
                    <w:rPr>
                      <w:rFonts w:cstheme="minorHAnsi"/>
                    </w:rPr>
                    <w:t>1.5.4. En cas de non-paiement : le recouvrement des frais impayés</w:t>
                  </w:r>
                </w:p>
                <w:p w:rsidR="00F04EEF" w:rsidRDefault="00F04EEF">
                  <w:pPr>
                    <w:pStyle w:val="Default"/>
                    <w:ind w:right="-113"/>
                    <w:jc w:val="both"/>
                    <w:rPr>
                      <w:rFonts w:asciiTheme="minorHAnsi" w:hAnsiTheme="minorHAnsi" w:cstheme="minorHAnsi"/>
                      <w:sz w:val="22"/>
                      <w:szCs w:val="22"/>
                      <w:lang w:val="fr-BE"/>
                    </w:rPr>
                  </w:pPr>
                </w:p>
                <w:p w:rsidR="00F04EEF" w:rsidRDefault="0099351E">
                  <w:pPr>
                    <w:pStyle w:val="Default"/>
                    <w:ind w:right="-113"/>
                    <w:jc w:val="both"/>
                    <w:rPr>
                      <w:rFonts w:asciiTheme="minorHAnsi" w:hAnsiTheme="minorHAnsi" w:cstheme="minorHAnsi"/>
                      <w:sz w:val="22"/>
                      <w:szCs w:val="22"/>
                    </w:rPr>
                  </w:pPr>
                  <w:r>
                    <w:rPr>
                      <w:rFonts w:asciiTheme="minorHAnsi" w:hAnsiTheme="minorHAnsi" w:cstheme="minorHAnsi"/>
                      <w:sz w:val="22"/>
                      <w:szCs w:val="22"/>
                    </w:rPr>
                    <w:t>Si un établissement scolaire est confronté à des difficultés de recouvrement de frais dus par des parents d’élèves, il convient d’abord de prendre le temps et l’espace d’un dialogue avec la famille pour comprendre l’ensemble du problème et tenter de trouver des solutions avec ou sans l’intervention de tiers.</w:t>
                  </w:r>
                </w:p>
                <w:p w:rsidR="00F04EEF" w:rsidRDefault="00F04EEF">
                  <w:pPr>
                    <w:pStyle w:val="Default"/>
                    <w:ind w:right="-113"/>
                    <w:jc w:val="both"/>
                    <w:rPr>
                      <w:rFonts w:asciiTheme="minorHAnsi" w:hAnsiTheme="minorHAnsi" w:cstheme="minorHAnsi"/>
                      <w:sz w:val="22"/>
                      <w:szCs w:val="22"/>
                    </w:rPr>
                  </w:pPr>
                </w:p>
                <w:p w:rsidR="00F04EEF" w:rsidRDefault="0099351E">
                  <w:pPr>
                    <w:pStyle w:val="Default"/>
                    <w:ind w:right="-113"/>
                    <w:jc w:val="both"/>
                    <w:rPr>
                      <w:rFonts w:asciiTheme="minorHAnsi" w:hAnsiTheme="minorHAnsi" w:cstheme="minorHAnsi"/>
                      <w:sz w:val="22"/>
                      <w:szCs w:val="22"/>
                    </w:rPr>
                  </w:pPr>
                  <w:r>
                    <w:rPr>
                      <w:rFonts w:asciiTheme="minorHAnsi" w:hAnsiTheme="minorHAnsi" w:cstheme="minorHAnsi"/>
                      <w:sz w:val="22"/>
                      <w:szCs w:val="22"/>
                    </w:rPr>
                    <w:t xml:space="preserve">Si malgré les tentatives de dialogue et de médiation, des parents refusaient de payer les frais réclamés, les voies légales de recouvrement sont évidemment ouvertes. </w:t>
                  </w:r>
                </w:p>
                <w:p w:rsidR="00F04EEF" w:rsidRDefault="00F04EEF">
                  <w:pPr>
                    <w:pStyle w:val="Default"/>
                    <w:ind w:right="-113"/>
                    <w:jc w:val="both"/>
                    <w:rPr>
                      <w:rFonts w:asciiTheme="minorHAnsi" w:hAnsiTheme="minorHAnsi" w:cstheme="minorHAnsi"/>
                      <w:sz w:val="22"/>
                      <w:szCs w:val="22"/>
                    </w:rPr>
                  </w:pPr>
                </w:p>
                <w:p w:rsidR="00F04EEF" w:rsidRDefault="0099351E">
                  <w:pPr>
                    <w:pStyle w:val="Default"/>
                    <w:ind w:right="-113"/>
                    <w:jc w:val="both"/>
                    <w:rPr>
                      <w:rFonts w:asciiTheme="minorHAnsi" w:hAnsiTheme="minorHAnsi" w:cstheme="minorHAnsi"/>
                      <w:sz w:val="22"/>
                      <w:szCs w:val="22"/>
                    </w:rPr>
                  </w:pPr>
                  <w:r>
                    <w:rPr>
                      <w:rFonts w:asciiTheme="minorHAnsi" w:hAnsiTheme="minorHAnsi" w:cstheme="minorHAnsi"/>
                      <w:sz w:val="22"/>
                      <w:szCs w:val="22"/>
                    </w:rPr>
                    <w:t xml:space="preserve">Les établissements de l’enseignement organisés par la Fédération Wallonie-Bruxelles peuvent recourir aux procédures prévues par la </w:t>
                  </w:r>
                  <w:hyperlink r:id="rId35" w:history="1">
                    <w:r>
                      <w:rPr>
                        <w:rStyle w:val="Lienhypertexte"/>
                        <w:rFonts w:asciiTheme="minorHAnsi" w:hAnsiTheme="minorHAnsi" w:cstheme="minorHAnsi"/>
                        <w:sz w:val="22"/>
                        <w:szCs w:val="22"/>
                      </w:rPr>
                      <w:t>circulaire n°426 du 29 novembre 2002</w:t>
                    </w:r>
                  </w:hyperlink>
                  <w:r>
                    <w:rPr>
                      <w:rFonts w:asciiTheme="minorHAnsi" w:hAnsiTheme="minorHAnsi" w:cstheme="minorHAnsi"/>
                      <w:sz w:val="22"/>
                      <w:szCs w:val="22"/>
                    </w:rPr>
                    <w:t xml:space="preserve">. </w:t>
                  </w:r>
                </w:p>
                <w:p w:rsidR="00F04EEF" w:rsidRDefault="00F04EEF">
                  <w:pPr>
                    <w:pStyle w:val="Default"/>
                    <w:ind w:right="-113"/>
                    <w:jc w:val="both"/>
                    <w:rPr>
                      <w:rFonts w:asciiTheme="minorHAnsi" w:hAnsiTheme="minorHAnsi" w:cstheme="minorHAnsi"/>
                      <w:sz w:val="22"/>
                      <w:szCs w:val="22"/>
                    </w:rPr>
                  </w:pPr>
                </w:p>
                <w:p w:rsidR="00F04EEF" w:rsidRDefault="0099351E">
                  <w:pPr>
                    <w:pStyle w:val="Default"/>
                    <w:ind w:right="-113"/>
                    <w:jc w:val="both"/>
                    <w:rPr>
                      <w:rFonts w:asciiTheme="minorHAnsi" w:hAnsiTheme="minorHAnsi" w:cstheme="minorHAnsi"/>
                      <w:sz w:val="22"/>
                      <w:szCs w:val="22"/>
                    </w:rPr>
                  </w:pPr>
                  <w:r>
                    <w:rPr>
                      <w:rFonts w:asciiTheme="minorHAnsi" w:hAnsiTheme="minorHAnsi" w:cstheme="minorHAnsi"/>
                      <w:sz w:val="22"/>
                      <w:szCs w:val="22"/>
                    </w:rPr>
                    <w:t>Les pouvoirs organisateurs de l’enseignement subventionné par la Fédération Wallonie-Bruxelles sont quant à eux susceptibles d’utiliser toutes les voies de droit qu’ils estimeraient utiles pour obtenir le recouvrement des sommes dues.</w:t>
                  </w:r>
                </w:p>
                <w:p w:rsidR="00F04EEF" w:rsidRDefault="00F04EEF">
                  <w:pPr>
                    <w:rPr>
                      <w:rFonts w:cstheme="minorHAnsi"/>
                    </w:rPr>
                  </w:pPr>
                </w:p>
                <w:p w:rsidR="00F04EEF" w:rsidRDefault="00F04EEF">
                  <w:pPr>
                    <w:rPr>
                      <w:rFonts w:cstheme="minorHAnsi"/>
                    </w:rPr>
                  </w:pPr>
                </w:p>
                <w:p w:rsidR="00F04EEF" w:rsidRDefault="0099351E">
                  <w:pPr>
                    <w:pStyle w:val="Titre5"/>
                    <w:rPr>
                      <w:rFonts w:cstheme="minorHAnsi"/>
                    </w:rPr>
                  </w:pPr>
                  <w:r>
                    <w:rPr>
                      <w:rFonts w:cstheme="minorHAnsi"/>
                    </w:rPr>
                    <w:t xml:space="preserve">1.5.5. Contrôle du respect de la réglementation </w:t>
                  </w:r>
                </w:p>
                <w:p w:rsidR="00F04EEF" w:rsidRDefault="00F04EEF">
                  <w:pPr>
                    <w:rPr>
                      <w:rFonts w:cstheme="minorHAnsi"/>
                    </w:rPr>
                  </w:pPr>
                </w:p>
                <w:p w:rsidR="00F04EEF" w:rsidRDefault="0099351E">
                  <w:pPr>
                    <w:jc w:val="both"/>
                  </w:pPr>
                  <w:r>
                    <w:t>Si le non-respect de la règlementation en vigueur est constaté soit lors d’un contrôle</w:t>
                  </w:r>
                  <w:r>
                    <w:rPr>
                      <w:rStyle w:val="Appelnotedebasdep"/>
                      <w:rFonts w:cstheme="minorHAnsi"/>
                      <w:bCs/>
                    </w:rPr>
                    <w:footnoteReference w:id="74"/>
                  </w:r>
                  <w:r>
                    <w:t>, soit dans le cadre d’une plainte, le Gouvernement peut prononcer une des sanctions suivantes :</w:t>
                  </w:r>
                </w:p>
                <w:p w:rsidR="00F04EEF" w:rsidRDefault="0099351E">
                  <w:pPr>
                    <w:ind w:firstLine="709"/>
                    <w:jc w:val="both"/>
                  </w:pPr>
                  <w:proofErr w:type="gramStart"/>
                  <w:r>
                    <w:t>un</w:t>
                  </w:r>
                  <w:proofErr w:type="gramEnd"/>
                  <w:r>
                    <w:t xml:space="preserve"> avertissement ;</w:t>
                  </w:r>
                </w:p>
                <w:p w:rsidR="00F04EEF" w:rsidRDefault="0099351E">
                  <w:pPr>
                    <w:ind w:firstLine="709"/>
                    <w:jc w:val="both"/>
                  </w:pPr>
                  <w:proofErr w:type="gramStart"/>
                  <w:r>
                    <w:t>une</w:t>
                  </w:r>
                  <w:proofErr w:type="gramEnd"/>
                  <w:r>
                    <w:t xml:space="preserve"> amende dont le montant ne peut être inférieur à 250 euros ni excéder 2500 euros ;</w:t>
                  </w:r>
                </w:p>
                <w:p w:rsidR="00F04EEF" w:rsidRDefault="0099351E">
                  <w:pPr>
                    <w:ind w:left="709"/>
                    <w:jc w:val="both"/>
                  </w:pPr>
                  <w:proofErr w:type="gramStart"/>
                  <w:r>
                    <w:t>en</w:t>
                  </w:r>
                  <w:proofErr w:type="gramEnd"/>
                  <w:r>
                    <w:t xml:space="preserve"> cas de récidive dans un délai de cinq ans, le retrait pour l'année scolaire en cours, de la totalité des dotations ou des subventions de fonctionnement de l'école en cause.</w:t>
                  </w:r>
                </w:p>
                <w:p w:rsidR="00F04EEF" w:rsidRDefault="00F04EEF">
                  <w:pPr>
                    <w:jc w:val="both"/>
                  </w:pPr>
                </w:p>
                <w:p w:rsidR="00F04EEF" w:rsidRDefault="0099351E">
                  <w:pPr>
                    <w:jc w:val="both"/>
                    <w:rPr>
                      <w:b/>
                      <w:u w:val="single"/>
                    </w:rPr>
                  </w:pPr>
                  <w:r>
                    <w:t>Le pouvoir organisateur se verra également contraint de rembourser intégralement les montants trop perçus.</w:t>
                  </w:r>
                </w:p>
                <w:p w:rsidR="00F04EEF" w:rsidRDefault="00F04EEF">
                  <w:pPr>
                    <w:pStyle w:val="Default"/>
                    <w:ind w:right="-113"/>
                    <w:jc w:val="both"/>
                    <w:rPr>
                      <w:rFonts w:asciiTheme="minorHAnsi" w:hAnsiTheme="minorHAnsi" w:cstheme="minorHAnsi"/>
                      <w:sz w:val="22"/>
                      <w:szCs w:val="22"/>
                      <w:lang w:val="fr-BE"/>
                    </w:rPr>
                  </w:pPr>
                </w:p>
                <w:p w:rsidR="00F04EEF" w:rsidRDefault="0099351E">
                  <w:pPr>
                    <w:pStyle w:val="Titre6"/>
                    <w:rPr>
                      <w:szCs w:val="22"/>
                    </w:rPr>
                  </w:pPr>
                  <w:r>
                    <w:rPr>
                      <w:szCs w:val="22"/>
                    </w:rPr>
                    <w:t>1.5.5.1. Conseil de participation </w:t>
                  </w:r>
                </w:p>
                <w:p w:rsidR="00F04EEF" w:rsidRDefault="00F04EEF"/>
                <w:p w:rsidR="00F04EEF" w:rsidRDefault="0099351E">
                  <w:pPr>
                    <w:jc w:val="both"/>
                  </w:pPr>
                  <w:r>
                    <w:t>Chaque établissement est tenu de mettre en place un Conseil de participation</w:t>
                  </w:r>
                  <w:r>
                    <w:rPr>
                      <w:rStyle w:val="Appelnotedebasdep"/>
                      <w:rFonts w:cstheme="minorHAnsi"/>
                      <w:bCs/>
                    </w:rPr>
                    <w:footnoteReference w:id="75"/>
                  </w:r>
                  <w:r>
                    <w:t xml:space="preserve"> dont plusieurs missions sont en lien avec la gratuité d’accès à l’enseignement : </w:t>
                  </w:r>
                </w:p>
                <w:p w:rsidR="00F04EEF" w:rsidRDefault="0099351E">
                  <w:pPr>
                    <w:ind w:firstLine="709"/>
                  </w:pPr>
                  <w:proofErr w:type="gramStart"/>
                  <w:r>
                    <w:t>mener</w:t>
                  </w:r>
                  <w:proofErr w:type="gramEnd"/>
                  <w:r>
                    <w:t xml:space="preserve"> </w:t>
                  </w:r>
                  <w:r>
                    <w:rPr>
                      <w:lang w:val="fr-FR" w:eastAsia="fr-BE"/>
                    </w:rPr>
                    <w:t xml:space="preserve">une </w:t>
                  </w:r>
                  <w:r>
                    <w:rPr>
                      <w:u w:val="single"/>
                      <w:lang w:val="fr-FR" w:eastAsia="fr-BE"/>
                    </w:rPr>
                    <w:t>réflexion globale</w:t>
                  </w:r>
                  <w:r>
                    <w:rPr>
                      <w:lang w:val="fr-FR" w:eastAsia="fr-BE"/>
                    </w:rPr>
                    <w:t xml:space="preserve"> sur les frais réclamés en cours d'année ; </w:t>
                  </w:r>
                </w:p>
                <w:p w:rsidR="00F04EEF" w:rsidRDefault="0099351E">
                  <w:pPr>
                    <w:ind w:left="709"/>
                    <w:rPr>
                      <w:lang w:val="fr-FR" w:eastAsia="fr-BE"/>
                    </w:rPr>
                  </w:pPr>
                  <w:proofErr w:type="gramStart"/>
                  <w:r>
                    <w:rPr>
                      <w:lang w:val="fr-FR" w:eastAsia="fr-BE"/>
                    </w:rPr>
                    <w:t>étudier</w:t>
                  </w:r>
                  <w:proofErr w:type="gramEnd"/>
                  <w:r>
                    <w:rPr>
                      <w:lang w:val="fr-FR" w:eastAsia="fr-BE"/>
                    </w:rPr>
                    <w:t xml:space="preserve"> et proposer la mise en place d'un </w:t>
                  </w:r>
                  <w:r>
                    <w:rPr>
                      <w:u w:val="single"/>
                      <w:lang w:val="fr-FR" w:eastAsia="fr-BE"/>
                    </w:rPr>
                    <w:t>mécanisme de solidarité</w:t>
                  </w:r>
                  <w:r>
                    <w:rPr>
                      <w:lang w:val="fr-FR" w:eastAsia="fr-BE"/>
                    </w:rPr>
                    <w:t xml:space="preserve"> entre les élèves pour le paiement des frais à charge de la personne investie de l’autorité parentale ou de l’élève majeur ;</w:t>
                  </w:r>
                </w:p>
                <w:p w:rsidR="00F04EEF" w:rsidRDefault="0099351E">
                  <w:pPr>
                    <w:ind w:left="709"/>
                  </w:pPr>
                  <w:proofErr w:type="gramStart"/>
                  <w:r>
                    <w:rPr>
                      <w:u w:val="single"/>
                    </w:rPr>
                    <w:t>informer</w:t>
                  </w:r>
                  <w:proofErr w:type="gramEnd"/>
                  <w:r>
                    <w:rPr>
                      <w:u w:val="single"/>
                    </w:rPr>
                    <w:t xml:space="preserve"> les parents ou l’élève majeur</w:t>
                  </w:r>
                  <w:r>
                    <w:t xml:space="preserve"> sur les dispositions décrétales et règlementaires applicables en matière de gratuité d’accès à l’enseignement et de veiller à leur bonne application au sein de l’établissement.</w:t>
                  </w:r>
                </w:p>
                <w:p w:rsidR="00F04EEF" w:rsidRDefault="00F04EEF">
                  <w:pPr>
                    <w:rPr>
                      <w:rFonts w:ascii="Cambria" w:hAnsi="Cambria"/>
                      <w:b/>
                      <w:u w:val="single"/>
                    </w:rPr>
                  </w:pPr>
                  <w:bookmarkStart w:id="779" w:name="_1.5.2.4._Le_cas"/>
                  <w:bookmarkEnd w:id="779"/>
                </w:p>
                <w:p w:rsidR="00F04EEF" w:rsidRDefault="0099351E">
                  <w:pPr>
                    <w:rPr>
                      <w:rFonts w:ascii="Cambria" w:hAnsi="Cambria"/>
                      <w:b/>
                      <w:u w:val="single"/>
                    </w:rPr>
                  </w:pPr>
                  <w:r>
                    <w:rPr>
                      <w:rFonts w:ascii="Cambria" w:hAnsi="Cambria"/>
                      <w:b/>
                      <w:u w:val="single"/>
                    </w:rPr>
                    <w:t>a. Questions-réponses relatives à la gratuité de l’enseignement</w:t>
                  </w:r>
                </w:p>
                <w:p w:rsidR="00F04EEF" w:rsidRDefault="00F04EEF"/>
                <w:p w:rsidR="00F04EEF" w:rsidRDefault="0099351E">
                  <w:pPr>
                    <w:ind w:firstLine="709"/>
                    <w:rPr>
                      <w:b/>
                    </w:rPr>
                  </w:pPr>
                  <w:r>
                    <w:rPr>
                      <w:b/>
                    </w:rPr>
                    <w:t>Quelles sont les bases légales ?</w:t>
                  </w:r>
                </w:p>
                <w:p w:rsidR="00F04EEF" w:rsidRDefault="00F04EEF">
                  <w:pPr>
                    <w:rPr>
                      <w:rFonts w:cs="Calibri"/>
                      <w:b/>
                    </w:rPr>
                  </w:pPr>
                </w:p>
                <w:p w:rsidR="00F04EEF" w:rsidRDefault="00F42422">
                  <w:pPr>
                    <w:ind w:left="709"/>
                  </w:pPr>
                  <w:hyperlink r:id="rId36" w:history="1">
                    <w:r w:rsidR="0099351E">
                      <w:rPr>
                        <w:rStyle w:val="Lienhypertexte"/>
                        <w:rFonts w:ascii="Cambria" w:hAnsi="Cambria" w:cs="Calibri"/>
                      </w:rPr>
                      <w:t>Loi du 29 mai 1959 modifiant certaines dispositions de la législation de l’enseignement</w:t>
                    </w:r>
                  </w:hyperlink>
                  <w:r w:rsidR="0099351E">
                    <w:t>, article 12 §1</w:t>
                  </w:r>
                  <w:r w:rsidR="0099351E">
                    <w:rPr>
                      <w:vertAlign w:val="superscript"/>
                    </w:rPr>
                    <w:t>er</w:t>
                  </w:r>
                  <w:r w:rsidR="0099351E">
                    <w:t> ;</w:t>
                  </w:r>
                </w:p>
                <w:p w:rsidR="00F04EEF" w:rsidRDefault="00F42422">
                  <w:pPr>
                    <w:ind w:left="709"/>
                  </w:pPr>
                  <w:hyperlink r:id="rId37" w:history="1">
                    <w:r w:rsidR="0099351E">
                      <w:rPr>
                        <w:rStyle w:val="Lienhypertexte"/>
                        <w:rFonts w:ascii="Cambria" w:hAnsi="Cambria" w:cs="Calibri"/>
                      </w:rPr>
                      <w:t>Décret du 24 juillet 1997 définissant les missions prioritaires de l’enseignement fondamental et de l’enseignement secondaire et organisant les structures propres à les atteindre</w:t>
                    </w:r>
                  </w:hyperlink>
                  <w:r w:rsidR="0099351E">
                    <w:t xml:space="preserve"> ;</w:t>
                  </w:r>
                </w:p>
                <w:p w:rsidR="00F04EEF" w:rsidRDefault="00F42422">
                  <w:pPr>
                    <w:ind w:firstLine="709"/>
                  </w:pPr>
                  <w:hyperlink r:id="rId38" w:history="1">
                    <w:r w:rsidR="0099351E">
                      <w:rPr>
                        <w:rStyle w:val="Lienhypertexte"/>
                        <w:rFonts w:ascii="Cambria" w:hAnsi="Cambria" w:cs="Calibri"/>
                      </w:rPr>
                      <w:t>Loi du 21 juin 1985 concernant l’enseignement</w:t>
                    </w:r>
                  </w:hyperlink>
                  <w:r w:rsidR="0099351E">
                    <w:t>, articles 58 à 62 ;</w:t>
                  </w:r>
                </w:p>
                <w:p w:rsidR="00F04EEF" w:rsidRDefault="00F42422">
                  <w:pPr>
                    <w:ind w:left="709"/>
                  </w:pPr>
                  <w:hyperlink r:id="rId39" w:history="1">
                    <w:r w:rsidR="0099351E">
                      <w:rPr>
                        <w:rStyle w:val="Lienhypertexte"/>
                        <w:rFonts w:ascii="Cambria" w:hAnsi="Cambria" w:cs="Calibri"/>
                      </w:rPr>
                      <w:t>Arrêté de l’Exécutif de la Communauté française du 25 septembre 1991 portant exécution des articles 59, 60 et 61 de la loi du 21 juin 1985 concernantl’enseignement</w:t>
                    </w:r>
                  </w:hyperlink>
                  <w:r w:rsidR="0099351E">
                    <w:t>.</w:t>
                  </w:r>
                </w:p>
                <w:p w:rsidR="00F04EEF" w:rsidRDefault="00F42422">
                  <w:pPr>
                    <w:ind w:firstLine="709"/>
                  </w:pPr>
                  <w:hyperlink r:id="rId40" w:history="1">
                    <w:r w:rsidR="0099351E">
                      <w:rPr>
                        <w:rStyle w:val="Lienhypertexte"/>
                        <w:rFonts w:ascii="Cambria" w:hAnsi="Cambria" w:cs="Calibri"/>
                      </w:rPr>
                      <w:t>Circulaire 7136 concernant la mise en œuvre de la gratuité scolaire au niveau secondaire</w:t>
                    </w:r>
                  </w:hyperlink>
                </w:p>
                <w:p w:rsidR="00F04EEF" w:rsidRDefault="00F04EEF">
                  <w:pPr>
                    <w:rPr>
                      <w:rFonts w:ascii="Cambria" w:hAnsi="Cambria"/>
                    </w:rPr>
                  </w:pPr>
                </w:p>
                <w:p w:rsidR="00F04EEF" w:rsidRDefault="00F04EEF">
                  <w:pPr>
                    <w:jc w:val="both"/>
                    <w:rPr>
                      <w:rFonts w:cs="Arial"/>
                    </w:rPr>
                  </w:pPr>
                </w:p>
                <w:p w:rsidR="00F04EEF" w:rsidRDefault="0099351E">
                  <w:pPr>
                    <w:pStyle w:val="Titre4"/>
                  </w:pPr>
                  <w:bookmarkStart w:id="780" w:name="_1.5._Gratuité_de"/>
                  <w:bookmarkStart w:id="781" w:name="_1.5._Gratuité_d’accès"/>
                  <w:bookmarkStart w:id="782" w:name="_Toc293654271"/>
                  <w:bookmarkStart w:id="783" w:name="_Toc294004851"/>
                  <w:bookmarkStart w:id="784" w:name="_Toc294185347"/>
                  <w:bookmarkStart w:id="785" w:name="_Toc324767213"/>
                  <w:bookmarkStart w:id="786" w:name="_Toc412204082"/>
                  <w:bookmarkStart w:id="787" w:name="_Toc414352890"/>
                  <w:bookmarkStart w:id="788" w:name="_Toc453836913"/>
                  <w:bookmarkEnd w:id="780"/>
                  <w:bookmarkEnd w:id="781"/>
                  <w:r>
                    <w:t>1.6. Assistance en justice et/ou assistance psychologique  en faveur des personnes liées à un établissement scolaire ou à un centre psycho-médico-social</w:t>
                  </w:r>
                  <w:bookmarkEnd w:id="782"/>
                  <w:bookmarkEnd w:id="783"/>
                  <w:bookmarkEnd w:id="784"/>
                  <w:bookmarkEnd w:id="785"/>
                  <w:bookmarkEnd w:id="786"/>
                  <w:r>
                    <w:rPr>
                      <w:rStyle w:val="Appelnotedebasdep"/>
                    </w:rPr>
                    <w:footnoteReference w:id="76"/>
                  </w:r>
                  <w:bookmarkEnd w:id="787"/>
                  <w:bookmarkEnd w:id="788"/>
                  <w:r>
                    <w:t xml:space="preserve">  </w:t>
                  </w:r>
                </w:p>
                <w:p w:rsidR="00F04EEF" w:rsidRDefault="00F04EEF">
                  <w:pPr>
                    <w:tabs>
                      <w:tab w:val="left" w:pos="1440"/>
                    </w:tabs>
                    <w:jc w:val="both"/>
                    <w:rPr>
                      <w:rFonts w:cs="Arial"/>
                    </w:rPr>
                  </w:pPr>
                </w:p>
                <w:p w:rsidR="00F04EEF" w:rsidRDefault="0099351E">
                  <w:pPr>
                    <w:pStyle w:val="Titre5"/>
                  </w:pPr>
                  <w:bookmarkStart w:id="789" w:name="_Toc291075540"/>
                  <w:bookmarkStart w:id="790" w:name="_Toc291075964"/>
                  <w:bookmarkStart w:id="791" w:name="_Toc291076388"/>
                  <w:bookmarkStart w:id="792" w:name="_Toc291076812"/>
                  <w:bookmarkStart w:id="793" w:name="_Toc291077236"/>
                  <w:bookmarkStart w:id="794" w:name="_Toc293652078"/>
                  <w:bookmarkStart w:id="795" w:name="_Toc293653660"/>
                  <w:bookmarkStart w:id="796" w:name="_Toc293654272"/>
                  <w:bookmarkStart w:id="797" w:name="_Toc294004852"/>
                  <w:bookmarkStart w:id="798" w:name="_Toc294185348"/>
                  <w:bookmarkStart w:id="799" w:name="_Toc324767214"/>
                  <w:bookmarkStart w:id="800" w:name="_Toc324768072"/>
                  <w:r>
                    <w:t>1.6.1. Préambule</w:t>
                  </w:r>
                  <w:bookmarkEnd w:id="789"/>
                  <w:bookmarkEnd w:id="790"/>
                  <w:bookmarkEnd w:id="791"/>
                  <w:bookmarkEnd w:id="792"/>
                  <w:bookmarkEnd w:id="793"/>
                  <w:bookmarkEnd w:id="794"/>
                  <w:bookmarkEnd w:id="795"/>
                  <w:bookmarkEnd w:id="796"/>
                  <w:bookmarkEnd w:id="797"/>
                  <w:bookmarkEnd w:id="798"/>
                  <w:bookmarkEnd w:id="799"/>
                  <w:bookmarkEnd w:id="800"/>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Conscient des conséquences pouvant résulter d’une agression, le législateur a instauré des mesures d’assistance en justice et/ou d’assistance psychologique  en faveur des personnes liées à un établissement scolaire ou à un centre psycho-médico-social.</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L’introduction de la demande d’assistance doit se faire en respectant un certain nombre de conditions décrites ci-dessous.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Les demandes d’assistance sont à adresser par lettre recommandée avec accusé de réception au service suivant :</w:t>
                  </w:r>
                </w:p>
                <w:p w:rsidR="00F04EEF" w:rsidRDefault="00F04EEF">
                  <w:pPr>
                    <w:pStyle w:val="Corpsdetexte21"/>
                    <w:jc w:val="both"/>
                    <w:rPr>
                      <w:rFonts w:asciiTheme="majorHAnsi" w:hAnsiTheme="majorHAnsi"/>
                      <w:sz w:val="22"/>
                      <w:szCs w:val="22"/>
                    </w:rPr>
                  </w:pPr>
                </w:p>
                <w:p w:rsidR="00F04EEF" w:rsidRDefault="0099351E">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Direction générale de l’Enseignement obligatoire</w:t>
                  </w:r>
                </w:p>
                <w:p w:rsidR="00F04EEF" w:rsidRDefault="0099351E">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Service des Inscriptions et de l’Assistance aux établissements scolaires</w:t>
                  </w:r>
                </w:p>
                <w:p w:rsidR="00F04EEF" w:rsidRDefault="0099351E">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 xml:space="preserve">Rue Adolphe Lavallée, 1 </w:t>
                  </w:r>
                </w:p>
                <w:p w:rsidR="00F04EEF" w:rsidRDefault="0099351E">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1080   BRUXELLES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b/>
                      <w:sz w:val="22"/>
                      <w:szCs w:val="22"/>
                    </w:rPr>
                  </w:pPr>
                  <w:r>
                    <w:rPr>
                      <w:rFonts w:asciiTheme="majorHAnsi" w:hAnsiTheme="majorHAnsi"/>
                      <w:sz w:val="22"/>
                      <w:szCs w:val="22"/>
                    </w:rPr>
                    <w:t>La victime veillera cependant à ne pas confondre demande d’assistance en justice et/ou assistance psychologique avec la demande d’affectation prioritaire</w:t>
                  </w:r>
                  <w:r>
                    <w:rPr>
                      <w:rStyle w:val="Caractresdenotedebasdepage"/>
                      <w:sz w:val="22"/>
                      <w:szCs w:val="22"/>
                    </w:rPr>
                    <w:footnoteReference w:id="77"/>
                  </w:r>
                  <w:r>
                    <w:rPr>
                      <w:rFonts w:asciiTheme="majorHAnsi" w:hAnsiTheme="majorHAnsi"/>
                      <w:sz w:val="22"/>
                      <w:szCs w:val="22"/>
                    </w:rPr>
                    <w:t>.</w:t>
                  </w:r>
                </w:p>
                <w:p w:rsidR="00F04EEF" w:rsidRDefault="00F04EEF">
                  <w:pPr>
                    <w:jc w:val="both"/>
                    <w:rPr>
                      <w:b/>
                      <w:u w:val="single"/>
                    </w:rPr>
                  </w:pPr>
                  <w:bookmarkStart w:id="801" w:name="_Toc291075541"/>
                  <w:bookmarkStart w:id="802" w:name="_Toc291075965"/>
                  <w:bookmarkStart w:id="803" w:name="_Toc291076389"/>
                  <w:bookmarkStart w:id="804" w:name="_Toc291076813"/>
                  <w:bookmarkStart w:id="805" w:name="_Toc291077237"/>
                  <w:bookmarkStart w:id="806" w:name="_Toc293652079"/>
                  <w:bookmarkStart w:id="807" w:name="_Toc293653661"/>
                  <w:bookmarkStart w:id="808" w:name="_Toc293654273"/>
                  <w:bookmarkStart w:id="809" w:name="_Toc294004853"/>
                  <w:bookmarkStart w:id="810" w:name="_Toc294185349"/>
                  <w:bookmarkStart w:id="811" w:name="_Toc324767215"/>
                  <w:bookmarkStart w:id="812" w:name="_Toc324768073"/>
                </w:p>
                <w:p w:rsidR="00F04EEF" w:rsidRDefault="0099351E">
                  <w:pPr>
                    <w:rPr>
                      <w:rFonts w:eastAsia="Times New Roman" w:cs="Arial"/>
                      <w:b/>
                      <w:u w:val="single"/>
                      <w:lang w:eastAsia="ar-SA"/>
                    </w:rPr>
                  </w:pPr>
                  <w:r>
                    <w:br w:type="page"/>
                  </w:r>
                </w:p>
                <w:p w:rsidR="00F04EEF" w:rsidRDefault="0099351E">
                  <w:pPr>
                    <w:pStyle w:val="Titre5"/>
                  </w:pPr>
                  <w:r>
                    <w:t>1.6.2. Définitions, conditions et procédure d’octroi, recours, dépenses admissibles et pièces justificatives :</w:t>
                  </w:r>
                  <w:bookmarkEnd w:id="801"/>
                  <w:bookmarkEnd w:id="802"/>
                  <w:bookmarkEnd w:id="803"/>
                  <w:bookmarkEnd w:id="804"/>
                  <w:bookmarkEnd w:id="805"/>
                  <w:bookmarkEnd w:id="806"/>
                  <w:bookmarkEnd w:id="807"/>
                  <w:bookmarkEnd w:id="808"/>
                  <w:bookmarkEnd w:id="809"/>
                  <w:bookmarkEnd w:id="810"/>
                  <w:bookmarkEnd w:id="811"/>
                  <w:bookmarkEnd w:id="812"/>
                </w:p>
                <w:p w:rsidR="00F04EEF" w:rsidRDefault="00F04EEF">
                  <w:pPr>
                    <w:jc w:val="both"/>
                    <w:rPr>
                      <w:b/>
                      <w:color w:val="008000"/>
                      <w:u w:val="single"/>
                    </w:rPr>
                  </w:pPr>
                </w:p>
                <w:p w:rsidR="00F04EEF" w:rsidRDefault="0099351E">
                  <w:pPr>
                    <w:pStyle w:val="Titre6"/>
                  </w:pPr>
                  <w:bookmarkStart w:id="813" w:name="_1.6.2.1._En_quoi"/>
                  <w:bookmarkEnd w:id="813"/>
                  <w:r>
                    <w:t>1.6.2.1. En quoi consiste l’assistance en justice et/ou psychologique ?</w:t>
                  </w:r>
                </w:p>
                <w:p w:rsidR="00F04EEF" w:rsidRDefault="00F04EEF">
                  <w:pPr>
                    <w:pStyle w:val="Corpsdetexte21"/>
                    <w:jc w:val="both"/>
                    <w:rPr>
                      <w:rFonts w:asciiTheme="majorHAnsi" w:hAnsiTheme="majorHAnsi"/>
                      <w:b/>
                      <w:i/>
                      <w:sz w:val="22"/>
                      <w:szCs w:val="22"/>
                    </w:rPr>
                  </w:pPr>
                </w:p>
                <w:p w:rsidR="00F04EEF" w:rsidRDefault="0099351E">
                  <w:pPr>
                    <w:pStyle w:val="Corpsdetexte21"/>
                    <w:numPr>
                      <w:ilvl w:val="0"/>
                      <w:numId w:val="286"/>
                    </w:numPr>
                    <w:ind w:left="284" w:hanging="284"/>
                    <w:jc w:val="both"/>
                    <w:rPr>
                      <w:rFonts w:asciiTheme="majorHAnsi" w:hAnsiTheme="majorHAnsi"/>
                      <w:b/>
                      <w:sz w:val="22"/>
                      <w:szCs w:val="22"/>
                    </w:rPr>
                  </w:pPr>
                  <w:r>
                    <w:rPr>
                      <w:rFonts w:asciiTheme="majorHAnsi" w:hAnsiTheme="majorHAnsi"/>
                      <w:b/>
                      <w:sz w:val="22"/>
                      <w:szCs w:val="22"/>
                    </w:rPr>
                    <w:t>Définitions :</w:t>
                  </w:r>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1. « Assistance en justice » : prise en charge partielle ou totale des honoraires et des frais d’avocat et de procédure</w:t>
                  </w:r>
                  <w:r>
                    <w:rPr>
                      <w:rStyle w:val="Caractresdenotedebasdepage"/>
                      <w:sz w:val="22"/>
                      <w:szCs w:val="22"/>
                    </w:rPr>
                    <w:footnoteReference w:id="78"/>
                  </w:r>
                  <w:r>
                    <w:rPr>
                      <w:rFonts w:asciiTheme="majorHAnsi" w:hAnsiTheme="majorHAnsi"/>
                      <w:sz w:val="22"/>
                      <w:szCs w:val="22"/>
                    </w:rPr>
                    <w:t>.</w:t>
                  </w:r>
                </w:p>
                <w:p w:rsidR="00F04EEF" w:rsidRDefault="0099351E">
                  <w:pPr>
                    <w:pStyle w:val="Corpsdetexte21"/>
                    <w:jc w:val="both"/>
                    <w:rPr>
                      <w:rFonts w:asciiTheme="majorHAnsi" w:hAnsiTheme="majorHAnsi"/>
                      <w:sz w:val="22"/>
                      <w:szCs w:val="22"/>
                    </w:rPr>
                  </w:pPr>
                  <w:r>
                    <w:rPr>
                      <w:rFonts w:asciiTheme="majorHAnsi" w:hAnsiTheme="majorHAnsi"/>
                      <w:b/>
                      <w:noProof/>
                      <w:spacing w:val="-4"/>
                      <w:sz w:val="22"/>
                      <w:szCs w:val="22"/>
                      <w:u w:val="single"/>
                      <w:lang w:eastAsia="fr-BE"/>
                    </w:rPr>
                    <mc:AlternateContent>
                      <mc:Choice Requires="wps">
                        <w:drawing>
                          <wp:anchor distT="0" distB="0" distL="114300" distR="114300" simplePos="0" relativeHeight="252169216" behindDoc="0" locked="0" layoutInCell="1" allowOverlap="1">
                            <wp:simplePos x="0" y="0"/>
                            <wp:positionH relativeFrom="column">
                              <wp:posOffset>6200775</wp:posOffset>
                            </wp:positionH>
                            <wp:positionV relativeFrom="paragraph">
                              <wp:posOffset>17145</wp:posOffset>
                            </wp:positionV>
                            <wp:extent cx="0" cy="114300"/>
                            <wp:effectExtent l="0" t="0" r="19050" b="19050"/>
                            <wp:wrapNone/>
                            <wp:docPr id="4954" name="Connecteur droit 4954"/>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D9F6BEC" id="Connecteur droit 4954" o:spid="_x0000_s1026" style="position:absolute;z-index:252169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25pt,1.35pt" to="488.25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" strokecolor="black [3213]"/>
                        </w:pict>
                      </mc:Fallback>
                    </mc:AlternateContent>
                  </w:r>
                  <w:r>
                    <w:rPr>
                      <w:rFonts w:asciiTheme="majorHAnsi" w:hAnsiTheme="majorHAnsi"/>
                      <w:sz w:val="22"/>
                      <w:szCs w:val="22"/>
                    </w:rPr>
                    <w:t>2. « Assistance psychologique » : assistance (avec un maximum d’un remboursement de 12 séances) d’un psychologue et/ou d’un psychiatre dans le but de fournir une aide immédiate à la victime d’une agression.</w:t>
                  </w:r>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b/>
                      <w:sz w:val="22"/>
                      <w:szCs w:val="22"/>
                    </w:rPr>
                  </w:pPr>
                  <w:r>
                    <w:rPr>
                      <w:rFonts w:asciiTheme="majorHAnsi" w:hAnsiTheme="majorHAnsi"/>
                      <w:b/>
                      <w:sz w:val="22"/>
                      <w:szCs w:val="22"/>
                    </w:rPr>
                    <w:t>B) Etendue :</w:t>
                  </w:r>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1. « Prise en charge ordinaire » : la prise en charge des honoraires et des frais d’avocat, de procédure et de consultation psychologique et/ou psychiatrique d’urgence se limite en principe à un montant global de 3718,40 Euros.</w:t>
                  </w:r>
                </w:p>
                <w:p w:rsidR="00F04EEF" w:rsidRDefault="0099351E">
                  <w:pPr>
                    <w:pStyle w:val="Corpsdetexte21"/>
                    <w:jc w:val="both"/>
                    <w:rPr>
                      <w:rFonts w:asciiTheme="majorHAnsi" w:hAnsiTheme="majorHAnsi"/>
                      <w:sz w:val="22"/>
                      <w:szCs w:val="22"/>
                    </w:rPr>
                  </w:pPr>
                  <w:r>
                    <w:rPr>
                      <w:rFonts w:asciiTheme="majorHAnsi" w:hAnsiTheme="majorHAnsi"/>
                      <w:sz w:val="22"/>
                      <w:szCs w:val="22"/>
                    </w:rPr>
                    <w:t>2. « Prise en charge exceptionnelle » : cependant, à titre exceptionnel et sur demande dûment motivée, la victime peut être autorisée par la Direction des Affaires juridiques et contentieuses</w:t>
                  </w:r>
                  <w:r>
                    <w:rPr>
                      <w:rStyle w:val="Caractresdenotedebasdepage"/>
                      <w:sz w:val="22"/>
                      <w:szCs w:val="22"/>
                    </w:rPr>
                    <w:footnoteReference w:id="79"/>
                  </w:r>
                  <w:r>
                    <w:rPr>
                      <w:rFonts w:asciiTheme="majorHAnsi" w:hAnsiTheme="majorHAnsi"/>
                      <w:sz w:val="22"/>
                      <w:szCs w:val="22"/>
                    </w:rPr>
                    <w:t>, à dépasser le seuil de 3718,40 Euros.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b/>
                      <w:sz w:val="22"/>
                      <w:szCs w:val="22"/>
                    </w:rPr>
                  </w:pPr>
                  <w:r>
                    <w:rPr>
                      <w:rFonts w:asciiTheme="majorHAnsi" w:hAnsiTheme="majorHAnsi"/>
                      <w:b/>
                      <w:sz w:val="22"/>
                      <w:szCs w:val="22"/>
                    </w:rPr>
                    <w:t>C) Choix du prestataire :</w:t>
                  </w:r>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Le prestataire est la personne qui fournit à la victime de l’agression l’assistance en justice ou psychologique. La victime </w:t>
                  </w:r>
                  <w:r>
                    <w:rPr>
                      <w:rFonts w:asciiTheme="majorHAnsi" w:hAnsiTheme="majorHAnsi"/>
                      <w:b/>
                      <w:sz w:val="22"/>
                      <w:szCs w:val="22"/>
                    </w:rPr>
                    <w:t>choisit librement</w:t>
                  </w:r>
                  <w:r>
                    <w:rPr>
                      <w:rFonts w:asciiTheme="majorHAnsi" w:hAnsiTheme="majorHAnsi"/>
                      <w:sz w:val="22"/>
                      <w:szCs w:val="22"/>
                    </w:rPr>
                    <w:t xml:space="preserve"> le(les) prestataire(s) au(x)quel(s) elle souhaite recourir. </w:t>
                  </w:r>
                </w:p>
                <w:p w:rsidR="00F04EEF" w:rsidRDefault="00F04EEF">
                  <w:pPr>
                    <w:pStyle w:val="Corpsdetexte21"/>
                    <w:jc w:val="both"/>
                    <w:rPr>
                      <w:rFonts w:asciiTheme="majorHAnsi" w:hAnsiTheme="majorHAnsi"/>
                      <w:sz w:val="22"/>
                      <w:szCs w:val="22"/>
                    </w:rPr>
                  </w:pPr>
                </w:p>
                <w:p w:rsidR="00F04EEF" w:rsidRDefault="0099351E">
                  <w:pPr>
                    <w:pStyle w:val="Titre6"/>
                  </w:pPr>
                  <w:bookmarkStart w:id="814" w:name="_1.6.2.2._Qui_peut"/>
                  <w:bookmarkEnd w:id="814"/>
                  <w:r>
                    <w:t>1.6.2.2. Qui peut bénéficier de l’assistance en justice et/ou psychologique ?</w:t>
                  </w:r>
                </w:p>
                <w:p w:rsidR="00F04EEF" w:rsidRDefault="00F04EEF">
                  <w:pPr>
                    <w:pStyle w:val="Corpsdetexte21"/>
                    <w:jc w:val="both"/>
                    <w:rPr>
                      <w:rFonts w:asciiTheme="majorHAnsi" w:hAnsiTheme="majorHAnsi"/>
                      <w:b/>
                      <w:sz w:val="22"/>
                      <w:szCs w:val="22"/>
                    </w:rPr>
                  </w:pPr>
                </w:p>
                <w:p w:rsidR="00F04EEF" w:rsidRDefault="0099351E">
                  <w:pPr>
                    <w:pStyle w:val="Corpsdetexte21"/>
                    <w:numPr>
                      <w:ilvl w:val="0"/>
                      <w:numId w:val="287"/>
                    </w:numPr>
                    <w:ind w:left="284" w:hanging="284"/>
                    <w:jc w:val="both"/>
                    <w:rPr>
                      <w:rFonts w:asciiTheme="majorHAnsi" w:hAnsiTheme="majorHAnsi"/>
                      <w:b/>
                      <w:sz w:val="22"/>
                      <w:szCs w:val="22"/>
                    </w:rPr>
                  </w:pPr>
                  <w:r>
                    <w:rPr>
                      <w:rFonts w:asciiTheme="majorHAnsi" w:hAnsiTheme="majorHAnsi"/>
                      <w:b/>
                      <w:sz w:val="22"/>
                      <w:szCs w:val="22"/>
                    </w:rPr>
                    <w:t>Bénéficiaires :</w:t>
                  </w:r>
                </w:p>
                <w:p w:rsidR="00F04EEF" w:rsidRDefault="00F04EEF">
                  <w:pPr>
                    <w:pStyle w:val="Corpsdetexte21"/>
                    <w:jc w:val="both"/>
                    <w:rPr>
                      <w:rFonts w:asciiTheme="majorHAnsi" w:hAnsiTheme="majorHAnsi"/>
                      <w:b/>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Toute personne exerçant sa fonction en tout ou en partie ou chargé d’une mission dans un établissement d’enseignement fondamental ou secondaire, ordinaire ou spécialisé, organisé ou subventionné par la Communauté française, ainsi que dans un centre psycho-médico-social organisé ou subventionné par la Communauté française . </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b/>
                      <w:sz w:val="22"/>
                      <w:szCs w:val="22"/>
                    </w:rPr>
                  </w:pPr>
                  <w:r>
                    <w:rPr>
                      <w:rFonts w:asciiTheme="majorHAnsi" w:hAnsiTheme="majorHAnsi"/>
                      <w:b/>
                      <w:sz w:val="22"/>
                      <w:szCs w:val="22"/>
                    </w:rPr>
                    <w:t>B) Le bénéficiaire doit avoir été victime d’une agression, c’est-à-dire :</w:t>
                  </w:r>
                </w:p>
                <w:p w:rsidR="00F04EEF" w:rsidRDefault="00F04EEF">
                  <w:pPr>
                    <w:pStyle w:val="Corpsdetexte21"/>
                    <w:jc w:val="both"/>
                    <w:rPr>
                      <w:rFonts w:asciiTheme="majorHAnsi" w:hAnsiTheme="majorHAnsi"/>
                      <w:b/>
                      <w:sz w:val="22"/>
                      <w:szCs w:val="22"/>
                    </w:rPr>
                  </w:pPr>
                </w:p>
                <w:p w:rsidR="00F04EEF" w:rsidRDefault="0099351E">
                  <w:pPr>
                    <w:pStyle w:val="Corpsdetexte21"/>
                    <w:numPr>
                      <w:ilvl w:val="1"/>
                      <w:numId w:val="102"/>
                    </w:numPr>
                    <w:tabs>
                      <w:tab w:val="clear" w:pos="1440"/>
                    </w:tabs>
                    <w:ind w:left="850" w:hanging="283"/>
                    <w:jc w:val="both"/>
                    <w:rPr>
                      <w:rFonts w:asciiTheme="majorHAnsi" w:hAnsiTheme="majorHAnsi"/>
                      <w:sz w:val="22"/>
                      <w:szCs w:val="22"/>
                    </w:rPr>
                  </w:pPr>
                  <w:r>
                    <w:rPr>
                      <w:rFonts w:asciiTheme="majorHAnsi" w:hAnsiTheme="majorHAnsi"/>
                      <w:sz w:val="22"/>
                      <w:szCs w:val="22"/>
                    </w:rPr>
                    <w:t xml:space="preserve">D’une atteinte physique et/ou psychologique contre sa personne ou d’une détérioration de ses biens…  </w:t>
                  </w:r>
                </w:p>
                <w:p w:rsidR="00F04EEF" w:rsidRDefault="0099351E">
                  <w:pPr>
                    <w:pStyle w:val="Corpsdetexte21"/>
                    <w:numPr>
                      <w:ilvl w:val="1"/>
                      <w:numId w:val="102"/>
                    </w:numPr>
                    <w:tabs>
                      <w:tab w:val="clear" w:pos="1440"/>
                    </w:tabs>
                    <w:ind w:left="850" w:hanging="283"/>
                    <w:jc w:val="both"/>
                    <w:rPr>
                      <w:rFonts w:asciiTheme="majorHAnsi" w:hAnsiTheme="majorHAnsi"/>
                      <w:sz w:val="22"/>
                      <w:szCs w:val="22"/>
                    </w:rPr>
                  </w:pPr>
                  <w:r>
                    <w:rPr>
                      <w:rFonts w:asciiTheme="majorHAnsi" w:hAnsiTheme="majorHAnsi"/>
                      <w:sz w:val="22"/>
                      <w:szCs w:val="22"/>
                    </w:rPr>
                    <w:t>…commise :</w:t>
                  </w:r>
                </w:p>
                <w:p w:rsidR="00F04EEF" w:rsidRDefault="0099351E">
                  <w:pPr>
                    <w:pStyle w:val="Corpsdetexte21"/>
                    <w:numPr>
                      <w:ilvl w:val="0"/>
                      <w:numId w:val="318"/>
                    </w:numPr>
                    <w:ind w:left="1985"/>
                    <w:jc w:val="both"/>
                    <w:rPr>
                      <w:rFonts w:asciiTheme="majorHAnsi" w:hAnsiTheme="majorHAnsi"/>
                      <w:sz w:val="22"/>
                      <w:szCs w:val="22"/>
                    </w:rPr>
                  </w:pPr>
                  <w:r>
                    <w:rPr>
                      <w:rFonts w:asciiTheme="majorHAnsi" w:hAnsiTheme="majorHAnsi"/>
                      <w:sz w:val="22"/>
                      <w:szCs w:val="22"/>
                    </w:rPr>
                    <w:t>dans le cadre de son service ou en relation directe avec celui-ci :</w:t>
                  </w:r>
                </w:p>
                <w:p w:rsidR="00F04EEF" w:rsidRDefault="0099351E">
                  <w:pPr>
                    <w:pStyle w:val="Corpsdetexte21"/>
                    <w:numPr>
                      <w:ilvl w:val="0"/>
                      <w:numId w:val="128"/>
                    </w:numPr>
                    <w:tabs>
                      <w:tab w:val="clear" w:pos="360"/>
                    </w:tabs>
                    <w:ind w:left="2268" w:hanging="283"/>
                    <w:jc w:val="both"/>
                    <w:rPr>
                      <w:rFonts w:asciiTheme="majorHAnsi" w:hAnsiTheme="majorHAnsi"/>
                      <w:sz w:val="22"/>
                      <w:szCs w:val="22"/>
                    </w:rPr>
                  </w:pPr>
                  <w:r>
                    <w:rPr>
                      <w:rFonts w:asciiTheme="majorHAnsi" w:hAnsiTheme="majorHAnsi"/>
                      <w:sz w:val="22"/>
                      <w:szCs w:val="22"/>
                    </w:rPr>
                    <w:t>soit par un élève ;</w:t>
                  </w:r>
                </w:p>
                <w:p w:rsidR="00F04EEF" w:rsidRDefault="0099351E">
                  <w:pPr>
                    <w:pStyle w:val="Corpsdetexte21"/>
                    <w:numPr>
                      <w:ilvl w:val="0"/>
                      <w:numId w:val="128"/>
                    </w:numPr>
                    <w:tabs>
                      <w:tab w:val="clear" w:pos="360"/>
                    </w:tabs>
                    <w:ind w:left="2268" w:hanging="283"/>
                    <w:jc w:val="both"/>
                    <w:rPr>
                      <w:rFonts w:asciiTheme="majorHAnsi" w:hAnsiTheme="majorHAnsi"/>
                      <w:sz w:val="22"/>
                      <w:szCs w:val="22"/>
                    </w:rPr>
                  </w:pPr>
                  <w:r>
                    <w:rPr>
                      <w:rFonts w:asciiTheme="majorHAnsi" w:hAnsiTheme="majorHAnsi"/>
                      <w:sz w:val="22"/>
                      <w:szCs w:val="22"/>
                    </w:rPr>
                    <w:t>soit par un tiers sur instigation ou avec complicité d’un élève :</w:t>
                  </w:r>
                </w:p>
                <w:p w:rsidR="00F04EEF" w:rsidRDefault="0099351E">
                  <w:pPr>
                    <w:pStyle w:val="Corpsdetexte21"/>
                    <w:ind w:left="2268"/>
                    <w:jc w:val="both"/>
                    <w:rPr>
                      <w:rFonts w:asciiTheme="majorHAnsi" w:hAnsiTheme="majorHAnsi"/>
                      <w:i/>
                      <w:sz w:val="22"/>
                      <w:szCs w:val="22"/>
                    </w:rPr>
                  </w:pPr>
                  <w:r>
                    <w:rPr>
                      <w:rFonts w:asciiTheme="majorHAnsi" w:hAnsiTheme="majorHAnsi"/>
                      <w:i/>
                      <w:sz w:val="22"/>
                      <w:szCs w:val="22"/>
                    </w:rPr>
                    <w:t>Dans cette hypothèse, l’atteinte n’est pas nécessairement commise par l’élève mais par une autre personne sur incitation de l’élève ou avec la participation de ce dernier.</w:t>
                  </w:r>
                </w:p>
                <w:p w:rsidR="00F04EEF" w:rsidRDefault="0099351E">
                  <w:pPr>
                    <w:pStyle w:val="Corpsdetexte21"/>
                    <w:numPr>
                      <w:ilvl w:val="0"/>
                      <w:numId w:val="129"/>
                    </w:numPr>
                    <w:tabs>
                      <w:tab w:val="clear" w:pos="360"/>
                    </w:tabs>
                    <w:ind w:left="2268" w:hanging="283"/>
                    <w:jc w:val="both"/>
                    <w:rPr>
                      <w:rFonts w:asciiTheme="majorHAnsi" w:hAnsiTheme="majorHAnsi"/>
                      <w:sz w:val="22"/>
                      <w:szCs w:val="22"/>
                    </w:rPr>
                  </w:pPr>
                  <w:r>
                    <w:rPr>
                      <w:rFonts w:asciiTheme="majorHAnsi" w:hAnsiTheme="majorHAnsi"/>
                      <w:sz w:val="22"/>
                      <w:szCs w:val="22"/>
                    </w:rPr>
                    <w:t>soit par un membre de la famille d’un élève ou toute personne habitant sous le même toit ;</w:t>
                  </w:r>
                </w:p>
                <w:p w:rsidR="00F04EEF" w:rsidRDefault="0099351E">
                  <w:pPr>
                    <w:pStyle w:val="Corpsdetexte21"/>
                    <w:ind w:left="2268"/>
                    <w:jc w:val="both"/>
                    <w:rPr>
                      <w:rFonts w:asciiTheme="majorHAnsi" w:hAnsiTheme="majorHAnsi"/>
                      <w:i/>
                      <w:sz w:val="22"/>
                      <w:szCs w:val="22"/>
                    </w:rPr>
                  </w:pPr>
                  <w:r>
                    <w:rPr>
                      <w:rFonts w:asciiTheme="majorHAnsi" w:hAnsiTheme="majorHAnsi"/>
                      <w:i/>
                      <w:sz w:val="22"/>
                      <w:szCs w:val="22"/>
                    </w:rPr>
                    <w:t>Par personne habitant sous le même toit : on entend par là toute personne qui a sa résidence au même domicile que l’élève. En cas de discussions, il appartiendra au juge de trancher.</w:t>
                  </w:r>
                </w:p>
                <w:p w:rsidR="00F04EEF" w:rsidRDefault="00F04EEF">
                  <w:pPr>
                    <w:pStyle w:val="Corpsdetexte21"/>
                    <w:ind w:left="1984"/>
                    <w:jc w:val="both"/>
                    <w:rPr>
                      <w:rFonts w:asciiTheme="majorHAnsi" w:hAnsiTheme="majorHAnsi"/>
                      <w:i/>
                      <w:sz w:val="22"/>
                      <w:szCs w:val="22"/>
                    </w:rPr>
                  </w:pPr>
                </w:p>
                <w:p w:rsidR="00F04EEF" w:rsidRDefault="0099351E">
                  <w:pPr>
                    <w:pStyle w:val="Corpsdetexte21"/>
                    <w:numPr>
                      <w:ilvl w:val="0"/>
                      <w:numId w:val="318"/>
                    </w:numPr>
                    <w:ind w:left="1985"/>
                    <w:jc w:val="both"/>
                    <w:rPr>
                      <w:rFonts w:asciiTheme="minorHAnsi" w:hAnsiTheme="minorHAnsi" w:cstheme="minorHAnsi"/>
                      <w:sz w:val="22"/>
                      <w:szCs w:val="22"/>
                    </w:rPr>
                  </w:pPr>
                  <w:r>
                    <w:rPr>
                      <w:rFonts w:asciiTheme="minorHAnsi" w:hAnsiTheme="minorHAnsi" w:cstheme="minorHAnsi"/>
                      <w:sz w:val="22"/>
                      <w:szCs w:val="22"/>
                    </w:rPr>
                    <w:t>par toute autre personne n’appartenant pas au personnel de l’établissement, pour autant qu’il soit démontré par la victime que l’agression est en relation directe avec le service.</w:t>
                  </w:r>
                </w:p>
                <w:p w:rsidR="00F04EEF" w:rsidRDefault="00F04EEF">
                  <w:pPr>
                    <w:pStyle w:val="Corpsdetexte21"/>
                    <w:jc w:val="both"/>
                    <w:rPr>
                      <w:rFonts w:asciiTheme="minorHAnsi" w:hAnsiTheme="minorHAnsi" w:cstheme="minorHAnsi"/>
                      <w:b/>
                      <w:i/>
                      <w:sz w:val="22"/>
                      <w:szCs w:val="22"/>
                    </w:rPr>
                  </w:pPr>
                </w:p>
                <w:p w:rsidR="00F04EEF" w:rsidRDefault="0099351E">
                  <w:pPr>
                    <w:pStyle w:val="Corpsdetexte21"/>
                    <w:jc w:val="both"/>
                    <w:rPr>
                      <w:rFonts w:asciiTheme="minorHAnsi" w:hAnsiTheme="minorHAnsi" w:cstheme="minorHAnsi"/>
                      <w:b/>
                      <w:sz w:val="22"/>
                      <w:szCs w:val="22"/>
                    </w:rPr>
                  </w:pPr>
                  <w:r>
                    <w:rPr>
                      <w:rFonts w:asciiTheme="minorHAnsi" w:hAnsiTheme="minorHAnsi" w:cstheme="minorHAnsi"/>
                      <w:b/>
                      <w:sz w:val="22"/>
                      <w:szCs w:val="22"/>
                    </w:rPr>
                    <w:t>C) Dépôt d’une plainte auprès des autorités judiciaires :</w:t>
                  </w:r>
                </w:p>
                <w:p w:rsidR="00F04EEF" w:rsidRDefault="00F04EEF">
                  <w:pPr>
                    <w:pStyle w:val="Corpsdetexte21"/>
                    <w:jc w:val="both"/>
                    <w:rPr>
                      <w:rFonts w:asciiTheme="minorHAnsi" w:hAnsiTheme="minorHAnsi" w:cstheme="minorHAnsi"/>
                      <w:b/>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Pour pouvoir bénéficier de l’assistance en justice et/ou psychologique, la victime doit avoir porté plainte auprès des autorités judiciaires.</w:t>
                  </w: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Quand on parle d’autorité judiciaire, on vise le Parquet et non la Police. Néanmoins, si la victime a adressé sa plainte auprès de la Police, l’administration accepte ce document.</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b/>
                      <w:sz w:val="22"/>
                      <w:szCs w:val="22"/>
                    </w:rPr>
                  </w:pPr>
                  <w:r>
                    <w:rPr>
                      <w:rFonts w:asciiTheme="minorHAnsi" w:hAnsiTheme="minorHAnsi" w:cstheme="minorHAnsi"/>
                      <w:b/>
                      <w:sz w:val="22"/>
                      <w:szCs w:val="22"/>
                    </w:rPr>
                    <w:t>D) Attestation de la Direction des Accidents du travail des personnels de l’Enseignement :</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Pour pouvoir bénéficier de cette aide, l’intéressé doit avoir été reconnu victime d’un accident de travail résultant de l’acte de violence par la Direction des Accidents du travail des personnels de l’Enseignement.</w:t>
                  </w:r>
                </w:p>
                <w:p w:rsidR="00F04EEF" w:rsidRDefault="00F04EEF">
                  <w:pPr>
                    <w:pStyle w:val="2"/>
                    <w:rPr>
                      <w:rFonts w:asciiTheme="minorHAnsi" w:hAnsiTheme="minorHAnsi" w:cstheme="minorHAnsi"/>
                      <w:sz w:val="22"/>
                      <w:szCs w:val="22"/>
                      <w:lang w:val="fr-BE"/>
                    </w:rPr>
                  </w:pPr>
                </w:p>
                <w:p w:rsidR="00F04EEF" w:rsidRDefault="0099351E">
                  <w:pPr>
                    <w:pStyle w:val="Titre6"/>
                    <w:rPr>
                      <w:rFonts w:cstheme="minorHAnsi"/>
                    </w:rPr>
                  </w:pPr>
                  <w:r>
                    <w:rPr>
                      <w:rFonts w:cstheme="minorHAnsi"/>
                    </w:rPr>
                    <w:t xml:space="preserve">1.6.2.3. Comment bénéficier de l’assistance en justice et/ou psychologique   </w:t>
                  </w:r>
                </w:p>
                <w:p w:rsidR="00F04EEF" w:rsidRDefault="00F04EEF">
                  <w:pPr>
                    <w:jc w:val="both"/>
                    <w:rPr>
                      <w:rFonts w:cstheme="minorHAnsi"/>
                      <w:b/>
                      <w:u w:val="single"/>
                    </w:rPr>
                  </w:pPr>
                </w:p>
                <w:p w:rsidR="00F04EEF" w:rsidRDefault="0099351E">
                  <w:pPr>
                    <w:pStyle w:val="Titre7"/>
                    <w:rPr>
                      <w:rFonts w:cstheme="minorHAnsi"/>
                    </w:rPr>
                  </w:pPr>
                  <w:bookmarkStart w:id="815" w:name="_1.6.2.3.1._Introduction_de"/>
                  <w:bookmarkEnd w:id="815"/>
                  <w:r>
                    <w:rPr>
                      <w:rFonts w:cstheme="minorHAnsi"/>
                    </w:rPr>
                    <w:t>1.6.2.3.1. Introduction de la demande</w:t>
                  </w:r>
                </w:p>
                <w:p w:rsidR="00F04EEF" w:rsidRDefault="00F04EEF">
                  <w:pPr>
                    <w:pStyle w:val="Corpsdetexte21"/>
                    <w:jc w:val="both"/>
                    <w:rPr>
                      <w:rFonts w:asciiTheme="minorHAnsi" w:hAnsiTheme="minorHAnsi" w:cstheme="minorHAnsi"/>
                      <w:b/>
                      <w: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Pour formuler valablement une demande d’assistance en justice et/ou psychologique, la victime doit respecter l’ensemble des conditions suivantes : </w:t>
                  </w:r>
                </w:p>
                <w:p w:rsidR="00F04EEF" w:rsidRDefault="00F04EEF">
                  <w:pPr>
                    <w:pStyle w:val="Corpsdetexte21"/>
                    <w:jc w:val="both"/>
                    <w:rPr>
                      <w:rFonts w:asciiTheme="majorHAnsi" w:hAnsiTheme="majorHAnsi"/>
                      <w:sz w:val="22"/>
                      <w:szCs w:val="22"/>
                    </w:rPr>
                  </w:pPr>
                </w:p>
                <w:p w:rsidR="00F04EEF" w:rsidRDefault="0099351E">
                  <w:pPr>
                    <w:pStyle w:val="Corpsdetexte21"/>
                    <w:numPr>
                      <w:ilvl w:val="0"/>
                      <w:numId w:val="130"/>
                    </w:numPr>
                    <w:ind w:left="643"/>
                    <w:jc w:val="both"/>
                    <w:rPr>
                      <w:rFonts w:asciiTheme="minorHAnsi" w:hAnsiTheme="minorHAnsi" w:cstheme="minorHAnsi"/>
                      <w:sz w:val="22"/>
                      <w:szCs w:val="22"/>
                    </w:rPr>
                  </w:pPr>
                  <w:r>
                    <w:rPr>
                      <w:rFonts w:asciiTheme="minorHAnsi" w:hAnsiTheme="minorHAnsi" w:cstheme="minorHAnsi"/>
                      <w:sz w:val="22"/>
                      <w:szCs w:val="22"/>
                    </w:rPr>
                    <w:t xml:space="preserve">La </w:t>
                  </w:r>
                  <w:r>
                    <w:rPr>
                      <w:rFonts w:asciiTheme="minorHAnsi" w:hAnsiTheme="minorHAnsi" w:cstheme="minorHAnsi"/>
                      <w:b/>
                      <w:sz w:val="22"/>
                      <w:szCs w:val="22"/>
                    </w:rPr>
                    <w:t>demande</w:t>
                  </w:r>
                  <w:r>
                    <w:rPr>
                      <w:rFonts w:asciiTheme="minorHAnsi" w:hAnsiTheme="minorHAnsi" w:cstheme="minorHAnsi"/>
                      <w:sz w:val="22"/>
                      <w:szCs w:val="22"/>
                    </w:rPr>
                    <w:t xml:space="preserve"> (sauf cas de force majeure dûment justifié) doit être adressée par la victime à la Direction générale de l’Enseignement obligatoire, Service des inscriptions et de l’assistance aux établissements scolaires, </w:t>
                  </w:r>
                  <w:r>
                    <w:rPr>
                      <w:rFonts w:asciiTheme="minorHAnsi" w:hAnsiTheme="minorHAnsi" w:cstheme="minorHAnsi"/>
                      <w:b/>
                      <w:sz w:val="22"/>
                      <w:szCs w:val="22"/>
                    </w:rPr>
                    <w:t>rue Adolphe Lavallée, 1 à 1080 BRUXELLES </w:t>
                  </w:r>
                  <w:r>
                    <w:rPr>
                      <w:rFonts w:asciiTheme="minorHAnsi" w:hAnsiTheme="minorHAnsi" w:cstheme="minorHAnsi"/>
                      <w:sz w:val="22"/>
                      <w:szCs w:val="22"/>
                    </w:rPr>
                    <w:t>:</w:t>
                  </w:r>
                </w:p>
                <w:p w:rsidR="00F04EEF" w:rsidRDefault="0099351E">
                  <w:pPr>
                    <w:pStyle w:val="Corpsdetexte21"/>
                    <w:tabs>
                      <w:tab w:val="left" w:pos="1276"/>
                    </w:tabs>
                    <w:ind w:left="992" w:hanging="425"/>
                    <w:jc w:val="both"/>
                    <w:rPr>
                      <w:rFonts w:asciiTheme="minorHAnsi" w:hAnsiTheme="minorHAnsi" w:cstheme="minorHAnsi"/>
                      <w:sz w:val="22"/>
                      <w:szCs w:val="22"/>
                    </w:rPr>
                  </w:pPr>
                  <w:r>
                    <w:rPr>
                      <w:rFonts w:asciiTheme="minorHAnsi" w:hAnsiTheme="minorHAnsi" w:cstheme="minorHAnsi"/>
                      <w:sz w:val="22"/>
                      <w:szCs w:val="22"/>
                    </w:rPr>
                    <w:t xml:space="preserve">a) </w:t>
                  </w:r>
                  <w:r>
                    <w:rPr>
                      <w:rFonts w:asciiTheme="minorHAnsi" w:hAnsiTheme="minorHAnsi" w:cstheme="minorHAnsi"/>
                      <w:b/>
                      <w:sz w:val="22"/>
                      <w:szCs w:val="22"/>
                    </w:rPr>
                    <w:t>par recommandé</w:t>
                  </w:r>
                  <w:r>
                    <w:rPr>
                      <w:rFonts w:asciiTheme="minorHAnsi" w:hAnsiTheme="minorHAnsi" w:cstheme="minorHAnsi"/>
                      <w:sz w:val="22"/>
                      <w:szCs w:val="22"/>
                    </w:rPr>
                    <w:t xml:space="preserve"> </w:t>
                  </w:r>
                  <w:r>
                    <w:rPr>
                      <w:rFonts w:asciiTheme="minorHAnsi" w:hAnsiTheme="minorHAnsi" w:cstheme="minorHAnsi"/>
                      <w:b/>
                      <w:sz w:val="22"/>
                      <w:szCs w:val="22"/>
                    </w:rPr>
                    <w:t>avec accusé de réception</w:t>
                  </w:r>
                  <w:r>
                    <w:rPr>
                      <w:rFonts w:asciiTheme="minorHAnsi" w:hAnsiTheme="minorHAnsi" w:cstheme="minorHAnsi"/>
                      <w:sz w:val="22"/>
                      <w:szCs w:val="22"/>
                    </w:rPr>
                    <w:t> ;</w:t>
                  </w:r>
                </w:p>
                <w:p w:rsidR="00F04EEF" w:rsidRDefault="0099351E">
                  <w:pPr>
                    <w:pStyle w:val="Corpsdetexte21"/>
                    <w:tabs>
                      <w:tab w:val="left" w:pos="1276"/>
                    </w:tabs>
                    <w:ind w:left="992" w:hanging="425"/>
                    <w:jc w:val="both"/>
                    <w:rPr>
                      <w:rFonts w:asciiTheme="minorHAnsi" w:hAnsiTheme="minorHAnsi" w:cstheme="minorHAnsi"/>
                      <w:sz w:val="22"/>
                      <w:szCs w:val="22"/>
                    </w:rPr>
                  </w:pPr>
                  <w:r>
                    <w:rPr>
                      <w:rFonts w:asciiTheme="minorHAnsi" w:hAnsiTheme="minorHAnsi" w:cstheme="minorHAnsi"/>
                      <w:sz w:val="22"/>
                      <w:szCs w:val="22"/>
                    </w:rPr>
                    <w:t xml:space="preserve">b) </w:t>
                  </w:r>
                  <w:r>
                    <w:rPr>
                      <w:rFonts w:asciiTheme="minorHAnsi" w:hAnsiTheme="minorHAnsi" w:cstheme="minorHAnsi"/>
                      <w:b/>
                      <w:sz w:val="22"/>
                      <w:szCs w:val="22"/>
                    </w:rPr>
                    <w:t xml:space="preserve">dans le mois qui suit </w:t>
                  </w:r>
                  <w:r>
                    <w:rPr>
                      <w:rFonts w:asciiTheme="minorHAnsi" w:hAnsiTheme="minorHAnsi" w:cstheme="minorHAnsi"/>
                      <w:sz w:val="22"/>
                      <w:szCs w:val="22"/>
                    </w:rPr>
                    <w:t>(dans les 30 jours calendrier à dater du lendemain du jour de la notification),</w:t>
                  </w:r>
                  <w:r>
                    <w:rPr>
                      <w:rFonts w:asciiTheme="minorHAnsi" w:hAnsiTheme="minorHAnsi" w:cstheme="minorHAnsi"/>
                    </w:rPr>
                    <w:t xml:space="preserve"> </w:t>
                  </w:r>
                  <w:r>
                    <w:rPr>
                      <w:rFonts w:asciiTheme="minorHAnsi" w:hAnsiTheme="minorHAnsi" w:cstheme="minorHAnsi"/>
                      <w:sz w:val="22"/>
                      <w:szCs w:val="22"/>
                    </w:rPr>
                    <w:t>la survenance des faits;</w:t>
                  </w:r>
                </w:p>
                <w:p w:rsidR="00F04EEF" w:rsidRDefault="0099351E">
                  <w:pPr>
                    <w:pStyle w:val="Corpsdetexte21"/>
                    <w:tabs>
                      <w:tab w:val="left" w:pos="1276"/>
                    </w:tabs>
                    <w:ind w:left="992" w:hanging="425"/>
                    <w:jc w:val="both"/>
                    <w:rPr>
                      <w:rFonts w:asciiTheme="minorHAnsi" w:hAnsiTheme="minorHAnsi" w:cstheme="minorHAnsi"/>
                      <w:sz w:val="22"/>
                      <w:szCs w:val="22"/>
                    </w:rPr>
                  </w:pPr>
                  <w:r>
                    <w:rPr>
                      <w:rFonts w:asciiTheme="minorHAnsi" w:hAnsiTheme="minorHAnsi" w:cstheme="minorHAnsi"/>
                      <w:sz w:val="22"/>
                      <w:szCs w:val="22"/>
                    </w:rPr>
                    <w:t xml:space="preserve">c) </w:t>
                  </w:r>
                  <w:r>
                    <w:rPr>
                      <w:rFonts w:asciiTheme="minorHAnsi" w:hAnsiTheme="minorHAnsi" w:cstheme="minorHAnsi"/>
                      <w:b/>
                      <w:sz w:val="22"/>
                      <w:szCs w:val="22"/>
                    </w:rPr>
                    <w:t>en indiquant</w:t>
                  </w:r>
                  <w:r>
                    <w:rPr>
                      <w:rFonts w:asciiTheme="minorHAnsi" w:hAnsiTheme="minorHAnsi" w:cstheme="minorHAnsi"/>
                      <w:sz w:val="22"/>
                      <w:szCs w:val="22"/>
                    </w:rPr>
                    <w:t xml:space="preserve">, dans la mesure du possible, les causes, les circonstances et les conséquences probables de l’agression et en y joignant </w:t>
                  </w:r>
                  <w:r>
                    <w:rPr>
                      <w:rFonts w:asciiTheme="minorHAnsi" w:hAnsiTheme="minorHAnsi" w:cstheme="minorHAnsi"/>
                      <w:b/>
                      <w:sz w:val="22"/>
                      <w:szCs w:val="22"/>
                    </w:rPr>
                    <w:t>copie de la plainte</w:t>
                  </w:r>
                  <w:r>
                    <w:rPr>
                      <w:rFonts w:asciiTheme="minorHAnsi" w:hAnsiTheme="minorHAnsi" w:cstheme="minorHAnsi"/>
                      <w:sz w:val="22"/>
                      <w:szCs w:val="22"/>
                    </w:rPr>
                    <w:t xml:space="preserve"> déposée auprès des autorités judiciaires ainsi qu’une copie de l’attestation de la Direction des Accidents du Travail des personnels de l’Enseignement reconnaissant la victime d’un accident de travail résultant de l’acte de violence ;</w:t>
                  </w:r>
                </w:p>
                <w:p w:rsidR="00F04EEF" w:rsidRDefault="00F04EEF">
                  <w:pPr>
                    <w:pStyle w:val="Corpsdetexte21"/>
                    <w:jc w:val="both"/>
                    <w:rPr>
                      <w:rFonts w:asciiTheme="minorHAnsi" w:hAnsiTheme="minorHAnsi" w:cstheme="minorHAnsi"/>
                      <w:sz w:val="22"/>
                      <w:szCs w:val="22"/>
                    </w:rPr>
                  </w:pPr>
                </w:p>
                <w:p w:rsidR="00F04EEF" w:rsidRDefault="0099351E">
                  <w:pPr>
                    <w:pStyle w:val="Corpsdetexte21"/>
                    <w:jc w:val="both"/>
                    <w:rPr>
                      <w:rFonts w:asciiTheme="minorHAnsi" w:hAnsiTheme="minorHAnsi" w:cstheme="minorHAnsi"/>
                      <w:sz w:val="22"/>
                      <w:szCs w:val="22"/>
                    </w:rPr>
                  </w:pPr>
                  <w:r>
                    <w:rPr>
                      <w:rFonts w:asciiTheme="minorHAnsi" w:hAnsiTheme="minorHAnsi" w:cstheme="minorHAnsi"/>
                      <w:sz w:val="22"/>
                      <w:szCs w:val="22"/>
                    </w:rPr>
                    <w:t>Remarque : il importe peu que la victime possède ou non tous les documents requis au moment de l’introduction de sa demande, le principal étant que la demande soit envoyée dans le mois de la survenance des faits.  Les documents manquants seront transmis dans les plus brefs délais.</w:t>
                  </w:r>
                </w:p>
                <w:p w:rsidR="00F04EEF" w:rsidRDefault="00F04EEF">
                  <w:pPr>
                    <w:pStyle w:val="Corpsdetexte21"/>
                    <w:ind w:hanging="12"/>
                    <w:jc w:val="both"/>
                    <w:rPr>
                      <w:rFonts w:asciiTheme="minorHAnsi" w:hAnsiTheme="minorHAnsi" w:cstheme="minorHAnsi"/>
                      <w:sz w:val="22"/>
                      <w:szCs w:val="22"/>
                    </w:rPr>
                  </w:pPr>
                </w:p>
                <w:p w:rsidR="00F04EEF" w:rsidRDefault="0099351E">
                  <w:pPr>
                    <w:pStyle w:val="Corpsdetexte21"/>
                    <w:ind w:left="566" w:hanging="283"/>
                    <w:jc w:val="both"/>
                    <w:rPr>
                      <w:rFonts w:asciiTheme="minorHAnsi" w:hAnsiTheme="minorHAnsi" w:cstheme="minorHAnsi"/>
                      <w:sz w:val="22"/>
                      <w:szCs w:val="22"/>
                    </w:rPr>
                  </w:pPr>
                  <w:r>
                    <w:rPr>
                      <w:rFonts w:asciiTheme="minorHAnsi" w:hAnsiTheme="minorHAnsi" w:cstheme="minorHAnsi"/>
                      <w:sz w:val="22"/>
                      <w:szCs w:val="22"/>
                    </w:rPr>
                    <w:t>2</w:t>
                  </w:r>
                  <w:r>
                    <w:rPr>
                      <w:rFonts w:asciiTheme="minorHAnsi" w:hAnsiTheme="minorHAnsi" w:cstheme="minorHAnsi"/>
                      <w:b/>
                      <w:sz w:val="22"/>
                      <w:szCs w:val="22"/>
                    </w:rPr>
                    <w:t>) Copie de la demande</w:t>
                  </w:r>
                  <w:r>
                    <w:rPr>
                      <w:rFonts w:asciiTheme="minorHAnsi" w:hAnsiTheme="minorHAnsi" w:cstheme="minorHAnsi"/>
                      <w:sz w:val="22"/>
                      <w:szCs w:val="22"/>
                    </w:rPr>
                    <w:t xml:space="preserve"> doit être adressée par la victime selon son statut au chef d’établissement pour les établissements organisés par la Fédération Wallonie-Bruxelles ou au pouvoir organisateur  pour les établissements et les centres PMS subventionnés par la Fédération Wallonie-Bruxelles ou au directeur du centre PMS pour les centres organisés par la Fédération Wallonie-Bruxelles :</w:t>
                  </w:r>
                </w:p>
                <w:p w:rsidR="00F04EEF" w:rsidRDefault="0099351E">
                  <w:pPr>
                    <w:pStyle w:val="Corpsdetexte21"/>
                    <w:ind w:firstLine="708"/>
                    <w:jc w:val="both"/>
                    <w:rPr>
                      <w:rFonts w:asciiTheme="minorHAnsi" w:hAnsiTheme="minorHAnsi" w:cstheme="minorHAnsi"/>
                      <w:sz w:val="22"/>
                      <w:szCs w:val="22"/>
                    </w:rPr>
                  </w:pPr>
                  <w:r>
                    <w:rPr>
                      <w:rFonts w:asciiTheme="minorHAnsi" w:hAnsiTheme="minorHAnsi" w:cstheme="minorHAnsi"/>
                      <w:sz w:val="22"/>
                      <w:szCs w:val="22"/>
                    </w:rPr>
                    <w:t xml:space="preserve">a) </w:t>
                  </w:r>
                  <w:r>
                    <w:rPr>
                      <w:rFonts w:asciiTheme="minorHAnsi" w:hAnsiTheme="minorHAnsi" w:cstheme="minorHAnsi"/>
                      <w:b/>
                      <w:sz w:val="22"/>
                      <w:szCs w:val="22"/>
                    </w:rPr>
                    <w:t>par recommandé</w:t>
                  </w:r>
                  <w:r>
                    <w:rPr>
                      <w:rFonts w:asciiTheme="minorHAnsi" w:hAnsiTheme="minorHAnsi" w:cstheme="minorHAnsi"/>
                      <w:sz w:val="22"/>
                      <w:szCs w:val="22"/>
                    </w:rPr>
                    <w:t xml:space="preserve"> avec accusé de réception ;</w:t>
                  </w:r>
                </w:p>
                <w:p w:rsidR="00F04EEF" w:rsidRDefault="0099351E">
                  <w:pPr>
                    <w:pStyle w:val="Corpsdetexte21"/>
                    <w:ind w:firstLine="708"/>
                    <w:jc w:val="both"/>
                    <w:rPr>
                      <w:rFonts w:asciiTheme="minorHAnsi" w:hAnsiTheme="minorHAnsi" w:cstheme="minorHAnsi"/>
                      <w:sz w:val="22"/>
                      <w:szCs w:val="22"/>
                    </w:rPr>
                  </w:pPr>
                  <w:r>
                    <w:rPr>
                      <w:rFonts w:asciiTheme="minorHAnsi" w:hAnsiTheme="minorHAnsi" w:cstheme="minorHAnsi"/>
                      <w:sz w:val="22"/>
                      <w:szCs w:val="22"/>
                    </w:rPr>
                    <w:t xml:space="preserve">b) </w:t>
                  </w:r>
                  <w:r>
                    <w:rPr>
                      <w:rFonts w:asciiTheme="minorHAnsi" w:hAnsiTheme="minorHAnsi" w:cstheme="minorHAnsi"/>
                      <w:b/>
                      <w:sz w:val="22"/>
                      <w:szCs w:val="22"/>
                    </w:rPr>
                    <w:t xml:space="preserve">dans le mois qui suit </w:t>
                  </w:r>
                  <w:r>
                    <w:rPr>
                      <w:rFonts w:asciiTheme="minorHAnsi" w:hAnsiTheme="minorHAnsi" w:cstheme="minorHAnsi"/>
                      <w:sz w:val="22"/>
                      <w:szCs w:val="22"/>
                    </w:rPr>
                    <w:t>(dans les 30 jours calendrier à dater du lendemain du jour de la notification de l’exclusion définitive),</w:t>
                  </w:r>
                  <w:r>
                    <w:rPr>
                      <w:rFonts w:asciiTheme="minorHAnsi" w:hAnsiTheme="minorHAnsi" w:cstheme="minorHAnsi"/>
                    </w:rPr>
                    <w:t xml:space="preserve"> </w:t>
                  </w:r>
                  <w:r>
                    <w:rPr>
                      <w:rFonts w:asciiTheme="minorHAnsi" w:hAnsiTheme="minorHAnsi" w:cstheme="minorHAnsi"/>
                      <w:sz w:val="22"/>
                      <w:szCs w:val="22"/>
                    </w:rPr>
                    <w:t>la survenance des faits;</w:t>
                  </w:r>
                </w:p>
                <w:p w:rsidR="00F04EEF" w:rsidRDefault="00F04EEF">
                  <w:pPr>
                    <w:pStyle w:val="Corpsdetexte21"/>
                    <w:ind w:firstLine="708"/>
                    <w:jc w:val="both"/>
                    <w:rPr>
                      <w:rFonts w:asciiTheme="majorHAnsi" w:hAnsiTheme="majorHAnsi"/>
                      <w:sz w:val="22"/>
                      <w:szCs w:val="22"/>
                    </w:rPr>
                  </w:pPr>
                </w:p>
                <w:p w:rsidR="00F04EEF" w:rsidRDefault="0099351E">
                  <w:pPr>
                    <w:rPr>
                      <w:rFonts w:eastAsia="Times New Roman" w:cs="Arial"/>
                      <w:b/>
                      <w:szCs w:val="20"/>
                      <w:u w:val="single"/>
                      <w:lang w:eastAsia="ar-SA"/>
                    </w:rPr>
                  </w:pPr>
                  <w:r>
                    <w:br w:type="page"/>
                  </w:r>
                </w:p>
                <w:p w:rsidR="00F04EEF" w:rsidRDefault="0099351E">
                  <w:pPr>
                    <w:pStyle w:val="Titre7"/>
                  </w:pPr>
                  <w:r>
                    <w:t>1.6.2.3.2. Rôle du chef d’établissement ou du pouvoir organisateur ou du directeur du centre PMS</w:t>
                  </w:r>
                </w:p>
                <w:p w:rsidR="00F04EEF" w:rsidRDefault="00F04EEF">
                  <w:pPr>
                    <w:pStyle w:val="Corpsdetexte21"/>
                    <w:jc w:val="both"/>
                    <w:rPr>
                      <w:rFonts w:asciiTheme="majorHAnsi" w:hAnsiTheme="majorHAnsi"/>
                      <w:b/>
                      <w:i/>
                      <w:sz w:val="22"/>
                      <w:szCs w:val="22"/>
                    </w:rPr>
                  </w:pPr>
                </w:p>
                <w:p w:rsidR="00F04EEF" w:rsidRDefault="0099351E">
                  <w:pPr>
                    <w:pStyle w:val="Corpsdetexte21"/>
                    <w:jc w:val="both"/>
                    <w:rPr>
                      <w:rFonts w:asciiTheme="majorHAnsi" w:hAnsiTheme="majorHAnsi"/>
                      <w:sz w:val="22"/>
                      <w:szCs w:val="22"/>
                    </w:rPr>
                  </w:pPr>
                  <w:r>
                    <w:rPr>
                      <w:rFonts w:asciiTheme="majorHAnsi" w:hAnsiTheme="majorHAnsi"/>
                      <w:b/>
                      <w:sz w:val="22"/>
                      <w:szCs w:val="22"/>
                    </w:rPr>
                    <w:t>Dans les 3 jours ouvrables</w:t>
                  </w:r>
                  <w:r>
                    <w:rPr>
                      <w:rFonts w:asciiTheme="majorHAnsi" w:hAnsiTheme="majorHAnsi"/>
                      <w:sz w:val="22"/>
                      <w:szCs w:val="22"/>
                    </w:rPr>
                    <w:t xml:space="preserve"> de la réception de la copie de la demande d’assistance, le chef d’établissement, le PO ou le directeur du CPMS fait parvenir </w:t>
                  </w:r>
                  <w:r>
                    <w:rPr>
                      <w:rFonts w:asciiTheme="majorHAnsi" w:hAnsiTheme="majorHAnsi"/>
                      <w:b/>
                      <w:sz w:val="22"/>
                      <w:szCs w:val="22"/>
                    </w:rPr>
                    <w:t>son avis</w:t>
                  </w:r>
                  <w:r>
                    <w:rPr>
                      <w:rFonts w:asciiTheme="majorHAnsi" w:hAnsiTheme="majorHAnsi"/>
                      <w:sz w:val="22"/>
                      <w:szCs w:val="22"/>
                    </w:rPr>
                    <w:t xml:space="preserve"> sur la demande à la Direction générale de l’Enseignement</w:t>
                  </w:r>
                  <w:r>
                    <w:rPr>
                      <w:rStyle w:val="Caractresdenotedebasdepage"/>
                      <w:sz w:val="22"/>
                      <w:szCs w:val="22"/>
                    </w:rPr>
                    <w:footnoteReference w:id="80"/>
                  </w:r>
                  <w:r>
                    <w:rPr>
                      <w:rFonts w:asciiTheme="majorHAnsi" w:hAnsiTheme="majorHAnsi"/>
                      <w:sz w:val="22"/>
                      <w:szCs w:val="22"/>
                    </w:rPr>
                    <w:t xml:space="preserve"> obligatoire et une copie de son avis à la victime.</w:t>
                  </w:r>
                </w:p>
                <w:p w:rsidR="00F04EEF" w:rsidRDefault="00F04EEF">
                  <w:pPr>
                    <w:pStyle w:val="Corpsdetexte21"/>
                    <w:jc w:val="both"/>
                    <w:rPr>
                      <w:rFonts w:asciiTheme="majorHAnsi" w:hAnsiTheme="majorHAnsi"/>
                      <w:sz w:val="22"/>
                      <w:szCs w:val="22"/>
                    </w:rPr>
                  </w:pPr>
                </w:p>
                <w:p w:rsidR="00F04EEF" w:rsidRDefault="0099351E">
                  <w:pPr>
                    <w:pStyle w:val="Titre7"/>
                  </w:pPr>
                  <w:r>
                    <w:t xml:space="preserve">1.6.2.3.3. De la décision d’octroi ou non de l’assistance </w:t>
                  </w:r>
                </w:p>
                <w:p w:rsidR="00F04EEF" w:rsidRDefault="00F04EEF">
                  <w:pPr>
                    <w:jc w:val="both"/>
                    <w:rPr>
                      <w:b/>
                      <w:u w:val="single"/>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La décision d’octroi de l’assistance est prise dans les 15 jours ouvrables qui suivent la réception de la demande introduite par la victime d’une agression, par la Direction générale de l’Enseignement obligatoire.</w:t>
                  </w:r>
                </w:p>
                <w:p w:rsidR="00F04EEF" w:rsidRDefault="00F04EEF">
                  <w:pPr>
                    <w:pStyle w:val="Corpsdetexte21"/>
                    <w:jc w:val="both"/>
                    <w:rPr>
                      <w:rFonts w:asciiTheme="majorHAnsi" w:hAnsiTheme="majorHAnsi"/>
                      <w:sz w:val="22"/>
                      <w:szCs w:val="22"/>
                    </w:rPr>
                  </w:pPr>
                </w:p>
                <w:p w:rsidR="00F04EEF" w:rsidRDefault="0099351E">
                  <w:pPr>
                    <w:pStyle w:val="Titre7"/>
                  </w:pPr>
                  <w:r>
                    <w:t xml:space="preserve">1.6.2.3.4. Du recours auprès du Ministre </w:t>
                  </w:r>
                </w:p>
                <w:p w:rsidR="00F04EEF" w:rsidRDefault="00F04EEF">
                  <w:pPr>
                    <w:pStyle w:val="Corpsdetexte21"/>
                    <w:jc w:val="both"/>
                    <w:rPr>
                      <w:rFonts w:asciiTheme="majorHAnsi" w:hAnsiTheme="majorHAnsi"/>
                      <w:b/>
                      <w: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Si la décision de la Direction générale de l’Enseignement obligatoire est négative, la victime de l’agression peut introduire un recours auprès du Ministre qui a l’Enseignement obligatoire dans ses attributions.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Bien que ce soit le Ministre qui statue sur le recours, celui-ci doit être adressé :</w:t>
                  </w:r>
                </w:p>
                <w:p w:rsidR="00F04EEF" w:rsidRDefault="00F04EEF">
                  <w:pPr>
                    <w:pStyle w:val="Corpsdetexte21"/>
                    <w:jc w:val="both"/>
                    <w:rPr>
                      <w:rFonts w:asciiTheme="majorHAnsi" w:hAnsiTheme="majorHAnsi"/>
                      <w:sz w:val="22"/>
                      <w:szCs w:val="22"/>
                    </w:rPr>
                  </w:pPr>
                </w:p>
                <w:p w:rsidR="00F04EEF" w:rsidRDefault="0099351E">
                  <w:pPr>
                    <w:pStyle w:val="Corpsdetexte21"/>
                    <w:ind w:left="851" w:hanging="284"/>
                    <w:jc w:val="both"/>
                    <w:rPr>
                      <w:rFonts w:asciiTheme="majorHAnsi" w:hAnsiTheme="majorHAnsi"/>
                      <w:sz w:val="22"/>
                      <w:szCs w:val="22"/>
                    </w:rPr>
                  </w:pPr>
                  <w:r>
                    <w:rPr>
                      <w:rFonts w:asciiTheme="majorHAnsi" w:hAnsiTheme="majorHAnsi"/>
                      <w:sz w:val="22"/>
                      <w:szCs w:val="22"/>
                    </w:rPr>
                    <w:t xml:space="preserve">1) à </w:t>
                  </w:r>
                  <w:r>
                    <w:rPr>
                      <w:rFonts w:asciiTheme="majorHAnsi" w:hAnsiTheme="majorHAnsi"/>
                      <w:b/>
                      <w:sz w:val="22"/>
                      <w:szCs w:val="22"/>
                    </w:rPr>
                    <w:t>la Direction générale de l’Enseignement obligatoire</w:t>
                  </w:r>
                  <w:r>
                    <w:rPr>
                      <w:rFonts w:asciiTheme="majorHAnsi" w:hAnsiTheme="majorHAnsi"/>
                      <w:sz w:val="22"/>
                      <w:szCs w:val="22"/>
                    </w:rPr>
                    <w:t>, Service des Inscriptions et de l’Assistance aux Etablissements scolaires, rue Adolphe Lavallée, 1 à 1080 BRUXELLES ;</w:t>
                  </w:r>
                </w:p>
                <w:p w:rsidR="00F04EEF" w:rsidRDefault="0099351E">
                  <w:pPr>
                    <w:pStyle w:val="Corpsdetexte21"/>
                    <w:ind w:left="851" w:hanging="284"/>
                    <w:jc w:val="both"/>
                    <w:rPr>
                      <w:rFonts w:asciiTheme="majorHAnsi" w:hAnsiTheme="majorHAnsi"/>
                      <w:sz w:val="22"/>
                      <w:szCs w:val="22"/>
                    </w:rPr>
                  </w:pPr>
                  <w:r>
                    <w:rPr>
                      <w:rFonts w:asciiTheme="majorHAnsi" w:hAnsiTheme="majorHAnsi"/>
                      <w:sz w:val="22"/>
                      <w:szCs w:val="22"/>
                    </w:rPr>
                    <w:t xml:space="preserve">2) par </w:t>
                  </w:r>
                  <w:r>
                    <w:rPr>
                      <w:rFonts w:asciiTheme="majorHAnsi" w:hAnsiTheme="majorHAnsi"/>
                      <w:b/>
                      <w:sz w:val="22"/>
                      <w:szCs w:val="22"/>
                    </w:rPr>
                    <w:t>lettre recommandée</w:t>
                  </w:r>
                  <w:r>
                    <w:rPr>
                      <w:rFonts w:asciiTheme="majorHAnsi" w:hAnsiTheme="majorHAnsi"/>
                      <w:sz w:val="22"/>
                      <w:szCs w:val="22"/>
                    </w:rPr>
                    <w:t> ;</w:t>
                  </w:r>
                </w:p>
                <w:p w:rsidR="00F04EEF" w:rsidRDefault="0099351E">
                  <w:pPr>
                    <w:pStyle w:val="Corpsdetexte21"/>
                    <w:ind w:left="851" w:hanging="284"/>
                    <w:jc w:val="both"/>
                    <w:rPr>
                      <w:rFonts w:asciiTheme="majorHAnsi" w:hAnsiTheme="majorHAnsi"/>
                      <w:sz w:val="22"/>
                      <w:szCs w:val="22"/>
                    </w:rPr>
                  </w:pPr>
                  <w:r>
                    <w:rPr>
                      <w:rFonts w:asciiTheme="majorHAnsi" w:hAnsiTheme="majorHAnsi"/>
                      <w:sz w:val="22"/>
                      <w:szCs w:val="22"/>
                    </w:rPr>
                    <w:t xml:space="preserve">3) dans les </w:t>
                  </w:r>
                  <w:r>
                    <w:rPr>
                      <w:rFonts w:asciiTheme="majorHAnsi" w:hAnsiTheme="majorHAnsi"/>
                      <w:b/>
                      <w:sz w:val="22"/>
                      <w:szCs w:val="22"/>
                    </w:rPr>
                    <w:t>15 jours ouvrables</w:t>
                  </w:r>
                  <w:r>
                    <w:rPr>
                      <w:rFonts w:asciiTheme="majorHAnsi" w:hAnsiTheme="majorHAnsi"/>
                      <w:sz w:val="22"/>
                      <w:szCs w:val="22"/>
                    </w:rPr>
                    <w:t xml:space="preserve"> qui suivent la notification du refus d’octroi d’assistance.</w:t>
                  </w:r>
                </w:p>
                <w:p w:rsidR="00F04EEF" w:rsidRDefault="00F04EEF">
                  <w:pPr>
                    <w:pStyle w:val="Corpsdetexte21"/>
                    <w:jc w:val="both"/>
                    <w:rPr>
                      <w:rFonts w:asciiTheme="majorHAnsi" w:hAnsiTheme="majorHAnsi"/>
                      <w:sz w:val="22"/>
                      <w:szCs w:val="22"/>
                    </w:rPr>
                  </w:pPr>
                </w:p>
                <w:p w:rsidR="00F04EEF" w:rsidRDefault="0099351E">
                  <w:pPr>
                    <w:pStyle w:val="Titre7"/>
                  </w:pPr>
                  <w:r>
                    <w:t xml:space="preserve">1.6.2.3.5. De la gestion du dossier par la Direction des Affaires juridiques et contentieuses </w:t>
                  </w:r>
                </w:p>
                <w:p w:rsidR="00F04EEF" w:rsidRDefault="00F04EEF">
                  <w:pPr>
                    <w:pStyle w:val="Corpsdetexte21"/>
                    <w:jc w:val="both"/>
                    <w:rPr>
                      <w:rFonts w:asciiTheme="majorHAnsi" w:hAnsiTheme="majorHAnsi"/>
                      <w:b/>
                      <w:i/>
                      <w:sz w:val="22"/>
                      <w:szCs w:val="22"/>
                    </w:rPr>
                  </w:pPr>
                </w:p>
                <w:p w:rsidR="00F04EEF" w:rsidRDefault="0099351E">
                  <w:pPr>
                    <w:pStyle w:val="Corpsdetexte21"/>
                    <w:numPr>
                      <w:ilvl w:val="0"/>
                      <w:numId w:val="288"/>
                    </w:numPr>
                    <w:jc w:val="both"/>
                    <w:rPr>
                      <w:rFonts w:asciiTheme="majorHAnsi" w:hAnsiTheme="majorHAnsi"/>
                      <w:sz w:val="22"/>
                      <w:szCs w:val="22"/>
                    </w:rPr>
                  </w:pPr>
                  <w:r>
                    <w:rPr>
                      <w:rFonts w:asciiTheme="majorHAnsi" w:hAnsiTheme="majorHAnsi"/>
                      <w:sz w:val="22"/>
                      <w:szCs w:val="22"/>
                    </w:rPr>
                    <w:t xml:space="preserve">De la gestion du dossier. </w:t>
                  </w:r>
                </w:p>
                <w:p w:rsidR="00F04EEF" w:rsidRDefault="0099351E">
                  <w:pPr>
                    <w:pStyle w:val="Corpsdetexte21"/>
                    <w:jc w:val="both"/>
                    <w:rPr>
                      <w:rFonts w:asciiTheme="majorHAnsi" w:hAnsiTheme="majorHAnsi"/>
                      <w:b/>
                      <w:sz w:val="22"/>
                      <w:szCs w:val="22"/>
                    </w:rPr>
                  </w:pPr>
                  <w:r>
                    <w:rPr>
                      <w:rFonts w:asciiTheme="majorHAnsi" w:hAnsiTheme="majorHAnsi"/>
                      <w:sz w:val="22"/>
                      <w:szCs w:val="22"/>
                    </w:rPr>
                    <w:t xml:space="preserve">Une fois que la décision d’octroi ou de refus a été prise par la Direction générale de l’Enseignement obligatoire, le dossier est géré par la Direction des Affaires juridiques et contentieuses, </w:t>
                  </w:r>
                  <w:r>
                    <w:rPr>
                      <w:rFonts w:asciiTheme="majorHAnsi" w:hAnsiTheme="majorHAnsi"/>
                      <w:b/>
                      <w:sz w:val="22"/>
                      <w:szCs w:val="22"/>
                    </w:rPr>
                    <w:t>Boulevard Léopold II, 44 à 1080 BRUXELLES.</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Cette Direction est compétente pour :</w:t>
                  </w:r>
                </w:p>
                <w:p w:rsidR="00F04EEF" w:rsidRDefault="0099351E">
                  <w:pPr>
                    <w:pStyle w:val="Corpsdetexte21"/>
                    <w:numPr>
                      <w:ilvl w:val="0"/>
                      <w:numId w:val="68"/>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gérer l’assistance en justice et/ou psychologique d’urgence ;</w:t>
                  </w:r>
                </w:p>
                <w:p w:rsidR="00F04EEF" w:rsidRDefault="0099351E">
                  <w:pPr>
                    <w:pStyle w:val="Corpsdetexte21"/>
                    <w:numPr>
                      <w:ilvl w:val="0"/>
                      <w:numId w:val="68"/>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recevoir et statuer sur la demande de la victime sollicitant l’autorisation de dépasser le seuil de 3718,40 Euros relatif à la prise en charge des honoraires et frais d’avocat, de procédure et de consultation psychologique et/ou psychiatrique ;</w:t>
                  </w:r>
                </w:p>
                <w:p w:rsidR="00F04EEF" w:rsidRDefault="0099351E">
                  <w:pPr>
                    <w:pStyle w:val="Corpsdetexte21"/>
                    <w:numPr>
                      <w:ilvl w:val="0"/>
                      <w:numId w:val="68"/>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apprécier les états de frais et d’honoraires ordinaires ou exceptionnels ;</w:t>
                  </w:r>
                </w:p>
                <w:p w:rsidR="00F04EEF" w:rsidRDefault="0099351E">
                  <w:pPr>
                    <w:pStyle w:val="Corpsdetexte21"/>
                    <w:numPr>
                      <w:ilvl w:val="0"/>
                      <w:numId w:val="68"/>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décider de refuser ou d’interrompre son intervention.</w:t>
                  </w:r>
                </w:p>
                <w:p w:rsidR="00F04EEF" w:rsidRDefault="00F04EEF">
                  <w:pPr>
                    <w:pStyle w:val="Corpsdetexte21"/>
                    <w:jc w:val="both"/>
                    <w:rPr>
                      <w:rFonts w:asciiTheme="majorHAnsi" w:hAnsiTheme="majorHAnsi"/>
                      <w:sz w:val="22"/>
                      <w:szCs w:val="22"/>
                    </w:rPr>
                  </w:pPr>
                </w:p>
                <w:p w:rsidR="00F04EEF" w:rsidRDefault="0099351E">
                  <w:pPr>
                    <w:pStyle w:val="Corpsdetexte21"/>
                    <w:numPr>
                      <w:ilvl w:val="0"/>
                      <w:numId w:val="288"/>
                    </w:numPr>
                    <w:jc w:val="both"/>
                    <w:rPr>
                      <w:rFonts w:asciiTheme="majorHAnsi" w:hAnsiTheme="majorHAnsi"/>
                      <w:sz w:val="22"/>
                      <w:szCs w:val="22"/>
                    </w:rPr>
                  </w:pPr>
                  <w:r>
                    <w:rPr>
                      <w:rFonts w:asciiTheme="majorHAnsi" w:hAnsiTheme="majorHAnsi"/>
                      <w:sz w:val="22"/>
                      <w:szCs w:val="22"/>
                    </w:rPr>
                    <w:t xml:space="preserve">Des pièces justificatives </w:t>
                  </w:r>
                </w:p>
                <w:p w:rsidR="00F04EEF" w:rsidRDefault="0099351E">
                  <w:pPr>
                    <w:pStyle w:val="Corpsdetexte21"/>
                    <w:jc w:val="both"/>
                    <w:rPr>
                      <w:rFonts w:asciiTheme="majorHAnsi" w:hAnsiTheme="majorHAnsi"/>
                      <w:sz w:val="22"/>
                      <w:szCs w:val="22"/>
                    </w:rPr>
                  </w:pPr>
                  <w:r>
                    <w:rPr>
                      <w:rFonts w:asciiTheme="majorHAnsi" w:hAnsiTheme="majorHAnsi"/>
                      <w:sz w:val="22"/>
                      <w:szCs w:val="22"/>
                    </w:rPr>
                    <w:t>Tout document attestant d’une dépense relative à l’assistance en justice et/ou psychologique doit être remis à la Direction des Affaires juridiques et contentieuses dans les 10 jours.</w:t>
                  </w:r>
                </w:p>
                <w:p w:rsidR="00F04EEF" w:rsidRDefault="0099351E">
                  <w:pPr>
                    <w:pStyle w:val="Corpsdetexte21"/>
                    <w:jc w:val="both"/>
                    <w:rPr>
                      <w:rFonts w:asciiTheme="majorHAnsi" w:hAnsiTheme="majorHAnsi"/>
                      <w:sz w:val="22"/>
                      <w:szCs w:val="22"/>
                    </w:rPr>
                  </w:pPr>
                  <w:r>
                    <w:rPr>
                      <w:rFonts w:asciiTheme="majorHAnsi" w:hAnsiTheme="majorHAnsi"/>
                      <w:sz w:val="22"/>
                      <w:szCs w:val="22"/>
                    </w:rPr>
                    <w:t>Il est conseillé à la victime de garder une copie de tout son dossier.</w:t>
                  </w:r>
                </w:p>
                <w:p w:rsidR="00F04EEF" w:rsidRDefault="00F04EEF">
                  <w:pPr>
                    <w:pStyle w:val="Corpsdetexte21"/>
                    <w:jc w:val="both"/>
                    <w:rPr>
                      <w:rFonts w:asciiTheme="majorHAnsi" w:hAnsiTheme="majorHAnsi"/>
                      <w:sz w:val="22"/>
                      <w:szCs w:val="22"/>
                    </w:rPr>
                  </w:pPr>
                </w:p>
                <w:p w:rsidR="00F04EEF" w:rsidRDefault="0099351E">
                  <w:pPr>
                    <w:pStyle w:val="Titre7"/>
                  </w:pPr>
                  <w:r>
                    <w:t>1.6.2.3.6. De la prise en charge exceptionnelle</w:t>
                  </w:r>
                </w:p>
                <w:p w:rsidR="00F04EEF" w:rsidRDefault="00F04EEF">
                  <w:pPr>
                    <w:pStyle w:val="Corpsdetexte21"/>
                    <w:jc w:val="both"/>
                    <w:rPr>
                      <w:rFonts w:asciiTheme="majorHAnsi" w:hAnsiTheme="majorHAnsi"/>
                      <w:b/>
                      <w: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Pour bénéficier d’une prise en charge des frais d’assistance supérieure à 3718,40 euros telle que mentionnée au point I.B.2 de la présente circulaire, la victime doit introduire :</w:t>
                  </w:r>
                </w:p>
                <w:p w:rsidR="00F04EEF" w:rsidRDefault="00F04EEF">
                  <w:pPr>
                    <w:pStyle w:val="Corpsdetexte21"/>
                    <w:jc w:val="both"/>
                    <w:rPr>
                      <w:rFonts w:asciiTheme="majorHAnsi" w:hAnsiTheme="majorHAnsi"/>
                      <w:sz w:val="22"/>
                      <w:szCs w:val="22"/>
                    </w:rPr>
                  </w:pPr>
                </w:p>
                <w:p w:rsidR="00F04EEF" w:rsidRDefault="0099351E">
                  <w:pPr>
                    <w:pStyle w:val="Corpsdetexte21"/>
                    <w:ind w:left="579" w:hanging="12"/>
                    <w:jc w:val="both"/>
                    <w:rPr>
                      <w:rFonts w:asciiTheme="majorHAnsi" w:hAnsiTheme="majorHAnsi"/>
                      <w:sz w:val="22"/>
                      <w:szCs w:val="22"/>
                    </w:rPr>
                  </w:pPr>
                  <w:r>
                    <w:rPr>
                      <w:rFonts w:asciiTheme="majorHAnsi" w:hAnsiTheme="majorHAnsi"/>
                      <w:sz w:val="22"/>
                      <w:szCs w:val="22"/>
                    </w:rPr>
                    <w:t>1) une demande dûment motivée ;</w:t>
                  </w:r>
                </w:p>
                <w:p w:rsidR="00F04EEF" w:rsidRDefault="0099351E">
                  <w:pPr>
                    <w:pStyle w:val="Corpsdetexte21"/>
                    <w:ind w:left="579" w:hanging="12"/>
                    <w:jc w:val="both"/>
                    <w:rPr>
                      <w:rFonts w:asciiTheme="majorHAnsi" w:hAnsiTheme="majorHAnsi"/>
                      <w:sz w:val="22"/>
                      <w:szCs w:val="22"/>
                    </w:rPr>
                  </w:pPr>
                  <w:r>
                    <w:rPr>
                      <w:rFonts w:asciiTheme="majorHAnsi" w:hAnsiTheme="majorHAnsi"/>
                      <w:sz w:val="22"/>
                      <w:szCs w:val="22"/>
                    </w:rPr>
                    <w:t xml:space="preserve">2) auprès de la Direction des Affaires juridiques et contentieuses, </w:t>
                  </w:r>
                  <w:r>
                    <w:rPr>
                      <w:rFonts w:asciiTheme="majorHAnsi" w:hAnsiTheme="majorHAnsi"/>
                      <w:b/>
                      <w:sz w:val="22"/>
                      <w:szCs w:val="22"/>
                    </w:rPr>
                    <w:t>Boulevard Léopold II, 44 à 1080 BRUXELLES</w:t>
                  </w:r>
                </w:p>
                <w:p w:rsidR="00F04EEF" w:rsidRDefault="00F04EEF">
                  <w:pPr>
                    <w:pStyle w:val="Corpsdetexte21"/>
                    <w:ind w:hanging="12"/>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En cas de décision de refus de la Direction des Affaires juridiques et contentieuses, d’autoriser la victime à dépasser le seuil de 3718,40 euros, la victime ou, en cas de force majeure dûment justifié, son représentant, peut introduire un </w:t>
                  </w:r>
                  <w:r>
                    <w:rPr>
                      <w:rFonts w:asciiTheme="majorHAnsi" w:hAnsiTheme="majorHAnsi"/>
                      <w:b/>
                      <w:sz w:val="22"/>
                      <w:szCs w:val="22"/>
                    </w:rPr>
                    <w:t>recours auprès du Ministre</w:t>
                  </w:r>
                  <w:r>
                    <w:rPr>
                      <w:rFonts w:asciiTheme="majorHAnsi" w:hAnsiTheme="majorHAnsi"/>
                      <w:sz w:val="22"/>
                      <w:szCs w:val="22"/>
                    </w:rPr>
                    <w:t xml:space="preserve"> ayant la </w:t>
                  </w:r>
                  <w:r>
                    <w:rPr>
                      <w:rFonts w:asciiTheme="majorHAnsi" w:hAnsiTheme="majorHAnsi"/>
                      <w:b/>
                      <w:sz w:val="22"/>
                      <w:szCs w:val="22"/>
                    </w:rPr>
                    <w:t>Fonction publique</w:t>
                  </w:r>
                  <w:r>
                    <w:rPr>
                      <w:rFonts w:asciiTheme="majorHAnsi" w:hAnsiTheme="majorHAnsi"/>
                      <w:sz w:val="22"/>
                      <w:szCs w:val="22"/>
                    </w:rPr>
                    <w:t xml:space="preserve"> dans ses attributions </w:t>
                  </w:r>
                  <w:r>
                    <w:rPr>
                      <w:rFonts w:asciiTheme="majorHAnsi" w:hAnsiTheme="majorHAnsi"/>
                      <w:b/>
                      <w:sz w:val="22"/>
                      <w:szCs w:val="22"/>
                    </w:rPr>
                    <w:t>dans un délai de 20 jours ouvrables</w:t>
                  </w:r>
                  <w:r>
                    <w:rPr>
                      <w:rFonts w:asciiTheme="majorHAnsi" w:hAnsiTheme="majorHAnsi"/>
                      <w:sz w:val="22"/>
                      <w:szCs w:val="22"/>
                    </w:rPr>
                    <w:t>, à dater de la réception de la décision.</w:t>
                  </w:r>
                </w:p>
                <w:p w:rsidR="00F04EEF" w:rsidRDefault="00F04EEF">
                  <w:pPr>
                    <w:pStyle w:val="Corpsdetexte21"/>
                    <w:jc w:val="both"/>
                    <w:rPr>
                      <w:rFonts w:asciiTheme="majorHAnsi" w:hAnsiTheme="majorHAnsi"/>
                      <w:sz w:val="22"/>
                      <w:szCs w:val="22"/>
                    </w:rPr>
                  </w:pPr>
                </w:p>
                <w:p w:rsidR="00F04EEF" w:rsidRDefault="0099351E">
                  <w:pPr>
                    <w:pStyle w:val="Titre4"/>
                  </w:pPr>
                  <w:bookmarkStart w:id="816" w:name="_1.7_Collaboration_avec"/>
                  <w:bookmarkStart w:id="817" w:name="_1.7._Collaboration_avec"/>
                  <w:bookmarkStart w:id="818" w:name="_Collaboration_avec_les"/>
                  <w:bookmarkStart w:id="819" w:name="_Toc412204083"/>
                  <w:bookmarkStart w:id="820" w:name="_Toc414352891"/>
                  <w:bookmarkStart w:id="821" w:name="_Toc453836914"/>
                  <w:bookmarkEnd w:id="816"/>
                  <w:bookmarkEnd w:id="817"/>
                  <w:bookmarkEnd w:id="818"/>
                  <w:r>
                    <w:t>1.7. Collaboration avec les parents et les Associations de parents</w:t>
                  </w:r>
                  <w:bookmarkEnd w:id="819"/>
                  <w:bookmarkEnd w:id="820"/>
                  <w:bookmarkEnd w:id="821"/>
                  <w:r>
                    <w:rPr>
                      <w:rStyle w:val="Appelnotedebasdep"/>
                    </w:rPr>
                    <w:footnoteReference w:id="81"/>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La participation parentale est indéniablement un avantage, un atout pour donner aux élèves le maximum de chance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Les parents d’élèves régulièrement inscrits peuvent se réunir en une Association de parents, destinée à les représenter, au sein de tout établissement d’enseignement maternel, primaire, fondamental ou secondaire organisé ou subventionné par la Fédération Wallonie-Bruxelles. </w:t>
                  </w:r>
                </w:p>
                <w:p w:rsidR="00F04EEF" w:rsidRDefault="00F04EEF">
                  <w:pPr>
                    <w:pStyle w:val="Corpsdetexte"/>
                    <w:jc w:val="both"/>
                    <w:rPr>
                      <w:b w:val="0"/>
                      <w:szCs w:val="22"/>
                    </w:rPr>
                  </w:pPr>
                </w:p>
                <w:p w:rsidR="00F04EEF" w:rsidRDefault="0099351E">
                  <w:pPr>
                    <w:pStyle w:val="Corpsdetexte"/>
                    <w:jc w:val="both"/>
                    <w:rPr>
                      <w:b w:val="0"/>
                      <w:szCs w:val="22"/>
                    </w:rPr>
                  </w:pPr>
                  <w:proofErr w:type="gramStart"/>
                  <w:r>
                    <w:rPr>
                      <w:b w:val="0"/>
                      <w:szCs w:val="22"/>
                    </w:rPr>
                    <w:t>La</w:t>
                  </w:r>
                  <w:proofErr w:type="gramEnd"/>
                  <w:r>
                    <w:rPr>
                      <w:b w:val="0"/>
                      <w:szCs w:val="22"/>
                    </w:rPr>
                    <w:t xml:space="preserve"> circulaire n° 4182 du 11 octobre 2012 recense toutes les informations utiles et concrètes relative à cette possibilité offerte aux parents.</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Le chef d’établissement ou le pouvoir organisateur ou son délégué dans l’enseignement subventionné est le garant de cette liberté et à ce titre, il est chargé soit :</w:t>
                  </w:r>
                </w:p>
                <w:p w:rsidR="00F04EEF" w:rsidRDefault="00F04EEF">
                  <w:pPr>
                    <w:pStyle w:val="Corpsdetexte"/>
                    <w:jc w:val="both"/>
                    <w:rPr>
                      <w:b w:val="0"/>
                      <w:szCs w:val="22"/>
                    </w:rPr>
                  </w:pPr>
                </w:p>
                <w:p w:rsidR="00F04EEF" w:rsidRDefault="0099351E">
                  <w:pPr>
                    <w:pStyle w:val="Corpsdetexte"/>
                    <w:numPr>
                      <w:ilvl w:val="0"/>
                      <w:numId w:val="289"/>
                    </w:numPr>
                    <w:ind w:left="0" w:firstLine="0"/>
                    <w:jc w:val="both"/>
                    <w:rPr>
                      <w:b w:val="0"/>
                      <w:szCs w:val="22"/>
                    </w:rPr>
                  </w:pPr>
                  <w:r>
                    <w:rPr>
                      <w:b w:val="0"/>
                      <w:szCs w:val="22"/>
                    </w:rPr>
                    <w:t>d’organiser, dans le cas où il n’y a pas d’Association de parent et si aucun parent de l’établissement ne prend cette initiative, une première assemblée des parents avant le 1</w:t>
                  </w:r>
                  <w:r>
                    <w:rPr>
                      <w:b w:val="0"/>
                      <w:szCs w:val="22"/>
                      <w:vertAlign w:val="superscript"/>
                    </w:rPr>
                    <w:t>er</w:t>
                  </w:r>
                  <w:r>
                    <w:rPr>
                      <w:b w:val="0"/>
                      <w:szCs w:val="22"/>
                    </w:rPr>
                    <w:t xml:space="preserve"> novembre de chaque année scolaire en vue de la création d’une telle Association. Le chef d’établissement peut organiser cette assemblée selon des modalités liées à des contraintes propres à l’école ou selon des pratiques déjà existantes comme celles prévues pour l’organisation de comités scolaires, des ASBL, des amicales,...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Une collaboration avec le conseil de participation et l’organisation représentative des parents d’élèves au niveau communautaire sera sollicitée dans cette démarche.</w:t>
                  </w:r>
                </w:p>
                <w:p w:rsidR="00F04EEF" w:rsidRDefault="0099351E">
                  <w:pPr>
                    <w:pStyle w:val="Corpsdetexte"/>
                    <w:jc w:val="both"/>
                    <w:rPr>
                      <w:b w:val="0"/>
                      <w:szCs w:val="22"/>
                    </w:rPr>
                  </w:pPr>
                  <w:r>
                    <w:rPr>
                      <w:b w:val="0"/>
                      <w:szCs w:val="22"/>
                    </w:rPr>
                    <w:t>Les organisations représentatives d’Association de parents d’élèves disposent d’outils pour animer cette première réunion.</w:t>
                  </w:r>
                </w:p>
                <w:p w:rsidR="00F04EEF" w:rsidRDefault="00F04EEF">
                  <w:pPr>
                    <w:pStyle w:val="Corpsdetexte"/>
                    <w:jc w:val="both"/>
                    <w:rPr>
                      <w:b w:val="0"/>
                      <w:szCs w:val="22"/>
                    </w:rPr>
                  </w:pPr>
                </w:p>
                <w:p w:rsidR="00F04EEF" w:rsidRDefault="0099351E">
                  <w:pPr>
                    <w:pStyle w:val="Corpsdetexte"/>
                    <w:numPr>
                      <w:ilvl w:val="0"/>
                      <w:numId w:val="289"/>
                    </w:numPr>
                    <w:ind w:left="0" w:firstLine="0"/>
                    <w:jc w:val="both"/>
                    <w:rPr>
                      <w:b w:val="0"/>
                      <w:szCs w:val="22"/>
                    </w:rPr>
                  </w:pPr>
                  <w:r>
                    <w:rPr>
                      <w:b w:val="0"/>
                      <w:szCs w:val="22"/>
                    </w:rPr>
                    <w:t>de convoquer, dans le cas où une Association de parents existe déjà au sein de l’établissement, une assemblée générale des parents au moins une fois par an, avant le 1</w:t>
                  </w:r>
                  <w:r>
                    <w:rPr>
                      <w:b w:val="0"/>
                      <w:szCs w:val="22"/>
                      <w:vertAlign w:val="superscript"/>
                    </w:rPr>
                    <w:t>er</w:t>
                  </w:r>
                  <w:r>
                    <w:rPr>
                      <w:b w:val="0"/>
                      <w:szCs w:val="22"/>
                    </w:rPr>
                    <w:t xml:space="preserve"> novembre et de l’organiser conjointement avec le comité de l’Association de parents. Lors de cette assemblée, le chef d’établissement ou le pouvoir organisateur ou son délégué dans l’enseignement subventionné y est tenu d’évoquer le rôle et le fonctionnement du Conseil de participation et le rôle d’une Association de parents.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Par conséquent, le chef d’établissement ne peut pas s’opposer à la création d’une Association de parents au sein de son école, ni refuser de convoquer une assemblée générale des parents au moins une fois par an, avant le 1</w:t>
                  </w:r>
                  <w:r>
                    <w:rPr>
                      <w:b w:val="0"/>
                      <w:szCs w:val="22"/>
                      <w:vertAlign w:val="superscript"/>
                    </w:rPr>
                    <w:t>er</w:t>
                  </w:r>
                  <w:r>
                    <w:rPr>
                      <w:b w:val="0"/>
                      <w:szCs w:val="22"/>
                    </w:rPr>
                    <w:t xml:space="preserve"> novembre.</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Il appartient également au chef d’établissement dans l’enseignement organisé par la Communauté française, au pouvoir organisateur ou son délégué dans l’enseignement subventionné, à l’Administration et au Gouvernement, de s’assurer de :</w:t>
                  </w:r>
                </w:p>
                <w:p w:rsidR="00F04EEF" w:rsidRDefault="00F04EEF">
                  <w:pPr>
                    <w:pStyle w:val="Corpsdetexte"/>
                    <w:jc w:val="both"/>
                    <w:rPr>
                      <w:b w:val="0"/>
                      <w:szCs w:val="22"/>
                    </w:rPr>
                  </w:pPr>
                </w:p>
                <w:p w:rsidR="00F04EEF" w:rsidRDefault="0099351E">
                  <w:pPr>
                    <w:rPr>
                      <w:rFonts w:eastAsia="Times New Roman" w:cs="Arial"/>
                      <w:lang w:eastAsia="ar-SA"/>
                    </w:rPr>
                  </w:pPr>
                  <w:r>
                    <w:rPr>
                      <w:b/>
                    </w:rPr>
                    <w:br w:type="page"/>
                  </w:r>
                </w:p>
                <w:p w:rsidR="00F04EEF" w:rsidRDefault="0099351E">
                  <w:pPr>
                    <w:pStyle w:val="Corpsdetexte"/>
                    <w:numPr>
                      <w:ilvl w:val="0"/>
                      <w:numId w:val="290"/>
                    </w:numPr>
                    <w:ind w:left="0" w:firstLine="0"/>
                    <w:jc w:val="both"/>
                    <w:rPr>
                      <w:b w:val="0"/>
                      <w:szCs w:val="22"/>
                    </w:rPr>
                  </w:pPr>
                  <w:r>
                    <w:rPr>
                      <w:b w:val="0"/>
                      <w:szCs w:val="22"/>
                    </w:rPr>
                    <w:t xml:space="preserve">Mettre à disposition des infrastructures et du matériel nécessaires à la réalisation des missions de l’Association de parents, sans nuire au bon fonctionnement de l’établissement et selon les modalités concertées entre le Comité de l’Association de Parents et le chef d’établissement dans l’enseignement organisé par la Fédération Wallonie-Bruxelles ou selon des critères définis par le pouvoir organisateur ou son délégué dans l’enseignement subventionné par la Fédération Wallonie-Bruxelles, notamment en matière de convention et d’assurance pour ce qui concerne l’occupation des locaux. </w:t>
                  </w:r>
                </w:p>
                <w:p w:rsidR="00F04EEF" w:rsidRDefault="00F04EEF">
                  <w:pPr>
                    <w:pStyle w:val="Corpsdetexte"/>
                    <w:jc w:val="both"/>
                    <w:rPr>
                      <w:b w:val="0"/>
                      <w:szCs w:val="22"/>
                    </w:rPr>
                  </w:pPr>
                </w:p>
                <w:p w:rsidR="00F04EEF" w:rsidRDefault="0099351E">
                  <w:pPr>
                    <w:pStyle w:val="Corpsdetexte"/>
                    <w:numPr>
                      <w:ilvl w:val="0"/>
                      <w:numId w:val="290"/>
                    </w:numPr>
                    <w:ind w:left="0" w:firstLine="0"/>
                    <w:jc w:val="both"/>
                    <w:rPr>
                      <w:b w:val="0"/>
                      <w:szCs w:val="22"/>
                    </w:rPr>
                  </w:pPr>
                  <w:r>
                    <w:rPr>
                      <w:b w:val="0"/>
                      <w:szCs w:val="22"/>
                    </w:rPr>
                    <w:t xml:space="preserve">Transmettre, en temps utile, les circulaires et directives qui les concernent au comité de l’Association de parents, dans les mêmes conditions que les autres partenaires de la communauté éducative. </w:t>
                  </w:r>
                </w:p>
                <w:p w:rsidR="00F04EEF" w:rsidRDefault="00F04EEF">
                  <w:pPr>
                    <w:pStyle w:val="Corpsdetexte"/>
                    <w:jc w:val="both"/>
                    <w:rPr>
                      <w:b w:val="0"/>
                      <w:szCs w:val="22"/>
                    </w:rPr>
                  </w:pPr>
                </w:p>
                <w:p w:rsidR="00F04EEF" w:rsidRDefault="0099351E">
                  <w:pPr>
                    <w:pStyle w:val="Corpsdetexte"/>
                    <w:numPr>
                      <w:ilvl w:val="0"/>
                      <w:numId w:val="290"/>
                    </w:numPr>
                    <w:ind w:left="0" w:firstLine="0"/>
                    <w:jc w:val="both"/>
                    <w:rPr>
                      <w:b w:val="0"/>
                      <w:szCs w:val="22"/>
                    </w:rPr>
                  </w:pPr>
                  <w:r>
                    <w:rPr>
                      <w:b w:val="0"/>
                      <w:szCs w:val="22"/>
                    </w:rPr>
                    <w:t>Diffuser les documents de l’Association de parents qui seront identifiés clairement comme tels selon des modalités définies en concertation entre le comité de l’Association de parents et le chef d’établissement dans l’enseignement organisé par la Fédération Wallonie-Bruxelles ou par le pouvoir Organisateur ou son délégué dans l’enseignement subventionné par la Fédération Wallonie-Bruxelles. Si celui-ci refuse de diffuser un document émanant de l’Association de parents, il motivera sa décision</w:t>
                  </w:r>
                  <w:r>
                    <w:rPr>
                      <w:b w:val="0"/>
                      <w:szCs w:val="22"/>
                      <w:vertAlign w:val="superscript"/>
                    </w:rPr>
                    <w:footnoteReference w:id="82"/>
                  </w:r>
                  <w:r>
                    <w:rPr>
                      <w:b w:val="0"/>
                      <w:szCs w:val="22"/>
                    </w:rPr>
                    <w:t xml:space="preserve"> auprès de l’Association de parents. Tout document devra être clairement identifié comme émanant de ladite association de parents. </w:t>
                  </w:r>
                </w:p>
                <w:p w:rsidR="00F04EEF" w:rsidRDefault="00F04EEF">
                  <w:pPr>
                    <w:pStyle w:val="Corpsdetexte"/>
                    <w:jc w:val="both"/>
                    <w:rPr>
                      <w:b w:val="0"/>
                      <w:szCs w:val="22"/>
                    </w:rPr>
                  </w:pPr>
                </w:p>
                <w:p w:rsidR="00F04EEF" w:rsidRDefault="0099351E">
                  <w:pPr>
                    <w:pStyle w:val="Corpsdetexte"/>
                    <w:numPr>
                      <w:ilvl w:val="0"/>
                      <w:numId w:val="290"/>
                    </w:numPr>
                    <w:ind w:left="0" w:firstLine="0"/>
                    <w:jc w:val="both"/>
                    <w:rPr>
                      <w:b w:val="0"/>
                      <w:szCs w:val="22"/>
                    </w:rPr>
                  </w:pPr>
                  <w:r>
                    <w:rPr>
                      <w:b w:val="0"/>
                      <w:szCs w:val="22"/>
                    </w:rPr>
                    <w:t>Mettre à disposition de l’Association de parents un tableau d’affichage dans un endroit facilement accessible aux parents, avec le cas échéant, la mention des noms et coordonnées des membres du comité de l’association de parents.</w:t>
                  </w:r>
                </w:p>
                <w:p w:rsidR="00F04EEF" w:rsidRDefault="00F04EEF">
                  <w:pPr>
                    <w:pStyle w:val="Corpsdetexte"/>
                    <w:jc w:val="both"/>
                    <w:rPr>
                      <w:b w:val="0"/>
                      <w:szCs w:val="22"/>
                    </w:rPr>
                  </w:pPr>
                </w:p>
                <w:p w:rsidR="00F04EEF" w:rsidRDefault="0099351E">
                  <w:pPr>
                    <w:pStyle w:val="Corpsdetexte"/>
                    <w:numPr>
                      <w:ilvl w:val="0"/>
                      <w:numId w:val="290"/>
                    </w:numPr>
                    <w:ind w:left="0" w:firstLine="0"/>
                    <w:jc w:val="both"/>
                    <w:rPr>
                      <w:b w:val="0"/>
                      <w:szCs w:val="22"/>
                    </w:rPr>
                  </w:pPr>
                  <w:r>
                    <w:rPr>
                      <w:b w:val="0"/>
                      <w:szCs w:val="22"/>
                    </w:rPr>
                    <w:t>Porter à la connaissance de tous les parents d’élèves de l’établissement en début d’année scolaire, les coordonnées des membres du comité de l’Association de parents ;</w:t>
                  </w:r>
                </w:p>
                <w:p w:rsidR="00F04EEF" w:rsidRDefault="00F04EEF">
                  <w:pPr>
                    <w:rPr>
                      <w:b/>
                    </w:rPr>
                  </w:pPr>
                </w:p>
                <w:p w:rsidR="00F04EEF" w:rsidRDefault="0099351E">
                  <w:pPr>
                    <w:pStyle w:val="Corpsdetexte"/>
                    <w:jc w:val="both"/>
                    <w:rPr>
                      <w:b w:val="0"/>
                      <w:szCs w:val="22"/>
                    </w:rPr>
                  </w:pPr>
                  <w:r>
                    <w:rPr>
                      <w:b w:val="0"/>
                      <w:szCs w:val="22"/>
                    </w:rPr>
                    <w:t>Par ailleurs, le chef d’établissement 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rsidR="00F04EEF" w:rsidRDefault="00F04EEF">
                  <w:pPr>
                    <w:pStyle w:val="Corpsdetexte"/>
                    <w:jc w:val="both"/>
                    <w:rPr>
                      <w:b w:val="0"/>
                      <w:szCs w:val="22"/>
                    </w:rPr>
                  </w:pPr>
                </w:p>
                <w:p w:rsidR="00F04EEF" w:rsidRDefault="0099351E">
                  <w:pPr>
                    <w:pStyle w:val="Corpsdetexte"/>
                    <w:jc w:val="both"/>
                    <w:rPr>
                      <w:szCs w:val="22"/>
                    </w:rPr>
                  </w:pPr>
                  <w:r>
                    <w:rPr>
                      <w:b w:val="0"/>
                      <w:szCs w:val="22"/>
                    </w:rPr>
                    <w:t>En cas de conflit au sein d’une Association de parents ou de problèmes liés à son bon fonctionnement, le chef d’établissement ou le pouvoir organisateur ou son délégué dans l’enseignement subventionné peut demander à l’organisation représentative au niveau communautaire d’exercer une mission de</w:t>
                  </w:r>
                  <w:r>
                    <w:rPr>
                      <w:szCs w:val="22"/>
                    </w:rPr>
                    <w:t xml:space="preserve"> conciliation. </w:t>
                  </w:r>
                </w:p>
                <w:p w:rsidR="00F04EEF" w:rsidRDefault="00F04EEF"/>
                <w:p w:rsidR="00F04EEF" w:rsidRDefault="0099351E">
                  <w:pPr>
                    <w:pStyle w:val="Titre3"/>
                  </w:pPr>
                  <w:bookmarkStart w:id="822" w:name="__RefHeading__321_957262308"/>
                  <w:bookmarkStart w:id="823" w:name="_Toc291075542"/>
                  <w:bookmarkStart w:id="824" w:name="_Toc291075966"/>
                  <w:bookmarkStart w:id="825" w:name="_Toc291076390"/>
                  <w:bookmarkStart w:id="826" w:name="_Toc291076814"/>
                  <w:bookmarkStart w:id="827" w:name="_Toc291077238"/>
                  <w:bookmarkStart w:id="828" w:name="_Toc293652080"/>
                  <w:bookmarkStart w:id="829" w:name="_Toc293653662"/>
                  <w:bookmarkStart w:id="830" w:name="_Toc293654274"/>
                  <w:bookmarkStart w:id="831" w:name="_Toc294004854"/>
                  <w:bookmarkStart w:id="832" w:name="_Toc294185350"/>
                  <w:bookmarkStart w:id="833" w:name="_Toc324767216"/>
                  <w:bookmarkStart w:id="834" w:name="_Toc412204084"/>
                  <w:bookmarkStart w:id="835" w:name="_Toc414352892"/>
                  <w:bookmarkStart w:id="836" w:name="_Toc453836915"/>
                  <w:bookmarkStart w:id="837" w:name="_Toc47708479"/>
                  <w:bookmarkEnd w:id="822"/>
                  <w:r>
                    <w:t>2. Questions-réponses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rsidR="00F04EEF" w:rsidRDefault="00F04EEF"/>
                <w:p w:rsidR="00F04EEF" w:rsidRDefault="0099351E">
                  <w:pPr>
                    <w:pStyle w:val="Titre4"/>
                  </w:pPr>
                  <w:bookmarkStart w:id="838" w:name="_Toc291075543"/>
                  <w:bookmarkStart w:id="839" w:name="_Toc291075967"/>
                  <w:bookmarkStart w:id="840" w:name="_Toc291076391"/>
                  <w:bookmarkStart w:id="841" w:name="_Toc291076815"/>
                  <w:bookmarkStart w:id="842" w:name="_Toc291077239"/>
                  <w:bookmarkStart w:id="843" w:name="_Toc293652081"/>
                  <w:bookmarkStart w:id="844" w:name="_Toc293653663"/>
                  <w:bookmarkStart w:id="845" w:name="_Toc293654275"/>
                  <w:bookmarkStart w:id="846" w:name="_Toc294004855"/>
                  <w:bookmarkStart w:id="847" w:name="_Toc294185351"/>
                  <w:bookmarkStart w:id="848" w:name="_Toc324767217"/>
                  <w:bookmarkStart w:id="849" w:name="_Toc412204085"/>
                  <w:bookmarkStart w:id="850" w:name="_Toc414352893"/>
                  <w:bookmarkStart w:id="851" w:name="_Toc453836916"/>
                  <w:r>
                    <w:t>2.1. Questions-réponses relatives à l’obligation scolaire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rsidR="00F04EEF" w:rsidRDefault="00F04EEF"/>
                <w:p w:rsidR="00F04EEF" w:rsidRDefault="0099351E">
                  <w:pPr>
                    <w:pStyle w:val="Titre5"/>
                  </w:pPr>
                  <w:bookmarkStart w:id="852" w:name="_2.1.1._Quelles_sont"/>
                  <w:bookmarkStart w:id="853" w:name="_Toc291075544"/>
                  <w:bookmarkStart w:id="854" w:name="_Toc291075968"/>
                  <w:bookmarkStart w:id="855" w:name="_Toc291076392"/>
                  <w:bookmarkStart w:id="856" w:name="_Toc291076816"/>
                  <w:bookmarkStart w:id="857" w:name="_Toc291077240"/>
                  <w:bookmarkStart w:id="858" w:name="_Toc293652082"/>
                  <w:bookmarkStart w:id="859" w:name="_Toc293653664"/>
                  <w:bookmarkStart w:id="860" w:name="_Toc293654276"/>
                  <w:bookmarkStart w:id="861" w:name="_Toc294004856"/>
                  <w:bookmarkStart w:id="862" w:name="_Toc294185352"/>
                  <w:bookmarkStart w:id="863" w:name="_Toc324767218"/>
                  <w:bookmarkStart w:id="864" w:name="_Toc324768076"/>
                  <w:bookmarkEnd w:id="852"/>
                  <w:r>
                    <w:t>2.1.1. Quelles sont les bases légales concernant l’obligation scolaire ?</w:t>
                  </w:r>
                  <w:bookmarkEnd w:id="853"/>
                  <w:bookmarkEnd w:id="854"/>
                  <w:bookmarkEnd w:id="855"/>
                  <w:bookmarkEnd w:id="856"/>
                  <w:bookmarkEnd w:id="857"/>
                  <w:bookmarkEnd w:id="858"/>
                  <w:bookmarkEnd w:id="859"/>
                  <w:bookmarkEnd w:id="860"/>
                  <w:bookmarkEnd w:id="861"/>
                  <w:bookmarkEnd w:id="862"/>
                  <w:bookmarkEnd w:id="863"/>
                  <w:bookmarkEnd w:id="864"/>
                </w:p>
                <w:p w:rsidR="00F04EEF" w:rsidRDefault="00F04EEF">
                  <w:pPr>
                    <w:jc w:val="both"/>
                    <w:rPr>
                      <w:rFonts w:cs="Arial"/>
                    </w:rPr>
                  </w:pPr>
                </w:p>
                <w:p w:rsidR="00F04EEF" w:rsidRDefault="0099351E">
                  <w:pPr>
                    <w:pStyle w:val="Corpsdetexte"/>
                    <w:jc w:val="both"/>
                    <w:rPr>
                      <w:b w:val="0"/>
                      <w:szCs w:val="22"/>
                    </w:rPr>
                  </w:pPr>
                  <w:r>
                    <w:rPr>
                      <w:b w:val="0"/>
                      <w:szCs w:val="22"/>
                    </w:rPr>
                    <w:t xml:space="preserve">Le droit à l’instruction est un droit fondamental consacré non seulement par la Constitution belge en son article 24, mais également par différents textes internationaux.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Ainsi, la Convention du 20 novembre 1989 relative aux droits de l’enfant, ratifiée par la Belgique en 1991, prévoit en son article 28 que les Etats parties reconnaissent le droit de l’enfant à l’éducation.</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En Belgique, tous les mineurs  en âge d’obligation scolaire (voir section 2.1.2.), y compris ceux de nationalité étrangère qui y séjournent, sont soumis à l’obligation scolaire. Cette obligation incombe aux parents, à la personne investie de l’autorité parentale ou à la personne qui assume la garde en fait du mineur</w:t>
                  </w:r>
                  <w:r>
                    <w:rPr>
                      <w:rStyle w:val="Caractresdenotedebasdepage"/>
                      <w:szCs w:val="22"/>
                    </w:rPr>
                    <w:footnoteReference w:id="83"/>
                  </w:r>
                  <w:r>
                    <w:rPr>
                      <w:b w:val="0"/>
                      <w:szCs w:val="22"/>
                    </w:rPr>
                    <w:t>.</w:t>
                  </w:r>
                </w:p>
                <w:p w:rsidR="00F04EEF" w:rsidRDefault="00F04EEF">
                  <w:pPr>
                    <w:jc w:val="both"/>
                    <w:rPr>
                      <w:rFonts w:cs="Arial"/>
                    </w:rPr>
                  </w:pPr>
                </w:p>
                <w:p w:rsidR="00F04EEF" w:rsidRDefault="0099351E">
                  <w:pPr>
                    <w:pStyle w:val="Corpsdetexte"/>
                    <w:jc w:val="both"/>
                    <w:rPr>
                      <w:szCs w:val="22"/>
                      <w:u w:val="single"/>
                    </w:rPr>
                  </w:pPr>
                  <w:r>
                    <w:rPr>
                      <w:szCs w:val="22"/>
                      <w:u w:val="single"/>
                    </w:rPr>
                    <w:t>Bases légales :</w:t>
                  </w:r>
                </w:p>
                <w:p w:rsidR="00F04EEF" w:rsidRDefault="00F04EEF">
                  <w:pPr>
                    <w:pStyle w:val="Corpsdetexte"/>
                    <w:jc w:val="both"/>
                    <w:rPr>
                      <w:b w:val="0"/>
                      <w:szCs w:val="22"/>
                    </w:rPr>
                  </w:pPr>
                </w:p>
                <w:p w:rsidR="00F04EEF" w:rsidRDefault="00F42422">
                  <w:pPr>
                    <w:pStyle w:val="Corpsdetexte"/>
                    <w:numPr>
                      <w:ilvl w:val="0"/>
                      <w:numId w:val="243"/>
                    </w:numPr>
                    <w:ind w:left="426" w:hanging="426"/>
                    <w:jc w:val="both"/>
                    <w:rPr>
                      <w:b w:val="0"/>
                      <w:szCs w:val="22"/>
                    </w:rPr>
                  </w:pPr>
                  <w:hyperlink r:id="rId41" w:history="1">
                    <w:r w:rsidR="0099351E">
                      <w:rPr>
                        <w:rStyle w:val="Lienhypertexte"/>
                        <w:b w:val="0"/>
                        <w:szCs w:val="22"/>
                      </w:rPr>
                      <w:t>Constitution, article 24, §3 </w:t>
                    </w:r>
                  </w:hyperlink>
                  <w:r w:rsidR="0099351E">
                    <w:rPr>
                      <w:b w:val="0"/>
                      <w:szCs w:val="22"/>
                    </w:rPr>
                    <w:t>;</w:t>
                  </w:r>
                </w:p>
                <w:p w:rsidR="00F04EEF" w:rsidRDefault="00F42422">
                  <w:pPr>
                    <w:pStyle w:val="Corpsdetexte"/>
                    <w:numPr>
                      <w:ilvl w:val="0"/>
                      <w:numId w:val="243"/>
                    </w:numPr>
                    <w:ind w:left="426" w:hanging="426"/>
                    <w:jc w:val="both"/>
                    <w:rPr>
                      <w:b w:val="0"/>
                      <w:szCs w:val="22"/>
                    </w:rPr>
                  </w:pPr>
                  <w:hyperlink r:id="rId42" w:history="1">
                    <w:r w:rsidR="0099351E">
                      <w:rPr>
                        <w:rStyle w:val="Lienhypertexte"/>
                        <w:b w:val="0"/>
                        <w:szCs w:val="22"/>
                      </w:rPr>
                      <w:t>Lois sur l’enseignement primaire, coordonnées le 20 août 1957, articles 8 et 10</w:t>
                    </w:r>
                  </w:hyperlink>
                  <w:r w:rsidR="0099351E">
                    <w:rPr>
                      <w:b w:val="0"/>
                      <w:szCs w:val="22"/>
                    </w:rPr>
                    <w:t> ;</w:t>
                  </w:r>
                </w:p>
                <w:p w:rsidR="00F04EEF" w:rsidRDefault="00F42422">
                  <w:pPr>
                    <w:pStyle w:val="Corpsdetexte"/>
                    <w:numPr>
                      <w:ilvl w:val="0"/>
                      <w:numId w:val="243"/>
                    </w:numPr>
                    <w:ind w:left="426" w:hanging="426"/>
                    <w:jc w:val="both"/>
                    <w:rPr>
                      <w:b w:val="0"/>
                      <w:szCs w:val="22"/>
                    </w:rPr>
                  </w:pPr>
                  <w:hyperlink r:id="rId43" w:history="1">
                    <w:r w:rsidR="0099351E">
                      <w:rPr>
                        <w:rStyle w:val="Lienhypertexte"/>
                        <w:b w:val="0"/>
                        <w:szCs w:val="22"/>
                      </w:rPr>
                      <w:t>Loi concernant l’obligation scolaire du 29 juin 1983, articles 1 à 5 </w:t>
                    </w:r>
                  </w:hyperlink>
                  <w:r w:rsidR="0099351E">
                    <w:rPr>
                      <w:b w:val="0"/>
                      <w:szCs w:val="22"/>
                    </w:rPr>
                    <w:t>;</w:t>
                  </w:r>
                </w:p>
                <w:p w:rsidR="00F04EEF" w:rsidRDefault="00F42422">
                  <w:pPr>
                    <w:pStyle w:val="Corpsdetexte"/>
                    <w:numPr>
                      <w:ilvl w:val="0"/>
                      <w:numId w:val="243"/>
                    </w:numPr>
                    <w:ind w:left="426" w:hanging="426"/>
                    <w:jc w:val="both"/>
                    <w:rPr>
                      <w:b w:val="0"/>
                      <w:szCs w:val="22"/>
                    </w:rPr>
                  </w:pPr>
                  <w:hyperlink r:id="rId44" w:history="1">
                    <w:r w:rsidR="0099351E">
                      <w:rPr>
                        <w:rStyle w:val="Lienhypertexte"/>
                        <w:b w:val="0"/>
                        <w:szCs w:val="22"/>
                      </w:rPr>
                      <w:t>Décret du 18 décembre 1984 organisant l’enseignement à distance</w:t>
                    </w:r>
                  </w:hyperlink>
                  <w:r w:rsidR="0099351E">
                    <w:rPr>
                      <w:b w:val="0"/>
                      <w:szCs w:val="22"/>
                    </w:rPr>
                    <w:t> ;</w:t>
                  </w:r>
                </w:p>
                <w:p w:rsidR="00F04EEF" w:rsidRDefault="00F42422">
                  <w:pPr>
                    <w:pStyle w:val="Corpsdetexte"/>
                    <w:numPr>
                      <w:ilvl w:val="0"/>
                      <w:numId w:val="243"/>
                    </w:numPr>
                    <w:ind w:left="426" w:hanging="426"/>
                    <w:jc w:val="both"/>
                    <w:rPr>
                      <w:b w:val="0"/>
                      <w:szCs w:val="22"/>
                    </w:rPr>
                  </w:pPr>
                  <w:hyperlink r:id="rId45" w:history="1">
                    <w:r w:rsidR="0099351E">
                      <w:rPr>
                        <w:rStyle w:val="Lienhypertexte"/>
                        <w:b w:val="0"/>
                        <w:szCs w:val="22"/>
                      </w:rPr>
                      <w:t>Loi du 30 janvier 1990 abaissant à 18 ans l’âge de la majorité civile </w:t>
                    </w:r>
                  </w:hyperlink>
                  <w:r w:rsidR="0099351E">
                    <w:rPr>
                      <w:b w:val="0"/>
                      <w:szCs w:val="22"/>
                    </w:rPr>
                    <w:t>;</w:t>
                  </w:r>
                </w:p>
                <w:p w:rsidR="00F04EEF" w:rsidRDefault="00F42422">
                  <w:pPr>
                    <w:pStyle w:val="Corpsdetexte"/>
                    <w:numPr>
                      <w:ilvl w:val="0"/>
                      <w:numId w:val="243"/>
                    </w:numPr>
                    <w:ind w:left="426" w:hanging="426"/>
                    <w:jc w:val="both"/>
                    <w:rPr>
                      <w:b w:val="0"/>
                      <w:szCs w:val="22"/>
                    </w:rPr>
                  </w:pPr>
                  <w:hyperlink r:id="rId46" w:history="1">
                    <w:r w:rsidR="0099351E">
                      <w:rPr>
                        <w:rStyle w:val="Lienhypertexte"/>
                        <w:b w:val="0"/>
                        <w:szCs w:val="22"/>
                      </w:rPr>
                      <w:t>Décret du 3 juillet 1991 organisant l’enseignement en alternance </w:t>
                    </w:r>
                  </w:hyperlink>
                  <w:r w:rsidR="0099351E">
                    <w:rPr>
                      <w:b w:val="0"/>
                      <w:szCs w:val="22"/>
                    </w:rPr>
                    <w:t>;</w:t>
                  </w:r>
                </w:p>
                <w:p w:rsidR="00F04EEF" w:rsidRDefault="00F42422">
                  <w:pPr>
                    <w:pStyle w:val="Corpsdetexte"/>
                    <w:numPr>
                      <w:ilvl w:val="0"/>
                      <w:numId w:val="243"/>
                    </w:numPr>
                    <w:ind w:left="426" w:hanging="426"/>
                    <w:jc w:val="both"/>
                    <w:rPr>
                      <w:b w:val="0"/>
                      <w:szCs w:val="22"/>
                    </w:rPr>
                  </w:pPr>
                  <w:hyperlink r:id="rId47" w:history="1">
                    <w:r w:rsidR="0099351E">
                      <w:rPr>
                        <w:rStyle w:val="Lienhypertexte"/>
                        <w:b w:val="0"/>
                        <w:szCs w:val="22"/>
                      </w:rPr>
                      <w:t>Arrêté du Gouvernement de la Communauté française du 24 avril 1995 déterminant la composition et le fonctionnement de la Commission instituée par l’article 2 de la loi du 29 juin 1983 concernant l’obligation scolaire </w:t>
                    </w:r>
                  </w:hyperlink>
                  <w:r w:rsidR="0099351E">
                    <w:rPr>
                      <w:b w:val="0"/>
                      <w:szCs w:val="22"/>
                    </w:rPr>
                    <w:t>;</w:t>
                  </w:r>
                </w:p>
                <w:p w:rsidR="00F04EEF" w:rsidRDefault="00F42422">
                  <w:pPr>
                    <w:pStyle w:val="Corpsdetexte"/>
                    <w:numPr>
                      <w:ilvl w:val="0"/>
                      <w:numId w:val="243"/>
                    </w:numPr>
                    <w:ind w:left="426" w:hanging="426"/>
                    <w:jc w:val="both"/>
                    <w:rPr>
                      <w:b w:val="0"/>
                      <w:szCs w:val="22"/>
                    </w:rPr>
                  </w:pPr>
                  <w:hyperlink r:id="rId48" w:history="1">
                    <w:r w:rsidR="0099351E">
                      <w:rPr>
                        <w:rStyle w:val="Lienhypertexte"/>
                        <w:b w:val="0"/>
                        <w:szCs w:val="22"/>
                      </w:rPr>
                      <w:t>Décret du 3 mars 2004 organisant l’enseignement spécialisé</w:t>
                    </w:r>
                  </w:hyperlink>
                  <w:r w:rsidR="0099351E">
                    <w:rPr>
                      <w:b w:val="0"/>
                      <w:szCs w:val="22"/>
                    </w:rPr>
                    <w:t> ;</w:t>
                  </w:r>
                </w:p>
                <w:p w:rsidR="00F04EEF" w:rsidRDefault="00F42422">
                  <w:pPr>
                    <w:pStyle w:val="Corpsdetexte"/>
                    <w:numPr>
                      <w:ilvl w:val="0"/>
                      <w:numId w:val="243"/>
                    </w:numPr>
                    <w:ind w:left="426" w:hanging="426"/>
                    <w:jc w:val="both"/>
                    <w:rPr>
                      <w:b w:val="0"/>
                      <w:szCs w:val="22"/>
                    </w:rPr>
                  </w:pPr>
                  <w:hyperlink r:id="rId49" w:history="1">
                    <w:r w:rsidR="0099351E">
                      <w:rPr>
                        <w:rStyle w:val="Lienhypertexte"/>
                        <w:b w:val="0"/>
                        <w:szCs w:val="22"/>
                      </w:rPr>
                      <w:t>Décret du 25 avril 2008 fixant les conditions pour pouvoir satisfaire à l’obligation scolaire en dehors de l’enseignement organisé ou subventionné par la Communauté française</w:t>
                    </w:r>
                  </w:hyperlink>
                  <w:r w:rsidR="0099351E">
                    <w:rPr>
                      <w:b w:val="0"/>
                      <w:szCs w:val="22"/>
                    </w:rPr>
                    <w:t>.</w:t>
                  </w:r>
                </w:p>
                <w:p w:rsidR="00F04EEF" w:rsidRDefault="0099351E">
                  <w:pPr>
                    <w:pStyle w:val="Paragraphedeliste"/>
                    <w:numPr>
                      <w:ilvl w:val="0"/>
                      <w:numId w:val="243"/>
                    </w:numPr>
                    <w:ind w:left="426" w:hanging="426"/>
                    <w:jc w:val="both"/>
                    <w:rPr>
                      <w:rStyle w:val="Lienhypertexte"/>
                      <w:rFonts w:asciiTheme="majorHAnsi" w:hAnsiTheme="majorHAnsi" w:cs="Arial"/>
                      <w:color w:val="auto"/>
                      <w:sz w:val="22"/>
                      <w:szCs w:val="22"/>
                      <w:u w:val="none"/>
                    </w:rPr>
                  </w:pPr>
                  <w:r>
                    <w:rPr>
                      <w:rFonts w:asciiTheme="majorHAnsi" w:hAnsiTheme="majorHAnsi" w:cs="Times New Roman"/>
                      <w:noProof/>
                      <w:color w:val="0000FF"/>
                      <w:sz w:val="22"/>
                      <w:szCs w:val="22"/>
                      <w:u w:val="single"/>
                      <w:lang w:eastAsia="fr-BE"/>
                    </w:rPr>
                    <mc:AlternateContent>
                      <mc:Choice Requires="wps">
                        <w:drawing>
                          <wp:anchor distT="0" distB="0" distL="114300" distR="114300" simplePos="0" relativeHeight="252397568" behindDoc="0" locked="0" layoutInCell="1" allowOverlap="1">
                            <wp:simplePos x="0" y="0"/>
                            <wp:positionH relativeFrom="column">
                              <wp:posOffset>6218555</wp:posOffset>
                            </wp:positionH>
                            <wp:positionV relativeFrom="paragraph">
                              <wp:posOffset>462915</wp:posOffset>
                            </wp:positionV>
                            <wp:extent cx="0" cy="315686"/>
                            <wp:effectExtent l="0" t="0" r="19050" b="27305"/>
                            <wp:wrapNone/>
                            <wp:docPr id="156" name="Connecteur droit 156"/>
                            <wp:cNvGraphicFramePr/>
                            <a:graphic xmlns:a="http://schemas.openxmlformats.org/drawingml/2006/main">
                              <a:graphicData uri="http://schemas.microsoft.com/office/word/2010/wordprocessingShape">
                                <wps:wsp>
                                  <wps:cNvCnPr/>
                                  <wps:spPr>
                                    <a:xfrm>
                                      <a:off x="0" y="0"/>
                                      <a:ext cx="0" cy="3156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EF9801" id="Connecteur droit 156" o:spid="_x0000_s1026" style="position:absolute;z-index:252397568;visibility:visible;mso-wrap-style:square;mso-wrap-distance-left:9pt;mso-wrap-distance-top:0;mso-wrap-distance-right:9pt;mso-wrap-distance-bottom:0;mso-position-horizontal:absolute;mso-position-horizontal-relative:text;mso-position-vertical:absolute;mso-position-vertical-relative:text" from="489.65pt,36.45pt" to="489.65pt,6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" strokecolor="black [3213]"/>
                        </w:pict>
                      </mc:Fallback>
                    </mc:AlternateContent>
                  </w:r>
                  <w:hyperlink r:id="rId50" w:history="1">
                    <w:r>
                      <w:rPr>
                        <w:rStyle w:val="Lienhypertexte"/>
                        <w:rFonts w:asciiTheme="majorHAnsi" w:hAnsiTheme="majorHAnsi"/>
                        <w:sz w:val="22"/>
                        <w:szCs w:val="22"/>
                      </w:rPr>
                      <w:t>Arrêté du Gouvernement de la Communauté française du 1/02/2017 fixant les modalités de la scolarisation à temps partiel visée au paragraphe 4bis, 4°, de l’article 1erde la loi du 29 juin 1983 concernant l’obligation scolaire</w:t>
                    </w:r>
                  </w:hyperlink>
                </w:p>
                <w:p w:rsidR="00F04EEF" w:rsidRDefault="00F42422">
                  <w:pPr>
                    <w:pStyle w:val="Paragraphedeliste"/>
                    <w:numPr>
                      <w:ilvl w:val="0"/>
                      <w:numId w:val="243"/>
                    </w:numPr>
                    <w:ind w:left="426" w:hanging="426"/>
                    <w:jc w:val="both"/>
                    <w:rPr>
                      <w:rStyle w:val="Lienhypertexte"/>
                      <w:sz w:val="22"/>
                    </w:rPr>
                  </w:pPr>
                  <w:hyperlink r:id="rId51" w:history="1">
                    <w:r w:rsidR="0099351E">
                      <w:rPr>
                        <w:rStyle w:val="Lienhypertexte"/>
                        <w:sz w:val="22"/>
                      </w:rPr>
                      <w:t>Décret du 8 juillet 2020 portant diverses dispositions en matière d’enseignement obligatoire relatives à l’abaissement à cinq ans de l’âge du début de l’obligation scolaire</w:t>
                    </w:r>
                  </w:hyperlink>
                </w:p>
                <w:p w:rsidR="00F04EEF" w:rsidRDefault="00F04EEF">
                  <w:pPr>
                    <w:pStyle w:val="Paragraphedeliste"/>
                    <w:ind w:left="426"/>
                    <w:jc w:val="both"/>
                    <w:rPr>
                      <w:rFonts w:asciiTheme="majorHAnsi" w:hAnsiTheme="majorHAnsi"/>
                      <w:sz w:val="22"/>
                      <w:szCs w:val="22"/>
                    </w:rPr>
                  </w:pPr>
                </w:p>
                <w:p w:rsidR="00F04EEF" w:rsidRDefault="00F04EEF">
                  <w:pPr>
                    <w:jc w:val="both"/>
                    <w:rPr>
                      <w:rFonts w:asciiTheme="majorHAnsi" w:hAnsiTheme="majorHAnsi"/>
                    </w:rPr>
                  </w:pPr>
                </w:p>
                <w:p w:rsidR="00F04EEF" w:rsidRDefault="00F04EEF">
                  <w:pPr>
                    <w:rPr>
                      <w:b/>
                    </w:rPr>
                  </w:pPr>
                </w:p>
                <w:p w:rsidR="00F04EEF" w:rsidRDefault="0099351E">
                  <w:pPr>
                    <w:pStyle w:val="Titre5"/>
                    <w:numPr>
                      <w:ilvl w:val="2"/>
                      <w:numId w:val="342"/>
                    </w:numPr>
                  </w:pPr>
                  <w:bookmarkStart w:id="865" w:name="_Toc291075545"/>
                  <w:bookmarkStart w:id="866" w:name="_Toc291075969"/>
                  <w:bookmarkStart w:id="867" w:name="_Toc291076393"/>
                  <w:bookmarkStart w:id="868" w:name="_Toc291076817"/>
                  <w:bookmarkStart w:id="869" w:name="_Toc291077241"/>
                  <w:bookmarkStart w:id="870" w:name="_Toc293652083"/>
                  <w:bookmarkStart w:id="871" w:name="_Toc293653665"/>
                  <w:bookmarkStart w:id="872" w:name="_Toc293654277"/>
                  <w:bookmarkStart w:id="873" w:name="_Toc294004857"/>
                  <w:bookmarkStart w:id="874" w:name="_Toc294185353"/>
                  <w:bookmarkStart w:id="875" w:name="_Toc324767219"/>
                  <w:bookmarkStart w:id="876" w:name="_Toc324768077"/>
                  <w:r>
                    <w:t>Quelle est la durée de l’obligation scolaire ?</w:t>
                  </w:r>
                  <w:bookmarkEnd w:id="865"/>
                  <w:bookmarkEnd w:id="866"/>
                  <w:bookmarkEnd w:id="867"/>
                  <w:bookmarkEnd w:id="868"/>
                  <w:bookmarkEnd w:id="869"/>
                  <w:bookmarkEnd w:id="870"/>
                  <w:bookmarkEnd w:id="871"/>
                  <w:bookmarkEnd w:id="872"/>
                  <w:bookmarkEnd w:id="873"/>
                  <w:bookmarkEnd w:id="874"/>
                  <w:bookmarkEnd w:id="875"/>
                  <w:bookmarkEnd w:id="876"/>
                </w:p>
                <w:p w:rsidR="00F04EEF" w:rsidRDefault="0099351E">
                  <w:pPr>
                    <w:pStyle w:val="2"/>
                    <w:ind w:left="1854"/>
                    <w:rPr>
                      <w:lang w:val="fr-BE"/>
                    </w:rPr>
                  </w:pPr>
                  <w:r>
                    <w:rPr>
                      <w:rFonts w:asciiTheme="majorHAnsi" w:hAnsiTheme="majorHAnsi"/>
                      <w:noProof/>
                      <w:sz w:val="22"/>
                      <w:szCs w:val="22"/>
                      <w:lang w:val="fr-BE" w:eastAsia="fr-BE"/>
                    </w:rPr>
                    <mc:AlternateContent>
                      <mc:Choice Requires="wps">
                        <w:drawing>
                          <wp:anchor distT="0" distB="0" distL="114300" distR="114300" simplePos="0" relativeHeight="252398592" behindDoc="0" locked="0" layoutInCell="1" allowOverlap="1">
                            <wp:simplePos x="0" y="0"/>
                            <wp:positionH relativeFrom="column">
                              <wp:posOffset>6218555</wp:posOffset>
                            </wp:positionH>
                            <wp:positionV relativeFrom="paragraph">
                              <wp:posOffset>210820</wp:posOffset>
                            </wp:positionV>
                            <wp:extent cx="0" cy="522514"/>
                            <wp:effectExtent l="0" t="0" r="19050" b="30480"/>
                            <wp:wrapNone/>
                            <wp:docPr id="5536" name="Connecteur droit 5536"/>
                            <wp:cNvGraphicFramePr/>
                            <a:graphic xmlns:a="http://schemas.openxmlformats.org/drawingml/2006/main">
                              <a:graphicData uri="http://schemas.microsoft.com/office/word/2010/wordprocessingShape">
                                <wps:wsp>
                                  <wps:cNvCnPr/>
                                  <wps:spPr>
                                    <a:xfrm>
                                      <a:off x="0" y="0"/>
                                      <a:ext cx="0" cy="5225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D62319" id="Connecteur droit 5536" o:spid="_x0000_s1026" style="position:absolute;z-index:252398592;visibility:visible;mso-wrap-style:square;mso-wrap-distance-left:9pt;mso-wrap-distance-top:0;mso-wrap-distance-right:9pt;mso-wrap-distance-bottom:0;mso-position-horizontal:absolute;mso-position-horizontal-relative:text;mso-position-vertical:absolute;mso-position-vertical-relative:text" from="489.65pt,16.6pt" to="489.65pt,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" strokecolor="black [3213]"/>
                        </w:pict>
                      </mc:Fallback>
                    </mc:AlternateContent>
                  </w:r>
                </w:p>
                <w:p w:rsidR="00F04EEF" w:rsidRDefault="0099351E">
                  <w:pPr>
                    <w:jc w:val="both"/>
                    <w:rPr>
                      <w:rFonts w:cs="Arial"/>
                    </w:rPr>
                  </w:pPr>
                  <w:r>
                    <w:rPr>
                      <w:rFonts w:cs="Arial"/>
                    </w:rPr>
                    <w:t>Suite à l’adoption de la loi du 23 mars 2019 modifiant la loi du 29 juin 1983 concernant l'obligation scolaire, à partir du 1</w:t>
                  </w:r>
                  <w:r>
                    <w:rPr>
                      <w:rFonts w:cs="Arial"/>
                      <w:vertAlign w:val="superscript"/>
                    </w:rPr>
                    <w:t>er</w:t>
                  </w:r>
                  <w:r>
                    <w:rPr>
                      <w:rFonts w:cs="Arial"/>
                    </w:rPr>
                    <w:t xml:space="preserve"> septembre 2020, l’obligation scolaire concernera tous les élèves qui atteindront l’âge de cinq ans au cours de l’année civile 2020. L’obligation scolaire se termine dans l’année où l’enfant atteint l’âge de dix-huit ans.</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Il résulte de cette disposition que 2 conditions cumulatives doivent être remplies pour que s’impose l’obligation scolaire :</w:t>
                  </w:r>
                </w:p>
                <w:p w:rsidR="00F04EEF" w:rsidRDefault="00F04EEF">
                  <w:pPr>
                    <w:pStyle w:val="Corpsdetexte"/>
                    <w:jc w:val="both"/>
                    <w:rPr>
                      <w:b w:val="0"/>
                      <w:szCs w:val="22"/>
                    </w:rPr>
                  </w:pPr>
                </w:p>
                <w:p w:rsidR="00F04EEF" w:rsidRDefault="0099351E">
                  <w:pPr>
                    <w:pStyle w:val="Titre6"/>
                  </w:pPr>
                  <w:bookmarkStart w:id="877" w:name="_Toc291075546"/>
                  <w:bookmarkStart w:id="878" w:name="_Toc291075970"/>
                  <w:bookmarkStart w:id="879" w:name="_Toc291076394"/>
                  <w:bookmarkStart w:id="880" w:name="_Toc291076818"/>
                  <w:bookmarkStart w:id="881" w:name="_Toc291077242"/>
                  <w:bookmarkStart w:id="882" w:name="_Toc293652084"/>
                  <w:bookmarkStart w:id="883" w:name="_Toc293653666"/>
                  <w:bookmarkStart w:id="884" w:name="_Toc293654278"/>
                  <w:bookmarkStart w:id="885" w:name="_Toc294004858"/>
                  <w:bookmarkStart w:id="886" w:name="_Toc294185354"/>
                  <w:bookmarkStart w:id="887" w:name="_Toc324767220"/>
                  <w:bookmarkStart w:id="888" w:name="_Toc324768078"/>
                  <w:r>
                    <w:t>2.1.2.1. La minorité</w:t>
                  </w:r>
                  <w:bookmarkEnd w:id="877"/>
                  <w:bookmarkEnd w:id="878"/>
                  <w:bookmarkEnd w:id="879"/>
                  <w:bookmarkEnd w:id="880"/>
                  <w:bookmarkEnd w:id="881"/>
                  <w:bookmarkEnd w:id="882"/>
                  <w:bookmarkEnd w:id="883"/>
                  <w:bookmarkEnd w:id="884"/>
                  <w:bookmarkEnd w:id="885"/>
                  <w:bookmarkEnd w:id="886"/>
                  <w:bookmarkEnd w:id="887"/>
                  <w:bookmarkEnd w:id="888"/>
                </w:p>
                <w:p w:rsidR="00F04EEF" w:rsidRDefault="00F04EEF">
                  <w:pPr>
                    <w:jc w:val="both"/>
                    <w:rPr>
                      <w:rFonts w:cs="Arial"/>
                    </w:rPr>
                  </w:pPr>
                </w:p>
                <w:p w:rsidR="00F04EEF" w:rsidRDefault="0099351E">
                  <w:pPr>
                    <w:pStyle w:val="Corpsdetexte"/>
                    <w:widowControl/>
                    <w:numPr>
                      <w:ilvl w:val="0"/>
                      <w:numId w:val="95"/>
                    </w:numPr>
                    <w:spacing w:line="240" w:lineRule="atLeast"/>
                    <w:ind w:left="927"/>
                    <w:jc w:val="both"/>
                    <w:rPr>
                      <w:b w:val="0"/>
                      <w:szCs w:val="22"/>
                    </w:rPr>
                  </w:pPr>
                  <w:r>
                    <w:rPr>
                      <w:b w:val="0"/>
                      <w:szCs w:val="22"/>
                    </w:rPr>
                    <w:t>seuls les mineurs d’âge sont soumis à l’obligation scolaire ;</w:t>
                  </w:r>
                </w:p>
                <w:p w:rsidR="00F04EEF" w:rsidRDefault="0099351E">
                  <w:pPr>
                    <w:pStyle w:val="Corpsdetexte"/>
                    <w:widowControl/>
                    <w:numPr>
                      <w:ilvl w:val="0"/>
                      <w:numId w:val="95"/>
                    </w:numPr>
                    <w:spacing w:line="240" w:lineRule="atLeast"/>
                    <w:ind w:left="927"/>
                    <w:jc w:val="both"/>
                    <w:rPr>
                      <w:b w:val="0"/>
                      <w:szCs w:val="22"/>
                    </w:rPr>
                  </w:pPr>
                  <w:r>
                    <w:rPr>
                      <w:b w:val="0"/>
                      <w:szCs w:val="22"/>
                    </w:rPr>
                    <w:t>il découle donc de la loi du 19 janvier 1990 abaissant l’âge de la majorité civile à 18 ans que l’élève devenu majeur n’est plus soumis à l’obligation scolaire dès le jour anniversaire de ses 18 ans.</w:t>
                  </w:r>
                </w:p>
                <w:p w:rsidR="00F04EEF" w:rsidRDefault="00F04EEF"/>
                <w:p w:rsidR="00F04EEF" w:rsidRDefault="0099351E">
                  <w:pPr>
                    <w:pStyle w:val="Titre6"/>
                  </w:pPr>
                  <w:bookmarkStart w:id="889" w:name="_2.1.2.2._La_condition"/>
                  <w:bookmarkStart w:id="890" w:name="_Toc291075547"/>
                  <w:bookmarkStart w:id="891" w:name="_Toc291075971"/>
                  <w:bookmarkStart w:id="892" w:name="_Toc291076395"/>
                  <w:bookmarkStart w:id="893" w:name="_Toc291076819"/>
                  <w:bookmarkStart w:id="894" w:name="_Toc291077243"/>
                  <w:bookmarkStart w:id="895" w:name="_Toc293652085"/>
                  <w:bookmarkStart w:id="896" w:name="_Toc293653667"/>
                  <w:bookmarkStart w:id="897" w:name="_Toc293654279"/>
                  <w:bookmarkStart w:id="898" w:name="_Toc294004859"/>
                  <w:bookmarkStart w:id="899" w:name="_Toc294185355"/>
                  <w:bookmarkStart w:id="900" w:name="_Toc324767221"/>
                  <w:bookmarkStart w:id="901" w:name="_Toc324768079"/>
                  <w:bookmarkEnd w:id="889"/>
                  <w:r>
                    <w:t>2.1.2.2. La condition d’âge</w:t>
                  </w:r>
                  <w:bookmarkEnd w:id="890"/>
                  <w:bookmarkEnd w:id="891"/>
                  <w:bookmarkEnd w:id="892"/>
                  <w:bookmarkEnd w:id="893"/>
                  <w:bookmarkEnd w:id="894"/>
                  <w:bookmarkEnd w:id="895"/>
                  <w:bookmarkEnd w:id="896"/>
                  <w:bookmarkEnd w:id="897"/>
                  <w:bookmarkEnd w:id="898"/>
                  <w:bookmarkEnd w:id="899"/>
                  <w:bookmarkEnd w:id="900"/>
                  <w:bookmarkEnd w:id="901"/>
                  <w:r>
                    <w:t> </w:t>
                  </w:r>
                </w:p>
                <w:p w:rsidR="00F04EEF" w:rsidRDefault="0099351E">
                  <w:pPr>
                    <w:jc w:val="both"/>
                    <w:rPr>
                      <w:rFonts w:cs="Arial"/>
                    </w:rPr>
                  </w:pPr>
                  <w:r>
                    <w:rPr>
                      <w:rFonts w:cs="Arial"/>
                      <w:noProof/>
                      <w:lang w:eastAsia="fr-BE"/>
                    </w:rPr>
                    <mc:AlternateContent>
                      <mc:Choice Requires="wps">
                        <w:drawing>
                          <wp:anchor distT="0" distB="0" distL="114300" distR="114300" simplePos="0" relativeHeight="252399616" behindDoc="0" locked="0" layoutInCell="1" allowOverlap="1">
                            <wp:simplePos x="0" y="0"/>
                            <wp:positionH relativeFrom="column">
                              <wp:posOffset>6305822</wp:posOffset>
                            </wp:positionH>
                            <wp:positionV relativeFrom="paragraph">
                              <wp:posOffset>134620</wp:posOffset>
                            </wp:positionV>
                            <wp:extent cx="5443" cy="386443"/>
                            <wp:effectExtent l="0" t="0" r="33020" b="33020"/>
                            <wp:wrapNone/>
                            <wp:docPr id="5537" name="Connecteur droit 5537"/>
                            <wp:cNvGraphicFramePr/>
                            <a:graphic xmlns:a="http://schemas.openxmlformats.org/drawingml/2006/main">
                              <a:graphicData uri="http://schemas.microsoft.com/office/word/2010/wordprocessingShape">
                                <wps:wsp>
                                  <wps:cNvCnPr/>
                                  <wps:spPr>
                                    <a:xfrm>
                                      <a:off x="0" y="0"/>
                                      <a:ext cx="5443" cy="3864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004154" id="Connecteur droit 5537" o:spid="_x0000_s1026" style="position:absolute;z-index:252399616;visibility:visible;mso-wrap-style:square;mso-wrap-distance-left:9pt;mso-wrap-distance-top:0;mso-wrap-distance-right:9pt;mso-wrap-distance-bottom:0;mso-position-horizontal:absolute;mso-position-horizontal-relative:text;mso-position-vertical:absolute;mso-position-vertical-relative:text" from="496.5pt,10.6pt" to="496.95pt,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" strokecolor="black [3213]"/>
                        </w:pict>
                      </mc:Fallback>
                    </mc:AlternateContent>
                  </w:r>
                </w:p>
                <w:p w:rsidR="00F04EEF" w:rsidRDefault="0099351E">
                  <w:pPr>
                    <w:pStyle w:val="Corpsdetexte"/>
                    <w:numPr>
                      <w:ilvl w:val="0"/>
                      <w:numId w:val="89"/>
                    </w:numPr>
                    <w:jc w:val="both"/>
                    <w:rPr>
                      <w:b w:val="0"/>
                      <w:szCs w:val="22"/>
                    </w:rPr>
                  </w:pPr>
                  <w:r>
                    <w:rPr>
                      <w:b w:val="0"/>
                      <w:szCs w:val="22"/>
                    </w:rPr>
                    <w:t>l’obligation scolaire commence au début de l’année scolaire qui prend cours dans l’année civile où le mineur atteint l’âge de 5 ans (nouvelle obligation scolaire applicable à partir du 1er septembre 2020) ;</w:t>
                  </w:r>
                </w:p>
                <w:p w:rsidR="00F04EEF" w:rsidRDefault="0099351E">
                  <w:pPr>
                    <w:pStyle w:val="Corpsdetexte"/>
                    <w:widowControl/>
                    <w:numPr>
                      <w:ilvl w:val="0"/>
                      <w:numId w:val="89"/>
                    </w:numPr>
                    <w:spacing w:after="120"/>
                    <w:ind w:left="927"/>
                    <w:jc w:val="both"/>
                    <w:rPr>
                      <w:b w:val="0"/>
                      <w:szCs w:val="22"/>
                    </w:rPr>
                  </w:pPr>
                  <w:r>
                    <w:rPr>
                      <w:b w:val="0"/>
                      <w:szCs w:val="22"/>
                    </w:rPr>
                    <w:t>l’obligation scolaire se termine à la fin de l’année scolaire, dans l’année civile au cours de laquelle le mineur atteint l’âge de 18 ans. Ce qui signifie que tout mineur qui atteindra l’âge de 18 ans dans l’année civile n’est plus tenu de s’inscrire dans un établissement</w:t>
                  </w:r>
                  <w:r>
                    <w:rPr>
                      <w:szCs w:val="22"/>
                    </w:rPr>
                    <w:t xml:space="preserve"> </w:t>
                  </w:r>
                  <w:r>
                    <w:rPr>
                      <w:b w:val="0"/>
                      <w:szCs w:val="22"/>
                    </w:rPr>
                    <w:t>scolaire</w:t>
                  </w:r>
                  <w:r>
                    <w:rPr>
                      <w:szCs w:val="22"/>
                    </w:rPr>
                    <w:t xml:space="preserve"> </w:t>
                  </w:r>
                  <w:r>
                    <w:rPr>
                      <w:b w:val="0"/>
                      <w:szCs w:val="22"/>
                    </w:rPr>
                    <w:t>à la</w:t>
                  </w:r>
                  <w:r>
                    <w:rPr>
                      <w:szCs w:val="22"/>
                    </w:rPr>
                    <w:t xml:space="preserve"> rentrée scolaire considérée</w:t>
                  </w:r>
                  <w:r>
                    <w:rPr>
                      <w:b w:val="0"/>
                      <w:szCs w:val="22"/>
                    </w:rPr>
                    <w:t>.</w:t>
                  </w:r>
                </w:p>
                <w:p w:rsidR="00F04EEF" w:rsidRDefault="0099351E">
                  <w:pPr>
                    <w:jc w:val="both"/>
                    <w:rPr>
                      <w:b/>
                      <w:u w:val="single"/>
                    </w:rPr>
                  </w:pPr>
                  <w:r>
                    <w:rPr>
                      <w:b/>
                      <w:u w:val="single"/>
                    </w:rPr>
                    <w:t>La période d’obligation scolaire comprend deux parties, une période à temps plein et une période à temps partiel :</w:t>
                  </w:r>
                </w:p>
                <w:p w:rsidR="00F04EEF" w:rsidRDefault="00F04EEF">
                  <w:pPr>
                    <w:pStyle w:val="Corpsdetexte31"/>
                    <w:spacing w:line="240" w:lineRule="auto"/>
                    <w:jc w:val="both"/>
                    <w:rPr>
                      <w:rFonts w:asciiTheme="majorHAnsi" w:hAnsiTheme="majorHAnsi"/>
                      <w:szCs w:val="22"/>
                    </w:rPr>
                  </w:pPr>
                </w:p>
                <w:p w:rsidR="00F04EEF" w:rsidRDefault="0099351E">
                  <w:pPr>
                    <w:jc w:val="both"/>
                    <w:rPr>
                      <w:rFonts w:cs="Arial"/>
                    </w:rPr>
                  </w:pPr>
                  <w:r>
                    <w:rPr>
                      <w:rFonts w:cs="Arial"/>
                    </w:rPr>
                    <w:t xml:space="preserve">La période d’obligation scolaire à </w:t>
                  </w:r>
                  <w:r>
                    <w:rPr>
                      <w:rFonts w:cs="Arial"/>
                      <w:b/>
                      <w:u w:val="single"/>
                    </w:rPr>
                    <w:t>temps plein</w:t>
                  </w:r>
                  <w:r>
                    <w:rPr>
                      <w:rFonts w:cs="Arial"/>
                    </w:rPr>
                    <w:t xml:space="preserve"> s’étend jusqu’à l’âge de 15 ans, pour autant que le mineur ait effectué au minimum les deux premières années de l’enseignement secondaire de plein exercice. Dans tous les cas, l’obligation scolaire à temps plein cesse quand l’élève atteint l’âge de 16 ans ;</w:t>
                  </w:r>
                </w:p>
                <w:p w:rsidR="00F04EEF" w:rsidRDefault="00F04EEF">
                  <w:pPr>
                    <w:jc w:val="both"/>
                    <w:rPr>
                      <w:rFonts w:cs="Arial"/>
                    </w:rPr>
                  </w:pPr>
                </w:p>
                <w:p w:rsidR="00F04EEF" w:rsidRDefault="0099351E">
                  <w:pPr>
                    <w:jc w:val="both"/>
                    <w:rPr>
                      <w:rFonts w:cs="Arial"/>
                    </w:rPr>
                  </w:pPr>
                  <w:r>
                    <w:rPr>
                      <w:rFonts w:cs="Arial"/>
                    </w:rPr>
                    <w:t xml:space="preserve">La période d’obligation scolaire à </w:t>
                  </w:r>
                  <w:r>
                    <w:rPr>
                      <w:rFonts w:cs="Arial"/>
                      <w:b/>
                      <w:u w:val="single"/>
                    </w:rPr>
                    <w:t>temps partiel</w:t>
                  </w:r>
                  <w:r>
                    <w:rPr>
                      <w:rFonts w:cs="Arial"/>
                    </w:rPr>
                    <w:t xml:space="preserve"> s’étend jusqu’à la fin de la période d’obligation scolaire.</w:t>
                  </w:r>
                </w:p>
                <w:p w:rsidR="00F04EEF" w:rsidRDefault="00F04EEF">
                  <w:pPr>
                    <w:jc w:val="both"/>
                    <w:rPr>
                      <w:rFonts w:cs="Arial"/>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Le jeune soumis à l’obligation scolaire à </w:t>
                  </w:r>
                  <w:r>
                    <w:rPr>
                      <w:rFonts w:asciiTheme="majorHAnsi" w:hAnsiTheme="majorHAnsi"/>
                      <w:b/>
                      <w:sz w:val="22"/>
                      <w:szCs w:val="22"/>
                      <w:u w:val="single"/>
                    </w:rPr>
                    <w:t>temps partiel</w:t>
                  </w:r>
                  <w:r>
                    <w:rPr>
                      <w:rFonts w:asciiTheme="majorHAnsi" w:hAnsiTheme="majorHAnsi"/>
                      <w:sz w:val="22"/>
                      <w:szCs w:val="22"/>
                    </w:rPr>
                    <w:t>, peut continuer sa scolarité à temps plein ou s’orienter vers d’autres filières :</w:t>
                  </w:r>
                </w:p>
                <w:p w:rsidR="00F04EEF" w:rsidRDefault="00F04EEF">
                  <w:pPr>
                    <w:pStyle w:val="Corpsdetexte21"/>
                    <w:jc w:val="both"/>
                    <w:rPr>
                      <w:rFonts w:asciiTheme="majorHAnsi" w:hAnsiTheme="majorHAnsi"/>
                      <w:sz w:val="22"/>
                      <w:szCs w:val="22"/>
                    </w:rPr>
                  </w:pPr>
                </w:p>
                <w:p w:rsidR="00F04EEF" w:rsidRDefault="0099351E">
                  <w:pPr>
                    <w:numPr>
                      <w:ilvl w:val="0"/>
                      <w:numId w:val="84"/>
                    </w:numPr>
                    <w:tabs>
                      <w:tab w:val="clear" w:pos="360"/>
                      <w:tab w:val="num" w:pos="720"/>
                    </w:tabs>
                    <w:suppressAutoHyphens/>
                    <w:ind w:left="567" w:firstLine="0"/>
                    <w:jc w:val="both"/>
                    <w:rPr>
                      <w:rFonts w:cs="Arial"/>
                    </w:rPr>
                  </w:pPr>
                  <w:r>
                    <w:rPr>
                      <w:rFonts w:cs="Arial"/>
                    </w:rPr>
                    <w:t>L’enseignement secondaire en alternance ;</w:t>
                  </w:r>
                </w:p>
                <w:p w:rsidR="00F04EEF" w:rsidRDefault="0099351E">
                  <w:pPr>
                    <w:numPr>
                      <w:ilvl w:val="0"/>
                      <w:numId w:val="84"/>
                    </w:numPr>
                    <w:tabs>
                      <w:tab w:val="clear" w:pos="360"/>
                      <w:tab w:val="num" w:pos="720"/>
                    </w:tabs>
                    <w:suppressAutoHyphens/>
                    <w:ind w:left="567" w:firstLine="0"/>
                    <w:jc w:val="both"/>
                    <w:rPr>
                      <w:rFonts w:cs="Arial"/>
                    </w:rPr>
                  </w:pPr>
                  <w:r>
                    <w:rPr>
                      <w:rFonts w:cs="Arial"/>
                    </w:rPr>
                    <w:t>Une formation reconnue par la Fédération Wallonie-Bruxelles comme répondant aux exigences de l’obligation scolaire</w:t>
                  </w:r>
                  <w:r>
                    <w:rPr>
                      <w:rStyle w:val="Caractresdenotedebasdepage"/>
                      <w:rFonts w:cs="Arial"/>
                    </w:rPr>
                    <w:footnoteReference w:id="84"/>
                  </w:r>
                  <w:r>
                    <w:rPr>
                      <w:rFonts w:cs="Arial"/>
                    </w:rPr>
                    <w:t>.</w:t>
                  </w:r>
                </w:p>
                <w:p w:rsidR="00F04EEF" w:rsidRDefault="00F04EEF">
                  <w:pPr>
                    <w:jc w:val="both"/>
                    <w:rPr>
                      <w:rFonts w:cs="Arial"/>
                    </w:rPr>
                  </w:pPr>
                </w:p>
                <w:p w:rsidR="00F04EEF" w:rsidRDefault="0099351E">
                  <w:pPr>
                    <w:pStyle w:val="Titre5"/>
                  </w:pPr>
                  <w:bookmarkStart w:id="902" w:name="_2.1.3.__Quelles"/>
                  <w:bookmarkStart w:id="903" w:name="_Toc291075548"/>
                  <w:bookmarkStart w:id="904" w:name="_Toc291075972"/>
                  <w:bookmarkStart w:id="905" w:name="_Toc291076396"/>
                  <w:bookmarkStart w:id="906" w:name="_Toc291076820"/>
                  <w:bookmarkStart w:id="907" w:name="_Toc291077244"/>
                  <w:bookmarkStart w:id="908" w:name="_Toc293652086"/>
                  <w:bookmarkStart w:id="909" w:name="_Toc293653668"/>
                  <w:bookmarkStart w:id="910" w:name="_Toc293654280"/>
                  <w:bookmarkStart w:id="911" w:name="_Toc294004860"/>
                  <w:bookmarkStart w:id="912" w:name="_Toc294185356"/>
                  <w:bookmarkStart w:id="913" w:name="_Toc324767222"/>
                  <w:bookmarkStart w:id="914" w:name="_Toc324768080"/>
                  <w:bookmarkEnd w:id="902"/>
                  <w:r>
                    <w:t>2.1.3. Quelles sont les filières qui répondent à l’obligation scolaire ?</w:t>
                  </w:r>
                  <w:bookmarkEnd w:id="903"/>
                  <w:bookmarkEnd w:id="904"/>
                  <w:bookmarkEnd w:id="905"/>
                  <w:bookmarkEnd w:id="906"/>
                  <w:bookmarkEnd w:id="907"/>
                  <w:bookmarkEnd w:id="908"/>
                  <w:bookmarkEnd w:id="909"/>
                  <w:bookmarkEnd w:id="910"/>
                  <w:bookmarkEnd w:id="911"/>
                  <w:bookmarkEnd w:id="912"/>
                  <w:bookmarkEnd w:id="913"/>
                  <w:bookmarkEnd w:id="914"/>
                </w:p>
                <w:p w:rsidR="00F04EEF" w:rsidRDefault="00F04EEF">
                  <w:pPr>
                    <w:jc w:val="both"/>
                  </w:pPr>
                </w:p>
                <w:p w:rsidR="00F04EEF" w:rsidRDefault="0099351E">
                  <w:pPr>
                    <w:jc w:val="both"/>
                    <w:rPr>
                      <w:rFonts w:cs="Arial"/>
                    </w:rPr>
                  </w:pPr>
                  <w:r>
                    <w:rPr>
                      <w:rFonts w:cs="Arial"/>
                    </w:rPr>
                    <w:t xml:space="preserve">Pour répondre à l’obligation scolaire, les parents, la personne investie de l’autorité parentale ou la personne qui assume la garde en fait du mineur doivent tout d’abord veiller à ce que le mineur dont ils ont la responsabilité soit : </w:t>
                  </w:r>
                </w:p>
                <w:p w:rsidR="00F04EEF" w:rsidRDefault="0099351E">
                  <w:pPr>
                    <w:jc w:val="both"/>
                    <w:rPr>
                      <w:rFonts w:cs="Arial"/>
                    </w:rPr>
                  </w:pPr>
                  <w:r>
                    <w:rPr>
                      <w:rFonts w:cs="Arial"/>
                    </w:rPr>
                    <w:t xml:space="preserve"> </w:t>
                  </w:r>
                </w:p>
                <w:p w:rsidR="00F04EEF" w:rsidRDefault="0099351E">
                  <w:pPr>
                    <w:numPr>
                      <w:ilvl w:val="1"/>
                      <w:numId w:val="78"/>
                    </w:numPr>
                    <w:tabs>
                      <w:tab w:val="clear" w:pos="1080"/>
                    </w:tabs>
                    <w:suppressAutoHyphens/>
                    <w:ind w:left="567"/>
                    <w:jc w:val="both"/>
                    <w:rPr>
                      <w:rFonts w:cs="Arial"/>
                    </w:rPr>
                  </w:pPr>
                  <w:r>
                    <w:rPr>
                      <w:rFonts w:cs="Arial"/>
                    </w:rPr>
                    <w:t xml:space="preserve">inscrit dans un établissement scolaire organisé ou subventionné par la Fédération Wallonie-Bruxelles </w:t>
                  </w:r>
                  <w:r>
                    <w:rPr>
                      <w:rStyle w:val="Appelnotedebasdep1"/>
                    </w:rPr>
                    <w:footnoteReference w:id="85"/>
                  </w:r>
                  <w:r>
                    <w:rPr>
                      <w:rFonts w:cs="Arial"/>
                    </w:rPr>
                    <w:t xml:space="preserve"> et fréquente celui-ci régulièrement et assidûment ;</w:t>
                  </w:r>
                </w:p>
                <w:p w:rsidR="00F04EEF" w:rsidRDefault="0099351E">
                  <w:pPr>
                    <w:numPr>
                      <w:ilvl w:val="1"/>
                      <w:numId w:val="78"/>
                    </w:numPr>
                    <w:tabs>
                      <w:tab w:val="clear" w:pos="1080"/>
                    </w:tabs>
                    <w:suppressAutoHyphens/>
                    <w:ind w:left="567"/>
                    <w:jc w:val="both"/>
                    <w:rPr>
                      <w:rFonts w:cs="Arial"/>
                    </w:rPr>
                  </w:pPr>
                  <w:r>
                    <w:rPr>
                      <w:rFonts w:cs="Arial"/>
                    </w:rPr>
                    <w:t>accueilli ou formé dans une institution répondant aux exigences de l’obligation scolaire (ex : service d’accrochage scolaire</w:t>
                  </w:r>
                  <w:r>
                    <w:rPr>
                      <w:rStyle w:val="Appelnotedebasdep"/>
                    </w:rPr>
                    <w:footnoteReference w:id="86"/>
                  </w:r>
                  <w:r>
                    <w:rPr>
                      <w:rFonts w:cs="Arial"/>
                    </w:rPr>
                    <w:t>, formations</w:t>
                  </w:r>
                  <w:r>
                    <w:rPr>
                      <w:rStyle w:val="Appelnotedebasdep"/>
                    </w:rPr>
                    <w:footnoteReference w:id="87"/>
                  </w:r>
                  <w:r>
                    <w:rPr>
                      <w:rFonts w:cs="Arial"/>
                    </w:rPr>
                    <w:t>IFAPME</w:t>
                  </w:r>
                  <w:r>
                    <w:rPr>
                      <w:rStyle w:val="Appelnotedebasdep"/>
                    </w:rPr>
                    <w:footnoteReference w:id="88"/>
                  </w:r>
                  <w:r>
                    <w:rPr>
                      <w:rFonts w:cs="Arial"/>
                    </w:rPr>
                    <w:t xml:space="preserve"> ou SFPME</w:t>
                  </w:r>
                  <w:r>
                    <w:rPr>
                      <w:rStyle w:val="Appelnotedebasdep"/>
                    </w:rPr>
                    <w:footnoteReference w:id="89"/>
                  </w:r>
                  <w:r>
                    <w:rPr>
                      <w:rFonts w:cs="Arial"/>
                    </w:rPr>
                    <w:t>.</w:t>
                  </w:r>
                </w:p>
                <w:p w:rsidR="00F04EEF" w:rsidRDefault="0099351E">
                  <w:pPr>
                    <w:numPr>
                      <w:ilvl w:val="1"/>
                      <w:numId w:val="78"/>
                    </w:numPr>
                    <w:tabs>
                      <w:tab w:val="clear" w:pos="1080"/>
                      <w:tab w:val="num" w:pos="720"/>
                    </w:tabs>
                    <w:suppressAutoHyphens/>
                    <w:ind w:left="567"/>
                    <w:jc w:val="both"/>
                    <w:rPr>
                      <w:rFonts w:cs="Arial"/>
                    </w:rPr>
                  </w:pPr>
                  <w:r>
                    <w:rPr>
                      <w:rFonts w:cs="Arial"/>
                    </w:rPr>
                    <w:t xml:space="preserve">inscrit dans un établissement scolaire dépendant de l’une des deux autres Communautés ou dans un autre établissement scolaire ne dépendant pas de la Fédération Wallonie-Bruxelles mais dont la fréquentation soit : </w:t>
                  </w:r>
                </w:p>
                <w:p w:rsidR="00F04EEF" w:rsidRDefault="0099351E">
                  <w:pPr>
                    <w:numPr>
                      <w:ilvl w:val="0"/>
                      <w:numId w:val="113"/>
                    </w:numPr>
                    <w:tabs>
                      <w:tab w:val="clear" w:pos="357"/>
                      <w:tab w:val="num" w:pos="900"/>
                    </w:tabs>
                    <w:suppressAutoHyphens/>
                    <w:ind w:left="1134" w:firstLine="0"/>
                    <w:jc w:val="both"/>
                    <w:rPr>
                      <w:rFonts w:cs="Arial"/>
                    </w:rPr>
                  </w:pPr>
                  <w:r>
                    <w:rPr>
                      <w:rFonts w:cs="Arial"/>
                    </w:rPr>
                    <w:t>peut mener à l’obtention d’un titre étranger qui bénéficie d’une décision d’équivalence par voie de disposition générale ;</w:t>
                  </w:r>
                </w:p>
                <w:p w:rsidR="00F04EEF" w:rsidRDefault="0099351E">
                  <w:pPr>
                    <w:numPr>
                      <w:ilvl w:val="0"/>
                      <w:numId w:val="113"/>
                    </w:numPr>
                    <w:tabs>
                      <w:tab w:val="clear" w:pos="357"/>
                      <w:tab w:val="num" w:pos="900"/>
                    </w:tabs>
                    <w:suppressAutoHyphens/>
                    <w:ind w:left="1134" w:firstLine="0"/>
                    <w:jc w:val="both"/>
                    <w:rPr>
                      <w:rFonts w:cs="Arial"/>
                    </w:rPr>
                  </w:pPr>
                  <w:r>
                    <w:rPr>
                      <w:rFonts w:cs="Arial"/>
                    </w:rPr>
                    <w:t>peut mener à l’obtention d’un titre étranger et dont l’enseignement est reconnu par le Gouvernement de la Fédération Wallonie-Bruxelles comme satisfaisant à l’obligation scolaire ;</w:t>
                  </w:r>
                </w:p>
                <w:p w:rsidR="00F04EEF" w:rsidRDefault="0099351E">
                  <w:pPr>
                    <w:numPr>
                      <w:ilvl w:val="1"/>
                      <w:numId w:val="96"/>
                    </w:numPr>
                    <w:tabs>
                      <w:tab w:val="clear" w:pos="1080"/>
                    </w:tabs>
                    <w:suppressAutoHyphens/>
                    <w:ind w:left="567"/>
                    <w:jc w:val="both"/>
                    <w:rPr>
                      <w:rFonts w:cs="Arial"/>
                    </w:rPr>
                  </w:pPr>
                  <w:r>
                    <w:rPr>
                      <w:rFonts w:cs="Arial"/>
                    </w:rPr>
                    <w:t>scolarisé par le biais de l’enseignement à domicile</w:t>
                  </w:r>
                  <w:r>
                    <w:rPr>
                      <w:rStyle w:val="Appelnotedebasdep1"/>
                    </w:rPr>
                    <w:footnoteReference w:id="90"/>
                  </w:r>
                  <w:r>
                    <w:rPr>
                      <w:rFonts w:cs="Arial"/>
                    </w:rPr>
                    <w:t> ;</w:t>
                  </w:r>
                </w:p>
                <w:p w:rsidR="00F04EEF" w:rsidRDefault="00F04EEF">
                  <w:pPr>
                    <w:jc w:val="both"/>
                    <w:rPr>
                      <w:rFonts w:cs="Arial"/>
                    </w:rPr>
                  </w:pPr>
                </w:p>
                <w:p w:rsidR="00F04EEF" w:rsidRDefault="0099351E">
                  <w:pPr>
                    <w:jc w:val="both"/>
                    <w:rPr>
                      <w:rFonts w:cs="Arial"/>
                    </w:rPr>
                  </w:pPr>
                  <w:r>
                    <w:rPr>
                      <w:rFonts w:cs="Arial"/>
                    </w:rPr>
                    <w:t>Dans ces deux dernières hypothèses, la situation est régie par le décret du 25 avril 2008 fixant les conditions pour pouvoir satisfaire à l’obligation scolaire en dehors de l’enseignement organisé ou subventionné par la Fédération Wallonie-Bruxelles. (Cf.</w:t>
                  </w:r>
                  <w:hyperlink w:anchor="_2.1.4._Qu’est-ce_que" w:history="1">
                    <w:r>
                      <w:rPr>
                        <w:rStyle w:val="Lienhypertexte"/>
                        <w:rFonts w:cs="Arial"/>
                      </w:rPr>
                      <w:t xml:space="preserve"> point 2.1.4</w:t>
                    </w:r>
                  </w:hyperlink>
                  <w:r>
                    <w:rPr>
                      <w:rFonts w:cs="Arial"/>
                    </w:rPr>
                    <w:t>)</w:t>
                  </w:r>
                </w:p>
                <w:p w:rsidR="00F04EEF" w:rsidRDefault="00F04EEF">
                  <w:pPr>
                    <w:spacing w:after="120"/>
                    <w:jc w:val="both"/>
                    <w:rPr>
                      <w:rFonts w:cs="Arial"/>
                    </w:rPr>
                  </w:pPr>
                </w:p>
                <w:p w:rsidR="00F04EEF" w:rsidRDefault="0099351E">
                  <w:pPr>
                    <w:jc w:val="both"/>
                    <w:rPr>
                      <w:rFonts w:cs="Arial"/>
                    </w:rPr>
                  </w:pPr>
                  <w:r>
                    <w:rPr>
                      <w:rFonts w:cs="Arial"/>
                    </w:rPr>
                    <w:t>En outre, le Ministre peut, selon les modalités fixées par le Gouvernement, autoriser un enfant à fréquenter à temps partiel une structure subventionnée et agréée par l’AViQ, par la Commission Communautaire française ou par l’INAMI. La prise en charge de l’élève par ce type de structure ne peut être supérieure à 4 demi-jours par semaine</w:t>
                  </w:r>
                  <w:r>
                    <w:rPr>
                      <w:rFonts w:cs="Arial"/>
                      <w:vertAlign w:val="superscript"/>
                    </w:rPr>
                    <w:footnoteReference w:id="91"/>
                  </w:r>
                  <w:r>
                    <w:rPr>
                      <w:rFonts w:cs="Arial"/>
                    </w:rPr>
                    <w:t>. Pour chaque élève concerné, le projet de scolarisation à temps partiel fera l’objet d’une convention entre l’établissement d’enseignement spécialisé, la structure subventionnée ou agréée par l’AViQ, par la Commission Communautaire française ou par l’INAMI, le Centre PMS et les parents ou la personne exerçant l’autorité parentale.</w:t>
                  </w:r>
                  <w:r>
                    <w:rPr>
                      <w:rFonts w:ascii="Arial" w:eastAsia="Times New Roman" w:hAnsi="Arial" w:cs="Times New Roman"/>
                      <w:color w:val="00B0F0"/>
                      <w:spacing w:val="-4"/>
                      <w:vertAlign w:val="superscript"/>
                      <w:lang w:val="fr-FR" w:eastAsia="fr-FR"/>
                    </w:rPr>
                    <w:t xml:space="preserve"> </w:t>
                  </w:r>
                  <w:r>
                    <w:rPr>
                      <w:rFonts w:ascii="Arial" w:eastAsia="Times New Roman" w:hAnsi="Arial" w:cs="Times New Roman"/>
                      <w:color w:val="00B0F0"/>
                      <w:spacing w:val="-4"/>
                      <w:vertAlign w:val="superscript"/>
                      <w:lang w:val="fr-FR" w:eastAsia="fr-FR"/>
                    </w:rPr>
                    <w:footnoteReference w:id="92"/>
                  </w:r>
                </w:p>
                <w:p w:rsidR="00F04EEF" w:rsidRDefault="0099351E">
                  <w:pPr>
                    <w:spacing w:after="120"/>
                    <w:jc w:val="both"/>
                    <w:rPr>
                      <w:rFonts w:cs="Arial"/>
                    </w:rPr>
                  </w:pPr>
                  <w:r>
                    <w:rPr>
                      <w:rFonts w:cs="Arial"/>
                    </w:rPr>
                    <w:t>Le cas échéant, l’enfant ou l’adolescent à besoins spécifiques peut également être couvert par une dispense de l’obligation scolaire</w:t>
                  </w:r>
                  <w:r>
                    <w:rPr>
                      <w:rStyle w:val="Appelnotedebasdep1"/>
                    </w:rPr>
                    <w:footnoteReference w:id="93"/>
                  </w:r>
                  <w:r>
                    <w:rPr>
                      <w:rFonts w:cs="Arial"/>
                    </w:rPr>
                    <w:t>.</w:t>
                  </w:r>
                </w:p>
                <w:p w:rsidR="00F04EEF" w:rsidRDefault="0099351E">
                  <w:pPr>
                    <w:jc w:val="both"/>
                    <w:rPr>
                      <w:rFonts w:cs="Arial"/>
                    </w:rPr>
                  </w:pPr>
                  <w:r>
                    <w:rPr>
                      <w:rFonts w:cs="Arial"/>
                    </w:rPr>
                    <w:t xml:space="preserve">Le responsable légal dont l’enfant réside à l’étranger, bien qu’il soit encore officiellement domicilié en Belgique, transmettra à l’administration en chaque début d’année scolaire une preuve écrite de cette situation, c’est-à-dire un document émanant de toute instance officielle habilitée à le délivrer (Ex. : Consulat, Administration communale, Mairie, etc.) ou une attestation d’inscription d’une école située dans le pays de résidence. </w:t>
                  </w:r>
                </w:p>
                <w:p w:rsidR="00F04EEF" w:rsidRDefault="00F04EEF">
                  <w:pPr>
                    <w:rPr>
                      <w:rFonts w:eastAsia="Times New Roman" w:cs="Arial"/>
                      <w:b/>
                      <w:u w:val="single"/>
                      <w:lang w:eastAsia="ar-SA"/>
                    </w:rPr>
                  </w:pPr>
                  <w:bookmarkStart w:id="915" w:name="_Toc291075549"/>
                  <w:bookmarkStart w:id="916" w:name="_Toc291075973"/>
                  <w:bookmarkStart w:id="917" w:name="_Toc291076397"/>
                  <w:bookmarkStart w:id="918" w:name="_Toc291076821"/>
                  <w:bookmarkStart w:id="919" w:name="_Toc291077245"/>
                  <w:bookmarkStart w:id="920" w:name="_Toc293652087"/>
                  <w:bookmarkStart w:id="921" w:name="_Toc293653669"/>
                  <w:bookmarkStart w:id="922" w:name="_Toc293654281"/>
                  <w:bookmarkStart w:id="923" w:name="_Toc294004861"/>
                  <w:bookmarkStart w:id="924" w:name="_Toc294185357"/>
                  <w:bookmarkStart w:id="925" w:name="_Toc324767223"/>
                  <w:bookmarkStart w:id="926" w:name="_Toc324768081"/>
                </w:p>
                <w:p w:rsidR="00F04EEF" w:rsidRDefault="0099351E">
                  <w:pPr>
                    <w:pStyle w:val="Titre5"/>
                  </w:pPr>
                  <w:bookmarkStart w:id="927" w:name="_2.1.4._Qu’est-ce_que"/>
                  <w:bookmarkEnd w:id="927"/>
                  <w:r>
                    <w:t>2.1.4. Qu’est-ce que l’enseignement à domicile ?</w:t>
                  </w:r>
                  <w:bookmarkEnd w:id="915"/>
                  <w:bookmarkEnd w:id="916"/>
                  <w:bookmarkEnd w:id="917"/>
                  <w:bookmarkEnd w:id="918"/>
                  <w:bookmarkEnd w:id="919"/>
                  <w:bookmarkEnd w:id="920"/>
                  <w:bookmarkEnd w:id="921"/>
                  <w:bookmarkEnd w:id="922"/>
                  <w:bookmarkEnd w:id="923"/>
                  <w:bookmarkEnd w:id="924"/>
                  <w:bookmarkEnd w:id="925"/>
                  <w:bookmarkEnd w:id="926"/>
                </w:p>
                <w:p w:rsidR="00F04EEF" w:rsidRDefault="00F04EEF">
                  <w:pPr>
                    <w:jc w:val="both"/>
                    <w:rPr>
                      <w:rFonts w:cs="Arial"/>
                    </w:rPr>
                  </w:pPr>
                </w:p>
                <w:p w:rsidR="00F04EEF" w:rsidRDefault="0099351E">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u w:val="single"/>
                    </w:rPr>
                  </w:pPr>
                  <w:r>
                    <w:rPr>
                      <w:rFonts w:asciiTheme="majorHAnsi" w:hAnsiTheme="majorHAnsi"/>
                      <w:b/>
                      <w:sz w:val="22"/>
                      <w:szCs w:val="22"/>
                      <w:u w:val="single"/>
                    </w:rPr>
                    <w:t xml:space="preserve">Remarque : </w:t>
                  </w:r>
                </w:p>
                <w:p w:rsidR="00F04EEF" w:rsidRDefault="0099351E">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Pr>
                      <w:rFonts w:asciiTheme="majorHAnsi" w:hAnsiTheme="majorHAnsi"/>
                      <w:sz w:val="22"/>
                      <w:szCs w:val="22"/>
                    </w:rPr>
                    <w:t>Il y a deux types d’enseignement à domicile, l’un excluant l’autre.</w:t>
                  </w:r>
                </w:p>
                <w:p w:rsidR="00F04EEF" w:rsidRDefault="0099351E">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et </w:t>
                  </w:r>
                  <w:r>
                    <w:rPr>
                      <w:rFonts w:asciiTheme="majorHAnsi" w:hAnsiTheme="majorHAnsi"/>
                      <w:b/>
                      <w:sz w:val="22"/>
                      <w:szCs w:val="22"/>
                      <w:u w:val="single"/>
                    </w:rPr>
                    <w:t>enseignement spécialisé dispensé à domicile</w:t>
                  </w:r>
                  <w:r>
                    <w:rPr>
                      <w:rStyle w:val="Caractresdenotedebasdepage"/>
                      <w:b/>
                      <w:sz w:val="22"/>
                      <w:szCs w:val="22"/>
                    </w:rPr>
                    <w:footnoteReference w:id="94"/>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95"/>
                  </w:r>
                  <w:r>
                    <w:rPr>
                      <w:rFonts w:asciiTheme="majorHAnsi" w:hAnsiTheme="majorHAnsi"/>
                      <w:b/>
                      <w:sz w:val="22"/>
                      <w:szCs w:val="22"/>
                    </w:rPr>
                    <w:t xml:space="preserve">. </w:t>
                  </w:r>
                </w:p>
                <w:p w:rsidR="00F04EEF" w:rsidRDefault="0099351E">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Pr>
                      <w:rFonts w:asciiTheme="majorHAnsi" w:hAnsiTheme="majorHAnsi"/>
                      <w:sz w:val="22"/>
                      <w:szCs w:val="22"/>
                    </w:rPr>
                    <w:t xml:space="preserve">L’enseignement à domicile et l’enseignement spécialisé dispensé à domicile répondent à l’obligation scolaire. </w:t>
                  </w:r>
                </w:p>
                <w:p w:rsidR="00F04EEF" w:rsidRDefault="0099351E">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Pr>
                      <w:rFonts w:asciiTheme="majorHAnsi" w:hAnsiTheme="majorHAnsi"/>
                      <w:sz w:val="22"/>
                      <w:szCs w:val="22"/>
                    </w:rPr>
                    <w:t>Par contre, l’inscription à l’enseignement à distance organisé par la Fédération Wallonie-Bruxelles nécessite une déclaration d’enseignement à domicile pour être en règle avec l’obligation scolaire.</w:t>
                  </w:r>
                </w:p>
                <w:p w:rsidR="00F04EEF" w:rsidRDefault="00F04EEF">
                  <w:pPr>
                    <w:jc w:val="both"/>
                    <w:rPr>
                      <w:rFonts w:cs="Arial"/>
                    </w:rPr>
                  </w:pPr>
                </w:p>
                <w:p w:rsidR="00F04EEF" w:rsidRDefault="0099351E">
                  <w:pPr>
                    <w:pStyle w:val="Corpsdetexte21"/>
                    <w:jc w:val="both"/>
                    <w:rPr>
                      <w:rFonts w:asciiTheme="majorHAnsi" w:hAnsiTheme="majorHAnsi"/>
                      <w:sz w:val="22"/>
                      <w:szCs w:val="22"/>
                    </w:rPr>
                  </w:pPr>
                  <w:bookmarkStart w:id="928" w:name="_Toc291075551"/>
                  <w:bookmarkStart w:id="929" w:name="_Toc291075975"/>
                  <w:bookmarkStart w:id="930" w:name="_Toc291076399"/>
                  <w:bookmarkStart w:id="931" w:name="_Toc291076823"/>
                  <w:bookmarkStart w:id="932" w:name="_Toc291077247"/>
                  <w:bookmarkStart w:id="933" w:name="_Toc293652089"/>
                  <w:bookmarkStart w:id="934" w:name="_Toc293653671"/>
                  <w:bookmarkStart w:id="935" w:name="_Toc293654283"/>
                  <w:bookmarkStart w:id="936" w:name="_Toc294004863"/>
                  <w:bookmarkStart w:id="937" w:name="_Toc294185359"/>
                  <w:bookmarkStart w:id="938" w:name="_Toc324767225"/>
                  <w:bookmarkStart w:id="939" w:name="_Toc324768083"/>
                  <w:r>
                    <w:rPr>
                      <w:rFonts w:asciiTheme="majorHAnsi" w:hAnsiTheme="majorHAnsi"/>
                      <w:sz w:val="22"/>
                      <w:szCs w:val="22"/>
                    </w:rPr>
                    <w:t>Comme mentionné plus haut, un mineur soumis à l’obligation scolaire et qui est inscrit dans un établissement scolaire qui n’est ni organisé ou subventionné par la Fédération Wallonie-Bruxelles ou qui suit l’enseignement à domicile relève du décret du 25 avril 2008 fixant les conditions pour pouvoir satisfaire à l’obligation scolaire en dehors de l’enseignement organisé ou subventionné par Communauté française.</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Dans ce cas, les parents, la personne investie de l’autorité parentale ou la personne qui assume la garde en fait de l’enfant envoient directement au service de l’enseignement à domicile (voir </w:t>
                  </w:r>
                  <w:hyperlink w:anchor="_9._Matières_traitées" w:history="1">
                    <w:r>
                      <w:rPr>
                        <w:rStyle w:val="Lienhypertexte"/>
                        <w:rFonts w:asciiTheme="majorHAnsi" w:hAnsiTheme="majorHAnsi"/>
                        <w:sz w:val="22"/>
                        <w:szCs w:val="22"/>
                      </w:rPr>
                      <w:t>contacts utiles</w:t>
                    </w:r>
                  </w:hyperlink>
                  <w:r>
                    <w:rPr>
                      <w:rFonts w:asciiTheme="majorHAnsi" w:hAnsiTheme="majorHAnsi"/>
                      <w:sz w:val="22"/>
                      <w:szCs w:val="22"/>
                    </w:rPr>
                    <w:t xml:space="preserve">), </w:t>
                  </w:r>
                  <w:r>
                    <w:rPr>
                      <w:rFonts w:asciiTheme="majorHAnsi" w:hAnsiTheme="majorHAnsi"/>
                      <w:b/>
                      <w:sz w:val="22"/>
                      <w:szCs w:val="22"/>
                    </w:rPr>
                    <w:t>au plus tard le 5 septembre</w:t>
                  </w:r>
                  <w:r>
                    <w:rPr>
                      <w:rFonts w:asciiTheme="majorHAnsi" w:hAnsiTheme="majorHAnsi"/>
                      <w:sz w:val="22"/>
                      <w:szCs w:val="22"/>
                    </w:rPr>
                    <w:t xml:space="preserve"> de chaque année scolaire considérée, une déclaration d’enseignement à domicile.</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Au-delà de cette date, une inscription n’est possible que pour les enfants qui fixent leur résidence en Belgique dans le courant de l’année scolaire.</w:t>
                  </w:r>
                </w:p>
                <w:p w:rsidR="00F04EEF" w:rsidRDefault="0099351E">
                  <w:pPr>
                    <w:pStyle w:val="Corpsdetexte21"/>
                    <w:jc w:val="both"/>
                    <w:rPr>
                      <w:rFonts w:asciiTheme="majorHAnsi" w:hAnsiTheme="majorHAnsi"/>
                      <w:sz w:val="22"/>
                      <w:szCs w:val="22"/>
                    </w:rPr>
                  </w:pPr>
                  <w:r>
                    <w:rPr>
                      <w:rFonts w:asciiTheme="majorHAnsi" w:hAnsiTheme="majorHAnsi"/>
                      <w:sz w:val="22"/>
                      <w:szCs w:val="22"/>
                    </w:rPr>
                    <w:t>La déclaration doit se faire via le formulaire prévu à cet effet.</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Outre l’exigence d’information, et sauf exceptions, deux obligations pèsent sur les personnes responsables du mineur en obligation scolaire inscrit à l’enseignement à domicile au sens strict :</w:t>
                  </w:r>
                </w:p>
                <w:p w:rsidR="00F04EEF" w:rsidRDefault="00F04EEF">
                  <w:pPr>
                    <w:pStyle w:val="Corpsdetexte21"/>
                    <w:jc w:val="both"/>
                    <w:rPr>
                      <w:rFonts w:asciiTheme="majorHAnsi" w:hAnsiTheme="majorHAnsi"/>
                      <w:sz w:val="22"/>
                      <w:szCs w:val="22"/>
                    </w:rPr>
                  </w:pPr>
                </w:p>
                <w:p w:rsidR="00F04EEF" w:rsidRDefault="0099351E">
                  <w:pPr>
                    <w:pStyle w:val="Corpsdetexte21"/>
                    <w:numPr>
                      <w:ilvl w:val="0"/>
                      <w:numId w:val="68"/>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soumettre le mineur au contrôle du niveau des études ;</w:t>
                  </w:r>
                </w:p>
                <w:p w:rsidR="00F04EEF" w:rsidRDefault="0099351E">
                  <w:pPr>
                    <w:pStyle w:val="Corpsdetexte21"/>
                    <w:numPr>
                      <w:ilvl w:val="0"/>
                      <w:numId w:val="68"/>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inscrire le mineur aux épreuves certificatives.</w:t>
                  </w:r>
                </w:p>
                <w:p w:rsidR="00F04EEF" w:rsidRDefault="00F04EEF">
                  <w:pPr>
                    <w:pStyle w:val="Corpsdetexte21"/>
                    <w:jc w:val="both"/>
                    <w:rPr>
                      <w:rFonts w:asciiTheme="majorHAnsi" w:hAnsiTheme="majorHAnsi"/>
                      <w:sz w:val="22"/>
                      <w:szCs w:val="22"/>
                    </w:rPr>
                  </w:pPr>
                </w:p>
                <w:p w:rsidR="00F04EEF" w:rsidRDefault="0099351E">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96"/>
                  </w:r>
                  <w:r>
                    <w:rPr>
                      <w:rFonts w:asciiTheme="majorHAnsi" w:hAnsiTheme="majorHAnsi"/>
                      <w:b/>
                      <w:sz w:val="22"/>
                      <w:szCs w:val="22"/>
                    </w:rPr>
                    <w:t xml:space="preserve">. Seul, l’enseignement à domicile répond à l’obligation scolaire. </w:t>
                  </w:r>
                </w:p>
                <w:p w:rsidR="00F04EEF" w:rsidRDefault="00F04EEF">
                  <w:bookmarkStart w:id="940" w:name="_2.1.5._Enseignement_spécialisé"/>
                  <w:bookmarkEnd w:id="940"/>
                </w:p>
                <w:p w:rsidR="00F04EEF" w:rsidRDefault="0099351E">
                  <w:pPr>
                    <w:pStyle w:val="Titre5"/>
                  </w:pPr>
                  <w:r>
                    <w:t>2.1.5. Enseignement spécialisé dispensé à domicile</w:t>
                  </w:r>
                </w:p>
                <w:p w:rsidR="00F04EEF" w:rsidRDefault="00F04EEF">
                  <w:pPr>
                    <w:pStyle w:val="Corpsdetexte21"/>
                    <w:spacing w:after="120"/>
                    <w:jc w:val="both"/>
                    <w:rPr>
                      <w:rFonts w:asciiTheme="majorHAnsi" w:hAnsiTheme="majorHAnsi"/>
                      <w:spacing w:val="-2"/>
                      <w:sz w:val="22"/>
                      <w:szCs w:val="22"/>
                    </w:rPr>
                  </w:pPr>
                </w:p>
                <w:p w:rsidR="00F04EEF" w:rsidRDefault="0099351E">
                  <w:pPr>
                    <w:pStyle w:val="Corpsdetexte21"/>
                    <w:spacing w:after="120"/>
                    <w:jc w:val="both"/>
                    <w:rPr>
                      <w:rFonts w:asciiTheme="majorHAnsi" w:hAnsiTheme="majorHAnsi"/>
                      <w:spacing w:val="-2"/>
                      <w:sz w:val="22"/>
                      <w:szCs w:val="22"/>
                    </w:rPr>
                  </w:pPr>
                  <w:r>
                    <w:rPr>
                      <w:rFonts w:asciiTheme="majorHAnsi" w:hAnsiTheme="majorHAnsi"/>
                      <w:spacing w:val="-2"/>
                      <w:sz w:val="22"/>
                      <w:szCs w:val="22"/>
                    </w:rPr>
                    <w:t>L’enseignement spécialisé dispensé à domicile s’adresse uniquement à un élève à besoins spécifiques qui est dans l’impossibilité de se rendre à l’école, car il ne peut se déplacer ou être transporté en raison de la nature ou de la gravité de son handicap et qui est inscrit dans un établissement d’enseignement.</w:t>
                  </w:r>
                </w:p>
                <w:p w:rsidR="00F04EEF" w:rsidRDefault="0099351E">
                  <w:pPr>
                    <w:pStyle w:val="Corpsdetexte21"/>
                    <w:jc w:val="both"/>
                    <w:rPr>
                      <w:rFonts w:asciiTheme="majorHAnsi" w:hAnsiTheme="majorHAnsi"/>
                      <w:spacing w:val="-2"/>
                      <w:sz w:val="22"/>
                      <w:szCs w:val="22"/>
                    </w:rPr>
                  </w:pPr>
                  <w:r>
                    <w:rPr>
                      <w:rFonts w:asciiTheme="majorHAnsi" w:hAnsiTheme="majorHAnsi"/>
                      <w:spacing w:val="-2"/>
                      <w:sz w:val="22"/>
                      <w:szCs w:val="22"/>
                    </w:rPr>
                    <w:t>Les demandes sur l’opportunité de faire dispenser l’enseignement spécialisé à domicile à un jeune à besoins spécifiques qui ne peut se déplacer ou être transporté en raison de la nature ou de la gravité de son handicap sont introduites sur papier libre, auprès du secrétariat des commissions consultatives, à la demande de la personne exerçant l’autorité parentale ou d’un membre de l’Inspection scolaire. Le dossier peut être complété par des éléments fournis par des médecins.</w:t>
                  </w:r>
                </w:p>
                <w:p w:rsidR="00F04EEF" w:rsidRDefault="0099351E">
                  <w:pPr>
                    <w:jc w:val="both"/>
                    <w:rPr>
                      <w:rFonts w:cs="Arial"/>
                      <w:spacing w:val="-2"/>
                    </w:rPr>
                  </w:pPr>
                  <w:r>
                    <w:rPr>
                      <w:rFonts w:cs="Arial"/>
                      <w:spacing w:val="-2"/>
                    </w:rPr>
                    <w:t>La Commission consultative de l’enseignement spécialisé est seule compétente pour rendre un avis sur cet enseignement à domicile (sauf pour les élèves de l’enseignement de type 5 qui ont un enseignement à domicile durant leur convalescence) ; elle apprécie en outre si ce type d’enseignement contribue au développement de toute la personnalité de l’élève et s’il ne freine pas son intégration sociale.</w:t>
                  </w:r>
                </w:p>
                <w:p w:rsidR="00F04EEF" w:rsidRDefault="00F04EEF">
                  <w:pPr>
                    <w:pStyle w:val="Corpsdetexte21"/>
                    <w:jc w:val="both"/>
                    <w:rPr>
                      <w:rFonts w:asciiTheme="majorHAnsi" w:hAnsiTheme="majorHAnsi"/>
                      <w:b/>
                      <w:sz w:val="22"/>
                      <w:szCs w:val="22"/>
                    </w:rPr>
                  </w:pPr>
                </w:p>
                <w:p w:rsidR="00F04EEF" w:rsidRDefault="0099351E">
                  <w:pPr>
                    <w:pStyle w:val="Titre5"/>
                  </w:pPr>
                  <w:bookmarkStart w:id="941" w:name="_2.1.5._comment_les"/>
                  <w:bookmarkStart w:id="942" w:name="_Comment_les_parents"/>
                  <w:bookmarkEnd w:id="941"/>
                  <w:bookmarkEnd w:id="942"/>
                  <w:r>
                    <w:t>2.1.6. Comment les parents d’un enfant à besoins spécifiques peuvent-ils obtenir une dispense d’obligation scolaire ?</w:t>
                  </w:r>
                </w:p>
                <w:p w:rsidR="00F04EEF" w:rsidRDefault="00F04EEF">
                  <w:pPr>
                    <w:jc w:val="both"/>
                    <w:rPr>
                      <w:rFonts w:cs="Arial"/>
                    </w:rPr>
                  </w:pPr>
                </w:p>
                <w:p w:rsidR="00F04EEF" w:rsidRDefault="0099351E">
                  <w:pPr>
                    <w:pStyle w:val="Corpsdetexte21"/>
                    <w:spacing w:after="120"/>
                    <w:jc w:val="both"/>
                    <w:rPr>
                      <w:rFonts w:asciiTheme="majorHAnsi" w:hAnsiTheme="majorHAnsi"/>
                      <w:spacing w:val="-2"/>
                      <w:sz w:val="22"/>
                      <w:szCs w:val="22"/>
                    </w:rPr>
                  </w:pPr>
                  <w:r>
                    <w:rPr>
                      <w:rFonts w:asciiTheme="majorHAnsi" w:hAnsiTheme="majorHAnsi"/>
                      <w:spacing w:val="-2"/>
                      <w:sz w:val="22"/>
                      <w:szCs w:val="22"/>
                    </w:rPr>
                    <w:t>Cette dispense s’adresse uniquement à un élève à besoins spécifiques qui est dans l’impossibilité de se rendre à l’école, car il ne peut se déplacer ou être transporté en raison de la nature ou de la gravité de son handicap.</w:t>
                  </w:r>
                </w:p>
                <w:p w:rsidR="00F04EEF" w:rsidRDefault="0099351E">
                  <w:pPr>
                    <w:jc w:val="both"/>
                    <w:rPr>
                      <w:rFonts w:cs="Arial"/>
                      <w:spacing w:val="-2"/>
                    </w:rPr>
                  </w:pPr>
                  <w:r>
                    <w:rPr>
                      <w:rFonts w:cs="Arial"/>
                      <w:spacing w:val="-2"/>
                    </w:rPr>
                    <w:t>Les demandes de dispense d’obligation scolaire sont à introduire sur papier libre auprès du secrétariat des commissions consultatives, au moyen du formulaire correspondant à la situation n°</w:t>
                  </w:r>
                  <w:hyperlink w:anchor="_Annexe_6_:" w:history="1">
                    <w:r>
                      <w:rPr>
                        <w:rStyle w:val="Lienhypertexte"/>
                        <w:rFonts w:cs="Arial"/>
                        <w:color w:val="auto"/>
                        <w:spacing w:val="-2"/>
                      </w:rPr>
                      <w:t xml:space="preserve"> 6</w:t>
                    </w:r>
                  </w:hyperlink>
                  <w:r>
                    <w:rPr>
                      <w:rFonts w:cs="Arial"/>
                      <w:spacing w:val="-2"/>
                    </w:rPr>
                    <w:t xml:space="preserve"> figurant au </w:t>
                  </w:r>
                  <w:hyperlink w:anchor="_Chapitre_21_:" w:history="1">
                    <w:r>
                      <w:rPr>
                        <w:rStyle w:val="Lienhypertexte"/>
                        <w:rFonts w:cs="Arial"/>
                        <w:spacing w:val="-2"/>
                      </w:rPr>
                      <w:t>chapitre 21</w:t>
                    </w:r>
                  </w:hyperlink>
                  <w:r>
                    <w:rPr>
                      <w:rFonts w:cs="Arial"/>
                      <w:spacing w:val="-2"/>
                    </w:rPr>
                    <w:t xml:space="preserve"> de la présente circulaire, sur demande du chef de famille ou du chef d’un établissement d’enseignement spécialisé et concernent l’opportunité de faire dispenser un jeune de toute obligation scolaire, en raison de son handicap.  Le dossier peut être complété par des éléments fournis par des médecins.</w:t>
                  </w:r>
                </w:p>
                <w:p w:rsidR="00F04EEF" w:rsidRDefault="0099351E">
                  <w:pPr>
                    <w:pStyle w:val="Corpsdetexte21"/>
                    <w:jc w:val="both"/>
                    <w:rPr>
                      <w:rFonts w:asciiTheme="majorHAnsi" w:hAnsiTheme="majorHAnsi"/>
                      <w:spacing w:val="-2"/>
                      <w:sz w:val="22"/>
                      <w:szCs w:val="22"/>
                    </w:rPr>
                  </w:pPr>
                  <w:r>
                    <w:rPr>
                      <w:rFonts w:asciiTheme="majorHAnsi" w:hAnsiTheme="majorHAnsi"/>
                      <w:spacing w:val="-2"/>
                      <w:sz w:val="22"/>
                      <w:szCs w:val="22"/>
                    </w:rPr>
                    <w:t>Les Commissions consultatives de l’enseignement spécialisé sont compétentes pour rendre un avis sur ces demandes et le communiquent aux Services du Gouvernement qui peuvent en accorder la dispense.</w:t>
                  </w:r>
                  <w:r>
                    <w:rPr>
                      <w:rStyle w:val="Caractresdenotedebasdepage"/>
                      <w:spacing w:val="-2"/>
                      <w:sz w:val="22"/>
                      <w:szCs w:val="22"/>
                    </w:rPr>
                    <w:footnoteReference w:id="97"/>
                  </w:r>
                  <w:r>
                    <w:rPr>
                      <w:rFonts w:asciiTheme="majorHAnsi" w:hAnsiTheme="majorHAnsi"/>
                      <w:spacing w:val="-2"/>
                      <w:sz w:val="22"/>
                      <w:szCs w:val="22"/>
                    </w:rPr>
                    <w:t xml:space="preserve"> </w:t>
                  </w:r>
                </w:p>
                <w:p w:rsidR="00F04EEF" w:rsidRDefault="00F04EEF">
                  <w:bookmarkStart w:id="943" w:name="_Toc291075552"/>
                  <w:bookmarkStart w:id="944" w:name="_Toc291075976"/>
                  <w:bookmarkStart w:id="945" w:name="_Toc291076400"/>
                  <w:bookmarkStart w:id="946" w:name="_Toc291076824"/>
                  <w:bookmarkStart w:id="947" w:name="_Toc291077248"/>
                  <w:bookmarkStart w:id="948" w:name="_Toc293652090"/>
                  <w:bookmarkStart w:id="949" w:name="_Toc293653672"/>
                  <w:bookmarkStart w:id="950" w:name="_Toc293654284"/>
                  <w:bookmarkStart w:id="951" w:name="_Toc294004864"/>
                  <w:bookmarkStart w:id="952" w:name="_Toc294185360"/>
                  <w:bookmarkEnd w:id="928"/>
                  <w:bookmarkEnd w:id="929"/>
                  <w:bookmarkEnd w:id="930"/>
                  <w:bookmarkEnd w:id="931"/>
                  <w:bookmarkEnd w:id="932"/>
                  <w:bookmarkEnd w:id="933"/>
                  <w:bookmarkEnd w:id="934"/>
                  <w:bookmarkEnd w:id="935"/>
                  <w:bookmarkEnd w:id="936"/>
                  <w:bookmarkEnd w:id="937"/>
                  <w:bookmarkEnd w:id="938"/>
                  <w:bookmarkEnd w:id="939"/>
                </w:p>
                <w:p w:rsidR="00F04EEF" w:rsidRDefault="0099351E">
                  <w:pPr>
                    <w:pStyle w:val="Titre5"/>
                  </w:pPr>
                  <w:bookmarkStart w:id="953" w:name="_Toc324767226"/>
                  <w:bookmarkStart w:id="954" w:name="_Toc324768084"/>
                  <w:r>
                    <w:t>2.1.7. A qui incombe la responsabilité de l’obligation scolaire ?</w:t>
                  </w:r>
                  <w:bookmarkEnd w:id="943"/>
                  <w:bookmarkEnd w:id="944"/>
                  <w:bookmarkEnd w:id="945"/>
                  <w:bookmarkEnd w:id="946"/>
                  <w:bookmarkEnd w:id="947"/>
                  <w:bookmarkEnd w:id="948"/>
                  <w:bookmarkEnd w:id="949"/>
                  <w:bookmarkEnd w:id="950"/>
                  <w:bookmarkEnd w:id="951"/>
                  <w:bookmarkEnd w:id="952"/>
                  <w:bookmarkEnd w:id="953"/>
                  <w:bookmarkEnd w:id="954"/>
                </w:p>
                <w:p w:rsidR="00F04EEF" w:rsidRDefault="00F04EEF">
                  <w:pPr>
                    <w:jc w:val="both"/>
                    <w:rPr>
                      <w:rFonts w:cs="Arial"/>
                      <w:b/>
                      <w:u w:val="single"/>
                    </w:rPr>
                  </w:pPr>
                </w:p>
                <w:p w:rsidR="00F04EEF" w:rsidRDefault="0099351E">
                  <w:pPr>
                    <w:pStyle w:val="Corpsdetexte"/>
                    <w:jc w:val="both"/>
                    <w:rPr>
                      <w:szCs w:val="22"/>
                    </w:rPr>
                  </w:pPr>
                  <w:r>
                    <w:rPr>
                      <w:szCs w:val="22"/>
                    </w:rPr>
                    <w:t>Le respect de l’obligation scolaire incombe aux parents, à la personne investie de l’autorité parentale ou qui assume la garde en fait du mineur.</w:t>
                  </w:r>
                </w:p>
                <w:p w:rsidR="00F04EEF" w:rsidRDefault="00F04EEF">
                  <w:pPr>
                    <w:pStyle w:val="Corpsdetexte"/>
                    <w:jc w:val="both"/>
                    <w:rPr>
                      <w:szCs w:val="22"/>
                    </w:rPr>
                  </w:pPr>
                </w:p>
                <w:p w:rsidR="00F04EEF" w:rsidRDefault="0099351E">
                  <w:pPr>
                    <w:pStyle w:val="Corpsdetexte"/>
                    <w:jc w:val="both"/>
                    <w:rPr>
                      <w:szCs w:val="22"/>
                    </w:rPr>
                  </w:pPr>
                  <w:r>
                    <w:rPr>
                      <w:szCs w:val="22"/>
                    </w:rPr>
                    <w:t>La scolarité obligatoire comporte dans le chef de ces personnes une double obligation :</w:t>
                  </w:r>
                </w:p>
                <w:p w:rsidR="00F04EEF" w:rsidRDefault="00F04EEF">
                  <w:pPr>
                    <w:pStyle w:val="Corpsdetexte"/>
                    <w:jc w:val="both"/>
                    <w:rPr>
                      <w:szCs w:val="22"/>
                    </w:rPr>
                  </w:pPr>
                </w:p>
                <w:p w:rsidR="00F04EEF" w:rsidRDefault="0099351E">
                  <w:pPr>
                    <w:numPr>
                      <w:ilvl w:val="0"/>
                      <w:numId w:val="75"/>
                    </w:numPr>
                    <w:suppressAutoHyphens/>
                    <w:spacing w:after="120"/>
                    <w:ind w:left="0" w:firstLine="0"/>
                    <w:jc w:val="both"/>
                    <w:rPr>
                      <w:rFonts w:cs="Arial"/>
                    </w:rPr>
                  </w:pPr>
                  <w:r>
                    <w:rPr>
                      <w:rFonts w:cs="Arial"/>
                    </w:rPr>
                    <w:t xml:space="preserve">veiller à ce que le mineur se trouve dans l’une des quatre situations répondant à l’obligation scolaire présentées au point : filières qui répondent à l’obligation scolaire ; </w:t>
                  </w:r>
                </w:p>
                <w:p w:rsidR="00F04EEF" w:rsidRDefault="0099351E">
                  <w:pPr>
                    <w:numPr>
                      <w:ilvl w:val="0"/>
                      <w:numId w:val="75"/>
                    </w:numPr>
                    <w:suppressAutoHyphens/>
                    <w:spacing w:after="120"/>
                    <w:ind w:left="0" w:firstLine="0"/>
                    <w:jc w:val="both"/>
                    <w:rPr>
                      <w:rFonts w:cs="Arial"/>
                    </w:rPr>
                  </w:pPr>
                  <w:r>
                    <w:rPr>
                      <w:rFonts w:cs="Arial"/>
                    </w:rPr>
                    <w:t>veiller, dans le cas où le mineur est inscrit dans un établissement organisé ou subventionné par la Fédération Wallonie-Bruxelles, à ce qu’il fréquente régulièrement et assidûment cet établissement.</w:t>
                  </w: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Afin d’assurer le respect de cette obligation, le législateur a institué des sanctions pénales dont sont passibles les parents, la personne investie de l’autorité parentale ou qui assume la garde en fait du mineur. Les infractions à la loi concernant l’obligation scolaire sont en effet punissables d’une amende à charge de ces derniers pour chaque mineur dans le chef duquel l’infraction est constatée. En cas de récidive, les amendes peuvent être doublées ou une peine d’emprisonnement d’un jour à un mois peut être prononcée. Aux fins d’application de ces dispositions, le Ministère public peut saisir le Tribunal de police.</w:t>
                  </w: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Les organes chargés de l’Aide à la Jeunesse au sens large peuvent également être appelés à intervenir, entre autres sur demande du Parquet.</w:t>
                  </w:r>
                </w:p>
                <w:p w:rsidR="00F04EEF" w:rsidRDefault="0099351E">
                  <w:pPr>
                    <w:pStyle w:val="Corpsdetexte21"/>
                    <w:jc w:val="both"/>
                    <w:rPr>
                      <w:rFonts w:asciiTheme="majorHAnsi" w:hAnsiTheme="majorHAnsi"/>
                      <w:i/>
                      <w:sz w:val="22"/>
                      <w:szCs w:val="22"/>
                    </w:rPr>
                  </w:pPr>
                  <w:r>
                    <w:rPr>
                      <w:rFonts w:asciiTheme="majorHAnsi" w:hAnsiTheme="majorHAnsi"/>
                      <w:sz w:val="22"/>
                      <w:szCs w:val="22"/>
                    </w:rPr>
                    <w:t xml:space="preserve">En outre, </w:t>
                  </w:r>
                  <w:r>
                    <w:rPr>
                      <w:rFonts w:asciiTheme="majorHAnsi" w:hAnsiTheme="majorHAnsi"/>
                      <w:i/>
                      <w:sz w:val="22"/>
                      <w:szCs w:val="22"/>
                    </w:rPr>
                    <w:t>« les agents de la police et de la police d’Etat ont mission de conduire ou de faire conduire à leur école les élèves soumis à l’obligation scolaire qu’ils rencontrent vagabondant dans les rues ou les champs pendant les heures de classe</w:t>
                  </w:r>
                  <w:r>
                    <w:rPr>
                      <w:rStyle w:val="Caractresdenotedebasdepage"/>
                      <w:i/>
                      <w:sz w:val="22"/>
                      <w:szCs w:val="22"/>
                    </w:rPr>
                    <w:footnoteReference w:id="98"/>
                  </w:r>
                  <w:r>
                    <w:rPr>
                      <w:rFonts w:asciiTheme="majorHAnsi" w:hAnsiTheme="majorHAnsi"/>
                      <w:i/>
                      <w:sz w:val="22"/>
                      <w:szCs w:val="22"/>
                    </w:rPr>
                    <w:t>. »</w:t>
                  </w:r>
                </w:p>
                <w:p w:rsidR="00F04EEF" w:rsidRDefault="00F04EEF">
                  <w:bookmarkStart w:id="955" w:name="_2.2._Questions-réponses_relatives"/>
                  <w:bookmarkStart w:id="956" w:name="_Toc291075553"/>
                  <w:bookmarkStart w:id="957" w:name="_Toc291075977"/>
                  <w:bookmarkStart w:id="958" w:name="_Toc291076401"/>
                  <w:bookmarkStart w:id="959" w:name="_Toc291076825"/>
                  <w:bookmarkStart w:id="960" w:name="_Toc291077249"/>
                  <w:bookmarkStart w:id="961" w:name="_Toc293652091"/>
                  <w:bookmarkStart w:id="962" w:name="_Toc293653673"/>
                  <w:bookmarkStart w:id="963" w:name="_Toc293654285"/>
                  <w:bookmarkStart w:id="964" w:name="_Toc294004865"/>
                  <w:bookmarkStart w:id="965" w:name="_Toc294185361"/>
                  <w:bookmarkStart w:id="966" w:name="_Toc324767227"/>
                  <w:bookmarkStart w:id="967" w:name="_Toc412204086"/>
                  <w:bookmarkStart w:id="968" w:name="_Toc414352894"/>
                  <w:bookmarkStart w:id="969" w:name="_Toc453836917"/>
                  <w:bookmarkEnd w:id="955"/>
                </w:p>
                <w:p w:rsidR="00F04EEF" w:rsidRDefault="0099351E">
                  <w:pPr>
                    <w:pStyle w:val="Titre4"/>
                  </w:pPr>
                  <w:r>
                    <w:t>2.2. Questions-réponses relatives aux inscriptions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rsidR="00F04EEF" w:rsidRDefault="00F04EEF"/>
                <w:p w:rsidR="00F04EEF" w:rsidRDefault="0099351E">
                  <w:pPr>
                    <w:ind w:left="1701"/>
                    <w:rPr>
                      <w:b/>
                      <w:u w:val="single"/>
                    </w:rPr>
                  </w:pPr>
                  <w:bookmarkStart w:id="970" w:name="_Toc291075554"/>
                  <w:bookmarkStart w:id="971" w:name="_Toc291075978"/>
                  <w:bookmarkStart w:id="972" w:name="_Toc291076402"/>
                  <w:bookmarkStart w:id="973" w:name="_Toc291076826"/>
                  <w:bookmarkStart w:id="974" w:name="_Toc291077250"/>
                  <w:bookmarkStart w:id="975" w:name="_Toc293652092"/>
                  <w:bookmarkStart w:id="976" w:name="_Toc293653674"/>
                  <w:bookmarkStart w:id="977" w:name="_Toc293654286"/>
                  <w:bookmarkStart w:id="978" w:name="_Toc294004866"/>
                  <w:bookmarkStart w:id="979" w:name="_Toc294185362"/>
                  <w:bookmarkStart w:id="980" w:name="_Toc324767228"/>
                  <w:bookmarkStart w:id="981" w:name="_Toc324768086"/>
                  <w:r>
                    <w:rPr>
                      <w:b/>
                      <w:u w:val="single"/>
                    </w:rPr>
                    <w:t>Quelles sont les bases légales ?</w:t>
                  </w:r>
                  <w:bookmarkEnd w:id="970"/>
                  <w:bookmarkEnd w:id="971"/>
                  <w:bookmarkEnd w:id="972"/>
                  <w:bookmarkEnd w:id="973"/>
                  <w:bookmarkEnd w:id="974"/>
                  <w:bookmarkEnd w:id="975"/>
                  <w:bookmarkEnd w:id="976"/>
                  <w:bookmarkEnd w:id="977"/>
                  <w:bookmarkEnd w:id="978"/>
                  <w:bookmarkEnd w:id="979"/>
                  <w:bookmarkEnd w:id="980"/>
                  <w:bookmarkEnd w:id="981"/>
                </w:p>
                <w:p w:rsidR="00F04EEF" w:rsidRDefault="00F04EEF">
                  <w:pPr>
                    <w:pStyle w:val="Corpsdetexte21"/>
                    <w:jc w:val="both"/>
                    <w:rPr>
                      <w:rFonts w:asciiTheme="majorHAnsi" w:hAnsiTheme="majorHAnsi"/>
                      <w:b/>
                      <w:color w:val="008000"/>
                      <w:sz w:val="22"/>
                      <w:szCs w:val="22"/>
                      <w:u w:val="single"/>
                    </w:rPr>
                  </w:pPr>
                </w:p>
                <w:p w:rsidR="00F04EEF" w:rsidRDefault="00F42422">
                  <w:pPr>
                    <w:pStyle w:val="Corpsdetexte21"/>
                    <w:numPr>
                      <w:ilvl w:val="0"/>
                      <w:numId w:val="244"/>
                    </w:numPr>
                    <w:ind w:left="426" w:hanging="426"/>
                    <w:jc w:val="both"/>
                    <w:rPr>
                      <w:rFonts w:asciiTheme="majorHAnsi" w:hAnsiTheme="majorHAnsi"/>
                      <w:sz w:val="22"/>
                      <w:szCs w:val="22"/>
                    </w:rPr>
                  </w:pPr>
                  <w:hyperlink r:id="rId52" w:history="1">
                    <w:r w:rsidR="0099351E">
                      <w:rPr>
                        <w:rStyle w:val="Lienhypertexte"/>
                        <w:rFonts w:asciiTheme="majorHAnsi" w:hAnsiTheme="majorHAnsi"/>
                        <w:sz w:val="22"/>
                        <w:szCs w:val="22"/>
                      </w:rPr>
                      <w:t>Arrêté royal du 29 juin 1984 relatif à l’organisation de l’enseignement secondaire</w:t>
                    </w:r>
                  </w:hyperlink>
                  <w:r w:rsidR="0099351E">
                    <w:rPr>
                      <w:rFonts w:asciiTheme="majorHAnsi" w:hAnsiTheme="majorHAnsi"/>
                      <w:sz w:val="22"/>
                      <w:szCs w:val="22"/>
                    </w:rPr>
                    <w:t xml:space="preserve"> (pour la forme 4) ;</w:t>
                  </w:r>
                </w:p>
                <w:p w:rsidR="00F04EEF" w:rsidRDefault="00F42422">
                  <w:pPr>
                    <w:pStyle w:val="Corpsdetexte21"/>
                    <w:numPr>
                      <w:ilvl w:val="0"/>
                      <w:numId w:val="244"/>
                    </w:numPr>
                    <w:ind w:left="426" w:hanging="426"/>
                    <w:jc w:val="both"/>
                    <w:rPr>
                      <w:rFonts w:asciiTheme="majorHAnsi" w:hAnsiTheme="majorHAnsi"/>
                      <w:sz w:val="22"/>
                      <w:szCs w:val="22"/>
                    </w:rPr>
                  </w:pPr>
                  <w:hyperlink r:id="rId53" w:history="1">
                    <w:r w:rsidR="0099351E">
                      <w:rPr>
                        <w:rStyle w:val="Lienhypertexte"/>
                        <w:rFonts w:asciiTheme="majorHAnsi" w:hAnsiTheme="majorHAnsi"/>
                        <w:sz w:val="22"/>
                        <w:szCs w:val="22"/>
                      </w:rPr>
                      <w:t xml:space="preserve">Décret </w:t>
                    </w:r>
                    <w:proofErr w:type="gramStart"/>
                    <w:r w:rsidR="0099351E">
                      <w:rPr>
                        <w:rStyle w:val="Lienhypertexte"/>
                        <w:rFonts w:asciiTheme="majorHAnsi" w:hAnsiTheme="majorHAnsi"/>
                        <w:sz w:val="22"/>
                        <w:szCs w:val="22"/>
                      </w:rPr>
                      <w:t>du 24 juillet 1997 définissant les missions prioritaires de l’enseignement fondamental et de l’enseignement secondaire et organisant les structures propres à les atteindre</w:t>
                    </w:r>
                  </w:hyperlink>
                  <w:proofErr w:type="gramEnd"/>
                  <w:r w:rsidR="0099351E">
                    <w:rPr>
                      <w:rFonts w:asciiTheme="majorHAnsi" w:hAnsiTheme="majorHAnsi"/>
                      <w:sz w:val="22"/>
                      <w:szCs w:val="22"/>
                    </w:rPr>
                    <w:t>, articles 76 à 80, 87 et 88 ;</w:t>
                  </w:r>
                </w:p>
                <w:p w:rsidR="00F04EEF" w:rsidRDefault="00F42422">
                  <w:pPr>
                    <w:pStyle w:val="Corpsdetexte21"/>
                    <w:numPr>
                      <w:ilvl w:val="0"/>
                      <w:numId w:val="244"/>
                    </w:numPr>
                    <w:ind w:left="426" w:hanging="426"/>
                    <w:jc w:val="both"/>
                    <w:rPr>
                      <w:rFonts w:asciiTheme="majorHAnsi" w:hAnsiTheme="majorHAnsi"/>
                      <w:sz w:val="22"/>
                      <w:szCs w:val="22"/>
                    </w:rPr>
                  </w:pPr>
                  <w:hyperlink r:id="rId54" w:history="1">
                    <w:r w:rsidR="0099351E">
                      <w:rPr>
                        <w:rStyle w:val="Lienhypertexte"/>
                        <w:rFonts w:asciiTheme="majorHAnsi" w:hAnsiTheme="majorHAnsi"/>
                        <w:sz w:val="22"/>
                        <w:szCs w:val="22"/>
                      </w:rPr>
                      <w:t>Décret-Cadre du 13 juillet 1998</w:t>
                    </w:r>
                  </w:hyperlink>
                  <w:r w:rsidR="0099351E">
                    <w:rPr>
                      <w:rFonts w:asciiTheme="majorHAnsi" w:hAnsiTheme="majorHAnsi"/>
                      <w:sz w:val="22"/>
                      <w:szCs w:val="22"/>
                    </w:rPr>
                    <w:t xml:space="preserve"> article 2 ;</w:t>
                  </w:r>
                </w:p>
                <w:p w:rsidR="00F04EEF" w:rsidRDefault="00F42422">
                  <w:pPr>
                    <w:pStyle w:val="Corpsdetexte21"/>
                    <w:numPr>
                      <w:ilvl w:val="0"/>
                      <w:numId w:val="244"/>
                    </w:numPr>
                    <w:ind w:left="426" w:hanging="426"/>
                    <w:jc w:val="both"/>
                    <w:rPr>
                      <w:rFonts w:asciiTheme="majorHAnsi" w:hAnsiTheme="majorHAnsi"/>
                      <w:sz w:val="22"/>
                      <w:szCs w:val="22"/>
                    </w:rPr>
                  </w:pPr>
                  <w:hyperlink r:id="rId55" w:history="1">
                    <w:r w:rsidR="0099351E">
                      <w:rPr>
                        <w:rStyle w:val="Lienhypertexte"/>
                        <w:rFonts w:asciiTheme="majorHAnsi" w:hAnsiTheme="majorHAnsi"/>
                        <w:sz w:val="22"/>
                        <w:szCs w:val="22"/>
                      </w:rPr>
                      <w:t>Arrêté du gouvernement de la Communauté française du 7 juin 1999 fixant le règlement d’ordre intérieur de base des établissements d’enseignement secondaire organisés par la Communauté française ;</w:t>
                    </w:r>
                  </w:hyperlink>
                  <w:r w:rsidR="0099351E">
                    <w:rPr>
                      <w:rFonts w:asciiTheme="majorHAnsi" w:hAnsiTheme="majorHAnsi"/>
                      <w:sz w:val="22"/>
                      <w:szCs w:val="22"/>
                    </w:rPr>
                    <w:t xml:space="preserve"> </w:t>
                  </w:r>
                </w:p>
                <w:p w:rsidR="00F04EEF" w:rsidRDefault="00F42422">
                  <w:pPr>
                    <w:pStyle w:val="Corpsdetexte21"/>
                    <w:numPr>
                      <w:ilvl w:val="0"/>
                      <w:numId w:val="244"/>
                    </w:numPr>
                    <w:ind w:left="426" w:hanging="426"/>
                    <w:jc w:val="both"/>
                    <w:rPr>
                      <w:rFonts w:asciiTheme="majorHAnsi" w:hAnsiTheme="majorHAnsi"/>
                      <w:sz w:val="22"/>
                      <w:szCs w:val="22"/>
                    </w:rPr>
                  </w:pPr>
                  <w:hyperlink r:id="rId56" w:history="1">
                    <w:r w:rsidR="0099351E">
                      <w:rPr>
                        <w:rStyle w:val="Lienhypertexte"/>
                        <w:rFonts w:asciiTheme="majorHAnsi" w:hAnsiTheme="majorHAnsi"/>
                        <w:sz w:val="22"/>
                        <w:szCs w:val="22"/>
                      </w:rPr>
                      <w:t>Décret du 3 mars 2004 organisant l’enseignement spécialisé</w:t>
                    </w:r>
                  </w:hyperlink>
                  <w:r w:rsidR="0099351E">
                    <w:rPr>
                      <w:rFonts w:asciiTheme="majorHAnsi" w:hAnsiTheme="majorHAnsi"/>
                      <w:sz w:val="22"/>
                      <w:szCs w:val="22"/>
                    </w:rPr>
                    <w:t>.</w:t>
                  </w:r>
                </w:p>
                <w:p w:rsidR="00F04EEF" w:rsidRDefault="00F04EEF">
                  <w:pPr>
                    <w:rPr>
                      <w:b/>
                      <w:u w:val="single"/>
                    </w:rPr>
                  </w:pPr>
                  <w:bookmarkStart w:id="982" w:name="_Toc291075555"/>
                  <w:bookmarkStart w:id="983" w:name="_Toc291075979"/>
                  <w:bookmarkStart w:id="984" w:name="_Toc291076403"/>
                  <w:bookmarkStart w:id="985" w:name="_Toc291076827"/>
                  <w:bookmarkStart w:id="986" w:name="_Toc291077251"/>
                  <w:bookmarkStart w:id="987" w:name="_Toc293652093"/>
                  <w:bookmarkStart w:id="988" w:name="_Toc293653675"/>
                  <w:bookmarkStart w:id="989" w:name="_Toc293654287"/>
                  <w:bookmarkStart w:id="990" w:name="_Toc294004867"/>
                  <w:bookmarkStart w:id="991" w:name="_Toc294185363"/>
                  <w:bookmarkStart w:id="992" w:name="_Toc324767229"/>
                  <w:bookmarkStart w:id="993" w:name="_Toc412204087"/>
                  <w:bookmarkStart w:id="994" w:name="_Toc414352895"/>
                  <w:bookmarkStart w:id="995" w:name="_Toc453836918"/>
                </w:p>
                <w:p w:rsidR="00F04EEF" w:rsidRDefault="0099351E">
                  <w:pPr>
                    <w:pStyle w:val="Titre4"/>
                  </w:pPr>
                  <w:r>
                    <w:t>a</w:t>
                  </w:r>
                  <w:r>
                    <w:rPr>
                      <w:rStyle w:val="Titre4Car1"/>
                      <w:b/>
                    </w:rPr>
                    <w:t>. Questions-réponses</w:t>
                  </w:r>
                  <w:r>
                    <w:t xml:space="preserve"> relatives à la fréquentation scolaire et à la gestion des absences</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rsidR="00F04EEF" w:rsidRDefault="00F04EEF">
                  <w:pPr>
                    <w:rPr>
                      <w:b/>
                      <w:color w:val="008000"/>
                      <w:u w:val="single"/>
                    </w:rPr>
                  </w:pPr>
                </w:p>
                <w:p w:rsidR="00F04EEF" w:rsidRDefault="0099351E">
                  <w:pPr>
                    <w:pStyle w:val="Titre5"/>
                    <w:numPr>
                      <w:ilvl w:val="2"/>
                      <w:numId w:val="298"/>
                    </w:numPr>
                  </w:pPr>
                  <w:bookmarkStart w:id="996" w:name="_2.3.1._Quelles_sont"/>
                  <w:bookmarkStart w:id="997" w:name="_Toc291075556"/>
                  <w:bookmarkStart w:id="998" w:name="_Toc291075980"/>
                  <w:bookmarkStart w:id="999" w:name="_Toc291076404"/>
                  <w:bookmarkStart w:id="1000" w:name="_Toc291076828"/>
                  <w:bookmarkStart w:id="1001" w:name="_Toc291077252"/>
                  <w:bookmarkStart w:id="1002" w:name="_Toc293652094"/>
                  <w:bookmarkStart w:id="1003" w:name="_Toc293653676"/>
                  <w:bookmarkStart w:id="1004" w:name="_Toc293654288"/>
                  <w:bookmarkStart w:id="1005" w:name="_Toc294004868"/>
                  <w:bookmarkStart w:id="1006" w:name="_Toc294185364"/>
                  <w:bookmarkStart w:id="1007" w:name="_Toc324767230"/>
                  <w:bookmarkStart w:id="1008" w:name="_Toc324768088"/>
                  <w:bookmarkEnd w:id="996"/>
                  <w:r>
                    <w:t>Quelles sont les bases légales concernant la fréquentation scolaire et la gestion de l’absentéisme ?</w:t>
                  </w:r>
                  <w:bookmarkEnd w:id="997"/>
                  <w:bookmarkEnd w:id="998"/>
                  <w:bookmarkEnd w:id="999"/>
                  <w:bookmarkEnd w:id="1000"/>
                  <w:bookmarkEnd w:id="1001"/>
                  <w:bookmarkEnd w:id="1002"/>
                  <w:bookmarkEnd w:id="1003"/>
                  <w:bookmarkEnd w:id="1004"/>
                  <w:bookmarkEnd w:id="1005"/>
                  <w:bookmarkEnd w:id="1006"/>
                  <w:bookmarkEnd w:id="1007"/>
                  <w:bookmarkEnd w:id="1008"/>
                </w:p>
                <w:p w:rsidR="00F04EEF" w:rsidRDefault="00F04EEF">
                  <w:pPr>
                    <w:pStyle w:val="Corpsdetexte21"/>
                    <w:jc w:val="both"/>
                    <w:rPr>
                      <w:rFonts w:asciiTheme="majorHAnsi" w:hAnsiTheme="majorHAnsi"/>
                      <w:b/>
                      <w:color w:val="008000"/>
                      <w:sz w:val="22"/>
                      <w:szCs w:val="22"/>
                      <w:u w:val="single"/>
                    </w:rPr>
                  </w:pPr>
                </w:p>
                <w:p w:rsidR="00F04EEF" w:rsidRDefault="00F42422">
                  <w:pPr>
                    <w:pStyle w:val="Corpsdetexte21"/>
                    <w:numPr>
                      <w:ilvl w:val="0"/>
                      <w:numId w:val="245"/>
                    </w:numPr>
                    <w:ind w:left="567" w:hanging="567"/>
                    <w:jc w:val="both"/>
                    <w:rPr>
                      <w:rFonts w:asciiTheme="majorHAnsi" w:hAnsiTheme="majorHAnsi"/>
                      <w:color w:val="0000FF"/>
                      <w:sz w:val="22"/>
                      <w:szCs w:val="22"/>
                    </w:rPr>
                  </w:pPr>
                  <w:hyperlink r:id="rId57" w:history="1">
                    <w:r w:rsidR="0099351E">
                      <w:rPr>
                        <w:rStyle w:val="Lienhypertexte"/>
                        <w:rFonts w:asciiTheme="majorHAnsi" w:hAnsiTheme="majorHAnsi"/>
                        <w:sz w:val="22"/>
                        <w:szCs w:val="22"/>
                      </w:rPr>
                      <w:t>Arrêté royal du 13 août 1962 organique des centres psycho-médico-sociaux </w:t>
                    </w:r>
                  </w:hyperlink>
                  <w:r w:rsidR="0099351E">
                    <w:rPr>
                      <w:rFonts w:asciiTheme="majorHAnsi" w:hAnsiTheme="majorHAnsi"/>
                      <w:color w:val="0000FF"/>
                      <w:sz w:val="22"/>
                      <w:szCs w:val="22"/>
                    </w:rPr>
                    <w:t>;</w:t>
                  </w:r>
                </w:p>
                <w:p w:rsidR="00F04EEF" w:rsidRDefault="00F42422">
                  <w:pPr>
                    <w:pStyle w:val="Corpsdetexte21"/>
                    <w:numPr>
                      <w:ilvl w:val="0"/>
                      <w:numId w:val="245"/>
                    </w:numPr>
                    <w:ind w:left="567" w:hanging="567"/>
                    <w:jc w:val="both"/>
                    <w:rPr>
                      <w:rFonts w:asciiTheme="majorHAnsi" w:hAnsiTheme="majorHAnsi"/>
                      <w:w w:val="90"/>
                      <w:sz w:val="22"/>
                      <w:szCs w:val="22"/>
                    </w:rPr>
                  </w:pPr>
                  <w:hyperlink r:id="rId58" w:history="1">
                    <w:r w:rsidR="0099351E">
                      <w:rPr>
                        <w:rStyle w:val="Lienhypertexte"/>
                        <w:rFonts w:asciiTheme="majorHAnsi" w:hAnsiTheme="majorHAnsi"/>
                        <w:sz w:val="22"/>
                        <w:szCs w:val="22"/>
                      </w:rPr>
                      <w:t>Arrêté royal du 29 juin 1984 relatif à l’organisation de l’enseignement secondaire</w:t>
                    </w:r>
                  </w:hyperlink>
                  <w:r w:rsidR="0099351E">
                    <w:rPr>
                      <w:rFonts w:asciiTheme="majorHAnsi" w:hAnsiTheme="majorHAnsi"/>
                      <w:color w:val="0000FF"/>
                      <w:sz w:val="22"/>
                      <w:szCs w:val="22"/>
                    </w:rPr>
                    <w:t xml:space="preserve"> </w:t>
                  </w:r>
                  <w:r w:rsidR="0099351E">
                    <w:rPr>
                      <w:rFonts w:asciiTheme="majorHAnsi" w:hAnsiTheme="majorHAnsi"/>
                      <w:w w:val="90"/>
                      <w:sz w:val="22"/>
                      <w:szCs w:val="22"/>
                    </w:rPr>
                    <w:t>(pour la forme 4) ;</w:t>
                  </w:r>
                </w:p>
                <w:p w:rsidR="00F04EEF" w:rsidRDefault="00F42422">
                  <w:pPr>
                    <w:pStyle w:val="Corpsdetexte21"/>
                    <w:numPr>
                      <w:ilvl w:val="0"/>
                      <w:numId w:val="245"/>
                    </w:numPr>
                    <w:ind w:left="567" w:hanging="567"/>
                    <w:jc w:val="both"/>
                    <w:rPr>
                      <w:rFonts w:asciiTheme="majorHAnsi" w:hAnsiTheme="majorHAnsi"/>
                      <w:color w:val="0000FF"/>
                      <w:sz w:val="22"/>
                      <w:szCs w:val="22"/>
                    </w:rPr>
                  </w:pPr>
                  <w:hyperlink r:id="rId59" w:history="1">
                    <w:r w:rsidR="0099351E">
                      <w:rPr>
                        <w:rStyle w:val="Lienhypertexte"/>
                        <w:rFonts w:asciiTheme="majorHAnsi" w:hAnsiTheme="majorHAnsi"/>
                        <w:sz w:val="22"/>
                        <w:szCs w:val="22"/>
                      </w:rPr>
                      <w:t>Décret du 4 mars 1991 relatif à l’Aide à la Jeunesse </w:t>
                    </w:r>
                  </w:hyperlink>
                  <w:r w:rsidR="0099351E">
                    <w:rPr>
                      <w:rFonts w:asciiTheme="majorHAnsi" w:hAnsiTheme="majorHAnsi"/>
                      <w:color w:val="0000FF"/>
                      <w:sz w:val="22"/>
                      <w:szCs w:val="22"/>
                    </w:rPr>
                    <w:t>;</w:t>
                  </w:r>
                </w:p>
                <w:p w:rsidR="00F04EEF" w:rsidRDefault="00F42422">
                  <w:pPr>
                    <w:pStyle w:val="Corpsdetexte21"/>
                    <w:numPr>
                      <w:ilvl w:val="0"/>
                      <w:numId w:val="245"/>
                    </w:numPr>
                    <w:ind w:left="567" w:hanging="567"/>
                    <w:jc w:val="both"/>
                    <w:rPr>
                      <w:rFonts w:asciiTheme="majorHAnsi" w:hAnsiTheme="majorHAnsi"/>
                      <w:sz w:val="22"/>
                      <w:szCs w:val="22"/>
                    </w:rPr>
                  </w:pPr>
                  <w:hyperlink r:id="rId60" w:history="1">
                    <w:r w:rsidR="0099351E">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sidR="0099351E">
                    <w:rPr>
                      <w:rStyle w:val="Lienhypertexte"/>
                      <w:rFonts w:asciiTheme="majorHAnsi" w:hAnsiTheme="majorHAnsi"/>
                      <w:sz w:val="22"/>
                      <w:szCs w:val="22"/>
                    </w:rPr>
                    <w:t> </w:t>
                  </w:r>
                  <w:r w:rsidR="0099351E">
                    <w:rPr>
                      <w:rFonts w:asciiTheme="majorHAnsi" w:hAnsiTheme="majorHAnsi"/>
                      <w:color w:val="0000FF"/>
                      <w:sz w:val="22"/>
                      <w:szCs w:val="22"/>
                    </w:rPr>
                    <w:t xml:space="preserve">; </w:t>
                  </w:r>
                </w:p>
                <w:p w:rsidR="00F04EEF" w:rsidRDefault="00F42422">
                  <w:pPr>
                    <w:pStyle w:val="Corpsdetexte21"/>
                    <w:numPr>
                      <w:ilvl w:val="0"/>
                      <w:numId w:val="245"/>
                    </w:numPr>
                    <w:ind w:left="567" w:hanging="567"/>
                    <w:jc w:val="both"/>
                    <w:rPr>
                      <w:rFonts w:asciiTheme="majorHAnsi" w:hAnsiTheme="majorHAnsi"/>
                      <w:sz w:val="22"/>
                      <w:szCs w:val="22"/>
                    </w:rPr>
                  </w:pPr>
                  <w:hyperlink r:id="rId61" w:history="1">
                    <w:r w:rsidR="0099351E">
                      <w:rPr>
                        <w:rStyle w:val="Lienhypertexte"/>
                        <w:rFonts w:asciiTheme="majorHAnsi" w:hAnsiTheme="majorHAnsi" w:cs="Arial"/>
                        <w:sz w:val="22"/>
                        <w:szCs w:val="22"/>
                      </w:rPr>
                      <w:t>•</w:t>
                    </w:r>
                    <w:r w:rsidR="0099351E">
                      <w:rPr>
                        <w:rStyle w:val="Lienhypertexte"/>
                        <w:rFonts w:asciiTheme="majorHAnsi" w:hAnsiTheme="majorHAnsi" w:cs="Arial"/>
                        <w:sz w:val="22"/>
                        <w:szCs w:val="22"/>
                      </w:rPr>
                      <w:tab/>
                      <w:t>Arrêté du Gouvernement de la Communauté française du 22 octobre 1998 relatif aux attestations, rapports, certificats et brevets délivrés au cours des études secondaires de plein exercice ;</w:t>
                    </w:r>
                  </w:hyperlink>
                </w:p>
                <w:p w:rsidR="00F04EEF" w:rsidRDefault="00F42422">
                  <w:pPr>
                    <w:pStyle w:val="Corpsdetexte21"/>
                    <w:numPr>
                      <w:ilvl w:val="0"/>
                      <w:numId w:val="245"/>
                    </w:numPr>
                    <w:ind w:left="567" w:hanging="567"/>
                    <w:jc w:val="both"/>
                    <w:rPr>
                      <w:rFonts w:asciiTheme="majorHAnsi" w:hAnsiTheme="majorHAnsi"/>
                      <w:color w:val="0000FF"/>
                      <w:sz w:val="22"/>
                      <w:szCs w:val="22"/>
                    </w:rPr>
                  </w:pPr>
                  <w:hyperlink r:id="rId62" w:history="1">
                    <w:r w:rsidR="0099351E">
                      <w:rPr>
                        <w:rStyle w:val="Lienhypertexte"/>
                        <w:rFonts w:asciiTheme="majorHAnsi" w:hAnsiTheme="majorHAnsi"/>
                        <w:sz w:val="22"/>
                        <w:szCs w:val="22"/>
                      </w:rPr>
                      <w:t>Arrêté du Gouvernement de la Communauté française du 20 juillet 2005 fixant les modèles des attestations, des avis et du certificat de qualification délivrés dans l’enseignement  spécialisé de forme 3 </w:t>
                    </w:r>
                  </w:hyperlink>
                  <w:r w:rsidR="0099351E">
                    <w:rPr>
                      <w:rFonts w:asciiTheme="majorHAnsi" w:hAnsiTheme="majorHAnsi"/>
                      <w:color w:val="0000FF"/>
                      <w:sz w:val="22"/>
                      <w:szCs w:val="22"/>
                    </w:rPr>
                    <w:t>;</w:t>
                  </w:r>
                </w:p>
                <w:p w:rsidR="00F04EEF" w:rsidRDefault="00F42422">
                  <w:pPr>
                    <w:pStyle w:val="Corpsdetexte21"/>
                    <w:numPr>
                      <w:ilvl w:val="0"/>
                      <w:numId w:val="245"/>
                    </w:numPr>
                    <w:ind w:left="567" w:hanging="567"/>
                    <w:jc w:val="both"/>
                    <w:rPr>
                      <w:rFonts w:asciiTheme="majorHAnsi" w:hAnsiTheme="majorHAnsi"/>
                      <w:color w:val="0000FF"/>
                      <w:sz w:val="22"/>
                      <w:szCs w:val="22"/>
                    </w:rPr>
                  </w:pPr>
                  <w:hyperlink r:id="rId63" w:history="1">
                    <w:r w:rsidR="0099351E">
                      <w:rPr>
                        <w:rStyle w:val="Lienhypertexte"/>
                        <w:rFonts w:asciiTheme="majorHAnsi" w:hAnsiTheme="majorHAnsi"/>
                        <w:sz w:val="22"/>
                        <w:szCs w:val="22"/>
                      </w:rPr>
                      <w:t>Code civil, article 1384 (Alinéas 4 et 5) ;</w:t>
                    </w:r>
                  </w:hyperlink>
                  <w:r w:rsidR="0099351E">
                    <w:rPr>
                      <w:rFonts w:asciiTheme="majorHAnsi" w:hAnsiTheme="majorHAnsi"/>
                      <w:color w:val="0000FF"/>
                      <w:sz w:val="22"/>
                      <w:szCs w:val="22"/>
                    </w:rPr>
                    <w:t xml:space="preserve"> </w:t>
                  </w:r>
                </w:p>
                <w:p w:rsidR="00F04EEF" w:rsidRDefault="00F42422">
                  <w:pPr>
                    <w:pStyle w:val="Corpsdetexte21"/>
                    <w:numPr>
                      <w:ilvl w:val="0"/>
                      <w:numId w:val="245"/>
                    </w:numPr>
                    <w:ind w:left="567" w:hanging="567"/>
                    <w:jc w:val="both"/>
                    <w:rPr>
                      <w:rFonts w:asciiTheme="majorHAnsi" w:hAnsiTheme="majorHAnsi"/>
                      <w:color w:val="0000FF"/>
                      <w:sz w:val="22"/>
                      <w:szCs w:val="22"/>
                    </w:rPr>
                  </w:pPr>
                  <w:hyperlink r:id="rId64" w:history="1">
                    <w:r w:rsidR="0099351E">
                      <w:rPr>
                        <w:rStyle w:val="Lienhypertexte"/>
                        <w:rFonts w:asciiTheme="majorHAnsi" w:hAnsiTheme="majorHAnsi"/>
                        <w:sz w:val="22"/>
                        <w:szCs w:val="22"/>
                      </w:rPr>
                      <w:t>Décret du 3 mars 2004 organisant l’enseignement spécialisé</w:t>
                    </w:r>
                  </w:hyperlink>
                  <w:r w:rsidR="0099351E">
                    <w:rPr>
                      <w:rFonts w:asciiTheme="majorHAnsi" w:hAnsiTheme="majorHAnsi"/>
                      <w:color w:val="0000FF"/>
                      <w:sz w:val="22"/>
                      <w:szCs w:val="22"/>
                    </w:rPr>
                    <w:t xml:space="preserve"> (chapitre X) ;</w:t>
                  </w:r>
                </w:p>
                <w:p w:rsidR="00F04EEF" w:rsidRDefault="00F42422">
                  <w:pPr>
                    <w:pStyle w:val="Corpsdetexte21"/>
                    <w:numPr>
                      <w:ilvl w:val="0"/>
                      <w:numId w:val="245"/>
                    </w:numPr>
                    <w:ind w:left="567" w:hanging="567"/>
                    <w:jc w:val="both"/>
                    <w:rPr>
                      <w:rFonts w:asciiTheme="majorHAnsi" w:hAnsiTheme="majorHAnsi"/>
                      <w:color w:val="0000FF"/>
                      <w:sz w:val="22"/>
                      <w:szCs w:val="22"/>
                    </w:rPr>
                  </w:pPr>
                  <w:hyperlink r:id="rId65" w:history="1">
                    <w:r w:rsidR="0099351E">
                      <w:rPr>
                        <w:rStyle w:val="Lienhypertexte"/>
                        <w:rFonts w:asciiTheme="majorHAnsi" w:hAnsiTheme="majorHAnsi"/>
                        <w:sz w:val="22"/>
                        <w:szCs w:val="22"/>
                      </w:rPr>
                      <w:t>Décret du 14 juillet 2006 relatif aux missions, programmes et rapports d’activités des centres psycho médico-sociaux</w:t>
                    </w:r>
                  </w:hyperlink>
                  <w:r w:rsidR="0099351E">
                    <w:rPr>
                      <w:rFonts w:asciiTheme="majorHAnsi" w:hAnsiTheme="majorHAnsi"/>
                      <w:color w:val="0000FF"/>
                      <w:sz w:val="22"/>
                      <w:szCs w:val="22"/>
                    </w:rPr>
                    <w:t>.</w:t>
                  </w:r>
                </w:p>
                <w:p w:rsidR="00F04EEF" w:rsidRDefault="00F42422">
                  <w:pPr>
                    <w:pStyle w:val="Corpsdetexte21"/>
                    <w:numPr>
                      <w:ilvl w:val="0"/>
                      <w:numId w:val="245"/>
                    </w:numPr>
                    <w:ind w:left="567" w:hanging="567"/>
                    <w:jc w:val="both"/>
                    <w:rPr>
                      <w:rFonts w:asciiTheme="majorHAnsi" w:hAnsiTheme="majorHAnsi"/>
                      <w:color w:val="0000FF"/>
                      <w:sz w:val="22"/>
                      <w:szCs w:val="22"/>
                    </w:rPr>
                  </w:pPr>
                  <w:hyperlink r:id="rId66" w:history="1">
                    <w:r w:rsidR="0099351E">
                      <w:rPr>
                        <w:rStyle w:val="Lienhypertexte"/>
                        <w:rFonts w:asciiTheme="majorHAnsi" w:hAnsiTheme="majorHAnsi" w:cs="Arial"/>
                        <w:sz w:val="22"/>
                        <w:szCs w:val="22"/>
                      </w:rPr>
                      <w:t>Décret du 5 février 2009 portant des dispositions en matière d’enseignement spécialisé et d’accueil de l’enfant et de l’adolescent à besoins spécifiques dans l’Enseignement spécialisé.</w:t>
                    </w:r>
                  </w:hyperlink>
                </w:p>
                <w:p w:rsidR="00F04EEF" w:rsidRDefault="00F42422">
                  <w:pPr>
                    <w:pStyle w:val="msolistparagraph0"/>
                    <w:numPr>
                      <w:ilvl w:val="0"/>
                      <w:numId w:val="245"/>
                    </w:numPr>
                    <w:autoSpaceDE w:val="0"/>
                    <w:autoSpaceDN w:val="0"/>
                    <w:ind w:left="567" w:hanging="567"/>
                    <w:jc w:val="both"/>
                    <w:rPr>
                      <w:rStyle w:val="Lienhypertexte"/>
                      <w:rFonts w:asciiTheme="majorHAnsi" w:hAnsiTheme="majorHAnsi"/>
                    </w:rPr>
                  </w:pPr>
                  <w:hyperlink r:id="rId67" w:history="1">
                    <w:r w:rsidR="0099351E">
                      <w:rPr>
                        <w:rStyle w:val="Lienhypertexte"/>
                        <w:rFonts w:asciiTheme="majorHAnsi" w:hAnsiTheme="majorHAnsi"/>
                        <w:lang w:eastAsia="ar-SA"/>
                      </w:rPr>
                      <w:t>Décret organisant divers dispositifs scolaires favorisant le bien-être des jeunes à l’école, l’accrochage scolaire, la prévention de la violence à l’école et l’accompagnement des démarches d’orientation scolaire du 21 novembre 2013 </w:t>
                    </w:r>
                  </w:hyperlink>
                  <w:r w:rsidR="0099351E">
                    <w:rPr>
                      <w:rStyle w:val="Lienhypertexte"/>
                      <w:rFonts w:asciiTheme="majorHAnsi" w:hAnsiTheme="majorHAnsi"/>
                      <w:lang w:eastAsia="ar-SA"/>
                    </w:rPr>
                    <w:t>;</w:t>
                  </w:r>
                </w:p>
                <w:p w:rsidR="00F04EEF" w:rsidRDefault="00F42422">
                  <w:pPr>
                    <w:pStyle w:val="msolistparagraph0"/>
                    <w:numPr>
                      <w:ilvl w:val="0"/>
                      <w:numId w:val="245"/>
                    </w:numPr>
                    <w:autoSpaceDE w:val="0"/>
                    <w:autoSpaceDN w:val="0"/>
                    <w:ind w:left="567" w:hanging="567"/>
                    <w:jc w:val="both"/>
                    <w:rPr>
                      <w:rFonts w:asciiTheme="majorHAnsi" w:hAnsiTheme="majorHAnsi" w:cs="Times New Roman"/>
                      <w:color w:val="0000FF"/>
                      <w:u w:val="single"/>
                    </w:rPr>
                  </w:pPr>
                  <w:hyperlink r:id="rId68" w:history="1">
                    <w:r w:rsidR="0099351E">
                      <w:rPr>
                        <w:rStyle w:val="Lienhypertexte"/>
                        <w:rFonts w:asciiTheme="majorHAnsi" w:hAnsiTheme="majorHAnsi"/>
                      </w:rPr>
                      <w:t>Arrêté du Gouvernement de la Communauté française portant application des articles 8, § 1</w:t>
                    </w:r>
                    <w:r w:rsidR="0099351E">
                      <w:rPr>
                        <w:rStyle w:val="Lienhypertexte"/>
                        <w:rFonts w:asciiTheme="majorHAnsi" w:hAnsiTheme="majorHAnsi"/>
                        <w:vertAlign w:val="superscript"/>
                      </w:rPr>
                      <w:t>er</w:t>
                    </w:r>
                    <w:r w:rsidR="0099351E">
                      <w:rPr>
                        <w:rStyle w:val="Lienhypertexte"/>
                        <w:rFonts w:asciiTheme="majorHAnsi" w:hAnsiTheme="majorHAnsi"/>
                      </w:rPr>
                      <w:t>, 20, 23, 31, 32, 33, 37, 47 et 50 du décret du 21 novembre 2013 organisant divers dispositifs scolaires favorisant le bien-être des jeunes à l’école, l’accrochage scolaire, la prévention de la violence à l’école et l’accompagnement des démarches d’orientation scolaire du 22 mai 2014</w:t>
                    </w:r>
                  </w:hyperlink>
                </w:p>
                <w:p w:rsidR="00F04EEF" w:rsidRDefault="00F04EEF">
                  <w:pPr>
                    <w:pStyle w:val="Corpsdetexte21"/>
                    <w:jc w:val="both"/>
                    <w:rPr>
                      <w:rFonts w:asciiTheme="majorHAnsi" w:hAnsiTheme="majorHAnsi"/>
                      <w:sz w:val="22"/>
                      <w:szCs w:val="22"/>
                    </w:rPr>
                  </w:pPr>
                </w:p>
                <w:p w:rsidR="00F04EEF" w:rsidRDefault="0099351E">
                  <w:pPr>
                    <w:pStyle w:val="Titre5"/>
                    <w:numPr>
                      <w:ilvl w:val="2"/>
                      <w:numId w:val="298"/>
                    </w:numPr>
                  </w:pPr>
                  <w:bookmarkStart w:id="1009" w:name="_2.3.2._Quelles_sont"/>
                  <w:bookmarkStart w:id="1010" w:name="_Quelles_sont_les"/>
                  <w:bookmarkStart w:id="1011" w:name="_Toc291075558"/>
                  <w:bookmarkStart w:id="1012" w:name="_Toc291075982"/>
                  <w:bookmarkStart w:id="1013" w:name="_Toc291076406"/>
                  <w:bookmarkStart w:id="1014" w:name="_Toc291076830"/>
                  <w:bookmarkStart w:id="1015" w:name="_Toc291077254"/>
                  <w:bookmarkStart w:id="1016" w:name="_Toc293652096"/>
                  <w:bookmarkStart w:id="1017" w:name="_Toc293653678"/>
                  <w:bookmarkStart w:id="1018" w:name="_Toc293654290"/>
                  <w:bookmarkStart w:id="1019" w:name="_Toc294004870"/>
                  <w:bookmarkStart w:id="1020" w:name="_Toc294185366"/>
                  <w:bookmarkStart w:id="1021" w:name="_Toc324767232"/>
                  <w:bookmarkStart w:id="1022" w:name="_Toc324768090"/>
                  <w:bookmarkEnd w:id="1009"/>
                  <w:bookmarkEnd w:id="1010"/>
                  <w:r>
                    <w:t>Quelles sont les conditions requises pour qu’un certificat médical soit valable ?</w:t>
                  </w:r>
                  <w:bookmarkEnd w:id="1011"/>
                  <w:bookmarkEnd w:id="1012"/>
                  <w:bookmarkEnd w:id="1013"/>
                  <w:bookmarkEnd w:id="1014"/>
                  <w:bookmarkEnd w:id="1015"/>
                  <w:bookmarkEnd w:id="1016"/>
                  <w:bookmarkEnd w:id="1017"/>
                  <w:bookmarkEnd w:id="1018"/>
                  <w:bookmarkEnd w:id="1019"/>
                  <w:bookmarkEnd w:id="1020"/>
                  <w:bookmarkEnd w:id="1021"/>
                  <w:bookmarkEnd w:id="1022"/>
                </w:p>
                <w:p w:rsidR="00F04EEF" w:rsidRDefault="00F04EEF">
                  <w:pPr>
                    <w:pStyle w:val="Corpsdetexte"/>
                    <w:jc w:val="both"/>
                    <w:rPr>
                      <w:rFonts w:ascii="Cambria" w:hAnsi="Cambria"/>
                      <w:b w:val="0"/>
                      <w:szCs w:val="22"/>
                    </w:rPr>
                  </w:pPr>
                </w:p>
                <w:p w:rsidR="00F04EEF" w:rsidRDefault="0099351E">
                  <w:pPr>
                    <w:pStyle w:val="Corpsdetexte"/>
                    <w:jc w:val="both"/>
                    <w:rPr>
                      <w:b w:val="0"/>
                      <w:szCs w:val="24"/>
                    </w:rPr>
                  </w:pPr>
                  <w:r>
                    <w:rPr>
                      <w:b w:val="0"/>
                      <w:szCs w:val="24"/>
                    </w:rPr>
                    <w:t xml:space="preserve">Un certificat médical établit le fait d’une indisposition ou d’une maladie de l’élève. Sa date de rédaction ne doit pas forcément être concomitante avec le début de l’incapacité constatée par le médecin. Par contre, le certificat médical doit être remis conformément au délai défini par la réglementation pour que l’absence soit considérée comme justifiée sans contestation possible. Plusieurs éléments doivent en outre obligatoirement figurer sur le certificat médical pour que celui-ci puisse être validé : le nom et le prénom du médecin, le nom et le prénom du patient, la date de début de l’incapacité et la durée de celle-ci, la signature et, le cachet du médecin et la date du jour de l’examen. Le libellé “avoir reçu et examiné ce jour” ne doit a contrario pas forcément figurer sur le document. </w:t>
                  </w:r>
                </w:p>
                <w:p w:rsidR="00F04EEF" w:rsidRDefault="0099351E">
                  <w:pPr>
                    <w:jc w:val="both"/>
                    <w:rPr>
                      <w:rFonts w:eastAsia="Times New Roman" w:cs="Arial"/>
                      <w:szCs w:val="24"/>
                      <w:lang w:eastAsia="ar-SA"/>
                    </w:rPr>
                  </w:pPr>
                  <w:r>
                    <w:rPr>
                      <w:rFonts w:eastAsia="Times New Roman" w:cs="Arial"/>
                      <w:szCs w:val="24"/>
                      <w:lang w:eastAsia="ar-SA"/>
                    </w:rPr>
                    <w:t>Il est conseillé au chef d’établissement d’être très attentif aux certificats médicaux quand ceux-ci sont très nombreux ou couvrent une absence de longue durée pour éviter autant que possible l’apparition d’une situation de décrochage scolaire. Quand le chef d’établissement estime que des certificats médicaux sont utilisés pour dissimuler une situation de décrochage scolaire, ce dernier peut écrire au Conseil provincial de l’Ordre des médecins</w:t>
                  </w:r>
                  <w:r>
                    <w:rPr>
                      <w:rFonts w:eastAsia="Times New Roman" w:cs="Arial"/>
                      <w:szCs w:val="24"/>
                      <w:lang w:eastAsia="ar-SA"/>
                    </w:rPr>
                    <w:footnoteReference w:id="99"/>
                  </w:r>
                  <w:r>
                    <w:rPr>
                      <w:rFonts w:eastAsia="Times New Roman" w:cs="Arial"/>
                      <w:szCs w:val="24"/>
                      <w:lang w:eastAsia="ar-SA"/>
                    </w:rPr>
                    <w:t xml:space="preserve"> de la province où le médecin est inscrit en précisant son nom et prénom et ce afin de solliciter l’intervention de ce conseil. En effet, le Conseil provincial peut, sur demande et sur base d’éléments probants, jouer le rôle de médiateur entre l’établissement scolaire et le médecin traitant de l’élève absent. Enfin, si le chef d’établissement a des doutes quant à la validité d’un certificat médical, il peut contacter le Service du Droit à l’instruction.</w:t>
                  </w:r>
                </w:p>
                <w:p w:rsidR="00F04EEF" w:rsidRDefault="0099351E">
                  <w:pPr>
                    <w:pStyle w:val="Corpsdetexte"/>
                    <w:jc w:val="both"/>
                    <w:rPr>
                      <w:b w:val="0"/>
                      <w:szCs w:val="22"/>
                    </w:rPr>
                  </w:pPr>
                  <w:r>
                    <w:rPr>
                      <w:b w:val="0"/>
                      <w:szCs w:val="22"/>
                    </w:rPr>
                    <w:t>Lorsque le certificat est rédigé dans une langue autre que la langue française, le chef d’établissement peut demander aux parents, à la personne investie de l’autorité parentale ou la personne qui assume la garde en fait du mineur de lui fournir une traduction du document s’il l’estime nécessaire pour s’assurer de la pertinence du document.</w:t>
                  </w:r>
                </w:p>
                <w:p w:rsidR="00F04EEF" w:rsidRDefault="00F04EEF">
                  <w:pPr>
                    <w:pStyle w:val="Corpsdetexte"/>
                    <w:jc w:val="both"/>
                    <w:rPr>
                      <w:b w:val="0"/>
                      <w:szCs w:val="22"/>
                    </w:rPr>
                  </w:pPr>
                </w:p>
                <w:p w:rsidR="00F04EEF" w:rsidRDefault="0099351E">
                  <w:pPr>
                    <w:pStyle w:val="Titre5"/>
                    <w:numPr>
                      <w:ilvl w:val="2"/>
                      <w:numId w:val="298"/>
                    </w:numPr>
                  </w:pPr>
                  <w:bookmarkStart w:id="1023" w:name="_2.3.3._Quelles_sont"/>
                  <w:bookmarkEnd w:id="1023"/>
                  <w:r>
                    <w:t>Quelles sont les différences entre le certificat médical et la simple attestation médicale ?</w:t>
                  </w:r>
                </w:p>
                <w:p w:rsidR="00F04EEF" w:rsidRDefault="00F04EEF"/>
                <w:p w:rsidR="00F04EEF" w:rsidRDefault="0099351E">
                  <w:pPr>
                    <w:pStyle w:val="Corpsdetexte"/>
                    <w:jc w:val="both"/>
                    <w:rPr>
                      <w:b w:val="0"/>
                      <w:szCs w:val="22"/>
                    </w:rPr>
                  </w:pPr>
                  <w:r>
                    <w:rPr>
                      <w:b w:val="0"/>
                      <w:szCs w:val="22"/>
                    </w:rPr>
                    <w:t>Il est parfois difficile de distinguer un certificat médical d’une simple attestation, d’où le risque pour le chef d’établissement de justifier une absence de manière erronée. Contrairement au certificat médical, l’attestation n’établit pas le fait de l’indisposition ou de la maladie de l’élève mais permet au médecin d’attester les informations transmises par les responsables légaux du mineur (exemples : attestation médicale relative à une absence pour raisons familiales, religieuses ou pédagogiques ou encore indiquant que tel parent a affirmé que son enfant avait été malade à telle date). A la différence du certificat médical, l’attestation est obligatoirement soumise à l’appréciation du chef d’établissement qui la reçoit et doit être consignée par écrit et conservée au sein de l’école. Le chef d’établissement doit donc la refuser s’il l’estime nécessaire et s’il décide de justifier l’absence sur base de cette attestation, cette période d’absence doit relever d’un cas de force majeure ou de circonstances exceptionnelles liées à des problèmes familiaux, de santé mentale ou physique de l’élève ou de transports.</w:t>
                  </w:r>
                </w:p>
                <w:p w:rsidR="00F04EEF" w:rsidRDefault="00F04EEF">
                  <w:bookmarkStart w:id="1024" w:name="_2.3.5._Quels_types"/>
                  <w:bookmarkStart w:id="1025" w:name="_Toc291075562"/>
                  <w:bookmarkStart w:id="1026" w:name="_Toc291075986"/>
                  <w:bookmarkStart w:id="1027" w:name="_Toc291076410"/>
                  <w:bookmarkStart w:id="1028" w:name="_Toc291076834"/>
                  <w:bookmarkStart w:id="1029" w:name="_Toc291077258"/>
                  <w:bookmarkStart w:id="1030" w:name="_Toc293652100"/>
                  <w:bookmarkStart w:id="1031" w:name="_Toc293653682"/>
                  <w:bookmarkStart w:id="1032" w:name="_Toc293654294"/>
                  <w:bookmarkStart w:id="1033" w:name="_Toc294004874"/>
                  <w:bookmarkStart w:id="1034" w:name="_Toc294185370"/>
                  <w:bookmarkStart w:id="1035" w:name="_Toc324767236"/>
                  <w:bookmarkStart w:id="1036" w:name="_Toc324768094"/>
                  <w:bookmarkEnd w:id="1024"/>
                </w:p>
                <w:p w:rsidR="00F04EEF" w:rsidRDefault="0099351E">
                  <w:pPr>
                    <w:pStyle w:val="Titre5"/>
                    <w:numPr>
                      <w:ilvl w:val="2"/>
                      <w:numId w:val="298"/>
                    </w:numPr>
                  </w:pPr>
                  <w:r>
                    <w:t>Quels types d’aide apporte le service d’accrochage scolaire (SAS) aux jeunes ?</w:t>
                  </w:r>
                  <w:bookmarkEnd w:id="1025"/>
                  <w:bookmarkEnd w:id="1026"/>
                  <w:bookmarkEnd w:id="1027"/>
                  <w:bookmarkEnd w:id="1028"/>
                  <w:bookmarkEnd w:id="1029"/>
                  <w:bookmarkEnd w:id="1030"/>
                  <w:bookmarkEnd w:id="1031"/>
                  <w:bookmarkEnd w:id="1032"/>
                  <w:bookmarkEnd w:id="1033"/>
                  <w:bookmarkEnd w:id="1034"/>
                  <w:bookmarkEnd w:id="1035"/>
                  <w:bookmarkEnd w:id="1036"/>
                </w:p>
                <w:p w:rsidR="00F04EEF" w:rsidRDefault="00F04EEF">
                  <w:pPr>
                    <w:pStyle w:val="Corpsdetexte21"/>
                    <w:jc w:val="both"/>
                    <w:rPr>
                      <w:rFonts w:asciiTheme="majorHAnsi" w:hAnsiTheme="majorHAnsi"/>
                      <w:b/>
                      <w:color w:val="008000"/>
                      <w:sz w:val="22"/>
                      <w:szCs w:val="22"/>
                      <w:u w:val="single"/>
                    </w:rPr>
                  </w:pPr>
                </w:p>
                <w:p w:rsidR="00F04EEF" w:rsidRDefault="0099351E">
                  <w:pPr>
                    <w:autoSpaceDE w:val="0"/>
                    <w:autoSpaceDN w:val="0"/>
                    <w:adjustRightInd w:val="0"/>
                    <w:rPr>
                      <w:rFonts w:cs="Arial"/>
                    </w:rPr>
                  </w:pPr>
                  <w:r>
                    <w:rPr>
                      <w:rFonts w:cs="Arial"/>
                    </w:rPr>
                    <w:t xml:space="preserve">Par aide sociale, éducative et pédagogique, on entend toute forme d’aide ou d’action permettant d’améliorer les conditions de développement et d’apprentissage de ces mineurs. </w:t>
                  </w:r>
                </w:p>
                <w:p w:rsidR="00F04EEF" w:rsidRDefault="00F04EEF">
                  <w:pPr>
                    <w:jc w:val="both"/>
                    <w:rPr>
                      <w:rFonts w:cs="Arial"/>
                    </w:rPr>
                  </w:pPr>
                </w:p>
                <w:p w:rsidR="00F04EEF" w:rsidRDefault="0099351E">
                  <w:pPr>
                    <w:tabs>
                      <w:tab w:val="num" w:pos="3420"/>
                    </w:tabs>
                    <w:jc w:val="both"/>
                    <w:rPr>
                      <w:rFonts w:cs="Arial"/>
                    </w:rPr>
                  </w:pPr>
                  <w:r>
                    <w:rPr>
                      <w:rFonts w:cs="Arial"/>
                    </w:rPr>
                    <w:t>Le service d’accrochage scolaire cherche à faire émerger les difficultés spécifiques de chaque mineur et développe des outils permettant de trouver des solutions à ses différentes difficultés. Il a pour objectif le retour du mineur, dans les meilleurs délais et dans les meilleures conditions possibles, vers une structure scolaire ou une structure de formation agréée dans le cadre de l’obligation scolaire.</w:t>
                  </w:r>
                </w:p>
                <w:p w:rsidR="00F04EEF" w:rsidRDefault="00F04EEF">
                  <w:bookmarkStart w:id="1037" w:name="_Toc291075563"/>
                  <w:bookmarkStart w:id="1038" w:name="_Toc291075987"/>
                  <w:bookmarkStart w:id="1039" w:name="_Toc291076411"/>
                  <w:bookmarkStart w:id="1040" w:name="_Toc291076835"/>
                  <w:bookmarkStart w:id="1041" w:name="_Toc291077259"/>
                  <w:bookmarkStart w:id="1042" w:name="_Toc293652101"/>
                  <w:bookmarkStart w:id="1043" w:name="_Toc293653683"/>
                  <w:bookmarkStart w:id="1044" w:name="_Toc293654295"/>
                  <w:bookmarkStart w:id="1045" w:name="_Toc294004875"/>
                  <w:bookmarkStart w:id="1046" w:name="_Toc294185371"/>
                  <w:bookmarkStart w:id="1047" w:name="_Toc324767237"/>
                  <w:bookmarkStart w:id="1048" w:name="_Toc324768095"/>
                </w:p>
                <w:p w:rsidR="00F04EEF" w:rsidRDefault="0099351E">
                  <w:pPr>
                    <w:pStyle w:val="Titre5"/>
                    <w:numPr>
                      <w:ilvl w:val="2"/>
                      <w:numId w:val="298"/>
                    </w:numPr>
                  </w:pPr>
                  <w:r>
                    <w:t>Quel est le rôle du conseiller de l’Aide à la jeunesse ?</w:t>
                  </w:r>
                  <w:bookmarkEnd w:id="1037"/>
                  <w:bookmarkEnd w:id="1038"/>
                  <w:bookmarkEnd w:id="1039"/>
                  <w:bookmarkEnd w:id="1040"/>
                  <w:bookmarkEnd w:id="1041"/>
                  <w:bookmarkEnd w:id="1042"/>
                  <w:bookmarkEnd w:id="1043"/>
                  <w:bookmarkEnd w:id="1044"/>
                  <w:bookmarkEnd w:id="1045"/>
                  <w:bookmarkEnd w:id="1046"/>
                  <w:bookmarkEnd w:id="1047"/>
                  <w:bookmarkEnd w:id="1048"/>
                </w:p>
                <w:p w:rsidR="00F04EEF" w:rsidRDefault="00F04EEF">
                  <w:pPr>
                    <w:pStyle w:val="2"/>
                    <w:jc w:val="both"/>
                    <w:rPr>
                      <w:rFonts w:asciiTheme="majorHAnsi" w:hAnsiTheme="majorHAnsi"/>
                      <w:sz w:val="22"/>
                      <w:szCs w:val="22"/>
                      <w:lang w:val="fr-BE"/>
                    </w:rPr>
                  </w:pPr>
                </w:p>
                <w:p w:rsidR="00F04EEF" w:rsidRDefault="0099351E">
                  <w:pPr>
                    <w:jc w:val="both"/>
                    <w:rPr>
                      <w:rFonts w:cs="Arial"/>
                    </w:rPr>
                  </w:pPr>
                  <w:r>
                    <w:rPr>
                      <w:rFonts w:cs="Arial"/>
                    </w:rPr>
                    <w:t>Le premier rôle du conseiller de l’Aide à la Jeunesse, responsable du service d’Aide à la jeunesse (SAJ), est d’orienter vers les services de première ligne.</w:t>
                  </w:r>
                </w:p>
                <w:p w:rsidR="00F04EEF" w:rsidRDefault="00F04EEF">
                  <w:pPr>
                    <w:jc w:val="both"/>
                    <w:rPr>
                      <w:rFonts w:cs="Arial"/>
                    </w:rPr>
                  </w:pPr>
                </w:p>
                <w:p w:rsidR="00F04EEF" w:rsidRDefault="0099351E">
                  <w:pPr>
                    <w:jc w:val="both"/>
                    <w:rPr>
                      <w:rFonts w:cs="Arial"/>
                    </w:rPr>
                  </w:pPr>
                  <w:r>
                    <w:rPr>
                      <w:rFonts w:cs="Arial"/>
                    </w:rPr>
                    <w:t xml:space="preserve">Sous forme de programme d’aide, le conseiller organise aussi l’aide sociale spécialisée qui peut être mise à la disposition du jeune et de sa famille par les services sociaux existant sur le terrain. </w:t>
                  </w:r>
                </w:p>
                <w:p w:rsidR="00F04EEF" w:rsidRDefault="00F04EEF">
                  <w:pPr>
                    <w:jc w:val="both"/>
                    <w:rPr>
                      <w:rFonts w:cs="Arial"/>
                    </w:rPr>
                  </w:pPr>
                </w:p>
                <w:p w:rsidR="00F04EEF" w:rsidRDefault="0099351E">
                  <w:pPr>
                    <w:jc w:val="both"/>
                    <w:rPr>
                      <w:rFonts w:cs="Arial"/>
                    </w:rPr>
                  </w:pPr>
                  <w:r>
                    <w:rPr>
                      <w:rFonts w:cs="Arial"/>
                    </w:rPr>
                    <w:t>L’aide spécialisée est une aide exceptionnelle, provisoire et qui n’a lieu d’être qu’en cas d’impossibilité d’intervention des services de l’aide générale de première ligne. Elle s’adresse au public suivant :</w:t>
                  </w:r>
                </w:p>
                <w:p w:rsidR="00F04EEF" w:rsidRDefault="00F04EEF">
                  <w:pPr>
                    <w:jc w:val="both"/>
                    <w:rPr>
                      <w:rFonts w:cs="Arial"/>
                    </w:rPr>
                  </w:pPr>
                </w:p>
                <w:p w:rsidR="00F04EEF" w:rsidRDefault="0099351E">
                  <w:pPr>
                    <w:numPr>
                      <w:ilvl w:val="0"/>
                      <w:numId w:val="92"/>
                    </w:numPr>
                    <w:tabs>
                      <w:tab w:val="clear" w:pos="360"/>
                      <w:tab w:val="num" w:pos="720"/>
                    </w:tabs>
                    <w:suppressAutoHyphens/>
                    <w:ind w:left="916" w:hanging="349"/>
                    <w:jc w:val="both"/>
                    <w:rPr>
                      <w:rFonts w:cs="Arial"/>
                    </w:rPr>
                  </w:pPr>
                  <w:r>
                    <w:rPr>
                      <w:rFonts w:cs="Arial"/>
                    </w:rPr>
                    <w:t>des jeunes en difficulté, ainsi que des personnes qui éprouvent de graves difficultés dans l’exécution de leurs obligations parentales ;</w:t>
                  </w:r>
                </w:p>
                <w:p w:rsidR="00F04EEF" w:rsidRDefault="0099351E">
                  <w:pPr>
                    <w:numPr>
                      <w:ilvl w:val="0"/>
                      <w:numId w:val="92"/>
                    </w:numPr>
                    <w:tabs>
                      <w:tab w:val="clear" w:pos="360"/>
                      <w:tab w:val="num" w:pos="720"/>
                    </w:tabs>
                    <w:suppressAutoHyphens/>
                    <w:ind w:left="916" w:hanging="349"/>
                    <w:jc w:val="both"/>
                    <w:rPr>
                      <w:rFonts w:cs="Arial"/>
                    </w:rPr>
                  </w:pPr>
                  <w:r>
                    <w:rPr>
                      <w:rFonts w:cs="Arial"/>
                    </w:rPr>
                    <w:t>tout enfant dont la santé ou la sécurité est en danger ou dont les conditions d’éducation sont compromises par son comportement, celui de sa famille ou de ses familiers</w:t>
                  </w:r>
                  <w:r>
                    <w:rPr>
                      <w:rStyle w:val="Appelnotedebasdep1"/>
                    </w:rPr>
                    <w:footnoteReference w:id="100"/>
                  </w:r>
                  <w:r>
                    <w:rPr>
                      <w:rFonts w:cs="Arial"/>
                    </w:rPr>
                    <w:t>.</w:t>
                  </w:r>
                </w:p>
                <w:p w:rsidR="00F04EEF" w:rsidRDefault="00F04EEF">
                  <w:pPr>
                    <w:jc w:val="both"/>
                    <w:rPr>
                      <w:rFonts w:cs="Arial"/>
                    </w:rPr>
                  </w:pPr>
                </w:p>
                <w:p w:rsidR="00F04EEF" w:rsidRDefault="0099351E">
                  <w:pPr>
                    <w:jc w:val="both"/>
                    <w:rPr>
                      <w:rFonts w:cs="Arial"/>
                    </w:rPr>
                  </w:pPr>
                  <w:r>
                    <w:rPr>
                      <w:rFonts w:cs="Arial"/>
                    </w:rPr>
                    <w:t>Dès lors, le conseiller peut, si nécessaire, mandater des services spécialisés de l’Aide à la jeunesse.</w:t>
                  </w:r>
                </w:p>
                <w:bookmarkStart w:id="1049" w:name="_Toc291075564"/>
                <w:bookmarkStart w:id="1050" w:name="_Toc291075988"/>
                <w:bookmarkStart w:id="1051" w:name="_Toc291076412"/>
                <w:bookmarkStart w:id="1052" w:name="_Toc291076836"/>
                <w:bookmarkStart w:id="1053" w:name="_Toc291077260"/>
                <w:bookmarkStart w:id="1054" w:name="_Toc293652102"/>
                <w:bookmarkStart w:id="1055" w:name="_Toc293653684"/>
                <w:bookmarkStart w:id="1056" w:name="_Toc293654296"/>
                <w:bookmarkStart w:id="1057" w:name="_Toc294004876"/>
                <w:bookmarkStart w:id="1058" w:name="_Toc294185372"/>
                <w:bookmarkStart w:id="1059" w:name="_Toc324767238"/>
                <w:bookmarkStart w:id="1060" w:name="_Toc324768096"/>
                <w:p w:rsidR="00F04EEF" w:rsidRDefault="0099351E">
                  <w:r>
                    <w:rPr>
                      <w:rFonts w:asciiTheme="majorHAnsi" w:hAnsiTheme="majorHAnsi"/>
                      <w:b/>
                      <w:noProof/>
                      <w:spacing w:val="-4"/>
                      <w:u w:val="single"/>
                      <w:lang w:eastAsia="fr-BE"/>
                    </w:rPr>
                    <mc:AlternateContent>
                      <mc:Choice Requires="wps">
                        <w:drawing>
                          <wp:anchor distT="0" distB="0" distL="114300" distR="114300" simplePos="0" relativeHeight="252171264" behindDoc="0" locked="0" layoutInCell="1" allowOverlap="1">
                            <wp:simplePos x="0" y="0"/>
                            <wp:positionH relativeFrom="column">
                              <wp:posOffset>6233795</wp:posOffset>
                            </wp:positionH>
                            <wp:positionV relativeFrom="paragraph">
                              <wp:posOffset>170180</wp:posOffset>
                            </wp:positionV>
                            <wp:extent cx="0" cy="161925"/>
                            <wp:effectExtent l="0" t="0" r="19050" b="28575"/>
                            <wp:wrapNone/>
                            <wp:docPr id="4955" name="Connecteur droit 4955"/>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283C65A" id="Connecteur droit 4955" o:spid="_x0000_s1026" style="position:absolute;z-index:252171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85pt,13.4pt" to="490.8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" strokecolor="black [3213]"/>
                        </w:pict>
                      </mc:Fallback>
                    </mc:AlternateContent>
                  </w:r>
                </w:p>
                <w:p w:rsidR="00F04EEF" w:rsidRDefault="0099351E">
                  <w:pPr>
                    <w:pStyle w:val="Titre5"/>
                    <w:numPr>
                      <w:ilvl w:val="2"/>
                      <w:numId w:val="298"/>
                    </w:numPr>
                  </w:pPr>
                  <w:bookmarkStart w:id="1061" w:name="_A_quoi_servent"/>
                  <w:bookmarkEnd w:id="1061"/>
                  <w:r>
                    <w:t>A quoi servent les Services d’action en milieu ouvert</w:t>
                  </w:r>
                  <w:r>
                    <w:rPr>
                      <w:rStyle w:val="Appelnotedebasdep1"/>
                      <w:b w:val="0"/>
                      <w:iCs/>
                      <w:color w:val="000000"/>
                    </w:rPr>
                    <w:footnoteReference w:id="101"/>
                  </w:r>
                  <w:r>
                    <w:t> ?</w:t>
                  </w:r>
                  <w:bookmarkEnd w:id="1049"/>
                  <w:bookmarkEnd w:id="1050"/>
                  <w:bookmarkEnd w:id="1051"/>
                  <w:bookmarkEnd w:id="1052"/>
                  <w:bookmarkEnd w:id="1053"/>
                  <w:bookmarkEnd w:id="1054"/>
                  <w:bookmarkEnd w:id="1055"/>
                  <w:bookmarkEnd w:id="1056"/>
                  <w:bookmarkEnd w:id="1057"/>
                  <w:bookmarkEnd w:id="1058"/>
                  <w:bookmarkEnd w:id="1059"/>
                  <w:bookmarkEnd w:id="1060"/>
                  <w:r>
                    <w:rPr>
                      <w:rFonts w:asciiTheme="majorHAnsi" w:hAnsiTheme="majorHAnsi"/>
                      <w:b w:val="0"/>
                      <w:noProof/>
                      <w:spacing w:val="-4"/>
                      <w:lang w:eastAsia="fr-BE"/>
                    </w:rPr>
                    <w:t xml:space="preserve"> </w:t>
                  </w:r>
                </w:p>
                <w:p w:rsidR="00F04EEF" w:rsidRDefault="0099351E">
                  <w:r>
                    <w:rPr>
                      <w:rFonts w:asciiTheme="majorHAnsi" w:hAnsiTheme="majorHAnsi"/>
                      <w:b/>
                      <w:noProof/>
                      <w:spacing w:val="-4"/>
                      <w:u w:val="single"/>
                      <w:lang w:eastAsia="fr-BE"/>
                    </w:rPr>
                    <mc:AlternateContent>
                      <mc:Choice Requires="wps">
                        <w:drawing>
                          <wp:anchor distT="0" distB="0" distL="114300" distR="114300" simplePos="0" relativeHeight="252173312" behindDoc="0" locked="0" layoutInCell="1" allowOverlap="1">
                            <wp:simplePos x="0" y="0"/>
                            <wp:positionH relativeFrom="column">
                              <wp:posOffset>6233795</wp:posOffset>
                            </wp:positionH>
                            <wp:positionV relativeFrom="paragraph">
                              <wp:posOffset>238760</wp:posOffset>
                            </wp:positionV>
                            <wp:extent cx="0" cy="161925"/>
                            <wp:effectExtent l="0" t="0" r="19050" b="28575"/>
                            <wp:wrapNone/>
                            <wp:docPr id="4956" name="Connecteur droit 4956"/>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B5CA8B8" id="Connecteur droit 4956" o:spid="_x0000_s1026" style="position:absolute;z-index:252173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85pt,18.8pt" to="490.85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" strokecolor="black [3213]"/>
                        </w:pict>
                      </mc:Fallback>
                    </mc:AlternateContent>
                  </w:r>
                </w:p>
                <w:p w:rsidR="00F04EEF" w:rsidRDefault="0099351E">
                  <w:pPr>
                    <w:jc w:val="both"/>
                    <w:rPr>
                      <w:rFonts w:cs="Arial"/>
                      <w:bCs/>
                    </w:rPr>
                  </w:pPr>
                  <w:r>
                    <w:rPr>
                      <w:rFonts w:cs="Arial"/>
                      <w:bCs/>
                    </w:rPr>
                    <w:t>Les prises en charge réalisées par l</w:t>
                  </w:r>
                  <w:r>
                    <w:rPr>
                      <w:rFonts w:cs="Arial"/>
                    </w:rPr>
                    <w:t>es services d’action en milieu ouvert</w:t>
                  </w:r>
                  <w:r>
                    <w:rPr>
                      <w:rStyle w:val="Appelnotedebasdep1"/>
                    </w:rPr>
                    <w:footnoteReference w:id="102"/>
                  </w:r>
                  <w:r>
                    <w:rPr>
                      <w:rFonts w:cs="Arial"/>
                    </w:rPr>
                    <w:t xml:space="preserve"> (</w:t>
                  </w:r>
                  <w:r>
                    <w:rPr>
                      <w:rFonts w:cs="Arial"/>
                      <w:bCs/>
                    </w:rPr>
                    <w:t>A.M.O.) sont uniquement extrascolaires et ne répondent pas à l’obligation scolaire à elles seules.</w:t>
                  </w:r>
                </w:p>
                <w:p w:rsidR="00F04EEF" w:rsidRDefault="0099351E">
                  <w:pPr>
                    <w:jc w:val="both"/>
                    <w:rPr>
                      <w:rFonts w:cs="Arial"/>
                    </w:rPr>
                  </w:pPr>
                  <w:r>
                    <w:rPr>
                      <w:rFonts w:asciiTheme="majorHAnsi" w:hAnsiTheme="majorHAnsi"/>
                      <w:b/>
                      <w:noProof/>
                      <w:spacing w:val="-4"/>
                      <w:u w:val="single"/>
                      <w:lang w:eastAsia="fr-BE"/>
                    </w:rPr>
                    <mc:AlternateContent>
                      <mc:Choice Requires="wps">
                        <w:drawing>
                          <wp:anchor distT="0" distB="0" distL="114300" distR="114300" simplePos="0" relativeHeight="252175360" behindDoc="0" locked="0" layoutInCell="1" allowOverlap="1">
                            <wp:simplePos x="0" y="0"/>
                            <wp:positionH relativeFrom="column">
                              <wp:posOffset>6243320</wp:posOffset>
                            </wp:positionH>
                            <wp:positionV relativeFrom="paragraph">
                              <wp:posOffset>231775</wp:posOffset>
                            </wp:positionV>
                            <wp:extent cx="0" cy="161925"/>
                            <wp:effectExtent l="0" t="0" r="19050" b="28575"/>
                            <wp:wrapNone/>
                            <wp:docPr id="4957" name="Connecteur droit 4957"/>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31CAB00" id="Connecteur droit 4957" o:spid="_x0000_s1026" style="position:absolute;z-index:252175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6pt,18.25pt" to="491.6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" strokecolor="black [3213]"/>
                        </w:pict>
                      </mc:Fallback>
                    </mc:AlternateContent>
                  </w:r>
                </w:p>
                <w:p w:rsidR="00F04EEF" w:rsidRDefault="0099351E">
                  <w:pPr>
                    <w:jc w:val="both"/>
                    <w:rPr>
                      <w:rFonts w:cs="Arial"/>
                    </w:rPr>
                  </w:pPr>
                  <w:r>
                    <w:rPr>
                      <w:rFonts w:cs="Arial"/>
                    </w:rPr>
                    <w:t>Les services d’action en milieu ouvert sont des services spécialisés de l’Aide à la jeunesse qui assurent une aide préventive au bénéfice des jeunes dans leur milieu de vie et dans leurs rapports avec l’environnement social. Cette aide comporte nécessairement l’aide individuelle et l’action communautaire qui sont développées sur base du projet pédagogique spécifique de chaque A.M.O.</w:t>
                  </w:r>
                </w:p>
                <w:p w:rsidR="00F04EEF" w:rsidRDefault="0099351E">
                  <w:pPr>
                    <w:jc w:val="both"/>
                    <w:rPr>
                      <w:rFonts w:cs="Arial"/>
                    </w:rPr>
                  </w:pPr>
                  <w:r>
                    <w:rPr>
                      <w:rFonts w:asciiTheme="majorHAnsi" w:hAnsiTheme="majorHAnsi"/>
                      <w:b/>
                      <w:noProof/>
                      <w:spacing w:val="-4"/>
                      <w:u w:val="single"/>
                      <w:lang w:eastAsia="fr-BE"/>
                    </w:rPr>
                    <mc:AlternateContent>
                      <mc:Choice Requires="wps">
                        <w:drawing>
                          <wp:anchor distT="0" distB="0" distL="114300" distR="114300" simplePos="0" relativeHeight="252177408" behindDoc="0" locked="0" layoutInCell="1" allowOverlap="1">
                            <wp:simplePos x="0" y="0"/>
                            <wp:positionH relativeFrom="column">
                              <wp:posOffset>6238875</wp:posOffset>
                            </wp:positionH>
                            <wp:positionV relativeFrom="paragraph">
                              <wp:posOffset>179070</wp:posOffset>
                            </wp:positionV>
                            <wp:extent cx="0" cy="161925"/>
                            <wp:effectExtent l="0" t="0" r="19050" b="28575"/>
                            <wp:wrapNone/>
                            <wp:docPr id="4958" name="Connecteur droit 4958"/>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CB707B9" id="Connecteur droit 4958" o:spid="_x0000_s1026" style="position:absolute;z-index:252177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25pt,14.1pt" to="491.25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" strokecolor="black [3213]"/>
                        </w:pict>
                      </mc:Fallback>
                    </mc:AlternateContent>
                  </w:r>
                </w:p>
                <w:p w:rsidR="00F04EEF" w:rsidRDefault="0099351E">
                  <w:pPr>
                    <w:jc w:val="both"/>
                    <w:rPr>
                      <w:rFonts w:cs="Arial"/>
                    </w:rPr>
                  </w:pPr>
                  <w:r>
                    <w:rPr>
                      <w:rFonts w:asciiTheme="majorHAnsi" w:hAnsiTheme="majorHAnsi"/>
                      <w:b/>
                      <w:noProof/>
                      <w:spacing w:val="-4"/>
                      <w:u w:val="single"/>
                      <w:lang w:eastAsia="fr-BE"/>
                    </w:rPr>
                    <mc:AlternateContent>
                      <mc:Choice Requires="wps">
                        <w:drawing>
                          <wp:anchor distT="0" distB="0" distL="114300" distR="114300" simplePos="0" relativeHeight="252179456" behindDoc="0" locked="0" layoutInCell="1" allowOverlap="1">
                            <wp:simplePos x="0" y="0"/>
                            <wp:positionH relativeFrom="column">
                              <wp:posOffset>6243320</wp:posOffset>
                            </wp:positionH>
                            <wp:positionV relativeFrom="paragraph">
                              <wp:posOffset>463550</wp:posOffset>
                            </wp:positionV>
                            <wp:extent cx="0" cy="161925"/>
                            <wp:effectExtent l="0" t="0" r="19050" b="28575"/>
                            <wp:wrapNone/>
                            <wp:docPr id="4959" name="Connecteur droit 4959"/>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8D4277A" id="Connecteur droit 4959" o:spid="_x0000_s1026" style="position:absolute;z-index:252179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6pt,36.5pt" to="491.6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" strokecolor="black [3213]"/>
                        </w:pict>
                      </mc:Fallback>
                    </mc:AlternateContent>
                  </w:r>
                  <w:r>
                    <w:rPr>
                      <w:rFonts w:cs="Arial"/>
                    </w:rPr>
                    <w:t>Les services d’action en milieu ouvert ont la particularité d’être directement accessibles au public sans condition d’accès et sans mandat du service d’Aide à la jeunesse, du service de Protection Judiciaire ou du Tribunal de la jeunesse. Compte tenu de cette particularité, le chef d’établissement peut entrer en contact avec un service d’action en milieu ouvert en matière d’aide préventive au bénéfice des jeunes.</w:t>
                  </w:r>
                </w:p>
                <w:p w:rsidR="00F04EEF" w:rsidRDefault="00F04EEF">
                  <w:pPr>
                    <w:jc w:val="both"/>
                    <w:rPr>
                      <w:rFonts w:cs="Arial"/>
                    </w:rPr>
                  </w:pPr>
                </w:p>
                <w:p w:rsidR="00F04EEF" w:rsidRDefault="0099351E">
                  <w:pPr>
                    <w:pStyle w:val="Titre5"/>
                    <w:numPr>
                      <w:ilvl w:val="2"/>
                      <w:numId w:val="298"/>
                    </w:numPr>
                  </w:pPr>
                  <w:bookmarkStart w:id="1062" w:name="_Toc291075565"/>
                  <w:bookmarkStart w:id="1063" w:name="_Toc291075989"/>
                  <w:bookmarkStart w:id="1064" w:name="_Toc291076413"/>
                  <w:bookmarkStart w:id="1065" w:name="_Toc291076837"/>
                  <w:bookmarkStart w:id="1066" w:name="_Toc291077261"/>
                  <w:bookmarkStart w:id="1067" w:name="_Toc293652103"/>
                  <w:bookmarkStart w:id="1068" w:name="_Toc293653685"/>
                  <w:bookmarkStart w:id="1069" w:name="_Toc293654297"/>
                  <w:bookmarkStart w:id="1070" w:name="_Toc294004877"/>
                  <w:bookmarkStart w:id="1071" w:name="_Toc294185373"/>
                  <w:bookmarkStart w:id="1072" w:name="_Toc324767239"/>
                  <w:bookmarkStart w:id="1073" w:name="_Toc324768097"/>
                  <w:r>
                    <w:t xml:space="preserve">Quel est le rôle des criminologues des sections « famille-jeunesse» des parquets </w:t>
                  </w:r>
                  <w:r>
                    <w:rPr>
                      <w:rStyle w:val="Appelnotedebasdep1"/>
                      <w:b w:val="0"/>
                    </w:rPr>
                    <w:footnoteReference w:id="103"/>
                  </w:r>
                  <w:r>
                    <w:t> ?</w:t>
                  </w:r>
                  <w:bookmarkEnd w:id="1062"/>
                  <w:bookmarkEnd w:id="1063"/>
                  <w:bookmarkEnd w:id="1064"/>
                  <w:bookmarkEnd w:id="1065"/>
                  <w:bookmarkEnd w:id="1066"/>
                  <w:bookmarkEnd w:id="1067"/>
                  <w:bookmarkEnd w:id="1068"/>
                  <w:bookmarkEnd w:id="1069"/>
                  <w:bookmarkEnd w:id="1070"/>
                  <w:bookmarkEnd w:id="1071"/>
                  <w:bookmarkEnd w:id="1072"/>
                  <w:bookmarkEnd w:id="1073"/>
                </w:p>
                <w:p w:rsidR="00F04EEF" w:rsidRDefault="00F04EEF">
                  <w:pPr>
                    <w:pStyle w:val="Corpsdetexte21"/>
                    <w:jc w:val="both"/>
                    <w:rPr>
                      <w:rFonts w:asciiTheme="majorHAnsi" w:hAnsiTheme="majorHAnsi"/>
                      <w:b/>
                      <w:color w:val="008000"/>
                      <w:sz w:val="22"/>
                      <w:szCs w:val="22"/>
                      <w:u w:val="single"/>
                    </w:rPr>
                  </w:pPr>
                </w:p>
                <w:p w:rsidR="00F04EEF" w:rsidRDefault="0099351E">
                  <w:pPr>
                    <w:spacing w:after="120"/>
                    <w:jc w:val="both"/>
                    <w:rPr>
                      <w:rFonts w:cs="Arial"/>
                    </w:rPr>
                  </w:pPr>
                  <w:r>
                    <w:rPr>
                      <w:rFonts w:cs="Arial"/>
                    </w:rPr>
                    <w:t>Dans le cadre de l’entrée en vigueur de la réforme de la loi du 8 avril 1965 relative à la protection de la jeunesse, des criminologues ont été engagés auprès des sections « famille-jeunesse » des parquets.</w:t>
                  </w:r>
                </w:p>
                <w:p w:rsidR="00F04EEF" w:rsidRDefault="0099351E">
                  <w:pPr>
                    <w:spacing w:after="120"/>
                    <w:jc w:val="both"/>
                    <w:rPr>
                      <w:rFonts w:cs="Arial"/>
                    </w:rPr>
                  </w:pPr>
                  <w:r>
                    <w:rPr>
                      <w:rFonts w:cs="Arial"/>
                    </w:rPr>
                    <w:t>Les criminologues travaillent sous la direction du procureur du Roi du parquet auquel ils sont affectés et sous l’autorité du procureur général.</w:t>
                  </w:r>
                </w:p>
                <w:p w:rsidR="00F04EEF" w:rsidRDefault="0099351E">
                  <w:pPr>
                    <w:spacing w:after="120"/>
                    <w:jc w:val="both"/>
                    <w:rPr>
                      <w:rFonts w:cs="Arial"/>
                    </w:rPr>
                  </w:pPr>
                  <w:r>
                    <w:rPr>
                      <w:rFonts w:cs="Arial"/>
                    </w:rPr>
                    <w:t>Ils interviennent en appui des sections « famille-jeunesse » des parquets, dans le respect des compétences des magistrats et des services relevant de la Fédération Wallonie-Bruxelles. L’ensemble des criminologues forme une équipe qui veille, sous la coordination de deux criminologues-coordinateurs</w:t>
                  </w:r>
                  <w:r>
                    <w:rPr>
                      <w:rStyle w:val="Caractresdenotedebasdepage"/>
                      <w:rFonts w:cs="Arial"/>
                    </w:rPr>
                    <w:footnoteReference w:id="104"/>
                  </w:r>
                  <w:r>
                    <w:rPr>
                      <w:rFonts w:cs="Arial"/>
                    </w:rPr>
                    <w:t>, à la cohérence de leurs interventions dans l’ensemble du pays.</w:t>
                  </w:r>
                </w:p>
                <w:p w:rsidR="00F04EEF" w:rsidRDefault="0099351E">
                  <w:pPr>
                    <w:jc w:val="both"/>
                    <w:rPr>
                      <w:rFonts w:cs="Arial"/>
                    </w:rPr>
                  </w:pPr>
                  <w:r>
                    <w:rPr>
                      <w:rFonts w:cs="Arial"/>
                    </w:rPr>
                    <w:t>Les criminologues sont principalement chargés d’apporter un appui aux magistrats dans les matières suivantes :</w:t>
                  </w:r>
                </w:p>
                <w:p w:rsidR="00F04EEF" w:rsidRDefault="00F04EEF">
                  <w:pPr>
                    <w:jc w:val="both"/>
                    <w:rPr>
                      <w:rFonts w:cs="Arial"/>
                    </w:rPr>
                  </w:pPr>
                </w:p>
                <w:p w:rsidR="00F04EEF" w:rsidRDefault="0099351E">
                  <w:pPr>
                    <w:numPr>
                      <w:ilvl w:val="0"/>
                      <w:numId w:val="83"/>
                    </w:numPr>
                    <w:tabs>
                      <w:tab w:val="clear" w:pos="360"/>
                      <w:tab w:val="num" w:pos="993"/>
                    </w:tabs>
                    <w:suppressAutoHyphens/>
                    <w:ind w:left="993" w:hanging="709"/>
                    <w:jc w:val="both"/>
                    <w:rPr>
                      <w:rFonts w:cs="Arial"/>
                    </w:rPr>
                  </w:pPr>
                  <w:r>
                    <w:rPr>
                      <w:rFonts w:cs="Arial"/>
                    </w:rPr>
                    <w:t>la délinquance juvénile, particulièrement l’appui quant à l’application des modalités prévues par les lois des 15 mai et 13 juin 2006 relatives à la protection de la jeunesse et la prise en charge des mineurs ayant commis un fait qualifié infraction ;</w:t>
                  </w:r>
                </w:p>
                <w:p w:rsidR="00F04EEF" w:rsidRDefault="0099351E">
                  <w:pPr>
                    <w:numPr>
                      <w:ilvl w:val="0"/>
                      <w:numId w:val="83"/>
                    </w:numPr>
                    <w:tabs>
                      <w:tab w:val="clear" w:pos="360"/>
                      <w:tab w:val="num" w:pos="993"/>
                    </w:tabs>
                    <w:suppressAutoHyphens/>
                    <w:ind w:left="993" w:hanging="709"/>
                    <w:jc w:val="both"/>
                    <w:rPr>
                      <w:rFonts w:cs="Arial"/>
                    </w:rPr>
                  </w:pPr>
                  <w:r>
                    <w:rPr>
                      <w:rFonts w:cs="Arial"/>
                    </w:rPr>
                    <w:t>l’absentéisme scolaire ;</w:t>
                  </w:r>
                </w:p>
                <w:p w:rsidR="00F04EEF" w:rsidRDefault="0099351E">
                  <w:pPr>
                    <w:numPr>
                      <w:ilvl w:val="0"/>
                      <w:numId w:val="83"/>
                    </w:numPr>
                    <w:tabs>
                      <w:tab w:val="clear" w:pos="360"/>
                      <w:tab w:val="num" w:pos="993"/>
                    </w:tabs>
                    <w:suppressAutoHyphens/>
                    <w:ind w:left="993" w:hanging="709"/>
                    <w:jc w:val="both"/>
                    <w:rPr>
                      <w:rFonts w:cs="Arial"/>
                    </w:rPr>
                  </w:pPr>
                  <w:r>
                    <w:rPr>
                      <w:rFonts w:cs="Arial"/>
                    </w:rPr>
                    <w:t>la maltraitance.</w:t>
                  </w:r>
                </w:p>
                <w:p w:rsidR="00F04EEF" w:rsidRDefault="00F04EEF">
                  <w:pPr>
                    <w:jc w:val="both"/>
                    <w:rPr>
                      <w:rFonts w:cs="Arial"/>
                    </w:rPr>
                  </w:pPr>
                </w:p>
                <w:p w:rsidR="00F04EEF" w:rsidRDefault="0099351E">
                  <w:pPr>
                    <w:jc w:val="both"/>
                    <w:rPr>
                      <w:rFonts w:cs="Arial"/>
                    </w:rPr>
                  </w:pPr>
                  <w:r>
                    <w:rPr>
                      <w:rFonts w:cs="Arial"/>
                    </w:rPr>
                    <w:t>De manière générale, ils peuvent jouer un rôle important dans l’établissement de contacts avec des interlocuteurs extrajudiciaires.</w:t>
                  </w:r>
                </w:p>
                <w:p w:rsidR="00F04EEF" w:rsidRDefault="0099351E">
                  <w:pPr>
                    <w:spacing w:after="120"/>
                    <w:jc w:val="both"/>
                    <w:rPr>
                      <w:rFonts w:cs="Arial"/>
                    </w:rPr>
                  </w:pPr>
                  <w:r>
                    <w:rPr>
                      <w:rFonts w:cs="Arial"/>
                    </w:rPr>
                    <w:t>De par leur formation, les criminologues apportent un appui spécifique aux magistrats et interviennent comme professionnels de l’approche pluridisciplinaire des questions sociales en général et de la délinquance en particulier. Ils apportent aux magistrats une plus-value par une analyse et un mode d’intervention fondés sur leur formation dans les domaines sociologique et psychosocial.</w:t>
                  </w:r>
                </w:p>
                <w:p w:rsidR="00F04EEF" w:rsidRDefault="0099351E">
                  <w:pPr>
                    <w:spacing w:after="120"/>
                    <w:jc w:val="both"/>
                    <w:rPr>
                      <w:rFonts w:cs="Arial"/>
                    </w:rPr>
                  </w:pPr>
                  <w:r>
                    <w:rPr>
                      <w:rFonts w:cs="Arial"/>
                    </w:rPr>
                    <w:t>Plus particulièrement, en matière de lutte contre l’absentéisme scolaire :</w:t>
                  </w:r>
                </w:p>
                <w:p w:rsidR="00F04EEF" w:rsidRDefault="0099351E">
                  <w:pPr>
                    <w:numPr>
                      <w:ilvl w:val="0"/>
                      <w:numId w:val="107"/>
                    </w:numPr>
                    <w:tabs>
                      <w:tab w:val="clear" w:pos="360"/>
                      <w:tab w:val="num" w:pos="993"/>
                    </w:tabs>
                    <w:suppressAutoHyphens/>
                    <w:ind w:left="993" w:hanging="709"/>
                    <w:jc w:val="both"/>
                    <w:rPr>
                      <w:rFonts w:cs="Arial"/>
                    </w:rPr>
                  </w:pPr>
                  <w:r>
                    <w:rPr>
                      <w:rFonts w:cs="Arial"/>
                    </w:rPr>
                    <w:t>les criminologues établissent des contacts avec les différents acteurs concernés au plan local (Services relevant de la Fédération Wallonie-Bruxelles, police locale, directions des établissements scolaires, etc.) ;</w:t>
                  </w:r>
                </w:p>
                <w:p w:rsidR="00F04EEF" w:rsidRDefault="0099351E">
                  <w:pPr>
                    <w:numPr>
                      <w:ilvl w:val="0"/>
                      <w:numId w:val="107"/>
                    </w:numPr>
                    <w:tabs>
                      <w:tab w:val="clear" w:pos="360"/>
                      <w:tab w:val="num" w:pos="993"/>
                    </w:tabs>
                    <w:suppressAutoHyphens/>
                    <w:ind w:left="993" w:hanging="709"/>
                    <w:jc w:val="both"/>
                    <w:rPr>
                      <w:rFonts w:cs="Arial"/>
                    </w:rPr>
                  </w:pPr>
                  <w:r>
                    <w:t>les criminologues assistent les magistrats dans le traitement des dossiers individuels.</w:t>
                  </w:r>
                </w:p>
                <w:p w:rsidR="00F04EEF" w:rsidRDefault="00F04EEF">
                  <w:pPr>
                    <w:pStyle w:val="Corpsdetexte21"/>
                    <w:jc w:val="both"/>
                    <w:rPr>
                      <w:rFonts w:asciiTheme="majorHAnsi" w:hAnsiTheme="majorHAnsi"/>
                      <w:b/>
                      <w:color w:val="008000"/>
                      <w:sz w:val="22"/>
                      <w:szCs w:val="22"/>
                      <w:u w:val="single"/>
                    </w:rPr>
                  </w:pPr>
                </w:p>
                <w:p w:rsidR="00F04EEF" w:rsidRDefault="0099351E">
                  <w:pPr>
                    <w:pStyle w:val="Titre4"/>
                    <w:numPr>
                      <w:ilvl w:val="1"/>
                      <w:numId w:val="298"/>
                    </w:numPr>
                  </w:pPr>
                  <w:bookmarkStart w:id="1074" w:name="_Toc291075566"/>
                  <w:bookmarkStart w:id="1075" w:name="_Toc291075990"/>
                  <w:bookmarkStart w:id="1076" w:name="_Toc291076414"/>
                  <w:bookmarkStart w:id="1077" w:name="_Toc291076838"/>
                  <w:bookmarkStart w:id="1078" w:name="_Toc291077262"/>
                  <w:bookmarkStart w:id="1079" w:name="_Toc293652104"/>
                  <w:bookmarkStart w:id="1080" w:name="_Toc293653686"/>
                  <w:bookmarkStart w:id="1081" w:name="_Toc293654298"/>
                  <w:bookmarkStart w:id="1082" w:name="_Toc294004878"/>
                  <w:bookmarkStart w:id="1083" w:name="_Toc294185374"/>
                  <w:bookmarkStart w:id="1084" w:name="_Toc324767240"/>
                  <w:bookmarkStart w:id="1085" w:name="_Toc412204088"/>
                  <w:bookmarkStart w:id="1086" w:name="_Toc414352896"/>
                  <w:bookmarkStart w:id="1087" w:name="_Toc453836919"/>
                  <w:r>
                    <w:t>Questions-réponses relatives aux sanctions disciplinaires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rsidR="00F04EEF" w:rsidRDefault="00F04EEF">
                  <w:pPr>
                    <w:pStyle w:val="Corpsdetexte21"/>
                    <w:jc w:val="both"/>
                    <w:rPr>
                      <w:rFonts w:asciiTheme="majorHAnsi" w:hAnsiTheme="majorHAnsi"/>
                      <w:b/>
                      <w:color w:val="008000"/>
                      <w:sz w:val="22"/>
                      <w:szCs w:val="22"/>
                      <w:u w:val="single"/>
                    </w:rPr>
                  </w:pPr>
                </w:p>
                <w:p w:rsidR="00F04EEF" w:rsidRDefault="0099351E">
                  <w:pPr>
                    <w:pStyle w:val="Titre5"/>
                    <w:numPr>
                      <w:ilvl w:val="2"/>
                      <w:numId w:val="298"/>
                    </w:numPr>
                  </w:pPr>
                  <w:bookmarkStart w:id="1088" w:name="_Toc291075567"/>
                  <w:bookmarkStart w:id="1089" w:name="_Toc291075991"/>
                  <w:bookmarkStart w:id="1090" w:name="_Toc291076415"/>
                  <w:bookmarkStart w:id="1091" w:name="_Toc291076839"/>
                  <w:bookmarkStart w:id="1092" w:name="_Toc291077263"/>
                  <w:bookmarkStart w:id="1093" w:name="_Toc293652105"/>
                  <w:bookmarkStart w:id="1094" w:name="_Toc293653687"/>
                  <w:bookmarkStart w:id="1095" w:name="_Toc293654299"/>
                  <w:bookmarkStart w:id="1096" w:name="_Toc294004879"/>
                  <w:bookmarkStart w:id="1097" w:name="_Toc294185375"/>
                  <w:bookmarkStart w:id="1098" w:name="_Toc324767241"/>
                  <w:bookmarkStart w:id="1099" w:name="_Toc324768099"/>
                  <w:r>
                    <w:rPr>
                      <w:rStyle w:val="Titre5Car"/>
                      <w:color w:val="auto"/>
                    </w:rPr>
                    <w:t>Quelles sont les bases légales</w:t>
                  </w:r>
                  <w:r>
                    <w:t> ?</w:t>
                  </w:r>
                  <w:bookmarkEnd w:id="1088"/>
                  <w:bookmarkEnd w:id="1089"/>
                  <w:bookmarkEnd w:id="1090"/>
                  <w:bookmarkEnd w:id="1091"/>
                  <w:bookmarkEnd w:id="1092"/>
                  <w:bookmarkEnd w:id="1093"/>
                  <w:bookmarkEnd w:id="1094"/>
                  <w:bookmarkEnd w:id="1095"/>
                  <w:bookmarkEnd w:id="1096"/>
                  <w:bookmarkEnd w:id="1097"/>
                  <w:bookmarkEnd w:id="1098"/>
                  <w:bookmarkEnd w:id="1099"/>
                </w:p>
                <w:p w:rsidR="00F04EEF" w:rsidRDefault="00F04EEF">
                  <w:pPr>
                    <w:pStyle w:val="Corpsdetexte21"/>
                    <w:jc w:val="both"/>
                    <w:rPr>
                      <w:rFonts w:asciiTheme="majorHAnsi" w:hAnsiTheme="majorHAnsi"/>
                      <w:b/>
                      <w:color w:val="008000"/>
                      <w:sz w:val="22"/>
                      <w:szCs w:val="22"/>
                      <w:u w:val="single"/>
                    </w:rPr>
                  </w:pPr>
                </w:p>
                <w:p w:rsidR="00F04EEF" w:rsidRDefault="00F42422">
                  <w:pPr>
                    <w:pStyle w:val="Paragraphedeliste"/>
                    <w:numPr>
                      <w:ilvl w:val="0"/>
                      <w:numId w:val="246"/>
                    </w:numPr>
                    <w:ind w:left="567" w:hanging="567"/>
                    <w:jc w:val="both"/>
                    <w:rPr>
                      <w:rFonts w:asciiTheme="majorHAnsi" w:hAnsiTheme="majorHAnsi"/>
                      <w:sz w:val="22"/>
                      <w:szCs w:val="22"/>
                    </w:rPr>
                  </w:pPr>
                  <w:hyperlink r:id="rId69" w:history="1">
                    <w:r w:rsidR="0099351E">
                      <w:rPr>
                        <w:rStyle w:val="Lienhypertexte"/>
                        <w:rFonts w:asciiTheme="majorHAnsi" w:hAnsiTheme="majorHAnsi" w:cs="Arial"/>
                        <w:sz w:val="22"/>
                        <w:szCs w:val="22"/>
                      </w:rPr>
                      <w:t>Décret du 24 juillet 1997 définissant les missions prioritaires de l’enseignement fondamental et de l’enseignement secondaire</w:t>
                    </w:r>
                  </w:hyperlink>
                  <w:r w:rsidR="0099351E">
                    <w:rPr>
                      <w:rFonts w:asciiTheme="majorHAnsi" w:hAnsiTheme="majorHAnsi"/>
                      <w:sz w:val="22"/>
                      <w:szCs w:val="22"/>
                    </w:rPr>
                    <w:t xml:space="preserve"> (Décret missions) ;</w:t>
                  </w:r>
                </w:p>
                <w:p w:rsidR="00F04EEF" w:rsidRDefault="00F42422">
                  <w:pPr>
                    <w:pStyle w:val="Paragraphedeliste"/>
                    <w:numPr>
                      <w:ilvl w:val="0"/>
                      <w:numId w:val="246"/>
                    </w:numPr>
                    <w:ind w:left="567" w:hanging="567"/>
                    <w:jc w:val="both"/>
                    <w:rPr>
                      <w:rFonts w:asciiTheme="majorHAnsi" w:hAnsiTheme="majorHAnsi"/>
                      <w:sz w:val="22"/>
                      <w:szCs w:val="22"/>
                    </w:rPr>
                  </w:pPr>
                  <w:hyperlink r:id="rId70" w:history="1">
                    <w:r w:rsidR="0099351E">
                      <w:rPr>
                        <w:rStyle w:val="Lienhypertexte"/>
                        <w:rFonts w:asciiTheme="majorHAnsi" w:hAnsiTheme="majorHAnsi" w:cs="Arial"/>
                        <w:sz w:val="22"/>
                        <w:szCs w:val="22"/>
                      </w:rPr>
                      <w:t>Arrêté du Gouvernement de la Communauté française du 12 janvier 1999 définissant les sanctions disciplinaires et les modalités selon lesquelles elles sont prises dans les établissements d’enseignement organisés par la Communauté française</w:t>
                    </w:r>
                  </w:hyperlink>
                  <w:r w:rsidR="0099351E">
                    <w:rPr>
                      <w:rFonts w:asciiTheme="majorHAnsi" w:hAnsiTheme="majorHAnsi"/>
                      <w:sz w:val="22"/>
                      <w:szCs w:val="22"/>
                    </w:rPr>
                    <w:t>.</w:t>
                  </w:r>
                </w:p>
                <w:p w:rsidR="00F04EEF" w:rsidRDefault="00F42422">
                  <w:pPr>
                    <w:pStyle w:val="Paragraphedeliste"/>
                    <w:numPr>
                      <w:ilvl w:val="0"/>
                      <w:numId w:val="246"/>
                    </w:numPr>
                    <w:ind w:left="567" w:hanging="567"/>
                    <w:jc w:val="both"/>
                    <w:rPr>
                      <w:rFonts w:asciiTheme="majorHAnsi" w:hAnsiTheme="majorHAnsi"/>
                      <w:sz w:val="22"/>
                      <w:szCs w:val="22"/>
                    </w:rPr>
                  </w:pPr>
                  <w:hyperlink r:id="rId71" w:history="1">
                    <w:r w:rsidR="0099351E">
                      <w:rPr>
                        <w:rStyle w:val="Lienhypertexte"/>
                        <w:rFonts w:asciiTheme="majorHAnsi" w:hAnsiTheme="majorHAnsi" w:cs="Arial"/>
                        <w:sz w:val="22"/>
                        <w:szCs w:val="22"/>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hyperlink>
                </w:p>
                <w:p w:rsidR="00F04EEF" w:rsidRDefault="00F04EEF">
                  <w:bookmarkStart w:id="1100" w:name="_Toc291075568"/>
                  <w:bookmarkStart w:id="1101" w:name="_Toc291075992"/>
                  <w:bookmarkStart w:id="1102" w:name="_Toc291076416"/>
                  <w:bookmarkStart w:id="1103" w:name="_Toc291076840"/>
                  <w:bookmarkStart w:id="1104" w:name="_Toc291077264"/>
                  <w:bookmarkStart w:id="1105" w:name="_Toc293652106"/>
                  <w:bookmarkStart w:id="1106" w:name="_Toc293653688"/>
                  <w:bookmarkStart w:id="1107" w:name="_Toc293654300"/>
                  <w:bookmarkStart w:id="1108" w:name="_Toc294004880"/>
                  <w:bookmarkStart w:id="1109" w:name="_Toc294185376"/>
                  <w:bookmarkStart w:id="1110" w:name="_Toc324767242"/>
                  <w:bookmarkStart w:id="1111" w:name="_Toc324768100"/>
                </w:p>
                <w:p w:rsidR="00F04EEF" w:rsidRDefault="0099351E">
                  <w:pPr>
                    <w:pStyle w:val="Titre5"/>
                    <w:numPr>
                      <w:ilvl w:val="2"/>
                      <w:numId w:val="298"/>
                    </w:numPr>
                  </w:pPr>
                  <w:r>
                    <w:t>Quelle est la différence entre « exclusion provisoire » et « écartement provisoire » ?</w:t>
                  </w:r>
                  <w:bookmarkEnd w:id="1100"/>
                  <w:bookmarkEnd w:id="1101"/>
                  <w:bookmarkEnd w:id="1102"/>
                  <w:bookmarkEnd w:id="1103"/>
                  <w:bookmarkEnd w:id="1104"/>
                  <w:bookmarkEnd w:id="1105"/>
                  <w:bookmarkEnd w:id="1106"/>
                  <w:bookmarkEnd w:id="1107"/>
                  <w:bookmarkEnd w:id="1108"/>
                  <w:bookmarkEnd w:id="1109"/>
                  <w:bookmarkEnd w:id="1110"/>
                  <w:bookmarkEnd w:id="1111"/>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On ne confondra pas </w:t>
                  </w:r>
                  <w:r>
                    <w:rPr>
                      <w:rFonts w:asciiTheme="majorHAnsi" w:hAnsiTheme="majorHAnsi"/>
                      <w:b/>
                      <w:sz w:val="22"/>
                      <w:szCs w:val="22"/>
                    </w:rPr>
                    <w:t>« exclusion provisoire »</w:t>
                  </w:r>
                  <w:r>
                    <w:rPr>
                      <w:rFonts w:asciiTheme="majorHAnsi" w:hAnsiTheme="majorHAnsi"/>
                      <w:sz w:val="22"/>
                      <w:szCs w:val="22"/>
                    </w:rPr>
                    <w:t xml:space="preserve"> avec </w:t>
                  </w:r>
                  <w:r>
                    <w:rPr>
                      <w:rFonts w:asciiTheme="majorHAnsi" w:hAnsiTheme="majorHAnsi"/>
                      <w:b/>
                      <w:sz w:val="22"/>
                      <w:szCs w:val="22"/>
                    </w:rPr>
                    <w:t>« écartement provisoire ».</w:t>
                  </w:r>
                  <w:r>
                    <w:rPr>
                      <w:rFonts w:asciiTheme="majorHAnsi" w:hAnsiTheme="majorHAnsi"/>
                      <w:sz w:val="22"/>
                      <w:szCs w:val="22"/>
                    </w:rPr>
                    <w:t xml:space="preserve"> </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Une décision d’exclusion provisoire est une sanction disciplinaire contrairement à une décision d’écartement provisoire qui est une mesure pouvant être prise dans le cadre de la procédure d’exclusion définitive (Confer infra). </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La mesure d’écartement provisoire n’étant pas une sanction disciplinaire, un même fait peut faire l’objet d’une mesure d’écartement provisoire suivie d’une décision d’exclusion définitive ou d’une autre sanction disciplinaire.</w:t>
                  </w:r>
                </w:p>
                <w:p w:rsidR="00F04EEF" w:rsidRDefault="00F04EEF">
                  <w:pPr>
                    <w:pStyle w:val="Corpsdetexte21"/>
                    <w:jc w:val="both"/>
                    <w:rPr>
                      <w:rFonts w:asciiTheme="majorHAnsi" w:hAnsiTheme="majorHAnsi"/>
                      <w:sz w:val="22"/>
                      <w:szCs w:val="22"/>
                    </w:rPr>
                  </w:pPr>
                </w:p>
                <w:p w:rsidR="00F04EEF" w:rsidRDefault="0099351E">
                  <w:pPr>
                    <w:pStyle w:val="Titre5"/>
                    <w:numPr>
                      <w:ilvl w:val="2"/>
                      <w:numId w:val="298"/>
                    </w:numPr>
                  </w:pPr>
                  <w:bookmarkStart w:id="1112" w:name="_Toc291075569"/>
                  <w:bookmarkStart w:id="1113" w:name="_Toc291075993"/>
                  <w:bookmarkStart w:id="1114" w:name="_Toc291076417"/>
                  <w:bookmarkStart w:id="1115" w:name="_Toc291076841"/>
                  <w:bookmarkStart w:id="1116" w:name="_Toc291077265"/>
                  <w:bookmarkStart w:id="1117" w:name="_Toc293652107"/>
                  <w:bookmarkStart w:id="1118" w:name="_Toc293653689"/>
                  <w:bookmarkStart w:id="1119" w:name="_Toc293654301"/>
                  <w:bookmarkStart w:id="1120" w:name="_Toc294004881"/>
                  <w:bookmarkStart w:id="1121" w:name="_Toc294185377"/>
                  <w:bookmarkStart w:id="1122" w:name="_Toc324767243"/>
                  <w:bookmarkStart w:id="1123" w:name="_Toc324768101"/>
                  <w:r>
                    <w:t>Quels sont les faits pouvant entraîner l’exclusion définitive d’un élève ?</w:t>
                  </w:r>
                  <w:bookmarkEnd w:id="1112"/>
                  <w:bookmarkEnd w:id="1113"/>
                  <w:bookmarkEnd w:id="1114"/>
                  <w:bookmarkEnd w:id="1115"/>
                  <w:bookmarkEnd w:id="1116"/>
                  <w:bookmarkEnd w:id="1117"/>
                  <w:bookmarkEnd w:id="1118"/>
                  <w:bookmarkEnd w:id="1119"/>
                  <w:bookmarkEnd w:id="1120"/>
                  <w:bookmarkEnd w:id="1121"/>
                  <w:bookmarkEnd w:id="1122"/>
                  <w:bookmarkEnd w:id="1123"/>
                </w:p>
                <w:p w:rsidR="00F04EEF" w:rsidRDefault="00F04EEF">
                  <w:pPr>
                    <w:pStyle w:val="Corpsdetexte21"/>
                    <w:jc w:val="both"/>
                    <w:rPr>
                      <w:rFonts w:asciiTheme="majorHAnsi" w:hAnsiTheme="majorHAnsi"/>
                      <w:b/>
                      <w:color w:val="008000"/>
                      <w:sz w:val="22"/>
                      <w:szCs w:val="22"/>
                      <w:u w:val="single"/>
                    </w:rPr>
                  </w:pPr>
                </w:p>
                <w:p w:rsidR="00F04EEF" w:rsidRDefault="0099351E">
                  <w:pPr>
                    <w:pStyle w:val="Corpsdetexte21"/>
                    <w:spacing w:after="120"/>
                    <w:jc w:val="both"/>
                    <w:rPr>
                      <w:rFonts w:asciiTheme="majorHAnsi" w:hAnsiTheme="majorHAnsi"/>
                      <w:sz w:val="22"/>
                      <w:szCs w:val="22"/>
                    </w:rPr>
                  </w:pPr>
                  <w:bookmarkStart w:id="1124" w:name="_2.4.4._Comment_bien"/>
                  <w:bookmarkStart w:id="1125" w:name="_Toc291075570"/>
                  <w:bookmarkStart w:id="1126" w:name="_Toc291075994"/>
                  <w:bookmarkStart w:id="1127" w:name="_Toc291076418"/>
                  <w:bookmarkStart w:id="1128" w:name="_Toc291076842"/>
                  <w:bookmarkStart w:id="1129" w:name="_Toc291077266"/>
                  <w:bookmarkStart w:id="1130" w:name="_Toc293652108"/>
                  <w:bookmarkStart w:id="1131" w:name="_Toc293653690"/>
                  <w:bookmarkStart w:id="1132" w:name="_Toc293654302"/>
                  <w:bookmarkStart w:id="1133" w:name="_Toc294004882"/>
                  <w:bookmarkStart w:id="1134" w:name="_Toc294185378"/>
                  <w:bookmarkStart w:id="1135" w:name="_Toc324767244"/>
                  <w:bookmarkStart w:id="1136" w:name="_Toc324768102"/>
                  <w:bookmarkEnd w:id="1124"/>
                  <w:r>
                    <w:rPr>
                      <w:rFonts w:asciiTheme="majorHAnsi" w:hAnsiTheme="majorHAnsi"/>
                      <w:sz w:val="22"/>
                      <w:szCs w:val="22"/>
                    </w:rPr>
                    <w:t>Quelques exemples :</w:t>
                  </w: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Les articles 81 et 89 du décret « Missions » du 24 juillet 1997 dressent une liste NON EXHAUSTIVE de faits pouvant entrainer l’exclusion définitive d’un élève :</w:t>
                  </w: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Sont notamment considérés comme faits répondant à ces conditions</w:t>
                  </w:r>
                  <w:r>
                    <w:rPr>
                      <w:rStyle w:val="Appelnotedebasdep1"/>
                      <w:rFonts w:asciiTheme="majorHAnsi" w:hAnsiTheme="majorHAnsi"/>
                      <w:sz w:val="22"/>
                      <w:szCs w:val="22"/>
                    </w:rPr>
                    <w:footnoteReference w:id="105"/>
                  </w:r>
                  <w:r>
                    <w:rPr>
                      <w:rFonts w:asciiTheme="majorHAnsi" w:hAnsiTheme="majorHAnsi"/>
                      <w:sz w:val="22"/>
                      <w:szCs w:val="22"/>
                    </w:rPr>
                    <w:t>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autre élève ou à un membre du personnel, dans l’enceinte de l’établissement ou hors de celle-ci, ayant entraîné une incapacité même limitée dans le temps de travail ou de suivre les cours (remarque : l’absence d’incapacité limitée dans le temps de travail ou de suivre le cours permet d’exclure l’élève)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délégué du pouvoir organisateur, à un membre des services d’inspection ou de vérification, à un délégué de la Fédération Wallonie-Bruxelles, dans l’enceinte de l’établissement ou hors de celle-ci, ayant entraîné une incapacité de travail même limitée dans le temps (remarque : l’absence d’incapacité limitée dans le temps de travail ou de suivre le cours permet d’exclure l’élève)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une personne autorisée à pénétrer au sein de l’établissement lorsqu’ils sont portés dans l’enceinte de l’établissement, ayant entraîné une incapacité de travail même limitée dans le temps (remarque : l’absence d’incapacité limitée dans le temps de travail ou de suivre le cours permet d’exclure l’élève)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scolaire ou dans le voisinage immédiat de cet établissement de quelque arme que ce soit visée, sous quelque catégorie que ce soit, à l’article 3 de la loi du 3 janvier 1933 relative à la fabrication, au commerce et au port des armes et au commerce des munitions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toute manipulation hors de son usage didactique d’un instrument utilisé dans le cadre de certains cours ou activités pédagogiques lorsque cet instrument peut causer des blessures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l’introduction ou la détention, sans raison légitime, par un élève au sein d’un établissement scolaire ou dans le voisinage immédiat de cet établissement, de tout instrument, outil, objet tranchant, contondant ou blessant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inflammables sauf dans les cas où celles-ci sont nécessaires aux activités pédagogiques et utilisées exclusivement dans le cadre de celles-ci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visées à l’article 1</w:t>
                  </w:r>
                  <w:r>
                    <w:rPr>
                      <w:rFonts w:asciiTheme="majorHAnsi" w:hAnsiTheme="majorHAnsi"/>
                      <w:sz w:val="22"/>
                      <w:szCs w:val="22"/>
                      <w:vertAlign w:val="superscript"/>
                    </w:rPr>
                    <w:t>er</w:t>
                  </w:r>
                  <w:r>
                    <w:rPr>
                      <w:rFonts w:asciiTheme="majorHAnsi" w:hAnsiTheme="majorHAnsi"/>
                      <w:sz w:val="22"/>
                      <w:szCs w:val="22"/>
                    </w:rPr>
                    <w:t xml:space="preserve"> de la loi du </w:t>
                  </w:r>
                  <w:r>
                    <w:rPr>
                      <w:rFonts w:asciiTheme="majorHAnsi" w:hAnsiTheme="majorHAnsi"/>
                      <w:sz w:val="22"/>
                      <w:szCs w:val="22"/>
                    </w:rPr>
                    <w:br/>
                    <w:t>24 février 1921 concernant le trafic des substances vénéneuses, soporifiques, stupéfiantes, désinfectantes ou antiseptiques, en violation des règles fixées pour l’usage, le commerce et le stockage de ces substances ;</w:t>
                  </w:r>
                </w:p>
                <w:p w:rsidR="00F04EEF" w:rsidRDefault="0099351E">
                  <w:pPr>
                    <w:pStyle w:val="Corpsdetexte21"/>
                    <w:numPr>
                      <w:ilvl w:val="0"/>
                      <w:numId w:val="93"/>
                    </w:numPr>
                    <w:ind w:left="284" w:hanging="284"/>
                    <w:jc w:val="both"/>
                    <w:rPr>
                      <w:rFonts w:asciiTheme="majorHAnsi" w:hAnsiTheme="majorHAnsi"/>
                      <w:sz w:val="22"/>
                      <w:szCs w:val="22"/>
                    </w:rPr>
                  </w:pPr>
                  <w:r>
                    <w:rPr>
                      <w:rFonts w:asciiTheme="majorHAnsi" w:hAnsiTheme="majorHAnsi"/>
                      <w:sz w:val="22"/>
                      <w:szCs w:val="22"/>
                    </w:rPr>
                    <w:t>le fait d’extorquer, à l’aide de violences ou de menaces, des fonds, valeurs, objets, promesses d’un autre élève ou d’un membre du personnel dans l’enceinte de l’établissement ou hors de celle-ci ;</w:t>
                  </w:r>
                </w:p>
                <w:p w:rsidR="00F04EEF" w:rsidRDefault="0099351E">
                  <w:pPr>
                    <w:pStyle w:val="Corpsdetexte21"/>
                    <w:numPr>
                      <w:ilvl w:val="0"/>
                      <w:numId w:val="93"/>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le fait d’exercer sciemment et de manière répétée sur un autre élève ou un membre du personnel une pression psychologique insupportable, par insultes, injures, calomnies ou diffamation.</w:t>
                  </w:r>
                </w:p>
                <w:p w:rsidR="00F04EEF" w:rsidRDefault="0099351E">
                  <w:pPr>
                    <w:pStyle w:val="Corpsdetexte21"/>
                    <w:numPr>
                      <w:ilvl w:val="0"/>
                      <w:numId w:val="93"/>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Lorsqu’il peut être apporté la preuve qu’une personne étrangère à l’établissement a commis un des faits graves visés ci-dessus sur l’instigation ou avec la complicité d’un élève de l’établissement, ce dernier est considéré comme ayant commis un fait pouvant justifier l’exclusion définitive</w:t>
                  </w:r>
                  <w:r>
                    <w:rPr>
                      <w:rFonts w:asciiTheme="majorHAnsi" w:hAnsiTheme="majorHAnsi"/>
                      <w:sz w:val="22"/>
                      <w:szCs w:val="22"/>
                      <w:vertAlign w:val="superscript"/>
                    </w:rPr>
                    <w:t>.</w:t>
                  </w:r>
                  <w:r>
                    <w:rPr>
                      <w:rFonts w:asciiTheme="majorHAnsi" w:hAnsiTheme="majorHAnsi"/>
                      <w:sz w:val="22"/>
                      <w:szCs w:val="22"/>
                    </w:rPr>
                    <w:t xml:space="preserve"> Cette disposition ne trouve pas à s’appliquer lorsque le fait est commis par les parents de l’élève ou la personne investie à son égard de l’autorité parentale.</w:t>
                  </w:r>
                </w:p>
                <w:p w:rsidR="00F04EEF" w:rsidRDefault="00F04EEF">
                  <w:pPr>
                    <w:jc w:val="both"/>
                    <w:rPr>
                      <w:rFonts w:cs="Arial"/>
                      <w:spacing w:val="-4"/>
                    </w:rPr>
                  </w:pP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A remarquer que par « voisinage immédiat de l’institution », il faut entendre « partie visible de la voie publique à partir de l’établissement scolaire.</w:t>
                  </w: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Les faits décrits ci-dessus n’entraînent pas ipso facto l’exclusion de leur auteur. Il revient, en effet, au chef d’établissement d’apprécier si, au vu de la situation particulière de l’élève et de ses antécédents disciplinaires, une mesure d’exclusion définitive se justifie.</w:t>
                  </w:r>
                </w:p>
                <w:p w:rsidR="00F04EEF" w:rsidRDefault="0099351E">
                  <w:pPr>
                    <w:pStyle w:val="Titre5"/>
                    <w:numPr>
                      <w:ilvl w:val="2"/>
                      <w:numId w:val="298"/>
                    </w:numPr>
                  </w:pPr>
                  <w:r>
                    <w:t>Comment bien calculer les 4 jours de délai entre la notification de l’exclusion définitive et l’audition des parents/élève ?</w:t>
                  </w:r>
                  <w:bookmarkEnd w:id="1125"/>
                  <w:bookmarkEnd w:id="1126"/>
                  <w:bookmarkEnd w:id="1127"/>
                  <w:bookmarkEnd w:id="1128"/>
                  <w:bookmarkEnd w:id="1129"/>
                  <w:bookmarkEnd w:id="1130"/>
                  <w:bookmarkEnd w:id="1131"/>
                  <w:bookmarkEnd w:id="1132"/>
                  <w:bookmarkEnd w:id="1133"/>
                  <w:bookmarkEnd w:id="1134"/>
                  <w:bookmarkEnd w:id="1135"/>
                  <w:bookmarkEnd w:id="1136"/>
                </w:p>
                <w:p w:rsidR="00F04EEF" w:rsidRDefault="00F04EEF">
                  <w:pPr>
                    <w:pStyle w:val="Corpsdetexte21"/>
                    <w:jc w:val="both"/>
                    <w:rPr>
                      <w:rFonts w:asciiTheme="majorHAnsi" w:hAnsiTheme="majorHAnsi"/>
                      <w:sz w:val="22"/>
                      <w:szCs w:val="22"/>
                    </w:rPr>
                  </w:pPr>
                </w:p>
                <w:p w:rsidR="00F04EEF" w:rsidRDefault="0099351E">
                  <w:pPr>
                    <w:pStyle w:val="Corpsdetexte21"/>
                    <w:spacing w:after="120"/>
                    <w:jc w:val="both"/>
                    <w:rPr>
                      <w:rFonts w:asciiTheme="majorHAnsi" w:hAnsiTheme="majorHAnsi"/>
                      <w:sz w:val="22"/>
                      <w:szCs w:val="22"/>
                    </w:rPr>
                  </w:pPr>
                  <w:r>
                    <w:rPr>
                      <w:rFonts w:asciiTheme="majorHAnsi" w:hAnsiTheme="majorHAnsi"/>
                      <w:sz w:val="22"/>
                      <w:szCs w:val="22"/>
                    </w:rPr>
                    <w:t xml:space="preserve">Illustration :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 </w:t>
                  </w:r>
                </w:p>
                <w:p w:rsidR="00F04EEF" w:rsidRDefault="0099351E">
                  <w:pPr>
                    <w:pStyle w:val="Titre5"/>
                    <w:numPr>
                      <w:ilvl w:val="2"/>
                      <w:numId w:val="298"/>
                    </w:numPr>
                  </w:pPr>
                  <w:bookmarkStart w:id="1137" w:name="_Toc291075571"/>
                  <w:bookmarkStart w:id="1138" w:name="_Toc291075995"/>
                  <w:bookmarkStart w:id="1139" w:name="_Toc291076419"/>
                  <w:bookmarkStart w:id="1140" w:name="_Toc291076843"/>
                  <w:bookmarkStart w:id="1141" w:name="_Toc291077267"/>
                  <w:bookmarkStart w:id="1142" w:name="_Toc293652109"/>
                  <w:bookmarkStart w:id="1143" w:name="_Toc293653691"/>
                  <w:bookmarkStart w:id="1144" w:name="_Toc293654303"/>
                  <w:bookmarkStart w:id="1145" w:name="_Toc294004883"/>
                  <w:bookmarkStart w:id="1146" w:name="_Toc294185379"/>
                  <w:bookmarkStart w:id="1147" w:name="_Toc324767245"/>
                  <w:bookmarkStart w:id="1148" w:name="_Toc324768103"/>
                  <w:r>
                    <w:t>Quelle est l’utilité du signalement de l’exclusion définitive et du signalement des faits de violence n’ayant pas mené à une exclusion pour l’Administration ?</w:t>
                  </w:r>
                  <w:bookmarkEnd w:id="1137"/>
                  <w:bookmarkEnd w:id="1138"/>
                  <w:bookmarkEnd w:id="1139"/>
                  <w:bookmarkEnd w:id="1140"/>
                  <w:bookmarkEnd w:id="1141"/>
                  <w:bookmarkEnd w:id="1142"/>
                  <w:bookmarkEnd w:id="1143"/>
                  <w:bookmarkEnd w:id="1144"/>
                  <w:bookmarkEnd w:id="1145"/>
                  <w:bookmarkEnd w:id="1146"/>
                  <w:bookmarkEnd w:id="1147"/>
                  <w:bookmarkEnd w:id="1148"/>
                </w:p>
                <w:p w:rsidR="00F04EEF" w:rsidRDefault="00F04EEF">
                  <w:pPr>
                    <w:pStyle w:val="Corpsdetexte21"/>
                    <w:jc w:val="both"/>
                    <w:rPr>
                      <w:rFonts w:asciiTheme="majorHAnsi" w:hAnsiTheme="majorHAnsi"/>
                      <w:b/>
                      <w:color w:val="008000"/>
                      <w:sz w:val="22"/>
                      <w:szCs w:val="22"/>
                      <w:u w:val="single"/>
                    </w:rPr>
                  </w:pPr>
                </w:p>
                <w:p w:rsidR="00F04EEF" w:rsidRDefault="0099351E">
                  <w:pPr>
                    <w:jc w:val="both"/>
                    <w:rPr>
                      <w:rFonts w:cs="Arial"/>
                      <w:spacing w:val="-4"/>
                    </w:rPr>
                  </w:pPr>
                  <w:r>
                    <w:rPr>
                      <w:rFonts w:cs="Arial"/>
                      <w:spacing w:val="-4"/>
                    </w:rPr>
                    <w:t xml:space="preserve">Il sert à l’Administration afin que celle-ci veille à la rescolarisation de l’élève exclu.  </w:t>
                  </w:r>
                </w:p>
                <w:p w:rsidR="00F04EEF" w:rsidRDefault="0099351E">
                  <w:pPr>
                    <w:jc w:val="both"/>
                    <w:rPr>
                      <w:rFonts w:cs="Arial"/>
                      <w:spacing w:val="-4"/>
                    </w:rPr>
                  </w:pPr>
                  <w:r>
                    <w:rPr>
                      <w:rFonts w:cs="Arial"/>
                      <w:spacing w:val="-4"/>
                    </w:rPr>
                    <w:t>Le formulaire de signalement d’exclusion définitive d’un élève a été révisé, notamment dans le cadre de l’Observatoire de la violence et du décrochage en milieu scolaire</w:t>
                  </w:r>
                  <w:r>
                    <w:rPr>
                      <w:rStyle w:val="Appelnotedebasdep1"/>
                      <w:spacing w:val="-4"/>
                    </w:rPr>
                    <w:footnoteReference w:id="106"/>
                  </w:r>
                  <w:r>
                    <w:rPr>
                      <w:rFonts w:cs="Arial"/>
                      <w:spacing w:val="-4"/>
                    </w:rPr>
                    <w:t xml:space="preserve">. </w:t>
                  </w:r>
                </w:p>
                <w:p w:rsidR="00F04EEF" w:rsidRDefault="0099351E">
                  <w:pPr>
                    <w:jc w:val="both"/>
                    <w:rPr>
                      <w:rFonts w:cs="Arial"/>
                      <w:spacing w:val="-4"/>
                    </w:rPr>
                  </w:pPr>
                  <w:r>
                    <w:rPr>
                      <w:rFonts w:cs="Arial"/>
                      <w:spacing w:val="-4"/>
                    </w:rPr>
                    <w:t>Ce formulaire de signalement d’exclusion définitive constitue un moyen pour recueillir une partie d’information sur les problématiques de violence et de décrochage scolaire. Dans cette perspective, des rubriques spécifiques ont été ajoutées. Elles feront l’objet d’un traitement anonymisé.</w:t>
                  </w:r>
                </w:p>
                <w:p w:rsidR="00F04EEF" w:rsidRDefault="00F04EEF">
                  <w:pPr>
                    <w:jc w:val="both"/>
                    <w:rPr>
                      <w:rFonts w:cs="Arial"/>
                      <w:spacing w:val="-4"/>
                    </w:rPr>
                  </w:pPr>
                </w:p>
                <w:p w:rsidR="00F04EEF" w:rsidRDefault="0099351E">
                  <w:pPr>
                    <w:jc w:val="both"/>
                    <w:rPr>
                      <w:rFonts w:cs="Arial"/>
                      <w:spacing w:val="-4"/>
                    </w:rPr>
                  </w:pPr>
                  <w:r>
                    <w:rPr>
                      <w:rFonts w:cs="Arial"/>
                      <w:spacing w:val="-4"/>
                    </w:rPr>
                    <w:t xml:space="preserve">Si la collaboration des chefs d’établissement reste libre et facultative pour la deuxième partie du formulaire de signalement d’exclusion définitive, elle demeure précieuse et utile. En effet, pour pouvoir transmettre les résultats de ses analyses aux établissements, l’Observatoire se basera sur les informations qui lui seront transmises via le formulaire. Ainsi, les données issues de la participation des chefs d’établissement deviendront des sources d’informations qui seront mises à leur disposition. </w:t>
                  </w:r>
                </w:p>
                <w:p w:rsidR="00F04EEF" w:rsidRDefault="00F04EEF">
                  <w:pPr>
                    <w:rPr>
                      <w:rFonts w:cs="Arial"/>
                      <w:spacing w:val="-4"/>
                    </w:rPr>
                  </w:pPr>
                </w:p>
                <w:p w:rsidR="00F04EEF" w:rsidRDefault="0099351E">
                  <w:pPr>
                    <w:pStyle w:val="Titre4"/>
                    <w:numPr>
                      <w:ilvl w:val="1"/>
                      <w:numId w:val="298"/>
                    </w:numPr>
                  </w:pPr>
                  <w:bookmarkStart w:id="1149" w:name="_Toc291075572"/>
                  <w:bookmarkStart w:id="1150" w:name="_Toc291075996"/>
                  <w:bookmarkStart w:id="1151" w:name="_Toc291076420"/>
                  <w:bookmarkStart w:id="1152" w:name="_Toc291076844"/>
                  <w:bookmarkStart w:id="1153" w:name="_Toc291077268"/>
                  <w:bookmarkStart w:id="1154" w:name="_Toc293652110"/>
                  <w:bookmarkStart w:id="1155" w:name="_Toc293653692"/>
                  <w:bookmarkStart w:id="1156" w:name="_Toc293654304"/>
                  <w:bookmarkStart w:id="1157" w:name="_Toc294004884"/>
                  <w:bookmarkStart w:id="1158" w:name="_Toc294185380"/>
                  <w:bookmarkStart w:id="1159" w:name="_Toc324767246"/>
                  <w:bookmarkStart w:id="1160" w:name="_Toc412204089"/>
                  <w:bookmarkStart w:id="1161" w:name="_Toc414352897"/>
                  <w:bookmarkStart w:id="1162" w:name="_Toc453836920"/>
                  <w:r>
                    <w:t>Questions-réponses relatives à la collaboration avec les services de police</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rsidR="00F04EEF" w:rsidRDefault="00F04EEF">
                  <w:pPr>
                    <w:pStyle w:val="Corpsdetexte21"/>
                    <w:jc w:val="both"/>
                    <w:rPr>
                      <w:rFonts w:asciiTheme="majorHAnsi" w:hAnsiTheme="majorHAnsi"/>
                      <w:b/>
                      <w:color w:val="008000"/>
                      <w:sz w:val="22"/>
                      <w:szCs w:val="22"/>
                      <w:u w:val="single"/>
                    </w:rPr>
                  </w:pPr>
                </w:p>
                <w:p w:rsidR="00F04EEF" w:rsidRDefault="0099351E">
                  <w:pPr>
                    <w:pStyle w:val="Titre5"/>
                    <w:numPr>
                      <w:ilvl w:val="2"/>
                      <w:numId w:val="298"/>
                    </w:numPr>
                  </w:pPr>
                  <w:bookmarkStart w:id="1163" w:name="_Toc291075573"/>
                  <w:bookmarkStart w:id="1164" w:name="_Toc291075997"/>
                  <w:bookmarkStart w:id="1165" w:name="_Toc291076421"/>
                  <w:bookmarkStart w:id="1166" w:name="_Toc291076845"/>
                  <w:bookmarkStart w:id="1167" w:name="_Toc291077269"/>
                  <w:bookmarkStart w:id="1168" w:name="_Toc293652111"/>
                  <w:bookmarkStart w:id="1169" w:name="_Toc293653693"/>
                  <w:bookmarkStart w:id="1170" w:name="_Toc293654305"/>
                  <w:bookmarkStart w:id="1171" w:name="_Toc294004885"/>
                  <w:bookmarkStart w:id="1172" w:name="_Toc294185381"/>
                  <w:bookmarkStart w:id="1173" w:name="_Toc324767247"/>
                  <w:bookmarkStart w:id="1174" w:name="_Toc324768105"/>
                  <w:r>
                    <w:t>Quels sont les termes à éviter dans la convention ?</w:t>
                  </w:r>
                  <w:bookmarkEnd w:id="1163"/>
                  <w:bookmarkEnd w:id="1164"/>
                  <w:bookmarkEnd w:id="1165"/>
                  <w:bookmarkEnd w:id="1166"/>
                  <w:bookmarkEnd w:id="1167"/>
                  <w:bookmarkEnd w:id="1168"/>
                  <w:bookmarkEnd w:id="1169"/>
                  <w:bookmarkEnd w:id="1170"/>
                  <w:bookmarkEnd w:id="1171"/>
                  <w:bookmarkEnd w:id="1172"/>
                  <w:bookmarkEnd w:id="1173"/>
                  <w:bookmarkEnd w:id="1174"/>
                </w:p>
                <w:p w:rsidR="00F04EEF" w:rsidRDefault="00F04EEF">
                  <w:pPr>
                    <w:jc w:val="both"/>
                    <w:rPr>
                      <w:rFonts w:cs="Arial"/>
                    </w:rPr>
                  </w:pPr>
                </w:p>
                <w:p w:rsidR="00F04EEF" w:rsidRDefault="0099351E">
                  <w:pPr>
                    <w:jc w:val="both"/>
                    <w:rPr>
                      <w:rFonts w:cs="Arial"/>
                    </w:rPr>
                  </w:pPr>
                  <w:r>
                    <w:rPr>
                      <w:rFonts w:cs="Arial"/>
                    </w:rPr>
                    <w:t>La clarté et la précision des termes utilisés dans la convention sont essentielles pour déterminer la portée des engagements souscrits.</w:t>
                  </w:r>
                </w:p>
                <w:p w:rsidR="00F04EEF" w:rsidRDefault="00F04EEF">
                  <w:pPr>
                    <w:jc w:val="both"/>
                    <w:rPr>
                      <w:rFonts w:cs="Arial"/>
                    </w:rPr>
                  </w:pPr>
                </w:p>
                <w:p w:rsidR="00F04EEF" w:rsidRDefault="0099351E">
                  <w:pPr>
                    <w:jc w:val="both"/>
                    <w:rPr>
                      <w:rFonts w:cs="Arial"/>
                    </w:rPr>
                  </w:pPr>
                  <w:r>
                    <w:rPr>
                      <w:rFonts w:cs="Arial"/>
                    </w:rPr>
                    <w:t>Les exemples qui suivent, extraits des projets de protocoles examinés, permettront d’illustrer ce propos :</w:t>
                  </w:r>
                </w:p>
                <w:p w:rsidR="00F04EEF" w:rsidRDefault="00F04EEF">
                  <w:pPr>
                    <w:jc w:val="both"/>
                    <w:rPr>
                      <w:rFonts w:cs="Arial"/>
                    </w:rPr>
                  </w:pPr>
                </w:p>
                <w:p w:rsidR="00F04EEF" w:rsidRDefault="0099351E">
                  <w:pPr>
                    <w:numPr>
                      <w:ilvl w:val="0"/>
                      <w:numId w:val="97"/>
                    </w:numPr>
                    <w:suppressAutoHyphens/>
                    <w:ind w:left="907"/>
                    <w:jc w:val="both"/>
                    <w:rPr>
                      <w:rFonts w:cs="Arial"/>
                    </w:rPr>
                  </w:pPr>
                  <w:r>
                    <w:rPr>
                      <w:rFonts w:cs="Arial"/>
                    </w:rPr>
                    <w:t xml:space="preserve">« </w:t>
                  </w:r>
                  <w:r>
                    <w:rPr>
                      <w:rFonts w:cs="Arial"/>
                      <w:i/>
                    </w:rPr>
                    <w:t>porter à la connaissance de la police locale les faits graves commis par les élèves, seul ou en groupe</w:t>
                  </w:r>
                  <w:r>
                    <w:rPr>
                      <w:rFonts w:cs="Arial"/>
                    </w:rPr>
                    <w:t> », de même en cas de « </w:t>
                  </w:r>
                  <w:r>
                    <w:rPr>
                      <w:rFonts w:cs="Arial"/>
                      <w:i/>
                    </w:rPr>
                    <w:t>sérieux soupçons sur de tels faits</w:t>
                  </w:r>
                  <w:r>
                    <w:rPr>
                      <w:rFonts w:cs="Arial"/>
                    </w:rPr>
                    <w:t> ». Il est également parfois fait référence à des « </w:t>
                  </w:r>
                  <w:r>
                    <w:rPr>
                      <w:rFonts w:cs="Arial"/>
                      <w:i/>
                    </w:rPr>
                    <w:t>faits répréhensibles graves</w:t>
                  </w:r>
                  <w:r>
                    <w:rPr>
                      <w:rFonts w:cs="Arial"/>
                    </w:rPr>
                    <w:t> ».</w:t>
                  </w:r>
                </w:p>
                <w:p w:rsidR="00F04EEF" w:rsidRDefault="00F04EEF">
                  <w:pPr>
                    <w:jc w:val="both"/>
                    <w:rPr>
                      <w:rFonts w:cs="Arial"/>
                    </w:rPr>
                  </w:pPr>
                </w:p>
                <w:p w:rsidR="00F04EEF" w:rsidRDefault="0099351E">
                  <w:pPr>
                    <w:jc w:val="both"/>
                    <w:rPr>
                      <w:rFonts w:cs="Arial"/>
                    </w:rPr>
                  </w:pPr>
                  <w:r>
                    <w:rPr>
                      <w:rFonts w:cs="Arial"/>
                    </w:rPr>
                    <w:t>La notion de gravité est susceptible d’appréciation, l’engagement de dénoncer de tels faits est donc indéterminé. De plus, le lieu de survenance des faits à dénoncer n’est pas précisé.</w:t>
                  </w:r>
                </w:p>
                <w:p w:rsidR="00F04EEF" w:rsidRDefault="0099351E">
                  <w:pPr>
                    <w:jc w:val="both"/>
                    <w:rPr>
                      <w:rFonts w:cs="Arial"/>
                    </w:rPr>
                  </w:pPr>
                  <w:r>
                    <w:rPr>
                      <w:rFonts w:cs="Arial"/>
                    </w:rPr>
                    <w:t>Il vaut dès lors mieux se référer aux obligations qui incombent au chef d’établissement en vertu du Code d’instruction criminelle.</w:t>
                  </w:r>
                </w:p>
                <w:p w:rsidR="00F04EEF" w:rsidRDefault="00F04EEF">
                  <w:pPr>
                    <w:jc w:val="both"/>
                    <w:rPr>
                      <w:rFonts w:cs="Arial"/>
                    </w:rPr>
                  </w:pPr>
                </w:p>
                <w:p w:rsidR="00F04EEF" w:rsidRDefault="0099351E">
                  <w:pPr>
                    <w:numPr>
                      <w:ilvl w:val="0"/>
                      <w:numId w:val="97"/>
                    </w:numPr>
                    <w:suppressAutoHyphens/>
                    <w:ind w:left="907"/>
                    <w:jc w:val="both"/>
                    <w:rPr>
                      <w:rFonts w:cs="Arial"/>
                    </w:rPr>
                  </w:pPr>
                  <w:r>
                    <w:rPr>
                      <w:rFonts w:cs="Arial"/>
                    </w:rPr>
                    <w:t>« </w:t>
                  </w:r>
                  <w:r>
                    <w:rPr>
                      <w:rFonts w:cs="Arial"/>
                      <w:i/>
                    </w:rPr>
                    <w:t>informer à temps la police locale lorsque la sécurité et la protection des membres du personnel  et des élèves est en question</w:t>
                  </w:r>
                  <w:r>
                    <w:rPr>
                      <w:rFonts w:cs="Arial"/>
                    </w:rPr>
                    <w:t> »</w:t>
                  </w:r>
                </w:p>
                <w:p w:rsidR="00F04EEF" w:rsidRDefault="00F04EEF">
                  <w:pPr>
                    <w:jc w:val="both"/>
                    <w:rPr>
                      <w:rFonts w:cs="Arial"/>
                    </w:rPr>
                  </w:pPr>
                </w:p>
                <w:p w:rsidR="00F04EEF" w:rsidRDefault="0099351E">
                  <w:pPr>
                    <w:jc w:val="both"/>
                    <w:rPr>
                      <w:rFonts w:cs="Arial"/>
                    </w:rPr>
                  </w:pPr>
                  <w:r>
                    <w:rPr>
                      <w:rFonts w:cs="Arial"/>
                    </w:rPr>
                    <w:t>Dans cet exemple également, les notions utilisées sont extrêmement floues : en effet, que signifie « </w:t>
                  </w:r>
                  <w:r>
                    <w:rPr>
                      <w:rFonts w:cs="Arial"/>
                      <w:i/>
                    </w:rPr>
                    <w:t>à temps</w:t>
                  </w:r>
                  <w:r>
                    <w:rPr>
                      <w:rFonts w:cs="Arial"/>
                    </w:rPr>
                    <w:t> » et quand peut/doit-on considérer que la sécurité des précités est « en question » ? Elles ne devraient donc pas être retenues et on leur préfèrera la notion légale de non-assistance à personne en danger</w:t>
                  </w:r>
                  <w:r>
                    <w:rPr>
                      <w:rStyle w:val="Caractresdenotedebasdepage"/>
                      <w:rFonts w:cs="Arial"/>
                    </w:rPr>
                    <w:footnoteReference w:id="107"/>
                  </w:r>
                  <w:r>
                    <w:rPr>
                      <w:rFonts w:cs="Arial"/>
                    </w:rPr>
                    <w:t>.</w:t>
                  </w:r>
                </w:p>
                <w:p w:rsidR="00F04EEF" w:rsidRDefault="00F04EEF">
                  <w:pPr>
                    <w:jc w:val="both"/>
                    <w:rPr>
                      <w:rFonts w:cs="Arial"/>
                    </w:rPr>
                  </w:pPr>
                </w:p>
                <w:p w:rsidR="00F04EEF" w:rsidRDefault="0099351E">
                  <w:pPr>
                    <w:numPr>
                      <w:ilvl w:val="0"/>
                      <w:numId w:val="97"/>
                    </w:numPr>
                    <w:suppressAutoHyphens/>
                    <w:ind w:left="907"/>
                    <w:jc w:val="both"/>
                    <w:rPr>
                      <w:rFonts w:cs="Arial"/>
                    </w:rPr>
                  </w:pPr>
                  <w:r>
                    <w:rPr>
                      <w:rFonts w:cs="Arial"/>
                    </w:rPr>
                    <w:t>« </w:t>
                  </w:r>
                  <w:r>
                    <w:rPr>
                      <w:rFonts w:cs="Arial"/>
                      <w:i/>
                    </w:rPr>
                    <w:t>autoriser, après concertation mutuelle, la police locale à mener des actions préventives ou orientées à l’école</w:t>
                  </w:r>
                  <w:r>
                    <w:rPr>
                      <w:rFonts w:cs="Arial"/>
                    </w:rPr>
                    <w:t> »</w:t>
                  </w:r>
                </w:p>
                <w:p w:rsidR="00F04EEF" w:rsidRDefault="00F04EEF">
                  <w:pPr>
                    <w:jc w:val="both"/>
                    <w:rPr>
                      <w:rFonts w:cs="Arial"/>
                    </w:rPr>
                  </w:pPr>
                </w:p>
                <w:p w:rsidR="00F04EEF" w:rsidRDefault="0099351E">
                  <w:pPr>
                    <w:jc w:val="both"/>
                    <w:rPr>
                      <w:rFonts w:cs="Arial"/>
                    </w:rPr>
                  </w:pPr>
                  <w:r>
                    <w:rPr>
                      <w:rFonts w:cs="Arial"/>
                    </w:rPr>
                    <w:t>Il convient à tout le moins de définir d’une part, les modalités de la concertation ainsi que les conséquences d’un désaccord éventuel et d’autre part, les actions préventives et les actions orientées à l’école. Il serait en outre plus opportun de prévoir qu’une concertation sera organisée avant toute éventuelle action, plutôt qu’un engagement du chef d’établissement à autoriser ce type d’actions.</w:t>
                  </w:r>
                </w:p>
                <w:p w:rsidR="00F04EEF" w:rsidRDefault="00F04EEF">
                  <w:pPr>
                    <w:jc w:val="both"/>
                    <w:rPr>
                      <w:rFonts w:cs="Arial"/>
                    </w:rPr>
                  </w:pPr>
                </w:p>
                <w:p w:rsidR="00F04EEF" w:rsidRDefault="0099351E">
                  <w:pPr>
                    <w:numPr>
                      <w:ilvl w:val="0"/>
                      <w:numId w:val="97"/>
                    </w:numPr>
                    <w:suppressAutoHyphens/>
                    <w:ind w:left="907"/>
                    <w:jc w:val="both"/>
                    <w:rPr>
                      <w:rFonts w:cs="Arial"/>
                    </w:rPr>
                  </w:pPr>
                  <w:r>
                    <w:rPr>
                      <w:rFonts w:cs="Arial"/>
                    </w:rPr>
                    <w:t>Les mêmes questions se posent à propos des engagements relatifs à la communication avec les médias.</w:t>
                  </w:r>
                </w:p>
                <w:p w:rsidR="00F04EEF" w:rsidRDefault="0099351E">
                  <w:pPr>
                    <w:jc w:val="both"/>
                    <w:rPr>
                      <w:rFonts w:cs="Arial"/>
                    </w:rPr>
                  </w:pPr>
                  <w:r>
                    <w:rPr>
                      <w:rFonts w:cs="Arial"/>
                    </w:rPr>
                    <w:t>Il importe en outre de souligner, à cet égard, que les parties en présence ne disposent pas toutes de la même indépendance et qu’un engagement de chacune d’elles, même formulé dans les mêmes termes, n’a pas nécessairement la même portée.</w:t>
                  </w:r>
                </w:p>
                <w:p w:rsidR="00F04EEF" w:rsidRDefault="00F04EEF">
                  <w:pPr>
                    <w:jc w:val="both"/>
                    <w:rPr>
                      <w:rFonts w:cs="Arial"/>
                    </w:rPr>
                  </w:pPr>
                </w:p>
                <w:p w:rsidR="00F04EEF" w:rsidRDefault="0099351E">
                  <w:pPr>
                    <w:numPr>
                      <w:ilvl w:val="0"/>
                      <w:numId w:val="97"/>
                    </w:numPr>
                    <w:suppressAutoHyphens/>
                    <w:ind w:left="567"/>
                    <w:jc w:val="both"/>
                    <w:rPr>
                      <w:rFonts w:cs="Arial"/>
                    </w:rPr>
                  </w:pPr>
                  <w:r>
                    <w:rPr>
                      <w:rFonts w:cs="Arial"/>
                    </w:rPr>
                    <w:t>« </w:t>
                  </w:r>
                  <w:r>
                    <w:rPr>
                      <w:rFonts w:cs="Arial"/>
                      <w:i/>
                    </w:rPr>
                    <w:t>lorsque la direction de l’école signale des faits graves, en discuter avec les partenaires</w:t>
                  </w:r>
                  <w:r>
                    <w:rPr>
                      <w:rFonts w:cs="Arial"/>
                    </w:rPr>
                    <w:t> »</w:t>
                  </w:r>
                </w:p>
                <w:p w:rsidR="00F04EEF" w:rsidRDefault="0099351E">
                  <w:pPr>
                    <w:ind w:left="567"/>
                    <w:jc w:val="both"/>
                    <w:rPr>
                      <w:rFonts w:cs="Arial"/>
                    </w:rPr>
                  </w:pPr>
                  <w:r>
                    <w:rPr>
                      <w:rFonts w:cs="Arial"/>
                    </w:rPr>
                    <w:t>Un tel engagement est dépourvu de toute portée réelle.</w:t>
                  </w:r>
                </w:p>
                <w:p w:rsidR="00F04EEF" w:rsidRDefault="00F04EEF">
                  <w:pPr>
                    <w:ind w:left="567"/>
                    <w:jc w:val="both"/>
                    <w:rPr>
                      <w:rFonts w:cs="Arial"/>
                    </w:rPr>
                  </w:pPr>
                </w:p>
                <w:p w:rsidR="00F04EEF" w:rsidRDefault="0099351E">
                  <w:pPr>
                    <w:numPr>
                      <w:ilvl w:val="0"/>
                      <w:numId w:val="97"/>
                    </w:numPr>
                    <w:suppressAutoHyphens/>
                    <w:ind w:left="567"/>
                    <w:jc w:val="both"/>
                    <w:rPr>
                      <w:rFonts w:cs="Arial"/>
                    </w:rPr>
                  </w:pPr>
                  <w:r>
                    <w:rPr>
                      <w:rFonts w:cs="Arial"/>
                    </w:rPr>
                    <w:t>Des expressions telles que « </w:t>
                  </w:r>
                  <w:r>
                    <w:rPr>
                      <w:rFonts w:cs="Arial"/>
                      <w:i/>
                    </w:rPr>
                    <w:t>problèmes récurrents</w:t>
                  </w:r>
                  <w:r>
                    <w:rPr>
                      <w:rFonts w:cs="Arial"/>
                    </w:rPr>
                    <w:t> », « </w:t>
                  </w:r>
                  <w:r>
                    <w:rPr>
                      <w:rFonts w:cs="Arial"/>
                      <w:i/>
                    </w:rPr>
                    <w:t>concertation régulière</w:t>
                  </w:r>
                  <w:r>
                    <w:rPr>
                      <w:rFonts w:cs="Arial"/>
                    </w:rPr>
                    <w:t> », « </w:t>
                  </w:r>
                  <w:r>
                    <w:rPr>
                      <w:rFonts w:cs="Arial"/>
                      <w:i/>
                    </w:rPr>
                    <w:t>collaboration active</w:t>
                  </w:r>
                  <w:r>
                    <w:rPr>
                      <w:rFonts w:cs="Arial"/>
                    </w:rPr>
                    <w:t> », « </w:t>
                  </w:r>
                  <w:r>
                    <w:rPr>
                      <w:rFonts w:cs="Arial"/>
                      <w:i/>
                    </w:rPr>
                    <w:t>faits ayant une incidence sur le monde scolaire</w:t>
                  </w:r>
                  <w:r>
                    <w:rPr>
                      <w:rFonts w:cs="Arial"/>
                    </w:rPr>
                    <w:t> » comportent également une part d’indétermination trop grande que pour fonder un engagement.</w:t>
                  </w:r>
                </w:p>
                <w:p w:rsidR="00F04EEF" w:rsidRDefault="00F04EEF">
                  <w:pPr>
                    <w:jc w:val="both"/>
                    <w:rPr>
                      <w:rFonts w:cs="Arial"/>
                    </w:rPr>
                  </w:pPr>
                </w:p>
                <w:p w:rsidR="00F04EEF" w:rsidRDefault="0099351E">
                  <w:pPr>
                    <w:jc w:val="both"/>
                    <w:rPr>
                      <w:rFonts w:cs="Arial"/>
                    </w:rPr>
                  </w:pPr>
                  <w:r>
                    <w:rPr>
                      <w:rFonts w:cs="Arial"/>
                    </w:rPr>
                    <w:t>De manière générale, il est donc conseillé, en dehors des notions légales, d’utiliser des termes dont le contenu est le plus déterminé possible. En cas de doute, il est possible d’introduire une définition précisant les intentions des parties dans la convention.</w:t>
                  </w:r>
                </w:p>
                <w:p w:rsidR="00F04EEF" w:rsidRDefault="00F04EEF">
                  <w:pPr>
                    <w:jc w:val="both"/>
                    <w:rPr>
                      <w:rFonts w:cs="Arial"/>
                    </w:rPr>
                  </w:pPr>
                </w:p>
                <w:p w:rsidR="00F04EEF" w:rsidRDefault="0099351E">
                  <w:pPr>
                    <w:pStyle w:val="Titre4"/>
                    <w:numPr>
                      <w:ilvl w:val="1"/>
                      <w:numId w:val="298"/>
                    </w:numPr>
                  </w:pPr>
                  <w:bookmarkStart w:id="1175" w:name="_Toc291075574"/>
                  <w:bookmarkStart w:id="1176" w:name="_Toc291075998"/>
                  <w:bookmarkStart w:id="1177" w:name="_Toc291076422"/>
                  <w:bookmarkStart w:id="1178" w:name="_Toc291076846"/>
                  <w:bookmarkStart w:id="1179" w:name="_Toc291077270"/>
                  <w:bookmarkStart w:id="1180" w:name="_Toc293652112"/>
                  <w:bookmarkStart w:id="1181" w:name="_Toc293653694"/>
                  <w:bookmarkStart w:id="1182" w:name="_Toc293654306"/>
                  <w:bookmarkStart w:id="1183" w:name="_Toc294004886"/>
                  <w:bookmarkStart w:id="1184" w:name="_Toc294185382"/>
                  <w:bookmarkStart w:id="1185" w:name="_Toc324767248"/>
                  <w:bookmarkStart w:id="1186" w:name="_Toc412204090"/>
                  <w:bookmarkStart w:id="1187" w:name="_Toc414352898"/>
                  <w:bookmarkStart w:id="1188" w:name="_Toc453836921"/>
                  <w:r>
                    <w:t>Questions-réponses relatives à la gratuité de l’enseignement</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F04EEF" w:rsidRDefault="00F04EEF"/>
                <w:p w:rsidR="00F04EEF" w:rsidRDefault="0099351E">
                  <w:pPr>
                    <w:pStyle w:val="Titre5"/>
                    <w:numPr>
                      <w:ilvl w:val="2"/>
                      <w:numId w:val="298"/>
                    </w:numPr>
                  </w:pPr>
                  <w:bookmarkStart w:id="1189" w:name="_Toc291075575"/>
                  <w:bookmarkStart w:id="1190" w:name="_Toc291075999"/>
                  <w:bookmarkStart w:id="1191" w:name="_Toc291076423"/>
                  <w:bookmarkStart w:id="1192" w:name="_Toc291076847"/>
                  <w:bookmarkStart w:id="1193" w:name="_Toc291077271"/>
                  <w:bookmarkStart w:id="1194" w:name="_Toc293652113"/>
                  <w:bookmarkStart w:id="1195" w:name="_Toc293653695"/>
                  <w:bookmarkStart w:id="1196" w:name="_Toc293654307"/>
                  <w:bookmarkStart w:id="1197" w:name="_Toc294004887"/>
                  <w:bookmarkStart w:id="1198" w:name="_Toc294185383"/>
                  <w:bookmarkStart w:id="1199" w:name="_Toc324767249"/>
                  <w:bookmarkStart w:id="1200" w:name="_Toc324768107"/>
                  <w:r>
                    <w:t>Quelles sont les bases légales ?</w:t>
                  </w:r>
                  <w:bookmarkEnd w:id="1189"/>
                  <w:bookmarkEnd w:id="1190"/>
                  <w:bookmarkEnd w:id="1191"/>
                  <w:bookmarkEnd w:id="1192"/>
                  <w:bookmarkEnd w:id="1193"/>
                  <w:bookmarkEnd w:id="1194"/>
                  <w:bookmarkEnd w:id="1195"/>
                  <w:bookmarkEnd w:id="1196"/>
                  <w:bookmarkEnd w:id="1197"/>
                  <w:bookmarkEnd w:id="1198"/>
                  <w:bookmarkEnd w:id="1199"/>
                  <w:bookmarkEnd w:id="1200"/>
                </w:p>
                <w:p w:rsidR="00F04EEF" w:rsidRDefault="00F04EEF"/>
                <w:p w:rsidR="00F04EEF" w:rsidRDefault="00F42422">
                  <w:pPr>
                    <w:pStyle w:val="Corpsdetexte21"/>
                    <w:numPr>
                      <w:ilvl w:val="0"/>
                      <w:numId w:val="247"/>
                    </w:numPr>
                    <w:ind w:left="567" w:hanging="567"/>
                    <w:jc w:val="both"/>
                    <w:rPr>
                      <w:rFonts w:asciiTheme="majorHAnsi" w:hAnsiTheme="majorHAnsi"/>
                      <w:sz w:val="22"/>
                      <w:szCs w:val="22"/>
                    </w:rPr>
                  </w:pPr>
                  <w:hyperlink r:id="rId72" w:history="1">
                    <w:r w:rsidR="0099351E">
                      <w:rPr>
                        <w:rStyle w:val="Lienhypertexte"/>
                        <w:rFonts w:asciiTheme="majorHAnsi" w:hAnsiTheme="majorHAnsi"/>
                        <w:sz w:val="22"/>
                        <w:szCs w:val="22"/>
                      </w:rPr>
                      <w:t>Loi du 29 mai 1959 modifiant certaines dispositions de la législation de l’enseignement</w:t>
                    </w:r>
                  </w:hyperlink>
                  <w:r w:rsidR="0099351E">
                    <w:rPr>
                      <w:rFonts w:asciiTheme="majorHAnsi" w:hAnsiTheme="majorHAnsi"/>
                      <w:sz w:val="22"/>
                      <w:szCs w:val="22"/>
                    </w:rPr>
                    <w:t>, article 12 §1</w:t>
                  </w:r>
                  <w:r w:rsidR="0099351E">
                    <w:rPr>
                      <w:rFonts w:asciiTheme="majorHAnsi" w:hAnsiTheme="majorHAnsi"/>
                      <w:sz w:val="22"/>
                      <w:szCs w:val="22"/>
                      <w:vertAlign w:val="superscript"/>
                    </w:rPr>
                    <w:t>er</w:t>
                  </w:r>
                  <w:r w:rsidR="0099351E">
                    <w:rPr>
                      <w:rFonts w:asciiTheme="majorHAnsi" w:hAnsiTheme="majorHAnsi"/>
                      <w:sz w:val="22"/>
                      <w:szCs w:val="22"/>
                    </w:rPr>
                    <w:t> ;</w:t>
                  </w:r>
                </w:p>
                <w:p w:rsidR="00F04EEF" w:rsidRDefault="00F42422">
                  <w:pPr>
                    <w:pStyle w:val="Corpsdetexte21"/>
                    <w:numPr>
                      <w:ilvl w:val="0"/>
                      <w:numId w:val="247"/>
                    </w:numPr>
                    <w:ind w:left="567" w:hanging="567"/>
                    <w:jc w:val="both"/>
                    <w:rPr>
                      <w:rFonts w:asciiTheme="majorHAnsi" w:hAnsiTheme="majorHAnsi"/>
                      <w:sz w:val="22"/>
                      <w:szCs w:val="22"/>
                    </w:rPr>
                  </w:pPr>
                  <w:hyperlink r:id="rId73" w:history="1">
                    <w:r w:rsidR="0099351E">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sidR="0099351E">
                    <w:rPr>
                      <w:rFonts w:asciiTheme="majorHAnsi" w:hAnsiTheme="majorHAnsi"/>
                      <w:sz w:val="22"/>
                      <w:szCs w:val="22"/>
                    </w:rPr>
                    <w:t> ;</w:t>
                  </w:r>
                </w:p>
                <w:p w:rsidR="00F04EEF" w:rsidRDefault="00F42422">
                  <w:pPr>
                    <w:pStyle w:val="Corpsdetexte21"/>
                    <w:numPr>
                      <w:ilvl w:val="0"/>
                      <w:numId w:val="247"/>
                    </w:numPr>
                    <w:ind w:left="567" w:hanging="567"/>
                    <w:jc w:val="both"/>
                    <w:rPr>
                      <w:rFonts w:asciiTheme="majorHAnsi" w:hAnsiTheme="majorHAnsi"/>
                      <w:sz w:val="22"/>
                      <w:szCs w:val="22"/>
                    </w:rPr>
                  </w:pPr>
                  <w:hyperlink r:id="rId74" w:history="1">
                    <w:r w:rsidR="0099351E">
                      <w:rPr>
                        <w:rStyle w:val="Lienhypertexte"/>
                        <w:rFonts w:asciiTheme="majorHAnsi" w:hAnsiTheme="majorHAnsi"/>
                        <w:sz w:val="22"/>
                        <w:szCs w:val="22"/>
                      </w:rPr>
                      <w:t>Loi du 21 juin 1985 concernant l’enseignement</w:t>
                    </w:r>
                  </w:hyperlink>
                  <w:r w:rsidR="0099351E">
                    <w:rPr>
                      <w:rFonts w:asciiTheme="majorHAnsi" w:hAnsiTheme="majorHAnsi"/>
                      <w:sz w:val="22"/>
                      <w:szCs w:val="22"/>
                    </w:rPr>
                    <w:t>, articles 58 à 62 ;</w:t>
                  </w:r>
                </w:p>
                <w:p w:rsidR="00F04EEF" w:rsidRDefault="00F42422">
                  <w:pPr>
                    <w:pStyle w:val="Corpsdetexte21"/>
                    <w:numPr>
                      <w:ilvl w:val="0"/>
                      <w:numId w:val="247"/>
                    </w:numPr>
                    <w:ind w:left="567" w:hanging="567"/>
                    <w:jc w:val="both"/>
                    <w:rPr>
                      <w:rFonts w:asciiTheme="majorHAnsi" w:hAnsiTheme="majorHAnsi"/>
                      <w:sz w:val="22"/>
                      <w:szCs w:val="22"/>
                    </w:rPr>
                  </w:pPr>
                  <w:hyperlink r:id="rId75" w:history="1">
                    <w:r w:rsidR="0099351E">
                      <w:rPr>
                        <w:rStyle w:val="Lienhypertexte"/>
                        <w:rFonts w:asciiTheme="majorHAnsi" w:hAnsiTheme="majorHAnsi"/>
                        <w:sz w:val="22"/>
                        <w:szCs w:val="22"/>
                      </w:rPr>
                      <w:t xml:space="preserve">Arrêté de l’Exécutif de la Communauté française du 25 septembre 1991 portant exécution des </w:t>
                    </w:r>
                    <w:bookmarkStart w:id="1201" w:name="_Toc291075576"/>
                    <w:bookmarkStart w:id="1202" w:name="_Toc291076000"/>
                    <w:bookmarkStart w:id="1203" w:name="_Toc291076424"/>
                    <w:bookmarkStart w:id="1204" w:name="_Toc291076848"/>
                    <w:bookmarkStart w:id="1205" w:name="_Toc291077272"/>
                    <w:bookmarkStart w:id="1206" w:name="_Toc293652114"/>
                    <w:bookmarkStart w:id="1207" w:name="_Toc293653696"/>
                    <w:bookmarkStart w:id="1208" w:name="_Toc293654308"/>
                    <w:bookmarkStart w:id="1209" w:name="_Toc294004888"/>
                    <w:bookmarkStart w:id="1210" w:name="_Toc294185384"/>
                    <w:bookmarkStart w:id="1211" w:name="_Toc324767250"/>
                    <w:r w:rsidR="0099351E">
                      <w:rPr>
                        <w:rStyle w:val="Lienhypertexte"/>
                        <w:rFonts w:asciiTheme="majorHAnsi" w:hAnsiTheme="majorHAnsi"/>
                        <w:sz w:val="22"/>
                        <w:szCs w:val="22"/>
                      </w:rPr>
                      <w:t>articles 59, 60 et 61 de la loi du 21 juin 1985 concernant l’enseignement</w:t>
                    </w:r>
                  </w:hyperlink>
                  <w:r w:rsidR="0099351E">
                    <w:rPr>
                      <w:rFonts w:asciiTheme="majorHAnsi" w:hAnsiTheme="majorHAnsi"/>
                      <w:sz w:val="22"/>
                      <w:szCs w:val="22"/>
                    </w:rPr>
                    <w:t>.</w:t>
                  </w:r>
                </w:p>
                <w:p w:rsidR="00F04EEF" w:rsidRDefault="00F04EEF">
                  <w:bookmarkStart w:id="1212" w:name="_Toc412204091"/>
                  <w:bookmarkStart w:id="1213" w:name="_Toc414352899"/>
                </w:p>
                <w:p w:rsidR="00F04EEF" w:rsidRDefault="0099351E">
                  <w:pPr>
                    <w:pStyle w:val="Titre4"/>
                    <w:numPr>
                      <w:ilvl w:val="1"/>
                      <w:numId w:val="298"/>
                    </w:numPr>
                  </w:pPr>
                  <w:bookmarkStart w:id="1214" w:name="_Toc453836922"/>
                  <w:r>
                    <w:t>Question-réponses relatives à l’assistance en justice et/ou assistance psychologique d’urgence en faveur des personnes liées à un établissement scolaire ou à un centre psycho-médico-social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rsidR="00F04EEF" w:rsidRDefault="00F04EEF"/>
                <w:p w:rsidR="00F04EEF" w:rsidRDefault="0099351E">
                  <w:pPr>
                    <w:pStyle w:val="Titre5"/>
                    <w:numPr>
                      <w:ilvl w:val="2"/>
                      <w:numId w:val="298"/>
                    </w:numPr>
                  </w:pPr>
                  <w:bookmarkStart w:id="1215" w:name="_Quelles_sont_les_1"/>
                  <w:bookmarkStart w:id="1216" w:name="_Toc291075577"/>
                  <w:bookmarkStart w:id="1217" w:name="_Toc291076001"/>
                  <w:bookmarkStart w:id="1218" w:name="_Toc291076425"/>
                  <w:bookmarkStart w:id="1219" w:name="_Toc291076849"/>
                  <w:bookmarkStart w:id="1220" w:name="_Toc291077273"/>
                  <w:bookmarkStart w:id="1221" w:name="_Toc293652115"/>
                  <w:bookmarkStart w:id="1222" w:name="_Toc293653697"/>
                  <w:bookmarkStart w:id="1223" w:name="_Toc293654309"/>
                  <w:bookmarkStart w:id="1224" w:name="_Toc294004889"/>
                  <w:bookmarkStart w:id="1225" w:name="_Toc294185385"/>
                  <w:bookmarkStart w:id="1226" w:name="_Toc324767251"/>
                  <w:bookmarkStart w:id="1227" w:name="_Toc324768109"/>
                  <w:bookmarkEnd w:id="1215"/>
                  <w:r>
                    <w:t>Quelles sont les bases légales ?</w:t>
                  </w:r>
                  <w:bookmarkEnd w:id="1216"/>
                  <w:bookmarkEnd w:id="1217"/>
                  <w:bookmarkEnd w:id="1218"/>
                  <w:bookmarkEnd w:id="1219"/>
                  <w:bookmarkEnd w:id="1220"/>
                  <w:bookmarkEnd w:id="1221"/>
                  <w:bookmarkEnd w:id="1222"/>
                  <w:bookmarkEnd w:id="1223"/>
                  <w:bookmarkEnd w:id="1224"/>
                  <w:bookmarkEnd w:id="1225"/>
                  <w:bookmarkEnd w:id="1226"/>
                  <w:bookmarkEnd w:id="1227"/>
                </w:p>
                <w:p w:rsidR="00F04EEF" w:rsidRDefault="00F04EEF"/>
                <w:p w:rsidR="00F04EEF" w:rsidRDefault="0099351E">
                  <w:pPr>
                    <w:pStyle w:val="Corpsdetexte21"/>
                    <w:numPr>
                      <w:ilvl w:val="0"/>
                      <w:numId w:val="248"/>
                    </w:numPr>
                    <w:ind w:left="567" w:hanging="567"/>
                    <w:jc w:val="both"/>
                    <w:rPr>
                      <w:rFonts w:asciiTheme="majorHAnsi" w:hAnsiTheme="majorHAnsi"/>
                      <w:strike/>
                      <w:sz w:val="22"/>
                      <w:szCs w:val="22"/>
                    </w:rPr>
                  </w:pPr>
                  <w:r>
                    <w:rPr>
                      <w:sz w:val="22"/>
                      <w:szCs w:val="22"/>
                    </w:rPr>
                    <w:t>Décret du 6 juin 1994 fixant le statut des membres du personnel subsidiés de l’enseignement officiel subventionné.</w:t>
                  </w:r>
                </w:p>
                <w:p w:rsidR="00F04EEF" w:rsidRDefault="0099351E">
                  <w:pPr>
                    <w:pStyle w:val="Corpsdetexte21"/>
                    <w:numPr>
                      <w:ilvl w:val="0"/>
                      <w:numId w:val="248"/>
                    </w:numPr>
                    <w:ind w:left="567" w:hanging="567"/>
                    <w:jc w:val="both"/>
                    <w:rPr>
                      <w:rFonts w:asciiTheme="majorHAnsi" w:hAnsiTheme="majorHAnsi"/>
                      <w:sz w:val="22"/>
                      <w:szCs w:val="22"/>
                    </w:rPr>
                  </w:pPr>
                  <w:r>
                    <w:rPr>
                      <w:sz w:val="22"/>
                      <w:szCs w:val="22"/>
                    </w:rPr>
                    <w:t>Arrêté royal du 22 mars 1969 fixant le statut des membres du personnel directeur et enseignant, du personnel auxiliaire d'éducation, du personnel paramédical des établissements d'enseignement gardien, primaire, spécial, moyen, technique, de promotion sociale et artistique de l'Etat, des internats dépendant de ces établissements et des membres du personnel du service d'inspection chargé de la surveillance de ces établissements.</w:t>
                  </w:r>
                </w:p>
                <w:p w:rsidR="00F04EEF" w:rsidRDefault="0099351E">
                  <w:pPr>
                    <w:pStyle w:val="Corpsdetexte21"/>
                    <w:numPr>
                      <w:ilvl w:val="0"/>
                      <w:numId w:val="248"/>
                    </w:numPr>
                    <w:ind w:left="567" w:hanging="567"/>
                    <w:jc w:val="both"/>
                    <w:rPr>
                      <w:rFonts w:asciiTheme="majorHAnsi" w:hAnsiTheme="majorHAnsi"/>
                      <w:sz w:val="22"/>
                      <w:szCs w:val="22"/>
                    </w:rPr>
                  </w:pPr>
                  <w:r>
                    <w:rPr>
                      <w:rFonts w:asciiTheme="majorHAnsi" w:hAnsiTheme="majorHAnsi"/>
                      <w:sz w:val="22"/>
                      <w:szCs w:val="22"/>
                    </w:rPr>
                    <w:t>Décret du 1er février 1993 fixant le statut des membres du personnel subsidiés de l'enseignement libre subventionné.</w:t>
                  </w:r>
                </w:p>
                <w:p w:rsidR="00F04EEF" w:rsidRDefault="00F04EEF">
                  <w:pPr>
                    <w:pStyle w:val="Corpsdetexte21"/>
                    <w:jc w:val="both"/>
                    <w:rPr>
                      <w:rFonts w:asciiTheme="majorHAnsi" w:hAnsiTheme="majorHAnsi"/>
                      <w:sz w:val="22"/>
                      <w:szCs w:val="22"/>
                    </w:rPr>
                  </w:pPr>
                </w:p>
                <w:p w:rsidR="00F04EEF" w:rsidRDefault="0099351E">
                  <w:pPr>
                    <w:rPr>
                      <w:rFonts w:eastAsia="Times New Roman" w:cs="Arial"/>
                      <w:b/>
                      <w:u w:val="single"/>
                      <w:lang w:eastAsia="ar-SA"/>
                    </w:rPr>
                  </w:pPr>
                  <w:bookmarkStart w:id="1228" w:name="_Toc291075578"/>
                  <w:bookmarkStart w:id="1229" w:name="_Toc291076002"/>
                  <w:bookmarkStart w:id="1230" w:name="_Toc291076426"/>
                  <w:bookmarkStart w:id="1231" w:name="_Toc291076850"/>
                  <w:bookmarkStart w:id="1232" w:name="_Toc291077274"/>
                  <w:bookmarkStart w:id="1233" w:name="_Toc293652116"/>
                  <w:bookmarkStart w:id="1234" w:name="_Toc293653698"/>
                  <w:bookmarkStart w:id="1235" w:name="_Toc293654310"/>
                  <w:bookmarkStart w:id="1236" w:name="_Toc294004890"/>
                  <w:bookmarkStart w:id="1237" w:name="_Toc294185386"/>
                  <w:bookmarkStart w:id="1238" w:name="_Toc324767252"/>
                  <w:bookmarkStart w:id="1239" w:name="_Toc324768110"/>
                  <w:r>
                    <w:br w:type="page"/>
                  </w:r>
                </w:p>
                <w:p w:rsidR="00F04EEF" w:rsidRDefault="0099351E">
                  <w:pPr>
                    <w:pStyle w:val="Titre5"/>
                    <w:numPr>
                      <w:ilvl w:val="2"/>
                      <w:numId w:val="298"/>
                    </w:numPr>
                  </w:pPr>
                  <w:r>
                    <w:t>Quel est le rôle des chefs d’établissement, des pouvoirs organisateurs et des directeurs des centres psycho-médico-sociaux ?</w:t>
                  </w:r>
                  <w:bookmarkEnd w:id="1228"/>
                  <w:bookmarkEnd w:id="1229"/>
                  <w:bookmarkEnd w:id="1230"/>
                  <w:bookmarkEnd w:id="1231"/>
                  <w:bookmarkEnd w:id="1232"/>
                  <w:bookmarkEnd w:id="1233"/>
                  <w:bookmarkEnd w:id="1234"/>
                  <w:bookmarkEnd w:id="1235"/>
                  <w:bookmarkEnd w:id="1236"/>
                  <w:bookmarkEnd w:id="1237"/>
                  <w:bookmarkEnd w:id="1238"/>
                  <w:bookmarkEnd w:id="1239"/>
                </w:p>
                <w:p w:rsidR="00F04EEF" w:rsidRDefault="00F04EEF">
                  <w:pPr>
                    <w:pStyle w:val="Corpsdetexte21"/>
                    <w:jc w:val="both"/>
                    <w:rPr>
                      <w:rFonts w:asciiTheme="majorHAnsi" w:hAnsiTheme="majorHAnsi"/>
                      <w:b/>
                      <w:i/>
                      <w:color w:val="008000"/>
                      <w:sz w:val="22"/>
                      <w:szCs w:val="22"/>
                      <w:u w:val="single"/>
                    </w:rPr>
                  </w:pPr>
                </w:p>
                <w:p w:rsidR="00F04EEF" w:rsidRDefault="0099351E">
                  <w:pPr>
                    <w:pStyle w:val="Corpsdetexte21"/>
                    <w:jc w:val="both"/>
                    <w:rPr>
                      <w:rFonts w:asciiTheme="majorHAnsi" w:hAnsiTheme="majorHAnsi"/>
                      <w:b/>
                      <w:i/>
                      <w:sz w:val="22"/>
                      <w:szCs w:val="22"/>
                    </w:rPr>
                  </w:pPr>
                  <w:r>
                    <w:rPr>
                      <w:rFonts w:asciiTheme="majorHAnsi" w:hAnsiTheme="majorHAnsi"/>
                      <w:b/>
                      <w:i/>
                      <w:sz w:val="22"/>
                      <w:szCs w:val="22"/>
                    </w:rPr>
                    <w:t>Soutien à la victime</w:t>
                  </w:r>
                </w:p>
                <w:p w:rsidR="00F04EEF" w:rsidRDefault="00F04EEF">
                  <w:pPr>
                    <w:pStyle w:val="Corpsdetexte21"/>
                    <w:jc w:val="both"/>
                    <w:rPr>
                      <w:rFonts w:asciiTheme="majorHAnsi" w:hAnsiTheme="majorHAnsi"/>
                      <w:b/>
                      <w: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Le soutien que peuvent apporter les chefs d’établissement, les pouvoirs organisateurs ou les directeurs de centres psycho-médico-sociaux aux personnes victimes d’une agression est primordial.</w:t>
                  </w:r>
                </w:p>
                <w:p w:rsidR="00F04EEF" w:rsidRDefault="0099351E">
                  <w:pPr>
                    <w:pStyle w:val="Corpsdetexte21"/>
                    <w:jc w:val="both"/>
                    <w:rPr>
                      <w:rFonts w:asciiTheme="majorHAnsi" w:hAnsiTheme="majorHAnsi"/>
                      <w:sz w:val="22"/>
                      <w:szCs w:val="22"/>
                    </w:rPr>
                  </w:pPr>
                  <w:r>
                    <w:rPr>
                      <w:rFonts w:asciiTheme="majorHAnsi" w:hAnsiTheme="majorHAnsi"/>
                      <w:sz w:val="22"/>
                      <w:szCs w:val="22"/>
                    </w:rPr>
                    <w:t>Au moment où une personne est victime d’une agression, il est essentiel qu’elle se sente soutenue tant par son entourage, que par sa hiérarchie.</w:t>
                  </w:r>
                </w:p>
                <w:p w:rsidR="00F04EEF" w:rsidRDefault="0099351E">
                  <w:pPr>
                    <w:pStyle w:val="Corpsdetexte21"/>
                    <w:jc w:val="both"/>
                    <w:rPr>
                      <w:rFonts w:asciiTheme="majorHAnsi" w:hAnsiTheme="majorHAnsi"/>
                      <w:sz w:val="22"/>
                      <w:szCs w:val="22"/>
                    </w:rPr>
                  </w:pPr>
                  <w:r>
                    <w:rPr>
                      <w:rFonts w:asciiTheme="majorHAnsi" w:hAnsiTheme="majorHAnsi"/>
                      <w:sz w:val="22"/>
                      <w:szCs w:val="22"/>
                    </w:rPr>
                    <w:t xml:space="preserve">En outre, différentes associations d’aide aux victimes peuvent fournir un soutien professionnel aux personnes victimes d’une agression. </w:t>
                  </w:r>
                </w:p>
                <w:p w:rsidR="00F04EEF" w:rsidRDefault="00F04EEF">
                  <w:pPr>
                    <w:pStyle w:val="Corpsdetexte21"/>
                    <w:jc w:val="both"/>
                    <w:rPr>
                      <w:rFonts w:asciiTheme="majorHAnsi" w:hAnsiTheme="majorHAnsi"/>
                      <w:sz w:val="22"/>
                      <w:szCs w:val="22"/>
                    </w:rPr>
                  </w:pP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b/>
                      <w:i/>
                      <w:sz w:val="22"/>
                      <w:szCs w:val="22"/>
                    </w:rPr>
                  </w:pPr>
                  <w:r>
                    <w:rPr>
                      <w:rFonts w:asciiTheme="majorHAnsi" w:hAnsiTheme="majorHAnsi"/>
                      <w:b/>
                      <w:i/>
                      <w:sz w:val="22"/>
                      <w:szCs w:val="22"/>
                    </w:rPr>
                    <w:t>Soutien administratif</w:t>
                  </w:r>
                </w:p>
                <w:p w:rsidR="00F04EEF" w:rsidRDefault="00F04EEF">
                  <w:pPr>
                    <w:pStyle w:val="Corpsdetexte21"/>
                    <w:jc w:val="both"/>
                    <w:rPr>
                      <w:rFonts w:asciiTheme="majorHAnsi" w:hAnsiTheme="majorHAnsi"/>
                      <w:b/>
                      <w: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Les chefs d’établissements, les pouvoirs organisateurs ou les directeurs de centres psycho-médico-sociaux doivent faciliter la tâche de la personne victime quant au suivi administratif de son dossier.</w:t>
                  </w:r>
                </w:p>
                <w:p w:rsidR="00F04EEF" w:rsidRDefault="00F04EEF">
                  <w:pPr>
                    <w:pStyle w:val="Corpsdetexte21"/>
                    <w:jc w:val="both"/>
                    <w:rPr>
                      <w:rFonts w:asciiTheme="majorHAnsi" w:hAnsiTheme="majorHAnsi"/>
                      <w:sz w:val="22"/>
                      <w:szCs w:val="22"/>
                    </w:rPr>
                  </w:pPr>
                </w:p>
                <w:p w:rsidR="00F04EEF" w:rsidRDefault="0099351E">
                  <w:pPr>
                    <w:pStyle w:val="Corpsdetexte21"/>
                    <w:jc w:val="both"/>
                    <w:rPr>
                      <w:rFonts w:asciiTheme="majorHAnsi" w:hAnsiTheme="majorHAnsi"/>
                      <w:b/>
                      <w:i/>
                      <w:sz w:val="22"/>
                      <w:szCs w:val="22"/>
                    </w:rPr>
                  </w:pPr>
                  <w:r>
                    <w:rPr>
                      <w:rFonts w:asciiTheme="majorHAnsi" w:hAnsiTheme="majorHAnsi"/>
                      <w:b/>
                      <w:i/>
                      <w:sz w:val="22"/>
                      <w:szCs w:val="22"/>
                    </w:rPr>
                    <w:t>Plainte du chef d’établissement, du pouvoir organisateur ou du directeur du centre psycho-médico-social</w:t>
                  </w:r>
                </w:p>
                <w:p w:rsidR="00F04EEF" w:rsidRDefault="00F04EEF">
                  <w:pPr>
                    <w:pStyle w:val="Corpsdetexte21"/>
                    <w:jc w:val="both"/>
                    <w:rPr>
                      <w:rFonts w:asciiTheme="majorHAnsi" w:hAnsiTheme="majorHAnsi"/>
                      <w:b/>
                      <w:i/>
                      <w:sz w:val="22"/>
                      <w:szCs w:val="22"/>
                    </w:rPr>
                  </w:pPr>
                </w:p>
                <w:p w:rsidR="00F04EEF" w:rsidRDefault="0099351E">
                  <w:pPr>
                    <w:pStyle w:val="Corpsdetexte21"/>
                    <w:jc w:val="both"/>
                    <w:rPr>
                      <w:rFonts w:asciiTheme="majorHAnsi" w:hAnsiTheme="majorHAnsi"/>
                      <w:sz w:val="22"/>
                      <w:szCs w:val="22"/>
                    </w:rPr>
                  </w:pPr>
                  <w:r>
                    <w:rPr>
                      <w:rFonts w:asciiTheme="majorHAnsi" w:hAnsiTheme="majorHAnsi"/>
                      <w:sz w:val="22"/>
                      <w:szCs w:val="22"/>
                    </w:rPr>
                    <w:t>Le chef d’établissement, le pouvoir organisateur ou le directeur de centre est libre d’apprécier l’opportunité de porter plainte contre l’agresseur parallèlement à la plainte de la victime.</w:t>
                  </w:r>
                </w:p>
                <w:p w:rsidR="00F04EEF" w:rsidRDefault="0099351E">
                  <w:pPr>
                    <w:pStyle w:val="Corpsdetexte21"/>
                    <w:jc w:val="both"/>
                    <w:rPr>
                      <w:rFonts w:asciiTheme="majorHAnsi" w:hAnsiTheme="majorHAnsi"/>
                      <w:sz w:val="22"/>
                      <w:szCs w:val="22"/>
                    </w:rPr>
                  </w:pPr>
                  <w:r>
                    <w:rPr>
                      <w:rFonts w:asciiTheme="majorHAnsi" w:hAnsiTheme="majorHAnsi"/>
                      <w:noProof/>
                      <w:sz w:val="22"/>
                      <w:szCs w:val="22"/>
                      <w:lang w:eastAsia="fr-BE"/>
                    </w:rPr>
                    <mc:AlternateContent>
                      <mc:Choice Requires="wps">
                        <w:drawing>
                          <wp:anchor distT="0" distB="0" distL="114300" distR="114300" simplePos="0" relativeHeight="252180480" behindDoc="0" locked="0" layoutInCell="1" allowOverlap="1">
                            <wp:simplePos x="0" y="0"/>
                            <wp:positionH relativeFrom="column">
                              <wp:posOffset>6243320</wp:posOffset>
                            </wp:positionH>
                            <wp:positionV relativeFrom="paragraph">
                              <wp:posOffset>227330</wp:posOffset>
                            </wp:positionV>
                            <wp:extent cx="0" cy="1114425"/>
                            <wp:effectExtent l="0" t="0" r="19050" b="28575"/>
                            <wp:wrapNone/>
                            <wp:docPr id="33" name="Connecteur droit 33"/>
                            <wp:cNvGraphicFramePr/>
                            <a:graphic xmlns:a="http://schemas.openxmlformats.org/drawingml/2006/main">
                              <a:graphicData uri="http://schemas.microsoft.com/office/word/2010/wordprocessingShape">
                                <wps:wsp>
                                  <wps:cNvCnPr/>
                                  <wps:spPr>
                                    <a:xfrm>
                                      <a:off x="0" y="0"/>
                                      <a:ext cx="0" cy="1114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F800F0" id="Connecteur droit 33" o:spid="_x0000_s1026" style="position:absolute;z-index:252180480;visibility:visible;mso-wrap-style:square;mso-wrap-distance-left:9pt;mso-wrap-distance-top:0;mso-wrap-distance-right:9pt;mso-wrap-distance-bottom:0;mso-position-horizontal:absolute;mso-position-horizontal-relative:text;mso-position-vertical:absolute;mso-position-vertical-relative:text" from="491.6pt,17.9pt" to="491.6pt,10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" strokecolor="black [3213]"/>
                        </w:pict>
                      </mc:Fallback>
                    </mc:AlternateContent>
                  </w:r>
                </w:p>
                <w:p w:rsidR="00F04EEF" w:rsidRDefault="0099351E">
                  <w:pPr>
                    <w:pStyle w:val="Titre5"/>
                    <w:numPr>
                      <w:ilvl w:val="2"/>
                      <w:numId w:val="298"/>
                    </w:numPr>
                  </w:pPr>
                  <w:bookmarkStart w:id="1240" w:name="_2.7.3.__Le"/>
                  <w:bookmarkStart w:id="1241" w:name="_Le_numéro_vert"/>
                  <w:bookmarkEnd w:id="1240"/>
                  <w:bookmarkEnd w:id="1241"/>
                  <w:r>
                    <w:t>Le numéro vert « Ecoute Ecole »  0800/95.580: Pour qui ? Pour quoi ?</w:t>
                  </w:r>
                </w:p>
                <w:p w:rsidR="00F04EEF" w:rsidRDefault="00F04EEF">
                  <w:pPr>
                    <w:pStyle w:val="Corpsdetexte21"/>
                    <w:jc w:val="both"/>
                    <w:rPr>
                      <w:rFonts w:asciiTheme="majorHAnsi" w:hAnsiTheme="majorHAnsi"/>
                      <w:b/>
                      <w:color w:val="008000"/>
                      <w:sz w:val="22"/>
                      <w:szCs w:val="22"/>
                      <w:u w:val="single"/>
                    </w:rPr>
                  </w:pPr>
                </w:p>
                <w:p w:rsidR="00F04EEF" w:rsidRDefault="0099351E">
                  <w:pPr>
                    <w:jc w:val="both"/>
                  </w:pPr>
                  <w:r>
                    <w:t>Le numéro vert « Ecoute Ecole » est un service d’écoute et d’informations mis à la disposition de toutes les personnes adultes confrontées à des situations de violence en milieu scolaire.</w:t>
                  </w:r>
                </w:p>
                <w:p w:rsidR="00F04EEF" w:rsidRDefault="00F04EEF">
                  <w:pPr>
                    <w:jc w:val="both"/>
                  </w:pPr>
                </w:p>
                <w:p w:rsidR="00F04EEF" w:rsidRDefault="0099351E">
                  <w:pPr>
                    <w:jc w:val="both"/>
                  </w:pPr>
                  <w:r>
                    <w:t>Public</w:t>
                  </w:r>
                </w:p>
                <w:p w:rsidR="00F04EEF" w:rsidRDefault="0099351E">
                  <w:pPr>
                    <w:jc w:val="both"/>
                  </w:pPr>
                  <w:r>
                    <w:t xml:space="preserve">Il est donc destiné : </w:t>
                  </w:r>
                </w:p>
                <w:p w:rsidR="00F04EEF" w:rsidRDefault="0099351E">
                  <w:pPr>
                    <w:jc w:val="both"/>
                  </w:pPr>
                  <w:r>
                    <w:rPr>
                      <w:rFonts w:asciiTheme="majorHAnsi" w:hAnsiTheme="majorHAnsi"/>
                      <w:noProof/>
                      <w:lang w:eastAsia="fr-BE"/>
                    </w:rPr>
                    <mc:AlternateContent>
                      <mc:Choice Requires="wps">
                        <w:drawing>
                          <wp:anchor distT="0" distB="0" distL="114300" distR="114300" simplePos="0" relativeHeight="252182528" behindDoc="0" locked="0" layoutInCell="1" allowOverlap="1">
                            <wp:simplePos x="0" y="0"/>
                            <wp:positionH relativeFrom="column">
                              <wp:posOffset>6243320</wp:posOffset>
                            </wp:positionH>
                            <wp:positionV relativeFrom="paragraph">
                              <wp:posOffset>-72390</wp:posOffset>
                            </wp:positionV>
                            <wp:extent cx="0" cy="4267200"/>
                            <wp:effectExtent l="0" t="0" r="19050" b="19050"/>
                            <wp:wrapNone/>
                            <wp:docPr id="34" name="Connecteur droit 34"/>
                            <wp:cNvGraphicFramePr/>
                            <a:graphic xmlns:a="http://schemas.openxmlformats.org/drawingml/2006/main">
                              <a:graphicData uri="http://schemas.microsoft.com/office/word/2010/wordprocessingShape">
                                <wps:wsp>
                                  <wps:cNvCnPr/>
                                  <wps:spPr>
                                    <a:xfrm>
                                      <a:off x="0" y="0"/>
                                      <a:ext cx="0" cy="426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18D32F6" id="Connecteur droit 34" o:spid="_x0000_s1026" style="position:absolute;z-index:252182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6pt,-5.7pt" to="491.6pt,3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" strokecolor="black [3213]"/>
                        </w:pict>
                      </mc:Fallback>
                    </mc:AlternateContent>
                  </w:r>
                  <w:r>
                    <w:t>-aux membres des équipes éducatives (éducatrices et éducateurs, chefs d’établissements, ensei-gnant.e.s, personnel ouvrier et administratif, puéricultrices et puériculteurs…) ;</w:t>
                  </w:r>
                </w:p>
                <w:p w:rsidR="00F04EEF" w:rsidRDefault="0099351E">
                  <w:pPr>
                    <w:jc w:val="both"/>
                  </w:pPr>
                  <w:r>
                    <w:t>-aux parents d’élèves (au sens large : parents, frères et sœurs, grands-parents…).</w:t>
                  </w:r>
                </w:p>
                <w:p w:rsidR="00F04EEF" w:rsidRDefault="00F04EEF">
                  <w:pPr>
                    <w:jc w:val="both"/>
                  </w:pPr>
                </w:p>
                <w:p w:rsidR="00F04EEF" w:rsidRDefault="0099351E">
                  <w:pPr>
                    <w:jc w:val="both"/>
                  </w:pPr>
                  <w:r>
                    <w:t xml:space="preserve">Service offert </w:t>
                  </w:r>
                </w:p>
                <w:p w:rsidR="00F04EEF" w:rsidRDefault="0099351E">
                  <w:pPr>
                    <w:jc w:val="both"/>
                  </w:pPr>
                  <w:r>
                    <w:t>Le numéro vert « Ecoute Ecole » offre une écoute et une information aux personnes qui le contactent:</w:t>
                  </w:r>
                </w:p>
                <w:p w:rsidR="00F04EEF" w:rsidRDefault="0099351E">
                  <w:pPr>
                    <w:jc w:val="both"/>
                  </w:pPr>
                  <w:r>
                    <w:t>-par l’écoute, il permet à l’appelant.e de parler de sa situation et de ses émotions pour mieux formuler ses besoins et ses demandes ;</w:t>
                  </w:r>
                </w:p>
                <w:p w:rsidR="00F04EEF" w:rsidRDefault="0099351E">
                  <w:pPr>
                    <w:jc w:val="both"/>
                  </w:pPr>
                  <w:r>
                    <w:t>-l’information transmise par les écoutant.e.s du numéro vert concernera les services qui peuvent être activés, les procédures dans les domaines psychologique, social, juridique ou administratif ou encore les outils de gestion de la violence au sein de l’école.</w:t>
                  </w:r>
                </w:p>
                <w:p w:rsidR="00F04EEF" w:rsidRDefault="00F04EEF">
                  <w:pPr>
                    <w:jc w:val="both"/>
                  </w:pPr>
                </w:p>
                <w:p w:rsidR="00F04EEF" w:rsidRDefault="0099351E">
                  <w:pPr>
                    <w:jc w:val="both"/>
                  </w:pPr>
                  <w:r>
                    <w:t>Valeurs</w:t>
                  </w:r>
                </w:p>
                <w:p w:rsidR="00F04EEF" w:rsidRDefault="0099351E">
                  <w:pPr>
                    <w:jc w:val="both"/>
                  </w:pPr>
                  <w:r>
                    <w:t xml:space="preserve"> </w:t>
                  </w:r>
                  <w:proofErr w:type="gramStart"/>
                  <w:r>
                    <w:t>le</w:t>
                  </w:r>
                  <w:proofErr w:type="gramEnd"/>
                  <w:r>
                    <w:t xml:space="preserve"> travail des écoutant.e.s a lieu dans le strict respect de la confidentialité, du libre choix et de la de-mande de l’appelant.e, et est guidé par un idéal de neutralité.</w:t>
                  </w:r>
                </w:p>
                <w:p w:rsidR="00F04EEF" w:rsidRDefault="00F04EEF">
                  <w:pPr>
                    <w:jc w:val="both"/>
                  </w:pPr>
                </w:p>
                <w:p w:rsidR="00F04EEF" w:rsidRDefault="0099351E">
                  <w:pPr>
                    <w:jc w:val="both"/>
                  </w:pPr>
                  <w:r>
                    <w:t>En pratique</w:t>
                  </w:r>
                </w:p>
                <w:p w:rsidR="00F04EEF" w:rsidRDefault="0099351E">
                  <w:pPr>
                    <w:jc w:val="both"/>
                  </w:pPr>
                  <w:r>
                    <w:t>Le No vert « Ecoute Ecole » est accessible en semaine, de 9h à 16h (0800/95.580).</w:t>
                  </w:r>
                </w:p>
                <w:p w:rsidR="00F04EEF" w:rsidRDefault="00F04EEF">
                  <w:pPr>
                    <w:jc w:val="both"/>
                  </w:pPr>
                </w:p>
                <w:p w:rsidR="00F04EEF" w:rsidRDefault="0099351E">
                  <w:pPr>
                    <w:jc w:val="both"/>
                  </w:pPr>
                  <w:r>
                    <w:t>« Ecoute Ecole » est issu de la fusion de deux autres numéros verts, « Assistance Ecoles » (pour les membres de l’équipe éducative) et « Ecole et Parents » (pour les parents d’élèves).</w:t>
                  </w:r>
                </w:p>
                <w:p w:rsidR="00F04EEF" w:rsidRDefault="0099351E">
                  <w:pPr>
                    <w:pStyle w:val="Corpsdetexte21"/>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Ces services ont été mis en place par le Service de l’Assistance aux Établissements scolaires. Ils prennent place dans un plan d’actions de lutte contre la violence et le décrochage scolaire, visant à garantir les conditions d’un apprentissage serein (P.A.G.A.S), approuvé par le Gouvernement de la Fédération Wallonie-Bruxelles le 26 mars 2009.</w:t>
                  </w:r>
                </w:p>
                <w:p w:rsidR="00F04EEF" w:rsidRDefault="00F04EEF">
                  <w:pPr>
                    <w:pStyle w:val="Corpsdetexte21"/>
                    <w:jc w:val="both"/>
                    <w:rPr>
                      <w:rFonts w:asciiTheme="minorHAnsi" w:eastAsiaTheme="minorHAnsi" w:hAnsiTheme="minorHAnsi" w:cstheme="minorBidi"/>
                      <w:sz w:val="22"/>
                      <w:szCs w:val="22"/>
                      <w:lang w:eastAsia="en-US"/>
                    </w:rPr>
                  </w:pPr>
                </w:p>
                <w:p w:rsidR="00F04EEF" w:rsidRDefault="0099351E">
                  <w:pPr>
                    <w:pStyle w:val="Titre3"/>
                    <w:ind w:left="720"/>
                    <w:rPr>
                      <w:b w:val="0"/>
                      <w:sz w:val="22"/>
                      <w:szCs w:val="22"/>
                      <w:u w:val="none"/>
                    </w:rPr>
                  </w:pPr>
                  <w:bookmarkStart w:id="1242" w:name="__RefHeading__323_957262308"/>
                  <w:bookmarkStart w:id="1243" w:name="_Toc291075579"/>
                  <w:bookmarkStart w:id="1244" w:name="_Toc291076003"/>
                  <w:bookmarkStart w:id="1245" w:name="_Toc291076427"/>
                  <w:bookmarkStart w:id="1246" w:name="_Toc291076851"/>
                  <w:bookmarkStart w:id="1247" w:name="_Toc291077275"/>
                  <w:bookmarkStart w:id="1248" w:name="_Toc293652117"/>
                  <w:bookmarkStart w:id="1249" w:name="_Toc293653699"/>
                  <w:bookmarkStart w:id="1250" w:name="_Toc293654311"/>
                  <w:bookmarkStart w:id="1251" w:name="_Toc294004891"/>
                  <w:bookmarkStart w:id="1252" w:name="_Toc294185387"/>
                  <w:bookmarkStart w:id="1253" w:name="_Toc324767253"/>
                  <w:bookmarkStart w:id="1254" w:name="_Toc412204092"/>
                  <w:bookmarkStart w:id="1255" w:name="_Toc414352900"/>
                  <w:bookmarkStart w:id="1256" w:name="_Toc453836923"/>
                  <w:bookmarkStart w:id="1257" w:name="_Toc47708480"/>
                  <w:bookmarkEnd w:id="1242"/>
                  <w:r>
                    <w:rPr>
                      <w:b w:val="0"/>
                      <w:sz w:val="22"/>
                      <w:szCs w:val="22"/>
                      <w:u w:val="none"/>
                    </w:rPr>
                    <w:t>3. Annexes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r>
                    <w:rPr>
                      <w:b w:val="0"/>
                      <w:sz w:val="22"/>
                      <w:szCs w:val="22"/>
                      <w:u w:val="none"/>
                    </w:rPr>
                    <w:t xml:space="preserve"> </w:t>
                  </w:r>
                </w:p>
                <w:p w:rsidR="00F04EEF" w:rsidRDefault="0099351E">
                  <w:r>
                    <w:br w:type="page"/>
                  </w:r>
                </w:p>
                <w:bookmarkStart w:id="1258" w:name="_Toc412204097"/>
                <w:bookmarkStart w:id="1259" w:name="_Toc414352905"/>
                <w:bookmarkStart w:id="1260" w:name="_Toc453836928"/>
                <w:p w:rsidR="00F04EEF" w:rsidRDefault="0099351E">
                  <w:pPr>
                    <w:pStyle w:val="Titre4"/>
                  </w:pPr>
                  <w:r>
                    <w:rPr>
                      <w:noProof/>
                      <w:lang w:eastAsia="fr-BE"/>
                    </w:rPr>
                    <mc:AlternateContent>
                      <mc:Choice Requires="wps">
                        <w:drawing>
                          <wp:anchor distT="0" distB="0" distL="114300" distR="114300" simplePos="0" relativeHeight="252183552" behindDoc="0" locked="0" layoutInCell="1" allowOverlap="1">
                            <wp:simplePos x="0" y="0"/>
                            <wp:positionH relativeFrom="column">
                              <wp:posOffset>6129020</wp:posOffset>
                            </wp:positionH>
                            <wp:positionV relativeFrom="paragraph">
                              <wp:posOffset>280035</wp:posOffset>
                            </wp:positionV>
                            <wp:extent cx="0" cy="171450"/>
                            <wp:effectExtent l="0" t="0" r="19050" b="19050"/>
                            <wp:wrapNone/>
                            <wp:docPr id="35" name="Connecteur droit 35"/>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37CF06" id="Connecteur droit 35" o:spid="_x0000_s1026" style="position:absolute;z-index:252183552;visibility:visible;mso-wrap-style:square;mso-wrap-distance-left:9pt;mso-wrap-distance-top:0;mso-wrap-distance-right:9pt;mso-wrap-distance-bottom:0;mso-position-horizontal:absolute;mso-position-horizontal-relative:text;mso-position-vertical:absolute;mso-position-vertical-relative:text" from="482.6pt,22.05pt" to="482.6pt,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" strokecolor="black [3213]"/>
                        </w:pict>
                      </mc:Fallback>
                    </mc:AlternateContent>
                  </w:r>
                  <w:r>
                    <w:t>Annexe 1 : Attestation de demande d’inscription dans l’enseignement secondaire spécialisé de plein exercice en application de l’article 80 du décret du 24 juillet 1997. Enseignement organisé par WBE).</w:t>
                  </w:r>
                  <w:bookmarkEnd w:id="1258"/>
                  <w:bookmarkEnd w:id="1259"/>
                  <w:bookmarkEnd w:id="1260"/>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Cachet de l’établissement et mention de son adresse :</w:t>
                  </w:r>
                </w:p>
                <w:p w:rsidR="00F04EEF" w:rsidRDefault="00F04EEF">
                  <w:pPr>
                    <w:pStyle w:val="Corpsdetexte"/>
                    <w:jc w:val="both"/>
                    <w:rPr>
                      <w:b w:val="0"/>
                      <w:szCs w:val="22"/>
                    </w:rPr>
                  </w:pP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Je soussigné(e</w:t>
                  </w:r>
                  <w:proofErr w:type="gramStart"/>
                  <w:r>
                    <w:rPr>
                      <w:b w:val="0"/>
                      <w:szCs w:val="22"/>
                    </w:rPr>
                    <w:t>) ,</w:t>
                  </w:r>
                  <w:proofErr w:type="gramEnd"/>
                  <w:r>
                    <w:rPr>
                      <w:b w:val="0"/>
                      <w:szCs w:val="22"/>
                    </w:rPr>
                    <w:t xml:space="preserv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rsidR="00F04EEF" w:rsidRDefault="0099351E">
                  <w:pPr>
                    <w:pStyle w:val="Corpsdetexte"/>
                    <w:jc w:val="both"/>
                    <w:rPr>
                      <w:b w:val="0"/>
                      <w:szCs w:val="22"/>
                      <w:vertAlign w:val="subscript"/>
                    </w:rPr>
                  </w:pPr>
                  <w:proofErr w:type="gramStart"/>
                  <w:r>
                    <w:rPr>
                      <w:b w:val="0"/>
                      <w:szCs w:val="22"/>
                    </w:rPr>
                    <w:t>Chef(</w:t>
                  </w:r>
                  <w:proofErr w:type="gramEnd"/>
                  <w:r>
                    <w:rPr>
                      <w:b w:val="0"/>
                      <w:szCs w:val="22"/>
                    </w:rPr>
                    <w:t>fe) d’établissement</w:t>
                  </w:r>
                  <w:r>
                    <w:rPr>
                      <w:b w:val="0"/>
                      <w:szCs w:val="22"/>
                      <w:vertAlign w:val="subscript"/>
                    </w:rPr>
                    <w:t xml:space="preserve"> </w:t>
                  </w:r>
                </w:p>
                <w:p w:rsidR="00F04EEF" w:rsidRDefault="0099351E">
                  <w:pPr>
                    <w:pStyle w:val="Corpsdetexte"/>
                    <w:jc w:val="both"/>
                    <w:rPr>
                      <w:b w:val="0"/>
                      <w:szCs w:val="22"/>
                    </w:rPr>
                  </w:pPr>
                  <w:proofErr w:type="gramStart"/>
                  <w:r>
                    <w:rPr>
                      <w:b w:val="0"/>
                      <w:szCs w:val="22"/>
                    </w:rPr>
                    <w:t>atteste</w:t>
                  </w:r>
                  <w:proofErr w:type="gramEnd"/>
                  <w:r>
                    <w:rPr>
                      <w:b w:val="0"/>
                      <w:szCs w:val="22"/>
                    </w:rPr>
                    <w:t xml:space="preserve"> que Madame / Monsieur </w:t>
                  </w:r>
                </w:p>
                <w:p w:rsidR="00F04EEF" w:rsidRDefault="0099351E">
                  <w:pPr>
                    <w:pStyle w:val="Corpsdetexte"/>
                    <w:jc w:val="both"/>
                    <w:rPr>
                      <w:b w:val="0"/>
                      <w:szCs w:val="22"/>
                    </w:rPr>
                  </w:pPr>
                  <w:proofErr w:type="gramStart"/>
                  <w:r>
                    <w:rPr>
                      <w:b w:val="0"/>
                      <w:szCs w:val="22"/>
                    </w:rPr>
                    <w:t>s’est</w:t>
                  </w:r>
                  <w:proofErr w:type="gramEnd"/>
                  <w:r>
                    <w:rPr>
                      <w:b w:val="0"/>
                      <w:szCs w:val="22"/>
                    </w:rPr>
                    <w:t xml:space="preserve"> présenté(e) ce </w:t>
                  </w:r>
                  <w:r>
                    <w:rPr>
                      <w:b w:val="0"/>
                      <w:szCs w:val="22"/>
                    </w:rPr>
                    <w:tab/>
                  </w:r>
                  <w:r>
                    <w:rPr>
                      <w:b w:val="0"/>
                      <w:szCs w:val="22"/>
                    </w:rPr>
                    <w:tab/>
                  </w:r>
                  <w:r>
                    <w:rPr>
                      <w:b w:val="0"/>
                      <w:szCs w:val="22"/>
                    </w:rPr>
                    <w:tab/>
                  </w:r>
                  <w:r>
                    <w:rPr>
                      <w:b w:val="0"/>
                      <w:szCs w:val="22"/>
                    </w:rPr>
                    <w:tab/>
                  </w:r>
                  <w:r>
                    <w:rPr>
                      <w:b w:val="0"/>
                      <w:szCs w:val="22"/>
                    </w:rPr>
                    <w:tab/>
                    <w:t>20</w:t>
                  </w:r>
                </w:p>
                <w:p w:rsidR="00F04EEF" w:rsidRDefault="0099351E">
                  <w:pPr>
                    <w:pStyle w:val="Corpsdetexte"/>
                    <w:jc w:val="both"/>
                    <w:rPr>
                      <w:b w:val="0"/>
                      <w:szCs w:val="22"/>
                    </w:rPr>
                  </w:pPr>
                  <w:proofErr w:type="gramStart"/>
                  <w:r>
                    <w:rPr>
                      <w:b w:val="0"/>
                      <w:szCs w:val="22"/>
                    </w:rPr>
                    <w:t>à</w:t>
                  </w:r>
                  <w:proofErr w:type="gramEnd"/>
                  <w:r>
                    <w:rPr>
                      <w:b w:val="0"/>
                      <w:szCs w:val="22"/>
                    </w:rPr>
                    <w:t xml:space="preserve"> l’établissement</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p>
                <w:p w:rsidR="00F04EEF" w:rsidRDefault="0099351E">
                  <w:pPr>
                    <w:pStyle w:val="Corpsdetexte"/>
                    <w:jc w:val="both"/>
                    <w:rPr>
                      <w:b w:val="0"/>
                      <w:szCs w:val="22"/>
                    </w:rPr>
                  </w:pPr>
                  <w:proofErr w:type="gramStart"/>
                  <w:r>
                    <w:rPr>
                      <w:b w:val="0"/>
                      <w:szCs w:val="22"/>
                    </w:rPr>
                    <w:t>en</w:t>
                  </w:r>
                  <w:proofErr w:type="gramEnd"/>
                  <w:r>
                    <w:rPr>
                      <w:b w:val="0"/>
                      <w:szCs w:val="22"/>
                    </w:rPr>
                    <w:t xml:space="preserve"> vue de l’inscription de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p>
                <w:p w:rsidR="00F04EEF" w:rsidRDefault="0099351E">
                  <w:pPr>
                    <w:pStyle w:val="Corpsdetexte"/>
                    <w:jc w:val="both"/>
                    <w:rPr>
                      <w:b w:val="0"/>
                      <w:szCs w:val="22"/>
                    </w:rPr>
                  </w:pPr>
                  <w:proofErr w:type="gramStart"/>
                  <w:r>
                    <w:rPr>
                      <w:b w:val="0"/>
                      <w:szCs w:val="22"/>
                    </w:rPr>
                    <w:t>né(</w:t>
                  </w:r>
                  <w:proofErr w:type="gramEnd"/>
                  <w:r>
                    <w:rPr>
                      <w:b w:val="0"/>
                      <w:szCs w:val="22"/>
                    </w:rPr>
                    <w:t xml:space="preserve">e) le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Cette inscription était sollicitée dans :</w:t>
                  </w:r>
                </w:p>
                <w:p w:rsidR="00F04EEF" w:rsidRDefault="00F04EEF">
                  <w:pPr>
                    <w:pStyle w:val="Corpsdetexte"/>
                    <w:jc w:val="both"/>
                    <w:rPr>
                      <w:b w:val="0"/>
                      <w:szCs w:val="22"/>
                    </w:rPr>
                  </w:pPr>
                </w:p>
                <w:tbl>
                  <w:tblPr>
                    <w:tblW w:w="0" w:type="auto"/>
                    <w:tblLook w:val="01E0" w:firstRow="1" w:lastRow="1" w:firstColumn="1" w:lastColumn="1" w:noHBand="0" w:noVBand="0"/>
                  </w:tblPr>
                  <w:tblGrid>
                    <w:gridCol w:w="1537"/>
                    <w:gridCol w:w="1522"/>
                    <w:gridCol w:w="1532"/>
                    <w:gridCol w:w="1608"/>
                    <w:gridCol w:w="1608"/>
                    <w:gridCol w:w="1541"/>
                  </w:tblGrid>
                  <w:tr w:rsidR="00F04EEF">
                    <w:tc>
                      <w:tcPr>
                        <w:tcW w:w="1629" w:type="dxa"/>
                        <w:tcBorders>
                          <w:top w:val="single" w:sz="2" w:space="0" w:color="auto"/>
                          <w:left w:val="single" w:sz="2" w:space="0" w:color="auto"/>
                          <w:bottom w:val="single" w:sz="2" w:space="0" w:color="auto"/>
                          <w:right w:val="single" w:sz="2" w:space="0" w:color="auto"/>
                        </w:tcBorders>
                      </w:tcPr>
                      <w:p w:rsidR="00F04EEF" w:rsidRDefault="0099351E">
                        <w:pPr>
                          <w:pStyle w:val="Corpsdetexte"/>
                          <w:jc w:val="both"/>
                          <w:rPr>
                            <w:b w:val="0"/>
                            <w:szCs w:val="22"/>
                          </w:rPr>
                        </w:pPr>
                        <w:r>
                          <w:rPr>
                            <w:b w:val="0"/>
                            <w:szCs w:val="22"/>
                          </w:rPr>
                          <w:t>Forme</w:t>
                        </w:r>
                      </w:p>
                    </w:tc>
                    <w:tc>
                      <w:tcPr>
                        <w:tcW w:w="1630" w:type="dxa"/>
                        <w:tcBorders>
                          <w:top w:val="single" w:sz="2" w:space="0" w:color="auto"/>
                          <w:left w:val="single" w:sz="2" w:space="0" w:color="auto"/>
                          <w:bottom w:val="single" w:sz="2" w:space="0" w:color="auto"/>
                          <w:right w:val="single" w:sz="2" w:space="0" w:color="auto"/>
                        </w:tcBorders>
                      </w:tcPr>
                      <w:p w:rsidR="00F04EEF" w:rsidRDefault="0099351E">
                        <w:pPr>
                          <w:pStyle w:val="Corpsdetexte"/>
                          <w:jc w:val="both"/>
                          <w:rPr>
                            <w:b w:val="0"/>
                            <w:szCs w:val="22"/>
                          </w:rPr>
                        </w:pPr>
                        <w:r>
                          <w:rPr>
                            <w:b w:val="0"/>
                            <w:szCs w:val="22"/>
                          </w:rPr>
                          <w:t>Type</w:t>
                        </w:r>
                      </w:p>
                    </w:tc>
                    <w:tc>
                      <w:tcPr>
                        <w:tcW w:w="1630" w:type="dxa"/>
                        <w:tcBorders>
                          <w:top w:val="single" w:sz="2" w:space="0" w:color="auto"/>
                          <w:left w:val="single" w:sz="2" w:space="0" w:color="auto"/>
                          <w:bottom w:val="single" w:sz="2" w:space="0" w:color="auto"/>
                          <w:right w:val="single" w:sz="2" w:space="0" w:color="auto"/>
                        </w:tcBorders>
                      </w:tcPr>
                      <w:p w:rsidR="00F04EEF" w:rsidRDefault="0099351E">
                        <w:pPr>
                          <w:pStyle w:val="Corpsdetexte"/>
                          <w:jc w:val="both"/>
                          <w:rPr>
                            <w:b w:val="0"/>
                            <w:szCs w:val="22"/>
                          </w:rPr>
                        </w:pPr>
                        <w:r>
                          <w:rPr>
                            <w:b w:val="0"/>
                            <w:szCs w:val="22"/>
                          </w:rPr>
                          <w:t>Phase</w:t>
                        </w:r>
                      </w:p>
                    </w:tc>
                    <w:tc>
                      <w:tcPr>
                        <w:tcW w:w="1630" w:type="dxa"/>
                        <w:tcBorders>
                          <w:top w:val="single" w:sz="2" w:space="0" w:color="auto"/>
                          <w:left w:val="single" w:sz="2" w:space="0" w:color="auto"/>
                          <w:bottom w:val="single" w:sz="2" w:space="0" w:color="auto"/>
                          <w:right w:val="single" w:sz="2" w:space="0" w:color="auto"/>
                        </w:tcBorders>
                      </w:tcPr>
                      <w:p w:rsidR="00F04EEF" w:rsidRDefault="0099351E">
                        <w:pPr>
                          <w:pStyle w:val="Corpsdetexte"/>
                          <w:jc w:val="both"/>
                          <w:rPr>
                            <w:b w:val="0"/>
                            <w:szCs w:val="22"/>
                          </w:rPr>
                        </w:pPr>
                        <w:r>
                          <w:rPr>
                            <w:b w:val="0"/>
                            <w:szCs w:val="22"/>
                          </w:rPr>
                          <w:t>Secteur professionnel</w:t>
                        </w:r>
                      </w:p>
                    </w:tc>
                    <w:tc>
                      <w:tcPr>
                        <w:tcW w:w="1630" w:type="dxa"/>
                        <w:tcBorders>
                          <w:top w:val="single" w:sz="2" w:space="0" w:color="auto"/>
                          <w:left w:val="single" w:sz="2" w:space="0" w:color="auto"/>
                          <w:bottom w:val="single" w:sz="2" w:space="0" w:color="auto"/>
                          <w:right w:val="single" w:sz="2" w:space="0" w:color="auto"/>
                        </w:tcBorders>
                      </w:tcPr>
                      <w:p w:rsidR="00F04EEF" w:rsidRDefault="0099351E">
                        <w:pPr>
                          <w:pStyle w:val="Corpsdetexte"/>
                          <w:jc w:val="both"/>
                          <w:rPr>
                            <w:b w:val="0"/>
                            <w:szCs w:val="22"/>
                          </w:rPr>
                        </w:pPr>
                        <w:r>
                          <w:rPr>
                            <w:b w:val="0"/>
                            <w:szCs w:val="22"/>
                          </w:rPr>
                          <w:t>Groupe professionnel</w:t>
                        </w:r>
                      </w:p>
                    </w:tc>
                    <w:tc>
                      <w:tcPr>
                        <w:tcW w:w="1630" w:type="dxa"/>
                        <w:tcBorders>
                          <w:top w:val="single" w:sz="2" w:space="0" w:color="auto"/>
                          <w:left w:val="single" w:sz="2" w:space="0" w:color="auto"/>
                          <w:bottom w:val="single" w:sz="2" w:space="0" w:color="auto"/>
                          <w:right w:val="single" w:sz="2" w:space="0" w:color="auto"/>
                        </w:tcBorders>
                      </w:tcPr>
                      <w:p w:rsidR="00F04EEF" w:rsidRDefault="0099351E">
                        <w:pPr>
                          <w:pStyle w:val="Corpsdetexte"/>
                          <w:jc w:val="both"/>
                          <w:rPr>
                            <w:b w:val="0"/>
                            <w:szCs w:val="22"/>
                          </w:rPr>
                        </w:pPr>
                        <w:r>
                          <w:rPr>
                            <w:b w:val="0"/>
                            <w:szCs w:val="22"/>
                          </w:rPr>
                          <w:t>Métier</w:t>
                        </w:r>
                      </w:p>
                    </w:tc>
                  </w:tr>
                  <w:tr w:rsidR="00F04EEF">
                    <w:trPr>
                      <w:trHeight w:val="623"/>
                    </w:trPr>
                    <w:tc>
                      <w:tcPr>
                        <w:tcW w:w="1629" w:type="dxa"/>
                        <w:tcBorders>
                          <w:top w:val="single" w:sz="2" w:space="0" w:color="auto"/>
                          <w:left w:val="single" w:sz="2" w:space="0" w:color="auto"/>
                          <w:bottom w:val="single" w:sz="2" w:space="0" w:color="auto"/>
                          <w:right w:val="single" w:sz="2" w:space="0" w:color="auto"/>
                        </w:tcBorders>
                      </w:tcPr>
                      <w:p w:rsidR="00F04EEF" w:rsidRDefault="00F04EEF">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rsidR="00F04EEF" w:rsidRDefault="00F04EEF">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rsidR="00F04EEF" w:rsidRDefault="00F04EEF">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rsidR="00F04EEF" w:rsidRDefault="00F04EEF">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rsidR="00F04EEF" w:rsidRDefault="00F04EEF">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rsidR="00F04EEF" w:rsidRDefault="00F04EEF">
                        <w:pPr>
                          <w:pStyle w:val="Corpsdetexte"/>
                          <w:jc w:val="both"/>
                          <w:rPr>
                            <w:b w:val="0"/>
                            <w:szCs w:val="22"/>
                          </w:rPr>
                        </w:pPr>
                      </w:p>
                    </w:tc>
                  </w:tr>
                  <w:tr w:rsidR="00F04EEF">
                    <w:tc>
                      <w:tcPr>
                        <w:tcW w:w="1629" w:type="dxa"/>
                        <w:tcBorders>
                          <w:top w:val="single" w:sz="2" w:space="0" w:color="auto"/>
                        </w:tcBorders>
                      </w:tcPr>
                      <w:p w:rsidR="00F04EEF" w:rsidRDefault="00F04EEF">
                        <w:pPr>
                          <w:pStyle w:val="Corpsdetexte"/>
                          <w:jc w:val="both"/>
                          <w:rPr>
                            <w:b w:val="0"/>
                            <w:szCs w:val="22"/>
                          </w:rPr>
                        </w:pPr>
                      </w:p>
                    </w:tc>
                    <w:tc>
                      <w:tcPr>
                        <w:tcW w:w="1630" w:type="dxa"/>
                        <w:tcBorders>
                          <w:top w:val="single" w:sz="2" w:space="0" w:color="auto"/>
                        </w:tcBorders>
                      </w:tcPr>
                      <w:p w:rsidR="00F04EEF" w:rsidRDefault="00F04EEF">
                        <w:pPr>
                          <w:pStyle w:val="Corpsdetexte"/>
                          <w:jc w:val="both"/>
                          <w:rPr>
                            <w:b w:val="0"/>
                            <w:szCs w:val="22"/>
                          </w:rPr>
                        </w:pPr>
                      </w:p>
                    </w:tc>
                    <w:tc>
                      <w:tcPr>
                        <w:tcW w:w="1630" w:type="dxa"/>
                        <w:tcBorders>
                          <w:top w:val="single" w:sz="2" w:space="0" w:color="auto"/>
                        </w:tcBorders>
                      </w:tcPr>
                      <w:p w:rsidR="00F04EEF" w:rsidRDefault="00F04EEF">
                        <w:pPr>
                          <w:pStyle w:val="Corpsdetexte"/>
                          <w:jc w:val="both"/>
                          <w:rPr>
                            <w:b w:val="0"/>
                            <w:szCs w:val="22"/>
                          </w:rPr>
                        </w:pPr>
                      </w:p>
                    </w:tc>
                    <w:tc>
                      <w:tcPr>
                        <w:tcW w:w="1630" w:type="dxa"/>
                        <w:tcBorders>
                          <w:top w:val="single" w:sz="2" w:space="0" w:color="auto"/>
                        </w:tcBorders>
                      </w:tcPr>
                      <w:p w:rsidR="00F04EEF" w:rsidRDefault="00F04EEF">
                        <w:pPr>
                          <w:pStyle w:val="Corpsdetexte"/>
                          <w:jc w:val="both"/>
                          <w:rPr>
                            <w:b w:val="0"/>
                            <w:szCs w:val="22"/>
                          </w:rPr>
                        </w:pPr>
                      </w:p>
                    </w:tc>
                    <w:tc>
                      <w:tcPr>
                        <w:tcW w:w="1630" w:type="dxa"/>
                        <w:tcBorders>
                          <w:top w:val="single" w:sz="2" w:space="0" w:color="auto"/>
                        </w:tcBorders>
                      </w:tcPr>
                      <w:p w:rsidR="00F04EEF" w:rsidRDefault="00F04EEF">
                        <w:pPr>
                          <w:pStyle w:val="Corpsdetexte"/>
                          <w:jc w:val="both"/>
                          <w:rPr>
                            <w:b w:val="0"/>
                            <w:szCs w:val="22"/>
                          </w:rPr>
                        </w:pPr>
                      </w:p>
                    </w:tc>
                    <w:tc>
                      <w:tcPr>
                        <w:tcW w:w="1630" w:type="dxa"/>
                        <w:tcBorders>
                          <w:top w:val="single" w:sz="2" w:space="0" w:color="auto"/>
                        </w:tcBorders>
                      </w:tcPr>
                      <w:p w:rsidR="00F04EEF" w:rsidRDefault="00F04EEF">
                        <w:pPr>
                          <w:pStyle w:val="Corpsdetexte"/>
                          <w:jc w:val="both"/>
                          <w:rPr>
                            <w:b w:val="0"/>
                            <w:szCs w:val="22"/>
                          </w:rPr>
                        </w:pPr>
                      </w:p>
                    </w:tc>
                  </w:tr>
                </w:tbl>
                <w:p w:rsidR="00F04EEF" w:rsidRDefault="00F04EEF">
                  <w:pPr>
                    <w:pStyle w:val="Corpsdetexte"/>
                    <w:jc w:val="both"/>
                    <w:rPr>
                      <w:b w:val="0"/>
                      <w:szCs w:val="22"/>
                    </w:rPr>
                  </w:pPr>
                </w:p>
                <w:p w:rsidR="00F04EEF" w:rsidRDefault="0099351E">
                  <w:pPr>
                    <w:numPr>
                      <w:ilvl w:val="0"/>
                      <w:numId w:val="82"/>
                    </w:numPr>
                    <w:suppressAutoHyphens/>
                    <w:ind w:left="567" w:hanging="567"/>
                    <w:jc w:val="both"/>
                    <w:rPr>
                      <w:rFonts w:cs="Arial"/>
                    </w:rPr>
                  </w:pPr>
                  <w:r>
                    <w:rPr>
                      <w:rFonts w:cs="Arial"/>
                    </w:rPr>
                    <w:t xml:space="preserve">Enseignement spécialisé de </w:t>
                  </w:r>
                  <w:proofErr w:type="gramStart"/>
                  <w:r>
                    <w:rPr>
                      <w:rFonts w:cs="Arial"/>
                    </w:rPr>
                    <w:t>forme</w:t>
                  </w:r>
                  <w:proofErr w:type="gramEnd"/>
                  <w:r>
                    <w:rPr>
                      <w:rFonts w:cs="Arial"/>
                    </w:rPr>
                    <w:t xml:space="preserve"> 1, 2 ou 3</w:t>
                  </w:r>
                </w:p>
                <w:p w:rsidR="00F04EEF" w:rsidRDefault="00F04EEF">
                  <w:pPr>
                    <w:pStyle w:val="Corpsdetexte"/>
                    <w:ind w:left="567" w:hanging="567"/>
                    <w:jc w:val="both"/>
                    <w:rPr>
                      <w:b w:val="0"/>
                      <w:szCs w:val="22"/>
                    </w:rPr>
                  </w:pPr>
                </w:p>
                <w:p w:rsidR="00F04EEF" w:rsidRDefault="0099351E">
                  <w:pPr>
                    <w:numPr>
                      <w:ilvl w:val="0"/>
                      <w:numId w:val="88"/>
                    </w:numPr>
                    <w:suppressAutoHyphens/>
                    <w:ind w:left="567" w:hanging="567"/>
                    <w:jc w:val="both"/>
                    <w:rPr>
                      <w:rFonts w:cs="Arial"/>
                    </w:rPr>
                  </w:pPr>
                  <w:r>
                    <w:rPr>
                      <w:rFonts w:cs="Arial"/>
                    </w:rPr>
                    <w:t>Enseignement spécialisé de forme 4</w:t>
                  </w:r>
                </w:p>
                <w:p w:rsidR="00F04EEF" w:rsidRDefault="00F04EEF">
                  <w:pPr>
                    <w:jc w:val="both"/>
                    <w:rPr>
                      <w:rFonts w:cs="Arial"/>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27"/>
                    <w:gridCol w:w="2338"/>
                    <w:gridCol w:w="2343"/>
                    <w:gridCol w:w="2340"/>
                  </w:tblGrid>
                  <w:tr w:rsidR="00F04EEF">
                    <w:tc>
                      <w:tcPr>
                        <w:tcW w:w="2444" w:type="dxa"/>
                      </w:tcPr>
                      <w:p w:rsidR="00F04EEF" w:rsidRDefault="0099351E">
                        <w:pPr>
                          <w:jc w:val="both"/>
                          <w:rPr>
                            <w:rFonts w:cs="Arial"/>
                          </w:rPr>
                        </w:pPr>
                        <w:r>
                          <w:rPr>
                            <w:rFonts w:cs="Arial"/>
                          </w:rPr>
                          <w:t>Type</w:t>
                        </w:r>
                      </w:p>
                    </w:tc>
                    <w:tc>
                      <w:tcPr>
                        <w:tcW w:w="2445" w:type="dxa"/>
                      </w:tcPr>
                      <w:p w:rsidR="00F04EEF" w:rsidRDefault="0099351E">
                        <w:pPr>
                          <w:jc w:val="both"/>
                          <w:rPr>
                            <w:rFonts w:cs="Arial"/>
                          </w:rPr>
                        </w:pPr>
                        <w:r>
                          <w:rPr>
                            <w:rFonts w:cs="Arial"/>
                          </w:rPr>
                          <w:t>Année</w:t>
                        </w:r>
                      </w:p>
                    </w:tc>
                    <w:tc>
                      <w:tcPr>
                        <w:tcW w:w="2445" w:type="dxa"/>
                      </w:tcPr>
                      <w:p w:rsidR="00F04EEF" w:rsidRDefault="0099351E">
                        <w:pPr>
                          <w:jc w:val="both"/>
                          <w:rPr>
                            <w:rFonts w:cs="Arial"/>
                          </w:rPr>
                        </w:pPr>
                        <w:r>
                          <w:rPr>
                            <w:rFonts w:cs="Arial"/>
                          </w:rPr>
                          <w:t>Section</w:t>
                        </w:r>
                      </w:p>
                    </w:tc>
                    <w:tc>
                      <w:tcPr>
                        <w:tcW w:w="2445" w:type="dxa"/>
                      </w:tcPr>
                      <w:p w:rsidR="00F04EEF" w:rsidRDefault="0099351E">
                        <w:pPr>
                          <w:jc w:val="both"/>
                          <w:rPr>
                            <w:rFonts w:cs="Arial"/>
                          </w:rPr>
                        </w:pPr>
                        <w:r>
                          <w:rPr>
                            <w:rFonts w:cs="Arial"/>
                          </w:rPr>
                          <w:t>Option</w:t>
                        </w:r>
                      </w:p>
                    </w:tc>
                  </w:tr>
                  <w:tr w:rsidR="00F04EEF">
                    <w:trPr>
                      <w:trHeight w:val="588"/>
                    </w:trPr>
                    <w:tc>
                      <w:tcPr>
                        <w:tcW w:w="2444" w:type="dxa"/>
                      </w:tcPr>
                      <w:p w:rsidR="00F04EEF" w:rsidRDefault="00F04EEF">
                        <w:pPr>
                          <w:jc w:val="both"/>
                          <w:rPr>
                            <w:rFonts w:cs="Arial"/>
                          </w:rPr>
                        </w:pPr>
                      </w:p>
                    </w:tc>
                    <w:tc>
                      <w:tcPr>
                        <w:tcW w:w="2445" w:type="dxa"/>
                      </w:tcPr>
                      <w:p w:rsidR="00F04EEF" w:rsidRDefault="00F04EEF">
                        <w:pPr>
                          <w:jc w:val="both"/>
                          <w:rPr>
                            <w:rFonts w:cs="Arial"/>
                          </w:rPr>
                        </w:pPr>
                      </w:p>
                    </w:tc>
                    <w:tc>
                      <w:tcPr>
                        <w:tcW w:w="2445" w:type="dxa"/>
                      </w:tcPr>
                      <w:p w:rsidR="00F04EEF" w:rsidRDefault="00F04EEF">
                        <w:pPr>
                          <w:jc w:val="both"/>
                          <w:rPr>
                            <w:rFonts w:cs="Arial"/>
                          </w:rPr>
                        </w:pPr>
                      </w:p>
                    </w:tc>
                    <w:tc>
                      <w:tcPr>
                        <w:tcW w:w="2445" w:type="dxa"/>
                      </w:tcPr>
                      <w:p w:rsidR="00F04EEF" w:rsidRDefault="00F04EEF">
                        <w:pPr>
                          <w:jc w:val="both"/>
                          <w:rPr>
                            <w:rFonts w:cs="Arial"/>
                          </w:rPr>
                        </w:pPr>
                      </w:p>
                    </w:tc>
                  </w:tr>
                </w:tbl>
                <w:p w:rsidR="00F04EEF" w:rsidRDefault="00F04EEF">
                  <w:pPr>
                    <w:jc w:val="both"/>
                    <w:rPr>
                      <w:rFonts w:cs="Arial"/>
                    </w:rPr>
                  </w:pPr>
                </w:p>
                <w:p w:rsidR="00F04EEF" w:rsidRDefault="0099351E">
                  <w:pPr>
                    <w:pStyle w:val="Corpsdetexte"/>
                    <w:jc w:val="both"/>
                    <w:rPr>
                      <w:b w:val="0"/>
                      <w:szCs w:val="22"/>
                    </w:rPr>
                  </w:pPr>
                  <w:r>
                    <w:rPr>
                      <w:b w:val="0"/>
                      <w:szCs w:val="22"/>
                    </w:rPr>
                    <w:t>L’inscription n’a pas été prise pour la raison suivante :</w:t>
                  </w:r>
                </w:p>
                <w:p w:rsidR="00F04EEF" w:rsidRDefault="0099351E">
                  <w:pPr>
                    <w:pStyle w:val="Corpsdetexte"/>
                    <w:widowControl/>
                    <w:numPr>
                      <w:ilvl w:val="0"/>
                      <w:numId w:val="86"/>
                    </w:numPr>
                    <w:tabs>
                      <w:tab w:val="clear" w:pos="357"/>
                      <w:tab w:val="num" w:pos="426"/>
                    </w:tabs>
                    <w:ind w:left="426" w:hanging="426"/>
                    <w:jc w:val="both"/>
                    <w:rPr>
                      <w:b w:val="0"/>
                      <w:szCs w:val="22"/>
                    </w:rPr>
                  </w:pPr>
                  <w:r>
                    <w:rPr>
                      <w:b w:val="0"/>
                      <w:szCs w:val="22"/>
                    </w:rPr>
                    <w:t>L’élève ne remplit pas les conditions requises pour être régulièrement inscrit</w:t>
                  </w:r>
                </w:p>
                <w:p w:rsidR="00F04EEF" w:rsidRDefault="0099351E">
                  <w:pPr>
                    <w:pStyle w:val="Corpsdetexte"/>
                    <w:widowControl/>
                    <w:numPr>
                      <w:ilvl w:val="0"/>
                      <w:numId w:val="86"/>
                    </w:numPr>
                    <w:tabs>
                      <w:tab w:val="clear" w:pos="357"/>
                      <w:tab w:val="num" w:pos="426"/>
                    </w:tabs>
                    <w:ind w:left="426" w:hanging="426"/>
                    <w:jc w:val="both"/>
                    <w:rPr>
                      <w:b w:val="0"/>
                      <w:szCs w:val="22"/>
                    </w:rPr>
                  </w:pPr>
                  <w:r>
                    <w:rPr>
                      <w:b w:val="0"/>
                      <w:szCs w:val="22"/>
                    </w:rPr>
                    <w:t>L’élève a été orienté vers l’année supplémentaire au sein du premier degré (uniquement forme 4)</w:t>
                  </w:r>
                </w:p>
                <w:p w:rsidR="00F04EEF" w:rsidRDefault="0099351E">
                  <w:pPr>
                    <w:pStyle w:val="Corpsdetexte"/>
                    <w:widowControl/>
                    <w:numPr>
                      <w:ilvl w:val="0"/>
                      <w:numId w:val="86"/>
                    </w:numPr>
                    <w:tabs>
                      <w:tab w:val="clear" w:pos="357"/>
                      <w:tab w:val="num" w:pos="426"/>
                    </w:tabs>
                    <w:ind w:left="426" w:hanging="426"/>
                    <w:jc w:val="both"/>
                    <w:rPr>
                      <w:b w:val="0"/>
                      <w:szCs w:val="22"/>
                    </w:rPr>
                  </w:pPr>
                  <w:r>
                    <w:rPr>
                      <w:b w:val="0"/>
                      <w:szCs w:val="22"/>
                    </w:rPr>
                    <w:t xml:space="preserve">Le nombre d’élèves, limité en raison de l’insuffisance des locaux disponibles, est atteint : </w:t>
                  </w:r>
                  <w:r>
                    <w:rPr>
                      <w:b w:val="0"/>
                      <w:i/>
                      <w:szCs w:val="22"/>
                    </w:rPr>
                    <w:t>déclaration faite à la Direction Générale de l’Enseignement Obligatoire  le</w:t>
                  </w:r>
                  <w:r>
                    <w:rPr>
                      <w:b w:val="0"/>
                      <w:szCs w:val="22"/>
                    </w:rPr>
                    <w:t xml:space="preserve"> …… ……….… </w:t>
                  </w:r>
                </w:p>
                <w:p w:rsidR="00F04EEF" w:rsidRDefault="0099351E">
                  <w:pPr>
                    <w:pStyle w:val="Corpsdetexte"/>
                    <w:widowControl/>
                    <w:numPr>
                      <w:ilvl w:val="0"/>
                      <w:numId w:val="86"/>
                    </w:numPr>
                    <w:tabs>
                      <w:tab w:val="clear" w:pos="357"/>
                      <w:tab w:val="num" w:pos="426"/>
                    </w:tabs>
                    <w:ind w:left="426" w:hanging="426"/>
                    <w:jc w:val="both"/>
                    <w:rPr>
                      <w:b w:val="0"/>
                      <w:szCs w:val="22"/>
                    </w:rPr>
                  </w:pPr>
                  <w:r>
                    <w:rPr>
                      <w:b w:val="0"/>
                      <w:szCs w:val="22"/>
                    </w:rPr>
                    <w:t xml:space="preserve">L’élève a été exclu définitivement d’un établissement scolaire alors qu’il était majeur </w:t>
                  </w:r>
                </w:p>
                <w:p w:rsidR="00F04EEF" w:rsidRDefault="0099351E">
                  <w:pPr>
                    <w:pStyle w:val="Corpsdetexte"/>
                    <w:widowControl/>
                    <w:numPr>
                      <w:ilvl w:val="0"/>
                      <w:numId w:val="86"/>
                    </w:numPr>
                    <w:tabs>
                      <w:tab w:val="clear" w:pos="357"/>
                      <w:tab w:val="num" w:pos="426"/>
                    </w:tabs>
                    <w:ind w:left="426" w:hanging="426"/>
                    <w:jc w:val="both"/>
                    <w:rPr>
                      <w:b w:val="0"/>
                      <w:szCs w:val="22"/>
                    </w:rPr>
                  </w:pPr>
                  <w:r>
                    <w:rPr>
                      <w:b w:val="0"/>
                      <w:szCs w:val="22"/>
                    </w:rPr>
                    <w:t>L’élève majeur ou la personne investie de l’autorité parentale n’accepte pas de souscrire aux projets éducatifs et pédagogiques, au règlement des études et au règlement d’ordre intérieur</w:t>
                  </w:r>
                </w:p>
                <w:p w:rsidR="00F04EEF" w:rsidRDefault="0099351E">
                  <w:pPr>
                    <w:pStyle w:val="Corpsdetexte"/>
                    <w:widowControl/>
                    <w:numPr>
                      <w:ilvl w:val="0"/>
                      <w:numId w:val="86"/>
                    </w:numPr>
                    <w:tabs>
                      <w:tab w:val="clear" w:pos="357"/>
                      <w:tab w:val="num" w:pos="426"/>
                    </w:tabs>
                    <w:ind w:left="426" w:hanging="426"/>
                    <w:jc w:val="both"/>
                    <w:rPr>
                      <w:b w:val="0"/>
                      <w:szCs w:val="22"/>
                    </w:rPr>
                  </w:pPr>
                  <w:r>
                    <w:rPr>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Cette attestation mentionne en annexe l’adresse des services où la personne investie de l’autorité parentale peut obtenir une assistance en vue d’une inscription dans un autre établissement d’enseignement de la Communauté Française ou dans une institution assurant le respect de l’obligation scolaire.</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Date et signature du (de la) </w:t>
                  </w:r>
                  <w:proofErr w:type="gramStart"/>
                  <w:r>
                    <w:rPr>
                      <w:b w:val="0"/>
                      <w:szCs w:val="22"/>
                    </w:rPr>
                    <w:t>Chef(</w:t>
                  </w:r>
                  <w:proofErr w:type="gramEnd"/>
                  <w:r>
                    <w:rPr>
                      <w:b w:val="0"/>
                      <w:szCs w:val="22"/>
                    </w:rPr>
                    <w:t>fe) d’établissement</w:t>
                  </w:r>
                  <w:r>
                    <w:rPr>
                      <w:b w:val="0"/>
                      <w:szCs w:val="22"/>
                    </w:rPr>
                    <w:tab/>
                  </w:r>
                  <w:r>
                    <w:rPr>
                      <w:b w:val="0"/>
                      <w:szCs w:val="22"/>
                    </w:rPr>
                    <w:tab/>
                  </w:r>
                  <w:r>
                    <w:rPr>
                      <w:b w:val="0"/>
                      <w:szCs w:val="22"/>
                    </w:rPr>
                    <w:tab/>
                  </w:r>
                  <w:r>
                    <w:rPr>
                      <w:b w:val="0"/>
                      <w:szCs w:val="22"/>
                    </w:rPr>
                    <w:tab/>
                    <w:t>Pour réception</w:t>
                  </w:r>
                </w:p>
                <w:p w:rsidR="00F04EEF" w:rsidRDefault="00F04EEF">
                  <w:pPr>
                    <w:pStyle w:val="Corpsdetexte"/>
                    <w:jc w:val="both"/>
                    <w:rPr>
                      <w:szCs w:val="22"/>
                    </w:rPr>
                  </w:pPr>
                </w:p>
                <w:p w:rsidR="00F04EEF" w:rsidRDefault="0099351E">
                  <w:pPr>
                    <w:pStyle w:val="Corpsdetexte"/>
                    <w:jc w:val="both"/>
                    <w:rPr>
                      <w:szCs w:val="22"/>
                    </w:rPr>
                  </w:pPr>
                  <w:r>
                    <w:rPr>
                      <w:szCs w:val="22"/>
                    </w:rPr>
                    <w:t xml:space="preserve">Ce document est à délivrer au(x) responsable(s) </w:t>
                  </w:r>
                  <w:proofErr w:type="gramStart"/>
                  <w:r>
                    <w:rPr>
                      <w:szCs w:val="22"/>
                    </w:rPr>
                    <w:t>légal(</w:t>
                  </w:r>
                  <w:proofErr w:type="gramEnd"/>
                  <w:r>
                    <w:rPr>
                      <w:szCs w:val="22"/>
                    </w:rPr>
                    <w:t>aux (Ou à l’élève majeur) et une copie doit être envoyée à la commission zonale des inscriptions.</w:t>
                  </w:r>
                  <w:r>
                    <w:rPr>
                      <w:szCs w:val="22"/>
                    </w:rPr>
                    <w:br w:type="page"/>
                  </w:r>
                </w:p>
                <w:p w:rsidR="00F04EEF" w:rsidRDefault="0099351E">
                  <w:pPr>
                    <w:pStyle w:val="Titre4"/>
                  </w:pPr>
                  <w:bookmarkStart w:id="1261" w:name="_Toc412204098"/>
                  <w:bookmarkStart w:id="1262" w:name="_Toc414352906"/>
                  <w:bookmarkStart w:id="1263" w:name="_Toc453836929"/>
                  <w:r>
                    <w:t>Annexe 2 : Attestation de demande d’inscription dans l’enseignement secondaire spécialisé de plein exercice en application de l’article 88 du décret du 24 juillet 1997. Enseignement subventionné par la FWB</w:t>
                  </w:r>
                  <w:bookmarkEnd w:id="1261"/>
                  <w:bookmarkEnd w:id="1262"/>
                  <w:bookmarkEnd w:id="1263"/>
                </w:p>
                <w:p w:rsidR="00F04EEF" w:rsidRDefault="00F04EEF">
                  <w:pPr>
                    <w:pStyle w:val="Corpsdetexte"/>
                    <w:jc w:val="both"/>
                    <w:rPr>
                      <w:szCs w:val="22"/>
                    </w:rPr>
                  </w:pPr>
                </w:p>
                <w:p w:rsidR="00F04EEF" w:rsidRDefault="0099351E">
                  <w:pPr>
                    <w:pStyle w:val="Corpsdetexte"/>
                    <w:jc w:val="both"/>
                    <w:rPr>
                      <w:b w:val="0"/>
                      <w:szCs w:val="22"/>
                    </w:rPr>
                  </w:pPr>
                  <w:r>
                    <w:rPr>
                      <w:b w:val="0"/>
                      <w:szCs w:val="22"/>
                    </w:rPr>
                    <w:t>Cachet de l’établissement et mention de son adresse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Pouvoir organisateur :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Je soussigné(e) (Nom et Titre),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rsidR="00F04EEF" w:rsidRDefault="0099351E">
                  <w:pPr>
                    <w:pStyle w:val="Corpsdetexte"/>
                    <w:jc w:val="both"/>
                    <w:rPr>
                      <w:b w:val="0"/>
                      <w:szCs w:val="22"/>
                    </w:rPr>
                  </w:pPr>
                  <w:proofErr w:type="gramStart"/>
                  <w:r>
                    <w:rPr>
                      <w:b w:val="0"/>
                      <w:szCs w:val="22"/>
                    </w:rPr>
                    <w:t>agissant</w:t>
                  </w:r>
                  <w:proofErr w:type="gramEnd"/>
                  <w:r>
                    <w:rPr>
                      <w:b w:val="0"/>
                      <w:szCs w:val="22"/>
                    </w:rPr>
                    <w:t xml:space="preserve"> au nom du P.O.,</w:t>
                  </w:r>
                </w:p>
                <w:p w:rsidR="00F04EEF" w:rsidRDefault="0099351E">
                  <w:pPr>
                    <w:pStyle w:val="Corpsdetexte"/>
                    <w:jc w:val="both"/>
                    <w:rPr>
                      <w:b w:val="0"/>
                      <w:szCs w:val="22"/>
                    </w:rPr>
                  </w:pPr>
                  <w:proofErr w:type="gramStart"/>
                  <w:r>
                    <w:rPr>
                      <w:b w:val="0"/>
                      <w:szCs w:val="22"/>
                    </w:rPr>
                    <w:t>atteste</w:t>
                  </w:r>
                  <w:proofErr w:type="gramEnd"/>
                  <w:r>
                    <w:rPr>
                      <w:b w:val="0"/>
                      <w:szCs w:val="22"/>
                    </w:rPr>
                    <w:t xml:space="preserve"> que Madame / Monsieur </w:t>
                  </w:r>
                </w:p>
                <w:p w:rsidR="00F04EEF" w:rsidRDefault="0099351E">
                  <w:pPr>
                    <w:pStyle w:val="Corpsdetexte"/>
                    <w:jc w:val="both"/>
                    <w:rPr>
                      <w:b w:val="0"/>
                      <w:szCs w:val="22"/>
                    </w:rPr>
                  </w:pPr>
                  <w:proofErr w:type="gramStart"/>
                  <w:r>
                    <w:rPr>
                      <w:b w:val="0"/>
                      <w:szCs w:val="22"/>
                    </w:rPr>
                    <w:t>s’est</w:t>
                  </w:r>
                  <w:proofErr w:type="gramEnd"/>
                  <w:r>
                    <w:rPr>
                      <w:b w:val="0"/>
                      <w:szCs w:val="22"/>
                    </w:rPr>
                    <w:t xml:space="preserve"> présenté(e) ce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20</w:t>
                  </w:r>
                  <w:r>
                    <w:rPr>
                      <w:b w:val="0"/>
                      <w:szCs w:val="22"/>
                    </w:rPr>
                    <w:tab/>
                  </w:r>
                  <w:r>
                    <w:rPr>
                      <w:b w:val="0"/>
                      <w:szCs w:val="22"/>
                    </w:rPr>
                    <w:tab/>
                  </w:r>
                  <w:r>
                    <w:rPr>
                      <w:b w:val="0"/>
                      <w:szCs w:val="22"/>
                    </w:rPr>
                    <w:tab/>
                  </w:r>
                  <w:r>
                    <w:rPr>
                      <w:b w:val="0"/>
                      <w:szCs w:val="22"/>
                    </w:rPr>
                    <w:tab/>
                  </w:r>
                </w:p>
                <w:p w:rsidR="00F04EEF" w:rsidRDefault="0099351E">
                  <w:pPr>
                    <w:pStyle w:val="Corpsdetexte"/>
                    <w:jc w:val="both"/>
                    <w:rPr>
                      <w:b w:val="0"/>
                      <w:szCs w:val="22"/>
                    </w:rPr>
                  </w:pPr>
                  <w:proofErr w:type="gramStart"/>
                  <w:r>
                    <w:rPr>
                      <w:b w:val="0"/>
                      <w:szCs w:val="22"/>
                    </w:rPr>
                    <w:t>à</w:t>
                  </w:r>
                  <w:proofErr w:type="gramEnd"/>
                  <w:r>
                    <w:rPr>
                      <w:b w:val="0"/>
                      <w:szCs w:val="22"/>
                    </w:rPr>
                    <w:t xml:space="preserve"> l’établissement</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w:t>
                  </w:r>
                  <w:r>
                    <w:rPr>
                      <w:b w:val="0"/>
                      <w:szCs w:val="22"/>
                    </w:rPr>
                    <w:tab/>
                  </w:r>
                  <w:r>
                    <w:rPr>
                      <w:b w:val="0"/>
                      <w:szCs w:val="22"/>
                    </w:rPr>
                    <w:tab/>
                  </w:r>
                  <w:r>
                    <w:rPr>
                      <w:b w:val="0"/>
                      <w:szCs w:val="22"/>
                    </w:rPr>
                    <w:tab/>
                  </w:r>
                  <w:r>
                    <w:rPr>
                      <w:b w:val="0"/>
                      <w:szCs w:val="22"/>
                    </w:rPr>
                    <w:tab/>
                  </w:r>
                  <w:r>
                    <w:rPr>
                      <w:b w:val="0"/>
                      <w:szCs w:val="22"/>
                    </w:rPr>
                    <w:tab/>
                  </w:r>
                </w:p>
                <w:p w:rsidR="00F04EEF" w:rsidRDefault="0099351E">
                  <w:pPr>
                    <w:pStyle w:val="Corpsdetexte"/>
                    <w:jc w:val="both"/>
                    <w:rPr>
                      <w:b w:val="0"/>
                      <w:szCs w:val="22"/>
                    </w:rPr>
                  </w:pPr>
                  <w:proofErr w:type="gramStart"/>
                  <w:r>
                    <w:rPr>
                      <w:b w:val="0"/>
                      <w:szCs w:val="22"/>
                    </w:rPr>
                    <w:t>en</w:t>
                  </w:r>
                  <w:proofErr w:type="gramEnd"/>
                  <w:r>
                    <w:rPr>
                      <w:b w:val="0"/>
                      <w:szCs w:val="22"/>
                    </w:rPr>
                    <w:t xml:space="preserve"> vue de l’inscription de</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p>
                <w:p w:rsidR="00F04EEF" w:rsidRDefault="0099351E">
                  <w:pPr>
                    <w:pStyle w:val="Corpsdetexte"/>
                    <w:jc w:val="both"/>
                    <w:rPr>
                      <w:b w:val="0"/>
                      <w:szCs w:val="22"/>
                    </w:rPr>
                  </w:pPr>
                  <w:r>
                    <w:rPr>
                      <w:b w:val="0"/>
                      <w:szCs w:val="22"/>
                    </w:rPr>
                    <w:t>Né(e) le</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Cette inscription était sollicitée dans : </w:t>
                  </w:r>
                </w:p>
                <w:p w:rsidR="00F04EEF" w:rsidRDefault="00F04EEF">
                  <w:pPr>
                    <w:pStyle w:val="Corpsdetexte"/>
                    <w:jc w:val="both"/>
                    <w:rPr>
                      <w:b w:val="0"/>
                      <w:szCs w:val="22"/>
                    </w:rPr>
                  </w:pPr>
                </w:p>
                <w:p w:rsidR="00F04EEF" w:rsidRDefault="0099351E">
                  <w:pPr>
                    <w:numPr>
                      <w:ilvl w:val="0"/>
                      <w:numId w:val="98"/>
                    </w:numPr>
                    <w:suppressAutoHyphens/>
                    <w:ind w:left="426" w:hanging="426"/>
                    <w:jc w:val="both"/>
                    <w:rPr>
                      <w:rFonts w:cs="Arial"/>
                    </w:rPr>
                  </w:pPr>
                  <w:r>
                    <w:rPr>
                      <w:rFonts w:cs="Arial"/>
                    </w:rPr>
                    <w:t xml:space="preserve">Enseignement spécialisé de </w:t>
                  </w:r>
                  <w:proofErr w:type="gramStart"/>
                  <w:r>
                    <w:rPr>
                      <w:rFonts w:cs="Arial"/>
                    </w:rPr>
                    <w:t>forme</w:t>
                  </w:r>
                  <w:proofErr w:type="gramEnd"/>
                  <w:r>
                    <w:rPr>
                      <w:rFonts w:cs="Arial"/>
                    </w:rPr>
                    <w:t xml:space="preserve"> 1, 2 ou 3</w:t>
                  </w:r>
                </w:p>
                <w:p w:rsidR="00F04EEF" w:rsidRDefault="00F04EEF">
                  <w:pPr>
                    <w:jc w:val="both"/>
                    <w:rPr>
                      <w:rFonts w:cs="Arial"/>
                    </w:rPr>
                  </w:pPr>
                </w:p>
                <w:tbl>
                  <w:tblPr>
                    <w:tblW w:w="0" w:type="auto"/>
                    <w:tblLook w:val="01E0" w:firstRow="1" w:lastRow="1" w:firstColumn="1" w:lastColumn="1" w:noHBand="0" w:noVBand="0"/>
                  </w:tblPr>
                  <w:tblGrid>
                    <w:gridCol w:w="1523"/>
                    <w:gridCol w:w="1508"/>
                    <w:gridCol w:w="1518"/>
                    <w:gridCol w:w="1604"/>
                    <w:gridCol w:w="1604"/>
                    <w:gridCol w:w="1525"/>
                  </w:tblGrid>
                  <w:tr w:rsidR="00F04EEF">
                    <w:trPr>
                      <w:trHeight w:val="462"/>
                    </w:trPr>
                    <w:tc>
                      <w:tcPr>
                        <w:tcW w:w="1523" w:type="dxa"/>
                        <w:tcBorders>
                          <w:top w:val="single" w:sz="2" w:space="0" w:color="auto"/>
                          <w:left w:val="single" w:sz="2" w:space="0" w:color="auto"/>
                          <w:bottom w:val="single" w:sz="2" w:space="0" w:color="auto"/>
                          <w:right w:val="single" w:sz="2" w:space="0" w:color="auto"/>
                        </w:tcBorders>
                      </w:tcPr>
                      <w:p w:rsidR="00F04EEF" w:rsidRDefault="0099351E">
                        <w:pPr>
                          <w:jc w:val="both"/>
                          <w:rPr>
                            <w:rFonts w:cs="Arial"/>
                          </w:rPr>
                        </w:pPr>
                        <w:r>
                          <w:rPr>
                            <w:rFonts w:cs="Arial"/>
                          </w:rPr>
                          <w:t>Forme</w:t>
                        </w:r>
                      </w:p>
                    </w:tc>
                    <w:tc>
                      <w:tcPr>
                        <w:tcW w:w="1508" w:type="dxa"/>
                        <w:tcBorders>
                          <w:top w:val="single" w:sz="2" w:space="0" w:color="auto"/>
                          <w:left w:val="single" w:sz="2" w:space="0" w:color="auto"/>
                          <w:bottom w:val="single" w:sz="2" w:space="0" w:color="auto"/>
                          <w:right w:val="single" w:sz="2" w:space="0" w:color="auto"/>
                        </w:tcBorders>
                      </w:tcPr>
                      <w:p w:rsidR="00F04EEF" w:rsidRDefault="0099351E">
                        <w:pPr>
                          <w:jc w:val="both"/>
                          <w:rPr>
                            <w:rFonts w:cs="Arial"/>
                          </w:rPr>
                        </w:pPr>
                        <w:r>
                          <w:rPr>
                            <w:rFonts w:cs="Arial"/>
                          </w:rPr>
                          <w:t>Type</w:t>
                        </w:r>
                      </w:p>
                    </w:tc>
                    <w:tc>
                      <w:tcPr>
                        <w:tcW w:w="1518" w:type="dxa"/>
                        <w:tcBorders>
                          <w:top w:val="single" w:sz="2" w:space="0" w:color="auto"/>
                          <w:left w:val="single" w:sz="2" w:space="0" w:color="auto"/>
                          <w:bottom w:val="single" w:sz="2" w:space="0" w:color="auto"/>
                          <w:right w:val="single" w:sz="2" w:space="0" w:color="auto"/>
                        </w:tcBorders>
                      </w:tcPr>
                      <w:p w:rsidR="00F04EEF" w:rsidRDefault="0099351E">
                        <w:pPr>
                          <w:jc w:val="both"/>
                          <w:rPr>
                            <w:rFonts w:cs="Arial"/>
                          </w:rPr>
                        </w:pPr>
                        <w:r>
                          <w:rPr>
                            <w:rFonts w:cs="Arial"/>
                          </w:rPr>
                          <w:t>Phase</w:t>
                        </w:r>
                      </w:p>
                    </w:tc>
                    <w:tc>
                      <w:tcPr>
                        <w:tcW w:w="1604" w:type="dxa"/>
                        <w:tcBorders>
                          <w:top w:val="single" w:sz="2" w:space="0" w:color="auto"/>
                          <w:left w:val="single" w:sz="2" w:space="0" w:color="auto"/>
                          <w:bottom w:val="single" w:sz="2" w:space="0" w:color="auto"/>
                          <w:right w:val="single" w:sz="2" w:space="0" w:color="auto"/>
                        </w:tcBorders>
                      </w:tcPr>
                      <w:p w:rsidR="00F04EEF" w:rsidRDefault="0099351E">
                        <w:pPr>
                          <w:jc w:val="both"/>
                          <w:rPr>
                            <w:rFonts w:cs="Arial"/>
                          </w:rPr>
                        </w:pPr>
                        <w:r>
                          <w:rPr>
                            <w:rFonts w:cs="Arial"/>
                          </w:rPr>
                          <w:t>Secteur professionnel</w:t>
                        </w:r>
                      </w:p>
                    </w:tc>
                    <w:tc>
                      <w:tcPr>
                        <w:tcW w:w="1604" w:type="dxa"/>
                        <w:tcBorders>
                          <w:top w:val="single" w:sz="2" w:space="0" w:color="auto"/>
                          <w:left w:val="single" w:sz="2" w:space="0" w:color="auto"/>
                          <w:bottom w:val="single" w:sz="2" w:space="0" w:color="auto"/>
                          <w:right w:val="single" w:sz="2" w:space="0" w:color="auto"/>
                        </w:tcBorders>
                      </w:tcPr>
                      <w:p w:rsidR="00F04EEF" w:rsidRDefault="0099351E">
                        <w:pPr>
                          <w:jc w:val="both"/>
                          <w:rPr>
                            <w:rFonts w:cs="Arial"/>
                          </w:rPr>
                        </w:pPr>
                        <w:r>
                          <w:rPr>
                            <w:rFonts w:cs="Arial"/>
                          </w:rPr>
                          <w:t>Groupe professionnel</w:t>
                        </w:r>
                      </w:p>
                    </w:tc>
                    <w:tc>
                      <w:tcPr>
                        <w:tcW w:w="1525" w:type="dxa"/>
                        <w:tcBorders>
                          <w:top w:val="single" w:sz="2" w:space="0" w:color="auto"/>
                          <w:left w:val="single" w:sz="2" w:space="0" w:color="auto"/>
                          <w:bottom w:val="single" w:sz="2" w:space="0" w:color="auto"/>
                          <w:right w:val="single" w:sz="2" w:space="0" w:color="auto"/>
                        </w:tcBorders>
                      </w:tcPr>
                      <w:p w:rsidR="00F04EEF" w:rsidRDefault="0099351E">
                        <w:pPr>
                          <w:jc w:val="both"/>
                          <w:rPr>
                            <w:rFonts w:cs="Arial"/>
                          </w:rPr>
                        </w:pPr>
                        <w:r>
                          <w:rPr>
                            <w:rFonts w:cs="Arial"/>
                          </w:rPr>
                          <w:t>Métier</w:t>
                        </w:r>
                      </w:p>
                    </w:tc>
                  </w:tr>
                  <w:tr w:rsidR="00F04EEF">
                    <w:trPr>
                      <w:trHeight w:val="474"/>
                    </w:trPr>
                    <w:tc>
                      <w:tcPr>
                        <w:tcW w:w="1523" w:type="dxa"/>
                        <w:tcBorders>
                          <w:top w:val="single" w:sz="2" w:space="0" w:color="auto"/>
                          <w:left w:val="single" w:sz="2" w:space="0" w:color="auto"/>
                          <w:bottom w:val="single" w:sz="2" w:space="0" w:color="auto"/>
                          <w:right w:val="single" w:sz="2" w:space="0" w:color="auto"/>
                        </w:tcBorders>
                      </w:tcPr>
                      <w:p w:rsidR="00F04EEF" w:rsidRDefault="00F04EEF">
                        <w:pPr>
                          <w:jc w:val="both"/>
                          <w:rPr>
                            <w:rFonts w:cs="Arial"/>
                          </w:rPr>
                        </w:pPr>
                      </w:p>
                    </w:tc>
                    <w:tc>
                      <w:tcPr>
                        <w:tcW w:w="1508" w:type="dxa"/>
                        <w:tcBorders>
                          <w:top w:val="single" w:sz="2" w:space="0" w:color="auto"/>
                          <w:left w:val="single" w:sz="2" w:space="0" w:color="auto"/>
                          <w:bottom w:val="single" w:sz="2" w:space="0" w:color="auto"/>
                          <w:right w:val="single" w:sz="2" w:space="0" w:color="auto"/>
                        </w:tcBorders>
                      </w:tcPr>
                      <w:p w:rsidR="00F04EEF" w:rsidRDefault="00F04EEF">
                        <w:pPr>
                          <w:jc w:val="both"/>
                          <w:rPr>
                            <w:rFonts w:cs="Arial"/>
                          </w:rPr>
                        </w:pPr>
                      </w:p>
                    </w:tc>
                    <w:tc>
                      <w:tcPr>
                        <w:tcW w:w="1518" w:type="dxa"/>
                        <w:tcBorders>
                          <w:top w:val="single" w:sz="2" w:space="0" w:color="auto"/>
                          <w:left w:val="single" w:sz="2" w:space="0" w:color="auto"/>
                          <w:bottom w:val="single" w:sz="2" w:space="0" w:color="auto"/>
                          <w:right w:val="single" w:sz="2" w:space="0" w:color="auto"/>
                        </w:tcBorders>
                      </w:tcPr>
                      <w:p w:rsidR="00F04EEF" w:rsidRDefault="00F04EEF">
                        <w:pPr>
                          <w:jc w:val="both"/>
                          <w:rPr>
                            <w:rFonts w:cs="Arial"/>
                          </w:rPr>
                        </w:pPr>
                      </w:p>
                    </w:tc>
                    <w:tc>
                      <w:tcPr>
                        <w:tcW w:w="1604" w:type="dxa"/>
                        <w:tcBorders>
                          <w:top w:val="single" w:sz="2" w:space="0" w:color="auto"/>
                          <w:left w:val="single" w:sz="2" w:space="0" w:color="auto"/>
                          <w:bottom w:val="single" w:sz="2" w:space="0" w:color="auto"/>
                          <w:right w:val="single" w:sz="2" w:space="0" w:color="auto"/>
                        </w:tcBorders>
                      </w:tcPr>
                      <w:p w:rsidR="00F04EEF" w:rsidRDefault="00F04EEF">
                        <w:pPr>
                          <w:jc w:val="both"/>
                          <w:rPr>
                            <w:rFonts w:cs="Arial"/>
                          </w:rPr>
                        </w:pPr>
                      </w:p>
                    </w:tc>
                    <w:tc>
                      <w:tcPr>
                        <w:tcW w:w="1604" w:type="dxa"/>
                        <w:tcBorders>
                          <w:top w:val="single" w:sz="2" w:space="0" w:color="auto"/>
                          <w:left w:val="single" w:sz="2" w:space="0" w:color="auto"/>
                          <w:bottom w:val="single" w:sz="2" w:space="0" w:color="auto"/>
                          <w:right w:val="single" w:sz="2" w:space="0" w:color="auto"/>
                        </w:tcBorders>
                      </w:tcPr>
                      <w:p w:rsidR="00F04EEF" w:rsidRDefault="00F04EEF">
                        <w:pPr>
                          <w:jc w:val="both"/>
                          <w:rPr>
                            <w:rFonts w:cs="Arial"/>
                          </w:rPr>
                        </w:pPr>
                      </w:p>
                    </w:tc>
                    <w:tc>
                      <w:tcPr>
                        <w:tcW w:w="1525" w:type="dxa"/>
                        <w:tcBorders>
                          <w:top w:val="single" w:sz="2" w:space="0" w:color="auto"/>
                          <w:left w:val="single" w:sz="2" w:space="0" w:color="auto"/>
                          <w:bottom w:val="single" w:sz="2" w:space="0" w:color="auto"/>
                          <w:right w:val="single" w:sz="2" w:space="0" w:color="auto"/>
                        </w:tcBorders>
                      </w:tcPr>
                      <w:p w:rsidR="00F04EEF" w:rsidRDefault="00F04EEF">
                        <w:pPr>
                          <w:jc w:val="both"/>
                          <w:rPr>
                            <w:rFonts w:cs="Arial"/>
                          </w:rPr>
                        </w:pPr>
                      </w:p>
                    </w:tc>
                  </w:tr>
                  <w:tr w:rsidR="00F04EEF">
                    <w:trPr>
                      <w:trHeight w:val="126"/>
                    </w:trPr>
                    <w:tc>
                      <w:tcPr>
                        <w:tcW w:w="1523" w:type="dxa"/>
                        <w:tcBorders>
                          <w:top w:val="single" w:sz="2" w:space="0" w:color="auto"/>
                        </w:tcBorders>
                      </w:tcPr>
                      <w:p w:rsidR="00F04EEF" w:rsidRDefault="00F04EEF">
                        <w:pPr>
                          <w:jc w:val="both"/>
                          <w:rPr>
                            <w:rFonts w:cs="Arial"/>
                          </w:rPr>
                        </w:pPr>
                      </w:p>
                    </w:tc>
                    <w:tc>
                      <w:tcPr>
                        <w:tcW w:w="1508" w:type="dxa"/>
                        <w:tcBorders>
                          <w:top w:val="single" w:sz="2" w:space="0" w:color="auto"/>
                        </w:tcBorders>
                      </w:tcPr>
                      <w:p w:rsidR="00F04EEF" w:rsidRDefault="00F04EEF">
                        <w:pPr>
                          <w:jc w:val="both"/>
                          <w:rPr>
                            <w:rFonts w:cs="Arial"/>
                          </w:rPr>
                        </w:pPr>
                      </w:p>
                    </w:tc>
                    <w:tc>
                      <w:tcPr>
                        <w:tcW w:w="1518" w:type="dxa"/>
                        <w:tcBorders>
                          <w:top w:val="single" w:sz="2" w:space="0" w:color="auto"/>
                        </w:tcBorders>
                      </w:tcPr>
                      <w:p w:rsidR="00F04EEF" w:rsidRDefault="00F04EEF">
                        <w:pPr>
                          <w:jc w:val="both"/>
                          <w:rPr>
                            <w:rFonts w:cs="Arial"/>
                          </w:rPr>
                        </w:pPr>
                      </w:p>
                    </w:tc>
                    <w:tc>
                      <w:tcPr>
                        <w:tcW w:w="1604" w:type="dxa"/>
                        <w:tcBorders>
                          <w:top w:val="single" w:sz="2" w:space="0" w:color="auto"/>
                        </w:tcBorders>
                      </w:tcPr>
                      <w:p w:rsidR="00F04EEF" w:rsidRDefault="00F04EEF">
                        <w:pPr>
                          <w:jc w:val="both"/>
                          <w:rPr>
                            <w:rFonts w:cs="Arial"/>
                          </w:rPr>
                        </w:pPr>
                      </w:p>
                    </w:tc>
                    <w:tc>
                      <w:tcPr>
                        <w:tcW w:w="1604" w:type="dxa"/>
                        <w:tcBorders>
                          <w:top w:val="single" w:sz="2" w:space="0" w:color="auto"/>
                        </w:tcBorders>
                      </w:tcPr>
                      <w:p w:rsidR="00F04EEF" w:rsidRDefault="00F04EEF">
                        <w:pPr>
                          <w:jc w:val="both"/>
                          <w:rPr>
                            <w:rFonts w:cs="Arial"/>
                          </w:rPr>
                        </w:pPr>
                      </w:p>
                    </w:tc>
                    <w:tc>
                      <w:tcPr>
                        <w:tcW w:w="1525" w:type="dxa"/>
                        <w:tcBorders>
                          <w:top w:val="single" w:sz="2" w:space="0" w:color="auto"/>
                        </w:tcBorders>
                      </w:tcPr>
                      <w:p w:rsidR="00F04EEF" w:rsidRDefault="00F04EEF">
                        <w:pPr>
                          <w:jc w:val="both"/>
                          <w:rPr>
                            <w:rFonts w:cs="Arial"/>
                          </w:rPr>
                        </w:pPr>
                      </w:p>
                    </w:tc>
                  </w:tr>
                </w:tbl>
                <w:p w:rsidR="00F04EEF" w:rsidRDefault="0099351E">
                  <w:pPr>
                    <w:numPr>
                      <w:ilvl w:val="0"/>
                      <w:numId w:val="76"/>
                    </w:numPr>
                    <w:suppressAutoHyphens/>
                    <w:ind w:left="567" w:hanging="567"/>
                    <w:jc w:val="both"/>
                    <w:rPr>
                      <w:rFonts w:cs="Arial"/>
                    </w:rPr>
                  </w:pPr>
                  <w:r>
                    <w:rPr>
                      <w:rFonts w:cs="Arial"/>
                    </w:rPr>
                    <w:t>Enseignement spécialisé de forme 4</w:t>
                  </w:r>
                </w:p>
                <w:p w:rsidR="00F04EEF" w:rsidRDefault="00F04EEF">
                  <w:pPr>
                    <w:jc w:val="both"/>
                    <w:rPr>
                      <w:rFonts w:cs="Arial"/>
                    </w:rPr>
                  </w:pPr>
                </w:p>
                <w:tbl>
                  <w:tblPr>
                    <w:tblW w:w="0" w:type="auto"/>
                    <w:tblInd w:w="-25" w:type="dxa"/>
                    <w:tblLayout w:type="fixed"/>
                    <w:tblLook w:val="0000" w:firstRow="0" w:lastRow="0" w:firstColumn="0" w:lastColumn="0" w:noHBand="0" w:noVBand="0"/>
                  </w:tblPr>
                  <w:tblGrid>
                    <w:gridCol w:w="1800"/>
                    <w:gridCol w:w="2615"/>
                    <w:gridCol w:w="3277"/>
                    <w:gridCol w:w="2080"/>
                  </w:tblGrid>
                  <w:tr w:rsidR="00F04EEF">
                    <w:trPr>
                      <w:trHeight w:val="253"/>
                    </w:trPr>
                    <w:tc>
                      <w:tcPr>
                        <w:tcW w:w="1800" w:type="dxa"/>
                        <w:tcBorders>
                          <w:top w:val="single" w:sz="4" w:space="0" w:color="000000"/>
                          <w:left w:val="single" w:sz="4" w:space="0" w:color="000000"/>
                          <w:bottom w:val="single" w:sz="4" w:space="0" w:color="000000"/>
                        </w:tcBorders>
                      </w:tcPr>
                      <w:p w:rsidR="00F04EEF" w:rsidRDefault="0099351E">
                        <w:pPr>
                          <w:snapToGrid w:val="0"/>
                          <w:jc w:val="both"/>
                          <w:rPr>
                            <w:rFonts w:cs="Arial"/>
                          </w:rPr>
                        </w:pPr>
                        <w:r>
                          <w:rPr>
                            <w:rFonts w:cs="Arial"/>
                          </w:rPr>
                          <w:t>Type</w:t>
                        </w:r>
                      </w:p>
                    </w:tc>
                    <w:tc>
                      <w:tcPr>
                        <w:tcW w:w="2615" w:type="dxa"/>
                        <w:tcBorders>
                          <w:top w:val="single" w:sz="4" w:space="0" w:color="000000"/>
                          <w:left w:val="single" w:sz="4" w:space="0" w:color="000000"/>
                          <w:bottom w:val="single" w:sz="4" w:space="0" w:color="000000"/>
                        </w:tcBorders>
                      </w:tcPr>
                      <w:p w:rsidR="00F04EEF" w:rsidRDefault="0099351E">
                        <w:pPr>
                          <w:snapToGrid w:val="0"/>
                          <w:jc w:val="both"/>
                          <w:rPr>
                            <w:rFonts w:cs="Arial"/>
                          </w:rPr>
                        </w:pPr>
                        <w:r>
                          <w:rPr>
                            <w:rFonts w:cs="Arial"/>
                          </w:rPr>
                          <w:t>Année</w:t>
                        </w:r>
                      </w:p>
                    </w:tc>
                    <w:tc>
                      <w:tcPr>
                        <w:tcW w:w="3277" w:type="dxa"/>
                        <w:tcBorders>
                          <w:top w:val="single" w:sz="4" w:space="0" w:color="000000"/>
                          <w:left w:val="single" w:sz="4" w:space="0" w:color="000000"/>
                          <w:bottom w:val="single" w:sz="4" w:space="0" w:color="000000"/>
                        </w:tcBorders>
                      </w:tcPr>
                      <w:p w:rsidR="00F04EEF" w:rsidRDefault="0099351E">
                        <w:pPr>
                          <w:snapToGrid w:val="0"/>
                          <w:jc w:val="both"/>
                          <w:rPr>
                            <w:rFonts w:cs="Arial"/>
                          </w:rPr>
                        </w:pPr>
                        <w:r>
                          <w:rPr>
                            <w:rFonts w:cs="Arial"/>
                          </w:rPr>
                          <w:t>Section</w:t>
                        </w:r>
                      </w:p>
                    </w:tc>
                    <w:tc>
                      <w:tcPr>
                        <w:tcW w:w="2080"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both"/>
                          <w:rPr>
                            <w:rFonts w:cs="Arial"/>
                          </w:rPr>
                        </w:pPr>
                        <w:r>
                          <w:rPr>
                            <w:rFonts w:cs="Arial"/>
                          </w:rPr>
                          <w:t>Option</w:t>
                        </w:r>
                      </w:p>
                    </w:tc>
                  </w:tr>
                  <w:tr w:rsidR="00F04EEF">
                    <w:trPr>
                      <w:trHeight w:val="387"/>
                    </w:trPr>
                    <w:tc>
                      <w:tcPr>
                        <w:tcW w:w="1800" w:type="dxa"/>
                        <w:tcBorders>
                          <w:top w:val="single" w:sz="4" w:space="0" w:color="000000"/>
                          <w:left w:val="single" w:sz="4" w:space="0" w:color="000000"/>
                          <w:bottom w:val="single" w:sz="4" w:space="0" w:color="000000"/>
                        </w:tcBorders>
                      </w:tcPr>
                      <w:p w:rsidR="00F04EEF" w:rsidRDefault="00F04EEF">
                        <w:pPr>
                          <w:snapToGrid w:val="0"/>
                          <w:jc w:val="both"/>
                          <w:rPr>
                            <w:rFonts w:cs="Arial"/>
                          </w:rPr>
                        </w:pPr>
                      </w:p>
                    </w:tc>
                    <w:tc>
                      <w:tcPr>
                        <w:tcW w:w="2615" w:type="dxa"/>
                        <w:tcBorders>
                          <w:top w:val="single" w:sz="4" w:space="0" w:color="000000"/>
                          <w:left w:val="single" w:sz="4" w:space="0" w:color="000000"/>
                          <w:bottom w:val="single" w:sz="4" w:space="0" w:color="000000"/>
                        </w:tcBorders>
                      </w:tcPr>
                      <w:p w:rsidR="00F04EEF" w:rsidRDefault="00F04EEF">
                        <w:pPr>
                          <w:snapToGrid w:val="0"/>
                          <w:jc w:val="both"/>
                          <w:rPr>
                            <w:rFonts w:cs="Arial"/>
                          </w:rPr>
                        </w:pPr>
                      </w:p>
                    </w:tc>
                    <w:tc>
                      <w:tcPr>
                        <w:tcW w:w="3277" w:type="dxa"/>
                        <w:tcBorders>
                          <w:top w:val="single" w:sz="4" w:space="0" w:color="000000"/>
                          <w:left w:val="single" w:sz="4" w:space="0" w:color="000000"/>
                          <w:bottom w:val="single" w:sz="4" w:space="0" w:color="000000"/>
                        </w:tcBorders>
                      </w:tcPr>
                      <w:p w:rsidR="00F04EEF" w:rsidRDefault="00F04EEF">
                        <w:pPr>
                          <w:snapToGrid w:val="0"/>
                          <w:jc w:val="both"/>
                          <w:rPr>
                            <w:rFonts w:cs="Arial"/>
                          </w:rPr>
                        </w:pPr>
                      </w:p>
                    </w:tc>
                    <w:tc>
                      <w:tcPr>
                        <w:tcW w:w="2080" w:type="dxa"/>
                        <w:tcBorders>
                          <w:top w:val="single" w:sz="4" w:space="0" w:color="000000"/>
                          <w:left w:val="single" w:sz="4" w:space="0" w:color="000000"/>
                          <w:bottom w:val="single" w:sz="4" w:space="0" w:color="000000"/>
                          <w:right w:val="single" w:sz="4" w:space="0" w:color="000000"/>
                        </w:tcBorders>
                      </w:tcPr>
                      <w:p w:rsidR="00F04EEF" w:rsidRDefault="00F04EEF">
                        <w:pPr>
                          <w:snapToGrid w:val="0"/>
                          <w:jc w:val="both"/>
                          <w:rPr>
                            <w:rFonts w:cs="Arial"/>
                          </w:rPr>
                        </w:pPr>
                      </w:p>
                    </w:tc>
                  </w:tr>
                </w:tbl>
                <w:p w:rsidR="00F04EEF" w:rsidRDefault="00F04EEF">
                  <w:pPr>
                    <w:pStyle w:val="Corpsdetexte"/>
                    <w:jc w:val="both"/>
                    <w:rPr>
                      <w:szCs w:val="22"/>
                    </w:rPr>
                  </w:pPr>
                </w:p>
                <w:p w:rsidR="00F04EEF" w:rsidRDefault="0099351E">
                  <w:pPr>
                    <w:pStyle w:val="Corpsdetexte"/>
                    <w:jc w:val="both"/>
                    <w:rPr>
                      <w:b w:val="0"/>
                      <w:szCs w:val="22"/>
                    </w:rPr>
                  </w:pPr>
                  <w:r>
                    <w:rPr>
                      <w:b w:val="0"/>
                      <w:szCs w:val="22"/>
                    </w:rPr>
                    <w:t>L’inscription n’a pas été prise pour la raison suivante :</w:t>
                  </w:r>
                </w:p>
                <w:p w:rsidR="00F04EEF" w:rsidRDefault="0099351E">
                  <w:pPr>
                    <w:pStyle w:val="Corpsdetexte"/>
                    <w:widowControl/>
                    <w:numPr>
                      <w:ilvl w:val="0"/>
                      <w:numId w:val="91"/>
                    </w:numPr>
                    <w:tabs>
                      <w:tab w:val="clear" w:pos="357"/>
                      <w:tab w:val="num" w:pos="426"/>
                    </w:tabs>
                    <w:ind w:left="567" w:hanging="567"/>
                    <w:jc w:val="both"/>
                    <w:rPr>
                      <w:b w:val="0"/>
                      <w:szCs w:val="22"/>
                    </w:rPr>
                  </w:pPr>
                  <w:r>
                    <w:rPr>
                      <w:b w:val="0"/>
                      <w:szCs w:val="22"/>
                    </w:rPr>
                    <w:t xml:space="preserve">L’élève ne remplit pas les conditions requises pour être régulièrement inscrit régulier </w:t>
                  </w:r>
                </w:p>
                <w:p w:rsidR="00F04EEF" w:rsidRDefault="0099351E">
                  <w:pPr>
                    <w:pStyle w:val="Corpsdetexte"/>
                    <w:widowControl/>
                    <w:numPr>
                      <w:ilvl w:val="0"/>
                      <w:numId w:val="91"/>
                    </w:numPr>
                    <w:tabs>
                      <w:tab w:val="clear" w:pos="357"/>
                      <w:tab w:val="num" w:pos="426"/>
                    </w:tabs>
                    <w:ind w:left="567" w:hanging="567"/>
                    <w:jc w:val="both"/>
                    <w:rPr>
                      <w:b w:val="0"/>
                      <w:szCs w:val="22"/>
                    </w:rPr>
                  </w:pPr>
                  <w:r>
                    <w:rPr>
                      <w:b w:val="0"/>
                      <w:szCs w:val="22"/>
                    </w:rPr>
                    <w:t xml:space="preserve">L’élève a été orienté vers une année complémentaire au premier </w:t>
                  </w:r>
                  <w:proofErr w:type="gramStart"/>
                  <w:r>
                    <w:rPr>
                      <w:b w:val="0"/>
                      <w:szCs w:val="22"/>
                    </w:rPr>
                    <w:t>degré(</w:t>
                  </w:r>
                  <w:proofErr w:type="gramEnd"/>
                  <w:r>
                    <w:rPr>
                      <w:b w:val="0"/>
                      <w:szCs w:val="22"/>
                    </w:rPr>
                    <w:t>uniquement forme 4)</w:t>
                  </w:r>
                </w:p>
                <w:p w:rsidR="00F04EEF" w:rsidRDefault="0099351E">
                  <w:pPr>
                    <w:pStyle w:val="Corpsdetexte"/>
                    <w:widowControl/>
                    <w:numPr>
                      <w:ilvl w:val="0"/>
                      <w:numId w:val="91"/>
                    </w:numPr>
                    <w:tabs>
                      <w:tab w:val="clear" w:pos="357"/>
                      <w:tab w:val="num" w:pos="426"/>
                    </w:tabs>
                    <w:ind w:left="567" w:hanging="567"/>
                    <w:jc w:val="both"/>
                    <w:rPr>
                      <w:b w:val="0"/>
                      <w:szCs w:val="22"/>
                    </w:rPr>
                  </w:pPr>
                  <w:r>
                    <w:rPr>
                      <w:b w:val="0"/>
                      <w:szCs w:val="22"/>
                    </w:rPr>
                    <w:t xml:space="preserve">Le nombre d’élèves, limité en raison de l’insuffisance des locaux disponibles, est atteint : </w:t>
                  </w:r>
                  <w:r>
                    <w:rPr>
                      <w:b w:val="0"/>
                      <w:i/>
                      <w:szCs w:val="22"/>
                    </w:rPr>
                    <w:t>déclaration faite à la Direction Générale de l’Enseignement Obligatoire  le</w:t>
                  </w:r>
                  <w:r>
                    <w:rPr>
                      <w:b w:val="0"/>
                      <w:szCs w:val="22"/>
                    </w:rPr>
                    <w:t xml:space="preserve"> </w:t>
                  </w:r>
                </w:p>
                <w:p w:rsidR="00F04EEF" w:rsidRDefault="0099351E">
                  <w:pPr>
                    <w:pStyle w:val="Corpsdetexte"/>
                    <w:widowControl/>
                    <w:numPr>
                      <w:ilvl w:val="0"/>
                      <w:numId w:val="91"/>
                    </w:numPr>
                    <w:tabs>
                      <w:tab w:val="clear" w:pos="357"/>
                      <w:tab w:val="num" w:pos="426"/>
                    </w:tabs>
                    <w:ind w:left="567" w:hanging="567"/>
                    <w:jc w:val="both"/>
                    <w:rPr>
                      <w:b w:val="0"/>
                      <w:szCs w:val="22"/>
                    </w:rPr>
                  </w:pPr>
                  <w:r>
                    <w:rPr>
                      <w:b w:val="0"/>
                      <w:szCs w:val="22"/>
                    </w:rPr>
                    <w:t>L’élève majeur ou la personne investie de l’autorité parentale n’accepte pas de souscrire aux projets éducatifs et pédagogiques du pouvoir organisateur, au règlement des études et au règlement d’ordre intérieur</w:t>
                  </w:r>
                </w:p>
                <w:p w:rsidR="00F04EEF" w:rsidRDefault="0099351E">
                  <w:pPr>
                    <w:pStyle w:val="Corpsdetexte"/>
                    <w:widowControl/>
                    <w:numPr>
                      <w:ilvl w:val="0"/>
                      <w:numId w:val="91"/>
                    </w:numPr>
                    <w:tabs>
                      <w:tab w:val="clear" w:pos="357"/>
                      <w:tab w:val="num" w:pos="426"/>
                    </w:tabs>
                    <w:ind w:left="567" w:hanging="567"/>
                    <w:jc w:val="both"/>
                    <w:rPr>
                      <w:b w:val="0"/>
                      <w:szCs w:val="22"/>
                    </w:rPr>
                  </w:pPr>
                  <w:r>
                    <w:rPr>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rsidR="00F04EEF" w:rsidRDefault="0099351E">
                  <w:pPr>
                    <w:pStyle w:val="Corpsdetexte"/>
                    <w:widowControl/>
                    <w:numPr>
                      <w:ilvl w:val="0"/>
                      <w:numId w:val="91"/>
                    </w:numPr>
                    <w:tabs>
                      <w:tab w:val="clear" w:pos="357"/>
                      <w:tab w:val="num" w:pos="426"/>
                    </w:tabs>
                    <w:ind w:left="567" w:hanging="567"/>
                    <w:jc w:val="both"/>
                    <w:rPr>
                      <w:b w:val="0"/>
                      <w:szCs w:val="22"/>
                    </w:rPr>
                  </w:pPr>
                  <w:r>
                    <w:rPr>
                      <w:b w:val="0"/>
                      <w:szCs w:val="22"/>
                    </w:rPr>
                    <w:t xml:space="preserve">L’élève a été exclu définitivement d’un établissement scolaire alors qu’il était majeur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Cette attestation mentionne en annexe l’adresse des services où la personne investie de l’autorité parentale peut obtenir une assistance en vue d’une inscription dans un autre établissement.</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Date et signature du délégué du P.O.                                                               Pour réception</w:t>
                  </w:r>
                </w:p>
                <w:p w:rsidR="00F04EEF" w:rsidRDefault="00F04EEF">
                  <w:pPr>
                    <w:pStyle w:val="Corpsdetexte"/>
                    <w:jc w:val="both"/>
                    <w:rPr>
                      <w:b w:val="0"/>
                      <w:szCs w:val="22"/>
                    </w:rPr>
                  </w:pPr>
                </w:p>
                <w:p w:rsidR="00F04EEF" w:rsidRDefault="0099351E">
                  <w:pPr>
                    <w:pStyle w:val="Corpsdetexte"/>
                    <w:jc w:val="both"/>
                    <w:rPr>
                      <w:sz w:val="20"/>
                    </w:rPr>
                  </w:pPr>
                  <w:r>
                    <w:rPr>
                      <w:sz w:val="20"/>
                    </w:rPr>
                    <w:t xml:space="preserve">Ce document est à délivrer au(x) responsable(s) </w:t>
                  </w:r>
                  <w:proofErr w:type="gramStart"/>
                  <w:r>
                    <w:rPr>
                      <w:sz w:val="20"/>
                    </w:rPr>
                    <w:t>légal(</w:t>
                  </w:r>
                  <w:proofErr w:type="gramEnd"/>
                  <w:r>
                    <w:rPr>
                      <w:sz w:val="20"/>
                    </w:rPr>
                    <w:t xml:space="preserve">aux) (ou à l’élève majeur) et copie doit être envoyée  à l’organe de représentation et de coordination ou à la commission des inscriptions. </w:t>
                  </w:r>
                </w:p>
                <w:p w:rsidR="00F04EEF" w:rsidRDefault="0099351E">
                  <w:pPr>
                    <w:pStyle w:val="Corpsdetexte"/>
                    <w:jc w:val="both"/>
                    <w:rPr>
                      <w:b w:val="0"/>
                      <w:strike/>
                      <w:u w:val="single"/>
                    </w:rPr>
                  </w:pPr>
                  <w:r>
                    <w:rPr>
                      <w:sz w:val="20"/>
                    </w:rPr>
                    <w:t>Dans le cas où le P.O. n’a pas adhéré à un organe de représentation ou de coordination, la copie doit être transmise à la D.G.E.O.</w:t>
                  </w:r>
                  <w:proofErr w:type="gramStart"/>
                  <w:r>
                    <w:rPr>
                      <w:sz w:val="20"/>
                    </w:rPr>
                    <w:t>,1</w:t>
                  </w:r>
                  <w:proofErr w:type="gramEnd"/>
                  <w:r>
                    <w:rPr>
                      <w:sz w:val="20"/>
                    </w:rPr>
                    <w:t>, rue Adolphe Lavallée, 1080 BRUXELLES.</w:t>
                  </w:r>
                  <w:bookmarkStart w:id="1264" w:name="_Verso_des_annexes"/>
                  <w:bookmarkStart w:id="1265" w:name="_Annexes_5_et"/>
                  <w:bookmarkStart w:id="1266" w:name="_Toc412204099"/>
                  <w:bookmarkStart w:id="1267" w:name="_Toc414352907"/>
                  <w:bookmarkStart w:id="1268" w:name="_Toc453836930"/>
                  <w:bookmarkEnd w:id="1264"/>
                  <w:bookmarkEnd w:id="1265"/>
                  <w:r>
                    <w:rPr>
                      <w:strike/>
                    </w:rPr>
                    <w:br w:type="page"/>
                  </w:r>
                </w:p>
                <w:p w:rsidR="00F04EEF" w:rsidRDefault="0099351E">
                  <w:pPr>
                    <w:pStyle w:val="Titre4"/>
                  </w:pPr>
                  <w:r>
                    <w:t>Annexes 1 et 2 / Verso : Attestation de demande d’inscription </w:t>
                  </w:r>
                  <w:bookmarkEnd w:id="1266"/>
                  <w:bookmarkEnd w:id="1267"/>
                  <w:bookmarkEnd w:id="1268"/>
                </w:p>
                <w:p w:rsidR="00F04EEF" w:rsidRDefault="00F04EEF">
                  <w:pPr>
                    <w:tabs>
                      <w:tab w:val="num" w:pos="0"/>
                    </w:tabs>
                    <w:rPr>
                      <w:rFonts w:cs="Arial"/>
                      <w:b/>
                      <w:smallCaps/>
                    </w:rPr>
                  </w:pPr>
                </w:p>
                <w:p w:rsidR="00F04EEF" w:rsidRDefault="0099351E">
                  <w:pPr>
                    <w:tabs>
                      <w:tab w:val="num" w:pos="0"/>
                    </w:tabs>
                    <w:rPr>
                      <w:rFonts w:cs="Arial"/>
                      <w:b/>
                      <w:color w:val="000080"/>
                    </w:rPr>
                  </w:pPr>
                  <w:r>
                    <w:rPr>
                      <w:rFonts w:cs="Arial"/>
                      <w:b/>
                      <w:color w:val="000080"/>
                    </w:rPr>
                    <w:t>ENSEIGNEMENT ORGANISE PAR LA FEDERATION WALLONIE-BRUXELLES</w:t>
                  </w:r>
                </w:p>
                <w:p w:rsidR="00F04EEF" w:rsidRDefault="00F04EEF">
                  <w:pPr>
                    <w:tabs>
                      <w:tab w:val="num" w:pos="0"/>
                    </w:tabs>
                    <w:rPr>
                      <w:rFonts w:cs="Arial"/>
                      <w:b/>
                      <w:color w:val="000080"/>
                    </w:rPr>
                  </w:pPr>
                </w:p>
                <w:tbl>
                  <w:tblPr>
                    <w:tblStyle w:val="Grilledutableau"/>
                    <w:tblW w:w="0" w:type="auto"/>
                    <w:tblLook w:val="04A0" w:firstRow="1" w:lastRow="0" w:firstColumn="1" w:lastColumn="0" w:noHBand="0" w:noVBand="1"/>
                  </w:tblPr>
                  <w:tblGrid>
                    <w:gridCol w:w="4672"/>
                    <w:gridCol w:w="4672"/>
                  </w:tblGrid>
                  <w:tr w:rsidR="00F04EEF">
                    <w:tc>
                      <w:tcPr>
                        <w:tcW w:w="4672" w:type="dxa"/>
                      </w:tcPr>
                      <w:p w:rsidR="00F04EEF" w:rsidRDefault="0099351E">
                        <w:pPr>
                          <w:tabs>
                            <w:tab w:val="num" w:pos="0"/>
                          </w:tabs>
                          <w:snapToGrid w:val="0"/>
                        </w:pPr>
                        <w:r>
                          <w:t>Zone 1 : Bruxelles-Capitale</w:t>
                        </w:r>
                      </w:p>
                      <w:p w:rsidR="00F04EEF" w:rsidRDefault="00F04EEF">
                        <w:pPr>
                          <w:tabs>
                            <w:tab w:val="num" w:pos="0"/>
                          </w:tabs>
                          <w:snapToGrid w:val="0"/>
                          <w:rPr>
                            <w:b/>
                            <w:smallCaps/>
                          </w:rPr>
                        </w:pPr>
                      </w:p>
                    </w:tc>
                    <w:tc>
                      <w:tcPr>
                        <w:tcW w:w="4672" w:type="dxa"/>
                      </w:tcPr>
                      <w:p w:rsidR="00F04EEF" w:rsidRDefault="0099351E">
                        <w:pPr>
                          <w:tabs>
                            <w:tab w:val="num" w:pos="0"/>
                          </w:tabs>
                          <w:snapToGrid w:val="0"/>
                          <w:rPr>
                            <w:lang w:val="nl-BE"/>
                          </w:rPr>
                        </w:pPr>
                        <w:r>
                          <w:rPr>
                            <w:lang w:val="nl-BE"/>
                          </w:rPr>
                          <w:t>BRATUN Annick</w:t>
                        </w:r>
                      </w:p>
                      <w:p w:rsidR="00F04EEF" w:rsidRDefault="0099351E">
                        <w:pPr>
                          <w:tabs>
                            <w:tab w:val="num" w:pos="0"/>
                          </w:tabs>
                          <w:snapToGrid w:val="0"/>
                          <w:rPr>
                            <w:lang w:val="nl-BE"/>
                          </w:rPr>
                        </w:pPr>
                        <w:r>
                          <w:rPr>
                            <w:lang w:val="nl-BE"/>
                          </w:rPr>
                          <w:t xml:space="preserve">AR de Koekelberg </w:t>
                        </w:r>
                      </w:p>
                      <w:p w:rsidR="00F04EEF" w:rsidRDefault="0099351E">
                        <w:pPr>
                          <w:tabs>
                            <w:tab w:val="num" w:pos="0"/>
                          </w:tabs>
                          <w:snapToGrid w:val="0"/>
                          <w:rPr>
                            <w:lang w:val="nl-BE"/>
                          </w:rPr>
                        </w:pPr>
                        <w:r>
                          <w:rPr>
                            <w:lang w:val="nl-BE"/>
                          </w:rPr>
                          <w:t>Rue Omer Lépreux 15</w:t>
                        </w:r>
                      </w:p>
                      <w:p w:rsidR="00F04EEF" w:rsidRDefault="0099351E">
                        <w:pPr>
                          <w:tabs>
                            <w:tab w:val="num" w:pos="0"/>
                          </w:tabs>
                          <w:snapToGrid w:val="0"/>
                          <w:rPr>
                            <w:lang w:val="nl-BE"/>
                          </w:rPr>
                        </w:pPr>
                        <w:r>
                          <w:rPr>
                            <w:lang w:val="nl-BE"/>
                          </w:rPr>
                          <w:t xml:space="preserve">1081 </w:t>
                        </w:r>
                        <w:r>
                          <w:rPr>
                            <w:caps/>
                            <w:lang w:val="nl-BE"/>
                          </w:rPr>
                          <w:t>Koekelberg</w:t>
                        </w:r>
                      </w:p>
                      <w:p w:rsidR="00F04EEF" w:rsidRDefault="0099351E">
                        <w:pPr>
                          <w:tabs>
                            <w:tab w:val="num" w:pos="0"/>
                          </w:tabs>
                          <w:snapToGrid w:val="0"/>
                        </w:pPr>
                        <w:r>
                          <w:sym w:font="Wingdings" w:char="F028"/>
                        </w:r>
                        <w:r>
                          <w:t xml:space="preserve"> : 02/343.64.75 - </w:t>
                        </w:r>
                        <w:r>
                          <w:rPr>
                            <w:b/>
                            <w:bCs/>
                          </w:rPr>
                          <w:sym w:font="Webdings" w:char="F0CA"/>
                        </w:r>
                        <w:r>
                          <w:t> : 02/343.19.81</w:t>
                        </w:r>
                      </w:p>
                    </w:tc>
                  </w:tr>
                  <w:tr w:rsidR="00F04EEF">
                    <w:tc>
                      <w:tcPr>
                        <w:tcW w:w="4672" w:type="dxa"/>
                      </w:tcPr>
                      <w:p w:rsidR="00F04EEF" w:rsidRDefault="0099351E">
                        <w:pPr>
                          <w:tabs>
                            <w:tab w:val="num" w:pos="0"/>
                          </w:tabs>
                          <w:snapToGrid w:val="0"/>
                        </w:pPr>
                        <w:r>
                          <w:t>Zone 2 : Brabant Wallon</w:t>
                        </w:r>
                      </w:p>
                      <w:p w:rsidR="00F04EEF" w:rsidRDefault="00F04EEF">
                        <w:pPr>
                          <w:tabs>
                            <w:tab w:val="num" w:pos="0"/>
                          </w:tabs>
                          <w:snapToGrid w:val="0"/>
                          <w:rPr>
                            <w:b/>
                            <w:smallCaps/>
                          </w:rPr>
                        </w:pPr>
                      </w:p>
                    </w:tc>
                    <w:tc>
                      <w:tcPr>
                        <w:tcW w:w="4672" w:type="dxa"/>
                      </w:tcPr>
                      <w:p w:rsidR="00F04EEF" w:rsidRDefault="0099351E">
                        <w:pPr>
                          <w:tabs>
                            <w:tab w:val="num" w:pos="0"/>
                          </w:tabs>
                          <w:snapToGrid w:val="0"/>
                        </w:pPr>
                        <w:r>
                          <w:t>FAURE Alain</w:t>
                        </w:r>
                      </w:p>
                      <w:p w:rsidR="00F04EEF" w:rsidRDefault="0099351E">
                        <w:pPr>
                          <w:tabs>
                            <w:tab w:val="num" w:pos="0"/>
                            <w:tab w:val="left" w:pos="2538"/>
                          </w:tabs>
                          <w:snapToGrid w:val="0"/>
                        </w:pPr>
                        <w:r>
                          <w:t>Château des Cailloux</w:t>
                        </w:r>
                        <w:r>
                          <w:tab/>
                        </w:r>
                      </w:p>
                      <w:p w:rsidR="00F04EEF" w:rsidRDefault="0099351E">
                        <w:pPr>
                          <w:tabs>
                            <w:tab w:val="num" w:pos="0"/>
                          </w:tabs>
                          <w:snapToGrid w:val="0"/>
                        </w:pPr>
                        <w:r>
                          <w:t>Chaussée de Hannut 129</w:t>
                        </w:r>
                      </w:p>
                      <w:p w:rsidR="00F04EEF" w:rsidRDefault="0099351E">
                        <w:pPr>
                          <w:tabs>
                            <w:tab w:val="num" w:pos="0"/>
                          </w:tabs>
                          <w:snapToGrid w:val="0"/>
                        </w:pPr>
                        <w:r>
                          <w:t xml:space="preserve">1370 </w:t>
                        </w:r>
                        <w:r>
                          <w:rPr>
                            <w:caps/>
                          </w:rPr>
                          <w:t>Jodoigne</w:t>
                        </w:r>
                      </w:p>
                      <w:p w:rsidR="00F04EEF" w:rsidRDefault="0099351E">
                        <w:pPr>
                          <w:tabs>
                            <w:tab w:val="num" w:pos="0"/>
                          </w:tabs>
                          <w:snapToGrid w:val="0"/>
                        </w:pPr>
                        <w:r>
                          <w:sym w:font="Wingdings" w:char="F028"/>
                        </w:r>
                        <w:r>
                          <w:t xml:space="preserve"> : 010/81.12.06 – </w:t>
                        </w:r>
                        <w:r>
                          <w:rPr>
                            <w:b/>
                            <w:bCs/>
                          </w:rPr>
                          <w:sym w:font="Webdings" w:char="F0CA"/>
                        </w:r>
                        <w:r>
                          <w:t> : 010/81.34.53</w:t>
                        </w:r>
                      </w:p>
                    </w:tc>
                  </w:tr>
                  <w:tr w:rsidR="00F04EEF">
                    <w:tc>
                      <w:tcPr>
                        <w:tcW w:w="4672" w:type="dxa"/>
                      </w:tcPr>
                      <w:p w:rsidR="00F04EEF" w:rsidRDefault="0099351E">
                        <w:pPr>
                          <w:tabs>
                            <w:tab w:val="num" w:pos="0"/>
                          </w:tabs>
                          <w:snapToGrid w:val="0"/>
                        </w:pPr>
                        <w:r>
                          <w:t>Zone 3 : Huy-Waremme</w:t>
                        </w:r>
                      </w:p>
                      <w:p w:rsidR="00F04EEF" w:rsidRDefault="00F04EEF">
                        <w:pPr>
                          <w:tabs>
                            <w:tab w:val="num" w:pos="0"/>
                          </w:tabs>
                          <w:snapToGrid w:val="0"/>
                        </w:pPr>
                      </w:p>
                    </w:tc>
                    <w:tc>
                      <w:tcPr>
                        <w:tcW w:w="4672" w:type="dxa"/>
                      </w:tcPr>
                      <w:p w:rsidR="00F04EEF" w:rsidRDefault="0099351E">
                        <w:pPr>
                          <w:tabs>
                            <w:tab w:val="num" w:pos="0"/>
                          </w:tabs>
                          <w:snapToGrid w:val="0"/>
                        </w:pPr>
                        <w:r>
                          <w:t>DONY Manuel</w:t>
                        </w:r>
                      </w:p>
                      <w:p w:rsidR="00F04EEF" w:rsidRDefault="0099351E">
                        <w:pPr>
                          <w:tabs>
                            <w:tab w:val="num" w:pos="0"/>
                          </w:tabs>
                          <w:snapToGrid w:val="0"/>
                        </w:pPr>
                        <w:r>
                          <w:t>AR Saint-Georges</w:t>
                        </w:r>
                      </w:p>
                      <w:p w:rsidR="00F04EEF" w:rsidRDefault="0099351E">
                        <w:pPr>
                          <w:tabs>
                            <w:tab w:val="num" w:pos="0"/>
                          </w:tabs>
                          <w:snapToGrid w:val="0"/>
                        </w:pPr>
                        <w:r>
                          <w:t>Rue Eloi Fouarge 31</w:t>
                        </w:r>
                      </w:p>
                      <w:p w:rsidR="00F04EEF" w:rsidRDefault="0099351E">
                        <w:pPr>
                          <w:tabs>
                            <w:tab w:val="num" w:pos="0"/>
                          </w:tabs>
                          <w:snapToGrid w:val="0"/>
                        </w:pPr>
                        <w:r>
                          <w:t xml:space="preserve">4470 </w:t>
                        </w:r>
                        <w:r>
                          <w:rPr>
                            <w:caps/>
                          </w:rPr>
                          <w:t>Saint-Georges-sur-Meuse</w:t>
                        </w:r>
                      </w:p>
                      <w:p w:rsidR="00F04EEF" w:rsidRDefault="0099351E">
                        <w:pPr>
                          <w:tabs>
                            <w:tab w:val="num" w:pos="0"/>
                          </w:tabs>
                          <w:snapToGrid w:val="0"/>
                          <w:rPr>
                            <w:b/>
                            <w:smallCaps/>
                          </w:rPr>
                        </w:pPr>
                        <w:r>
                          <w:sym w:font="Wingdings" w:char="F028"/>
                        </w:r>
                        <w:r>
                          <w:t xml:space="preserve"> : 0498/12.68.84 - </w:t>
                        </w:r>
                        <w:r>
                          <w:rPr>
                            <w:b/>
                            <w:bCs/>
                          </w:rPr>
                          <w:sym w:font="Webdings" w:char="F0CA"/>
                        </w:r>
                        <w:r>
                          <w:t> :04/223.51.79</w:t>
                        </w:r>
                      </w:p>
                    </w:tc>
                  </w:tr>
                  <w:tr w:rsidR="00F04EEF">
                    <w:tc>
                      <w:tcPr>
                        <w:tcW w:w="4672" w:type="dxa"/>
                      </w:tcPr>
                      <w:p w:rsidR="00F04EEF" w:rsidRDefault="0099351E">
                        <w:pPr>
                          <w:tabs>
                            <w:tab w:val="num" w:pos="0"/>
                          </w:tabs>
                          <w:snapToGrid w:val="0"/>
                        </w:pPr>
                        <w:r>
                          <w:t>Zone 4 : Liège</w:t>
                        </w:r>
                      </w:p>
                      <w:p w:rsidR="00F04EEF" w:rsidRDefault="00F04EEF">
                        <w:pPr>
                          <w:tabs>
                            <w:tab w:val="num" w:pos="0"/>
                          </w:tabs>
                          <w:snapToGrid w:val="0"/>
                        </w:pPr>
                      </w:p>
                    </w:tc>
                    <w:tc>
                      <w:tcPr>
                        <w:tcW w:w="4672" w:type="dxa"/>
                      </w:tcPr>
                      <w:p w:rsidR="00F04EEF" w:rsidRDefault="0099351E">
                        <w:pPr>
                          <w:tabs>
                            <w:tab w:val="num" w:pos="0"/>
                          </w:tabs>
                          <w:snapToGrid w:val="0"/>
                        </w:pPr>
                        <w:r>
                          <w:t>ANGENOT Jean-François</w:t>
                        </w:r>
                      </w:p>
                      <w:p w:rsidR="00F04EEF" w:rsidRDefault="0099351E">
                        <w:pPr>
                          <w:tabs>
                            <w:tab w:val="num" w:pos="0"/>
                          </w:tabs>
                          <w:snapToGrid w:val="0"/>
                        </w:pPr>
                        <w:r>
                          <w:t>Rue des Clarisses 13</w:t>
                        </w:r>
                      </w:p>
                      <w:p w:rsidR="00F04EEF" w:rsidRDefault="0099351E">
                        <w:pPr>
                          <w:tabs>
                            <w:tab w:val="num" w:pos="0"/>
                          </w:tabs>
                          <w:snapToGrid w:val="0"/>
                        </w:pPr>
                        <w:r>
                          <w:t xml:space="preserve">4000 </w:t>
                        </w:r>
                        <w:r>
                          <w:rPr>
                            <w:caps/>
                          </w:rPr>
                          <w:t>Liège</w:t>
                        </w:r>
                      </w:p>
                      <w:p w:rsidR="00F04EEF" w:rsidRDefault="0099351E">
                        <w:pPr>
                          <w:tabs>
                            <w:tab w:val="num" w:pos="0"/>
                          </w:tabs>
                          <w:snapToGrid w:val="0"/>
                          <w:rPr>
                            <w:b/>
                            <w:smallCaps/>
                          </w:rPr>
                        </w:pPr>
                        <w:r>
                          <w:sym w:font="Wingdings" w:char="F028"/>
                        </w:r>
                        <w:r>
                          <w:t xml:space="preserve"> : 04/223.31.45 – </w:t>
                        </w:r>
                        <w:r>
                          <w:rPr>
                            <w:b/>
                            <w:bCs/>
                          </w:rPr>
                          <w:sym w:font="Webdings" w:char="F0CA"/>
                        </w:r>
                        <w:r>
                          <w:t> : 04/223.64.78</w:t>
                        </w:r>
                      </w:p>
                    </w:tc>
                  </w:tr>
                  <w:tr w:rsidR="00F04EEF">
                    <w:tc>
                      <w:tcPr>
                        <w:tcW w:w="4672" w:type="dxa"/>
                      </w:tcPr>
                      <w:p w:rsidR="00F04EEF" w:rsidRDefault="0099351E">
                        <w:pPr>
                          <w:tabs>
                            <w:tab w:val="num" w:pos="0"/>
                          </w:tabs>
                          <w:snapToGrid w:val="0"/>
                        </w:pPr>
                        <w:r>
                          <w:t>Zone 5 : Verviers</w:t>
                        </w:r>
                      </w:p>
                      <w:p w:rsidR="00F04EEF" w:rsidRDefault="00F04EEF">
                        <w:pPr>
                          <w:tabs>
                            <w:tab w:val="num" w:pos="0"/>
                          </w:tabs>
                          <w:snapToGrid w:val="0"/>
                        </w:pPr>
                      </w:p>
                    </w:tc>
                    <w:tc>
                      <w:tcPr>
                        <w:tcW w:w="4672" w:type="dxa"/>
                      </w:tcPr>
                      <w:p w:rsidR="00F04EEF" w:rsidRDefault="0099351E">
                        <w:pPr>
                          <w:tabs>
                            <w:tab w:val="num" w:pos="0"/>
                          </w:tabs>
                          <w:snapToGrid w:val="0"/>
                        </w:pPr>
                        <w:r>
                          <w:t>ANGENOT Jean-François</w:t>
                        </w:r>
                      </w:p>
                      <w:p w:rsidR="00F04EEF" w:rsidRDefault="0099351E">
                        <w:pPr>
                          <w:tabs>
                            <w:tab w:val="num" w:pos="0"/>
                          </w:tabs>
                          <w:snapToGrid w:val="0"/>
                        </w:pPr>
                        <w:r>
                          <w:t>Rue des Clarisses 13</w:t>
                        </w:r>
                      </w:p>
                      <w:p w:rsidR="00F04EEF" w:rsidRDefault="0099351E">
                        <w:pPr>
                          <w:tabs>
                            <w:tab w:val="num" w:pos="0"/>
                          </w:tabs>
                          <w:snapToGrid w:val="0"/>
                        </w:pPr>
                        <w:r>
                          <w:t xml:space="preserve">4000 </w:t>
                        </w:r>
                        <w:r>
                          <w:rPr>
                            <w:caps/>
                          </w:rPr>
                          <w:t>Liège</w:t>
                        </w:r>
                      </w:p>
                      <w:p w:rsidR="00F04EEF" w:rsidRDefault="0099351E">
                        <w:pPr>
                          <w:tabs>
                            <w:tab w:val="num" w:pos="0"/>
                          </w:tabs>
                          <w:snapToGrid w:val="0"/>
                        </w:pPr>
                        <w:r>
                          <w:sym w:font="Wingdings" w:char="F028"/>
                        </w:r>
                        <w:r>
                          <w:t xml:space="preserve"> : 04/223.31.45 – </w:t>
                        </w:r>
                        <w:r>
                          <w:rPr>
                            <w:b/>
                            <w:bCs/>
                          </w:rPr>
                          <w:sym w:font="Webdings" w:char="F0CA"/>
                        </w:r>
                        <w:r>
                          <w:t> : 04/223.64.78</w:t>
                        </w:r>
                      </w:p>
                    </w:tc>
                  </w:tr>
                  <w:tr w:rsidR="00F04EEF">
                    <w:tc>
                      <w:tcPr>
                        <w:tcW w:w="4672" w:type="dxa"/>
                      </w:tcPr>
                      <w:p w:rsidR="00F04EEF" w:rsidRDefault="0099351E">
                        <w:pPr>
                          <w:tabs>
                            <w:tab w:val="num" w:pos="0"/>
                          </w:tabs>
                          <w:snapToGrid w:val="0"/>
                        </w:pPr>
                        <w:r>
                          <w:t>Zone 6 : Namur</w:t>
                        </w:r>
                      </w:p>
                      <w:p w:rsidR="00F04EEF" w:rsidRDefault="00F04EEF">
                        <w:pPr>
                          <w:tabs>
                            <w:tab w:val="num" w:pos="0"/>
                          </w:tabs>
                          <w:snapToGrid w:val="0"/>
                        </w:pPr>
                      </w:p>
                    </w:tc>
                    <w:tc>
                      <w:tcPr>
                        <w:tcW w:w="4672" w:type="dxa"/>
                      </w:tcPr>
                      <w:p w:rsidR="00F04EEF" w:rsidRDefault="0099351E">
                        <w:pPr>
                          <w:tabs>
                            <w:tab w:val="num" w:pos="0"/>
                          </w:tabs>
                          <w:snapToGrid w:val="0"/>
                        </w:pPr>
                        <w:r>
                          <w:t>BEAUMONT Marc</w:t>
                        </w:r>
                      </w:p>
                      <w:p w:rsidR="00F04EEF" w:rsidRDefault="0099351E">
                        <w:pPr>
                          <w:tabs>
                            <w:tab w:val="num" w:pos="0"/>
                          </w:tabs>
                          <w:snapToGrid w:val="0"/>
                        </w:pPr>
                        <w:r>
                          <w:t>Chaussée de Nivelles 204</w:t>
                        </w:r>
                      </w:p>
                      <w:p w:rsidR="00F04EEF" w:rsidRDefault="0099351E">
                        <w:pPr>
                          <w:tabs>
                            <w:tab w:val="num" w:pos="0"/>
                          </w:tabs>
                          <w:snapToGrid w:val="0"/>
                        </w:pPr>
                        <w:r>
                          <w:t xml:space="preserve">5020 </w:t>
                        </w:r>
                        <w:r>
                          <w:rPr>
                            <w:caps/>
                          </w:rPr>
                          <w:t>Namur</w:t>
                        </w:r>
                      </w:p>
                      <w:p w:rsidR="00F04EEF" w:rsidRDefault="0099351E">
                        <w:pPr>
                          <w:tabs>
                            <w:tab w:val="num" w:pos="0"/>
                          </w:tabs>
                          <w:snapToGrid w:val="0"/>
                          <w:rPr>
                            <w:b/>
                            <w:smallCaps/>
                          </w:rPr>
                        </w:pPr>
                        <w:r>
                          <w:sym w:font="Wingdings" w:char="F028"/>
                        </w:r>
                        <w:r>
                          <w:t xml:space="preserve"> 081/73.29.17 – </w:t>
                        </w:r>
                        <w:r>
                          <w:rPr>
                            <w:b/>
                            <w:bCs/>
                          </w:rPr>
                          <w:sym w:font="Webdings" w:char="F0CA"/>
                        </w:r>
                        <w:r>
                          <w:t> :081/74.50.51</w:t>
                        </w:r>
                      </w:p>
                    </w:tc>
                  </w:tr>
                  <w:tr w:rsidR="00F04EEF">
                    <w:tc>
                      <w:tcPr>
                        <w:tcW w:w="4672" w:type="dxa"/>
                      </w:tcPr>
                      <w:p w:rsidR="00F04EEF" w:rsidRDefault="0099351E">
                        <w:pPr>
                          <w:tabs>
                            <w:tab w:val="num" w:pos="0"/>
                          </w:tabs>
                          <w:snapToGrid w:val="0"/>
                        </w:pPr>
                        <w:r>
                          <w:t>Zone 7 : Luxembourg</w:t>
                        </w:r>
                      </w:p>
                      <w:p w:rsidR="00F04EEF" w:rsidRDefault="00F04EEF">
                        <w:pPr>
                          <w:tabs>
                            <w:tab w:val="num" w:pos="0"/>
                          </w:tabs>
                          <w:snapToGrid w:val="0"/>
                        </w:pPr>
                      </w:p>
                    </w:tc>
                    <w:tc>
                      <w:tcPr>
                        <w:tcW w:w="4672" w:type="dxa"/>
                      </w:tcPr>
                      <w:p w:rsidR="00F04EEF" w:rsidRDefault="0099351E">
                        <w:pPr>
                          <w:tabs>
                            <w:tab w:val="num" w:pos="0"/>
                          </w:tabs>
                          <w:snapToGrid w:val="0"/>
                        </w:pPr>
                        <w:r>
                          <w:t>REGGERS Richard</w:t>
                        </w:r>
                      </w:p>
                      <w:p w:rsidR="00F04EEF" w:rsidRDefault="0099351E">
                        <w:pPr>
                          <w:tabs>
                            <w:tab w:val="num" w:pos="0"/>
                          </w:tabs>
                          <w:snapToGrid w:val="0"/>
                        </w:pPr>
                        <w:r>
                          <w:t>AR de Bastogne-Houffalize</w:t>
                        </w:r>
                      </w:p>
                      <w:p w:rsidR="00F04EEF" w:rsidRDefault="0099351E">
                        <w:pPr>
                          <w:tabs>
                            <w:tab w:val="num" w:pos="0"/>
                          </w:tabs>
                          <w:snapToGrid w:val="0"/>
                        </w:pPr>
                        <w:r>
                          <w:t>Chaussée d’Houffalize 3</w:t>
                        </w:r>
                      </w:p>
                      <w:p w:rsidR="00F04EEF" w:rsidRDefault="0099351E">
                        <w:pPr>
                          <w:tabs>
                            <w:tab w:val="num" w:pos="0"/>
                          </w:tabs>
                          <w:snapToGrid w:val="0"/>
                        </w:pPr>
                        <w:r>
                          <w:t xml:space="preserve">6000 </w:t>
                        </w:r>
                        <w:r>
                          <w:rPr>
                            <w:caps/>
                          </w:rPr>
                          <w:t>Bastogne</w:t>
                        </w:r>
                      </w:p>
                      <w:p w:rsidR="00F04EEF" w:rsidRDefault="0099351E">
                        <w:pPr>
                          <w:tabs>
                            <w:tab w:val="num" w:pos="0"/>
                          </w:tabs>
                          <w:snapToGrid w:val="0"/>
                          <w:rPr>
                            <w:b/>
                            <w:smallCaps/>
                          </w:rPr>
                        </w:pPr>
                        <w:r>
                          <w:sym w:font="Wingdings" w:char="F028"/>
                        </w:r>
                        <w:r>
                          <w:t xml:space="preserve"> : 061/21.82.56 – </w:t>
                        </w:r>
                        <w:r>
                          <w:rPr>
                            <w:b/>
                            <w:bCs/>
                          </w:rPr>
                          <w:sym w:font="Webdings" w:char="F0CA"/>
                        </w:r>
                        <w:r>
                          <w:t>: 061/21.86.42</w:t>
                        </w:r>
                      </w:p>
                    </w:tc>
                  </w:tr>
                  <w:tr w:rsidR="00F04EEF">
                    <w:tc>
                      <w:tcPr>
                        <w:tcW w:w="4672" w:type="dxa"/>
                      </w:tcPr>
                      <w:p w:rsidR="00F04EEF" w:rsidRDefault="0099351E">
                        <w:pPr>
                          <w:tabs>
                            <w:tab w:val="num" w:pos="0"/>
                          </w:tabs>
                          <w:snapToGrid w:val="0"/>
                        </w:pPr>
                        <w:r>
                          <w:t>Zone 8 : Hainaut Occidental</w:t>
                        </w:r>
                      </w:p>
                      <w:p w:rsidR="00F04EEF" w:rsidRDefault="00F04EEF">
                        <w:pPr>
                          <w:tabs>
                            <w:tab w:val="num" w:pos="0"/>
                          </w:tabs>
                          <w:snapToGrid w:val="0"/>
                        </w:pPr>
                      </w:p>
                    </w:tc>
                    <w:tc>
                      <w:tcPr>
                        <w:tcW w:w="4672" w:type="dxa"/>
                      </w:tcPr>
                      <w:p w:rsidR="00F04EEF" w:rsidRDefault="0099351E">
                        <w:pPr>
                          <w:tabs>
                            <w:tab w:val="num" w:pos="0"/>
                          </w:tabs>
                          <w:snapToGrid w:val="0"/>
                        </w:pPr>
                        <w:r>
                          <w:t>DECAESTECKER Philippe</w:t>
                        </w:r>
                      </w:p>
                      <w:p w:rsidR="00F04EEF" w:rsidRDefault="0099351E">
                        <w:pPr>
                          <w:tabs>
                            <w:tab w:val="num" w:pos="0"/>
                          </w:tabs>
                          <w:snapToGrid w:val="0"/>
                        </w:pPr>
                        <w:r>
                          <w:t>ITCF Renée Joffroy</w:t>
                        </w:r>
                      </w:p>
                      <w:p w:rsidR="00F04EEF" w:rsidRDefault="0099351E">
                        <w:pPr>
                          <w:tabs>
                            <w:tab w:val="num" w:pos="0"/>
                          </w:tabs>
                          <w:snapToGrid w:val="0"/>
                        </w:pPr>
                        <w:r>
                          <w:t>Avenue Vauban 6A</w:t>
                        </w:r>
                      </w:p>
                      <w:p w:rsidR="00F04EEF" w:rsidRDefault="0099351E">
                        <w:pPr>
                          <w:tabs>
                            <w:tab w:val="num" w:pos="0"/>
                          </w:tabs>
                          <w:snapToGrid w:val="0"/>
                        </w:pPr>
                        <w:r>
                          <w:t xml:space="preserve">7800 </w:t>
                        </w:r>
                        <w:r>
                          <w:rPr>
                            <w:caps/>
                          </w:rPr>
                          <w:t>Ath</w:t>
                        </w:r>
                      </w:p>
                      <w:p w:rsidR="00F04EEF" w:rsidRDefault="0099351E">
                        <w:pPr>
                          <w:tabs>
                            <w:tab w:val="num" w:pos="0"/>
                          </w:tabs>
                          <w:snapToGrid w:val="0"/>
                          <w:rPr>
                            <w:b/>
                            <w:smallCaps/>
                          </w:rPr>
                        </w:pPr>
                        <w:r>
                          <w:sym w:font="Wingdings" w:char="F028"/>
                        </w:r>
                        <w:r>
                          <w:t xml:space="preserve"> : 068/26.96.96 – </w:t>
                        </w:r>
                        <w:r>
                          <w:rPr>
                            <w:b/>
                            <w:bCs/>
                          </w:rPr>
                          <w:sym w:font="Webdings" w:char="F0CA"/>
                        </w:r>
                        <w:r>
                          <w:t> : 068/33.87.94</w:t>
                        </w:r>
                      </w:p>
                    </w:tc>
                  </w:tr>
                  <w:tr w:rsidR="00F04EEF">
                    <w:tc>
                      <w:tcPr>
                        <w:tcW w:w="4672" w:type="dxa"/>
                      </w:tcPr>
                      <w:p w:rsidR="00F04EEF" w:rsidRDefault="0099351E">
                        <w:pPr>
                          <w:tabs>
                            <w:tab w:val="num" w:pos="0"/>
                          </w:tabs>
                          <w:snapToGrid w:val="0"/>
                        </w:pPr>
                        <w:r>
                          <w:t>Zone 9 : Mons – Centre</w:t>
                        </w:r>
                      </w:p>
                      <w:p w:rsidR="00F04EEF" w:rsidRDefault="00F04EEF">
                        <w:pPr>
                          <w:tabs>
                            <w:tab w:val="num" w:pos="0"/>
                          </w:tabs>
                          <w:snapToGrid w:val="0"/>
                        </w:pPr>
                      </w:p>
                    </w:tc>
                    <w:tc>
                      <w:tcPr>
                        <w:tcW w:w="4672" w:type="dxa"/>
                      </w:tcPr>
                      <w:p w:rsidR="00F04EEF" w:rsidRDefault="0099351E">
                        <w:pPr>
                          <w:tabs>
                            <w:tab w:val="num" w:pos="0"/>
                          </w:tabs>
                          <w:snapToGrid w:val="0"/>
                        </w:pPr>
                        <w:r>
                          <w:t>COLLETTE Francis</w:t>
                        </w:r>
                      </w:p>
                      <w:p w:rsidR="00F04EEF" w:rsidRDefault="0099351E">
                        <w:pPr>
                          <w:tabs>
                            <w:tab w:val="num" w:pos="0"/>
                          </w:tabs>
                          <w:snapToGrid w:val="0"/>
                        </w:pPr>
                        <w:r>
                          <w:t>Rue du Chemin de fer 433</w:t>
                        </w:r>
                      </w:p>
                      <w:p w:rsidR="00F04EEF" w:rsidRDefault="0099351E">
                        <w:pPr>
                          <w:tabs>
                            <w:tab w:val="num" w:pos="0"/>
                          </w:tabs>
                          <w:snapToGrid w:val="0"/>
                        </w:pPr>
                        <w:r>
                          <w:t xml:space="preserve">7000 </w:t>
                        </w:r>
                        <w:r>
                          <w:rPr>
                            <w:caps/>
                          </w:rPr>
                          <w:t>Mons</w:t>
                        </w:r>
                      </w:p>
                      <w:p w:rsidR="00F04EEF" w:rsidRDefault="0099351E">
                        <w:pPr>
                          <w:tabs>
                            <w:tab w:val="num" w:pos="0"/>
                          </w:tabs>
                          <w:rPr>
                            <w:b/>
                            <w:smallCaps/>
                          </w:rPr>
                        </w:pPr>
                        <w:r>
                          <w:sym w:font="Wingdings" w:char="F028"/>
                        </w:r>
                        <w:r>
                          <w:t xml:space="preserve"> : 065/55.55.51 – </w:t>
                        </w:r>
                        <w:r>
                          <w:rPr>
                            <w:b/>
                            <w:bCs/>
                          </w:rPr>
                          <w:sym w:font="Webdings" w:char="F0CA"/>
                        </w:r>
                        <w:r>
                          <w:t> : 02/600.08.77</w:t>
                        </w:r>
                      </w:p>
                    </w:tc>
                  </w:tr>
                  <w:tr w:rsidR="00F04EEF">
                    <w:tc>
                      <w:tcPr>
                        <w:tcW w:w="4672" w:type="dxa"/>
                      </w:tcPr>
                      <w:p w:rsidR="00F04EEF" w:rsidRDefault="0099351E">
                        <w:pPr>
                          <w:tabs>
                            <w:tab w:val="num" w:pos="0"/>
                          </w:tabs>
                          <w:snapToGrid w:val="0"/>
                        </w:pPr>
                        <w:r>
                          <w:t>Zone 10 : Charleroi – Hainaut Sud</w:t>
                        </w:r>
                      </w:p>
                      <w:p w:rsidR="00F04EEF" w:rsidRDefault="00F04EEF">
                        <w:pPr>
                          <w:tabs>
                            <w:tab w:val="num" w:pos="0"/>
                          </w:tabs>
                          <w:snapToGrid w:val="0"/>
                        </w:pPr>
                      </w:p>
                    </w:tc>
                    <w:tc>
                      <w:tcPr>
                        <w:tcW w:w="4672" w:type="dxa"/>
                      </w:tcPr>
                      <w:p w:rsidR="00F04EEF" w:rsidRDefault="0099351E">
                        <w:pPr>
                          <w:tabs>
                            <w:tab w:val="num" w:pos="0"/>
                          </w:tabs>
                          <w:snapToGrid w:val="0"/>
                        </w:pPr>
                        <w:r>
                          <w:t>JONCKERS Bernard</w:t>
                        </w:r>
                      </w:p>
                      <w:p w:rsidR="00F04EEF" w:rsidRDefault="0099351E">
                        <w:pPr>
                          <w:tabs>
                            <w:tab w:val="num" w:pos="0"/>
                          </w:tabs>
                          <w:snapToGrid w:val="0"/>
                        </w:pPr>
                        <w:r>
                          <w:t>Internat annexé à l’AR Jourdan</w:t>
                        </w:r>
                      </w:p>
                      <w:p w:rsidR="00F04EEF" w:rsidRDefault="0099351E">
                        <w:pPr>
                          <w:tabs>
                            <w:tab w:val="num" w:pos="0"/>
                          </w:tabs>
                          <w:snapToGrid w:val="0"/>
                        </w:pPr>
                        <w:r>
                          <w:t>Sentier du Lycée 10</w:t>
                        </w:r>
                      </w:p>
                      <w:p w:rsidR="00F04EEF" w:rsidRDefault="0099351E">
                        <w:pPr>
                          <w:tabs>
                            <w:tab w:val="num" w:pos="0"/>
                          </w:tabs>
                          <w:snapToGrid w:val="0"/>
                        </w:pPr>
                        <w:r>
                          <w:t xml:space="preserve">6220 </w:t>
                        </w:r>
                        <w:r>
                          <w:rPr>
                            <w:caps/>
                          </w:rPr>
                          <w:t>Fleurus</w:t>
                        </w:r>
                      </w:p>
                      <w:p w:rsidR="00F04EEF" w:rsidRDefault="0099351E">
                        <w:pPr>
                          <w:tabs>
                            <w:tab w:val="num" w:pos="0"/>
                          </w:tabs>
                          <w:snapToGrid w:val="0"/>
                          <w:rPr>
                            <w:b/>
                            <w:smallCaps/>
                          </w:rPr>
                        </w:pPr>
                        <w:r>
                          <w:sym w:font="Wingdings" w:char="F028"/>
                        </w:r>
                        <w:r>
                          <w:t> </w:t>
                        </w:r>
                        <w:proofErr w:type="gramStart"/>
                        <w:r>
                          <w:t>:0498</w:t>
                        </w:r>
                        <w:proofErr w:type="gramEnd"/>
                        <w:r>
                          <w:t>/40.04.60</w:t>
                        </w:r>
                      </w:p>
                    </w:tc>
                  </w:tr>
                </w:tbl>
                <w:p w:rsidR="00F04EEF" w:rsidRDefault="00F04EEF">
                  <w:pPr>
                    <w:tabs>
                      <w:tab w:val="num" w:pos="0"/>
                    </w:tabs>
                    <w:rPr>
                      <w:rFonts w:cs="Arial"/>
                      <w:b/>
                      <w:smallCaps/>
                    </w:rPr>
                  </w:pPr>
                </w:p>
                <w:p w:rsidR="00F04EEF" w:rsidRDefault="0099351E">
                  <w:pPr>
                    <w:rPr>
                      <w:rFonts w:cs="Arial"/>
                      <w:b/>
                      <w:color w:val="000080"/>
                    </w:rPr>
                  </w:pPr>
                  <w:r>
                    <w:rPr>
                      <w:rFonts w:cs="Arial"/>
                      <w:b/>
                      <w:color w:val="000080"/>
                    </w:rPr>
                    <w:br w:type="page"/>
                  </w:r>
                </w:p>
                <w:p w:rsidR="00F04EEF" w:rsidRDefault="0099351E">
                  <w:pPr>
                    <w:tabs>
                      <w:tab w:val="num" w:pos="0"/>
                    </w:tabs>
                    <w:rPr>
                      <w:rFonts w:cs="Arial"/>
                      <w:b/>
                      <w:color w:val="000080"/>
                    </w:rPr>
                  </w:pPr>
                  <w:r>
                    <w:rPr>
                      <w:rFonts w:cs="Arial"/>
                      <w:b/>
                      <w:color w:val="000080"/>
                    </w:rPr>
                    <w:t>ENSEIGNEMENT OFFICIEL SUBVENTIONNE :</w:t>
                  </w:r>
                </w:p>
                <w:p w:rsidR="00F04EEF" w:rsidRDefault="00F04EEF">
                  <w:pPr>
                    <w:tabs>
                      <w:tab w:val="num" w:pos="0"/>
                    </w:tabs>
                    <w:rPr>
                      <w:rFonts w:cs="Arial"/>
                      <w:b/>
                      <w:smallCaps/>
                    </w:rPr>
                  </w:pPr>
                </w:p>
                <w:tbl>
                  <w:tblPr>
                    <w:tblStyle w:val="Grilledutableau"/>
                    <w:tblW w:w="0" w:type="auto"/>
                    <w:tblLook w:val="04A0" w:firstRow="1" w:lastRow="0" w:firstColumn="1" w:lastColumn="0" w:noHBand="0" w:noVBand="1"/>
                  </w:tblPr>
                  <w:tblGrid>
                    <w:gridCol w:w="4672"/>
                    <w:gridCol w:w="4672"/>
                  </w:tblGrid>
                  <w:tr w:rsidR="00F04EEF">
                    <w:tc>
                      <w:tcPr>
                        <w:tcW w:w="4672" w:type="dxa"/>
                      </w:tcPr>
                      <w:p w:rsidR="00F04EEF" w:rsidRDefault="0099351E">
                        <w:pPr>
                          <w:tabs>
                            <w:tab w:val="num" w:pos="0"/>
                          </w:tabs>
                          <w:snapToGrid w:val="0"/>
                          <w:rPr>
                            <w:u w:val="single"/>
                          </w:rPr>
                        </w:pPr>
                        <w:r>
                          <w:rPr>
                            <w:u w:val="single"/>
                          </w:rPr>
                          <w:t>Ecoles fondamentales et écoles secondaires spécialisées :</w:t>
                        </w:r>
                      </w:p>
                      <w:p w:rsidR="00F04EEF" w:rsidRDefault="0099351E">
                        <w:pPr>
                          <w:tabs>
                            <w:tab w:val="num" w:pos="0"/>
                          </w:tabs>
                        </w:pPr>
                        <w:r>
                          <w:t>Conseil de l’Enseignement des Communes et des Provinces</w:t>
                        </w:r>
                      </w:p>
                      <w:p w:rsidR="00F04EEF" w:rsidRDefault="0099351E">
                        <w:pPr>
                          <w:tabs>
                            <w:tab w:val="num" w:pos="0"/>
                          </w:tabs>
                        </w:pPr>
                        <w:r>
                          <w:t>Avenue des Gaulois 32</w:t>
                        </w:r>
                      </w:p>
                      <w:p w:rsidR="00F04EEF" w:rsidRDefault="0099351E">
                        <w:pPr>
                          <w:tabs>
                            <w:tab w:val="num" w:pos="0"/>
                          </w:tabs>
                        </w:pPr>
                        <w:r>
                          <w:t>1040 ETTERBEEK</w:t>
                        </w:r>
                      </w:p>
                      <w:p w:rsidR="00F04EEF" w:rsidRDefault="0099351E">
                        <w:pPr>
                          <w:tabs>
                            <w:tab w:val="num" w:pos="0"/>
                          </w:tabs>
                          <w:rPr>
                            <w:b/>
                            <w:smallCaps/>
                          </w:rPr>
                        </w:pPr>
                        <w:r>
                          <w:sym w:font="Wingdings" w:char="F028"/>
                        </w:r>
                        <w:r>
                          <w:t xml:space="preserve"> : 02/736 89 74 - </w:t>
                        </w:r>
                        <w:r>
                          <w:rPr>
                            <w:b/>
                            <w:bCs/>
                          </w:rPr>
                          <w:sym w:font="Webdings" w:char="F0CA"/>
                        </w:r>
                        <w:r>
                          <w:t xml:space="preserve"> : 02/734.69.71</w:t>
                        </w:r>
                      </w:p>
                    </w:tc>
                    <w:tc>
                      <w:tcPr>
                        <w:tcW w:w="4672" w:type="dxa"/>
                      </w:tcPr>
                      <w:p w:rsidR="00F04EEF" w:rsidRDefault="0099351E">
                        <w:pPr>
                          <w:tabs>
                            <w:tab w:val="num" w:pos="0"/>
                          </w:tabs>
                          <w:snapToGrid w:val="0"/>
                          <w:rPr>
                            <w:u w:val="single"/>
                          </w:rPr>
                        </w:pPr>
                        <w:r>
                          <w:rPr>
                            <w:u w:val="single"/>
                          </w:rPr>
                          <w:t>Ecoles secondaires ordinaires :</w:t>
                        </w:r>
                      </w:p>
                      <w:p w:rsidR="00F04EEF" w:rsidRDefault="0099351E">
                        <w:pPr>
                          <w:tabs>
                            <w:tab w:val="num" w:pos="0"/>
                          </w:tabs>
                        </w:pPr>
                        <w:r>
                          <w:t>CPEONS</w:t>
                        </w:r>
                      </w:p>
                      <w:p w:rsidR="00F04EEF" w:rsidRDefault="0099351E">
                        <w:pPr>
                          <w:tabs>
                            <w:tab w:val="num" w:pos="0"/>
                          </w:tabs>
                        </w:pPr>
                        <w:r>
                          <w:t xml:space="preserve">Mme Suzanne COLLET </w:t>
                        </w:r>
                      </w:p>
                      <w:p w:rsidR="00F04EEF" w:rsidRDefault="0099351E">
                        <w:pPr>
                          <w:tabs>
                            <w:tab w:val="num" w:pos="0"/>
                          </w:tabs>
                        </w:pPr>
                        <w:r>
                          <w:t>Rue des Minimes 87/89</w:t>
                        </w:r>
                      </w:p>
                      <w:p w:rsidR="00F04EEF" w:rsidRDefault="0099351E">
                        <w:pPr>
                          <w:tabs>
                            <w:tab w:val="num" w:pos="0"/>
                          </w:tabs>
                        </w:pPr>
                        <w:r>
                          <w:t>1000 BRUXELLES</w:t>
                        </w:r>
                      </w:p>
                      <w:p w:rsidR="00F04EEF" w:rsidRDefault="0099351E">
                        <w:pPr>
                          <w:tabs>
                            <w:tab w:val="num" w:pos="0"/>
                          </w:tabs>
                          <w:rPr>
                            <w:b/>
                            <w:smallCaps/>
                          </w:rPr>
                        </w:pPr>
                        <w:r>
                          <w:sym w:font="Wingdings" w:char="F028"/>
                        </w:r>
                        <w:r>
                          <w:t xml:space="preserve"> : 02/504 09 26 - </w:t>
                        </w:r>
                        <w:r>
                          <w:rPr>
                            <w:b/>
                            <w:bCs/>
                          </w:rPr>
                          <w:sym w:font="Webdings" w:char="F0CA"/>
                        </w:r>
                        <w:r>
                          <w:t xml:space="preserve"> : 02/504 09 38</w:t>
                        </w:r>
                      </w:p>
                    </w:tc>
                  </w:tr>
                </w:tbl>
                <w:p w:rsidR="00F04EEF" w:rsidRDefault="00F04EEF">
                  <w:pPr>
                    <w:tabs>
                      <w:tab w:val="num" w:pos="0"/>
                    </w:tabs>
                    <w:rPr>
                      <w:rFonts w:cs="Arial"/>
                      <w:b/>
                      <w:smallCaps/>
                    </w:rPr>
                  </w:pPr>
                </w:p>
                <w:p w:rsidR="00F04EEF" w:rsidRDefault="0099351E">
                  <w:pPr>
                    <w:tabs>
                      <w:tab w:val="num" w:pos="0"/>
                    </w:tabs>
                    <w:rPr>
                      <w:rFonts w:cs="Arial"/>
                      <w:b/>
                      <w:color w:val="000080"/>
                    </w:rPr>
                  </w:pPr>
                  <w:r>
                    <w:rPr>
                      <w:rFonts w:cs="Arial"/>
                      <w:b/>
                      <w:color w:val="000080"/>
                    </w:rPr>
                    <w:t>ENSEIGNEMENT LIBRE SUBVENTIONNE (catholique) :</w:t>
                  </w:r>
                </w:p>
                <w:p w:rsidR="00F04EEF" w:rsidRDefault="00F04EEF">
                  <w:pPr>
                    <w:tabs>
                      <w:tab w:val="num" w:pos="0"/>
                    </w:tabs>
                    <w:rPr>
                      <w:rFonts w:cs="Arial"/>
                      <w:b/>
                      <w:smallCaps/>
                    </w:rPr>
                  </w:pPr>
                </w:p>
                <w:tbl>
                  <w:tblPr>
                    <w:tblStyle w:val="Grilledutableau"/>
                    <w:tblW w:w="0" w:type="auto"/>
                    <w:tblLook w:val="04A0" w:firstRow="1" w:lastRow="0" w:firstColumn="1" w:lastColumn="0" w:noHBand="0" w:noVBand="1"/>
                  </w:tblPr>
                  <w:tblGrid>
                    <w:gridCol w:w="4672"/>
                    <w:gridCol w:w="4672"/>
                  </w:tblGrid>
                  <w:tr w:rsidR="00F04EEF">
                    <w:tc>
                      <w:tcPr>
                        <w:tcW w:w="4672" w:type="dxa"/>
                      </w:tcPr>
                      <w:p w:rsidR="00F04EEF" w:rsidRDefault="0099351E">
                        <w:pPr>
                          <w:tabs>
                            <w:tab w:val="num" w:pos="0"/>
                          </w:tabs>
                          <w:rPr>
                            <w:u w:val="single"/>
                          </w:rPr>
                        </w:pPr>
                        <w:r>
                          <w:rPr>
                            <w:u w:val="single"/>
                          </w:rPr>
                          <w:t>SeGeC :</w:t>
                        </w:r>
                      </w:p>
                      <w:p w:rsidR="00F04EEF" w:rsidRDefault="0099351E">
                        <w:pPr>
                          <w:tabs>
                            <w:tab w:val="num" w:pos="0"/>
                          </w:tabs>
                        </w:pPr>
                        <w:r>
                          <w:t>Avenue E. Mounier 100</w:t>
                        </w:r>
                      </w:p>
                      <w:p w:rsidR="00F04EEF" w:rsidRDefault="0099351E">
                        <w:pPr>
                          <w:tabs>
                            <w:tab w:val="num" w:pos="0"/>
                          </w:tabs>
                          <w:rPr>
                            <w:i/>
                            <w:u w:val="single"/>
                          </w:rPr>
                        </w:pPr>
                        <w:r>
                          <w:t>1200 BRUXELLES</w:t>
                        </w:r>
                      </w:p>
                      <w:p w:rsidR="00F04EEF" w:rsidRDefault="0099351E">
                        <w:pPr>
                          <w:tabs>
                            <w:tab w:val="num" w:pos="0"/>
                          </w:tabs>
                        </w:pPr>
                        <w:r>
                          <w:sym w:font="Wingdings" w:char="F028"/>
                        </w:r>
                        <w:r>
                          <w:t xml:space="preserve"> : 02/256 70 11 - </w:t>
                        </w:r>
                        <w:r>
                          <w:rPr>
                            <w:b/>
                            <w:bCs/>
                          </w:rPr>
                          <w:sym w:font="Webdings" w:char="F0CA"/>
                        </w:r>
                        <w:r>
                          <w:t xml:space="preserve"> 02/256 70 12</w:t>
                        </w:r>
                      </w:p>
                      <w:p w:rsidR="00F04EEF" w:rsidRDefault="00F04EEF">
                        <w:pPr>
                          <w:tabs>
                            <w:tab w:val="num" w:pos="0"/>
                          </w:tabs>
                          <w:rPr>
                            <w:b/>
                            <w:smallCaps/>
                          </w:rPr>
                        </w:pPr>
                      </w:p>
                    </w:tc>
                    <w:tc>
                      <w:tcPr>
                        <w:tcW w:w="4672" w:type="dxa"/>
                      </w:tcPr>
                      <w:p w:rsidR="00F04EEF" w:rsidRDefault="0099351E">
                        <w:pPr>
                          <w:tabs>
                            <w:tab w:val="num" w:pos="0"/>
                          </w:tabs>
                          <w:rPr>
                            <w:u w:val="single"/>
                          </w:rPr>
                        </w:pPr>
                        <w:r>
                          <w:rPr>
                            <w:u w:val="single"/>
                          </w:rPr>
                          <w:t>Bruxelles – Capitale et Brabant wallon :</w:t>
                        </w:r>
                      </w:p>
                      <w:p w:rsidR="00F04EEF" w:rsidRDefault="0099351E">
                        <w:pPr>
                          <w:tabs>
                            <w:tab w:val="num" w:pos="0"/>
                          </w:tabs>
                        </w:pPr>
                        <w:r>
                          <w:t>Mme Anne-Françoise DELEIXHE</w:t>
                        </w:r>
                      </w:p>
                      <w:p w:rsidR="00F04EEF" w:rsidRDefault="0099351E">
                        <w:pPr>
                          <w:tabs>
                            <w:tab w:val="num" w:pos="0"/>
                          </w:tabs>
                          <w:ind w:right="-360"/>
                        </w:pPr>
                        <w:r>
                          <w:t>Avenue de l'Eglise Saint-Julien 15</w:t>
                        </w:r>
                      </w:p>
                      <w:p w:rsidR="00F04EEF" w:rsidRDefault="0099351E">
                        <w:pPr>
                          <w:tabs>
                            <w:tab w:val="num" w:pos="0"/>
                          </w:tabs>
                          <w:ind w:right="-360"/>
                        </w:pPr>
                        <w:r>
                          <w:t>1160 AUDERGHEM</w:t>
                        </w:r>
                      </w:p>
                      <w:p w:rsidR="00F04EEF" w:rsidRDefault="0099351E">
                        <w:pPr>
                          <w:tabs>
                            <w:tab w:val="num" w:pos="0"/>
                          </w:tabs>
                          <w:rPr>
                            <w:b/>
                            <w:smallCaps/>
                          </w:rPr>
                        </w:pPr>
                        <w:r>
                          <w:sym w:font="Wingdings" w:char="F028"/>
                        </w:r>
                        <w:r>
                          <w:t> : 02/663 06 69 ou 56 -</w:t>
                        </w:r>
                      </w:p>
                    </w:tc>
                  </w:tr>
                  <w:tr w:rsidR="00F04EEF">
                    <w:tc>
                      <w:tcPr>
                        <w:tcW w:w="4672" w:type="dxa"/>
                      </w:tcPr>
                      <w:p w:rsidR="00F04EEF" w:rsidRDefault="0099351E">
                        <w:pPr>
                          <w:tabs>
                            <w:tab w:val="num" w:pos="0"/>
                          </w:tabs>
                          <w:rPr>
                            <w:u w:val="single"/>
                          </w:rPr>
                        </w:pPr>
                        <w:r>
                          <w:rPr>
                            <w:u w:val="single"/>
                          </w:rPr>
                          <w:t xml:space="preserve">Liège : </w:t>
                        </w:r>
                      </w:p>
                      <w:p w:rsidR="00F04EEF" w:rsidRDefault="0099351E">
                        <w:pPr>
                          <w:tabs>
                            <w:tab w:val="num" w:pos="0"/>
                          </w:tabs>
                        </w:pPr>
                        <w:r>
                          <w:t>M. Claude TILKIN</w:t>
                        </w:r>
                      </w:p>
                      <w:p w:rsidR="00F04EEF" w:rsidRDefault="0099351E">
                        <w:pPr>
                          <w:tabs>
                            <w:tab w:val="num" w:pos="0"/>
                          </w:tabs>
                        </w:pPr>
                        <w:r>
                          <w:t>Bd d’Avroy 17</w:t>
                        </w:r>
                      </w:p>
                      <w:p w:rsidR="00F04EEF" w:rsidRDefault="0099351E">
                        <w:pPr>
                          <w:tabs>
                            <w:tab w:val="num" w:pos="0"/>
                          </w:tabs>
                        </w:pPr>
                        <w:r>
                          <w:t>4000 LIEGE</w:t>
                        </w:r>
                      </w:p>
                      <w:p w:rsidR="00F04EEF" w:rsidRDefault="0099351E">
                        <w:pPr>
                          <w:tabs>
                            <w:tab w:val="num" w:pos="0"/>
                          </w:tabs>
                        </w:pPr>
                        <w:r>
                          <w:sym w:font="Wingdings" w:char="F028"/>
                        </w:r>
                        <w:r>
                          <w:t xml:space="preserve"> : 04/230 57 07 - </w:t>
                        </w:r>
                        <w:r>
                          <w:rPr>
                            <w:b/>
                            <w:bCs/>
                          </w:rPr>
                          <w:sym w:font="Webdings" w:char="F0CA"/>
                        </w:r>
                        <w:r>
                          <w:t>04/230 57 05</w:t>
                        </w:r>
                      </w:p>
                      <w:p w:rsidR="00F04EEF" w:rsidRDefault="00F04EEF">
                        <w:pPr>
                          <w:tabs>
                            <w:tab w:val="num" w:pos="0"/>
                          </w:tabs>
                          <w:rPr>
                            <w:b/>
                            <w:smallCaps/>
                          </w:rPr>
                        </w:pPr>
                      </w:p>
                    </w:tc>
                    <w:tc>
                      <w:tcPr>
                        <w:tcW w:w="4672" w:type="dxa"/>
                      </w:tcPr>
                      <w:p w:rsidR="00F04EEF" w:rsidRDefault="0099351E">
                        <w:pPr>
                          <w:tabs>
                            <w:tab w:val="num" w:pos="0"/>
                          </w:tabs>
                        </w:pPr>
                        <w:r>
                          <w:rPr>
                            <w:u w:val="single"/>
                          </w:rPr>
                          <w:t>Namur et Luxembourg :</w:t>
                        </w:r>
                      </w:p>
                      <w:p w:rsidR="00F04EEF" w:rsidRDefault="0099351E">
                        <w:pPr>
                          <w:tabs>
                            <w:tab w:val="num" w:pos="0"/>
                          </w:tabs>
                        </w:pPr>
                        <w:r>
                          <w:t>M. Hugues DELACROIX</w:t>
                        </w:r>
                      </w:p>
                      <w:p w:rsidR="00F04EEF" w:rsidRDefault="0099351E">
                        <w:pPr>
                          <w:tabs>
                            <w:tab w:val="num" w:pos="0"/>
                          </w:tabs>
                        </w:pPr>
                        <w:r>
                          <w:t>Rue de l'Evêché 5</w:t>
                        </w:r>
                      </w:p>
                      <w:p w:rsidR="00F04EEF" w:rsidRDefault="0099351E">
                        <w:pPr>
                          <w:tabs>
                            <w:tab w:val="num" w:pos="0"/>
                          </w:tabs>
                        </w:pPr>
                        <w:r>
                          <w:t>5000 NAMUR</w:t>
                        </w:r>
                      </w:p>
                      <w:p w:rsidR="00F04EEF" w:rsidRDefault="0099351E">
                        <w:pPr>
                          <w:tabs>
                            <w:tab w:val="num" w:pos="0"/>
                          </w:tabs>
                          <w:rPr>
                            <w:color w:val="000080"/>
                          </w:rPr>
                        </w:pPr>
                        <w:r>
                          <w:sym w:font="Wingdings" w:char="F028"/>
                        </w:r>
                        <w:r>
                          <w:t xml:space="preserve"> : 081/25 03 73 - </w:t>
                        </w:r>
                        <w:r>
                          <w:rPr>
                            <w:b/>
                            <w:bCs/>
                          </w:rPr>
                          <w:sym w:font="Webdings" w:char="F0CA"/>
                        </w:r>
                        <w:r>
                          <w:t>081/25 03 69</w:t>
                        </w:r>
                      </w:p>
                      <w:p w:rsidR="00F04EEF" w:rsidRDefault="00F04EEF">
                        <w:pPr>
                          <w:tabs>
                            <w:tab w:val="num" w:pos="0"/>
                          </w:tabs>
                          <w:rPr>
                            <w:b/>
                            <w:smallCaps/>
                          </w:rPr>
                        </w:pPr>
                      </w:p>
                    </w:tc>
                  </w:tr>
                  <w:tr w:rsidR="00F04EEF">
                    <w:tc>
                      <w:tcPr>
                        <w:tcW w:w="9344" w:type="dxa"/>
                        <w:gridSpan w:val="2"/>
                      </w:tcPr>
                      <w:p w:rsidR="00F04EEF" w:rsidRDefault="0099351E">
                        <w:pPr>
                          <w:tabs>
                            <w:tab w:val="num" w:pos="0"/>
                          </w:tabs>
                          <w:rPr>
                            <w:u w:val="single"/>
                          </w:rPr>
                        </w:pPr>
                        <w:r>
                          <w:rPr>
                            <w:u w:val="single"/>
                          </w:rPr>
                          <w:t>Hainaut :</w:t>
                        </w:r>
                      </w:p>
                      <w:p w:rsidR="00F04EEF" w:rsidRDefault="0099351E">
                        <w:pPr>
                          <w:tabs>
                            <w:tab w:val="num" w:pos="0"/>
                          </w:tabs>
                        </w:pPr>
                        <w:r>
                          <w:t>M. Paul BOLAND</w:t>
                        </w:r>
                      </w:p>
                      <w:p w:rsidR="00F04EEF" w:rsidRDefault="0099351E">
                        <w:pPr>
                          <w:tabs>
                            <w:tab w:val="num" w:pos="0"/>
                          </w:tabs>
                        </w:pPr>
                        <w:r>
                          <w:t>Chaussée de Binche, 151</w:t>
                        </w:r>
                      </w:p>
                      <w:p w:rsidR="00F04EEF" w:rsidRDefault="0099351E">
                        <w:pPr>
                          <w:tabs>
                            <w:tab w:val="num" w:pos="0"/>
                          </w:tabs>
                        </w:pPr>
                        <w:r>
                          <w:t>7000 MONS</w:t>
                        </w:r>
                      </w:p>
                      <w:p w:rsidR="00F04EEF" w:rsidRDefault="0099351E">
                        <w:pPr>
                          <w:tabs>
                            <w:tab w:val="num" w:pos="0"/>
                          </w:tabs>
                        </w:pPr>
                        <w:r>
                          <w:sym w:font="Wingdings" w:char="F028"/>
                        </w:r>
                        <w:r>
                          <w:t xml:space="preserve"> : 065/37 73 11 - </w:t>
                        </w:r>
                        <w:r>
                          <w:rPr>
                            <w:b/>
                            <w:bCs/>
                          </w:rPr>
                          <w:sym w:font="Webdings" w:char="F0CA"/>
                        </w:r>
                        <w:r>
                          <w:t> : 065/37 73 12</w:t>
                        </w:r>
                      </w:p>
                      <w:p w:rsidR="00F04EEF" w:rsidRDefault="00F04EEF">
                        <w:pPr>
                          <w:tabs>
                            <w:tab w:val="num" w:pos="0"/>
                          </w:tabs>
                          <w:rPr>
                            <w:i/>
                            <w:u w:val="single"/>
                          </w:rPr>
                        </w:pPr>
                      </w:p>
                    </w:tc>
                  </w:tr>
                </w:tbl>
                <w:p w:rsidR="00F04EEF" w:rsidRDefault="00F04EEF">
                  <w:pPr>
                    <w:tabs>
                      <w:tab w:val="num" w:pos="0"/>
                    </w:tabs>
                    <w:rPr>
                      <w:rFonts w:cs="Arial"/>
                      <w:b/>
                      <w:smallCaps/>
                    </w:rPr>
                  </w:pPr>
                </w:p>
                <w:p w:rsidR="00F04EEF" w:rsidRDefault="0099351E">
                  <w:pPr>
                    <w:tabs>
                      <w:tab w:val="num" w:pos="0"/>
                    </w:tabs>
                    <w:rPr>
                      <w:rFonts w:cs="Arial"/>
                      <w:b/>
                      <w:color w:val="000080"/>
                    </w:rPr>
                  </w:pPr>
                  <w:r>
                    <w:rPr>
                      <w:rFonts w:cs="Arial"/>
                      <w:b/>
                      <w:color w:val="000080"/>
                    </w:rPr>
                    <w:t>ENSEIGNEMENT LIBRE SUBVENTIONNE (non confessionnel) :</w:t>
                  </w:r>
                </w:p>
                <w:p w:rsidR="00F04EEF" w:rsidRDefault="0099351E">
                  <w:pPr>
                    <w:tabs>
                      <w:tab w:val="num" w:pos="0"/>
                    </w:tabs>
                    <w:snapToGrid w:val="0"/>
                    <w:rPr>
                      <w:rFonts w:cs="Arial"/>
                      <w:u w:val="single"/>
                    </w:rPr>
                  </w:pPr>
                  <w:r>
                    <w:rPr>
                      <w:rFonts w:cs="Arial"/>
                      <w:u w:val="single"/>
                    </w:rPr>
                    <w:t>FELSI :</w:t>
                  </w:r>
                </w:p>
                <w:p w:rsidR="00F04EEF" w:rsidRDefault="0099351E">
                  <w:pPr>
                    <w:tabs>
                      <w:tab w:val="num" w:pos="0"/>
                    </w:tabs>
                    <w:rPr>
                      <w:rFonts w:cs="Arial"/>
                      <w:bCs/>
                    </w:rPr>
                  </w:pPr>
                  <w:r>
                    <w:rPr>
                      <w:rFonts w:cs="Arial"/>
                      <w:bCs/>
                    </w:rPr>
                    <w:t>M. Michel BETTENS, secrétaire général</w:t>
                  </w:r>
                </w:p>
                <w:p w:rsidR="00F04EEF" w:rsidRDefault="0099351E">
                  <w:pPr>
                    <w:tabs>
                      <w:tab w:val="num" w:pos="0"/>
                    </w:tabs>
                    <w:rPr>
                      <w:rFonts w:cs="Arial"/>
                      <w:bCs/>
                    </w:rPr>
                  </w:pPr>
                  <w:r>
                    <w:rPr>
                      <w:rFonts w:cs="Arial"/>
                      <w:bCs/>
                    </w:rPr>
                    <w:t>Avenue Jupiter, 180</w:t>
                  </w:r>
                </w:p>
                <w:p w:rsidR="00F04EEF" w:rsidRDefault="0099351E">
                  <w:pPr>
                    <w:tabs>
                      <w:tab w:val="num" w:pos="0"/>
                    </w:tabs>
                    <w:rPr>
                      <w:rFonts w:cs="Arial"/>
                      <w:bCs/>
                    </w:rPr>
                  </w:pPr>
                  <w:r>
                    <w:rPr>
                      <w:rFonts w:cs="Arial"/>
                      <w:bCs/>
                    </w:rPr>
                    <w:t>1190 BRUXELLES</w:t>
                  </w:r>
                </w:p>
                <w:p w:rsidR="00F04EEF" w:rsidRDefault="0099351E">
                  <w:pPr>
                    <w:tabs>
                      <w:tab w:val="num" w:pos="0"/>
                    </w:tabs>
                    <w:rPr>
                      <w:rFonts w:cs="Arial"/>
                      <w:b/>
                      <w:smallCaps/>
                    </w:rPr>
                  </w:pPr>
                  <w:r>
                    <w:rPr>
                      <w:rFonts w:cs="Arial"/>
                    </w:rPr>
                    <w:sym w:font="Wingdings" w:char="F028"/>
                  </w:r>
                  <w:r>
                    <w:rPr>
                      <w:rFonts w:cs="Arial"/>
                    </w:rPr>
                    <w:t xml:space="preserve"> : 02/527.37.92 / </w:t>
                  </w:r>
                  <w:r>
                    <w:rPr>
                      <w:b/>
                      <w:bCs/>
                    </w:rPr>
                    <w:sym w:font="Webdings" w:char="F0CA"/>
                  </w:r>
                  <w:r>
                    <w:rPr>
                      <w:rFonts w:cs="Arial"/>
                    </w:rPr>
                    <w:t xml:space="preserve"> : 02/527.37.91</w:t>
                  </w:r>
                </w:p>
                <w:p w:rsidR="00F04EEF" w:rsidRDefault="0099351E">
                  <w:pPr>
                    <w:rPr>
                      <w:b/>
                      <w:highlight w:val="yellow"/>
                      <w:u w:val="single"/>
                    </w:rPr>
                  </w:pPr>
                  <w:r>
                    <w:rPr>
                      <w:highlight w:val="yellow"/>
                    </w:rPr>
                    <w:br w:type="page"/>
                  </w:r>
                </w:p>
                <w:bookmarkStart w:id="1269" w:name="_Annexe_5_:_3"/>
                <w:bookmarkEnd w:id="1269"/>
                <w:p w:rsidR="00F04EEF" w:rsidRDefault="0099351E">
                  <w:pPr>
                    <w:pStyle w:val="Titre4"/>
                  </w:pPr>
                  <w:r>
                    <w:rPr>
                      <w:noProof/>
                      <w:lang w:eastAsia="fr-BE"/>
                    </w:rPr>
                    <mc:AlternateContent>
                      <mc:Choice Requires="wps">
                        <w:drawing>
                          <wp:anchor distT="0" distB="0" distL="114300" distR="114300" simplePos="0" relativeHeight="252184576" behindDoc="0" locked="0" layoutInCell="1" allowOverlap="1">
                            <wp:simplePos x="0" y="0"/>
                            <wp:positionH relativeFrom="column">
                              <wp:posOffset>6271895</wp:posOffset>
                            </wp:positionH>
                            <wp:positionV relativeFrom="paragraph">
                              <wp:posOffset>175260</wp:posOffset>
                            </wp:positionV>
                            <wp:extent cx="0" cy="180975"/>
                            <wp:effectExtent l="0" t="0" r="19050" b="28575"/>
                            <wp:wrapNone/>
                            <wp:docPr id="36" name="Connecteur droit 36"/>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13E2D8" id="Connecteur droit 36" o:spid="_x0000_s1026" style="position:absolute;z-index:252184576;visibility:visible;mso-wrap-style:square;mso-wrap-distance-left:9pt;mso-wrap-distance-top:0;mso-wrap-distance-right:9pt;mso-wrap-distance-bottom:0;mso-position-horizontal:absolute;mso-position-horizontal-relative:text;mso-position-vertical:absolute;mso-position-vertical-relative:text" from="493.85pt,13.8pt" to="493.8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" strokecolor="black [3213]"/>
                        </w:pict>
                      </mc:Fallback>
                    </mc:AlternateContent>
                  </w:r>
                  <w:r>
                    <w:t xml:space="preserve">Annexe 3 : </w:t>
                  </w:r>
                  <w:r>
                    <w:rPr>
                      <w:lang w:val="fr-FR"/>
                    </w:rPr>
                    <w:t>Attestation de manque de locaux et de places disponibles dans un établissement d’enseignement secondaire spécialisé organisé par WBE</w:t>
                  </w:r>
                  <w:r>
                    <w:rPr>
                      <w:vertAlign w:val="superscript"/>
                    </w:rPr>
                    <w:t xml:space="preserve"> </w:t>
                  </w:r>
                  <w:r>
                    <w:rPr>
                      <w:vertAlign w:val="superscript"/>
                    </w:rPr>
                    <w:footnoteReference w:id="108"/>
                  </w:r>
                </w:p>
                <w:p w:rsidR="00F04EEF" w:rsidRDefault="00F04EEF">
                  <w:pPr>
                    <w:jc w:val="both"/>
                    <w:rPr>
                      <w:rFonts w:cs="Arial"/>
                    </w:rPr>
                  </w:pPr>
                </w:p>
                <w:p w:rsidR="00F04EEF" w:rsidRDefault="0099351E">
                  <w:pPr>
                    <w:tabs>
                      <w:tab w:val="left" w:pos="765"/>
                      <w:tab w:val="center" w:pos="4677"/>
                    </w:tabs>
                    <w:rPr>
                      <w:rFonts w:ascii="Cambria" w:eastAsia="Times New Roman" w:hAnsi="Cambria" w:cs="Arial"/>
                      <w:i/>
                      <w:szCs w:val="24"/>
                      <w:lang w:val="fr-FR" w:eastAsia="fr-FR"/>
                    </w:rPr>
                  </w:pPr>
                  <w:r>
                    <w:rPr>
                      <w:rFonts w:ascii="Cambria" w:eastAsia="Times New Roman" w:hAnsi="Cambria" w:cs="Arial"/>
                      <w:i/>
                      <w:szCs w:val="24"/>
                      <w:lang w:val="fr-FR" w:eastAsia="fr-FR"/>
                    </w:rPr>
                    <w:tab/>
                  </w:r>
                  <w:r>
                    <w:rPr>
                      <w:rFonts w:ascii="Cambria" w:eastAsia="Times New Roman" w:hAnsi="Cambria" w:cs="Arial"/>
                      <w:i/>
                      <w:szCs w:val="24"/>
                      <w:lang w:val="fr-FR" w:eastAsia="fr-FR"/>
                    </w:rPr>
                    <w:tab/>
                    <w:t>(Application de l’article 80 du Décret « Missions » du 24 juillet 1997)</w:t>
                  </w:r>
                </w:p>
                <w:p w:rsidR="00F04EEF" w:rsidRDefault="00F04EEF">
                  <w:pPr>
                    <w:jc w:val="both"/>
                    <w:rPr>
                      <w:rFonts w:cs="Arial"/>
                    </w:rPr>
                  </w:pPr>
                </w:p>
                <w:p w:rsidR="00F04EEF" w:rsidRDefault="00F04EEF">
                  <w:pPr>
                    <w:jc w:val="both"/>
                    <w:rPr>
                      <w:rFonts w:cs="Arial"/>
                    </w:rPr>
                  </w:pPr>
                </w:p>
                <w:p w:rsidR="00F04EEF" w:rsidRDefault="0099351E">
                  <w:pPr>
                    <w:spacing w:line="360" w:lineRule="auto"/>
                    <w:rPr>
                      <w:rFonts w:cs="Arial"/>
                    </w:rPr>
                  </w:pPr>
                  <w:r>
                    <w:rPr>
                      <w:rFonts w:cs="Arial"/>
                    </w:rPr>
                    <w:t>Cachet de l’établissement et mention de son adresse :</w:t>
                  </w:r>
                </w:p>
                <w:p w:rsidR="00F04EEF" w:rsidRDefault="00F04EEF">
                  <w:pPr>
                    <w:spacing w:line="360" w:lineRule="auto"/>
                    <w:rPr>
                      <w:rFonts w:cs="Arial"/>
                    </w:rPr>
                  </w:pPr>
                </w:p>
                <w:p w:rsidR="00F04EEF" w:rsidRDefault="00F04EEF">
                  <w:pPr>
                    <w:spacing w:line="360" w:lineRule="auto"/>
                    <w:rPr>
                      <w:rFonts w:cs="Arial"/>
                    </w:rPr>
                  </w:pPr>
                </w:p>
                <w:p w:rsidR="00F04EEF" w:rsidRDefault="0099351E">
                  <w:pPr>
                    <w:rPr>
                      <w:rFonts w:cs="Arial"/>
                    </w:rPr>
                  </w:pPr>
                  <w:r>
                    <w:rPr>
                      <w:rFonts w:cs="Arial"/>
                    </w:rPr>
                    <w:t>Je soussigné(e) :</w:t>
                  </w:r>
                </w:p>
                <w:p w:rsidR="00F04EEF" w:rsidRDefault="00F04EEF">
                  <w:pPr>
                    <w:rPr>
                      <w:rFonts w:cs="Arial"/>
                    </w:rPr>
                  </w:pPr>
                </w:p>
                <w:p w:rsidR="00F04EEF" w:rsidRDefault="0099351E">
                  <w:pPr>
                    <w:jc w:val="both"/>
                    <w:rPr>
                      <w:rFonts w:ascii="Cambria" w:eastAsia="Times New Roman" w:hAnsi="Cambria" w:cs="Arial"/>
                      <w:spacing w:val="-6"/>
                      <w:lang w:val="fr-FR" w:eastAsia="fr-FR"/>
                    </w:rPr>
                  </w:pPr>
                  <w:r>
                    <w:rPr>
                      <w:rFonts w:ascii="Cambria" w:eastAsia="Times New Roman" w:hAnsi="Cambria" w:cs="Arial"/>
                      <w:spacing w:val="-6"/>
                      <w:lang w:val="fr-FR" w:eastAsia="fr-FR"/>
                    </w:rPr>
                    <w:t xml:space="preserve">Chef d’établissement, atteste que </w:t>
                  </w:r>
                </w:p>
                <w:p w:rsidR="00F04EEF" w:rsidRDefault="00F04EEF">
                  <w:pPr>
                    <w:jc w:val="both"/>
                    <w:rPr>
                      <w:rFonts w:ascii="Cambria" w:eastAsia="Times New Roman" w:hAnsi="Cambria" w:cs="Arial"/>
                      <w:spacing w:val="-6"/>
                      <w:lang w:val="fr-FR" w:eastAsia="fr-FR"/>
                    </w:rPr>
                  </w:pPr>
                </w:p>
                <w:p w:rsidR="00F04EEF" w:rsidRDefault="0099351E">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5968" behindDoc="0" locked="0" layoutInCell="1" allowOverlap="1">
                            <wp:simplePos x="0" y="0"/>
                            <wp:positionH relativeFrom="margin">
                              <wp:align>left</wp:align>
                            </wp:positionH>
                            <wp:positionV relativeFrom="paragraph">
                              <wp:posOffset>18415</wp:posOffset>
                            </wp:positionV>
                            <wp:extent cx="123825" cy="114300"/>
                            <wp:effectExtent l="0" t="0" r="20955" b="2667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668A274" id="Rectangle 48" o:spid="_x0000_s1026" style="position:absolute;margin-left:0;margin-top:1.45pt;width:9.75pt;height:9pt;z-index:252115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94k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" filled="f" strokecolor="windowText" strokeweight="1.5pt">
                            <v:path arrowok="t"/>
                            <w10:wrap anchorx="margin"/>
                          </v:rect>
                        </w:pict>
                      </mc:Fallback>
                    </mc:AlternateContent>
                  </w:r>
                  <w:proofErr w:type="gramStart"/>
                  <w:r>
                    <w:rPr>
                      <w:rFonts w:ascii="Cambria" w:eastAsia="Times New Roman" w:hAnsi="Cambria" w:cs="Arial"/>
                      <w:spacing w:val="-6"/>
                      <w:lang w:val="fr-FR" w:eastAsia="fr-FR"/>
                    </w:rPr>
                    <w:t>l’établissement</w:t>
                  </w:r>
                  <w:proofErr w:type="gramEnd"/>
                  <w:r>
                    <w:rPr>
                      <w:rFonts w:ascii="Cambria" w:eastAsia="Times New Roman" w:hAnsi="Cambria" w:cs="Arial"/>
                      <w:spacing w:val="-6"/>
                      <w:lang w:val="fr-FR" w:eastAsia="fr-FR"/>
                    </w:rPr>
                    <w:t xml:space="preserve"> doit, </w:t>
                  </w:r>
                  <w:r>
                    <w:rPr>
                      <w:rFonts w:ascii="Cambria" w:eastAsia="Times New Roman" w:hAnsi="Cambria" w:cs="Arial"/>
                      <w:b/>
                      <w:spacing w:val="-6"/>
                      <w:lang w:val="fr-FR" w:eastAsia="fr-FR"/>
                    </w:rPr>
                    <w:t>en raison de l’insuffisance des locaux disponibles</w:t>
                  </w:r>
                  <w:r>
                    <w:rPr>
                      <w:rFonts w:ascii="Cambria" w:eastAsia="Times New Roman" w:hAnsi="Cambria" w:cs="Arial"/>
                      <w:spacing w:val="-6"/>
                      <w:lang w:val="fr-FR" w:eastAsia="fr-FR"/>
                    </w:rPr>
                    <w:t>, limiter le nombre d’élèves qu’il accueille, au cours de l'année scolaire 20… - 20…, et ne pourra plus accepter aucune demande d’inscription.</w:t>
                  </w:r>
                </w:p>
                <w:p w:rsidR="00F04EEF" w:rsidRDefault="00F04EEF">
                  <w:pPr>
                    <w:jc w:val="both"/>
                    <w:rPr>
                      <w:rFonts w:ascii="Cambria" w:eastAsia="Times New Roman" w:hAnsi="Cambria" w:cs="Arial"/>
                      <w:spacing w:val="-6"/>
                      <w:lang w:val="fr-FR" w:eastAsia="fr-FR"/>
                    </w:rPr>
                  </w:pPr>
                </w:p>
                <w:p w:rsidR="00F04EEF" w:rsidRDefault="0099351E">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6992" behindDoc="0" locked="0" layoutInCell="1" allowOverlap="1">
                            <wp:simplePos x="0" y="0"/>
                            <wp:positionH relativeFrom="margin">
                              <wp:align>left</wp:align>
                            </wp:positionH>
                            <wp:positionV relativeFrom="paragraph">
                              <wp:posOffset>9525</wp:posOffset>
                            </wp:positionV>
                            <wp:extent cx="123825" cy="114300"/>
                            <wp:effectExtent l="0" t="0" r="20955" b="26670"/>
                            <wp:wrapNone/>
                            <wp:docPr id="45"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11B65D" id="Rectangle 45" o:spid="_x0000_s1026" style="position:absolute;margin-left:0;margin-top:.75pt;width:9.75pt;height:9pt;z-index:252116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CU5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" filled="f" strokecolor="windowText" strokeweight="1.5pt">
                            <v:path arrowok="t"/>
                            <w10:wrap anchorx="margin"/>
                          </v:rect>
                        </w:pict>
                      </mc:Fallback>
                    </mc:AlternateContent>
                  </w:r>
                  <w:proofErr w:type="gramStart"/>
                  <w:r>
                    <w:rPr>
                      <w:rFonts w:ascii="Cambria" w:eastAsia="Times New Roman" w:hAnsi="Cambria" w:cs="Arial"/>
                      <w:spacing w:val="-6"/>
                      <w:lang w:val="fr-FR" w:eastAsia="fr-FR"/>
                    </w:rPr>
                    <w:t>l’établissement</w:t>
                  </w:r>
                  <w:proofErr w:type="gramEnd"/>
                  <w:r>
                    <w:rPr>
                      <w:rFonts w:ascii="Cambria" w:eastAsia="Times New Roman" w:hAnsi="Cambria" w:cs="Arial"/>
                      <w:spacing w:val="-6"/>
                      <w:lang w:val="fr-FR" w:eastAsia="fr-FR"/>
                    </w:rPr>
                    <w:t xml:space="preserve"> ne pourra plus, </w:t>
                  </w:r>
                  <w:r>
                    <w:rPr>
                      <w:rFonts w:ascii="Cambria" w:eastAsia="Times New Roman" w:hAnsi="Cambria" w:cs="Arial"/>
                      <w:b/>
                      <w:spacing w:val="-6"/>
                      <w:lang w:val="fr-FR" w:eastAsia="fr-FR"/>
                    </w:rPr>
                    <w:t>en raison de l’indisponibilité de places</w:t>
                  </w:r>
                  <w:r>
                    <w:rPr>
                      <w:rFonts w:ascii="Cambria" w:eastAsia="Times New Roman" w:hAnsi="Cambria" w:cs="Arial"/>
                      <w:spacing w:val="-6"/>
                      <w:lang w:val="fr-FR" w:eastAsia="fr-FR"/>
                    </w:rPr>
                    <w:t xml:space="preserve">, accepter aucune demande d’inscription (sauf en cas de désistement) dans : </w:t>
                  </w:r>
                </w:p>
                <w:p w:rsidR="00F04EEF" w:rsidRDefault="00F04EEF">
                  <w:pPr>
                    <w:rPr>
                      <w:rFonts w:cs="Arial"/>
                    </w:rPr>
                  </w:pPr>
                </w:p>
                <w:p w:rsidR="00F04EEF" w:rsidRDefault="0099351E">
                  <w:pPr>
                    <w:jc w:val="both"/>
                    <w:rPr>
                      <w:rFonts w:cs="Arial"/>
                      <w:u w:val="single"/>
                    </w:rPr>
                  </w:pPr>
                  <w:r>
                    <w:rPr>
                      <w:rFonts w:cs="Arial"/>
                      <w:b/>
                      <w:u w:val="single"/>
                    </w:rPr>
                    <w:t xml:space="preserve">1. Enseignement secondaire spécialisé de </w:t>
                  </w:r>
                  <w:proofErr w:type="gramStart"/>
                  <w:r>
                    <w:rPr>
                      <w:rFonts w:cs="Arial"/>
                      <w:b/>
                      <w:u w:val="single"/>
                    </w:rPr>
                    <w:t>forme</w:t>
                  </w:r>
                  <w:proofErr w:type="gramEnd"/>
                  <w:r>
                    <w:rPr>
                      <w:rFonts w:cs="Arial"/>
                      <w:b/>
                      <w:u w:val="single"/>
                    </w:rPr>
                    <w:t xml:space="preserve"> 1, 2 ou 3 :</w:t>
                  </w:r>
                </w:p>
                <w:p w:rsidR="00F04EEF" w:rsidRDefault="00F04EEF">
                  <w:pPr>
                    <w:jc w:val="both"/>
                    <w:rPr>
                      <w:rFonts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5"/>
                    <w:gridCol w:w="1521"/>
                    <w:gridCol w:w="1530"/>
                    <w:gridCol w:w="1610"/>
                    <w:gridCol w:w="1610"/>
                    <w:gridCol w:w="1538"/>
                  </w:tblGrid>
                  <w:tr w:rsidR="00F04EEF">
                    <w:tc>
                      <w:tcPr>
                        <w:tcW w:w="1535" w:type="dxa"/>
                      </w:tcPr>
                      <w:p w:rsidR="00F04EEF" w:rsidRDefault="0099351E">
                        <w:pPr>
                          <w:jc w:val="center"/>
                          <w:rPr>
                            <w:rFonts w:cs="Arial"/>
                            <w:b/>
                            <w:u w:val="single"/>
                          </w:rPr>
                        </w:pPr>
                        <w:r>
                          <w:rPr>
                            <w:rFonts w:cs="Arial"/>
                            <w:b/>
                            <w:u w:val="single"/>
                          </w:rPr>
                          <w:t>Forme</w:t>
                        </w:r>
                      </w:p>
                    </w:tc>
                    <w:tc>
                      <w:tcPr>
                        <w:tcW w:w="1521" w:type="dxa"/>
                      </w:tcPr>
                      <w:p w:rsidR="00F04EEF" w:rsidRDefault="0099351E">
                        <w:pPr>
                          <w:jc w:val="center"/>
                          <w:rPr>
                            <w:rFonts w:cs="Arial"/>
                            <w:b/>
                            <w:u w:val="single"/>
                          </w:rPr>
                        </w:pPr>
                        <w:r>
                          <w:rPr>
                            <w:rFonts w:cs="Arial"/>
                            <w:b/>
                            <w:u w:val="single"/>
                          </w:rPr>
                          <w:t>Type</w:t>
                        </w:r>
                      </w:p>
                    </w:tc>
                    <w:tc>
                      <w:tcPr>
                        <w:tcW w:w="1530" w:type="dxa"/>
                      </w:tcPr>
                      <w:p w:rsidR="00F04EEF" w:rsidRDefault="0099351E">
                        <w:pPr>
                          <w:jc w:val="center"/>
                          <w:rPr>
                            <w:rFonts w:cs="Arial"/>
                            <w:b/>
                            <w:u w:val="single"/>
                          </w:rPr>
                        </w:pPr>
                        <w:r>
                          <w:rPr>
                            <w:rFonts w:cs="Arial"/>
                            <w:b/>
                            <w:u w:val="single"/>
                          </w:rPr>
                          <w:t>Phase</w:t>
                        </w:r>
                      </w:p>
                    </w:tc>
                    <w:tc>
                      <w:tcPr>
                        <w:tcW w:w="1610" w:type="dxa"/>
                      </w:tcPr>
                      <w:p w:rsidR="00F04EEF" w:rsidRDefault="0099351E">
                        <w:pPr>
                          <w:jc w:val="center"/>
                          <w:rPr>
                            <w:rFonts w:cs="Arial"/>
                            <w:b/>
                            <w:u w:val="single"/>
                          </w:rPr>
                        </w:pPr>
                        <w:r>
                          <w:rPr>
                            <w:rFonts w:cs="Arial"/>
                            <w:b/>
                            <w:u w:val="single"/>
                          </w:rPr>
                          <w:t>Secteur professionnel</w:t>
                        </w:r>
                      </w:p>
                    </w:tc>
                    <w:tc>
                      <w:tcPr>
                        <w:tcW w:w="1610" w:type="dxa"/>
                      </w:tcPr>
                      <w:p w:rsidR="00F04EEF" w:rsidRDefault="0099351E">
                        <w:pPr>
                          <w:jc w:val="center"/>
                          <w:rPr>
                            <w:rFonts w:cs="Arial"/>
                            <w:b/>
                            <w:u w:val="single"/>
                          </w:rPr>
                        </w:pPr>
                        <w:r>
                          <w:rPr>
                            <w:rFonts w:cs="Arial"/>
                            <w:b/>
                            <w:u w:val="single"/>
                          </w:rPr>
                          <w:t>Groupe professionnel</w:t>
                        </w:r>
                      </w:p>
                    </w:tc>
                    <w:tc>
                      <w:tcPr>
                        <w:tcW w:w="1538" w:type="dxa"/>
                      </w:tcPr>
                      <w:p w:rsidR="00F04EEF" w:rsidRDefault="0099351E">
                        <w:pPr>
                          <w:jc w:val="center"/>
                          <w:rPr>
                            <w:rFonts w:cs="Arial"/>
                            <w:b/>
                            <w:u w:val="single"/>
                          </w:rPr>
                        </w:pPr>
                        <w:r>
                          <w:rPr>
                            <w:rFonts w:cs="Arial"/>
                            <w:b/>
                            <w:u w:val="single"/>
                          </w:rPr>
                          <w:t>Métier</w:t>
                        </w:r>
                      </w:p>
                    </w:tc>
                  </w:tr>
                  <w:tr w:rsidR="00F04EEF">
                    <w:trPr>
                      <w:trHeight w:val="477"/>
                    </w:trPr>
                    <w:tc>
                      <w:tcPr>
                        <w:tcW w:w="1535" w:type="dxa"/>
                      </w:tcPr>
                      <w:p w:rsidR="00F04EEF" w:rsidRDefault="00F04EEF">
                        <w:pPr>
                          <w:jc w:val="both"/>
                          <w:rPr>
                            <w:rFonts w:cs="Arial"/>
                            <w:u w:val="single"/>
                          </w:rPr>
                        </w:pPr>
                      </w:p>
                    </w:tc>
                    <w:tc>
                      <w:tcPr>
                        <w:tcW w:w="1521" w:type="dxa"/>
                      </w:tcPr>
                      <w:p w:rsidR="00F04EEF" w:rsidRDefault="00F04EEF">
                        <w:pPr>
                          <w:jc w:val="both"/>
                          <w:rPr>
                            <w:rFonts w:cs="Arial"/>
                            <w:u w:val="single"/>
                          </w:rPr>
                        </w:pPr>
                      </w:p>
                    </w:tc>
                    <w:tc>
                      <w:tcPr>
                        <w:tcW w:w="1530" w:type="dxa"/>
                      </w:tcPr>
                      <w:p w:rsidR="00F04EEF" w:rsidRDefault="00F04EEF">
                        <w:pPr>
                          <w:jc w:val="both"/>
                          <w:rPr>
                            <w:rFonts w:cs="Arial"/>
                            <w:u w:val="single"/>
                          </w:rPr>
                        </w:pPr>
                      </w:p>
                    </w:tc>
                    <w:tc>
                      <w:tcPr>
                        <w:tcW w:w="1610" w:type="dxa"/>
                      </w:tcPr>
                      <w:p w:rsidR="00F04EEF" w:rsidRDefault="00F04EEF">
                        <w:pPr>
                          <w:jc w:val="both"/>
                          <w:rPr>
                            <w:rFonts w:cs="Arial"/>
                            <w:u w:val="single"/>
                          </w:rPr>
                        </w:pPr>
                      </w:p>
                    </w:tc>
                    <w:tc>
                      <w:tcPr>
                        <w:tcW w:w="1610" w:type="dxa"/>
                      </w:tcPr>
                      <w:p w:rsidR="00F04EEF" w:rsidRDefault="00F04EEF">
                        <w:pPr>
                          <w:jc w:val="both"/>
                          <w:rPr>
                            <w:rFonts w:cs="Arial"/>
                            <w:u w:val="single"/>
                          </w:rPr>
                        </w:pPr>
                      </w:p>
                    </w:tc>
                    <w:tc>
                      <w:tcPr>
                        <w:tcW w:w="1538" w:type="dxa"/>
                      </w:tcPr>
                      <w:p w:rsidR="00F04EEF" w:rsidRDefault="00F04EEF">
                        <w:pPr>
                          <w:jc w:val="both"/>
                          <w:rPr>
                            <w:rFonts w:cs="Arial"/>
                            <w:u w:val="single"/>
                          </w:rPr>
                        </w:pPr>
                      </w:p>
                    </w:tc>
                  </w:tr>
                </w:tbl>
                <w:p w:rsidR="00F04EEF" w:rsidRDefault="00F04EEF">
                  <w:pPr>
                    <w:jc w:val="both"/>
                    <w:rPr>
                      <w:rFonts w:cs="Arial"/>
                      <w:b/>
                      <w:u w:val="single"/>
                    </w:rPr>
                  </w:pPr>
                </w:p>
                <w:p w:rsidR="00F04EEF" w:rsidRDefault="0099351E">
                  <w:pPr>
                    <w:jc w:val="both"/>
                    <w:rPr>
                      <w:rFonts w:cs="Arial"/>
                      <w:b/>
                      <w:u w:val="single"/>
                    </w:rPr>
                  </w:pPr>
                  <w:r>
                    <w:rPr>
                      <w:rFonts w:cs="Arial"/>
                      <w:b/>
                      <w:u w:val="single"/>
                    </w:rPr>
                    <w:t>2. Enseignement secondaire spécialisé de forme 4</w:t>
                  </w:r>
                </w:p>
                <w:p w:rsidR="00F04EEF" w:rsidRDefault="00F04EEF">
                  <w:pPr>
                    <w:jc w:val="both"/>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rsidR="00F04EEF">
                    <w:trPr>
                      <w:trHeight w:val="506"/>
                    </w:trPr>
                    <w:tc>
                      <w:tcPr>
                        <w:tcW w:w="1406"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Type</w:t>
                        </w:r>
                      </w:p>
                    </w:tc>
                    <w:tc>
                      <w:tcPr>
                        <w:tcW w:w="1406"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Année</w:t>
                        </w:r>
                      </w:p>
                    </w:tc>
                    <w:tc>
                      <w:tcPr>
                        <w:tcW w:w="1407"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Forme</w:t>
                        </w:r>
                      </w:p>
                    </w:tc>
                    <w:tc>
                      <w:tcPr>
                        <w:tcW w:w="2410"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Section</w:t>
                        </w:r>
                      </w:p>
                    </w:tc>
                    <w:tc>
                      <w:tcPr>
                        <w:tcW w:w="2410"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Option</w:t>
                        </w:r>
                      </w:p>
                    </w:tc>
                  </w:tr>
                  <w:tr w:rsidR="00F04EEF">
                    <w:trPr>
                      <w:trHeight w:val="506"/>
                    </w:trPr>
                    <w:tc>
                      <w:tcPr>
                        <w:tcW w:w="1406" w:type="dxa"/>
                        <w:shd w:val="clear" w:color="auto" w:fill="auto"/>
                      </w:tcPr>
                      <w:p w:rsidR="00F04EEF" w:rsidRDefault="00F04EEF">
                        <w:pPr>
                          <w:jc w:val="center"/>
                          <w:rPr>
                            <w:rFonts w:ascii="Cambria" w:eastAsia="Times New Roman" w:hAnsi="Cambria" w:cs="Arial"/>
                            <w:b/>
                            <w:spacing w:val="-6"/>
                            <w:lang w:val="fr-FR" w:eastAsia="fr-FR"/>
                          </w:rPr>
                        </w:pPr>
                      </w:p>
                    </w:tc>
                    <w:tc>
                      <w:tcPr>
                        <w:tcW w:w="1406" w:type="dxa"/>
                        <w:shd w:val="clear" w:color="auto" w:fill="auto"/>
                      </w:tcPr>
                      <w:p w:rsidR="00F04EEF" w:rsidRDefault="00F04EEF">
                        <w:pPr>
                          <w:jc w:val="center"/>
                          <w:rPr>
                            <w:rFonts w:ascii="Cambria" w:eastAsia="Times New Roman" w:hAnsi="Cambria" w:cs="Arial"/>
                            <w:b/>
                            <w:spacing w:val="-6"/>
                            <w:lang w:val="fr-FR" w:eastAsia="fr-FR"/>
                          </w:rPr>
                        </w:pPr>
                      </w:p>
                    </w:tc>
                    <w:tc>
                      <w:tcPr>
                        <w:tcW w:w="1407" w:type="dxa"/>
                        <w:shd w:val="clear" w:color="auto" w:fill="auto"/>
                      </w:tcPr>
                      <w:p w:rsidR="00F04EEF" w:rsidRDefault="00F04EEF">
                        <w:pPr>
                          <w:jc w:val="center"/>
                          <w:rPr>
                            <w:rFonts w:ascii="Cambria" w:eastAsia="Times New Roman" w:hAnsi="Cambria" w:cs="Arial"/>
                            <w:b/>
                            <w:spacing w:val="-6"/>
                            <w:lang w:val="fr-FR" w:eastAsia="fr-FR"/>
                          </w:rPr>
                        </w:pPr>
                      </w:p>
                    </w:tc>
                    <w:tc>
                      <w:tcPr>
                        <w:tcW w:w="2410" w:type="dxa"/>
                        <w:shd w:val="clear" w:color="auto" w:fill="auto"/>
                      </w:tcPr>
                      <w:p w:rsidR="00F04EEF" w:rsidRDefault="00F04EEF">
                        <w:pPr>
                          <w:jc w:val="center"/>
                          <w:rPr>
                            <w:rFonts w:ascii="Cambria" w:eastAsia="Times New Roman" w:hAnsi="Cambria" w:cs="Arial"/>
                            <w:b/>
                            <w:spacing w:val="-6"/>
                            <w:lang w:val="fr-FR" w:eastAsia="fr-FR"/>
                          </w:rPr>
                        </w:pPr>
                      </w:p>
                    </w:tc>
                    <w:tc>
                      <w:tcPr>
                        <w:tcW w:w="2410" w:type="dxa"/>
                        <w:shd w:val="clear" w:color="auto" w:fill="auto"/>
                      </w:tcPr>
                      <w:p w:rsidR="00F04EEF" w:rsidRDefault="00F04EEF">
                        <w:pPr>
                          <w:jc w:val="center"/>
                          <w:rPr>
                            <w:rFonts w:ascii="Cambria" w:eastAsia="Times New Roman" w:hAnsi="Cambria" w:cs="Arial"/>
                            <w:b/>
                            <w:spacing w:val="-6"/>
                            <w:lang w:val="fr-FR" w:eastAsia="fr-FR"/>
                          </w:rPr>
                        </w:pPr>
                      </w:p>
                    </w:tc>
                  </w:tr>
                </w:tbl>
                <w:p w:rsidR="00F04EEF" w:rsidRDefault="00F04EEF">
                  <w:pPr>
                    <w:jc w:val="both"/>
                  </w:pPr>
                </w:p>
                <w:p w:rsidR="00F04EEF" w:rsidRDefault="00F04EEF">
                  <w:pPr>
                    <w:jc w:val="both"/>
                  </w:pPr>
                </w:p>
                <w:p w:rsidR="00F04EEF" w:rsidRDefault="0099351E">
                  <w:pPr>
                    <w:spacing w:line="360" w:lineRule="auto"/>
                    <w:jc w:val="both"/>
                    <w:rPr>
                      <w:rFonts w:cs="Arial"/>
                    </w:rPr>
                  </w:pPr>
                  <w:r>
                    <w:rPr>
                      <w:rFonts w:cs="Arial"/>
                    </w:rPr>
                    <w:t>Date et signature :</w:t>
                  </w:r>
                </w:p>
                <w:p w:rsidR="00F04EEF" w:rsidRDefault="00F04EEF">
                  <w:pPr>
                    <w:spacing w:line="360" w:lineRule="auto"/>
                    <w:jc w:val="both"/>
                    <w:rPr>
                      <w:rFonts w:cs="Arial"/>
                    </w:rPr>
                  </w:pP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iCs/>
                    </w:rPr>
                    <w:t>Formulaire</w:t>
                  </w:r>
                  <w:r>
                    <w:rPr>
                      <w:b/>
                      <w:iCs/>
                    </w:rPr>
                    <w:t xml:space="preserve"> </w:t>
                  </w:r>
                  <w:r>
                    <w:rPr>
                      <w:rFonts w:ascii="Cambria" w:eastAsia="Times New Roman" w:hAnsi="Cambria" w:cs="Arial"/>
                      <w:szCs w:val="24"/>
                      <w:lang w:val="fr-FR" w:eastAsia="fr-FR"/>
                    </w:rPr>
                    <w:t>à compléter par le Pouvoir Organisateur ou son délégué et à renvoyer à :</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Service des Inscriptions et de l’Assistance aux Etablissements Scolaires</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proofErr w:type="gramStart"/>
                  <w:r>
                    <w:rPr>
                      <w:rFonts w:ascii="Cambria" w:eastAsia="Times New Roman" w:hAnsi="Cambria" w:cs="Arial"/>
                      <w:szCs w:val="24"/>
                      <w:lang w:val="fr-FR" w:eastAsia="fr-FR"/>
                    </w:rPr>
                    <w:t>rue</w:t>
                  </w:r>
                  <w:proofErr w:type="gramEnd"/>
                  <w:r>
                    <w:rPr>
                      <w:rFonts w:ascii="Cambria" w:eastAsia="Times New Roman" w:hAnsi="Cambria" w:cs="Arial"/>
                      <w:szCs w:val="24"/>
                      <w:lang w:val="fr-FR" w:eastAsia="fr-FR"/>
                    </w:rPr>
                    <w:t xml:space="preserve"> Adolphe Lavallée, 1 – 3ème étage</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1080 Bruxelles</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sectPr w:rsidR="00F04EEF">
                      <w:footerReference w:type="default" r:id="rId76"/>
                      <w:footerReference w:type="first" r:id="rId77"/>
                      <w:type w:val="continuous"/>
                      <w:pgSz w:w="11906" w:h="16838"/>
                      <w:pgMar w:top="1134" w:right="1134" w:bottom="1134" w:left="1418" w:header="720" w:footer="218" w:gutter="0"/>
                      <w:pgNumType w:start="2"/>
                      <w:cols w:space="720"/>
                      <w:titlePg/>
                      <w:docGrid w:linePitch="360"/>
                    </w:sectPr>
                  </w:pPr>
                  <w:r>
                    <w:rPr>
                      <w:rFonts w:ascii="Cambria" w:eastAsia="Times New Roman" w:hAnsi="Cambria" w:cs="Arial"/>
                      <w:szCs w:val="24"/>
                      <w:lang w:val="fr-FR" w:eastAsia="fr-FR"/>
                    </w:rPr>
                    <w:t>E-mail : exclusion-inscription@cfwb.be</w:t>
                  </w:r>
                </w:p>
                <w:p w:rsidR="00F04EEF" w:rsidRDefault="00F04EEF">
                  <w:pPr>
                    <w:rPr>
                      <w:b/>
                      <w:u w:val="single"/>
                    </w:rPr>
                  </w:pPr>
                  <w:bookmarkStart w:id="1270" w:name="_Toc518999759"/>
                </w:p>
                <w:bookmarkStart w:id="1271" w:name="_Annexe_6_:_1"/>
                <w:bookmarkEnd w:id="1271"/>
                <w:p w:rsidR="00F04EEF" w:rsidRDefault="0099351E">
                  <w:pPr>
                    <w:pStyle w:val="Titre4"/>
                  </w:pPr>
                  <w:r>
                    <w:rPr>
                      <w:noProof/>
                      <w:lang w:eastAsia="fr-BE"/>
                    </w:rPr>
                    <mc:AlternateContent>
                      <mc:Choice Requires="wps">
                        <w:drawing>
                          <wp:anchor distT="0" distB="0" distL="114300" distR="114300" simplePos="0" relativeHeight="252186624" behindDoc="0" locked="0" layoutInCell="1" allowOverlap="1">
                            <wp:simplePos x="0" y="0"/>
                            <wp:positionH relativeFrom="column">
                              <wp:posOffset>6162675</wp:posOffset>
                            </wp:positionH>
                            <wp:positionV relativeFrom="paragraph">
                              <wp:posOffset>170180</wp:posOffset>
                            </wp:positionV>
                            <wp:extent cx="0" cy="180975"/>
                            <wp:effectExtent l="0" t="0" r="19050" b="28575"/>
                            <wp:wrapNone/>
                            <wp:docPr id="39" name="Connecteur droit 39"/>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1D92D6" id="Connecteur droit 39" o:spid="_x0000_s1026" style="position:absolute;z-index:252186624;visibility:visible;mso-wrap-style:square;mso-wrap-distance-left:9pt;mso-wrap-distance-top:0;mso-wrap-distance-right:9pt;mso-wrap-distance-bottom:0;mso-position-horizontal:absolute;mso-position-horizontal-relative:text;mso-position-vertical:absolute;mso-position-vertical-relative:text" from="485.25pt,13.4pt" to="485.25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" strokecolor="black [3213]"/>
                        </w:pict>
                      </mc:Fallback>
                    </mc:AlternateContent>
                  </w:r>
                  <w:r>
                    <w:t xml:space="preserve">Annexe 4 : </w:t>
                  </w:r>
                  <w:r>
                    <w:rPr>
                      <w:lang w:val="fr-FR"/>
                    </w:rPr>
                    <w:t>Attestation de manque de locaux et de places disponibles dans un établissement d’enseignement secondaire spécialisé subventionné par la WBE</w:t>
                  </w:r>
                  <w:r>
                    <w:rPr>
                      <w:vertAlign w:val="superscript"/>
                    </w:rPr>
                    <w:t xml:space="preserve"> </w:t>
                  </w:r>
                  <w:r>
                    <w:rPr>
                      <w:vertAlign w:val="superscript"/>
                    </w:rPr>
                    <w:footnoteReference w:id="109"/>
                  </w:r>
                  <w:bookmarkEnd w:id="1270"/>
                </w:p>
                <w:p w:rsidR="00F04EEF" w:rsidRDefault="00F04EEF">
                  <w:pPr>
                    <w:jc w:val="both"/>
                    <w:rPr>
                      <w:rFonts w:cs="Arial"/>
                    </w:rPr>
                  </w:pPr>
                </w:p>
                <w:p w:rsidR="00F04EEF" w:rsidRDefault="0099351E">
                  <w:pPr>
                    <w:tabs>
                      <w:tab w:val="left" w:pos="765"/>
                      <w:tab w:val="center" w:pos="4677"/>
                    </w:tabs>
                    <w:rPr>
                      <w:rFonts w:ascii="Cambria" w:eastAsia="Times New Roman" w:hAnsi="Cambria" w:cs="Arial"/>
                      <w:i/>
                      <w:szCs w:val="24"/>
                      <w:lang w:val="fr-FR" w:eastAsia="fr-FR"/>
                    </w:rPr>
                  </w:pPr>
                  <w:r>
                    <w:rPr>
                      <w:rFonts w:ascii="Cambria" w:eastAsia="Times New Roman" w:hAnsi="Cambria" w:cs="Arial"/>
                      <w:i/>
                      <w:szCs w:val="24"/>
                      <w:lang w:val="fr-FR" w:eastAsia="fr-FR"/>
                    </w:rPr>
                    <w:tab/>
                  </w:r>
                  <w:r>
                    <w:rPr>
                      <w:rFonts w:ascii="Cambria" w:eastAsia="Times New Roman" w:hAnsi="Cambria" w:cs="Arial"/>
                      <w:i/>
                      <w:szCs w:val="24"/>
                      <w:lang w:val="fr-FR" w:eastAsia="fr-FR"/>
                    </w:rPr>
                    <w:tab/>
                    <w:t>(Application de l’article 88 du Décret « Missions » du 24 juillet 1997)</w:t>
                  </w:r>
                </w:p>
                <w:p w:rsidR="00F04EEF" w:rsidRDefault="00F04EEF">
                  <w:pPr>
                    <w:jc w:val="both"/>
                    <w:rPr>
                      <w:rFonts w:cs="Arial"/>
                    </w:rPr>
                  </w:pPr>
                </w:p>
                <w:p w:rsidR="00F04EEF" w:rsidRDefault="00F04EEF">
                  <w:pPr>
                    <w:jc w:val="both"/>
                    <w:rPr>
                      <w:rFonts w:cs="Arial"/>
                    </w:rPr>
                  </w:pPr>
                </w:p>
                <w:p w:rsidR="00F04EEF" w:rsidRDefault="0099351E">
                  <w:pPr>
                    <w:spacing w:line="360" w:lineRule="auto"/>
                    <w:rPr>
                      <w:rFonts w:cs="Arial"/>
                    </w:rPr>
                  </w:pPr>
                  <w:r>
                    <w:rPr>
                      <w:rFonts w:cs="Arial"/>
                    </w:rPr>
                    <w:t>Cachet de l’établissement et mention de son adresse :</w:t>
                  </w:r>
                </w:p>
                <w:p w:rsidR="00F04EEF" w:rsidRDefault="00F04EEF">
                  <w:pPr>
                    <w:spacing w:line="360" w:lineRule="auto"/>
                    <w:rPr>
                      <w:rFonts w:cs="Arial"/>
                    </w:rPr>
                  </w:pPr>
                </w:p>
                <w:p w:rsidR="00F04EEF" w:rsidRDefault="00F04EEF">
                  <w:pPr>
                    <w:spacing w:line="360" w:lineRule="auto"/>
                    <w:rPr>
                      <w:rFonts w:cs="Arial"/>
                    </w:rPr>
                  </w:pPr>
                </w:p>
                <w:p w:rsidR="00F04EEF" w:rsidRDefault="0099351E">
                  <w:pPr>
                    <w:spacing w:line="360" w:lineRule="auto"/>
                    <w:rPr>
                      <w:rFonts w:cs="Arial"/>
                    </w:rPr>
                  </w:pPr>
                  <w:r>
                    <w:rPr>
                      <w:rFonts w:cs="Arial"/>
                    </w:rPr>
                    <w:t>Réseau :</w:t>
                  </w:r>
                </w:p>
                <w:p w:rsidR="00F04EEF" w:rsidRDefault="0099351E">
                  <w:pPr>
                    <w:rPr>
                      <w:rFonts w:cs="Arial"/>
                    </w:rPr>
                  </w:pPr>
                  <w:r>
                    <w:rPr>
                      <w:rFonts w:cs="Arial"/>
                    </w:rPr>
                    <w:t>Je soussigné(e) :</w:t>
                  </w:r>
                </w:p>
                <w:p w:rsidR="00F04EEF" w:rsidRDefault="00F04EEF">
                  <w:pPr>
                    <w:rPr>
                      <w:rFonts w:cs="Arial"/>
                    </w:rPr>
                  </w:pPr>
                </w:p>
                <w:p w:rsidR="00F04EEF" w:rsidRDefault="0099351E">
                  <w:pPr>
                    <w:jc w:val="both"/>
                    <w:rPr>
                      <w:rFonts w:ascii="Cambria" w:eastAsia="Times New Roman" w:hAnsi="Cambria" w:cs="Arial"/>
                      <w:spacing w:val="-6"/>
                      <w:lang w:val="fr-FR" w:eastAsia="fr-FR"/>
                    </w:rPr>
                  </w:pPr>
                  <w:r>
                    <w:rPr>
                      <w:rFonts w:ascii="Cambria" w:eastAsia="Times New Roman" w:hAnsi="Cambria" w:cs="Arial"/>
                      <w:spacing w:val="-6"/>
                      <w:lang w:val="fr-FR" w:eastAsia="fr-FR"/>
                    </w:rPr>
                    <w:t xml:space="preserve">Pouvoir organisateur ou son délégué, atteste que </w:t>
                  </w:r>
                </w:p>
                <w:p w:rsidR="00F04EEF" w:rsidRDefault="00F04EEF">
                  <w:pPr>
                    <w:jc w:val="both"/>
                    <w:rPr>
                      <w:rFonts w:ascii="Cambria" w:eastAsia="Times New Roman" w:hAnsi="Cambria" w:cs="Arial"/>
                      <w:spacing w:val="-6"/>
                      <w:lang w:val="fr-FR" w:eastAsia="fr-FR"/>
                    </w:rPr>
                  </w:pPr>
                </w:p>
                <w:p w:rsidR="00F04EEF" w:rsidRDefault="0099351E">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3920" behindDoc="0" locked="0" layoutInCell="1" allowOverlap="1">
                            <wp:simplePos x="0" y="0"/>
                            <wp:positionH relativeFrom="margin">
                              <wp:align>left</wp:align>
                            </wp:positionH>
                            <wp:positionV relativeFrom="paragraph">
                              <wp:posOffset>18415</wp:posOffset>
                            </wp:positionV>
                            <wp:extent cx="123825" cy="114300"/>
                            <wp:effectExtent l="0" t="0" r="20955" b="2667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96C5EB2" id="Rectangle 49" o:spid="_x0000_s1026" style="position:absolute;margin-left:0;margin-top:1.45pt;width:9.75pt;height:9pt;z-index:2521139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IwNfA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" filled="f" strokecolor="windowText" strokeweight="1.5pt">
                            <v:path arrowok="t"/>
                            <w10:wrap anchorx="margin"/>
                          </v:rect>
                        </w:pict>
                      </mc:Fallback>
                    </mc:AlternateContent>
                  </w:r>
                  <w:proofErr w:type="gramStart"/>
                  <w:r>
                    <w:rPr>
                      <w:rFonts w:ascii="Cambria" w:eastAsia="Times New Roman" w:hAnsi="Cambria" w:cs="Arial"/>
                      <w:spacing w:val="-6"/>
                      <w:lang w:val="fr-FR" w:eastAsia="fr-FR"/>
                    </w:rPr>
                    <w:t>l’établissement</w:t>
                  </w:r>
                  <w:proofErr w:type="gramEnd"/>
                  <w:r>
                    <w:rPr>
                      <w:rFonts w:ascii="Cambria" w:eastAsia="Times New Roman" w:hAnsi="Cambria" w:cs="Arial"/>
                      <w:spacing w:val="-6"/>
                      <w:lang w:val="fr-FR" w:eastAsia="fr-FR"/>
                    </w:rPr>
                    <w:t xml:space="preserve"> doit, </w:t>
                  </w:r>
                  <w:r>
                    <w:rPr>
                      <w:rFonts w:ascii="Cambria" w:eastAsia="Times New Roman" w:hAnsi="Cambria" w:cs="Arial"/>
                      <w:b/>
                      <w:spacing w:val="-6"/>
                      <w:lang w:val="fr-FR" w:eastAsia="fr-FR"/>
                    </w:rPr>
                    <w:t>en raison de l’insuffisance des locaux disponibles</w:t>
                  </w:r>
                  <w:r>
                    <w:rPr>
                      <w:rFonts w:ascii="Cambria" w:eastAsia="Times New Roman" w:hAnsi="Cambria" w:cs="Arial"/>
                      <w:spacing w:val="-6"/>
                      <w:lang w:val="fr-FR" w:eastAsia="fr-FR"/>
                    </w:rPr>
                    <w:t>, limiter le nombre d’élèves qu’il accueille, au cours de l'année scolaire 20… - 20…, et ne pourra plus accepter aucune demande d’inscription.</w:t>
                  </w:r>
                </w:p>
                <w:p w:rsidR="00F04EEF" w:rsidRDefault="00F04EEF">
                  <w:pPr>
                    <w:jc w:val="both"/>
                    <w:rPr>
                      <w:rFonts w:ascii="Cambria" w:eastAsia="Times New Roman" w:hAnsi="Cambria" w:cs="Arial"/>
                      <w:spacing w:val="-6"/>
                      <w:lang w:val="fr-FR" w:eastAsia="fr-FR"/>
                    </w:rPr>
                  </w:pPr>
                </w:p>
                <w:p w:rsidR="00F04EEF" w:rsidRDefault="0099351E">
                  <w:pPr>
                    <w:ind w:left="284"/>
                    <w:jc w:val="both"/>
                    <w:rPr>
                      <w:rFonts w:ascii="Cambria" w:eastAsia="Times New Roman" w:hAnsi="Cambria" w:cs="Arial"/>
                      <w:spacing w:val="-6"/>
                      <w:lang w:val="fr-FR" w:eastAsia="fr-FR"/>
                    </w:rPr>
                  </w:pPr>
                  <w:r>
                    <w:rPr>
                      <w:rFonts w:ascii="Cambria" w:eastAsia="Calibri" w:hAnsi="Cambria" w:cs="Times New Roman"/>
                      <w:noProof/>
                      <w:lang w:eastAsia="fr-BE"/>
                    </w:rPr>
                    <mc:AlternateContent>
                      <mc:Choice Requires="wps">
                        <w:drawing>
                          <wp:anchor distT="0" distB="0" distL="114300" distR="114300" simplePos="0" relativeHeight="252114944" behindDoc="0" locked="0" layoutInCell="1" allowOverlap="1">
                            <wp:simplePos x="0" y="0"/>
                            <wp:positionH relativeFrom="margin">
                              <wp:align>left</wp:align>
                            </wp:positionH>
                            <wp:positionV relativeFrom="paragraph">
                              <wp:posOffset>9525</wp:posOffset>
                            </wp:positionV>
                            <wp:extent cx="123825" cy="114300"/>
                            <wp:effectExtent l="0" t="0" r="20955" b="2667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06B16D5" id="Rectangle 50" o:spid="_x0000_s1026" style="position:absolute;margin-left:0;margin-top:.75pt;width:9.75pt;height:9pt;z-index:2521149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" filled="f" strokecolor="windowText" strokeweight="1.5pt">
                            <v:path arrowok="t"/>
                            <w10:wrap anchorx="margin"/>
                          </v:rect>
                        </w:pict>
                      </mc:Fallback>
                    </mc:AlternateContent>
                  </w:r>
                  <w:proofErr w:type="gramStart"/>
                  <w:r>
                    <w:rPr>
                      <w:rFonts w:ascii="Cambria" w:eastAsia="Times New Roman" w:hAnsi="Cambria" w:cs="Arial"/>
                      <w:spacing w:val="-6"/>
                      <w:lang w:val="fr-FR" w:eastAsia="fr-FR"/>
                    </w:rPr>
                    <w:t>l’établissement</w:t>
                  </w:r>
                  <w:proofErr w:type="gramEnd"/>
                  <w:r>
                    <w:rPr>
                      <w:rFonts w:ascii="Cambria" w:eastAsia="Times New Roman" w:hAnsi="Cambria" w:cs="Arial"/>
                      <w:spacing w:val="-6"/>
                      <w:lang w:val="fr-FR" w:eastAsia="fr-FR"/>
                    </w:rPr>
                    <w:t xml:space="preserve"> ne pourra plus, </w:t>
                  </w:r>
                  <w:r>
                    <w:rPr>
                      <w:rFonts w:ascii="Cambria" w:eastAsia="Times New Roman" w:hAnsi="Cambria" w:cs="Arial"/>
                      <w:b/>
                      <w:spacing w:val="-6"/>
                      <w:lang w:val="fr-FR" w:eastAsia="fr-FR"/>
                    </w:rPr>
                    <w:t>en raison de l’indisponibilité de places</w:t>
                  </w:r>
                  <w:r>
                    <w:rPr>
                      <w:rFonts w:ascii="Cambria" w:eastAsia="Times New Roman" w:hAnsi="Cambria" w:cs="Arial"/>
                      <w:spacing w:val="-6"/>
                      <w:lang w:val="fr-FR" w:eastAsia="fr-FR"/>
                    </w:rPr>
                    <w:t xml:space="preserve">, accepter aucune demande d’inscription (sauf en cas de désistement) dans : </w:t>
                  </w:r>
                </w:p>
                <w:p w:rsidR="00F04EEF" w:rsidRDefault="00F04EEF">
                  <w:pPr>
                    <w:rPr>
                      <w:rFonts w:cs="Arial"/>
                    </w:rPr>
                  </w:pPr>
                </w:p>
                <w:p w:rsidR="00F04EEF" w:rsidRDefault="0099351E">
                  <w:pPr>
                    <w:jc w:val="both"/>
                    <w:rPr>
                      <w:rFonts w:cs="Arial"/>
                      <w:u w:val="single"/>
                    </w:rPr>
                  </w:pPr>
                  <w:r>
                    <w:rPr>
                      <w:rFonts w:cs="Arial"/>
                      <w:b/>
                      <w:u w:val="single"/>
                    </w:rPr>
                    <w:t xml:space="preserve">1. Enseignement secondaire spécialisé de </w:t>
                  </w:r>
                  <w:proofErr w:type="gramStart"/>
                  <w:r>
                    <w:rPr>
                      <w:rFonts w:cs="Arial"/>
                      <w:b/>
                      <w:u w:val="single"/>
                    </w:rPr>
                    <w:t>forme</w:t>
                  </w:r>
                  <w:proofErr w:type="gramEnd"/>
                  <w:r>
                    <w:rPr>
                      <w:rFonts w:cs="Arial"/>
                      <w:b/>
                      <w:u w:val="single"/>
                    </w:rPr>
                    <w:t xml:space="preserve"> 1, 2 ou 3 :</w:t>
                  </w:r>
                </w:p>
                <w:p w:rsidR="00F04EEF" w:rsidRDefault="00F04EEF">
                  <w:pPr>
                    <w:jc w:val="both"/>
                    <w:rPr>
                      <w:rFonts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449"/>
                    <w:gridCol w:w="1465"/>
                    <w:gridCol w:w="1597"/>
                    <w:gridCol w:w="1597"/>
                    <w:gridCol w:w="1479"/>
                  </w:tblGrid>
                  <w:tr w:rsidR="00F04EEF">
                    <w:tc>
                      <w:tcPr>
                        <w:tcW w:w="1535" w:type="dxa"/>
                      </w:tcPr>
                      <w:p w:rsidR="00F04EEF" w:rsidRDefault="0099351E">
                        <w:pPr>
                          <w:jc w:val="center"/>
                          <w:rPr>
                            <w:rFonts w:cs="Arial"/>
                            <w:b/>
                            <w:u w:val="single"/>
                          </w:rPr>
                        </w:pPr>
                        <w:r>
                          <w:rPr>
                            <w:rFonts w:cs="Arial"/>
                            <w:b/>
                            <w:u w:val="single"/>
                          </w:rPr>
                          <w:t>Forme</w:t>
                        </w:r>
                      </w:p>
                    </w:tc>
                    <w:tc>
                      <w:tcPr>
                        <w:tcW w:w="1521" w:type="dxa"/>
                      </w:tcPr>
                      <w:p w:rsidR="00F04EEF" w:rsidRDefault="0099351E">
                        <w:pPr>
                          <w:jc w:val="center"/>
                          <w:rPr>
                            <w:rFonts w:cs="Arial"/>
                            <w:b/>
                            <w:u w:val="single"/>
                          </w:rPr>
                        </w:pPr>
                        <w:r>
                          <w:rPr>
                            <w:rFonts w:cs="Arial"/>
                            <w:b/>
                            <w:u w:val="single"/>
                          </w:rPr>
                          <w:t>Type</w:t>
                        </w:r>
                      </w:p>
                    </w:tc>
                    <w:tc>
                      <w:tcPr>
                        <w:tcW w:w="1530" w:type="dxa"/>
                      </w:tcPr>
                      <w:p w:rsidR="00F04EEF" w:rsidRDefault="0099351E">
                        <w:pPr>
                          <w:jc w:val="center"/>
                          <w:rPr>
                            <w:rFonts w:cs="Arial"/>
                            <w:b/>
                            <w:u w:val="single"/>
                          </w:rPr>
                        </w:pPr>
                        <w:r>
                          <w:rPr>
                            <w:rFonts w:cs="Arial"/>
                            <w:b/>
                            <w:u w:val="single"/>
                          </w:rPr>
                          <w:t>Phase</w:t>
                        </w:r>
                      </w:p>
                    </w:tc>
                    <w:tc>
                      <w:tcPr>
                        <w:tcW w:w="1610" w:type="dxa"/>
                      </w:tcPr>
                      <w:p w:rsidR="00F04EEF" w:rsidRDefault="0099351E">
                        <w:pPr>
                          <w:jc w:val="center"/>
                          <w:rPr>
                            <w:rFonts w:cs="Arial"/>
                            <w:b/>
                            <w:u w:val="single"/>
                          </w:rPr>
                        </w:pPr>
                        <w:r>
                          <w:rPr>
                            <w:rFonts w:cs="Arial"/>
                            <w:b/>
                            <w:u w:val="single"/>
                          </w:rPr>
                          <w:t>Secteur professionnel</w:t>
                        </w:r>
                      </w:p>
                    </w:tc>
                    <w:tc>
                      <w:tcPr>
                        <w:tcW w:w="1610" w:type="dxa"/>
                      </w:tcPr>
                      <w:p w:rsidR="00F04EEF" w:rsidRDefault="0099351E">
                        <w:pPr>
                          <w:jc w:val="center"/>
                          <w:rPr>
                            <w:rFonts w:cs="Arial"/>
                            <w:b/>
                            <w:u w:val="single"/>
                          </w:rPr>
                        </w:pPr>
                        <w:r>
                          <w:rPr>
                            <w:rFonts w:cs="Arial"/>
                            <w:b/>
                            <w:u w:val="single"/>
                          </w:rPr>
                          <w:t>Groupe professionnel</w:t>
                        </w:r>
                      </w:p>
                    </w:tc>
                    <w:tc>
                      <w:tcPr>
                        <w:tcW w:w="1538" w:type="dxa"/>
                      </w:tcPr>
                      <w:p w:rsidR="00F04EEF" w:rsidRDefault="0099351E">
                        <w:pPr>
                          <w:jc w:val="center"/>
                          <w:rPr>
                            <w:rFonts w:cs="Arial"/>
                            <w:b/>
                            <w:u w:val="single"/>
                          </w:rPr>
                        </w:pPr>
                        <w:r>
                          <w:rPr>
                            <w:rFonts w:cs="Arial"/>
                            <w:b/>
                            <w:u w:val="single"/>
                          </w:rPr>
                          <w:t>Métier</w:t>
                        </w:r>
                      </w:p>
                    </w:tc>
                  </w:tr>
                  <w:tr w:rsidR="00F04EEF">
                    <w:trPr>
                      <w:trHeight w:val="477"/>
                    </w:trPr>
                    <w:tc>
                      <w:tcPr>
                        <w:tcW w:w="1535" w:type="dxa"/>
                      </w:tcPr>
                      <w:p w:rsidR="00F04EEF" w:rsidRDefault="00F04EEF">
                        <w:pPr>
                          <w:jc w:val="both"/>
                          <w:rPr>
                            <w:rFonts w:cs="Arial"/>
                            <w:u w:val="single"/>
                          </w:rPr>
                        </w:pPr>
                      </w:p>
                    </w:tc>
                    <w:tc>
                      <w:tcPr>
                        <w:tcW w:w="1521" w:type="dxa"/>
                      </w:tcPr>
                      <w:p w:rsidR="00F04EEF" w:rsidRDefault="00F04EEF">
                        <w:pPr>
                          <w:jc w:val="both"/>
                          <w:rPr>
                            <w:rFonts w:cs="Arial"/>
                            <w:u w:val="single"/>
                          </w:rPr>
                        </w:pPr>
                      </w:p>
                    </w:tc>
                    <w:tc>
                      <w:tcPr>
                        <w:tcW w:w="1530" w:type="dxa"/>
                      </w:tcPr>
                      <w:p w:rsidR="00F04EEF" w:rsidRDefault="00F04EEF">
                        <w:pPr>
                          <w:jc w:val="both"/>
                          <w:rPr>
                            <w:rFonts w:cs="Arial"/>
                            <w:u w:val="single"/>
                          </w:rPr>
                        </w:pPr>
                      </w:p>
                    </w:tc>
                    <w:tc>
                      <w:tcPr>
                        <w:tcW w:w="1610" w:type="dxa"/>
                      </w:tcPr>
                      <w:p w:rsidR="00F04EEF" w:rsidRDefault="00F04EEF">
                        <w:pPr>
                          <w:jc w:val="both"/>
                          <w:rPr>
                            <w:rFonts w:cs="Arial"/>
                            <w:u w:val="single"/>
                          </w:rPr>
                        </w:pPr>
                      </w:p>
                    </w:tc>
                    <w:tc>
                      <w:tcPr>
                        <w:tcW w:w="1610" w:type="dxa"/>
                      </w:tcPr>
                      <w:p w:rsidR="00F04EEF" w:rsidRDefault="00F04EEF">
                        <w:pPr>
                          <w:jc w:val="both"/>
                          <w:rPr>
                            <w:rFonts w:cs="Arial"/>
                            <w:u w:val="single"/>
                          </w:rPr>
                        </w:pPr>
                      </w:p>
                    </w:tc>
                    <w:tc>
                      <w:tcPr>
                        <w:tcW w:w="1538" w:type="dxa"/>
                      </w:tcPr>
                      <w:p w:rsidR="00F04EEF" w:rsidRDefault="00F04EEF">
                        <w:pPr>
                          <w:jc w:val="both"/>
                          <w:rPr>
                            <w:rFonts w:cs="Arial"/>
                            <w:u w:val="single"/>
                          </w:rPr>
                        </w:pPr>
                      </w:p>
                    </w:tc>
                  </w:tr>
                </w:tbl>
                <w:p w:rsidR="00F04EEF" w:rsidRDefault="00F04EEF">
                  <w:pPr>
                    <w:jc w:val="both"/>
                    <w:rPr>
                      <w:rFonts w:cs="Arial"/>
                      <w:b/>
                      <w:u w:val="single"/>
                    </w:rPr>
                  </w:pPr>
                </w:p>
                <w:p w:rsidR="00F04EEF" w:rsidRDefault="0099351E">
                  <w:pPr>
                    <w:jc w:val="both"/>
                    <w:rPr>
                      <w:rFonts w:cs="Arial"/>
                      <w:b/>
                      <w:u w:val="single"/>
                    </w:rPr>
                  </w:pPr>
                  <w:r>
                    <w:rPr>
                      <w:rFonts w:cs="Arial"/>
                      <w:b/>
                      <w:u w:val="single"/>
                    </w:rPr>
                    <w:t>2. Enseignement secondaire spécialisé de forme 4</w:t>
                  </w:r>
                </w:p>
                <w:p w:rsidR="00F04EEF" w:rsidRDefault="00F04EEF">
                  <w:pPr>
                    <w:jc w:val="both"/>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rsidR="00F04EEF">
                    <w:trPr>
                      <w:trHeight w:val="506"/>
                    </w:trPr>
                    <w:tc>
                      <w:tcPr>
                        <w:tcW w:w="1406"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Type</w:t>
                        </w:r>
                      </w:p>
                    </w:tc>
                    <w:tc>
                      <w:tcPr>
                        <w:tcW w:w="1406"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Année</w:t>
                        </w:r>
                      </w:p>
                    </w:tc>
                    <w:tc>
                      <w:tcPr>
                        <w:tcW w:w="1407"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Forme</w:t>
                        </w:r>
                      </w:p>
                    </w:tc>
                    <w:tc>
                      <w:tcPr>
                        <w:tcW w:w="2410"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Section</w:t>
                        </w:r>
                      </w:p>
                    </w:tc>
                    <w:tc>
                      <w:tcPr>
                        <w:tcW w:w="2410" w:type="dxa"/>
                        <w:shd w:val="clear" w:color="auto" w:fill="auto"/>
                        <w:vAlign w:val="center"/>
                      </w:tcPr>
                      <w:p w:rsidR="00F04EEF" w:rsidRDefault="0099351E">
                        <w:pPr>
                          <w:jc w:val="center"/>
                          <w:rPr>
                            <w:rFonts w:ascii="Cambria" w:eastAsia="Times New Roman" w:hAnsi="Cambria" w:cs="Arial"/>
                            <w:b/>
                            <w:spacing w:val="-6"/>
                            <w:lang w:val="fr-FR" w:eastAsia="fr-FR"/>
                          </w:rPr>
                        </w:pPr>
                        <w:r>
                          <w:rPr>
                            <w:rFonts w:ascii="Cambria" w:eastAsia="Times New Roman" w:hAnsi="Cambria" w:cs="Arial"/>
                            <w:b/>
                            <w:spacing w:val="-6"/>
                            <w:lang w:val="fr-FR" w:eastAsia="fr-FR"/>
                          </w:rPr>
                          <w:t>Option</w:t>
                        </w:r>
                      </w:p>
                    </w:tc>
                  </w:tr>
                  <w:tr w:rsidR="00F04EEF">
                    <w:trPr>
                      <w:trHeight w:val="506"/>
                    </w:trPr>
                    <w:tc>
                      <w:tcPr>
                        <w:tcW w:w="1406" w:type="dxa"/>
                        <w:shd w:val="clear" w:color="auto" w:fill="auto"/>
                      </w:tcPr>
                      <w:p w:rsidR="00F04EEF" w:rsidRDefault="00F04EEF">
                        <w:pPr>
                          <w:jc w:val="center"/>
                          <w:rPr>
                            <w:rFonts w:ascii="Cambria" w:eastAsia="Times New Roman" w:hAnsi="Cambria" w:cs="Arial"/>
                            <w:b/>
                            <w:spacing w:val="-6"/>
                            <w:lang w:val="fr-FR" w:eastAsia="fr-FR"/>
                          </w:rPr>
                        </w:pPr>
                      </w:p>
                    </w:tc>
                    <w:tc>
                      <w:tcPr>
                        <w:tcW w:w="1406" w:type="dxa"/>
                        <w:shd w:val="clear" w:color="auto" w:fill="auto"/>
                      </w:tcPr>
                      <w:p w:rsidR="00F04EEF" w:rsidRDefault="00F04EEF">
                        <w:pPr>
                          <w:jc w:val="center"/>
                          <w:rPr>
                            <w:rFonts w:ascii="Cambria" w:eastAsia="Times New Roman" w:hAnsi="Cambria" w:cs="Arial"/>
                            <w:b/>
                            <w:spacing w:val="-6"/>
                            <w:lang w:val="fr-FR" w:eastAsia="fr-FR"/>
                          </w:rPr>
                        </w:pPr>
                      </w:p>
                    </w:tc>
                    <w:tc>
                      <w:tcPr>
                        <w:tcW w:w="1407" w:type="dxa"/>
                        <w:shd w:val="clear" w:color="auto" w:fill="auto"/>
                      </w:tcPr>
                      <w:p w:rsidR="00F04EEF" w:rsidRDefault="00F04EEF">
                        <w:pPr>
                          <w:jc w:val="center"/>
                          <w:rPr>
                            <w:rFonts w:ascii="Cambria" w:eastAsia="Times New Roman" w:hAnsi="Cambria" w:cs="Arial"/>
                            <w:b/>
                            <w:spacing w:val="-6"/>
                            <w:lang w:val="fr-FR" w:eastAsia="fr-FR"/>
                          </w:rPr>
                        </w:pPr>
                      </w:p>
                    </w:tc>
                    <w:tc>
                      <w:tcPr>
                        <w:tcW w:w="2410" w:type="dxa"/>
                        <w:shd w:val="clear" w:color="auto" w:fill="auto"/>
                      </w:tcPr>
                      <w:p w:rsidR="00F04EEF" w:rsidRDefault="00F04EEF">
                        <w:pPr>
                          <w:jc w:val="center"/>
                          <w:rPr>
                            <w:rFonts w:ascii="Cambria" w:eastAsia="Times New Roman" w:hAnsi="Cambria" w:cs="Arial"/>
                            <w:b/>
                            <w:spacing w:val="-6"/>
                            <w:lang w:val="fr-FR" w:eastAsia="fr-FR"/>
                          </w:rPr>
                        </w:pPr>
                      </w:p>
                    </w:tc>
                    <w:tc>
                      <w:tcPr>
                        <w:tcW w:w="2410" w:type="dxa"/>
                        <w:shd w:val="clear" w:color="auto" w:fill="auto"/>
                      </w:tcPr>
                      <w:p w:rsidR="00F04EEF" w:rsidRDefault="00F04EEF">
                        <w:pPr>
                          <w:jc w:val="center"/>
                          <w:rPr>
                            <w:rFonts w:ascii="Cambria" w:eastAsia="Times New Roman" w:hAnsi="Cambria" w:cs="Arial"/>
                            <w:b/>
                            <w:spacing w:val="-6"/>
                            <w:lang w:val="fr-FR" w:eastAsia="fr-FR"/>
                          </w:rPr>
                        </w:pPr>
                      </w:p>
                    </w:tc>
                  </w:tr>
                </w:tbl>
                <w:p w:rsidR="00F04EEF" w:rsidRDefault="00F04EEF">
                  <w:pPr>
                    <w:jc w:val="both"/>
                  </w:pPr>
                </w:p>
                <w:p w:rsidR="00F04EEF" w:rsidRDefault="00F04EEF">
                  <w:pPr>
                    <w:jc w:val="both"/>
                  </w:pPr>
                </w:p>
                <w:p w:rsidR="00F04EEF" w:rsidRDefault="0099351E">
                  <w:pPr>
                    <w:spacing w:line="360" w:lineRule="auto"/>
                    <w:jc w:val="both"/>
                    <w:rPr>
                      <w:rFonts w:cs="Arial"/>
                    </w:rPr>
                  </w:pPr>
                  <w:r>
                    <w:rPr>
                      <w:rFonts w:cs="Arial"/>
                    </w:rPr>
                    <w:t>Date et signature :</w:t>
                  </w:r>
                </w:p>
                <w:p w:rsidR="00F04EEF" w:rsidRDefault="00F04EEF">
                  <w:pPr>
                    <w:spacing w:line="360" w:lineRule="auto"/>
                    <w:jc w:val="both"/>
                    <w:rPr>
                      <w:rFonts w:cs="Arial"/>
                    </w:rPr>
                  </w:pP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iCs/>
                    </w:rPr>
                    <w:t>Formulaire</w:t>
                  </w:r>
                  <w:r>
                    <w:rPr>
                      <w:b/>
                      <w:iCs/>
                    </w:rPr>
                    <w:t xml:space="preserve"> </w:t>
                  </w:r>
                  <w:r>
                    <w:rPr>
                      <w:rFonts w:ascii="Cambria" w:eastAsia="Times New Roman" w:hAnsi="Cambria" w:cs="Arial"/>
                      <w:szCs w:val="24"/>
                      <w:lang w:val="fr-FR" w:eastAsia="fr-FR"/>
                    </w:rPr>
                    <w:t>à compléter par le Pouvoir Organisateur ou son délégué et à renvoyer à :</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Service des Inscriptions et de l’Assistance aux Etablissements Scolaires</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proofErr w:type="gramStart"/>
                  <w:r>
                    <w:rPr>
                      <w:rFonts w:ascii="Cambria" w:eastAsia="Times New Roman" w:hAnsi="Cambria" w:cs="Arial"/>
                      <w:szCs w:val="24"/>
                      <w:lang w:val="fr-FR" w:eastAsia="fr-FR"/>
                    </w:rPr>
                    <w:t>rue</w:t>
                  </w:r>
                  <w:proofErr w:type="gramEnd"/>
                  <w:r>
                    <w:rPr>
                      <w:rFonts w:ascii="Cambria" w:eastAsia="Times New Roman" w:hAnsi="Cambria" w:cs="Arial"/>
                      <w:szCs w:val="24"/>
                      <w:lang w:val="fr-FR" w:eastAsia="fr-FR"/>
                    </w:rPr>
                    <w:t xml:space="preserve"> Adolphe Lavallée, 1 – 3ème étage</w:t>
                  </w:r>
                </w:p>
                <w:p w:rsidR="00F04EEF" w:rsidRDefault="0099351E">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Pr>
                      <w:rFonts w:ascii="Cambria" w:eastAsia="Times New Roman" w:hAnsi="Cambria" w:cs="Arial"/>
                      <w:szCs w:val="24"/>
                      <w:lang w:val="fr-FR" w:eastAsia="fr-FR"/>
                    </w:rPr>
                    <w:t>1080 Bruxelles</w:t>
                  </w:r>
                </w:p>
                <w:p w:rsidR="00F04EEF" w:rsidRDefault="0099351E">
                  <w:pPr>
                    <w:pStyle w:val="En-tte"/>
                    <w:pBdr>
                      <w:top w:val="single" w:sz="4" w:space="1" w:color="auto"/>
                      <w:left w:val="single" w:sz="4" w:space="4" w:color="auto"/>
                      <w:bottom w:val="single" w:sz="4" w:space="1" w:color="auto"/>
                      <w:right w:val="single" w:sz="4" w:space="4" w:color="auto"/>
                    </w:pBdr>
                    <w:shd w:val="clear" w:color="auto" w:fill="FFFFFF"/>
                    <w:jc w:val="center"/>
                    <w:rPr>
                      <w:rFonts w:asciiTheme="majorHAnsi" w:hAnsiTheme="majorHAnsi" w:cs="Tahoma"/>
                      <w:szCs w:val="22"/>
                    </w:rPr>
                  </w:pPr>
                  <w:r>
                    <w:rPr>
                      <w:rFonts w:ascii="Cambria" w:hAnsi="Cambria"/>
                      <w:szCs w:val="24"/>
                      <w:lang w:val="fr-FR" w:eastAsia="fr-FR"/>
                    </w:rPr>
                    <w:t xml:space="preserve">E-mail : </w:t>
                  </w:r>
                  <w:hyperlink r:id="rId78" w:history="1">
                    <w:r>
                      <w:rPr>
                        <w:rStyle w:val="Lienhypertexte"/>
                        <w:rFonts w:ascii="Cambria" w:hAnsi="Cambria" w:cs="Arial"/>
                        <w:szCs w:val="24"/>
                        <w:lang w:val="fr-FR" w:eastAsia="fr-FR"/>
                      </w:rPr>
                      <w:t>exclusion-inscription@cfwb.be</w:t>
                    </w:r>
                  </w:hyperlink>
                  <w:r>
                    <w:rPr>
                      <w:rFonts w:ascii="Cambria" w:hAnsi="Cambria"/>
                      <w:szCs w:val="24"/>
                      <w:lang w:val="fr-FR" w:eastAsia="fr-FR"/>
                    </w:rPr>
                    <w:t xml:space="preserve"> </w:t>
                  </w:r>
                  <w:r>
                    <w:rPr>
                      <w:rFonts w:asciiTheme="majorHAnsi" w:hAnsiTheme="majorHAnsi" w:cs="Tahoma"/>
                      <w:szCs w:val="22"/>
                    </w:rPr>
                    <w:t xml:space="preserve"> </w:t>
                  </w:r>
                </w:p>
                <w:p w:rsidR="00F04EEF" w:rsidRDefault="0099351E">
                  <w:pPr>
                    <w:rPr>
                      <w:b/>
                      <w:u w:val="single"/>
                    </w:rPr>
                  </w:pPr>
                  <w:bookmarkStart w:id="1272" w:name="annexe7"/>
                  <w:bookmarkStart w:id="1273" w:name="_Toc412204100"/>
                  <w:bookmarkStart w:id="1274" w:name="_Toc414352908"/>
                  <w:bookmarkStart w:id="1275" w:name="_Toc453836931"/>
                  <w:r>
                    <w:br w:type="page"/>
                  </w:r>
                </w:p>
                <w:p w:rsidR="00F04EEF" w:rsidRDefault="0099351E">
                  <w:pPr>
                    <w:pStyle w:val="Titre4"/>
                    <w:rPr>
                      <w:lang w:eastAsia="ar-SA"/>
                    </w:rPr>
                  </w:pPr>
                  <w:bookmarkStart w:id="1276" w:name="_Annexe_7_:_1"/>
                  <w:bookmarkEnd w:id="1272"/>
                  <w:bookmarkEnd w:id="1273"/>
                  <w:bookmarkEnd w:id="1274"/>
                  <w:bookmarkEnd w:id="1275"/>
                  <w:bookmarkEnd w:id="1276"/>
                  <w:r>
                    <w:rPr>
                      <w:lang w:eastAsia="ar-SA"/>
                    </w:rPr>
                    <w:t>Annexe 5 :</w:t>
                  </w:r>
                  <w:bookmarkStart w:id="1277" w:name="_Toc295932167"/>
                  <w:bookmarkStart w:id="1278" w:name="_Toc328123829"/>
                  <w:r>
                    <w:rPr>
                      <w:lang w:eastAsia="ar-SA"/>
                    </w:rPr>
                    <w:t xml:space="preserve"> </w:t>
                  </w:r>
                  <w:r>
                    <w:t>Demande d’autorisation de changement d’école en cours d’année scolaire (sans changement de type) au sein de l’enseignement spécialisé</w:t>
                  </w:r>
                  <w:bookmarkEnd w:id="1277"/>
                  <w:bookmarkEnd w:id="1278"/>
                </w:p>
                <w:p w:rsidR="00F04EEF" w:rsidRDefault="00F04EEF">
                  <w:pPr>
                    <w:ind w:right="-648" w:hanging="720"/>
                    <w:jc w:val="both"/>
                    <w:rPr>
                      <w:b/>
                      <w:spacing w:val="2"/>
                      <w:sz w:val="16"/>
                      <w:szCs w:val="16"/>
                    </w:rPr>
                  </w:pPr>
                </w:p>
                <w:p w:rsidR="00F04EEF" w:rsidRDefault="0099351E">
                  <w:pPr>
                    <w:pBdr>
                      <w:top w:val="single" w:sz="4" w:space="1" w:color="auto"/>
                      <w:left w:val="single" w:sz="4" w:space="4" w:color="auto"/>
                      <w:bottom w:val="single" w:sz="4" w:space="1" w:color="auto"/>
                      <w:right w:val="single" w:sz="4" w:space="4" w:color="auto"/>
                    </w:pBdr>
                    <w:ind w:right="-648" w:hanging="720"/>
                    <w:jc w:val="center"/>
                    <w:rPr>
                      <w:b/>
                      <w:sz w:val="24"/>
                    </w:rPr>
                  </w:pPr>
                  <w:r>
                    <w:rPr>
                      <w:b/>
                      <w:spacing w:val="2"/>
                    </w:rPr>
                    <w:t xml:space="preserve">DEMANDE D’AUTORISATION DE CHANGEMENT D’ECOLE (sans changement de type) </w:t>
                  </w:r>
                  <w:r>
                    <w:rPr>
                      <w:b/>
                    </w:rPr>
                    <w:t>EN</w:t>
                  </w:r>
                  <w:r>
                    <w:rPr>
                      <w:b/>
                      <w:sz w:val="24"/>
                    </w:rPr>
                    <w:t xml:space="preserve"> COURS D’ANNEE SCOLAIRE</w:t>
                  </w:r>
                </w:p>
                <w:p w:rsidR="00F04EEF" w:rsidRDefault="0099351E">
                  <w:pPr>
                    <w:pBdr>
                      <w:top w:val="single" w:sz="4" w:space="1" w:color="auto"/>
                      <w:left w:val="single" w:sz="4" w:space="4" w:color="auto"/>
                      <w:bottom w:val="single" w:sz="4" w:space="1" w:color="auto"/>
                      <w:right w:val="single" w:sz="4" w:space="4" w:color="auto"/>
                    </w:pBdr>
                    <w:ind w:right="-648" w:hanging="720"/>
                    <w:jc w:val="center"/>
                    <w:rPr>
                      <w:b/>
                      <w:sz w:val="24"/>
                    </w:rPr>
                  </w:pPr>
                  <w:r>
                    <w:rPr>
                      <w:b/>
                      <w:sz w:val="24"/>
                    </w:rPr>
                    <w:t>Enseignement spécialisé</w:t>
                  </w:r>
                </w:p>
                <w:p w:rsidR="00F04EEF" w:rsidRDefault="00F04EEF">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F04EEF" w:rsidRDefault="0099351E">
                  <w:pPr>
                    <w:spacing w:before="120"/>
                    <w:ind w:right="-646" w:hanging="720"/>
                    <w:jc w:val="center"/>
                    <w:rPr>
                      <w:b/>
                      <w:spacing w:val="2"/>
                      <w:u w:val="single"/>
                    </w:rPr>
                  </w:pPr>
                  <w:r>
                    <w:rPr>
                      <w:b/>
                      <w:spacing w:val="2"/>
                      <w:u w:val="single"/>
                    </w:rPr>
                    <w:t>FORMULE I</w:t>
                  </w:r>
                </w:p>
                <w:p w:rsidR="00F04EEF" w:rsidRDefault="0099351E">
                  <w:pPr>
                    <w:ind w:right="-648" w:hanging="720"/>
                    <w:jc w:val="center"/>
                    <w:rPr>
                      <w:spacing w:val="2"/>
                    </w:rPr>
                  </w:pPr>
                  <w:proofErr w:type="gramStart"/>
                  <w:r>
                    <w:rPr>
                      <w:spacing w:val="2"/>
                    </w:rPr>
                    <w:t>à</w:t>
                  </w:r>
                  <w:proofErr w:type="gramEnd"/>
                  <w:r>
                    <w:rPr>
                      <w:spacing w:val="2"/>
                    </w:rPr>
                    <w:t xml:space="preserve"> remplir en 1 exemplaire</w:t>
                  </w:r>
                </w:p>
                <w:p w:rsidR="00F04EEF" w:rsidRDefault="00F04EEF">
                  <w:pPr>
                    <w:ind w:right="-648" w:hanging="720"/>
                    <w:jc w:val="both"/>
                    <w:rPr>
                      <w:spacing w:val="2"/>
                      <w:sz w:val="16"/>
                      <w:szCs w:val="16"/>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Le(s) soussigné(s)</w:t>
                  </w:r>
                  <w:r>
                    <w:rPr>
                      <w:spacing w:val="2"/>
                    </w:rPr>
                    <w:t xml:space="preserve"> (nom en imprimé, prénom) :</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proofErr w:type="gramStart"/>
                  <w:r>
                    <w:rPr>
                      <w:b/>
                      <w:spacing w:val="2"/>
                    </w:rPr>
                    <w:t>domicilié(</w:t>
                  </w:r>
                  <w:proofErr w:type="gramEnd"/>
                  <w:r>
                    <w:rPr>
                      <w:b/>
                      <w:spacing w:val="2"/>
                    </w:rPr>
                    <w:t>s) à</w:t>
                  </w:r>
                  <w:r>
                    <w:rPr>
                      <w:spacing w:val="2"/>
                    </w:rPr>
                    <w:t xml:space="preserve"> (rue, n°, code postal, commune) :</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………………………………tél. :…………………E-mail……………………………………….…………..……...</w:t>
                  </w:r>
                </w:p>
                <w:p w:rsidR="00F04EEF" w:rsidRDefault="0099351E">
                  <w:pPr>
                    <w:pBdr>
                      <w:top w:val="single" w:sz="4" w:space="1" w:color="auto"/>
                      <w:left w:val="single" w:sz="4" w:space="4" w:color="auto"/>
                      <w:bottom w:val="single" w:sz="4" w:space="1" w:color="auto"/>
                      <w:right w:val="single" w:sz="4" w:space="4" w:color="auto"/>
                    </w:pBdr>
                    <w:ind w:right="-648" w:hanging="720"/>
                    <w:jc w:val="both"/>
                  </w:pPr>
                  <w:proofErr w:type="gramStart"/>
                  <w:r>
                    <w:t>si</w:t>
                  </w:r>
                  <w:proofErr w:type="gramEnd"/>
                  <w:r>
                    <w:t xml:space="preserve"> la demande est la conséquence d’un changement de domicile, indiquer aussi la nouvelle adresse :</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Style w:val="Corpsdetexte3"/>
                    <w:ind w:left="-709" w:right="-648" w:hanging="11"/>
                    <w:rPr>
                      <w:sz w:val="18"/>
                      <w:szCs w:val="18"/>
                    </w:rPr>
                  </w:pPr>
                  <w:proofErr w:type="gramStart"/>
                  <w:r>
                    <w:rPr>
                      <w:sz w:val="18"/>
                      <w:szCs w:val="18"/>
                    </w:rPr>
                    <w:t>agissant</w:t>
                  </w:r>
                  <w:proofErr w:type="gramEnd"/>
                  <w:r>
                    <w:rPr>
                      <w:sz w:val="18"/>
                      <w:szCs w:val="18"/>
                    </w:rPr>
                    <w:t xml:space="preserve"> en qualité de personne(s) investie(s) de l’autorité parentale, demande à pouvoir changer l’élève mentionné</w:t>
                  </w:r>
                  <w:r>
                    <w:rPr>
                      <w:sz w:val="18"/>
                      <w:szCs w:val="18"/>
                    </w:rPr>
                    <w:br/>
                    <w:t>ci-après :</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Nom</w:t>
                  </w:r>
                  <w:r>
                    <w:rPr>
                      <w:spacing w:val="2"/>
                    </w:rPr>
                    <w:t xml:space="preserve"> en imprimé : ………………………………………………………..……………………………………….…..</w:t>
                  </w:r>
                </w:p>
                <w:p w:rsidR="00F04EEF" w:rsidRDefault="00F04EEF">
                  <w:pPr>
                    <w:pBdr>
                      <w:top w:val="single" w:sz="4" w:space="1" w:color="auto"/>
                      <w:left w:val="single" w:sz="4" w:space="4" w:color="auto"/>
                      <w:bottom w:val="single" w:sz="4" w:space="1" w:color="auto"/>
                      <w:right w:val="single" w:sz="4" w:space="4" w:color="auto"/>
                    </w:pBdr>
                    <w:ind w:right="-648" w:hanging="720"/>
                    <w:jc w:val="both"/>
                    <w:rPr>
                      <w:b/>
                      <w:spacing w:val="2"/>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b/>
                      <w:spacing w:val="2"/>
                    </w:rPr>
                    <w:t>Prénom</w:t>
                  </w:r>
                  <w:r>
                    <w:rPr>
                      <w:spacing w:val="2"/>
                    </w:rPr>
                    <w:t> :…………………………………………………………….……………………………….…………………</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Date de naissance : ……….Type : ………………………….      Forme : ………………………………………..</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rPr>
                  </w:pPr>
                </w:p>
                <w:p w:rsidR="00F04EEF" w:rsidRDefault="0099351E">
                  <w:pPr>
                    <w:pStyle w:val="Corpsdetexte"/>
                    <w:ind w:right="-648" w:hanging="720"/>
                    <w:rPr>
                      <w:sz w:val="12"/>
                      <w:szCs w:val="12"/>
                    </w:rPr>
                  </w:pPr>
                  <w:r>
                    <w:rPr>
                      <w:sz w:val="12"/>
                      <w:szCs w:val="12"/>
                    </w:rPr>
                    <w:t>*Biffer la mention inutile</w:t>
                  </w:r>
                </w:p>
                <w:p w:rsidR="00F04EEF" w:rsidRDefault="0099351E">
                  <w:pPr>
                    <w:pStyle w:val="Corpsdetexte"/>
                    <w:ind w:right="-648" w:hanging="720"/>
                    <w:jc w:val="center"/>
                    <w:rPr>
                      <w:b w:val="0"/>
                      <w:u w:val="single"/>
                    </w:rPr>
                  </w:pPr>
                  <w:r>
                    <w:rPr>
                      <w:b w:val="0"/>
                      <w:u w:val="single"/>
                    </w:rPr>
                    <w:t>Ecole/implantation de départ</w:t>
                  </w:r>
                </w:p>
                <w:p w:rsidR="00F04EEF" w:rsidRDefault="00F04EEF">
                  <w:pPr>
                    <w:pStyle w:val="Corpsdetexte"/>
                    <w:ind w:right="-648" w:hanging="720"/>
                    <w:rPr>
                      <w:sz w:val="8"/>
                      <w:szCs w:val="8"/>
                    </w:rPr>
                  </w:pPr>
                </w:p>
                <w:p w:rsidR="00F04EEF" w:rsidRDefault="0099351E">
                  <w:pPr>
                    <w:pBdr>
                      <w:top w:val="single" w:sz="4" w:space="2" w:color="auto"/>
                      <w:left w:val="single" w:sz="4" w:space="4" w:color="auto"/>
                      <w:bottom w:val="single" w:sz="4" w:space="1" w:color="auto"/>
                      <w:right w:val="single" w:sz="4" w:space="4" w:color="auto"/>
                    </w:pBdr>
                    <w:ind w:right="-648" w:hanging="720"/>
                    <w:jc w:val="both"/>
                    <w:rPr>
                      <w:spacing w:val="2"/>
                      <w:sz w:val="21"/>
                      <w:szCs w:val="21"/>
                    </w:rPr>
                  </w:pPr>
                  <w:r>
                    <w:rPr>
                      <w:spacing w:val="2"/>
                    </w:rPr>
                    <w:t>Niveau maternel/primaire/secondaire</w:t>
                  </w:r>
                  <w:r>
                    <w:rPr>
                      <w:spacing w:val="2"/>
                      <w:sz w:val="21"/>
                      <w:szCs w:val="21"/>
                    </w:rPr>
                    <w:t xml:space="preserve">(*) de </w:t>
                  </w:r>
                  <w:smartTag w:uri="urn:schemas-microsoft-com:office:smarttags" w:element="PersonName">
                    <w:smartTagPr>
                      <w:attr w:name="ProductID" w:val="la Fédération Wallonie-Bruxelles"/>
                    </w:smartTagPr>
                    <w:r>
                      <w:rPr>
                        <w:spacing w:val="2"/>
                        <w:sz w:val="21"/>
                        <w:szCs w:val="21"/>
                      </w:rPr>
                      <w:t>la Fédération Wallonie-Bruxelles</w:t>
                    </w:r>
                  </w:smartTag>
                  <w:r>
                    <w:rPr>
                      <w:spacing w:val="2"/>
                      <w:sz w:val="21"/>
                      <w:szCs w:val="21"/>
                    </w:rPr>
                    <w:t xml:space="preserve">/provinciale/communale/ libre (*)  </w:t>
                  </w:r>
                </w:p>
                <w:p w:rsidR="00F04EEF" w:rsidRDefault="0099351E">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 xml:space="preserve">Adresse (commune, code postal, rue, n°) : </w:t>
                  </w:r>
                  <w:r>
                    <w:rPr>
                      <w:spacing w:val="2"/>
                    </w:rPr>
                    <w:tab/>
                  </w:r>
                  <w:r>
                    <w:rPr>
                      <w:spacing w:val="2"/>
                    </w:rPr>
                    <w:tab/>
                  </w:r>
                  <w:r>
                    <w:rPr>
                      <w:spacing w:val="2"/>
                    </w:rPr>
                    <w:tab/>
                    <w:t>N°Fase : …………………………………..</w:t>
                  </w:r>
                </w:p>
                <w:p w:rsidR="00F04EEF" w:rsidRDefault="0099351E">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 xml:space="preserve">Adresse de l’implantation où l’enfant se trouve : </w:t>
                  </w:r>
                  <w:r>
                    <w:rPr>
                      <w:spacing w:val="2"/>
                    </w:rPr>
                    <w:tab/>
                  </w:r>
                  <w:r>
                    <w:rPr>
                      <w:spacing w:val="2"/>
                    </w:rPr>
                    <w:tab/>
                  </w:r>
                  <w:r>
                    <w:rPr>
                      <w:spacing w:val="2"/>
                    </w:rPr>
                    <w:tab/>
                    <w:t>N°Fase : …………………………………..</w:t>
                  </w:r>
                </w:p>
                <w:p w:rsidR="00F04EEF" w:rsidRDefault="0099351E">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2"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Style w:val="Corpsdetexte"/>
                    <w:ind w:right="-648" w:hanging="720"/>
                    <w:rPr>
                      <w:sz w:val="8"/>
                      <w:szCs w:val="8"/>
                    </w:rPr>
                  </w:pPr>
                  <w:r>
                    <w:rPr>
                      <w:sz w:val="12"/>
                      <w:szCs w:val="12"/>
                    </w:rPr>
                    <w:t>*Biffer la mention inutile</w:t>
                  </w:r>
                </w:p>
                <w:p w:rsidR="00F04EEF" w:rsidRDefault="0099351E">
                  <w:pPr>
                    <w:pStyle w:val="Corpsdetexte"/>
                    <w:ind w:right="-648" w:hanging="720"/>
                    <w:jc w:val="center"/>
                    <w:rPr>
                      <w:b w:val="0"/>
                      <w:u w:val="single"/>
                    </w:rPr>
                  </w:pPr>
                  <w:r>
                    <w:rPr>
                      <w:b w:val="0"/>
                      <w:u w:val="single"/>
                    </w:rPr>
                    <w:t>Nouvelle école/implantation</w:t>
                  </w:r>
                </w:p>
                <w:p w:rsidR="00F04EEF" w:rsidRDefault="00F04EEF">
                  <w:pPr>
                    <w:pStyle w:val="Corpsdetexte"/>
                    <w:ind w:right="-648" w:hanging="720"/>
                    <w:rPr>
                      <w:b w:val="0"/>
                      <w:sz w:val="8"/>
                      <w:szCs w:val="8"/>
                      <w:u w:val="single"/>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sz w:val="21"/>
                      <w:szCs w:val="21"/>
                    </w:rPr>
                  </w:pPr>
                  <w:r>
                    <w:rPr>
                      <w:spacing w:val="2"/>
                    </w:rPr>
                    <w:t xml:space="preserve">Niveau maternel/primaire/secondaire(*) </w:t>
                  </w:r>
                  <w:r>
                    <w:rPr>
                      <w:spacing w:val="2"/>
                      <w:sz w:val="21"/>
                      <w:szCs w:val="21"/>
                    </w:rPr>
                    <w:t xml:space="preserve">de </w:t>
                  </w:r>
                  <w:smartTag w:uri="urn:schemas-microsoft-com:office:smarttags" w:element="PersonName">
                    <w:smartTagPr>
                      <w:attr w:name="ProductID" w:val="la Fédération Wallonie-Bruxelles"/>
                    </w:smartTagPr>
                    <w:r>
                      <w:rPr>
                        <w:spacing w:val="2"/>
                        <w:sz w:val="21"/>
                        <w:szCs w:val="21"/>
                      </w:rPr>
                      <w:t>la Fédération Wallonie-Bruxelles</w:t>
                    </w:r>
                  </w:smartTag>
                  <w:r>
                    <w:rPr>
                      <w:spacing w:val="2"/>
                      <w:sz w:val="21"/>
                      <w:szCs w:val="21"/>
                    </w:rPr>
                    <w:t>/provinciale/communale/libre (*)</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12"/>
                      <w:szCs w:val="12"/>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Adresse (commune, code postal, rue, n°) :</w:t>
                  </w:r>
                  <w:r>
                    <w:rPr>
                      <w:spacing w:val="2"/>
                    </w:rPr>
                    <w:tab/>
                  </w:r>
                  <w:r>
                    <w:rPr>
                      <w:spacing w:val="2"/>
                    </w:rPr>
                    <w:tab/>
                  </w:r>
                  <w:r>
                    <w:rPr>
                      <w:spacing w:val="2"/>
                    </w:rPr>
                    <w:tab/>
                  </w:r>
                  <w:r>
                    <w:rPr>
                      <w:spacing w:val="2"/>
                    </w:rPr>
                    <w:tab/>
                    <w:t>N°Fase : …………………………………..</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Adresse de l’implantation où l’enfant irait :</w:t>
                  </w:r>
                  <w:r>
                    <w:rPr>
                      <w:spacing w:val="2"/>
                    </w:rPr>
                    <w:tab/>
                  </w:r>
                  <w:r>
                    <w:rPr>
                      <w:spacing w:val="2"/>
                    </w:rPr>
                    <w:tab/>
                  </w:r>
                  <w:r>
                    <w:rPr>
                      <w:spacing w:val="2"/>
                    </w:rPr>
                    <w:tab/>
                  </w:r>
                  <w:r>
                    <w:rPr>
                      <w:spacing w:val="2"/>
                    </w:rPr>
                    <w:tab/>
                    <w:t>N°Fase : …………………………………..</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w:t>
                  </w:r>
                </w:p>
                <w:p w:rsidR="00F04EEF" w:rsidRDefault="0099351E">
                  <w:pPr>
                    <w:ind w:right="-648" w:hanging="720"/>
                    <w:jc w:val="center"/>
                    <w:rPr>
                      <w:b/>
                      <w:spacing w:val="2"/>
                    </w:rPr>
                  </w:pPr>
                  <w:r>
                    <w:rPr>
                      <w:b/>
                      <w:spacing w:val="2"/>
                    </w:rPr>
                    <w:t>Pour le(s) motif(s) suivant(s) :</w:t>
                  </w:r>
                </w:p>
                <w:p w:rsidR="00F04EEF" w:rsidRDefault="00F04EEF">
                  <w:pPr>
                    <w:pBdr>
                      <w:top w:val="single" w:sz="4" w:space="1" w:color="auto"/>
                      <w:left w:val="single" w:sz="4" w:space="4" w:color="auto"/>
                      <w:bottom w:val="single" w:sz="4" w:space="0" w:color="auto"/>
                      <w:right w:val="single" w:sz="4" w:space="4" w:color="auto"/>
                    </w:pBdr>
                    <w:ind w:right="-648" w:hanging="720"/>
                    <w:jc w:val="both"/>
                    <w:rPr>
                      <w:spacing w:val="2"/>
                    </w:rPr>
                  </w:pPr>
                </w:p>
                <w:p w:rsidR="00F04EEF" w:rsidRDefault="00F04EEF">
                  <w:pPr>
                    <w:pBdr>
                      <w:top w:val="single" w:sz="4" w:space="1" w:color="auto"/>
                      <w:left w:val="single" w:sz="4" w:space="4" w:color="auto"/>
                      <w:bottom w:val="single" w:sz="4" w:space="0" w:color="auto"/>
                      <w:right w:val="single" w:sz="4" w:space="4" w:color="auto"/>
                    </w:pBdr>
                    <w:ind w:right="-648" w:hanging="720"/>
                    <w:jc w:val="both"/>
                    <w:rPr>
                      <w:spacing w:val="2"/>
                    </w:rPr>
                  </w:pPr>
                </w:p>
                <w:p w:rsidR="00F04EEF" w:rsidRDefault="00F04EEF">
                  <w:pPr>
                    <w:pBdr>
                      <w:top w:val="single" w:sz="4" w:space="1" w:color="auto"/>
                      <w:left w:val="single" w:sz="4" w:space="4" w:color="auto"/>
                      <w:bottom w:val="single" w:sz="4" w:space="0" w:color="auto"/>
                      <w:right w:val="single" w:sz="4" w:space="4" w:color="auto"/>
                    </w:pBdr>
                    <w:ind w:right="-648" w:hanging="720"/>
                    <w:jc w:val="both"/>
                    <w:rPr>
                      <w:spacing w:val="2"/>
                    </w:rPr>
                  </w:pPr>
                </w:p>
                <w:p w:rsidR="00F04EEF" w:rsidRDefault="00F04EEF">
                  <w:pPr>
                    <w:pBdr>
                      <w:top w:val="single" w:sz="4" w:space="1" w:color="auto"/>
                      <w:left w:val="single" w:sz="4" w:space="4" w:color="auto"/>
                      <w:bottom w:val="single" w:sz="4" w:space="0" w:color="auto"/>
                      <w:right w:val="single" w:sz="4" w:space="4" w:color="auto"/>
                    </w:pBdr>
                    <w:ind w:left="-720" w:right="-648"/>
                    <w:jc w:val="center"/>
                    <w:rPr>
                      <w:spacing w:val="2"/>
                      <w:sz w:val="18"/>
                      <w:szCs w:val="18"/>
                    </w:rPr>
                  </w:pPr>
                </w:p>
                <w:p w:rsidR="00F04EEF" w:rsidRDefault="00F04EEF">
                  <w:pPr>
                    <w:ind w:right="-648" w:hanging="720"/>
                    <w:jc w:val="both"/>
                    <w:rPr>
                      <w:i/>
                      <w:smallCaps/>
                      <w:sz w:val="12"/>
                      <w:szCs w:val="12"/>
                    </w:rPr>
                  </w:pPr>
                </w:p>
                <w:p w:rsidR="00F04EEF" w:rsidRDefault="00F04EEF">
                  <w:pPr>
                    <w:ind w:right="-648" w:hanging="720"/>
                    <w:jc w:val="both"/>
                    <w:rPr>
                      <w:b/>
                      <w:i/>
                      <w:smallCaps/>
                      <w:sz w:val="16"/>
                      <w:szCs w:val="16"/>
                      <w:u w:val="single"/>
                    </w:rPr>
                  </w:pP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20"/>
                      <w:u w:val="single"/>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Pr>
                      <w:spacing w:val="2"/>
                      <w:sz w:val="20"/>
                      <w:u w:val="single"/>
                    </w:rPr>
                    <w:t>Date de dépôt des formulaires</w:t>
                  </w:r>
                  <w:r>
                    <w:rPr>
                      <w:spacing w:val="2"/>
                      <w:sz w:val="20"/>
                    </w:rPr>
                    <w:t xml:space="preserve"> auprès de </w:t>
                  </w:r>
                  <w:smartTag w:uri="urn:schemas-microsoft-com:office:smarttags" w:element="PersonName">
                    <w:smartTagPr>
                      <w:attr w:name="ProductID" w:val="la Direction"/>
                    </w:smartTagPr>
                    <w:r>
                      <w:rPr>
                        <w:spacing w:val="2"/>
                        <w:sz w:val="20"/>
                      </w:rPr>
                      <w:t>la Direction</w:t>
                    </w:r>
                  </w:smartTag>
                  <w:r>
                    <w:rPr>
                      <w:spacing w:val="2"/>
                      <w:sz w:val="20"/>
                    </w:rPr>
                    <w:t xml:space="preserve"> de l’école de départ :</w:t>
                  </w:r>
                  <w:r>
                    <w:rPr>
                      <w:spacing w:val="2"/>
                      <w:sz w:val="20"/>
                      <w:szCs w:val="20"/>
                    </w:rPr>
                    <w:t>…………………………………………….</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20"/>
                      <w:szCs w:val="20"/>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Pr>
                      <w:spacing w:val="2"/>
                      <w:sz w:val="20"/>
                      <w:szCs w:val="20"/>
                      <w:u w:val="single"/>
                    </w:rPr>
                    <w:t xml:space="preserve">Signature </w:t>
                  </w:r>
                  <w:r>
                    <w:rPr>
                      <w:spacing w:val="2"/>
                      <w:sz w:val="20"/>
                      <w:szCs w:val="20"/>
                    </w:rPr>
                    <w:t>de la (des) personne (s) investie(s) de l’autorité parentale </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20"/>
                      <w:szCs w:val="20"/>
                    </w:rPr>
                  </w:pPr>
                </w:p>
                <w:p w:rsidR="00F04EEF" w:rsidRDefault="00F04EEF">
                  <w:pPr>
                    <w:ind w:right="-648" w:hanging="720"/>
                    <w:rPr>
                      <w:sz w:val="16"/>
                      <w:szCs w:val="16"/>
                    </w:rPr>
                    <w:sectPr w:rsidR="00F04EEF">
                      <w:footerReference w:type="default" r:id="rId79"/>
                      <w:footerReference w:type="first" r:id="rId80"/>
                      <w:type w:val="nextColumn"/>
                      <w:pgSz w:w="11906" w:h="16838"/>
                      <w:pgMar w:top="540" w:right="1417" w:bottom="0" w:left="1417" w:header="708" w:footer="708" w:gutter="0"/>
                      <w:cols w:space="708"/>
                      <w:docGrid w:linePitch="360"/>
                    </w:sectPr>
                  </w:pPr>
                </w:p>
                <w:p w:rsidR="00F04EEF" w:rsidRDefault="00F04EEF">
                  <w:pPr>
                    <w:ind w:right="-648" w:hanging="720"/>
                    <w:jc w:val="both"/>
                    <w:rPr>
                      <w:smallCaps/>
                      <w:sz w:val="16"/>
                      <w:szCs w:val="16"/>
                    </w:rPr>
                  </w:pPr>
                </w:p>
                <w:p w:rsidR="00F04EEF" w:rsidRDefault="00F04EEF">
                  <w:pPr>
                    <w:ind w:right="-648" w:hanging="720"/>
                    <w:jc w:val="both"/>
                    <w:rPr>
                      <w:smallCaps/>
                      <w:spacing w:val="2"/>
                    </w:rPr>
                  </w:pPr>
                </w:p>
                <w:p w:rsidR="00F04EEF" w:rsidRDefault="00F04EEF">
                  <w:pPr>
                    <w:ind w:right="-648" w:hanging="720"/>
                    <w:jc w:val="both"/>
                    <w:rPr>
                      <w:i/>
                      <w:smallCaps/>
                      <w:sz w:val="16"/>
                      <w:szCs w:val="16"/>
                    </w:rPr>
                  </w:pPr>
                </w:p>
                <w:p w:rsidR="00F04EEF" w:rsidRDefault="0099351E">
                  <w:pPr>
                    <w:pBdr>
                      <w:top w:val="single" w:sz="4" w:space="1" w:color="auto"/>
                      <w:left w:val="single" w:sz="4" w:space="11" w:color="auto"/>
                      <w:bottom w:val="single" w:sz="4" w:space="2" w:color="auto"/>
                      <w:right w:val="single" w:sz="4" w:space="4" w:color="auto"/>
                    </w:pBdr>
                    <w:ind w:right="-648" w:hanging="720"/>
                    <w:jc w:val="center"/>
                    <w:rPr>
                      <w:spacing w:val="2"/>
                      <w:u w:val="single"/>
                    </w:rPr>
                  </w:pPr>
                  <w:r>
                    <w:rPr>
                      <w:spacing w:val="2"/>
                      <w:u w:val="single"/>
                    </w:rPr>
                    <w:t>Autre(s) enfant(s) de la famille également concerné(s) par une demande de changement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4"/>
                    <w:gridCol w:w="3023"/>
                    <w:gridCol w:w="3045"/>
                  </w:tblGrid>
                  <w:tr w:rsidR="00F04EEF">
                    <w:tc>
                      <w:tcPr>
                        <w:tcW w:w="3069" w:type="dxa"/>
                      </w:tcPr>
                      <w:p w:rsidR="00F04EEF" w:rsidRDefault="0099351E">
                        <w:pPr>
                          <w:ind w:right="-648" w:hanging="720"/>
                          <w:jc w:val="center"/>
                          <w:rPr>
                            <w:spacing w:val="2"/>
                          </w:rPr>
                        </w:pPr>
                        <w:r>
                          <w:rPr>
                            <w:spacing w:val="2"/>
                          </w:rPr>
                          <w:t>Nom</w:t>
                        </w:r>
                      </w:p>
                    </w:tc>
                    <w:tc>
                      <w:tcPr>
                        <w:tcW w:w="3098" w:type="dxa"/>
                      </w:tcPr>
                      <w:p w:rsidR="00F04EEF" w:rsidRDefault="0099351E">
                        <w:pPr>
                          <w:ind w:right="-648" w:hanging="720"/>
                          <w:jc w:val="center"/>
                          <w:rPr>
                            <w:spacing w:val="2"/>
                          </w:rPr>
                        </w:pPr>
                        <w:r>
                          <w:rPr>
                            <w:spacing w:val="2"/>
                          </w:rPr>
                          <w:t>Prénom</w:t>
                        </w:r>
                      </w:p>
                    </w:tc>
                    <w:tc>
                      <w:tcPr>
                        <w:tcW w:w="3121" w:type="dxa"/>
                      </w:tcPr>
                      <w:p w:rsidR="00F04EEF" w:rsidRDefault="00F04EEF">
                        <w:pPr>
                          <w:ind w:right="-648" w:hanging="720"/>
                          <w:jc w:val="center"/>
                          <w:rPr>
                            <w:spacing w:val="2"/>
                          </w:rPr>
                        </w:pPr>
                      </w:p>
                    </w:tc>
                  </w:tr>
                  <w:tr w:rsidR="00F04EEF">
                    <w:tc>
                      <w:tcPr>
                        <w:tcW w:w="3069" w:type="dxa"/>
                      </w:tcPr>
                      <w:p w:rsidR="00F04EEF" w:rsidRDefault="00F04EEF">
                        <w:pPr>
                          <w:ind w:right="-648" w:hanging="720"/>
                          <w:jc w:val="both"/>
                          <w:rPr>
                            <w:spacing w:val="2"/>
                          </w:rPr>
                        </w:pPr>
                      </w:p>
                    </w:tc>
                    <w:tc>
                      <w:tcPr>
                        <w:tcW w:w="3098" w:type="dxa"/>
                      </w:tcPr>
                      <w:p w:rsidR="00F04EEF" w:rsidRDefault="00F04EEF">
                        <w:pPr>
                          <w:ind w:right="-648" w:hanging="720"/>
                          <w:jc w:val="both"/>
                          <w:rPr>
                            <w:spacing w:val="2"/>
                          </w:rPr>
                        </w:pPr>
                      </w:p>
                    </w:tc>
                    <w:tc>
                      <w:tcPr>
                        <w:tcW w:w="3121" w:type="dxa"/>
                      </w:tcPr>
                      <w:p w:rsidR="00F04EEF" w:rsidRDefault="00F04EEF">
                        <w:pPr>
                          <w:ind w:right="-648" w:hanging="720"/>
                          <w:jc w:val="both"/>
                          <w:rPr>
                            <w:spacing w:val="2"/>
                          </w:rPr>
                        </w:pPr>
                      </w:p>
                    </w:tc>
                  </w:tr>
                  <w:tr w:rsidR="00F04EEF">
                    <w:tc>
                      <w:tcPr>
                        <w:tcW w:w="3069" w:type="dxa"/>
                      </w:tcPr>
                      <w:p w:rsidR="00F04EEF" w:rsidRDefault="00F04EEF">
                        <w:pPr>
                          <w:ind w:right="-648" w:hanging="720"/>
                          <w:jc w:val="both"/>
                          <w:rPr>
                            <w:spacing w:val="2"/>
                          </w:rPr>
                        </w:pPr>
                      </w:p>
                    </w:tc>
                    <w:tc>
                      <w:tcPr>
                        <w:tcW w:w="3098" w:type="dxa"/>
                      </w:tcPr>
                      <w:p w:rsidR="00F04EEF" w:rsidRDefault="00F04EEF">
                        <w:pPr>
                          <w:ind w:right="-648" w:hanging="720"/>
                          <w:jc w:val="both"/>
                          <w:rPr>
                            <w:spacing w:val="2"/>
                          </w:rPr>
                        </w:pPr>
                      </w:p>
                    </w:tc>
                    <w:tc>
                      <w:tcPr>
                        <w:tcW w:w="3121" w:type="dxa"/>
                      </w:tcPr>
                      <w:p w:rsidR="00F04EEF" w:rsidRDefault="00F04EEF">
                        <w:pPr>
                          <w:ind w:right="-648" w:hanging="720"/>
                          <w:jc w:val="both"/>
                          <w:rPr>
                            <w:spacing w:val="2"/>
                          </w:rPr>
                        </w:pPr>
                      </w:p>
                    </w:tc>
                  </w:tr>
                  <w:tr w:rsidR="00F04EEF">
                    <w:tc>
                      <w:tcPr>
                        <w:tcW w:w="3069" w:type="dxa"/>
                      </w:tcPr>
                      <w:p w:rsidR="00F04EEF" w:rsidRDefault="00F04EEF">
                        <w:pPr>
                          <w:ind w:right="-648" w:hanging="720"/>
                          <w:jc w:val="both"/>
                          <w:rPr>
                            <w:spacing w:val="2"/>
                          </w:rPr>
                        </w:pPr>
                      </w:p>
                    </w:tc>
                    <w:tc>
                      <w:tcPr>
                        <w:tcW w:w="3098" w:type="dxa"/>
                      </w:tcPr>
                      <w:p w:rsidR="00F04EEF" w:rsidRDefault="00F04EEF">
                        <w:pPr>
                          <w:ind w:right="-648" w:hanging="720"/>
                          <w:jc w:val="both"/>
                          <w:rPr>
                            <w:spacing w:val="2"/>
                          </w:rPr>
                        </w:pPr>
                      </w:p>
                    </w:tc>
                    <w:tc>
                      <w:tcPr>
                        <w:tcW w:w="3121" w:type="dxa"/>
                      </w:tcPr>
                      <w:p w:rsidR="00F04EEF" w:rsidRDefault="00F04EEF">
                        <w:pPr>
                          <w:ind w:right="-648" w:hanging="720"/>
                          <w:jc w:val="both"/>
                          <w:rPr>
                            <w:spacing w:val="2"/>
                          </w:rPr>
                        </w:pPr>
                      </w:p>
                    </w:tc>
                  </w:tr>
                </w:tbl>
                <w:p w:rsidR="00F04EEF" w:rsidRDefault="00F04EEF">
                  <w:pPr>
                    <w:ind w:right="-648" w:hanging="720"/>
                    <w:jc w:val="both"/>
                    <w:rPr>
                      <w:spacing w:val="2"/>
                      <w:sz w:val="12"/>
                      <w:szCs w:val="12"/>
                    </w:rPr>
                  </w:pPr>
                </w:p>
                <w:p w:rsidR="00F04EEF" w:rsidRDefault="00F04EEF">
                  <w:pPr>
                    <w:ind w:right="-648" w:hanging="720"/>
                    <w:jc w:val="both"/>
                    <w:rPr>
                      <w:spacing w:val="2"/>
                      <w:sz w:val="20"/>
                      <w:szCs w:val="20"/>
                    </w:rPr>
                  </w:pPr>
                </w:p>
                <w:p w:rsidR="00F04EEF" w:rsidRDefault="0099351E">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A.</w:t>
                  </w:r>
                  <w:r>
                    <w:rPr>
                      <w:b/>
                      <w:spacing w:val="2"/>
                    </w:rPr>
                    <w:t xml:space="preserve">   INTERVENTION DE </w:t>
                  </w:r>
                  <w:smartTag w:uri="urn:schemas-microsoft-com:office:smarttags" w:element="PersonName">
                    <w:smartTagPr>
                      <w:attr w:name="ProductID" w:val="LA DIRECTION DE L"/>
                    </w:smartTagPr>
                    <w:smartTag w:uri="urn:schemas-microsoft-com:office:smarttags" w:element="PersonName">
                      <w:smartTagPr>
                        <w:attr w:name="ProductID" w:val="LA DIRECTION DE"/>
                      </w:smartTagPr>
                      <w:r>
                        <w:rPr>
                          <w:b/>
                          <w:spacing w:val="2"/>
                        </w:rPr>
                        <w:t>LA DIRECTION DE</w:t>
                      </w:r>
                    </w:smartTag>
                    <w:r>
                      <w:rPr>
                        <w:b/>
                        <w:spacing w:val="2"/>
                      </w:rPr>
                      <w:t xml:space="preserve"> L</w:t>
                    </w:r>
                  </w:smartTag>
                  <w:r>
                    <w:rPr>
                      <w:b/>
                      <w:spacing w:val="2"/>
                    </w:rPr>
                    <w:t>’ECOLE DE DEPART</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rsidR="00F04EEF" w:rsidRDefault="0099351E">
                  <w:pPr>
                    <w:pBdr>
                      <w:top w:val="single" w:sz="4" w:space="1" w:color="auto"/>
                      <w:left w:val="single" w:sz="4" w:space="4" w:color="auto"/>
                      <w:bottom w:val="single" w:sz="4" w:space="1" w:color="auto"/>
                      <w:right w:val="single" w:sz="4" w:space="4" w:color="auto"/>
                    </w:pBdr>
                    <w:ind w:right="-648" w:hanging="720"/>
                    <w:rPr>
                      <w:spacing w:val="2"/>
                      <w:sz w:val="21"/>
                      <w:szCs w:val="21"/>
                    </w:rPr>
                  </w:pPr>
                  <w:r>
                    <w:rPr>
                      <w:spacing w:val="2"/>
                      <w:sz w:val="21"/>
                      <w:szCs w:val="21"/>
                    </w:rPr>
                    <w:t>Date de réception de la demande : …………………………………………..…………………………..………………</w:t>
                  </w:r>
                </w:p>
                <w:p w:rsidR="00F04EEF" w:rsidRDefault="0099351E">
                  <w:pPr>
                    <w:pBdr>
                      <w:top w:val="single" w:sz="4" w:space="1" w:color="auto"/>
                      <w:left w:val="single" w:sz="4" w:space="4" w:color="auto"/>
                      <w:bottom w:val="single" w:sz="4" w:space="1" w:color="auto"/>
                      <w:right w:val="single" w:sz="4" w:space="4" w:color="auto"/>
                    </w:pBdr>
                    <w:ind w:right="-648" w:hanging="720"/>
                    <w:rPr>
                      <w:spacing w:val="2"/>
                    </w:rPr>
                  </w:pPr>
                  <w:r>
                    <w:rPr>
                      <w:spacing w:val="2"/>
                      <w:sz w:val="21"/>
                      <w:szCs w:val="21"/>
                    </w:rPr>
                    <w:t>Si avis défavorable : date de transmis à l’organisme de guidance :</w:t>
                  </w:r>
                  <w:r>
                    <w:rPr>
                      <w:spacing w:val="2"/>
                    </w:rPr>
                    <w:t xml:space="preserve"> ................................................................</w:t>
                  </w:r>
                </w:p>
                <w:p w:rsidR="00F04EEF" w:rsidRDefault="0099351E">
                  <w:pPr>
                    <w:pBdr>
                      <w:top w:val="single" w:sz="4" w:space="1" w:color="auto"/>
                      <w:left w:val="single" w:sz="4" w:space="4" w:color="auto"/>
                      <w:bottom w:val="single" w:sz="4" w:space="1" w:color="auto"/>
                      <w:right w:val="single" w:sz="4" w:space="4" w:color="auto"/>
                    </w:pBdr>
                    <w:ind w:right="-648" w:hanging="720"/>
                    <w:jc w:val="center"/>
                    <w:rPr>
                      <w:spacing w:val="2"/>
                      <w:sz w:val="4"/>
                      <w:szCs w:val="4"/>
                    </w:rPr>
                  </w:pPr>
                  <w:r>
                    <w:rPr>
                      <w:spacing w:val="2"/>
                      <w:sz w:val="4"/>
                      <w:szCs w:val="4"/>
                    </w:rPr>
                    <w:t>.</w:t>
                  </w:r>
                </w:p>
                <w:p w:rsidR="00F04EEF" w:rsidRDefault="0099351E">
                  <w:pPr>
                    <w:pBdr>
                      <w:top w:val="single" w:sz="4" w:space="1" w:color="auto"/>
                      <w:left w:val="single" w:sz="4" w:space="4" w:color="auto"/>
                      <w:bottom w:val="single" w:sz="4" w:space="1" w:color="auto"/>
                      <w:right w:val="single" w:sz="4" w:space="4" w:color="auto"/>
                    </w:pBdr>
                    <w:ind w:right="-648" w:hanging="720"/>
                    <w:rPr>
                      <w:b/>
                      <w:spacing w:val="2"/>
                    </w:rPr>
                  </w:pPr>
                  <w:r>
                    <w:rPr>
                      <w:b/>
                      <w:spacing w:val="2"/>
                    </w:rPr>
                    <w:t>Changement d’école  :         autorisé    –    avis défavorable *</w:t>
                  </w:r>
                </w:p>
                <w:p w:rsidR="00F04EEF" w:rsidRDefault="00F04EEF">
                  <w:pPr>
                    <w:pBdr>
                      <w:top w:val="single" w:sz="4" w:space="1" w:color="auto"/>
                      <w:left w:val="single" w:sz="4" w:space="4" w:color="auto"/>
                      <w:bottom w:val="single" w:sz="4" w:space="1" w:color="auto"/>
                      <w:right w:val="single" w:sz="4" w:space="4" w:color="auto"/>
                    </w:pBdr>
                    <w:ind w:right="-648" w:hanging="720"/>
                    <w:jc w:val="center"/>
                    <w:rPr>
                      <w:spacing w:val="2"/>
                      <w:sz w:val="4"/>
                      <w:szCs w:val="4"/>
                    </w:rPr>
                  </w:pPr>
                </w:p>
                <w:p w:rsidR="00F04EEF" w:rsidRDefault="0099351E">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Pr>
                      <w:spacing w:val="2"/>
                    </w:rPr>
                    <w:t xml:space="preserve">Nom et prénom :                                Signature :                          N° de téléphone :       </w:t>
                  </w:r>
                </w:p>
                <w:p w:rsidR="00F04EEF" w:rsidRDefault="0099351E">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Pr>
                      <w:spacing w:val="2"/>
                    </w:rPr>
                    <w:tab/>
                  </w:r>
                  <w:r>
                    <w:rPr>
                      <w:spacing w:val="2"/>
                    </w:rPr>
                    <w:tab/>
                  </w:r>
                  <w:r>
                    <w:rPr>
                      <w:spacing w:val="2"/>
                    </w:rPr>
                    <w:tab/>
                  </w:r>
                  <w:r>
                    <w:rPr>
                      <w:spacing w:val="2"/>
                    </w:rPr>
                    <w:tab/>
                  </w:r>
                  <w:r>
                    <w:rPr>
                      <w:spacing w:val="2"/>
                    </w:rPr>
                    <w:tab/>
                    <w:t xml:space="preserve">E-mail :                                                          </w:t>
                  </w:r>
                </w:p>
                <w:p w:rsidR="00F04EEF" w:rsidRDefault="00F04EEF">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rsidR="00F04EEF" w:rsidRDefault="00F04EEF">
                  <w:pPr>
                    <w:ind w:right="-648" w:hanging="720"/>
                    <w:jc w:val="both"/>
                    <w:rPr>
                      <w:spacing w:val="2"/>
                      <w:sz w:val="16"/>
                      <w:szCs w:val="16"/>
                    </w:rPr>
                  </w:pPr>
                </w:p>
                <w:p w:rsidR="00F04EEF" w:rsidRDefault="0099351E">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B.</w:t>
                  </w:r>
                  <w:r>
                    <w:rPr>
                      <w:b/>
                      <w:spacing w:val="2"/>
                    </w:rPr>
                    <w:t xml:space="preserve">   DERNIER JOUR DE CLASSE DANS L’ECOLE DE DEPART</w:t>
                  </w:r>
                </w:p>
                <w:p w:rsidR="00F04EEF" w:rsidRDefault="0099351E">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ne remplir qu’après autorisation du changement)</w:t>
                  </w:r>
                </w:p>
                <w:p w:rsidR="00F04EEF" w:rsidRDefault="00F04EEF">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F04EEF" w:rsidRDefault="0099351E">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rsidR="00F04EEF" w:rsidRDefault="00F04EEF">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Signature :</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rsidR="00F04EEF" w:rsidRDefault="0099351E">
                  <w:pPr>
                    <w:pBdr>
                      <w:top w:val="single" w:sz="4" w:space="1" w:color="auto"/>
                      <w:left w:val="single" w:sz="4" w:space="4" w:color="auto"/>
                      <w:bottom w:val="single" w:sz="4" w:space="1" w:color="auto"/>
                      <w:right w:val="single" w:sz="4" w:space="4" w:color="auto"/>
                    </w:pBdr>
                    <w:ind w:left="-720" w:right="-648"/>
                    <w:jc w:val="both"/>
                    <w:rPr>
                      <w:i/>
                      <w:spacing w:val="2"/>
                      <w:sz w:val="16"/>
                      <w:szCs w:val="16"/>
                    </w:rPr>
                  </w:pPr>
                  <w:r>
                    <w:rPr>
                      <w:i/>
                      <w:spacing w:val="2"/>
                      <w:sz w:val="16"/>
                      <w:szCs w:val="16"/>
                    </w:rPr>
                    <w:t xml:space="preserve">Si dans un délai de 10 jours suivant la remise des formulaires autorisant le changement aux parents, aucune information concernant l’inscription de l’élève dans la nouvelle école ne peut être obtenue par </w:t>
                  </w:r>
                  <w:smartTag w:uri="urn:schemas-microsoft-com:office:smarttags" w:element="PersonName">
                    <w:smartTagPr>
                      <w:attr w:name="ProductID" w:val="la Direction"/>
                    </w:smartTagPr>
                    <w:r>
                      <w:rPr>
                        <w:i/>
                        <w:spacing w:val="2"/>
                        <w:sz w:val="16"/>
                        <w:szCs w:val="16"/>
                      </w:rPr>
                      <w:t>la Direction</w:t>
                    </w:r>
                  </w:smartTag>
                  <w:r>
                    <w:rPr>
                      <w:i/>
                      <w:spacing w:val="2"/>
                      <w:sz w:val="16"/>
                      <w:szCs w:val="16"/>
                    </w:rPr>
                    <w:t xml:space="preserve"> de l’école de départ, celle-ci prend contact avec le service de l’obligation scolaire (obsi@cfwb.be).</w:t>
                  </w:r>
                </w:p>
                <w:p w:rsidR="00F04EEF" w:rsidRDefault="00F04EEF">
                  <w:pPr>
                    <w:ind w:right="-648" w:hanging="720"/>
                    <w:jc w:val="both"/>
                    <w:rPr>
                      <w:spacing w:val="2"/>
                      <w:sz w:val="16"/>
                      <w:szCs w:val="16"/>
                    </w:rPr>
                  </w:pPr>
                </w:p>
                <w:p w:rsidR="00F04EEF" w:rsidRDefault="0099351E">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C.</w:t>
                  </w:r>
                  <w:r>
                    <w:rPr>
                      <w:b/>
                      <w:spacing w:val="2"/>
                    </w:rPr>
                    <w:t xml:space="preserve">  </w:t>
                  </w:r>
                  <w:r>
                    <w:rPr>
                      <w:b/>
                      <w:spacing w:val="-4"/>
                    </w:rPr>
                    <w:t xml:space="preserve">PREMIER JOUR DE CLASSE DANS </w:t>
                  </w:r>
                  <w:smartTag w:uri="urn:schemas-microsoft-com:office:smarttags" w:element="PersonName">
                    <w:smartTagPr>
                      <w:attr w:name="ProductID" w:val="LA NOUVELLE ECOLE"/>
                    </w:smartTagPr>
                    <w:r>
                      <w:rPr>
                        <w:b/>
                        <w:spacing w:val="-4"/>
                      </w:rPr>
                      <w:t>LA NOUVELLE ECOLE</w:t>
                    </w:r>
                  </w:smartTag>
                </w:p>
                <w:p w:rsidR="00F04EEF" w:rsidRDefault="0099351E">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remplir après l’arrivée de l’enfant)</w:t>
                  </w:r>
                </w:p>
                <w:p w:rsidR="00F04EEF" w:rsidRDefault="00F04EEF">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F04EEF" w:rsidRDefault="0099351E">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rsidR="00F04EEF" w:rsidRDefault="00F04EEF">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Signature :</w:t>
                  </w: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i/>
                      <w:spacing w:val="2"/>
                      <w:sz w:val="16"/>
                      <w:szCs w:val="16"/>
                    </w:rPr>
                    <w:t>Communiquer immédiatement à l’école de départ, la date d’arrivée effective de l’élève.</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rsidR="00F04EEF" w:rsidRDefault="00F04EEF">
                  <w:pPr>
                    <w:ind w:right="-648" w:hanging="720"/>
                    <w:jc w:val="both"/>
                    <w:rPr>
                      <w:spacing w:val="2"/>
                      <w:sz w:val="16"/>
                      <w:szCs w:val="16"/>
                    </w:rPr>
                  </w:pPr>
                </w:p>
                <w:p w:rsidR="00F04EEF" w:rsidRDefault="0099351E">
                  <w:pPr>
                    <w:pBdr>
                      <w:top w:val="single" w:sz="4" w:space="1" w:color="auto"/>
                      <w:left w:val="single" w:sz="4" w:space="4" w:color="auto"/>
                      <w:bottom w:val="single" w:sz="4" w:space="1" w:color="auto"/>
                      <w:right w:val="single" w:sz="4" w:space="4" w:color="auto"/>
                    </w:pBdr>
                    <w:ind w:right="-648" w:hanging="720"/>
                    <w:rPr>
                      <w:b/>
                      <w:spacing w:val="-2"/>
                      <w:sz w:val="20"/>
                      <w:szCs w:val="20"/>
                    </w:rPr>
                  </w:pPr>
                  <w:r>
                    <w:rPr>
                      <w:b/>
                      <w:spacing w:val="2"/>
                      <w:u w:val="single"/>
                    </w:rPr>
                    <w:t>Cadre D</w:t>
                  </w:r>
                  <w:r>
                    <w:rPr>
                      <w:b/>
                      <w:spacing w:val="2"/>
                    </w:rPr>
                    <w:t xml:space="preserve">.  </w:t>
                  </w:r>
                  <w:r>
                    <w:rPr>
                      <w:b/>
                      <w:spacing w:val="-2"/>
                      <w:sz w:val="20"/>
                      <w:szCs w:val="20"/>
                    </w:rPr>
                    <w:t>INTERVENTION DE L’ORGANISME DE GUIDANCE - AVIS</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rsidR="00F04EEF" w:rsidRDefault="0099351E">
                  <w:pPr>
                    <w:pBdr>
                      <w:top w:val="single" w:sz="4" w:space="1" w:color="auto"/>
                      <w:left w:val="single" w:sz="4" w:space="4" w:color="auto"/>
                      <w:bottom w:val="single" w:sz="4" w:space="1" w:color="auto"/>
                      <w:right w:val="single" w:sz="4" w:space="4" w:color="auto"/>
                    </w:pBdr>
                    <w:ind w:right="-648" w:hanging="720"/>
                    <w:rPr>
                      <w:spacing w:val="2"/>
                    </w:rPr>
                  </w:pPr>
                  <w:r>
                    <w:rPr>
                      <w:spacing w:val="2"/>
                    </w:rPr>
                    <w:t>Date de réception de la demande : ….…..……………………………………………………….………...………</w:t>
                  </w:r>
                </w:p>
                <w:p w:rsidR="00F04EEF" w:rsidRDefault="0099351E">
                  <w:pPr>
                    <w:pBdr>
                      <w:top w:val="single" w:sz="4" w:space="1" w:color="auto"/>
                      <w:left w:val="single" w:sz="4" w:space="4" w:color="auto"/>
                      <w:bottom w:val="single" w:sz="4" w:space="1" w:color="auto"/>
                      <w:right w:val="single" w:sz="4" w:space="4" w:color="auto"/>
                    </w:pBdr>
                    <w:ind w:right="-648" w:hanging="720"/>
                    <w:rPr>
                      <w:spacing w:val="2"/>
                      <w:sz w:val="8"/>
                      <w:szCs w:val="8"/>
                    </w:rPr>
                  </w:pPr>
                  <w:r>
                    <w:rPr>
                      <w:spacing w:val="2"/>
                    </w:rPr>
                    <w:t>Date d’avis :……..…..….……….......................…………………………………………………………………….</w:t>
                  </w: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99351E">
                  <w:pPr>
                    <w:pBdr>
                      <w:top w:val="single" w:sz="4" w:space="1" w:color="auto"/>
                      <w:left w:val="single" w:sz="4" w:space="4" w:color="auto"/>
                      <w:bottom w:val="single" w:sz="4" w:space="1" w:color="auto"/>
                      <w:right w:val="single" w:sz="4" w:space="4" w:color="auto"/>
                    </w:pBdr>
                    <w:ind w:right="-648" w:hanging="720"/>
                    <w:rPr>
                      <w:b/>
                      <w:spacing w:val="2"/>
                    </w:rPr>
                  </w:pPr>
                  <w:r>
                    <w:rPr>
                      <w:b/>
                      <w:spacing w:val="2"/>
                    </w:rPr>
                    <w:t xml:space="preserve">Changement d’école  : </w:t>
                  </w:r>
                  <w:r>
                    <w:rPr>
                      <w:b/>
                      <w:spacing w:val="2"/>
                    </w:rPr>
                    <w:tab/>
                    <w:t>avis favorable    -    avis défavorable *</w:t>
                  </w: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rsidR="00F04EEF" w:rsidRDefault="0099351E">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Pr>
                      <w:spacing w:val="2"/>
                    </w:rPr>
                    <w:t>Nom et prénom :                                            Signature :                          N° de téléphone :</w:t>
                  </w:r>
                </w:p>
                <w:p w:rsidR="00F04EEF" w:rsidRDefault="00F04EEF">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rsidR="00F04EEF" w:rsidRDefault="00F04EEF">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rsidR="00F04EEF" w:rsidRDefault="00F04EEF">
                  <w:pPr>
                    <w:ind w:right="-648" w:hanging="720"/>
                    <w:jc w:val="both"/>
                    <w:rPr>
                      <w:spacing w:val="2"/>
                      <w:sz w:val="16"/>
                      <w:szCs w:val="16"/>
                    </w:rPr>
                  </w:pPr>
                </w:p>
                <w:p w:rsidR="00F04EEF" w:rsidRDefault="0099351E">
                  <w:pPr>
                    <w:ind w:right="-648" w:hanging="720"/>
                    <w:rPr>
                      <w:sz w:val="16"/>
                      <w:szCs w:val="16"/>
                    </w:rPr>
                    <w:sectPr w:rsidR="00F04EEF">
                      <w:pgSz w:w="11906" w:h="16838"/>
                      <w:pgMar w:top="540" w:right="1417" w:bottom="180" w:left="1417" w:header="708" w:footer="708" w:gutter="0"/>
                      <w:cols w:space="708"/>
                      <w:docGrid w:linePitch="360"/>
                    </w:sectPr>
                  </w:pPr>
                  <w:r>
                    <w:t xml:space="preserve">* </w:t>
                  </w:r>
                  <w:r>
                    <w:rPr>
                      <w:sz w:val="16"/>
                      <w:szCs w:val="16"/>
                    </w:rPr>
                    <w:t>Biffer la mention inutile</w:t>
                  </w:r>
                </w:p>
                <w:p w:rsidR="00F04EEF" w:rsidRDefault="00F04EEF">
                  <w:pPr>
                    <w:ind w:right="-648" w:hanging="720"/>
                    <w:rPr>
                      <w:i/>
                      <w:spacing w:val="2"/>
                      <w:sz w:val="2"/>
                      <w:szCs w:val="2"/>
                    </w:rPr>
                  </w:pPr>
                </w:p>
                <w:p w:rsidR="00F04EEF" w:rsidRDefault="0099351E">
                  <w:pPr>
                    <w:pStyle w:val="Titre4"/>
                  </w:pPr>
                  <w:bookmarkStart w:id="1279" w:name="_Annexe_7bis_:"/>
                  <w:bookmarkStart w:id="1280" w:name="_Toc295913867"/>
                  <w:bookmarkStart w:id="1281" w:name="_Toc328123830"/>
                  <w:bookmarkEnd w:id="1279"/>
                  <w:r>
                    <w:t xml:space="preserve">Annexe 5bis : Demande d’autorisation de changement d’école en cours d’année scolaire (sans changement de type) au sein de l’enseignement spécialisé : FWB </w:t>
                  </w:r>
                  <w:r>
                    <w:sym w:font="Wingdings" w:char="F0E0"/>
                  </w:r>
                  <w:r>
                    <w:t xml:space="preserve"> FWB – Formule II</w:t>
                  </w:r>
                  <w:bookmarkEnd w:id="1280"/>
                  <w:bookmarkEnd w:id="1281"/>
                </w:p>
                <w:p w:rsidR="00F04EEF" w:rsidRDefault="00F04EEF">
                  <w:pPr>
                    <w:ind w:right="-648"/>
                    <w:jc w:val="both"/>
                    <w:rPr>
                      <w:spacing w:val="2"/>
                    </w:rPr>
                  </w:pPr>
                </w:p>
                <w:p w:rsidR="00F04EEF" w:rsidRDefault="0099351E">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r>
                    <w:rPr>
                      <w:b/>
                      <w:spacing w:val="2"/>
                    </w:rPr>
                    <w:t>DEMANDE D’AUTORISATION DE CHANGEMENT D’ECOLE (sans changement de type) EN COURS D’ANNEE SCOLAIRE – ENSEIGNEMENT SPECIALISE</w:t>
                  </w:r>
                </w:p>
                <w:p w:rsidR="00F04EEF" w:rsidRDefault="00F04EEF">
                  <w:pPr>
                    <w:ind w:right="-648" w:hanging="720"/>
                    <w:jc w:val="both"/>
                    <w:rPr>
                      <w:spacing w:val="2"/>
                    </w:rPr>
                  </w:pPr>
                </w:p>
                <w:p w:rsidR="00F04EEF" w:rsidRDefault="0099351E">
                  <w:pPr>
                    <w:ind w:right="-648" w:hanging="720"/>
                    <w:jc w:val="center"/>
                    <w:rPr>
                      <w:b/>
                      <w:spacing w:val="2"/>
                      <w:u w:val="single"/>
                    </w:rPr>
                  </w:pPr>
                  <w:r>
                    <w:rPr>
                      <w:b/>
                      <w:spacing w:val="2"/>
                      <w:u w:val="single"/>
                    </w:rPr>
                    <w:t>FORMULE II</w:t>
                  </w:r>
                </w:p>
                <w:p w:rsidR="00F04EEF" w:rsidRDefault="0099351E">
                  <w:pPr>
                    <w:ind w:right="-648" w:hanging="720"/>
                    <w:jc w:val="center"/>
                    <w:rPr>
                      <w:spacing w:val="2"/>
                    </w:rPr>
                  </w:pPr>
                  <w:r>
                    <w:rPr>
                      <w:spacing w:val="2"/>
                    </w:rPr>
                    <w:t>à remplir en 1 exemplaire</w:t>
                  </w:r>
                </w:p>
                <w:p w:rsidR="00F04EEF" w:rsidRDefault="0099351E">
                  <w:pPr>
                    <w:ind w:right="-648" w:hanging="720"/>
                    <w:jc w:val="center"/>
                    <w:rPr>
                      <w:spacing w:val="2"/>
                    </w:rPr>
                  </w:pPr>
                  <w:r>
                    <w:rPr>
                      <w:b/>
                      <w:spacing w:val="2"/>
                      <w:sz w:val="20"/>
                      <w:szCs w:val="20"/>
                      <w:u w:val="single"/>
                    </w:rPr>
                    <w:t>dans un cas de force majeure ou d’absolue nécessité</w:t>
                  </w:r>
                  <w:r>
                    <w:rPr>
                      <w:b/>
                      <w:spacing w:val="2"/>
                      <w:sz w:val="20"/>
                      <w:szCs w:val="20"/>
                    </w:rPr>
                    <w:t xml:space="preserve"> </w:t>
                  </w:r>
                </w:p>
                <w:p w:rsidR="00F04EEF" w:rsidRDefault="00F04EEF">
                  <w:pPr>
                    <w:ind w:right="-648" w:hanging="720"/>
                    <w:jc w:val="both"/>
                    <w:rPr>
                      <w:spacing w:val="2"/>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b/>
                      <w:spacing w:val="2"/>
                    </w:rPr>
                  </w:pPr>
                  <w:r>
                    <w:rPr>
                      <w:b/>
                      <w:spacing w:val="2"/>
                    </w:rPr>
                    <w:t>RENSEIGNEMENTS CONCERNANT L’ELEVE</w:t>
                  </w:r>
                </w:p>
                <w:p w:rsidR="00F04EEF" w:rsidRDefault="0099351E">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(à remplir par la direction de l’école de départ)</w:t>
                  </w:r>
                </w:p>
                <w:p w:rsidR="00F04EEF" w:rsidRDefault="00F04EEF">
                  <w:pPr>
                    <w:pBdr>
                      <w:top w:val="single" w:sz="4" w:space="1" w:color="auto"/>
                      <w:left w:val="single" w:sz="4" w:space="4" w:color="auto"/>
                      <w:bottom w:val="single" w:sz="4" w:space="1" w:color="auto"/>
                      <w:right w:val="single" w:sz="4" w:space="4" w:color="auto"/>
                    </w:pBdr>
                    <w:ind w:right="-648" w:hanging="720"/>
                    <w:jc w:val="both"/>
                    <w:rPr>
                      <w:b/>
                      <w:spacing w:val="2"/>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Nom en imprimé, prénom : …………………………………………………………………………………….…..</w:t>
                  </w:r>
                </w:p>
                <w:p w:rsidR="00F04EEF" w:rsidRDefault="00F04EEF">
                  <w:pPr>
                    <w:pBdr>
                      <w:top w:val="single" w:sz="4" w:space="1" w:color="auto"/>
                      <w:left w:val="single" w:sz="4" w:space="4" w:color="auto"/>
                      <w:bottom w:val="single" w:sz="4" w:space="1" w:color="auto"/>
                      <w:right w:val="single" w:sz="4" w:space="4" w:color="auto"/>
                    </w:pBdr>
                    <w:ind w:right="-648" w:hanging="720"/>
                    <w:jc w:val="both"/>
                    <w:rPr>
                      <w:b/>
                      <w:spacing w:val="2"/>
                    </w:rPr>
                  </w:pPr>
                </w:p>
                <w:p w:rsidR="00F04EEF" w:rsidRDefault="0099351E">
                  <w:pPr>
                    <w:pBdr>
                      <w:top w:val="single" w:sz="4" w:space="1" w:color="auto"/>
                      <w:left w:val="single" w:sz="4" w:space="4" w:color="auto"/>
                      <w:bottom w:val="single" w:sz="4" w:space="1" w:color="auto"/>
                      <w:right w:val="single" w:sz="4" w:space="4" w:color="auto"/>
                    </w:pBdr>
                    <w:ind w:right="-648" w:hanging="720"/>
                    <w:jc w:val="both"/>
                    <w:rPr>
                      <w:spacing w:val="2"/>
                    </w:rPr>
                  </w:pPr>
                  <w:r>
                    <w:rPr>
                      <w:spacing w:val="2"/>
                    </w:rPr>
                    <w:t>Date de naissance : ……………………………………………………………..…………………………………..</w:t>
                  </w:r>
                </w:p>
                <w:p w:rsidR="00F04EEF" w:rsidRDefault="00F04EEF">
                  <w:pPr>
                    <w:pBdr>
                      <w:top w:val="single" w:sz="4" w:space="1" w:color="auto"/>
                      <w:left w:val="single" w:sz="4" w:space="4" w:color="auto"/>
                      <w:bottom w:val="single" w:sz="4" w:space="1" w:color="auto"/>
                      <w:right w:val="single" w:sz="4" w:space="4" w:color="auto"/>
                    </w:pBdr>
                    <w:ind w:right="-648" w:hanging="720"/>
                    <w:jc w:val="both"/>
                    <w:rPr>
                      <w:spacing w:val="2"/>
                    </w:rPr>
                  </w:pPr>
                </w:p>
                <w:p w:rsidR="00F04EEF" w:rsidRDefault="00F04EEF">
                  <w:pPr>
                    <w:pStyle w:val="Corpsdetexte3"/>
                    <w:ind w:right="-648" w:hanging="720"/>
                  </w:pPr>
                </w:p>
                <w:p w:rsidR="00F04EEF" w:rsidRDefault="0099351E">
                  <w:pPr>
                    <w:pBdr>
                      <w:top w:val="single" w:sz="4" w:space="1" w:color="auto"/>
                      <w:left w:val="single" w:sz="4" w:space="4" w:color="auto"/>
                      <w:bottom w:val="single" w:sz="4" w:space="1" w:color="auto"/>
                      <w:right w:val="single" w:sz="4" w:space="4" w:color="auto"/>
                    </w:pBdr>
                    <w:ind w:right="-648" w:hanging="720"/>
                    <w:rPr>
                      <w:b/>
                      <w:spacing w:val="2"/>
                    </w:rPr>
                  </w:pPr>
                  <w:r>
                    <w:rPr>
                      <w:b/>
                      <w:spacing w:val="2"/>
                    </w:rPr>
                    <w:t xml:space="preserve">INTERVENTION DE </w:t>
                  </w:r>
                  <w:smartTag w:uri="urn:schemas-microsoft-com:office:smarttags" w:element="PersonName">
                    <w:smartTagPr>
                      <w:attr w:name="ProductID" w:val="LA DIRECTION DE L"/>
                    </w:smartTagPr>
                    <w:r>
                      <w:rPr>
                        <w:b/>
                        <w:spacing w:val="2"/>
                      </w:rPr>
                      <w:t>LA DIRECTION DE L</w:t>
                    </w:r>
                  </w:smartTag>
                  <w:r>
                    <w:rPr>
                      <w:b/>
                      <w:spacing w:val="2"/>
                    </w:rPr>
                    <w:t>’ECOLE DE DEPART</w:t>
                  </w:r>
                </w:p>
                <w:p w:rsidR="00F04EEF" w:rsidRDefault="0099351E">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 xml:space="preserve">Justification de l’avis défavorable exprimé au cadre A de </w:t>
                  </w:r>
                  <w:smartTag w:uri="urn:schemas-microsoft-com:office:smarttags" w:element="PersonName">
                    <w:smartTagPr>
                      <w:attr w:name="ProductID" w:val="la formule I"/>
                    </w:smartTagPr>
                    <w:r>
                      <w:rPr>
                        <w:b/>
                        <w:spacing w:val="2"/>
                      </w:rPr>
                      <w:t>la formule I</w:t>
                    </w:r>
                  </w:smartTag>
                </w:p>
                <w:p w:rsidR="00F04EEF" w:rsidRDefault="00F04EEF">
                  <w:pPr>
                    <w:pBdr>
                      <w:top w:val="single" w:sz="4" w:space="1" w:color="auto"/>
                      <w:left w:val="single" w:sz="4" w:space="4" w:color="auto"/>
                      <w:bottom w:val="single" w:sz="4" w:space="1" w:color="auto"/>
                      <w:right w:val="single" w:sz="4" w:space="4" w:color="auto"/>
                    </w:pBdr>
                    <w:ind w:right="-648" w:hanging="720"/>
                    <w:jc w:val="center"/>
                    <w:rPr>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99351E">
                  <w:pPr>
                    <w:pBdr>
                      <w:top w:val="single" w:sz="4" w:space="1" w:color="auto"/>
                      <w:left w:val="single" w:sz="4" w:space="4" w:color="auto"/>
                      <w:bottom w:val="single" w:sz="4" w:space="1" w:color="auto"/>
                      <w:right w:val="single" w:sz="4" w:space="4" w:color="auto"/>
                    </w:pBdr>
                    <w:tabs>
                      <w:tab w:val="left" w:pos="5220"/>
                    </w:tabs>
                    <w:ind w:right="-648" w:hanging="720"/>
                    <w:jc w:val="both"/>
                    <w:rPr>
                      <w:spacing w:val="2"/>
                    </w:rPr>
                  </w:pPr>
                  <w:r>
                    <w:rPr>
                      <w:spacing w:val="2"/>
                    </w:rPr>
                    <w:t xml:space="preserve">Nom et Prénom : </w:t>
                  </w:r>
                  <w:r>
                    <w:rPr>
                      <w:spacing w:val="2"/>
                    </w:rPr>
                    <w:tab/>
                  </w:r>
                  <w:r>
                    <w:rPr>
                      <w:spacing w:val="2"/>
                    </w:rPr>
                    <w:tab/>
                    <w:t>Date et signature :</w:t>
                  </w: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jc w:val="both"/>
                    <w:rPr>
                      <w:b/>
                      <w:spacing w:val="2"/>
                    </w:rPr>
                  </w:pPr>
                </w:p>
                <w:p w:rsidR="00F04EEF" w:rsidRDefault="00F04EEF">
                  <w:pPr>
                    <w:pBdr>
                      <w:top w:val="single" w:sz="4" w:space="1" w:color="auto"/>
                      <w:left w:val="single" w:sz="4" w:space="4" w:color="auto"/>
                      <w:bottom w:val="single" w:sz="4" w:space="1" w:color="auto"/>
                      <w:right w:val="single" w:sz="4" w:space="4" w:color="auto"/>
                    </w:pBdr>
                    <w:ind w:right="-648" w:hanging="720"/>
                    <w:jc w:val="both"/>
                    <w:rPr>
                      <w:b/>
                      <w:spacing w:val="2"/>
                    </w:rPr>
                  </w:pPr>
                </w:p>
                <w:p w:rsidR="00F04EEF" w:rsidRDefault="00F04EEF">
                  <w:pPr>
                    <w:pStyle w:val="annexe"/>
                    <w:sectPr w:rsidR="00F04EEF">
                      <w:pgSz w:w="11906" w:h="16838" w:code="9"/>
                      <w:pgMar w:top="539" w:right="1418" w:bottom="181" w:left="1418" w:header="709" w:footer="709" w:gutter="0"/>
                      <w:cols w:space="708"/>
                      <w:docGrid w:linePitch="360"/>
                    </w:sectPr>
                  </w:pPr>
                </w:p>
                <w:p w:rsidR="00F04EEF" w:rsidRDefault="0099351E">
                  <w:pPr>
                    <w:pStyle w:val="Titre4"/>
                  </w:pPr>
                  <w:bookmarkStart w:id="1282" w:name="_Toc295913869"/>
                  <w:bookmarkStart w:id="1283" w:name="_Toc328123832"/>
                  <w:r>
                    <w:t>Annexe 5ter : Demande d’autorisation de changement d’école (sans changement de type) en cours d’année scolaire au sein de l’enseignement spécialisé – Procès-verbal d’audition.</w:t>
                  </w:r>
                  <w:bookmarkEnd w:id="1282"/>
                  <w:bookmarkEnd w:id="1283"/>
                </w:p>
                <w:p w:rsidR="00F04EEF" w:rsidRDefault="00F04EEF">
                  <w:pPr>
                    <w:jc w:val="center"/>
                    <w:rPr>
                      <w:sz w:val="28"/>
                      <w:szCs w:val="28"/>
                      <w:u w:val="single"/>
                    </w:rPr>
                  </w:pPr>
                </w:p>
                <w:p w:rsidR="00F04EEF" w:rsidRDefault="00F04EEF">
                  <w:pPr>
                    <w:jc w:val="center"/>
                    <w:rPr>
                      <w:sz w:val="28"/>
                      <w:szCs w:val="28"/>
                      <w:u w:val="single"/>
                    </w:rPr>
                  </w:pPr>
                </w:p>
                <w:p w:rsidR="00F04EEF" w:rsidRDefault="0099351E">
                  <w:pPr>
                    <w:jc w:val="center"/>
                    <w:rPr>
                      <w:sz w:val="28"/>
                      <w:szCs w:val="28"/>
                      <w:u w:val="single"/>
                    </w:rPr>
                  </w:pPr>
                  <w:r>
                    <w:rPr>
                      <w:sz w:val="28"/>
                      <w:szCs w:val="28"/>
                      <w:u w:val="single"/>
                    </w:rPr>
                    <w:t>Enseignement spécialisé</w:t>
                  </w:r>
                </w:p>
                <w:p w:rsidR="00F04EEF" w:rsidRDefault="00F04EEF">
                  <w:pPr>
                    <w:jc w:val="center"/>
                  </w:pPr>
                </w:p>
                <w:p w:rsidR="00F04EEF" w:rsidRDefault="0099351E">
                  <w:pPr>
                    <w:pBdr>
                      <w:top w:val="single" w:sz="8" w:space="1" w:color="auto"/>
                      <w:left w:val="single" w:sz="8" w:space="4" w:color="auto"/>
                      <w:bottom w:val="single" w:sz="8" w:space="1" w:color="auto"/>
                      <w:right w:val="single" w:sz="8" w:space="4" w:color="auto"/>
                    </w:pBdr>
                    <w:jc w:val="center"/>
                    <w:rPr>
                      <w:b/>
                    </w:rPr>
                  </w:pPr>
                  <w:r>
                    <w:rPr>
                      <w:b/>
                    </w:rPr>
                    <w:t>CHANGEMENT D’ECOLE (sans changement de type) EN COURS D’ANNEE SCOLAIRE</w:t>
                  </w:r>
                </w:p>
                <w:p w:rsidR="00F04EEF" w:rsidRDefault="00F04EEF">
                  <w:pPr>
                    <w:jc w:val="center"/>
                  </w:pPr>
                </w:p>
                <w:p w:rsidR="00F04EEF" w:rsidRDefault="00F04EEF"/>
                <w:p w:rsidR="00F04EEF" w:rsidRDefault="00F04EEF">
                  <w:pPr>
                    <w:jc w:val="cente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rsidR="00F04EEF">
                    <w:tc>
                      <w:tcPr>
                        <w:tcW w:w="3240" w:type="dxa"/>
                        <w:shd w:val="clear" w:color="auto" w:fill="auto"/>
                      </w:tcPr>
                      <w:p w:rsidR="00F04EEF" w:rsidRDefault="0099351E">
                        <w:pPr>
                          <w:jc w:val="center"/>
                          <w:rPr>
                            <w:b/>
                            <w:u w:val="single"/>
                          </w:rPr>
                        </w:pPr>
                        <w:r>
                          <w:rPr>
                            <w:b/>
                            <w:u w:val="single"/>
                          </w:rPr>
                          <w:t>Procès-verbal d’audition</w:t>
                        </w:r>
                      </w:p>
                    </w:tc>
                  </w:tr>
                </w:tbl>
                <w:p w:rsidR="00F04EEF" w:rsidRDefault="00F04EEF">
                  <w:pPr>
                    <w:ind w:left="360" w:right="325"/>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4"/>
                    <w:gridCol w:w="4158"/>
                  </w:tblGrid>
                  <w:tr w:rsidR="00F04EEF">
                    <w:tc>
                      <w:tcPr>
                        <w:tcW w:w="5328" w:type="dxa"/>
                        <w:shd w:val="clear" w:color="auto" w:fill="auto"/>
                      </w:tcPr>
                      <w:p w:rsidR="00F04EEF" w:rsidRDefault="0099351E">
                        <w:pPr>
                          <w:jc w:val="center"/>
                        </w:pPr>
                        <w:r>
                          <w:t>Date de l’audition</w:t>
                        </w:r>
                      </w:p>
                    </w:tc>
                    <w:tc>
                      <w:tcPr>
                        <w:tcW w:w="4500" w:type="dxa"/>
                        <w:shd w:val="clear" w:color="auto" w:fill="auto"/>
                      </w:tcPr>
                      <w:p w:rsidR="00F04EEF" w:rsidRDefault="0099351E">
                        <w:pPr>
                          <w:jc w:val="center"/>
                        </w:pPr>
                        <w:r>
                          <w:t>Heure de l’audition</w:t>
                        </w:r>
                      </w:p>
                    </w:tc>
                  </w:tr>
                  <w:tr w:rsidR="00F04EEF">
                    <w:tc>
                      <w:tcPr>
                        <w:tcW w:w="5328" w:type="dxa"/>
                        <w:shd w:val="clear" w:color="auto" w:fill="auto"/>
                        <w:vAlign w:val="center"/>
                      </w:tcPr>
                      <w:p w:rsidR="00F04EEF" w:rsidRDefault="00F04EEF">
                        <w:pPr>
                          <w:jc w:val="center"/>
                          <w:rPr>
                            <w:u w:val="single"/>
                          </w:rPr>
                        </w:pPr>
                      </w:p>
                    </w:tc>
                    <w:tc>
                      <w:tcPr>
                        <w:tcW w:w="4500" w:type="dxa"/>
                        <w:shd w:val="clear" w:color="auto" w:fill="auto"/>
                        <w:vAlign w:val="center"/>
                      </w:tcPr>
                      <w:p w:rsidR="00F04EEF" w:rsidRDefault="00F04EEF">
                        <w:pPr>
                          <w:jc w:val="center"/>
                          <w:rPr>
                            <w:u w:val="single"/>
                          </w:rPr>
                        </w:pPr>
                      </w:p>
                      <w:p w:rsidR="00F04EEF" w:rsidRDefault="00F04EEF">
                        <w:pPr>
                          <w:jc w:val="center"/>
                          <w:rPr>
                            <w:u w:val="single"/>
                          </w:rPr>
                        </w:pPr>
                      </w:p>
                    </w:tc>
                  </w:tr>
                </w:tbl>
                <w:p w:rsidR="00F04EEF" w:rsidRDefault="00F04EEF">
                  <w:pPr>
                    <w:jc w:val="center"/>
                  </w:pPr>
                </w:p>
                <w:p w:rsidR="00F04EEF" w:rsidRDefault="0099351E">
                  <w:r>
                    <w:rPr>
                      <w:b/>
                      <w:u w:val="single"/>
                    </w:rPr>
                    <w:t>Entre</w:t>
                  </w:r>
                  <w:r>
                    <w:t> </w:t>
                  </w:r>
                  <w:r>
                    <w:rPr>
                      <w:b/>
                    </w:rPr>
                    <w:t>:</w:t>
                  </w:r>
                </w:p>
                <w:p w:rsidR="00F04EEF" w:rsidRDefault="00F04EEF">
                  <w:pPr>
                    <w:jc w:val="center"/>
                  </w:pPr>
                </w:p>
                <w:tbl>
                  <w:tblPr>
                    <w:tblW w:w="0" w:type="auto"/>
                    <w:tblLayout w:type="fixed"/>
                    <w:tblLook w:val="01E0" w:firstRow="1" w:lastRow="1" w:firstColumn="1" w:lastColumn="1" w:noHBand="0" w:noVBand="0"/>
                  </w:tblPr>
                  <w:tblGrid>
                    <w:gridCol w:w="5308"/>
                    <w:gridCol w:w="1100"/>
                    <w:gridCol w:w="2880"/>
                  </w:tblGrid>
                  <w:tr w:rsidR="00F04EEF">
                    <w:tc>
                      <w:tcPr>
                        <w:tcW w:w="9288" w:type="dxa"/>
                        <w:gridSpan w:val="3"/>
                        <w:tcBorders>
                          <w:top w:val="single" w:sz="4" w:space="0" w:color="auto"/>
                          <w:left w:val="single" w:sz="4" w:space="0" w:color="auto"/>
                          <w:bottom w:val="single" w:sz="4" w:space="0" w:color="auto"/>
                          <w:right w:val="single" w:sz="4" w:space="0" w:color="auto"/>
                        </w:tcBorders>
                        <w:shd w:val="clear" w:color="auto" w:fill="auto"/>
                      </w:tcPr>
                      <w:p w:rsidR="00F04EEF" w:rsidRDefault="0099351E">
                        <w:pPr>
                          <w:jc w:val="center"/>
                        </w:pPr>
                        <w:r>
                          <w:t>ECOLE</w:t>
                        </w:r>
                      </w:p>
                    </w:tc>
                  </w:tr>
                  <w:tr w:rsidR="00F04EEF">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F04EEF" w:rsidRDefault="0099351E">
                        <w:pPr>
                          <w:jc w:val="center"/>
                        </w:pPr>
                        <w:r>
                          <w:t>Dénomination et adresse de l’établissement scolaire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F04EEF" w:rsidRDefault="0099351E">
                        <w:pPr>
                          <w:jc w:val="center"/>
                        </w:pPr>
                        <w:r>
                          <w:t>N°Fase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F04EEF" w:rsidRDefault="0099351E">
                        <w:pPr>
                          <w:jc w:val="center"/>
                        </w:pPr>
                        <w:r>
                          <w:t>Direction</w:t>
                        </w:r>
                      </w:p>
                    </w:tc>
                  </w:tr>
                  <w:tr w:rsidR="00F04EEF">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F04EEF" w:rsidRDefault="00F04EEF">
                        <w:pPr>
                          <w:jc w:val="center"/>
                        </w:pPr>
                      </w:p>
                      <w:p w:rsidR="00F04EEF" w:rsidRDefault="00F04EEF">
                        <w:pPr>
                          <w:jc w:val="center"/>
                        </w:pP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F04EEF" w:rsidRDefault="00F04EEF">
                        <w:pPr>
                          <w:jc w:val="cente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F04EEF" w:rsidRDefault="00F04EEF">
                        <w:pPr>
                          <w:jc w:val="center"/>
                        </w:pPr>
                      </w:p>
                    </w:tc>
                  </w:tr>
                </w:tbl>
                <w:p w:rsidR="00F04EEF" w:rsidRDefault="00F04EEF"/>
                <w:p w:rsidR="00F04EEF" w:rsidRDefault="0099351E">
                  <w:pPr>
                    <w:rPr>
                      <w:b/>
                    </w:rPr>
                  </w:pPr>
                  <w:r>
                    <w:rPr>
                      <w:b/>
                      <w:u w:val="single"/>
                    </w:rPr>
                    <w:t>Et </w:t>
                  </w:r>
                  <w:r>
                    <w:rPr>
                      <w:b/>
                    </w:rPr>
                    <w:t>:</w:t>
                  </w:r>
                </w:p>
                <w:p w:rsidR="00F04EEF" w:rsidRDefault="00F04EEF">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1"/>
                    <w:gridCol w:w="4101"/>
                  </w:tblGrid>
                  <w:tr w:rsidR="00F04EEF">
                    <w:tc>
                      <w:tcPr>
                        <w:tcW w:w="9828" w:type="dxa"/>
                        <w:gridSpan w:val="2"/>
                        <w:shd w:val="clear" w:color="auto" w:fill="auto"/>
                      </w:tcPr>
                      <w:p w:rsidR="00F04EEF" w:rsidRDefault="0099351E">
                        <w:pPr>
                          <w:jc w:val="center"/>
                        </w:pPr>
                        <w:r>
                          <w:t>PARENTS</w:t>
                        </w:r>
                      </w:p>
                    </w:tc>
                  </w:tr>
                  <w:tr w:rsidR="00F04EEF">
                    <w:tc>
                      <w:tcPr>
                        <w:tcW w:w="5328" w:type="dxa"/>
                        <w:shd w:val="clear" w:color="auto" w:fill="auto"/>
                      </w:tcPr>
                      <w:p w:rsidR="00F04EEF" w:rsidRDefault="0099351E">
                        <w:pPr>
                          <w:jc w:val="center"/>
                        </w:pPr>
                        <w:r>
                          <w:t>Nom et coordonnées de la/des personne(s) investie(s) de l’autorité parentale</w:t>
                        </w:r>
                      </w:p>
                    </w:tc>
                    <w:tc>
                      <w:tcPr>
                        <w:tcW w:w="4500" w:type="dxa"/>
                        <w:shd w:val="clear" w:color="auto" w:fill="auto"/>
                      </w:tcPr>
                      <w:p w:rsidR="00F04EEF" w:rsidRDefault="00F04EEF">
                        <w:pPr>
                          <w:jc w:val="center"/>
                        </w:pPr>
                      </w:p>
                      <w:p w:rsidR="00F04EEF" w:rsidRDefault="00F04EEF">
                        <w:pPr>
                          <w:jc w:val="center"/>
                        </w:pPr>
                      </w:p>
                      <w:p w:rsidR="00F04EEF" w:rsidRDefault="00F04EEF"/>
                    </w:tc>
                  </w:tr>
                </w:tbl>
                <w:p w:rsidR="00F04EEF" w:rsidRDefault="00F04EEF">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2"/>
                    <w:gridCol w:w="4200"/>
                  </w:tblGrid>
                  <w:tr w:rsidR="00F04EEF">
                    <w:tc>
                      <w:tcPr>
                        <w:tcW w:w="9288" w:type="dxa"/>
                        <w:gridSpan w:val="2"/>
                        <w:shd w:val="clear" w:color="auto" w:fill="auto"/>
                      </w:tcPr>
                      <w:p w:rsidR="00F04EEF" w:rsidRDefault="0099351E">
                        <w:pPr>
                          <w:jc w:val="center"/>
                        </w:pPr>
                        <w:r>
                          <w:t>ELEVE(S)</w:t>
                        </w:r>
                      </w:p>
                    </w:tc>
                  </w:tr>
                  <w:tr w:rsidR="00F04EEF">
                    <w:tc>
                      <w:tcPr>
                        <w:tcW w:w="4968" w:type="dxa"/>
                        <w:shd w:val="clear" w:color="auto" w:fill="auto"/>
                      </w:tcPr>
                      <w:p w:rsidR="00F04EEF" w:rsidRDefault="0099351E">
                        <w:pPr>
                          <w:jc w:val="center"/>
                        </w:pPr>
                        <w:r>
                          <w:t>Nom du ou des élève(s) concerné(s) par la demande de changement d’école</w:t>
                        </w:r>
                      </w:p>
                      <w:p w:rsidR="00F04EEF" w:rsidRDefault="00F04EEF">
                        <w:pPr>
                          <w:jc w:val="center"/>
                        </w:pPr>
                      </w:p>
                      <w:p w:rsidR="00F04EEF" w:rsidRDefault="00F04EEF">
                        <w:pPr>
                          <w:jc w:val="center"/>
                        </w:pPr>
                      </w:p>
                    </w:tc>
                    <w:tc>
                      <w:tcPr>
                        <w:tcW w:w="4320" w:type="dxa"/>
                        <w:shd w:val="clear" w:color="auto" w:fill="auto"/>
                      </w:tcPr>
                      <w:p w:rsidR="00F04EEF" w:rsidRDefault="00F04EEF">
                        <w:pPr>
                          <w:jc w:val="center"/>
                          <w:rPr>
                            <w:b/>
                            <w:bCs/>
                          </w:rPr>
                        </w:pPr>
                      </w:p>
                    </w:tc>
                  </w:tr>
                </w:tbl>
                <w:p w:rsidR="00F04EEF" w:rsidRDefault="00F04EEF">
                  <w:pPr>
                    <w:rPr>
                      <w:u w:val="single"/>
                    </w:rPr>
                    <w:sectPr w:rsidR="00F04EEF">
                      <w:pgSz w:w="11906" w:h="16838"/>
                      <w:pgMar w:top="540" w:right="1417" w:bottom="180" w:left="1417" w:header="708" w:footer="708" w:gutter="0"/>
                      <w:cols w:space="708"/>
                      <w:docGrid w:linePitch="360"/>
                    </w:sect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20"/>
                  </w:tblGrid>
                  <w:tr w:rsidR="00F04EEF">
                    <w:tc>
                      <w:tcPr>
                        <w:tcW w:w="10620" w:type="dxa"/>
                        <w:shd w:val="clear" w:color="auto" w:fill="auto"/>
                      </w:tcPr>
                      <w:p w:rsidR="00F04EEF" w:rsidRDefault="0099351E">
                        <w:r>
                          <w:rPr>
                            <w:u w:val="single"/>
                          </w:rPr>
                          <w:t>Contenu de l’entretien</w:t>
                        </w:r>
                        <w:r>
                          <w:t> :</w:t>
                        </w:r>
                      </w:p>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Pr>
                          <w:rPr>
                            <w:u w:val="single"/>
                          </w:rPr>
                        </w:pPr>
                      </w:p>
                    </w:tc>
                  </w:tr>
                </w:tbl>
                <w:p w:rsidR="00F04EEF" w:rsidRDefault="00F04E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8"/>
                    <w:gridCol w:w="4456"/>
                  </w:tblGrid>
                  <w:tr w:rsidR="00F04EEF">
                    <w:tc>
                      <w:tcPr>
                        <w:tcW w:w="5046" w:type="dxa"/>
                        <w:shd w:val="clear" w:color="auto" w:fill="auto"/>
                      </w:tcPr>
                      <w:p w:rsidR="00F04EEF" w:rsidRDefault="0099351E">
                        <w:pPr>
                          <w:jc w:val="center"/>
                        </w:pPr>
                        <w:r>
                          <w:t>Date et signature de la direction de l’école</w:t>
                        </w:r>
                      </w:p>
                    </w:tc>
                    <w:tc>
                      <w:tcPr>
                        <w:tcW w:w="4587" w:type="dxa"/>
                        <w:shd w:val="clear" w:color="auto" w:fill="auto"/>
                      </w:tcPr>
                      <w:p w:rsidR="00F04EEF" w:rsidRDefault="0099351E">
                        <w:pPr>
                          <w:jc w:val="center"/>
                        </w:pPr>
                        <w:r>
                          <w:t>Date et signature de la/des personne(s) investie(s) de l’autorité parentale</w:t>
                        </w:r>
                      </w:p>
                    </w:tc>
                  </w:tr>
                  <w:tr w:rsidR="00F04EEF">
                    <w:tc>
                      <w:tcPr>
                        <w:tcW w:w="5046" w:type="dxa"/>
                        <w:shd w:val="clear" w:color="auto" w:fill="auto"/>
                      </w:tcPr>
                      <w:p w:rsidR="00F04EEF" w:rsidRDefault="00F04EEF"/>
                      <w:p w:rsidR="00F04EEF" w:rsidRDefault="00F04EEF"/>
                      <w:p w:rsidR="00F04EEF" w:rsidRDefault="00F04EEF"/>
                    </w:tc>
                    <w:tc>
                      <w:tcPr>
                        <w:tcW w:w="4587" w:type="dxa"/>
                        <w:shd w:val="clear" w:color="auto" w:fill="auto"/>
                      </w:tcPr>
                      <w:p w:rsidR="00F04EEF" w:rsidRDefault="00F04EEF"/>
                    </w:tc>
                  </w:tr>
                </w:tbl>
                <w:p w:rsidR="00F04EEF" w:rsidRDefault="00F04EEF"/>
                <w:p w:rsidR="00F04EEF" w:rsidRDefault="0099351E">
                  <w:r>
                    <w:t>Remarques éventuelles :</w:t>
                  </w:r>
                </w:p>
                <w:p w:rsidR="00F04EEF" w:rsidRDefault="00F04EEF">
                  <w:pPr>
                    <w:rPr>
                      <w:lang w:eastAsia="ar-SA"/>
                    </w:rPr>
                  </w:pPr>
                </w:p>
                <w:p w:rsidR="00F04EEF" w:rsidRDefault="0099351E">
                  <w:pPr>
                    <w:rPr>
                      <w:lang w:eastAsia="ar-SA"/>
                    </w:rPr>
                  </w:pPr>
                  <w:r>
                    <w:rPr>
                      <w:lang w:eastAsia="ar-SA"/>
                    </w:rPr>
                    <w:br w:type="page"/>
                  </w:r>
                </w:p>
                <w:p w:rsidR="00F04EEF" w:rsidRDefault="00F04EEF">
                  <w:pPr>
                    <w:rPr>
                      <w:lang w:eastAsia="ar-SA"/>
                    </w:rPr>
                    <w:sectPr w:rsidR="00F04EEF">
                      <w:footerReference w:type="default" r:id="rId81"/>
                      <w:footerReference w:type="first" r:id="rId82"/>
                      <w:type w:val="nextColumn"/>
                      <w:pgSz w:w="11906" w:h="16838"/>
                      <w:pgMar w:top="1134" w:right="1134" w:bottom="1134" w:left="1418" w:header="720" w:footer="218" w:gutter="0"/>
                      <w:cols w:space="720"/>
                      <w:titlePg/>
                      <w:docGrid w:linePitch="360"/>
                    </w:sectPr>
                  </w:pPr>
                </w:p>
                <w:p w:rsidR="00F04EEF" w:rsidRDefault="00F04EEF">
                  <w:bookmarkStart w:id="1284" w:name="_Annexe_8_A."/>
                  <w:bookmarkStart w:id="1285" w:name="annexe9"/>
                  <w:bookmarkStart w:id="1286" w:name="_Toc412204101"/>
                  <w:bookmarkStart w:id="1287" w:name="_Toc414352909"/>
                  <w:bookmarkStart w:id="1288" w:name="_Toc453836932"/>
                  <w:bookmarkEnd w:id="1284"/>
                </w:p>
                <w:p w:rsidR="00F04EEF" w:rsidRDefault="0099351E">
                  <w:pPr>
                    <w:pStyle w:val="Titre4"/>
                  </w:pPr>
                  <w:bookmarkStart w:id="1289" w:name="_Annexe_8_:_1"/>
                  <w:bookmarkEnd w:id="1289"/>
                  <w:r>
                    <w:t xml:space="preserve">Annexe </w:t>
                  </w:r>
                  <w:bookmarkEnd w:id="1285"/>
                  <w:r>
                    <w:t>6 : Proposition de modèle de signalement au Conseiller de l'Aide à la Jeunesse des élèves mineurs en situation de difficulté ou de danger</w:t>
                  </w:r>
                  <w:bookmarkEnd w:id="1286"/>
                  <w:bookmarkEnd w:id="1287"/>
                  <w:bookmarkEnd w:id="1288"/>
                </w:p>
                <w:p w:rsidR="00F04EEF" w:rsidRDefault="00F04EEF">
                  <w:pPr>
                    <w:rPr>
                      <w:rFonts w:cs="Arial"/>
                      <w:b/>
                      <w:bCs/>
                    </w:rPr>
                  </w:pPr>
                </w:p>
                <w:p w:rsidR="00F04EEF" w:rsidRDefault="0099351E">
                  <w:pPr>
                    <w:rPr>
                      <w:rFonts w:cs="Arial"/>
                      <w:b/>
                      <w:bCs/>
                    </w:rPr>
                  </w:pPr>
                  <w:r>
                    <w:rPr>
                      <w:rFonts w:cs="Arial"/>
                      <w:b/>
                      <w:bCs/>
                    </w:rPr>
                    <w:t>Signalement précédent à la date du……../………/……………..</w:t>
                  </w:r>
                </w:p>
                <w:p w:rsidR="00F04EEF" w:rsidRDefault="00F04EEF">
                  <w:pPr>
                    <w:rPr>
                      <w:rFonts w:cs="Arial"/>
                      <w:b/>
                      <w:bCs/>
                    </w:rPr>
                  </w:pPr>
                </w:p>
                <w:p w:rsidR="00F04EEF" w:rsidRDefault="0099351E">
                  <w:pPr>
                    <w:rPr>
                      <w:rFonts w:cs="Arial"/>
                      <w:b/>
                      <w:bCs/>
                    </w:rPr>
                  </w:pPr>
                  <w:r>
                    <w:rPr>
                      <w:rFonts w:cs="Arial"/>
                      <w:b/>
                      <w:bCs/>
                    </w:rPr>
                    <w:t>Identification du jeune</w:t>
                  </w:r>
                </w:p>
                <w:p w:rsidR="00F04EEF" w:rsidRDefault="00F04EEF">
                  <w:pPr>
                    <w:rPr>
                      <w:rFonts w:cs="Arial"/>
                      <w:b/>
                      <w:bCs/>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b/>
                          </w:rPr>
                          <w:t>Nom :</w:t>
                        </w:r>
                        <w:r>
                          <w:rPr>
                            <w:rFonts w:cs="Arial"/>
                          </w:rPr>
                          <w:t>…………………………………</w:t>
                        </w:r>
                      </w:p>
                      <w:p w:rsidR="00F04EEF" w:rsidRDefault="0099351E">
                        <w:pPr>
                          <w:rPr>
                            <w:rFonts w:cs="Arial"/>
                          </w:rPr>
                        </w:pPr>
                        <w:r>
                          <w:rPr>
                            <w:rFonts w:cs="Arial"/>
                            <w:b/>
                          </w:rPr>
                          <w:t>Prénom :</w:t>
                        </w:r>
                        <w:r>
                          <w:rPr>
                            <w:rFonts w:cs="Arial"/>
                          </w:rPr>
                          <w:t>……………………………..</w:t>
                        </w:r>
                      </w:p>
                      <w:p w:rsidR="00F04EEF" w:rsidRDefault="0099351E">
                        <w:pPr>
                          <w:rPr>
                            <w:rFonts w:cs="Arial"/>
                          </w:rPr>
                        </w:pPr>
                        <w:r>
                          <w:rPr>
                            <w:rFonts w:cs="Arial"/>
                            <w:b/>
                          </w:rPr>
                          <w:t>Classe de :</w:t>
                        </w:r>
                        <w:r>
                          <w:rPr>
                            <w:rFonts w:cs="Arial"/>
                          </w:rPr>
                          <w:t>……………………………</w:t>
                        </w:r>
                        <w:r>
                          <w:rPr>
                            <w:rFonts w:cs="Arial"/>
                            <w:b/>
                          </w:rPr>
                          <w:t>section/option :</w:t>
                        </w:r>
                        <w:r>
                          <w:rPr>
                            <w:rFonts w:cs="Arial"/>
                          </w:rPr>
                          <w:t>……………………….</w:t>
                        </w:r>
                      </w:p>
                      <w:p w:rsidR="00F04EEF" w:rsidRDefault="0099351E">
                        <w:pPr>
                          <w:rPr>
                            <w:rFonts w:cs="Arial"/>
                          </w:rPr>
                        </w:pPr>
                        <w:r>
                          <w:rPr>
                            <w:rFonts w:cs="Arial"/>
                            <w:b/>
                          </w:rPr>
                          <w:t xml:space="preserve">                                                              secteur/métier :</w:t>
                        </w:r>
                        <w:r>
                          <w:rPr>
                            <w:rFonts w:cs="Arial"/>
                          </w:rPr>
                          <w:t xml:space="preserve"> ………………………</w:t>
                        </w:r>
                      </w:p>
                      <w:p w:rsidR="00F04EEF" w:rsidRDefault="0099351E">
                        <w:pPr>
                          <w:rPr>
                            <w:rFonts w:cs="Arial"/>
                          </w:rPr>
                        </w:pPr>
                        <w:r>
                          <w:rPr>
                            <w:rFonts w:cs="Arial"/>
                            <w:b/>
                          </w:rPr>
                          <w:t xml:space="preserve">Né(e) à </w:t>
                        </w:r>
                        <w:r>
                          <w:rPr>
                            <w:rFonts w:cs="Arial"/>
                          </w:rPr>
                          <w:t>…………………………….</w:t>
                        </w:r>
                        <w:r>
                          <w:rPr>
                            <w:rFonts w:cs="Arial"/>
                            <w:b/>
                          </w:rPr>
                          <w:t>le</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b/>
                            <w:u w:val="single"/>
                          </w:rPr>
                        </w:pPr>
                        <w:r>
                          <w:rPr>
                            <w:rFonts w:cs="Arial"/>
                            <w:b/>
                            <w:u w:val="single"/>
                          </w:rPr>
                          <w:t>Adresse de vie du jeune (Si différente de celle des responsables légaux) :</w:t>
                        </w:r>
                      </w:p>
                      <w:p w:rsidR="00F04EEF" w:rsidRDefault="0099351E">
                        <w:pPr>
                          <w:rPr>
                            <w:rFonts w:cs="Arial"/>
                          </w:rPr>
                        </w:pPr>
                        <w:r>
                          <w:rPr>
                            <w:rFonts w:cs="Arial"/>
                          </w:rPr>
                          <w:t>rue :………………………………………………     n° :………………….</w:t>
                        </w:r>
                      </w:p>
                      <w:p w:rsidR="00F04EEF" w:rsidRDefault="0099351E">
                        <w:pPr>
                          <w:rPr>
                            <w:rFonts w:cs="Arial"/>
                          </w:rPr>
                        </w:pPr>
                        <w:r>
                          <w:rPr>
                            <w:rFonts w:cs="Arial"/>
                          </w:rPr>
                          <w:t>Code Postal :………………………..     Commune :……………………….</w:t>
                        </w:r>
                      </w:p>
                      <w:p w:rsidR="00F04EEF" w:rsidRDefault="0099351E">
                        <w:pPr>
                          <w:rPr>
                            <w:rFonts w:cs="Arial"/>
                          </w:rPr>
                        </w:pPr>
                        <w:r>
                          <w:rPr>
                            <w:rFonts w:cs="Arial"/>
                          </w:rPr>
                          <w:sym w:font="Wingdings" w:char="F028"/>
                        </w:r>
                        <w:r>
                          <w:rPr>
                            <w:rFonts w:cs="Arial"/>
                          </w:rPr>
                          <w:t xml:space="preserve"> :…………………………………    </w:t>
                        </w:r>
                        <w:r>
                          <w:rPr>
                            <w:b/>
                            <w:bCs/>
                          </w:rPr>
                          <w:sym w:font="Webdings" w:char="F0CA"/>
                        </w:r>
                        <w:r>
                          <w:rPr>
                            <w:rFonts w:cs="Arial"/>
                          </w:rPr>
                          <w:t xml:space="preserve">:……………………………... </w:t>
                        </w:r>
                      </w:p>
                      <w:p w:rsidR="00F04EEF" w:rsidRDefault="00F04EEF">
                        <w:pPr>
                          <w:rPr>
                            <w:rFonts w:cs="Arial"/>
                          </w:rPr>
                        </w:pPr>
                      </w:p>
                    </w:tc>
                  </w:tr>
                  <w:tr w:rsidR="00F04EEF">
                    <w:tc>
                      <w:tcPr>
                        <w:tcW w:w="7072" w:type="dxa"/>
                        <w:tcBorders>
                          <w:top w:val="single" w:sz="4" w:space="0" w:color="000000"/>
                          <w:left w:val="single" w:sz="4" w:space="0" w:color="000000"/>
                          <w:bottom w:val="single" w:sz="4" w:space="0" w:color="000000"/>
                        </w:tcBorders>
                      </w:tcPr>
                      <w:p w:rsidR="00F04EEF" w:rsidRDefault="00F04EEF">
                        <w:pPr>
                          <w:snapToGrid w:val="0"/>
                          <w:rPr>
                            <w:rFonts w:cs="Arial"/>
                            <w:b/>
                            <w:u w:val="single"/>
                          </w:rPr>
                        </w:pPr>
                      </w:p>
                      <w:p w:rsidR="00F04EEF" w:rsidRDefault="0099351E">
                        <w:pPr>
                          <w:snapToGrid w:val="0"/>
                          <w:rPr>
                            <w:rFonts w:cs="Arial"/>
                          </w:rPr>
                        </w:pPr>
                        <w:r>
                          <w:rPr>
                            <w:rFonts w:cs="Arial"/>
                            <w:b/>
                            <w:u w:val="single"/>
                          </w:rPr>
                          <w:t>Adresse du domicile légal du jeune :</w:t>
                        </w:r>
                        <w:r>
                          <w:rPr>
                            <w:rFonts w:cs="Arial"/>
                            <w:b/>
                          </w:rPr>
                          <w:t xml:space="preserve">  </w:t>
                        </w:r>
                        <w:r>
                          <w:rPr>
                            <w:rFonts w:cs="Arial"/>
                          </w:rPr>
                          <w:t>rue :……………………….. n° :……..</w:t>
                        </w:r>
                      </w:p>
                      <w:p w:rsidR="00F04EEF" w:rsidRDefault="0099351E">
                        <w:pPr>
                          <w:rPr>
                            <w:rFonts w:cs="Arial"/>
                          </w:rPr>
                        </w:pPr>
                        <w:r>
                          <w:rPr>
                            <w:rFonts w:cs="Arial"/>
                          </w:rPr>
                          <w:t>Code Postal :…………………….         Commune :…………………………...</w:t>
                        </w:r>
                      </w:p>
                      <w:p w:rsidR="00F04EEF" w:rsidRDefault="0099351E">
                        <w:pPr>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cs="Arial"/>
                            <w:b/>
                            <w:u w:val="single"/>
                          </w:rPr>
                        </w:pPr>
                      </w:p>
                      <w:p w:rsidR="00F04EEF" w:rsidRDefault="0099351E">
                        <w:pPr>
                          <w:snapToGrid w:val="0"/>
                          <w:rPr>
                            <w:rFonts w:cs="Arial"/>
                            <w:b/>
                            <w:u w:val="single"/>
                          </w:rPr>
                        </w:pPr>
                        <w:r>
                          <w:rPr>
                            <w:rFonts w:cs="Arial"/>
                            <w:b/>
                            <w:u w:val="single"/>
                          </w:rPr>
                          <w:t>Noms des parents / tuteurs / responsables légaux :</w:t>
                        </w:r>
                      </w:p>
                      <w:p w:rsidR="00F04EEF" w:rsidRDefault="0099351E">
                        <w:pPr>
                          <w:rPr>
                            <w:rFonts w:cs="Arial"/>
                          </w:rPr>
                        </w:pPr>
                        <w:r>
                          <w:rPr>
                            <w:rFonts w:cs="Arial"/>
                          </w:rPr>
                          <w:t>Adresse :…………………………………….    n° :………….</w:t>
                        </w:r>
                      </w:p>
                      <w:p w:rsidR="00F04EEF" w:rsidRDefault="0099351E">
                        <w:pPr>
                          <w:rPr>
                            <w:rFonts w:cs="Arial"/>
                          </w:rPr>
                        </w:pPr>
                        <w:r>
                          <w:rPr>
                            <w:rFonts w:cs="Arial"/>
                          </w:rPr>
                          <w:t>Code Postal :……………………..     Commune :……………………………</w:t>
                        </w:r>
                      </w:p>
                      <w:p w:rsidR="00F04EEF" w:rsidRDefault="0099351E">
                        <w:pPr>
                          <w:rPr>
                            <w:rFonts w:cs="Arial"/>
                          </w:rPr>
                        </w:pPr>
                        <w:r>
                          <w:rPr>
                            <w:rFonts w:cs="Arial"/>
                          </w:rPr>
                          <w:sym w:font="Wingdings" w:char="F028"/>
                        </w:r>
                        <w:r>
                          <w:rPr>
                            <w:rFonts w:cs="Arial"/>
                          </w:rPr>
                          <w:t xml:space="preserve"> :………………………………    </w:t>
                        </w:r>
                        <w:r>
                          <w:rPr>
                            <w:b/>
                            <w:bCs/>
                          </w:rPr>
                          <w:sym w:font="Webdings" w:char="F0CA"/>
                        </w:r>
                        <w:r>
                          <w:rPr>
                            <w:rFonts w:cs="Arial"/>
                          </w:rPr>
                          <w:t> :…………………………………..</w:t>
                        </w:r>
                      </w:p>
                    </w:tc>
                  </w:tr>
                </w:tbl>
                <w:p w:rsidR="00F04EEF" w:rsidRDefault="00F04EEF">
                  <w:pPr>
                    <w:jc w:val="cente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F04EEF">
                    <w:tc>
                      <w:tcPr>
                        <w:tcW w:w="7072"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Volet C.P.M.S./S.P.S.E.</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t>Nom de l’école :………………………………………………………………...</w:t>
                        </w:r>
                      </w:p>
                      <w:p w:rsidR="00F04EEF" w:rsidRDefault="00F04EEF">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 xml:space="preserve">Nom du </w:t>
                        </w:r>
                        <w:r>
                          <w:rPr>
                            <w:rFonts w:cs="Arial"/>
                            <w:b/>
                          </w:rPr>
                          <w:t>C.P.M.S./S.P.S.E</w:t>
                        </w:r>
                        <w:r>
                          <w:rPr>
                            <w:rFonts w:cs="Arial"/>
                          </w:rPr>
                          <w:t>. :………………………………………………………...</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t>Adresse :………………………………………………………………………...</w:t>
                        </w:r>
                      </w:p>
                      <w:p w:rsidR="00F04EEF" w:rsidRDefault="00F04EEF">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Adresse :………………………………………………………………………...</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sym w:font="Wingdings" w:char="F028"/>
                        </w:r>
                        <w:r>
                          <w:rPr>
                            <w:rFonts w:cs="Arial"/>
                          </w:rPr>
                          <w:t xml:space="preserve"> :……………………………     </w:t>
                        </w:r>
                        <w:r>
                          <w:rPr>
                            <w:b/>
                            <w:bCs/>
                          </w:rPr>
                          <w:sym w:font="Webdings" w:char="F0CA"/>
                        </w:r>
                        <w:r>
                          <w:rPr>
                            <w:rFonts w:cs="Arial"/>
                          </w:rPr>
                          <w:t>:………………………………………</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t>Directeur(trice) ou délégué(e) :………………………………………………………….</w:t>
                        </w:r>
                      </w:p>
                      <w:p w:rsidR="00F04EEF" w:rsidRDefault="00F04EEF">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Référent :……………………………………………………………………….</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t>Gestionnaire du dossier (Directeur(trice), sous-directeur(trice), éducateur(trice) : ……….…….</w:t>
                        </w:r>
                      </w:p>
                      <w:p w:rsidR="00F04EEF" w:rsidRDefault="0099351E">
                        <w:pPr>
                          <w:rPr>
                            <w:rFonts w:cs="Arial"/>
                          </w:rPr>
                        </w:pPr>
                        <w:r>
                          <w:rPr>
                            <w:rFonts w:cs="Arial"/>
                          </w:rPr>
                          <w:t>Coordonnées : …………………………………………………………………..</w:t>
                        </w:r>
                      </w:p>
                      <w:p w:rsidR="00F04EEF" w:rsidRDefault="0099351E">
                        <w:pPr>
                          <w:rPr>
                            <w:rFonts w:cs="Arial"/>
                          </w:rPr>
                        </w:pPr>
                        <w:r>
                          <w:rPr>
                            <w:rFonts w:cs="Arial"/>
                          </w:rPr>
                          <w:sym w:font="Wingdings" w:char="F028"/>
                        </w:r>
                        <w:r>
                          <w:rPr>
                            <w:rFonts w:cs="Arial"/>
                          </w:rPr>
                          <w:t xml:space="preserve"> : …………………………….     </w:t>
                        </w:r>
                        <w:r>
                          <w:rPr>
                            <w:b/>
                            <w:bCs/>
                          </w:rPr>
                          <w:sym w:font="Webdings" w:char="F0CA"/>
                        </w:r>
                        <w:r>
                          <w:rPr>
                            <w:rFonts w:cs="Arial"/>
                          </w:rPr>
                          <w:t>: ……………………………………...</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Coordonnées :……………………………………………………………………………………………………………………………………………………</w:t>
                        </w:r>
                      </w:p>
                      <w:p w:rsidR="00F04EEF" w:rsidRDefault="0099351E">
                        <w:pPr>
                          <w:rPr>
                            <w:rFonts w:cs="Arial"/>
                          </w:rPr>
                        </w:pPr>
                        <w:r>
                          <w:rPr>
                            <w:rFonts w:cs="Arial"/>
                          </w:rPr>
                          <w:sym w:font="Wingdings" w:char="F028"/>
                        </w:r>
                        <w:r>
                          <w:rPr>
                            <w:rFonts w:cs="Arial"/>
                          </w:rPr>
                          <w:t xml:space="preserve"> :……………………………     </w:t>
                        </w:r>
                        <w:r>
                          <w:rPr>
                            <w:b/>
                            <w:bCs/>
                          </w:rPr>
                          <w:sym w:font="Webdings" w:char="F0CA"/>
                        </w:r>
                        <w:r>
                          <w:rPr>
                            <w:rFonts w:cs="Arial"/>
                          </w:rPr>
                          <w:t> :………………………………………</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t>Coordonnées du médiateur(trice) scolaire : …………………………………………...</w:t>
                        </w:r>
                      </w:p>
                      <w:p w:rsidR="00F04EEF" w:rsidRDefault="00F04EEF">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cs="Arial"/>
                          </w:rPr>
                        </w:pPr>
                      </w:p>
                    </w:tc>
                  </w:tr>
                </w:tbl>
                <w:p w:rsidR="00F04EEF" w:rsidRDefault="00F04EEF">
                  <w:pPr>
                    <w:jc w:val="center"/>
                    <w:rPr>
                      <w:rFonts w:cs="Arial"/>
                      <w:b/>
                    </w:rPr>
                  </w:pPr>
                </w:p>
                <w:p w:rsidR="00F04EEF" w:rsidRDefault="0099351E">
                  <w:pPr>
                    <w:rPr>
                      <w:rFonts w:cs="Arial"/>
                      <w:b/>
                    </w:rPr>
                  </w:pPr>
                  <w:r>
                    <w:rPr>
                      <w:rFonts w:cs="Arial"/>
                      <w:b/>
                    </w:rPr>
                    <w:br w:type="page"/>
                  </w:r>
                </w:p>
                <w:p w:rsidR="00F04EEF" w:rsidRDefault="0099351E">
                  <w:pPr>
                    <w:jc w:val="center"/>
                    <w:rPr>
                      <w:rFonts w:cs="Arial"/>
                      <w:b/>
                    </w:rPr>
                  </w:pPr>
                  <w:r>
                    <w:rPr>
                      <w:rFonts w:cs="Arial"/>
                      <w:b/>
                    </w:rPr>
                    <w:t>Appréciation de la situation</w:t>
                  </w:r>
                </w:p>
                <w:p w:rsidR="00F04EEF" w:rsidRDefault="00F04EEF">
                  <w:pPr>
                    <w:jc w:val="cente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F04EEF">
                    <w:tc>
                      <w:tcPr>
                        <w:tcW w:w="7072"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Volet C.P.M.S/S.P.S.E.</w:t>
                        </w:r>
                      </w:p>
                    </w:tc>
                  </w:tr>
                  <w:tr w:rsidR="00F04EEF">
                    <w:trPr>
                      <w:cantSplit/>
                    </w:trPr>
                    <w:tc>
                      <w:tcPr>
                        <w:tcW w:w="7072" w:type="dxa"/>
                        <w:vMerge w:val="restart"/>
                        <w:tcBorders>
                          <w:top w:val="single" w:sz="4" w:space="0" w:color="000000"/>
                          <w:left w:val="single" w:sz="4" w:space="0" w:color="000000"/>
                          <w:bottom w:val="single" w:sz="4" w:space="0" w:color="000000"/>
                        </w:tcBorders>
                      </w:tcPr>
                      <w:p w:rsidR="00F04EEF" w:rsidRDefault="0099351E">
                        <w:pPr>
                          <w:snapToGrid w:val="0"/>
                          <w:rPr>
                            <w:rFonts w:cs="Arial"/>
                          </w:rPr>
                        </w:pPr>
                        <w:r>
                          <w:rPr>
                            <w:rFonts w:ascii="Times New Roman" w:hAnsi="Times New Roman" w:cs="Times New Roman"/>
                          </w:rPr>
                          <w:t>□</w:t>
                        </w:r>
                        <w:r>
                          <w:rPr>
                            <w:rFonts w:cs="Arial"/>
                          </w:rPr>
                          <w:t xml:space="preserve"> </w:t>
                        </w:r>
                        <w:r>
                          <w:rPr>
                            <w:rFonts w:cs="Arial"/>
                            <w:b/>
                            <w:bCs/>
                          </w:rPr>
                          <w:t>I</w:t>
                        </w:r>
                        <w:r>
                          <w:rPr>
                            <w:rFonts w:cs="Arial"/>
                            <w:b/>
                          </w:rPr>
                          <w:t>ndices</w:t>
                        </w:r>
                        <w:r>
                          <w:rPr>
                            <w:rFonts w:cs="Arial"/>
                          </w:rPr>
                          <w:t xml:space="preserve"> de difficulté ou de danger</w:t>
                        </w:r>
                      </w:p>
                      <w:p w:rsidR="00F04EEF" w:rsidRDefault="0099351E">
                        <w:pPr>
                          <w:rPr>
                            <w:rFonts w:cs="Arial"/>
                          </w:rPr>
                        </w:pPr>
                        <w:r>
                          <w:rPr>
                            <w:rFonts w:cs="Arial"/>
                            <w:b/>
                          </w:rPr>
                          <w:t xml:space="preserve">Faits concrets </w:t>
                        </w:r>
                        <w:r>
                          <w:rPr>
                            <w:rFonts w:cs="Arial"/>
                          </w:rPr>
                          <w:t>fournissant des indices de difficulté ou de danger</w:t>
                        </w:r>
                      </w:p>
                      <w:p w:rsidR="00F04EEF" w:rsidRDefault="0099351E">
                        <w:pPr>
                          <w:numPr>
                            <w:ilvl w:val="0"/>
                            <w:numId w:val="94"/>
                          </w:numPr>
                          <w:tabs>
                            <w:tab w:val="left" w:pos="360"/>
                          </w:tabs>
                          <w:suppressAutoHyphens/>
                          <w:ind w:left="0" w:firstLine="0"/>
                          <w:rPr>
                            <w:rFonts w:cs="Arial"/>
                          </w:rPr>
                        </w:pPr>
                        <w:r>
                          <w:rPr>
                            <w:rFonts w:cs="Arial"/>
                          </w:rPr>
                          <w:t xml:space="preserve"> </w:t>
                        </w:r>
                      </w:p>
                      <w:p w:rsidR="00F04EEF" w:rsidRDefault="0099351E">
                        <w:pPr>
                          <w:numPr>
                            <w:ilvl w:val="0"/>
                            <w:numId w:val="94"/>
                          </w:numPr>
                          <w:tabs>
                            <w:tab w:val="left" w:pos="360"/>
                          </w:tabs>
                          <w:suppressAutoHyphens/>
                          <w:ind w:left="0" w:firstLine="0"/>
                          <w:rPr>
                            <w:rFonts w:cs="Arial"/>
                          </w:rPr>
                        </w:pPr>
                        <w:r>
                          <w:rPr>
                            <w:rFonts w:cs="Arial"/>
                          </w:rPr>
                          <w:t xml:space="preserve"> </w:t>
                        </w:r>
                      </w:p>
                      <w:p w:rsidR="00F04EEF" w:rsidRDefault="0099351E">
                        <w:pPr>
                          <w:numPr>
                            <w:ilvl w:val="0"/>
                            <w:numId w:val="94"/>
                          </w:numPr>
                          <w:tabs>
                            <w:tab w:val="left" w:pos="360"/>
                          </w:tabs>
                          <w:suppressAutoHyphens/>
                          <w:ind w:left="0" w:firstLine="0"/>
                          <w:rPr>
                            <w:rFonts w:cs="Arial"/>
                          </w:rPr>
                        </w:pPr>
                        <w:r>
                          <w:rPr>
                            <w:rFonts w:cs="Arial"/>
                          </w:rPr>
                          <w:t xml:space="preserve"> </w:t>
                        </w:r>
                      </w:p>
                      <w:p w:rsidR="00F04EEF" w:rsidRDefault="0099351E">
                        <w:pPr>
                          <w:rPr>
                            <w:rFonts w:cs="Arial"/>
                          </w:rPr>
                        </w:pPr>
                        <w:r>
                          <w:rPr>
                            <w:rFonts w:ascii="Times New Roman" w:hAnsi="Times New Roman" w:cs="Times New Roman"/>
                          </w:rPr>
                          <w:t>□</w:t>
                        </w:r>
                        <w:r>
                          <w:rPr>
                            <w:rFonts w:cs="Arial"/>
                          </w:rPr>
                          <w:t xml:space="preserve"> Avis </w:t>
                        </w:r>
                        <w:r>
                          <w:rPr>
                            <w:rFonts w:cs="Cambria"/>
                          </w:rPr>
                          <w:t>é</w:t>
                        </w:r>
                        <w:r>
                          <w:rPr>
                            <w:rFonts w:cs="Arial"/>
                          </w:rPr>
                          <w:t>ducateur(trice) joint (Facultatif)</w:t>
                        </w:r>
                      </w:p>
                      <w:p w:rsidR="00F04EEF" w:rsidRDefault="0099351E">
                        <w:pPr>
                          <w:rPr>
                            <w:rFonts w:cs="Arial"/>
                          </w:rPr>
                        </w:pPr>
                        <w:r>
                          <w:rPr>
                            <w:rFonts w:ascii="Times New Roman" w:hAnsi="Times New Roman" w:cs="Times New Roman"/>
                          </w:rPr>
                          <w:t>□</w:t>
                        </w:r>
                        <w:r>
                          <w:rPr>
                            <w:rFonts w:cs="Arial"/>
                          </w:rPr>
                          <w:t xml:space="preserve"> Avis du conseil de classe et/ou enseignant(s) joint (Facultatif)</w:t>
                        </w:r>
                      </w:p>
                      <w:p w:rsidR="00F04EEF" w:rsidRDefault="00F04EEF">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b/>
                          </w:rPr>
                        </w:pPr>
                        <w:r>
                          <w:rPr>
                            <w:rFonts w:cs="Arial"/>
                            <w:b/>
                          </w:rPr>
                          <w:t>Appréciation de la situation de difficulté ou de danger ou date d'envoi du rapport au CAJ</w:t>
                        </w:r>
                      </w:p>
                    </w:tc>
                  </w:tr>
                  <w:tr w:rsidR="00F04EEF">
                    <w:trPr>
                      <w:cantSplit/>
                    </w:trPr>
                    <w:tc>
                      <w:tcPr>
                        <w:tcW w:w="7072" w:type="dxa"/>
                        <w:vMerge/>
                        <w:tcBorders>
                          <w:top w:val="single" w:sz="4" w:space="0" w:color="000000"/>
                          <w:left w:val="single" w:sz="4" w:space="0" w:color="000000"/>
                          <w:bottom w:val="single" w:sz="4" w:space="0" w:color="000000"/>
                        </w:tcBorders>
                        <w:vAlign w:val="center"/>
                      </w:tcPr>
                      <w:p w:rsidR="00F04EEF" w:rsidRDefault="00F04EEF">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w:t>
                        </w:r>
                      </w:p>
                      <w:p w:rsidR="00F04EEF" w:rsidRDefault="0099351E">
                        <w:pPr>
                          <w:rPr>
                            <w:rFonts w:cs="Arial"/>
                          </w:rPr>
                        </w:pPr>
                        <w:r>
                          <w:rPr>
                            <w:rFonts w:cs="Arial"/>
                          </w:rPr>
                          <w:t>……………………………………………………………………………………………………</w:t>
                        </w:r>
                      </w:p>
                      <w:p w:rsidR="00F04EEF" w:rsidRDefault="0099351E">
                        <w:pPr>
                          <w:rPr>
                            <w:rFonts w:cs="Arial"/>
                          </w:rPr>
                        </w:pPr>
                        <w:r>
                          <w:rPr>
                            <w:rFonts w:cs="Arial"/>
                            <w:b/>
                          </w:rPr>
                          <w:t xml:space="preserve">Refus parental de la guidance individuelle    </w:t>
                        </w:r>
                        <w:r>
                          <w:rPr>
                            <w:rFonts w:ascii="Times New Roman" w:hAnsi="Times New Roman" w:cs="Times New Roman"/>
                          </w:rPr>
                          <w:t>□</w:t>
                        </w:r>
                        <w:r>
                          <w:rPr>
                            <w:rFonts w:cs="Arial"/>
                          </w:rPr>
                          <w:t xml:space="preserve">   oui     </w:t>
                        </w:r>
                        <w:r>
                          <w:rPr>
                            <w:rFonts w:ascii="Times New Roman" w:hAnsi="Times New Roman" w:cs="Times New Roman"/>
                          </w:rPr>
                          <w:t>□</w:t>
                        </w:r>
                        <w:r>
                          <w:rPr>
                            <w:rFonts w:cs="Arial"/>
                          </w:rPr>
                          <w:t xml:space="preserve">   non</w:t>
                        </w:r>
                      </w:p>
                      <w:p w:rsidR="00F04EEF" w:rsidRDefault="00F04EEF">
                        <w:pPr>
                          <w:rPr>
                            <w:rFonts w:cs="Arial"/>
                          </w:rPr>
                        </w:pPr>
                      </w:p>
                    </w:tc>
                  </w:tr>
                </w:tbl>
                <w:p w:rsidR="00F04EEF" w:rsidRDefault="00F04EEF">
                  <w:pPr>
                    <w:rPr>
                      <w:rFonts w:ascii="Times New Roman" w:hAnsi="Times New Roman" w:cs="Times New Roman"/>
                    </w:rPr>
                  </w:pPr>
                </w:p>
                <w:p w:rsidR="00F04EEF" w:rsidRDefault="0099351E">
                  <w:pPr>
                    <w:rPr>
                      <w:rFonts w:cs="Arial"/>
                      <w:b/>
                    </w:rPr>
                  </w:pPr>
                  <w:r>
                    <w:rPr>
                      <w:rFonts w:ascii="Times New Roman" w:hAnsi="Times New Roman" w:cs="Times New Roman"/>
                    </w:rPr>
                    <w:t>□</w:t>
                  </w:r>
                  <w:r>
                    <w:rPr>
                      <w:rFonts w:cs="Arial"/>
                    </w:rPr>
                    <w:t xml:space="preserve"> </w:t>
                  </w:r>
                  <w:r>
                    <w:rPr>
                      <w:rFonts w:cs="Arial"/>
                      <w:b/>
                    </w:rPr>
                    <w:t>Absences</w:t>
                  </w:r>
                </w:p>
                <w:p w:rsidR="00F04EEF" w:rsidRDefault="00F04EEF">
                  <w:pP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10935"/>
                  </w:tblGrid>
                  <w:tr w:rsidR="00F04EEF">
                    <w:tc>
                      <w:tcPr>
                        <w:tcW w:w="1093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Nombre de ½ jours d’absences injustifiées :………………….à la date du………………</w:t>
                        </w:r>
                      </w:p>
                    </w:tc>
                  </w:tr>
                  <w:tr w:rsidR="00F04EEF">
                    <w:tc>
                      <w:tcPr>
                        <w:tcW w:w="1093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Nombre de ½ jours d’absences justifiées par certificat médical (Facultatif)………………</w:t>
                        </w:r>
                      </w:p>
                    </w:tc>
                  </w:tr>
                  <w:tr w:rsidR="00F04EEF">
                    <w:tc>
                      <w:tcPr>
                        <w:tcW w:w="1093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Nombre de ½ jours d’absences justifiées (Facultatif) :…………………………………….</w:t>
                        </w:r>
                      </w:p>
                    </w:tc>
                  </w:tr>
                </w:tbl>
                <w:p w:rsidR="00F04EEF" w:rsidRDefault="00F04EEF">
                  <w:pPr>
                    <w:rPr>
                      <w:rFonts w:cs="Arial"/>
                      <w:b/>
                    </w:rPr>
                  </w:pPr>
                </w:p>
                <w:p w:rsidR="00F04EEF" w:rsidRDefault="0099351E">
                  <w:pPr>
                    <w:rPr>
                      <w:rFonts w:cs="Arial"/>
                    </w:rPr>
                  </w:pPr>
                  <w:r>
                    <w:rPr>
                      <w:rFonts w:cs="Arial"/>
                      <w:b/>
                    </w:rPr>
                    <w:t>Nom du jeune :</w:t>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Prénom :</w:t>
                  </w:r>
                  <w:r>
                    <w:rPr>
                      <w:rFonts w:cs="Arial"/>
                    </w:rPr>
                    <w:tab/>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École :</w:t>
                  </w:r>
                  <w:r>
                    <w:rPr>
                      <w:rFonts w:cs="Arial"/>
                    </w:rPr>
                    <w:t>-</w: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F04EEF">
                    <w:tc>
                      <w:tcPr>
                        <w:tcW w:w="7072" w:type="dxa"/>
                        <w:tcBorders>
                          <w:top w:val="single" w:sz="4" w:space="0" w:color="000000"/>
                          <w:left w:val="single" w:sz="4" w:space="0" w:color="000000"/>
                          <w:bottom w:val="single" w:sz="4" w:space="0" w:color="000000"/>
                        </w:tcBorders>
                      </w:tcPr>
                      <w:p w:rsidR="00F04EEF" w:rsidRDefault="0099351E">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rPr>
                            <w:rFonts w:cs="Arial"/>
                            <w:b/>
                          </w:rPr>
                        </w:pPr>
                        <w:r>
                          <w:rPr>
                            <w:rFonts w:cs="Arial"/>
                            <w:b/>
                          </w:rPr>
                          <w:t>Volet C.P.M.S./S.P.S.E.</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Contact(s) parents, tuteur</w:t>
                        </w:r>
                      </w:p>
                      <w:p w:rsidR="00F04EEF" w:rsidRDefault="0099351E">
                        <w:pPr>
                          <w:rPr>
                            <w:rFonts w:cs="Arial"/>
                          </w:rPr>
                        </w:pPr>
                        <w:r>
                          <w:rPr>
                            <w:rFonts w:ascii="Times New Roman" w:hAnsi="Times New Roman" w:cs="Times New Roman"/>
                            <w:b/>
                          </w:rPr>
                          <w:t>□</w:t>
                        </w:r>
                        <w:r>
                          <w:rPr>
                            <w:rFonts w:cs="Arial"/>
                            <w:b/>
                          </w:rPr>
                          <w:t xml:space="preserve"> </w:t>
                        </w:r>
                        <w:r>
                          <w:rPr>
                            <w:rFonts w:cs="Arial"/>
                          </w:rPr>
                          <w:t>téléphone(s), le(s)…………….</w:t>
                        </w:r>
                      </w:p>
                      <w:p w:rsidR="00F04EEF" w:rsidRDefault="0099351E">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visite(s) domicile le(s)</w:t>
                        </w:r>
                        <w:r>
                          <w:rPr>
                            <w:rFonts w:cs="Cambria"/>
                          </w:rPr>
                          <w:t>………………</w:t>
                        </w:r>
                      </w:p>
                      <w:p w:rsidR="00F04EEF" w:rsidRDefault="0099351E">
                        <w:pPr>
                          <w:rPr>
                            <w:rFonts w:cs="Arial"/>
                          </w:rPr>
                        </w:pPr>
                        <w:r>
                          <w:rPr>
                            <w:rFonts w:cs="Arial"/>
                            <w:b/>
                          </w:rPr>
                          <w:t>Résultats :</w:t>
                        </w:r>
                        <w:r>
                          <w:rPr>
                            <w:rFonts w:cs="Arial"/>
                          </w:rPr>
                          <w:t>…………………………………………………………………..……………………………………………………………………………………………………………………………………</w:t>
                        </w:r>
                      </w:p>
                      <w:p w:rsidR="00F04EEF" w:rsidRDefault="00F04EEF">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b/>
                          </w:rPr>
                        </w:pPr>
                        <w:r>
                          <w:rPr>
                            <w:rFonts w:cs="Arial"/>
                            <w:b/>
                          </w:rPr>
                          <w:t xml:space="preserve">Prise en charge par le C.P.M.S./S.P.S.E. </w:t>
                        </w:r>
                        <w:r>
                          <w:rPr>
                            <w:rFonts w:cs="Arial"/>
                          </w:rPr>
                          <w:t>depuis le ……./……../………</w:t>
                        </w:r>
                      </w:p>
                      <w:p w:rsidR="00F04EEF" w:rsidRDefault="0099351E">
                        <w:pPr>
                          <w:rPr>
                            <w:rFonts w:cs="Arial"/>
                            <w:b/>
                          </w:rPr>
                        </w:pPr>
                        <w:r>
                          <w:rPr>
                            <w:rFonts w:cs="Arial"/>
                            <w:b/>
                          </w:rPr>
                          <w:t>Contact(s) parents, tuteur</w:t>
                        </w:r>
                      </w:p>
                      <w:p w:rsidR="00F04EEF" w:rsidRDefault="0099351E">
                        <w:pPr>
                          <w:rPr>
                            <w:rFonts w:cs="Arial"/>
                          </w:rPr>
                        </w:pPr>
                        <w:r>
                          <w:rPr>
                            <w:rFonts w:ascii="Times New Roman" w:hAnsi="Times New Roman" w:cs="Times New Roman"/>
                            <w:b/>
                          </w:rPr>
                          <w:t>□</w:t>
                        </w:r>
                        <w:r>
                          <w:rPr>
                            <w:rFonts w:cs="Arial"/>
                            <w:b/>
                          </w:rPr>
                          <w:t xml:space="preserve"> </w:t>
                        </w:r>
                        <w:r>
                          <w:rPr>
                            <w:rFonts w:cs="Arial"/>
                          </w:rPr>
                          <w:t>téléphone(s), le(s)…………….</w:t>
                        </w:r>
                      </w:p>
                      <w:p w:rsidR="00F04EEF" w:rsidRDefault="0099351E">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visite(s) domicile le(s)</w:t>
                        </w:r>
                        <w:r>
                          <w:rPr>
                            <w:rFonts w:cs="Cambria"/>
                          </w:rPr>
                          <w:t>………………</w:t>
                        </w:r>
                      </w:p>
                      <w:p w:rsidR="00F04EEF" w:rsidRDefault="0099351E">
                        <w:pPr>
                          <w:rPr>
                            <w:rFonts w:cs="Arial"/>
                          </w:rPr>
                        </w:pPr>
                        <w:r>
                          <w:rPr>
                            <w:rFonts w:cs="Arial"/>
                            <w:b/>
                          </w:rPr>
                          <w:t>Résultats :</w:t>
                        </w:r>
                        <w:r>
                          <w:rPr>
                            <w:rFonts w:cs="Arial"/>
                          </w:rPr>
                          <w:t>…………………………………………………………………….………………………………………………………………………………………………………………………………………</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Contact(s) élève</w:t>
                        </w:r>
                      </w:p>
                      <w:p w:rsidR="00F04EEF" w:rsidRDefault="0099351E">
                        <w:pPr>
                          <w:rPr>
                            <w:rFonts w:cs="Arial"/>
                          </w:rPr>
                        </w:pPr>
                        <w:r>
                          <w:rPr>
                            <w:rFonts w:ascii="Times New Roman" w:hAnsi="Times New Roman" w:cs="Times New Roman"/>
                            <w:b/>
                          </w:rPr>
                          <w:t>□</w:t>
                        </w:r>
                        <w:r>
                          <w:rPr>
                            <w:rFonts w:cs="Arial"/>
                            <w:b/>
                          </w:rPr>
                          <w:t xml:space="preserve"> </w:t>
                        </w:r>
                        <w:r>
                          <w:rPr>
                            <w:rFonts w:cs="Arial"/>
                          </w:rPr>
                          <w:t>téléphone(s), le(s)…………….</w:t>
                        </w:r>
                      </w:p>
                      <w:p w:rsidR="00F04EEF" w:rsidRDefault="0099351E">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visite(s) domicile le(s)</w:t>
                        </w:r>
                        <w:r>
                          <w:rPr>
                            <w:rFonts w:cs="Cambria"/>
                          </w:rPr>
                          <w:t>………………</w:t>
                        </w:r>
                      </w:p>
                      <w:p w:rsidR="00F04EEF" w:rsidRDefault="0099351E">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b/>
                          </w:rPr>
                        </w:pPr>
                        <w:r>
                          <w:rPr>
                            <w:rFonts w:cs="Arial"/>
                            <w:b/>
                          </w:rPr>
                          <w:t>Contact(s) élève</w:t>
                        </w:r>
                      </w:p>
                      <w:p w:rsidR="00F04EEF" w:rsidRDefault="0099351E">
                        <w:pPr>
                          <w:rPr>
                            <w:rFonts w:cs="Arial"/>
                          </w:rPr>
                        </w:pPr>
                        <w:r>
                          <w:rPr>
                            <w:rFonts w:ascii="Times New Roman" w:hAnsi="Times New Roman" w:cs="Times New Roman"/>
                            <w:b/>
                          </w:rPr>
                          <w:t>□</w:t>
                        </w:r>
                        <w:r>
                          <w:rPr>
                            <w:rFonts w:cs="Arial"/>
                            <w:b/>
                          </w:rPr>
                          <w:t xml:space="preserve"> </w:t>
                        </w:r>
                        <w:r>
                          <w:rPr>
                            <w:rFonts w:cs="Arial"/>
                          </w:rPr>
                          <w:t>téléphone(s), le(s)…………….</w:t>
                        </w:r>
                      </w:p>
                      <w:p w:rsidR="00F04EEF" w:rsidRDefault="0099351E">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visite(s) domicile le(s)</w:t>
                        </w:r>
                        <w:r>
                          <w:rPr>
                            <w:rFonts w:cs="Cambria"/>
                          </w:rPr>
                          <w:t>………………</w:t>
                        </w:r>
                      </w:p>
                      <w:p w:rsidR="00F04EEF" w:rsidRDefault="0099351E">
                        <w:pPr>
                          <w:rPr>
                            <w:rFonts w:cs="Arial"/>
                          </w:rPr>
                        </w:pPr>
                        <w:r>
                          <w:rPr>
                            <w:rFonts w:cs="Arial"/>
                            <w:b/>
                          </w:rPr>
                          <w:t>Résultats :</w:t>
                        </w:r>
                        <w:r>
                          <w:rPr>
                            <w:rFonts w:cs="Arial"/>
                          </w:rPr>
                          <w:t>…………………………………………………………………..…………………………………………………………………………………………………………………………………………………………………………………………………………………………………………………………………………………………………………………………………………………………………………</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b/>
                          </w:rPr>
                        </w:pPr>
                        <w:r>
                          <w:rPr>
                            <w:rFonts w:cs="Arial"/>
                            <w:b/>
                          </w:rPr>
                          <w:t>Autres contacts (familiers, tiers, services sociaux)</w:t>
                        </w:r>
                      </w:p>
                      <w:p w:rsidR="00F04EEF" w:rsidRDefault="0099351E">
                        <w:pPr>
                          <w:rPr>
                            <w:rFonts w:cs="Arial"/>
                          </w:rPr>
                        </w:pPr>
                        <w:r>
                          <w:rPr>
                            <w:rFonts w:ascii="Times New Roman" w:hAnsi="Times New Roman" w:cs="Times New Roman"/>
                            <w:b/>
                          </w:rPr>
                          <w:t>□</w:t>
                        </w:r>
                        <w:r>
                          <w:rPr>
                            <w:rFonts w:cs="Arial"/>
                            <w:b/>
                          </w:rPr>
                          <w:t xml:space="preserve"> </w:t>
                        </w:r>
                        <w:r>
                          <w:rPr>
                            <w:rFonts w:cs="Arial"/>
                          </w:rPr>
                          <w:t>téléphone(s), le(s)…………….</w:t>
                        </w:r>
                      </w:p>
                      <w:p w:rsidR="00F04EEF" w:rsidRDefault="0099351E">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visite(s) domicile le(s)</w:t>
                        </w:r>
                        <w:r>
                          <w:rPr>
                            <w:rFonts w:cs="Cambria"/>
                          </w:rPr>
                          <w:t>………………</w:t>
                        </w:r>
                      </w:p>
                      <w:p w:rsidR="00F04EEF" w:rsidRDefault="0099351E">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b/>
                          </w:rPr>
                        </w:pPr>
                        <w:r>
                          <w:rPr>
                            <w:rFonts w:cs="Arial"/>
                            <w:b/>
                          </w:rPr>
                          <w:t>Autres contacts (familiers, tiers, services sociaux)</w:t>
                        </w:r>
                      </w:p>
                      <w:p w:rsidR="00F04EEF" w:rsidRDefault="0099351E">
                        <w:pPr>
                          <w:rPr>
                            <w:rFonts w:cs="Arial"/>
                          </w:rPr>
                        </w:pPr>
                        <w:r>
                          <w:rPr>
                            <w:rFonts w:ascii="Times New Roman" w:hAnsi="Times New Roman" w:cs="Times New Roman"/>
                            <w:b/>
                          </w:rPr>
                          <w:t>□</w:t>
                        </w:r>
                        <w:r>
                          <w:rPr>
                            <w:rFonts w:cs="Arial"/>
                            <w:b/>
                          </w:rPr>
                          <w:t xml:space="preserve"> </w:t>
                        </w:r>
                        <w:r>
                          <w:rPr>
                            <w:rFonts w:cs="Arial"/>
                          </w:rPr>
                          <w:t>téléphone(s), le(s)…………….</w:t>
                        </w:r>
                      </w:p>
                      <w:p w:rsidR="00F04EEF" w:rsidRDefault="0099351E">
                        <w:pPr>
                          <w:rPr>
                            <w:rFonts w:cs="Arial"/>
                          </w:rPr>
                        </w:pPr>
                        <w:r>
                          <w:rPr>
                            <w:rFonts w:ascii="Times New Roman" w:hAnsi="Times New Roman" w:cs="Times New Roman"/>
                          </w:rPr>
                          <w:t>□</w:t>
                        </w:r>
                        <w:r>
                          <w:rPr>
                            <w:rFonts w:cs="Arial"/>
                          </w:rPr>
                          <w:t xml:space="preserve"> lettre(s) le(s)………………………..</w:t>
                        </w:r>
                      </w:p>
                      <w:p w:rsidR="00F04EEF" w:rsidRDefault="0099351E">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F04EEF" w:rsidRDefault="0099351E">
                        <w:pPr>
                          <w:rPr>
                            <w:rFonts w:cs="Arial"/>
                          </w:rPr>
                        </w:pPr>
                        <w:r>
                          <w:rPr>
                            <w:rFonts w:ascii="Times New Roman" w:hAnsi="Times New Roman" w:cs="Times New Roman"/>
                          </w:rPr>
                          <w:t>□</w:t>
                        </w:r>
                        <w:r>
                          <w:rPr>
                            <w:rFonts w:cs="Arial"/>
                          </w:rPr>
                          <w:t xml:space="preserve"> visite(s) domicile le(s)</w:t>
                        </w:r>
                        <w:r>
                          <w:rPr>
                            <w:rFonts w:cs="Cambria"/>
                          </w:rPr>
                          <w:t>………………</w:t>
                        </w:r>
                      </w:p>
                      <w:p w:rsidR="00F04EEF" w:rsidRDefault="0099351E">
                        <w:pPr>
                          <w:rPr>
                            <w:rFonts w:cs="Arial"/>
                          </w:rPr>
                        </w:pPr>
                        <w:r>
                          <w:rPr>
                            <w:rFonts w:cs="Arial"/>
                            <w:b/>
                          </w:rPr>
                          <w:t>Résultats :</w:t>
                        </w:r>
                        <w:r>
                          <w:rPr>
                            <w:rFonts w:cs="Arial"/>
                          </w:rPr>
                          <w:t>…………………………………………………………………..…………………………………………………………………………………………………………………………………………………………………………………………………………………………………………………………………………………………………………………………………………………………………………</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t>Signalement transmis par l’école au C.P.M.S./</w:t>
                        </w:r>
                        <w:r>
                          <w:rPr>
                            <w:rFonts w:cs="Arial"/>
                            <w:b/>
                          </w:rPr>
                          <w:t>S.P.S.E</w:t>
                        </w:r>
                        <w:r>
                          <w:rPr>
                            <w:rFonts w:cs="Arial"/>
                          </w:rPr>
                          <w:t>. le……/……./………….</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Document remis par le C.P.M.S./</w:t>
                        </w:r>
                        <w:r>
                          <w:rPr>
                            <w:rFonts w:cs="Arial"/>
                            <w:b/>
                          </w:rPr>
                          <w:t>S.P.S.E</w:t>
                        </w:r>
                        <w:r>
                          <w:rPr>
                            <w:rFonts w:cs="Arial"/>
                          </w:rPr>
                          <w:t>. à l ‘école le………/………/………..</w:t>
                        </w:r>
                      </w:p>
                    </w:tc>
                  </w:tr>
                  <w:tr w:rsidR="00F04EEF">
                    <w:trPr>
                      <w:cantSplit/>
                    </w:trPr>
                    <w:tc>
                      <w:tcPr>
                        <w:tcW w:w="14194" w:type="dxa"/>
                        <w:gridSpan w:val="2"/>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b/>
                          </w:rPr>
                        </w:pPr>
                        <w:r>
                          <w:rPr>
                            <w:rFonts w:cs="Arial"/>
                            <w:b/>
                          </w:rPr>
                          <w:t>Prise en charge par un autre service :</w:t>
                        </w:r>
                      </w:p>
                      <w:p w:rsidR="00F04EEF" w:rsidRDefault="0099351E">
                        <w:pPr>
                          <w:rPr>
                            <w:rFonts w:cs="Arial"/>
                          </w:rPr>
                        </w:pPr>
                        <w:r>
                          <w:rPr>
                            <w:rFonts w:cs="Arial"/>
                          </w:rPr>
                          <w:t>Coordonnées du ou des  services :……………………………………………… ……………………………………………………………………………………………………</w:t>
                        </w:r>
                      </w:p>
                      <w:p w:rsidR="00F04EEF" w:rsidRDefault="0099351E">
                        <w:pPr>
                          <w:rPr>
                            <w:rFonts w:cs="Arial"/>
                          </w:rPr>
                        </w:pPr>
                        <w:r>
                          <w:rPr>
                            <w:rFonts w:cs="Arial"/>
                          </w:rPr>
                          <w:t>……………………………………………………………………………………………………………………………………………………</w:t>
                        </w:r>
                      </w:p>
                      <w:p w:rsidR="00F04EEF" w:rsidRDefault="0099351E">
                        <w:pPr>
                          <w:rPr>
                            <w:rFonts w:cs="Arial"/>
                          </w:rPr>
                        </w:pPr>
                        <w:r>
                          <w:rPr>
                            <w:rFonts w:cs="Arial"/>
                          </w:rPr>
                          <w:t>…………………………………………………………………………………………………………………………………………………………</w:t>
                        </w:r>
                      </w:p>
                      <w:p w:rsidR="00F04EEF" w:rsidRDefault="0099351E">
                        <w:pPr>
                          <w:rPr>
                            <w:rFonts w:cs="Arial"/>
                          </w:rPr>
                        </w:pPr>
                        <w:r>
                          <w:rPr>
                            <w:rFonts w:cs="Arial"/>
                          </w:rPr>
                          <w:t>…………………………………………………………………………………………………………………………………………………………</w:t>
                        </w:r>
                      </w:p>
                      <w:p w:rsidR="00F04EEF" w:rsidRDefault="0099351E">
                        <w:pPr>
                          <w:rPr>
                            <w:rFonts w:cs="Arial"/>
                          </w:rPr>
                        </w:pPr>
                        <w:r>
                          <w:rPr>
                            <w:rFonts w:cs="Arial"/>
                          </w:rPr>
                          <w:t>…………………………………………………………………………………………………………………………………………………………</w:t>
                        </w:r>
                      </w:p>
                      <w:p w:rsidR="00F04EEF" w:rsidRDefault="0099351E">
                        <w:pPr>
                          <w:rPr>
                            <w:rFonts w:cs="Arial"/>
                          </w:rPr>
                        </w:pPr>
                        <w:r>
                          <w:rPr>
                            <w:rFonts w:cs="Arial"/>
                          </w:rPr>
                          <w:t>Nom de(s) personne(s) contact(s) :……………………………………………………………………………………………………………………</w:t>
                        </w:r>
                      </w:p>
                      <w:p w:rsidR="00F04EEF" w:rsidRDefault="0099351E">
                        <w:pPr>
                          <w:rPr>
                            <w:rFonts w:cs="Arial"/>
                          </w:rPr>
                        </w:pPr>
                        <w:r>
                          <w:rPr>
                            <w:rFonts w:cs="Arial"/>
                          </w:rPr>
                          <w:t>…………………………………………………………………………………………………………………………………………………………</w:t>
                        </w:r>
                      </w:p>
                    </w:tc>
                  </w:tr>
                  <w:tr w:rsidR="00F04EEF">
                    <w:tc>
                      <w:tcPr>
                        <w:tcW w:w="7072" w:type="dxa"/>
                        <w:tcBorders>
                          <w:top w:val="single" w:sz="4" w:space="0" w:color="000000"/>
                          <w:left w:val="single" w:sz="4" w:space="0" w:color="000000"/>
                          <w:bottom w:val="single" w:sz="4" w:space="0" w:color="000000"/>
                        </w:tcBorders>
                      </w:tcPr>
                      <w:p w:rsidR="00F04EEF" w:rsidRDefault="0099351E">
                        <w:pPr>
                          <w:snapToGrid w:val="0"/>
                          <w:rPr>
                            <w:rFonts w:cs="Arial"/>
                          </w:rPr>
                        </w:pPr>
                        <w:r>
                          <w:rPr>
                            <w:rFonts w:cs="Arial"/>
                          </w:rPr>
                          <w:t>Date et signature le ………/………./…………</w:t>
                        </w:r>
                      </w:p>
                    </w:tc>
                    <w:tc>
                      <w:tcPr>
                        <w:tcW w:w="7122"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cs="Arial"/>
                          </w:rPr>
                        </w:pPr>
                        <w:r>
                          <w:rPr>
                            <w:rFonts w:cs="Arial"/>
                          </w:rPr>
                          <w:t>Date et signature le ………/………./…………</w:t>
                        </w:r>
                      </w:p>
                    </w:tc>
                  </w:tr>
                </w:tbl>
                <w:p w:rsidR="00F04EEF" w:rsidRDefault="00F04EEF">
                  <w:pPr>
                    <w:sectPr w:rsidR="00F04EEF">
                      <w:headerReference w:type="even" r:id="rId83"/>
                      <w:headerReference w:type="default" r:id="rId84"/>
                      <w:footerReference w:type="even" r:id="rId85"/>
                      <w:headerReference w:type="first" r:id="rId86"/>
                      <w:footerReference w:type="first" r:id="rId87"/>
                      <w:type w:val="nextColumn"/>
                      <w:pgSz w:w="16838" w:h="11906" w:orient="landscape"/>
                      <w:pgMar w:top="1134" w:right="1134" w:bottom="1134" w:left="1418" w:header="720" w:footer="185" w:gutter="0"/>
                      <w:cols w:space="720"/>
                      <w:docGrid w:linePitch="360"/>
                    </w:sectPr>
                  </w:pPr>
                </w:p>
                <w:p w:rsidR="00F04EEF" w:rsidRDefault="0099351E">
                  <w:pPr>
                    <w:pStyle w:val="Titre4"/>
                  </w:pPr>
                  <w:bookmarkStart w:id="1290" w:name="_Annexe_10_:_1"/>
                  <w:bookmarkStart w:id="1291" w:name="annexe10"/>
                  <w:bookmarkStart w:id="1292" w:name="_Toc412204102"/>
                  <w:bookmarkStart w:id="1293" w:name="_Toc414352910"/>
                  <w:bookmarkStart w:id="1294" w:name="_Toc453836933"/>
                  <w:bookmarkEnd w:id="1290"/>
                  <w:r>
                    <w:t>Annexe 7 </w:t>
                  </w:r>
                  <w:bookmarkEnd w:id="1291"/>
                  <w:r>
                    <w:t>: Coordonnées des Conseillers de l’Aide à la Jeunesse</w:t>
                  </w:r>
                  <w:bookmarkEnd w:id="1292"/>
                  <w:bookmarkEnd w:id="1293"/>
                  <w:bookmarkEnd w:id="1294"/>
                </w:p>
                <w:p w:rsidR="00F04EEF" w:rsidRDefault="0099351E">
                  <w:pPr>
                    <w:rPr>
                      <w:rFonts w:cs="Arial"/>
                    </w:rPr>
                  </w:pPr>
                  <w:r>
                    <w:rPr>
                      <w:rFonts w:cs="Arial"/>
                      <w:noProof/>
                      <w:lang w:eastAsia="fr-BE"/>
                    </w:rPr>
                    <mc:AlternateContent>
                      <mc:Choice Requires="wps">
                        <w:drawing>
                          <wp:anchor distT="0" distB="0" distL="114300" distR="114300" simplePos="0" relativeHeight="252189696" behindDoc="0" locked="0" layoutInCell="1" allowOverlap="1">
                            <wp:simplePos x="0" y="0"/>
                            <wp:positionH relativeFrom="column">
                              <wp:posOffset>6467475</wp:posOffset>
                            </wp:positionH>
                            <wp:positionV relativeFrom="paragraph">
                              <wp:posOffset>5022216</wp:posOffset>
                            </wp:positionV>
                            <wp:extent cx="0" cy="152400"/>
                            <wp:effectExtent l="0" t="0" r="19050" b="19050"/>
                            <wp:wrapNone/>
                            <wp:docPr id="41" name="Connecteur droit 41"/>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9983BCC" id="Connecteur droit 41" o:spid="_x0000_s1026" style="position:absolute;z-index:252189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9.25pt,395.45pt" to="509.25pt,40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" strokecolor="black [3213]"/>
                        </w:pict>
                      </mc:Fallback>
                    </mc:AlternateContent>
                  </w:r>
                  <w:r>
                    <w:rPr>
                      <w:rFonts w:cs="Arial"/>
                      <w:noProof/>
                      <w:lang w:eastAsia="fr-BE"/>
                    </w:rPr>
                    <mc:AlternateContent>
                      <mc:Choice Requires="wps">
                        <w:drawing>
                          <wp:anchor distT="0" distB="0" distL="114300" distR="114300" simplePos="0" relativeHeight="252187648" behindDoc="0" locked="0" layoutInCell="1" allowOverlap="1">
                            <wp:simplePos x="0" y="0"/>
                            <wp:positionH relativeFrom="column">
                              <wp:posOffset>6391275</wp:posOffset>
                            </wp:positionH>
                            <wp:positionV relativeFrom="paragraph">
                              <wp:posOffset>193040</wp:posOffset>
                            </wp:positionV>
                            <wp:extent cx="0" cy="314325"/>
                            <wp:effectExtent l="0" t="0" r="19050" b="28575"/>
                            <wp:wrapNone/>
                            <wp:docPr id="40" name="Connecteur droit 40"/>
                            <wp:cNvGraphicFramePr/>
                            <a:graphic xmlns:a="http://schemas.openxmlformats.org/drawingml/2006/main">
                              <a:graphicData uri="http://schemas.microsoft.com/office/word/2010/wordprocessingShape">
                                <wps:wsp>
                                  <wps:cNvCnPr/>
                                  <wps:spPr>
                                    <a:xfrm>
                                      <a:off x="0" y="0"/>
                                      <a:ext cx="0" cy="314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D412A1" id="Connecteur droit 40" o:spid="_x0000_s1026" style="position:absolute;z-index:252187648;visibility:visible;mso-wrap-style:square;mso-wrap-distance-left:9pt;mso-wrap-distance-top:0;mso-wrap-distance-right:9pt;mso-wrap-distance-bottom:0;mso-position-horizontal:absolute;mso-position-horizontal-relative:text;mso-position-vertical:absolute;mso-position-vertical-relative:text" from="503.25pt,15.2pt" to="503.25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" strokecolor="black [3213]"/>
                        </w:pict>
                      </mc:Fallback>
                    </mc:AlternateContent>
                  </w:r>
                </w:p>
                <w:tbl>
                  <w:tblPr>
                    <w:tblStyle w:val="Grilledutableau"/>
                    <w:tblW w:w="9634" w:type="dxa"/>
                    <w:tblLook w:val="04A0" w:firstRow="1" w:lastRow="0" w:firstColumn="1" w:lastColumn="0" w:noHBand="0" w:noVBand="1"/>
                  </w:tblPr>
                  <w:tblGrid>
                    <w:gridCol w:w="1271"/>
                    <w:gridCol w:w="3544"/>
                    <w:gridCol w:w="1398"/>
                    <w:gridCol w:w="3421"/>
                  </w:tblGrid>
                  <w:tr w:rsidR="00F04EEF">
                    <w:tc>
                      <w:tcPr>
                        <w:tcW w:w="1271" w:type="dxa"/>
                      </w:tcPr>
                      <w:p w:rsidR="00F04EEF" w:rsidRDefault="0099351E">
                        <w:pPr>
                          <w:rPr>
                            <w:b/>
                          </w:rPr>
                        </w:pPr>
                        <w:r>
                          <w:rPr>
                            <w:b/>
                          </w:rPr>
                          <w:t>SAJ d’Arlon</w:t>
                        </w:r>
                      </w:p>
                    </w:tc>
                    <w:tc>
                      <w:tcPr>
                        <w:tcW w:w="3544" w:type="dxa"/>
                      </w:tcPr>
                      <w:p w:rsidR="00F04EEF" w:rsidRDefault="0099351E">
                        <w:pPr>
                          <w:pStyle w:val="Corpsdetexte"/>
                          <w:pBdr>
                            <w:right w:val="single" w:sz="18" w:space="4" w:color="auto"/>
                          </w:pBdr>
                          <w:rPr>
                            <w:b w:val="0"/>
                            <w:bCs/>
                            <w:szCs w:val="22"/>
                          </w:rPr>
                        </w:pPr>
                        <w:r>
                          <w:rPr>
                            <w:b w:val="0"/>
                            <w:bCs/>
                            <w:szCs w:val="22"/>
                          </w:rPr>
                          <w:t>Madame Martine NOTHOMB</w:t>
                        </w:r>
                      </w:p>
                      <w:p w:rsidR="00F04EEF" w:rsidRDefault="0099351E">
                        <w:pPr>
                          <w:pStyle w:val="Corpsdetexte"/>
                          <w:pBdr>
                            <w:right w:val="single" w:sz="18" w:space="4" w:color="auto"/>
                          </w:pBdr>
                          <w:rPr>
                            <w:b w:val="0"/>
                            <w:bCs/>
                            <w:szCs w:val="22"/>
                          </w:rPr>
                        </w:pPr>
                        <w:r>
                          <w:rPr>
                            <w:b w:val="0"/>
                            <w:szCs w:val="22"/>
                          </w:rPr>
                          <w:t>Conseillère</w:t>
                        </w:r>
                        <w:r>
                          <w:rPr>
                            <w:b w:val="0"/>
                            <w:bCs/>
                            <w:szCs w:val="22"/>
                          </w:rPr>
                          <w:t xml:space="preserve"> de l’aide à la jeunesse</w:t>
                        </w:r>
                      </w:p>
                      <w:p w:rsidR="00F04EEF" w:rsidRDefault="0099351E">
                        <w:pPr>
                          <w:pStyle w:val="Corpsdetexte"/>
                          <w:pBdr>
                            <w:right w:val="single" w:sz="18" w:space="4" w:color="auto"/>
                          </w:pBdr>
                          <w:rPr>
                            <w:b w:val="0"/>
                            <w:bCs/>
                            <w:szCs w:val="22"/>
                          </w:rPr>
                        </w:pPr>
                        <w:r>
                          <w:rPr>
                            <w:b w:val="0"/>
                            <w:bCs/>
                            <w:szCs w:val="22"/>
                          </w:rPr>
                          <w:t xml:space="preserve">Rue de Sesselich, 59 </w:t>
                        </w:r>
                      </w:p>
                      <w:p w:rsidR="00F04EEF" w:rsidRDefault="0099351E">
                        <w:pPr>
                          <w:pStyle w:val="Corpsdetexte"/>
                          <w:pBdr>
                            <w:right w:val="single" w:sz="18" w:space="4" w:color="auto"/>
                          </w:pBdr>
                          <w:rPr>
                            <w:b w:val="0"/>
                            <w:bCs/>
                            <w:szCs w:val="22"/>
                          </w:rPr>
                        </w:pPr>
                        <w:r>
                          <w:rPr>
                            <w:b w:val="0"/>
                            <w:bCs/>
                            <w:szCs w:val="22"/>
                          </w:rPr>
                          <w:t>6700  ARLON</w:t>
                        </w:r>
                      </w:p>
                      <w:p w:rsidR="00F04EEF" w:rsidRDefault="0099351E">
                        <w:pPr>
                          <w:pStyle w:val="Corpsdetexte"/>
                          <w:rPr>
                            <w:b w:val="0"/>
                            <w:bCs/>
                            <w:szCs w:val="22"/>
                          </w:rPr>
                        </w:pPr>
                        <w:r>
                          <w:rPr>
                            <w:b w:val="0"/>
                            <w:szCs w:val="22"/>
                          </w:rPr>
                          <w:sym w:font="Wingdings" w:char="F028"/>
                        </w:r>
                        <w:r>
                          <w:rPr>
                            <w:b w:val="0"/>
                            <w:szCs w:val="22"/>
                          </w:rPr>
                          <w:t> </w:t>
                        </w:r>
                        <w:r>
                          <w:rPr>
                            <w:b w:val="0"/>
                            <w:bCs/>
                            <w:szCs w:val="22"/>
                          </w:rPr>
                          <w:t>: 063/22.19.93</w:t>
                        </w:r>
                      </w:p>
                      <w:p w:rsidR="00F04EEF" w:rsidRDefault="0099351E">
                        <w:pPr>
                          <w:pStyle w:val="Corpsdetexte"/>
                          <w:rPr>
                            <w:b w:val="0"/>
                            <w:szCs w:val="22"/>
                          </w:rPr>
                        </w:pPr>
                        <w:r>
                          <w:rPr>
                            <w:bCs/>
                            <w:szCs w:val="22"/>
                          </w:rPr>
                          <w:sym w:font="Wingdings" w:char="F03A"/>
                        </w:r>
                        <w:r>
                          <w:rPr>
                            <w:bCs/>
                            <w:szCs w:val="22"/>
                          </w:rPr>
                          <w:t xml:space="preserve"> : </w:t>
                        </w:r>
                        <w:hyperlink r:id="rId88" w:history="1">
                          <w:r>
                            <w:rPr>
                              <w:rStyle w:val="Lienhypertexte"/>
                              <w:b w:val="0"/>
                              <w:szCs w:val="22"/>
                            </w:rPr>
                            <w:t>saj.arlon@cfwb.be</w:t>
                          </w:r>
                        </w:hyperlink>
                      </w:p>
                    </w:tc>
                    <w:tc>
                      <w:tcPr>
                        <w:tcW w:w="1398" w:type="dxa"/>
                      </w:tcPr>
                      <w:p w:rsidR="00F04EEF" w:rsidRDefault="0099351E">
                        <w:pPr>
                          <w:rPr>
                            <w:b/>
                          </w:rPr>
                        </w:pPr>
                        <w:r>
                          <w:rPr>
                            <w:b/>
                          </w:rPr>
                          <w:t>SAJ de Bruxelles</w:t>
                        </w:r>
                      </w:p>
                    </w:tc>
                    <w:tc>
                      <w:tcPr>
                        <w:tcW w:w="3421" w:type="dxa"/>
                      </w:tcPr>
                      <w:p w:rsidR="00F04EEF" w:rsidRDefault="0099351E">
                        <w:pPr>
                          <w:pStyle w:val="Corpsdetexte"/>
                          <w:rPr>
                            <w:b w:val="0"/>
                            <w:bCs/>
                            <w:szCs w:val="22"/>
                          </w:rPr>
                        </w:pPr>
                        <w:r>
                          <w:rPr>
                            <w:b w:val="0"/>
                            <w:bCs/>
                            <w:szCs w:val="22"/>
                          </w:rPr>
                          <w:t>Madame Valérie LATAWIEC</w:t>
                        </w:r>
                      </w:p>
                      <w:p w:rsidR="00F04EEF" w:rsidRDefault="0099351E">
                        <w:pPr>
                          <w:pStyle w:val="Corpsdetexte"/>
                          <w:rPr>
                            <w:b w:val="0"/>
                            <w:bCs/>
                            <w:szCs w:val="22"/>
                          </w:rPr>
                        </w:pPr>
                        <w:r>
                          <w:rPr>
                            <w:b w:val="0"/>
                            <w:bCs/>
                            <w:szCs w:val="22"/>
                          </w:rPr>
                          <w:t>Conseillère de l’Aide à la Jeunesse</w:t>
                        </w:r>
                      </w:p>
                      <w:p w:rsidR="00F04EEF" w:rsidRDefault="0099351E">
                        <w:pPr>
                          <w:pStyle w:val="Corpsdetexte"/>
                          <w:rPr>
                            <w:b w:val="0"/>
                            <w:bCs/>
                            <w:szCs w:val="22"/>
                          </w:rPr>
                        </w:pPr>
                        <w:r>
                          <w:rPr>
                            <w:b w:val="0"/>
                            <w:bCs/>
                            <w:szCs w:val="22"/>
                          </w:rPr>
                          <w:t>Rue de Birmingham, 60</w:t>
                        </w:r>
                      </w:p>
                      <w:p w:rsidR="00F04EEF" w:rsidRDefault="0099351E">
                        <w:pPr>
                          <w:pStyle w:val="Corpsdetexte"/>
                          <w:rPr>
                            <w:b w:val="0"/>
                            <w:bCs/>
                            <w:szCs w:val="22"/>
                          </w:rPr>
                        </w:pPr>
                        <w:r>
                          <w:rPr>
                            <w:b w:val="0"/>
                            <w:bCs/>
                            <w:szCs w:val="22"/>
                          </w:rPr>
                          <w:t>1080 MOLENBEEK-SAINT-JEAN</w:t>
                        </w:r>
                      </w:p>
                      <w:p w:rsidR="00F04EEF" w:rsidRDefault="0099351E">
                        <w:pPr>
                          <w:pStyle w:val="Corpsdetexte"/>
                          <w:rPr>
                            <w:b w:val="0"/>
                            <w:bCs/>
                            <w:szCs w:val="22"/>
                          </w:rPr>
                        </w:pPr>
                        <w:r>
                          <w:rPr>
                            <w:b w:val="0"/>
                            <w:szCs w:val="22"/>
                          </w:rPr>
                          <w:sym w:font="Wingdings" w:char="F028"/>
                        </w:r>
                        <w:r>
                          <w:rPr>
                            <w:b w:val="0"/>
                            <w:szCs w:val="22"/>
                          </w:rPr>
                          <w:t xml:space="preserve"> : </w:t>
                        </w:r>
                        <w:r>
                          <w:rPr>
                            <w:b w:val="0"/>
                            <w:bCs/>
                            <w:szCs w:val="22"/>
                          </w:rPr>
                          <w:t>02/413.39.18</w:t>
                        </w:r>
                      </w:p>
                      <w:p w:rsidR="00F04EEF" w:rsidRDefault="0099351E">
                        <w:pPr>
                          <w:pStyle w:val="Corpsdetexte"/>
                          <w:rPr>
                            <w:b w:val="0"/>
                            <w:bCs/>
                            <w:szCs w:val="22"/>
                          </w:rPr>
                        </w:pPr>
                        <w:r>
                          <w:rPr>
                            <w:bCs/>
                            <w:szCs w:val="22"/>
                          </w:rPr>
                          <w:sym w:font="Wingdings" w:char="F03A"/>
                        </w:r>
                        <w:r>
                          <w:rPr>
                            <w:bCs/>
                            <w:szCs w:val="22"/>
                          </w:rPr>
                          <w:t xml:space="preserve"> : </w:t>
                        </w:r>
                        <w:hyperlink r:id="rId89" w:history="1">
                          <w:r>
                            <w:rPr>
                              <w:rStyle w:val="Lienhypertexte"/>
                              <w:b w:val="0"/>
                              <w:szCs w:val="22"/>
                              <w:lang w:val="pt-PT"/>
                            </w:rPr>
                            <w:t>saj.bruxelles@cfwb.be</w:t>
                          </w:r>
                        </w:hyperlink>
                      </w:p>
                    </w:tc>
                  </w:tr>
                  <w:tr w:rsidR="00F04EEF">
                    <w:tc>
                      <w:tcPr>
                        <w:tcW w:w="1271" w:type="dxa"/>
                      </w:tcPr>
                      <w:p w:rsidR="00F04EEF" w:rsidRDefault="0099351E">
                        <w:pPr>
                          <w:rPr>
                            <w:b/>
                          </w:rPr>
                        </w:pPr>
                        <w:r>
                          <w:rPr>
                            <w:b/>
                            <w:lang w:val="pt-PT"/>
                          </w:rPr>
                          <w:t>SAJ de Charleroi</w:t>
                        </w:r>
                      </w:p>
                    </w:tc>
                    <w:tc>
                      <w:tcPr>
                        <w:tcW w:w="3544" w:type="dxa"/>
                      </w:tcPr>
                      <w:p w:rsidR="00F04EEF" w:rsidRDefault="0099351E">
                        <w:pPr>
                          <w:pStyle w:val="Corpsdetexte"/>
                          <w:rPr>
                            <w:b w:val="0"/>
                            <w:bCs/>
                            <w:szCs w:val="22"/>
                            <w:lang w:val="pt-PT"/>
                          </w:rPr>
                        </w:pPr>
                        <w:r>
                          <w:rPr>
                            <w:b w:val="0"/>
                            <w:bCs/>
                            <w:szCs w:val="22"/>
                            <w:lang w:val="pt-PT"/>
                          </w:rPr>
                          <w:t>Madame Lydia LA CORTE</w:t>
                        </w:r>
                      </w:p>
                      <w:p w:rsidR="00F04EEF" w:rsidRDefault="0099351E">
                        <w:pPr>
                          <w:pStyle w:val="Corpsdetexte"/>
                          <w:rPr>
                            <w:b w:val="0"/>
                            <w:szCs w:val="22"/>
                          </w:rPr>
                        </w:pPr>
                        <w:r>
                          <w:rPr>
                            <w:b w:val="0"/>
                            <w:szCs w:val="22"/>
                          </w:rPr>
                          <w:t>Conseillère de l’aide à la jeunesse</w:t>
                        </w:r>
                      </w:p>
                      <w:p w:rsidR="00F04EEF" w:rsidRDefault="0099351E">
                        <w:pPr>
                          <w:pStyle w:val="Corpsdetexte"/>
                          <w:rPr>
                            <w:b w:val="0"/>
                            <w:bCs/>
                            <w:szCs w:val="22"/>
                          </w:rPr>
                        </w:pPr>
                        <w:r>
                          <w:rPr>
                            <w:b w:val="0"/>
                            <w:bCs/>
                            <w:szCs w:val="22"/>
                          </w:rPr>
                          <w:t>rue de la Rivelaine, 7</w:t>
                        </w:r>
                      </w:p>
                      <w:p w:rsidR="00F04EEF" w:rsidRDefault="0099351E">
                        <w:pPr>
                          <w:pStyle w:val="Corpsdetexte"/>
                          <w:rPr>
                            <w:b w:val="0"/>
                            <w:bCs/>
                            <w:szCs w:val="22"/>
                          </w:rPr>
                        </w:pPr>
                        <w:r>
                          <w:rPr>
                            <w:b w:val="0"/>
                            <w:bCs/>
                            <w:szCs w:val="22"/>
                          </w:rPr>
                          <w:t>Site St-Charles</w:t>
                        </w:r>
                      </w:p>
                      <w:p w:rsidR="00F04EEF" w:rsidRDefault="0099351E">
                        <w:pPr>
                          <w:pStyle w:val="Corpsdetexte"/>
                          <w:widowControl/>
                          <w:numPr>
                            <w:ilvl w:val="0"/>
                            <w:numId w:val="77"/>
                          </w:numPr>
                          <w:tabs>
                            <w:tab w:val="left" w:pos="540"/>
                          </w:tabs>
                          <w:ind w:left="540" w:hanging="540"/>
                          <w:rPr>
                            <w:b w:val="0"/>
                            <w:bCs/>
                            <w:caps/>
                            <w:szCs w:val="22"/>
                          </w:rPr>
                        </w:pPr>
                        <w:r>
                          <w:rPr>
                            <w:b w:val="0"/>
                            <w:bCs/>
                            <w:szCs w:val="22"/>
                          </w:rPr>
                          <w:t xml:space="preserve"> MONTIGNIES-</w:t>
                        </w:r>
                        <w:r>
                          <w:rPr>
                            <w:b w:val="0"/>
                            <w:bCs/>
                            <w:caps/>
                            <w:szCs w:val="22"/>
                          </w:rPr>
                          <w:t>sur-Sambre</w:t>
                        </w:r>
                      </w:p>
                      <w:p w:rsidR="00F04EEF" w:rsidRDefault="0099351E">
                        <w:pPr>
                          <w:pStyle w:val="Corpsdetexte"/>
                          <w:rPr>
                            <w:b w:val="0"/>
                            <w:bCs/>
                            <w:szCs w:val="22"/>
                          </w:rPr>
                        </w:pPr>
                        <w:r>
                          <w:rPr>
                            <w:b w:val="0"/>
                            <w:szCs w:val="22"/>
                          </w:rPr>
                          <w:sym w:font="Wingdings" w:char="F028"/>
                        </w:r>
                        <w:r>
                          <w:rPr>
                            <w:b w:val="0"/>
                            <w:szCs w:val="22"/>
                          </w:rPr>
                          <w:t xml:space="preserve"> : </w:t>
                        </w:r>
                        <w:r>
                          <w:rPr>
                            <w:b w:val="0"/>
                            <w:bCs/>
                            <w:szCs w:val="22"/>
                          </w:rPr>
                          <w:t>071/896 011</w:t>
                        </w:r>
                      </w:p>
                      <w:p w:rsidR="00F04EEF" w:rsidRDefault="0099351E">
                        <w:pPr>
                          <w:pStyle w:val="Corpsdetexte"/>
                          <w:rPr>
                            <w:b w:val="0"/>
                            <w:bCs/>
                            <w:szCs w:val="22"/>
                          </w:rPr>
                        </w:pPr>
                        <w:r>
                          <w:rPr>
                            <w:bCs/>
                            <w:szCs w:val="22"/>
                          </w:rPr>
                          <w:sym w:font="Wingdings" w:char="F03A"/>
                        </w:r>
                        <w:r>
                          <w:rPr>
                            <w:bCs/>
                            <w:szCs w:val="22"/>
                          </w:rPr>
                          <w:t xml:space="preserve"> : </w:t>
                        </w:r>
                        <w:hyperlink r:id="rId90" w:history="1">
                          <w:r>
                            <w:rPr>
                              <w:rStyle w:val="Lienhypertexte"/>
                              <w:b w:val="0"/>
                              <w:szCs w:val="22"/>
                            </w:rPr>
                            <w:t>saj.charleroi@cfwb.be</w:t>
                          </w:r>
                        </w:hyperlink>
                      </w:p>
                    </w:tc>
                    <w:tc>
                      <w:tcPr>
                        <w:tcW w:w="1398" w:type="dxa"/>
                      </w:tcPr>
                      <w:p w:rsidR="00F04EEF" w:rsidRDefault="0099351E">
                        <w:pPr>
                          <w:rPr>
                            <w:b/>
                          </w:rPr>
                        </w:pPr>
                        <w:r>
                          <w:rPr>
                            <w:b/>
                          </w:rPr>
                          <w:t>SAJ de Dinant</w:t>
                        </w:r>
                      </w:p>
                    </w:tc>
                    <w:tc>
                      <w:tcPr>
                        <w:tcW w:w="3421" w:type="dxa"/>
                      </w:tcPr>
                      <w:p w:rsidR="00F04EEF" w:rsidRDefault="0099351E">
                        <w:pPr>
                          <w:pStyle w:val="Corpsdetexte"/>
                          <w:rPr>
                            <w:b w:val="0"/>
                            <w:bCs/>
                            <w:szCs w:val="22"/>
                          </w:rPr>
                        </w:pPr>
                        <w:r>
                          <w:rPr>
                            <w:b w:val="0"/>
                            <w:bCs/>
                            <w:szCs w:val="22"/>
                          </w:rPr>
                          <w:t xml:space="preserve">Madame Joëlle SCARNIERE </w:t>
                        </w:r>
                      </w:p>
                      <w:p w:rsidR="00F04EEF" w:rsidRDefault="0099351E">
                        <w:pPr>
                          <w:pStyle w:val="Corpsdetexte"/>
                          <w:rPr>
                            <w:b w:val="0"/>
                            <w:bCs/>
                            <w:szCs w:val="22"/>
                          </w:rPr>
                        </w:pPr>
                        <w:r>
                          <w:rPr>
                            <w:b w:val="0"/>
                            <w:szCs w:val="22"/>
                          </w:rPr>
                          <w:t>Conseillère de l’aide à la jeunesse</w:t>
                        </w:r>
                      </w:p>
                      <w:p w:rsidR="00F04EEF" w:rsidRDefault="0099351E">
                        <w:pPr>
                          <w:pStyle w:val="Corpsdetexte"/>
                          <w:rPr>
                            <w:b w:val="0"/>
                            <w:szCs w:val="22"/>
                          </w:rPr>
                        </w:pPr>
                        <w:r>
                          <w:rPr>
                            <w:b w:val="0"/>
                            <w:bCs/>
                            <w:szCs w:val="22"/>
                          </w:rPr>
                          <w:t>Rue Grande 62/5</w:t>
                        </w:r>
                      </w:p>
                      <w:p w:rsidR="00F04EEF" w:rsidRDefault="0099351E">
                        <w:pPr>
                          <w:pStyle w:val="Corpsdetexte"/>
                          <w:rPr>
                            <w:b w:val="0"/>
                            <w:bCs/>
                            <w:szCs w:val="22"/>
                          </w:rPr>
                        </w:pPr>
                        <w:r>
                          <w:rPr>
                            <w:b w:val="0"/>
                            <w:bCs/>
                            <w:szCs w:val="22"/>
                          </w:rPr>
                          <w:t>5500   DINANT</w:t>
                        </w:r>
                      </w:p>
                      <w:p w:rsidR="00F04EEF" w:rsidRDefault="0099351E">
                        <w:pPr>
                          <w:pStyle w:val="Corpsdetexte"/>
                          <w:rPr>
                            <w:b w:val="0"/>
                            <w:bCs/>
                            <w:szCs w:val="22"/>
                          </w:rPr>
                        </w:pPr>
                        <w:r>
                          <w:rPr>
                            <w:b w:val="0"/>
                            <w:szCs w:val="22"/>
                          </w:rPr>
                          <w:sym w:font="Wingdings" w:char="F028"/>
                        </w:r>
                        <w:r>
                          <w:rPr>
                            <w:b w:val="0"/>
                            <w:szCs w:val="22"/>
                          </w:rPr>
                          <w:t> </w:t>
                        </w:r>
                        <w:r>
                          <w:rPr>
                            <w:b w:val="0"/>
                            <w:bCs/>
                            <w:szCs w:val="22"/>
                          </w:rPr>
                          <w:t>: 082/22.43.88</w:t>
                        </w:r>
                      </w:p>
                      <w:p w:rsidR="00F04EEF" w:rsidRDefault="0099351E">
                        <w:pPr>
                          <w:pStyle w:val="Corpsdetexte"/>
                          <w:rPr>
                            <w:b w:val="0"/>
                            <w:bCs/>
                            <w:szCs w:val="22"/>
                          </w:rPr>
                        </w:pPr>
                        <w:r>
                          <w:rPr>
                            <w:bCs/>
                            <w:szCs w:val="22"/>
                          </w:rPr>
                          <w:sym w:font="Wingdings" w:char="F03A"/>
                        </w:r>
                        <w:r>
                          <w:rPr>
                            <w:bCs/>
                            <w:szCs w:val="22"/>
                          </w:rPr>
                          <w:t xml:space="preserve"> : </w:t>
                        </w:r>
                        <w:hyperlink r:id="rId91" w:history="1">
                          <w:r>
                            <w:rPr>
                              <w:rStyle w:val="Lienhypertexte"/>
                              <w:b w:val="0"/>
                              <w:szCs w:val="22"/>
                            </w:rPr>
                            <w:t>saj.dinant@cfwb.be</w:t>
                          </w:r>
                        </w:hyperlink>
                      </w:p>
                      <w:p w:rsidR="00F04EEF" w:rsidRDefault="00F04EEF">
                        <w:pPr>
                          <w:pStyle w:val="Corpsdetexte"/>
                          <w:rPr>
                            <w:b w:val="0"/>
                            <w:bCs/>
                            <w:szCs w:val="22"/>
                          </w:rPr>
                        </w:pPr>
                      </w:p>
                    </w:tc>
                  </w:tr>
                  <w:tr w:rsidR="00F04EEF">
                    <w:tc>
                      <w:tcPr>
                        <w:tcW w:w="1271" w:type="dxa"/>
                      </w:tcPr>
                      <w:p w:rsidR="00F04EEF" w:rsidRDefault="0099351E">
                        <w:pPr>
                          <w:rPr>
                            <w:b/>
                          </w:rPr>
                        </w:pPr>
                        <w:r>
                          <w:rPr>
                            <w:b/>
                          </w:rPr>
                          <w:t>SAJ de Huy</w:t>
                        </w:r>
                      </w:p>
                    </w:tc>
                    <w:tc>
                      <w:tcPr>
                        <w:tcW w:w="3544" w:type="dxa"/>
                      </w:tcPr>
                      <w:p w:rsidR="00F04EEF" w:rsidRDefault="0099351E">
                        <w:pPr>
                          <w:pStyle w:val="Corpsdetexte"/>
                          <w:rPr>
                            <w:b w:val="0"/>
                            <w:bCs/>
                            <w:szCs w:val="22"/>
                          </w:rPr>
                        </w:pPr>
                        <w:r>
                          <w:rPr>
                            <w:b w:val="0"/>
                            <w:bCs/>
                            <w:szCs w:val="22"/>
                          </w:rPr>
                          <w:t>Madame Isabelle WALHAIN</w:t>
                        </w:r>
                      </w:p>
                      <w:p w:rsidR="00F04EEF" w:rsidRDefault="0099351E">
                        <w:pPr>
                          <w:pStyle w:val="Corpsdetexte"/>
                          <w:rPr>
                            <w:b w:val="0"/>
                            <w:szCs w:val="22"/>
                          </w:rPr>
                        </w:pPr>
                        <w:r>
                          <w:rPr>
                            <w:b w:val="0"/>
                            <w:szCs w:val="22"/>
                          </w:rPr>
                          <w:t>Conseillère de l’aide à la jeunesse</w:t>
                        </w:r>
                      </w:p>
                      <w:p w:rsidR="00F04EEF" w:rsidRDefault="0099351E">
                        <w:pPr>
                          <w:pStyle w:val="Corpsdetexte"/>
                          <w:rPr>
                            <w:b w:val="0"/>
                            <w:bCs/>
                            <w:szCs w:val="22"/>
                          </w:rPr>
                        </w:pPr>
                        <w:r>
                          <w:rPr>
                            <w:b w:val="0"/>
                            <w:bCs/>
                            <w:szCs w:val="22"/>
                          </w:rPr>
                          <w:t>Avenue du Condroz, 3/1</w:t>
                        </w:r>
                      </w:p>
                      <w:p w:rsidR="00F04EEF" w:rsidRDefault="0099351E">
                        <w:pPr>
                          <w:pStyle w:val="Corpsdetexte"/>
                          <w:rPr>
                            <w:b w:val="0"/>
                            <w:bCs/>
                            <w:szCs w:val="22"/>
                          </w:rPr>
                        </w:pPr>
                        <w:r>
                          <w:rPr>
                            <w:b w:val="0"/>
                            <w:bCs/>
                            <w:szCs w:val="22"/>
                          </w:rPr>
                          <w:t>1</w:t>
                        </w:r>
                        <w:r>
                          <w:rPr>
                            <w:b w:val="0"/>
                            <w:bCs/>
                            <w:szCs w:val="22"/>
                            <w:vertAlign w:val="superscript"/>
                          </w:rPr>
                          <w:t>er</w:t>
                        </w:r>
                        <w:r>
                          <w:rPr>
                            <w:b w:val="0"/>
                            <w:bCs/>
                            <w:szCs w:val="22"/>
                          </w:rPr>
                          <w:t xml:space="preserve"> et 2</w:t>
                        </w:r>
                        <w:r>
                          <w:rPr>
                            <w:b w:val="0"/>
                            <w:bCs/>
                            <w:szCs w:val="22"/>
                            <w:vertAlign w:val="superscript"/>
                          </w:rPr>
                          <w:t>ème</w:t>
                        </w:r>
                        <w:r>
                          <w:rPr>
                            <w:b w:val="0"/>
                            <w:bCs/>
                            <w:szCs w:val="22"/>
                          </w:rPr>
                          <w:t xml:space="preserve"> étage</w:t>
                        </w:r>
                      </w:p>
                      <w:p w:rsidR="00F04EEF" w:rsidRDefault="0099351E">
                        <w:pPr>
                          <w:pStyle w:val="Corpsdetexte"/>
                          <w:rPr>
                            <w:b w:val="0"/>
                            <w:bCs/>
                            <w:szCs w:val="22"/>
                            <w:lang w:val="es-ES_tradnl"/>
                          </w:rPr>
                        </w:pPr>
                        <w:r>
                          <w:rPr>
                            <w:b w:val="0"/>
                            <w:bCs/>
                            <w:szCs w:val="22"/>
                            <w:lang w:val="es-ES_tradnl"/>
                          </w:rPr>
                          <w:t>4500  HUY</w:t>
                        </w:r>
                      </w:p>
                      <w:p w:rsidR="00F04EEF" w:rsidRDefault="0099351E">
                        <w:pPr>
                          <w:pStyle w:val="Corpsdetexte"/>
                          <w:rPr>
                            <w:b w:val="0"/>
                            <w:bCs/>
                            <w:szCs w:val="22"/>
                            <w:lang w:val="es-ES_tradnl"/>
                          </w:rPr>
                        </w:pPr>
                        <w:r>
                          <w:rPr>
                            <w:b w:val="0"/>
                            <w:szCs w:val="22"/>
                          </w:rPr>
                          <w:sym w:font="Wingdings" w:char="F028"/>
                        </w:r>
                        <w:r>
                          <w:rPr>
                            <w:b w:val="0"/>
                            <w:szCs w:val="22"/>
                            <w:lang w:val="es-ES_tradnl"/>
                          </w:rPr>
                          <w:t xml:space="preserve"> : </w:t>
                        </w:r>
                        <w:r>
                          <w:rPr>
                            <w:b w:val="0"/>
                            <w:bCs/>
                            <w:szCs w:val="22"/>
                            <w:lang w:val="es-ES_tradnl"/>
                          </w:rPr>
                          <w:t>085/ 27.86.40</w:t>
                        </w:r>
                      </w:p>
                      <w:p w:rsidR="00F04EEF" w:rsidRDefault="0099351E">
                        <w:pPr>
                          <w:pStyle w:val="Corpsdetexte"/>
                          <w:rPr>
                            <w:b w:val="0"/>
                            <w:bCs/>
                            <w:szCs w:val="22"/>
                            <w:lang w:val="es-ES_tradnl"/>
                          </w:rPr>
                        </w:pPr>
                        <w:r>
                          <w:rPr>
                            <w:bCs/>
                            <w:szCs w:val="22"/>
                          </w:rPr>
                          <w:sym w:font="Wingdings" w:char="F03A"/>
                        </w:r>
                        <w:r>
                          <w:rPr>
                            <w:bCs/>
                            <w:szCs w:val="22"/>
                            <w:lang w:val="es-ES_tradnl"/>
                          </w:rPr>
                          <w:t xml:space="preserve"> : </w:t>
                        </w:r>
                        <w:hyperlink r:id="rId92" w:history="1">
                          <w:r>
                            <w:rPr>
                              <w:rStyle w:val="Lienhypertexte"/>
                              <w:b w:val="0"/>
                              <w:szCs w:val="22"/>
                              <w:lang w:val="es-ES_tradnl"/>
                            </w:rPr>
                            <w:t>saj.huy@cfwb.be</w:t>
                          </w:r>
                        </w:hyperlink>
                      </w:p>
                    </w:tc>
                    <w:tc>
                      <w:tcPr>
                        <w:tcW w:w="1398" w:type="dxa"/>
                      </w:tcPr>
                      <w:p w:rsidR="00F04EEF" w:rsidRDefault="0099351E">
                        <w:pPr>
                          <w:rPr>
                            <w:b/>
                          </w:rPr>
                        </w:pPr>
                        <w:r>
                          <w:rPr>
                            <w:b/>
                          </w:rPr>
                          <w:t>SAJ de Nivelles</w:t>
                        </w:r>
                      </w:p>
                    </w:tc>
                    <w:tc>
                      <w:tcPr>
                        <w:tcW w:w="3421" w:type="dxa"/>
                      </w:tcPr>
                      <w:p w:rsidR="00F04EEF" w:rsidRDefault="0099351E">
                        <w:pPr>
                          <w:pStyle w:val="Corpsdetexte"/>
                          <w:rPr>
                            <w:b w:val="0"/>
                            <w:szCs w:val="22"/>
                          </w:rPr>
                        </w:pPr>
                        <w:r>
                          <w:rPr>
                            <w:b w:val="0"/>
                            <w:szCs w:val="22"/>
                          </w:rPr>
                          <w:t>Madame Thérèse BINCZYK</w:t>
                        </w:r>
                      </w:p>
                      <w:p w:rsidR="00F04EEF" w:rsidRDefault="0099351E">
                        <w:pPr>
                          <w:pStyle w:val="Corpsdetexte"/>
                          <w:rPr>
                            <w:b w:val="0"/>
                            <w:bCs/>
                            <w:szCs w:val="22"/>
                          </w:rPr>
                        </w:pPr>
                        <w:r>
                          <w:rPr>
                            <w:b w:val="0"/>
                            <w:bCs/>
                            <w:szCs w:val="22"/>
                          </w:rPr>
                          <w:t>Conseillère f.f. de l’aide à la jeunesse</w:t>
                        </w:r>
                      </w:p>
                      <w:p w:rsidR="00F04EEF" w:rsidRDefault="0099351E">
                        <w:pPr>
                          <w:pStyle w:val="Corpsdetexte"/>
                          <w:rPr>
                            <w:b w:val="0"/>
                            <w:szCs w:val="22"/>
                          </w:rPr>
                        </w:pPr>
                        <w:r>
                          <w:rPr>
                            <w:b w:val="0"/>
                            <w:szCs w:val="22"/>
                          </w:rPr>
                          <w:t>Chée de Nivelles, 81</w:t>
                        </w:r>
                        <w:r>
                          <w:rPr>
                            <w:b w:val="0"/>
                            <w:szCs w:val="22"/>
                          </w:rPr>
                          <w:br/>
                          <w:t>1420 BRAINE-L’ALLEUD</w:t>
                        </w:r>
                      </w:p>
                      <w:p w:rsidR="00F04EEF" w:rsidRDefault="0099351E">
                        <w:pPr>
                          <w:pStyle w:val="Corpsdetexte"/>
                          <w:rPr>
                            <w:b w:val="0"/>
                            <w:bCs/>
                            <w:szCs w:val="22"/>
                          </w:rPr>
                        </w:pPr>
                        <w:r>
                          <w:rPr>
                            <w:b w:val="0"/>
                            <w:szCs w:val="22"/>
                          </w:rPr>
                          <w:sym w:font="Wingdings" w:char="F028"/>
                        </w:r>
                        <w:r>
                          <w:rPr>
                            <w:b w:val="0"/>
                            <w:szCs w:val="22"/>
                          </w:rPr>
                          <w:t xml:space="preserve"> : </w:t>
                        </w:r>
                        <w:r>
                          <w:rPr>
                            <w:b w:val="0"/>
                            <w:bCs/>
                            <w:szCs w:val="22"/>
                          </w:rPr>
                          <w:t>067/ 89.59.60</w:t>
                        </w:r>
                      </w:p>
                      <w:p w:rsidR="00F04EEF" w:rsidRDefault="0099351E">
                        <w:pPr>
                          <w:pStyle w:val="Corpsdetexte"/>
                          <w:rPr>
                            <w:b w:val="0"/>
                            <w:bCs/>
                            <w:szCs w:val="22"/>
                          </w:rPr>
                        </w:pPr>
                        <w:r>
                          <w:rPr>
                            <w:bCs/>
                            <w:szCs w:val="22"/>
                          </w:rPr>
                          <w:sym w:font="Wingdings" w:char="F03A"/>
                        </w:r>
                        <w:r>
                          <w:rPr>
                            <w:bCs/>
                            <w:szCs w:val="22"/>
                          </w:rPr>
                          <w:t xml:space="preserve"> : </w:t>
                        </w:r>
                        <w:hyperlink r:id="rId93" w:history="1">
                          <w:r>
                            <w:rPr>
                              <w:rStyle w:val="Lienhypertexte"/>
                              <w:b w:val="0"/>
                              <w:szCs w:val="22"/>
                            </w:rPr>
                            <w:t>saj.nivelles@cfwb.be</w:t>
                          </w:r>
                        </w:hyperlink>
                      </w:p>
                      <w:p w:rsidR="00F04EEF" w:rsidRDefault="00F04EEF">
                        <w:pPr>
                          <w:pStyle w:val="Corpsdetexte"/>
                          <w:rPr>
                            <w:b w:val="0"/>
                            <w:bCs/>
                            <w:szCs w:val="22"/>
                          </w:rPr>
                        </w:pPr>
                      </w:p>
                    </w:tc>
                  </w:tr>
                  <w:tr w:rsidR="00F04EEF">
                    <w:tc>
                      <w:tcPr>
                        <w:tcW w:w="1271" w:type="dxa"/>
                      </w:tcPr>
                      <w:p w:rsidR="00F04EEF" w:rsidRDefault="0099351E">
                        <w:pPr>
                          <w:rPr>
                            <w:b/>
                          </w:rPr>
                        </w:pPr>
                        <w:r>
                          <w:rPr>
                            <w:b/>
                          </w:rPr>
                          <w:t>SAJ de Verviers</w:t>
                        </w:r>
                      </w:p>
                    </w:tc>
                    <w:tc>
                      <w:tcPr>
                        <w:tcW w:w="3544" w:type="dxa"/>
                      </w:tcPr>
                      <w:p w:rsidR="00F04EEF" w:rsidRDefault="0099351E">
                        <w:pPr>
                          <w:pStyle w:val="Corpsdetexte"/>
                          <w:pBdr>
                            <w:right w:val="single" w:sz="18" w:space="4" w:color="auto"/>
                          </w:pBdr>
                          <w:rPr>
                            <w:b w:val="0"/>
                            <w:bCs/>
                            <w:szCs w:val="22"/>
                          </w:rPr>
                        </w:pPr>
                        <w:r>
                          <w:rPr>
                            <w:b w:val="0"/>
                            <w:bCs/>
                            <w:szCs w:val="22"/>
                          </w:rPr>
                          <w:t>Conseiller de l’aide à la jeunesse</w:t>
                        </w:r>
                      </w:p>
                      <w:p w:rsidR="00F04EEF" w:rsidRDefault="0099351E">
                        <w:pPr>
                          <w:pStyle w:val="Corpsdetexte"/>
                          <w:pBdr>
                            <w:right w:val="single" w:sz="18" w:space="4" w:color="auto"/>
                          </w:pBdr>
                          <w:rPr>
                            <w:b w:val="0"/>
                            <w:szCs w:val="22"/>
                          </w:rPr>
                        </w:pPr>
                        <w:r>
                          <w:rPr>
                            <w:b w:val="0"/>
                            <w:szCs w:val="22"/>
                          </w:rPr>
                          <w:t>Rue de Dinant 13-15</w:t>
                        </w:r>
                      </w:p>
                      <w:p w:rsidR="00F04EEF" w:rsidRDefault="0099351E">
                        <w:pPr>
                          <w:pStyle w:val="Corpsdetexte"/>
                          <w:pBdr>
                            <w:right w:val="single" w:sz="18" w:space="4" w:color="auto"/>
                          </w:pBdr>
                          <w:rPr>
                            <w:b w:val="0"/>
                            <w:szCs w:val="22"/>
                          </w:rPr>
                        </w:pPr>
                        <w:r>
                          <w:rPr>
                            <w:b w:val="0"/>
                            <w:szCs w:val="22"/>
                          </w:rPr>
                          <w:t>4800  VERVIERS</w:t>
                        </w:r>
                      </w:p>
                      <w:p w:rsidR="00F04EEF" w:rsidRDefault="0099351E">
                        <w:pPr>
                          <w:pStyle w:val="Corpsdetexte"/>
                          <w:pBdr>
                            <w:right w:val="single" w:sz="18" w:space="4" w:color="auto"/>
                          </w:pBdr>
                          <w:rPr>
                            <w:b w:val="0"/>
                            <w:bCs/>
                            <w:szCs w:val="22"/>
                          </w:rPr>
                        </w:pPr>
                        <w:r>
                          <w:rPr>
                            <w:b w:val="0"/>
                            <w:szCs w:val="22"/>
                          </w:rPr>
                          <w:sym w:font="Wingdings" w:char="F028"/>
                        </w:r>
                        <w:r>
                          <w:rPr>
                            <w:b w:val="0"/>
                            <w:szCs w:val="22"/>
                          </w:rPr>
                          <w:t xml:space="preserve"> : </w:t>
                        </w:r>
                        <w:r>
                          <w:rPr>
                            <w:b w:val="0"/>
                            <w:bCs/>
                            <w:szCs w:val="22"/>
                          </w:rPr>
                          <w:t>087/ 29.95.00</w:t>
                        </w:r>
                      </w:p>
                      <w:p w:rsidR="00F04EEF" w:rsidRDefault="0099351E">
                        <w:pPr>
                          <w:pStyle w:val="Corpsdetexte"/>
                          <w:pBdr>
                            <w:right w:val="single" w:sz="18" w:space="4" w:color="auto"/>
                          </w:pBdr>
                          <w:rPr>
                            <w:b w:val="0"/>
                            <w:bCs/>
                            <w:szCs w:val="22"/>
                          </w:rPr>
                        </w:pPr>
                        <w:r>
                          <w:rPr>
                            <w:bCs/>
                            <w:szCs w:val="22"/>
                          </w:rPr>
                          <w:sym w:font="Wingdings" w:char="F03A"/>
                        </w:r>
                        <w:r>
                          <w:rPr>
                            <w:bCs/>
                            <w:szCs w:val="22"/>
                          </w:rPr>
                          <w:t xml:space="preserve"> : </w:t>
                        </w:r>
                        <w:hyperlink r:id="rId94" w:history="1">
                          <w:r>
                            <w:rPr>
                              <w:rStyle w:val="Lienhypertexte"/>
                              <w:b w:val="0"/>
                              <w:szCs w:val="22"/>
                            </w:rPr>
                            <w:t>saj.verviers@cfwb.be</w:t>
                          </w:r>
                        </w:hyperlink>
                      </w:p>
                    </w:tc>
                    <w:tc>
                      <w:tcPr>
                        <w:tcW w:w="1398" w:type="dxa"/>
                      </w:tcPr>
                      <w:p w:rsidR="00F04EEF" w:rsidRDefault="0099351E">
                        <w:pPr>
                          <w:rPr>
                            <w:b/>
                          </w:rPr>
                        </w:pPr>
                        <w:r>
                          <w:rPr>
                            <w:b/>
                            <w:lang w:val="pt-PT"/>
                          </w:rPr>
                          <w:t>SAJ de Liège</w:t>
                        </w:r>
                      </w:p>
                    </w:tc>
                    <w:tc>
                      <w:tcPr>
                        <w:tcW w:w="3421" w:type="dxa"/>
                      </w:tcPr>
                      <w:p w:rsidR="00F04EEF" w:rsidRDefault="0099351E">
                        <w:pPr>
                          <w:pStyle w:val="Corpsdetexte"/>
                          <w:rPr>
                            <w:b w:val="0"/>
                            <w:bCs/>
                            <w:szCs w:val="22"/>
                          </w:rPr>
                        </w:pPr>
                        <w:r>
                          <w:rPr>
                            <w:b w:val="0"/>
                            <w:bCs/>
                            <w:szCs w:val="22"/>
                          </w:rPr>
                          <w:t>Conseiller de l’aide à la jeunesse</w:t>
                        </w:r>
                      </w:p>
                      <w:p w:rsidR="00F04EEF" w:rsidRDefault="0099351E">
                        <w:pPr>
                          <w:pStyle w:val="Corpsdetexte"/>
                          <w:rPr>
                            <w:b w:val="0"/>
                            <w:szCs w:val="22"/>
                          </w:rPr>
                        </w:pPr>
                        <w:r>
                          <w:rPr>
                            <w:b w:val="0"/>
                            <w:szCs w:val="22"/>
                          </w:rPr>
                          <w:t>Place Xavier Neujean, 1</w:t>
                        </w:r>
                      </w:p>
                      <w:p w:rsidR="00F04EEF" w:rsidRDefault="0099351E">
                        <w:pPr>
                          <w:pStyle w:val="Corpsdetexte"/>
                          <w:rPr>
                            <w:b w:val="0"/>
                            <w:bCs/>
                            <w:caps/>
                            <w:szCs w:val="22"/>
                          </w:rPr>
                        </w:pPr>
                        <w:r>
                          <w:rPr>
                            <w:b w:val="0"/>
                            <w:bCs/>
                            <w:caps/>
                            <w:szCs w:val="22"/>
                          </w:rPr>
                          <w:t>4000  LIEGE</w:t>
                        </w:r>
                      </w:p>
                      <w:p w:rsidR="00F04EEF" w:rsidRDefault="0099351E">
                        <w:pPr>
                          <w:pStyle w:val="Corpsdetexte"/>
                          <w:rPr>
                            <w:b w:val="0"/>
                            <w:bCs/>
                            <w:szCs w:val="22"/>
                          </w:rPr>
                        </w:pPr>
                        <w:r>
                          <w:rPr>
                            <w:b w:val="0"/>
                            <w:szCs w:val="22"/>
                          </w:rPr>
                          <w:sym w:font="Wingdings" w:char="F028"/>
                        </w:r>
                        <w:r>
                          <w:rPr>
                            <w:b w:val="0"/>
                            <w:szCs w:val="22"/>
                          </w:rPr>
                          <w:t> </w:t>
                        </w:r>
                        <w:r>
                          <w:rPr>
                            <w:b w:val="0"/>
                            <w:bCs/>
                            <w:szCs w:val="22"/>
                          </w:rPr>
                          <w:t>: 04/220.67.20</w:t>
                        </w:r>
                      </w:p>
                      <w:p w:rsidR="00F04EEF" w:rsidRDefault="0099351E">
                        <w:pPr>
                          <w:pStyle w:val="Corpsdetexte"/>
                          <w:rPr>
                            <w:b w:val="0"/>
                            <w:bCs/>
                            <w:szCs w:val="22"/>
                          </w:rPr>
                        </w:pPr>
                        <w:r>
                          <w:rPr>
                            <w:b w:val="0"/>
                            <w:bCs/>
                            <w:szCs w:val="22"/>
                          </w:rPr>
                          <w:br/>
                        </w:r>
                        <w:r>
                          <w:rPr>
                            <w:bCs/>
                            <w:szCs w:val="22"/>
                          </w:rPr>
                          <w:sym w:font="Wingdings" w:char="F03A"/>
                        </w:r>
                        <w:r>
                          <w:rPr>
                            <w:bCs/>
                            <w:szCs w:val="22"/>
                          </w:rPr>
                          <w:t xml:space="preserve"> : </w:t>
                        </w:r>
                        <w:hyperlink r:id="rId95" w:history="1">
                          <w:r>
                            <w:rPr>
                              <w:rStyle w:val="Lienhypertexte"/>
                              <w:b w:val="0"/>
                              <w:szCs w:val="22"/>
                            </w:rPr>
                            <w:t>saj.liege@cfwb.be</w:t>
                          </w:r>
                        </w:hyperlink>
                      </w:p>
                      <w:p w:rsidR="00F04EEF" w:rsidRDefault="00F04EEF">
                        <w:pPr>
                          <w:pStyle w:val="Corpsdetexte"/>
                          <w:rPr>
                            <w:b w:val="0"/>
                            <w:bCs/>
                            <w:szCs w:val="22"/>
                          </w:rPr>
                        </w:pPr>
                      </w:p>
                    </w:tc>
                  </w:tr>
                  <w:tr w:rsidR="00F04EEF">
                    <w:tc>
                      <w:tcPr>
                        <w:tcW w:w="1271" w:type="dxa"/>
                      </w:tcPr>
                      <w:p w:rsidR="00F04EEF" w:rsidRDefault="0099351E">
                        <w:pPr>
                          <w:rPr>
                            <w:b/>
                          </w:rPr>
                        </w:pPr>
                        <w:r>
                          <w:rPr>
                            <w:b/>
                          </w:rPr>
                          <w:t>SAJ de Marche-en-Famenne</w:t>
                        </w:r>
                      </w:p>
                    </w:tc>
                    <w:tc>
                      <w:tcPr>
                        <w:tcW w:w="3544" w:type="dxa"/>
                      </w:tcPr>
                      <w:p w:rsidR="00F04EEF" w:rsidRDefault="0099351E">
                        <w:pPr>
                          <w:pStyle w:val="Corpsdetexte"/>
                          <w:rPr>
                            <w:b w:val="0"/>
                            <w:szCs w:val="22"/>
                          </w:rPr>
                        </w:pPr>
                        <w:r>
                          <w:rPr>
                            <w:b w:val="0"/>
                            <w:szCs w:val="22"/>
                          </w:rPr>
                          <w:t>Monsieur Julien BOLLAND</w:t>
                        </w:r>
                      </w:p>
                      <w:p w:rsidR="00F04EEF" w:rsidRDefault="0099351E">
                        <w:pPr>
                          <w:pStyle w:val="Corpsdetexte"/>
                          <w:rPr>
                            <w:b w:val="0"/>
                            <w:szCs w:val="22"/>
                          </w:rPr>
                        </w:pPr>
                        <w:r>
                          <w:rPr>
                            <w:b w:val="0"/>
                            <w:szCs w:val="22"/>
                          </w:rPr>
                          <w:t>Conseiller de l’aide à la jeunesse</w:t>
                        </w:r>
                      </w:p>
                      <w:p w:rsidR="00F04EEF" w:rsidRDefault="0099351E">
                        <w:pPr>
                          <w:pStyle w:val="Corpsdetexte"/>
                          <w:rPr>
                            <w:b w:val="0"/>
                            <w:szCs w:val="22"/>
                          </w:rPr>
                        </w:pPr>
                        <w:r>
                          <w:rPr>
                            <w:b w:val="0"/>
                            <w:szCs w:val="22"/>
                          </w:rPr>
                          <w:t>Rue des Trois Bosses, 11a</w:t>
                        </w:r>
                      </w:p>
                      <w:p w:rsidR="00F04EEF" w:rsidRDefault="0099351E">
                        <w:pPr>
                          <w:pStyle w:val="Corpsdetexte"/>
                          <w:rPr>
                            <w:b w:val="0"/>
                            <w:szCs w:val="22"/>
                          </w:rPr>
                        </w:pPr>
                        <w:r>
                          <w:rPr>
                            <w:b w:val="0"/>
                            <w:szCs w:val="22"/>
                          </w:rPr>
                          <w:t>6900  MARCHE-EN-FAMENNE</w:t>
                        </w:r>
                      </w:p>
                      <w:p w:rsidR="00F04EEF" w:rsidRDefault="0099351E">
                        <w:pPr>
                          <w:pStyle w:val="Corpsdetexte"/>
                          <w:rPr>
                            <w:b w:val="0"/>
                            <w:bCs/>
                            <w:szCs w:val="22"/>
                          </w:rPr>
                        </w:pPr>
                        <w:r>
                          <w:rPr>
                            <w:b w:val="0"/>
                            <w:szCs w:val="22"/>
                          </w:rPr>
                          <w:sym w:font="Wingdings" w:char="F028"/>
                        </w:r>
                        <w:r>
                          <w:rPr>
                            <w:b w:val="0"/>
                            <w:szCs w:val="22"/>
                          </w:rPr>
                          <w:t xml:space="preserve"> : </w:t>
                        </w:r>
                        <w:r>
                          <w:rPr>
                            <w:b w:val="0"/>
                            <w:bCs/>
                            <w:szCs w:val="22"/>
                          </w:rPr>
                          <w:t>084/37.44.00</w:t>
                        </w:r>
                      </w:p>
                      <w:p w:rsidR="00F04EEF" w:rsidRDefault="0099351E">
                        <w:pPr>
                          <w:pStyle w:val="Corpsdetexte"/>
                          <w:rPr>
                            <w:b w:val="0"/>
                            <w:bCs/>
                            <w:szCs w:val="22"/>
                          </w:rPr>
                        </w:pPr>
                        <w:r>
                          <w:rPr>
                            <w:bCs/>
                            <w:szCs w:val="22"/>
                          </w:rPr>
                          <w:sym w:font="Wingdings" w:char="F03A"/>
                        </w:r>
                        <w:r>
                          <w:rPr>
                            <w:bCs/>
                            <w:szCs w:val="22"/>
                          </w:rPr>
                          <w:t xml:space="preserve"> : </w:t>
                        </w:r>
                        <w:hyperlink r:id="rId96" w:history="1">
                          <w:r>
                            <w:rPr>
                              <w:rStyle w:val="Lienhypertexte"/>
                              <w:b w:val="0"/>
                              <w:szCs w:val="22"/>
                            </w:rPr>
                            <w:t>saj.marche@cfwb.be</w:t>
                          </w:r>
                        </w:hyperlink>
                      </w:p>
                    </w:tc>
                    <w:tc>
                      <w:tcPr>
                        <w:tcW w:w="1398" w:type="dxa"/>
                      </w:tcPr>
                      <w:p w:rsidR="00F04EEF" w:rsidRDefault="0099351E">
                        <w:pPr>
                          <w:rPr>
                            <w:b/>
                          </w:rPr>
                        </w:pPr>
                        <w:r>
                          <w:rPr>
                            <w:b/>
                          </w:rPr>
                          <w:t>SAJ de Mons</w:t>
                        </w:r>
                      </w:p>
                    </w:tc>
                    <w:tc>
                      <w:tcPr>
                        <w:tcW w:w="3421" w:type="dxa"/>
                      </w:tcPr>
                      <w:p w:rsidR="00F04EEF" w:rsidRDefault="0099351E">
                        <w:pPr>
                          <w:pStyle w:val="Corpsdetexte"/>
                          <w:rPr>
                            <w:b w:val="0"/>
                            <w:szCs w:val="22"/>
                          </w:rPr>
                        </w:pPr>
                        <w:r>
                          <w:rPr>
                            <w:b w:val="0"/>
                            <w:szCs w:val="22"/>
                          </w:rPr>
                          <w:t>Monsieur Guy DECLERCQ</w:t>
                        </w:r>
                      </w:p>
                      <w:p w:rsidR="00F04EEF" w:rsidRDefault="0099351E">
                        <w:pPr>
                          <w:pStyle w:val="Corpsdetexte"/>
                          <w:rPr>
                            <w:b w:val="0"/>
                            <w:szCs w:val="22"/>
                          </w:rPr>
                        </w:pPr>
                        <w:r>
                          <w:rPr>
                            <w:b w:val="0"/>
                            <w:szCs w:val="22"/>
                          </w:rPr>
                          <w:t>Conseiller de l’aide à la jeunesse</w:t>
                        </w:r>
                      </w:p>
                      <w:p w:rsidR="00F04EEF" w:rsidRDefault="0099351E">
                        <w:pPr>
                          <w:pStyle w:val="Corpsdetexte"/>
                          <w:rPr>
                            <w:b w:val="0"/>
                            <w:szCs w:val="22"/>
                          </w:rPr>
                        </w:pPr>
                        <w:r>
                          <w:rPr>
                            <w:b w:val="0"/>
                            <w:szCs w:val="22"/>
                          </w:rPr>
                          <w:t>Rue du Chemin de Fer, 433</w:t>
                        </w:r>
                      </w:p>
                      <w:p w:rsidR="00F04EEF" w:rsidRDefault="0099351E">
                        <w:pPr>
                          <w:pStyle w:val="Corpsdetexte"/>
                          <w:rPr>
                            <w:b w:val="0"/>
                            <w:szCs w:val="22"/>
                            <w:lang w:val="es-ES_tradnl"/>
                          </w:rPr>
                        </w:pPr>
                        <w:r>
                          <w:rPr>
                            <w:b w:val="0"/>
                            <w:szCs w:val="22"/>
                            <w:lang w:val="es-ES_tradnl"/>
                          </w:rPr>
                          <w:t>7033  CUESMES</w:t>
                        </w:r>
                      </w:p>
                      <w:p w:rsidR="00F04EEF" w:rsidRDefault="0099351E">
                        <w:pPr>
                          <w:rPr>
                            <w:bCs/>
                            <w:lang w:val="es-ES_tradnl"/>
                          </w:rPr>
                        </w:pPr>
                        <w:r>
                          <w:sym w:font="Wingdings" w:char="F028"/>
                        </w:r>
                        <w:r>
                          <w:rPr>
                            <w:lang w:val="es-ES_tradnl"/>
                          </w:rPr>
                          <w:t xml:space="preserve"> : </w:t>
                        </w:r>
                        <w:r>
                          <w:rPr>
                            <w:bCs/>
                            <w:lang w:val="es-ES_tradnl"/>
                          </w:rPr>
                          <w:t>065/ 39.58.50</w:t>
                        </w:r>
                      </w:p>
                      <w:p w:rsidR="00F04EEF" w:rsidRDefault="0099351E">
                        <w:pPr>
                          <w:rPr>
                            <w:bCs/>
                            <w:lang w:val="es-ES_tradnl"/>
                          </w:rPr>
                        </w:pPr>
                        <w:r>
                          <w:rPr>
                            <w:bCs/>
                          </w:rPr>
                          <w:sym w:font="Wingdings" w:char="F03A"/>
                        </w:r>
                        <w:r>
                          <w:rPr>
                            <w:bCs/>
                            <w:lang w:val="es-ES_tradnl"/>
                          </w:rPr>
                          <w:t xml:space="preserve"> : </w:t>
                        </w:r>
                        <w:hyperlink r:id="rId97" w:history="1">
                          <w:r>
                            <w:rPr>
                              <w:rStyle w:val="Lienhypertexte"/>
                              <w:lang w:val="es-ES_tradnl"/>
                            </w:rPr>
                            <w:t>saj.mons@cfwb.be</w:t>
                          </w:r>
                        </w:hyperlink>
                      </w:p>
                    </w:tc>
                  </w:tr>
                  <w:tr w:rsidR="00F04EEF">
                    <w:tc>
                      <w:tcPr>
                        <w:tcW w:w="1271" w:type="dxa"/>
                      </w:tcPr>
                      <w:p w:rsidR="00F04EEF" w:rsidRDefault="0099351E">
                        <w:pPr>
                          <w:rPr>
                            <w:b/>
                          </w:rPr>
                        </w:pPr>
                        <w:r>
                          <w:rPr>
                            <w:b/>
                          </w:rPr>
                          <w:t>SAJ de Namur</w:t>
                        </w:r>
                      </w:p>
                    </w:tc>
                    <w:tc>
                      <w:tcPr>
                        <w:tcW w:w="3544" w:type="dxa"/>
                      </w:tcPr>
                      <w:p w:rsidR="00F04EEF" w:rsidRDefault="0099351E">
                        <w:pPr>
                          <w:pStyle w:val="Corpsdetexte"/>
                          <w:rPr>
                            <w:b w:val="0"/>
                            <w:szCs w:val="22"/>
                          </w:rPr>
                        </w:pPr>
                        <w:r>
                          <w:rPr>
                            <w:b w:val="0"/>
                            <w:szCs w:val="22"/>
                          </w:rPr>
                          <w:t>Madame BOCA Anne-Sophie</w:t>
                        </w:r>
                      </w:p>
                      <w:p w:rsidR="00F04EEF" w:rsidRDefault="0099351E">
                        <w:pPr>
                          <w:pStyle w:val="Corpsdetexte"/>
                          <w:rPr>
                            <w:b w:val="0"/>
                            <w:szCs w:val="22"/>
                          </w:rPr>
                        </w:pPr>
                        <w:r>
                          <w:rPr>
                            <w:b w:val="0"/>
                            <w:szCs w:val="22"/>
                          </w:rPr>
                          <w:t>Conseiller de l’aide à la jeunesse</w:t>
                        </w:r>
                      </w:p>
                      <w:p w:rsidR="00F04EEF" w:rsidRDefault="0099351E">
                        <w:pPr>
                          <w:pStyle w:val="Corpsdetexte"/>
                          <w:rPr>
                            <w:b w:val="0"/>
                            <w:szCs w:val="22"/>
                          </w:rPr>
                        </w:pPr>
                        <w:r>
                          <w:rPr>
                            <w:b w:val="0"/>
                            <w:szCs w:val="22"/>
                          </w:rPr>
                          <w:t>Place  Monseigneur Heylen, 4</w:t>
                        </w:r>
                      </w:p>
                      <w:p w:rsidR="00F04EEF" w:rsidRDefault="0099351E">
                        <w:pPr>
                          <w:pStyle w:val="Corpsdetexte"/>
                          <w:rPr>
                            <w:b w:val="0"/>
                            <w:szCs w:val="22"/>
                          </w:rPr>
                        </w:pPr>
                        <w:r>
                          <w:rPr>
                            <w:b w:val="0"/>
                            <w:szCs w:val="22"/>
                          </w:rPr>
                          <w:t>5000  NAMUR</w:t>
                        </w:r>
                      </w:p>
                      <w:p w:rsidR="00F04EEF" w:rsidRDefault="0099351E">
                        <w:pPr>
                          <w:pStyle w:val="Corpsdetexte"/>
                          <w:rPr>
                            <w:b w:val="0"/>
                            <w:bCs/>
                            <w:szCs w:val="22"/>
                          </w:rPr>
                        </w:pPr>
                        <w:r>
                          <w:rPr>
                            <w:b w:val="0"/>
                            <w:szCs w:val="22"/>
                          </w:rPr>
                          <w:sym w:font="Wingdings" w:char="F028"/>
                        </w:r>
                        <w:r>
                          <w:rPr>
                            <w:b w:val="0"/>
                            <w:szCs w:val="22"/>
                          </w:rPr>
                          <w:t> </w:t>
                        </w:r>
                        <w:r>
                          <w:rPr>
                            <w:b w:val="0"/>
                            <w:bCs/>
                            <w:szCs w:val="22"/>
                          </w:rPr>
                          <w:t>: 081/ 23.75.75</w:t>
                        </w:r>
                      </w:p>
                      <w:p w:rsidR="00F04EEF" w:rsidRDefault="0099351E">
                        <w:pPr>
                          <w:pStyle w:val="Corpsdetexte"/>
                          <w:rPr>
                            <w:b w:val="0"/>
                            <w:bCs/>
                            <w:szCs w:val="22"/>
                          </w:rPr>
                        </w:pPr>
                        <w:r>
                          <w:rPr>
                            <w:bCs/>
                            <w:szCs w:val="22"/>
                          </w:rPr>
                          <w:sym w:font="Wingdings" w:char="F03A"/>
                        </w:r>
                        <w:r>
                          <w:rPr>
                            <w:bCs/>
                            <w:szCs w:val="22"/>
                          </w:rPr>
                          <w:t xml:space="preserve"> : </w:t>
                        </w:r>
                        <w:hyperlink r:id="rId98" w:history="1">
                          <w:r>
                            <w:rPr>
                              <w:rStyle w:val="Lienhypertexte"/>
                              <w:b w:val="0"/>
                              <w:szCs w:val="22"/>
                            </w:rPr>
                            <w:t>saj.namur@cfwb.be</w:t>
                          </w:r>
                        </w:hyperlink>
                      </w:p>
                    </w:tc>
                    <w:tc>
                      <w:tcPr>
                        <w:tcW w:w="1398" w:type="dxa"/>
                      </w:tcPr>
                      <w:p w:rsidR="00F04EEF" w:rsidRDefault="0099351E">
                        <w:pPr>
                          <w:rPr>
                            <w:b/>
                          </w:rPr>
                        </w:pPr>
                        <w:r>
                          <w:rPr>
                            <w:b/>
                          </w:rPr>
                          <w:t>SAJ de Neufchâteau</w:t>
                        </w:r>
                      </w:p>
                    </w:tc>
                    <w:tc>
                      <w:tcPr>
                        <w:tcW w:w="3421" w:type="dxa"/>
                      </w:tcPr>
                      <w:p w:rsidR="00F04EEF" w:rsidRDefault="0099351E">
                        <w:pPr>
                          <w:pStyle w:val="Corpsdetexte"/>
                          <w:rPr>
                            <w:b w:val="0"/>
                            <w:szCs w:val="22"/>
                          </w:rPr>
                        </w:pPr>
                        <w:r>
                          <w:rPr>
                            <w:b w:val="0"/>
                            <w:szCs w:val="22"/>
                          </w:rPr>
                          <w:t>Monsieur Joël TANGHE</w:t>
                        </w:r>
                      </w:p>
                      <w:p w:rsidR="00F04EEF" w:rsidRDefault="0099351E">
                        <w:pPr>
                          <w:pStyle w:val="Corpsdetexte"/>
                          <w:rPr>
                            <w:b w:val="0"/>
                            <w:szCs w:val="22"/>
                          </w:rPr>
                        </w:pPr>
                        <w:r>
                          <w:rPr>
                            <w:b w:val="0"/>
                            <w:szCs w:val="22"/>
                          </w:rPr>
                          <w:t>Conseiller de l’aide à la jeunesse</w:t>
                        </w:r>
                      </w:p>
                      <w:p w:rsidR="00F04EEF" w:rsidRDefault="0099351E">
                        <w:pPr>
                          <w:pStyle w:val="Corpsdetexte"/>
                          <w:rPr>
                            <w:b w:val="0"/>
                            <w:szCs w:val="22"/>
                          </w:rPr>
                        </w:pPr>
                        <w:r>
                          <w:rPr>
                            <w:b w:val="0"/>
                            <w:szCs w:val="22"/>
                          </w:rPr>
                          <w:t>Avenue de la Victoire, 64 A</w:t>
                        </w:r>
                      </w:p>
                      <w:p w:rsidR="00F04EEF" w:rsidRDefault="0099351E">
                        <w:pPr>
                          <w:tabs>
                            <w:tab w:val="left" w:pos="3875"/>
                            <w:tab w:val="left" w:pos="5535"/>
                            <w:tab w:val="left" w:pos="7795"/>
                            <w:tab w:val="left" w:pos="10335"/>
                            <w:tab w:val="left" w:pos="11675"/>
                            <w:tab w:val="left" w:pos="12895"/>
                            <w:tab w:val="left" w:pos="14355"/>
                            <w:tab w:val="left" w:pos="15775"/>
                            <w:tab w:val="left" w:pos="17135"/>
                            <w:tab w:val="left" w:pos="20535"/>
                          </w:tabs>
                        </w:pPr>
                        <w:r>
                          <w:t>6840  NEUFCHATEAU</w:t>
                        </w:r>
                      </w:p>
                      <w:p w:rsidR="00F04EEF" w:rsidRDefault="0099351E">
                        <w:pPr>
                          <w:pStyle w:val="Corpsdetexte"/>
                          <w:rPr>
                            <w:b w:val="0"/>
                            <w:bCs/>
                            <w:szCs w:val="22"/>
                          </w:rPr>
                        </w:pPr>
                        <w:r>
                          <w:rPr>
                            <w:b w:val="0"/>
                            <w:szCs w:val="22"/>
                          </w:rPr>
                          <w:sym w:font="Wingdings" w:char="F028"/>
                        </w:r>
                        <w:r>
                          <w:rPr>
                            <w:b w:val="0"/>
                            <w:szCs w:val="22"/>
                          </w:rPr>
                          <w:t> :</w:t>
                        </w:r>
                        <w:r>
                          <w:rPr>
                            <w:b w:val="0"/>
                            <w:bCs/>
                            <w:szCs w:val="22"/>
                          </w:rPr>
                          <w:t>061/ 41.03.80</w:t>
                        </w:r>
                      </w:p>
                      <w:p w:rsidR="00F04EEF" w:rsidRDefault="0099351E">
                        <w:pPr>
                          <w:pStyle w:val="Corpsdetexte"/>
                          <w:rPr>
                            <w:b w:val="0"/>
                            <w:bCs/>
                            <w:szCs w:val="22"/>
                          </w:rPr>
                        </w:pPr>
                        <w:r>
                          <w:rPr>
                            <w:bCs/>
                            <w:szCs w:val="22"/>
                          </w:rPr>
                          <w:sym w:font="Wingdings" w:char="F03A"/>
                        </w:r>
                        <w:r>
                          <w:rPr>
                            <w:bCs/>
                            <w:szCs w:val="22"/>
                          </w:rPr>
                          <w:t xml:space="preserve"> : </w:t>
                        </w:r>
                        <w:hyperlink r:id="rId99" w:history="1">
                          <w:r>
                            <w:rPr>
                              <w:rStyle w:val="Lienhypertexte"/>
                              <w:b w:val="0"/>
                              <w:szCs w:val="22"/>
                            </w:rPr>
                            <w:t>saj.neufchateau@cfwb.be</w:t>
                          </w:r>
                        </w:hyperlink>
                      </w:p>
                    </w:tc>
                  </w:tr>
                  <w:tr w:rsidR="00F04EEF">
                    <w:tc>
                      <w:tcPr>
                        <w:tcW w:w="1271" w:type="dxa"/>
                      </w:tcPr>
                      <w:p w:rsidR="00F04EEF" w:rsidRDefault="0099351E">
                        <w:pPr>
                          <w:rPr>
                            <w:b/>
                          </w:rPr>
                        </w:pPr>
                        <w:r>
                          <w:rPr>
                            <w:b/>
                          </w:rPr>
                          <w:t>SAJ de Tournai</w:t>
                        </w:r>
                      </w:p>
                    </w:tc>
                    <w:tc>
                      <w:tcPr>
                        <w:tcW w:w="3544" w:type="dxa"/>
                      </w:tcPr>
                      <w:p w:rsidR="00F04EEF" w:rsidRDefault="0099351E">
                        <w:pPr>
                          <w:pStyle w:val="Corpsdetexte"/>
                          <w:rPr>
                            <w:b w:val="0"/>
                            <w:szCs w:val="22"/>
                          </w:rPr>
                        </w:pPr>
                        <w:r>
                          <w:rPr>
                            <w:b w:val="0"/>
                            <w:szCs w:val="22"/>
                          </w:rPr>
                          <w:t>Madame Marie-Paule RENDERS</w:t>
                        </w:r>
                      </w:p>
                      <w:p w:rsidR="00F04EEF" w:rsidRDefault="0099351E">
                        <w:pPr>
                          <w:pStyle w:val="Corpsdetexte"/>
                          <w:rPr>
                            <w:b w:val="0"/>
                            <w:szCs w:val="22"/>
                          </w:rPr>
                        </w:pPr>
                        <w:r>
                          <w:rPr>
                            <w:b w:val="0"/>
                            <w:szCs w:val="22"/>
                          </w:rPr>
                          <w:t>Conseillère de l’aide à la jeunesse</w:t>
                        </w:r>
                      </w:p>
                      <w:p w:rsidR="00F04EEF" w:rsidRDefault="0099351E">
                        <w:pPr>
                          <w:pStyle w:val="Corpsdetexte"/>
                          <w:rPr>
                            <w:b w:val="0"/>
                            <w:szCs w:val="22"/>
                          </w:rPr>
                        </w:pPr>
                        <w:r>
                          <w:rPr>
                            <w:b w:val="0"/>
                            <w:szCs w:val="22"/>
                          </w:rPr>
                          <w:t>Place du Becquerelle, 21</w:t>
                        </w:r>
                      </w:p>
                      <w:p w:rsidR="00F04EEF" w:rsidRDefault="0099351E">
                        <w:pPr>
                          <w:pStyle w:val="Corpsdetexte"/>
                          <w:rPr>
                            <w:b w:val="0"/>
                            <w:szCs w:val="22"/>
                          </w:rPr>
                        </w:pPr>
                        <w:r>
                          <w:rPr>
                            <w:b w:val="0"/>
                            <w:szCs w:val="22"/>
                          </w:rPr>
                          <w:t>7500  TOURNAI</w:t>
                        </w:r>
                      </w:p>
                      <w:p w:rsidR="00F04EEF" w:rsidRDefault="0099351E">
                        <w:pPr>
                          <w:pStyle w:val="Corpsdetexte"/>
                          <w:rPr>
                            <w:b w:val="0"/>
                            <w:bCs/>
                            <w:szCs w:val="22"/>
                          </w:rPr>
                        </w:pPr>
                        <w:r>
                          <w:rPr>
                            <w:b w:val="0"/>
                            <w:szCs w:val="22"/>
                          </w:rPr>
                          <w:sym w:font="Wingdings" w:char="F028"/>
                        </w:r>
                        <w:r>
                          <w:rPr>
                            <w:b w:val="0"/>
                            <w:szCs w:val="22"/>
                          </w:rPr>
                          <w:t xml:space="preserve"> : </w:t>
                        </w:r>
                        <w:r>
                          <w:rPr>
                            <w:b w:val="0"/>
                            <w:bCs/>
                            <w:szCs w:val="22"/>
                          </w:rPr>
                          <w:t>069/ 53.28.40</w:t>
                        </w:r>
                      </w:p>
                      <w:p w:rsidR="00F04EEF" w:rsidRDefault="0099351E">
                        <w:pPr>
                          <w:pStyle w:val="Corpsdetexte"/>
                          <w:rPr>
                            <w:b w:val="0"/>
                            <w:szCs w:val="22"/>
                          </w:rPr>
                        </w:pPr>
                        <w:r>
                          <w:rPr>
                            <w:bCs/>
                            <w:szCs w:val="22"/>
                          </w:rPr>
                          <w:sym w:font="Wingdings" w:char="F03A"/>
                        </w:r>
                        <w:r>
                          <w:rPr>
                            <w:bCs/>
                            <w:szCs w:val="22"/>
                          </w:rPr>
                          <w:t xml:space="preserve"> : </w:t>
                        </w:r>
                        <w:hyperlink r:id="rId100" w:history="1">
                          <w:r>
                            <w:rPr>
                              <w:rStyle w:val="Lienhypertexte"/>
                              <w:b w:val="0"/>
                              <w:szCs w:val="22"/>
                            </w:rPr>
                            <w:t>saj.tournai@cfwb.be</w:t>
                          </w:r>
                        </w:hyperlink>
                      </w:p>
                    </w:tc>
                    <w:tc>
                      <w:tcPr>
                        <w:tcW w:w="1398" w:type="dxa"/>
                      </w:tcPr>
                      <w:p w:rsidR="00F04EEF" w:rsidRDefault="00F04EEF">
                        <w:pPr>
                          <w:pStyle w:val="Corpsdetexte"/>
                          <w:rPr>
                            <w:szCs w:val="22"/>
                          </w:rPr>
                        </w:pPr>
                      </w:p>
                    </w:tc>
                    <w:tc>
                      <w:tcPr>
                        <w:tcW w:w="3421" w:type="dxa"/>
                      </w:tcPr>
                      <w:p w:rsidR="00F04EEF" w:rsidRDefault="00F04EEF">
                        <w:pPr>
                          <w:pStyle w:val="Corpsdetexte"/>
                          <w:rPr>
                            <w:b w:val="0"/>
                            <w:szCs w:val="22"/>
                          </w:rPr>
                        </w:pPr>
                      </w:p>
                    </w:tc>
                  </w:tr>
                </w:tbl>
                <w:p w:rsidR="00F04EEF" w:rsidRDefault="00F04EEF">
                  <w:pPr>
                    <w:rPr>
                      <w:rFonts w:cs="Arial"/>
                    </w:rPr>
                  </w:pPr>
                </w:p>
                <w:p w:rsidR="00F04EEF" w:rsidRDefault="0099351E">
                  <w:pPr>
                    <w:rPr>
                      <w:rFonts w:cs="Arial"/>
                    </w:rPr>
                  </w:pPr>
                  <w:r>
                    <w:rPr>
                      <w:rFonts w:cs="Arial"/>
                    </w:rPr>
                    <w:br w:type="page"/>
                  </w:r>
                </w:p>
                <w:p w:rsidR="00F04EEF" w:rsidRDefault="00F04EEF">
                  <w:pPr>
                    <w:autoSpaceDE w:val="0"/>
                    <w:jc w:val="both"/>
                    <w:rPr>
                      <w:rFonts w:cs="Arial"/>
                      <w:b/>
                      <w:u w:val="single"/>
                    </w:rPr>
                  </w:pPr>
                </w:p>
                <w:p w:rsidR="00F04EEF" w:rsidRDefault="0099351E">
                  <w:pPr>
                    <w:pStyle w:val="Titre4"/>
                  </w:pPr>
                  <w:bookmarkStart w:id="1295" w:name="_Annexe_13_:_1"/>
                  <w:bookmarkStart w:id="1296" w:name="annexe14"/>
                  <w:bookmarkStart w:id="1297" w:name="_Toc412204106"/>
                  <w:bookmarkStart w:id="1298" w:name="_Toc414352914"/>
                  <w:bookmarkStart w:id="1299" w:name="_Toc453836938"/>
                  <w:bookmarkEnd w:id="1295"/>
                  <w:r>
                    <w:t>Annexe 8 </w:t>
                  </w:r>
                  <w:bookmarkEnd w:id="1296"/>
                  <w:r>
                    <w:t>: Schéma de la procédure d’exclusion</w:t>
                  </w:r>
                  <w:bookmarkEnd w:id="1297"/>
                  <w:bookmarkEnd w:id="1298"/>
                  <w:bookmarkEnd w:id="1299"/>
                </w:p>
                <w:p w:rsidR="00F04EEF" w:rsidRDefault="00F04EEF">
                  <w:pPr>
                    <w:rPr>
                      <w:rFonts w:cs="Arial"/>
                    </w:rPr>
                  </w:pPr>
                </w:p>
                <w:p w:rsidR="00F04EEF" w:rsidRDefault="0099351E">
                  <w:pPr>
                    <w:numPr>
                      <w:ilvl w:val="0"/>
                      <w:numId w:val="99"/>
                    </w:numPr>
                    <w:tabs>
                      <w:tab w:val="clear" w:pos="284"/>
                      <w:tab w:val="num" w:pos="567"/>
                    </w:tabs>
                    <w:suppressAutoHyphens/>
                    <w:ind w:left="567" w:hanging="567"/>
                    <w:jc w:val="both"/>
                    <w:rPr>
                      <w:rFonts w:cs="Arial"/>
                    </w:rPr>
                  </w:pPr>
                  <w:r>
                    <w:rPr>
                      <w:rFonts w:cs="Arial"/>
                      <w:caps/>
                    </w:rPr>
                    <w:t>ê</w:t>
                  </w:r>
                  <w:r>
                    <w:rPr>
                      <w:rFonts w:cs="Arial"/>
                    </w:rPr>
                    <w:t>tre certain que le(s) fait(s) reproché(s) à l’élève constitue(nt) un motif d’exclusion.</w:t>
                  </w:r>
                </w:p>
                <w:p w:rsidR="00F04EEF" w:rsidRDefault="0099351E">
                  <w:pPr>
                    <w:numPr>
                      <w:ilvl w:val="0"/>
                      <w:numId w:val="99"/>
                    </w:numPr>
                    <w:tabs>
                      <w:tab w:val="clear" w:pos="284"/>
                      <w:tab w:val="num" w:pos="567"/>
                    </w:tabs>
                    <w:suppressAutoHyphens/>
                    <w:ind w:left="567" w:hanging="567"/>
                    <w:jc w:val="both"/>
                    <w:rPr>
                      <w:rFonts w:cs="Arial"/>
                    </w:rPr>
                  </w:pPr>
                  <w:r>
                    <w:rPr>
                      <w:rFonts w:cs="Arial"/>
                    </w:rPr>
                    <w:t>S’assurer que les faits reprochés sont précis et prouvés.</w:t>
                  </w:r>
                </w:p>
                <w:p w:rsidR="00F04EEF" w:rsidRDefault="0099351E">
                  <w:pPr>
                    <w:numPr>
                      <w:ilvl w:val="0"/>
                      <w:numId w:val="99"/>
                    </w:numPr>
                    <w:tabs>
                      <w:tab w:val="clear" w:pos="284"/>
                      <w:tab w:val="num" w:pos="567"/>
                    </w:tabs>
                    <w:suppressAutoHyphens/>
                    <w:ind w:left="567" w:hanging="567"/>
                    <w:jc w:val="both"/>
                    <w:rPr>
                      <w:rFonts w:cs="Arial"/>
                    </w:rPr>
                  </w:pPr>
                  <w:r>
                    <w:rPr>
                      <w:rFonts w:cs="Arial"/>
                    </w:rPr>
                    <w:t>Si la gravité des faits le justifie, par exemple, si les faits qui ont entraîné l’exclusion ont mis en danger une autre personne, le (la) chef(fe) d’établissement pour le réseau organisé par la Communauté française, le PO ou son délégué pour le réseau subventionné peut écarter provisoirement l’élève de l’établissement pendant la procédure d’exclusion.</w:t>
                  </w:r>
                </w:p>
                <w:p w:rsidR="00F04EEF" w:rsidRDefault="0099351E">
                  <w:pPr>
                    <w:numPr>
                      <w:ilvl w:val="0"/>
                      <w:numId w:val="99"/>
                    </w:numPr>
                    <w:tabs>
                      <w:tab w:val="clear" w:pos="284"/>
                      <w:tab w:val="num" w:pos="567"/>
                    </w:tabs>
                    <w:suppressAutoHyphens/>
                    <w:ind w:left="567" w:hanging="567"/>
                    <w:jc w:val="both"/>
                    <w:rPr>
                      <w:rFonts w:cs="Arial"/>
                    </w:rPr>
                  </w:pPr>
                  <w:r>
                    <w:rPr>
                      <w:rFonts w:cs="Arial"/>
                    </w:rPr>
                    <w:t xml:space="preserve">Le (La) chef(fe) d’établissement pour le réseau organisé par la Communauté française, le PO ou son délégué pour le réseau subventionné s’assure que les parents de l’élève mineur ou la personne investie de l’autorité parentale sont informés de la mesure d’écartement prise à l’égard de leur enfant. </w:t>
                  </w:r>
                </w:p>
                <w:p w:rsidR="00F04EEF" w:rsidRDefault="0099351E">
                  <w:pPr>
                    <w:numPr>
                      <w:ilvl w:val="0"/>
                      <w:numId w:val="99"/>
                    </w:numPr>
                    <w:tabs>
                      <w:tab w:val="clear" w:pos="284"/>
                      <w:tab w:val="num" w:pos="567"/>
                    </w:tabs>
                    <w:suppressAutoHyphens/>
                    <w:ind w:left="567" w:hanging="567"/>
                    <w:jc w:val="both"/>
                    <w:rPr>
                      <w:rFonts w:cs="Arial"/>
                    </w:rPr>
                  </w:pPr>
                  <w:r>
                    <w:rPr>
                      <w:rFonts w:cs="Arial"/>
                    </w:rPr>
                    <w:t>Procéder à l’audition de l'élève, s'il est majeur, de l'élève mineur et de ses parents ou de la personne investie de l'autorité parentale (Appelés ci-après « les intéressés »). La convocation doit indiquer explicitement qu’une procédure pouvant conduire à l’exclusion définitive est engagée et contenir un résumé des faits pris en considération.</w:t>
                  </w:r>
                </w:p>
                <w:p w:rsidR="00F04EEF" w:rsidRDefault="0099351E">
                  <w:pPr>
                    <w:pStyle w:val="Corpsdetexte21"/>
                    <w:numPr>
                      <w:ilvl w:val="1"/>
                      <w:numId w:val="99"/>
                    </w:numPr>
                    <w:ind w:left="1701" w:hanging="567"/>
                    <w:jc w:val="both"/>
                    <w:rPr>
                      <w:rFonts w:asciiTheme="majorHAnsi" w:hAnsiTheme="majorHAnsi"/>
                      <w:sz w:val="22"/>
                      <w:szCs w:val="22"/>
                    </w:rPr>
                  </w:pPr>
                  <w:r>
                    <w:rPr>
                      <w:rFonts w:asciiTheme="majorHAnsi" w:hAnsiTheme="majorHAnsi"/>
                      <w:sz w:val="22"/>
                      <w:szCs w:val="22"/>
                    </w:rPr>
                    <w:t>Inviter les intéressés par lettre recommandée avec accusé de réception. Ils peuvent se faire assister d’un défenseur.</w:t>
                  </w:r>
                </w:p>
                <w:p w:rsidR="00F04EEF" w:rsidRDefault="0099351E">
                  <w:pPr>
                    <w:pStyle w:val="Corpsdetexte21"/>
                    <w:numPr>
                      <w:ilvl w:val="1"/>
                      <w:numId w:val="99"/>
                    </w:numPr>
                    <w:ind w:left="1701" w:hanging="567"/>
                    <w:jc w:val="both"/>
                    <w:rPr>
                      <w:rFonts w:asciiTheme="majorHAnsi" w:hAnsiTheme="majorHAnsi"/>
                      <w:sz w:val="22"/>
                      <w:szCs w:val="22"/>
                    </w:rPr>
                  </w:pPr>
                  <w:r>
                    <w:rPr>
                      <w:rFonts w:asciiTheme="majorHAnsi" w:hAnsiTheme="majorHAnsi"/>
                      <w:sz w:val="22"/>
                      <w:szCs w:val="22"/>
                    </w:rPr>
                    <w:t>La date proposée aux parents ou à la personne investie de l’autorité parentale est au plus tôt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w:t>
                  </w:r>
                </w:p>
                <w:p w:rsidR="00F04EEF" w:rsidRDefault="0099351E">
                  <w:pPr>
                    <w:numPr>
                      <w:ilvl w:val="1"/>
                      <w:numId w:val="99"/>
                    </w:numPr>
                    <w:suppressAutoHyphens/>
                    <w:ind w:left="1701" w:hanging="567"/>
                    <w:jc w:val="both"/>
                    <w:rPr>
                      <w:rFonts w:cs="Arial"/>
                    </w:rPr>
                  </w:pPr>
                  <w:r>
                    <w:rPr>
                      <w:rFonts w:cs="Arial"/>
                    </w:rPr>
                    <w:t xml:space="preserve">Le (La) chef(fe) d’établissement leur expose le(s) fait(s) reproché(s) </w:t>
                  </w:r>
                  <w:r>
                    <w:rPr>
                      <w:rFonts w:cs="Arial"/>
                      <w:u w:val="single"/>
                    </w:rPr>
                    <w:t>et permet la consultation du dossier disciplinaire par les intéressés</w:t>
                  </w:r>
                  <w:r>
                    <w:rPr>
                      <w:rFonts w:cs="Arial"/>
                    </w:rPr>
                    <w:t>. Afin d’assurer les droits de la défense et d’éviter toute erreur de procédure, il est recommandé aux chefs d’établissement de fournir aux parents, à la personne investie de l’autorité parentale ou à l’élève majeur un document récapitulant les faits sur base desquels une exclusion est envisagée.</w:t>
                  </w:r>
                </w:p>
                <w:p w:rsidR="00F04EEF" w:rsidRDefault="0099351E">
                  <w:pPr>
                    <w:numPr>
                      <w:ilvl w:val="1"/>
                      <w:numId w:val="99"/>
                    </w:numPr>
                    <w:suppressAutoHyphens/>
                    <w:ind w:left="1701" w:hanging="567"/>
                    <w:jc w:val="both"/>
                    <w:rPr>
                      <w:rFonts w:cs="Arial"/>
                    </w:rPr>
                  </w:pPr>
                  <w:r>
                    <w:rPr>
                      <w:rFonts w:cs="Arial"/>
                    </w:rPr>
                    <w:t>Il entend le point de vue des intéressés.</w:t>
                  </w:r>
                </w:p>
                <w:p w:rsidR="00F04EEF" w:rsidRDefault="0099351E">
                  <w:pPr>
                    <w:numPr>
                      <w:ilvl w:val="1"/>
                      <w:numId w:val="99"/>
                    </w:numPr>
                    <w:suppressAutoHyphens/>
                    <w:ind w:left="1701" w:hanging="567"/>
                    <w:jc w:val="both"/>
                    <w:rPr>
                      <w:rFonts w:cs="Arial"/>
                    </w:rPr>
                  </w:pPr>
                  <w:r>
                    <w:rPr>
                      <w:rFonts w:cs="Arial"/>
                    </w:rPr>
                    <w:t xml:space="preserve">Il dresse un procès-verbal de l’audition reprenant les différents avis et joint la liste éventuelle des pièces dont les personnes ont pris connaissance.  </w:t>
                  </w:r>
                </w:p>
                <w:p w:rsidR="00F04EEF" w:rsidRDefault="0099351E">
                  <w:pPr>
                    <w:numPr>
                      <w:ilvl w:val="1"/>
                      <w:numId w:val="99"/>
                    </w:numPr>
                    <w:suppressAutoHyphens/>
                    <w:ind w:left="1701" w:hanging="567"/>
                    <w:jc w:val="both"/>
                    <w:rPr>
                      <w:rFonts w:cs="Arial"/>
                    </w:rPr>
                  </w:pPr>
                  <w:r>
                    <w:rPr>
                      <w:rFonts w:cs="Arial"/>
                    </w:rPr>
                    <w:t>L’élève majeur ou les parents ou la personne investie de l’autorité parentale de l’élève mineur, après avoir éventuellement ajouté une remarque, signent le procès-verbal d’audition.</w:t>
                  </w:r>
                </w:p>
                <w:p w:rsidR="00F04EEF" w:rsidRDefault="0099351E">
                  <w:pPr>
                    <w:numPr>
                      <w:ilvl w:val="1"/>
                      <w:numId w:val="99"/>
                    </w:numPr>
                    <w:suppressAutoHyphens/>
                    <w:ind w:left="1701" w:hanging="567"/>
                    <w:jc w:val="both"/>
                    <w:rPr>
                      <w:rFonts w:cs="Arial"/>
                    </w:rPr>
                  </w:pPr>
                  <w:r>
                    <w:rPr>
                      <w:rFonts w:cs="Arial"/>
                    </w:rPr>
                    <w:t>Au cas où les intéressés refusent de signer le procès-verbal ou ne répondent pas à la convocation du chef d’établissement, un procès-verbal de carence est établi et signé par un membre du personnel enseignant ou auxiliaire d’éducation.</w:t>
                  </w:r>
                </w:p>
                <w:p w:rsidR="00F04EEF" w:rsidRDefault="0099351E">
                  <w:pPr>
                    <w:pStyle w:val="Paragraphedeliste"/>
                    <w:numPr>
                      <w:ilvl w:val="0"/>
                      <w:numId w:val="99"/>
                    </w:numPr>
                    <w:tabs>
                      <w:tab w:val="clear" w:pos="284"/>
                      <w:tab w:val="num" w:pos="709"/>
                    </w:tabs>
                    <w:ind w:left="709" w:hanging="709"/>
                    <w:jc w:val="both"/>
                    <w:rPr>
                      <w:rFonts w:asciiTheme="majorHAnsi" w:hAnsiTheme="majorHAnsi"/>
                      <w:b/>
                      <w:sz w:val="22"/>
                      <w:szCs w:val="22"/>
                      <w:u w:val="single"/>
                    </w:rPr>
                  </w:pPr>
                  <w:r>
                    <w:rPr>
                      <w:rFonts w:asciiTheme="majorHAnsi" w:hAnsiTheme="majorHAnsi"/>
                      <w:b/>
                      <w:sz w:val="22"/>
                      <w:szCs w:val="22"/>
                      <w:u w:val="single"/>
                    </w:rPr>
                    <w:t>Prendre l’avis du conseil de classe ou du corps enseignant</w:t>
                  </w:r>
                </w:p>
                <w:p w:rsidR="00F04EEF" w:rsidRDefault="0099351E">
                  <w:pPr>
                    <w:numPr>
                      <w:ilvl w:val="1"/>
                      <w:numId w:val="99"/>
                    </w:numPr>
                    <w:suppressAutoHyphens/>
                    <w:ind w:left="1701" w:hanging="567"/>
                    <w:jc w:val="both"/>
                    <w:rPr>
                      <w:rFonts w:cs="Arial"/>
                    </w:rPr>
                  </w:pPr>
                  <w:r>
                    <w:rPr>
                      <w:rFonts w:cs="Arial"/>
                      <w:noProof/>
                      <w:lang w:eastAsia="fr-BE"/>
                    </w:rPr>
                    <mc:AlternateContent>
                      <mc:Choice Requires="wps">
                        <w:drawing>
                          <wp:anchor distT="0" distB="0" distL="114300" distR="114300" simplePos="0" relativeHeight="252190720" behindDoc="0" locked="0" layoutInCell="1" allowOverlap="1">
                            <wp:simplePos x="0" y="0"/>
                            <wp:positionH relativeFrom="column">
                              <wp:posOffset>6867525</wp:posOffset>
                            </wp:positionH>
                            <wp:positionV relativeFrom="paragraph">
                              <wp:posOffset>114301</wp:posOffset>
                            </wp:positionV>
                            <wp:extent cx="0" cy="190500"/>
                            <wp:effectExtent l="0" t="0" r="19050" b="19050"/>
                            <wp:wrapNone/>
                            <wp:docPr id="44" name="Connecteur droit 44"/>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05C5E29" id="Connecteur droit 44" o:spid="_x0000_s1026" style="position:absolute;z-index:252190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40.75pt,9pt" to="540.7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" strokecolor="black [3213]"/>
                        </w:pict>
                      </mc:Fallback>
                    </mc:AlternateContent>
                  </w:r>
                  <w:r>
                    <w:rPr>
                      <w:rFonts w:cs="Arial"/>
                    </w:rPr>
                    <w:t>Le conseil de classe ou le corps enseignant émet un avis au</w:t>
                  </w:r>
                  <w:r>
                    <w:rPr>
                      <w:rFonts w:cs="Arial"/>
                      <w:b/>
                    </w:rPr>
                    <w:t xml:space="preserve"> chef d’établissement pour le réseau organisé par Wallonie-Bruxelles Enseignement (WBE), le PO ou son délégué pour le réseau subventionné.</w:t>
                  </w:r>
                  <w:r>
                    <w:rPr>
                      <w:rFonts w:cs="Arial"/>
                    </w:rPr>
                    <w:t xml:space="preserve"> </w:t>
                  </w:r>
                </w:p>
                <w:p w:rsidR="00F04EEF" w:rsidRDefault="0099351E">
                  <w:pPr>
                    <w:numPr>
                      <w:ilvl w:val="1"/>
                      <w:numId w:val="99"/>
                    </w:numPr>
                    <w:suppressAutoHyphens/>
                    <w:ind w:left="1701" w:hanging="567"/>
                    <w:jc w:val="both"/>
                    <w:rPr>
                      <w:rFonts w:cs="Arial"/>
                    </w:rPr>
                  </w:pPr>
                  <w:r>
                    <w:rPr>
                      <w:rFonts w:cs="Arial"/>
                      <w:noProof/>
                      <w:lang w:eastAsia="fr-BE"/>
                    </w:rPr>
                    <mc:AlternateContent>
                      <mc:Choice Requires="wps">
                        <w:drawing>
                          <wp:anchor distT="0" distB="0" distL="114300" distR="114300" simplePos="0" relativeHeight="252192768" behindDoc="0" locked="0" layoutInCell="1" allowOverlap="1">
                            <wp:simplePos x="0" y="0"/>
                            <wp:positionH relativeFrom="column">
                              <wp:posOffset>6867525</wp:posOffset>
                            </wp:positionH>
                            <wp:positionV relativeFrom="paragraph">
                              <wp:posOffset>288290</wp:posOffset>
                            </wp:positionV>
                            <wp:extent cx="0" cy="190500"/>
                            <wp:effectExtent l="0" t="0" r="19050" b="19050"/>
                            <wp:wrapNone/>
                            <wp:docPr id="46" name="Connecteur droit 46"/>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7B1C75" id="Connecteur droit 46" o:spid="_x0000_s1026" style="position:absolute;z-index:252192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40.75pt,22.7pt" to="540.7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" strokecolor="black [3213]"/>
                        </w:pict>
                      </mc:Fallback>
                    </mc:AlternateContent>
                  </w:r>
                  <w:r>
                    <w:rPr>
                      <w:rFonts w:cs="Arial"/>
                    </w:rPr>
                    <w:t>Un procès-verbal de la réunion du conseil de classe ou du corps enseignant est rédigé et signé par les membres présents.</w:t>
                  </w:r>
                </w:p>
                <w:p w:rsidR="00F04EEF" w:rsidRDefault="0099351E">
                  <w:pPr>
                    <w:numPr>
                      <w:ilvl w:val="0"/>
                      <w:numId w:val="99"/>
                    </w:numPr>
                    <w:tabs>
                      <w:tab w:val="clear" w:pos="284"/>
                      <w:tab w:val="num" w:pos="709"/>
                    </w:tabs>
                    <w:suppressAutoHyphens/>
                    <w:ind w:left="709" w:hanging="709"/>
                    <w:jc w:val="both"/>
                    <w:rPr>
                      <w:rFonts w:cs="Arial"/>
                      <w:b/>
                    </w:rPr>
                  </w:pPr>
                  <w:r>
                    <w:rPr>
                      <w:rFonts w:cs="Arial"/>
                      <w:b/>
                    </w:rPr>
                    <w:t>Le (La) chef(fe) d’établissement pour le réseau organisé par la Wallonie-Bruxelles Enseignement (WBE), le PO ou son délégué pour le réseau subventionné prend la décision. Il la communique aux intéressés par lettre recommandée avec accusé de réception.</w:t>
                  </w:r>
                </w:p>
                <w:p w:rsidR="00F04EEF" w:rsidRDefault="00F04EEF">
                  <w:pPr>
                    <w:jc w:val="both"/>
                    <w:rPr>
                      <w:rFonts w:cs="Arial"/>
                    </w:rPr>
                  </w:pPr>
                </w:p>
                <w:p w:rsidR="00F04EEF" w:rsidRDefault="0099351E">
                  <w:pPr>
                    <w:jc w:val="both"/>
                    <w:rPr>
                      <w:rFonts w:cs="Arial"/>
                    </w:rPr>
                  </w:pPr>
                  <w:r>
                    <w:rPr>
                      <w:rFonts w:cs="Arial"/>
                    </w:rPr>
                    <w:t xml:space="preserve">Dans cette lettre, </w:t>
                  </w:r>
                  <w:r>
                    <w:rPr>
                      <w:rFonts w:cs="Arial"/>
                      <w:b/>
                    </w:rPr>
                    <w:t xml:space="preserve">le (la) chef(fe) d’établissement pour le réseau organisé par la Fédération Wallonie-Bruxelles, le PO ou son délégué pour le réseau subventionné </w:t>
                  </w:r>
                  <w:r>
                    <w:rPr>
                      <w:rFonts w:cs="Arial"/>
                    </w:rPr>
                    <w:t xml:space="preserve">communique non seulement sa décision mais il explicite aussi la motivation de sa décision directement en rapport avec les griefs communiqués à ou aux intéressé(s) </w:t>
                  </w:r>
                  <w:r>
                    <w:rPr>
                      <w:rFonts w:cs="Arial"/>
                      <w:u w:val="single"/>
                    </w:rPr>
                    <w:t>dans la convocation</w:t>
                  </w:r>
                  <w:r>
                    <w:rPr>
                      <w:rFonts w:cs="Arial"/>
                    </w:rPr>
                    <w:t xml:space="preserve"> et lors de l’audition.</w:t>
                  </w:r>
                </w:p>
                <w:p w:rsidR="00F04EEF" w:rsidRDefault="00F04EEF">
                  <w:pPr>
                    <w:jc w:val="both"/>
                    <w:rPr>
                      <w:rFonts w:cs="Arial"/>
                    </w:rPr>
                  </w:pPr>
                </w:p>
                <w:p w:rsidR="00F04EEF" w:rsidRDefault="0099351E">
                  <w:pPr>
                    <w:jc w:val="both"/>
                    <w:rPr>
                      <w:rFonts w:cs="Arial"/>
                    </w:rPr>
                  </w:pPr>
                  <w:r>
                    <w:rPr>
                      <w:rFonts w:cs="Arial"/>
                    </w:rPr>
                    <w:t xml:space="preserve">La lettre recommandée mentionne la possibilité d’une procédure de recours et ses modalités, ainsi que les coordonnées des services auprès desquels une aide peut être obtenue pour la réinscription. </w:t>
                  </w:r>
                </w:p>
                <w:p w:rsidR="00F04EEF" w:rsidRDefault="0099351E">
                  <w:pPr>
                    <w:jc w:val="both"/>
                    <w:rPr>
                      <w:rFonts w:cs="Arial"/>
                    </w:rPr>
                  </w:pPr>
                  <w:r>
                    <w:rPr>
                      <w:rFonts w:cs="Arial"/>
                    </w:rPr>
                    <w:t xml:space="preserve"> </w:t>
                  </w:r>
                </w:p>
                <w:p w:rsidR="00F04EEF" w:rsidRDefault="0099351E">
                  <w:pPr>
                    <w:jc w:val="both"/>
                    <w:rPr>
                      <w:rFonts w:cs="Arial"/>
                    </w:rPr>
                  </w:pPr>
                  <w:r>
                    <w:rPr>
                      <w:rFonts w:cs="Arial"/>
                    </w:rPr>
                    <w:t>L’introduction du recours n’est pas suspensive de la décision d’exclusion.</w:t>
                  </w:r>
                </w:p>
                <w:p w:rsidR="00F04EEF" w:rsidRDefault="0099351E">
                  <w:pPr>
                    <w:jc w:val="both"/>
                    <w:rPr>
                      <w:rFonts w:cs="Arial"/>
                    </w:rPr>
                  </w:pPr>
                  <w:r>
                    <w:rPr>
                      <w:rFonts w:cs="Arial"/>
                    </w:rPr>
                    <w:br w:type="page"/>
                  </w:r>
                </w:p>
                <w:bookmarkStart w:id="1300" w:name="_Annexe_14_:"/>
                <w:bookmarkStart w:id="1301" w:name="_Annexe_9:_Modèle"/>
                <w:bookmarkStart w:id="1302" w:name="annexe15"/>
                <w:bookmarkStart w:id="1303" w:name="_Toc412204107"/>
                <w:bookmarkStart w:id="1304" w:name="_Toc414352915"/>
                <w:bookmarkStart w:id="1305" w:name="_Toc453836939"/>
                <w:bookmarkEnd w:id="1300"/>
                <w:bookmarkEnd w:id="1301"/>
                <w:p w:rsidR="00F04EEF" w:rsidRDefault="0099351E">
                  <w:pPr>
                    <w:pStyle w:val="Titre4"/>
                  </w:pPr>
                  <w:r>
                    <w:rPr>
                      <w:rFonts w:cs="Arial"/>
                      <w:noProof/>
                      <w:lang w:eastAsia="fr-BE"/>
                    </w:rPr>
                    <mc:AlternateContent>
                      <mc:Choice Requires="wps">
                        <w:drawing>
                          <wp:anchor distT="0" distB="0" distL="114300" distR="114300" simplePos="0" relativeHeight="252194816" behindDoc="0" locked="0" layoutInCell="1" allowOverlap="1">
                            <wp:simplePos x="0" y="0"/>
                            <wp:positionH relativeFrom="column">
                              <wp:posOffset>6858000</wp:posOffset>
                            </wp:positionH>
                            <wp:positionV relativeFrom="paragraph">
                              <wp:posOffset>-27305</wp:posOffset>
                            </wp:positionV>
                            <wp:extent cx="0" cy="190500"/>
                            <wp:effectExtent l="0" t="0" r="19050" b="19050"/>
                            <wp:wrapNone/>
                            <wp:docPr id="47" name="Connecteur droit 47"/>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104FE1F" id="Connecteur droit 47" o:spid="_x0000_s1026" style="position:absolute;z-index:252194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40pt,-2.15pt" to="540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" strokecolor="black [3213]"/>
                        </w:pict>
                      </mc:Fallback>
                    </mc:AlternateContent>
                  </w:r>
                  <w:r>
                    <w:t xml:space="preserve">Annexe </w:t>
                  </w:r>
                  <w:bookmarkEnd w:id="1302"/>
                  <w:r>
                    <w:t xml:space="preserve">9: Modèle de lettre pour convoquer l’élève et ses parents - Enseignement organisé par </w:t>
                  </w:r>
                  <w:bookmarkEnd w:id="1303"/>
                  <w:bookmarkEnd w:id="1304"/>
                  <w:bookmarkEnd w:id="1305"/>
                  <w:r>
                    <w:t>WBE</w:t>
                  </w:r>
                </w:p>
                <w:p w:rsidR="00F04EEF" w:rsidRDefault="00F04EEF">
                  <w:pPr>
                    <w:rPr>
                      <w:rFonts w:cs="Arial"/>
                      <w:b/>
                      <w:u w:val="single"/>
                    </w:rPr>
                  </w:pPr>
                </w:p>
                <w:p w:rsidR="00F04EEF" w:rsidRDefault="0099351E">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rsidR="00F04EEF" w:rsidRDefault="00F04EEF">
                  <w:pPr>
                    <w:rPr>
                      <w:b/>
                    </w:rPr>
                  </w:pPr>
                </w:p>
                <w:p w:rsidR="00F04EEF" w:rsidRDefault="00F04EEF">
                  <w:pPr>
                    <w:rPr>
                      <w:rFonts w:cs="Arial"/>
                      <w:b/>
                      <w:u w:val="single"/>
                    </w:rPr>
                  </w:pPr>
                </w:p>
                <w:p w:rsidR="00F04EEF" w:rsidRDefault="00F04EEF">
                  <w:pPr>
                    <w:rPr>
                      <w:rFonts w:cs="Arial"/>
                      <w:b/>
                      <w:u w:val="single"/>
                    </w:rPr>
                  </w:pPr>
                </w:p>
                <w:p w:rsidR="00F04EEF" w:rsidRDefault="0099351E">
                  <w:pPr>
                    <w:rPr>
                      <w:rFonts w:cs="Arial"/>
                      <w:spacing w:val="-2"/>
                    </w:rPr>
                  </w:pPr>
                  <w:r>
                    <w:rPr>
                      <w:rFonts w:cs="Arial"/>
                      <w:spacing w:val="-2"/>
                    </w:rPr>
                    <w:t>Madame,</w:t>
                  </w:r>
                </w:p>
                <w:p w:rsidR="00F04EEF" w:rsidRDefault="0099351E">
                  <w:pPr>
                    <w:rPr>
                      <w:rFonts w:cs="Arial"/>
                      <w:spacing w:val="-2"/>
                    </w:rPr>
                  </w:pPr>
                  <w:r>
                    <w:rPr>
                      <w:rFonts w:cs="Arial"/>
                      <w:spacing w:val="-2"/>
                    </w:rPr>
                    <w:t>Monsieur,</w:t>
                  </w:r>
                </w:p>
                <w:p w:rsidR="00F04EEF" w:rsidRDefault="00F04EEF">
                  <w:pPr>
                    <w:rPr>
                      <w:rFonts w:cs="Arial"/>
                      <w:spacing w:val="-2"/>
                    </w:rPr>
                  </w:pPr>
                </w:p>
                <w:p w:rsidR="00F04EEF" w:rsidRDefault="00F04EEF">
                  <w:pPr>
                    <w:rPr>
                      <w:rFonts w:cs="Arial"/>
                      <w:spacing w:val="-2"/>
                    </w:rPr>
                  </w:pPr>
                </w:p>
                <w:p w:rsidR="00F04EEF" w:rsidRDefault="0099351E">
                  <w:pPr>
                    <w:jc w:val="both"/>
                    <w:rPr>
                      <w:rFonts w:cs="Arial"/>
                      <w:spacing w:val="-2"/>
                    </w:rPr>
                  </w:pPr>
                  <w:r>
                    <w:rPr>
                      <w:rFonts w:cs="Arial"/>
                      <w:spacing w:val="-2"/>
                    </w:rPr>
                    <w:t xml:space="preserve">Je vous invite à vous présenter en mon bureau ce </w:t>
                  </w:r>
                  <w:r>
                    <w:rPr>
                      <w:rFonts w:cs="Arial"/>
                      <w:spacing w:val="-2"/>
                    </w:rPr>
                    <w:tab/>
                  </w:r>
                  <w:r>
                    <w:rPr>
                      <w:rFonts w:cs="Arial"/>
                      <w:spacing w:val="-2"/>
                    </w:rPr>
                    <w:tab/>
                  </w:r>
                  <w:r>
                    <w:rPr>
                      <w:rFonts w:cs="Arial"/>
                      <w:spacing w:val="-2"/>
                    </w:rPr>
                    <w:tab/>
                    <w:t>à</w:t>
                  </w:r>
                  <w:r>
                    <w:rPr>
                      <w:rFonts w:cs="Arial"/>
                      <w:spacing w:val="-2"/>
                    </w:rPr>
                    <w:tab/>
                    <w:t>h</w:t>
                  </w:r>
                  <w:r>
                    <w:rPr>
                      <w:rFonts w:cs="Arial"/>
                      <w:spacing w:val="-2"/>
                    </w:rPr>
                    <w:tab/>
                    <w:t xml:space="preserve">aux fins d'y être entendu(e)(s) avec votre fils (fille)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élève de</w:t>
                  </w:r>
                  <w:r>
                    <w:rPr>
                      <w:rFonts w:cs="Arial"/>
                      <w:spacing w:val="-2"/>
                    </w:rPr>
                    <w:tab/>
                  </w:r>
                  <w:r>
                    <w:rPr>
                      <w:rFonts w:cs="Arial"/>
                      <w:spacing w:val="-2"/>
                    </w:rPr>
                    <w:tab/>
                    <w:t>sur le(s) fait(s) repris ci-dessous qui lui est (sont) reproché(s):</w:t>
                  </w:r>
                </w:p>
                <w:p w:rsidR="00F04EEF" w:rsidRDefault="00F04EEF">
                  <w:pPr>
                    <w:jc w:val="both"/>
                    <w:rPr>
                      <w:rFonts w:cs="Arial"/>
                      <w:spacing w:val="-2"/>
                    </w:rPr>
                  </w:pPr>
                </w:p>
                <w:p w:rsidR="00F04EEF" w:rsidRDefault="0099351E">
                  <w:pPr>
                    <w:jc w:val="both"/>
                    <w:rPr>
                      <w:rFonts w:cs="Arial"/>
                      <w:spacing w:val="-2"/>
                    </w:rPr>
                  </w:pPr>
                  <w:r>
                    <w:rPr>
                      <w:rFonts w:cs="Arial"/>
                      <w:spacing w:val="-2"/>
                    </w:rPr>
                    <w:t>-</w:t>
                  </w:r>
                  <w:r>
                    <w:rPr>
                      <w:rFonts w:cs="Arial"/>
                      <w:spacing w:val="-2"/>
                    </w:rPr>
                    <w:tab/>
                    <w:t>…………………………………………………………………………………………………………………….</w:t>
                  </w:r>
                </w:p>
                <w:p w:rsidR="00F04EEF" w:rsidRDefault="0099351E">
                  <w:pPr>
                    <w:jc w:val="both"/>
                    <w:rPr>
                      <w:rFonts w:cs="Arial"/>
                      <w:spacing w:val="-2"/>
                    </w:rPr>
                  </w:pPr>
                  <w:r>
                    <w:rPr>
                      <w:rFonts w:cs="Arial"/>
                      <w:spacing w:val="-2"/>
                    </w:rPr>
                    <w:t>-</w:t>
                  </w:r>
                  <w:r>
                    <w:rPr>
                      <w:rFonts w:cs="Arial"/>
                      <w:spacing w:val="-2"/>
                    </w:rPr>
                    <w:tab/>
                    <w:t>…………………………………………………………………………………………………………………….</w:t>
                  </w:r>
                </w:p>
                <w:p w:rsidR="00F04EEF" w:rsidRDefault="0099351E">
                  <w:pPr>
                    <w:jc w:val="both"/>
                    <w:rPr>
                      <w:rFonts w:cs="Arial"/>
                      <w:spacing w:val="-2"/>
                    </w:rPr>
                  </w:pPr>
                  <w:r>
                    <w:rPr>
                      <w:rFonts w:cs="Arial"/>
                      <w:spacing w:val="-2"/>
                    </w:rPr>
                    <w:t>-</w:t>
                  </w:r>
                  <w:r>
                    <w:rPr>
                      <w:rFonts w:cs="Arial"/>
                      <w:spacing w:val="-2"/>
                    </w:rPr>
                    <w:tab/>
                    <w:t>…………………………………………………………………………………………………………………….</w:t>
                  </w:r>
                </w:p>
                <w:p w:rsidR="00F04EEF" w:rsidRDefault="0099351E">
                  <w:pPr>
                    <w:jc w:val="both"/>
                    <w:rPr>
                      <w:rFonts w:cs="Arial"/>
                      <w:spacing w:val="-2"/>
                    </w:rPr>
                  </w:pPr>
                  <w:r>
                    <w:rPr>
                      <w:rFonts w:cs="Arial"/>
                      <w:spacing w:val="-2"/>
                    </w:rPr>
                    <w:t>-</w:t>
                  </w:r>
                  <w:r>
                    <w:rPr>
                      <w:rFonts w:cs="Arial"/>
                      <w:spacing w:val="-2"/>
                    </w:rPr>
                    <w:tab/>
                    <w:t>…………………………………………………………………………………………………………………….</w:t>
                  </w:r>
                </w:p>
                <w:p w:rsidR="00F04EEF" w:rsidRDefault="0099351E">
                  <w:pPr>
                    <w:jc w:val="both"/>
                    <w:rPr>
                      <w:rFonts w:cs="Arial"/>
                      <w:spacing w:val="-2"/>
                    </w:rPr>
                  </w:pPr>
                  <w:r>
                    <w:rPr>
                      <w:rFonts w:cs="Arial"/>
                      <w:spacing w:val="-2"/>
                    </w:rPr>
                    <w:t>-</w:t>
                  </w:r>
                  <w:r>
                    <w:rPr>
                      <w:rFonts w:cs="Arial"/>
                      <w:spacing w:val="-2"/>
                    </w:rPr>
                    <w:tab/>
                    <w:t>…………………………………………………………………………………………………………………….</w:t>
                  </w:r>
                </w:p>
                <w:p w:rsidR="00F04EEF" w:rsidRDefault="00F04EEF">
                  <w:pPr>
                    <w:jc w:val="both"/>
                    <w:rPr>
                      <w:rFonts w:cs="Arial"/>
                      <w:spacing w:val="-2"/>
                    </w:rPr>
                  </w:pPr>
                </w:p>
                <w:p w:rsidR="00F04EEF" w:rsidRDefault="0099351E">
                  <w:pPr>
                    <w:jc w:val="both"/>
                    <w:rPr>
                      <w:rFonts w:cs="Arial"/>
                      <w:spacing w:val="-2"/>
                    </w:rPr>
                  </w:pPr>
                  <w:r>
                    <w:rPr>
                      <w:rFonts w:cs="Arial"/>
                      <w:spacing w:val="-2"/>
                    </w:rPr>
                    <w:t>Il(s) a (ont) fait l'objet :</w:t>
                  </w:r>
                </w:p>
                <w:p w:rsidR="00F04EEF" w:rsidRDefault="00F04EEF">
                  <w:pPr>
                    <w:rPr>
                      <w:rFonts w:cs="Arial"/>
                      <w:spacing w:val="-2"/>
                    </w:rPr>
                  </w:pPr>
                </w:p>
                <w:p w:rsidR="00F04EEF" w:rsidRDefault="0099351E">
                  <w:pPr>
                    <w:rPr>
                      <w:rFonts w:cs="Arial"/>
                      <w:spacing w:val="-2"/>
                    </w:rPr>
                  </w:pPr>
                  <w:r>
                    <w:rPr>
                      <w:rFonts w:cs="Arial"/>
                      <w:spacing w:val="-2"/>
                    </w:rPr>
                    <w:t xml:space="preserve">- de ma (mes) lettre(s) du (des) </w:t>
                  </w:r>
                </w:p>
                <w:p w:rsidR="00F04EEF" w:rsidRDefault="00F04EEF">
                  <w:pPr>
                    <w:rPr>
                      <w:rFonts w:cs="Arial"/>
                      <w:spacing w:val="-2"/>
                    </w:rPr>
                  </w:pPr>
                </w:p>
                <w:p w:rsidR="00F04EEF" w:rsidRDefault="0099351E">
                  <w:pPr>
                    <w:rPr>
                      <w:rFonts w:cs="Arial"/>
                      <w:spacing w:val="-2"/>
                    </w:rPr>
                  </w:pPr>
                  <w:r>
                    <w:rPr>
                      <w:rFonts w:cs="Arial"/>
                      <w:spacing w:val="-2"/>
                    </w:rPr>
                    <w:t xml:space="preserve">- de ma (mes) note(s) au journal de classe du (des) </w:t>
                  </w:r>
                </w:p>
                <w:p w:rsidR="00F04EEF" w:rsidRDefault="00F04EEF">
                  <w:pPr>
                    <w:rPr>
                      <w:rFonts w:cs="Arial"/>
                      <w:spacing w:val="-2"/>
                    </w:rPr>
                  </w:pPr>
                </w:p>
                <w:p w:rsidR="00F04EEF" w:rsidRDefault="0099351E">
                  <w:pPr>
                    <w:rPr>
                      <w:rFonts w:cs="Arial"/>
                      <w:spacing w:val="-2"/>
                    </w:rPr>
                  </w:pPr>
                  <w:r>
                    <w:rPr>
                      <w:rFonts w:cs="Arial"/>
                      <w:spacing w:val="-2"/>
                    </w:rPr>
                    <w:t xml:space="preserve">- de l’audition de l’élève mineur en présence du responsable légal ou de l’élève majeur du </w:t>
                  </w:r>
                </w:p>
                <w:p w:rsidR="00F04EEF" w:rsidRDefault="00F04EEF">
                  <w:pPr>
                    <w:jc w:val="both"/>
                    <w:rPr>
                      <w:rFonts w:cs="Arial"/>
                      <w:spacing w:val="-2"/>
                    </w:rPr>
                  </w:pPr>
                </w:p>
                <w:p w:rsidR="00F04EEF" w:rsidRDefault="0099351E">
                  <w:pPr>
                    <w:pStyle w:val="Corpsdetexte"/>
                    <w:rPr>
                      <w:spacing w:val="-2"/>
                      <w:szCs w:val="22"/>
                    </w:rPr>
                  </w:pPr>
                  <w:r>
                    <w:rPr>
                      <w:spacing w:val="-2"/>
                      <w:szCs w:val="22"/>
                    </w:rPr>
                    <w:t>Suite à votre audition, la procédure ainsi entamée pourrait conduire à une décision d’exclusion définitive conformément aux prescrits de l’article 81 du décret « missions » du 24 juillet 1997.</w:t>
                  </w:r>
                </w:p>
                <w:p w:rsidR="00F04EEF" w:rsidRDefault="00F04EEF">
                  <w:pPr>
                    <w:jc w:val="both"/>
                    <w:rPr>
                      <w:rFonts w:cs="Arial"/>
                      <w:spacing w:val="-2"/>
                    </w:rPr>
                  </w:pPr>
                </w:p>
                <w:p w:rsidR="00F04EEF" w:rsidRDefault="0099351E">
                  <w:pPr>
                    <w:jc w:val="both"/>
                    <w:rPr>
                      <w:rFonts w:cs="Arial"/>
                      <w:spacing w:val="-2"/>
                    </w:rPr>
                  </w:pPr>
                  <w:r>
                    <w:rPr>
                      <w:rFonts w:cs="Arial"/>
                      <w:spacing w:val="-2"/>
                    </w:rPr>
                    <w:t>En cas d'impossibilité de vous libérer ce jour-là, je vous invite à prendre contact avec moi pour fixer un autre rendez-vous.</w:t>
                  </w:r>
                </w:p>
                <w:p w:rsidR="00F04EEF" w:rsidRDefault="00F04EEF">
                  <w:pPr>
                    <w:jc w:val="both"/>
                    <w:rPr>
                      <w:rFonts w:cs="Arial"/>
                      <w:spacing w:val="-2"/>
                    </w:rPr>
                  </w:pPr>
                </w:p>
                <w:p w:rsidR="00F04EEF" w:rsidRDefault="0099351E">
                  <w:pPr>
                    <w:jc w:val="both"/>
                    <w:rPr>
                      <w:rFonts w:cs="Arial"/>
                      <w:spacing w:val="-2"/>
                    </w:rPr>
                  </w:pPr>
                  <w:r>
                    <w:rPr>
                      <w:rFonts w:cs="Arial"/>
                      <w:spacing w:val="-2"/>
                    </w:rPr>
                    <w:t>J'insiste sur l'urgence.</w:t>
                  </w:r>
                </w:p>
                <w:p w:rsidR="00F04EEF" w:rsidRDefault="00F04EEF">
                  <w:pPr>
                    <w:jc w:val="both"/>
                    <w:rPr>
                      <w:rFonts w:cs="Arial"/>
                      <w:spacing w:val="-2"/>
                    </w:rPr>
                  </w:pPr>
                </w:p>
                <w:p w:rsidR="00F04EEF" w:rsidRDefault="0099351E">
                  <w:pPr>
                    <w:jc w:val="both"/>
                    <w:rPr>
                      <w:rFonts w:cs="Arial"/>
                      <w:spacing w:val="-2"/>
                    </w:rPr>
                  </w:pPr>
                  <w:r>
                    <w:rPr>
                      <w:rFonts w:cs="Arial"/>
                      <w:spacing w:val="-2"/>
                    </w:rPr>
                    <w:t>Il vous sera loisible de consulter sur place le dossier disciplinaire établi à charge de votre fils (fille). Vous pouvez vous faire assister, si vous le souhaitez, d'un défenseur.</w:t>
                  </w:r>
                </w:p>
                <w:p w:rsidR="00F04EEF" w:rsidRDefault="0099351E">
                  <w:pPr>
                    <w:jc w:val="both"/>
                    <w:rPr>
                      <w:rFonts w:cs="Arial"/>
                      <w:spacing w:val="-2"/>
                    </w:rPr>
                  </w:pPr>
                  <w:r>
                    <w:rPr>
                      <w:rFonts w:cs="Arial"/>
                      <w:spacing w:val="-2"/>
                    </w:rPr>
                    <w:t>J’attire votre attention sur le fait que si vous n’estimiez pas devoir donner suite à la présente convocation, la procédure disciplinaire serait poursuivie d’office.</w:t>
                  </w:r>
                </w:p>
                <w:p w:rsidR="00F04EEF" w:rsidRDefault="00F04EEF">
                  <w:pPr>
                    <w:jc w:val="both"/>
                    <w:rPr>
                      <w:rFonts w:cs="Arial"/>
                      <w:spacing w:val="-2"/>
                    </w:rPr>
                  </w:pPr>
                </w:p>
                <w:p w:rsidR="00F04EEF" w:rsidRDefault="0099351E">
                  <w:pPr>
                    <w:jc w:val="both"/>
                    <w:rPr>
                      <w:rFonts w:cs="Arial"/>
                      <w:i/>
                      <w:spacing w:val="-2"/>
                    </w:rPr>
                  </w:pPr>
                  <w:r>
                    <w:rPr>
                      <w:rFonts w:cs="Arial"/>
                      <w:b/>
                      <w:i/>
                      <w:caps/>
                      <w:spacing w:val="-2"/>
                    </w:rPr>
                    <w:t>éventuellement s’il y a danger</w:t>
                  </w:r>
                  <w:r>
                    <w:rPr>
                      <w:rFonts w:cs="Arial"/>
                      <w:b/>
                      <w:i/>
                      <w:spacing w:val="-2"/>
                    </w:rPr>
                    <w:t> </w:t>
                  </w:r>
                  <w:r>
                    <w:rPr>
                      <w:rFonts w:cs="Arial"/>
                      <w:i/>
                      <w:spacing w:val="-2"/>
                    </w:rPr>
                    <w:t>:</w:t>
                  </w:r>
                </w:p>
                <w:p w:rsidR="00F04EEF" w:rsidRDefault="00F04EEF">
                  <w:pPr>
                    <w:jc w:val="both"/>
                    <w:rPr>
                      <w:rFonts w:cs="Arial"/>
                      <w:i/>
                      <w:spacing w:val="-2"/>
                    </w:rPr>
                  </w:pPr>
                </w:p>
                <w:p w:rsidR="00F04EEF" w:rsidRDefault="0099351E">
                  <w:pPr>
                    <w:jc w:val="both"/>
                    <w:rPr>
                      <w:rFonts w:cs="Arial"/>
                      <w:spacing w:val="-2"/>
                    </w:rPr>
                  </w:pPr>
                  <w:r>
                    <w:rPr>
                      <w:rFonts w:cs="Arial"/>
                      <w:spacing w:val="-2"/>
                    </w:rPr>
                    <w:t xml:space="preserve">Jusqu'à la décision que je prendrai suite à votre audition et à la procédure qui s'en suivra, eu égard à la gravité du (des) fait(s) susceptible(s) d'entraîner une exclusion définitive, je vous signale que votre fils (fille) est écarté(e) provisoirement de l'établissement à partir du </w:t>
                  </w:r>
                  <w:r>
                    <w:rPr>
                      <w:rFonts w:cs="Arial"/>
                      <w:spacing w:val="-2"/>
                    </w:rPr>
                    <w:tab/>
                  </w:r>
                  <w:r>
                    <w:rPr>
                      <w:rFonts w:cs="Arial"/>
                      <w:spacing w:val="-2"/>
                    </w:rPr>
                    <w:tab/>
                  </w:r>
                  <w:r>
                    <w:rPr>
                      <w:rFonts w:cs="Arial"/>
                      <w:spacing w:val="-2"/>
                    </w:rPr>
                    <w:tab/>
                  </w:r>
                  <w:r>
                    <w:rPr>
                      <w:rFonts w:cs="Arial"/>
                      <w:spacing w:val="-2"/>
                    </w:rPr>
                    <w:tab/>
                  </w:r>
                  <w:r>
                    <w:rPr>
                      <w:rFonts w:cs="Arial"/>
                      <w:spacing w:val="-2"/>
                    </w:rPr>
                    <w:tab/>
                    <w:t>et ce conformément au prescrit l’article 81 § 2 du décret « missions ».</w:t>
                  </w:r>
                </w:p>
                <w:p w:rsidR="00F04EEF" w:rsidRDefault="00F04EEF">
                  <w:pPr>
                    <w:jc w:val="both"/>
                    <w:rPr>
                      <w:rFonts w:cs="Arial"/>
                      <w:spacing w:val="-2"/>
                    </w:rPr>
                  </w:pPr>
                </w:p>
                <w:p w:rsidR="00F04EEF" w:rsidRDefault="0099351E">
                  <w:pPr>
                    <w:jc w:val="both"/>
                    <w:rPr>
                      <w:rFonts w:cs="Arial"/>
                      <w:spacing w:val="-2"/>
                    </w:rPr>
                  </w:pPr>
                  <w:r>
                    <w:rPr>
                      <w:rFonts w:cs="Arial"/>
                      <w:spacing w:val="-2"/>
                    </w:rPr>
                    <w:t>Eu égard à son importance, la présente vous est à la fois adressée par pli ordinaire et par pli recommandé.</w:t>
                  </w:r>
                </w:p>
                <w:p w:rsidR="00F04EEF" w:rsidRDefault="00F04EEF">
                  <w:pPr>
                    <w:jc w:val="both"/>
                    <w:rPr>
                      <w:rFonts w:cs="Arial"/>
                      <w:spacing w:val="-2"/>
                    </w:rPr>
                  </w:pPr>
                </w:p>
                <w:p w:rsidR="00F04EEF" w:rsidRDefault="0099351E">
                  <w:pPr>
                    <w:jc w:val="both"/>
                    <w:rPr>
                      <w:rFonts w:cs="Arial"/>
                      <w:spacing w:val="-2"/>
                    </w:rPr>
                  </w:pPr>
                  <w:r>
                    <w:rPr>
                      <w:rFonts w:cs="Arial"/>
                      <w:spacing w:val="-2"/>
                    </w:rPr>
                    <w:t>Veuillez agréer, Madame, Monsieur, l'assurance de ma considération distinguée.</w:t>
                  </w:r>
                </w:p>
                <w:p w:rsidR="00F04EEF" w:rsidRDefault="0099351E">
                  <w:pPr>
                    <w:jc w:val="both"/>
                    <w:rPr>
                      <w:rFonts w:cs="Arial"/>
                      <w:spacing w:val="-2"/>
                    </w:rPr>
                  </w:pPr>
                  <w:r>
                    <w:rPr>
                      <w:rFonts w:cs="Arial"/>
                      <w:spacing w:val="-2"/>
                    </w:rPr>
                    <w:br w:type="page"/>
                  </w:r>
                </w:p>
                <w:bookmarkStart w:id="1306" w:name="_Annexe_15_:_1"/>
                <w:bookmarkStart w:id="1307" w:name="annexe16"/>
                <w:bookmarkStart w:id="1308" w:name="_Toc412204108"/>
                <w:bookmarkStart w:id="1309" w:name="_Toc414352916"/>
                <w:bookmarkStart w:id="1310" w:name="_Toc453836940"/>
                <w:bookmarkEnd w:id="1306"/>
                <w:p w:rsidR="00F04EEF" w:rsidRDefault="0099351E">
                  <w:pPr>
                    <w:pStyle w:val="Titre4"/>
                  </w:pPr>
                  <w:r>
                    <w:rPr>
                      <w:rFonts w:cs="Arial"/>
                      <w:noProof/>
                      <w:lang w:eastAsia="fr-BE"/>
                    </w:rPr>
                    <mc:AlternateContent>
                      <mc:Choice Requires="wps">
                        <w:drawing>
                          <wp:anchor distT="0" distB="0" distL="114300" distR="114300" simplePos="0" relativeHeight="252196864" behindDoc="0" locked="0" layoutInCell="1" allowOverlap="1">
                            <wp:simplePos x="0" y="0"/>
                            <wp:positionH relativeFrom="column">
                              <wp:posOffset>6810375</wp:posOffset>
                            </wp:positionH>
                            <wp:positionV relativeFrom="paragraph">
                              <wp:posOffset>170180</wp:posOffset>
                            </wp:positionV>
                            <wp:extent cx="0" cy="190500"/>
                            <wp:effectExtent l="0" t="0" r="19050" b="19050"/>
                            <wp:wrapNone/>
                            <wp:docPr id="51" name="Connecteur droit 51"/>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185FFC6" id="Connecteur droit 51" o:spid="_x0000_s1026" style="position:absolute;z-index:252196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36.25pt,13.4pt" to="536.2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" strokecolor="black [3213]"/>
                        </w:pict>
                      </mc:Fallback>
                    </mc:AlternateContent>
                  </w:r>
                  <w:r>
                    <w:t>Annexe 10 </w:t>
                  </w:r>
                  <w:bookmarkEnd w:id="1307"/>
                  <w:r>
                    <w:t xml:space="preserve">: Modèle de lettre de notification de la décision d’exclusion  (Parents) - Enseignement organisé par </w:t>
                  </w:r>
                  <w:bookmarkEnd w:id="1308"/>
                  <w:bookmarkEnd w:id="1309"/>
                  <w:bookmarkEnd w:id="1310"/>
                  <w:r>
                    <w:t>WBE</w:t>
                  </w:r>
                </w:p>
                <w:p w:rsidR="00F04EEF" w:rsidRDefault="00F04EEF">
                  <w:pPr>
                    <w:rPr>
                      <w:rFonts w:cs="Arial"/>
                      <w:b/>
                      <w:u w:val="single"/>
                    </w:rPr>
                  </w:pPr>
                </w:p>
                <w:p w:rsidR="00F04EEF" w:rsidRDefault="0099351E">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rsidR="00F04EEF" w:rsidRDefault="00F04EEF">
                  <w:pPr>
                    <w:rPr>
                      <w:rFonts w:cs="Arial"/>
                      <w:b/>
                      <w:u w:val="single"/>
                    </w:rPr>
                  </w:pPr>
                </w:p>
                <w:p w:rsidR="00F04EEF" w:rsidRDefault="00F04EEF">
                  <w:pPr>
                    <w:rPr>
                      <w:rFonts w:cs="Arial"/>
                      <w:b/>
                      <w:u w:val="single"/>
                    </w:rPr>
                  </w:pPr>
                </w:p>
                <w:p w:rsidR="00F04EEF" w:rsidRDefault="0099351E">
                  <w:pPr>
                    <w:rPr>
                      <w:rFonts w:cs="Arial"/>
                      <w:spacing w:val="-2"/>
                    </w:rPr>
                  </w:pPr>
                  <w:r>
                    <w:rPr>
                      <w:rFonts w:cs="Arial"/>
                      <w:spacing w:val="-2"/>
                    </w:rPr>
                    <w:t>Madame,</w:t>
                  </w:r>
                </w:p>
                <w:p w:rsidR="00F04EEF" w:rsidRDefault="0099351E">
                  <w:pPr>
                    <w:rPr>
                      <w:rFonts w:cs="Arial"/>
                      <w:spacing w:val="-2"/>
                    </w:rPr>
                  </w:pPr>
                  <w:r>
                    <w:rPr>
                      <w:rFonts w:cs="Arial"/>
                      <w:spacing w:val="-2"/>
                    </w:rPr>
                    <w:t>Monsieur,</w:t>
                  </w:r>
                </w:p>
                <w:p w:rsidR="00F04EEF" w:rsidRDefault="00F04EEF">
                  <w:pPr>
                    <w:rPr>
                      <w:rFonts w:cs="Arial"/>
                      <w:spacing w:val="-2"/>
                    </w:rPr>
                  </w:pPr>
                </w:p>
                <w:p w:rsidR="00F04EEF" w:rsidRDefault="00F04EEF">
                  <w:pPr>
                    <w:rPr>
                      <w:rFonts w:cs="Arial"/>
                      <w:spacing w:val="-2"/>
                    </w:rPr>
                  </w:pPr>
                </w:p>
                <w:p w:rsidR="00F04EEF" w:rsidRDefault="0099351E">
                  <w:pPr>
                    <w:jc w:val="both"/>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exclusion définitive</w:t>
                  </w:r>
                </w:p>
                <w:p w:rsidR="00F04EEF" w:rsidRDefault="00F04EEF">
                  <w:pPr>
                    <w:jc w:val="both"/>
                    <w:rPr>
                      <w:rFonts w:cs="Arial"/>
                      <w:spacing w:val="-2"/>
                    </w:rPr>
                  </w:pPr>
                </w:p>
                <w:p w:rsidR="00F04EEF" w:rsidRDefault="00F04EEF">
                  <w:pPr>
                    <w:jc w:val="both"/>
                    <w:rPr>
                      <w:rFonts w:cs="Arial"/>
                      <w:spacing w:val="-2"/>
                    </w:rPr>
                  </w:pPr>
                </w:p>
                <w:p w:rsidR="00F04EEF" w:rsidRDefault="0099351E">
                  <w:pPr>
                    <w:rPr>
                      <w:rFonts w:cs="Arial"/>
                      <w:spacing w:val="-2"/>
                    </w:rPr>
                  </w:pPr>
                  <w:r>
                    <w:rPr>
                      <w:rFonts w:cs="Arial"/>
                      <w:spacing w:val="-2"/>
                    </w:rPr>
                    <w:t xml:space="preserve">Vu la convocation notifiée le </w:t>
                  </w:r>
                </w:p>
                <w:p w:rsidR="00F04EEF" w:rsidRDefault="00F04EEF">
                  <w:pPr>
                    <w:jc w:val="both"/>
                    <w:rPr>
                      <w:rFonts w:cs="Arial"/>
                      <w:spacing w:val="-2"/>
                    </w:rPr>
                  </w:pPr>
                </w:p>
                <w:p w:rsidR="00F04EEF" w:rsidRDefault="0099351E">
                  <w:pPr>
                    <w:rPr>
                      <w:rFonts w:cs="Arial"/>
                      <w:spacing w:val="-2"/>
                    </w:rPr>
                  </w:pPr>
                  <w:r>
                    <w:rPr>
                      <w:rFonts w:cs="Arial"/>
                      <w:spacing w:val="-2"/>
                    </w:rPr>
                    <w:t>Après vous avoir entendu(e)(s) avec à votre fils (fille)</w:t>
                  </w:r>
                </w:p>
                <w:p w:rsidR="00F04EEF" w:rsidRDefault="0099351E">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 (Assisté(e)(s) de votre conseil) à propos des faits reprochés ;</w:t>
                  </w:r>
                </w:p>
                <w:p w:rsidR="00F04EEF" w:rsidRDefault="00F04EEF">
                  <w:pPr>
                    <w:jc w:val="both"/>
                    <w:rPr>
                      <w:rFonts w:cs="Arial"/>
                      <w:spacing w:val="-2"/>
                    </w:rPr>
                  </w:pPr>
                </w:p>
                <w:p w:rsidR="00F04EEF" w:rsidRDefault="0099351E">
                  <w:pPr>
                    <w:jc w:val="both"/>
                    <w:rPr>
                      <w:rFonts w:cs="Arial"/>
                      <w:spacing w:val="-2"/>
                    </w:rPr>
                  </w:pPr>
                  <w:r>
                    <w:rPr>
                      <w:rFonts w:cs="Arial"/>
                      <w:spacing w:val="-2"/>
                    </w:rPr>
                    <w:t>Vu l'absence de réaction quant à cette convocation;</w:t>
                  </w:r>
                </w:p>
                <w:p w:rsidR="00F04EEF" w:rsidRDefault="00F04EEF">
                  <w:pPr>
                    <w:jc w:val="both"/>
                    <w:rPr>
                      <w:rFonts w:cs="Arial"/>
                      <w:spacing w:val="-2"/>
                    </w:rPr>
                  </w:pPr>
                </w:p>
                <w:p w:rsidR="00F04EEF" w:rsidRDefault="0099351E">
                  <w:pPr>
                    <w:jc w:val="both"/>
                    <w:rPr>
                      <w:rFonts w:cs="Arial"/>
                      <w:spacing w:val="-2"/>
                    </w:rPr>
                  </w:pPr>
                  <w:r>
                    <w:rPr>
                      <w:rFonts w:cs="Arial"/>
                      <w:spacing w:val="-2"/>
                    </w:rPr>
                    <w:t>Vu le dossier disciplinaire mis à votre disposition;</w:t>
                  </w:r>
                </w:p>
                <w:p w:rsidR="00F04EEF" w:rsidRDefault="00F04EEF">
                  <w:pPr>
                    <w:jc w:val="both"/>
                    <w:rPr>
                      <w:rFonts w:cs="Arial"/>
                      <w:spacing w:val="-2"/>
                    </w:rPr>
                  </w:pPr>
                </w:p>
                <w:p w:rsidR="00F04EEF" w:rsidRDefault="0099351E">
                  <w:pPr>
                    <w:jc w:val="both"/>
                    <w:rPr>
                      <w:rFonts w:cs="Arial"/>
                      <w:spacing w:val="-2"/>
                    </w:rPr>
                  </w:pPr>
                  <w:r>
                    <w:rPr>
                      <w:rFonts w:cs="Arial"/>
                      <w:spacing w:val="-2"/>
                    </w:rPr>
                    <w:t>Vu l’avis émis le</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rsidR="00F04EEF" w:rsidRDefault="00F04EEF">
                  <w:pPr>
                    <w:jc w:val="both"/>
                    <w:rPr>
                      <w:rFonts w:cs="Arial"/>
                      <w:spacing w:val="-2"/>
                    </w:rPr>
                  </w:pPr>
                </w:p>
                <w:p w:rsidR="00F04EEF" w:rsidRDefault="0099351E">
                  <w:pPr>
                    <w:jc w:val="both"/>
                    <w:rPr>
                      <w:rFonts w:cs="Arial"/>
                      <w:spacing w:val="-2"/>
                    </w:rPr>
                  </w:pPr>
                  <w:r>
                    <w:rPr>
                      <w:rFonts w:cs="Arial"/>
                      <w:spacing w:val="-2"/>
                    </w:rPr>
                    <w:t>Constatant que le(s) fait(s) suivant(s) peut (peuvent) être retenu(s) à charge de votre fils (fille) :</w:t>
                  </w:r>
                </w:p>
                <w:p w:rsidR="00F04EEF" w:rsidRDefault="00F04EEF">
                  <w:pPr>
                    <w:jc w:val="both"/>
                    <w:rPr>
                      <w:rFonts w:cs="Arial"/>
                      <w:spacing w:val="-2"/>
                    </w:rPr>
                  </w:pPr>
                </w:p>
                <w:p w:rsidR="00F04EEF" w:rsidRDefault="0099351E">
                  <w:pPr>
                    <w:jc w:val="both"/>
                    <w:rPr>
                      <w:rFonts w:cs="Arial"/>
                      <w:spacing w:val="-2"/>
                    </w:rPr>
                  </w:pPr>
                  <w:r>
                    <w:rPr>
                      <w:rFonts w:cs="Arial"/>
                      <w:spacing w:val="-2"/>
                    </w:rPr>
                    <w:t>-…………………………………………………………………………………………………………………………..</w:t>
                  </w:r>
                </w:p>
                <w:p w:rsidR="00F04EEF" w:rsidRDefault="0099351E">
                  <w:pPr>
                    <w:pStyle w:val="En-tte"/>
                    <w:tabs>
                      <w:tab w:val="clear" w:pos="4536"/>
                      <w:tab w:val="clear" w:pos="9072"/>
                    </w:tabs>
                    <w:jc w:val="both"/>
                    <w:rPr>
                      <w:rFonts w:asciiTheme="majorHAnsi" w:hAnsiTheme="majorHAnsi"/>
                      <w:spacing w:val="-2"/>
                      <w:szCs w:val="22"/>
                    </w:rPr>
                  </w:pPr>
                  <w:r>
                    <w:rPr>
                      <w:rFonts w:asciiTheme="majorHAnsi" w:hAnsiTheme="majorHAnsi"/>
                      <w:spacing w:val="-2"/>
                      <w:szCs w:val="22"/>
                    </w:rPr>
                    <w:t>-…………………..………………………………………………………………………………………………………</w:t>
                  </w:r>
                </w:p>
                <w:p w:rsidR="00F04EEF" w:rsidRDefault="0099351E">
                  <w:pPr>
                    <w:jc w:val="both"/>
                    <w:rPr>
                      <w:rFonts w:cs="Arial"/>
                      <w:spacing w:val="-2"/>
                    </w:rPr>
                  </w:pPr>
                  <w:r>
                    <w:rPr>
                      <w:rFonts w:cs="Arial"/>
                      <w:spacing w:val="-2"/>
                    </w:rPr>
                    <w:t>-…………………………………………………………………………………………………………………………..</w:t>
                  </w:r>
                </w:p>
                <w:p w:rsidR="00F04EEF" w:rsidRDefault="0099351E">
                  <w:pPr>
                    <w:jc w:val="both"/>
                    <w:rPr>
                      <w:rFonts w:cs="Arial"/>
                      <w:spacing w:val="-2"/>
                    </w:rPr>
                  </w:pPr>
                  <w:r>
                    <w:rPr>
                      <w:rFonts w:cs="Arial"/>
                      <w:spacing w:val="-2"/>
                    </w:rPr>
                    <w:t>-…………………………………………………………………………………………………………………………..</w:t>
                  </w:r>
                </w:p>
                <w:p w:rsidR="00F04EEF" w:rsidRDefault="00F04EEF">
                  <w:pPr>
                    <w:jc w:val="both"/>
                    <w:rPr>
                      <w:rFonts w:cs="Arial"/>
                      <w:spacing w:val="-2"/>
                    </w:rPr>
                  </w:pPr>
                </w:p>
                <w:p w:rsidR="00F04EEF" w:rsidRDefault="0099351E">
                  <w:pPr>
                    <w:jc w:val="both"/>
                    <w:rPr>
                      <w:rFonts w:cs="Arial"/>
                      <w:spacing w:val="-2"/>
                    </w:rPr>
                  </w:pPr>
                  <w:r>
                    <w:rPr>
                      <w:rFonts w:cs="Arial"/>
                      <w:spacing w:val="-2"/>
                    </w:rPr>
                    <w:t>Considérant dès lors que seule une sanction d'exclusion peut être prononcée, j'ai décidé de l'exclure définitivement de mon établissement à dater du</w:t>
                  </w:r>
                  <w:r>
                    <w:rPr>
                      <w:rFonts w:cs="Arial"/>
                      <w:spacing w:val="-2"/>
                    </w:rPr>
                    <w:tab/>
                  </w:r>
                  <w:r>
                    <w:rPr>
                      <w:rFonts w:cs="Arial"/>
                      <w:spacing w:val="-2"/>
                    </w:rPr>
                    <w:tab/>
                  </w:r>
                  <w:r>
                    <w:rPr>
                      <w:rFonts w:cs="Arial"/>
                      <w:spacing w:val="-2"/>
                    </w:rPr>
                    <w:tab/>
                  </w:r>
                  <w:r>
                    <w:rPr>
                      <w:rFonts w:cs="Arial"/>
                      <w:spacing w:val="-2"/>
                    </w:rPr>
                    <w:tab/>
                  </w:r>
                  <w:r>
                    <w:rPr>
                      <w:rFonts w:cs="Arial"/>
                      <w:spacing w:val="-2"/>
                    </w:rPr>
                    <w:tab/>
                    <w:t>et ce en application de l’article 81 du Décret du 24 juillet 1997 définissant les missions prioritaires de l’enseignement fondamental et de l’enseignement secondaire et organisant les structures propres à les atteindre et en application du règlement d’ordre intérieur de l’établissement scolaire.</w:t>
                  </w:r>
                </w:p>
                <w:p w:rsidR="00F04EEF" w:rsidRDefault="0099351E">
                  <w:pPr>
                    <w:jc w:val="both"/>
                    <w:rPr>
                      <w:rFonts w:cs="Arial"/>
                      <w:spacing w:val="-2"/>
                    </w:rPr>
                  </w:pPr>
                  <w:r>
                    <w:rPr>
                      <w:rFonts w:cs="Arial"/>
                      <w:noProof/>
                      <w:lang w:eastAsia="fr-BE"/>
                    </w:rPr>
                    <mc:AlternateContent>
                      <mc:Choice Requires="wps">
                        <w:drawing>
                          <wp:anchor distT="0" distB="0" distL="114300" distR="114300" simplePos="0" relativeHeight="252198912" behindDoc="0" locked="0" layoutInCell="1" allowOverlap="1">
                            <wp:simplePos x="0" y="0"/>
                            <wp:positionH relativeFrom="column">
                              <wp:posOffset>6867525</wp:posOffset>
                            </wp:positionH>
                            <wp:positionV relativeFrom="paragraph">
                              <wp:posOffset>202565</wp:posOffset>
                            </wp:positionV>
                            <wp:extent cx="0" cy="190500"/>
                            <wp:effectExtent l="0" t="0" r="19050" b="19050"/>
                            <wp:wrapNone/>
                            <wp:docPr id="52" name="Connecteur droit 52"/>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8225196" id="Connecteur droit 52" o:spid="_x0000_s1026" style="position:absolute;z-index:252198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40.75pt,15.95pt" to="540.75pt,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" strokecolor="black [3213]"/>
                        </w:pict>
                      </mc:Fallback>
                    </mc:AlternateContent>
                  </w:r>
                </w:p>
                <w:p w:rsidR="00F04EEF" w:rsidRDefault="0099351E">
                  <w:pPr>
                    <w:jc w:val="both"/>
                    <w:rPr>
                      <w:rFonts w:cs="Arial"/>
                      <w:spacing w:val="-2"/>
                    </w:rPr>
                  </w:pPr>
                  <w:r>
                    <w:rPr>
                      <w:rFonts w:cs="Arial"/>
                      <w:spacing w:val="-2"/>
                    </w:rPr>
                    <w:t>Je vous rappelle qu'il vous est loisible d'introduire un recours administratif auprès de Wallonie Bruxelles Enseignement  (WBE) via le Service général de l’Enseignement organisé par la Fédération Wallonie-Bruxelles, Boulevard du Jardin Botanique, 20-22 à 1000 BRUXELLES. Il doit être introduit par lettre recommandée dans les 10 jours ouvrables  qui suivent la notification de l’exclusion définitive. Ce recours n'est toutefois pas suspensif de l'application de la sanction.</w:t>
                  </w:r>
                </w:p>
                <w:p w:rsidR="00F04EEF" w:rsidRDefault="00F04EEF">
                  <w:pPr>
                    <w:jc w:val="both"/>
                    <w:rPr>
                      <w:rFonts w:cs="Arial"/>
                      <w:spacing w:val="-2"/>
                    </w:rPr>
                  </w:pPr>
                </w:p>
                <w:p w:rsidR="00F04EEF" w:rsidRDefault="00F04EEF">
                  <w:pPr>
                    <w:jc w:val="both"/>
                    <w:rPr>
                      <w:rFonts w:cs="Arial"/>
                      <w:spacing w:val="-2"/>
                    </w:rPr>
                  </w:pPr>
                </w:p>
                <w:p w:rsidR="00F04EEF" w:rsidRDefault="00F04EEF">
                  <w:pPr>
                    <w:jc w:val="both"/>
                    <w:rPr>
                      <w:rFonts w:cs="Arial"/>
                      <w:spacing w:val="-2"/>
                    </w:rPr>
                  </w:pPr>
                </w:p>
                <w:p w:rsidR="00F04EEF" w:rsidRDefault="0099351E">
                  <w:pPr>
                    <w:jc w:val="both"/>
                    <w:rPr>
                      <w:rFonts w:cs="Arial"/>
                      <w:spacing w:val="-2"/>
                    </w:rPr>
                  </w:pPr>
                  <w:r>
                    <w:rPr>
                      <w:rFonts w:cs="Arial"/>
                      <w:spacing w:val="-2"/>
                    </w:rPr>
                    <w:t>Veuillez agréer, Madame, Monsieur, l'expression de ma considération distinguée.</w:t>
                  </w:r>
                </w:p>
                <w:p w:rsidR="00F04EEF" w:rsidRDefault="00F04EEF">
                  <w:pPr>
                    <w:jc w:val="both"/>
                    <w:rPr>
                      <w:rFonts w:cs="Arial"/>
                      <w:spacing w:val="-2"/>
                    </w:rPr>
                  </w:pPr>
                </w:p>
                <w:p w:rsidR="00F04EEF" w:rsidRDefault="0099351E">
                  <w:pPr>
                    <w:jc w:val="both"/>
                    <w:rPr>
                      <w:rFonts w:cs="Arial"/>
                      <w:spacing w:val="-2"/>
                    </w:rPr>
                  </w:pPr>
                  <w:r>
                    <w:rPr>
                      <w:rFonts w:cs="Arial"/>
                      <w:spacing w:val="-2"/>
                    </w:rPr>
                    <w:br w:type="page"/>
                  </w:r>
                </w:p>
                <w:bookmarkStart w:id="1311" w:name="_Annexe_16_:_1"/>
                <w:bookmarkStart w:id="1312" w:name="annexe17"/>
                <w:bookmarkStart w:id="1313" w:name="_Toc412204109"/>
                <w:bookmarkStart w:id="1314" w:name="_Toc414352917"/>
                <w:bookmarkStart w:id="1315" w:name="_Toc453836941"/>
                <w:bookmarkEnd w:id="1311"/>
                <w:p w:rsidR="00F04EEF" w:rsidRDefault="0099351E">
                  <w:pPr>
                    <w:pStyle w:val="Titre4"/>
                  </w:pPr>
                  <w:r>
                    <w:rPr>
                      <w:rFonts w:cs="Arial"/>
                      <w:noProof/>
                      <w:lang w:eastAsia="fr-BE"/>
                    </w:rPr>
                    <mc:AlternateContent>
                      <mc:Choice Requires="wps">
                        <w:drawing>
                          <wp:anchor distT="0" distB="0" distL="114300" distR="114300" simplePos="0" relativeHeight="252200960" behindDoc="0" locked="0" layoutInCell="1" allowOverlap="1">
                            <wp:simplePos x="0" y="0"/>
                            <wp:positionH relativeFrom="column">
                              <wp:posOffset>6858000</wp:posOffset>
                            </wp:positionH>
                            <wp:positionV relativeFrom="paragraph">
                              <wp:posOffset>74930</wp:posOffset>
                            </wp:positionV>
                            <wp:extent cx="0" cy="190500"/>
                            <wp:effectExtent l="0" t="0" r="19050" b="19050"/>
                            <wp:wrapNone/>
                            <wp:docPr id="53" name="Connecteur droit 53"/>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8EB6B69" id="Connecteur droit 53" o:spid="_x0000_s1026" style="position:absolute;z-index:252200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40pt,5.9pt" to="540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" strokecolor="black [3213]"/>
                        </w:pict>
                      </mc:Fallback>
                    </mc:AlternateContent>
                  </w:r>
                  <w:r>
                    <w:t>Annexe 11 </w:t>
                  </w:r>
                  <w:bookmarkEnd w:id="1312"/>
                  <w:r>
                    <w:t xml:space="preserve">: Modèle de lettre de notification de la décision de refus de réinscription. (Parents) - Enseignement organisé par </w:t>
                  </w:r>
                  <w:bookmarkEnd w:id="1313"/>
                  <w:bookmarkEnd w:id="1314"/>
                  <w:bookmarkEnd w:id="1315"/>
                  <w:r>
                    <w:t>WBE</w:t>
                  </w:r>
                </w:p>
                <w:p w:rsidR="00F04EEF" w:rsidRDefault="00F04EEF">
                  <w:pPr>
                    <w:rPr>
                      <w:rFonts w:cs="Arial"/>
                    </w:rPr>
                  </w:pPr>
                </w:p>
                <w:p w:rsidR="00F04EEF" w:rsidRDefault="0099351E">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rsidR="00F04EEF" w:rsidRDefault="00F04EEF">
                  <w:pPr>
                    <w:rPr>
                      <w:rFonts w:cs="Arial"/>
                      <w:b/>
                      <w:u w:val="single"/>
                    </w:rPr>
                  </w:pPr>
                </w:p>
                <w:p w:rsidR="00F04EEF" w:rsidRDefault="00F04EEF">
                  <w:pPr>
                    <w:rPr>
                      <w:rFonts w:cs="Arial"/>
                      <w:b/>
                      <w:u w:val="single"/>
                    </w:rPr>
                  </w:pPr>
                </w:p>
                <w:p w:rsidR="00F04EEF" w:rsidRDefault="0099351E">
                  <w:pPr>
                    <w:rPr>
                      <w:rFonts w:cs="Arial"/>
                      <w:spacing w:val="-2"/>
                    </w:rPr>
                  </w:pPr>
                  <w:r>
                    <w:rPr>
                      <w:rFonts w:cs="Arial"/>
                      <w:spacing w:val="-2"/>
                    </w:rPr>
                    <w:t>Madame,</w:t>
                  </w:r>
                </w:p>
                <w:p w:rsidR="00F04EEF" w:rsidRDefault="0099351E">
                  <w:pPr>
                    <w:rPr>
                      <w:rFonts w:cs="Arial"/>
                      <w:spacing w:val="-2"/>
                    </w:rPr>
                  </w:pPr>
                  <w:r>
                    <w:rPr>
                      <w:rFonts w:cs="Arial"/>
                      <w:spacing w:val="-2"/>
                    </w:rPr>
                    <w:t>Monsieur,</w:t>
                  </w:r>
                </w:p>
                <w:p w:rsidR="00F04EEF" w:rsidRDefault="00F04EEF">
                  <w:pPr>
                    <w:rPr>
                      <w:rFonts w:cs="Arial"/>
                      <w:spacing w:val="-2"/>
                    </w:rPr>
                  </w:pPr>
                </w:p>
                <w:p w:rsidR="00F04EEF" w:rsidRDefault="00F04EEF">
                  <w:pPr>
                    <w:rPr>
                      <w:rFonts w:cs="Arial"/>
                      <w:spacing w:val="-2"/>
                    </w:rPr>
                  </w:pPr>
                </w:p>
                <w:p w:rsidR="00F04EEF" w:rsidRDefault="0099351E">
                  <w:pPr>
                    <w:jc w:val="both"/>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refus de réinscription</w:t>
                  </w:r>
                </w:p>
                <w:p w:rsidR="00F04EEF" w:rsidRDefault="00F04EEF">
                  <w:pPr>
                    <w:jc w:val="both"/>
                    <w:rPr>
                      <w:rFonts w:cs="Arial"/>
                      <w:spacing w:val="-2"/>
                    </w:rPr>
                  </w:pPr>
                </w:p>
                <w:p w:rsidR="00F04EEF" w:rsidRDefault="0099351E">
                  <w:pPr>
                    <w:rPr>
                      <w:rFonts w:cs="Arial"/>
                      <w:spacing w:val="-2"/>
                    </w:rPr>
                  </w:pPr>
                  <w:r>
                    <w:rPr>
                      <w:rFonts w:cs="Arial"/>
                      <w:spacing w:val="-2"/>
                    </w:rPr>
                    <w:t xml:space="preserve">Vu la convocation notifiée le </w:t>
                  </w:r>
                </w:p>
                <w:p w:rsidR="00F04EEF" w:rsidRDefault="00F04EEF">
                  <w:pPr>
                    <w:jc w:val="both"/>
                    <w:rPr>
                      <w:rFonts w:cs="Arial"/>
                      <w:spacing w:val="-2"/>
                    </w:rPr>
                  </w:pPr>
                </w:p>
                <w:p w:rsidR="00F04EEF" w:rsidRDefault="0099351E">
                  <w:pPr>
                    <w:rPr>
                      <w:rFonts w:cs="Arial"/>
                      <w:spacing w:val="-2"/>
                    </w:rPr>
                  </w:pPr>
                  <w:r>
                    <w:rPr>
                      <w:rFonts w:cs="Arial"/>
                      <w:spacing w:val="-2"/>
                    </w:rPr>
                    <w:t xml:space="preserve">Après vous avoir entendu(e)(s) avec à votre fils (fille) </w:t>
                  </w:r>
                </w:p>
                <w:p w:rsidR="00F04EEF" w:rsidRDefault="0099351E">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t>(assisté(e)(s) de votre conseil) à propos des faits reprochés ;</w:t>
                  </w:r>
                </w:p>
                <w:p w:rsidR="00F04EEF" w:rsidRDefault="00F04EEF">
                  <w:pPr>
                    <w:jc w:val="both"/>
                    <w:rPr>
                      <w:rFonts w:cs="Arial"/>
                      <w:spacing w:val="-2"/>
                    </w:rPr>
                  </w:pPr>
                </w:p>
                <w:p w:rsidR="00F04EEF" w:rsidRDefault="0099351E">
                  <w:pPr>
                    <w:jc w:val="both"/>
                    <w:rPr>
                      <w:rFonts w:cs="Arial"/>
                      <w:spacing w:val="-2"/>
                    </w:rPr>
                  </w:pPr>
                  <w:r>
                    <w:rPr>
                      <w:rFonts w:cs="Arial"/>
                      <w:spacing w:val="-2"/>
                    </w:rPr>
                    <w:t>Vu l'absence de réaction quant à cette convocation;</w:t>
                  </w:r>
                </w:p>
                <w:p w:rsidR="00F04EEF" w:rsidRDefault="00F04EEF">
                  <w:pPr>
                    <w:jc w:val="both"/>
                    <w:rPr>
                      <w:rFonts w:cs="Arial"/>
                      <w:spacing w:val="-2"/>
                    </w:rPr>
                  </w:pPr>
                </w:p>
                <w:p w:rsidR="00F04EEF" w:rsidRDefault="0099351E">
                  <w:pPr>
                    <w:jc w:val="both"/>
                    <w:rPr>
                      <w:rFonts w:cs="Arial"/>
                      <w:spacing w:val="-2"/>
                    </w:rPr>
                  </w:pPr>
                  <w:r>
                    <w:rPr>
                      <w:rFonts w:cs="Arial"/>
                      <w:spacing w:val="-2"/>
                    </w:rPr>
                    <w:t>Vu le dossier disciplinaire mis à votre disposition;</w:t>
                  </w:r>
                </w:p>
                <w:p w:rsidR="00F04EEF" w:rsidRDefault="00F04EEF">
                  <w:pPr>
                    <w:jc w:val="both"/>
                    <w:rPr>
                      <w:rFonts w:cs="Arial"/>
                      <w:spacing w:val="-2"/>
                    </w:rPr>
                  </w:pPr>
                </w:p>
                <w:p w:rsidR="00F04EEF" w:rsidRDefault="0099351E">
                  <w:pPr>
                    <w:jc w:val="both"/>
                    <w:rPr>
                      <w:rFonts w:cs="Arial"/>
                      <w:spacing w:val="-2"/>
                    </w:rPr>
                  </w:pPr>
                  <w:r>
                    <w:rPr>
                      <w:rFonts w:cs="Arial"/>
                      <w:spacing w:val="-2"/>
                    </w:rPr>
                    <w:t xml:space="preserve">Vu l'avis émis le </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rsidR="00F04EEF" w:rsidRDefault="00F04EEF">
                  <w:pPr>
                    <w:jc w:val="both"/>
                    <w:rPr>
                      <w:rFonts w:cs="Arial"/>
                      <w:spacing w:val="-2"/>
                    </w:rPr>
                  </w:pPr>
                </w:p>
                <w:p w:rsidR="00F04EEF" w:rsidRDefault="0099351E">
                  <w:pPr>
                    <w:jc w:val="both"/>
                    <w:rPr>
                      <w:rFonts w:cs="Arial"/>
                      <w:spacing w:val="-2"/>
                    </w:rPr>
                  </w:pPr>
                  <w:r>
                    <w:rPr>
                      <w:rFonts w:cs="Arial"/>
                      <w:spacing w:val="-2"/>
                    </w:rPr>
                    <w:t>Constatant que le(s) fait(s) suivant(s) peut (peuvent) être retenu(s) à charge de votre fils (fille) :</w:t>
                  </w:r>
                </w:p>
                <w:p w:rsidR="00F04EEF" w:rsidRDefault="00F04EEF">
                  <w:pPr>
                    <w:jc w:val="both"/>
                    <w:rPr>
                      <w:rFonts w:cs="Arial"/>
                      <w:spacing w:val="-2"/>
                    </w:rPr>
                  </w:pPr>
                </w:p>
                <w:p w:rsidR="00F04EEF" w:rsidRDefault="0099351E">
                  <w:pPr>
                    <w:jc w:val="both"/>
                    <w:rPr>
                      <w:rFonts w:cs="Arial"/>
                      <w:spacing w:val="-2"/>
                    </w:rPr>
                  </w:pPr>
                  <w:r>
                    <w:rPr>
                      <w:rFonts w:cs="Arial"/>
                      <w:spacing w:val="-2"/>
                    </w:rPr>
                    <w:t>-…………………………………………………………………………………………………………………………..</w:t>
                  </w:r>
                </w:p>
                <w:p w:rsidR="00F04EEF" w:rsidRDefault="0099351E">
                  <w:pPr>
                    <w:pStyle w:val="En-tte"/>
                    <w:tabs>
                      <w:tab w:val="clear" w:pos="4536"/>
                      <w:tab w:val="clear" w:pos="9072"/>
                    </w:tabs>
                    <w:jc w:val="both"/>
                    <w:rPr>
                      <w:rFonts w:asciiTheme="majorHAnsi" w:hAnsiTheme="majorHAnsi"/>
                      <w:spacing w:val="-2"/>
                      <w:szCs w:val="22"/>
                    </w:rPr>
                  </w:pPr>
                  <w:r>
                    <w:rPr>
                      <w:rFonts w:asciiTheme="majorHAnsi" w:hAnsiTheme="majorHAnsi"/>
                      <w:spacing w:val="-2"/>
                      <w:szCs w:val="22"/>
                    </w:rPr>
                    <w:t>-………………………………………..…………………………………………………………………………………</w:t>
                  </w:r>
                </w:p>
                <w:p w:rsidR="00F04EEF" w:rsidRDefault="0099351E">
                  <w:pPr>
                    <w:jc w:val="both"/>
                    <w:rPr>
                      <w:rFonts w:cs="Arial"/>
                      <w:spacing w:val="-2"/>
                    </w:rPr>
                  </w:pPr>
                  <w:r>
                    <w:rPr>
                      <w:rFonts w:cs="Arial"/>
                      <w:spacing w:val="-2"/>
                    </w:rPr>
                    <w:t>-…………………………………………………………………………………………………………………………..</w:t>
                  </w:r>
                </w:p>
                <w:p w:rsidR="00F04EEF" w:rsidRDefault="0099351E">
                  <w:pPr>
                    <w:jc w:val="both"/>
                    <w:rPr>
                      <w:rFonts w:cs="Arial"/>
                      <w:spacing w:val="-2"/>
                    </w:rPr>
                  </w:pPr>
                  <w:r>
                    <w:rPr>
                      <w:rFonts w:cs="Arial"/>
                      <w:spacing w:val="-2"/>
                    </w:rPr>
                    <w:t>-…………………………………………………………………………………………………………………………..</w:t>
                  </w:r>
                </w:p>
                <w:p w:rsidR="00F04EEF" w:rsidRDefault="00F04EEF">
                  <w:pPr>
                    <w:jc w:val="both"/>
                    <w:rPr>
                      <w:rFonts w:cs="Arial"/>
                      <w:spacing w:val="-2"/>
                    </w:rPr>
                  </w:pPr>
                </w:p>
                <w:p w:rsidR="00F04EEF" w:rsidRDefault="0099351E">
                  <w:pPr>
                    <w:jc w:val="both"/>
                    <w:rPr>
                      <w:rFonts w:cs="Arial"/>
                      <w:spacing w:val="-2"/>
                    </w:rPr>
                  </w:pPr>
                  <w:r>
                    <w:rPr>
                      <w:rFonts w:cs="Arial"/>
                      <w:spacing w:val="-2"/>
                    </w:rPr>
                    <w:t xml:space="preserve">J'ai décidé de refuser de le réinscrire à partir de l’année scolaire </w:t>
                  </w:r>
                  <w:r>
                    <w:rPr>
                      <w:rFonts w:cs="Arial"/>
                      <w:spacing w:val="-2"/>
                    </w:rPr>
                    <w:tab/>
                  </w:r>
                  <w:r>
                    <w:rPr>
                      <w:rFonts w:cs="Arial"/>
                      <w:spacing w:val="-2"/>
                    </w:rPr>
                    <w:tab/>
                    <w:t>-</w:t>
                  </w:r>
                  <w:r>
                    <w:rPr>
                      <w:rFonts w:cs="Arial"/>
                      <w:spacing w:val="-2"/>
                    </w:rPr>
                    <w:tab/>
                  </w:r>
                  <w:r>
                    <w:rPr>
                      <w:rFonts w:cs="Arial"/>
                      <w:spacing w:val="-2"/>
                    </w:rPr>
                    <w:tab/>
                    <w:t xml:space="preserve"> et ce en </w:t>
                  </w:r>
                  <w:r>
                    <w:rPr>
                      <w:rFonts w:cs="Arial"/>
                      <w:spacing w:val="-2"/>
                      <w:u w:val="single"/>
                    </w:rPr>
                    <w:t>application de l’article 83</w:t>
                  </w:r>
                  <w:r>
                    <w:rPr>
                      <w:rFonts w:cs="Arial"/>
                      <w:b/>
                      <w:spacing w:val="-2"/>
                      <w:u w:val="single"/>
                    </w:rPr>
                    <w:t xml:space="preserve"> </w:t>
                  </w:r>
                  <w:r>
                    <w:rPr>
                      <w:rFonts w:cs="Arial"/>
                      <w:spacing w:val="-2"/>
                      <w:u w:val="single"/>
                    </w:rPr>
                    <w:t>du Décret du 24/7/1997 définissant les missions prioritaires de l’enseignement fondamental et de l’enseignement secondaire et organisant les structures propres à les atteindre et en application du règlement d’ordre intérieur de l’établissement scolaire</w:t>
                  </w:r>
                  <w:r>
                    <w:rPr>
                      <w:rFonts w:cs="Arial"/>
                      <w:spacing w:val="-2"/>
                    </w:rPr>
                    <w:t>.</w:t>
                  </w:r>
                </w:p>
                <w:p w:rsidR="00F04EEF" w:rsidRDefault="0099351E">
                  <w:pPr>
                    <w:jc w:val="both"/>
                    <w:rPr>
                      <w:rFonts w:cs="Arial"/>
                      <w:spacing w:val="-2"/>
                    </w:rPr>
                  </w:pPr>
                  <w:r>
                    <w:rPr>
                      <w:rFonts w:cs="Arial"/>
                      <w:noProof/>
                      <w:lang w:eastAsia="fr-BE"/>
                    </w:rPr>
                    <mc:AlternateContent>
                      <mc:Choice Requires="wps">
                        <w:drawing>
                          <wp:anchor distT="0" distB="0" distL="114300" distR="114300" simplePos="0" relativeHeight="252203008" behindDoc="0" locked="0" layoutInCell="1" allowOverlap="1">
                            <wp:simplePos x="0" y="0"/>
                            <wp:positionH relativeFrom="column">
                              <wp:posOffset>6867525</wp:posOffset>
                            </wp:positionH>
                            <wp:positionV relativeFrom="paragraph">
                              <wp:posOffset>210820</wp:posOffset>
                            </wp:positionV>
                            <wp:extent cx="0" cy="285750"/>
                            <wp:effectExtent l="0" t="0" r="19050" b="19050"/>
                            <wp:wrapNone/>
                            <wp:docPr id="54" name="Connecteur droit 54"/>
                            <wp:cNvGraphicFramePr/>
                            <a:graphic xmlns:a="http://schemas.openxmlformats.org/drawingml/2006/main">
                              <a:graphicData uri="http://schemas.microsoft.com/office/word/2010/wordprocessingShape">
                                <wps:wsp>
                                  <wps:cNvCnPr/>
                                  <wps:spPr>
                                    <a:xfrm>
                                      <a:off x="0" y="0"/>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02F9F40" id="Connecteur droit 54" o:spid="_x0000_s1026" style="position:absolute;z-index:252203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40.75pt,16.6pt" to="540.75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" strokecolor="black [3213]"/>
                        </w:pict>
                      </mc:Fallback>
                    </mc:AlternateContent>
                  </w:r>
                </w:p>
                <w:p w:rsidR="00F04EEF" w:rsidRDefault="0099351E">
                  <w:pPr>
                    <w:jc w:val="both"/>
                    <w:rPr>
                      <w:rFonts w:cs="Arial"/>
                      <w:spacing w:val="-2"/>
                    </w:rPr>
                  </w:pPr>
                  <w:r>
                    <w:rPr>
                      <w:rFonts w:cs="Arial"/>
                      <w:spacing w:val="-2"/>
                    </w:rPr>
                    <w:t>Je vous rappelle qu'il vous est loisible d'introduire un recours administratif auprès de Wallonie-Bruxelles Enseignement  (WBE) via le Service général de l’Enseignement organisé par la Fédération Wallonie-Bruxelles, Boulevard du Jardin Botanique, 20-22 à 1000 Bruxelles. Il doit être introduit par lettre recommandée dans les 10 jours ouvrables qui suivent la notification du refus de réinscription. Ce recours n'est toutefois pas suspensif de l'application de la sanction.</w:t>
                  </w:r>
                </w:p>
                <w:p w:rsidR="00F04EEF" w:rsidRDefault="00F04EEF">
                  <w:pPr>
                    <w:jc w:val="both"/>
                    <w:rPr>
                      <w:rFonts w:cs="Arial"/>
                      <w:spacing w:val="-2"/>
                    </w:rPr>
                  </w:pPr>
                </w:p>
                <w:p w:rsidR="00F04EEF" w:rsidRDefault="0099351E">
                  <w:pPr>
                    <w:jc w:val="both"/>
                    <w:rPr>
                      <w:rFonts w:cs="Arial"/>
                      <w:spacing w:val="-2"/>
                    </w:rPr>
                  </w:pPr>
                  <w:r>
                    <w:rPr>
                      <w:rFonts w:cs="Arial"/>
                      <w:spacing w:val="-2"/>
                    </w:rPr>
                    <w:t>Veuillez agréer, Madame, Monsieur, l'expression de ma considération distinguée.</w:t>
                  </w:r>
                </w:p>
                <w:p w:rsidR="00F04EEF" w:rsidRDefault="00F04EEF">
                  <w:bookmarkStart w:id="1316" w:name="_Verso_des_annexes_1"/>
                  <w:bookmarkStart w:id="1317" w:name="_Toc412204110"/>
                  <w:bookmarkStart w:id="1318" w:name="_Toc414352918"/>
                  <w:bookmarkStart w:id="1319" w:name="_Toc453836942"/>
                  <w:bookmarkEnd w:id="1316"/>
                </w:p>
                <w:p w:rsidR="00F04EEF" w:rsidRDefault="0099351E">
                  <w:pPr>
                    <w:rPr>
                      <w:b/>
                      <w:u w:val="single"/>
                    </w:rPr>
                  </w:pPr>
                  <w:r>
                    <w:br w:type="page"/>
                  </w:r>
                </w:p>
                <w:p w:rsidR="00F04EEF" w:rsidRDefault="0099351E">
                  <w:pPr>
                    <w:pStyle w:val="Titre4"/>
                  </w:pPr>
                  <w:bookmarkStart w:id="1320" w:name="_Annexes_16_et"/>
                  <w:bookmarkEnd w:id="1320"/>
                  <w:r>
                    <w:t>Annexes 12 et 13/Verso : Services où une assistance peut être obtenue en vue d'une inscription dans un autre établissement scolaire</w:t>
                  </w:r>
                  <w:bookmarkEnd w:id="1317"/>
                  <w:bookmarkEnd w:id="1318"/>
                  <w:bookmarkEnd w:id="1319"/>
                </w:p>
                <w:bookmarkStart w:id="1321" w:name="annexe18"/>
                <w:bookmarkStart w:id="1322" w:name="_Toc412204111"/>
                <w:bookmarkStart w:id="1323" w:name="_Toc414352919"/>
                <w:bookmarkStart w:id="1324" w:name="_Toc453836943"/>
                <w:p w:rsidR="00F04EEF" w:rsidRDefault="0099351E">
                  <w:r>
                    <w:rPr>
                      <w:rFonts w:cs="Arial"/>
                      <w:noProof/>
                      <w:lang w:eastAsia="fr-BE"/>
                    </w:rPr>
                    <mc:AlternateContent>
                      <mc:Choice Requires="wps">
                        <w:drawing>
                          <wp:anchor distT="0" distB="0" distL="114300" distR="114300" simplePos="0" relativeHeight="252205056" behindDoc="0" locked="0" layoutInCell="1" allowOverlap="1">
                            <wp:simplePos x="0" y="0"/>
                            <wp:positionH relativeFrom="column">
                              <wp:posOffset>6819900</wp:posOffset>
                            </wp:positionH>
                            <wp:positionV relativeFrom="paragraph">
                              <wp:posOffset>174625</wp:posOffset>
                            </wp:positionV>
                            <wp:extent cx="0" cy="142875"/>
                            <wp:effectExtent l="0" t="0" r="19050" b="28575"/>
                            <wp:wrapNone/>
                            <wp:docPr id="55" name="Connecteur droit 55"/>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4CDFC30" id="Connecteur droit 55" o:spid="_x0000_s1026" style="position:absolute;z-index:252205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37pt,13.75pt" to="53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" strokecolor="black [3213]"/>
                        </w:pict>
                      </mc:Fallback>
                    </mc:AlternateContent>
                  </w:r>
                </w:p>
                <w:p w:rsidR="00F04EEF" w:rsidRDefault="0099351E">
                  <w:pPr>
                    <w:tabs>
                      <w:tab w:val="num" w:pos="0"/>
                    </w:tabs>
                    <w:rPr>
                      <w:rFonts w:cs="Arial"/>
                      <w:b/>
                      <w:color w:val="000080"/>
                    </w:rPr>
                  </w:pPr>
                  <w:r>
                    <w:rPr>
                      <w:rFonts w:cs="Arial"/>
                      <w:b/>
                      <w:color w:val="000080"/>
                    </w:rPr>
                    <w:t xml:space="preserve">ENSEIGNEMENT ORGANISE PAR WBE : </w:t>
                  </w:r>
                </w:p>
                <w:p w:rsidR="00F04EEF" w:rsidRDefault="0099351E">
                  <w:pPr>
                    <w:rPr>
                      <w:rFonts w:cs="Arial"/>
                      <w:b/>
                      <w:caps/>
                      <w:color w:val="000080"/>
                    </w:rPr>
                  </w:pPr>
                  <w:r>
                    <w:rPr>
                      <w:rFonts w:cs="Arial"/>
                      <w:b/>
                      <w:caps/>
                      <w:color w:val="000080"/>
                    </w:rPr>
                    <w:t>Pour l’enseignement fondamental :</w:t>
                  </w:r>
                </w:p>
                <w:tbl>
                  <w:tblPr>
                    <w:tblStyle w:val="Grilledutableau"/>
                    <w:tblW w:w="0" w:type="auto"/>
                    <w:tblLook w:val="04A0" w:firstRow="1" w:lastRow="0" w:firstColumn="1" w:lastColumn="0" w:noHBand="0" w:noVBand="1"/>
                  </w:tblPr>
                  <w:tblGrid>
                    <w:gridCol w:w="4672"/>
                    <w:gridCol w:w="4672"/>
                  </w:tblGrid>
                  <w:tr w:rsidR="00F04EEF">
                    <w:tc>
                      <w:tcPr>
                        <w:tcW w:w="4672" w:type="dxa"/>
                      </w:tcPr>
                      <w:p w:rsidR="00F04EEF" w:rsidRDefault="0099351E">
                        <w:pPr>
                          <w:ind w:left="1080" w:hanging="1080"/>
                          <w:rPr>
                            <w:rFonts w:cs="Times New Roman"/>
                            <w:lang w:val="fr-FR" w:eastAsia="fr-FR"/>
                          </w:rPr>
                        </w:pPr>
                        <w:r>
                          <w:rPr>
                            <w:rFonts w:cs="Times New Roman"/>
                            <w:lang w:val="fr-FR" w:eastAsia="fr-FR"/>
                          </w:rPr>
                          <w:t>Zone 1: Bruxelles-Capitale</w:t>
                        </w:r>
                      </w:p>
                      <w:p w:rsidR="00F04EEF" w:rsidRDefault="0099351E">
                        <w:pPr>
                          <w:ind w:left="1080" w:hanging="1080"/>
                          <w:rPr>
                            <w:rFonts w:cs="Times New Roman"/>
                            <w:lang w:val="fr-FR" w:eastAsia="fr-FR"/>
                          </w:rPr>
                        </w:pPr>
                        <w:r>
                          <w:rPr>
                            <w:rFonts w:cs="Times New Roman"/>
                            <w:lang w:val="fr-FR" w:eastAsia="fr-FR"/>
                          </w:rPr>
                          <w:t>Zone 2: Brabant Wallon</w:t>
                        </w:r>
                      </w:p>
                    </w:tc>
                    <w:tc>
                      <w:tcPr>
                        <w:tcW w:w="4672" w:type="dxa"/>
                      </w:tcPr>
                      <w:p w:rsidR="00F04EEF" w:rsidRDefault="0099351E">
                        <w:pPr>
                          <w:rPr>
                            <w:rFonts w:cs="Times New Roman"/>
                            <w:lang w:eastAsia="fr-FR"/>
                          </w:rPr>
                        </w:pPr>
                        <w:r>
                          <w:rPr>
                            <w:rFonts w:cs="Times New Roman"/>
                            <w:lang w:eastAsia="fr-FR"/>
                          </w:rPr>
                          <w:t>VANDERHEIDEN Renelde</w:t>
                        </w:r>
                      </w:p>
                      <w:p w:rsidR="00F04EEF" w:rsidRDefault="0099351E">
                        <w:pPr>
                          <w:rPr>
                            <w:rFonts w:cs="Times New Roman"/>
                            <w:lang w:eastAsia="fr-FR"/>
                          </w:rPr>
                        </w:pPr>
                        <w:r>
                          <w:rPr>
                            <w:rFonts w:cs="Times New Roman"/>
                            <w:lang w:eastAsia="fr-FR"/>
                          </w:rPr>
                          <w:t>Boulevard du Jardin Botanique 20-22 (1G13)</w:t>
                        </w:r>
                      </w:p>
                      <w:p w:rsidR="00F04EEF" w:rsidRDefault="0099351E">
                        <w:pPr>
                          <w:rPr>
                            <w:rFonts w:cs="Times New Roman"/>
                            <w:lang w:eastAsia="fr-FR"/>
                          </w:rPr>
                        </w:pPr>
                        <w:r>
                          <w:rPr>
                            <w:rFonts w:cs="Times New Roman"/>
                            <w:lang w:eastAsia="fr-FR"/>
                          </w:rPr>
                          <w:t xml:space="preserve">1000 </w:t>
                        </w:r>
                        <w:r>
                          <w:rPr>
                            <w:caps/>
                            <w:lang w:eastAsia="fr-FR"/>
                          </w:rPr>
                          <w:t>Bruxelles</w:t>
                        </w:r>
                      </w:p>
                      <w:p w:rsidR="00F04EEF" w:rsidRDefault="0099351E">
                        <w:r>
                          <w:sym w:font="Wingdings" w:char="F028"/>
                        </w:r>
                        <w:r>
                          <w:rPr>
                            <w:rFonts w:cs="Times New Roman"/>
                            <w:lang w:eastAsia="fr-FR"/>
                          </w:rPr>
                          <w:t xml:space="preserve">: 02/690.81.78 - </w:t>
                        </w:r>
                        <w:r>
                          <w:rPr>
                            <w:bCs/>
                          </w:rPr>
                          <w:sym w:font="Webdings" w:char="F0CA"/>
                        </w:r>
                        <w:r>
                          <w:rPr>
                            <w:bCs/>
                          </w:rPr>
                          <w:t> : 02/690.81.35</w:t>
                        </w:r>
                      </w:p>
                    </w:tc>
                  </w:tr>
                  <w:tr w:rsidR="00F04EEF">
                    <w:tc>
                      <w:tcPr>
                        <w:tcW w:w="4672" w:type="dxa"/>
                      </w:tcPr>
                      <w:p w:rsidR="00F04EEF" w:rsidRDefault="0099351E">
                        <w:pPr>
                          <w:ind w:left="1080" w:hanging="1080"/>
                          <w:rPr>
                            <w:rFonts w:cs="Times New Roman"/>
                            <w:lang w:val="fr-FR" w:eastAsia="fr-FR"/>
                          </w:rPr>
                        </w:pPr>
                        <w:r>
                          <w:rPr>
                            <w:rFonts w:cs="Times New Roman"/>
                            <w:lang w:val="fr-FR" w:eastAsia="fr-FR"/>
                          </w:rPr>
                          <w:t>Zone 3: Huy-Waremme</w:t>
                        </w:r>
                      </w:p>
                      <w:p w:rsidR="00F04EEF" w:rsidRDefault="0099351E">
                        <w:r>
                          <w:rPr>
                            <w:rFonts w:cs="Times New Roman"/>
                            <w:lang w:val="fr-FR" w:eastAsia="fr-FR"/>
                          </w:rPr>
                          <w:t>Zone 6: Namur</w:t>
                        </w:r>
                      </w:p>
                    </w:tc>
                    <w:tc>
                      <w:tcPr>
                        <w:tcW w:w="4672" w:type="dxa"/>
                      </w:tcPr>
                      <w:p w:rsidR="00F04EEF" w:rsidRDefault="0099351E">
                        <w:pPr>
                          <w:rPr>
                            <w:rFonts w:cs="Times New Roman"/>
                            <w:lang w:eastAsia="fr-FR"/>
                          </w:rPr>
                        </w:pPr>
                        <w:r>
                          <w:rPr>
                            <w:rFonts w:cs="Times New Roman"/>
                            <w:lang w:eastAsia="fr-FR"/>
                          </w:rPr>
                          <w:t>PERAZZO Gianni</w:t>
                        </w:r>
                      </w:p>
                      <w:p w:rsidR="00F04EEF" w:rsidRDefault="0099351E">
                        <w:pPr>
                          <w:rPr>
                            <w:rFonts w:cs="Times New Roman"/>
                            <w:lang w:eastAsia="fr-FR"/>
                          </w:rPr>
                        </w:pPr>
                        <w:r>
                          <w:rPr>
                            <w:rFonts w:cs="Times New Roman"/>
                            <w:lang w:eastAsia="fr-FR"/>
                          </w:rPr>
                          <w:t>Boulevard du Jardin Botanique 20-22 (1G13)</w:t>
                        </w:r>
                      </w:p>
                      <w:p w:rsidR="00F04EEF" w:rsidRDefault="0099351E">
                        <w:pPr>
                          <w:rPr>
                            <w:rFonts w:cs="Times New Roman"/>
                            <w:lang w:eastAsia="fr-FR"/>
                          </w:rPr>
                        </w:pPr>
                        <w:r>
                          <w:rPr>
                            <w:rFonts w:cs="Times New Roman"/>
                            <w:lang w:eastAsia="fr-FR"/>
                          </w:rPr>
                          <w:t xml:space="preserve">1000 </w:t>
                        </w:r>
                        <w:r>
                          <w:rPr>
                            <w:caps/>
                            <w:lang w:eastAsia="fr-FR"/>
                          </w:rPr>
                          <w:t>Bruxelles</w:t>
                        </w:r>
                      </w:p>
                      <w:p w:rsidR="00F04EEF" w:rsidRDefault="0099351E">
                        <w:r>
                          <w:sym w:font="Wingdings" w:char="F028"/>
                        </w:r>
                        <w:r>
                          <w:rPr>
                            <w:rFonts w:cs="Times New Roman"/>
                            <w:lang w:eastAsia="fr-FR"/>
                          </w:rPr>
                          <w:t xml:space="preserve">: 02/690.82.88 - </w:t>
                        </w:r>
                        <w:r>
                          <w:rPr>
                            <w:bCs/>
                          </w:rPr>
                          <w:sym w:font="Webdings" w:char="F0CA"/>
                        </w:r>
                        <w:r>
                          <w:rPr>
                            <w:bCs/>
                          </w:rPr>
                          <w:t> : 02/690.81.35</w:t>
                        </w:r>
                        <w:r>
                          <w:rPr>
                            <w:rFonts w:cs="Times New Roman"/>
                            <w:lang w:eastAsia="fr-FR"/>
                          </w:rPr>
                          <w:t xml:space="preserve"> </w:t>
                        </w:r>
                      </w:p>
                    </w:tc>
                  </w:tr>
                  <w:tr w:rsidR="00F04EEF">
                    <w:tc>
                      <w:tcPr>
                        <w:tcW w:w="4672" w:type="dxa"/>
                      </w:tcPr>
                      <w:p w:rsidR="00F04EEF" w:rsidRDefault="0099351E">
                        <w:pPr>
                          <w:ind w:left="1080" w:hanging="1080"/>
                          <w:rPr>
                            <w:rFonts w:cs="Times New Roman"/>
                            <w:lang w:val="fr-FR" w:eastAsia="fr-FR"/>
                          </w:rPr>
                        </w:pPr>
                        <w:r>
                          <w:rPr>
                            <w:rFonts w:cs="Times New Roman"/>
                            <w:lang w:val="fr-FR" w:eastAsia="fr-FR"/>
                          </w:rPr>
                          <w:t>Zone 4: Liège</w:t>
                        </w:r>
                      </w:p>
                      <w:p w:rsidR="00F04EEF" w:rsidRDefault="0099351E">
                        <w:pPr>
                          <w:ind w:left="1080" w:hanging="1080"/>
                          <w:rPr>
                            <w:rFonts w:cs="Times New Roman"/>
                            <w:lang w:val="fr-FR" w:eastAsia="fr-FR"/>
                          </w:rPr>
                        </w:pPr>
                        <w:r>
                          <w:rPr>
                            <w:rFonts w:cs="Times New Roman"/>
                            <w:lang w:val="fr-FR" w:eastAsia="fr-FR"/>
                          </w:rPr>
                          <w:t xml:space="preserve">Zone 5: Verviers </w:t>
                        </w:r>
                      </w:p>
                      <w:p w:rsidR="00F04EEF" w:rsidRDefault="0099351E">
                        <w:r>
                          <w:rPr>
                            <w:rFonts w:cs="Times New Roman"/>
                            <w:lang w:val="fr-FR" w:eastAsia="fr-FR"/>
                          </w:rPr>
                          <w:t>Zone 7: Luxembourg</w:t>
                        </w:r>
                      </w:p>
                    </w:tc>
                    <w:tc>
                      <w:tcPr>
                        <w:tcW w:w="4672" w:type="dxa"/>
                      </w:tcPr>
                      <w:p w:rsidR="00F04EEF" w:rsidRDefault="0099351E">
                        <w:pPr>
                          <w:rPr>
                            <w:rFonts w:cs="Times New Roman"/>
                            <w:lang w:val="en-GB" w:eastAsia="fr-FR"/>
                          </w:rPr>
                        </w:pPr>
                        <w:r>
                          <w:rPr>
                            <w:rFonts w:cs="Times New Roman"/>
                            <w:lang w:val="en-GB" w:eastAsia="fr-FR"/>
                          </w:rPr>
                          <w:t>SLOTA Isabelle</w:t>
                        </w:r>
                      </w:p>
                      <w:p w:rsidR="00F04EEF" w:rsidRDefault="0099351E">
                        <w:pPr>
                          <w:rPr>
                            <w:rFonts w:cs="Times New Roman"/>
                            <w:lang w:val="en-GB" w:eastAsia="fr-FR"/>
                          </w:rPr>
                        </w:pPr>
                        <w:r>
                          <w:rPr>
                            <w:rFonts w:cs="Times New Roman"/>
                            <w:lang w:val="en-GB" w:eastAsia="fr-FR"/>
                          </w:rPr>
                          <w:t>Rue Henri Fays, 37</w:t>
                        </w:r>
                      </w:p>
                      <w:p w:rsidR="00F04EEF" w:rsidRDefault="0099351E">
                        <w:pPr>
                          <w:rPr>
                            <w:rFonts w:cs="Times New Roman"/>
                            <w:lang w:val="en-GB" w:eastAsia="fr-FR"/>
                          </w:rPr>
                        </w:pPr>
                        <w:r>
                          <w:rPr>
                            <w:rFonts w:cs="Times New Roman"/>
                            <w:lang w:val="en-GB" w:eastAsia="fr-FR"/>
                          </w:rPr>
                          <w:t>4160 ANTHISNES</w:t>
                        </w:r>
                      </w:p>
                      <w:p w:rsidR="00F04EEF" w:rsidRDefault="0099351E">
                        <w:r>
                          <w:sym w:font="Wingdings" w:char="F028"/>
                        </w:r>
                        <w:r>
                          <w:rPr>
                            <w:rFonts w:cs="Times New Roman"/>
                            <w:lang w:eastAsia="fr-FR"/>
                          </w:rPr>
                          <w:t>: 0473/59.22.95</w:t>
                        </w:r>
                        <w:r>
                          <w:rPr>
                            <w:rFonts w:cs="Times New Roman"/>
                            <w:lang w:val="en-GB" w:eastAsia="fr-FR"/>
                          </w:rPr>
                          <w:t xml:space="preserve"> </w:t>
                        </w:r>
                      </w:p>
                    </w:tc>
                  </w:tr>
                  <w:tr w:rsidR="00F04EEF">
                    <w:tc>
                      <w:tcPr>
                        <w:tcW w:w="4672" w:type="dxa"/>
                      </w:tcPr>
                      <w:p w:rsidR="00F04EEF" w:rsidRDefault="0099351E">
                        <w:pPr>
                          <w:ind w:left="1080" w:hanging="1080"/>
                          <w:rPr>
                            <w:rFonts w:cs="Times New Roman"/>
                            <w:lang w:val="fr-FR" w:eastAsia="fr-FR"/>
                          </w:rPr>
                        </w:pPr>
                        <w:r>
                          <w:rPr>
                            <w:rFonts w:cs="Times New Roman"/>
                            <w:lang w:val="fr-FR" w:eastAsia="fr-FR"/>
                          </w:rPr>
                          <w:t>Zone 8: Hainaut occidental</w:t>
                        </w:r>
                      </w:p>
                      <w:p w:rsidR="00F04EEF" w:rsidRDefault="0099351E">
                        <w:pPr>
                          <w:ind w:left="1080" w:hanging="1080"/>
                          <w:rPr>
                            <w:rFonts w:cs="Times New Roman"/>
                            <w:lang w:val="fr-FR" w:eastAsia="fr-FR"/>
                          </w:rPr>
                        </w:pPr>
                        <w:r>
                          <w:rPr>
                            <w:rFonts w:cs="Times New Roman"/>
                            <w:lang w:val="fr-FR" w:eastAsia="fr-FR"/>
                          </w:rPr>
                          <w:t>Zone 9: Mons – Centre</w:t>
                        </w:r>
                      </w:p>
                      <w:p w:rsidR="00F04EEF" w:rsidRDefault="0099351E">
                        <w:r>
                          <w:rPr>
                            <w:rFonts w:cs="Times New Roman"/>
                            <w:lang w:val="fr-FR" w:eastAsia="fr-FR"/>
                          </w:rPr>
                          <w:t>Zone 10: Charleroi – Hainaut Sud</w:t>
                        </w:r>
                      </w:p>
                    </w:tc>
                    <w:tc>
                      <w:tcPr>
                        <w:tcW w:w="4672" w:type="dxa"/>
                      </w:tcPr>
                      <w:p w:rsidR="00F04EEF" w:rsidRDefault="0099351E">
                        <w:pPr>
                          <w:rPr>
                            <w:rFonts w:cs="Times New Roman"/>
                            <w:lang w:eastAsia="fr-FR"/>
                          </w:rPr>
                        </w:pPr>
                        <w:r>
                          <w:rPr>
                            <w:rFonts w:cs="Times New Roman"/>
                            <w:lang w:eastAsia="fr-FR"/>
                          </w:rPr>
                          <w:t>DEBAISIEUX Frédéric</w:t>
                        </w:r>
                      </w:p>
                      <w:p w:rsidR="00F04EEF" w:rsidRDefault="0099351E">
                        <w:pPr>
                          <w:rPr>
                            <w:rFonts w:cs="Times New Roman"/>
                            <w:lang w:eastAsia="fr-FR"/>
                          </w:rPr>
                        </w:pPr>
                        <w:r>
                          <w:rPr>
                            <w:rFonts w:cs="Times New Roman"/>
                            <w:lang w:eastAsia="fr-FR"/>
                          </w:rPr>
                          <w:t>Internat Walter Ravez</w:t>
                        </w:r>
                      </w:p>
                      <w:p w:rsidR="00F04EEF" w:rsidRDefault="0099351E">
                        <w:pPr>
                          <w:rPr>
                            <w:rFonts w:cs="Times New Roman"/>
                            <w:lang w:eastAsia="fr-FR"/>
                          </w:rPr>
                        </w:pPr>
                        <w:r>
                          <w:rPr>
                            <w:rFonts w:cs="Times New Roman"/>
                            <w:lang w:eastAsia="fr-FR"/>
                          </w:rPr>
                          <w:t>Quai Vifquin 22-25</w:t>
                        </w:r>
                      </w:p>
                      <w:p w:rsidR="00F04EEF" w:rsidRDefault="0099351E">
                        <w:pPr>
                          <w:rPr>
                            <w:caps/>
                            <w:lang w:eastAsia="fr-FR"/>
                          </w:rPr>
                        </w:pPr>
                        <w:r>
                          <w:rPr>
                            <w:rFonts w:cs="Times New Roman"/>
                            <w:lang w:eastAsia="fr-FR"/>
                          </w:rPr>
                          <w:t xml:space="preserve">7500 </w:t>
                        </w:r>
                        <w:r>
                          <w:rPr>
                            <w:caps/>
                            <w:lang w:eastAsia="fr-FR"/>
                          </w:rPr>
                          <w:t>Tournai</w:t>
                        </w:r>
                      </w:p>
                      <w:p w:rsidR="00F04EEF" w:rsidRDefault="0099351E">
                        <w:pPr>
                          <w:rPr>
                            <w:rFonts w:cs="Times New Roman"/>
                            <w:lang w:eastAsia="fr-FR"/>
                          </w:rPr>
                        </w:pPr>
                        <w:r>
                          <w:sym w:font="Wingdings" w:char="F028"/>
                        </w:r>
                        <w:r>
                          <w:rPr>
                            <w:rFonts w:cs="Times New Roman"/>
                            <w:lang w:eastAsia="fr-FR"/>
                          </w:rPr>
                          <w:t>: 0468/42.85.36</w:t>
                        </w:r>
                      </w:p>
                    </w:tc>
                  </w:tr>
                </w:tbl>
                <w:p w:rsidR="00F04EEF" w:rsidRDefault="0099351E">
                  <w:pPr>
                    <w:rPr>
                      <w:rFonts w:cs="Arial"/>
                      <w:b/>
                      <w:smallCaps/>
                    </w:rPr>
                  </w:pPr>
                  <w:r>
                    <w:rPr>
                      <w:rFonts w:cs="Arial"/>
                      <w:b/>
                      <w:smallCaps/>
                    </w:rPr>
                    <w:t>Pour l’enseignement secondaire :</w:t>
                  </w:r>
                </w:p>
                <w:tbl>
                  <w:tblPr>
                    <w:tblStyle w:val="Grilledutableau"/>
                    <w:tblW w:w="0" w:type="auto"/>
                    <w:tblLook w:val="04A0" w:firstRow="1" w:lastRow="0" w:firstColumn="1" w:lastColumn="0" w:noHBand="0" w:noVBand="1"/>
                  </w:tblPr>
                  <w:tblGrid>
                    <w:gridCol w:w="4672"/>
                    <w:gridCol w:w="4672"/>
                  </w:tblGrid>
                  <w:tr w:rsidR="00F04EEF">
                    <w:tc>
                      <w:tcPr>
                        <w:tcW w:w="4672" w:type="dxa"/>
                      </w:tcPr>
                      <w:p w:rsidR="00F04EEF" w:rsidRDefault="0099351E">
                        <w:pPr>
                          <w:tabs>
                            <w:tab w:val="num" w:pos="0"/>
                          </w:tabs>
                          <w:snapToGrid w:val="0"/>
                        </w:pPr>
                        <w:r>
                          <w:t>Zone 1 : Bruxelles-Capitale</w:t>
                        </w:r>
                      </w:p>
                      <w:p w:rsidR="00F04EEF" w:rsidRDefault="0099351E">
                        <w:pPr>
                          <w:tabs>
                            <w:tab w:val="num" w:pos="0"/>
                          </w:tabs>
                          <w:snapToGrid w:val="0"/>
                        </w:pPr>
                        <w:r>
                          <w:t>BRATUN Annick</w:t>
                        </w:r>
                      </w:p>
                      <w:p w:rsidR="00F04EEF" w:rsidRDefault="0099351E">
                        <w:pPr>
                          <w:tabs>
                            <w:tab w:val="num" w:pos="0"/>
                          </w:tabs>
                          <w:snapToGrid w:val="0"/>
                        </w:pPr>
                        <w:r>
                          <w:t xml:space="preserve">AR de Koekelberg </w:t>
                        </w:r>
                      </w:p>
                      <w:p w:rsidR="00F04EEF" w:rsidRDefault="0099351E">
                        <w:pPr>
                          <w:tabs>
                            <w:tab w:val="num" w:pos="0"/>
                          </w:tabs>
                          <w:snapToGrid w:val="0"/>
                        </w:pPr>
                        <w:r>
                          <w:t>Rue Omer Lépreux 15</w:t>
                        </w:r>
                      </w:p>
                      <w:p w:rsidR="00F04EEF" w:rsidRDefault="0099351E">
                        <w:pPr>
                          <w:tabs>
                            <w:tab w:val="num" w:pos="0"/>
                          </w:tabs>
                          <w:snapToGrid w:val="0"/>
                        </w:pPr>
                        <w:r>
                          <w:t xml:space="preserve">1081 </w:t>
                        </w:r>
                        <w:r>
                          <w:rPr>
                            <w:caps/>
                          </w:rPr>
                          <w:t>Koekelberg</w:t>
                        </w:r>
                      </w:p>
                      <w:p w:rsidR="00F04EEF" w:rsidRDefault="0099351E">
                        <w:pPr>
                          <w:tabs>
                            <w:tab w:val="num" w:pos="0"/>
                          </w:tabs>
                          <w:snapToGrid w:val="0"/>
                          <w:rPr>
                            <w:b/>
                            <w:smallCaps/>
                          </w:rPr>
                        </w:pPr>
                        <w:r>
                          <w:sym w:font="Wingdings" w:char="F028"/>
                        </w:r>
                        <w:r>
                          <w:t xml:space="preserve"> : 02/343.64.75 - </w:t>
                        </w:r>
                        <w:r>
                          <w:rPr>
                            <w:b/>
                            <w:bCs/>
                          </w:rPr>
                          <w:sym w:font="Webdings" w:char="F0CA"/>
                        </w:r>
                        <w:r>
                          <w:t> : 02/343.19.81</w:t>
                        </w:r>
                      </w:p>
                    </w:tc>
                    <w:tc>
                      <w:tcPr>
                        <w:tcW w:w="4672" w:type="dxa"/>
                      </w:tcPr>
                      <w:p w:rsidR="00F04EEF" w:rsidRDefault="0099351E">
                        <w:pPr>
                          <w:tabs>
                            <w:tab w:val="num" w:pos="0"/>
                          </w:tabs>
                          <w:snapToGrid w:val="0"/>
                        </w:pPr>
                        <w:r>
                          <w:t>Zone 6 : Namur</w:t>
                        </w:r>
                      </w:p>
                      <w:p w:rsidR="00F04EEF" w:rsidRDefault="0099351E">
                        <w:pPr>
                          <w:tabs>
                            <w:tab w:val="num" w:pos="0"/>
                          </w:tabs>
                          <w:snapToGrid w:val="0"/>
                        </w:pPr>
                        <w:r>
                          <w:t>BEAUMONT Marc</w:t>
                        </w:r>
                      </w:p>
                      <w:p w:rsidR="00F04EEF" w:rsidRDefault="0099351E">
                        <w:pPr>
                          <w:tabs>
                            <w:tab w:val="num" w:pos="0"/>
                          </w:tabs>
                          <w:snapToGrid w:val="0"/>
                        </w:pPr>
                        <w:r>
                          <w:t>ITCA</w:t>
                        </w:r>
                      </w:p>
                      <w:p w:rsidR="00F04EEF" w:rsidRDefault="0099351E">
                        <w:pPr>
                          <w:tabs>
                            <w:tab w:val="num" w:pos="0"/>
                          </w:tabs>
                          <w:snapToGrid w:val="0"/>
                        </w:pPr>
                        <w:r>
                          <w:t>Chaussée de Nivelles 204</w:t>
                        </w:r>
                      </w:p>
                      <w:p w:rsidR="00F04EEF" w:rsidRDefault="0099351E">
                        <w:pPr>
                          <w:tabs>
                            <w:tab w:val="num" w:pos="0"/>
                          </w:tabs>
                          <w:snapToGrid w:val="0"/>
                        </w:pPr>
                        <w:r>
                          <w:t xml:space="preserve">5020 </w:t>
                        </w:r>
                        <w:r>
                          <w:rPr>
                            <w:caps/>
                          </w:rPr>
                          <w:t>Namur</w:t>
                        </w:r>
                      </w:p>
                      <w:p w:rsidR="00F04EEF" w:rsidRDefault="0099351E">
                        <w:pPr>
                          <w:tabs>
                            <w:tab w:val="num" w:pos="0"/>
                          </w:tabs>
                          <w:snapToGrid w:val="0"/>
                        </w:pPr>
                        <w:r>
                          <w:sym w:font="Wingdings" w:char="F028"/>
                        </w:r>
                        <w:r>
                          <w:t xml:space="preserve"> 081/73.29.17ou 0476/54.35.78 – </w:t>
                        </w:r>
                        <w:r>
                          <w:rPr>
                            <w:b/>
                            <w:bCs/>
                          </w:rPr>
                          <w:sym w:font="Webdings" w:char="F0CA"/>
                        </w:r>
                        <w:r>
                          <w:t>:081/74.50.51</w:t>
                        </w:r>
                      </w:p>
                    </w:tc>
                  </w:tr>
                  <w:tr w:rsidR="00F04EEF">
                    <w:tc>
                      <w:tcPr>
                        <w:tcW w:w="4672" w:type="dxa"/>
                      </w:tcPr>
                      <w:p w:rsidR="00F04EEF" w:rsidRDefault="0099351E">
                        <w:pPr>
                          <w:tabs>
                            <w:tab w:val="num" w:pos="0"/>
                          </w:tabs>
                          <w:snapToGrid w:val="0"/>
                        </w:pPr>
                        <w:r>
                          <w:t>Zone 2 : Brabant Wallon</w:t>
                        </w:r>
                      </w:p>
                      <w:p w:rsidR="00F04EEF" w:rsidRDefault="0099351E">
                        <w:pPr>
                          <w:tabs>
                            <w:tab w:val="num" w:pos="0"/>
                          </w:tabs>
                          <w:snapToGrid w:val="0"/>
                        </w:pPr>
                        <w:r>
                          <w:t>FAURE Alain</w:t>
                        </w:r>
                      </w:p>
                      <w:p w:rsidR="00F04EEF" w:rsidRDefault="0099351E">
                        <w:pPr>
                          <w:tabs>
                            <w:tab w:val="num" w:pos="0"/>
                            <w:tab w:val="left" w:pos="2538"/>
                          </w:tabs>
                          <w:snapToGrid w:val="0"/>
                        </w:pPr>
                        <w:r>
                          <w:t>AR Jodoigne</w:t>
                        </w:r>
                      </w:p>
                      <w:p w:rsidR="00F04EEF" w:rsidRDefault="0099351E">
                        <w:pPr>
                          <w:tabs>
                            <w:tab w:val="num" w:pos="0"/>
                          </w:tabs>
                          <w:snapToGrid w:val="0"/>
                        </w:pPr>
                        <w:r>
                          <w:t>Chaussée de Hannut 129</w:t>
                        </w:r>
                      </w:p>
                      <w:p w:rsidR="00F04EEF" w:rsidRDefault="0099351E">
                        <w:pPr>
                          <w:tabs>
                            <w:tab w:val="num" w:pos="0"/>
                          </w:tabs>
                          <w:snapToGrid w:val="0"/>
                        </w:pPr>
                        <w:r>
                          <w:t xml:space="preserve">1370 </w:t>
                        </w:r>
                        <w:r>
                          <w:rPr>
                            <w:caps/>
                          </w:rPr>
                          <w:t>Jodoigne</w:t>
                        </w:r>
                      </w:p>
                      <w:p w:rsidR="00F04EEF" w:rsidRDefault="0099351E">
                        <w:pPr>
                          <w:tabs>
                            <w:tab w:val="num" w:pos="0"/>
                          </w:tabs>
                          <w:snapToGrid w:val="0"/>
                          <w:rPr>
                            <w:b/>
                            <w:smallCaps/>
                          </w:rPr>
                        </w:pPr>
                        <w:r>
                          <w:sym w:font="Wingdings" w:char="F028"/>
                        </w:r>
                        <w:r>
                          <w:t xml:space="preserve"> : 010/81.12.06 – </w:t>
                        </w:r>
                        <w:r>
                          <w:rPr>
                            <w:b/>
                            <w:bCs/>
                          </w:rPr>
                          <w:sym w:font="Webdings" w:char="F0CA"/>
                        </w:r>
                        <w:r>
                          <w:t> : 010/81.34.53</w:t>
                        </w:r>
                      </w:p>
                    </w:tc>
                    <w:tc>
                      <w:tcPr>
                        <w:tcW w:w="4672" w:type="dxa"/>
                      </w:tcPr>
                      <w:p w:rsidR="00F04EEF" w:rsidRDefault="0099351E">
                        <w:pPr>
                          <w:tabs>
                            <w:tab w:val="num" w:pos="0"/>
                          </w:tabs>
                          <w:snapToGrid w:val="0"/>
                        </w:pPr>
                        <w:r>
                          <w:t>Zone 7 : Luxembourg</w:t>
                        </w:r>
                      </w:p>
                      <w:p w:rsidR="00F04EEF" w:rsidRDefault="0099351E">
                        <w:pPr>
                          <w:tabs>
                            <w:tab w:val="num" w:pos="0"/>
                          </w:tabs>
                          <w:snapToGrid w:val="0"/>
                        </w:pPr>
                        <w:r>
                          <w:t>REGGERS Richard</w:t>
                        </w:r>
                      </w:p>
                      <w:p w:rsidR="00F04EEF" w:rsidRDefault="0099351E">
                        <w:pPr>
                          <w:tabs>
                            <w:tab w:val="num" w:pos="0"/>
                          </w:tabs>
                          <w:snapToGrid w:val="0"/>
                        </w:pPr>
                        <w:r>
                          <w:t>AR de Bastogne-Houffalize</w:t>
                        </w:r>
                      </w:p>
                      <w:p w:rsidR="00F04EEF" w:rsidRDefault="0099351E">
                        <w:pPr>
                          <w:tabs>
                            <w:tab w:val="num" w:pos="0"/>
                          </w:tabs>
                          <w:snapToGrid w:val="0"/>
                        </w:pPr>
                        <w:r>
                          <w:t>Chaussée d’Houffalize 3</w:t>
                        </w:r>
                      </w:p>
                      <w:p w:rsidR="00F04EEF" w:rsidRDefault="0099351E">
                        <w:pPr>
                          <w:tabs>
                            <w:tab w:val="num" w:pos="0"/>
                          </w:tabs>
                          <w:snapToGrid w:val="0"/>
                        </w:pPr>
                        <w:r>
                          <w:t xml:space="preserve">6000 </w:t>
                        </w:r>
                        <w:r>
                          <w:rPr>
                            <w:caps/>
                          </w:rPr>
                          <w:t>Bastogne</w:t>
                        </w:r>
                      </w:p>
                      <w:p w:rsidR="00F04EEF" w:rsidRDefault="0099351E">
                        <w:pPr>
                          <w:tabs>
                            <w:tab w:val="num" w:pos="0"/>
                          </w:tabs>
                          <w:snapToGrid w:val="0"/>
                        </w:pPr>
                        <w:r>
                          <w:sym w:font="Wingdings" w:char="F028"/>
                        </w:r>
                        <w:r>
                          <w:t xml:space="preserve"> : 061/21.82.56 – </w:t>
                        </w:r>
                        <w:r>
                          <w:rPr>
                            <w:b/>
                            <w:bCs/>
                          </w:rPr>
                          <w:sym w:font="Webdings" w:char="F0CA"/>
                        </w:r>
                        <w:r>
                          <w:t> : 061/21.86.42</w:t>
                        </w:r>
                      </w:p>
                    </w:tc>
                  </w:tr>
                  <w:tr w:rsidR="00F04EEF">
                    <w:tc>
                      <w:tcPr>
                        <w:tcW w:w="4672" w:type="dxa"/>
                      </w:tcPr>
                      <w:p w:rsidR="00F04EEF" w:rsidRDefault="0099351E">
                        <w:pPr>
                          <w:tabs>
                            <w:tab w:val="num" w:pos="0"/>
                          </w:tabs>
                          <w:snapToGrid w:val="0"/>
                        </w:pPr>
                        <w:r>
                          <w:t>Zone 3 : Huy-Waremme</w:t>
                        </w:r>
                      </w:p>
                      <w:p w:rsidR="00F04EEF" w:rsidRDefault="0099351E">
                        <w:pPr>
                          <w:tabs>
                            <w:tab w:val="num" w:pos="0"/>
                          </w:tabs>
                          <w:snapToGrid w:val="0"/>
                        </w:pPr>
                        <w:r>
                          <w:t>DONY Manuel</w:t>
                        </w:r>
                      </w:p>
                      <w:p w:rsidR="00F04EEF" w:rsidRDefault="0099351E">
                        <w:pPr>
                          <w:tabs>
                            <w:tab w:val="num" w:pos="0"/>
                          </w:tabs>
                          <w:snapToGrid w:val="0"/>
                        </w:pPr>
                        <w:r>
                          <w:t>AR Saint-Georges</w:t>
                        </w:r>
                      </w:p>
                      <w:p w:rsidR="00F04EEF" w:rsidRDefault="0099351E">
                        <w:pPr>
                          <w:tabs>
                            <w:tab w:val="num" w:pos="0"/>
                          </w:tabs>
                          <w:snapToGrid w:val="0"/>
                        </w:pPr>
                        <w:r>
                          <w:t>Rue Eloi Fouarge 31</w:t>
                        </w:r>
                      </w:p>
                      <w:p w:rsidR="00F04EEF" w:rsidRDefault="0099351E">
                        <w:pPr>
                          <w:tabs>
                            <w:tab w:val="num" w:pos="0"/>
                          </w:tabs>
                          <w:snapToGrid w:val="0"/>
                        </w:pPr>
                        <w:r>
                          <w:t xml:space="preserve">4470 </w:t>
                        </w:r>
                        <w:r>
                          <w:rPr>
                            <w:caps/>
                          </w:rPr>
                          <w:t>Saint-Georges-sur-Meuse</w:t>
                        </w:r>
                      </w:p>
                      <w:p w:rsidR="00F04EEF" w:rsidRDefault="0099351E">
                        <w:pPr>
                          <w:tabs>
                            <w:tab w:val="num" w:pos="0"/>
                          </w:tabs>
                          <w:snapToGrid w:val="0"/>
                        </w:pPr>
                        <w:r>
                          <w:sym w:font="Wingdings" w:char="F028"/>
                        </w:r>
                        <w:r>
                          <w:t xml:space="preserve"> : 0498/12.68.84 - </w:t>
                        </w:r>
                        <w:r>
                          <w:rPr>
                            <w:b/>
                            <w:bCs/>
                          </w:rPr>
                          <w:sym w:font="Webdings" w:char="F0CA"/>
                        </w:r>
                        <w:r>
                          <w:t> : 04/223.51.79</w:t>
                        </w:r>
                      </w:p>
                    </w:tc>
                    <w:tc>
                      <w:tcPr>
                        <w:tcW w:w="4672" w:type="dxa"/>
                      </w:tcPr>
                      <w:p w:rsidR="00F04EEF" w:rsidRDefault="0099351E">
                        <w:pPr>
                          <w:tabs>
                            <w:tab w:val="num" w:pos="0"/>
                          </w:tabs>
                          <w:snapToGrid w:val="0"/>
                        </w:pPr>
                        <w:r>
                          <w:t>Zone 8 : Hainaut Occidental</w:t>
                        </w:r>
                      </w:p>
                      <w:p w:rsidR="00F04EEF" w:rsidRDefault="0099351E">
                        <w:pPr>
                          <w:tabs>
                            <w:tab w:val="num" w:pos="0"/>
                          </w:tabs>
                          <w:snapToGrid w:val="0"/>
                        </w:pPr>
                        <w:r>
                          <w:t>DECAESTECKER Philippe</w:t>
                        </w:r>
                      </w:p>
                      <w:p w:rsidR="00F04EEF" w:rsidRDefault="0099351E">
                        <w:pPr>
                          <w:tabs>
                            <w:tab w:val="num" w:pos="0"/>
                          </w:tabs>
                          <w:snapToGrid w:val="0"/>
                        </w:pPr>
                        <w:r>
                          <w:t>ITCF Renée Joffroy – site Vauban</w:t>
                        </w:r>
                      </w:p>
                      <w:p w:rsidR="00F04EEF" w:rsidRDefault="0099351E">
                        <w:pPr>
                          <w:tabs>
                            <w:tab w:val="num" w:pos="0"/>
                          </w:tabs>
                          <w:snapToGrid w:val="0"/>
                        </w:pPr>
                        <w:r>
                          <w:t>Avenue Vauban 6A</w:t>
                        </w:r>
                      </w:p>
                      <w:p w:rsidR="00F04EEF" w:rsidRDefault="0099351E">
                        <w:pPr>
                          <w:tabs>
                            <w:tab w:val="num" w:pos="0"/>
                          </w:tabs>
                          <w:snapToGrid w:val="0"/>
                        </w:pPr>
                        <w:r>
                          <w:t xml:space="preserve">7800 </w:t>
                        </w:r>
                        <w:r>
                          <w:rPr>
                            <w:caps/>
                          </w:rPr>
                          <w:t>Ath</w:t>
                        </w:r>
                      </w:p>
                      <w:p w:rsidR="00F04EEF" w:rsidRDefault="0099351E">
                        <w:pPr>
                          <w:tabs>
                            <w:tab w:val="num" w:pos="0"/>
                          </w:tabs>
                          <w:snapToGrid w:val="0"/>
                        </w:pPr>
                        <w:r>
                          <w:sym w:font="Wingdings" w:char="F028"/>
                        </w:r>
                        <w:r>
                          <w:t xml:space="preserve"> : 068/26.96.96 – </w:t>
                        </w:r>
                        <w:r>
                          <w:rPr>
                            <w:b/>
                            <w:bCs/>
                          </w:rPr>
                          <w:sym w:font="Webdings" w:char="F0CA"/>
                        </w:r>
                        <w:r>
                          <w:t> : 068/33.87.94</w:t>
                        </w:r>
                      </w:p>
                    </w:tc>
                  </w:tr>
                  <w:tr w:rsidR="00F04EEF">
                    <w:tc>
                      <w:tcPr>
                        <w:tcW w:w="4672" w:type="dxa"/>
                      </w:tcPr>
                      <w:p w:rsidR="00F04EEF" w:rsidRDefault="0099351E">
                        <w:pPr>
                          <w:tabs>
                            <w:tab w:val="num" w:pos="0"/>
                          </w:tabs>
                          <w:snapToGrid w:val="0"/>
                        </w:pPr>
                        <w:r>
                          <w:t>Zone 4 : Liège</w:t>
                        </w:r>
                      </w:p>
                      <w:p w:rsidR="00F04EEF" w:rsidRDefault="0099351E">
                        <w:pPr>
                          <w:tabs>
                            <w:tab w:val="num" w:pos="0"/>
                          </w:tabs>
                          <w:snapToGrid w:val="0"/>
                        </w:pPr>
                        <w:r>
                          <w:t>ANGENOT Jean-François</w:t>
                        </w:r>
                      </w:p>
                      <w:p w:rsidR="00F04EEF" w:rsidRDefault="0099351E">
                        <w:pPr>
                          <w:tabs>
                            <w:tab w:val="num" w:pos="0"/>
                          </w:tabs>
                          <w:snapToGrid w:val="0"/>
                        </w:pPr>
                        <w:r>
                          <w:t>AR Liège 1</w:t>
                        </w:r>
                      </w:p>
                      <w:p w:rsidR="00F04EEF" w:rsidRDefault="0099351E">
                        <w:pPr>
                          <w:tabs>
                            <w:tab w:val="num" w:pos="0"/>
                          </w:tabs>
                          <w:snapToGrid w:val="0"/>
                        </w:pPr>
                        <w:r>
                          <w:t>Rue des Clarisses 13</w:t>
                        </w:r>
                      </w:p>
                      <w:p w:rsidR="00F04EEF" w:rsidRDefault="0099351E">
                        <w:pPr>
                          <w:tabs>
                            <w:tab w:val="num" w:pos="0"/>
                          </w:tabs>
                          <w:snapToGrid w:val="0"/>
                        </w:pPr>
                        <w:r>
                          <w:t xml:space="preserve">4000 </w:t>
                        </w:r>
                        <w:r>
                          <w:rPr>
                            <w:caps/>
                          </w:rPr>
                          <w:t>Liège</w:t>
                        </w:r>
                      </w:p>
                      <w:p w:rsidR="00F04EEF" w:rsidRDefault="0099351E">
                        <w:pPr>
                          <w:tabs>
                            <w:tab w:val="num" w:pos="0"/>
                          </w:tabs>
                          <w:snapToGrid w:val="0"/>
                        </w:pPr>
                        <w:r>
                          <w:sym w:font="Wingdings" w:char="F028"/>
                        </w:r>
                        <w:r>
                          <w:t xml:space="preserve"> : 04/223.31.45 – </w:t>
                        </w:r>
                        <w:r>
                          <w:rPr>
                            <w:b/>
                            <w:bCs/>
                          </w:rPr>
                          <w:sym w:font="Webdings" w:char="F0CA"/>
                        </w:r>
                        <w:r>
                          <w:t> : 04/223.64.78</w:t>
                        </w:r>
                      </w:p>
                    </w:tc>
                    <w:tc>
                      <w:tcPr>
                        <w:tcW w:w="4672" w:type="dxa"/>
                      </w:tcPr>
                      <w:p w:rsidR="00F04EEF" w:rsidRDefault="0099351E">
                        <w:pPr>
                          <w:tabs>
                            <w:tab w:val="num" w:pos="0"/>
                          </w:tabs>
                          <w:snapToGrid w:val="0"/>
                        </w:pPr>
                        <w:r>
                          <w:t>Zone 9 : Mons – Centre</w:t>
                        </w:r>
                      </w:p>
                      <w:p w:rsidR="00F04EEF" w:rsidRDefault="0099351E">
                        <w:pPr>
                          <w:tabs>
                            <w:tab w:val="num" w:pos="0"/>
                          </w:tabs>
                          <w:snapToGrid w:val="0"/>
                        </w:pPr>
                        <w:r>
                          <w:t>COLLETTE Francis</w:t>
                        </w:r>
                      </w:p>
                      <w:p w:rsidR="00F04EEF" w:rsidRDefault="0099351E">
                        <w:pPr>
                          <w:tabs>
                            <w:tab w:val="num" w:pos="0"/>
                          </w:tabs>
                          <w:snapToGrid w:val="0"/>
                        </w:pPr>
                        <w:r>
                          <w:t>Local 3.03</w:t>
                        </w:r>
                      </w:p>
                      <w:p w:rsidR="00F04EEF" w:rsidRDefault="0099351E">
                        <w:pPr>
                          <w:tabs>
                            <w:tab w:val="num" w:pos="0"/>
                          </w:tabs>
                          <w:snapToGrid w:val="0"/>
                        </w:pPr>
                        <w:r>
                          <w:t>Rue du Chemin de fer 433</w:t>
                        </w:r>
                      </w:p>
                      <w:p w:rsidR="00F04EEF" w:rsidRDefault="0099351E">
                        <w:pPr>
                          <w:tabs>
                            <w:tab w:val="num" w:pos="0"/>
                          </w:tabs>
                          <w:snapToGrid w:val="0"/>
                        </w:pPr>
                        <w:r>
                          <w:t xml:space="preserve">7000 </w:t>
                        </w:r>
                        <w:r>
                          <w:rPr>
                            <w:caps/>
                          </w:rPr>
                          <w:t>Mons</w:t>
                        </w:r>
                      </w:p>
                      <w:p w:rsidR="00F04EEF" w:rsidRDefault="0099351E">
                        <w:pPr>
                          <w:tabs>
                            <w:tab w:val="num" w:pos="0"/>
                          </w:tabs>
                          <w:snapToGrid w:val="0"/>
                        </w:pPr>
                        <w:r>
                          <w:sym w:font="Wingdings" w:char="F028"/>
                        </w:r>
                        <w:r>
                          <w:t xml:space="preserve"> : 065/55.55.51 – </w:t>
                        </w:r>
                        <w:r>
                          <w:rPr>
                            <w:b/>
                            <w:bCs/>
                          </w:rPr>
                          <w:sym w:font="Webdings" w:char="F0CA"/>
                        </w:r>
                        <w:r>
                          <w:t>: 02/600.08.77</w:t>
                        </w:r>
                      </w:p>
                    </w:tc>
                  </w:tr>
                  <w:tr w:rsidR="00F04EEF">
                    <w:tc>
                      <w:tcPr>
                        <w:tcW w:w="4672" w:type="dxa"/>
                      </w:tcPr>
                      <w:p w:rsidR="00F04EEF" w:rsidRDefault="0099351E">
                        <w:pPr>
                          <w:tabs>
                            <w:tab w:val="num" w:pos="0"/>
                          </w:tabs>
                          <w:snapToGrid w:val="0"/>
                        </w:pPr>
                        <w:r>
                          <w:t>Zone 5 : Verviers</w:t>
                        </w:r>
                      </w:p>
                      <w:p w:rsidR="00F04EEF" w:rsidRDefault="0099351E">
                        <w:pPr>
                          <w:tabs>
                            <w:tab w:val="num" w:pos="0"/>
                          </w:tabs>
                          <w:snapToGrid w:val="0"/>
                          <w:rPr>
                            <w:sz w:val="22"/>
                            <w:szCs w:val="22"/>
                          </w:rPr>
                        </w:pPr>
                        <w:r>
                          <w:rPr>
                            <w:sz w:val="22"/>
                            <w:szCs w:val="22"/>
                          </w:rPr>
                          <w:t>ANGENOT Jean-François</w:t>
                        </w:r>
                      </w:p>
                      <w:p w:rsidR="00F04EEF" w:rsidRDefault="0099351E">
                        <w:pPr>
                          <w:tabs>
                            <w:tab w:val="num" w:pos="0"/>
                          </w:tabs>
                          <w:snapToGrid w:val="0"/>
                          <w:rPr>
                            <w:sz w:val="22"/>
                            <w:szCs w:val="22"/>
                          </w:rPr>
                        </w:pPr>
                        <w:r>
                          <w:rPr>
                            <w:sz w:val="22"/>
                            <w:szCs w:val="22"/>
                          </w:rPr>
                          <w:t>AR Liège 1</w:t>
                        </w:r>
                      </w:p>
                      <w:p w:rsidR="00F04EEF" w:rsidRDefault="0099351E">
                        <w:pPr>
                          <w:tabs>
                            <w:tab w:val="num" w:pos="0"/>
                          </w:tabs>
                          <w:snapToGrid w:val="0"/>
                          <w:rPr>
                            <w:sz w:val="22"/>
                            <w:szCs w:val="22"/>
                          </w:rPr>
                        </w:pPr>
                        <w:r>
                          <w:rPr>
                            <w:sz w:val="22"/>
                            <w:szCs w:val="22"/>
                          </w:rPr>
                          <w:t>Rue des Clarisses 13</w:t>
                        </w:r>
                      </w:p>
                      <w:p w:rsidR="00F04EEF" w:rsidRDefault="0099351E">
                        <w:pPr>
                          <w:tabs>
                            <w:tab w:val="num" w:pos="0"/>
                          </w:tabs>
                          <w:snapToGrid w:val="0"/>
                          <w:rPr>
                            <w:sz w:val="22"/>
                            <w:szCs w:val="22"/>
                          </w:rPr>
                        </w:pPr>
                        <w:r>
                          <w:rPr>
                            <w:sz w:val="22"/>
                            <w:szCs w:val="22"/>
                          </w:rPr>
                          <w:t xml:space="preserve">4000 </w:t>
                        </w:r>
                        <w:r>
                          <w:rPr>
                            <w:caps/>
                            <w:sz w:val="22"/>
                            <w:szCs w:val="22"/>
                          </w:rPr>
                          <w:t>Liège</w:t>
                        </w:r>
                      </w:p>
                      <w:p w:rsidR="00F04EEF" w:rsidRDefault="0099351E">
                        <w:pPr>
                          <w:tabs>
                            <w:tab w:val="num" w:pos="0"/>
                          </w:tabs>
                          <w:snapToGrid w:val="0"/>
                        </w:pPr>
                        <w:r>
                          <w:rPr>
                            <w:sz w:val="22"/>
                            <w:szCs w:val="22"/>
                          </w:rPr>
                          <w:sym w:font="Wingdings" w:char="F028"/>
                        </w:r>
                        <w:r>
                          <w:rPr>
                            <w:sz w:val="22"/>
                            <w:szCs w:val="22"/>
                          </w:rPr>
                          <w:t xml:space="preserve"> : 04/223.31.45 – </w:t>
                        </w:r>
                        <w:r>
                          <w:rPr>
                            <w:b/>
                            <w:bCs/>
                            <w:sz w:val="22"/>
                            <w:szCs w:val="22"/>
                          </w:rPr>
                          <w:sym w:font="Webdings" w:char="F0CA"/>
                        </w:r>
                        <w:r>
                          <w:rPr>
                            <w:sz w:val="22"/>
                            <w:szCs w:val="22"/>
                          </w:rPr>
                          <w:t> : 04/223.64.78</w:t>
                        </w:r>
                      </w:p>
                    </w:tc>
                    <w:tc>
                      <w:tcPr>
                        <w:tcW w:w="4672" w:type="dxa"/>
                      </w:tcPr>
                      <w:p w:rsidR="00F04EEF" w:rsidRDefault="0099351E">
                        <w:pPr>
                          <w:tabs>
                            <w:tab w:val="num" w:pos="0"/>
                          </w:tabs>
                          <w:snapToGrid w:val="0"/>
                        </w:pPr>
                        <w:r>
                          <w:t>Zone 10 : Charleroi – Hainaut Sud</w:t>
                        </w:r>
                      </w:p>
                      <w:p w:rsidR="00F04EEF" w:rsidRDefault="0099351E">
                        <w:pPr>
                          <w:tabs>
                            <w:tab w:val="num" w:pos="0"/>
                          </w:tabs>
                          <w:snapToGrid w:val="0"/>
                        </w:pPr>
                        <w:r>
                          <w:t>JONCKERS Bernard</w:t>
                        </w:r>
                      </w:p>
                      <w:p w:rsidR="00F04EEF" w:rsidRDefault="0099351E">
                        <w:pPr>
                          <w:tabs>
                            <w:tab w:val="num" w:pos="0"/>
                          </w:tabs>
                          <w:snapToGrid w:val="0"/>
                        </w:pPr>
                        <w:r>
                          <w:t>Internat annexé à l’AR Jourdan</w:t>
                        </w:r>
                      </w:p>
                      <w:p w:rsidR="00F04EEF" w:rsidRDefault="0099351E">
                        <w:pPr>
                          <w:tabs>
                            <w:tab w:val="num" w:pos="0"/>
                          </w:tabs>
                          <w:snapToGrid w:val="0"/>
                        </w:pPr>
                        <w:r>
                          <w:t>Sentier du Lycée 10</w:t>
                        </w:r>
                      </w:p>
                      <w:p w:rsidR="00F04EEF" w:rsidRDefault="0099351E">
                        <w:pPr>
                          <w:tabs>
                            <w:tab w:val="num" w:pos="0"/>
                          </w:tabs>
                          <w:snapToGrid w:val="0"/>
                        </w:pPr>
                        <w:r>
                          <w:t xml:space="preserve">6220 </w:t>
                        </w:r>
                        <w:r>
                          <w:rPr>
                            <w:caps/>
                          </w:rPr>
                          <w:t>Fleurus</w:t>
                        </w:r>
                      </w:p>
                      <w:p w:rsidR="00F04EEF" w:rsidRDefault="0099351E">
                        <w:pPr>
                          <w:tabs>
                            <w:tab w:val="num" w:pos="0"/>
                          </w:tabs>
                          <w:snapToGrid w:val="0"/>
                        </w:pPr>
                        <w:r>
                          <w:sym w:font="Wingdings" w:char="F028"/>
                        </w:r>
                        <w:r>
                          <w:t> : 0498/40.04.60</w:t>
                        </w:r>
                      </w:p>
                    </w:tc>
                  </w:tr>
                </w:tbl>
                <w:p w:rsidR="00F04EEF" w:rsidRDefault="0099351E">
                  <w:r>
                    <w:br w:type="page"/>
                  </w:r>
                </w:p>
                <w:p w:rsidR="00F04EEF" w:rsidRDefault="00F04EEF"/>
                <w:bookmarkStart w:id="1325" w:name="_Annexe_17_:"/>
                <w:bookmarkEnd w:id="1325"/>
                <w:p w:rsidR="00F04EEF" w:rsidRDefault="0099351E">
                  <w:pPr>
                    <w:pStyle w:val="Titre4"/>
                  </w:pPr>
                  <w:r>
                    <w:rPr>
                      <w:rFonts w:cs="Arial"/>
                      <w:noProof/>
                      <w:lang w:eastAsia="fr-BE"/>
                    </w:rPr>
                    <mc:AlternateContent>
                      <mc:Choice Requires="wps">
                        <w:drawing>
                          <wp:anchor distT="0" distB="0" distL="114300" distR="114300" simplePos="0" relativeHeight="252207104" behindDoc="0" locked="0" layoutInCell="1" allowOverlap="1">
                            <wp:simplePos x="0" y="0"/>
                            <wp:positionH relativeFrom="column">
                              <wp:posOffset>6829425</wp:posOffset>
                            </wp:positionH>
                            <wp:positionV relativeFrom="paragraph">
                              <wp:posOffset>170180</wp:posOffset>
                            </wp:positionV>
                            <wp:extent cx="0" cy="142875"/>
                            <wp:effectExtent l="0" t="0" r="19050" b="28575"/>
                            <wp:wrapNone/>
                            <wp:docPr id="56" name="Connecteur droit 56"/>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C047C3" id="Connecteur droit 56" o:spid="_x0000_s1026" style="position:absolute;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7.75pt,13.4pt" to="537.7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" strokecolor="black [3213]"/>
                        </w:pict>
                      </mc:Fallback>
                    </mc:AlternateContent>
                  </w:r>
                  <w:r>
                    <w:t>Annexe 14 </w:t>
                  </w:r>
                  <w:bookmarkEnd w:id="1321"/>
                  <w:r>
                    <w:t xml:space="preserve">: Modèle de procès-verbal de la réunion du conseil de classe d’exclusion - Enseignement organisé par </w:t>
                  </w:r>
                  <w:bookmarkEnd w:id="1322"/>
                  <w:bookmarkEnd w:id="1323"/>
                  <w:bookmarkEnd w:id="1324"/>
                  <w:r>
                    <w:t>WBE</w:t>
                  </w:r>
                </w:p>
                <w:p w:rsidR="00F04EEF" w:rsidRDefault="00F04EEF">
                  <w:pPr>
                    <w:rPr>
                      <w:rFonts w:cs="Arial"/>
                    </w:rPr>
                  </w:pPr>
                </w:p>
                <w:p w:rsidR="00F04EEF" w:rsidRDefault="0099351E">
                  <w:pPr>
                    <w:rPr>
                      <w:rFonts w:cs="Arial"/>
                      <w:spacing w:val="-2"/>
                    </w:rPr>
                  </w:pPr>
                  <w:r>
                    <w:rPr>
                      <w:rFonts w:cs="Arial"/>
                    </w:rPr>
                    <w:t xml:space="preserve">CONSEIL DE CLASSE du </w:t>
                  </w:r>
                  <w:r>
                    <w:rPr>
                      <w:rFonts w:cs="Arial"/>
                    </w:rPr>
                    <w:br/>
                  </w:r>
                  <w:r>
                    <w:rPr>
                      <w:rFonts w:cs="Arial"/>
                    </w:rPr>
                    <w:br/>
                  </w:r>
                  <w:r>
                    <w:rPr>
                      <w:rFonts w:cs="Arial"/>
                      <w:b/>
                      <w:spacing w:val="-2"/>
                      <w:u w:val="single"/>
                    </w:rPr>
                    <w:t>Concerne</w:t>
                  </w:r>
                  <w:r>
                    <w:rPr>
                      <w:rFonts w:cs="Arial"/>
                      <w:b/>
                      <w:spacing w:val="-2"/>
                    </w:rPr>
                    <w:t xml:space="preserve"> :</w:t>
                  </w:r>
                  <w:r>
                    <w:rPr>
                      <w:rFonts w:cs="Arial"/>
                      <w:spacing w:val="-2"/>
                    </w:rPr>
                    <w:t xml:space="preserv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élève de </w:t>
                  </w:r>
                </w:p>
                <w:p w:rsidR="00F04EEF" w:rsidRDefault="00F04EEF">
                  <w:pPr>
                    <w:jc w:val="both"/>
                    <w:rPr>
                      <w:rFonts w:cs="Arial"/>
                      <w:b/>
                      <w:spacing w:val="-2"/>
                    </w:rPr>
                  </w:pPr>
                </w:p>
                <w:p w:rsidR="00F04EEF" w:rsidRDefault="0099351E">
                  <w:pPr>
                    <w:rPr>
                      <w:rFonts w:cs="Arial"/>
                      <w:spacing w:val="-2"/>
                    </w:rPr>
                  </w:pPr>
                  <w:r>
                    <w:rPr>
                      <w:rFonts w:cs="Arial"/>
                      <w:b/>
                      <w:spacing w:val="-2"/>
                      <w:u w:val="single"/>
                    </w:rPr>
                    <w:t>Présents</w:t>
                  </w:r>
                  <w:r>
                    <w:rPr>
                      <w:rFonts w:cs="Arial"/>
                      <w:b/>
                      <w:spacing w:val="-2"/>
                    </w:rPr>
                    <w:t xml:space="preserve"> :</w:t>
                  </w:r>
                  <w:r>
                    <w:rPr>
                      <w:rFonts w:cs="Arial"/>
                      <w:b/>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Chef(fe) d’établissement,</w:t>
                  </w:r>
                </w:p>
                <w:p w:rsidR="00F04EEF" w:rsidRDefault="00F04EEF">
                  <w:pPr>
                    <w:jc w:val="both"/>
                    <w:rPr>
                      <w:rFonts w:cs="Arial"/>
                      <w:spacing w:val="-2"/>
                    </w:rPr>
                  </w:pPr>
                </w:p>
                <w:p w:rsidR="00F04EEF" w:rsidRDefault="0099351E">
                  <w:pPr>
                    <w:rPr>
                      <w:rFonts w:cs="Arial"/>
                      <w:spacing w:val="-2"/>
                    </w:rPr>
                  </w:pPr>
                  <w:r>
                    <w:rPr>
                      <w:rFonts w:cs="Arial"/>
                      <w:spacing w:val="-2"/>
                    </w:rPr>
                    <w:t>Mesdames et Messieurs ...................................................…………………………………....………….………………….……………………………………………………………………………………………………..…………………………………………………,professeurs,</w:t>
                  </w:r>
                </w:p>
                <w:p w:rsidR="00F04EEF" w:rsidRDefault="00F04EEF">
                  <w:pPr>
                    <w:rPr>
                      <w:rFonts w:cs="Arial"/>
                      <w:spacing w:val="-2"/>
                    </w:rPr>
                  </w:pPr>
                </w:p>
                <w:p w:rsidR="00F04EEF" w:rsidRDefault="00F04EEF">
                  <w:pPr>
                    <w:rPr>
                      <w:rFonts w:cs="Arial"/>
                      <w:spacing w:val="-2"/>
                    </w:rPr>
                  </w:pPr>
                </w:p>
                <w:p w:rsidR="00F04EEF" w:rsidRDefault="00F04EEF">
                  <w:pPr>
                    <w:jc w:val="both"/>
                    <w:rPr>
                      <w:rFonts w:cs="Arial"/>
                      <w:spacing w:val="-2"/>
                    </w:rPr>
                  </w:pPr>
                </w:p>
                <w:p w:rsidR="00F04EEF" w:rsidRDefault="0099351E">
                  <w:pPr>
                    <w:rPr>
                      <w:rFonts w:cs="Arial"/>
                      <w:b/>
                      <w:spacing w:val="-2"/>
                    </w:rPr>
                  </w:pPr>
                  <w:r>
                    <w:rPr>
                      <w:rFonts w:cs="Arial"/>
                      <w:b/>
                      <w:spacing w:val="-2"/>
                      <w:u w:val="single"/>
                    </w:rPr>
                    <w:t>Absents</w:t>
                  </w:r>
                  <w:r>
                    <w:rPr>
                      <w:rFonts w:cs="Arial"/>
                      <w:b/>
                      <w:spacing w:val="-2"/>
                    </w:rPr>
                    <w:t xml:space="preserve"> : </w:t>
                  </w:r>
                </w:p>
                <w:p w:rsidR="00F04EEF" w:rsidRDefault="00F04EEF">
                  <w:pPr>
                    <w:jc w:val="both"/>
                    <w:rPr>
                      <w:rFonts w:cs="Arial"/>
                      <w:b/>
                      <w:spacing w:val="-2"/>
                    </w:rPr>
                  </w:pPr>
                </w:p>
                <w:p w:rsidR="00F04EEF" w:rsidRDefault="0099351E">
                  <w:pPr>
                    <w:jc w:val="both"/>
                    <w:rPr>
                      <w:rFonts w:cs="Arial"/>
                      <w:spacing w:val="-2"/>
                    </w:rPr>
                  </w:pPr>
                  <w:r>
                    <w:rPr>
                      <w:rFonts w:cs="Arial"/>
                      <w:b/>
                      <w:spacing w:val="-2"/>
                      <w:u w:val="single"/>
                    </w:rPr>
                    <w:t>Fait(s) reproché(s) à l'élève</w:t>
                  </w:r>
                  <w:r>
                    <w:rPr>
                      <w:rFonts w:cs="Arial"/>
                      <w:spacing w:val="-2"/>
                    </w:rPr>
                    <w:t xml:space="preserve"> (identiques aux faits repris dans la convocation à l’audition de l’élève majeur ou des parents de l’élève mineur et de celui-ci ou de la personne investie de l’autorité parentale et de l’élève mineur):</w:t>
                  </w:r>
                </w:p>
                <w:p w:rsidR="00F04EEF" w:rsidRDefault="0099351E">
                  <w:pPr>
                    <w:jc w:val="both"/>
                    <w:rPr>
                      <w:rFonts w:cs="Arial"/>
                      <w:spacing w:val="-2"/>
                    </w:rPr>
                  </w:pPr>
                  <w:r>
                    <w:rPr>
                      <w:rFonts w:cs="Arial"/>
                      <w:spacing w:val="-2"/>
                    </w:rPr>
                    <w:t>-..............................................................................................................................................…………………</w:t>
                  </w:r>
                </w:p>
                <w:p w:rsidR="00F04EEF" w:rsidRDefault="0099351E">
                  <w:pPr>
                    <w:jc w:val="both"/>
                    <w:rPr>
                      <w:rFonts w:cs="Arial"/>
                      <w:spacing w:val="-2"/>
                    </w:rPr>
                  </w:pPr>
                  <w:r>
                    <w:rPr>
                      <w:rFonts w:cs="Arial"/>
                      <w:spacing w:val="-2"/>
                    </w:rPr>
                    <w:t>-..............................................................................................................................................…………………</w:t>
                  </w:r>
                </w:p>
                <w:p w:rsidR="00F04EEF" w:rsidRDefault="0099351E">
                  <w:pPr>
                    <w:jc w:val="both"/>
                    <w:rPr>
                      <w:rFonts w:cs="Arial"/>
                      <w:spacing w:val="-2"/>
                    </w:rPr>
                  </w:pPr>
                  <w:r>
                    <w:rPr>
                      <w:rFonts w:cs="Arial"/>
                      <w:spacing w:val="-2"/>
                    </w:rPr>
                    <w:t>-..............................................................................................................................................…………………</w:t>
                  </w:r>
                </w:p>
                <w:p w:rsidR="00F04EEF" w:rsidRDefault="00F04EEF">
                  <w:pPr>
                    <w:jc w:val="both"/>
                    <w:rPr>
                      <w:rFonts w:cs="Arial"/>
                      <w:spacing w:val="-2"/>
                    </w:rPr>
                  </w:pPr>
                </w:p>
                <w:p w:rsidR="00F04EEF" w:rsidRDefault="0099351E">
                  <w:pPr>
                    <w:rPr>
                      <w:rFonts w:cs="Arial"/>
                      <w:spacing w:val="-2"/>
                    </w:rPr>
                  </w:pPr>
                  <w:r>
                    <w:rPr>
                      <w:rFonts w:cs="Arial"/>
                      <w:spacing w:val="-2"/>
                    </w:rPr>
                    <w:t>Ils ont fait l'objet :</w:t>
                  </w:r>
                </w:p>
                <w:p w:rsidR="00F04EEF" w:rsidRDefault="00F04EEF">
                  <w:pPr>
                    <w:rPr>
                      <w:rFonts w:cs="Arial"/>
                      <w:spacing w:val="-2"/>
                    </w:rPr>
                  </w:pPr>
                </w:p>
                <w:p w:rsidR="00F04EEF" w:rsidRDefault="0099351E">
                  <w:pPr>
                    <w:rPr>
                      <w:rFonts w:cs="Arial"/>
                      <w:spacing w:val="-2"/>
                    </w:rPr>
                  </w:pPr>
                  <w:r>
                    <w:rPr>
                      <w:rFonts w:cs="Arial"/>
                      <w:spacing w:val="-2"/>
                    </w:rPr>
                    <w:t xml:space="preserve">- de la (des) lettre(s) du (des) </w:t>
                  </w:r>
                </w:p>
                <w:p w:rsidR="00F04EEF" w:rsidRDefault="00F04EEF">
                  <w:pPr>
                    <w:rPr>
                      <w:rFonts w:cs="Arial"/>
                      <w:spacing w:val="-2"/>
                    </w:rPr>
                  </w:pPr>
                </w:p>
                <w:p w:rsidR="00F04EEF" w:rsidRDefault="0099351E">
                  <w:pPr>
                    <w:rPr>
                      <w:rFonts w:cs="Arial"/>
                    </w:rPr>
                  </w:pPr>
                  <w:r>
                    <w:rPr>
                      <w:rFonts w:cs="Arial"/>
                    </w:rPr>
                    <w:t xml:space="preserve">- de la (des) note(s) au journal de classe du (des) </w:t>
                  </w:r>
                </w:p>
                <w:p w:rsidR="00F04EEF" w:rsidRDefault="00F04EEF">
                  <w:pPr>
                    <w:rPr>
                      <w:rFonts w:cs="Arial"/>
                    </w:rPr>
                  </w:pPr>
                </w:p>
                <w:p w:rsidR="00F04EEF" w:rsidRDefault="0099351E">
                  <w:pPr>
                    <w:rPr>
                      <w:rFonts w:cs="Arial"/>
                    </w:rPr>
                  </w:pPr>
                  <w:r>
                    <w:rPr>
                      <w:rFonts w:cs="Arial"/>
                    </w:rPr>
                    <w:t xml:space="preserve">- de l'(des) entretien(s) du (des) </w:t>
                  </w:r>
                </w:p>
                <w:p w:rsidR="00F04EEF" w:rsidRDefault="00F04EEF">
                  <w:pPr>
                    <w:rPr>
                      <w:rFonts w:cs="Arial"/>
                    </w:rPr>
                  </w:pPr>
                </w:p>
                <w:p w:rsidR="00F04EEF" w:rsidRDefault="0099351E">
                  <w:pPr>
                    <w:rPr>
                      <w:rFonts w:cs="Arial"/>
                      <w:spacing w:val="-2"/>
                    </w:rPr>
                  </w:pPr>
                  <w:r>
                    <w:rPr>
                      <w:rFonts w:cs="Arial"/>
                      <w:spacing w:val="-2"/>
                    </w:rPr>
                    <w:t xml:space="preserve">- du procès-verbal de l'audition préalable du </w:t>
                  </w:r>
                </w:p>
                <w:p w:rsidR="00F04EEF" w:rsidRDefault="00F04EEF">
                  <w:pPr>
                    <w:rPr>
                      <w:rFonts w:cs="Arial"/>
                      <w:spacing w:val="-2"/>
                    </w:rPr>
                  </w:pPr>
                </w:p>
                <w:p w:rsidR="00F04EEF" w:rsidRDefault="0099351E">
                  <w:pPr>
                    <w:rPr>
                      <w:rFonts w:cs="Arial"/>
                      <w:spacing w:val="-2"/>
                    </w:rPr>
                  </w:pPr>
                  <w:r>
                    <w:rPr>
                      <w:rFonts w:cs="Arial"/>
                      <w:spacing w:val="-2"/>
                    </w:rPr>
                    <w:t xml:space="preserve">- du procès-verbal de l'audition du </w:t>
                  </w:r>
                </w:p>
                <w:p w:rsidR="00F04EEF" w:rsidRDefault="00F04EEF">
                  <w:pPr>
                    <w:jc w:val="both"/>
                    <w:rPr>
                      <w:rFonts w:cs="Arial"/>
                      <w:spacing w:val="-2"/>
                    </w:rPr>
                  </w:pPr>
                </w:p>
                <w:p w:rsidR="00F04EEF" w:rsidRDefault="0099351E">
                  <w:pPr>
                    <w:jc w:val="both"/>
                    <w:rPr>
                      <w:rFonts w:cs="Arial"/>
                      <w:spacing w:val="-2"/>
                    </w:rPr>
                  </w:pPr>
                  <w:r>
                    <w:rPr>
                      <w:rFonts w:cs="Arial"/>
                      <w:spacing w:val="-2"/>
                    </w:rPr>
                    <w:t xml:space="preserve">Après examen de cette (ces) pièce(s), le Conseil de classe est d'avis, dans l'intérêt de l'établissement et des autres élèves de l’établissement, </w:t>
                  </w:r>
                </w:p>
                <w:p w:rsidR="00F04EEF" w:rsidRDefault="0099351E">
                  <w:pPr>
                    <w:jc w:val="both"/>
                    <w:rPr>
                      <w:rFonts w:cs="Arial"/>
                      <w:spacing w:val="-2"/>
                    </w:rPr>
                  </w:pPr>
                  <w:r>
                    <w:rPr>
                      <w:rFonts w:cs="Arial"/>
                      <w:spacing w:val="-2"/>
                    </w:rPr>
                    <w:t>1)</w:t>
                  </w:r>
                  <w:r>
                    <w:rPr>
                      <w:rFonts w:cs="Arial"/>
                      <w:spacing w:val="-2"/>
                    </w:rPr>
                    <w:tab/>
                    <w:t>de ne pas exclure l’élève ;</w:t>
                  </w:r>
                </w:p>
                <w:p w:rsidR="00F04EEF" w:rsidRDefault="0099351E">
                  <w:pPr>
                    <w:jc w:val="both"/>
                    <w:rPr>
                      <w:rFonts w:cs="Arial"/>
                    </w:rPr>
                  </w:pPr>
                  <w:r>
                    <w:rPr>
                      <w:rFonts w:cs="Arial"/>
                    </w:rPr>
                    <w:t>2)</w:t>
                  </w:r>
                  <w:r>
                    <w:rPr>
                      <w:rFonts w:cs="Arial"/>
                    </w:rPr>
                    <w:tab/>
                    <w:t>d'exclure définitivement l'élève.</w:t>
                  </w:r>
                </w:p>
                <w:p w:rsidR="00F04EEF" w:rsidRDefault="00F04EEF">
                  <w:pPr>
                    <w:jc w:val="both"/>
                    <w:rPr>
                      <w:rFonts w:cs="Arial"/>
                      <w:spacing w:val="-2"/>
                    </w:rPr>
                  </w:pPr>
                </w:p>
                <w:p w:rsidR="00F04EEF" w:rsidRDefault="0099351E">
                  <w:pPr>
                    <w:jc w:val="both"/>
                    <w:rPr>
                      <w:rFonts w:cs="Arial"/>
                      <w:spacing w:val="-2"/>
                    </w:rPr>
                  </w:pPr>
                  <w:r>
                    <w:rPr>
                      <w:rFonts w:cs="Arial"/>
                      <w:spacing w:val="-2"/>
                    </w:rPr>
                    <w:t>pour les raisons suivantes :</w:t>
                  </w:r>
                </w:p>
                <w:p w:rsidR="00F04EEF" w:rsidRDefault="0099351E">
                  <w:pPr>
                    <w:jc w:val="both"/>
                    <w:rPr>
                      <w:rFonts w:cs="Arial"/>
                      <w:spacing w:val="-2"/>
                    </w:rPr>
                  </w:pPr>
                  <w:r>
                    <w:rPr>
                      <w:rFonts w:cs="Arial"/>
                      <w:spacing w:val="-2"/>
                    </w:rPr>
                    <w:t>......................................................……………………………………………………………………………..………………………………………………………………………………………………….....................................................…………………………………………………………………………………………………………………………………………….……………………</w:t>
                  </w:r>
                </w:p>
                <w:p w:rsidR="00F04EEF" w:rsidRDefault="00F04EEF">
                  <w:pPr>
                    <w:jc w:val="both"/>
                    <w:rPr>
                      <w:rFonts w:cs="Arial"/>
                      <w:spacing w:val="-2"/>
                    </w:rPr>
                  </w:pPr>
                </w:p>
                <w:p w:rsidR="00F04EEF" w:rsidRDefault="0099351E">
                  <w:pPr>
                    <w:jc w:val="both"/>
                    <w:rPr>
                      <w:rFonts w:cs="Arial"/>
                      <w:spacing w:val="-2"/>
                    </w:rPr>
                  </w:pPr>
                  <w:r>
                    <w:rPr>
                      <w:rFonts w:cs="Arial"/>
                      <w:spacing w:val="-2"/>
                    </w:rPr>
                    <w:t>Fait à</w:t>
                  </w:r>
                  <w:r>
                    <w:rPr>
                      <w:rFonts w:cs="Arial"/>
                      <w:spacing w:val="-2"/>
                    </w:rPr>
                    <w:tab/>
                  </w:r>
                  <w:r>
                    <w:rPr>
                      <w:rFonts w:cs="Arial"/>
                      <w:spacing w:val="-2"/>
                    </w:rPr>
                    <w:tab/>
                  </w:r>
                  <w:r>
                    <w:rPr>
                      <w:rFonts w:cs="Arial"/>
                      <w:spacing w:val="-2"/>
                    </w:rPr>
                    <w:tab/>
                  </w:r>
                  <w:r>
                    <w:rPr>
                      <w:rFonts w:cs="Arial"/>
                      <w:spacing w:val="-2"/>
                    </w:rPr>
                    <w:tab/>
                    <w:t>, le</w:t>
                  </w:r>
                </w:p>
                <w:p w:rsidR="00F04EEF" w:rsidRDefault="00F04EEF">
                  <w:pPr>
                    <w:rPr>
                      <w:rFonts w:cs="Arial"/>
                      <w:spacing w:val="-2"/>
                    </w:rPr>
                  </w:pPr>
                </w:p>
                <w:p w:rsidR="00F04EEF" w:rsidRDefault="0099351E">
                  <w:pPr>
                    <w:rPr>
                      <w:rFonts w:cs="Arial"/>
                      <w:spacing w:val="-2"/>
                    </w:rPr>
                  </w:pPr>
                  <w:r>
                    <w:rPr>
                      <w:rFonts w:cs="Arial"/>
                      <w:spacing w:val="-2"/>
                    </w:rPr>
                    <w:t xml:space="preserve">Signature du (de la) Chef(fe) d’établissement : </w:t>
                  </w:r>
                </w:p>
                <w:p w:rsidR="00F04EEF" w:rsidRDefault="0099351E">
                  <w:pPr>
                    <w:rPr>
                      <w:rFonts w:cs="Arial"/>
                      <w:spacing w:val="-2"/>
                    </w:rPr>
                  </w:pPr>
                  <w:r>
                    <w:rPr>
                      <w:rFonts w:cs="Arial"/>
                      <w:spacing w:val="-2"/>
                    </w:rPr>
                    <w:br w:type="page"/>
                  </w:r>
                </w:p>
                <w:bookmarkStart w:id="1326" w:name="_Annexe_18_:_1"/>
                <w:bookmarkStart w:id="1327" w:name="annexe19"/>
                <w:bookmarkStart w:id="1328" w:name="_Toc412204112"/>
                <w:bookmarkStart w:id="1329" w:name="_Toc414352920"/>
                <w:bookmarkStart w:id="1330" w:name="_Toc453836944"/>
                <w:bookmarkEnd w:id="1326"/>
                <w:p w:rsidR="00F04EEF" w:rsidRDefault="0099351E">
                  <w:pPr>
                    <w:pStyle w:val="Titre4"/>
                  </w:pPr>
                  <w:r>
                    <w:rPr>
                      <w:rFonts w:cs="Arial"/>
                      <w:noProof/>
                      <w:lang w:eastAsia="fr-BE"/>
                    </w:rPr>
                    <mc:AlternateContent>
                      <mc:Choice Requires="wps">
                        <w:drawing>
                          <wp:anchor distT="0" distB="0" distL="114300" distR="114300" simplePos="0" relativeHeight="252209152" behindDoc="0" locked="0" layoutInCell="1" allowOverlap="1">
                            <wp:simplePos x="0" y="0"/>
                            <wp:positionH relativeFrom="column">
                              <wp:posOffset>6829425</wp:posOffset>
                            </wp:positionH>
                            <wp:positionV relativeFrom="paragraph">
                              <wp:posOffset>170180</wp:posOffset>
                            </wp:positionV>
                            <wp:extent cx="0" cy="142875"/>
                            <wp:effectExtent l="0" t="0" r="19050" b="28575"/>
                            <wp:wrapNone/>
                            <wp:docPr id="57" name="Connecteur droit 57"/>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56191F6" id="Connecteur droit 57" o:spid="_x0000_s1026" style="position:absolute;z-index:252209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37.75pt,13.4pt" to="537.7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" strokecolor="black [3213]"/>
                        </w:pict>
                      </mc:Fallback>
                    </mc:AlternateContent>
                  </w:r>
                  <w:r>
                    <w:t>Annexe 1</w:t>
                  </w:r>
                  <w:bookmarkEnd w:id="1327"/>
                  <w:r>
                    <w:t xml:space="preserve">5 : Procédure d’exclusion définitive : Procès-verbal d’audition de l’élève et ses parents - Enseignement organisé par </w:t>
                  </w:r>
                  <w:bookmarkEnd w:id="1328"/>
                  <w:bookmarkEnd w:id="1329"/>
                  <w:bookmarkEnd w:id="1330"/>
                  <w:r>
                    <w:t>WBE</w:t>
                  </w:r>
                </w:p>
                <w:p w:rsidR="00F04EEF" w:rsidRDefault="00F04EEF">
                  <w:pPr>
                    <w:jc w:val="center"/>
                  </w:pPr>
                </w:p>
                <w:p w:rsidR="00F04EEF" w:rsidRDefault="0099351E">
                  <w:pPr>
                    <w:jc w:val="center"/>
                  </w:pPr>
                  <w:bookmarkStart w:id="1331" w:name="_Toc412204113"/>
                  <w:bookmarkStart w:id="1332" w:name="_Toc414352921"/>
                  <w:bookmarkStart w:id="1333" w:name="_Toc453836945"/>
                  <w:r>
                    <w:t>A adapter pour l’élève majeur</w:t>
                  </w:r>
                  <w:bookmarkEnd w:id="1331"/>
                  <w:bookmarkEnd w:id="1332"/>
                  <w:bookmarkEnd w:id="1333"/>
                </w:p>
                <w:p w:rsidR="00F04EEF" w:rsidRDefault="00F04EEF">
                  <w:pPr>
                    <w:rPr>
                      <w:rFonts w:cs="Arial"/>
                    </w:rPr>
                  </w:pPr>
                </w:p>
                <w:p w:rsidR="00F04EEF" w:rsidRDefault="0099351E">
                  <w:r>
                    <w:t>Nom :</w:t>
                  </w:r>
                </w:p>
                <w:p w:rsidR="00F04EEF" w:rsidRDefault="0099351E">
                  <w:r>
                    <w:t>Prénom :</w:t>
                  </w:r>
                </w:p>
                <w:p w:rsidR="00F04EEF" w:rsidRDefault="0099351E">
                  <w:r>
                    <w:t>Date de naissance :</w:t>
                  </w:r>
                </w:p>
                <w:p w:rsidR="00F04EEF" w:rsidRDefault="0099351E">
                  <w:r>
                    <w:t>Classe :</w:t>
                  </w:r>
                </w:p>
                <w:p w:rsidR="00F04EEF" w:rsidRDefault="00F04EEF"/>
                <w:p w:rsidR="00F04EEF" w:rsidRDefault="0099351E">
                  <w:r>
                    <w:rPr>
                      <w:u w:val="single"/>
                    </w:rPr>
                    <w:t>Documents mis à disposition de l’élève et ses parents / de l’élève majeur</w:t>
                  </w:r>
                  <w:r>
                    <w:t> :</w:t>
                  </w:r>
                </w:p>
                <w:p w:rsidR="00F04EEF" w:rsidRDefault="00F04EEF"/>
                <w:p w:rsidR="00F04EEF" w:rsidRDefault="0099351E">
                  <w:pPr>
                    <w:numPr>
                      <w:ilvl w:val="0"/>
                      <w:numId w:val="112"/>
                    </w:numPr>
                    <w:ind w:left="851" w:hanging="709"/>
                  </w:pPr>
                  <w:r>
                    <w:t>dossier disciplinaire. (Faits antérieurs).</w:t>
                  </w:r>
                </w:p>
                <w:p w:rsidR="00F04EEF" w:rsidRDefault="00F04EEF">
                  <w:pPr>
                    <w:ind w:left="851" w:hanging="709"/>
                  </w:pPr>
                </w:p>
                <w:p w:rsidR="00F04EEF" w:rsidRDefault="0099351E">
                  <w:pPr>
                    <w:numPr>
                      <w:ilvl w:val="0"/>
                      <w:numId w:val="112"/>
                    </w:numPr>
                    <w:ind w:left="851" w:hanging="709"/>
                  </w:pPr>
                  <w:r>
                    <w:t>rapport d’incident. (Fait(s) qui donne(nt) lieu à la procédure d’exclusion).</w:t>
                  </w:r>
                </w:p>
                <w:p w:rsidR="00F04EEF" w:rsidRDefault="00F04EEF">
                  <w:pPr>
                    <w:ind w:left="851" w:hanging="709"/>
                  </w:pPr>
                </w:p>
                <w:p w:rsidR="00F04EEF" w:rsidRDefault="0099351E">
                  <w:pPr>
                    <w:numPr>
                      <w:ilvl w:val="0"/>
                      <w:numId w:val="112"/>
                    </w:numPr>
                    <w:ind w:left="851" w:hanging="709"/>
                  </w:pPr>
                  <w:r>
                    <w:t>témoignages.</w:t>
                  </w:r>
                </w:p>
                <w:p w:rsidR="00F04EEF" w:rsidRDefault="00F04EEF">
                  <w:pPr>
                    <w:ind w:left="851" w:hanging="709"/>
                  </w:pPr>
                </w:p>
                <w:p w:rsidR="00F04EEF" w:rsidRDefault="0099351E">
                  <w:pPr>
                    <w:numPr>
                      <w:ilvl w:val="0"/>
                      <w:numId w:val="112"/>
                    </w:numPr>
                    <w:ind w:left="851" w:hanging="709"/>
                  </w:pPr>
                  <w:r>
                    <w:t>autres (à préciser) :</w:t>
                  </w:r>
                </w:p>
                <w:p w:rsidR="00F04EEF" w:rsidRDefault="00F04EEF"/>
                <w:p w:rsidR="00F04EEF" w:rsidRDefault="0099351E">
                  <w:r>
                    <w:rPr>
                      <w:u w:val="single"/>
                    </w:rPr>
                    <w:t>Personnes présentes</w:t>
                  </w:r>
                  <w:r>
                    <w:t> :</w:t>
                  </w:r>
                </w:p>
                <w:p w:rsidR="00F04EEF" w:rsidRDefault="00F04EEF"/>
                <w:p w:rsidR="00F04EEF" w:rsidRDefault="00F04EEF"/>
                <w:p w:rsidR="00F04EEF" w:rsidRDefault="00F04EEF"/>
                <w:p w:rsidR="00F04EEF" w:rsidRDefault="00F04EEF"/>
                <w:p w:rsidR="00F04EEF" w:rsidRDefault="0099351E">
                  <w:r>
                    <w:rPr>
                      <w:u w:val="single"/>
                    </w:rPr>
                    <w:t>Version des faits présentée par le (la) Chef(fe) d’établissement</w:t>
                  </w:r>
                  <w:r>
                    <w:t> :</w:t>
                  </w:r>
                </w:p>
                <w:p w:rsidR="00F04EEF" w:rsidRDefault="00F04EEF"/>
                <w:p w:rsidR="00F04EEF" w:rsidRDefault="00F04EEF"/>
                <w:p w:rsidR="00F04EEF" w:rsidRDefault="00F04EEF"/>
                <w:p w:rsidR="00F04EEF" w:rsidRDefault="00F04EEF"/>
                <w:p w:rsidR="00F04EEF" w:rsidRDefault="00F04EEF"/>
                <w:p w:rsidR="00F04EEF" w:rsidRDefault="0099351E">
                  <w:r>
                    <w:rPr>
                      <w:u w:val="single"/>
                    </w:rPr>
                    <w:t>Commentaires de l’élève/des parents</w:t>
                  </w:r>
                  <w:r>
                    <w:t> :</w:t>
                  </w:r>
                </w:p>
                <w:p w:rsidR="00F04EEF" w:rsidRDefault="00F04EEF"/>
                <w:p w:rsidR="00F04EEF" w:rsidRDefault="00F04EEF"/>
                <w:p w:rsidR="00F04EEF" w:rsidRDefault="00F04EEF"/>
                <w:p w:rsidR="00F04EEF" w:rsidRDefault="0099351E">
                  <w:r>
                    <w:t xml:space="preserve">Fait à                  </w:t>
                  </w:r>
                </w:p>
                <w:p w:rsidR="00F04EEF" w:rsidRDefault="00F04EEF"/>
                <w:p w:rsidR="00F04EEF" w:rsidRDefault="0099351E">
                  <w:r>
                    <w:t xml:space="preserve">Le  ………………                 </w:t>
                  </w:r>
                </w:p>
                <w:p w:rsidR="00F04EEF" w:rsidRDefault="00F04EEF"/>
                <w:p w:rsidR="00F04EEF" w:rsidRDefault="00F04EEF"/>
                <w:p w:rsidR="00F04EEF" w:rsidRDefault="0099351E">
                  <w:r>
                    <w:rPr>
                      <w:u w:val="single"/>
                    </w:rPr>
                    <w:t>Signature des personnes présentes précédée de la mention « lu et approuvé »</w:t>
                  </w:r>
                  <w:r>
                    <w:t>:</w:t>
                  </w:r>
                </w:p>
                <w:p w:rsidR="00F04EEF" w:rsidRDefault="0099351E">
                  <w:pPr>
                    <w:rPr>
                      <w:spacing w:val="-2"/>
                    </w:rPr>
                  </w:pPr>
                  <w:r>
                    <w:rPr>
                      <w:spacing w:val="-2"/>
                    </w:rPr>
                    <w:br w:type="page"/>
                  </w:r>
                </w:p>
                <w:bookmarkStart w:id="1334" w:name="_Annexe_20_:"/>
                <w:bookmarkStart w:id="1335" w:name="annexe20"/>
                <w:bookmarkStart w:id="1336" w:name="_Toc412204114"/>
                <w:bookmarkStart w:id="1337" w:name="_Toc414352922"/>
                <w:bookmarkStart w:id="1338" w:name="_Toc453836946"/>
                <w:bookmarkEnd w:id="1334"/>
                <w:p w:rsidR="00F04EEF" w:rsidRDefault="0099351E">
                  <w:pPr>
                    <w:pStyle w:val="Titre4"/>
                    <w:rPr>
                      <w:strike/>
                    </w:rPr>
                  </w:pPr>
                  <w:r>
                    <w:rPr>
                      <w:rFonts w:cs="Arial"/>
                      <w:noProof/>
                      <w:lang w:eastAsia="fr-BE"/>
                    </w:rPr>
                    <mc:AlternateContent>
                      <mc:Choice Requires="wps">
                        <w:drawing>
                          <wp:anchor distT="0" distB="0" distL="114300" distR="114300" simplePos="0" relativeHeight="252211200" behindDoc="0" locked="0" layoutInCell="1" allowOverlap="1">
                            <wp:simplePos x="0" y="0"/>
                            <wp:positionH relativeFrom="column">
                              <wp:posOffset>6581775</wp:posOffset>
                            </wp:positionH>
                            <wp:positionV relativeFrom="paragraph">
                              <wp:posOffset>-635</wp:posOffset>
                            </wp:positionV>
                            <wp:extent cx="0" cy="142875"/>
                            <wp:effectExtent l="0" t="0" r="19050" b="28575"/>
                            <wp:wrapNone/>
                            <wp:docPr id="58" name="Connecteur droit 58"/>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ABD6600" id="Connecteur droit 58" o:spid="_x0000_s1026" style="position:absolute;z-index:252211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8.25pt,-.05pt" to="518.2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" strokecolor="black [3213]"/>
                        </w:pict>
                      </mc:Fallback>
                    </mc:AlternateContent>
                  </w:r>
                  <w:r>
                    <w:t>Annexe 1</w:t>
                  </w:r>
                  <w:bookmarkEnd w:id="1335"/>
                  <w:r>
                    <w:t>6: Coordonnées des services d’accrochage</w:t>
                  </w:r>
                  <w:bookmarkEnd w:id="1336"/>
                  <w:bookmarkEnd w:id="1337"/>
                  <w:bookmarkEnd w:id="1338"/>
                </w:p>
                <w:p w:rsidR="00F04EEF" w:rsidRDefault="0099351E">
                  <w:r>
                    <w:rPr>
                      <w:rFonts w:cs="Arial"/>
                      <w:noProof/>
                      <w:lang w:eastAsia="fr-BE"/>
                    </w:rPr>
                    <mc:AlternateContent>
                      <mc:Choice Requires="wps">
                        <w:drawing>
                          <wp:anchor distT="0" distB="0" distL="114300" distR="114300" simplePos="0" relativeHeight="252219392" behindDoc="0" locked="0" layoutInCell="1" allowOverlap="1">
                            <wp:simplePos x="0" y="0"/>
                            <wp:positionH relativeFrom="column">
                              <wp:posOffset>6667500</wp:posOffset>
                            </wp:positionH>
                            <wp:positionV relativeFrom="paragraph">
                              <wp:posOffset>6727190</wp:posOffset>
                            </wp:positionV>
                            <wp:extent cx="0" cy="876300"/>
                            <wp:effectExtent l="0" t="0" r="19050" b="19050"/>
                            <wp:wrapNone/>
                            <wp:docPr id="63" name="Connecteur droit 63"/>
                            <wp:cNvGraphicFramePr/>
                            <a:graphic xmlns:a="http://schemas.openxmlformats.org/drawingml/2006/main">
                              <a:graphicData uri="http://schemas.microsoft.com/office/word/2010/wordprocessingShape">
                                <wps:wsp>
                                  <wps:cNvCnPr/>
                                  <wps:spPr>
                                    <a:xfrm>
                                      <a:off x="0" y="0"/>
                                      <a:ext cx="0" cy="876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996731" id="Connecteur droit 63" o:spid="_x0000_s1026" style="position:absolute;z-index:252219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5pt,529.7pt" to="525pt,59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" strokecolor="black [3213]"/>
                        </w:pict>
                      </mc:Fallback>
                    </mc:AlternateContent>
                  </w:r>
                  <w:r>
                    <w:rPr>
                      <w:rFonts w:cs="Arial"/>
                      <w:noProof/>
                      <w:lang w:eastAsia="fr-BE"/>
                    </w:rPr>
                    <mc:AlternateContent>
                      <mc:Choice Requires="wps">
                        <w:drawing>
                          <wp:anchor distT="0" distB="0" distL="114300" distR="114300" simplePos="0" relativeHeight="252217344" behindDoc="0" locked="0" layoutInCell="1" allowOverlap="1">
                            <wp:simplePos x="0" y="0"/>
                            <wp:positionH relativeFrom="column">
                              <wp:posOffset>6581775</wp:posOffset>
                            </wp:positionH>
                            <wp:positionV relativeFrom="paragraph">
                              <wp:posOffset>4565015</wp:posOffset>
                            </wp:positionV>
                            <wp:extent cx="0" cy="876300"/>
                            <wp:effectExtent l="0" t="0" r="19050" b="19050"/>
                            <wp:wrapNone/>
                            <wp:docPr id="61" name="Connecteur droit 61"/>
                            <wp:cNvGraphicFramePr/>
                            <a:graphic xmlns:a="http://schemas.openxmlformats.org/drawingml/2006/main">
                              <a:graphicData uri="http://schemas.microsoft.com/office/word/2010/wordprocessingShape">
                                <wps:wsp>
                                  <wps:cNvCnPr/>
                                  <wps:spPr>
                                    <a:xfrm>
                                      <a:off x="0" y="0"/>
                                      <a:ext cx="0" cy="876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FB1BA25" id="Connecteur droit 61" o:spid="_x0000_s1026" style="position:absolute;z-index:252217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8.25pt,359.45pt" to="518.25pt,4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" strokecolor="black [3213]"/>
                        </w:pict>
                      </mc:Fallback>
                    </mc:AlternateContent>
                  </w:r>
                  <w:r>
                    <w:rPr>
                      <w:rFonts w:cs="Arial"/>
                      <w:noProof/>
                      <w:lang w:eastAsia="fr-BE"/>
                    </w:rPr>
                    <mc:AlternateContent>
                      <mc:Choice Requires="wps">
                        <w:drawing>
                          <wp:anchor distT="0" distB="0" distL="114300" distR="114300" simplePos="0" relativeHeight="252215296" behindDoc="0" locked="0" layoutInCell="1" allowOverlap="1">
                            <wp:simplePos x="0" y="0"/>
                            <wp:positionH relativeFrom="column">
                              <wp:posOffset>6581775</wp:posOffset>
                            </wp:positionH>
                            <wp:positionV relativeFrom="paragraph">
                              <wp:posOffset>2431415</wp:posOffset>
                            </wp:positionV>
                            <wp:extent cx="0" cy="876300"/>
                            <wp:effectExtent l="0" t="0" r="19050" b="19050"/>
                            <wp:wrapNone/>
                            <wp:docPr id="60" name="Connecteur droit 60"/>
                            <wp:cNvGraphicFramePr/>
                            <a:graphic xmlns:a="http://schemas.openxmlformats.org/drawingml/2006/main">
                              <a:graphicData uri="http://schemas.microsoft.com/office/word/2010/wordprocessingShape">
                                <wps:wsp>
                                  <wps:cNvCnPr/>
                                  <wps:spPr>
                                    <a:xfrm>
                                      <a:off x="0" y="0"/>
                                      <a:ext cx="0" cy="876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02746FB" id="Connecteur droit 60" o:spid="_x0000_s1026" style="position:absolute;z-index:252215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8.25pt,191.45pt" to="518.25pt,26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" strokecolor="black [3213]"/>
                        </w:pict>
                      </mc:Fallback>
                    </mc:AlternateContent>
                  </w:r>
                  <w:r>
                    <w:rPr>
                      <w:rFonts w:cs="Arial"/>
                      <w:noProof/>
                      <w:lang w:eastAsia="fr-BE"/>
                    </w:rPr>
                    <mc:AlternateContent>
                      <mc:Choice Requires="wps">
                        <w:drawing>
                          <wp:anchor distT="0" distB="0" distL="114300" distR="114300" simplePos="0" relativeHeight="252213248" behindDoc="0" locked="0" layoutInCell="1" allowOverlap="1">
                            <wp:simplePos x="0" y="0"/>
                            <wp:positionH relativeFrom="column">
                              <wp:posOffset>6581775</wp:posOffset>
                            </wp:positionH>
                            <wp:positionV relativeFrom="paragraph">
                              <wp:posOffset>1402715</wp:posOffset>
                            </wp:positionV>
                            <wp:extent cx="0" cy="876300"/>
                            <wp:effectExtent l="0" t="0" r="19050" b="19050"/>
                            <wp:wrapNone/>
                            <wp:docPr id="59" name="Connecteur droit 59"/>
                            <wp:cNvGraphicFramePr/>
                            <a:graphic xmlns:a="http://schemas.openxmlformats.org/drawingml/2006/main">
                              <a:graphicData uri="http://schemas.microsoft.com/office/word/2010/wordprocessingShape">
                                <wps:wsp>
                                  <wps:cNvCnPr/>
                                  <wps:spPr>
                                    <a:xfrm>
                                      <a:off x="0" y="0"/>
                                      <a:ext cx="0" cy="876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FE377B6" id="Connecteur droit 59" o:spid="_x0000_s1026" style="position:absolute;z-index:252213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8.25pt,110.45pt" to="518.25pt,1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" strokecolor="black [3213]"/>
                        </w:pict>
                      </mc:Fallback>
                    </mc:AlternateContent>
                  </w:r>
                </w:p>
                <w:tbl>
                  <w:tblPr>
                    <w:tblStyle w:val="Grilledutableau"/>
                    <w:tblW w:w="0" w:type="auto"/>
                    <w:tblLook w:val="04A0" w:firstRow="1" w:lastRow="0" w:firstColumn="1" w:lastColumn="0" w:noHBand="0" w:noVBand="1"/>
                  </w:tblPr>
                  <w:tblGrid>
                    <w:gridCol w:w="4672"/>
                    <w:gridCol w:w="4672"/>
                  </w:tblGrid>
                  <w:tr w:rsidR="00F04EEF">
                    <w:tc>
                      <w:tcPr>
                        <w:tcW w:w="4672" w:type="dxa"/>
                      </w:tcPr>
                      <w:p w:rsidR="00F04EEF" w:rsidRDefault="0099351E">
                        <w:pPr>
                          <w:jc w:val="center"/>
                          <w:rPr>
                            <w:b/>
                          </w:rPr>
                        </w:pPr>
                        <w:r>
                          <w:rPr>
                            <w:b/>
                          </w:rPr>
                          <w:t>Zone de Bruxelles-Capitale</w:t>
                        </w:r>
                      </w:p>
                      <w:p w:rsidR="00F04EEF" w:rsidRDefault="0099351E">
                        <w:pPr>
                          <w:pStyle w:val="Corpsdetexte"/>
                          <w:jc w:val="both"/>
                          <w:rPr>
                            <w:b w:val="0"/>
                            <w:iCs/>
                            <w:szCs w:val="22"/>
                            <w:u w:val="single"/>
                          </w:rPr>
                        </w:pPr>
                        <w:r>
                          <w:rPr>
                            <w:b w:val="0"/>
                            <w:iCs/>
                            <w:szCs w:val="22"/>
                            <w:u w:val="single"/>
                          </w:rPr>
                          <w:t>PARENTHESE – SAS de Bruxelles</w:t>
                        </w:r>
                      </w:p>
                      <w:p w:rsidR="00F04EEF" w:rsidRDefault="0099351E">
                        <w:pPr>
                          <w:pStyle w:val="Corpsdetexte"/>
                          <w:jc w:val="both"/>
                          <w:rPr>
                            <w:b w:val="0"/>
                            <w:szCs w:val="22"/>
                            <w:u w:val="single"/>
                          </w:rPr>
                        </w:pPr>
                        <w:r>
                          <w:rPr>
                            <w:b w:val="0"/>
                            <w:bCs/>
                            <w:szCs w:val="22"/>
                          </w:rPr>
                          <w:t>Maurice CORNIL</w:t>
                        </w:r>
                      </w:p>
                      <w:p w:rsidR="00F04EEF" w:rsidRDefault="0099351E">
                        <w:pPr>
                          <w:pStyle w:val="Corpsdetexte"/>
                          <w:jc w:val="both"/>
                          <w:rPr>
                            <w:b w:val="0"/>
                            <w:bCs/>
                            <w:szCs w:val="22"/>
                          </w:rPr>
                        </w:pPr>
                        <w:r>
                          <w:rPr>
                            <w:b w:val="0"/>
                            <w:bCs/>
                            <w:szCs w:val="22"/>
                          </w:rPr>
                          <w:t>Rue Haute, 88 - 1000 BRUXELLES</w:t>
                        </w:r>
                        <w:r>
                          <w:rPr>
                            <w:b w:val="0"/>
                            <w:bCs/>
                            <w:szCs w:val="22"/>
                          </w:rPr>
                          <w:tab/>
                        </w:r>
                      </w:p>
                      <w:p w:rsidR="00F04EEF" w:rsidRDefault="0099351E">
                        <w:pPr>
                          <w:pStyle w:val="Corpsdetexte"/>
                          <w:jc w:val="both"/>
                          <w:rPr>
                            <w:b w:val="0"/>
                            <w:bCs/>
                            <w:szCs w:val="22"/>
                          </w:rPr>
                        </w:pPr>
                        <w:r>
                          <w:rPr>
                            <w:b w:val="0"/>
                            <w:bCs/>
                            <w:szCs w:val="22"/>
                          </w:rPr>
                          <w:sym w:font="Webdings" w:char="F0C9"/>
                        </w:r>
                        <w:r>
                          <w:rPr>
                            <w:b w:val="0"/>
                            <w:bCs/>
                            <w:szCs w:val="22"/>
                          </w:rPr>
                          <w:t xml:space="preserve"> : 02/514.93.15 - </w:t>
                        </w:r>
                        <w:r>
                          <w:rPr>
                            <w:b w:val="0"/>
                            <w:bCs/>
                            <w:szCs w:val="22"/>
                          </w:rPr>
                          <w:sym w:font="Webdings" w:char="F0CA"/>
                        </w:r>
                        <w:r>
                          <w:rPr>
                            <w:b w:val="0"/>
                            <w:bCs/>
                            <w:szCs w:val="22"/>
                          </w:rPr>
                          <w:t xml:space="preserve"> : 02/514.99.16 </w:t>
                        </w:r>
                      </w:p>
                      <w:p w:rsidR="00F04EEF" w:rsidRDefault="0099351E">
                        <w:pPr>
                          <w:pStyle w:val="Corpsdetexte"/>
                          <w:jc w:val="both"/>
                          <w:rPr>
                            <w:b w:val="0"/>
                            <w:bCs/>
                            <w:szCs w:val="22"/>
                          </w:rPr>
                        </w:pPr>
                        <w:r>
                          <w:rPr>
                            <w:b w:val="0"/>
                            <w:bCs/>
                            <w:szCs w:val="22"/>
                          </w:rPr>
                          <w:sym w:font="Webdings" w:char="F0C8"/>
                        </w:r>
                        <w:r>
                          <w:rPr>
                            <w:b w:val="0"/>
                            <w:bCs/>
                            <w:szCs w:val="22"/>
                          </w:rPr>
                          <w:t> : 0486/18.88.89</w:t>
                        </w:r>
                      </w:p>
                      <w:p w:rsidR="00F04EEF" w:rsidRDefault="0099351E">
                        <w:pPr>
                          <w:pStyle w:val="Corpsdetexte"/>
                          <w:jc w:val="both"/>
                          <w:rPr>
                            <w:b w:val="0"/>
                            <w:bCs/>
                            <w:szCs w:val="22"/>
                          </w:rPr>
                        </w:pPr>
                        <w:r>
                          <w:rPr>
                            <w:bCs/>
                            <w:szCs w:val="22"/>
                          </w:rPr>
                          <w:sym w:font="Wingdings" w:char="F03A"/>
                        </w:r>
                        <w:r>
                          <w:rPr>
                            <w:b w:val="0"/>
                            <w:bCs/>
                            <w:szCs w:val="22"/>
                          </w:rPr>
                          <w:t xml:space="preserve">: </w:t>
                        </w:r>
                        <w:hyperlink r:id="rId101" w:history="1">
                          <w:r>
                            <w:rPr>
                              <w:rStyle w:val="Lienhypertexte"/>
                              <w:b w:val="0"/>
                              <w:szCs w:val="22"/>
                            </w:rPr>
                            <w:t>info@sas-parenthese.be</w:t>
                          </w:r>
                        </w:hyperlink>
                        <w:r>
                          <w:rPr>
                            <w:rStyle w:val="Lienhypertexte"/>
                            <w:b w:val="0"/>
                            <w:szCs w:val="22"/>
                          </w:rPr>
                          <w:t xml:space="preserve"> </w:t>
                        </w:r>
                      </w:p>
                      <w:p w:rsidR="00F04EEF" w:rsidRDefault="0099351E">
                        <w:r>
                          <w:t xml:space="preserve">Site Internet : </w:t>
                        </w:r>
                        <w:r>
                          <w:rPr>
                            <w:bCs/>
                            <w:color w:val="0000FF"/>
                          </w:rPr>
                          <w:t>www.sas-parenthese.be</w:t>
                        </w:r>
                      </w:p>
                    </w:tc>
                    <w:tc>
                      <w:tcPr>
                        <w:tcW w:w="4672" w:type="dxa"/>
                      </w:tcPr>
                      <w:p w:rsidR="00F04EEF" w:rsidRDefault="0099351E">
                        <w:pPr>
                          <w:jc w:val="center"/>
                          <w:rPr>
                            <w:b/>
                          </w:rPr>
                        </w:pPr>
                        <w:r>
                          <w:rPr>
                            <w:b/>
                          </w:rPr>
                          <w:t>Zone de Liège-Verviers</w:t>
                        </w:r>
                      </w:p>
                      <w:p w:rsidR="00F04EEF" w:rsidRDefault="0099351E">
                        <w:pPr>
                          <w:pStyle w:val="Corpsdetexte"/>
                          <w:jc w:val="both"/>
                          <w:rPr>
                            <w:b w:val="0"/>
                            <w:iCs/>
                            <w:szCs w:val="22"/>
                          </w:rPr>
                        </w:pPr>
                        <w:r>
                          <w:rPr>
                            <w:b w:val="0"/>
                            <w:iCs/>
                            <w:szCs w:val="22"/>
                            <w:u w:val="single"/>
                          </w:rPr>
                          <w:t xml:space="preserve">« Compas-Format » </w:t>
                        </w:r>
                        <w:r>
                          <w:rPr>
                            <w:b w:val="0"/>
                            <w:iCs/>
                            <w:szCs w:val="22"/>
                          </w:rPr>
                          <w:t xml:space="preserve"> ASBL </w:t>
                        </w:r>
                      </w:p>
                      <w:p w:rsidR="00F04EEF" w:rsidRDefault="0099351E">
                        <w:pPr>
                          <w:pStyle w:val="Corpsdetexte"/>
                          <w:jc w:val="both"/>
                          <w:rPr>
                            <w:b w:val="0"/>
                            <w:iCs/>
                            <w:szCs w:val="22"/>
                          </w:rPr>
                        </w:pPr>
                        <w:r>
                          <w:rPr>
                            <w:b w:val="0"/>
                            <w:szCs w:val="22"/>
                          </w:rPr>
                          <w:t>Frédéric DUPREZ</w:t>
                        </w:r>
                      </w:p>
                      <w:p w:rsidR="00F04EEF" w:rsidRDefault="0099351E">
                        <w:pPr>
                          <w:pStyle w:val="Corpsdetexte"/>
                          <w:pBdr>
                            <w:right w:val="single" w:sz="18" w:space="4" w:color="auto"/>
                          </w:pBdr>
                          <w:jc w:val="both"/>
                          <w:rPr>
                            <w:b w:val="0"/>
                            <w:bCs/>
                            <w:szCs w:val="22"/>
                          </w:rPr>
                        </w:pPr>
                        <w:r>
                          <w:rPr>
                            <w:b w:val="0"/>
                            <w:bCs/>
                            <w:szCs w:val="22"/>
                          </w:rPr>
                          <w:t>Rue Collard Trouillet, 12 - 4100 SERAING</w:t>
                        </w:r>
                      </w:p>
                      <w:p w:rsidR="00F04EEF" w:rsidRDefault="0099351E">
                        <w:pPr>
                          <w:pStyle w:val="Corpsdetexte"/>
                          <w:jc w:val="both"/>
                          <w:rPr>
                            <w:b w:val="0"/>
                            <w:bCs/>
                            <w:szCs w:val="22"/>
                            <w:lang w:val="fr-FR"/>
                          </w:rPr>
                        </w:pPr>
                        <w:r>
                          <w:rPr>
                            <w:b w:val="0"/>
                            <w:bCs/>
                            <w:szCs w:val="22"/>
                          </w:rPr>
                          <w:sym w:font="Webdings" w:char="F0C9"/>
                        </w:r>
                        <w:r>
                          <w:rPr>
                            <w:b w:val="0"/>
                            <w:bCs/>
                            <w:szCs w:val="22"/>
                            <w:lang w:val="fr-FR"/>
                          </w:rPr>
                          <w:t xml:space="preserve"> : 04/330.97.10  - </w:t>
                        </w:r>
                        <w:r>
                          <w:rPr>
                            <w:b w:val="0"/>
                            <w:bCs/>
                            <w:szCs w:val="22"/>
                          </w:rPr>
                          <w:sym w:font="Webdings" w:char="F0CA"/>
                        </w:r>
                        <w:r>
                          <w:rPr>
                            <w:b w:val="0"/>
                            <w:bCs/>
                            <w:szCs w:val="22"/>
                            <w:lang w:val="fr-FR"/>
                          </w:rPr>
                          <w:t xml:space="preserve"> : 04/330.97.12</w:t>
                        </w:r>
                      </w:p>
                      <w:p w:rsidR="00F04EEF" w:rsidRDefault="0099351E">
                        <w:pPr>
                          <w:pStyle w:val="Corpsdetexte"/>
                          <w:jc w:val="both"/>
                          <w:rPr>
                            <w:b w:val="0"/>
                            <w:bCs/>
                            <w:szCs w:val="22"/>
                            <w:lang w:val="fr-FR"/>
                          </w:rPr>
                        </w:pPr>
                        <w:r>
                          <w:rPr>
                            <w:b w:val="0"/>
                            <w:bCs/>
                            <w:szCs w:val="22"/>
                            <w:lang w:val="nl-NL"/>
                          </w:rPr>
                          <w:sym w:font="Webdings" w:char="F0C8"/>
                        </w:r>
                        <w:r>
                          <w:rPr>
                            <w:b w:val="0"/>
                            <w:bCs/>
                            <w:szCs w:val="22"/>
                          </w:rPr>
                          <w:t xml:space="preserve"> : </w:t>
                        </w:r>
                        <w:r>
                          <w:rPr>
                            <w:b w:val="0"/>
                            <w:bCs/>
                            <w:szCs w:val="22"/>
                            <w:lang w:val="fr-FR"/>
                          </w:rPr>
                          <w:t>0494/82</w:t>
                        </w:r>
                        <w:r>
                          <w:rPr>
                            <w:b w:val="0"/>
                            <w:bCs/>
                            <w:szCs w:val="22"/>
                          </w:rPr>
                          <w:t>.53.28</w:t>
                        </w:r>
                      </w:p>
                      <w:p w:rsidR="00F04EEF" w:rsidRDefault="0099351E">
                        <w:pPr>
                          <w:pStyle w:val="Corpsdetexte"/>
                          <w:jc w:val="both"/>
                          <w:rPr>
                            <w:b w:val="0"/>
                            <w:bCs/>
                            <w:szCs w:val="22"/>
                          </w:rPr>
                        </w:pPr>
                        <w:r>
                          <w:rPr>
                            <w:bCs/>
                            <w:szCs w:val="22"/>
                          </w:rPr>
                          <w:sym w:font="Wingdings" w:char="F03A"/>
                        </w:r>
                        <w:r>
                          <w:rPr>
                            <w:b w:val="0"/>
                            <w:bCs/>
                            <w:szCs w:val="22"/>
                          </w:rPr>
                          <w:t xml:space="preserve">: </w:t>
                        </w:r>
                        <w:hyperlink r:id="rId102" w:history="1">
                          <w:r>
                            <w:rPr>
                              <w:rStyle w:val="Lienhypertexte"/>
                              <w:b w:val="0"/>
                              <w:szCs w:val="22"/>
                            </w:rPr>
                            <w:t>frederic.duprez@compas-format.eu</w:t>
                          </w:r>
                        </w:hyperlink>
                      </w:p>
                      <w:p w:rsidR="00F04EEF" w:rsidRDefault="0099351E">
                        <w:pPr>
                          <w:pStyle w:val="Corpsdetexte"/>
                          <w:jc w:val="both"/>
                          <w:rPr>
                            <w:b w:val="0"/>
                            <w:szCs w:val="22"/>
                          </w:rPr>
                        </w:pPr>
                        <w:r>
                          <w:rPr>
                            <w:b w:val="0"/>
                            <w:szCs w:val="22"/>
                          </w:rPr>
                          <w:t xml:space="preserve">Site Internet : </w:t>
                        </w:r>
                        <w:hyperlink r:id="rId103" w:history="1">
                          <w:r>
                            <w:rPr>
                              <w:rStyle w:val="Lienhypertexte"/>
                              <w:b w:val="0"/>
                              <w:bCs/>
                              <w:szCs w:val="22"/>
                            </w:rPr>
                            <w:t>www.compas-format.eu</w:t>
                          </w:r>
                        </w:hyperlink>
                      </w:p>
                    </w:tc>
                  </w:tr>
                  <w:tr w:rsidR="00F04EEF">
                    <w:tc>
                      <w:tcPr>
                        <w:tcW w:w="4672" w:type="dxa"/>
                      </w:tcPr>
                      <w:p w:rsidR="00F04EEF" w:rsidRDefault="0099351E">
                        <w:pPr>
                          <w:jc w:val="center"/>
                          <w:rPr>
                            <w:b/>
                          </w:rPr>
                        </w:pPr>
                        <w:r>
                          <w:rPr>
                            <w:b/>
                          </w:rPr>
                          <w:t>Zone de Bruxelles-Capitale</w:t>
                        </w:r>
                      </w:p>
                      <w:p w:rsidR="00F04EEF" w:rsidRDefault="0099351E">
                        <w:pPr>
                          <w:pStyle w:val="Corpsdetexte"/>
                          <w:jc w:val="both"/>
                          <w:rPr>
                            <w:b w:val="0"/>
                            <w:bCs/>
                            <w:iCs/>
                            <w:szCs w:val="22"/>
                            <w:u w:val="single"/>
                          </w:rPr>
                        </w:pPr>
                        <w:r>
                          <w:rPr>
                            <w:b w:val="0"/>
                            <w:bCs/>
                            <w:iCs/>
                            <w:szCs w:val="22"/>
                            <w:u w:val="single"/>
                          </w:rPr>
                          <w:t>Le SAS Bruxelles-Midi</w:t>
                        </w:r>
                      </w:p>
                      <w:p w:rsidR="00F04EEF" w:rsidRDefault="0099351E">
                        <w:pPr>
                          <w:pStyle w:val="Corpsdetexte"/>
                          <w:jc w:val="both"/>
                          <w:rPr>
                            <w:b w:val="0"/>
                            <w:bCs/>
                            <w:szCs w:val="22"/>
                          </w:rPr>
                        </w:pPr>
                        <w:r>
                          <w:rPr>
                            <w:b w:val="0"/>
                            <w:bCs/>
                            <w:szCs w:val="22"/>
                          </w:rPr>
                          <w:t>Kheira LARDIAM</w:t>
                        </w:r>
                      </w:p>
                      <w:p w:rsidR="00F04EEF" w:rsidRDefault="0099351E">
                        <w:pPr>
                          <w:pStyle w:val="Corpsdetexte"/>
                          <w:jc w:val="both"/>
                          <w:rPr>
                            <w:b w:val="0"/>
                            <w:bCs/>
                            <w:szCs w:val="22"/>
                          </w:rPr>
                        </w:pPr>
                        <w:r>
                          <w:rPr>
                            <w:b w:val="0"/>
                            <w:bCs/>
                            <w:szCs w:val="22"/>
                          </w:rPr>
                          <w:t>Avenue Clémenceau, 22 - 1070 BRUXELLES</w:t>
                        </w:r>
                      </w:p>
                      <w:p w:rsidR="00F04EEF" w:rsidRDefault="0099351E">
                        <w:pPr>
                          <w:pStyle w:val="Corpsdetexte"/>
                          <w:jc w:val="both"/>
                          <w:rPr>
                            <w:b w:val="0"/>
                            <w:bCs/>
                            <w:szCs w:val="22"/>
                          </w:rPr>
                        </w:pPr>
                        <w:r>
                          <w:rPr>
                            <w:b w:val="0"/>
                            <w:bCs/>
                            <w:szCs w:val="22"/>
                          </w:rPr>
                          <w:sym w:font="Webdings" w:char="F0C9"/>
                        </w:r>
                        <w:r>
                          <w:rPr>
                            <w:b w:val="0"/>
                            <w:bCs/>
                            <w:szCs w:val="22"/>
                          </w:rPr>
                          <w:t xml:space="preserve"> : 02/640.25.20 - </w:t>
                        </w:r>
                        <w:r>
                          <w:rPr>
                            <w:b w:val="0"/>
                            <w:bCs/>
                            <w:szCs w:val="22"/>
                          </w:rPr>
                          <w:sym w:font="Webdings" w:char="F0C9"/>
                        </w:r>
                        <w:r>
                          <w:rPr>
                            <w:b w:val="0"/>
                            <w:bCs/>
                            <w:szCs w:val="22"/>
                          </w:rPr>
                          <w:t> : 02/534.16.23</w:t>
                        </w:r>
                      </w:p>
                      <w:p w:rsidR="00F04EEF" w:rsidRDefault="0099351E">
                        <w:pPr>
                          <w:pStyle w:val="Corpsdetexte"/>
                          <w:jc w:val="both"/>
                          <w:rPr>
                            <w:b w:val="0"/>
                            <w:bCs/>
                            <w:szCs w:val="22"/>
                          </w:rPr>
                        </w:pPr>
                        <w:r>
                          <w:rPr>
                            <w:b w:val="0"/>
                            <w:bCs/>
                            <w:szCs w:val="22"/>
                          </w:rPr>
                          <w:sym w:font="Webdings" w:char="F0CA"/>
                        </w:r>
                        <w:r>
                          <w:rPr>
                            <w:b w:val="0"/>
                            <w:bCs/>
                            <w:szCs w:val="22"/>
                          </w:rPr>
                          <w:t> : 02/534.14.85 – 02/640.45.30</w:t>
                        </w:r>
                      </w:p>
                      <w:p w:rsidR="00F04EEF" w:rsidRDefault="0099351E">
                        <w:pPr>
                          <w:pStyle w:val="Corpsdetexte"/>
                          <w:jc w:val="both"/>
                          <w:rPr>
                            <w:b w:val="0"/>
                            <w:szCs w:val="22"/>
                          </w:rPr>
                        </w:pPr>
                        <w:r>
                          <w:rPr>
                            <w:bCs/>
                            <w:szCs w:val="22"/>
                          </w:rPr>
                          <w:sym w:font="Wingdings" w:char="F03A"/>
                        </w:r>
                        <w:r>
                          <w:rPr>
                            <w:b w:val="0"/>
                            <w:bCs/>
                            <w:szCs w:val="22"/>
                          </w:rPr>
                          <w:t xml:space="preserve"> : </w:t>
                        </w:r>
                        <w:hyperlink r:id="rId104" w:history="1">
                          <w:r>
                            <w:rPr>
                              <w:rStyle w:val="Lienhypertexte"/>
                              <w:b w:val="0"/>
                              <w:szCs w:val="22"/>
                            </w:rPr>
                            <w:t>lesasbruxellesmidi@hotmail.com</w:t>
                          </w:r>
                        </w:hyperlink>
                      </w:p>
                    </w:tc>
                    <w:tc>
                      <w:tcPr>
                        <w:tcW w:w="4672" w:type="dxa"/>
                      </w:tcPr>
                      <w:p w:rsidR="00F04EEF" w:rsidRDefault="0099351E">
                        <w:pPr>
                          <w:jc w:val="center"/>
                          <w:rPr>
                            <w:b/>
                          </w:rPr>
                        </w:pPr>
                        <w:r>
                          <w:rPr>
                            <w:b/>
                          </w:rPr>
                          <w:t>Zone de Liège-Verviers</w:t>
                        </w:r>
                      </w:p>
                      <w:p w:rsidR="00F04EEF" w:rsidRDefault="0099351E">
                        <w:pPr>
                          <w:pStyle w:val="Corpsdetexte"/>
                          <w:jc w:val="both"/>
                          <w:rPr>
                            <w:b w:val="0"/>
                            <w:iCs/>
                            <w:szCs w:val="22"/>
                            <w:lang w:val="fr-FR"/>
                          </w:rPr>
                        </w:pPr>
                        <w:r>
                          <w:rPr>
                            <w:b w:val="0"/>
                            <w:iCs/>
                            <w:szCs w:val="22"/>
                            <w:u w:val="single"/>
                            <w:lang w:val="fr-FR"/>
                          </w:rPr>
                          <w:t xml:space="preserve">« Compas-Format » </w:t>
                        </w:r>
                        <w:r>
                          <w:rPr>
                            <w:b w:val="0"/>
                            <w:iCs/>
                            <w:szCs w:val="22"/>
                            <w:lang w:val="fr-FR"/>
                          </w:rPr>
                          <w:t xml:space="preserve"> ASBL</w:t>
                        </w:r>
                      </w:p>
                      <w:p w:rsidR="00F04EEF" w:rsidRDefault="0099351E">
                        <w:pPr>
                          <w:pStyle w:val="Corpsdetexte"/>
                          <w:jc w:val="both"/>
                          <w:rPr>
                            <w:b w:val="0"/>
                            <w:iCs/>
                            <w:szCs w:val="22"/>
                            <w:lang w:val="fr-FR"/>
                          </w:rPr>
                        </w:pPr>
                        <w:r>
                          <w:rPr>
                            <w:b w:val="0"/>
                            <w:szCs w:val="22"/>
                          </w:rPr>
                          <w:t>Samuel PALLADINO</w:t>
                        </w:r>
                      </w:p>
                      <w:p w:rsidR="00F04EEF" w:rsidRDefault="0099351E">
                        <w:pPr>
                          <w:pStyle w:val="Corpsdetexte"/>
                          <w:jc w:val="both"/>
                          <w:rPr>
                            <w:b w:val="0"/>
                            <w:bCs/>
                            <w:szCs w:val="22"/>
                          </w:rPr>
                        </w:pPr>
                        <w:r>
                          <w:rPr>
                            <w:b w:val="0"/>
                            <w:bCs/>
                            <w:szCs w:val="22"/>
                          </w:rPr>
                          <w:t>Rue du Warhiet, 32A - 4300  WAREMME</w:t>
                        </w:r>
                      </w:p>
                      <w:p w:rsidR="00F04EEF" w:rsidRDefault="0099351E">
                        <w:pPr>
                          <w:pStyle w:val="Corpsdetexte"/>
                          <w:jc w:val="both"/>
                          <w:rPr>
                            <w:b w:val="0"/>
                            <w:szCs w:val="22"/>
                          </w:rPr>
                        </w:pPr>
                        <w:r>
                          <w:rPr>
                            <w:b w:val="0"/>
                            <w:szCs w:val="22"/>
                          </w:rPr>
                          <w:sym w:font="Webdings" w:char="F0C9"/>
                        </w:r>
                        <w:r>
                          <w:rPr>
                            <w:b w:val="0"/>
                            <w:szCs w:val="22"/>
                          </w:rPr>
                          <w:t xml:space="preserve"> : 019/67.72.03 - </w:t>
                        </w:r>
                        <w:r>
                          <w:rPr>
                            <w:b w:val="0"/>
                            <w:szCs w:val="22"/>
                          </w:rPr>
                          <w:sym w:font="Webdings" w:char="F0CA"/>
                        </w:r>
                        <w:r>
                          <w:rPr>
                            <w:b w:val="0"/>
                            <w:szCs w:val="22"/>
                          </w:rPr>
                          <w:t xml:space="preserve"> : 019/67.60.88</w:t>
                        </w:r>
                      </w:p>
                      <w:p w:rsidR="00F04EEF" w:rsidRDefault="0099351E">
                        <w:pPr>
                          <w:pStyle w:val="Corpsdetexte"/>
                          <w:jc w:val="both"/>
                          <w:rPr>
                            <w:b w:val="0"/>
                            <w:bCs/>
                            <w:szCs w:val="22"/>
                          </w:rPr>
                        </w:pPr>
                        <w:r>
                          <w:rPr>
                            <w:b w:val="0"/>
                            <w:szCs w:val="22"/>
                          </w:rPr>
                          <w:sym w:font="Webdings" w:char="F0C8"/>
                        </w:r>
                        <w:r>
                          <w:rPr>
                            <w:b w:val="0"/>
                            <w:szCs w:val="22"/>
                          </w:rPr>
                          <w:t> : 0498/50.32.15</w:t>
                        </w:r>
                      </w:p>
                      <w:p w:rsidR="00F04EEF" w:rsidRDefault="0099351E">
                        <w:r>
                          <w:rPr>
                            <w:bCs/>
                          </w:rPr>
                          <w:sym w:font="Wingdings" w:char="F03A"/>
                        </w:r>
                        <w:r>
                          <w:rPr>
                            <w:bCs/>
                          </w:rPr>
                          <w:t xml:space="preserve">: </w:t>
                        </w:r>
                        <w:hyperlink r:id="rId105" w:history="1">
                          <w:r>
                            <w:rPr>
                              <w:rStyle w:val="Lienhypertexte"/>
                              <w:rFonts w:cs="Arial"/>
                              <w:bCs/>
                            </w:rPr>
                            <w:t>samuel.palladino@compas-format.eu</w:t>
                          </w:r>
                        </w:hyperlink>
                      </w:p>
                    </w:tc>
                  </w:tr>
                  <w:tr w:rsidR="00F04EEF">
                    <w:tc>
                      <w:tcPr>
                        <w:tcW w:w="4672" w:type="dxa"/>
                      </w:tcPr>
                      <w:p w:rsidR="00F04EEF" w:rsidRDefault="0099351E">
                        <w:pPr>
                          <w:jc w:val="center"/>
                          <w:rPr>
                            <w:b/>
                          </w:rPr>
                        </w:pPr>
                        <w:r>
                          <w:rPr>
                            <w:b/>
                          </w:rPr>
                          <w:t>Zone de Bruxelles-Capitale</w:t>
                        </w:r>
                      </w:p>
                      <w:p w:rsidR="00F04EEF" w:rsidRDefault="0099351E">
                        <w:pPr>
                          <w:pStyle w:val="Corpsdetexte"/>
                          <w:jc w:val="both"/>
                          <w:rPr>
                            <w:b w:val="0"/>
                            <w:iCs/>
                            <w:szCs w:val="22"/>
                            <w:u w:val="single"/>
                          </w:rPr>
                        </w:pPr>
                        <w:r>
                          <w:rPr>
                            <w:b w:val="0"/>
                            <w:iCs/>
                            <w:szCs w:val="22"/>
                            <w:u w:val="single"/>
                          </w:rPr>
                          <w:t xml:space="preserve">ASBL « SEUIL » </w:t>
                        </w:r>
                      </w:p>
                      <w:p w:rsidR="00F04EEF" w:rsidRDefault="0099351E">
                        <w:pPr>
                          <w:pStyle w:val="Corpsdetexte"/>
                          <w:jc w:val="both"/>
                          <w:rPr>
                            <w:b w:val="0"/>
                            <w:iCs/>
                            <w:szCs w:val="22"/>
                            <w:u w:val="single"/>
                          </w:rPr>
                        </w:pPr>
                        <w:r>
                          <w:rPr>
                            <w:b w:val="0"/>
                            <w:bCs/>
                            <w:szCs w:val="22"/>
                          </w:rPr>
                          <w:t>Catherine OTTE</w:t>
                        </w:r>
                      </w:p>
                      <w:p w:rsidR="00F04EEF" w:rsidRDefault="0099351E">
                        <w:pPr>
                          <w:pStyle w:val="Corpsdetexte"/>
                          <w:jc w:val="both"/>
                          <w:rPr>
                            <w:b w:val="0"/>
                            <w:bCs/>
                            <w:szCs w:val="22"/>
                          </w:rPr>
                        </w:pPr>
                        <w:r>
                          <w:rPr>
                            <w:b w:val="0"/>
                            <w:bCs/>
                            <w:szCs w:val="22"/>
                          </w:rPr>
                          <w:t xml:space="preserve">Rue de Theux, 51-53 - 1040 </w:t>
                        </w:r>
                        <w:r>
                          <w:rPr>
                            <w:b w:val="0"/>
                            <w:szCs w:val="22"/>
                          </w:rPr>
                          <w:t>ETTERBEEK</w:t>
                        </w:r>
                      </w:p>
                      <w:p w:rsidR="00F04EEF" w:rsidRDefault="0099351E">
                        <w:pPr>
                          <w:pStyle w:val="Corpsdetexte"/>
                          <w:jc w:val="both"/>
                          <w:rPr>
                            <w:b w:val="0"/>
                            <w:bCs/>
                            <w:szCs w:val="22"/>
                          </w:rPr>
                        </w:pPr>
                        <w:r>
                          <w:rPr>
                            <w:b w:val="0"/>
                            <w:bCs/>
                            <w:szCs w:val="22"/>
                          </w:rPr>
                          <w:sym w:font="Webdings" w:char="F0C9"/>
                        </w:r>
                        <w:r>
                          <w:rPr>
                            <w:b w:val="0"/>
                            <w:bCs/>
                            <w:szCs w:val="22"/>
                          </w:rPr>
                          <w:t xml:space="preserve"> : 02/644.46.42 - </w:t>
                        </w:r>
                        <w:r>
                          <w:rPr>
                            <w:b w:val="0"/>
                            <w:bCs/>
                            <w:szCs w:val="22"/>
                          </w:rPr>
                          <w:sym w:font="Webdings" w:char="F0CA"/>
                        </w:r>
                        <w:r>
                          <w:rPr>
                            <w:b w:val="0"/>
                            <w:bCs/>
                            <w:szCs w:val="22"/>
                          </w:rPr>
                          <w:t> 02/640.03.58</w:t>
                        </w:r>
                      </w:p>
                      <w:p w:rsidR="00F04EEF" w:rsidRDefault="0099351E">
                        <w:pPr>
                          <w:pStyle w:val="Corpsdetexte"/>
                          <w:jc w:val="both"/>
                          <w:rPr>
                            <w:b w:val="0"/>
                            <w:bCs/>
                            <w:szCs w:val="22"/>
                          </w:rPr>
                        </w:pPr>
                        <w:r>
                          <w:rPr>
                            <w:b w:val="0"/>
                            <w:bCs/>
                            <w:szCs w:val="22"/>
                          </w:rPr>
                          <w:sym w:font="Webdings" w:char="F0C8"/>
                        </w:r>
                        <w:r>
                          <w:rPr>
                            <w:b w:val="0"/>
                            <w:bCs/>
                            <w:szCs w:val="22"/>
                          </w:rPr>
                          <w:t> : 0479/33.69.06</w:t>
                        </w:r>
                      </w:p>
                      <w:p w:rsidR="00F04EEF" w:rsidRDefault="0099351E">
                        <w:pPr>
                          <w:pStyle w:val="Corpsdetexte"/>
                          <w:jc w:val="both"/>
                          <w:rPr>
                            <w:b w:val="0"/>
                            <w:szCs w:val="22"/>
                          </w:rPr>
                        </w:pPr>
                        <w:r>
                          <w:rPr>
                            <w:bCs/>
                            <w:szCs w:val="22"/>
                          </w:rPr>
                          <w:sym w:font="Wingdings" w:char="F03A"/>
                        </w:r>
                        <w:r>
                          <w:rPr>
                            <w:b w:val="0"/>
                            <w:bCs/>
                            <w:szCs w:val="22"/>
                          </w:rPr>
                          <w:t xml:space="preserve">: </w:t>
                        </w:r>
                        <w:r>
                          <w:rPr>
                            <w:rStyle w:val="Lienhypertexte"/>
                            <w:b w:val="0"/>
                            <w:szCs w:val="22"/>
                          </w:rPr>
                          <w:t xml:space="preserve"> info@seuil.be</w:t>
                        </w:r>
                        <w:r>
                          <w:rPr>
                            <w:b w:val="0"/>
                            <w:szCs w:val="22"/>
                          </w:rPr>
                          <w:t xml:space="preserve"> </w:t>
                        </w:r>
                      </w:p>
                      <w:p w:rsidR="00F04EEF" w:rsidRDefault="0099351E">
                        <w:pPr>
                          <w:pStyle w:val="Corpsdetexte"/>
                          <w:jc w:val="both"/>
                          <w:rPr>
                            <w:b w:val="0"/>
                            <w:szCs w:val="22"/>
                          </w:rPr>
                        </w:pPr>
                        <w:r>
                          <w:rPr>
                            <w:b w:val="0"/>
                            <w:szCs w:val="22"/>
                          </w:rPr>
                          <w:t xml:space="preserve">Site Internet : </w:t>
                        </w:r>
                        <w:hyperlink r:id="rId106" w:history="1">
                          <w:r>
                            <w:rPr>
                              <w:b w:val="0"/>
                              <w:bCs/>
                              <w:color w:val="0000FF"/>
                              <w:szCs w:val="22"/>
                            </w:rPr>
                            <w:t>www.seuil.be</w:t>
                          </w:r>
                        </w:hyperlink>
                      </w:p>
                    </w:tc>
                    <w:tc>
                      <w:tcPr>
                        <w:tcW w:w="4672" w:type="dxa"/>
                      </w:tcPr>
                      <w:p w:rsidR="00F04EEF" w:rsidRDefault="0099351E">
                        <w:pPr>
                          <w:jc w:val="center"/>
                          <w:rPr>
                            <w:b/>
                          </w:rPr>
                        </w:pPr>
                        <w:r>
                          <w:rPr>
                            <w:b/>
                          </w:rPr>
                          <w:t>Zone de Liège-Verviers</w:t>
                        </w:r>
                      </w:p>
                      <w:p w:rsidR="00F04EEF" w:rsidRDefault="0099351E">
                        <w:pPr>
                          <w:pStyle w:val="Corpsdetexte"/>
                          <w:jc w:val="both"/>
                          <w:rPr>
                            <w:b w:val="0"/>
                            <w:iCs/>
                            <w:szCs w:val="22"/>
                          </w:rPr>
                        </w:pPr>
                        <w:r>
                          <w:rPr>
                            <w:b w:val="0"/>
                            <w:iCs/>
                            <w:szCs w:val="22"/>
                            <w:u w:val="single"/>
                          </w:rPr>
                          <w:t xml:space="preserve">Compas-Format </w:t>
                        </w:r>
                        <w:r>
                          <w:rPr>
                            <w:b w:val="0"/>
                            <w:iCs/>
                            <w:szCs w:val="22"/>
                          </w:rPr>
                          <w:t xml:space="preserve"> ASBL </w:t>
                        </w:r>
                      </w:p>
                      <w:p w:rsidR="00F04EEF" w:rsidRDefault="0099351E">
                        <w:pPr>
                          <w:pStyle w:val="Corpsdetexte"/>
                          <w:jc w:val="both"/>
                          <w:rPr>
                            <w:b w:val="0"/>
                            <w:bCs/>
                            <w:szCs w:val="22"/>
                          </w:rPr>
                        </w:pPr>
                        <w:r>
                          <w:rPr>
                            <w:b w:val="0"/>
                            <w:bCs/>
                            <w:szCs w:val="22"/>
                          </w:rPr>
                          <w:t xml:space="preserve">Florian ZANGAS </w:t>
                        </w:r>
                      </w:p>
                      <w:p w:rsidR="00F04EEF" w:rsidRDefault="0099351E">
                        <w:pPr>
                          <w:pStyle w:val="Corpsdetexte"/>
                          <w:jc w:val="both"/>
                          <w:rPr>
                            <w:b w:val="0"/>
                            <w:bCs/>
                            <w:szCs w:val="22"/>
                          </w:rPr>
                        </w:pPr>
                        <w:r>
                          <w:rPr>
                            <w:b w:val="0"/>
                            <w:bCs/>
                            <w:szCs w:val="22"/>
                          </w:rPr>
                          <w:t>Espace Tremplin</w:t>
                        </w:r>
                      </w:p>
                      <w:p w:rsidR="00F04EEF" w:rsidRDefault="0099351E">
                        <w:pPr>
                          <w:pStyle w:val="Corpsdetexte"/>
                          <w:jc w:val="both"/>
                          <w:rPr>
                            <w:b w:val="0"/>
                            <w:bCs/>
                            <w:szCs w:val="22"/>
                          </w:rPr>
                        </w:pPr>
                        <w:r>
                          <w:rPr>
                            <w:b w:val="0"/>
                            <w:bCs/>
                            <w:szCs w:val="22"/>
                          </w:rPr>
                          <w:t>Rue du Center, 8 - 4800 VERVIERS</w:t>
                        </w:r>
                      </w:p>
                      <w:p w:rsidR="00F04EEF" w:rsidRDefault="0099351E">
                        <w:pPr>
                          <w:pStyle w:val="Corpsdetexte"/>
                          <w:jc w:val="both"/>
                          <w:rPr>
                            <w:b w:val="0"/>
                            <w:bCs/>
                            <w:szCs w:val="22"/>
                          </w:rPr>
                        </w:pPr>
                        <w:r>
                          <w:rPr>
                            <w:b w:val="0"/>
                            <w:bCs/>
                            <w:szCs w:val="22"/>
                          </w:rPr>
                          <w:sym w:font="Webdings" w:char="F0C9"/>
                        </w:r>
                        <w:r>
                          <w:rPr>
                            <w:b w:val="0"/>
                            <w:bCs/>
                            <w:szCs w:val="22"/>
                          </w:rPr>
                          <w:t xml:space="preserve"> : 087/56.06.53 - </w:t>
                        </w:r>
                        <w:r>
                          <w:rPr>
                            <w:b w:val="0"/>
                            <w:bCs/>
                            <w:szCs w:val="22"/>
                          </w:rPr>
                          <w:sym w:font="Webdings" w:char="F0CA"/>
                        </w:r>
                        <w:r>
                          <w:rPr>
                            <w:b w:val="0"/>
                            <w:bCs/>
                            <w:szCs w:val="22"/>
                          </w:rPr>
                          <w:t> : 087/22.85.52</w:t>
                        </w:r>
                      </w:p>
                      <w:p w:rsidR="00F04EEF" w:rsidRDefault="0099351E">
                        <w:pPr>
                          <w:pStyle w:val="Corpsdetexte"/>
                          <w:jc w:val="both"/>
                          <w:rPr>
                            <w:b w:val="0"/>
                            <w:bCs/>
                            <w:szCs w:val="22"/>
                          </w:rPr>
                        </w:pPr>
                        <w:r>
                          <w:rPr>
                            <w:b w:val="0"/>
                            <w:bCs/>
                            <w:szCs w:val="22"/>
                          </w:rPr>
                          <w:sym w:font="Webdings" w:char="F0C8"/>
                        </w:r>
                        <w:r>
                          <w:rPr>
                            <w:b w:val="0"/>
                            <w:bCs/>
                            <w:szCs w:val="22"/>
                          </w:rPr>
                          <w:t> : 0493/54.72.76</w:t>
                        </w:r>
                      </w:p>
                      <w:p w:rsidR="00F04EEF" w:rsidRDefault="0099351E">
                        <w:pPr>
                          <w:pStyle w:val="Corpsdetexte"/>
                          <w:jc w:val="both"/>
                          <w:rPr>
                            <w:b w:val="0"/>
                            <w:szCs w:val="22"/>
                          </w:rPr>
                        </w:pPr>
                        <w:r>
                          <w:rPr>
                            <w:bCs/>
                            <w:szCs w:val="22"/>
                          </w:rPr>
                          <w:sym w:font="Wingdings" w:char="F03A"/>
                        </w:r>
                        <w:r>
                          <w:rPr>
                            <w:b w:val="0"/>
                            <w:bCs/>
                            <w:szCs w:val="22"/>
                          </w:rPr>
                          <w:t>:</w:t>
                        </w:r>
                        <w:hyperlink r:id="rId107" w:history="1"/>
                        <w:r>
                          <w:rPr>
                            <w:rStyle w:val="Lienhypertexte"/>
                            <w:b w:val="0"/>
                            <w:szCs w:val="22"/>
                          </w:rPr>
                          <w:t xml:space="preserve"> florian.zangas@compas.format.eu</w:t>
                        </w:r>
                      </w:p>
                    </w:tc>
                  </w:tr>
                  <w:tr w:rsidR="00F04EEF">
                    <w:tc>
                      <w:tcPr>
                        <w:tcW w:w="4672" w:type="dxa"/>
                      </w:tcPr>
                      <w:p w:rsidR="00F04EEF" w:rsidRDefault="0099351E">
                        <w:pPr>
                          <w:jc w:val="center"/>
                          <w:rPr>
                            <w:b/>
                          </w:rPr>
                        </w:pPr>
                        <w:r>
                          <w:rPr>
                            <w:b/>
                          </w:rPr>
                          <w:t>Zone de Liège</w:t>
                        </w:r>
                      </w:p>
                      <w:p w:rsidR="00F04EEF" w:rsidRDefault="0099351E">
                        <w:pPr>
                          <w:pStyle w:val="Corpsdetexte"/>
                          <w:jc w:val="both"/>
                          <w:rPr>
                            <w:b w:val="0"/>
                            <w:iCs/>
                            <w:szCs w:val="22"/>
                          </w:rPr>
                        </w:pPr>
                        <w:r>
                          <w:rPr>
                            <w:b w:val="0"/>
                            <w:iCs/>
                            <w:szCs w:val="22"/>
                            <w:u w:val="single"/>
                          </w:rPr>
                          <w:t xml:space="preserve">Rebonds </w:t>
                        </w:r>
                        <w:r>
                          <w:rPr>
                            <w:b w:val="0"/>
                            <w:iCs/>
                            <w:szCs w:val="22"/>
                          </w:rPr>
                          <w:t xml:space="preserve"> ASBL</w:t>
                        </w:r>
                      </w:p>
                      <w:p w:rsidR="00F04EEF" w:rsidRDefault="0099351E">
                        <w:pPr>
                          <w:pStyle w:val="Corpsdetexte"/>
                          <w:jc w:val="both"/>
                          <w:rPr>
                            <w:b w:val="0"/>
                            <w:iCs/>
                            <w:szCs w:val="22"/>
                          </w:rPr>
                        </w:pPr>
                        <w:r>
                          <w:rPr>
                            <w:b w:val="0"/>
                            <w:szCs w:val="22"/>
                          </w:rPr>
                          <w:t>Dominique CHANDELLE</w:t>
                        </w:r>
                      </w:p>
                      <w:p w:rsidR="00F04EEF" w:rsidRDefault="0099351E">
                        <w:pPr>
                          <w:pStyle w:val="Corpsdetexte"/>
                          <w:jc w:val="both"/>
                          <w:rPr>
                            <w:b w:val="0"/>
                            <w:bCs/>
                            <w:szCs w:val="22"/>
                          </w:rPr>
                        </w:pPr>
                        <w:r>
                          <w:rPr>
                            <w:b w:val="0"/>
                            <w:bCs/>
                            <w:szCs w:val="22"/>
                          </w:rPr>
                          <w:t>Rue Vivegnis, 71 - 4000 LIEGE</w:t>
                        </w:r>
                      </w:p>
                      <w:p w:rsidR="00F04EEF" w:rsidRDefault="0099351E">
                        <w:pPr>
                          <w:pStyle w:val="Corpsdetexte"/>
                          <w:jc w:val="both"/>
                          <w:rPr>
                            <w:b w:val="0"/>
                            <w:bCs/>
                            <w:szCs w:val="22"/>
                          </w:rPr>
                        </w:pPr>
                        <w:r>
                          <w:rPr>
                            <w:b w:val="0"/>
                            <w:bCs/>
                            <w:szCs w:val="22"/>
                          </w:rPr>
                          <w:sym w:font="Webdings" w:char="F0C9"/>
                        </w:r>
                        <w:r>
                          <w:rPr>
                            <w:b w:val="0"/>
                            <w:bCs/>
                            <w:szCs w:val="22"/>
                          </w:rPr>
                          <w:t xml:space="preserve"> : 04/225.95.96 - </w:t>
                        </w:r>
                        <w:r>
                          <w:rPr>
                            <w:b w:val="0"/>
                            <w:bCs/>
                            <w:szCs w:val="22"/>
                          </w:rPr>
                          <w:sym w:font="Webdings" w:char="F0CA"/>
                        </w:r>
                        <w:r>
                          <w:rPr>
                            <w:b w:val="0"/>
                            <w:bCs/>
                            <w:szCs w:val="22"/>
                          </w:rPr>
                          <w:t> : 04/225.95.98</w:t>
                        </w:r>
                      </w:p>
                      <w:p w:rsidR="00F04EEF" w:rsidRDefault="0099351E">
                        <w:pPr>
                          <w:pStyle w:val="Corpsdetexte"/>
                          <w:jc w:val="both"/>
                          <w:rPr>
                            <w:b w:val="0"/>
                            <w:szCs w:val="22"/>
                          </w:rPr>
                        </w:pPr>
                        <w:r>
                          <w:rPr>
                            <w:bCs/>
                            <w:szCs w:val="22"/>
                          </w:rPr>
                          <w:sym w:font="Wingdings" w:char="F03A"/>
                        </w:r>
                        <w:r>
                          <w:rPr>
                            <w:b w:val="0"/>
                            <w:bCs/>
                            <w:szCs w:val="22"/>
                          </w:rPr>
                          <w:t xml:space="preserve"> : </w:t>
                        </w:r>
                        <w:hyperlink r:id="rId108" w:history="1">
                          <w:r>
                            <w:rPr>
                              <w:rStyle w:val="Lienhypertexte"/>
                              <w:b w:val="0"/>
                              <w:szCs w:val="22"/>
                            </w:rPr>
                            <w:t>asbl.rebonds@gmail.com</w:t>
                          </w:r>
                        </w:hyperlink>
                      </w:p>
                    </w:tc>
                    <w:tc>
                      <w:tcPr>
                        <w:tcW w:w="4672" w:type="dxa"/>
                      </w:tcPr>
                      <w:p w:rsidR="00F04EEF" w:rsidRDefault="0099351E">
                        <w:pPr>
                          <w:jc w:val="center"/>
                          <w:rPr>
                            <w:b/>
                          </w:rPr>
                        </w:pPr>
                        <w:r>
                          <w:rPr>
                            <w:b/>
                          </w:rPr>
                          <w:t>Zone de Charleroi</w:t>
                        </w:r>
                      </w:p>
                      <w:p w:rsidR="00F04EEF" w:rsidRDefault="0099351E">
                        <w:pPr>
                          <w:pStyle w:val="Corpsdetexte"/>
                          <w:jc w:val="both"/>
                          <w:rPr>
                            <w:b w:val="0"/>
                            <w:iCs/>
                            <w:szCs w:val="22"/>
                          </w:rPr>
                        </w:pPr>
                        <w:r>
                          <w:rPr>
                            <w:b w:val="0"/>
                            <w:iCs/>
                            <w:szCs w:val="22"/>
                            <w:u w:val="single"/>
                          </w:rPr>
                          <w:t>« </w:t>
                        </w:r>
                        <w:r>
                          <w:rPr>
                            <w:b w:val="0"/>
                            <w:szCs w:val="22"/>
                            <w:u w:val="single"/>
                          </w:rPr>
                          <w:t>SENS-SAS</w:t>
                        </w:r>
                        <w:r>
                          <w:rPr>
                            <w:b w:val="0"/>
                            <w:iCs/>
                            <w:szCs w:val="22"/>
                            <w:u w:val="single"/>
                          </w:rPr>
                          <w:t xml:space="preserve">» </w:t>
                        </w:r>
                        <w:r>
                          <w:rPr>
                            <w:b w:val="0"/>
                            <w:iCs/>
                            <w:szCs w:val="22"/>
                          </w:rPr>
                          <w:t xml:space="preserve"> ASBL</w:t>
                        </w:r>
                      </w:p>
                      <w:p w:rsidR="00F04EEF" w:rsidRDefault="0099351E">
                        <w:pPr>
                          <w:pStyle w:val="Corpsdetexte"/>
                          <w:jc w:val="both"/>
                          <w:rPr>
                            <w:b w:val="0"/>
                            <w:iCs/>
                            <w:szCs w:val="22"/>
                          </w:rPr>
                        </w:pPr>
                        <w:r>
                          <w:rPr>
                            <w:b w:val="0"/>
                            <w:szCs w:val="22"/>
                          </w:rPr>
                          <w:t>Jean QUERIAT</w:t>
                        </w:r>
                      </w:p>
                      <w:p w:rsidR="00F04EEF" w:rsidRDefault="0099351E">
                        <w:pPr>
                          <w:pStyle w:val="Corpsdetexte"/>
                          <w:jc w:val="both"/>
                          <w:rPr>
                            <w:b w:val="0"/>
                            <w:bCs/>
                            <w:szCs w:val="22"/>
                          </w:rPr>
                        </w:pPr>
                        <w:r>
                          <w:rPr>
                            <w:b w:val="0"/>
                            <w:bCs/>
                            <w:szCs w:val="22"/>
                          </w:rPr>
                          <w:t xml:space="preserve">Rue des Fougères, 85 - </w:t>
                        </w:r>
                      </w:p>
                      <w:p w:rsidR="00F04EEF" w:rsidRDefault="0099351E">
                        <w:pPr>
                          <w:pStyle w:val="Corpsdetexte"/>
                          <w:jc w:val="both"/>
                          <w:rPr>
                            <w:b w:val="0"/>
                            <w:bCs/>
                            <w:szCs w:val="22"/>
                          </w:rPr>
                        </w:pPr>
                        <w:r>
                          <w:rPr>
                            <w:b w:val="0"/>
                            <w:bCs/>
                            <w:szCs w:val="22"/>
                          </w:rPr>
                          <w:t>6110 MONTIGNY-LE-TILLEUL</w:t>
                        </w:r>
                      </w:p>
                      <w:p w:rsidR="00F04EEF" w:rsidRDefault="0099351E">
                        <w:pPr>
                          <w:pStyle w:val="Corpsdetexte"/>
                          <w:jc w:val="both"/>
                          <w:rPr>
                            <w:b w:val="0"/>
                            <w:bCs/>
                            <w:szCs w:val="22"/>
                          </w:rPr>
                        </w:pPr>
                        <w:r>
                          <w:rPr>
                            <w:b w:val="0"/>
                            <w:bCs/>
                            <w:szCs w:val="22"/>
                          </w:rPr>
                          <w:sym w:font="Webdings" w:char="F0C9"/>
                        </w:r>
                        <w:r>
                          <w:rPr>
                            <w:b w:val="0"/>
                            <w:bCs/>
                            <w:szCs w:val="22"/>
                          </w:rPr>
                          <w:t xml:space="preserve"> : 071/70.34.50 - </w:t>
                        </w:r>
                        <w:r>
                          <w:rPr>
                            <w:b w:val="0"/>
                            <w:bCs/>
                            <w:szCs w:val="22"/>
                          </w:rPr>
                          <w:sym w:font="Webdings" w:char="F0CA"/>
                        </w:r>
                        <w:r>
                          <w:rPr>
                            <w:b w:val="0"/>
                            <w:bCs/>
                            <w:szCs w:val="22"/>
                          </w:rPr>
                          <w:t> : 071/51.35.69</w:t>
                        </w:r>
                      </w:p>
                      <w:p w:rsidR="00F04EEF" w:rsidRDefault="0099351E">
                        <w:pPr>
                          <w:pStyle w:val="Corpsdetexte"/>
                          <w:jc w:val="both"/>
                          <w:rPr>
                            <w:b w:val="0"/>
                            <w:szCs w:val="22"/>
                          </w:rPr>
                        </w:pPr>
                        <w:r>
                          <w:rPr>
                            <w:bCs/>
                            <w:szCs w:val="22"/>
                          </w:rPr>
                          <w:sym w:font="Wingdings" w:char="F03A"/>
                        </w:r>
                        <w:r>
                          <w:rPr>
                            <w:b w:val="0"/>
                            <w:bCs/>
                            <w:szCs w:val="22"/>
                          </w:rPr>
                          <w:t xml:space="preserve"> : </w:t>
                        </w:r>
                        <w:hyperlink r:id="rId109" w:history="1">
                          <w:r>
                            <w:rPr>
                              <w:rStyle w:val="Lienhypertexte"/>
                              <w:b w:val="0"/>
                              <w:szCs w:val="22"/>
                            </w:rPr>
                            <w:t>sens-sas@hotmail.com</w:t>
                          </w:r>
                        </w:hyperlink>
                      </w:p>
                    </w:tc>
                  </w:tr>
                  <w:tr w:rsidR="00F04EEF">
                    <w:tc>
                      <w:tcPr>
                        <w:tcW w:w="4672" w:type="dxa"/>
                      </w:tcPr>
                      <w:p w:rsidR="00F04EEF" w:rsidRDefault="0099351E">
                        <w:pPr>
                          <w:pStyle w:val="Corpsdetexte"/>
                          <w:jc w:val="center"/>
                          <w:rPr>
                            <w:iCs/>
                            <w:szCs w:val="22"/>
                            <w:u w:val="single"/>
                          </w:rPr>
                        </w:pPr>
                        <w:r>
                          <w:rPr>
                            <w:iCs/>
                            <w:szCs w:val="22"/>
                            <w:u w:val="single"/>
                          </w:rPr>
                          <w:t>Zone de Huy</w:t>
                        </w:r>
                      </w:p>
                      <w:p w:rsidR="00F04EEF" w:rsidRDefault="0099351E">
                        <w:pPr>
                          <w:pStyle w:val="Corpsdetexte"/>
                          <w:jc w:val="both"/>
                          <w:rPr>
                            <w:b w:val="0"/>
                            <w:iCs/>
                            <w:szCs w:val="22"/>
                          </w:rPr>
                        </w:pPr>
                        <w:r>
                          <w:rPr>
                            <w:b w:val="0"/>
                            <w:iCs/>
                            <w:szCs w:val="22"/>
                            <w:u w:val="single"/>
                          </w:rPr>
                          <w:t xml:space="preserve">« Aux Sources » </w:t>
                        </w:r>
                        <w:r>
                          <w:rPr>
                            <w:b w:val="0"/>
                            <w:iCs/>
                            <w:szCs w:val="22"/>
                          </w:rPr>
                          <w:t xml:space="preserve"> ASBL</w:t>
                        </w:r>
                      </w:p>
                      <w:p w:rsidR="00F04EEF" w:rsidRDefault="0099351E">
                        <w:r>
                          <w:t>Jean-Marc CANTINAUX</w:t>
                        </w:r>
                      </w:p>
                      <w:p w:rsidR="00F04EEF" w:rsidRDefault="0099351E">
                        <w:pPr>
                          <w:pStyle w:val="Corpsdetexte"/>
                          <w:jc w:val="both"/>
                          <w:rPr>
                            <w:b w:val="0"/>
                            <w:bCs/>
                            <w:szCs w:val="22"/>
                          </w:rPr>
                        </w:pPr>
                        <w:r>
                          <w:rPr>
                            <w:b w:val="0"/>
                            <w:bCs/>
                            <w:szCs w:val="22"/>
                          </w:rPr>
                          <w:t xml:space="preserve">Rue des Bons-Enfants, 3 - </w:t>
                        </w:r>
                        <w:r>
                          <w:rPr>
                            <w:b w:val="0"/>
                            <w:bCs/>
                            <w:szCs w:val="22"/>
                            <w:lang w:val="fr-FR"/>
                          </w:rPr>
                          <w:t>4500 HUY</w:t>
                        </w:r>
                      </w:p>
                      <w:p w:rsidR="00F04EEF" w:rsidRDefault="0099351E">
                        <w:pPr>
                          <w:pStyle w:val="Corpsdetexte"/>
                          <w:jc w:val="both"/>
                          <w:rPr>
                            <w:b w:val="0"/>
                            <w:bCs/>
                            <w:szCs w:val="22"/>
                            <w:lang w:val="fr-FR"/>
                          </w:rPr>
                        </w:pPr>
                        <w:r>
                          <w:rPr>
                            <w:b w:val="0"/>
                            <w:bCs/>
                            <w:szCs w:val="22"/>
                          </w:rPr>
                          <w:sym w:font="Webdings" w:char="F0C9"/>
                        </w:r>
                        <w:r>
                          <w:rPr>
                            <w:b w:val="0"/>
                            <w:bCs/>
                            <w:szCs w:val="22"/>
                            <w:lang w:val="fr-FR"/>
                          </w:rPr>
                          <w:t xml:space="preserve"> : 085/25.28.40 - </w:t>
                        </w:r>
                        <w:r>
                          <w:rPr>
                            <w:b w:val="0"/>
                            <w:bCs/>
                            <w:szCs w:val="22"/>
                          </w:rPr>
                          <w:sym w:font="Webdings" w:char="F0CA"/>
                        </w:r>
                        <w:r>
                          <w:rPr>
                            <w:b w:val="0"/>
                            <w:bCs/>
                            <w:szCs w:val="22"/>
                            <w:lang w:val="fr-FR"/>
                          </w:rPr>
                          <w:t> : 085/25.28.41</w:t>
                        </w:r>
                      </w:p>
                      <w:p w:rsidR="00F04EEF" w:rsidRDefault="0099351E">
                        <w:pPr>
                          <w:pStyle w:val="Corpsdetexte"/>
                          <w:jc w:val="both"/>
                          <w:rPr>
                            <w:b w:val="0"/>
                            <w:szCs w:val="22"/>
                            <w:lang w:val="de-DE"/>
                          </w:rPr>
                        </w:pPr>
                        <w:r>
                          <w:rPr>
                            <w:b w:val="0"/>
                            <w:bCs/>
                            <w:szCs w:val="22"/>
                            <w:lang w:val="fr-FR"/>
                          </w:rPr>
                          <w:t xml:space="preserve">@ : </w:t>
                        </w:r>
                        <w:hyperlink r:id="rId110" w:history="1">
                          <w:r>
                            <w:rPr>
                              <w:rStyle w:val="Lienhypertexte"/>
                              <w:b w:val="0"/>
                              <w:szCs w:val="22"/>
                            </w:rPr>
                            <w:t>sasauxsources@live.be</w:t>
                          </w:r>
                        </w:hyperlink>
                      </w:p>
                      <w:p w:rsidR="00F04EEF" w:rsidRDefault="0099351E">
                        <w:pPr>
                          <w:pStyle w:val="Corpsdetexte"/>
                          <w:jc w:val="both"/>
                          <w:rPr>
                            <w:b w:val="0"/>
                            <w:szCs w:val="22"/>
                          </w:rPr>
                        </w:pPr>
                        <w:r>
                          <w:rPr>
                            <w:b w:val="0"/>
                            <w:szCs w:val="22"/>
                          </w:rPr>
                          <w:t xml:space="preserve">Site </w:t>
                        </w:r>
                        <w:r>
                          <w:rPr>
                            <w:b w:val="0"/>
                            <w:bCs/>
                            <w:szCs w:val="22"/>
                          </w:rPr>
                          <w:t xml:space="preserve">Internet : </w:t>
                        </w:r>
                        <w:hyperlink r:id="rId111" w:history="1">
                          <w:r>
                            <w:rPr>
                              <w:rStyle w:val="Lienhypertexte"/>
                              <w:b w:val="0"/>
                              <w:szCs w:val="22"/>
                            </w:rPr>
                            <w:t>www.auxsources.be</w:t>
                          </w:r>
                        </w:hyperlink>
                      </w:p>
                    </w:tc>
                    <w:tc>
                      <w:tcPr>
                        <w:tcW w:w="4672" w:type="dxa"/>
                      </w:tcPr>
                      <w:p w:rsidR="00F04EEF" w:rsidRDefault="0099351E">
                        <w:pPr>
                          <w:jc w:val="center"/>
                          <w:rPr>
                            <w:b/>
                          </w:rPr>
                        </w:pPr>
                        <w:r>
                          <w:rPr>
                            <w:b/>
                          </w:rPr>
                          <w:t>Zone du sud-Luxembourg</w:t>
                        </w:r>
                      </w:p>
                      <w:p w:rsidR="00F04EEF" w:rsidRDefault="0099351E">
                        <w:pPr>
                          <w:pStyle w:val="Corpsdetexte"/>
                          <w:pBdr>
                            <w:right w:val="single" w:sz="18" w:space="4" w:color="auto"/>
                          </w:pBdr>
                          <w:jc w:val="both"/>
                          <w:rPr>
                            <w:b w:val="0"/>
                            <w:szCs w:val="22"/>
                            <w:u w:val="single"/>
                          </w:rPr>
                        </w:pPr>
                        <w:r>
                          <w:rPr>
                            <w:b w:val="0"/>
                            <w:szCs w:val="22"/>
                            <w:u w:val="single"/>
                          </w:rPr>
                          <w:t xml:space="preserve">Service « Emergence » - </w:t>
                        </w:r>
                        <w:r>
                          <w:rPr>
                            <w:b w:val="0"/>
                            <w:szCs w:val="22"/>
                          </w:rPr>
                          <w:t>Carrefour ASBL</w:t>
                        </w:r>
                      </w:p>
                      <w:p w:rsidR="00F04EEF" w:rsidRDefault="0099351E">
                        <w:pPr>
                          <w:pStyle w:val="Corpsdetexte"/>
                          <w:pBdr>
                            <w:right w:val="single" w:sz="18" w:space="4" w:color="auto"/>
                          </w:pBdr>
                          <w:jc w:val="both"/>
                          <w:rPr>
                            <w:b w:val="0"/>
                            <w:szCs w:val="22"/>
                          </w:rPr>
                        </w:pPr>
                        <w:r>
                          <w:rPr>
                            <w:b w:val="0"/>
                            <w:szCs w:val="22"/>
                          </w:rPr>
                          <w:t>Florence SCHMIT</w:t>
                        </w:r>
                      </w:p>
                      <w:p w:rsidR="00F04EEF" w:rsidRDefault="0099351E">
                        <w:pPr>
                          <w:pStyle w:val="Corpsdetexte"/>
                          <w:pBdr>
                            <w:right w:val="single" w:sz="18" w:space="4" w:color="auto"/>
                          </w:pBdr>
                          <w:jc w:val="both"/>
                          <w:rPr>
                            <w:b w:val="0"/>
                            <w:bCs/>
                            <w:szCs w:val="22"/>
                          </w:rPr>
                        </w:pPr>
                        <w:r>
                          <w:rPr>
                            <w:b w:val="0"/>
                            <w:bCs/>
                            <w:szCs w:val="22"/>
                          </w:rPr>
                          <w:t>Rue des Mélèzes 2 - 6800 LIBRAMONT</w:t>
                        </w:r>
                      </w:p>
                      <w:p w:rsidR="00F04EEF" w:rsidRDefault="0099351E">
                        <w:pPr>
                          <w:pStyle w:val="Corpsdetexte"/>
                          <w:pBdr>
                            <w:right w:val="single" w:sz="18" w:space="4" w:color="auto"/>
                          </w:pBdr>
                          <w:jc w:val="both"/>
                          <w:rPr>
                            <w:b w:val="0"/>
                            <w:bCs/>
                            <w:szCs w:val="22"/>
                          </w:rPr>
                        </w:pPr>
                        <w:r>
                          <w:rPr>
                            <w:b w:val="0"/>
                            <w:bCs/>
                            <w:szCs w:val="22"/>
                          </w:rPr>
                          <w:sym w:font="Webdings" w:char="F0C9"/>
                        </w:r>
                        <w:r>
                          <w:rPr>
                            <w:b w:val="0"/>
                            <w:bCs/>
                            <w:szCs w:val="22"/>
                          </w:rPr>
                          <w:t>/</w:t>
                        </w:r>
                        <w:r>
                          <w:rPr>
                            <w:b w:val="0"/>
                            <w:bCs/>
                            <w:szCs w:val="22"/>
                          </w:rPr>
                          <w:sym w:font="Webdings" w:char="F0CA"/>
                        </w:r>
                        <w:r>
                          <w:rPr>
                            <w:b w:val="0"/>
                            <w:bCs/>
                            <w:szCs w:val="22"/>
                          </w:rPr>
                          <w:t xml:space="preserve">: 061/23.32.07 - </w:t>
                        </w:r>
                        <w:r>
                          <w:rPr>
                            <w:b w:val="0"/>
                            <w:bCs/>
                            <w:szCs w:val="22"/>
                          </w:rPr>
                          <w:sym w:font="Webdings" w:char="F0CA"/>
                        </w:r>
                        <w:r>
                          <w:rPr>
                            <w:b w:val="0"/>
                            <w:bCs/>
                            <w:szCs w:val="22"/>
                          </w:rPr>
                          <w:t> : 061/23.25.07</w:t>
                        </w:r>
                      </w:p>
                      <w:p w:rsidR="00F04EEF" w:rsidRDefault="0099351E">
                        <w:pPr>
                          <w:pStyle w:val="Corpsdetexte"/>
                          <w:pBdr>
                            <w:right w:val="single" w:sz="18" w:space="4" w:color="auto"/>
                          </w:pBdr>
                          <w:jc w:val="both"/>
                          <w:rPr>
                            <w:b w:val="0"/>
                            <w:szCs w:val="22"/>
                          </w:rPr>
                        </w:pPr>
                        <w:r>
                          <w:rPr>
                            <w:b w:val="0"/>
                            <w:bCs/>
                            <w:szCs w:val="22"/>
                          </w:rPr>
                          <w:t xml:space="preserve">@ : </w:t>
                        </w:r>
                        <w:hyperlink r:id="rId112" w:history="1">
                          <w:r>
                            <w:rPr>
                              <w:rStyle w:val="Lienhypertexte"/>
                              <w:b w:val="0"/>
                              <w:szCs w:val="22"/>
                            </w:rPr>
                            <w:t>emergenceaccueil@gmail.be</w:t>
                          </w:r>
                        </w:hyperlink>
                      </w:p>
                    </w:tc>
                  </w:tr>
                  <w:tr w:rsidR="00F04EEF">
                    <w:tc>
                      <w:tcPr>
                        <w:tcW w:w="4672" w:type="dxa"/>
                      </w:tcPr>
                      <w:p w:rsidR="00F04EEF" w:rsidRDefault="0099351E">
                        <w:pPr>
                          <w:jc w:val="center"/>
                          <w:rPr>
                            <w:b/>
                          </w:rPr>
                        </w:pPr>
                        <w:r>
                          <w:rPr>
                            <w:b/>
                          </w:rPr>
                          <w:t>Zone de Tournai</w:t>
                        </w:r>
                      </w:p>
                      <w:p w:rsidR="00F04EEF" w:rsidRDefault="0099351E">
                        <w:r>
                          <w:rPr>
                            <w:u w:val="single"/>
                          </w:rPr>
                          <w:t>« SAS-HO »</w:t>
                        </w:r>
                        <w:r>
                          <w:t xml:space="preserve"> ASBL</w:t>
                        </w:r>
                      </w:p>
                      <w:p w:rsidR="00F04EEF" w:rsidRDefault="0099351E">
                        <w:r>
                          <w:rPr>
                            <w:bCs/>
                          </w:rPr>
                          <w:t>Antoine VANDENHOVEN</w:t>
                        </w:r>
                      </w:p>
                      <w:p w:rsidR="00F04EEF" w:rsidRDefault="0099351E">
                        <w:r>
                          <w:t>Place de Lille, 2 - 7500 TOURNAI</w:t>
                        </w:r>
                      </w:p>
                      <w:p w:rsidR="00F04EEF" w:rsidRDefault="0099351E">
                        <w:pPr>
                          <w:pStyle w:val="Corpsdetexte"/>
                          <w:jc w:val="both"/>
                          <w:rPr>
                            <w:b w:val="0"/>
                            <w:bCs/>
                            <w:szCs w:val="22"/>
                          </w:rPr>
                        </w:pPr>
                        <w:r>
                          <w:rPr>
                            <w:b w:val="0"/>
                            <w:bCs/>
                            <w:szCs w:val="22"/>
                          </w:rPr>
                          <w:sym w:font="Webdings" w:char="F0C9"/>
                        </w:r>
                        <w:r>
                          <w:rPr>
                            <w:b w:val="0"/>
                            <w:bCs/>
                            <w:szCs w:val="22"/>
                          </w:rPr>
                          <w:t xml:space="preserve"> : 069/77.72.96 - </w:t>
                        </w:r>
                        <w:r>
                          <w:rPr>
                            <w:b w:val="0"/>
                            <w:bCs/>
                            <w:szCs w:val="22"/>
                          </w:rPr>
                          <w:sym w:font="Webdings" w:char="F0CA"/>
                        </w:r>
                        <w:r>
                          <w:rPr>
                            <w:b w:val="0"/>
                            <w:bCs/>
                            <w:szCs w:val="22"/>
                          </w:rPr>
                          <w:t> : 069/77.79.98</w:t>
                        </w:r>
                      </w:p>
                      <w:p w:rsidR="00F04EEF" w:rsidRDefault="0099351E">
                        <w:pPr>
                          <w:pStyle w:val="Corpsdetexte"/>
                          <w:jc w:val="both"/>
                          <w:rPr>
                            <w:b w:val="0"/>
                            <w:bCs/>
                            <w:szCs w:val="22"/>
                          </w:rPr>
                        </w:pPr>
                        <w:r>
                          <w:rPr>
                            <w:b w:val="0"/>
                            <w:bCs/>
                            <w:szCs w:val="22"/>
                          </w:rPr>
                          <w:sym w:font="Webdings" w:char="F0C8"/>
                        </w:r>
                        <w:r>
                          <w:rPr>
                            <w:b w:val="0"/>
                            <w:bCs/>
                            <w:szCs w:val="22"/>
                          </w:rPr>
                          <w:t> : 0475/89.82.37</w:t>
                        </w:r>
                      </w:p>
                      <w:p w:rsidR="00F04EEF" w:rsidRDefault="0099351E">
                        <w:pPr>
                          <w:pStyle w:val="Corpsdetexte"/>
                          <w:jc w:val="both"/>
                          <w:rPr>
                            <w:b w:val="0"/>
                            <w:bCs/>
                            <w:szCs w:val="22"/>
                          </w:rPr>
                        </w:pPr>
                        <w:r>
                          <w:rPr>
                            <w:bCs/>
                            <w:szCs w:val="22"/>
                          </w:rPr>
                          <w:sym w:font="Wingdings" w:char="F03A"/>
                        </w:r>
                        <w:r>
                          <w:rPr>
                            <w:b w:val="0"/>
                            <w:bCs/>
                            <w:szCs w:val="22"/>
                          </w:rPr>
                          <w:t xml:space="preserve">: </w:t>
                        </w:r>
                        <w:hyperlink r:id="rId113" w:history="1">
                          <w:r>
                            <w:rPr>
                              <w:rStyle w:val="Lienhypertexte"/>
                              <w:b w:val="0"/>
                              <w:szCs w:val="22"/>
                            </w:rPr>
                            <w:t>sas-ho@live.be</w:t>
                          </w:r>
                        </w:hyperlink>
                        <w:r>
                          <w:rPr>
                            <w:b w:val="0"/>
                            <w:bCs/>
                            <w:szCs w:val="22"/>
                          </w:rPr>
                          <w:t xml:space="preserve"> </w:t>
                        </w:r>
                      </w:p>
                      <w:p w:rsidR="00F04EEF" w:rsidRDefault="0099351E">
                        <w:r>
                          <w:t xml:space="preserve">Site Internet : </w:t>
                        </w:r>
                        <w:hyperlink r:id="rId114" w:history="1">
                          <w:r>
                            <w:rPr>
                              <w:rStyle w:val="Lienhypertexte"/>
                              <w:rFonts w:cs="Arial"/>
                            </w:rPr>
                            <w:t>www.sasho.be/?page_id=161</w:t>
                          </w:r>
                        </w:hyperlink>
                        <w:r>
                          <w:t xml:space="preserve"> </w:t>
                        </w:r>
                      </w:p>
                    </w:tc>
                    <w:tc>
                      <w:tcPr>
                        <w:tcW w:w="4672" w:type="dxa"/>
                      </w:tcPr>
                      <w:p w:rsidR="00F04EEF" w:rsidRDefault="0099351E">
                        <w:pPr>
                          <w:jc w:val="center"/>
                          <w:rPr>
                            <w:b/>
                          </w:rPr>
                        </w:pPr>
                        <w:r>
                          <w:rPr>
                            <w:b/>
                          </w:rPr>
                          <w:t>Zone de Namur</w:t>
                        </w:r>
                      </w:p>
                      <w:p w:rsidR="00F04EEF" w:rsidRDefault="0099351E">
                        <w:pPr>
                          <w:pStyle w:val="Corpsdetexte"/>
                          <w:jc w:val="both"/>
                          <w:rPr>
                            <w:b w:val="0"/>
                            <w:iCs/>
                            <w:szCs w:val="22"/>
                          </w:rPr>
                        </w:pPr>
                        <w:r>
                          <w:rPr>
                            <w:b w:val="0"/>
                            <w:iCs/>
                            <w:szCs w:val="22"/>
                            <w:u w:val="single"/>
                          </w:rPr>
                          <w:t>« Carrefour accueil » </w:t>
                        </w:r>
                        <w:r>
                          <w:rPr>
                            <w:b w:val="0"/>
                            <w:iCs/>
                            <w:szCs w:val="22"/>
                          </w:rPr>
                          <w:t xml:space="preserve"> - ASBL</w:t>
                        </w:r>
                      </w:p>
                      <w:p w:rsidR="00F04EEF" w:rsidRDefault="0099351E">
                        <w:pPr>
                          <w:pStyle w:val="Corpsdetexte"/>
                          <w:jc w:val="both"/>
                          <w:rPr>
                            <w:b w:val="0"/>
                            <w:bCs/>
                            <w:szCs w:val="22"/>
                          </w:rPr>
                        </w:pPr>
                        <w:r>
                          <w:rPr>
                            <w:b w:val="0"/>
                            <w:szCs w:val="22"/>
                          </w:rPr>
                          <w:t>Joëlle COENRAETS</w:t>
                        </w:r>
                        <w:r>
                          <w:rPr>
                            <w:b w:val="0"/>
                            <w:bCs/>
                            <w:szCs w:val="22"/>
                          </w:rPr>
                          <w:t xml:space="preserve"> </w:t>
                        </w:r>
                      </w:p>
                      <w:p w:rsidR="00F04EEF" w:rsidRDefault="0099351E">
                        <w:pPr>
                          <w:pStyle w:val="Corpsdetexte"/>
                          <w:jc w:val="both"/>
                          <w:rPr>
                            <w:b w:val="0"/>
                            <w:bCs/>
                            <w:szCs w:val="22"/>
                          </w:rPr>
                        </w:pPr>
                        <w:r>
                          <w:rPr>
                            <w:b w:val="0"/>
                            <w:bCs/>
                            <w:szCs w:val="22"/>
                          </w:rPr>
                          <w:t>Rue Louis Loiseau, 39 - 5000 NAMUR</w:t>
                        </w:r>
                      </w:p>
                      <w:p w:rsidR="00F04EEF" w:rsidRDefault="0099351E">
                        <w:pPr>
                          <w:pStyle w:val="Corpsdetexte"/>
                          <w:jc w:val="both"/>
                          <w:rPr>
                            <w:b w:val="0"/>
                            <w:bCs/>
                            <w:szCs w:val="22"/>
                          </w:rPr>
                        </w:pPr>
                        <w:r>
                          <w:rPr>
                            <w:b w:val="0"/>
                            <w:bCs/>
                            <w:szCs w:val="22"/>
                          </w:rPr>
                          <w:sym w:font="Webdings" w:char="F0C9"/>
                        </w:r>
                        <w:r>
                          <w:rPr>
                            <w:b w:val="0"/>
                            <w:bCs/>
                            <w:szCs w:val="22"/>
                          </w:rPr>
                          <w:t xml:space="preserve"> : 081/71.74.28 - </w:t>
                        </w:r>
                        <w:r>
                          <w:rPr>
                            <w:b w:val="0"/>
                            <w:bCs/>
                            <w:szCs w:val="22"/>
                          </w:rPr>
                          <w:sym w:font="Webdings" w:char="F0CA"/>
                        </w:r>
                        <w:r>
                          <w:rPr>
                            <w:b w:val="0"/>
                            <w:bCs/>
                            <w:szCs w:val="22"/>
                          </w:rPr>
                          <w:t> : 081/74.65.02</w:t>
                        </w:r>
                      </w:p>
                      <w:p w:rsidR="00F04EEF" w:rsidRDefault="0099351E">
                        <w:pPr>
                          <w:pStyle w:val="Corpsdetexte"/>
                          <w:jc w:val="both"/>
                          <w:rPr>
                            <w:b w:val="0"/>
                            <w:szCs w:val="22"/>
                          </w:rPr>
                        </w:pPr>
                        <w:r>
                          <w:rPr>
                            <w:bCs/>
                            <w:szCs w:val="22"/>
                          </w:rPr>
                          <w:sym w:font="Wingdings" w:char="F03A"/>
                        </w:r>
                        <w:r>
                          <w:rPr>
                            <w:b w:val="0"/>
                            <w:bCs/>
                            <w:szCs w:val="22"/>
                          </w:rPr>
                          <w:t xml:space="preserve"> : </w:t>
                        </w:r>
                        <w:hyperlink r:id="rId115" w:history="1">
                          <w:r>
                            <w:rPr>
                              <w:rStyle w:val="Lienhypertexte"/>
                              <w:b w:val="0"/>
                              <w:szCs w:val="22"/>
                            </w:rPr>
                            <w:t>carrefour.accueil@wol.be</w:t>
                          </w:r>
                        </w:hyperlink>
                      </w:p>
                      <w:p w:rsidR="00F04EEF" w:rsidRDefault="00F04EEF">
                        <w:pPr>
                          <w:pStyle w:val="Corpsdetexte"/>
                          <w:pBdr>
                            <w:right w:val="single" w:sz="18" w:space="4" w:color="auto"/>
                          </w:pBdr>
                          <w:jc w:val="both"/>
                          <w:rPr>
                            <w:b w:val="0"/>
                            <w:szCs w:val="22"/>
                          </w:rPr>
                        </w:pPr>
                      </w:p>
                    </w:tc>
                  </w:tr>
                  <w:tr w:rsidR="00F04EEF">
                    <w:tc>
                      <w:tcPr>
                        <w:tcW w:w="9344" w:type="dxa"/>
                        <w:gridSpan w:val="2"/>
                      </w:tcPr>
                      <w:p w:rsidR="00F04EEF" w:rsidRDefault="0099351E">
                        <w:pPr>
                          <w:jc w:val="center"/>
                          <w:rPr>
                            <w:b/>
                          </w:rPr>
                        </w:pPr>
                        <w:r>
                          <w:rPr>
                            <w:b/>
                          </w:rPr>
                          <w:t>Zone du Brabant Wallon</w:t>
                        </w:r>
                      </w:p>
                      <w:p w:rsidR="00F04EEF" w:rsidRDefault="0099351E">
                        <w:pPr>
                          <w:pStyle w:val="Corpsdetexte"/>
                          <w:pBdr>
                            <w:right w:val="single" w:sz="18" w:space="4" w:color="auto"/>
                          </w:pBdr>
                          <w:jc w:val="both"/>
                          <w:rPr>
                            <w:b w:val="0"/>
                            <w:szCs w:val="22"/>
                          </w:rPr>
                        </w:pPr>
                        <w:r>
                          <w:rPr>
                            <w:b w:val="0"/>
                            <w:iCs/>
                            <w:szCs w:val="22"/>
                            <w:u w:val="single"/>
                          </w:rPr>
                          <w:t>SAS Brabant Wallon</w:t>
                        </w:r>
                      </w:p>
                      <w:p w:rsidR="00F04EEF" w:rsidRDefault="0099351E">
                        <w:pPr>
                          <w:pStyle w:val="Corpsdetexte"/>
                          <w:pBdr>
                            <w:right w:val="single" w:sz="18" w:space="4" w:color="auto"/>
                          </w:pBdr>
                          <w:jc w:val="both"/>
                          <w:rPr>
                            <w:b w:val="0"/>
                            <w:bCs/>
                            <w:szCs w:val="22"/>
                          </w:rPr>
                        </w:pPr>
                        <w:r>
                          <w:rPr>
                            <w:b w:val="0"/>
                            <w:szCs w:val="22"/>
                          </w:rPr>
                          <w:t xml:space="preserve">Quentin DERRICKS </w:t>
                        </w:r>
                      </w:p>
                      <w:p w:rsidR="00F04EEF" w:rsidRDefault="0099351E">
                        <w:pPr>
                          <w:pStyle w:val="Corpsdetexte"/>
                          <w:pBdr>
                            <w:right w:val="single" w:sz="18" w:space="4" w:color="auto"/>
                          </w:pBdr>
                          <w:jc w:val="both"/>
                          <w:rPr>
                            <w:b w:val="0"/>
                            <w:bCs/>
                            <w:szCs w:val="22"/>
                          </w:rPr>
                        </w:pPr>
                        <w:r>
                          <w:rPr>
                            <w:b w:val="0"/>
                            <w:bCs/>
                            <w:szCs w:val="22"/>
                          </w:rPr>
                          <w:t>Rue des Fontaines, 18-20 - 1300 WAVRE</w:t>
                        </w:r>
                      </w:p>
                      <w:p w:rsidR="00F04EEF" w:rsidRDefault="0099351E">
                        <w:pPr>
                          <w:pStyle w:val="Corpsdetexte"/>
                          <w:pBdr>
                            <w:right w:val="single" w:sz="18" w:space="4" w:color="auto"/>
                          </w:pBdr>
                          <w:jc w:val="both"/>
                          <w:rPr>
                            <w:b w:val="0"/>
                            <w:bCs/>
                            <w:szCs w:val="22"/>
                          </w:rPr>
                        </w:pPr>
                        <w:r>
                          <w:rPr>
                            <w:b w:val="0"/>
                            <w:bCs/>
                            <w:szCs w:val="22"/>
                          </w:rPr>
                          <w:sym w:font="Webdings" w:char="F0C9"/>
                        </w:r>
                        <w:r>
                          <w:rPr>
                            <w:b w:val="0"/>
                            <w:bCs/>
                            <w:szCs w:val="22"/>
                          </w:rPr>
                          <w:t xml:space="preserve"> : 010/24.79.99 - </w:t>
                        </w:r>
                        <w:r>
                          <w:rPr>
                            <w:b w:val="0"/>
                            <w:bCs/>
                            <w:szCs w:val="22"/>
                          </w:rPr>
                          <w:sym w:font="Webdings" w:char="F0CA"/>
                        </w:r>
                        <w:r>
                          <w:rPr>
                            <w:b w:val="0"/>
                            <w:bCs/>
                            <w:szCs w:val="22"/>
                          </w:rPr>
                          <w:t xml:space="preserve"> : 010/24.76.34 </w:t>
                        </w:r>
                      </w:p>
                      <w:p w:rsidR="00F04EEF" w:rsidRDefault="0099351E">
                        <w:pPr>
                          <w:pStyle w:val="Corpsdetexte"/>
                          <w:pBdr>
                            <w:right w:val="single" w:sz="18" w:space="4" w:color="auto"/>
                          </w:pBdr>
                          <w:jc w:val="both"/>
                          <w:rPr>
                            <w:b w:val="0"/>
                            <w:bCs/>
                            <w:szCs w:val="22"/>
                          </w:rPr>
                        </w:pPr>
                        <w:r>
                          <w:rPr>
                            <w:b w:val="0"/>
                            <w:bCs/>
                            <w:szCs w:val="22"/>
                          </w:rPr>
                          <w:sym w:font="Webdings" w:char="F0C8"/>
                        </w:r>
                        <w:r>
                          <w:rPr>
                            <w:b w:val="0"/>
                            <w:bCs/>
                            <w:szCs w:val="22"/>
                          </w:rPr>
                          <w:t xml:space="preserve"> : 0479/99.47.35 - </w:t>
                        </w:r>
                        <w:r>
                          <w:rPr>
                            <w:bCs/>
                            <w:szCs w:val="22"/>
                          </w:rPr>
                          <w:sym w:font="Wingdings" w:char="F03A"/>
                        </w:r>
                        <w:r>
                          <w:rPr>
                            <w:b w:val="0"/>
                            <w:bCs/>
                            <w:szCs w:val="22"/>
                          </w:rPr>
                          <w:t xml:space="preserve"> : </w:t>
                        </w:r>
                        <w:hyperlink r:id="rId116" w:history="1">
                          <w:r>
                            <w:rPr>
                              <w:rStyle w:val="Lienhypertexte"/>
                              <w:b w:val="0"/>
                              <w:szCs w:val="22"/>
                            </w:rPr>
                            <w:t>asblsasbw@gmail.com</w:t>
                          </w:r>
                        </w:hyperlink>
                      </w:p>
                    </w:tc>
                  </w:tr>
                </w:tbl>
                <w:p w:rsidR="00F04EEF" w:rsidRDefault="0099351E">
                  <w:pPr>
                    <w:pStyle w:val="Titre4"/>
                  </w:pPr>
                  <w:bookmarkStart w:id="1339" w:name="_Annexe_21_:"/>
                  <w:bookmarkEnd w:id="1339"/>
                  <w:r>
                    <w:br w:type="page"/>
                  </w:r>
                  <w:bookmarkStart w:id="1340" w:name="annexe21"/>
                  <w:bookmarkStart w:id="1341" w:name="_Toc412204115"/>
                  <w:bookmarkStart w:id="1342" w:name="_Toc414352923"/>
                  <w:bookmarkStart w:id="1343" w:name="_Toc453836947"/>
                  <w:r>
                    <w:t>Annexe 17 </w:t>
                  </w:r>
                  <w:bookmarkEnd w:id="1340"/>
                  <w:r>
                    <w:t>: Schéma des degrés de parenté ou d’alliance</w:t>
                  </w:r>
                  <w:bookmarkEnd w:id="1341"/>
                  <w:bookmarkEnd w:id="1342"/>
                  <w:bookmarkEnd w:id="1343"/>
                </w:p>
                <w:p w:rsidR="00F04EEF" w:rsidRDefault="00F04EEF">
                  <w:pPr>
                    <w:pStyle w:val="Default"/>
                    <w:spacing w:after="120" w:line="360" w:lineRule="auto"/>
                    <w:jc w:val="both"/>
                    <w:rPr>
                      <w:rFonts w:asciiTheme="majorHAnsi" w:hAnsiTheme="majorHAnsi"/>
                      <w:color w:val="auto"/>
                      <w:sz w:val="22"/>
                      <w:szCs w:val="22"/>
                      <w:lang w:val="fr-BE"/>
                    </w:rPr>
                  </w:pPr>
                </w:p>
                <w:p w:rsidR="00F04EEF" w:rsidRDefault="00F04EEF">
                  <w:pPr>
                    <w:pStyle w:val="Default"/>
                    <w:spacing w:after="120" w:line="360" w:lineRule="auto"/>
                    <w:jc w:val="both"/>
                    <w:rPr>
                      <w:rFonts w:asciiTheme="majorHAnsi" w:hAnsiTheme="majorHAnsi"/>
                      <w:color w:val="auto"/>
                      <w:sz w:val="22"/>
                      <w:szCs w:val="22"/>
                      <w:lang w:val="fr-BE"/>
                    </w:rPr>
                  </w:pPr>
                </w:p>
                <w:p w:rsidR="00F04EEF" w:rsidRDefault="00F04EEF">
                  <w:pPr>
                    <w:pStyle w:val="Default"/>
                    <w:spacing w:after="120" w:line="360" w:lineRule="auto"/>
                    <w:jc w:val="both"/>
                    <w:rPr>
                      <w:rFonts w:asciiTheme="majorHAnsi" w:hAnsiTheme="majorHAnsi"/>
                      <w:color w:val="auto"/>
                      <w:sz w:val="22"/>
                      <w:szCs w:val="22"/>
                      <w:lang w:val="fr-BE"/>
                    </w:rPr>
                  </w:pP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6912" behindDoc="0" locked="0" layoutInCell="1" allowOverlap="1">
                            <wp:simplePos x="0" y="0"/>
                            <wp:positionH relativeFrom="column">
                              <wp:posOffset>2170430</wp:posOffset>
                            </wp:positionH>
                            <wp:positionV relativeFrom="paragraph">
                              <wp:posOffset>17145</wp:posOffset>
                            </wp:positionV>
                            <wp:extent cx="1828165" cy="456565"/>
                            <wp:effectExtent l="0" t="0" r="27305" b="12065"/>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456565"/>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proofErr w:type="gramStart"/>
                                        <w:r>
                                          <w:rPr>
                                            <w:sz w:val="23"/>
                                            <w:szCs w:val="23"/>
                                          </w:rPr>
                                          <w:t>grands</w:t>
                                        </w:r>
                                        <w:proofErr w:type="gramEnd"/>
                                        <w:r>
                                          <w:rPr>
                                            <w:sz w:val="23"/>
                                            <w:szCs w:val="23"/>
                                          </w:rPr>
                                          <w:t xml:space="preserve"> parents</w:t>
                                        </w:r>
                                      </w:p>
                                      <w:p w:rsidR="00F04EEF" w:rsidRDefault="0099351E">
                                        <w:pPr>
                                          <w:rPr>
                                            <w:sz w:val="23"/>
                                            <w:szCs w:val="23"/>
                                          </w:rPr>
                                        </w:pPr>
                                        <w:proofErr w:type="gramStart"/>
                                        <w:r>
                                          <w:rPr>
                                            <w:sz w:val="23"/>
                                            <w:szCs w:val="23"/>
                                          </w:rPr>
                                          <w:t>beaux</w:t>
                                        </w:r>
                                        <w:proofErr w:type="gramEnd"/>
                                        <w:r>
                                          <w:rPr>
                                            <w:sz w:val="23"/>
                                            <w:szCs w:val="23"/>
                                          </w:rPr>
                                          <w:t xml:space="preserve"> grands-parents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47" o:spid="_x0000_s1032" type="#_x0000_t202" style="position:absolute;left:0;text-align:left;margin-left:170.9pt;margin-top:1.35pt;width:143.95pt;height:35.95pt;z-index:2516869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" strokeweight=".5pt">
                            <v:textbox inset="7.45pt,3.85pt,7.45pt,3.85pt">
                              <w:txbxContent>
                                <w:p>
                                  <w:pPr>
                                    <w:rPr>
                                      <w:sz w:val="23"/>
                                      <w:szCs w:val="23"/>
                                    </w:rPr>
                                  </w:pPr>
                                  <w:proofErr w:type="gramStart"/>
                                  <w:r>
                                    <w:rPr>
                                      <w:sz w:val="23"/>
                                      <w:szCs w:val="23"/>
                                    </w:rPr>
                                    <w:t>grands</w:t>
                                  </w:r>
                                  <w:proofErr w:type="gramEnd"/>
                                  <w:r>
                                    <w:rPr>
                                      <w:sz w:val="23"/>
                                      <w:szCs w:val="23"/>
                                    </w:rPr>
                                    <w:t xml:space="preserve"> parents</w:t>
                                  </w:r>
                                </w:p>
                                <w:p>
                                  <w:pPr>
                                    <w:rPr>
                                      <w:sz w:val="23"/>
                                      <w:szCs w:val="23"/>
                                    </w:rPr>
                                  </w:pPr>
                                  <w:proofErr w:type="gramStart"/>
                                  <w:r>
                                    <w:rPr>
                                      <w:sz w:val="23"/>
                                      <w:szCs w:val="23"/>
                                    </w:rPr>
                                    <w:t>beaux</w:t>
                                  </w:r>
                                  <w:proofErr w:type="gramEnd"/>
                                  <w:r>
                                    <w:rPr>
                                      <w:sz w:val="23"/>
                                      <w:szCs w:val="23"/>
                                    </w:rPr>
                                    <w:t xml:space="preserve"> grands-parents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7936" behindDoc="0" locked="0" layoutInCell="1" allowOverlap="1">
                            <wp:simplePos x="0" y="0"/>
                            <wp:positionH relativeFrom="column">
                              <wp:posOffset>914400</wp:posOffset>
                            </wp:positionH>
                            <wp:positionV relativeFrom="paragraph">
                              <wp:posOffset>243840</wp:posOffset>
                            </wp:positionV>
                            <wp:extent cx="914400" cy="228600"/>
                            <wp:effectExtent l="38100" t="0" r="22860" b="72390"/>
                            <wp:wrapNone/>
                            <wp:docPr id="146" name="Connecteur droit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E7E793" id="Connecteur droit 146"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9.2pt" to="2in,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" strokeweight=".26mm">
                            <v:stroke endarrow="block" joinstyle="miter"/>
                          </v:line>
                        </w:pict>
                      </mc:Fallback>
                    </mc:AlternateConten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299" distR="114299" simplePos="0" relativeHeight="251689984" behindDoc="0" locked="0" layoutInCell="1" allowOverlap="1">
                            <wp:simplePos x="0" y="0"/>
                            <wp:positionH relativeFrom="column">
                              <wp:posOffset>2971799</wp:posOffset>
                            </wp:positionH>
                            <wp:positionV relativeFrom="paragraph">
                              <wp:posOffset>247650</wp:posOffset>
                            </wp:positionV>
                            <wp:extent cx="0" cy="457200"/>
                            <wp:effectExtent l="76200" t="38100" r="57150" b="11430"/>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65FA90" id="Connecteur droit 145" o:spid="_x0000_s1026" style="position:absolute;flip:y;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9.5pt" to="23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" strokeweight=".26mm">
                            <v:stroke endarrow="block" joinstyle="miter"/>
                          </v:line>
                        </w:pict>
                      </mc:Fallback>
                    </mc:AlternateContent>
                  </w:r>
                  <w:r>
                    <w:rPr>
                      <w:rFonts w:asciiTheme="majorHAnsi" w:hAnsiTheme="majorHAnsi"/>
                      <w:color w:val="auto"/>
                      <w:sz w:val="22"/>
                      <w:szCs w:val="22"/>
                      <w:lang w:val="fr-BE"/>
                    </w:rPr>
                    <w:t>3</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79744" behindDoc="0" locked="0" layoutInCell="1" allowOverlap="1">
                            <wp:simplePos x="0" y="0"/>
                            <wp:positionH relativeFrom="column">
                              <wp:posOffset>-1270</wp:posOffset>
                            </wp:positionH>
                            <wp:positionV relativeFrom="paragraph">
                              <wp:posOffset>21590</wp:posOffset>
                            </wp:positionV>
                            <wp:extent cx="1256665" cy="345440"/>
                            <wp:effectExtent l="0" t="0" r="27305" b="2159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665" cy="345440"/>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proofErr w:type="gramStart"/>
                                        <w:r>
                                          <w:rPr>
                                            <w:sz w:val="23"/>
                                            <w:szCs w:val="23"/>
                                          </w:rPr>
                                          <w:t>oncles</w:t>
                                        </w:r>
                                        <w:proofErr w:type="gramEnd"/>
                                        <w:r>
                                          <w:rPr>
                                            <w:sz w:val="23"/>
                                            <w:szCs w:val="23"/>
                                          </w:rPr>
                                          <w:t xml:space="preserve"> et tantes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4" o:spid="_x0000_s1033" type="#_x0000_t202" style="position:absolute;left:0;text-align:left;margin-left:-.1pt;margin-top:1.7pt;width:98.95pt;height:27.2pt;z-index:2516797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" strokeweight=".5pt">
                            <v:textbox inset="7.45pt,3.85pt,7.45pt,3.85pt">
                              <w:txbxContent>
                                <w:p>
                                  <w:pPr>
                                    <w:rPr>
                                      <w:sz w:val="23"/>
                                      <w:szCs w:val="23"/>
                                    </w:rPr>
                                  </w:pPr>
                                  <w:proofErr w:type="gramStart"/>
                                  <w:r>
                                    <w:rPr>
                                      <w:sz w:val="23"/>
                                      <w:szCs w:val="23"/>
                                    </w:rPr>
                                    <w:t>oncles</w:t>
                                  </w:r>
                                  <w:proofErr w:type="gramEnd"/>
                                  <w:r>
                                    <w:rPr>
                                      <w:sz w:val="23"/>
                                      <w:szCs w:val="23"/>
                                    </w:rPr>
                                    <w:t xml:space="preserve"> et tantes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5888" behindDoc="0" locked="0" layoutInCell="1" allowOverlap="1">
                            <wp:simplePos x="0" y="0"/>
                            <wp:positionH relativeFrom="column">
                              <wp:posOffset>2399030</wp:posOffset>
                            </wp:positionH>
                            <wp:positionV relativeFrom="paragraph">
                              <wp:posOffset>142875</wp:posOffset>
                            </wp:positionV>
                            <wp:extent cx="1142365" cy="456565"/>
                            <wp:effectExtent l="0" t="0" r="19685" b="12065"/>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456565"/>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proofErr w:type="gramStart"/>
                                        <w:r>
                                          <w:rPr>
                                            <w:sz w:val="23"/>
                                            <w:szCs w:val="23"/>
                                          </w:rPr>
                                          <w:t>parents</w:t>
                                        </w:r>
                                        <w:proofErr w:type="gramEnd"/>
                                      </w:p>
                                      <w:p w:rsidR="00F04EEF" w:rsidRDefault="0099351E">
                                        <w:pPr>
                                          <w:rPr>
                                            <w:sz w:val="23"/>
                                            <w:szCs w:val="23"/>
                                          </w:rPr>
                                        </w:pPr>
                                        <w:proofErr w:type="gramStart"/>
                                        <w:r>
                                          <w:rPr>
                                            <w:sz w:val="23"/>
                                            <w:szCs w:val="23"/>
                                          </w:rPr>
                                          <w:t>beaux-parents</w:t>
                                        </w:r>
                                        <w:proofErr w:type="gramEnd"/>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3" o:spid="_x0000_s1034" type="#_x0000_t202" style="position:absolute;left:0;text-align:left;margin-left:188.9pt;margin-top:11.25pt;width:89.95pt;height:35.95pt;z-index:2516858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" strokeweight=".5pt">
                            <v:textbox inset="7.45pt,3.85pt,7.45pt,3.85pt">
                              <w:txbxContent>
                                <w:p>
                                  <w:pPr>
                                    <w:rPr>
                                      <w:sz w:val="23"/>
                                      <w:szCs w:val="23"/>
                                    </w:rPr>
                                  </w:pPr>
                                  <w:proofErr w:type="gramStart"/>
                                  <w:r>
                                    <w:rPr>
                                      <w:sz w:val="23"/>
                                      <w:szCs w:val="23"/>
                                    </w:rPr>
                                    <w:t>parents</w:t>
                                  </w:r>
                                  <w:proofErr w:type="gramEnd"/>
                                </w:p>
                                <w:p>
                                  <w:pPr>
                                    <w:rPr>
                                      <w:sz w:val="23"/>
                                      <w:szCs w:val="23"/>
                                    </w:rPr>
                                  </w:pPr>
                                  <w:proofErr w:type="gramStart"/>
                                  <w:r>
                                    <w:rPr>
                                      <w:sz w:val="23"/>
                                      <w:szCs w:val="23"/>
                                    </w:rPr>
                                    <w:t>beaux-parents</w:t>
                                  </w:r>
                                  <w:proofErr w:type="gramEnd"/>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8960" behindDoc="0" locked="0" layoutInCell="1" allowOverlap="1">
                            <wp:simplePos x="0" y="0"/>
                            <wp:positionH relativeFrom="column">
                              <wp:posOffset>571500</wp:posOffset>
                            </wp:positionH>
                            <wp:positionV relativeFrom="paragraph">
                              <wp:posOffset>144145</wp:posOffset>
                            </wp:positionV>
                            <wp:extent cx="342900" cy="682625"/>
                            <wp:effectExtent l="0" t="0" r="60960" b="4762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826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9F191B" id="Connecteur droit 142"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1in,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" strokeweight=".26mm">
                            <v:stroke endarrow="block" joinstyle="miter"/>
                          </v:line>
                        </w:pict>
                      </mc:Fallback>
                    </mc:AlternateConten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4864" behindDoc="0" locked="0" layoutInCell="1" allowOverlap="1">
                            <wp:simplePos x="0" y="0"/>
                            <wp:positionH relativeFrom="column">
                              <wp:posOffset>4799330</wp:posOffset>
                            </wp:positionH>
                            <wp:positionV relativeFrom="paragraph">
                              <wp:posOffset>257810</wp:posOffset>
                            </wp:positionV>
                            <wp:extent cx="1599565" cy="688340"/>
                            <wp:effectExtent l="0" t="0" r="12065" b="2540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688340"/>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proofErr w:type="gramStart"/>
                                        <w:r>
                                          <w:rPr>
                                            <w:sz w:val="23"/>
                                            <w:szCs w:val="23"/>
                                          </w:rPr>
                                          <w:t>frères</w:t>
                                        </w:r>
                                        <w:proofErr w:type="gramEnd"/>
                                        <w:r>
                                          <w:rPr>
                                            <w:sz w:val="23"/>
                                            <w:szCs w:val="23"/>
                                          </w:rPr>
                                          <w:t xml:space="preserve"> et sœurs</w:t>
                                        </w:r>
                                      </w:p>
                                      <w:p w:rsidR="00F04EEF" w:rsidRDefault="0099351E">
                                        <w:pPr>
                                          <w:rPr>
                                            <w:sz w:val="23"/>
                                            <w:szCs w:val="23"/>
                                          </w:rPr>
                                        </w:pPr>
                                        <w:proofErr w:type="gramStart"/>
                                        <w:r>
                                          <w:rPr>
                                            <w:sz w:val="23"/>
                                            <w:szCs w:val="23"/>
                                          </w:rPr>
                                          <w:t>beaux-frères</w:t>
                                        </w:r>
                                        <w:proofErr w:type="gramEnd"/>
                                      </w:p>
                                      <w:p w:rsidR="00F04EEF" w:rsidRDefault="0099351E">
                                        <w:pPr>
                                          <w:rPr>
                                            <w:sz w:val="23"/>
                                            <w:szCs w:val="23"/>
                                          </w:rPr>
                                        </w:pPr>
                                        <w:proofErr w:type="gramStart"/>
                                        <w:r>
                                          <w:rPr>
                                            <w:sz w:val="23"/>
                                            <w:szCs w:val="23"/>
                                          </w:rPr>
                                          <w:t>belles-soeurs</w:t>
                                        </w:r>
                                        <w:proofErr w:type="gramEnd"/>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1" o:spid="_x0000_s1035" type="#_x0000_t202" style="position:absolute;left:0;text-align:left;margin-left:377.9pt;margin-top:20.3pt;width:125.95pt;height:54.2pt;z-index:2516848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" strokeweight=".5pt">
                            <v:textbox inset="7.45pt,3.85pt,7.45pt,3.85pt">
                              <w:txbxContent>
                                <w:p>
                                  <w:pPr>
                                    <w:rPr>
                                      <w:sz w:val="23"/>
                                      <w:szCs w:val="23"/>
                                    </w:rPr>
                                  </w:pPr>
                                  <w:proofErr w:type="gramStart"/>
                                  <w:r>
                                    <w:rPr>
                                      <w:sz w:val="23"/>
                                      <w:szCs w:val="23"/>
                                    </w:rPr>
                                    <w:t>frères</w:t>
                                  </w:r>
                                  <w:proofErr w:type="gramEnd"/>
                                  <w:r>
                                    <w:rPr>
                                      <w:sz w:val="23"/>
                                      <w:szCs w:val="23"/>
                                    </w:rPr>
                                    <w:t xml:space="preserve"> et sœurs</w:t>
                                  </w:r>
                                </w:p>
                                <w:p>
                                  <w:pPr>
                                    <w:rPr>
                                      <w:sz w:val="23"/>
                                      <w:szCs w:val="23"/>
                                    </w:rPr>
                                  </w:pPr>
                                  <w:proofErr w:type="gramStart"/>
                                  <w:r>
                                    <w:rPr>
                                      <w:sz w:val="23"/>
                                      <w:szCs w:val="23"/>
                                    </w:rPr>
                                    <w:t>beaux-frères</w:t>
                                  </w:r>
                                  <w:proofErr w:type="gramEnd"/>
                                </w:p>
                                <w:p>
                                  <w:pPr>
                                    <w:rPr>
                                      <w:sz w:val="23"/>
                                      <w:szCs w:val="23"/>
                                    </w:rPr>
                                  </w:pPr>
                                  <w:proofErr w:type="gramStart"/>
                                  <w:r>
                                    <w:rPr>
                                      <w:sz w:val="23"/>
                                      <w:szCs w:val="23"/>
                                    </w:rPr>
                                    <w:t>belles-soeurs</w:t>
                                  </w:r>
                                  <w:proofErr w:type="gramEnd"/>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94080" behindDoc="0" locked="0" layoutInCell="1" allowOverlap="1">
                            <wp:simplePos x="0" y="0"/>
                            <wp:positionH relativeFrom="column">
                              <wp:posOffset>3657600</wp:posOffset>
                            </wp:positionH>
                            <wp:positionV relativeFrom="paragraph">
                              <wp:posOffset>33655</wp:posOffset>
                            </wp:positionV>
                            <wp:extent cx="1028700" cy="454025"/>
                            <wp:effectExtent l="0" t="0" r="68580" b="70485"/>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454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1E1F1F" id="Connecteur droit 14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369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" strokeweight=".26mm">
                            <v:stroke endarrow="block" joinstyle="miter"/>
                          </v:lin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2ème degré</w: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1792" behindDoc="0" locked="0" layoutInCell="1" allowOverlap="1">
                            <wp:simplePos x="0" y="0"/>
                            <wp:positionH relativeFrom="column">
                              <wp:posOffset>-1270</wp:posOffset>
                            </wp:positionH>
                            <wp:positionV relativeFrom="paragraph">
                              <wp:posOffset>264795</wp:posOffset>
                            </wp:positionV>
                            <wp:extent cx="1485265" cy="342265"/>
                            <wp:effectExtent l="0" t="0" r="23495" b="23495"/>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342265"/>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proofErr w:type="gramStart"/>
                                        <w:r>
                                          <w:rPr>
                                            <w:sz w:val="23"/>
                                            <w:szCs w:val="23"/>
                                          </w:rPr>
                                          <w:t>cousins</w:t>
                                        </w:r>
                                        <w:proofErr w:type="gramEnd"/>
                                        <w:r>
                                          <w:rPr>
                                            <w:sz w:val="23"/>
                                            <w:szCs w:val="23"/>
                                          </w:rPr>
                                          <w:t xml:space="preserve"> et cousines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9" o:spid="_x0000_s1036" type="#_x0000_t202" style="position:absolute;left:0;text-align:left;margin-left:-.1pt;margin-top:20.85pt;width:116.95pt;height:26.95pt;z-index:2516817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" strokeweight=".5pt">
                            <v:textbox inset="7.45pt,3.85pt,7.45pt,3.85pt">
                              <w:txbxContent>
                                <w:p>
                                  <w:pPr>
                                    <w:rPr>
                                      <w:sz w:val="23"/>
                                      <w:szCs w:val="23"/>
                                    </w:rPr>
                                  </w:pPr>
                                  <w:proofErr w:type="gramStart"/>
                                  <w:r>
                                    <w:rPr>
                                      <w:sz w:val="23"/>
                                      <w:szCs w:val="23"/>
                                    </w:rPr>
                                    <w:t>cousins</w:t>
                                  </w:r>
                                  <w:proofErr w:type="gramEnd"/>
                                  <w:r>
                                    <w:rPr>
                                      <w:sz w:val="23"/>
                                      <w:szCs w:val="23"/>
                                    </w:rPr>
                                    <w:t xml:space="preserve"> et cousines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299" distR="114299" simplePos="0" relativeHeight="251691008" behindDoc="0" locked="0" layoutInCell="1" allowOverlap="1">
                            <wp:simplePos x="0" y="0"/>
                            <wp:positionH relativeFrom="column">
                              <wp:posOffset>2971799</wp:posOffset>
                            </wp:positionH>
                            <wp:positionV relativeFrom="paragraph">
                              <wp:posOffset>34290</wp:posOffset>
                            </wp:positionV>
                            <wp:extent cx="0" cy="571500"/>
                            <wp:effectExtent l="76200" t="38100" r="57150" b="19050"/>
                            <wp:wrapNone/>
                            <wp:docPr id="138" name="Connecteur droit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1B4C10" id="Connecteur droit 138" o:spid="_x0000_s1026" style="position:absolute;flip:y;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7pt" to="234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" strokeweight=".26mm">
                            <v:stroke endarrow="block" joinstyle="miter"/>
                          </v:line>
                        </w:pict>
                      </mc:Fallback>
                    </mc:AlternateContent>
                  </w:r>
                  <w:r>
                    <w:rPr>
                      <w:rFonts w:asciiTheme="majorHAnsi" w:hAnsiTheme="majorHAnsi"/>
                      <w:color w:val="auto"/>
                      <w:sz w:val="22"/>
                      <w:szCs w:val="22"/>
                      <w:lang w:val="fr-BE"/>
                    </w:rPr>
                    <w:t>4</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3840" behindDoc="0" locked="0" layoutInCell="1" allowOverlap="1">
                            <wp:simplePos x="0" y="0"/>
                            <wp:positionH relativeFrom="column">
                              <wp:posOffset>2170430</wp:posOffset>
                            </wp:positionH>
                            <wp:positionV relativeFrom="paragraph">
                              <wp:posOffset>43815</wp:posOffset>
                            </wp:positionV>
                            <wp:extent cx="1599565" cy="342265"/>
                            <wp:effectExtent l="0" t="0" r="12065" b="23495"/>
                            <wp:wrapNone/>
                            <wp:docPr id="137" name="Zone de text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342265"/>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r>
                                          <w:rPr>
                                            <w:sz w:val="23"/>
                                            <w:szCs w:val="23"/>
                                          </w:rPr>
                                          <w:t xml:space="preserve">MOI et mon </w:t>
                                        </w:r>
                                        <w:proofErr w:type="gramStart"/>
                                        <w:r>
                                          <w:rPr>
                                            <w:sz w:val="23"/>
                                            <w:szCs w:val="23"/>
                                          </w:rPr>
                                          <w:t>époux(</w:t>
                                        </w:r>
                                        <w:proofErr w:type="gramEnd"/>
                                        <w:r>
                                          <w:rPr>
                                            <w:sz w:val="23"/>
                                            <w:szCs w:val="23"/>
                                          </w:rPr>
                                          <w:t>se)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7" o:spid="_x0000_s1037" type="#_x0000_t202" style="position:absolute;left:0;text-align:left;margin-left:170.9pt;margin-top:3.45pt;width:125.95pt;height:26.95pt;z-index:251683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" strokeweight=".5pt">
                            <v:textbox inset="7.45pt,3.85pt,7.45pt,3.85pt">
                              <w:txbxContent>
                                <w:p>
                                  <w:pPr>
                                    <w:rPr>
                                      <w:sz w:val="23"/>
                                      <w:szCs w:val="23"/>
                                    </w:rPr>
                                  </w:pPr>
                                  <w:r>
                                    <w:rPr>
                                      <w:sz w:val="23"/>
                                      <w:szCs w:val="23"/>
                                    </w:rPr>
                                    <w:t xml:space="preserve">MOI et mon </w:t>
                                  </w:r>
                                  <w:proofErr w:type="gramStart"/>
                                  <w:r>
                                    <w:rPr>
                                      <w:sz w:val="23"/>
                                      <w:szCs w:val="23"/>
                                    </w:rPr>
                                    <w:t>époux(</w:t>
                                  </w:r>
                                  <w:proofErr w:type="gramEnd"/>
                                  <w:r>
                                    <w:rPr>
                                      <w:sz w:val="23"/>
                                      <w:szCs w:val="23"/>
                                    </w:rPr>
                                    <w:t>se)</w:t>
                                  </w:r>
                                </w:p>
                              </w:txbxContent>
                            </v:textbox>
                          </v:shape>
                        </w:pict>
                      </mc:Fallback>
                    </mc:AlternateConten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299" distR="114299" simplePos="0" relativeHeight="251692032" behindDoc="0" locked="0" layoutInCell="1" allowOverlap="1">
                            <wp:simplePos x="0" y="0"/>
                            <wp:positionH relativeFrom="column">
                              <wp:posOffset>2971799</wp:posOffset>
                            </wp:positionH>
                            <wp:positionV relativeFrom="paragraph">
                              <wp:posOffset>163830</wp:posOffset>
                            </wp:positionV>
                            <wp:extent cx="0" cy="342900"/>
                            <wp:effectExtent l="76200" t="0" r="57150" b="6096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B1100E" id="Connecteur droit 136" o:spid="_x0000_s1026" style="position:absolute;z-index:251692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2.9pt" to="234pt,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" strokeweight=".26mm">
                            <v:stroke endarrow="block" joinstyle="miter"/>
                          </v:line>
                        </w:pict>
                      </mc:Fallback>
                    </mc:AlternateConten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2816" behindDoc="0" locked="0" layoutInCell="1" allowOverlap="1">
                            <wp:simplePos x="0" y="0"/>
                            <wp:positionH relativeFrom="column">
                              <wp:posOffset>2513330</wp:posOffset>
                            </wp:positionH>
                            <wp:positionV relativeFrom="paragraph">
                              <wp:posOffset>280035</wp:posOffset>
                            </wp:positionV>
                            <wp:extent cx="913765" cy="342265"/>
                            <wp:effectExtent l="0" t="0" r="23495" b="23495"/>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342265"/>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proofErr w:type="gramStart"/>
                                        <w:r>
                                          <w:rPr>
                                            <w:sz w:val="23"/>
                                            <w:szCs w:val="23"/>
                                          </w:rPr>
                                          <w:t>enfants</w:t>
                                        </w:r>
                                        <w:proofErr w:type="gramEnd"/>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5" o:spid="_x0000_s1038" type="#_x0000_t202" style="position:absolute;left:0;text-align:left;margin-left:197.9pt;margin-top:22.05pt;width:71.95pt;height:26.95pt;z-index:2516828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" strokeweight=".5pt">
                            <v:textbox inset="7.45pt,3.85pt,7.45pt,3.85pt">
                              <w:txbxContent>
                                <w:p>
                                  <w:pPr>
                                    <w:rPr>
                                      <w:sz w:val="23"/>
                                      <w:szCs w:val="23"/>
                                    </w:rPr>
                                  </w:pPr>
                                  <w:proofErr w:type="gramStart"/>
                                  <w:r>
                                    <w:rPr>
                                      <w:sz w:val="23"/>
                                      <w:szCs w:val="23"/>
                                    </w:rPr>
                                    <w:t>enfants</w:t>
                                  </w:r>
                                  <w:proofErr w:type="gramEnd"/>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rsidR="00F04EEF" w:rsidRDefault="00F04EEF">
                  <w:pPr>
                    <w:pStyle w:val="Default"/>
                    <w:spacing w:after="120" w:line="360" w:lineRule="auto"/>
                    <w:jc w:val="both"/>
                    <w:rPr>
                      <w:rFonts w:asciiTheme="majorHAnsi" w:hAnsiTheme="majorHAnsi"/>
                      <w:color w:val="auto"/>
                      <w:sz w:val="22"/>
                      <w:szCs w:val="22"/>
                      <w:lang w:val="fr-BE"/>
                    </w:rPr>
                  </w:pP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299" distR="114299" simplePos="0" relativeHeight="251693056" behindDoc="0" locked="0" layoutInCell="1" allowOverlap="1">
                            <wp:simplePos x="0" y="0"/>
                            <wp:positionH relativeFrom="column">
                              <wp:posOffset>2971799</wp:posOffset>
                            </wp:positionH>
                            <wp:positionV relativeFrom="paragraph">
                              <wp:posOffset>61595</wp:posOffset>
                            </wp:positionV>
                            <wp:extent cx="0" cy="457200"/>
                            <wp:effectExtent l="76200" t="0" r="57150" b="49530"/>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0DE179" id="Connecteur droit 134" o:spid="_x0000_s1026" style="position:absolute;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4.85pt" to="234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" strokeweight=".26mm">
                            <v:stroke endarrow="block" joinstyle="miter"/>
                          </v:line>
                        </w:pict>
                      </mc:Fallback>
                    </mc:AlternateContent>
                  </w: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0768" behindDoc="0" locked="0" layoutInCell="1" allowOverlap="1">
                            <wp:simplePos x="0" y="0"/>
                            <wp:positionH relativeFrom="column">
                              <wp:posOffset>2514600</wp:posOffset>
                            </wp:positionH>
                            <wp:positionV relativeFrom="paragraph">
                              <wp:posOffset>295910</wp:posOffset>
                            </wp:positionV>
                            <wp:extent cx="1028065" cy="457200"/>
                            <wp:effectExtent l="0" t="0" r="12065" b="11430"/>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065" cy="457200"/>
                                    </a:xfrm>
                                    <a:prstGeom prst="rect">
                                      <a:avLst/>
                                    </a:prstGeom>
                                    <a:solidFill>
                                      <a:srgbClr val="FFFFFF"/>
                                    </a:solidFill>
                                    <a:ln w="6350">
                                      <a:solidFill>
                                        <a:srgbClr val="000000"/>
                                      </a:solidFill>
                                      <a:miter lim="800000"/>
                                      <a:headEnd/>
                                      <a:tailEnd/>
                                    </a:ln>
                                  </wps:spPr>
                                  <wps:txbx>
                                    <w:txbxContent>
                                      <w:p w:rsidR="00F04EEF" w:rsidRDefault="0099351E">
                                        <w:pPr>
                                          <w:rPr>
                                            <w:sz w:val="23"/>
                                            <w:szCs w:val="23"/>
                                          </w:rPr>
                                        </w:pPr>
                                        <w:proofErr w:type="gramStart"/>
                                        <w:r>
                                          <w:rPr>
                                            <w:sz w:val="23"/>
                                            <w:szCs w:val="23"/>
                                          </w:rPr>
                                          <w:t>petits-enfants</w:t>
                                        </w:r>
                                        <w:proofErr w:type="gramEnd"/>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3" o:spid="_x0000_s1039" type="#_x0000_t202" style="position:absolute;left:0;text-align:left;margin-left:198pt;margin-top:23.3pt;width:80.95pt;height:36pt;z-index:2516807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" strokeweight=".5pt">
                            <v:textbox inset="7.45pt,3.85pt,7.45pt,3.85pt">
                              <w:txbxContent>
                                <w:p>
                                  <w:pPr>
                                    <w:rPr>
                                      <w:sz w:val="23"/>
                                      <w:szCs w:val="23"/>
                                    </w:rPr>
                                  </w:pPr>
                                  <w:proofErr w:type="gramStart"/>
                                  <w:r>
                                    <w:rPr>
                                      <w:sz w:val="23"/>
                                      <w:szCs w:val="23"/>
                                    </w:rPr>
                                    <w:t>petits-enfants</w:t>
                                  </w:r>
                                  <w:proofErr w:type="gramEnd"/>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degré</w:t>
                  </w:r>
                </w:p>
                <w:p w:rsidR="00F04EEF" w:rsidRDefault="00F04EEF">
                  <w:pPr>
                    <w:pStyle w:val="Default"/>
                    <w:spacing w:after="120" w:line="360" w:lineRule="auto"/>
                    <w:jc w:val="both"/>
                    <w:rPr>
                      <w:rFonts w:asciiTheme="majorHAnsi" w:hAnsiTheme="majorHAnsi"/>
                      <w:color w:val="auto"/>
                      <w:sz w:val="22"/>
                      <w:szCs w:val="22"/>
                      <w:lang w:val="fr-BE"/>
                    </w:rPr>
                  </w:pPr>
                </w:p>
                <w:p w:rsidR="00F04EEF" w:rsidRDefault="00F04EEF">
                  <w:pPr>
                    <w:pStyle w:val="Default"/>
                    <w:spacing w:after="120" w:line="360" w:lineRule="auto"/>
                    <w:jc w:val="both"/>
                    <w:rPr>
                      <w:rFonts w:asciiTheme="majorHAnsi" w:hAnsiTheme="majorHAnsi"/>
                      <w:color w:val="auto"/>
                      <w:sz w:val="22"/>
                      <w:szCs w:val="22"/>
                      <w:lang w:val="fr-BE"/>
                    </w:rPr>
                  </w:pPr>
                </w:p>
                <w:p w:rsidR="00F04EEF" w:rsidRDefault="00F04EEF">
                  <w:pPr>
                    <w:pStyle w:val="Default"/>
                    <w:spacing w:after="120" w:line="360" w:lineRule="auto"/>
                    <w:jc w:val="both"/>
                    <w:rPr>
                      <w:rFonts w:asciiTheme="majorHAnsi" w:hAnsiTheme="majorHAnsi"/>
                      <w:color w:val="auto"/>
                      <w:sz w:val="22"/>
                      <w:szCs w:val="22"/>
                      <w:lang w:val="fr-BE"/>
                    </w:rPr>
                  </w:pPr>
                </w:p>
                <w:p w:rsidR="00F04EEF" w:rsidRDefault="0099351E">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br w:type="page"/>
                  </w:r>
                </w:p>
                <w:p w:rsidR="00F04EEF" w:rsidRDefault="0099351E">
                  <w:pPr>
                    <w:pStyle w:val="Titre4"/>
                  </w:pPr>
                  <w:bookmarkStart w:id="1344" w:name="_Annexe_22_:"/>
                  <w:bookmarkStart w:id="1345" w:name="annexe22"/>
                  <w:bookmarkStart w:id="1346" w:name="_Toc412204117"/>
                  <w:bookmarkStart w:id="1347" w:name="_Toc414352924"/>
                  <w:bookmarkStart w:id="1348" w:name="_Toc453836948"/>
                  <w:bookmarkEnd w:id="1344"/>
                  <w:r>
                    <w:t>Annexe</w:t>
                  </w:r>
                  <w:bookmarkEnd w:id="1345"/>
                  <w:r>
                    <w:t xml:space="preserve"> 18 : Modèle de base de protocole de collaboration avec les services de police</w:t>
                  </w:r>
                  <w:bookmarkEnd w:id="1346"/>
                  <w:bookmarkEnd w:id="1347"/>
                  <w:bookmarkEnd w:id="1348"/>
                </w:p>
                <w:p w:rsidR="00F04EEF" w:rsidRDefault="00F04EEF">
                  <w:pPr>
                    <w:rPr>
                      <w:rFonts w:cs="Arial"/>
                      <w:shd w:val="clear" w:color="auto" w:fill="FFFF00"/>
                    </w:rPr>
                  </w:pPr>
                </w:p>
                <w:p w:rsidR="00F04EEF" w:rsidRDefault="0099351E">
                  <w:pPr>
                    <w:numPr>
                      <w:ilvl w:val="0"/>
                      <w:numId w:val="103"/>
                    </w:numPr>
                    <w:suppressAutoHyphens/>
                    <w:ind w:left="1287"/>
                    <w:jc w:val="both"/>
                    <w:rPr>
                      <w:rFonts w:cs="Arial"/>
                      <w:u w:val="single"/>
                    </w:rPr>
                  </w:pPr>
                  <w:r>
                    <w:rPr>
                      <w:rFonts w:cs="Arial"/>
                      <w:u w:val="single"/>
                    </w:rPr>
                    <w:t>Parties</w:t>
                  </w:r>
                </w:p>
                <w:p w:rsidR="00F04EEF" w:rsidRDefault="00F04EEF">
                  <w:pPr>
                    <w:jc w:val="both"/>
                    <w:rPr>
                      <w:rFonts w:cs="Arial"/>
                    </w:rPr>
                  </w:pPr>
                </w:p>
                <w:p w:rsidR="00F04EEF" w:rsidRDefault="0099351E">
                  <w:pPr>
                    <w:jc w:val="both"/>
                    <w:rPr>
                      <w:rFonts w:cs="Arial"/>
                    </w:rPr>
                  </w:pPr>
                  <w:r>
                    <w:rPr>
                      <w:rFonts w:cs="Arial"/>
                    </w:rPr>
                    <w:t>Préciser l’identité et les fonctions de chacun des intervenants.</w:t>
                  </w:r>
                </w:p>
                <w:p w:rsidR="00F04EEF" w:rsidRDefault="00F04EEF">
                  <w:pPr>
                    <w:jc w:val="both"/>
                    <w:rPr>
                      <w:rFonts w:cs="Arial"/>
                    </w:rPr>
                  </w:pPr>
                </w:p>
                <w:p w:rsidR="00F04EEF" w:rsidRDefault="0099351E">
                  <w:pPr>
                    <w:numPr>
                      <w:ilvl w:val="0"/>
                      <w:numId w:val="103"/>
                    </w:numPr>
                    <w:suppressAutoHyphens/>
                    <w:ind w:left="1287"/>
                    <w:jc w:val="both"/>
                    <w:rPr>
                      <w:rFonts w:cs="Arial"/>
                      <w:u w:val="single"/>
                    </w:rPr>
                  </w:pPr>
                  <w:r>
                    <w:rPr>
                      <w:rFonts w:cs="Arial"/>
                      <w:u w:val="single"/>
                    </w:rPr>
                    <w:t>Principes et engagements</w:t>
                  </w:r>
                </w:p>
                <w:p w:rsidR="00F04EEF" w:rsidRDefault="00F04EEF">
                  <w:pPr>
                    <w:jc w:val="both"/>
                    <w:rPr>
                      <w:rFonts w:cs="Arial"/>
                    </w:rPr>
                  </w:pPr>
                </w:p>
                <w:p w:rsidR="00F04EEF" w:rsidRDefault="0099351E">
                  <w:pPr>
                    <w:jc w:val="both"/>
                    <w:rPr>
                      <w:rFonts w:cs="Arial"/>
                    </w:rPr>
                  </w:pPr>
                  <w:r>
                    <w:rPr>
                      <w:rFonts w:cs="Arial"/>
                    </w:rPr>
                    <w:t>Article 1</w:t>
                  </w:r>
                  <w:r>
                    <w:rPr>
                      <w:rFonts w:cs="Arial"/>
                      <w:vertAlign w:val="superscript"/>
                    </w:rPr>
                    <w:t>er</w:t>
                  </w:r>
                  <w:r>
                    <w:rPr>
                      <w:rFonts w:cs="Arial"/>
                    </w:rPr>
                    <w:t xml:space="preserve"> – L’objectif de la présente convention est d’organiser la collaboration entre les différentes parties en vue de promouvoir la sécurité des élèves et des membres du personnel dans les établissements scolaires concernés.</w:t>
                  </w:r>
                </w:p>
                <w:p w:rsidR="00F04EEF" w:rsidRDefault="00F04EEF">
                  <w:pPr>
                    <w:jc w:val="both"/>
                    <w:rPr>
                      <w:rFonts w:cs="Arial"/>
                    </w:rPr>
                  </w:pPr>
                </w:p>
                <w:p w:rsidR="00F04EEF" w:rsidRDefault="0099351E">
                  <w:pPr>
                    <w:jc w:val="both"/>
                    <w:rPr>
                      <w:rFonts w:cs="Arial"/>
                    </w:rPr>
                  </w:pPr>
                  <w:r>
                    <w:rPr>
                      <w:rFonts w:cs="Arial"/>
                    </w:rPr>
                    <w:t>Article 2 – Elle ne peut avoir pour effet d’engager les parties, et particulièrement les directeurs ou chefs d’établissement, au-delà de leurs obligations légales.</w:t>
                  </w:r>
                </w:p>
                <w:p w:rsidR="00F04EEF" w:rsidRDefault="00F04EEF">
                  <w:pPr>
                    <w:jc w:val="both"/>
                    <w:rPr>
                      <w:rFonts w:cs="Arial"/>
                    </w:rPr>
                  </w:pPr>
                </w:p>
                <w:p w:rsidR="00F04EEF" w:rsidRDefault="0099351E">
                  <w:pPr>
                    <w:jc w:val="both"/>
                    <w:rPr>
                      <w:rFonts w:cs="Arial"/>
                    </w:rPr>
                  </w:pPr>
                  <w:r>
                    <w:rPr>
                      <w:rFonts w:cs="Arial"/>
                    </w:rPr>
                    <w:t>Article 3 – Dans la mesure où les obligations légales de chacune des parties le permettent, les décisions prises dans le cadre de la présente convention le sont par consensus.</w:t>
                  </w:r>
                </w:p>
                <w:p w:rsidR="00F04EEF" w:rsidRDefault="00F04EEF">
                  <w:pPr>
                    <w:jc w:val="both"/>
                    <w:rPr>
                      <w:rFonts w:cs="Arial"/>
                    </w:rPr>
                  </w:pPr>
                </w:p>
                <w:p w:rsidR="00F04EEF" w:rsidRDefault="0099351E">
                  <w:pPr>
                    <w:jc w:val="both"/>
                    <w:rPr>
                      <w:rFonts w:cs="Arial"/>
                    </w:rPr>
                  </w:pPr>
                  <w:r>
                    <w:rPr>
                      <w:rFonts w:cs="Arial"/>
                    </w:rPr>
                    <w:t>Article 4 – La convention est évaluée à la fin de chaque année scolaire. Elle est, le cas échéant, reconduite et adaptée au début de l’année scolaire qui suit.</w:t>
                  </w:r>
                </w:p>
                <w:p w:rsidR="00F04EEF" w:rsidRDefault="00F04EEF">
                  <w:pPr>
                    <w:jc w:val="both"/>
                    <w:rPr>
                      <w:rFonts w:cs="Arial"/>
                    </w:rPr>
                  </w:pPr>
                </w:p>
                <w:p w:rsidR="00F04EEF" w:rsidRDefault="0099351E">
                  <w:pPr>
                    <w:jc w:val="both"/>
                    <w:rPr>
                      <w:rFonts w:cs="Arial"/>
                    </w:rPr>
                  </w:pPr>
                  <w:r>
                    <w:rPr>
                      <w:rFonts w:cs="Arial"/>
                    </w:rPr>
                    <w:t>Article 5 – § 1</w:t>
                  </w:r>
                  <w:r>
                    <w:rPr>
                      <w:rFonts w:cs="Arial"/>
                      <w:vertAlign w:val="superscript"/>
                    </w:rPr>
                    <w:t>er</w:t>
                  </w:r>
                  <w:r>
                    <w:rPr>
                      <w:rFonts w:cs="Arial"/>
                    </w:rPr>
                    <w:t>. Après concertation, les parties estiment que les situations ou problèmes suivants supposent la mise en place d’un programme d’action :</w:t>
                  </w:r>
                </w:p>
                <w:p w:rsidR="00F04EEF" w:rsidRDefault="0099351E">
                  <w:pPr>
                    <w:jc w:val="both"/>
                    <w:rPr>
                      <w:rFonts w:cs="Arial"/>
                    </w:rPr>
                  </w:pPr>
                  <w:r>
                    <w:rPr>
                      <w:rFonts w:cs="Arial"/>
                    </w:rPr>
                    <w:t>-</w:t>
                  </w:r>
                </w:p>
                <w:p w:rsidR="00F04EEF" w:rsidRDefault="0099351E">
                  <w:pPr>
                    <w:jc w:val="both"/>
                    <w:rPr>
                      <w:rFonts w:cs="Arial"/>
                    </w:rPr>
                  </w:pPr>
                  <w:r>
                    <w:rPr>
                      <w:rFonts w:cs="Arial"/>
                    </w:rPr>
                    <w:t>-</w:t>
                  </w:r>
                </w:p>
                <w:p w:rsidR="00F04EEF" w:rsidRDefault="0099351E">
                  <w:pPr>
                    <w:jc w:val="both"/>
                    <w:rPr>
                      <w:rFonts w:cs="Arial"/>
                    </w:rPr>
                  </w:pPr>
                  <w:r>
                    <w:rPr>
                      <w:rFonts w:cs="Arial"/>
                    </w:rPr>
                    <w:t>-</w:t>
                  </w:r>
                </w:p>
                <w:p w:rsidR="00F04EEF" w:rsidRDefault="0099351E">
                  <w:pPr>
                    <w:jc w:val="both"/>
                    <w:rPr>
                      <w:rFonts w:cs="Arial"/>
                    </w:rPr>
                  </w:pPr>
                  <w:r>
                    <w:rPr>
                      <w:rFonts w:cs="Arial"/>
                    </w:rPr>
                    <w:t>- …</w:t>
                  </w:r>
                </w:p>
                <w:p w:rsidR="00F04EEF" w:rsidRDefault="00F04EEF">
                  <w:pPr>
                    <w:jc w:val="both"/>
                    <w:rPr>
                      <w:rFonts w:cs="Arial"/>
                    </w:rPr>
                  </w:pPr>
                </w:p>
                <w:p w:rsidR="00F04EEF" w:rsidRDefault="0099351E">
                  <w:pPr>
                    <w:jc w:val="both"/>
                    <w:rPr>
                      <w:rFonts w:cs="Arial"/>
                    </w:rPr>
                  </w:pPr>
                  <w:r>
                    <w:rPr>
                      <w:rFonts w:cs="Arial"/>
                    </w:rPr>
                    <w:t>§ 2. A cette fin, elles marquent leur accord pour que les actions suivantes soient entreprises :</w:t>
                  </w:r>
                </w:p>
                <w:p w:rsidR="00F04EEF" w:rsidRDefault="0099351E">
                  <w:pPr>
                    <w:jc w:val="both"/>
                    <w:rPr>
                      <w:rFonts w:cs="Arial"/>
                    </w:rPr>
                  </w:pPr>
                  <w:r>
                    <w:rPr>
                      <w:rFonts w:cs="Arial"/>
                    </w:rPr>
                    <w:t>-</w:t>
                  </w:r>
                </w:p>
                <w:p w:rsidR="00F04EEF" w:rsidRDefault="0099351E">
                  <w:pPr>
                    <w:jc w:val="both"/>
                    <w:rPr>
                      <w:rFonts w:cs="Arial"/>
                    </w:rPr>
                  </w:pPr>
                  <w:r>
                    <w:rPr>
                      <w:rFonts w:cs="Arial"/>
                    </w:rPr>
                    <w:t>-</w:t>
                  </w:r>
                </w:p>
                <w:p w:rsidR="00F04EEF" w:rsidRDefault="0099351E">
                  <w:pPr>
                    <w:jc w:val="both"/>
                    <w:rPr>
                      <w:rFonts w:cs="Arial"/>
                    </w:rPr>
                  </w:pPr>
                  <w:r>
                    <w:rPr>
                      <w:rFonts w:cs="Arial"/>
                    </w:rPr>
                    <w:t>-</w:t>
                  </w:r>
                </w:p>
                <w:p w:rsidR="00F04EEF" w:rsidRDefault="0099351E">
                  <w:pPr>
                    <w:jc w:val="both"/>
                    <w:rPr>
                      <w:rFonts w:cs="Arial"/>
                    </w:rPr>
                  </w:pPr>
                  <w:r>
                    <w:rPr>
                      <w:rFonts w:cs="Arial"/>
                    </w:rPr>
                    <w:t>-</w:t>
                  </w:r>
                </w:p>
                <w:p w:rsidR="00F04EEF" w:rsidRDefault="0099351E">
                  <w:pPr>
                    <w:jc w:val="both"/>
                    <w:rPr>
                      <w:rFonts w:cs="Arial"/>
                    </w:rPr>
                  </w:pPr>
                  <w:r>
                    <w:rPr>
                      <w:rFonts w:cs="Arial"/>
                    </w:rPr>
                    <w:t>-…. (Préciser calendrier et modalités)</w:t>
                  </w:r>
                </w:p>
                <w:p w:rsidR="00F04EEF" w:rsidRDefault="00F04EEF">
                  <w:pPr>
                    <w:jc w:val="both"/>
                    <w:rPr>
                      <w:rFonts w:cs="Arial"/>
                    </w:rPr>
                  </w:pPr>
                </w:p>
                <w:p w:rsidR="00F04EEF" w:rsidRDefault="0099351E">
                  <w:pPr>
                    <w:jc w:val="both"/>
                    <w:rPr>
                      <w:rFonts w:cs="Arial"/>
                    </w:rPr>
                  </w:pPr>
                  <w:r>
                    <w:rPr>
                      <w:rFonts w:cs="Arial"/>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rsidR="00F04EEF" w:rsidRDefault="00F04EEF"/>
                <w:p w:rsidR="00F04EEF" w:rsidRDefault="00F04EEF"/>
                <w:p w:rsidR="00F04EEF" w:rsidRDefault="00F04EEF"/>
                <w:p w:rsidR="00F04EEF" w:rsidRDefault="00F04EEF"/>
                <w:p w:rsidR="00F04EEF" w:rsidRDefault="00F04EEF"/>
                <w:p w:rsidR="00F04EEF" w:rsidRDefault="00F04EEF"/>
                <w:p w:rsidR="00F04EEF" w:rsidRDefault="0099351E">
                  <w:r>
                    <w:br w:type="page"/>
                  </w:r>
                </w:p>
                <w:bookmarkStart w:id="1349" w:name="_Annexe_24:_Inscription"/>
                <w:bookmarkStart w:id="1350" w:name="annexe23"/>
                <w:bookmarkStart w:id="1351" w:name="_Toc412204118"/>
                <w:bookmarkStart w:id="1352" w:name="_Toc414352925"/>
                <w:bookmarkStart w:id="1353" w:name="_Toc453836949"/>
                <w:bookmarkEnd w:id="1349"/>
                <w:p w:rsidR="00F04EEF" w:rsidRDefault="0099351E">
                  <w:pPr>
                    <w:pStyle w:val="Titre4"/>
                  </w:pPr>
                  <w:r>
                    <w:rPr>
                      <w:rFonts w:cs="Arial"/>
                      <w:noProof/>
                      <w:lang w:eastAsia="fr-BE"/>
                    </w:rPr>
                    <mc:AlternateContent>
                      <mc:Choice Requires="wps">
                        <w:drawing>
                          <wp:anchor distT="0" distB="0" distL="114300" distR="114300" simplePos="0" relativeHeight="252221440" behindDoc="0" locked="0" layoutInCell="1" allowOverlap="1">
                            <wp:simplePos x="0" y="0"/>
                            <wp:positionH relativeFrom="column">
                              <wp:posOffset>6734175</wp:posOffset>
                            </wp:positionH>
                            <wp:positionV relativeFrom="paragraph">
                              <wp:posOffset>29845</wp:posOffset>
                            </wp:positionV>
                            <wp:extent cx="0" cy="142875"/>
                            <wp:effectExtent l="0" t="0" r="19050" b="28575"/>
                            <wp:wrapNone/>
                            <wp:docPr id="512" name="Connecteur droit 512"/>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9F6734" id="Connecteur droit 512" o:spid="_x0000_s1026" style="position:absolute;z-index:252221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30.25pt,2.35pt" to="530.25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" strokecolor="black [3213]"/>
                        </w:pict>
                      </mc:Fallback>
                    </mc:AlternateContent>
                  </w:r>
                  <w:r>
                    <w:t xml:space="preserve">Annexe </w:t>
                  </w:r>
                  <w:bookmarkEnd w:id="1350"/>
                  <w:r>
                    <w:t xml:space="preserve">19: Inscription d’un élève à l’issue d’une prise en charge </w:t>
                  </w:r>
                  <w:bookmarkEnd w:id="1351"/>
                  <w:bookmarkEnd w:id="1352"/>
                  <w:bookmarkEnd w:id="1353"/>
                  <w:r>
                    <w:t>par un service d’accrochage scolaire (SAS)</w:t>
                  </w:r>
                </w:p>
                <w:p w:rsidR="00F04EEF" w:rsidRDefault="00F04EEF">
                  <w:pPr>
                    <w:pStyle w:val="Titre4"/>
                    <w:rPr>
                      <w:iCs/>
                    </w:rPr>
                  </w:pPr>
                </w:p>
                <w:p w:rsidR="00F04EEF" w:rsidRDefault="00F04EEF">
                  <w:pPr>
                    <w:tabs>
                      <w:tab w:val="left" w:pos="6096"/>
                    </w:tabs>
                    <w:ind w:right="-1"/>
                    <w:rPr>
                      <w:b/>
                      <w:bCs/>
                      <w:u w:val="single"/>
                    </w:rPr>
                  </w:pPr>
                </w:p>
                <w:p w:rsidR="00F04EEF" w:rsidRDefault="0099351E">
                  <w:pPr>
                    <w:tabs>
                      <w:tab w:val="left" w:pos="6096"/>
                    </w:tabs>
                    <w:ind w:right="-1"/>
                    <w:rPr>
                      <w:b/>
                      <w:bCs/>
                    </w:rPr>
                  </w:pPr>
                  <w:r>
                    <w:rPr>
                      <w:b/>
                      <w:bCs/>
                      <w:u w:val="single"/>
                    </w:rPr>
                    <w:t>Etablissement</w:t>
                  </w:r>
                  <w:r>
                    <w:rPr>
                      <w:b/>
                      <w:bCs/>
                    </w:rPr>
                    <w:t xml:space="preserve"> :</w:t>
                  </w:r>
                </w:p>
                <w:p w:rsidR="00F04EEF" w:rsidRDefault="00F04EEF">
                  <w:pPr>
                    <w:tabs>
                      <w:tab w:val="left" w:pos="1701"/>
                    </w:tabs>
                    <w:ind w:right="-1"/>
                    <w:rPr>
                      <w:u w:val="single"/>
                    </w:rPr>
                  </w:pPr>
                </w:p>
                <w:p w:rsidR="00F04EEF" w:rsidRDefault="0099351E">
                  <w:pPr>
                    <w:tabs>
                      <w:tab w:val="left" w:pos="1701"/>
                    </w:tabs>
                    <w:ind w:right="-1"/>
                    <w:rPr>
                      <w:bCs/>
                    </w:rPr>
                  </w:pPr>
                  <w:r>
                    <w:rPr>
                      <w:bCs/>
                    </w:rPr>
                    <w:t>DENOMINATION</w:t>
                  </w:r>
                  <w:r>
                    <w:rPr>
                      <w:bCs/>
                    </w:rPr>
                    <w:tab/>
                    <w:t>…………………………………………………………</w:t>
                  </w:r>
                </w:p>
                <w:p w:rsidR="00F04EEF" w:rsidRDefault="0099351E">
                  <w:pPr>
                    <w:tabs>
                      <w:tab w:val="left" w:pos="1701"/>
                    </w:tabs>
                    <w:ind w:right="-1"/>
                    <w:rPr>
                      <w:bCs/>
                    </w:rPr>
                  </w:pPr>
                  <w:r>
                    <w:rPr>
                      <w:bCs/>
                    </w:rPr>
                    <w:t>ADRESSE</w:t>
                  </w:r>
                  <w:r>
                    <w:rPr>
                      <w:bCs/>
                    </w:rPr>
                    <w:tab/>
                  </w:r>
                  <w:r>
                    <w:rPr>
                      <w:bCs/>
                    </w:rPr>
                    <w:tab/>
                    <w:t>…………………………………………………………</w:t>
                  </w:r>
                </w:p>
                <w:p w:rsidR="00F04EEF" w:rsidRDefault="0099351E">
                  <w:pPr>
                    <w:tabs>
                      <w:tab w:val="left" w:pos="1701"/>
                    </w:tabs>
                    <w:ind w:right="-1"/>
                  </w:pPr>
                  <w:r>
                    <w:rPr>
                      <w:bCs/>
                    </w:rPr>
                    <w:t>CP LOCALITE</w:t>
                  </w:r>
                  <w:r>
                    <w:rPr>
                      <w:bCs/>
                    </w:rPr>
                    <w:tab/>
                  </w:r>
                  <w:r>
                    <w:rPr>
                      <w:b/>
                    </w:rPr>
                    <w:tab/>
                  </w:r>
                  <w:r>
                    <w:t>………………………………………………………....</w:t>
                  </w:r>
                </w:p>
                <w:p w:rsidR="00F04EEF" w:rsidRDefault="0099351E">
                  <w:pPr>
                    <w:tabs>
                      <w:tab w:val="left" w:pos="1701"/>
                    </w:tabs>
                    <w:ind w:right="-1"/>
                  </w:pPr>
                  <w:r>
                    <w:t>TEL.</w:t>
                  </w:r>
                  <w:r>
                    <w:tab/>
                  </w:r>
                  <w:r>
                    <w:tab/>
                    <w:t>…………………………………………………………</w:t>
                  </w:r>
                </w:p>
                <w:p w:rsidR="00F04EEF" w:rsidRDefault="0099351E">
                  <w:pPr>
                    <w:tabs>
                      <w:tab w:val="left" w:pos="1701"/>
                    </w:tabs>
                    <w:ind w:right="-1"/>
                  </w:pPr>
                  <w:r>
                    <w:t>N° FASE</w:t>
                  </w:r>
                  <w:r>
                    <w:tab/>
                  </w:r>
                  <w:r>
                    <w:tab/>
                    <w:t>…………………………………………………………</w:t>
                  </w:r>
                </w:p>
                <w:p w:rsidR="00F04EEF" w:rsidRDefault="0099351E">
                  <w:pPr>
                    <w:tabs>
                      <w:tab w:val="left" w:pos="1701"/>
                    </w:tabs>
                    <w:ind w:right="-1"/>
                  </w:pPr>
                  <w:r>
                    <w:t>N° FASE DE L’IMPLANTATION …………………………………………</w:t>
                  </w:r>
                </w:p>
                <w:p w:rsidR="00F04EEF" w:rsidRDefault="00F04EEF">
                  <w:pPr>
                    <w:tabs>
                      <w:tab w:val="left" w:pos="2388"/>
                    </w:tabs>
                    <w:ind w:right="-1"/>
                  </w:pPr>
                </w:p>
                <w:p w:rsidR="00F04EEF" w:rsidRDefault="0099351E">
                  <w:pPr>
                    <w:tabs>
                      <w:tab w:val="left" w:pos="2388"/>
                    </w:tabs>
                    <w:ind w:right="-1"/>
                    <w:jc w:val="both"/>
                  </w:pPr>
                  <w:r>
                    <w:rPr>
                      <w:b/>
                      <w:bCs/>
                      <w:u w:val="single"/>
                    </w:rPr>
                    <w:t>Elève accueilli</w:t>
                  </w:r>
                  <w:r>
                    <w:t> :</w:t>
                  </w:r>
                </w:p>
                <w:p w:rsidR="00F04EEF" w:rsidRDefault="00F04EEF">
                  <w:pPr>
                    <w:tabs>
                      <w:tab w:val="left" w:pos="2388"/>
                    </w:tabs>
                    <w:ind w:right="-1"/>
                  </w:pPr>
                </w:p>
                <w:p w:rsidR="00F04EEF" w:rsidRDefault="0099351E">
                  <w:pPr>
                    <w:tabs>
                      <w:tab w:val="left" w:pos="2388"/>
                    </w:tabs>
                    <w:ind w:right="-1"/>
                  </w:pPr>
                  <w:r>
                    <w:t>NOM : ………………………………………………………………………………….</w:t>
                  </w:r>
                </w:p>
                <w:p w:rsidR="00F04EEF" w:rsidRDefault="0099351E">
                  <w:pPr>
                    <w:tabs>
                      <w:tab w:val="left" w:pos="2388"/>
                    </w:tabs>
                    <w:ind w:right="-1"/>
                  </w:pPr>
                  <w:r>
                    <w:t>PRENOM : …………………………………………………………………………….</w:t>
                  </w:r>
                </w:p>
                <w:p w:rsidR="00F04EEF" w:rsidRDefault="0099351E">
                  <w:pPr>
                    <w:pStyle w:val="Corpsdetexte"/>
                    <w:tabs>
                      <w:tab w:val="left" w:pos="5220"/>
                    </w:tabs>
                    <w:rPr>
                      <w:szCs w:val="22"/>
                    </w:rPr>
                  </w:pPr>
                  <w:r>
                    <w:rPr>
                      <w:szCs w:val="22"/>
                    </w:rPr>
                    <w:t xml:space="preserve">DATE DE NAISSANCE (JJ/MM/AA) :  </w:t>
                  </w:r>
                  <w:r>
                    <w:rPr>
                      <w:szCs w:val="22"/>
                    </w:rPr>
                    <w:sym w:font="Webdings" w:char="F063"/>
                  </w:r>
                  <w:r>
                    <w:rPr>
                      <w:szCs w:val="22"/>
                    </w:rPr>
                    <w:sym w:font="Webdings" w:char="F063"/>
                  </w:r>
                  <w:r>
                    <w:rPr>
                      <w:szCs w:val="22"/>
                    </w:rPr>
                    <w:sym w:font="Webdings" w:char="F063"/>
                  </w:r>
                  <w:r>
                    <w:rPr>
                      <w:szCs w:val="22"/>
                    </w:rPr>
                    <w:sym w:font="Webdings" w:char="F063"/>
                  </w:r>
                  <w:r>
                    <w:rPr>
                      <w:szCs w:val="22"/>
                    </w:rPr>
                    <w:sym w:font="Webdings" w:char="F063"/>
                  </w:r>
                  <w:r>
                    <w:rPr>
                      <w:szCs w:val="22"/>
                    </w:rPr>
                    <w:sym w:font="Webdings" w:char="F063"/>
                  </w:r>
                </w:p>
                <w:p w:rsidR="00F04EEF" w:rsidRDefault="0099351E">
                  <w:pPr>
                    <w:jc w:val="both"/>
                  </w:pPr>
                  <w:r>
                    <w:t>Année d’études : ……………………………………………....</w:t>
                  </w:r>
                </w:p>
                <w:p w:rsidR="00F04EEF" w:rsidRDefault="0099351E">
                  <w:pPr>
                    <w:jc w:val="both"/>
                  </w:pPr>
                  <w:r>
                    <w:t>Forme : 1-2-3-4 (Biffer les mentions inutiles)</w:t>
                  </w:r>
                </w:p>
                <w:p w:rsidR="00F04EEF" w:rsidRDefault="0099351E">
                  <w:pPr>
                    <w:tabs>
                      <w:tab w:val="left" w:pos="2388"/>
                    </w:tabs>
                    <w:ind w:right="-1"/>
                  </w:pPr>
                  <w:r>
                    <w:t xml:space="preserve">Inscrit depuis le (JJ/MM/AA) :  </w:t>
                  </w:r>
                  <w:r>
                    <w:sym w:font="Webdings" w:char="F063"/>
                  </w:r>
                  <w:r>
                    <w:sym w:font="Webdings" w:char="F063"/>
                  </w:r>
                  <w:r>
                    <w:sym w:font="Webdings" w:char="F063"/>
                  </w:r>
                  <w:r>
                    <w:sym w:font="Webdings" w:char="F063"/>
                  </w:r>
                  <w:r>
                    <w:sym w:font="Webdings" w:char="F063"/>
                  </w:r>
                  <w:r>
                    <w:sym w:font="Webdings" w:char="F063"/>
                  </w:r>
                </w:p>
                <w:p w:rsidR="00F04EEF" w:rsidRDefault="0099351E">
                  <w:pPr>
                    <w:tabs>
                      <w:tab w:val="left" w:pos="2388"/>
                    </w:tabs>
                    <w:ind w:right="-1"/>
                  </w:pPr>
                  <w:r>
                    <w:t xml:space="preserve">Date d’intégration/réintégration le (JJ/MM/AA) :  </w:t>
                  </w:r>
                  <w:r>
                    <w:sym w:font="Webdings" w:char="F063"/>
                  </w:r>
                  <w:r>
                    <w:sym w:font="Webdings" w:char="F063"/>
                  </w:r>
                  <w:r>
                    <w:sym w:font="Webdings" w:char="F063"/>
                  </w:r>
                  <w:r>
                    <w:sym w:font="Webdings" w:char="F063"/>
                  </w:r>
                  <w:r>
                    <w:sym w:font="Webdings" w:char="F063"/>
                  </w:r>
                  <w:r>
                    <w:sym w:font="Webdings" w:char="F063"/>
                  </w:r>
                </w:p>
                <w:p w:rsidR="00F04EEF" w:rsidRDefault="00F04EEF">
                  <w:pPr>
                    <w:tabs>
                      <w:tab w:val="left" w:pos="2388"/>
                    </w:tabs>
                    <w:ind w:right="-1"/>
                  </w:pPr>
                </w:p>
                <w:p w:rsidR="00F04EEF" w:rsidRDefault="0099351E">
                  <w:pPr>
                    <w:tabs>
                      <w:tab w:val="left" w:pos="2388"/>
                    </w:tabs>
                    <w:ind w:right="-1"/>
                    <w:rPr>
                      <w:b/>
                      <w:bCs/>
                      <w:u w:val="single"/>
                    </w:rPr>
                  </w:pPr>
                  <w:r>
                    <w:rPr>
                      <w:b/>
                      <w:bCs/>
                      <w:u w:val="single"/>
                    </w:rPr>
                    <w:t>Service d’accrochage scolaire :</w:t>
                  </w:r>
                </w:p>
                <w:p w:rsidR="00F04EEF" w:rsidRDefault="00F04EEF">
                  <w:pPr>
                    <w:tabs>
                      <w:tab w:val="left" w:pos="2388"/>
                    </w:tabs>
                    <w:ind w:right="-1"/>
                    <w:rPr>
                      <w:b/>
                      <w:bCs/>
                      <w:u w:val="single"/>
                    </w:rPr>
                  </w:pPr>
                </w:p>
                <w:p w:rsidR="00F04EEF" w:rsidRDefault="0099351E">
                  <w:pPr>
                    <w:tabs>
                      <w:tab w:val="left" w:pos="1701"/>
                    </w:tabs>
                    <w:ind w:right="-1"/>
                  </w:pPr>
                  <w:r>
                    <w:rPr>
                      <w:bCs/>
                    </w:rPr>
                    <w:t>DENOMINATION : ………………………………………………………………………………………</w:t>
                  </w:r>
                </w:p>
                <w:p w:rsidR="00F04EEF" w:rsidRDefault="00F04EEF">
                  <w:pPr>
                    <w:ind w:right="-1"/>
                  </w:pPr>
                </w:p>
                <w:p w:rsidR="00F04EEF" w:rsidRDefault="00F04EEF">
                  <w:pPr>
                    <w:ind w:right="-1"/>
                  </w:pPr>
                </w:p>
                <w:p w:rsidR="00F04EEF" w:rsidRDefault="0099351E">
                  <w:pPr>
                    <w:ind w:right="-1"/>
                  </w:pPr>
                  <w:r>
                    <w:t xml:space="preserve">Date : </w:t>
                  </w:r>
                  <w:r>
                    <w:tab/>
                  </w:r>
                  <w:r>
                    <w:tab/>
                  </w:r>
                  <w:r>
                    <w:tab/>
                  </w:r>
                  <w:r>
                    <w:tab/>
                    <w:t>NOM et prénom du (de la) Chef(fe) d’établissement :</w:t>
                  </w:r>
                </w:p>
                <w:p w:rsidR="00F04EEF" w:rsidRDefault="0099351E">
                  <w:pPr>
                    <w:ind w:right="-1" w:firstLine="708"/>
                  </w:pPr>
                  <w:r>
                    <w:t>Signature :</w:t>
                  </w:r>
                </w:p>
                <w:p w:rsidR="00F04EEF" w:rsidRDefault="00F04EEF">
                  <w:pPr>
                    <w:tabs>
                      <w:tab w:val="right" w:pos="9072"/>
                    </w:tabs>
                    <w:ind w:right="-1"/>
                    <w:rPr>
                      <w:b/>
                      <w:u w:val="single"/>
                    </w:rPr>
                  </w:pPr>
                </w:p>
                <w:p w:rsidR="00F04EEF" w:rsidRDefault="0099351E">
                  <w:pPr>
                    <w:tabs>
                      <w:tab w:val="right" w:pos="9072"/>
                    </w:tabs>
                    <w:ind w:right="-1"/>
                    <w:rPr>
                      <w:b/>
                      <w:u w:val="single"/>
                    </w:rPr>
                  </w:pPr>
                  <w:r>
                    <w:rPr>
                      <w:b/>
                      <w:u w:val="single"/>
                    </w:rPr>
                    <w:t>_____________________________________________________________</w:t>
                  </w:r>
                </w:p>
                <w:p w:rsidR="00F04EEF" w:rsidRDefault="00F04EEF">
                  <w:pPr>
                    <w:tabs>
                      <w:tab w:val="right" w:pos="9072"/>
                    </w:tabs>
                    <w:ind w:right="-1"/>
                    <w:rPr>
                      <w:b/>
                      <w:u w:val="single"/>
                    </w:rPr>
                  </w:pPr>
                </w:p>
                <w:p w:rsidR="00F04EEF" w:rsidRDefault="0099351E">
                  <w:bookmarkStart w:id="1354" w:name="_Toc324767254"/>
                  <w:bookmarkStart w:id="1355" w:name="_Toc324768112"/>
                  <w:r>
                    <w:t>PARTIE RESERVEE A L’ADMINISTRATION</w:t>
                  </w:r>
                  <w:bookmarkEnd w:id="1354"/>
                  <w:bookmarkEnd w:id="1355"/>
                </w:p>
                <w:p w:rsidR="00F04EEF" w:rsidRDefault="00F04EEF"/>
                <w:p w:rsidR="00F04EEF" w:rsidRDefault="0099351E">
                  <w:pPr>
                    <w:pBdr>
                      <w:top w:val="single" w:sz="4" w:space="1" w:color="auto"/>
                      <w:left w:val="single" w:sz="4" w:space="4" w:color="auto"/>
                      <w:bottom w:val="single" w:sz="4" w:space="1" w:color="auto"/>
                      <w:right w:val="single" w:sz="4" w:space="4" w:color="auto"/>
                    </w:pBdr>
                  </w:pPr>
                  <w:r>
                    <w:t>Visa de l’agent :</w:t>
                  </w:r>
                </w:p>
                <w:p w:rsidR="00F04EEF" w:rsidRDefault="00F04EEF">
                  <w:pPr>
                    <w:pBdr>
                      <w:top w:val="single" w:sz="4" w:space="1" w:color="auto"/>
                      <w:left w:val="single" w:sz="4" w:space="4" w:color="auto"/>
                      <w:bottom w:val="single" w:sz="4" w:space="1" w:color="auto"/>
                      <w:right w:val="single" w:sz="4" w:space="4" w:color="auto"/>
                    </w:pBdr>
                  </w:pPr>
                </w:p>
                <w:p w:rsidR="00F04EEF" w:rsidRDefault="00F04EEF">
                  <w:pPr>
                    <w:pBdr>
                      <w:top w:val="single" w:sz="4" w:space="1" w:color="auto"/>
                      <w:left w:val="single" w:sz="4" w:space="4" w:color="auto"/>
                      <w:bottom w:val="single" w:sz="4" w:space="1" w:color="auto"/>
                      <w:right w:val="single" w:sz="4" w:space="4" w:color="auto"/>
                    </w:pBdr>
                  </w:pPr>
                </w:p>
                <w:p w:rsidR="00F04EEF" w:rsidRDefault="0099351E">
                  <w:pPr>
                    <w:pBdr>
                      <w:top w:val="single" w:sz="4" w:space="1" w:color="auto"/>
                      <w:left w:val="single" w:sz="4" w:space="4" w:color="auto"/>
                      <w:bottom w:val="single" w:sz="4" w:space="1" w:color="auto"/>
                      <w:right w:val="single" w:sz="4" w:space="4" w:color="auto"/>
                    </w:pBdr>
                  </w:pPr>
                  <w:r>
                    <w:t>Le (La) Directeur(trice),</w:t>
                  </w:r>
                  <w:r>
                    <w:tab/>
                  </w:r>
                  <w:r>
                    <w:tab/>
                  </w:r>
                  <w:r>
                    <w:tab/>
                  </w:r>
                  <w:r>
                    <w:tab/>
                  </w:r>
                  <w:r>
                    <w:tab/>
                  </w:r>
                  <w:r>
                    <w:tab/>
                  </w:r>
                  <w:r>
                    <w:tab/>
                  </w:r>
                  <w:r>
                    <w:tab/>
                    <w:t>Date : ….../….../……..</w:t>
                  </w:r>
                </w:p>
                <w:p w:rsidR="00F04EEF" w:rsidRDefault="00F04EEF">
                  <w:pPr>
                    <w:pBdr>
                      <w:top w:val="single" w:sz="4" w:space="1" w:color="auto"/>
                      <w:left w:val="single" w:sz="4" w:space="4" w:color="auto"/>
                      <w:bottom w:val="single" w:sz="4" w:space="1" w:color="auto"/>
                      <w:right w:val="single" w:sz="4" w:space="4" w:color="auto"/>
                    </w:pBdr>
                  </w:pPr>
                </w:p>
                <w:p w:rsidR="00F04EEF" w:rsidRDefault="00F04EEF">
                  <w:pPr>
                    <w:pBdr>
                      <w:top w:val="single" w:sz="4" w:space="1" w:color="auto"/>
                      <w:left w:val="single" w:sz="4" w:space="4" w:color="auto"/>
                      <w:bottom w:val="single" w:sz="4" w:space="1" w:color="auto"/>
                      <w:right w:val="single" w:sz="4" w:space="4" w:color="auto"/>
                    </w:pBdr>
                  </w:pPr>
                </w:p>
                <w:p w:rsidR="00F04EEF" w:rsidRDefault="00F04EEF"/>
                <w:p w:rsidR="00F04EEF" w:rsidRDefault="00F04EEF"/>
                <w:p w:rsidR="00F04EEF" w:rsidRDefault="00F04EEF"/>
                <w:p w:rsidR="00F04EEF" w:rsidRDefault="00F04EEF"/>
                <w:p w:rsidR="00F04EEF" w:rsidRDefault="00F04EEF"/>
                <w:p w:rsidR="00F04EEF" w:rsidRDefault="0099351E">
                  <w:r>
                    <w:br w:type="page"/>
                  </w:r>
                </w:p>
                <w:p w:rsidR="00F04EEF" w:rsidRDefault="0099351E">
                  <w:pPr>
                    <w:pStyle w:val="Titre4"/>
                  </w:pPr>
                  <w:r>
                    <w:t>Annexe 20 : Circulaire 6946</w:t>
                  </w:r>
                </w:p>
                <w:tbl>
                  <w:tblPr>
                    <w:tblStyle w:val="TableNormal"/>
                    <w:tblpPr w:leftFromText="141" w:rightFromText="141" w:vertAnchor="page" w:horzAnchor="margin" w:tblpY="1606"/>
                    <w:tblW w:w="0" w:type="auto"/>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2120"/>
                    <w:gridCol w:w="8088"/>
                  </w:tblGrid>
                  <w:tr w:rsidR="00F04EEF">
                    <w:trPr>
                      <w:trHeight w:val="2151"/>
                    </w:trPr>
                    <w:tc>
                      <w:tcPr>
                        <w:tcW w:w="2120" w:type="dxa"/>
                        <w:tcBorders>
                          <w:right w:val="nil"/>
                        </w:tcBorders>
                      </w:tcPr>
                      <w:p w:rsidR="00F04EEF" w:rsidRDefault="00F04EEF">
                        <w:pPr>
                          <w:pStyle w:val="TableParagraph"/>
                          <w:rPr>
                            <w:rFonts w:ascii="Times New Roman"/>
                            <w:sz w:val="20"/>
                          </w:rPr>
                        </w:pPr>
                      </w:p>
                      <w:p w:rsidR="00F04EEF" w:rsidRDefault="00F04EEF">
                        <w:pPr>
                          <w:pStyle w:val="TableParagraph"/>
                          <w:spacing w:before="5"/>
                          <w:rPr>
                            <w:rFonts w:ascii="Times New Roman"/>
                            <w:sz w:val="16"/>
                          </w:rPr>
                        </w:pPr>
                      </w:p>
                      <w:p w:rsidR="00F04EEF" w:rsidRDefault="0099351E">
                        <w:pPr>
                          <w:pStyle w:val="TableParagraph"/>
                          <w:ind w:left="364"/>
                          <w:rPr>
                            <w:rFonts w:ascii="Times New Roman"/>
                            <w:sz w:val="20"/>
                          </w:rPr>
                        </w:pPr>
                        <w:r>
                          <w:rPr>
                            <w:rFonts w:ascii="Times New Roman"/>
                            <w:noProof/>
                            <w:sz w:val="20"/>
                            <w:lang w:val="fr-BE" w:eastAsia="fr-BE" w:bidi="ar-SA"/>
                          </w:rPr>
                          <w:drawing>
                            <wp:inline distT="0" distB="0" distL="0" distR="0">
                              <wp:extent cx="950458" cy="918972"/>
                              <wp:effectExtent l="0" t="0" r="0" b="0"/>
                              <wp:docPr id="494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17" cstate="print"/>
                                      <a:stretch>
                                        <a:fillRect/>
                                      </a:stretch>
                                    </pic:blipFill>
                                    <pic:spPr>
                                      <a:xfrm>
                                        <a:off x="0" y="0"/>
                                        <a:ext cx="950458" cy="918972"/>
                                      </a:xfrm>
                                      <a:prstGeom prst="rect">
                                        <a:avLst/>
                                      </a:prstGeom>
                                    </pic:spPr>
                                  </pic:pic>
                                </a:graphicData>
                              </a:graphic>
                            </wp:inline>
                          </w:drawing>
                        </w:r>
                      </w:p>
                    </w:tc>
                    <w:tc>
                      <w:tcPr>
                        <w:tcW w:w="8088" w:type="dxa"/>
                        <w:tcBorders>
                          <w:left w:val="nil"/>
                        </w:tcBorders>
                      </w:tcPr>
                      <w:p w:rsidR="00F04EEF" w:rsidRDefault="00F04EEF">
                        <w:pPr>
                          <w:pStyle w:val="TableParagraph"/>
                          <w:spacing w:before="5"/>
                          <w:rPr>
                            <w:rFonts w:ascii="Times New Roman"/>
                            <w:sz w:val="25"/>
                          </w:rPr>
                        </w:pPr>
                      </w:p>
                      <w:p w:rsidR="00F04EEF" w:rsidRDefault="0099351E">
                        <w:pPr>
                          <w:pStyle w:val="TableParagraph"/>
                          <w:tabs>
                            <w:tab w:val="left" w:pos="5789"/>
                          </w:tabs>
                          <w:ind w:left="40"/>
                          <w:rPr>
                            <w:b/>
                            <w:sz w:val="24"/>
                          </w:rPr>
                        </w:pPr>
                        <w:bookmarkStart w:id="1356" w:name="_bookmark0"/>
                        <w:bookmarkStart w:id="1357" w:name="Circulaire_6946_p1"/>
                        <w:bookmarkEnd w:id="1356"/>
                        <w:bookmarkEnd w:id="1357"/>
                        <w:r>
                          <w:rPr>
                            <w:b/>
                            <w:color w:val="000009"/>
                            <w:sz w:val="24"/>
                          </w:rPr>
                          <w:t>Circulaire</w:t>
                        </w:r>
                        <w:r>
                          <w:rPr>
                            <w:b/>
                            <w:color w:val="000009"/>
                            <w:spacing w:val="-4"/>
                            <w:sz w:val="24"/>
                          </w:rPr>
                          <w:t xml:space="preserve"> </w:t>
                        </w:r>
                        <w:r>
                          <w:rPr>
                            <w:b/>
                            <w:color w:val="000009"/>
                            <w:sz w:val="24"/>
                          </w:rPr>
                          <w:t>6946</w:t>
                        </w:r>
                        <w:r>
                          <w:rPr>
                            <w:b/>
                            <w:color w:val="000009"/>
                            <w:sz w:val="24"/>
                          </w:rPr>
                          <w:tab/>
                        </w:r>
                        <w:r>
                          <w:rPr>
                            <w:b/>
                            <w:sz w:val="24"/>
                          </w:rPr>
                          <w:t>du</w:t>
                        </w:r>
                        <w:r>
                          <w:rPr>
                            <w:b/>
                            <w:spacing w:val="-3"/>
                            <w:sz w:val="24"/>
                          </w:rPr>
                          <w:t xml:space="preserve"> </w:t>
                        </w:r>
                        <w:r>
                          <w:rPr>
                            <w:b/>
                            <w:sz w:val="24"/>
                          </w:rPr>
                          <w:t>17/01/2019</w:t>
                        </w:r>
                      </w:p>
                      <w:p w:rsidR="00F04EEF" w:rsidRDefault="00F04EEF">
                        <w:pPr>
                          <w:pStyle w:val="TableParagraph"/>
                          <w:spacing w:before="4"/>
                          <w:rPr>
                            <w:rFonts w:ascii="Times New Roman"/>
                            <w:sz w:val="25"/>
                          </w:rPr>
                        </w:pPr>
                      </w:p>
                      <w:p w:rsidR="00F04EEF" w:rsidRDefault="0099351E">
                        <w:pPr>
                          <w:pStyle w:val="TableParagraph"/>
                          <w:spacing w:line="291" w:lineRule="exact"/>
                          <w:ind w:left="40"/>
                          <w:rPr>
                            <w:sz w:val="24"/>
                          </w:rPr>
                        </w:pPr>
                        <w:r>
                          <w:rPr>
                            <w:sz w:val="24"/>
                          </w:rPr>
                          <w:t>«Création d’un fichier global regroupant les demandes</w:t>
                        </w:r>
                      </w:p>
                      <w:p w:rsidR="00F04EEF" w:rsidRDefault="0099351E">
                        <w:pPr>
                          <w:pStyle w:val="TableParagraph"/>
                          <w:spacing w:line="291" w:lineRule="exact"/>
                          <w:ind w:left="40"/>
                          <w:rPr>
                            <w:sz w:val="24"/>
                          </w:rPr>
                        </w:pPr>
                        <w:r>
                          <w:rPr>
                            <w:sz w:val="24"/>
                          </w:rPr>
                          <w:t>d’inscription non rencontrées dans l’enseignement spécialisé.»</w:t>
                        </w:r>
                      </w:p>
                    </w:tc>
                  </w:tr>
                </w:tbl>
                <w:p w:rsidR="00F04EEF" w:rsidRDefault="0099351E">
                  <w:pPr>
                    <w:rPr>
                      <w:color w:val="A6A6A6" w:themeColor="background1" w:themeShade="A6"/>
                    </w:rPr>
                  </w:pPr>
                  <w:r>
                    <w:rPr>
                      <w:color w:val="A6A6A6" w:themeColor="background1" w:themeShade="A6"/>
                    </w:rPr>
                    <w:t>La</w:t>
                  </w:r>
                  <w:r>
                    <w:t xml:space="preserve"> </w:t>
                  </w:r>
                  <w:r>
                    <w:rPr>
                      <w:color w:val="A6A6A6" w:themeColor="background1" w:themeShade="A6"/>
                    </w:rPr>
                    <w:t xml:space="preserve"> « Fédération Wallonie-Bruxelles » est l’appellation désignant usuellement la « Communauté française » visée à l’article 2 de la Constitution.</w:t>
                  </w:r>
                </w:p>
                <w:p w:rsidR="00F04EEF" w:rsidRDefault="00F04EEF">
                  <w:pPr>
                    <w:pStyle w:val="Corpsdetexte"/>
                  </w:pPr>
                </w:p>
                <w:tbl>
                  <w:tblPr>
                    <w:tblStyle w:val="TableNormal"/>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3"/>
                    <w:gridCol w:w="7546"/>
                  </w:tblGrid>
                  <w:tr w:rsidR="00F04EEF">
                    <w:trPr>
                      <w:trHeight w:val="244"/>
                    </w:trPr>
                    <w:tc>
                      <w:tcPr>
                        <w:tcW w:w="2663" w:type="dxa"/>
                        <w:tcBorders>
                          <w:bottom w:val="dotted" w:sz="4" w:space="0" w:color="000000"/>
                          <w:right w:val="nil"/>
                        </w:tcBorders>
                      </w:tcPr>
                      <w:p w:rsidR="00F04EEF" w:rsidRDefault="0099351E">
                        <w:pPr>
                          <w:pStyle w:val="TableParagraph"/>
                          <w:spacing w:line="222" w:lineRule="exact"/>
                          <w:ind w:left="107"/>
                          <w:rPr>
                            <w:sz w:val="20"/>
                          </w:rPr>
                        </w:pPr>
                        <w:r>
                          <w:rPr>
                            <w:color w:val="000009"/>
                            <w:sz w:val="20"/>
                          </w:rPr>
                          <w:t>Type de circulaire</w:t>
                        </w:r>
                      </w:p>
                    </w:tc>
                    <w:tc>
                      <w:tcPr>
                        <w:tcW w:w="7546" w:type="dxa"/>
                        <w:tcBorders>
                          <w:left w:val="nil"/>
                          <w:bottom w:val="dotted" w:sz="4" w:space="0" w:color="000000"/>
                        </w:tcBorders>
                      </w:tcPr>
                      <w:p w:rsidR="00F04EEF" w:rsidRDefault="0099351E">
                        <w:pPr>
                          <w:pStyle w:val="TableParagraph"/>
                          <w:spacing w:line="222" w:lineRule="exact"/>
                          <w:ind w:left="284"/>
                          <w:rPr>
                            <w:sz w:val="20"/>
                          </w:rPr>
                        </w:pPr>
                        <w:r>
                          <w:rPr>
                            <w:sz w:val="20"/>
                          </w:rPr>
                          <w:t>circulaire informative</w:t>
                        </w:r>
                      </w:p>
                    </w:tc>
                  </w:tr>
                  <w:tr w:rsidR="00F04EEF">
                    <w:trPr>
                      <w:trHeight w:val="242"/>
                    </w:trPr>
                    <w:tc>
                      <w:tcPr>
                        <w:tcW w:w="2663" w:type="dxa"/>
                        <w:tcBorders>
                          <w:top w:val="dotted" w:sz="4" w:space="0" w:color="000000"/>
                          <w:bottom w:val="dotted" w:sz="4" w:space="0" w:color="000000"/>
                          <w:right w:val="nil"/>
                        </w:tcBorders>
                      </w:tcPr>
                      <w:p w:rsidR="00F04EEF" w:rsidRDefault="0099351E">
                        <w:pPr>
                          <w:pStyle w:val="TableParagraph"/>
                          <w:spacing w:line="222" w:lineRule="exact"/>
                          <w:ind w:left="107"/>
                          <w:rPr>
                            <w:sz w:val="20"/>
                          </w:rPr>
                        </w:pPr>
                        <w:r>
                          <w:rPr>
                            <w:color w:val="000009"/>
                            <w:sz w:val="20"/>
                          </w:rPr>
                          <w:t>Validité</w:t>
                        </w:r>
                      </w:p>
                    </w:tc>
                    <w:tc>
                      <w:tcPr>
                        <w:tcW w:w="7546" w:type="dxa"/>
                        <w:tcBorders>
                          <w:top w:val="dotted" w:sz="4" w:space="0" w:color="000000"/>
                          <w:left w:val="nil"/>
                          <w:bottom w:val="dotted" w:sz="4" w:space="0" w:color="000000"/>
                        </w:tcBorders>
                      </w:tcPr>
                      <w:p w:rsidR="00F04EEF" w:rsidRDefault="0099351E">
                        <w:pPr>
                          <w:pStyle w:val="TableParagraph"/>
                          <w:spacing w:line="222" w:lineRule="exact"/>
                          <w:ind w:left="284"/>
                          <w:rPr>
                            <w:sz w:val="20"/>
                          </w:rPr>
                        </w:pPr>
                        <w:r>
                          <w:rPr>
                            <w:color w:val="000009"/>
                            <w:sz w:val="20"/>
                          </w:rPr>
                          <w:t xml:space="preserve">à partir du </w:t>
                        </w:r>
                        <w:r>
                          <w:rPr>
                            <w:sz w:val="20"/>
                          </w:rPr>
                          <w:t>15/01/2019</w:t>
                        </w:r>
                      </w:p>
                    </w:tc>
                  </w:tr>
                  <w:tr w:rsidR="00F04EEF">
                    <w:trPr>
                      <w:trHeight w:val="244"/>
                    </w:trPr>
                    <w:tc>
                      <w:tcPr>
                        <w:tcW w:w="2663" w:type="dxa"/>
                        <w:tcBorders>
                          <w:top w:val="dotted" w:sz="4" w:space="0" w:color="000000"/>
                          <w:right w:val="nil"/>
                        </w:tcBorders>
                      </w:tcPr>
                      <w:p w:rsidR="00F04EEF" w:rsidRDefault="0099351E">
                        <w:pPr>
                          <w:pStyle w:val="TableParagraph"/>
                          <w:spacing w:line="222" w:lineRule="exact"/>
                          <w:ind w:left="107"/>
                          <w:rPr>
                            <w:sz w:val="20"/>
                          </w:rPr>
                        </w:pPr>
                        <w:r>
                          <w:rPr>
                            <w:color w:val="000009"/>
                            <w:sz w:val="20"/>
                          </w:rPr>
                          <w:t>Documents à renvoyer</w:t>
                        </w:r>
                      </w:p>
                    </w:tc>
                    <w:tc>
                      <w:tcPr>
                        <w:tcW w:w="7546" w:type="dxa"/>
                        <w:tcBorders>
                          <w:top w:val="dotted" w:sz="4" w:space="0" w:color="000000"/>
                          <w:left w:val="nil"/>
                        </w:tcBorders>
                      </w:tcPr>
                      <w:p w:rsidR="00F04EEF" w:rsidRDefault="0099351E">
                        <w:pPr>
                          <w:pStyle w:val="TableParagraph"/>
                          <w:spacing w:line="222" w:lineRule="exact"/>
                          <w:ind w:left="284"/>
                          <w:rPr>
                            <w:sz w:val="20"/>
                          </w:rPr>
                        </w:pPr>
                        <w:r>
                          <w:rPr>
                            <w:sz w:val="20"/>
                          </w:rPr>
                          <w:t>oui, voir contenu de la circulaire</w:t>
                        </w:r>
                      </w:p>
                    </w:tc>
                  </w:tr>
                  <w:tr w:rsidR="00F04EEF">
                    <w:trPr>
                      <w:trHeight w:val="241"/>
                    </w:trPr>
                    <w:tc>
                      <w:tcPr>
                        <w:tcW w:w="10209" w:type="dxa"/>
                        <w:gridSpan w:val="2"/>
                        <w:tcBorders>
                          <w:left w:val="nil"/>
                          <w:right w:val="nil"/>
                        </w:tcBorders>
                      </w:tcPr>
                      <w:p w:rsidR="00F04EEF" w:rsidRDefault="00F04EEF">
                        <w:pPr>
                          <w:pStyle w:val="TableParagraph"/>
                          <w:rPr>
                            <w:rFonts w:ascii="Times New Roman"/>
                            <w:sz w:val="16"/>
                          </w:rPr>
                        </w:pPr>
                      </w:p>
                    </w:tc>
                  </w:tr>
                  <w:tr w:rsidR="00F04EEF">
                    <w:trPr>
                      <w:trHeight w:val="974"/>
                    </w:trPr>
                    <w:tc>
                      <w:tcPr>
                        <w:tcW w:w="2663" w:type="dxa"/>
                        <w:tcBorders>
                          <w:right w:val="nil"/>
                        </w:tcBorders>
                      </w:tcPr>
                      <w:p w:rsidR="00F04EEF" w:rsidRDefault="0099351E">
                        <w:pPr>
                          <w:pStyle w:val="TableParagraph"/>
                          <w:ind w:left="107"/>
                          <w:rPr>
                            <w:sz w:val="20"/>
                          </w:rPr>
                        </w:pPr>
                        <w:r>
                          <w:rPr>
                            <w:color w:val="000009"/>
                            <w:sz w:val="20"/>
                          </w:rPr>
                          <w:t>Information succincte</w:t>
                        </w:r>
                      </w:p>
                    </w:tc>
                    <w:tc>
                      <w:tcPr>
                        <w:tcW w:w="7546" w:type="dxa"/>
                        <w:tcBorders>
                          <w:left w:val="nil"/>
                        </w:tcBorders>
                      </w:tcPr>
                      <w:p w:rsidR="00F04EEF" w:rsidRDefault="0099351E">
                        <w:pPr>
                          <w:pStyle w:val="TableParagraph"/>
                          <w:ind w:left="284"/>
                          <w:rPr>
                            <w:sz w:val="20"/>
                          </w:rPr>
                        </w:pPr>
                        <w:r>
                          <w:rPr>
                            <w:sz w:val="20"/>
                          </w:rPr>
                          <w:t>Afin de disposer de données probantes quant au nombre de places</w:t>
                        </w:r>
                      </w:p>
                      <w:p w:rsidR="00F04EEF" w:rsidRDefault="0099351E">
                        <w:pPr>
                          <w:pStyle w:val="TableParagraph"/>
                          <w:spacing w:line="242" w:lineRule="exact"/>
                          <w:ind w:left="284"/>
                          <w:rPr>
                            <w:sz w:val="20"/>
                          </w:rPr>
                        </w:pPr>
                        <w:r>
                          <w:rPr>
                            <w:sz w:val="20"/>
                          </w:rPr>
                          <w:t>manquantes pour les élèves à besoins spécifiques dans l’enseignement spécialisé, il a été décidé de créer un fichier global qui centralisera toutes les demandes d’inscriptions non rencontrées.</w:t>
                        </w:r>
                      </w:p>
                    </w:tc>
                  </w:tr>
                  <w:tr w:rsidR="00F04EEF">
                    <w:trPr>
                      <w:trHeight w:val="238"/>
                    </w:trPr>
                    <w:tc>
                      <w:tcPr>
                        <w:tcW w:w="10209" w:type="dxa"/>
                        <w:gridSpan w:val="2"/>
                        <w:tcBorders>
                          <w:left w:val="nil"/>
                          <w:right w:val="nil"/>
                        </w:tcBorders>
                      </w:tcPr>
                      <w:p w:rsidR="00F04EEF" w:rsidRDefault="00F04EEF">
                        <w:pPr>
                          <w:pStyle w:val="TableParagraph"/>
                          <w:rPr>
                            <w:rFonts w:ascii="Times New Roman"/>
                            <w:sz w:val="16"/>
                          </w:rPr>
                        </w:pPr>
                      </w:p>
                    </w:tc>
                  </w:tr>
                  <w:tr w:rsidR="00F04EEF">
                    <w:trPr>
                      <w:trHeight w:val="244"/>
                    </w:trPr>
                    <w:tc>
                      <w:tcPr>
                        <w:tcW w:w="2663" w:type="dxa"/>
                        <w:tcBorders>
                          <w:right w:val="nil"/>
                        </w:tcBorders>
                      </w:tcPr>
                      <w:p w:rsidR="00F04EEF" w:rsidRDefault="0099351E">
                        <w:pPr>
                          <w:pStyle w:val="TableParagraph"/>
                          <w:spacing w:line="224" w:lineRule="exact"/>
                          <w:ind w:left="107"/>
                          <w:rPr>
                            <w:sz w:val="20"/>
                          </w:rPr>
                        </w:pPr>
                        <w:r>
                          <w:rPr>
                            <w:color w:val="000009"/>
                            <w:sz w:val="20"/>
                          </w:rPr>
                          <w:t>Mots-clés</w:t>
                        </w:r>
                      </w:p>
                    </w:tc>
                    <w:tc>
                      <w:tcPr>
                        <w:tcW w:w="7546" w:type="dxa"/>
                        <w:tcBorders>
                          <w:left w:val="nil"/>
                        </w:tcBorders>
                      </w:tcPr>
                      <w:p w:rsidR="00F04EEF" w:rsidRDefault="0099351E">
                        <w:pPr>
                          <w:pStyle w:val="TableParagraph"/>
                          <w:spacing w:line="224" w:lineRule="exact"/>
                          <w:ind w:left="284"/>
                          <w:rPr>
                            <w:sz w:val="20"/>
                          </w:rPr>
                        </w:pPr>
                        <w:r>
                          <w:rPr>
                            <w:sz w:val="20"/>
                          </w:rPr>
                          <w:t>inscription manque de place fichier central</w:t>
                        </w:r>
                      </w:p>
                    </w:tc>
                  </w:tr>
                </w:tbl>
                <w:p w:rsidR="00F04EEF" w:rsidRDefault="00F04EEF">
                  <w:pPr>
                    <w:pStyle w:val="Corpsdetexte"/>
                  </w:pPr>
                </w:p>
                <w:p w:rsidR="00F04EEF" w:rsidRDefault="0099351E">
                  <w:pPr>
                    <w:ind w:left="709"/>
                    <w:rPr>
                      <w:b/>
                    </w:rPr>
                  </w:pPr>
                  <w:r>
                    <w:rPr>
                      <w:b/>
                    </w:rPr>
                    <w:t>Etablissements et pouvoirs organisateurs concernés</w:t>
                  </w:r>
                </w:p>
                <w:p w:rsidR="00F04EEF" w:rsidRDefault="00F04EEF">
                  <w:pPr>
                    <w:pStyle w:val="Corpsdetexte"/>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28"/>
                    <w:gridCol w:w="3532"/>
                    <w:gridCol w:w="3841"/>
                  </w:tblGrid>
                  <w:tr w:rsidR="00F04EEF">
                    <w:trPr>
                      <w:trHeight w:val="193"/>
                    </w:trPr>
                    <w:tc>
                      <w:tcPr>
                        <w:tcW w:w="2828" w:type="dxa"/>
                        <w:shd w:val="clear" w:color="auto" w:fill="D9D9D9"/>
                      </w:tcPr>
                      <w:p w:rsidR="00F04EEF" w:rsidRDefault="0099351E">
                        <w:pPr>
                          <w:pStyle w:val="TableParagraph"/>
                          <w:spacing w:before="2" w:line="172" w:lineRule="exact"/>
                          <w:ind w:left="107"/>
                          <w:rPr>
                            <w:b/>
                            <w:sz w:val="16"/>
                          </w:rPr>
                        </w:pPr>
                        <w:r>
                          <w:rPr>
                            <w:b/>
                            <w:color w:val="000009"/>
                            <w:sz w:val="16"/>
                          </w:rPr>
                          <w:t>Réseaux d’enseignement</w:t>
                        </w:r>
                      </w:p>
                    </w:tc>
                    <w:tc>
                      <w:tcPr>
                        <w:tcW w:w="7373" w:type="dxa"/>
                        <w:gridSpan w:val="2"/>
                        <w:shd w:val="clear" w:color="auto" w:fill="D9D9D9"/>
                      </w:tcPr>
                      <w:p w:rsidR="00F04EEF" w:rsidRDefault="0099351E">
                        <w:pPr>
                          <w:pStyle w:val="TableParagraph"/>
                          <w:spacing w:before="2" w:line="172" w:lineRule="exact"/>
                          <w:ind w:left="105"/>
                          <w:rPr>
                            <w:b/>
                            <w:sz w:val="16"/>
                          </w:rPr>
                        </w:pPr>
                        <w:r>
                          <w:rPr>
                            <w:b/>
                            <w:color w:val="000009"/>
                            <w:sz w:val="16"/>
                          </w:rPr>
                          <w:t>Unités d’enseignement</w:t>
                        </w:r>
                      </w:p>
                    </w:tc>
                  </w:tr>
                  <w:tr w:rsidR="00F04EEF">
                    <w:trPr>
                      <w:trHeight w:val="1749"/>
                    </w:trPr>
                    <w:tc>
                      <w:tcPr>
                        <w:tcW w:w="2828" w:type="dxa"/>
                      </w:tcPr>
                      <w:p w:rsidR="00F04EEF" w:rsidRDefault="00F04EEF">
                        <w:pPr>
                          <w:pStyle w:val="TableParagraph"/>
                          <w:jc w:val="both"/>
                          <w:rPr>
                            <w:b/>
                            <w:sz w:val="16"/>
                          </w:rPr>
                        </w:pPr>
                      </w:p>
                      <w:p w:rsidR="00F04EEF" w:rsidRDefault="0099351E">
                        <w:pPr>
                          <w:pStyle w:val="TableParagraph"/>
                          <w:ind w:left="304" w:right="1080" w:hanging="284"/>
                          <w:jc w:val="both"/>
                          <w:rPr>
                            <w:b/>
                            <w:sz w:val="16"/>
                          </w:rPr>
                        </w:pPr>
                        <w:r>
                          <w:rPr>
                            <w:b/>
                            <w:sz w:val="16"/>
                          </w:rPr>
                          <w:t>Wallonie-Bruxelles Enseignement</w:t>
                        </w:r>
                      </w:p>
                      <w:p w:rsidR="00F04EEF" w:rsidRDefault="0099351E">
                        <w:pPr>
                          <w:pStyle w:val="TableParagraph"/>
                          <w:spacing w:line="390" w:lineRule="atLeast"/>
                          <w:ind w:left="21" w:right="465"/>
                          <w:jc w:val="both"/>
                          <w:rPr>
                            <w:b/>
                            <w:sz w:val="16"/>
                          </w:rPr>
                        </w:pPr>
                        <w:r>
                          <w:rPr>
                            <w:b/>
                            <w:color w:val="000009"/>
                            <w:sz w:val="16"/>
                          </w:rPr>
                          <w:t>Ens. officiel subventionné Ens. libre subventionné</w:t>
                        </w:r>
                      </w:p>
                      <w:p w:rsidR="00F04EEF" w:rsidRDefault="0099351E">
                        <w:pPr>
                          <w:pStyle w:val="TableParagraph"/>
                          <w:spacing w:line="194" w:lineRule="exact"/>
                          <w:ind w:left="21" w:right="885"/>
                          <w:jc w:val="both"/>
                          <w:rPr>
                            <w:sz w:val="16"/>
                          </w:rPr>
                        </w:pPr>
                        <w:r>
                          <w:rPr>
                            <w:color w:val="000009"/>
                            <w:sz w:val="16"/>
                          </w:rPr>
                          <w:t>Libre confessionnel Libre non confessionnel</w:t>
                        </w:r>
                      </w:p>
                    </w:tc>
                    <w:tc>
                      <w:tcPr>
                        <w:tcW w:w="3532" w:type="dxa"/>
                        <w:tcBorders>
                          <w:right w:val="nil"/>
                        </w:tcBorders>
                      </w:tcPr>
                      <w:p w:rsidR="00F04EEF" w:rsidRDefault="00F04EEF">
                        <w:pPr>
                          <w:pStyle w:val="TableParagraph"/>
                          <w:jc w:val="both"/>
                          <w:rPr>
                            <w:b/>
                            <w:sz w:val="16"/>
                          </w:rPr>
                        </w:pPr>
                      </w:p>
                      <w:p w:rsidR="00F04EEF" w:rsidRDefault="0099351E">
                        <w:pPr>
                          <w:pStyle w:val="TableParagraph"/>
                          <w:ind w:left="105" w:right="1687"/>
                          <w:jc w:val="both"/>
                          <w:rPr>
                            <w:sz w:val="16"/>
                          </w:rPr>
                        </w:pPr>
                        <w:r>
                          <w:rPr>
                            <w:color w:val="000009"/>
                            <w:sz w:val="16"/>
                          </w:rPr>
                          <w:t>Maternel spécialisé Primaire spécialisé Secondaire spécialisé</w:t>
                        </w:r>
                      </w:p>
                      <w:p w:rsidR="00F04EEF" w:rsidRDefault="00F04EEF">
                        <w:pPr>
                          <w:pStyle w:val="TableParagraph"/>
                          <w:jc w:val="both"/>
                          <w:rPr>
                            <w:b/>
                            <w:sz w:val="15"/>
                          </w:rPr>
                        </w:pPr>
                      </w:p>
                      <w:p w:rsidR="00F04EEF" w:rsidRDefault="0099351E">
                        <w:pPr>
                          <w:pStyle w:val="TableParagraph"/>
                          <w:ind w:left="105"/>
                          <w:jc w:val="both"/>
                          <w:rPr>
                            <w:sz w:val="16"/>
                          </w:rPr>
                        </w:pPr>
                        <w:r>
                          <w:rPr>
                            <w:color w:val="000009"/>
                            <w:sz w:val="16"/>
                          </w:rPr>
                          <w:t>Promotion sociale secondaire spécialisé</w:t>
                        </w:r>
                      </w:p>
                    </w:tc>
                    <w:tc>
                      <w:tcPr>
                        <w:tcW w:w="3841" w:type="dxa"/>
                        <w:tcBorders>
                          <w:left w:val="nil"/>
                        </w:tcBorders>
                      </w:tcPr>
                      <w:p w:rsidR="00F04EEF" w:rsidRDefault="00F04EEF">
                        <w:pPr>
                          <w:pStyle w:val="TableParagraph"/>
                          <w:jc w:val="both"/>
                          <w:rPr>
                            <w:b/>
                            <w:sz w:val="16"/>
                          </w:rPr>
                        </w:pPr>
                      </w:p>
                      <w:p w:rsidR="00F04EEF" w:rsidRDefault="0099351E">
                        <w:pPr>
                          <w:pStyle w:val="TableParagraph"/>
                          <w:ind w:left="265" w:right="874"/>
                          <w:jc w:val="both"/>
                          <w:rPr>
                            <w:sz w:val="16"/>
                          </w:rPr>
                        </w:pPr>
                        <w:r>
                          <w:rPr>
                            <w:color w:val="000009"/>
                            <w:sz w:val="16"/>
                          </w:rPr>
                          <w:t>Homes d’accueil permanent Internats prim. ou sec. spécialisé</w:t>
                        </w:r>
                      </w:p>
                    </w:tc>
                  </w:tr>
                </w:tbl>
                <w:p w:rsidR="00F04EEF" w:rsidRDefault="0099351E">
                  <w:pPr>
                    <w:rPr>
                      <w:rFonts w:ascii="Verdana" w:hAnsi="Verdana"/>
                      <w:b/>
                      <w:sz w:val="24"/>
                    </w:rPr>
                  </w:pPr>
                  <w:r>
                    <w:rPr>
                      <w:rFonts w:ascii="Verdana" w:hAnsi="Verdana"/>
                      <w:b/>
                      <w:sz w:val="24"/>
                    </w:rPr>
                    <w:t xml:space="preserve"> Groupes de destinataires également informés</w:t>
                  </w:r>
                </w:p>
                <w:p w:rsidR="00F04EEF" w:rsidRDefault="0099351E">
                  <w:pPr>
                    <w:pStyle w:val="Corpsdetexte"/>
                    <w:rPr>
                      <w:rFonts w:ascii="Verdana"/>
                      <w:sz w:val="16"/>
                    </w:rPr>
                  </w:pPr>
                  <w:r>
                    <w:rPr>
                      <w:noProof/>
                      <w:lang w:eastAsia="fr-BE"/>
                    </w:rPr>
                    <mc:AlternateContent>
                      <mc:Choice Requires="wps">
                        <w:drawing>
                          <wp:anchor distT="0" distB="0" distL="0" distR="0" simplePos="0" relativeHeight="252039168" behindDoc="1" locked="0" layoutInCell="1" allowOverlap="1">
                            <wp:simplePos x="0" y="0"/>
                            <wp:positionH relativeFrom="page">
                              <wp:posOffset>541020</wp:posOffset>
                            </wp:positionH>
                            <wp:positionV relativeFrom="paragraph">
                              <wp:posOffset>158750</wp:posOffset>
                            </wp:positionV>
                            <wp:extent cx="6483350" cy="1550035"/>
                            <wp:effectExtent l="0" t="0" r="15240" b="22860"/>
                            <wp:wrapTopAndBottom/>
                            <wp:docPr id="4950" name="Zone de texte 4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1550035"/>
                                    </a:xfrm>
                                    <a:prstGeom prst="rect">
                                      <a:avLst/>
                                    </a:prstGeom>
                                    <a:noFill/>
                                    <a:ln w="609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04EEF" w:rsidRDefault="0099351E">
                                        <w:pPr>
                                          <w:ind w:left="103"/>
                                          <w:rPr>
                                            <w:rFonts w:ascii="Verdana"/>
                                            <w:sz w:val="16"/>
                                          </w:rPr>
                                        </w:pPr>
                                        <w:r>
                                          <w:rPr>
                                            <w:rFonts w:ascii="Verdana"/>
                                            <w:sz w:val="16"/>
                                          </w:rPr>
                                          <w:t>A tous les membres des groupes suivants :</w:t>
                                        </w:r>
                                      </w:p>
                                      <w:p w:rsidR="00F04EEF" w:rsidRDefault="0099351E">
                                        <w:pPr>
                                          <w:ind w:left="419"/>
                                          <w:rPr>
                                            <w:rFonts w:ascii="Verdana" w:hAnsi="Verdana"/>
                                            <w:sz w:val="16"/>
                                          </w:rPr>
                                        </w:pPr>
                                        <w:r>
                                          <w:rPr>
                                            <w:rFonts w:ascii="Verdana" w:hAnsi="Verdana"/>
                                            <w:sz w:val="16"/>
                                          </w:rPr>
                                          <w:t>Les services de l’inspection (pour leurs unités respectives)</w:t>
                                        </w:r>
                                      </w:p>
                                      <w:p w:rsidR="00F04EEF" w:rsidRDefault="0099351E">
                                        <w:pPr>
                                          <w:ind w:left="419"/>
                                          <w:rPr>
                                            <w:rFonts w:ascii="Verdana" w:hAnsi="Verdana"/>
                                            <w:sz w:val="16"/>
                                          </w:rPr>
                                        </w:pPr>
                                        <w:r>
                                          <w:rPr>
                                            <w:rFonts w:ascii="Verdana" w:hAnsi="Verdana"/>
                                            <w:sz w:val="16"/>
                                          </w:rPr>
                                          <w:t>Les pouvoirs organisateurs (pour leurs unités et réseaux respectifs)</w:t>
                                        </w:r>
                                      </w:p>
                                      <w:p w:rsidR="00F04EEF" w:rsidRDefault="0099351E">
                                        <w:pPr>
                                          <w:ind w:left="419" w:right="1979"/>
                                          <w:rPr>
                                            <w:rFonts w:ascii="Verdana" w:hAnsi="Verdana"/>
                                            <w:sz w:val="16"/>
                                          </w:rPr>
                                        </w:pPr>
                                        <w:r>
                                          <w:rPr>
                                            <w:rFonts w:ascii="Verdana" w:hAnsi="Verdana"/>
                                            <w:sz w:val="16"/>
                                          </w:rPr>
                                          <w:t>Les organes de représentation et de coordination de PO (pour leurs unités et réseaux respectifs) Les cabinets ministériels en charge de l’enseignement (pour leurs unités respectives)</w:t>
                                        </w:r>
                                      </w:p>
                                      <w:p w:rsidR="00F04EEF" w:rsidRDefault="00F04EEF">
                                        <w:pPr>
                                          <w:pStyle w:val="Corpsdetexte"/>
                                        </w:pPr>
                                      </w:p>
                                      <w:p w:rsidR="00F04EEF" w:rsidRDefault="0099351E">
                                        <w:pPr>
                                          <w:ind w:left="419" w:right="2183" w:hanging="317"/>
                                          <w:rPr>
                                            <w:rFonts w:ascii="Verdana" w:hAnsi="Verdana"/>
                                            <w:sz w:val="16"/>
                                          </w:rPr>
                                        </w:pPr>
                                        <w:r>
                                          <w:rPr>
                                            <w:rFonts w:ascii="Verdana" w:hAnsi="Verdana"/>
                                            <w:sz w:val="16"/>
                                          </w:rPr>
                                          <w:t>Aux membres des groupes suivants, pour autant qu’ils soient inscrits au système de distribution : Les Vérificateurs</w:t>
                                        </w:r>
                                      </w:p>
                                      <w:p w:rsidR="00F04EEF" w:rsidRDefault="0099351E">
                                        <w:pPr>
                                          <w:ind w:left="419"/>
                                          <w:rPr>
                                            <w:rFonts w:ascii="Verdana" w:hAnsi="Verdana"/>
                                            <w:sz w:val="16"/>
                                          </w:rPr>
                                        </w:pPr>
                                        <w:r>
                                          <w:rPr>
                                            <w:rFonts w:ascii="Verdana" w:hAnsi="Verdana"/>
                                            <w:sz w:val="16"/>
                                          </w:rPr>
                                          <w:t>Les Préfets et Directeurs coordonnateurs de zone</w:t>
                                        </w:r>
                                      </w:p>
                                      <w:p w:rsidR="00F04EEF" w:rsidRDefault="0099351E">
                                        <w:pPr>
                                          <w:ind w:left="419" w:right="2601"/>
                                          <w:rPr>
                                            <w:rFonts w:ascii="Verdana" w:hAnsi="Verdana"/>
                                            <w:sz w:val="16"/>
                                          </w:rPr>
                                        </w:pPr>
                                        <w:r>
                                          <w:rPr>
                                            <w:rFonts w:ascii="Verdana" w:hAnsi="Verdana"/>
                                            <w:sz w:val="16"/>
                                          </w:rPr>
                                          <w:t>Le Service de conseil et de soutien pédagogiques de l’enseignement organisé par la FWB Les organisations syndicales</w:t>
                                        </w:r>
                                      </w:p>
                                      <w:p w:rsidR="00F04EEF" w:rsidRDefault="0099351E">
                                        <w:pPr>
                                          <w:spacing w:line="192" w:lineRule="exact"/>
                                          <w:ind w:left="419"/>
                                          <w:rPr>
                                            <w:rFonts w:ascii="Verdana" w:hAnsi="Verdana"/>
                                            <w:sz w:val="16"/>
                                          </w:rPr>
                                        </w:pPr>
                                        <w:r>
                                          <w:rPr>
                                            <w:rFonts w:ascii="Verdana" w:hAnsi="Verdana"/>
                                            <w:sz w:val="16"/>
                                          </w:rPr>
                                          <w:t>Les organisations représentatives des associations de parents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950" o:spid="_x0000_s1040" type="#_x0000_t202" style="position:absolute;margin-left:42.6pt;margin-top:12.5pt;width:510.5pt;height:122.05pt;z-index:-251277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" filled="f" strokeweight=".16936mm">
                            <v:textbox inset="0,0,0,0">
                              <w:txbxContent>
                                <w:p>
                                  <w:pPr>
                                    <w:ind w:left="103"/>
                                    <w:rPr>
                                      <w:rFonts w:ascii="Verdana"/>
                                      <w:sz w:val="16"/>
                                    </w:rPr>
                                  </w:pPr>
                                  <w:r>
                                    <w:rPr>
                                      <w:rFonts w:ascii="Verdana"/>
                                      <w:sz w:val="16"/>
                                    </w:rPr>
                                    <w:t>A tous les membres des groupes suivants :</w:t>
                                  </w:r>
                                </w:p>
                                <w:p>
                                  <w:pPr>
                                    <w:ind w:left="419"/>
                                    <w:rPr>
                                      <w:rFonts w:ascii="Verdana" w:hAnsi="Verdana"/>
                                      <w:sz w:val="16"/>
                                    </w:rPr>
                                  </w:pPr>
                                  <w:r>
                                    <w:rPr>
                                      <w:rFonts w:ascii="Verdana" w:hAnsi="Verdana"/>
                                      <w:sz w:val="16"/>
                                    </w:rPr>
                                    <w:t>Les services de l’inspection (pour leurs unités respectives)</w:t>
                                  </w:r>
                                </w:p>
                                <w:p>
                                  <w:pPr>
                                    <w:ind w:left="419"/>
                                    <w:rPr>
                                      <w:rFonts w:ascii="Verdana" w:hAnsi="Verdana"/>
                                      <w:sz w:val="16"/>
                                    </w:rPr>
                                  </w:pPr>
                                  <w:r>
                                    <w:rPr>
                                      <w:rFonts w:ascii="Verdana" w:hAnsi="Verdana"/>
                                      <w:sz w:val="16"/>
                                    </w:rPr>
                                    <w:t>Les pouvoirs organisateurs (pour leurs unités et réseaux respectifs)</w:t>
                                  </w:r>
                                </w:p>
                                <w:p>
                                  <w:pPr>
                                    <w:ind w:left="419" w:right="1979"/>
                                    <w:rPr>
                                      <w:rFonts w:ascii="Verdana" w:hAnsi="Verdana"/>
                                      <w:sz w:val="16"/>
                                    </w:rPr>
                                  </w:pPr>
                                  <w:r>
                                    <w:rPr>
                                      <w:rFonts w:ascii="Verdana" w:hAnsi="Verdana"/>
                                      <w:sz w:val="16"/>
                                    </w:rPr>
                                    <w:t>Les organes de représentation et de coordination de PO (pour leurs unités et réseaux respectifs) Les cabinets ministériels en charge de l’enseignement (pour leurs unités respectives)</w:t>
                                  </w:r>
                                </w:p>
                                <w:p>
                                  <w:pPr>
                                    <w:pStyle w:val="Corpsdetexte"/>
                                  </w:pPr>
                                </w:p>
                                <w:p>
                                  <w:pPr>
                                    <w:ind w:left="419" w:right="2183" w:hanging="317"/>
                                    <w:rPr>
                                      <w:rFonts w:ascii="Verdana" w:hAnsi="Verdana"/>
                                      <w:sz w:val="16"/>
                                    </w:rPr>
                                  </w:pPr>
                                  <w:r>
                                    <w:rPr>
                                      <w:rFonts w:ascii="Verdana" w:hAnsi="Verdana"/>
                                      <w:sz w:val="16"/>
                                    </w:rPr>
                                    <w:t>Aux membres des groupes suivants, pour autant qu’ils soient inscrits au système de distribution : Les Vérificateurs</w:t>
                                  </w:r>
                                </w:p>
                                <w:p>
                                  <w:pPr>
                                    <w:ind w:left="419"/>
                                    <w:rPr>
                                      <w:rFonts w:ascii="Verdana" w:hAnsi="Verdana"/>
                                      <w:sz w:val="16"/>
                                    </w:rPr>
                                  </w:pPr>
                                  <w:r>
                                    <w:rPr>
                                      <w:rFonts w:ascii="Verdana" w:hAnsi="Verdana"/>
                                      <w:sz w:val="16"/>
                                    </w:rPr>
                                    <w:t>Les Préfets et Directeurs coordonnateurs de zone</w:t>
                                  </w:r>
                                </w:p>
                                <w:p>
                                  <w:pPr>
                                    <w:ind w:left="419" w:right="2601"/>
                                    <w:rPr>
                                      <w:rFonts w:ascii="Verdana" w:hAnsi="Verdana"/>
                                      <w:sz w:val="16"/>
                                    </w:rPr>
                                  </w:pPr>
                                  <w:r>
                                    <w:rPr>
                                      <w:rFonts w:ascii="Verdana" w:hAnsi="Verdana"/>
                                      <w:sz w:val="16"/>
                                    </w:rPr>
                                    <w:t>Le Service de conseil et de soutien pédagogiques de l’enseignement organisé par la FWB Les organisations syndicales</w:t>
                                  </w:r>
                                </w:p>
                                <w:p>
                                  <w:pPr>
                                    <w:spacing w:line="192" w:lineRule="exact"/>
                                    <w:ind w:left="419"/>
                                    <w:rPr>
                                      <w:rFonts w:ascii="Verdana" w:hAnsi="Verdana"/>
                                      <w:sz w:val="16"/>
                                    </w:rPr>
                                  </w:pPr>
                                  <w:r>
                                    <w:rPr>
                                      <w:rFonts w:ascii="Verdana" w:hAnsi="Verdana"/>
                                      <w:sz w:val="16"/>
                                    </w:rPr>
                                    <w:t>Les organisations représentatives des associations de parents</w:t>
                                  </w:r>
                                </w:p>
                              </w:txbxContent>
                            </v:textbox>
                            <w10:wrap type="topAndBottom" anchorx="page"/>
                          </v:shape>
                        </w:pict>
                      </mc:Fallback>
                    </mc:AlternateContent>
                  </w:r>
                </w:p>
                <w:p w:rsidR="00F04EEF" w:rsidRDefault="0099351E">
                  <w:pPr>
                    <w:rPr>
                      <w:rFonts w:ascii="Verdana"/>
                      <w:b/>
                      <w:sz w:val="24"/>
                    </w:rPr>
                  </w:pPr>
                  <w:r>
                    <w:rPr>
                      <w:rFonts w:ascii="Verdana"/>
                      <w:b/>
                      <w:color w:val="000009"/>
                      <w:sz w:val="24"/>
                    </w:rPr>
                    <w:t>Signataire(s)</w:t>
                  </w:r>
                </w:p>
                <w:p w:rsidR="00F04EEF" w:rsidRDefault="0099351E">
                  <w:pPr>
                    <w:pStyle w:val="Corpsdetexte"/>
                    <w:rPr>
                      <w:rFonts w:ascii="Verdana"/>
                      <w:sz w:val="16"/>
                    </w:rPr>
                  </w:pPr>
                  <w:r>
                    <w:rPr>
                      <w:noProof/>
                      <w:lang w:eastAsia="fr-BE"/>
                    </w:rPr>
                    <mc:AlternateContent>
                      <mc:Choice Requires="wps">
                        <w:drawing>
                          <wp:anchor distT="0" distB="0" distL="0" distR="0" simplePos="0" relativeHeight="252040192" behindDoc="1" locked="0" layoutInCell="1" allowOverlap="1">
                            <wp:simplePos x="0" y="0"/>
                            <wp:positionH relativeFrom="page">
                              <wp:posOffset>541020</wp:posOffset>
                            </wp:positionH>
                            <wp:positionV relativeFrom="paragraph">
                              <wp:posOffset>158750</wp:posOffset>
                            </wp:positionV>
                            <wp:extent cx="6483350" cy="160655"/>
                            <wp:effectExtent l="0" t="0" r="15240" b="18415"/>
                            <wp:wrapTopAndBottom/>
                            <wp:docPr id="4949" name="Zone de texte 4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160655"/>
                                    </a:xfrm>
                                    <a:prstGeom prst="rect">
                                      <a:avLst/>
                                    </a:prstGeom>
                                    <a:noFill/>
                                    <a:ln w="609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04EEF" w:rsidRDefault="0099351E">
                                        <w:pPr>
                                          <w:spacing w:before="1" w:line="242" w:lineRule="exact"/>
                                          <w:ind w:left="103"/>
                                          <w:rPr>
                                            <w:rFonts w:ascii="Verdana"/>
                                            <w:sz w:val="20"/>
                                          </w:rPr>
                                        </w:pPr>
                                        <w:r>
                                          <w:rPr>
                                            <w:rFonts w:ascii="Verdana"/>
                                            <w:sz w:val="20"/>
                                          </w:rPr>
                                          <w:t>Madame la Ministre Caroline DESIR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949" o:spid="_x0000_s1041" type="#_x0000_t202" style="position:absolute;margin-left:42.6pt;margin-top:12.5pt;width:510.5pt;height:12.65pt;z-index:-251276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" filled="f" strokeweight=".16936mm">
                            <v:textbox inset="0,0,0,0">
                              <w:txbxContent>
                                <w:p>
                                  <w:pPr>
                                    <w:spacing w:before="1" w:line="242" w:lineRule="exact"/>
                                    <w:ind w:left="103"/>
                                    <w:rPr>
                                      <w:rFonts w:ascii="Verdana"/>
                                      <w:sz w:val="20"/>
                                    </w:rPr>
                                  </w:pPr>
                                  <w:r>
                                    <w:rPr>
                                      <w:rFonts w:ascii="Verdana"/>
                                      <w:sz w:val="20"/>
                                    </w:rPr>
                                    <w:t>Madame la Ministre Caroline DESIR</w:t>
                                  </w:r>
                                </w:p>
                              </w:txbxContent>
                            </v:textbox>
                            <w10:wrap type="topAndBottom" anchorx="page"/>
                          </v:shape>
                        </w:pict>
                      </mc:Fallback>
                    </mc:AlternateContent>
                  </w:r>
                </w:p>
                <w:p w:rsidR="00F04EEF" w:rsidRDefault="0099351E">
                  <w:pPr>
                    <w:spacing w:before="100"/>
                    <w:rPr>
                      <w:rFonts w:ascii="Verdana"/>
                      <w:b/>
                      <w:sz w:val="24"/>
                    </w:rPr>
                  </w:pPr>
                  <w:r>
                    <w:rPr>
                      <w:rFonts w:ascii="Verdana" w:eastAsia="Times New Roman" w:cs="Arial"/>
                      <w:b/>
                      <w:sz w:val="29"/>
                      <w:szCs w:val="20"/>
                      <w:lang w:eastAsia="ar-SA"/>
                    </w:rPr>
                    <w:t xml:space="preserve"> </w:t>
                  </w:r>
                  <w:r>
                    <w:rPr>
                      <w:rFonts w:ascii="Verdana"/>
                      <w:b/>
                      <w:color w:val="000009"/>
                      <w:sz w:val="24"/>
                    </w:rPr>
                    <w:t>Personne(s) de contact concernant la mise en application de la circulaire</w:t>
                  </w:r>
                </w:p>
                <w:p w:rsidR="00F04EEF" w:rsidRDefault="00F04EEF">
                  <w:pPr>
                    <w:pStyle w:val="Corpsdetexte"/>
                  </w:pPr>
                </w:p>
                <w:tbl>
                  <w:tblPr>
                    <w:tblStyle w:val="TableNormal"/>
                    <w:tblW w:w="0" w:type="auto"/>
                    <w:tblInd w:w="137" w:type="dxa"/>
                    <w:tblLayout w:type="fixed"/>
                    <w:tblLook w:val="01E0" w:firstRow="1" w:lastRow="1" w:firstColumn="1" w:lastColumn="1" w:noHBand="0" w:noVBand="0"/>
                  </w:tblPr>
                  <w:tblGrid>
                    <w:gridCol w:w="2250"/>
                    <w:gridCol w:w="3893"/>
                    <w:gridCol w:w="4066"/>
                  </w:tblGrid>
                  <w:tr w:rsidR="00F04EEF">
                    <w:trPr>
                      <w:trHeight w:val="242"/>
                    </w:trPr>
                    <w:tc>
                      <w:tcPr>
                        <w:tcW w:w="2250" w:type="dxa"/>
                        <w:tcBorders>
                          <w:top w:val="single" w:sz="4" w:space="0" w:color="000000"/>
                          <w:left w:val="single" w:sz="4" w:space="0" w:color="000000"/>
                        </w:tcBorders>
                        <w:shd w:val="clear" w:color="auto" w:fill="D9D9D9"/>
                      </w:tcPr>
                      <w:p w:rsidR="00F04EEF" w:rsidRDefault="0099351E">
                        <w:pPr>
                          <w:pStyle w:val="TableParagraph"/>
                          <w:spacing w:line="222" w:lineRule="exact"/>
                          <w:ind w:left="107"/>
                          <w:rPr>
                            <w:sz w:val="20"/>
                          </w:rPr>
                        </w:pPr>
                        <w:r>
                          <w:rPr>
                            <w:color w:val="000009"/>
                            <w:sz w:val="20"/>
                          </w:rPr>
                          <w:t>Nom, prénom</w:t>
                        </w:r>
                      </w:p>
                    </w:tc>
                    <w:tc>
                      <w:tcPr>
                        <w:tcW w:w="3893" w:type="dxa"/>
                        <w:tcBorders>
                          <w:top w:val="single" w:sz="4" w:space="0" w:color="000000"/>
                        </w:tcBorders>
                        <w:shd w:val="clear" w:color="auto" w:fill="D9D9D9"/>
                      </w:tcPr>
                      <w:p w:rsidR="00F04EEF" w:rsidRDefault="0099351E">
                        <w:pPr>
                          <w:pStyle w:val="TableParagraph"/>
                          <w:spacing w:line="222" w:lineRule="exact"/>
                          <w:ind w:left="414"/>
                          <w:rPr>
                            <w:sz w:val="20"/>
                          </w:rPr>
                        </w:pPr>
                        <w:r>
                          <w:rPr>
                            <w:color w:val="000009"/>
                            <w:sz w:val="20"/>
                          </w:rPr>
                          <w:t>SG + DG + Service</w:t>
                        </w:r>
                      </w:p>
                    </w:tc>
                    <w:tc>
                      <w:tcPr>
                        <w:tcW w:w="4066" w:type="dxa"/>
                        <w:tcBorders>
                          <w:top w:val="single" w:sz="4" w:space="0" w:color="000000"/>
                          <w:right w:val="single" w:sz="4" w:space="0" w:color="000000"/>
                        </w:tcBorders>
                        <w:shd w:val="clear" w:color="auto" w:fill="D9D9D9"/>
                      </w:tcPr>
                      <w:p w:rsidR="00F04EEF" w:rsidRDefault="0099351E">
                        <w:pPr>
                          <w:pStyle w:val="TableParagraph"/>
                          <w:spacing w:line="222" w:lineRule="exact"/>
                          <w:ind w:left="775"/>
                          <w:rPr>
                            <w:sz w:val="20"/>
                          </w:rPr>
                        </w:pPr>
                        <w:r>
                          <w:rPr>
                            <w:color w:val="000009"/>
                            <w:sz w:val="20"/>
                          </w:rPr>
                          <w:t>Téléphone et email</w:t>
                        </w:r>
                      </w:p>
                    </w:tc>
                  </w:tr>
                  <w:tr w:rsidR="00F04EEF">
                    <w:trPr>
                      <w:trHeight w:val="438"/>
                    </w:trPr>
                    <w:tc>
                      <w:tcPr>
                        <w:tcW w:w="2250" w:type="dxa"/>
                        <w:tcBorders>
                          <w:left w:val="single" w:sz="4" w:space="0" w:color="000000"/>
                        </w:tcBorders>
                      </w:tcPr>
                      <w:p w:rsidR="00F04EEF" w:rsidRDefault="0099351E">
                        <w:pPr>
                          <w:pStyle w:val="TableParagraph"/>
                          <w:spacing w:before="1"/>
                          <w:ind w:left="107"/>
                          <w:rPr>
                            <w:sz w:val="18"/>
                          </w:rPr>
                        </w:pPr>
                        <w:r>
                          <w:rPr>
                            <w:sz w:val="18"/>
                          </w:rPr>
                          <w:t>Leblanc Paul-André</w:t>
                        </w:r>
                      </w:p>
                    </w:tc>
                    <w:tc>
                      <w:tcPr>
                        <w:tcW w:w="3893" w:type="dxa"/>
                      </w:tcPr>
                      <w:p w:rsidR="00F04EEF" w:rsidRDefault="0099351E">
                        <w:pPr>
                          <w:pStyle w:val="TableParagraph"/>
                          <w:spacing w:before="1"/>
                          <w:ind w:left="414"/>
                          <w:rPr>
                            <w:sz w:val="18"/>
                          </w:rPr>
                        </w:pPr>
                        <w:r>
                          <w:rPr>
                            <w:sz w:val="18"/>
                          </w:rPr>
                          <w:t>Cabinet DESIR</w:t>
                        </w:r>
                      </w:p>
                    </w:tc>
                    <w:tc>
                      <w:tcPr>
                        <w:tcW w:w="4066" w:type="dxa"/>
                        <w:tcBorders>
                          <w:right w:val="single" w:sz="4" w:space="0" w:color="000000"/>
                        </w:tcBorders>
                      </w:tcPr>
                      <w:p w:rsidR="00F04EEF" w:rsidRDefault="0099351E">
                        <w:pPr>
                          <w:pStyle w:val="TableParagraph"/>
                          <w:spacing w:before="1" w:line="219" w:lineRule="exact"/>
                          <w:ind w:left="775"/>
                          <w:rPr>
                            <w:sz w:val="18"/>
                          </w:rPr>
                        </w:pPr>
                        <w:r>
                          <w:rPr>
                            <w:sz w:val="18"/>
                          </w:rPr>
                          <w:t>02/801.78.91</w:t>
                        </w:r>
                      </w:p>
                      <w:p w:rsidR="00F04EEF" w:rsidRDefault="00F42422">
                        <w:pPr>
                          <w:pStyle w:val="TableParagraph"/>
                          <w:spacing w:line="198" w:lineRule="exact"/>
                          <w:ind w:left="775"/>
                          <w:rPr>
                            <w:sz w:val="18"/>
                          </w:rPr>
                        </w:pPr>
                        <w:hyperlink r:id="rId118">
                          <w:r w:rsidR="0099351E">
                            <w:rPr>
                              <w:sz w:val="18"/>
                            </w:rPr>
                            <w:t>paul-andre.leblanc@gov.cfwb.be</w:t>
                          </w:r>
                        </w:hyperlink>
                      </w:p>
                    </w:tc>
                  </w:tr>
                  <w:tr w:rsidR="00F04EEF">
                    <w:trPr>
                      <w:trHeight w:val="437"/>
                    </w:trPr>
                    <w:tc>
                      <w:tcPr>
                        <w:tcW w:w="2250" w:type="dxa"/>
                        <w:tcBorders>
                          <w:left w:val="single" w:sz="4" w:space="0" w:color="000000"/>
                          <w:bottom w:val="single" w:sz="4" w:space="0" w:color="000000"/>
                        </w:tcBorders>
                      </w:tcPr>
                      <w:p w:rsidR="00F04EEF" w:rsidRDefault="0099351E">
                        <w:pPr>
                          <w:pStyle w:val="TableParagraph"/>
                          <w:ind w:left="107"/>
                          <w:rPr>
                            <w:sz w:val="18"/>
                          </w:rPr>
                        </w:pPr>
                        <w:r>
                          <w:rPr>
                            <w:sz w:val="18"/>
                          </w:rPr>
                          <w:t>Dujardin Nathalie</w:t>
                        </w:r>
                      </w:p>
                    </w:tc>
                    <w:tc>
                      <w:tcPr>
                        <w:tcW w:w="3893" w:type="dxa"/>
                        <w:tcBorders>
                          <w:bottom w:val="single" w:sz="4" w:space="0" w:color="000000"/>
                        </w:tcBorders>
                      </w:tcPr>
                      <w:p w:rsidR="00F04EEF" w:rsidRDefault="0099351E">
                        <w:pPr>
                          <w:pStyle w:val="TableParagraph"/>
                          <w:spacing w:before="6" w:line="218" w:lineRule="exact"/>
                          <w:ind w:left="414" w:right="743"/>
                          <w:rPr>
                            <w:sz w:val="18"/>
                          </w:rPr>
                        </w:pPr>
                        <w:r>
                          <w:rPr>
                            <w:sz w:val="18"/>
                          </w:rPr>
                          <w:t>Commissions consultatives de l'enseignement spécialisé</w:t>
                        </w:r>
                      </w:p>
                    </w:tc>
                    <w:tc>
                      <w:tcPr>
                        <w:tcW w:w="4066" w:type="dxa"/>
                        <w:tcBorders>
                          <w:bottom w:val="single" w:sz="4" w:space="0" w:color="000000"/>
                          <w:right w:val="single" w:sz="4" w:space="0" w:color="000000"/>
                        </w:tcBorders>
                      </w:tcPr>
                      <w:p w:rsidR="00F04EEF" w:rsidRDefault="0099351E">
                        <w:pPr>
                          <w:pStyle w:val="TableParagraph"/>
                          <w:spacing w:line="218" w:lineRule="exact"/>
                          <w:ind w:left="775"/>
                          <w:rPr>
                            <w:sz w:val="18"/>
                          </w:rPr>
                        </w:pPr>
                        <w:r>
                          <w:rPr>
                            <w:sz w:val="18"/>
                          </w:rPr>
                          <w:t>02/690.88.59</w:t>
                        </w:r>
                      </w:p>
                      <w:p w:rsidR="00F04EEF" w:rsidRDefault="00F42422">
                        <w:pPr>
                          <w:pStyle w:val="TableParagraph"/>
                          <w:spacing w:line="199" w:lineRule="exact"/>
                          <w:ind w:left="775"/>
                          <w:rPr>
                            <w:sz w:val="18"/>
                          </w:rPr>
                        </w:pPr>
                        <w:hyperlink r:id="rId119">
                          <w:r w:rsidR="0099351E">
                            <w:rPr>
                              <w:sz w:val="18"/>
                            </w:rPr>
                            <w:t>nathalie.dujardin@cfwb.be</w:t>
                          </w:r>
                        </w:hyperlink>
                      </w:p>
                    </w:tc>
                  </w:tr>
                </w:tbl>
                <w:p w:rsidR="00F04EEF" w:rsidRDefault="00F04EEF">
                  <w:pPr>
                    <w:spacing w:line="199" w:lineRule="exact"/>
                    <w:rPr>
                      <w:sz w:val="18"/>
                    </w:rPr>
                    <w:sectPr w:rsidR="00F04EEF">
                      <w:type w:val="nextColumn"/>
                      <w:pgSz w:w="11910" w:h="16840"/>
                      <w:pgMar w:top="540" w:right="700" w:bottom="280" w:left="720" w:header="720" w:footer="720" w:gutter="0"/>
                      <w:cols w:space="720"/>
                    </w:sectPr>
                  </w:pPr>
                </w:p>
                <w:p w:rsidR="00F04EEF" w:rsidRDefault="00F04EEF">
                  <w:pPr>
                    <w:pStyle w:val="Corpsdetexte"/>
                  </w:pPr>
                </w:p>
                <w:p w:rsidR="00F04EEF" w:rsidRDefault="00F04EEF">
                  <w:pPr>
                    <w:pStyle w:val="Corpsdetexte"/>
                  </w:pPr>
                </w:p>
                <w:p w:rsidR="00F04EEF" w:rsidRDefault="0099351E">
                  <w:pPr>
                    <w:pStyle w:val="Corpsdetexte"/>
                    <w:jc w:val="both"/>
                    <w:rPr>
                      <w:b w:val="0"/>
                    </w:rPr>
                  </w:pPr>
                  <w:bookmarkStart w:id="1358" w:name="Circulaire_6946_p2"/>
                  <w:bookmarkEnd w:id="1358"/>
                  <w:r>
                    <w:rPr>
                      <w:b w:val="0"/>
                    </w:rPr>
                    <w:t>Mesdames, Messieurs,</w:t>
                  </w:r>
                </w:p>
                <w:p w:rsidR="00F04EEF" w:rsidRDefault="00F04EEF">
                  <w:pPr>
                    <w:pStyle w:val="Corpsdetexte"/>
                    <w:jc w:val="both"/>
                    <w:rPr>
                      <w:b w:val="0"/>
                    </w:rPr>
                  </w:pPr>
                </w:p>
                <w:p w:rsidR="00F04EEF" w:rsidRDefault="00F04EEF">
                  <w:pPr>
                    <w:pStyle w:val="Corpsdetexte"/>
                    <w:jc w:val="both"/>
                    <w:rPr>
                      <w:b w:val="0"/>
                    </w:rPr>
                  </w:pPr>
                </w:p>
                <w:p w:rsidR="00F04EEF" w:rsidRDefault="0099351E">
                  <w:pPr>
                    <w:pStyle w:val="Corpsdetexte"/>
                    <w:jc w:val="both"/>
                    <w:rPr>
                      <w:b w:val="0"/>
                    </w:rPr>
                  </w:pPr>
                  <w:r>
                    <w:rPr>
                      <w:b w:val="0"/>
                    </w:rPr>
                    <w:t>Afin de disposer de données probantes quant au nombre de places manquantes pour les élèves à besoins spécifiques dans l’enseignement spécialisé, il a été décidé de créer un fichier global qui centralisera toutes les demandes d’inscriptions non rencontrées.</w:t>
                  </w:r>
                </w:p>
                <w:p w:rsidR="00F04EEF" w:rsidRDefault="00F04EEF">
                  <w:pPr>
                    <w:pStyle w:val="Corpsdetexte"/>
                    <w:jc w:val="both"/>
                    <w:rPr>
                      <w:b w:val="0"/>
                    </w:rPr>
                  </w:pPr>
                </w:p>
                <w:p w:rsidR="00F04EEF" w:rsidRDefault="0099351E">
                  <w:pPr>
                    <w:pStyle w:val="Corpsdetexte"/>
                    <w:jc w:val="both"/>
                    <w:rPr>
                      <w:b w:val="0"/>
                    </w:rPr>
                  </w:pPr>
                  <w:r>
                    <w:rPr>
                      <w:b w:val="0"/>
                    </w:rPr>
                    <w:t>Cette circulaire s’adresse aux directions des écoles d’enseignement spécialisé, des écoles d’enseignement ordinaire, des Centres PMS, des Centres agréés et des Centres de références.</w:t>
                  </w:r>
                </w:p>
                <w:p w:rsidR="00F04EEF" w:rsidRDefault="00F04EEF">
                  <w:pPr>
                    <w:pStyle w:val="Corpsdetexte"/>
                    <w:jc w:val="both"/>
                    <w:rPr>
                      <w:b w:val="0"/>
                    </w:rPr>
                  </w:pPr>
                </w:p>
                <w:p w:rsidR="00F04EEF" w:rsidRDefault="0099351E">
                  <w:pPr>
                    <w:pStyle w:val="Corpsdetexte"/>
                    <w:jc w:val="both"/>
                    <w:rPr>
                      <w:b w:val="0"/>
                    </w:rPr>
                  </w:pPr>
                  <w:r>
                    <w:rPr>
                      <w:b w:val="0"/>
                    </w:rPr>
                    <w:t>Dans vos pratiques professionnelles, il peut arriver que vous soyez confrontés à des parents en recherche, pour leur enfant, d’une école d’enseignement spécialisé et que l’offre environnante du moment ne réponde pas à la demande. Ce sont ces demandes non rencontrées que nous avons décidé de collecter dans un fichier unique.</w:t>
                  </w:r>
                </w:p>
                <w:p w:rsidR="00F04EEF" w:rsidRDefault="00F04EEF">
                  <w:pPr>
                    <w:pStyle w:val="Corpsdetexte"/>
                    <w:jc w:val="both"/>
                    <w:rPr>
                      <w:b w:val="0"/>
                    </w:rPr>
                  </w:pPr>
                </w:p>
                <w:p w:rsidR="00F04EEF" w:rsidRDefault="0099351E">
                  <w:pPr>
                    <w:pStyle w:val="Corpsdetexte"/>
                    <w:jc w:val="both"/>
                    <w:rPr>
                      <w:b w:val="0"/>
                    </w:rPr>
                  </w:pPr>
                  <w:r>
                    <w:rPr>
                      <w:b w:val="0"/>
                    </w:rPr>
                    <w:t>Ainsi, dès que vous êtes sollicités par des parents en recherche d’une école et que vous ne pouvez ni les inscrire, ni les orienter vers une école en capacité de les accueillir, vous êtes alors invités à aider les parents à compléter l’annexe jointe et à l’envoyer à :</w:t>
                  </w:r>
                </w:p>
                <w:p w:rsidR="00F04EEF" w:rsidRDefault="00F04EEF">
                  <w:pPr>
                    <w:pStyle w:val="Corpsdetexte"/>
                    <w:jc w:val="both"/>
                    <w:rPr>
                      <w:b w:val="0"/>
                    </w:rPr>
                  </w:pPr>
                </w:p>
                <w:p w:rsidR="00F04EEF" w:rsidRDefault="0099351E">
                  <w:pPr>
                    <w:pStyle w:val="Corpsdetexte"/>
                    <w:jc w:val="both"/>
                    <w:rPr>
                      <w:b w:val="0"/>
                    </w:rPr>
                  </w:pPr>
                  <w:r>
                    <w:rPr>
                      <w:b w:val="0"/>
                    </w:rPr>
                    <w:t>Direction générale de l’enseignement obligatoire Service de l’enseignement spécialisé</w:t>
                  </w:r>
                </w:p>
                <w:p w:rsidR="00F04EEF" w:rsidRDefault="0099351E">
                  <w:pPr>
                    <w:pStyle w:val="Corpsdetexte"/>
                    <w:jc w:val="both"/>
                    <w:rPr>
                      <w:b w:val="0"/>
                    </w:rPr>
                  </w:pPr>
                  <w:r>
                    <w:rPr>
                      <w:b w:val="0"/>
                    </w:rPr>
                    <w:t>Madame Nathalie DUJARDIN</w:t>
                  </w:r>
                </w:p>
                <w:p w:rsidR="00F04EEF" w:rsidRDefault="0099351E">
                  <w:pPr>
                    <w:pStyle w:val="Corpsdetexte"/>
                    <w:jc w:val="both"/>
                    <w:rPr>
                      <w:b w:val="0"/>
                    </w:rPr>
                  </w:pPr>
                  <w:r>
                    <w:rPr>
                      <w:b w:val="0"/>
                    </w:rPr>
                    <w:t>Rue Adolphe Lavallée, 1 - Bureau 2F250 1080 BRUXELLES</w:t>
                  </w:r>
                </w:p>
                <w:p w:rsidR="00F04EEF" w:rsidRDefault="00F04EEF">
                  <w:pPr>
                    <w:pStyle w:val="Corpsdetexte"/>
                    <w:jc w:val="both"/>
                    <w:rPr>
                      <w:b w:val="0"/>
                    </w:rPr>
                  </w:pPr>
                </w:p>
                <w:p w:rsidR="00F04EEF" w:rsidRDefault="0099351E">
                  <w:pPr>
                    <w:pStyle w:val="Corpsdetexte"/>
                    <w:jc w:val="both"/>
                    <w:rPr>
                      <w:b w:val="0"/>
                    </w:rPr>
                  </w:pPr>
                  <w:r>
                    <w:rPr>
                      <w:b w:val="0"/>
                    </w:rPr>
                    <w:t>Cette démarche ne revêt aucun caractère obligatoire, cependant, l’analyse du fichier ainsi créé pourrait permettre à l’Administration d’orienter les parents vers des écoles en capacité d’accueil.</w:t>
                  </w:r>
                </w:p>
                <w:p w:rsidR="00F04EEF" w:rsidRDefault="00F04EEF">
                  <w:pPr>
                    <w:pStyle w:val="Corpsdetexte"/>
                    <w:jc w:val="both"/>
                    <w:rPr>
                      <w:b w:val="0"/>
                    </w:rPr>
                  </w:pPr>
                </w:p>
                <w:p w:rsidR="00F04EEF" w:rsidRDefault="0099351E">
                  <w:pPr>
                    <w:pStyle w:val="Corpsdetexte"/>
                    <w:jc w:val="both"/>
                    <w:rPr>
                      <w:b w:val="0"/>
                    </w:rPr>
                  </w:pPr>
                  <w:r>
                    <w:rPr>
                      <w:b w:val="0"/>
                    </w:rPr>
                    <w:t>Par ailleurs cette analyse permettra au Pouvoir régulateur d’envisager ou d’encourager la création de places, voire d’écoles pour répondre aux besoins mis en évidence.</w:t>
                  </w:r>
                </w:p>
                <w:p w:rsidR="00F04EEF" w:rsidRDefault="00F04EEF">
                  <w:pPr>
                    <w:pStyle w:val="Corpsdetexte"/>
                    <w:jc w:val="both"/>
                    <w:rPr>
                      <w:b w:val="0"/>
                    </w:rPr>
                  </w:pPr>
                </w:p>
                <w:p w:rsidR="00F04EEF" w:rsidRDefault="0099351E">
                  <w:pPr>
                    <w:ind w:left="696" w:right="716"/>
                    <w:jc w:val="both"/>
                  </w:pPr>
                  <w:r>
                    <w:t>Cette annexe ne constitue en aucun cas une demande d’inscription et ne relève que de la responsabilité des parents qui la signent.</w:t>
                  </w:r>
                </w:p>
                <w:p w:rsidR="00F04EEF" w:rsidRDefault="00F04EEF">
                  <w:pPr>
                    <w:pStyle w:val="Corpsdetexte"/>
                    <w:jc w:val="both"/>
                    <w:rPr>
                      <w:b w:val="0"/>
                    </w:rPr>
                  </w:pPr>
                </w:p>
                <w:p w:rsidR="00F04EEF" w:rsidRDefault="0099351E">
                  <w:pPr>
                    <w:pStyle w:val="Corpsdetexte"/>
                    <w:jc w:val="both"/>
                    <w:rPr>
                      <w:b w:val="0"/>
                    </w:rPr>
                  </w:pPr>
                  <w:r>
                    <w:rPr>
                      <w:b w:val="0"/>
                    </w:rPr>
                    <w:t>Je vous propose de prendre connaissance des informations contenues dans les pages qui suivent, pour l’enseignement fondamental et secondaire spécialisé. Je compte sur la diffusion massive de ces informations auprès des professionnels de l’enseignement spécialisé afin de rendre notre offre d’enseignement davantage adaptée à la demande.</w:t>
                  </w:r>
                </w:p>
                <w:p w:rsidR="00F04EEF" w:rsidRDefault="00F04EEF">
                  <w:pPr>
                    <w:pStyle w:val="Corpsdetexte"/>
                    <w:rPr>
                      <w:b w:val="0"/>
                    </w:rPr>
                  </w:pPr>
                </w:p>
                <w:p w:rsidR="00F04EEF" w:rsidRDefault="00F04EEF">
                  <w:pPr>
                    <w:pStyle w:val="Corpsdetexte"/>
                    <w:rPr>
                      <w:b w:val="0"/>
                    </w:rPr>
                  </w:pPr>
                </w:p>
                <w:p w:rsidR="00F04EEF" w:rsidRDefault="00F04EEF">
                  <w:pPr>
                    <w:pStyle w:val="Corpsdetexte"/>
                    <w:rPr>
                      <w:b w:val="0"/>
                    </w:rPr>
                  </w:pPr>
                </w:p>
                <w:p w:rsidR="00F04EEF" w:rsidRDefault="00F04EEF">
                  <w:pPr>
                    <w:pStyle w:val="Corpsdetexte"/>
                    <w:rPr>
                      <w:b w:val="0"/>
                    </w:rPr>
                  </w:pPr>
                </w:p>
                <w:p w:rsidR="00F04EEF" w:rsidRDefault="0099351E">
                  <w:pPr>
                    <w:ind w:left="6085"/>
                  </w:pPr>
                  <w:r>
                    <w:t>La Ministre,</w:t>
                  </w:r>
                </w:p>
                <w:p w:rsidR="00F04EEF" w:rsidRDefault="00F04EEF">
                  <w:pPr>
                    <w:pStyle w:val="Corpsdetexte"/>
                    <w:rPr>
                      <w:b w:val="0"/>
                    </w:rPr>
                  </w:pPr>
                </w:p>
                <w:p w:rsidR="00F04EEF" w:rsidRDefault="00F04EEF">
                  <w:pPr>
                    <w:pStyle w:val="Corpsdetexte"/>
                    <w:rPr>
                      <w:b w:val="0"/>
                    </w:rPr>
                  </w:pPr>
                </w:p>
                <w:p w:rsidR="00F04EEF" w:rsidRDefault="00F04EEF">
                  <w:pPr>
                    <w:pStyle w:val="Corpsdetexte"/>
                    <w:rPr>
                      <w:b w:val="0"/>
                    </w:rPr>
                  </w:pPr>
                </w:p>
                <w:p w:rsidR="00F04EEF" w:rsidRDefault="0099351E">
                  <w:pPr>
                    <w:ind w:left="6085"/>
                  </w:pPr>
                  <w:r>
                    <w:t>Caroline DESIR</w:t>
                  </w:r>
                </w:p>
                <w:p w:rsidR="00F04EEF" w:rsidRDefault="00F04EEF">
                  <w:pPr>
                    <w:sectPr w:rsidR="00F04EEF">
                      <w:pgSz w:w="11910" w:h="16840"/>
                      <w:pgMar w:top="1580" w:right="700" w:bottom="280" w:left="720" w:header="720" w:footer="720" w:gutter="0"/>
                      <w:cols w:space="720"/>
                    </w:sectPr>
                  </w:pPr>
                </w:p>
                <w:p w:rsidR="00F04EEF" w:rsidRDefault="0099351E">
                  <w:pPr>
                    <w:spacing w:before="74"/>
                    <w:ind w:left="696"/>
                    <w:rPr>
                      <w:rFonts w:ascii="Arial" w:hAnsi="Arial"/>
                      <w:b/>
                      <w:sz w:val="24"/>
                    </w:rPr>
                  </w:pPr>
                  <w:bookmarkStart w:id="1359" w:name="Circulaire_6946_p3"/>
                  <w:bookmarkEnd w:id="1359"/>
                  <w:r>
                    <w:rPr>
                      <w:rFonts w:ascii="Arial" w:hAnsi="Arial"/>
                      <w:b/>
                      <w:sz w:val="24"/>
                      <w:u w:val="thick"/>
                    </w:rPr>
                    <w:t>Signalement d’un élève en recherche d’une inscription dans une école</w:t>
                  </w:r>
                </w:p>
                <w:p w:rsidR="00F04EEF" w:rsidRDefault="0099351E">
                  <w:pPr>
                    <w:ind w:left="696"/>
                    <w:rPr>
                      <w:rFonts w:ascii="Arial" w:hAnsi="Arial"/>
                      <w:b/>
                      <w:sz w:val="24"/>
                    </w:rPr>
                  </w:pPr>
                  <w:r>
                    <w:rPr>
                      <w:rFonts w:ascii="Times New Roman" w:hAnsi="Times New Roman"/>
                      <w:spacing w:val="-60"/>
                      <w:sz w:val="24"/>
                      <w:u w:val="thick"/>
                    </w:rPr>
                    <w:t xml:space="preserve"> </w:t>
                  </w:r>
                  <w:r>
                    <w:rPr>
                      <w:rFonts w:ascii="Arial" w:hAnsi="Arial"/>
                      <w:b/>
                      <w:sz w:val="24"/>
                      <w:u w:val="thick"/>
                    </w:rPr>
                    <w:t>d’enseignement spécialisé située en Communauté française.</w:t>
                  </w:r>
                </w:p>
                <w:p w:rsidR="00F04EEF" w:rsidRDefault="0099351E">
                  <w:pPr>
                    <w:spacing w:before="183"/>
                    <w:ind w:left="1880" w:right="1902"/>
                    <w:jc w:val="center"/>
                    <w:rPr>
                      <w:rFonts w:ascii="Arial" w:hAnsi="Arial"/>
                      <w:b/>
                      <w:sz w:val="24"/>
                    </w:rPr>
                  </w:pPr>
                  <w:r>
                    <w:rPr>
                      <w:rFonts w:ascii="Arial" w:hAnsi="Arial"/>
                      <w:b/>
                      <w:sz w:val="24"/>
                    </w:rPr>
                    <w:t>Ce document ne constitue pas une demande d’inscription.</w:t>
                  </w:r>
                </w:p>
                <w:p w:rsidR="00F04EEF" w:rsidRDefault="00F04EEF">
                  <w:pPr>
                    <w:pStyle w:val="Corpsdetexte"/>
                  </w:pPr>
                </w:p>
                <w:p w:rsidR="00F04EEF" w:rsidRDefault="0099351E">
                  <w:pPr>
                    <w:ind w:left="696" w:right="728"/>
                    <w:rPr>
                      <w:rFonts w:ascii="Arial" w:hAnsi="Arial"/>
                      <w:sz w:val="24"/>
                    </w:rPr>
                  </w:pPr>
                  <w:r>
                    <w:rPr>
                      <w:rFonts w:ascii="Arial" w:hAnsi="Arial"/>
                      <w:sz w:val="24"/>
                    </w:rPr>
                    <w:t xml:space="preserve">Il ne porte ses effets que pour </w:t>
                  </w:r>
                  <w:r>
                    <w:rPr>
                      <w:rFonts w:ascii="Arial" w:hAnsi="Arial"/>
                      <w:b/>
                      <w:sz w:val="24"/>
                      <w:u w:val="thick"/>
                    </w:rPr>
                    <w:t>un</w:t>
                  </w:r>
                  <w:r>
                    <w:rPr>
                      <w:rFonts w:ascii="Arial" w:hAnsi="Arial"/>
                      <w:b/>
                      <w:sz w:val="24"/>
                    </w:rPr>
                    <w:t xml:space="preserve"> </w:t>
                  </w:r>
                  <w:r>
                    <w:rPr>
                      <w:rFonts w:ascii="Arial" w:hAnsi="Arial"/>
                      <w:sz w:val="24"/>
                    </w:rPr>
                    <w:t xml:space="preserve">élève et doit être renouvelé </w:t>
                  </w:r>
                  <w:r>
                    <w:rPr>
                      <w:rFonts w:ascii="Arial" w:hAnsi="Arial"/>
                      <w:sz w:val="24"/>
                      <w:u w:val="single"/>
                    </w:rPr>
                    <w:t xml:space="preserve">chaque année </w:t>
                  </w:r>
                  <w:r>
                    <w:rPr>
                      <w:rFonts w:ascii="Arial" w:hAnsi="Arial"/>
                      <w:sz w:val="24"/>
                    </w:rPr>
                    <w:t>scolaire. L’élève est-il déjà scolarisé ? OUI – NON.</w:t>
                  </w:r>
                </w:p>
                <w:p w:rsidR="00F04EEF" w:rsidRDefault="0099351E">
                  <w:pPr>
                    <w:ind w:left="696"/>
                    <w:rPr>
                      <w:rFonts w:ascii="Arial" w:hAnsi="Arial"/>
                      <w:sz w:val="24"/>
                    </w:rPr>
                  </w:pPr>
                  <w:r>
                    <w:rPr>
                      <w:rFonts w:ascii="Arial" w:hAnsi="Arial"/>
                      <w:sz w:val="24"/>
                    </w:rPr>
                    <w:t>Si oui, dans quelle école ?………………………………………………………………..…</w:t>
                  </w:r>
                </w:p>
                <w:p w:rsidR="00F04EEF" w:rsidRDefault="00F04EEF">
                  <w:pPr>
                    <w:pStyle w:val="Corpsdetexte"/>
                  </w:pPr>
                </w:p>
                <w:p w:rsidR="00F04EEF" w:rsidRDefault="00F04EEF">
                  <w:pPr>
                    <w:pStyle w:val="Corpsdetexte"/>
                  </w:pPr>
                </w:p>
                <w:p w:rsidR="00F04EEF" w:rsidRDefault="0099351E">
                  <w:pPr>
                    <w:pStyle w:val="Paragraphedeliste"/>
                    <w:widowControl w:val="0"/>
                    <w:numPr>
                      <w:ilvl w:val="0"/>
                      <w:numId w:val="320"/>
                    </w:numPr>
                    <w:tabs>
                      <w:tab w:val="left" w:pos="1417"/>
                    </w:tabs>
                    <w:suppressAutoHyphens w:val="0"/>
                    <w:autoSpaceDE w:val="0"/>
                    <w:autoSpaceDN w:val="0"/>
                    <w:ind w:hanging="361"/>
                    <w:rPr>
                      <w:b/>
                      <w:sz w:val="24"/>
                    </w:rPr>
                  </w:pPr>
                  <w:r>
                    <w:rPr>
                      <w:b/>
                      <w:sz w:val="24"/>
                    </w:rPr>
                    <w:t>Demande introduite par :</w:t>
                  </w:r>
                </w:p>
                <w:p w:rsidR="00F04EEF" w:rsidRDefault="00F04EEF">
                  <w:pPr>
                    <w:pStyle w:val="Corpsdetexte"/>
                  </w:pPr>
                </w:p>
                <w:p w:rsidR="00F04EEF" w:rsidRDefault="0099351E">
                  <w:pPr>
                    <w:ind w:left="696"/>
                    <w:rPr>
                      <w:rFonts w:ascii="Arial" w:hAnsi="Arial"/>
                      <w:sz w:val="24"/>
                    </w:rPr>
                  </w:pPr>
                  <w:r>
                    <w:rPr>
                      <w:rFonts w:ascii="Arial" w:hAnsi="Arial"/>
                      <w:sz w:val="24"/>
                    </w:rPr>
                    <w:t>Chef de famille (Qualité □ père □ mère □ tuteur □ autre à préciser).</w:t>
                  </w:r>
                </w:p>
                <w:p w:rsidR="00F04EEF" w:rsidRDefault="0099351E">
                  <w:pPr>
                    <w:ind w:left="696"/>
                    <w:rPr>
                      <w:rFonts w:ascii="Arial" w:hAnsi="Arial"/>
                      <w:sz w:val="24"/>
                    </w:rPr>
                  </w:pPr>
                  <w:r>
                    <w:rPr>
                      <w:rFonts w:ascii="Arial" w:hAnsi="Arial"/>
                      <w:b/>
                      <w:sz w:val="24"/>
                    </w:rPr>
                    <w:t xml:space="preserve">Identité du demandeur </w:t>
                  </w:r>
                  <w:r>
                    <w:rPr>
                      <w:rFonts w:ascii="Arial" w:hAnsi="Arial"/>
                      <w:sz w:val="24"/>
                    </w:rPr>
                    <w:t>:</w:t>
                  </w:r>
                </w:p>
                <w:p w:rsidR="00F04EEF" w:rsidRDefault="0099351E">
                  <w:pPr>
                    <w:ind w:left="696"/>
                    <w:rPr>
                      <w:rFonts w:ascii="Arial" w:hAnsi="Arial"/>
                      <w:sz w:val="24"/>
                    </w:rPr>
                  </w:pPr>
                  <w:r>
                    <w:rPr>
                      <w:rFonts w:ascii="Arial" w:hAnsi="Arial"/>
                      <w:sz w:val="24"/>
                    </w:rPr>
                    <w:t>Nom, prénom : ……………………………………………………</w:t>
                  </w:r>
                </w:p>
                <w:p w:rsidR="00F04EEF" w:rsidRDefault="0099351E">
                  <w:pPr>
                    <w:ind w:left="696"/>
                    <w:rPr>
                      <w:rFonts w:ascii="Arial" w:hAnsi="Arial"/>
                      <w:sz w:val="24"/>
                    </w:rPr>
                  </w:pPr>
                  <w:r>
                    <w:rPr>
                      <w:rFonts w:ascii="Arial" w:hAnsi="Arial"/>
                      <w:sz w:val="24"/>
                    </w:rPr>
                    <w:t>Adresse :</w:t>
                  </w:r>
                  <w:r>
                    <w:rPr>
                      <w:rFonts w:ascii="Arial" w:hAnsi="Arial"/>
                      <w:spacing w:val="-4"/>
                      <w:sz w:val="24"/>
                    </w:rPr>
                    <w:t xml:space="preserve"> </w:t>
                  </w:r>
                  <w:r>
                    <w:rPr>
                      <w:rFonts w:ascii="Arial" w:hAnsi="Arial"/>
                      <w:sz w:val="24"/>
                    </w:rPr>
                    <w:t>……………………………………………………………………………….</w:t>
                  </w:r>
                </w:p>
                <w:p w:rsidR="00F04EEF" w:rsidRDefault="0099351E">
                  <w:pPr>
                    <w:tabs>
                      <w:tab w:val="left" w:pos="5516"/>
                    </w:tabs>
                    <w:spacing w:before="1"/>
                    <w:ind w:left="696"/>
                    <w:rPr>
                      <w:rFonts w:ascii="Arial" w:hAnsi="Arial"/>
                      <w:sz w:val="24"/>
                    </w:rPr>
                  </w:pPr>
                  <w:r>
                    <w:rPr>
                      <w:rFonts w:ascii="Arial" w:hAnsi="Arial"/>
                      <w:sz w:val="24"/>
                    </w:rPr>
                    <w:t>Tél</w:t>
                  </w:r>
                  <w:r>
                    <w:rPr>
                      <w:rFonts w:ascii="Arial" w:hAnsi="Arial"/>
                      <w:spacing w:val="-3"/>
                      <w:sz w:val="24"/>
                    </w:rPr>
                    <w:t xml:space="preserve"> </w:t>
                  </w:r>
                  <w:r>
                    <w:rPr>
                      <w:rFonts w:ascii="Arial" w:hAnsi="Arial"/>
                      <w:sz w:val="24"/>
                    </w:rPr>
                    <w:t>:</w:t>
                  </w:r>
                  <w:r>
                    <w:rPr>
                      <w:rFonts w:ascii="Arial" w:hAnsi="Arial"/>
                      <w:spacing w:val="1"/>
                      <w:sz w:val="24"/>
                    </w:rPr>
                    <w:t xml:space="preserve"> </w:t>
                  </w:r>
                  <w:r>
                    <w:rPr>
                      <w:rFonts w:ascii="Arial" w:hAnsi="Arial"/>
                      <w:sz w:val="24"/>
                    </w:rPr>
                    <w:t>…………………………</w:t>
                  </w:r>
                  <w:r>
                    <w:rPr>
                      <w:rFonts w:ascii="Arial" w:hAnsi="Arial"/>
                      <w:sz w:val="24"/>
                    </w:rPr>
                    <w:tab/>
                    <w:t>Email :</w:t>
                  </w:r>
                  <w:r>
                    <w:rPr>
                      <w:rFonts w:ascii="Arial" w:hAnsi="Arial"/>
                      <w:spacing w:val="-5"/>
                      <w:sz w:val="24"/>
                    </w:rPr>
                    <w:t xml:space="preserve"> </w:t>
                  </w:r>
                  <w:r>
                    <w:rPr>
                      <w:rFonts w:ascii="Arial" w:hAnsi="Arial"/>
                      <w:sz w:val="24"/>
                    </w:rPr>
                    <w:t>…………………………….</w:t>
                  </w:r>
                </w:p>
                <w:p w:rsidR="00F04EEF" w:rsidRDefault="00F04EEF">
                  <w:pPr>
                    <w:pStyle w:val="Corpsdetexte"/>
                  </w:pPr>
                </w:p>
                <w:p w:rsidR="00F04EEF" w:rsidRDefault="0099351E">
                  <w:pPr>
                    <w:pStyle w:val="Paragraphedeliste"/>
                    <w:widowControl w:val="0"/>
                    <w:numPr>
                      <w:ilvl w:val="0"/>
                      <w:numId w:val="320"/>
                    </w:numPr>
                    <w:tabs>
                      <w:tab w:val="left" w:pos="1417"/>
                    </w:tabs>
                    <w:suppressAutoHyphens w:val="0"/>
                    <w:autoSpaceDE w:val="0"/>
                    <w:autoSpaceDN w:val="0"/>
                    <w:ind w:hanging="361"/>
                    <w:rPr>
                      <w:b/>
                      <w:sz w:val="24"/>
                    </w:rPr>
                  </w:pPr>
                  <w:r>
                    <w:rPr>
                      <w:b/>
                      <w:sz w:val="24"/>
                    </w:rPr>
                    <w:t>Démarche soutenue par</w:t>
                  </w:r>
                  <w:r>
                    <w:rPr>
                      <w:b/>
                      <w:spacing w:val="-2"/>
                      <w:sz w:val="24"/>
                    </w:rPr>
                    <w:t xml:space="preserve"> </w:t>
                  </w:r>
                  <w:r>
                    <w:rPr>
                      <w:b/>
                      <w:sz w:val="24"/>
                    </w:rPr>
                    <w:t>:</w:t>
                  </w:r>
                </w:p>
                <w:p w:rsidR="00F04EEF" w:rsidRDefault="00F04EEF">
                  <w:pPr>
                    <w:pStyle w:val="Corpsdetexte"/>
                  </w:pPr>
                </w:p>
                <w:p w:rsidR="00F04EEF" w:rsidRDefault="0099351E">
                  <w:pPr>
                    <w:pStyle w:val="Paragraphedeliste"/>
                    <w:widowControl w:val="0"/>
                    <w:numPr>
                      <w:ilvl w:val="0"/>
                      <w:numId w:val="319"/>
                    </w:numPr>
                    <w:tabs>
                      <w:tab w:val="left" w:pos="912"/>
                    </w:tabs>
                    <w:suppressAutoHyphens w:val="0"/>
                    <w:autoSpaceDE w:val="0"/>
                    <w:autoSpaceDN w:val="0"/>
                    <w:ind w:hanging="216"/>
                    <w:rPr>
                      <w:sz w:val="24"/>
                    </w:rPr>
                  </w:pPr>
                  <w:r>
                    <w:rPr>
                      <w:sz w:val="24"/>
                    </w:rPr>
                    <w:t xml:space="preserve">Centre de référence </w:t>
                  </w:r>
                  <w:r>
                    <w:rPr>
                      <w:rFonts w:ascii="Wingdings" w:hAnsi="Wingdings"/>
                      <w:sz w:val="24"/>
                    </w:rPr>
                    <w:t></w:t>
                  </w:r>
                  <w:r>
                    <w:rPr>
                      <w:rFonts w:ascii="Times New Roman" w:hAnsi="Times New Roman"/>
                      <w:sz w:val="24"/>
                    </w:rPr>
                    <w:t xml:space="preserve"> </w:t>
                  </w:r>
                  <w:r>
                    <w:rPr>
                      <w:sz w:val="24"/>
                    </w:rPr>
                    <w:t xml:space="preserve">école </w:t>
                  </w:r>
                  <w:r>
                    <w:rPr>
                      <w:rFonts w:ascii="Wingdings" w:hAnsi="Wingdings"/>
                      <w:sz w:val="24"/>
                    </w:rPr>
                    <w:t></w:t>
                  </w:r>
                  <w:r>
                    <w:rPr>
                      <w:rFonts w:ascii="Times New Roman" w:hAnsi="Times New Roman"/>
                      <w:sz w:val="24"/>
                    </w:rPr>
                    <w:t xml:space="preserve"> </w:t>
                  </w:r>
                  <w:r>
                    <w:rPr>
                      <w:sz w:val="24"/>
                    </w:rPr>
                    <w:t xml:space="preserve">Centre PMS </w:t>
                  </w:r>
                  <w:r>
                    <w:rPr>
                      <w:rFonts w:ascii="Wingdings" w:hAnsi="Wingdings"/>
                      <w:sz w:val="24"/>
                    </w:rPr>
                    <w:t></w:t>
                  </w:r>
                  <w:r>
                    <w:rPr>
                      <w:rFonts w:ascii="Times New Roman" w:hAnsi="Times New Roman"/>
                      <w:sz w:val="24"/>
                    </w:rPr>
                    <w:t xml:space="preserve"> </w:t>
                  </w:r>
                  <w:r>
                    <w:rPr>
                      <w:sz w:val="24"/>
                    </w:rPr>
                    <w:t>Organisme habilité à</w:t>
                  </w:r>
                  <w:r>
                    <w:rPr>
                      <w:spacing w:val="10"/>
                      <w:sz w:val="24"/>
                    </w:rPr>
                    <w:t xml:space="preserve"> </w:t>
                  </w:r>
                  <w:r>
                    <w:rPr>
                      <w:sz w:val="24"/>
                    </w:rPr>
                    <w:t>orienter</w:t>
                  </w:r>
                </w:p>
                <w:p w:rsidR="00F04EEF" w:rsidRDefault="0099351E">
                  <w:pPr>
                    <w:pStyle w:val="Paragraphedeliste"/>
                    <w:widowControl w:val="0"/>
                    <w:numPr>
                      <w:ilvl w:val="0"/>
                      <w:numId w:val="319"/>
                    </w:numPr>
                    <w:tabs>
                      <w:tab w:val="left" w:pos="978"/>
                    </w:tabs>
                    <w:suppressAutoHyphens w:val="0"/>
                    <w:autoSpaceDE w:val="0"/>
                    <w:autoSpaceDN w:val="0"/>
                    <w:ind w:left="977" w:hanging="282"/>
                    <w:rPr>
                      <w:sz w:val="24"/>
                    </w:rPr>
                  </w:pPr>
                  <w:r>
                    <w:rPr>
                      <w:sz w:val="24"/>
                    </w:rPr>
                    <w:t>Autre :</w:t>
                  </w:r>
                  <w:r>
                    <w:rPr>
                      <w:spacing w:val="-2"/>
                      <w:sz w:val="24"/>
                    </w:rPr>
                    <w:t xml:space="preserve"> </w:t>
                  </w:r>
                  <w:r>
                    <w:rPr>
                      <w:sz w:val="24"/>
                    </w:rPr>
                    <w:t>………………………………….………..</w:t>
                  </w:r>
                </w:p>
                <w:p w:rsidR="00F04EEF" w:rsidRDefault="00F04EEF">
                  <w:pPr>
                    <w:pStyle w:val="Corpsdetexte"/>
                  </w:pPr>
                </w:p>
                <w:p w:rsidR="00F04EEF" w:rsidRDefault="0099351E">
                  <w:pPr>
                    <w:ind w:left="696"/>
                    <w:rPr>
                      <w:rFonts w:ascii="Arial" w:hAnsi="Arial"/>
                      <w:b/>
                      <w:sz w:val="24"/>
                    </w:rPr>
                  </w:pPr>
                  <w:r>
                    <w:rPr>
                      <w:rFonts w:ascii="Arial" w:hAnsi="Arial"/>
                      <w:b/>
                      <w:sz w:val="24"/>
                    </w:rPr>
                    <w:t>Personne de référence :</w:t>
                  </w:r>
                </w:p>
                <w:p w:rsidR="00F04EEF" w:rsidRDefault="0099351E">
                  <w:pPr>
                    <w:ind w:left="696"/>
                    <w:rPr>
                      <w:rFonts w:ascii="Arial" w:hAnsi="Arial"/>
                      <w:sz w:val="24"/>
                    </w:rPr>
                  </w:pPr>
                  <w:r>
                    <w:rPr>
                      <w:rFonts w:ascii="Arial" w:hAnsi="Arial"/>
                      <w:sz w:val="24"/>
                    </w:rPr>
                    <w:t>Nom, prénom : ……………………………………………………</w:t>
                  </w:r>
                </w:p>
                <w:p w:rsidR="00F04EEF" w:rsidRDefault="0099351E">
                  <w:pPr>
                    <w:ind w:left="696"/>
                    <w:rPr>
                      <w:rFonts w:ascii="Arial" w:hAnsi="Arial"/>
                      <w:sz w:val="24"/>
                    </w:rPr>
                  </w:pPr>
                  <w:r>
                    <w:rPr>
                      <w:rFonts w:ascii="Arial" w:hAnsi="Arial"/>
                      <w:sz w:val="24"/>
                    </w:rPr>
                    <w:t>Adresse :</w:t>
                  </w:r>
                  <w:r>
                    <w:rPr>
                      <w:rFonts w:ascii="Arial" w:hAnsi="Arial"/>
                      <w:spacing w:val="-4"/>
                      <w:sz w:val="24"/>
                    </w:rPr>
                    <w:t xml:space="preserve"> </w:t>
                  </w:r>
                  <w:r>
                    <w:rPr>
                      <w:rFonts w:ascii="Arial" w:hAnsi="Arial"/>
                      <w:sz w:val="24"/>
                    </w:rPr>
                    <w:t>……………………………………………………………………………….</w:t>
                  </w:r>
                </w:p>
                <w:p w:rsidR="00F04EEF" w:rsidRDefault="0099351E">
                  <w:pPr>
                    <w:tabs>
                      <w:tab w:val="left" w:pos="5516"/>
                    </w:tabs>
                    <w:ind w:left="696"/>
                    <w:rPr>
                      <w:rFonts w:ascii="Arial" w:hAnsi="Arial"/>
                      <w:sz w:val="24"/>
                    </w:rPr>
                  </w:pPr>
                  <w:r>
                    <w:rPr>
                      <w:rFonts w:ascii="Arial" w:hAnsi="Arial"/>
                      <w:sz w:val="24"/>
                    </w:rPr>
                    <w:t>Tél</w:t>
                  </w:r>
                  <w:r>
                    <w:rPr>
                      <w:rFonts w:ascii="Arial" w:hAnsi="Arial"/>
                      <w:spacing w:val="-3"/>
                      <w:sz w:val="24"/>
                    </w:rPr>
                    <w:t xml:space="preserve"> </w:t>
                  </w:r>
                  <w:r>
                    <w:rPr>
                      <w:rFonts w:ascii="Arial" w:hAnsi="Arial"/>
                      <w:sz w:val="24"/>
                    </w:rPr>
                    <w:t>:</w:t>
                  </w:r>
                  <w:r>
                    <w:rPr>
                      <w:rFonts w:ascii="Arial" w:hAnsi="Arial"/>
                      <w:spacing w:val="1"/>
                      <w:sz w:val="24"/>
                    </w:rPr>
                    <w:t xml:space="preserve"> </w:t>
                  </w:r>
                  <w:r>
                    <w:rPr>
                      <w:rFonts w:ascii="Arial" w:hAnsi="Arial"/>
                      <w:sz w:val="24"/>
                    </w:rPr>
                    <w:t>…………………………</w:t>
                  </w:r>
                  <w:r>
                    <w:rPr>
                      <w:rFonts w:ascii="Arial" w:hAnsi="Arial"/>
                      <w:sz w:val="24"/>
                    </w:rPr>
                    <w:tab/>
                    <w:t>Email :</w:t>
                  </w:r>
                  <w:r>
                    <w:rPr>
                      <w:rFonts w:ascii="Arial" w:hAnsi="Arial"/>
                      <w:spacing w:val="-5"/>
                      <w:sz w:val="24"/>
                    </w:rPr>
                    <w:t xml:space="preserve"> </w:t>
                  </w:r>
                  <w:r>
                    <w:rPr>
                      <w:rFonts w:ascii="Arial" w:hAnsi="Arial"/>
                      <w:sz w:val="24"/>
                    </w:rPr>
                    <w:t>…………………………….</w:t>
                  </w:r>
                </w:p>
                <w:p w:rsidR="00F04EEF" w:rsidRDefault="0099351E">
                  <w:pPr>
                    <w:ind w:left="696"/>
                    <w:rPr>
                      <w:rFonts w:ascii="Arial"/>
                      <w:sz w:val="24"/>
                    </w:rPr>
                  </w:pPr>
                  <w:r>
                    <w:rPr>
                      <w:rFonts w:ascii="Arial"/>
                      <w:sz w:val="24"/>
                    </w:rPr>
                    <w:t>Cachet :</w:t>
                  </w:r>
                </w:p>
                <w:p w:rsidR="00F04EEF" w:rsidRDefault="0099351E">
                  <w:pPr>
                    <w:pStyle w:val="Corpsdetexte"/>
                    <w:rPr>
                      <w:rFonts w:ascii="Arial"/>
                      <w:sz w:val="20"/>
                    </w:rPr>
                  </w:pPr>
                  <w:r>
                    <w:rPr>
                      <w:noProof/>
                      <w:lang w:eastAsia="fr-BE"/>
                    </w:rPr>
                    <mc:AlternateContent>
                      <mc:Choice Requires="wps">
                        <w:drawing>
                          <wp:anchor distT="0" distB="0" distL="0" distR="0" simplePos="0" relativeHeight="252041216" behindDoc="1" locked="0" layoutInCell="1" allowOverlap="1">
                            <wp:simplePos x="0" y="0"/>
                            <wp:positionH relativeFrom="page">
                              <wp:posOffset>925830</wp:posOffset>
                            </wp:positionH>
                            <wp:positionV relativeFrom="paragraph">
                              <wp:posOffset>177800</wp:posOffset>
                            </wp:positionV>
                            <wp:extent cx="3158490" cy="1460500"/>
                            <wp:effectExtent l="0" t="0" r="10160" b="19050"/>
                            <wp:wrapTopAndBottom/>
                            <wp:docPr id="4948" name="Rectangle 4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58490" cy="1460500"/>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9724F" id="Rectangle 4948" o:spid="_x0000_s1026" style="position:absolute;margin-left:72.9pt;margin-top:14pt;width:248.7pt;height:115pt;z-index:-251275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" filled="f" strokeweight=".25pt">
                            <w10:wrap type="topAndBottom" anchorx="page"/>
                          </v:rect>
                        </w:pict>
                      </mc:Fallback>
                    </mc:AlternateContent>
                  </w:r>
                </w:p>
                <w:p w:rsidR="00F04EEF" w:rsidRDefault="00F04EEF">
                  <w:pPr>
                    <w:pStyle w:val="Corpsdetexte"/>
                  </w:pPr>
                </w:p>
                <w:p w:rsidR="00F04EEF" w:rsidRDefault="0099351E">
                  <w:pPr>
                    <w:pStyle w:val="Paragraphedeliste"/>
                    <w:widowControl w:val="0"/>
                    <w:numPr>
                      <w:ilvl w:val="0"/>
                      <w:numId w:val="320"/>
                    </w:numPr>
                    <w:tabs>
                      <w:tab w:val="left" w:pos="1417"/>
                    </w:tabs>
                    <w:suppressAutoHyphens w:val="0"/>
                    <w:autoSpaceDE w:val="0"/>
                    <w:autoSpaceDN w:val="0"/>
                    <w:spacing w:before="205"/>
                    <w:ind w:hanging="361"/>
                    <w:rPr>
                      <w:b/>
                      <w:sz w:val="24"/>
                    </w:rPr>
                  </w:pPr>
                  <w:r>
                    <w:rPr>
                      <w:b/>
                      <w:sz w:val="24"/>
                    </w:rPr>
                    <w:t>Concerne le jeune</w:t>
                  </w:r>
                  <w:r>
                    <w:rPr>
                      <w:b/>
                      <w:spacing w:val="1"/>
                      <w:sz w:val="24"/>
                    </w:rPr>
                    <w:t xml:space="preserve"> </w:t>
                  </w:r>
                  <w:r>
                    <w:rPr>
                      <w:b/>
                      <w:sz w:val="24"/>
                    </w:rPr>
                    <w:t>:</w:t>
                  </w:r>
                </w:p>
                <w:p w:rsidR="00F04EEF" w:rsidRDefault="00F04EEF">
                  <w:pPr>
                    <w:pStyle w:val="Corpsdetexte"/>
                  </w:pPr>
                </w:p>
                <w:p w:rsidR="00F04EEF" w:rsidRDefault="0099351E">
                  <w:pPr>
                    <w:ind w:left="696"/>
                    <w:rPr>
                      <w:rFonts w:ascii="Arial" w:hAnsi="Arial"/>
                      <w:sz w:val="24"/>
                    </w:rPr>
                  </w:pPr>
                  <w:r>
                    <w:rPr>
                      <w:rFonts w:ascii="Arial" w:hAnsi="Arial"/>
                      <w:sz w:val="24"/>
                    </w:rPr>
                    <w:t>Nom, Prénom : ……………………………………………………</w:t>
                  </w:r>
                </w:p>
                <w:p w:rsidR="00F04EEF" w:rsidRDefault="0099351E">
                  <w:pPr>
                    <w:ind w:left="696"/>
                    <w:rPr>
                      <w:rFonts w:ascii="Arial" w:hAnsi="Arial"/>
                      <w:sz w:val="24"/>
                    </w:rPr>
                  </w:pPr>
                  <w:r>
                    <w:rPr>
                      <w:rFonts w:ascii="Arial" w:hAnsi="Arial"/>
                      <w:sz w:val="24"/>
                    </w:rPr>
                    <w:t>Adresse : ……………………………………………………</w:t>
                  </w:r>
                </w:p>
                <w:p w:rsidR="00F04EEF" w:rsidRDefault="0099351E">
                  <w:pPr>
                    <w:spacing w:before="1"/>
                    <w:ind w:left="696"/>
                    <w:rPr>
                      <w:rFonts w:ascii="Arial" w:hAnsi="Arial"/>
                      <w:sz w:val="24"/>
                    </w:rPr>
                  </w:pPr>
                  <w:r>
                    <w:rPr>
                      <w:rFonts w:ascii="Arial" w:hAnsi="Arial"/>
                      <w:sz w:val="24"/>
                    </w:rPr>
                    <w:t>Date de naissance : ……/……. /……. Numéro national : ………………………………</w:t>
                  </w:r>
                </w:p>
                <w:p w:rsidR="00F04EEF" w:rsidRDefault="0099351E">
                  <w:pPr>
                    <w:ind w:left="696"/>
                    <w:rPr>
                      <w:rFonts w:ascii="Arial" w:hAnsi="Arial"/>
                      <w:sz w:val="24"/>
                    </w:rPr>
                  </w:pPr>
                  <w:r>
                    <w:rPr>
                      <w:rFonts w:ascii="Arial" w:hAnsi="Arial"/>
                      <w:sz w:val="24"/>
                    </w:rPr>
                    <w:t>Centre orienteur : …………………………………………………………………………</w:t>
                  </w:r>
                </w:p>
                <w:p w:rsidR="00F04EEF" w:rsidRDefault="0099351E">
                  <w:pPr>
                    <w:ind w:left="696" w:right="1134"/>
                    <w:rPr>
                      <w:rFonts w:ascii="Arial" w:hAnsi="Arial"/>
                      <w:sz w:val="24"/>
                    </w:rPr>
                  </w:pPr>
                  <w:r>
                    <w:rPr>
                      <w:rFonts w:ascii="Arial" w:hAnsi="Arial"/>
                      <w:sz w:val="24"/>
                    </w:rPr>
                    <w:t>……………………………………………………………………………………………… Agent de référence : ……………………………………………………</w:t>
                  </w:r>
                </w:p>
                <w:p w:rsidR="00F04EEF" w:rsidRDefault="0099351E">
                  <w:pPr>
                    <w:ind w:left="696"/>
                    <w:rPr>
                      <w:rFonts w:ascii="Arial" w:hAnsi="Arial"/>
                      <w:sz w:val="24"/>
                    </w:rPr>
                  </w:pPr>
                  <w:r>
                    <w:rPr>
                      <w:rFonts w:ascii="Arial" w:hAnsi="Arial"/>
                      <w:sz w:val="24"/>
                    </w:rPr>
                    <w:t>Adresse : …………………………</w:t>
                  </w:r>
                </w:p>
                <w:p w:rsidR="00F04EEF" w:rsidRDefault="0099351E">
                  <w:pPr>
                    <w:tabs>
                      <w:tab w:val="left" w:pos="4232"/>
                    </w:tabs>
                    <w:ind w:left="696"/>
                    <w:rPr>
                      <w:rFonts w:ascii="Arial" w:hAnsi="Arial"/>
                      <w:sz w:val="24"/>
                    </w:rPr>
                  </w:pPr>
                  <w:r>
                    <w:rPr>
                      <w:rFonts w:ascii="Arial" w:hAnsi="Arial"/>
                      <w:sz w:val="24"/>
                    </w:rPr>
                    <w:t>Tél</w:t>
                  </w:r>
                  <w:r>
                    <w:rPr>
                      <w:rFonts w:ascii="Arial" w:hAnsi="Arial"/>
                      <w:spacing w:val="-3"/>
                      <w:sz w:val="24"/>
                    </w:rPr>
                    <w:t xml:space="preserve"> </w:t>
                  </w:r>
                  <w:r>
                    <w:rPr>
                      <w:rFonts w:ascii="Arial" w:hAnsi="Arial"/>
                      <w:sz w:val="24"/>
                    </w:rPr>
                    <w:t>:</w:t>
                  </w:r>
                  <w:r>
                    <w:rPr>
                      <w:rFonts w:ascii="Arial" w:hAnsi="Arial"/>
                      <w:spacing w:val="1"/>
                      <w:sz w:val="24"/>
                    </w:rPr>
                    <w:t xml:space="preserve"> </w:t>
                  </w:r>
                  <w:r>
                    <w:rPr>
                      <w:rFonts w:ascii="Arial" w:hAnsi="Arial"/>
                      <w:sz w:val="24"/>
                    </w:rPr>
                    <w:t>…………………………</w:t>
                  </w:r>
                  <w:r>
                    <w:rPr>
                      <w:rFonts w:ascii="Arial" w:hAnsi="Arial"/>
                      <w:sz w:val="24"/>
                    </w:rPr>
                    <w:tab/>
                    <w:t>Adresse Email :</w:t>
                  </w:r>
                  <w:r>
                    <w:rPr>
                      <w:rFonts w:ascii="Arial" w:hAnsi="Arial"/>
                      <w:spacing w:val="-2"/>
                      <w:sz w:val="24"/>
                    </w:rPr>
                    <w:t xml:space="preserve"> </w:t>
                  </w:r>
                  <w:r>
                    <w:rPr>
                      <w:rFonts w:ascii="Arial" w:hAnsi="Arial"/>
                      <w:sz w:val="24"/>
                    </w:rPr>
                    <w:t>…………………………</w:t>
                  </w:r>
                </w:p>
                <w:p w:rsidR="00F04EEF" w:rsidRDefault="00F04EEF">
                  <w:pPr>
                    <w:rPr>
                      <w:rFonts w:ascii="Arial" w:hAnsi="Arial"/>
                      <w:sz w:val="24"/>
                    </w:rPr>
                    <w:sectPr w:rsidR="00F04EEF">
                      <w:pgSz w:w="11910" w:h="16840"/>
                      <w:pgMar w:top="1180" w:right="700" w:bottom="280" w:left="720" w:header="720" w:footer="720" w:gutter="0"/>
                      <w:cols w:space="720"/>
                    </w:sectPr>
                  </w:pPr>
                </w:p>
                <w:p w:rsidR="00F04EEF" w:rsidRDefault="0099351E">
                  <w:pPr>
                    <w:spacing w:before="74"/>
                    <w:ind w:left="696" w:right="2756"/>
                    <w:rPr>
                      <w:rFonts w:ascii="Arial" w:hAnsi="Arial"/>
                      <w:sz w:val="24"/>
                    </w:rPr>
                  </w:pPr>
                  <w:r>
                    <w:rPr>
                      <w:rFonts w:ascii="Arial" w:hAnsi="Arial"/>
                      <w:sz w:val="24"/>
                    </w:rPr>
                    <w:t>Période pour laquelle la demande est introduite, (année scolaire) : Si diagnostic posé : (autisme, TDA/H, X fragile, HP, etc., …)</w:t>
                  </w:r>
                </w:p>
                <w:p w:rsidR="00F04EEF" w:rsidRDefault="0099351E">
                  <w:pPr>
                    <w:ind w:left="696"/>
                    <w:rPr>
                      <w:rFonts w:ascii="Arial" w:hAnsi="Arial"/>
                      <w:sz w:val="24"/>
                    </w:rPr>
                  </w:pPr>
                  <w:r>
                    <w:rPr>
                      <w:rFonts w:ascii="Arial" w:hAnsi="Arial"/>
                      <w:sz w:val="24"/>
                    </w:rPr>
                    <w:t>Si diagnostic non encore posé, suspicion de :</w:t>
                  </w:r>
                </w:p>
                <w:p w:rsidR="00F04EEF" w:rsidRDefault="0099351E">
                  <w:pPr>
                    <w:ind w:left="696" w:right="4203"/>
                    <w:rPr>
                      <w:rFonts w:ascii="Arial" w:hAnsi="Arial"/>
                      <w:sz w:val="24"/>
                    </w:rPr>
                  </w:pPr>
                  <w:r>
                    <w:rPr>
                      <w:rFonts w:ascii="Arial" w:hAnsi="Arial"/>
                      <w:sz w:val="24"/>
                    </w:rPr>
                    <w:t xml:space="preserve">Niveau : </w:t>
                  </w:r>
                  <w:r>
                    <w:rPr>
                      <w:rFonts w:ascii="Wingdings" w:hAnsi="Wingdings"/>
                      <w:sz w:val="24"/>
                    </w:rPr>
                    <w:t></w:t>
                  </w:r>
                  <w:r>
                    <w:rPr>
                      <w:rFonts w:ascii="Times New Roman" w:hAnsi="Times New Roman"/>
                      <w:sz w:val="24"/>
                    </w:rPr>
                    <w:t xml:space="preserve"> </w:t>
                  </w:r>
                  <w:r>
                    <w:rPr>
                      <w:rFonts w:ascii="Arial" w:hAnsi="Arial"/>
                      <w:sz w:val="24"/>
                    </w:rPr>
                    <w:t xml:space="preserve">maternel, </w:t>
                  </w:r>
                  <w:r>
                    <w:rPr>
                      <w:rFonts w:ascii="Wingdings" w:hAnsi="Wingdings"/>
                      <w:sz w:val="24"/>
                    </w:rPr>
                    <w:t></w:t>
                  </w:r>
                  <w:r>
                    <w:rPr>
                      <w:rFonts w:ascii="Times New Roman" w:hAnsi="Times New Roman"/>
                      <w:sz w:val="24"/>
                    </w:rPr>
                    <w:t xml:space="preserve"> </w:t>
                  </w:r>
                  <w:r>
                    <w:rPr>
                      <w:rFonts w:ascii="Arial" w:hAnsi="Arial"/>
                      <w:sz w:val="24"/>
                    </w:rPr>
                    <w:t xml:space="preserve">primaire, </w:t>
                  </w:r>
                  <w:r>
                    <w:rPr>
                      <w:rFonts w:ascii="Wingdings" w:hAnsi="Wingdings"/>
                      <w:sz w:val="24"/>
                    </w:rPr>
                    <w:t></w:t>
                  </w:r>
                  <w:r>
                    <w:rPr>
                      <w:rFonts w:ascii="Times New Roman" w:hAnsi="Times New Roman"/>
                      <w:sz w:val="24"/>
                    </w:rPr>
                    <w:t xml:space="preserve"> </w:t>
                  </w:r>
                  <w:r>
                    <w:rPr>
                      <w:rFonts w:ascii="Arial" w:hAnsi="Arial"/>
                      <w:sz w:val="24"/>
                    </w:rPr>
                    <w:t xml:space="preserve">secondaire. Type : </w:t>
                  </w:r>
                  <w:r>
                    <w:rPr>
                      <w:rFonts w:ascii="Wingdings" w:hAnsi="Wingdings"/>
                      <w:sz w:val="24"/>
                    </w:rPr>
                    <w:t></w:t>
                  </w:r>
                  <w:r>
                    <w:rPr>
                      <w:rFonts w:ascii="Arial" w:hAnsi="Arial"/>
                      <w:sz w:val="24"/>
                    </w:rPr>
                    <w:t xml:space="preserve">1, </w:t>
                  </w:r>
                  <w:r>
                    <w:rPr>
                      <w:rFonts w:ascii="Wingdings" w:hAnsi="Wingdings"/>
                      <w:sz w:val="24"/>
                    </w:rPr>
                    <w:t></w:t>
                  </w:r>
                  <w:r>
                    <w:rPr>
                      <w:rFonts w:ascii="Times New Roman" w:hAnsi="Times New Roman"/>
                      <w:sz w:val="24"/>
                    </w:rPr>
                    <w:t xml:space="preserve"> </w:t>
                  </w:r>
                  <w:r>
                    <w:rPr>
                      <w:rFonts w:ascii="Arial" w:hAnsi="Arial"/>
                      <w:sz w:val="24"/>
                    </w:rPr>
                    <w:t xml:space="preserve">2, </w:t>
                  </w:r>
                  <w:r>
                    <w:rPr>
                      <w:rFonts w:ascii="Wingdings" w:hAnsi="Wingdings"/>
                      <w:sz w:val="24"/>
                    </w:rPr>
                    <w:t></w:t>
                  </w:r>
                  <w:r>
                    <w:rPr>
                      <w:rFonts w:ascii="Times New Roman" w:hAnsi="Times New Roman"/>
                      <w:sz w:val="24"/>
                    </w:rPr>
                    <w:t xml:space="preserve"> </w:t>
                  </w:r>
                  <w:r>
                    <w:rPr>
                      <w:rFonts w:ascii="Arial" w:hAnsi="Arial"/>
                      <w:sz w:val="24"/>
                    </w:rPr>
                    <w:t xml:space="preserve">3, </w:t>
                  </w:r>
                  <w:r>
                    <w:rPr>
                      <w:rFonts w:ascii="Wingdings" w:hAnsi="Wingdings"/>
                      <w:sz w:val="24"/>
                    </w:rPr>
                    <w:t></w:t>
                  </w:r>
                  <w:r>
                    <w:rPr>
                      <w:rFonts w:ascii="Times New Roman" w:hAnsi="Times New Roman"/>
                      <w:sz w:val="24"/>
                    </w:rPr>
                    <w:t xml:space="preserve"> </w:t>
                  </w:r>
                  <w:r>
                    <w:rPr>
                      <w:rFonts w:ascii="Arial" w:hAnsi="Arial"/>
                      <w:sz w:val="24"/>
                    </w:rPr>
                    <w:t xml:space="preserve">4, </w:t>
                  </w:r>
                  <w:r>
                    <w:rPr>
                      <w:rFonts w:ascii="Wingdings" w:hAnsi="Wingdings"/>
                      <w:sz w:val="24"/>
                    </w:rPr>
                    <w:t></w:t>
                  </w:r>
                  <w:r>
                    <w:rPr>
                      <w:rFonts w:ascii="Times New Roman" w:hAnsi="Times New Roman"/>
                      <w:sz w:val="24"/>
                    </w:rPr>
                    <w:t xml:space="preserve"> </w:t>
                  </w:r>
                  <w:r>
                    <w:rPr>
                      <w:rFonts w:ascii="Arial" w:hAnsi="Arial"/>
                      <w:sz w:val="24"/>
                    </w:rPr>
                    <w:t xml:space="preserve">5, </w:t>
                  </w:r>
                  <w:r>
                    <w:rPr>
                      <w:rFonts w:ascii="Wingdings" w:hAnsi="Wingdings"/>
                      <w:sz w:val="24"/>
                    </w:rPr>
                    <w:t></w:t>
                  </w:r>
                  <w:r>
                    <w:rPr>
                      <w:rFonts w:ascii="Times New Roman" w:hAnsi="Times New Roman"/>
                      <w:sz w:val="24"/>
                    </w:rPr>
                    <w:t xml:space="preserve"> </w:t>
                  </w:r>
                  <w:r>
                    <w:rPr>
                      <w:rFonts w:ascii="Arial" w:hAnsi="Arial"/>
                      <w:sz w:val="24"/>
                    </w:rPr>
                    <w:t xml:space="preserve">6, </w:t>
                  </w:r>
                  <w:r>
                    <w:rPr>
                      <w:rFonts w:ascii="Wingdings" w:hAnsi="Wingdings"/>
                      <w:sz w:val="24"/>
                    </w:rPr>
                    <w:t></w:t>
                  </w:r>
                  <w:r>
                    <w:rPr>
                      <w:rFonts w:ascii="Times New Roman" w:hAnsi="Times New Roman"/>
                      <w:sz w:val="24"/>
                    </w:rPr>
                    <w:t xml:space="preserve"> </w:t>
                  </w:r>
                  <w:r>
                    <w:rPr>
                      <w:rFonts w:ascii="Arial" w:hAnsi="Arial"/>
                      <w:sz w:val="24"/>
                    </w:rPr>
                    <w:t xml:space="preserve">7, </w:t>
                  </w:r>
                  <w:r>
                    <w:rPr>
                      <w:rFonts w:ascii="Wingdings" w:hAnsi="Wingdings"/>
                      <w:sz w:val="24"/>
                    </w:rPr>
                    <w:t></w:t>
                  </w:r>
                  <w:r>
                    <w:rPr>
                      <w:rFonts w:ascii="Times New Roman" w:hAnsi="Times New Roman"/>
                      <w:sz w:val="24"/>
                    </w:rPr>
                    <w:t xml:space="preserve"> </w:t>
                  </w:r>
                  <w:r>
                    <w:rPr>
                      <w:rFonts w:ascii="Arial" w:hAnsi="Arial"/>
                      <w:sz w:val="24"/>
                    </w:rPr>
                    <w:t>8.</w:t>
                  </w:r>
                </w:p>
                <w:p w:rsidR="00F04EEF" w:rsidRDefault="0099351E">
                  <w:pPr>
                    <w:spacing w:line="274" w:lineRule="exact"/>
                    <w:ind w:left="696"/>
                    <w:rPr>
                      <w:rFonts w:ascii="Arial" w:hAnsi="Arial"/>
                      <w:sz w:val="24"/>
                    </w:rPr>
                  </w:pPr>
                  <w:r>
                    <w:rPr>
                      <w:rFonts w:ascii="Arial" w:hAnsi="Arial"/>
                      <w:sz w:val="24"/>
                    </w:rPr>
                    <w:t xml:space="preserve">Pédagogie adaptée : </w:t>
                  </w:r>
                  <w:r>
                    <w:rPr>
                      <w:rFonts w:ascii="Wingdings" w:hAnsi="Wingdings"/>
                      <w:sz w:val="24"/>
                    </w:rPr>
                    <w:t></w:t>
                  </w:r>
                  <w:r>
                    <w:rPr>
                      <w:rFonts w:ascii="Times New Roman" w:hAnsi="Times New Roman"/>
                      <w:sz w:val="24"/>
                    </w:rPr>
                    <w:t xml:space="preserve"> </w:t>
                  </w:r>
                  <w:r>
                    <w:rPr>
                      <w:rFonts w:ascii="Arial" w:hAnsi="Arial"/>
                      <w:sz w:val="24"/>
                    </w:rPr>
                    <w:t xml:space="preserve">autisme, </w:t>
                  </w:r>
                  <w:r>
                    <w:rPr>
                      <w:rFonts w:ascii="Wingdings" w:hAnsi="Wingdings"/>
                      <w:sz w:val="24"/>
                    </w:rPr>
                    <w:t></w:t>
                  </w:r>
                  <w:r>
                    <w:rPr>
                      <w:rFonts w:ascii="Times New Roman" w:hAnsi="Times New Roman"/>
                      <w:sz w:val="24"/>
                    </w:rPr>
                    <w:t xml:space="preserve"> </w:t>
                  </w:r>
                  <w:r>
                    <w:rPr>
                      <w:rFonts w:ascii="Arial" w:hAnsi="Arial"/>
                      <w:sz w:val="24"/>
                    </w:rPr>
                    <w:t xml:space="preserve">polyhandicap, </w:t>
                  </w:r>
                  <w:r>
                    <w:rPr>
                      <w:rFonts w:ascii="Wingdings" w:hAnsi="Wingdings"/>
                      <w:sz w:val="24"/>
                    </w:rPr>
                    <w:t></w:t>
                  </w:r>
                  <w:r>
                    <w:rPr>
                      <w:rFonts w:ascii="Times New Roman" w:hAnsi="Times New Roman"/>
                      <w:sz w:val="24"/>
                    </w:rPr>
                    <w:t xml:space="preserve"> </w:t>
                  </w:r>
                  <w:r>
                    <w:rPr>
                      <w:rFonts w:ascii="Arial" w:hAnsi="Arial"/>
                      <w:sz w:val="24"/>
                    </w:rPr>
                    <w:t>aphasie ou dysphasie ;</w:t>
                  </w:r>
                </w:p>
                <w:p w:rsidR="00F04EEF" w:rsidRDefault="0099351E">
                  <w:pPr>
                    <w:pStyle w:val="Paragraphedeliste"/>
                    <w:widowControl w:val="0"/>
                    <w:numPr>
                      <w:ilvl w:val="1"/>
                      <w:numId w:val="320"/>
                    </w:numPr>
                    <w:tabs>
                      <w:tab w:val="left" w:pos="3388"/>
                    </w:tabs>
                    <w:suppressAutoHyphens w:val="0"/>
                    <w:autoSpaceDE w:val="0"/>
                    <w:autoSpaceDN w:val="0"/>
                    <w:spacing w:line="278" w:lineRule="exact"/>
                    <w:rPr>
                      <w:sz w:val="24"/>
                    </w:rPr>
                  </w:pPr>
                  <w:r>
                    <w:rPr>
                      <w:sz w:val="24"/>
                    </w:rPr>
                    <w:t>HPLCI</w:t>
                  </w:r>
                  <w:r>
                    <w:rPr>
                      <w:position w:val="8"/>
                      <w:sz w:val="16"/>
                    </w:rPr>
                    <w:t>1</w:t>
                  </w:r>
                  <w:r>
                    <w:rPr>
                      <w:sz w:val="24"/>
                    </w:rPr>
                    <w:t>.</w:t>
                  </w:r>
                </w:p>
                <w:p w:rsidR="00F04EEF" w:rsidRDefault="0099351E">
                  <w:pPr>
                    <w:pStyle w:val="Paragraphedeliste"/>
                    <w:widowControl w:val="0"/>
                    <w:numPr>
                      <w:ilvl w:val="0"/>
                      <w:numId w:val="319"/>
                    </w:numPr>
                    <w:tabs>
                      <w:tab w:val="left" w:pos="978"/>
                    </w:tabs>
                    <w:suppressAutoHyphens w:val="0"/>
                    <w:autoSpaceDE w:val="0"/>
                    <w:autoSpaceDN w:val="0"/>
                    <w:ind w:left="977" w:hanging="282"/>
                    <w:rPr>
                      <w:sz w:val="24"/>
                    </w:rPr>
                  </w:pPr>
                  <w:r>
                    <w:rPr>
                      <w:sz w:val="24"/>
                    </w:rPr>
                    <w:t>Classe à visée</w:t>
                  </w:r>
                  <w:r>
                    <w:rPr>
                      <w:spacing w:val="1"/>
                      <w:sz w:val="24"/>
                    </w:rPr>
                    <w:t xml:space="preserve"> </w:t>
                  </w:r>
                  <w:r>
                    <w:rPr>
                      <w:sz w:val="24"/>
                    </w:rPr>
                    <w:t>inclusive.</w:t>
                  </w:r>
                </w:p>
                <w:p w:rsidR="00F04EEF" w:rsidRDefault="0099351E">
                  <w:pPr>
                    <w:ind w:left="696"/>
                    <w:rPr>
                      <w:rFonts w:ascii="Arial" w:hAnsi="Arial"/>
                      <w:sz w:val="24"/>
                    </w:rPr>
                  </w:pPr>
                  <w:r>
                    <w:rPr>
                      <w:rFonts w:ascii="Arial" w:hAnsi="Arial"/>
                      <w:sz w:val="24"/>
                    </w:rPr>
                    <w:t>Attestation complémentaire pour la pédagogie adaptée : oui / non.</w:t>
                  </w:r>
                </w:p>
                <w:p w:rsidR="00F04EEF" w:rsidRDefault="00F04EEF">
                  <w:pPr>
                    <w:pStyle w:val="Corpsdetexte"/>
                  </w:pPr>
                </w:p>
                <w:p w:rsidR="00F04EEF" w:rsidRDefault="00F04EEF">
                  <w:pPr>
                    <w:pStyle w:val="Corpsdetexte"/>
                  </w:pPr>
                </w:p>
                <w:p w:rsidR="00F04EEF" w:rsidRDefault="00F04EEF">
                  <w:pPr>
                    <w:pStyle w:val="Corpsdetexte"/>
                  </w:pPr>
                </w:p>
                <w:p w:rsidR="00F04EEF" w:rsidRDefault="00F04EEF">
                  <w:pPr>
                    <w:pStyle w:val="Corpsdetexte"/>
                  </w:pPr>
                </w:p>
                <w:tbl>
                  <w:tblPr>
                    <w:tblStyle w:val="TableNormal"/>
                    <w:tblW w:w="0" w:type="auto"/>
                    <w:tblInd w:w="503" w:type="dxa"/>
                    <w:tblLayout w:type="fixed"/>
                    <w:tblLook w:val="01E0" w:firstRow="1" w:lastRow="1" w:firstColumn="1" w:lastColumn="1" w:noHBand="0" w:noVBand="0"/>
                  </w:tblPr>
                  <w:tblGrid>
                    <w:gridCol w:w="7884"/>
                  </w:tblGrid>
                  <w:tr w:rsidR="00F04EEF">
                    <w:trPr>
                      <w:trHeight w:val="756"/>
                    </w:trPr>
                    <w:tc>
                      <w:tcPr>
                        <w:tcW w:w="7884" w:type="dxa"/>
                      </w:tcPr>
                      <w:p w:rsidR="00F04EEF" w:rsidRDefault="0099351E">
                        <w:pPr>
                          <w:pStyle w:val="TableParagraph"/>
                          <w:tabs>
                            <w:tab w:val="left" w:pos="5579"/>
                          </w:tabs>
                          <w:spacing w:line="247" w:lineRule="exact"/>
                          <w:ind w:left="200"/>
                          <w:rPr>
                            <w:rFonts w:ascii="Arial"/>
                            <w:b/>
                          </w:rPr>
                        </w:pPr>
                        <w:r>
                          <w:rPr>
                            <w:rFonts w:ascii="Arial"/>
                            <w:b/>
                          </w:rPr>
                          <w:t>DATE</w:t>
                        </w:r>
                        <w:r>
                          <w:rPr>
                            <w:rFonts w:ascii="Arial"/>
                            <w:b/>
                            <w:spacing w:val="-1"/>
                          </w:rPr>
                          <w:t xml:space="preserve"> </w:t>
                        </w:r>
                        <w:r>
                          <w:rPr>
                            <w:rFonts w:ascii="Arial"/>
                            <w:b/>
                          </w:rPr>
                          <w:t>:</w:t>
                        </w:r>
                        <w:r>
                          <w:rPr>
                            <w:rFonts w:ascii="Arial"/>
                            <w:b/>
                          </w:rPr>
                          <w:tab/>
                          <w:t>SIGNATURE</w:t>
                        </w:r>
                        <w:r>
                          <w:rPr>
                            <w:rFonts w:ascii="Arial"/>
                            <w:b/>
                            <w:spacing w:val="4"/>
                          </w:rPr>
                          <w:t xml:space="preserve"> </w:t>
                        </w:r>
                        <w:r>
                          <w:rPr>
                            <w:rFonts w:ascii="Arial"/>
                            <w:b/>
                          </w:rPr>
                          <w:t>:</w:t>
                        </w:r>
                      </w:p>
                    </w:tc>
                  </w:tr>
                  <w:tr w:rsidR="00F04EEF">
                    <w:trPr>
                      <w:trHeight w:val="2275"/>
                    </w:trPr>
                    <w:tc>
                      <w:tcPr>
                        <w:tcW w:w="7884" w:type="dxa"/>
                      </w:tcPr>
                      <w:p w:rsidR="00F04EEF" w:rsidRDefault="00F04EEF">
                        <w:pPr>
                          <w:pStyle w:val="TableParagraph"/>
                          <w:rPr>
                            <w:rFonts w:ascii="Arial"/>
                            <w:sz w:val="24"/>
                          </w:rPr>
                        </w:pPr>
                      </w:p>
                      <w:p w:rsidR="00F04EEF" w:rsidRDefault="00F04EEF">
                        <w:pPr>
                          <w:pStyle w:val="TableParagraph"/>
                          <w:spacing w:before="8"/>
                          <w:rPr>
                            <w:rFonts w:ascii="Arial"/>
                            <w:sz w:val="19"/>
                          </w:rPr>
                        </w:pPr>
                      </w:p>
                      <w:p w:rsidR="00F04EEF" w:rsidRDefault="0099351E">
                        <w:pPr>
                          <w:pStyle w:val="TableParagraph"/>
                          <w:ind w:left="200"/>
                          <w:rPr>
                            <w:rFonts w:ascii="Arial" w:hAnsi="Arial"/>
                          </w:rPr>
                        </w:pPr>
                        <w:r>
                          <w:rPr>
                            <w:rFonts w:ascii="Arial" w:hAnsi="Arial"/>
                            <w:b/>
                          </w:rPr>
                          <w:t xml:space="preserve">Formulaire de demande à adresser </w:t>
                        </w:r>
                        <w:r>
                          <w:rPr>
                            <w:rFonts w:ascii="Arial" w:hAnsi="Arial"/>
                          </w:rPr>
                          <w:t>:</w:t>
                        </w:r>
                      </w:p>
                      <w:p w:rsidR="00F04EEF" w:rsidRDefault="0099351E">
                        <w:pPr>
                          <w:pStyle w:val="TableParagraph"/>
                          <w:spacing w:before="4"/>
                          <w:ind w:left="200" w:right="2955"/>
                          <w:rPr>
                            <w:rFonts w:ascii="Arial" w:hAnsi="Arial"/>
                          </w:rPr>
                        </w:pPr>
                        <w:r>
                          <w:rPr>
                            <w:rFonts w:ascii="Arial" w:hAnsi="Arial"/>
                          </w:rPr>
                          <w:t>Direction générale de l’enseignement obligatoire Service de l’enseignement spécialisé</w:t>
                        </w:r>
                      </w:p>
                      <w:p w:rsidR="00F04EEF" w:rsidRDefault="0099351E">
                        <w:pPr>
                          <w:pStyle w:val="TableParagraph"/>
                          <w:spacing w:line="251" w:lineRule="exact"/>
                          <w:ind w:left="200"/>
                          <w:rPr>
                            <w:rFonts w:ascii="Arial"/>
                          </w:rPr>
                        </w:pPr>
                        <w:r>
                          <w:rPr>
                            <w:rFonts w:ascii="Arial"/>
                          </w:rPr>
                          <w:t>Madame Nathalie DUJARDIN</w:t>
                        </w:r>
                      </w:p>
                      <w:p w:rsidR="00F04EEF" w:rsidRDefault="0099351E">
                        <w:pPr>
                          <w:pStyle w:val="TableParagraph"/>
                          <w:spacing w:before="1"/>
                          <w:ind w:left="200" w:right="3247"/>
                          <w:rPr>
                            <w:rFonts w:ascii="Arial" w:hAnsi="Arial"/>
                          </w:rPr>
                        </w:pPr>
                        <w:r>
                          <w:rPr>
                            <w:rFonts w:ascii="Arial" w:hAnsi="Arial"/>
                          </w:rPr>
                          <w:t xml:space="preserve">Rue Adolphe Lavallée, 1 - Bureau </w:t>
                        </w:r>
                        <w:r>
                          <w:rPr>
                            <w:rFonts w:ascii="Arial" w:hAnsi="Arial"/>
                            <w:spacing w:val="-4"/>
                          </w:rPr>
                          <w:t xml:space="preserve">2F250 </w:t>
                        </w:r>
                        <w:r>
                          <w:rPr>
                            <w:rFonts w:ascii="Arial" w:hAnsi="Arial"/>
                          </w:rPr>
                          <w:t>1080</w:t>
                        </w:r>
                        <w:r>
                          <w:rPr>
                            <w:rFonts w:ascii="Arial" w:hAnsi="Arial"/>
                            <w:spacing w:val="60"/>
                          </w:rPr>
                          <w:t xml:space="preserve"> </w:t>
                        </w:r>
                        <w:r>
                          <w:rPr>
                            <w:rFonts w:ascii="Arial" w:hAnsi="Arial"/>
                          </w:rPr>
                          <w:t>BRUXELLES</w:t>
                        </w:r>
                      </w:p>
                      <w:p w:rsidR="00F04EEF" w:rsidRDefault="0099351E">
                        <w:pPr>
                          <w:pStyle w:val="TableParagraph"/>
                          <w:spacing w:line="231" w:lineRule="exact"/>
                          <w:ind w:left="200"/>
                          <w:rPr>
                            <w:rFonts w:ascii="Arial" w:hAnsi="Arial"/>
                            <w:b/>
                            <w:lang w:val="nl-BE"/>
                          </w:rPr>
                        </w:pPr>
                        <w:r>
                          <w:rPr>
                            <w:rFonts w:ascii="Wingdings" w:hAnsi="Wingdings"/>
                          </w:rPr>
                          <w:t></w:t>
                        </w:r>
                        <w:r>
                          <w:rPr>
                            <w:rFonts w:ascii="Times New Roman" w:hAnsi="Times New Roman"/>
                            <w:lang w:val="nl-BE"/>
                          </w:rPr>
                          <w:t xml:space="preserve"> </w:t>
                        </w:r>
                        <w:r>
                          <w:rPr>
                            <w:rFonts w:ascii="Arial" w:hAnsi="Arial"/>
                            <w:lang w:val="nl-BE"/>
                          </w:rPr>
                          <w:t xml:space="preserve">: 02/690.88.59 – GSM : 0472/94.31.95 - </w:t>
                        </w:r>
                        <w:r>
                          <w:rPr>
                            <w:rFonts w:ascii="Wingdings" w:hAnsi="Wingdings"/>
                          </w:rPr>
                          <w:t></w:t>
                        </w:r>
                        <w:r>
                          <w:rPr>
                            <w:rFonts w:ascii="Times New Roman" w:hAnsi="Times New Roman"/>
                            <w:lang w:val="nl-BE"/>
                          </w:rPr>
                          <w:t xml:space="preserve"> </w:t>
                        </w:r>
                        <w:hyperlink r:id="rId120">
                          <w:r>
                            <w:rPr>
                              <w:rFonts w:ascii="Arial" w:hAnsi="Arial"/>
                              <w:b/>
                              <w:color w:val="0000FF"/>
                              <w:u w:val="thick" w:color="0000FF"/>
                              <w:lang w:val="nl-BE"/>
                            </w:rPr>
                            <w:t>nathalie.dujardin@cfwb.be</w:t>
                          </w:r>
                        </w:hyperlink>
                      </w:p>
                    </w:tc>
                  </w:tr>
                </w:tbl>
                <w:p w:rsidR="00F04EEF" w:rsidRDefault="00F04EEF">
                  <w:pPr>
                    <w:pStyle w:val="Corpsdetexte"/>
                    <w:rPr>
                      <w:lang w:val="nl-BE"/>
                    </w:rPr>
                  </w:pPr>
                </w:p>
                <w:p w:rsidR="00F04EEF" w:rsidRDefault="00F04EEF">
                  <w:pPr>
                    <w:pStyle w:val="Corpsdetexte"/>
                    <w:rPr>
                      <w:lang w:val="nl-BE"/>
                    </w:rPr>
                  </w:pPr>
                </w:p>
                <w:p w:rsidR="00F04EEF" w:rsidRDefault="0099351E">
                  <w:pPr>
                    <w:pStyle w:val="Corpsdetexte"/>
                    <w:rPr>
                      <w:rFonts w:ascii="Arial"/>
                      <w:sz w:val="26"/>
                      <w:lang w:val="nl-BE"/>
                    </w:rPr>
                  </w:pPr>
                  <w:r>
                    <w:rPr>
                      <w:noProof/>
                      <w:lang w:eastAsia="fr-BE"/>
                    </w:rPr>
                    <mc:AlternateContent>
                      <mc:Choice Requires="wps">
                        <w:drawing>
                          <wp:anchor distT="0" distB="0" distL="0" distR="0" simplePos="0" relativeHeight="252042240" behindDoc="1" locked="0" layoutInCell="1" allowOverlap="1">
                            <wp:simplePos x="0" y="0"/>
                            <wp:positionH relativeFrom="page">
                              <wp:posOffset>827405</wp:posOffset>
                            </wp:positionH>
                            <wp:positionV relativeFrom="paragraph">
                              <wp:posOffset>224155</wp:posOffset>
                            </wp:positionV>
                            <wp:extent cx="5905500" cy="2967990"/>
                            <wp:effectExtent l="0" t="0" r="19050" b="10160"/>
                            <wp:wrapTopAndBottom/>
                            <wp:docPr id="4947" name="Zone de texte 4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296799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F04EEF" w:rsidRDefault="0099351E">
                                        <w:pPr>
                                          <w:spacing w:before="17"/>
                                          <w:ind w:left="108"/>
                                          <w:rPr>
                                            <w:rFonts w:ascii="Arial" w:hAnsi="Arial"/>
                                            <w:b/>
                                            <w:sz w:val="24"/>
                                          </w:rPr>
                                        </w:pPr>
                                        <w:r>
                                          <w:rPr>
                                            <w:rFonts w:ascii="Times New Roman" w:hAnsi="Times New Roman"/>
                                            <w:spacing w:val="-60"/>
                                            <w:sz w:val="24"/>
                                            <w:u w:val="thick"/>
                                          </w:rPr>
                                          <w:t xml:space="preserve"> </w:t>
                                        </w:r>
                                        <w:r>
                                          <w:rPr>
                                            <w:rFonts w:ascii="Arial" w:hAnsi="Arial"/>
                                            <w:b/>
                                            <w:sz w:val="24"/>
                                            <w:u w:val="thick"/>
                                          </w:rPr>
                                          <w:t>Cadre réservé à l’Administration.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947" o:spid="_x0000_s1042" type="#_x0000_t202" style="position:absolute;margin-left:65.15pt;margin-top:17.65pt;width:465pt;height:233.7pt;z-index:-251274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" filled="f" strokeweight=".48pt">
                            <v:textbox inset="0,0,0,0">
                              <w:txbxContent>
                                <w:p>
                                  <w:pPr>
                                    <w:spacing w:before="17"/>
                                    <w:ind w:left="108"/>
                                    <w:rPr>
                                      <w:rFonts w:ascii="Arial" w:hAnsi="Arial"/>
                                      <w:b/>
                                      <w:sz w:val="24"/>
                                    </w:rPr>
                                  </w:pPr>
                                  <w:r>
                                    <w:rPr>
                                      <w:rFonts w:ascii="Times New Roman" w:hAnsi="Times New Roman"/>
                                      <w:spacing w:val="-60"/>
                                      <w:sz w:val="24"/>
                                      <w:u w:val="thick"/>
                                    </w:rPr>
                                    <w:t xml:space="preserve"> </w:t>
                                  </w:r>
                                  <w:r>
                                    <w:rPr>
                                      <w:rFonts w:ascii="Arial" w:hAnsi="Arial"/>
                                      <w:b/>
                                      <w:sz w:val="24"/>
                                      <w:u w:val="thick"/>
                                    </w:rPr>
                                    <w:t>Cadre réservé à l’Administration.</w:t>
                                  </w:r>
                                </w:p>
                              </w:txbxContent>
                            </v:textbox>
                            <w10:wrap type="topAndBottom" anchorx="page"/>
                          </v:shape>
                        </w:pict>
                      </mc:Fallback>
                    </mc:AlternateContent>
                  </w:r>
                </w:p>
                <w:p w:rsidR="00F04EEF" w:rsidRDefault="00F04EEF">
                  <w:pPr>
                    <w:pStyle w:val="Corpsdetexte"/>
                    <w:rPr>
                      <w:lang w:val="nl-BE"/>
                    </w:rPr>
                  </w:pPr>
                </w:p>
                <w:p w:rsidR="00F04EEF" w:rsidRDefault="0099351E">
                  <w:pPr>
                    <w:pStyle w:val="Corpsdetexte"/>
                    <w:rPr>
                      <w:rFonts w:ascii="Arial"/>
                      <w:sz w:val="26"/>
                      <w:lang w:val="nl-BE"/>
                    </w:rPr>
                  </w:pPr>
                  <w:r>
                    <w:rPr>
                      <w:noProof/>
                      <w:lang w:eastAsia="fr-BE"/>
                    </w:rPr>
                    <mc:AlternateContent>
                      <mc:Choice Requires="wps">
                        <w:drawing>
                          <wp:anchor distT="4294967295" distB="4294967295" distL="0" distR="0" simplePos="0" relativeHeight="252043264" behindDoc="1" locked="0" layoutInCell="1" allowOverlap="1">
                            <wp:simplePos x="0" y="0"/>
                            <wp:positionH relativeFrom="page">
                              <wp:posOffset>899160</wp:posOffset>
                            </wp:positionH>
                            <wp:positionV relativeFrom="paragraph">
                              <wp:posOffset>221614</wp:posOffset>
                            </wp:positionV>
                            <wp:extent cx="1829435" cy="0"/>
                            <wp:effectExtent l="0" t="0" r="26670" b="19050"/>
                            <wp:wrapTopAndBottom/>
                            <wp:docPr id="4946" name="Connecteur droit 4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07230C" id="Connecteur droit 4946" o:spid="_x0000_s1026" style="position:absolute;z-index:-25127321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70.8pt,17.45pt" to="214.8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" strokeweight=".72pt">
                            <w10:wrap type="topAndBottom" anchorx="page"/>
                          </v:line>
                        </w:pict>
                      </mc:Fallback>
                    </mc:AlternateContent>
                  </w:r>
                </w:p>
                <w:p w:rsidR="00F04EEF" w:rsidRDefault="0099351E">
                  <w:r>
                    <w:rPr>
                      <w:position w:val="7"/>
                      <w:sz w:val="13"/>
                    </w:rPr>
                    <w:t xml:space="preserve">1 </w:t>
                  </w:r>
                  <w:r>
                    <w:rPr>
                      <w:sz w:val="20"/>
                    </w:rPr>
                    <w:t>Elèves porteurs de handicaps physiques lourds disposant de compétences intellectuelles leur permettant d’accéder aux apprentissages scolaires.</w:t>
                  </w:r>
                  <w:r>
                    <w:br w:type="page"/>
                  </w:r>
                </w:p>
                <w:sdt>
                  <w:sdtPr>
                    <w:rPr>
                      <w:highlight w:val="yellow"/>
                    </w:rPr>
                    <w:id w:val="-1669088165"/>
                    <w:docPartObj>
                      <w:docPartGallery w:val="Cover Pages"/>
                      <w:docPartUnique/>
                    </w:docPartObj>
                  </w:sdtPr>
                  <w:sdtEndPr>
                    <w:rPr>
                      <w:highlight w:val="none"/>
                    </w:rPr>
                  </w:sdtEndPr>
                  <w:sdtContent>
                    <w:bookmarkStart w:id="1360" w:name="_Chapitre_2_:" w:displacedByCustomXml="prev"/>
                    <w:bookmarkEnd w:id="1360" w:displacedByCustomXml="prev"/>
                    <w:p w:rsidR="00F04EEF" w:rsidRDefault="00F04EEF">
                      <w:pPr>
                        <w:rPr>
                          <w:rStyle w:val="Titre3Car2"/>
                          <w:b w:val="0"/>
                          <w:sz w:val="22"/>
                          <w:szCs w:val="22"/>
                          <w:u w:val="none"/>
                        </w:rPr>
                      </w:pPr>
                    </w:p>
                    <w:p w:rsidR="00F04EEF" w:rsidRDefault="0099351E">
                      <w:pPr>
                        <w:pStyle w:val="Titre4"/>
                      </w:pPr>
                      <w:bookmarkStart w:id="1361" w:name="_Annexe_23_:"/>
                      <w:bookmarkStart w:id="1362" w:name="_Annexe_24_:"/>
                      <w:bookmarkEnd w:id="1361"/>
                      <w:bookmarkEnd w:id="1362"/>
                      <w:r>
                        <w:rPr>
                          <w:caps/>
                        </w:rPr>
                        <w:t>A</w:t>
                      </w:r>
                      <w:r>
                        <w:t>nnexe 21</w:t>
                      </w:r>
                      <w:r>
                        <w:rPr>
                          <w:caps/>
                        </w:rPr>
                        <w:t> :</w:t>
                      </w:r>
                      <w:r>
                        <w:t xml:space="preserve"> informations relatives à la gratuité</w:t>
                      </w:r>
                    </w:p>
                    <w:p w:rsidR="00F04EEF" w:rsidRDefault="0099351E">
                      <w:r>
                        <w:rPr>
                          <w:noProof/>
                          <w:lang w:eastAsia="fr-BE"/>
                        </w:rPr>
                        <w:drawing>
                          <wp:anchor distT="0" distB="0" distL="114300" distR="114300" simplePos="0" relativeHeight="252137472" behindDoc="1" locked="0" layoutInCell="1" allowOverlap="1">
                            <wp:simplePos x="0" y="0"/>
                            <wp:positionH relativeFrom="column">
                              <wp:posOffset>-128905</wp:posOffset>
                            </wp:positionH>
                            <wp:positionV relativeFrom="paragraph">
                              <wp:posOffset>328295</wp:posOffset>
                            </wp:positionV>
                            <wp:extent cx="6229350" cy="8763152"/>
                            <wp:effectExtent l="0" t="0" r="0" b="0"/>
                            <wp:wrapNone/>
                            <wp:docPr id="448" name="Imag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231157" cy="8765694"/>
                                    </a:xfrm>
                                    <a:prstGeom prst="rect">
                                      <a:avLst/>
                                    </a:prstGeom>
                                  </pic:spPr>
                                </pic:pic>
                              </a:graphicData>
                            </a:graphic>
                          </wp:anchor>
                        </w:drawing>
                      </w:r>
                      <w:r>
                        <w:br w:type="page"/>
                      </w:r>
                      <w:r>
                        <w:rPr>
                          <w:noProof/>
                          <w:lang w:eastAsia="fr-BE"/>
                        </w:rPr>
                        <w:drawing>
                          <wp:anchor distT="0" distB="0" distL="114300" distR="114300" simplePos="0" relativeHeight="252138496" behindDoc="1" locked="0" layoutInCell="1" allowOverlap="1">
                            <wp:simplePos x="0" y="0"/>
                            <wp:positionH relativeFrom="column">
                              <wp:posOffset>-24765</wp:posOffset>
                            </wp:positionH>
                            <wp:positionV relativeFrom="paragraph">
                              <wp:posOffset>55880</wp:posOffset>
                            </wp:positionV>
                            <wp:extent cx="6258961" cy="8753475"/>
                            <wp:effectExtent l="0" t="0" r="8890" b="0"/>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258961" cy="8753475"/>
                                    </a:xfrm>
                                    <a:prstGeom prst="rect">
                                      <a:avLst/>
                                    </a:prstGeom>
                                  </pic:spPr>
                                </pic:pic>
                              </a:graphicData>
                            </a:graphic>
                          </wp:anchor>
                        </w:drawing>
                      </w:r>
                      <w:r>
                        <w:br w:type="page"/>
                      </w:r>
                    </w:p>
                    <w:p w:rsidR="00F04EEF" w:rsidRDefault="0099351E">
                      <w:pPr>
                        <w:pStyle w:val="Titre2"/>
                      </w:pPr>
                      <w:bookmarkStart w:id="1363" w:name="_Chapitre_2_:_1"/>
                      <w:bookmarkStart w:id="1364" w:name="_Toc47708481"/>
                      <w:bookmarkEnd w:id="1363"/>
                      <w:r>
                        <w:t>Chapitre 2 : Rationalisation et programmation</w:t>
                      </w:r>
                      <w:bookmarkEnd w:id="1364"/>
                    </w:p>
                    <w:p w:rsidR="00F04EEF" w:rsidRDefault="00F04EEF">
                      <w:pPr>
                        <w:rPr>
                          <w:lang w:eastAsia="fr-BE"/>
                        </w:rPr>
                      </w:pPr>
                    </w:p>
                    <w:p w:rsidR="00F04EEF" w:rsidRDefault="00F04EEF">
                      <w:pPr>
                        <w:rPr>
                          <w:lang w:eastAsia="fr-BE"/>
                        </w:rPr>
                      </w:pPr>
                    </w:p>
                    <w:p w:rsidR="00F04EEF" w:rsidRDefault="00F42422">
                      <w:pPr>
                        <w:rPr>
                          <w:lang w:eastAsia="fr-BE"/>
                        </w:rPr>
                      </w:pPr>
                    </w:p>
                  </w:sdtContent>
                </w:sdt>
                <w:p w:rsidR="00F04EEF" w:rsidRDefault="0099351E">
                  <w:pPr>
                    <w:rPr>
                      <w:b/>
                      <w:u w:val="single"/>
                    </w:rPr>
                  </w:pPr>
                  <w:bookmarkStart w:id="1365" w:name="_Toc291075254"/>
                  <w:bookmarkStart w:id="1366" w:name="_Toc291075678"/>
                  <w:bookmarkStart w:id="1367" w:name="_Toc291076102"/>
                  <w:bookmarkStart w:id="1368" w:name="_Toc291076526"/>
                  <w:bookmarkStart w:id="1369" w:name="_Toc291076950"/>
                  <w:bookmarkStart w:id="1370" w:name="_Toc293651793"/>
                  <w:bookmarkStart w:id="1371" w:name="_Toc293653376"/>
                  <w:bookmarkStart w:id="1372" w:name="_Toc293653987"/>
                  <w:bookmarkStart w:id="1373" w:name="_Toc294004565"/>
                  <w:bookmarkStart w:id="1374" w:name="_Toc294185061"/>
                  <w:bookmarkStart w:id="1375" w:name="_Toc324165876"/>
                  <w:bookmarkStart w:id="1376" w:name="_Toc324766913"/>
                  <w:bookmarkStart w:id="1377" w:name="_Toc453314275"/>
                  <w:bookmarkStart w:id="1378" w:name="_Toc454980310"/>
                  <w:r>
                    <w:rPr>
                      <w:b/>
                      <w:u w:val="single"/>
                    </w:rPr>
                    <w:t>Bases légales :</w:t>
                  </w:r>
                </w:p>
                <w:p w:rsidR="00F04EEF" w:rsidRDefault="00F04EEF">
                  <w:pPr>
                    <w:rPr>
                      <w:b/>
                      <w:u w:val="single"/>
                    </w:rPr>
                  </w:pPr>
                </w:p>
                <w:p w:rsidR="00F04EEF" w:rsidRDefault="00F42422">
                  <w:pPr>
                    <w:numPr>
                      <w:ilvl w:val="0"/>
                      <w:numId w:val="46"/>
                    </w:numPr>
                    <w:suppressAutoHyphens/>
                    <w:jc w:val="both"/>
                  </w:pPr>
                  <w:hyperlink r:id="rId123" w:history="1">
                    <w:r w:rsidR="0099351E">
                      <w:rPr>
                        <w:rStyle w:val="Lienhypertexte"/>
                        <w:rFonts w:cs="Arial"/>
                      </w:rPr>
                      <w:t>Décret du 3 mars 2004 organisant l'enseignement spécialisé</w:t>
                    </w:r>
                  </w:hyperlink>
                </w:p>
                <w:p w:rsidR="00F04EEF" w:rsidRDefault="00F42422">
                  <w:pPr>
                    <w:numPr>
                      <w:ilvl w:val="0"/>
                      <w:numId w:val="46"/>
                    </w:numPr>
                    <w:suppressAutoHyphens/>
                    <w:jc w:val="both"/>
                    <w:rPr>
                      <w:rStyle w:val="Lienhypertexte"/>
                      <w:rFonts w:cs="Arial"/>
                    </w:rPr>
                  </w:pPr>
                  <w:hyperlink r:id="rId124" w:history="1">
                    <w:r w:rsidR="0099351E">
                      <w:rPr>
                        <w:rStyle w:val="Lienhypertexte"/>
                        <w:rFonts w:cs="Arial"/>
                      </w:rPr>
                      <w:t>Arrêté Royal du 1</w:t>
                    </w:r>
                    <w:r w:rsidR="0099351E">
                      <w:rPr>
                        <w:rStyle w:val="Lienhypertexte"/>
                        <w:rFonts w:cs="Arial"/>
                        <w:vertAlign w:val="superscript"/>
                      </w:rPr>
                      <w:t>er</w:t>
                    </w:r>
                    <w:r w:rsidR="0099351E">
                      <w:rPr>
                        <w:rStyle w:val="Lienhypertexte"/>
                        <w:rFonts w:cs="Arial"/>
                      </w:rPr>
                      <w:t xml:space="preserve"> décembre 1975 concernant le règlement de police de la circulation, la partie de la voie publique aménagée pour la circulation des véhicules en général</w:t>
                    </w:r>
                  </w:hyperlink>
                </w:p>
                <w:p w:rsidR="00F04EEF" w:rsidRDefault="00F42422">
                  <w:pPr>
                    <w:numPr>
                      <w:ilvl w:val="0"/>
                      <w:numId w:val="46"/>
                    </w:numPr>
                    <w:suppressAutoHyphens/>
                    <w:jc w:val="both"/>
                    <w:rPr>
                      <w:rFonts w:cs="Arial"/>
                      <w:color w:val="0000FF"/>
                      <w:u w:val="single"/>
                    </w:rPr>
                  </w:pPr>
                  <w:hyperlink r:id="rId125" w:history="1">
                    <w:r w:rsidR="0099351E">
                      <w:rPr>
                        <w:rStyle w:val="Lienhypertexte"/>
                      </w:rPr>
                      <w:t>Arrêté du Gouvernement de la Communauté française du 13 juillet 2016 portant application du décret du 3 mars 2004 concernant les zones de l'enseignement spécialisé</w:t>
                    </w:r>
                  </w:hyperlink>
                </w:p>
                <w:p w:rsidR="00F04EEF" w:rsidRDefault="00F42422">
                  <w:pPr>
                    <w:numPr>
                      <w:ilvl w:val="0"/>
                      <w:numId w:val="46"/>
                    </w:numPr>
                    <w:suppressAutoHyphens/>
                    <w:jc w:val="both"/>
                    <w:rPr>
                      <w:rStyle w:val="Lienhypertexte"/>
                    </w:rPr>
                  </w:pPr>
                  <w:hyperlink r:id="rId126" w:history="1">
                    <w:r w:rsidR="0099351E">
                      <w:rPr>
                        <w:rStyle w:val="Lienhypertexte"/>
                      </w:rPr>
                      <w:t>Circulaire 5997 relative à la demande d’admission aux subventions des établissements scolaires modifie les circulaires 3383 du 14/12/2010 et 3284 du 14/09/2010</w:t>
                    </w:r>
                  </w:hyperlink>
                </w:p>
                <w:p w:rsidR="00F04EEF" w:rsidRDefault="0099351E">
                  <w:pPr>
                    <w:pStyle w:val="Paragraphedeliste"/>
                    <w:numPr>
                      <w:ilvl w:val="0"/>
                      <w:numId w:val="46"/>
                    </w:numPr>
                    <w:jc w:val="both"/>
                    <w:rPr>
                      <w:rStyle w:val="Lienhypertexte"/>
                      <w:rFonts w:ascii="Calibri" w:hAnsi="Calibri" w:cs="Calibri"/>
                      <w:sz w:val="22"/>
                      <w:szCs w:val="22"/>
                    </w:rPr>
                  </w:pPr>
                  <w:r>
                    <w:rPr>
                      <w:rStyle w:val="Lienhypertexte"/>
                      <w:rFonts w:ascii="Calibri" w:hAnsi="Calibri" w:cs="Calibri"/>
                      <w:sz w:val="22"/>
                      <w:szCs w:val="22"/>
                    </w:rPr>
                    <w:t>Circulaire 7190 du 21 juin 2019 relative à la création de classes et d’implantations à visée inclusive</w:t>
                  </w:r>
                </w:p>
                <w:p w:rsidR="00F04EEF" w:rsidRDefault="00F04EEF">
                  <w:pPr>
                    <w:suppressAutoHyphens/>
                    <w:ind w:left="360"/>
                    <w:jc w:val="both"/>
                  </w:pPr>
                </w:p>
                <w:p w:rsidR="00F04EEF" w:rsidRDefault="00F04EEF">
                  <w:pPr>
                    <w:suppressAutoHyphens/>
                    <w:ind w:left="360"/>
                    <w:jc w:val="both"/>
                    <w:rPr>
                      <w:b/>
                    </w:rPr>
                  </w:pPr>
                </w:p>
                <w:p w:rsidR="00F04EEF" w:rsidRDefault="00F04EEF">
                  <w:pPr>
                    <w:suppressAutoHyphens/>
                    <w:ind w:left="360"/>
                    <w:jc w:val="both"/>
                    <w:rPr>
                      <w:rFonts w:ascii="Cambria" w:hAnsi="Cambria"/>
                      <w:b/>
                    </w:rPr>
                  </w:pPr>
                </w:p>
                <w:p w:rsidR="00F04EEF" w:rsidRDefault="0099351E">
                  <w:pPr>
                    <w:pStyle w:val="Titre3"/>
                    <w:rPr>
                      <w:rFonts w:ascii="Cambria" w:hAnsi="Cambria"/>
                      <w:sz w:val="22"/>
                      <w:szCs w:val="22"/>
                    </w:rPr>
                  </w:pPr>
                  <w:bookmarkStart w:id="1379" w:name="__RefHeading__131_957262308"/>
                  <w:bookmarkStart w:id="1380" w:name="_1._Notions_essentielles"/>
                  <w:bookmarkStart w:id="1381" w:name="_Toc291075248"/>
                  <w:bookmarkStart w:id="1382" w:name="_Toc291075672"/>
                  <w:bookmarkStart w:id="1383" w:name="_Toc291076096"/>
                  <w:bookmarkStart w:id="1384" w:name="_Toc291076520"/>
                  <w:bookmarkStart w:id="1385" w:name="_Toc291076944"/>
                  <w:bookmarkStart w:id="1386" w:name="_Toc293651787"/>
                  <w:bookmarkStart w:id="1387" w:name="_Toc293653370"/>
                  <w:bookmarkStart w:id="1388" w:name="_Toc293653981"/>
                  <w:bookmarkStart w:id="1389" w:name="_Toc294004559"/>
                  <w:bookmarkStart w:id="1390" w:name="_Toc294185055"/>
                  <w:bookmarkStart w:id="1391" w:name="_Toc324165870"/>
                  <w:bookmarkStart w:id="1392" w:name="_Toc324766907"/>
                  <w:bookmarkStart w:id="1393" w:name="_Toc453314269"/>
                  <w:bookmarkStart w:id="1394" w:name="_Toc454980304"/>
                  <w:bookmarkStart w:id="1395" w:name="_Toc47708482"/>
                  <w:bookmarkEnd w:id="1379"/>
                  <w:bookmarkEnd w:id="1380"/>
                  <w:r>
                    <w:rPr>
                      <w:rFonts w:ascii="Cambria" w:hAnsi="Cambria"/>
                      <w:sz w:val="22"/>
                      <w:szCs w:val="22"/>
                    </w:rPr>
                    <w:t>1. Notions essentielles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rsidR="00F04EEF" w:rsidRDefault="00F04EEF">
                  <w:pPr>
                    <w:tabs>
                      <w:tab w:val="left" w:pos="962"/>
                      <w:tab w:val="left" w:pos="1134"/>
                      <w:tab w:val="left" w:pos="1359"/>
                    </w:tabs>
                    <w:jc w:val="both"/>
                    <w:rPr>
                      <w:rFonts w:ascii="Cambria" w:hAnsi="Cambria"/>
                    </w:rPr>
                  </w:pPr>
                </w:p>
                <w:p w:rsidR="00F04EEF" w:rsidRDefault="0099351E">
                  <w:pPr>
                    <w:pStyle w:val="Titre4"/>
                  </w:pPr>
                  <w:bookmarkStart w:id="1396" w:name="_Toc291075249"/>
                  <w:bookmarkStart w:id="1397" w:name="_Toc291075673"/>
                  <w:bookmarkStart w:id="1398" w:name="_Toc291076097"/>
                  <w:bookmarkStart w:id="1399" w:name="_Toc291076521"/>
                  <w:bookmarkStart w:id="1400" w:name="_Toc291076945"/>
                  <w:bookmarkStart w:id="1401" w:name="_Toc293651788"/>
                  <w:bookmarkStart w:id="1402" w:name="_Toc293653371"/>
                  <w:bookmarkStart w:id="1403" w:name="_Toc293653982"/>
                  <w:bookmarkStart w:id="1404" w:name="_Toc294004560"/>
                  <w:bookmarkStart w:id="1405" w:name="_Toc294185056"/>
                  <w:bookmarkStart w:id="1406" w:name="_Toc324165871"/>
                  <w:bookmarkStart w:id="1407" w:name="_Toc324766908"/>
                  <w:bookmarkStart w:id="1408" w:name="_Toc324767766"/>
                  <w:bookmarkStart w:id="1409" w:name="_Toc453314270"/>
                  <w:bookmarkStart w:id="1410" w:name="_Toc454980305"/>
                  <w:r>
                    <w:t>1.1. Réseaux d'enseignement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rsidR="00F04EEF" w:rsidRDefault="00F04EEF">
                  <w:pPr>
                    <w:jc w:val="both"/>
                    <w:rPr>
                      <w:rFonts w:ascii="Cambria" w:hAnsi="Cambria"/>
                    </w:rPr>
                  </w:pPr>
                </w:p>
                <w:p w:rsidR="00F04EEF" w:rsidRDefault="0099351E">
                  <w:pPr>
                    <w:jc w:val="both"/>
                    <w:rPr>
                      <w:rFonts w:ascii="Cambria" w:hAnsi="Cambria"/>
                    </w:rPr>
                  </w:pPr>
                  <w:r>
                    <w:rPr>
                      <w:rFonts w:ascii="Cambria" w:hAnsi="Cambria"/>
                    </w:rPr>
                    <w:t>Les écoles d'enseignement spécialisé sont réparties, en fonction du pouvoir organisateur dont elles relèvent, en trois réseaux :</w:t>
                  </w:r>
                </w:p>
                <w:p w:rsidR="00F04EEF" w:rsidRDefault="00F04EEF">
                  <w:pPr>
                    <w:jc w:val="both"/>
                    <w:rPr>
                      <w:rFonts w:ascii="Cambria" w:hAnsi="Cambria"/>
                    </w:rPr>
                  </w:pPr>
                </w:p>
                <w:p w:rsidR="00F04EEF" w:rsidRDefault="0099351E">
                  <w:pPr>
                    <w:tabs>
                      <w:tab w:val="left" w:pos="720"/>
                    </w:tabs>
                    <w:ind w:left="360" w:hanging="360"/>
                    <w:jc w:val="both"/>
                    <w:rPr>
                      <w:rFonts w:ascii="Cambria" w:hAnsi="Cambria"/>
                    </w:rPr>
                  </w:pPr>
                  <w:r>
                    <w:rPr>
                      <w:rFonts w:ascii="Cambria" w:hAnsi="Cambria"/>
                    </w:rPr>
                    <w:t>a) les écoles officielles organisées par la Fédération Wallonie-Bruxelles ;</w:t>
                  </w:r>
                </w:p>
                <w:p w:rsidR="00F04EEF" w:rsidRDefault="0099351E">
                  <w:pPr>
                    <w:tabs>
                      <w:tab w:val="left" w:pos="720"/>
                    </w:tabs>
                    <w:ind w:left="360" w:hanging="360"/>
                    <w:jc w:val="both"/>
                    <w:rPr>
                      <w:rFonts w:ascii="Cambria" w:hAnsi="Cambria"/>
                    </w:rPr>
                  </w:pPr>
                  <w:r>
                    <w:rPr>
                      <w:rFonts w:ascii="Cambria" w:hAnsi="Cambria"/>
                    </w:rPr>
                    <w:t>b) les écoles officielles organisées par les provinces, les communes ou toute autre personne de droit public ;</w:t>
                  </w:r>
                </w:p>
                <w:p w:rsidR="00F04EEF" w:rsidRDefault="0099351E">
                  <w:pPr>
                    <w:tabs>
                      <w:tab w:val="left" w:pos="720"/>
                    </w:tabs>
                    <w:ind w:left="360" w:hanging="360"/>
                    <w:jc w:val="both"/>
                    <w:rPr>
                      <w:rFonts w:ascii="Cambria" w:hAnsi="Cambria"/>
                    </w:rPr>
                  </w:pPr>
                  <w:r>
                    <w:rPr>
                      <w:rFonts w:ascii="Cambria" w:hAnsi="Cambria"/>
                    </w:rPr>
                    <w:t>c) les écoles libres.</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Les écoles libres sont elles-mêmes réparties en écoles libres confessionnelles (catholique, protestante, israélite,...) et écoles libres non confessionnelles.</w:t>
                  </w:r>
                </w:p>
                <w:p w:rsidR="00F04EEF" w:rsidRDefault="00F04EEF">
                  <w:pPr>
                    <w:jc w:val="both"/>
                    <w:rPr>
                      <w:rFonts w:ascii="Cambria" w:hAnsi="Cambria"/>
                    </w:rPr>
                  </w:pPr>
                </w:p>
                <w:p w:rsidR="00F04EEF" w:rsidRDefault="0099351E">
                  <w:pPr>
                    <w:pStyle w:val="Titre4"/>
                  </w:pPr>
                  <w:bookmarkStart w:id="1411" w:name="_1.2._Normes_de"/>
                  <w:bookmarkStart w:id="1412" w:name="_Toc291075250"/>
                  <w:bookmarkStart w:id="1413" w:name="_Toc291075674"/>
                  <w:bookmarkStart w:id="1414" w:name="_Toc291076098"/>
                  <w:bookmarkStart w:id="1415" w:name="_Toc291076522"/>
                  <w:bookmarkStart w:id="1416" w:name="_Toc291076946"/>
                  <w:bookmarkStart w:id="1417" w:name="_Toc293651789"/>
                  <w:bookmarkStart w:id="1418" w:name="_Toc293653372"/>
                  <w:bookmarkStart w:id="1419" w:name="_Toc293653983"/>
                  <w:bookmarkStart w:id="1420" w:name="_Toc294004561"/>
                  <w:bookmarkStart w:id="1421" w:name="_Toc294185057"/>
                  <w:bookmarkStart w:id="1422" w:name="_Toc324165872"/>
                  <w:bookmarkStart w:id="1423" w:name="_Toc324766909"/>
                  <w:bookmarkStart w:id="1424" w:name="_Toc324767767"/>
                  <w:bookmarkStart w:id="1425" w:name="_Toc453314271"/>
                  <w:bookmarkStart w:id="1426" w:name="_Toc454980306"/>
                  <w:bookmarkEnd w:id="1411"/>
                  <w:r>
                    <w:t>1.2. Normes de rationalisation et de programmation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rsidR="00F04EEF" w:rsidRDefault="00F04EEF">
                  <w:pPr>
                    <w:tabs>
                      <w:tab w:val="left" w:pos="962"/>
                      <w:tab w:val="left" w:pos="1134"/>
                      <w:tab w:val="left" w:pos="1303"/>
                    </w:tabs>
                    <w:jc w:val="both"/>
                    <w:rPr>
                      <w:rFonts w:ascii="Cambria" w:hAnsi="Cambria"/>
                    </w:rPr>
                  </w:pPr>
                </w:p>
                <w:p w:rsidR="00F04EEF" w:rsidRDefault="0099351E">
                  <w:pPr>
                    <w:jc w:val="both"/>
                    <w:rPr>
                      <w:rFonts w:ascii="Cambria" w:hAnsi="Cambria"/>
                    </w:rPr>
                  </w:pPr>
                  <w:r>
                    <w:rPr>
                      <w:rFonts w:ascii="Cambria" w:hAnsi="Cambria"/>
                    </w:rPr>
                    <w:t>Par rationalisation, on entend les normes de maintien.</w:t>
                  </w:r>
                </w:p>
                <w:p w:rsidR="00F04EEF" w:rsidRDefault="0099351E">
                  <w:pPr>
                    <w:jc w:val="both"/>
                    <w:rPr>
                      <w:rFonts w:ascii="Cambria" w:hAnsi="Cambria"/>
                    </w:rPr>
                  </w:pPr>
                  <w:r>
                    <w:rPr>
                      <w:rFonts w:ascii="Cambria" w:hAnsi="Cambria"/>
                    </w:rPr>
                    <w:t>Par programmation, on entend les normes de création.</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Ces normes représentent un nombre d'élèves régulièrement inscrits le 30 septembre de l'année scolaire considérée.</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 xml:space="preserve">Tous les élèves de l'école </w:t>
                  </w:r>
                  <w:r>
                    <w:rPr>
                      <w:rFonts w:ascii="Cambria" w:hAnsi="Cambria"/>
                    </w:rPr>
                    <w:noBreakHyphen/>
                    <w:t xml:space="preserve"> tant du bâtiment principal que des autres lieux d'implantation </w:t>
                  </w:r>
                  <w:r>
                    <w:rPr>
                      <w:rFonts w:ascii="Cambria" w:hAnsi="Cambria"/>
                    </w:rPr>
                    <w:noBreakHyphen/>
                    <w:t xml:space="preserve"> interviennent pour le calcul de ces normes SAUF les élèves qui bénéficient d'un enseignement à domicile.</w:t>
                  </w:r>
                </w:p>
                <w:p w:rsidR="00F04EEF" w:rsidRDefault="00F04EEF">
                  <w:pPr>
                    <w:tabs>
                      <w:tab w:val="left" w:pos="962"/>
                      <w:tab w:val="left" w:pos="1134"/>
                      <w:tab w:val="left" w:pos="1303"/>
                    </w:tabs>
                    <w:jc w:val="both"/>
                    <w:rPr>
                      <w:rFonts w:ascii="Cambria" w:hAnsi="Cambria"/>
                      <w:u w:val="single"/>
                    </w:rPr>
                  </w:pPr>
                </w:p>
                <w:p w:rsidR="00F04EEF" w:rsidRDefault="0099351E">
                  <w:pPr>
                    <w:pStyle w:val="Titre4"/>
                  </w:pPr>
                  <w:bookmarkStart w:id="1427" w:name="_1.3._Fusion_d'écoles"/>
                  <w:bookmarkStart w:id="1428" w:name="_Toc291075251"/>
                  <w:bookmarkStart w:id="1429" w:name="_Toc291075675"/>
                  <w:bookmarkStart w:id="1430" w:name="_Toc291076099"/>
                  <w:bookmarkStart w:id="1431" w:name="_Toc291076523"/>
                  <w:bookmarkStart w:id="1432" w:name="_Toc291076947"/>
                  <w:bookmarkStart w:id="1433" w:name="_Toc293651790"/>
                  <w:bookmarkStart w:id="1434" w:name="_Toc293653373"/>
                  <w:bookmarkStart w:id="1435" w:name="_Toc293653984"/>
                  <w:bookmarkStart w:id="1436" w:name="_Toc294004562"/>
                  <w:bookmarkStart w:id="1437" w:name="_Toc294185058"/>
                  <w:bookmarkStart w:id="1438" w:name="_Toc324165873"/>
                  <w:bookmarkStart w:id="1439" w:name="_Toc324766910"/>
                  <w:bookmarkStart w:id="1440" w:name="_Toc324767768"/>
                  <w:bookmarkStart w:id="1441" w:name="_Toc453314272"/>
                  <w:bookmarkStart w:id="1442" w:name="_Toc454980307"/>
                  <w:bookmarkEnd w:id="1427"/>
                  <w:r>
                    <w:br w:type="page"/>
                    <w:t>1.3. Fusion d'écoles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rsidR="00F04EEF" w:rsidRDefault="00F04EEF">
                  <w:pPr>
                    <w:tabs>
                      <w:tab w:val="left" w:pos="962"/>
                      <w:tab w:val="left" w:pos="1134"/>
                      <w:tab w:val="left" w:pos="1303"/>
                    </w:tabs>
                    <w:jc w:val="both"/>
                    <w:rPr>
                      <w:rFonts w:ascii="Cambria" w:hAnsi="Cambria"/>
                    </w:rPr>
                  </w:pPr>
                </w:p>
                <w:p w:rsidR="00F04EEF" w:rsidRDefault="0099351E">
                  <w:pPr>
                    <w:jc w:val="both"/>
                    <w:rPr>
                      <w:rFonts w:ascii="Cambria" w:hAnsi="Cambria"/>
                    </w:rPr>
                  </w:pPr>
                  <w:r>
                    <w:rPr>
                      <w:rFonts w:ascii="Cambria" w:hAnsi="Cambria"/>
                    </w:rPr>
                    <w:t>Le plan de rationalisation peut amener des écoles à fusionner. Une fusion d'écoles peut se réaliser selon deux procédés :</w:t>
                  </w:r>
                </w:p>
                <w:p w:rsidR="00F04EEF" w:rsidRDefault="00F04EEF">
                  <w:pPr>
                    <w:jc w:val="both"/>
                    <w:rPr>
                      <w:rFonts w:ascii="Cambria" w:hAnsi="Cambria"/>
                    </w:rPr>
                  </w:pPr>
                </w:p>
                <w:p w:rsidR="00F04EEF" w:rsidRDefault="0099351E">
                  <w:pPr>
                    <w:numPr>
                      <w:ilvl w:val="0"/>
                      <w:numId w:val="55"/>
                    </w:numPr>
                    <w:suppressAutoHyphens/>
                    <w:ind w:left="360"/>
                    <w:jc w:val="both"/>
                    <w:rPr>
                      <w:rFonts w:ascii="Cambria" w:hAnsi="Cambria"/>
                    </w:rPr>
                  </w:pPr>
                  <w:r>
                    <w:rPr>
                      <w:rFonts w:ascii="Cambria" w:hAnsi="Cambria"/>
                    </w:rPr>
                    <w:t xml:space="preserve">la fusion proprement dite : réunion, par la création d'une nouvelle école, de deux ou plusieurs écoles qui sont supprimées simultanément ; </w:t>
                  </w:r>
                </w:p>
                <w:p w:rsidR="00F04EEF" w:rsidRDefault="0099351E">
                  <w:pPr>
                    <w:numPr>
                      <w:ilvl w:val="0"/>
                      <w:numId w:val="55"/>
                    </w:numPr>
                    <w:suppressAutoHyphens/>
                    <w:ind w:left="360"/>
                    <w:jc w:val="both"/>
                    <w:rPr>
                      <w:rFonts w:ascii="Cambria" w:hAnsi="Cambria"/>
                    </w:rPr>
                  </w:pPr>
                  <w:r>
                    <w:rPr>
                      <w:rFonts w:ascii="Cambria" w:hAnsi="Cambria"/>
                    </w:rPr>
                    <w:t>la fusion reprise : réunion de deux ou de plusieurs écoles dont l'une continue d'exister et absorbe l'autre, ou les autres, école(s).</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Cette notion doit être précisée par le(s) pouvoir(s) organisateur(s) car elle a un impact sur la situation administrative des membres du personnel.</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 xml:space="preserve">Après la fusion, il ne peut subsister qu'un seul pouvoir organisateur, un seul chef d'établissement et un seul éducateur-économe ou un seul comptable. </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Même en cas de fusion proprement dite, l'école résultant d'une fusion n'est jamais considérée, en matière de rationalisation et de programmation, comme une école nouvelle. Il en résulte notamment qu'elle n'est pas soumise aux règles de la programmation.</w:t>
                  </w:r>
                </w:p>
                <w:p w:rsidR="00F04EEF" w:rsidRDefault="0099351E">
                  <w:pPr>
                    <w:jc w:val="both"/>
                    <w:rPr>
                      <w:rFonts w:ascii="Cambria" w:hAnsi="Cambria"/>
                    </w:rPr>
                  </w:pPr>
                  <w:r>
                    <w:rPr>
                      <w:rFonts w:ascii="Cambria" w:hAnsi="Cambria"/>
                    </w:rPr>
                    <w:t>La fusion ne peut avoir lieu qu'entre le 1</w:t>
                  </w:r>
                  <w:r>
                    <w:rPr>
                      <w:rFonts w:ascii="Cambria" w:hAnsi="Cambria"/>
                      <w:vertAlign w:val="superscript"/>
                    </w:rPr>
                    <w:t>er</w:t>
                  </w:r>
                  <w:r>
                    <w:rPr>
                      <w:rFonts w:ascii="Cambria" w:hAnsi="Cambria"/>
                    </w:rPr>
                    <w:t xml:space="preserve"> et le 30 septembre de l’année scolaire considérée. Toute décision de fusion à partir du 1</w:t>
                  </w:r>
                  <w:r>
                    <w:rPr>
                      <w:rFonts w:ascii="Cambria" w:hAnsi="Cambria"/>
                      <w:vertAlign w:val="superscript"/>
                    </w:rPr>
                    <w:t>er</w:t>
                  </w:r>
                  <w:r>
                    <w:rPr>
                      <w:rFonts w:ascii="Cambria" w:hAnsi="Cambria"/>
                    </w:rPr>
                    <w:t xml:space="preserve"> octobre ne peut avoir d'effets pendant l'année scolaire en cours.</w:t>
                  </w:r>
                </w:p>
                <w:p w:rsidR="00F04EEF" w:rsidRDefault="0099351E">
                  <w:pPr>
                    <w:jc w:val="both"/>
                    <w:rPr>
                      <w:rFonts w:ascii="Cambria" w:hAnsi="Cambria"/>
                    </w:rPr>
                  </w:pPr>
                  <w:r>
                    <w:rPr>
                      <w:rFonts w:ascii="Cambria" w:hAnsi="Cambria"/>
                    </w:rPr>
                    <w:t>Préalablement à toute fusion, le Gouvernement est chargé de vérifier le respect, par les écoles concernées, des dispositions légales et réglementaires en vigueur.</w:t>
                  </w:r>
                </w:p>
                <w:p w:rsidR="00F04EEF" w:rsidRDefault="00F04EEF">
                  <w:pPr>
                    <w:jc w:val="both"/>
                    <w:rPr>
                      <w:rFonts w:ascii="Cambria" w:hAnsi="Cambria"/>
                    </w:rPr>
                  </w:pPr>
                </w:p>
                <w:p w:rsidR="00F04EEF" w:rsidRDefault="00F04EEF">
                  <w:pPr>
                    <w:jc w:val="both"/>
                    <w:rPr>
                      <w:rFonts w:ascii="Cambria" w:hAnsi="Cambria"/>
                    </w:rPr>
                  </w:pPr>
                </w:p>
                <w:p w:rsidR="00F04EEF" w:rsidRDefault="0099351E">
                  <w:pPr>
                    <w:pStyle w:val="Titre4"/>
                  </w:pPr>
                  <w:bookmarkStart w:id="1443" w:name="_1.4._Bâtiment_principal"/>
                  <w:bookmarkStart w:id="1444" w:name="_Toc291075252"/>
                  <w:bookmarkStart w:id="1445" w:name="_Toc291075676"/>
                  <w:bookmarkStart w:id="1446" w:name="_Toc291076100"/>
                  <w:bookmarkStart w:id="1447" w:name="_Toc291076524"/>
                  <w:bookmarkStart w:id="1448" w:name="_Toc291076948"/>
                  <w:bookmarkStart w:id="1449" w:name="_Toc293651791"/>
                  <w:bookmarkStart w:id="1450" w:name="_Toc293653374"/>
                  <w:bookmarkStart w:id="1451" w:name="_Toc293653985"/>
                  <w:bookmarkStart w:id="1452" w:name="_Toc294004563"/>
                  <w:bookmarkStart w:id="1453" w:name="_Toc294185059"/>
                  <w:bookmarkStart w:id="1454" w:name="_Toc324165874"/>
                  <w:bookmarkStart w:id="1455" w:name="_Toc324766911"/>
                  <w:bookmarkStart w:id="1456" w:name="_Toc324767769"/>
                  <w:bookmarkStart w:id="1457" w:name="_Toc453314273"/>
                  <w:bookmarkStart w:id="1458" w:name="_Toc454980308"/>
                  <w:bookmarkEnd w:id="1443"/>
                  <w:r>
                    <w:t>1.4. Bâtiment principal et lieux d'implantation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rsidR="00F04EEF" w:rsidRDefault="00F04EEF">
                  <w:pPr>
                    <w:jc w:val="both"/>
                    <w:rPr>
                      <w:rFonts w:ascii="Cambria" w:hAnsi="Cambria"/>
                    </w:rPr>
                  </w:pPr>
                </w:p>
                <w:p w:rsidR="00F04EEF" w:rsidRDefault="0099351E">
                  <w:pPr>
                    <w:jc w:val="both"/>
                    <w:rPr>
                      <w:rFonts w:ascii="Cambria" w:hAnsi="Cambria"/>
                    </w:rPr>
                  </w:pPr>
                  <w:r>
                    <w:rPr>
                      <w:rFonts w:ascii="Cambria" w:hAnsi="Cambria"/>
                    </w:rPr>
                    <w:t>Une école peut avoir plusieurs implantations parmi lesquelles le pouvoir organisateur détermine le siège administratif.</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Les diverses implantations d'une école doivent être situées dans la même commune ou agglomération, sauf lorsqu'elles résultent d'une fusion d'écoles qui existaient déjà pendant l'année scolaire 1974</w:t>
                  </w:r>
                  <w:r>
                    <w:rPr>
                      <w:rFonts w:ascii="Cambria" w:hAnsi="Cambria"/>
                    </w:rPr>
                    <w:noBreakHyphen/>
                    <w:t>1975.</w:t>
                  </w:r>
                </w:p>
                <w:p w:rsidR="00F04EEF" w:rsidRDefault="0099351E">
                  <w:pPr>
                    <w:jc w:val="both"/>
                    <w:rPr>
                      <w:rFonts w:ascii="Cambria" w:hAnsi="Cambria"/>
                    </w:rPr>
                  </w:pPr>
                  <w:r>
                    <w:rPr>
                      <w:rFonts w:ascii="Cambria" w:hAnsi="Cambria"/>
                    </w:rPr>
                    <w:t>Le Gouvernement de la Fédération Wallonie-Bruxelles peut cependant dans des cas exceptionnels accorder une dérogation à cette règle.</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Ces diverses implantations doivent être placées sous une même direction : l'école qui possède plusieurs lieux d'implantation ne peut donc avoir qu'un seul directeur.</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 xml:space="preserve">Des normes particulières de rationalisation et de programmation sont parfois appliquées aux implantations autres que le bâtiment principal. </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A cet égard, il convient de noter que les implantations situées à moins de 2 km du bâtiment principal sont soumises à un régime plus favorable que les implantations situées à 2 km et plus du bâtiment principal.</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br w:type="page"/>
                    <w:t>La distance entre le bâtiment principal et l'implantation revêt donc une importance très grande. Cette distance est la plus courte possible, mesurée par la route et sans tenir compte des déviations et des sens uniques, conformément à l'article 2</w:t>
                  </w:r>
                  <w:r>
                    <w:rPr>
                      <w:rFonts w:ascii="Cambria" w:hAnsi="Cambria"/>
                      <w:color w:val="FF0000"/>
                    </w:rPr>
                    <w:t xml:space="preserve"> </w:t>
                  </w:r>
                  <w:r>
                    <w:rPr>
                      <w:rFonts w:ascii="Cambria" w:hAnsi="Cambria"/>
                    </w:rPr>
                    <w:t>de l'Arrêté Royal du 1</w:t>
                  </w:r>
                  <w:r>
                    <w:rPr>
                      <w:rFonts w:ascii="Cambria" w:hAnsi="Cambria"/>
                      <w:vertAlign w:val="superscript"/>
                    </w:rPr>
                    <w:t>er</w:t>
                  </w:r>
                  <w:r>
                    <w:rPr>
                      <w:rFonts w:ascii="Cambria" w:hAnsi="Cambria"/>
                    </w:rPr>
                    <w:t xml:space="preserve"> décembre 1975 concernant le règlement de police de la circulation, la partie de la voie publique aménagée pour la circulation des véhicules en général.  </w:t>
                  </w:r>
                </w:p>
                <w:p w:rsidR="00F04EEF" w:rsidRDefault="0099351E">
                  <w:pPr>
                    <w:jc w:val="both"/>
                    <w:rPr>
                      <w:rFonts w:ascii="Cambria" w:hAnsi="Cambria"/>
                    </w:rPr>
                  </w:pPr>
                  <w:r>
                    <w:rPr>
                      <w:rFonts w:ascii="Cambria" w:hAnsi="Cambria"/>
                    </w:rPr>
                    <w:t>En cas de contestation portant sur la distance, celle-ci sera relevée par les vérificateurs.</w:t>
                  </w:r>
                </w:p>
                <w:p w:rsidR="00F04EEF" w:rsidRDefault="00F04EEF">
                  <w:pPr>
                    <w:jc w:val="both"/>
                    <w:rPr>
                      <w:rFonts w:ascii="Cambria" w:hAnsi="Cambria"/>
                    </w:rPr>
                  </w:pPr>
                </w:p>
                <w:p w:rsidR="00F04EEF" w:rsidRDefault="00F04EEF">
                  <w:pPr>
                    <w:jc w:val="both"/>
                    <w:rPr>
                      <w:rFonts w:ascii="Cambria" w:hAnsi="Cambria"/>
                    </w:rPr>
                  </w:pPr>
                </w:p>
                <w:p w:rsidR="00F04EEF" w:rsidRDefault="0099351E">
                  <w:pPr>
                    <w:pStyle w:val="Titre4"/>
                  </w:pPr>
                  <w:bookmarkStart w:id="1459" w:name="_1.5._Densité_de"/>
                  <w:bookmarkStart w:id="1460" w:name="_Toc291075253"/>
                  <w:bookmarkStart w:id="1461" w:name="_Toc291075677"/>
                  <w:bookmarkStart w:id="1462" w:name="_Toc291076101"/>
                  <w:bookmarkStart w:id="1463" w:name="_Toc291076525"/>
                  <w:bookmarkStart w:id="1464" w:name="_Toc291076949"/>
                  <w:bookmarkStart w:id="1465" w:name="_Toc293651792"/>
                  <w:bookmarkStart w:id="1466" w:name="_Toc293653375"/>
                  <w:bookmarkStart w:id="1467" w:name="_Toc293653986"/>
                  <w:bookmarkStart w:id="1468" w:name="_Toc294004564"/>
                  <w:bookmarkStart w:id="1469" w:name="_Toc294185060"/>
                  <w:bookmarkStart w:id="1470" w:name="_Toc324165875"/>
                  <w:bookmarkStart w:id="1471" w:name="_Toc324766912"/>
                  <w:bookmarkStart w:id="1472" w:name="_Toc324767770"/>
                  <w:bookmarkStart w:id="1473" w:name="_Toc453314274"/>
                  <w:bookmarkStart w:id="1474" w:name="_Toc454980309"/>
                  <w:bookmarkEnd w:id="1459"/>
                  <w:r>
                    <w:t>1.5. Densité de population</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rsidR="00F04EEF" w:rsidRDefault="00F04EEF">
                  <w:pPr>
                    <w:jc w:val="both"/>
                    <w:rPr>
                      <w:rFonts w:ascii="Cambria" w:hAnsi="Cambria"/>
                    </w:rPr>
                  </w:pPr>
                </w:p>
                <w:p w:rsidR="00F04EEF" w:rsidRDefault="0099351E">
                  <w:pPr>
                    <w:jc w:val="both"/>
                    <w:rPr>
                      <w:rFonts w:ascii="Cambria" w:hAnsi="Cambria"/>
                    </w:rPr>
                  </w:pPr>
                  <w:r>
                    <w:rPr>
                      <w:rFonts w:ascii="Cambria" w:hAnsi="Cambria"/>
                    </w:rPr>
                    <w:t>La densité de population à prendre en considération pour l'application du plan de rationalisation et de programmation est celle de l'arrondissement administratif dans lequel est située l'école ou l’implantation concernée. Les écoles situées dans des arrondissements dont la densité de population est inférieure à 75 habitants au km² sont soumises à des normes de rationalisation et de programmation moins élevées que les écoles localisées dans des arrondissements plus peuplés.</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Les arrondissements qui avaient, dans la dernière publication du SPF Economie, PME, Classes Moyennes et Energie dont dépend le service Statistics Belgium (populations au 1</w:t>
                  </w:r>
                  <w:r>
                    <w:rPr>
                      <w:rFonts w:ascii="Cambria" w:hAnsi="Cambria"/>
                      <w:vertAlign w:val="superscript"/>
                    </w:rPr>
                    <w:t>er</w:t>
                  </w:r>
                  <w:r>
                    <w:rPr>
                      <w:rFonts w:ascii="Cambria" w:hAnsi="Cambria"/>
                    </w:rPr>
                    <w:t xml:space="preserve"> janvier 2013), une densité de population inférieure à 75 habitants au km² sont les suivants:</w:t>
                  </w:r>
                </w:p>
                <w:p w:rsidR="00F04EEF" w:rsidRDefault="00F04EEF">
                  <w:pPr>
                    <w:tabs>
                      <w:tab w:val="left" w:pos="962"/>
                      <w:tab w:val="left" w:pos="1134"/>
                      <w:tab w:val="left" w:pos="1303"/>
                    </w:tabs>
                    <w:jc w:val="both"/>
                    <w:rPr>
                      <w:rFonts w:ascii="Cambria" w:hAnsi="Cambria"/>
                    </w:rPr>
                  </w:pPr>
                </w:p>
                <w:tbl>
                  <w:tblPr>
                    <w:tblW w:w="0" w:type="auto"/>
                    <w:jc w:val="center"/>
                    <w:tblLayout w:type="fixed"/>
                    <w:tblLook w:val="0000" w:firstRow="0" w:lastRow="0" w:firstColumn="0" w:lastColumn="0" w:noHBand="0" w:noVBand="0"/>
                  </w:tblPr>
                  <w:tblGrid>
                    <w:gridCol w:w="1908"/>
                    <w:gridCol w:w="2671"/>
                  </w:tblGrid>
                  <w:tr w:rsidR="00F04EEF">
                    <w:trPr>
                      <w:trHeight w:val="392"/>
                      <w:jc w:val="center"/>
                    </w:trPr>
                    <w:tc>
                      <w:tcPr>
                        <w:tcW w:w="1908"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both"/>
                          <w:rPr>
                            <w:rFonts w:ascii="Cambria" w:hAnsi="Cambria"/>
                            <w:b/>
                          </w:rPr>
                        </w:pPr>
                        <w:r>
                          <w:rPr>
                            <w:rFonts w:ascii="Cambria" w:hAnsi="Cambria"/>
                            <w:b/>
                          </w:rPr>
                          <w:t>Provinces</w:t>
                        </w:r>
                      </w:p>
                    </w:tc>
                    <w:tc>
                      <w:tcPr>
                        <w:tcW w:w="2671"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both"/>
                          <w:rPr>
                            <w:rFonts w:ascii="Cambria" w:hAnsi="Cambria"/>
                            <w:b/>
                          </w:rPr>
                        </w:pPr>
                        <w:r>
                          <w:rPr>
                            <w:rFonts w:ascii="Cambria" w:hAnsi="Cambria"/>
                            <w:b/>
                          </w:rPr>
                          <w:t>Arrondissements</w:t>
                        </w:r>
                      </w:p>
                    </w:tc>
                  </w:tr>
                  <w:tr w:rsidR="00F04EEF">
                    <w:trPr>
                      <w:jc w:val="center"/>
                    </w:trPr>
                    <w:tc>
                      <w:tcPr>
                        <w:tcW w:w="1908"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rPr>
                            <w:rFonts w:ascii="Cambria" w:hAnsi="Cambria"/>
                            <w:b/>
                          </w:rPr>
                        </w:pPr>
                        <w:r>
                          <w:rPr>
                            <w:rFonts w:ascii="Cambria" w:hAnsi="Cambria"/>
                            <w:b/>
                          </w:rPr>
                          <w:t>Luxembourg</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F04EEF" w:rsidRDefault="0099351E">
                        <w:pPr>
                          <w:snapToGrid w:val="0"/>
                          <w:jc w:val="both"/>
                          <w:rPr>
                            <w:rFonts w:ascii="Cambria" w:hAnsi="Cambria"/>
                          </w:rPr>
                        </w:pPr>
                        <w:r>
                          <w:rPr>
                            <w:rFonts w:ascii="Cambria" w:hAnsi="Cambria"/>
                          </w:rPr>
                          <w:t>Bastogne</w:t>
                        </w:r>
                      </w:p>
                      <w:p w:rsidR="00F04EEF" w:rsidRDefault="0099351E">
                        <w:pPr>
                          <w:jc w:val="both"/>
                          <w:rPr>
                            <w:rFonts w:ascii="Cambria" w:hAnsi="Cambria"/>
                          </w:rPr>
                        </w:pPr>
                        <w:r>
                          <w:rPr>
                            <w:rFonts w:ascii="Cambria" w:hAnsi="Cambria"/>
                          </w:rPr>
                          <w:t>Marche</w:t>
                        </w:r>
                      </w:p>
                      <w:p w:rsidR="00F04EEF" w:rsidRDefault="0099351E">
                        <w:pPr>
                          <w:jc w:val="both"/>
                          <w:rPr>
                            <w:rFonts w:ascii="Cambria" w:hAnsi="Cambria"/>
                          </w:rPr>
                        </w:pPr>
                        <w:r>
                          <w:rPr>
                            <w:rFonts w:ascii="Cambria" w:hAnsi="Cambria"/>
                          </w:rPr>
                          <w:t>Neufchâteau</w:t>
                        </w:r>
                      </w:p>
                      <w:p w:rsidR="00F04EEF" w:rsidRDefault="0099351E">
                        <w:pPr>
                          <w:tabs>
                            <w:tab w:val="left" w:pos="1134"/>
                          </w:tabs>
                          <w:jc w:val="both"/>
                          <w:rPr>
                            <w:rFonts w:ascii="Cambria" w:hAnsi="Cambria"/>
                          </w:rPr>
                        </w:pPr>
                        <w:r>
                          <w:rPr>
                            <w:rFonts w:ascii="Cambria" w:hAnsi="Cambria"/>
                          </w:rPr>
                          <w:t>Virton</w:t>
                        </w:r>
                      </w:p>
                    </w:tc>
                  </w:tr>
                  <w:tr w:rsidR="00F04EEF">
                    <w:trPr>
                      <w:jc w:val="center"/>
                    </w:trPr>
                    <w:tc>
                      <w:tcPr>
                        <w:tcW w:w="1908"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rPr>
                            <w:rFonts w:ascii="Cambria" w:hAnsi="Cambria"/>
                            <w:b/>
                          </w:rPr>
                        </w:pPr>
                        <w:r>
                          <w:rPr>
                            <w:rFonts w:ascii="Cambria" w:hAnsi="Cambria"/>
                            <w:b/>
                          </w:rPr>
                          <w:t>Namur</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F04EEF" w:rsidRDefault="0099351E">
                        <w:pPr>
                          <w:tabs>
                            <w:tab w:val="left" w:pos="1134"/>
                          </w:tabs>
                          <w:snapToGrid w:val="0"/>
                          <w:jc w:val="both"/>
                          <w:rPr>
                            <w:rFonts w:ascii="Cambria" w:hAnsi="Cambria"/>
                          </w:rPr>
                        </w:pPr>
                        <w:r>
                          <w:rPr>
                            <w:rFonts w:ascii="Cambria" w:hAnsi="Cambria"/>
                          </w:rPr>
                          <w:t>Dinant</w:t>
                        </w:r>
                      </w:p>
                      <w:p w:rsidR="00F04EEF" w:rsidRDefault="0099351E">
                        <w:pPr>
                          <w:tabs>
                            <w:tab w:val="left" w:pos="1134"/>
                          </w:tabs>
                          <w:jc w:val="both"/>
                          <w:rPr>
                            <w:rFonts w:ascii="Cambria" w:hAnsi="Cambria"/>
                          </w:rPr>
                        </w:pPr>
                        <w:r>
                          <w:rPr>
                            <w:rFonts w:ascii="Cambria" w:hAnsi="Cambria"/>
                          </w:rPr>
                          <w:t>Philippeville</w:t>
                        </w:r>
                      </w:p>
                    </w:tc>
                  </w:tr>
                </w:tbl>
                <w:p w:rsidR="00F04EEF" w:rsidRDefault="00F04EEF">
                  <w:pPr>
                    <w:tabs>
                      <w:tab w:val="left" w:pos="1134"/>
                    </w:tabs>
                    <w:jc w:val="both"/>
                    <w:rPr>
                      <w:rFonts w:ascii="Cambria" w:hAnsi="Cambria"/>
                    </w:rPr>
                  </w:pPr>
                </w:p>
                <w:p w:rsidR="00F04EEF" w:rsidRDefault="00F04EEF">
                  <w:pPr>
                    <w:tabs>
                      <w:tab w:val="left" w:pos="1134"/>
                    </w:tabs>
                    <w:jc w:val="both"/>
                    <w:rPr>
                      <w:rFonts w:ascii="Cambria" w:hAnsi="Cambria"/>
                    </w:rPr>
                  </w:pPr>
                </w:p>
                <w:p w:rsidR="00F04EEF" w:rsidRDefault="0099351E">
                  <w:pPr>
                    <w:pStyle w:val="Titre4"/>
                  </w:pPr>
                  <w:bookmarkStart w:id="1475" w:name="_2._Champ_d’application"/>
                  <w:bookmarkStart w:id="1476" w:name="__RefHeading__133_957262308"/>
                  <w:bookmarkStart w:id="1477" w:name="_1.6_Programmation_d’un"/>
                  <w:bookmarkEnd w:id="1475"/>
                  <w:bookmarkEnd w:id="1476"/>
                  <w:bookmarkEnd w:id="1477"/>
                  <w:r>
                    <w:t xml:space="preserve">1.6 Programmation d’un type existant dans une autre implantation, nouvelle ou pas, de l’établissement scolaire </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Pour le calcul des normes de programmation, c’est l’article 189 §4 (</w:t>
                  </w:r>
                  <w:r>
                    <w:rPr>
                      <w:rFonts w:ascii="Cambria" w:hAnsi="Cambria"/>
                      <w:b/>
                    </w:rPr>
                    <w:t>cfr tableau des normes de rationalisation ci-après</w:t>
                  </w:r>
                  <w:r>
                    <w:rPr>
                      <w:rFonts w:ascii="Cambria" w:hAnsi="Cambria"/>
                    </w:rPr>
                    <w:t>) qui est d’application pour autant que l’implantation se situe à une distance de 2 km et plus du bâtiment principal.</w:t>
                  </w:r>
                </w:p>
                <w:p w:rsidR="00F04EEF" w:rsidRDefault="0099351E">
                  <w:pPr>
                    <w:jc w:val="both"/>
                    <w:rPr>
                      <w:rFonts w:ascii="Cambria" w:hAnsi="Cambria"/>
                    </w:rPr>
                  </w:pPr>
                  <w:r>
                    <w:rPr>
                      <w:rFonts w:ascii="Cambria" w:hAnsi="Cambria"/>
                    </w:rPr>
                    <w:t>En effet, le type étant déjà organisé dans une autre implantation, il n’est pas nécessaire de recréer ce type existant.</w:t>
                  </w:r>
                </w:p>
                <w:p w:rsidR="00F04EEF" w:rsidRDefault="00F04EEF">
                  <w:pPr>
                    <w:rPr>
                      <w:rFonts w:ascii="Cambria" w:hAnsi="Cambria"/>
                    </w:rPr>
                  </w:pPr>
                </w:p>
                <w:p w:rsidR="00F04EEF" w:rsidRDefault="00F04EEF">
                  <w:pPr>
                    <w:jc w:val="both"/>
                    <w:rPr>
                      <w:rFonts w:ascii="Cambria" w:hAnsi="Cambria"/>
                    </w:rPr>
                  </w:pPr>
                </w:p>
                <w:p w:rsidR="00F04EEF" w:rsidRDefault="0099351E">
                  <w:pPr>
                    <w:pStyle w:val="Titre4"/>
                    <w:numPr>
                      <w:ilvl w:val="1"/>
                      <w:numId w:val="220"/>
                    </w:numPr>
                  </w:pPr>
                  <w:bookmarkStart w:id="1478" w:name="_Organisation_de_classes"/>
                  <w:bookmarkEnd w:id="1478"/>
                  <w:r>
                    <w:t xml:space="preserve">Organisation de classes et implantations à visée inclusive </w:t>
                  </w:r>
                </w:p>
                <w:p w:rsidR="00F04EEF" w:rsidRDefault="0099351E">
                  <w:pPr>
                    <w:ind w:left="567"/>
                  </w:pPr>
                  <w:r>
                    <w:rPr>
                      <w:noProof/>
                      <w:lang w:eastAsia="fr-BE"/>
                    </w:rPr>
                    <mc:AlternateContent>
                      <mc:Choice Requires="wps">
                        <w:drawing>
                          <wp:anchor distT="0" distB="0" distL="114300" distR="114300" simplePos="0" relativeHeight="252222464" behindDoc="0" locked="0" layoutInCell="1" allowOverlap="1">
                            <wp:simplePos x="0" y="0"/>
                            <wp:positionH relativeFrom="column">
                              <wp:posOffset>6167120</wp:posOffset>
                            </wp:positionH>
                            <wp:positionV relativeFrom="paragraph">
                              <wp:posOffset>168275</wp:posOffset>
                            </wp:positionV>
                            <wp:extent cx="0" cy="180975"/>
                            <wp:effectExtent l="0" t="0" r="19050" b="28575"/>
                            <wp:wrapNone/>
                            <wp:docPr id="513" name="Connecteur droit 513"/>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A520A1" id="Connecteur droit 513" o:spid="_x0000_s1026" style="position:absolute;z-index:252222464;visibility:visible;mso-wrap-style:square;mso-wrap-distance-left:9pt;mso-wrap-distance-top:0;mso-wrap-distance-right:9pt;mso-wrap-distance-bottom:0;mso-position-horizontal:absolute;mso-position-horizontal-relative:text;mso-position-vertical:absolute;mso-position-vertical-relative:text" from="485.6pt,13.25pt" to="485.6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" strokecolor="black [3213]"/>
                        </w:pict>
                      </mc:Fallback>
                    </mc:AlternateContent>
                  </w:r>
                </w:p>
                <w:p w:rsidR="00F04EEF" w:rsidRDefault="00F42422">
                  <w:pPr>
                    <w:ind w:left="567"/>
                  </w:pPr>
                  <w:hyperlink r:id="rId127" w:history="1">
                    <w:r w:rsidR="0099351E">
                      <w:rPr>
                        <w:rStyle w:val="Lienhypertexte"/>
                        <w:rFonts w:cstheme="minorBidi"/>
                      </w:rPr>
                      <w:t>Arrêté de l'Exécutif de la Communauté française du 15 mars 1993</w:t>
                    </w:r>
                  </w:hyperlink>
                  <w:r w:rsidR="0099351E">
                    <w:t xml:space="preserve"> </w:t>
                  </w:r>
                </w:p>
                <w:p w:rsidR="00F04EEF" w:rsidRDefault="00F04EEF"/>
                <w:p w:rsidR="00F04EEF" w:rsidRDefault="0099351E">
                  <w:pPr>
                    <w:pBdr>
                      <w:right w:val="single" w:sz="4" w:space="4" w:color="auto"/>
                    </w:pBdr>
                    <w:jc w:val="both"/>
                    <w:rPr>
                      <w:rFonts w:ascii="Cambria" w:hAnsi="Cambria"/>
                    </w:rPr>
                  </w:pPr>
                  <w:r>
                    <w:rPr>
                      <w:rFonts w:ascii="Cambria" w:hAnsi="Cambria"/>
                    </w:rPr>
                    <w:t>Un enseignement spécialisé peut être organisé sous la forme d’une classe ou d’une implantation à visée inclusive.</w:t>
                  </w:r>
                </w:p>
                <w:p w:rsidR="00F04EEF" w:rsidRDefault="0099351E">
                  <w:pPr>
                    <w:pBdr>
                      <w:right w:val="single" w:sz="4" w:space="4" w:color="auto"/>
                    </w:pBdr>
                    <w:jc w:val="both"/>
                    <w:rPr>
                      <w:rFonts w:ascii="Cambria" w:hAnsi="Cambria"/>
                    </w:rPr>
                  </w:pPr>
                  <w:r>
                    <w:rPr>
                      <w:rFonts w:ascii="Cambria" w:hAnsi="Cambria"/>
                    </w:rPr>
                    <w:t>Chaque école qui organise l’enseignement spécialisé de type 2 ou de type 3 et qui atteint les normes de rationalisation</w:t>
                  </w:r>
                  <w:r>
                    <w:rPr>
                      <w:rFonts w:ascii="Cambria" w:hAnsi="Cambria"/>
                      <w:b/>
                      <w:bCs/>
                    </w:rPr>
                    <w:t xml:space="preserve">, </w:t>
                  </w:r>
                  <w:r>
                    <w:rPr>
                      <w:rFonts w:ascii="Cambria" w:hAnsi="Cambria"/>
                    </w:rPr>
                    <w:t>peut organiser une classe ou une implantation à visée inclusive de mêmes types que ceux déjà organisés dans l’établissement.</w:t>
                  </w:r>
                </w:p>
                <w:p w:rsidR="00F04EEF" w:rsidRDefault="0099351E">
                  <w:pPr>
                    <w:pBdr>
                      <w:right w:val="single" w:sz="4" w:space="4" w:color="auto"/>
                    </w:pBdr>
                    <w:jc w:val="both"/>
                    <w:rPr>
                      <w:rFonts w:ascii="Cambria" w:hAnsi="Cambria"/>
                    </w:rPr>
                  </w:pPr>
                  <w:r>
                    <w:rPr>
                      <w:rFonts w:ascii="Cambria" w:hAnsi="Cambria"/>
                    </w:rPr>
                    <w:t>Les élèves inscrits dans une classe ou une implantation à visée inclusive génèrent un capital-périodes utilisable selon les mêmes règles que pour les élèves de l’enseignement spécialisé du type d’enseignement dont ils relèvent.</w:t>
                  </w:r>
                </w:p>
                <w:p w:rsidR="00F04EEF" w:rsidRDefault="0099351E">
                  <w:pPr>
                    <w:pBdr>
                      <w:right w:val="single" w:sz="4" w:space="4" w:color="auto"/>
                    </w:pBdr>
                    <w:jc w:val="both"/>
                    <w:rPr>
                      <w:rFonts w:ascii="Cambria" w:hAnsi="Cambria"/>
                    </w:rPr>
                  </w:pPr>
                  <w:r>
                    <w:rPr>
                      <w:rFonts w:ascii="Cambria" w:hAnsi="Cambria"/>
                    </w:rPr>
                    <w:t>Une implantation à visée inclusive est composée au minimum de 7 élèves. Pour atteindre cette norme, les élèves de type 2 et de type 3 peuvent être additionnés, de même que les élèves du niveau maternel et primaire pour autant que ces deux niveaux soient déjà organisés dans l’établissement.</w:t>
                  </w:r>
                </w:p>
                <w:p w:rsidR="00F04EEF" w:rsidRDefault="0099351E">
                  <w:pPr>
                    <w:pBdr>
                      <w:right w:val="single" w:sz="4" w:space="4" w:color="auto"/>
                    </w:pBdr>
                    <w:jc w:val="both"/>
                    <w:rPr>
                      <w:rFonts w:ascii="Cambria" w:hAnsi="Cambria"/>
                    </w:rPr>
                  </w:pPr>
                  <w:r>
                    <w:rPr>
                      <w:rFonts w:ascii="Cambria" w:hAnsi="Cambria"/>
                    </w:rPr>
                    <w:t xml:space="preserve">L’organisation de classes et implantations à visée inclusive est abordée au </w:t>
                  </w:r>
                  <w:hyperlink w:anchor="_7.1._Principe" w:history="1">
                    <w:r>
                      <w:rPr>
                        <w:rStyle w:val="Lienhypertexte"/>
                        <w:rFonts w:ascii="Cambria" w:hAnsi="Cambria" w:cstheme="minorBidi"/>
                      </w:rPr>
                      <w:t>chapitre 14</w:t>
                    </w:r>
                  </w:hyperlink>
                  <w:r>
                    <w:rPr>
                      <w:rFonts w:ascii="Cambria" w:hAnsi="Cambria"/>
                    </w:rPr>
                    <w:t>.</w:t>
                  </w:r>
                </w:p>
                <w:p w:rsidR="00F04EEF" w:rsidRDefault="00F04EEF">
                  <w:pPr>
                    <w:ind w:left="360"/>
                  </w:pPr>
                </w:p>
                <w:p w:rsidR="00F04EEF" w:rsidRDefault="0099351E">
                  <w:pPr>
                    <w:pStyle w:val="Titre3"/>
                    <w:rPr>
                      <w:sz w:val="22"/>
                      <w:szCs w:val="22"/>
                    </w:rPr>
                  </w:pPr>
                  <w:bookmarkStart w:id="1479" w:name="_Toc47708483"/>
                  <w:r>
                    <w:rPr>
                      <w:sz w:val="22"/>
                      <w:szCs w:val="22"/>
                    </w:rPr>
                    <w:t>2. Champ d’application du plan de rationalisation et de programmation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479"/>
                  <w:r>
                    <w:rPr>
                      <w:sz w:val="22"/>
                      <w:szCs w:val="22"/>
                    </w:rPr>
                    <w:t xml:space="preserve"> </w:t>
                  </w:r>
                </w:p>
                <w:p w:rsidR="00F04EEF" w:rsidRDefault="00F04EEF">
                  <w:pPr>
                    <w:tabs>
                      <w:tab w:val="left" w:pos="1134"/>
                    </w:tabs>
                    <w:jc w:val="both"/>
                  </w:pPr>
                </w:p>
                <w:p w:rsidR="00F04EEF" w:rsidRDefault="0099351E">
                  <w:pPr>
                    <w:jc w:val="both"/>
                  </w:pPr>
                  <w:r>
                    <w:t>Le chapitre XV du décret portant de la rationalisation et de la programmation de l'enseignement spécialisé s'applique aux établissements :</w:t>
                  </w:r>
                </w:p>
                <w:p w:rsidR="00F04EEF" w:rsidRDefault="00F04EEF">
                  <w:pPr>
                    <w:ind w:left="567"/>
                    <w:jc w:val="both"/>
                  </w:pPr>
                </w:p>
                <w:p w:rsidR="00F04EEF" w:rsidRDefault="0099351E">
                  <w:pPr>
                    <w:pStyle w:val="Paragraphedeliste"/>
                    <w:numPr>
                      <w:ilvl w:val="0"/>
                      <w:numId w:val="231"/>
                    </w:numPr>
                    <w:jc w:val="both"/>
                    <w:rPr>
                      <w:rFonts w:asciiTheme="majorHAnsi" w:hAnsiTheme="majorHAnsi"/>
                      <w:sz w:val="22"/>
                      <w:szCs w:val="22"/>
                    </w:rPr>
                  </w:pPr>
                  <w:r>
                    <w:rPr>
                      <w:rFonts w:asciiTheme="majorHAnsi" w:hAnsiTheme="majorHAnsi"/>
                      <w:sz w:val="22"/>
                      <w:szCs w:val="22"/>
                    </w:rPr>
                    <w:t>d'enseignement fondamental et secondaire spécialisé situés en Belgique ;</w:t>
                  </w:r>
                </w:p>
                <w:p w:rsidR="00F04EEF" w:rsidRDefault="0099351E">
                  <w:pPr>
                    <w:pStyle w:val="Paragraphedeliste"/>
                    <w:numPr>
                      <w:ilvl w:val="0"/>
                      <w:numId w:val="231"/>
                    </w:numPr>
                    <w:jc w:val="both"/>
                    <w:rPr>
                      <w:rFonts w:asciiTheme="majorHAnsi" w:hAnsiTheme="majorHAnsi"/>
                      <w:sz w:val="22"/>
                      <w:szCs w:val="22"/>
                    </w:rPr>
                  </w:pPr>
                  <w:r>
                    <w:rPr>
                      <w:rFonts w:asciiTheme="majorHAnsi" w:hAnsiTheme="majorHAnsi"/>
                      <w:sz w:val="22"/>
                      <w:szCs w:val="22"/>
                    </w:rPr>
                    <w:t>organisés et subventionnés par la Fédération Wallonie-Bruxelles.</w:t>
                  </w:r>
                </w:p>
                <w:p w:rsidR="00F04EEF" w:rsidRDefault="00F04EEF">
                  <w:pPr>
                    <w:jc w:val="both"/>
                  </w:pPr>
                </w:p>
                <w:p w:rsidR="00F04EEF" w:rsidRDefault="0099351E">
                  <w:pPr>
                    <w:jc w:val="both"/>
                  </w:pPr>
                  <w:r>
                    <w:t>Il ne s'applique donc pas aux internats et aux homes d'accueil organisés par la Fédération Wallonie-Bruxelles</w:t>
                  </w:r>
                </w:p>
                <w:p w:rsidR="00F04EEF" w:rsidRDefault="00F04EEF">
                  <w:bookmarkStart w:id="1480" w:name="__RefHeading__137_957262308"/>
                  <w:bookmarkStart w:id="1481" w:name="_Toc291075262"/>
                  <w:bookmarkStart w:id="1482" w:name="_Toc291075686"/>
                  <w:bookmarkStart w:id="1483" w:name="_Toc291076110"/>
                  <w:bookmarkStart w:id="1484" w:name="_Toc291076534"/>
                  <w:bookmarkStart w:id="1485" w:name="_Toc291076958"/>
                  <w:bookmarkStart w:id="1486" w:name="_Toc293651801"/>
                  <w:bookmarkStart w:id="1487" w:name="_Toc293653384"/>
                  <w:bookmarkStart w:id="1488" w:name="_Toc293653995"/>
                  <w:bookmarkStart w:id="1489" w:name="_Toc294004573"/>
                  <w:bookmarkStart w:id="1490" w:name="_Toc294185069"/>
                  <w:bookmarkStart w:id="1491" w:name="_Toc324165884"/>
                  <w:bookmarkStart w:id="1492" w:name="_Toc324766921"/>
                  <w:bookmarkStart w:id="1493" w:name="_Toc453314282"/>
                  <w:bookmarkStart w:id="1494" w:name="_Toc454980317"/>
                  <w:bookmarkEnd w:id="1480"/>
                </w:p>
                <w:p w:rsidR="00F04EEF" w:rsidRDefault="0099351E">
                  <w:pPr>
                    <w:pStyle w:val="Titre3"/>
                    <w:rPr>
                      <w:sz w:val="22"/>
                      <w:szCs w:val="22"/>
                    </w:rPr>
                  </w:pPr>
                  <w:bookmarkStart w:id="1495" w:name="_Toc47708484"/>
                  <w:r>
                    <w:rPr>
                      <w:sz w:val="22"/>
                      <w:szCs w:val="22"/>
                    </w:rPr>
                    <w:t>3. Rationalisation de l’enseignement secondaire spécialisé « Normes de maintien »</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rsidR="00F04EEF" w:rsidRDefault="00F04EEF">
                  <w:pPr>
                    <w:jc w:val="both"/>
                    <w:rPr>
                      <w:b/>
                    </w:rPr>
                  </w:pPr>
                </w:p>
                <w:p w:rsidR="00F04EEF" w:rsidRDefault="0099351E">
                  <w:pPr>
                    <w:pStyle w:val="Titre4"/>
                  </w:pPr>
                  <w:bookmarkStart w:id="1496" w:name="_Toc291075263"/>
                  <w:bookmarkStart w:id="1497" w:name="_Toc291075687"/>
                  <w:bookmarkStart w:id="1498" w:name="_Toc291076111"/>
                  <w:bookmarkStart w:id="1499" w:name="_Toc291076535"/>
                  <w:bookmarkStart w:id="1500" w:name="_Toc291076959"/>
                  <w:bookmarkStart w:id="1501" w:name="_Toc293651802"/>
                  <w:bookmarkStart w:id="1502" w:name="_Toc293653385"/>
                  <w:bookmarkStart w:id="1503" w:name="_Toc293653996"/>
                  <w:bookmarkStart w:id="1504" w:name="_Toc294004574"/>
                  <w:bookmarkStart w:id="1505" w:name="_Toc294185070"/>
                  <w:bookmarkStart w:id="1506" w:name="_Toc324165885"/>
                  <w:bookmarkStart w:id="1507" w:name="_Toc324766922"/>
                  <w:bookmarkStart w:id="1508" w:name="_Toc324767780"/>
                  <w:bookmarkStart w:id="1509" w:name="_Toc453314283"/>
                  <w:bookmarkStart w:id="1510" w:name="_Toc454980318"/>
                  <w:r>
                    <w:t>3.1. Siège de la matière. (Articles 199 à 207 inclus)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r>
                    <w:t>.</w:t>
                  </w:r>
                  <w:bookmarkEnd w:id="1509"/>
                  <w:bookmarkEnd w:id="1510"/>
                </w:p>
                <w:p w:rsidR="00F04EEF" w:rsidRDefault="00F04EEF"/>
                <w:p w:rsidR="00F04EEF" w:rsidRDefault="0099351E">
                  <w:pPr>
                    <w:pStyle w:val="Titre4"/>
                  </w:pPr>
                  <w:bookmarkStart w:id="1511" w:name="_4.2._Régime_général."/>
                  <w:bookmarkStart w:id="1512" w:name="_Toc291075264"/>
                  <w:bookmarkStart w:id="1513" w:name="_Toc291075688"/>
                  <w:bookmarkStart w:id="1514" w:name="_Toc291076112"/>
                  <w:bookmarkStart w:id="1515" w:name="_Toc291076536"/>
                  <w:bookmarkStart w:id="1516" w:name="_Toc291076960"/>
                  <w:bookmarkStart w:id="1517" w:name="_Toc293651803"/>
                  <w:bookmarkStart w:id="1518" w:name="_Toc293653386"/>
                  <w:bookmarkStart w:id="1519" w:name="_Toc293653997"/>
                  <w:bookmarkStart w:id="1520" w:name="_Toc294004575"/>
                  <w:bookmarkStart w:id="1521" w:name="_Toc294185071"/>
                  <w:bookmarkStart w:id="1522" w:name="_Toc324165886"/>
                  <w:bookmarkStart w:id="1523" w:name="_Toc324766923"/>
                  <w:bookmarkStart w:id="1524" w:name="_Toc324767781"/>
                  <w:bookmarkStart w:id="1525" w:name="_Toc453314284"/>
                  <w:bookmarkStart w:id="1526" w:name="_Toc454980319"/>
                  <w:bookmarkEnd w:id="1511"/>
                  <w:r>
                    <w:t>3.2. Régime général. (Articles 199, 200, 202)</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r>
                    <w:t>.</w:t>
                  </w:r>
                  <w:bookmarkEnd w:id="1525"/>
                  <w:bookmarkEnd w:id="1526"/>
                </w:p>
                <w:p w:rsidR="00F04EEF" w:rsidRDefault="00F04EEF"/>
                <w:p w:rsidR="00F04EEF" w:rsidRDefault="0099351E">
                  <w:pPr>
                    <w:suppressAutoHyphens/>
                    <w:jc w:val="both"/>
                    <w:rPr>
                      <w:u w:val="single"/>
                    </w:rPr>
                  </w:pPr>
                  <w:r>
                    <w:rPr>
                      <w:u w:val="single"/>
                    </w:rPr>
                    <w:t>Normes de rationalisation :</w:t>
                  </w:r>
                </w:p>
                <w:p w:rsidR="00F04EEF" w:rsidRDefault="00F04EEF">
                  <w:pPr>
                    <w:jc w:val="both"/>
                    <w:rPr>
                      <w:u w:val="single"/>
                    </w:rPr>
                  </w:pPr>
                </w:p>
                <w:p w:rsidR="00F04EEF" w:rsidRDefault="0099351E">
                  <w:pPr>
                    <w:jc w:val="both"/>
                  </w:pPr>
                  <w:r>
                    <w:t>Sans préjudice de l'article 199 qui fixe la norme minimale de toute école d'enseignement secondaire spécialisé à 15 élèves, l'article 200 § 5 détermine les normes de rationalisation par forme d'enseignement secondaire.</w:t>
                  </w:r>
                </w:p>
                <w:p w:rsidR="00F04EEF" w:rsidRDefault="00F04EEF">
                  <w:pPr>
                    <w:jc w:val="both"/>
                  </w:pPr>
                </w:p>
                <w:p w:rsidR="00F04EEF" w:rsidRDefault="0099351E">
                  <w:pPr>
                    <w:jc w:val="both"/>
                  </w:pPr>
                  <w:r>
                    <w:t>L'article 201 réduit ces normes d'un quart au profit des écoles situées dans des arrondissements dont la densité de population est inférieure à 75 habitants au km².</w:t>
                  </w:r>
                </w:p>
                <w:p w:rsidR="00F04EEF" w:rsidRDefault="00F04EEF">
                  <w:pPr>
                    <w:jc w:val="both"/>
                  </w:pPr>
                </w:p>
                <w:p w:rsidR="00F04EEF" w:rsidRDefault="0099351E">
                  <w:pPr>
                    <w:jc w:val="both"/>
                  </w:pPr>
                  <w:r>
                    <w:t>Il convient tout particulièrement de noter que, pour le calcul de la norme de rationalisation de la forme 4, le nombre d'élèves des types 4, 6 et 7 est multiplié par 2</w:t>
                  </w:r>
                </w:p>
                <w:p w:rsidR="00F04EEF" w:rsidRDefault="00F04EEF">
                  <w:pPr>
                    <w:jc w:val="both"/>
                  </w:pPr>
                </w:p>
                <w:p w:rsidR="00F04EEF" w:rsidRDefault="0099351E">
                  <w:pPr>
                    <w:pBdr>
                      <w:top w:val="single" w:sz="4" w:space="1" w:color="000000" w:themeColor="text1"/>
                      <w:left w:val="single" w:sz="4" w:space="4" w:color="000000" w:themeColor="text1"/>
                      <w:bottom w:val="single" w:sz="4" w:space="0" w:color="000000" w:themeColor="text1"/>
                      <w:right w:val="single" w:sz="4" w:space="4" w:color="000000" w:themeColor="text1"/>
                      <w:between w:val="single" w:sz="4" w:space="1" w:color="000000" w:themeColor="text1"/>
                      <w:bar w:val="single" w:sz="4" w:color="000000" w:themeColor="text1"/>
                    </w:pBdr>
                    <w:jc w:val="both"/>
                  </w:pPr>
                  <w:r>
                    <w:t xml:space="preserve">Si un établissement organisant l’enseignement secondaire spécialisé des types 4, 6 et/ou 7 n’atteint pas les normes de rationalisation prévues, les formes d’enseignement secondaire spécialisé organisées dans cet établissement peuvent être maintenues, </w:t>
                  </w:r>
                  <w:r>
                    <w:rPr>
                      <w:b/>
                    </w:rPr>
                    <w:t>sans limitation de temps</w:t>
                  </w:r>
                  <w:r>
                    <w:t>, si aucun établissement du même réseau n’organise ce type d’enseignement dans la même province.</w:t>
                  </w:r>
                </w:p>
                <w:p w:rsidR="00F04EEF" w:rsidRDefault="00F04EEF">
                  <w:pPr>
                    <w:jc w:val="both"/>
                  </w:pPr>
                </w:p>
                <w:p w:rsidR="00F04EEF" w:rsidRDefault="0099351E">
                  <w:pPr>
                    <w:jc w:val="both"/>
                  </w:pPr>
                  <w:r>
                    <w:t xml:space="preserve">Le Gouvernement peut autoriser, dans une province composée de plusieurs zones, le maintien des formes d’enseignement secondaire spécialisé organisées dans un établissement </w:t>
                  </w:r>
                  <w:r>
                    <w:rPr>
                      <w:u w:val="single"/>
                    </w:rPr>
                    <w:t>dans chaque zone</w:t>
                  </w:r>
                  <w:r>
                    <w:t xml:space="preserve"> de la province concernée pour le réseau concerné. Et ce, sur avis favorable motivé du Conseil Général pour l’Enseignement Secondaire.</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rPr>
                      <w:u w:val="single"/>
                    </w:rPr>
                  </w:pPr>
                  <w:r>
                    <w:rPr>
                      <w:u w:val="single"/>
                    </w:rPr>
                    <w:br w:type="page"/>
                  </w:r>
                </w:p>
                <w:p w:rsidR="00F04EEF" w:rsidRDefault="0099351E">
                  <w:pPr>
                    <w:jc w:val="center"/>
                    <w:rPr>
                      <w:u w:val="single"/>
                    </w:rPr>
                  </w:pPr>
                  <w:r>
                    <w:rPr>
                      <w:u w:val="single"/>
                    </w:rPr>
                    <w:t xml:space="preserve">ENSEIGNEMENT </w:t>
                  </w:r>
                  <w:r>
                    <w:rPr>
                      <w:b/>
                      <w:u w:val="single"/>
                    </w:rPr>
                    <w:t>SECONDAIRE</w:t>
                  </w:r>
                  <w:r>
                    <w:rPr>
                      <w:u w:val="single"/>
                    </w:rPr>
                    <w:t xml:space="preserve"> SPECIALISE</w:t>
                  </w:r>
                </w:p>
                <w:p w:rsidR="00F04EEF" w:rsidRDefault="00F04EEF">
                  <w:pPr>
                    <w:pStyle w:val="Paragraphedeliste"/>
                    <w:ind w:left="0"/>
                    <w:rPr>
                      <w:rFonts w:asciiTheme="majorHAnsi" w:hAnsiTheme="majorHAnsi"/>
                      <w:sz w:val="22"/>
                      <w:szCs w:val="22"/>
                      <w:u w:val="single"/>
                    </w:rPr>
                  </w:pPr>
                </w:p>
                <w:p w:rsidR="00F04EEF" w:rsidRDefault="0099351E">
                  <w:pPr>
                    <w:jc w:val="center"/>
                    <w:rPr>
                      <w:b/>
                      <w:u w:val="single"/>
                    </w:rPr>
                  </w:pPr>
                  <w:r>
                    <w:rPr>
                      <w:u w:val="single"/>
                    </w:rPr>
                    <w:t xml:space="preserve">NORMES DE RATIONALISATION </w:t>
                  </w:r>
                  <w:r>
                    <w:rPr>
                      <w:b/>
                      <w:u w:val="single"/>
                    </w:rPr>
                    <w:t>(MAINTIEN)</w:t>
                  </w:r>
                  <w:r>
                    <w:rPr>
                      <w:rStyle w:val="Appelnotedebasdep"/>
                      <w:b/>
                    </w:rPr>
                    <w:footnoteReference w:id="110"/>
                  </w:r>
                </w:p>
                <w:p w:rsidR="00F04EEF" w:rsidRDefault="00F04EEF">
                  <w:pPr>
                    <w:jc w:val="center"/>
                    <w:rPr>
                      <w:u w:val="single"/>
                    </w:rPr>
                  </w:pPr>
                </w:p>
                <w:tbl>
                  <w:tblPr>
                    <w:tblW w:w="9371" w:type="dxa"/>
                    <w:tblInd w:w="55" w:type="dxa"/>
                    <w:tblCellMar>
                      <w:left w:w="70" w:type="dxa"/>
                      <w:right w:w="70" w:type="dxa"/>
                    </w:tblCellMar>
                    <w:tblLook w:val="0000" w:firstRow="0" w:lastRow="0" w:firstColumn="0" w:lastColumn="0" w:noHBand="0" w:noVBand="0"/>
                  </w:tblPr>
                  <w:tblGrid>
                    <w:gridCol w:w="2425"/>
                    <w:gridCol w:w="2552"/>
                    <w:gridCol w:w="2268"/>
                    <w:gridCol w:w="2126"/>
                  </w:tblGrid>
                  <w:tr w:rsidR="00F04EEF">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rsidR="00F04EEF" w:rsidRDefault="0099351E">
                        <w:pPr>
                          <w:jc w:val="center"/>
                          <w:rPr>
                            <w:b/>
                            <w:bCs/>
                            <w:lang w:val="fr-FR" w:eastAsia="fr-FR"/>
                          </w:rPr>
                        </w:pPr>
                        <w:r>
                          <w:rPr>
                            <w:b/>
                            <w:bCs/>
                            <w:lang w:eastAsia="fr-FR"/>
                          </w:rPr>
                          <w:t xml:space="preserve">Arrondissements de </w:t>
                        </w:r>
                        <w:r>
                          <w:rPr>
                            <w:b/>
                            <w:bCs/>
                            <w:u w:val="single"/>
                            <w:lang w:eastAsia="fr-FR"/>
                          </w:rPr>
                          <w:t>minimum</w:t>
                        </w:r>
                        <w:r>
                          <w:rPr>
                            <w:b/>
                            <w:bCs/>
                            <w:lang w:eastAsia="fr-FR"/>
                          </w:rPr>
                          <w:t xml:space="preserve"> 75 habitants au Km²</w:t>
                        </w:r>
                      </w:p>
                    </w:tc>
                  </w:tr>
                  <w:tr w:rsidR="00F04EEF">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rsidR="00F04EEF" w:rsidRDefault="0099351E">
                        <w:pPr>
                          <w:jc w:val="center"/>
                          <w:rPr>
                            <w:lang w:val="fr-FR" w:eastAsia="fr-FR"/>
                          </w:rPr>
                        </w:pPr>
                        <w:r>
                          <w:rPr>
                            <w:lang w:eastAsia="fr-FR"/>
                          </w:rPr>
                          <w:t>Formes d'enseignement spécialisé</w:t>
                        </w:r>
                      </w:p>
                    </w:tc>
                    <w:tc>
                      <w:tcPr>
                        <w:tcW w:w="4820" w:type="dxa"/>
                        <w:gridSpan w:val="2"/>
                        <w:tcBorders>
                          <w:top w:val="single" w:sz="8" w:space="0" w:color="auto"/>
                          <w:left w:val="nil"/>
                          <w:bottom w:val="single" w:sz="8" w:space="0" w:color="auto"/>
                          <w:right w:val="single" w:sz="8" w:space="0" w:color="000000"/>
                        </w:tcBorders>
                        <w:noWrap/>
                        <w:vAlign w:val="center"/>
                      </w:tcPr>
                      <w:p w:rsidR="00F04EEF" w:rsidRDefault="0099351E">
                        <w:pPr>
                          <w:jc w:val="center"/>
                          <w:rPr>
                            <w:b/>
                            <w:bCs/>
                            <w:lang w:val="fr-FR" w:eastAsia="fr-FR"/>
                          </w:rPr>
                        </w:pPr>
                        <w:r>
                          <w:rPr>
                            <w:b/>
                            <w:bCs/>
                            <w:lang w:eastAsia="fr-FR"/>
                          </w:rPr>
                          <w:t>Normes pour l’école</w:t>
                        </w:r>
                      </w:p>
                    </w:tc>
                    <w:tc>
                      <w:tcPr>
                        <w:tcW w:w="2126" w:type="dxa"/>
                        <w:tcBorders>
                          <w:top w:val="nil"/>
                          <w:left w:val="nil"/>
                          <w:bottom w:val="single" w:sz="8" w:space="0" w:color="auto"/>
                          <w:right w:val="single" w:sz="8" w:space="0" w:color="auto"/>
                        </w:tcBorders>
                        <w:noWrap/>
                        <w:vAlign w:val="center"/>
                      </w:tcPr>
                      <w:p w:rsidR="00F04EEF" w:rsidRDefault="0099351E">
                        <w:pPr>
                          <w:jc w:val="center"/>
                          <w:rPr>
                            <w:b/>
                            <w:bCs/>
                            <w:lang w:val="fr-FR" w:eastAsia="fr-FR"/>
                          </w:rPr>
                        </w:pPr>
                        <w:r>
                          <w:rPr>
                            <w:b/>
                            <w:bCs/>
                            <w:lang w:eastAsia="fr-FR"/>
                          </w:rPr>
                          <w:t xml:space="preserve">Norme pour les implantations </w:t>
                        </w:r>
                        <w:r>
                          <w:rPr>
                            <w:b/>
                            <w:bCs/>
                            <w:lang w:eastAsia="fr-FR"/>
                          </w:rPr>
                          <w:br/>
                          <w:t xml:space="preserve">à </w:t>
                        </w:r>
                        <w:r>
                          <w:rPr>
                            <w:b/>
                            <w:bCs/>
                            <w:u w:val="single"/>
                            <w:lang w:eastAsia="fr-FR"/>
                          </w:rPr>
                          <w:t>min 2</w:t>
                        </w:r>
                        <w:r>
                          <w:rPr>
                            <w:b/>
                            <w:bCs/>
                            <w:lang w:eastAsia="fr-FR"/>
                          </w:rPr>
                          <w:t xml:space="preserve"> </w:t>
                        </w:r>
                        <w:r>
                          <w:rPr>
                            <w:b/>
                            <w:bCs/>
                            <w:u w:val="single"/>
                            <w:lang w:eastAsia="fr-FR"/>
                          </w:rPr>
                          <w:t xml:space="preserve">km </w:t>
                        </w:r>
                        <w:r>
                          <w:rPr>
                            <w:b/>
                            <w:bCs/>
                            <w:u w:val="single"/>
                            <w:lang w:eastAsia="fr-FR"/>
                          </w:rPr>
                          <w:br/>
                          <w:t>du bâtiment principal</w:t>
                        </w:r>
                      </w:p>
                    </w:tc>
                  </w:tr>
                  <w:tr w:rsidR="00F04EEF">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rsidR="00F04EEF" w:rsidRDefault="00F04EEF">
                        <w:pPr>
                          <w:jc w:val="center"/>
                          <w:rPr>
                            <w:lang w:val="fr-FR" w:eastAsia="fr-FR"/>
                          </w:rPr>
                        </w:pPr>
                      </w:p>
                    </w:tc>
                    <w:tc>
                      <w:tcPr>
                        <w:tcW w:w="2552" w:type="dxa"/>
                        <w:tcBorders>
                          <w:top w:val="nil"/>
                          <w:left w:val="nil"/>
                          <w:bottom w:val="single" w:sz="8" w:space="0" w:color="auto"/>
                          <w:right w:val="single" w:sz="8" w:space="0" w:color="auto"/>
                        </w:tcBorders>
                        <w:noWrap/>
                        <w:vAlign w:val="center"/>
                      </w:tcPr>
                      <w:p w:rsidR="00F04EEF" w:rsidRDefault="0099351E">
                        <w:pPr>
                          <w:jc w:val="center"/>
                          <w:rPr>
                            <w:lang w:val="fr-FR" w:eastAsia="fr-FR"/>
                          </w:rPr>
                        </w:pPr>
                        <w:r>
                          <w:rPr>
                            <w:lang w:eastAsia="fr-FR"/>
                          </w:rPr>
                          <w:t>Nombre d’élèves pour maintenir la forme</w:t>
                        </w:r>
                      </w:p>
                    </w:tc>
                    <w:tc>
                      <w:tcPr>
                        <w:tcW w:w="2268" w:type="dxa"/>
                        <w:tcBorders>
                          <w:top w:val="nil"/>
                          <w:left w:val="nil"/>
                          <w:bottom w:val="single" w:sz="8" w:space="0" w:color="auto"/>
                          <w:right w:val="single" w:sz="8" w:space="0" w:color="auto"/>
                        </w:tcBorders>
                        <w:noWrap/>
                        <w:vAlign w:val="center"/>
                      </w:tcPr>
                      <w:p w:rsidR="00F04EEF" w:rsidRDefault="0099351E">
                        <w:pPr>
                          <w:jc w:val="center"/>
                          <w:rPr>
                            <w:lang w:val="fr-FR" w:eastAsia="fr-FR"/>
                          </w:rPr>
                        </w:pPr>
                        <w:r>
                          <w:rPr>
                            <w:lang w:eastAsia="fr-FR"/>
                          </w:rPr>
                          <w:t xml:space="preserve">2/3 </w:t>
                        </w:r>
                        <w:r>
                          <w:rPr>
                            <w:lang w:eastAsia="fr-FR"/>
                          </w:rPr>
                          <w:br/>
                          <w:t>de la norme</w:t>
                        </w:r>
                      </w:p>
                    </w:tc>
                    <w:tc>
                      <w:tcPr>
                        <w:tcW w:w="2126" w:type="dxa"/>
                        <w:tcBorders>
                          <w:top w:val="nil"/>
                          <w:left w:val="nil"/>
                          <w:bottom w:val="single" w:sz="8" w:space="0" w:color="auto"/>
                          <w:right w:val="single" w:sz="8" w:space="0" w:color="auto"/>
                        </w:tcBorders>
                        <w:noWrap/>
                        <w:vAlign w:val="center"/>
                      </w:tcPr>
                      <w:p w:rsidR="00F04EEF" w:rsidRDefault="0099351E">
                        <w:pPr>
                          <w:jc w:val="center"/>
                          <w:rPr>
                            <w:lang w:val="fr-FR" w:eastAsia="fr-FR"/>
                          </w:rPr>
                        </w:pPr>
                        <w:r>
                          <w:rPr>
                            <w:lang w:eastAsia="fr-FR"/>
                          </w:rPr>
                          <w:t xml:space="preserve">Nombre d’élèves pour maintenir </w:t>
                        </w:r>
                        <w:r>
                          <w:rPr>
                            <w:lang w:eastAsia="fr-FR"/>
                          </w:rPr>
                          <w:br/>
                          <w:t>la forme</w:t>
                        </w:r>
                      </w:p>
                    </w:tc>
                  </w:tr>
                  <w:tr w:rsidR="00F04EEF">
                    <w:trPr>
                      <w:trHeight w:val="300"/>
                    </w:trPr>
                    <w:tc>
                      <w:tcPr>
                        <w:tcW w:w="2425" w:type="dxa"/>
                        <w:tcBorders>
                          <w:top w:val="single" w:sz="8" w:space="0" w:color="auto"/>
                          <w:left w:val="single" w:sz="8" w:space="0" w:color="auto"/>
                          <w:bottom w:val="single" w:sz="8" w:space="0" w:color="000000"/>
                          <w:right w:val="single" w:sz="8" w:space="0" w:color="000000"/>
                        </w:tcBorders>
                        <w:shd w:val="clear" w:color="auto" w:fill="D9D9D9"/>
                        <w:vAlign w:val="center"/>
                      </w:tcPr>
                      <w:p w:rsidR="00F04EEF" w:rsidRDefault="0099351E">
                        <w:pPr>
                          <w:jc w:val="center"/>
                          <w:rPr>
                            <w:b/>
                            <w:bCs/>
                            <w:lang w:val="fr-FR" w:eastAsia="fr-FR"/>
                          </w:rPr>
                        </w:pPr>
                        <w:r>
                          <w:rPr>
                            <w:b/>
                            <w:bCs/>
                            <w:lang w:eastAsia="fr-FR"/>
                          </w:rPr>
                          <w:t>A</w:t>
                        </w:r>
                      </w:p>
                    </w:tc>
                    <w:tc>
                      <w:tcPr>
                        <w:tcW w:w="2552" w:type="dxa"/>
                        <w:tcBorders>
                          <w:top w:val="single" w:sz="8" w:space="0" w:color="000000"/>
                          <w:left w:val="nil"/>
                          <w:bottom w:val="single" w:sz="8" w:space="0" w:color="000000"/>
                          <w:right w:val="nil"/>
                        </w:tcBorders>
                        <w:shd w:val="clear" w:color="auto" w:fill="D9D9D9"/>
                        <w:vAlign w:val="center"/>
                      </w:tcPr>
                      <w:p w:rsidR="00F04EEF" w:rsidRDefault="0099351E">
                        <w:pPr>
                          <w:jc w:val="center"/>
                          <w:rPr>
                            <w:b/>
                            <w:bCs/>
                            <w:lang w:val="fr-FR" w:eastAsia="fr-FR"/>
                          </w:rPr>
                        </w:pPr>
                        <w:r>
                          <w:rPr>
                            <w:b/>
                            <w:bCs/>
                            <w:lang w:eastAsia="fr-FR"/>
                          </w:rPr>
                          <w:t>B</w:t>
                        </w:r>
                      </w:p>
                    </w:tc>
                    <w:tc>
                      <w:tcPr>
                        <w:tcW w:w="2268" w:type="dxa"/>
                        <w:tcBorders>
                          <w:top w:val="single" w:sz="8" w:space="0" w:color="000000"/>
                          <w:left w:val="single" w:sz="8" w:space="0" w:color="000000"/>
                          <w:bottom w:val="single" w:sz="8" w:space="0" w:color="000000"/>
                          <w:right w:val="nil"/>
                        </w:tcBorders>
                        <w:shd w:val="clear" w:color="auto" w:fill="D9D9D9"/>
                        <w:vAlign w:val="center"/>
                      </w:tcPr>
                      <w:p w:rsidR="00F04EEF" w:rsidRDefault="0099351E">
                        <w:pPr>
                          <w:jc w:val="center"/>
                          <w:rPr>
                            <w:b/>
                            <w:bCs/>
                            <w:lang w:val="fr-FR" w:eastAsia="fr-FR"/>
                          </w:rPr>
                        </w:pPr>
                        <w:r>
                          <w:rPr>
                            <w:b/>
                            <w:bCs/>
                            <w:lang w:eastAsia="fr-FR"/>
                          </w:rPr>
                          <w:t>C</w:t>
                        </w:r>
                      </w:p>
                    </w:tc>
                    <w:tc>
                      <w:tcPr>
                        <w:tcW w:w="2126"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F04EEF" w:rsidRDefault="0099351E">
                        <w:pPr>
                          <w:jc w:val="center"/>
                          <w:rPr>
                            <w:b/>
                            <w:bCs/>
                            <w:lang w:val="fr-FR" w:eastAsia="fr-FR"/>
                          </w:rPr>
                        </w:pPr>
                        <w:r>
                          <w:rPr>
                            <w:b/>
                            <w:bCs/>
                            <w:lang w:eastAsia="fr-FR"/>
                          </w:rPr>
                          <w:t>D</w:t>
                        </w:r>
                      </w:p>
                    </w:tc>
                  </w:tr>
                  <w:tr w:rsidR="00F04EEF">
                    <w:trPr>
                      <w:trHeight w:val="285"/>
                    </w:trPr>
                    <w:tc>
                      <w:tcPr>
                        <w:tcW w:w="2425"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1</w:t>
                        </w:r>
                      </w:p>
                    </w:tc>
                    <w:tc>
                      <w:tcPr>
                        <w:tcW w:w="2552" w:type="dxa"/>
                        <w:tcBorders>
                          <w:top w:val="single" w:sz="8" w:space="0" w:color="000000"/>
                          <w:left w:val="nil"/>
                          <w:bottom w:val="single" w:sz="8" w:space="0" w:color="000000"/>
                          <w:right w:val="nil"/>
                        </w:tcBorders>
                        <w:vAlign w:val="center"/>
                      </w:tcPr>
                      <w:p w:rsidR="00F04EEF" w:rsidRDefault="0099351E">
                        <w:pPr>
                          <w:jc w:val="center"/>
                          <w:rPr>
                            <w:lang w:val="fr-FR" w:eastAsia="fr-FR"/>
                          </w:rPr>
                        </w:pPr>
                        <w:r>
                          <w:rPr>
                            <w:lang w:eastAsia="fr-FR"/>
                          </w:rPr>
                          <w:t>7</w:t>
                        </w:r>
                      </w:p>
                    </w:tc>
                    <w:tc>
                      <w:tcPr>
                        <w:tcW w:w="2268" w:type="dxa"/>
                        <w:tcBorders>
                          <w:top w:val="single" w:sz="8" w:space="0" w:color="000000"/>
                          <w:left w:val="single" w:sz="8" w:space="0" w:color="000000"/>
                          <w:bottom w:val="single" w:sz="8" w:space="0" w:color="000000"/>
                          <w:right w:val="nil"/>
                        </w:tcBorders>
                        <w:vAlign w:val="center"/>
                      </w:tcPr>
                      <w:p w:rsidR="00F04EEF" w:rsidRDefault="0099351E">
                        <w:pPr>
                          <w:jc w:val="center"/>
                          <w:rPr>
                            <w:lang w:val="fr-FR" w:eastAsia="fr-FR"/>
                          </w:rPr>
                        </w:pPr>
                        <w:r>
                          <w:rPr>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5</w:t>
                        </w:r>
                      </w:p>
                    </w:tc>
                  </w:tr>
                  <w:tr w:rsidR="00F04EEF">
                    <w:trPr>
                      <w:trHeight w:val="255"/>
                    </w:trPr>
                    <w:tc>
                      <w:tcPr>
                        <w:tcW w:w="2425"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2</w:t>
                        </w:r>
                      </w:p>
                    </w:tc>
                    <w:tc>
                      <w:tcPr>
                        <w:tcW w:w="2552" w:type="dxa"/>
                        <w:tcBorders>
                          <w:top w:val="single" w:sz="8" w:space="0" w:color="000000"/>
                          <w:left w:val="nil"/>
                          <w:bottom w:val="single" w:sz="8" w:space="0" w:color="000000"/>
                          <w:right w:val="nil"/>
                        </w:tcBorders>
                        <w:vAlign w:val="center"/>
                      </w:tcPr>
                      <w:p w:rsidR="00F04EEF" w:rsidRDefault="0099351E">
                        <w:pPr>
                          <w:jc w:val="center"/>
                          <w:rPr>
                            <w:lang w:val="fr-FR" w:eastAsia="fr-FR"/>
                          </w:rPr>
                        </w:pPr>
                        <w:r>
                          <w:rPr>
                            <w:lang w:eastAsia="fr-FR"/>
                          </w:rPr>
                          <w:t>12</w:t>
                        </w:r>
                      </w:p>
                    </w:tc>
                    <w:tc>
                      <w:tcPr>
                        <w:tcW w:w="2268" w:type="dxa"/>
                        <w:tcBorders>
                          <w:top w:val="single" w:sz="8" w:space="0" w:color="000000"/>
                          <w:left w:val="single" w:sz="8" w:space="0" w:color="000000"/>
                          <w:bottom w:val="single" w:sz="8" w:space="0" w:color="000000"/>
                          <w:right w:val="nil"/>
                        </w:tcBorders>
                        <w:vAlign w:val="center"/>
                      </w:tcPr>
                      <w:p w:rsidR="00F04EEF" w:rsidRDefault="0099351E">
                        <w:pPr>
                          <w:jc w:val="center"/>
                          <w:rPr>
                            <w:lang w:val="fr-FR" w:eastAsia="fr-FR"/>
                          </w:rPr>
                        </w:pPr>
                        <w:r>
                          <w:rPr>
                            <w:lang w:eastAsia="fr-FR"/>
                          </w:rPr>
                          <w:t>8</w:t>
                        </w:r>
                      </w:p>
                    </w:tc>
                    <w:tc>
                      <w:tcPr>
                        <w:tcW w:w="2126"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8</w:t>
                        </w:r>
                      </w:p>
                    </w:tc>
                  </w:tr>
                  <w:tr w:rsidR="00F04EEF">
                    <w:trPr>
                      <w:trHeight w:val="315"/>
                    </w:trPr>
                    <w:tc>
                      <w:tcPr>
                        <w:tcW w:w="2425"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3</w:t>
                        </w:r>
                      </w:p>
                    </w:tc>
                    <w:tc>
                      <w:tcPr>
                        <w:tcW w:w="2552" w:type="dxa"/>
                        <w:tcBorders>
                          <w:top w:val="single" w:sz="8" w:space="0" w:color="000000"/>
                          <w:left w:val="nil"/>
                          <w:bottom w:val="single" w:sz="8" w:space="0" w:color="000000"/>
                          <w:right w:val="nil"/>
                        </w:tcBorders>
                        <w:vAlign w:val="center"/>
                      </w:tcPr>
                      <w:p w:rsidR="00F04EEF" w:rsidRDefault="0099351E">
                        <w:pPr>
                          <w:jc w:val="center"/>
                          <w:rPr>
                            <w:lang w:val="fr-FR" w:eastAsia="fr-FR"/>
                          </w:rPr>
                        </w:pPr>
                        <w:r>
                          <w:rPr>
                            <w:lang w:eastAsia="fr-FR"/>
                          </w:rPr>
                          <w:t>24</w:t>
                        </w:r>
                      </w:p>
                    </w:tc>
                    <w:tc>
                      <w:tcPr>
                        <w:tcW w:w="2268" w:type="dxa"/>
                        <w:tcBorders>
                          <w:top w:val="single" w:sz="8" w:space="0" w:color="000000"/>
                          <w:left w:val="single" w:sz="8" w:space="0" w:color="000000"/>
                          <w:bottom w:val="single" w:sz="8" w:space="0" w:color="000000"/>
                          <w:right w:val="nil"/>
                        </w:tcBorders>
                        <w:vAlign w:val="center"/>
                      </w:tcPr>
                      <w:p w:rsidR="00F04EEF" w:rsidRDefault="0099351E">
                        <w:pPr>
                          <w:jc w:val="center"/>
                          <w:rPr>
                            <w:lang w:val="fr-FR" w:eastAsia="fr-FR"/>
                          </w:rPr>
                        </w:pPr>
                        <w:r>
                          <w:rPr>
                            <w:lang w:eastAsia="fr-FR"/>
                          </w:rPr>
                          <w:t>16</w:t>
                        </w:r>
                      </w:p>
                    </w:tc>
                    <w:tc>
                      <w:tcPr>
                        <w:tcW w:w="2126"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16</w:t>
                        </w:r>
                      </w:p>
                    </w:tc>
                  </w:tr>
                  <w:tr w:rsidR="00F04EEF">
                    <w:trPr>
                      <w:trHeight w:val="345"/>
                    </w:trPr>
                    <w:tc>
                      <w:tcPr>
                        <w:tcW w:w="2425"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4</w:t>
                        </w:r>
                      </w:p>
                    </w:tc>
                    <w:tc>
                      <w:tcPr>
                        <w:tcW w:w="2552" w:type="dxa"/>
                        <w:tcBorders>
                          <w:top w:val="single" w:sz="8" w:space="0" w:color="000000"/>
                          <w:left w:val="nil"/>
                          <w:bottom w:val="single" w:sz="8" w:space="0" w:color="000000"/>
                          <w:right w:val="nil"/>
                        </w:tcBorders>
                        <w:vAlign w:val="center"/>
                      </w:tcPr>
                      <w:p w:rsidR="00F04EEF" w:rsidRDefault="0099351E">
                        <w:pPr>
                          <w:jc w:val="center"/>
                          <w:rPr>
                            <w:lang w:val="fr-FR" w:eastAsia="fr-FR"/>
                          </w:rPr>
                        </w:pPr>
                        <w:r>
                          <w:rPr>
                            <w:lang w:eastAsia="fr-FR"/>
                          </w:rPr>
                          <w:t>8</w:t>
                        </w:r>
                      </w:p>
                    </w:tc>
                    <w:tc>
                      <w:tcPr>
                        <w:tcW w:w="2268" w:type="dxa"/>
                        <w:tcBorders>
                          <w:top w:val="single" w:sz="8" w:space="0" w:color="000000"/>
                          <w:left w:val="single" w:sz="8" w:space="0" w:color="000000"/>
                          <w:bottom w:val="single" w:sz="8" w:space="0" w:color="000000"/>
                          <w:right w:val="nil"/>
                        </w:tcBorders>
                        <w:vAlign w:val="center"/>
                      </w:tcPr>
                      <w:p w:rsidR="00F04EEF" w:rsidRDefault="0099351E">
                        <w:pPr>
                          <w:jc w:val="center"/>
                          <w:rPr>
                            <w:lang w:val="fr-FR" w:eastAsia="fr-FR"/>
                          </w:rPr>
                        </w:pPr>
                        <w:r>
                          <w:rPr>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rsidR="00F04EEF" w:rsidRDefault="0099351E">
                        <w:pPr>
                          <w:jc w:val="center"/>
                          <w:rPr>
                            <w:lang w:val="fr-FR" w:eastAsia="fr-FR"/>
                          </w:rPr>
                        </w:pPr>
                        <w:r>
                          <w:rPr>
                            <w:lang w:eastAsia="fr-FR"/>
                          </w:rPr>
                          <w:t>5</w:t>
                        </w:r>
                      </w:p>
                    </w:tc>
                  </w:tr>
                </w:tbl>
                <w:p w:rsidR="00F04EEF" w:rsidRDefault="00F04EEF">
                  <w:pPr>
                    <w:tabs>
                      <w:tab w:val="left" w:pos="962"/>
                      <w:tab w:val="left" w:pos="1134"/>
                      <w:tab w:val="left" w:pos="1303"/>
                      <w:tab w:val="left" w:pos="1586"/>
                      <w:tab w:val="left" w:pos="1813"/>
                      <w:tab w:val="left" w:pos="3967"/>
                    </w:tabs>
                    <w:jc w:val="center"/>
                    <w:rPr>
                      <w:u w:val="single"/>
                    </w:rPr>
                  </w:pPr>
                </w:p>
                <w:tbl>
                  <w:tblPr>
                    <w:tblW w:w="9371" w:type="dxa"/>
                    <w:tblInd w:w="55" w:type="dxa"/>
                    <w:tblCellMar>
                      <w:left w:w="70" w:type="dxa"/>
                      <w:right w:w="70" w:type="dxa"/>
                    </w:tblCellMar>
                    <w:tblLook w:val="0000" w:firstRow="0" w:lastRow="0" w:firstColumn="0" w:lastColumn="0" w:noHBand="0" w:noVBand="0"/>
                  </w:tblPr>
                  <w:tblGrid>
                    <w:gridCol w:w="2425"/>
                    <w:gridCol w:w="2552"/>
                    <w:gridCol w:w="2267"/>
                    <w:gridCol w:w="2127"/>
                  </w:tblGrid>
                  <w:tr w:rsidR="00F04EEF">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rsidR="00F04EEF" w:rsidRDefault="0099351E">
                        <w:pPr>
                          <w:jc w:val="center"/>
                          <w:rPr>
                            <w:b/>
                            <w:bCs/>
                            <w:lang w:val="fr-FR" w:eastAsia="fr-FR"/>
                          </w:rPr>
                        </w:pPr>
                        <w:r>
                          <w:rPr>
                            <w:b/>
                            <w:bCs/>
                            <w:lang w:eastAsia="fr-FR"/>
                          </w:rPr>
                          <w:t xml:space="preserve">Arrondissements de </w:t>
                        </w:r>
                        <w:r>
                          <w:rPr>
                            <w:b/>
                            <w:bCs/>
                            <w:u w:val="single"/>
                            <w:lang w:eastAsia="fr-FR"/>
                          </w:rPr>
                          <w:t>moins</w:t>
                        </w:r>
                        <w:r>
                          <w:rPr>
                            <w:b/>
                            <w:bCs/>
                            <w:lang w:eastAsia="fr-FR"/>
                          </w:rPr>
                          <w:t xml:space="preserve"> de 75 habitants au Km²</w:t>
                        </w:r>
                      </w:p>
                    </w:tc>
                  </w:tr>
                  <w:tr w:rsidR="00F04EEF">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rsidR="00F04EEF" w:rsidRDefault="0099351E">
                        <w:pPr>
                          <w:jc w:val="center"/>
                          <w:rPr>
                            <w:lang w:val="fr-FR" w:eastAsia="fr-FR"/>
                          </w:rPr>
                        </w:pPr>
                        <w:r>
                          <w:rPr>
                            <w:lang w:eastAsia="fr-FR"/>
                          </w:rPr>
                          <w:t>Formes d'enseignement spécialisé</w:t>
                        </w:r>
                      </w:p>
                    </w:tc>
                    <w:tc>
                      <w:tcPr>
                        <w:tcW w:w="4819" w:type="dxa"/>
                        <w:gridSpan w:val="2"/>
                        <w:tcBorders>
                          <w:top w:val="single" w:sz="8" w:space="0" w:color="auto"/>
                          <w:left w:val="nil"/>
                          <w:bottom w:val="single" w:sz="8" w:space="0" w:color="auto"/>
                          <w:right w:val="single" w:sz="8" w:space="0" w:color="000000"/>
                        </w:tcBorders>
                        <w:noWrap/>
                        <w:vAlign w:val="center"/>
                      </w:tcPr>
                      <w:p w:rsidR="00F04EEF" w:rsidRDefault="0099351E">
                        <w:pPr>
                          <w:jc w:val="center"/>
                          <w:rPr>
                            <w:b/>
                            <w:bCs/>
                            <w:lang w:val="fr-FR" w:eastAsia="fr-FR"/>
                          </w:rPr>
                        </w:pPr>
                        <w:r>
                          <w:rPr>
                            <w:b/>
                            <w:bCs/>
                            <w:lang w:eastAsia="fr-FR"/>
                          </w:rPr>
                          <w:t>Normes pour l’école</w:t>
                        </w:r>
                      </w:p>
                    </w:tc>
                    <w:tc>
                      <w:tcPr>
                        <w:tcW w:w="2127" w:type="dxa"/>
                        <w:tcBorders>
                          <w:top w:val="nil"/>
                          <w:left w:val="nil"/>
                          <w:bottom w:val="single" w:sz="8" w:space="0" w:color="auto"/>
                          <w:right w:val="single" w:sz="8" w:space="0" w:color="auto"/>
                        </w:tcBorders>
                        <w:noWrap/>
                        <w:vAlign w:val="center"/>
                      </w:tcPr>
                      <w:p w:rsidR="00F04EEF" w:rsidRDefault="0099351E">
                        <w:pPr>
                          <w:jc w:val="center"/>
                          <w:rPr>
                            <w:b/>
                            <w:bCs/>
                            <w:lang w:val="fr-FR" w:eastAsia="fr-FR"/>
                          </w:rPr>
                        </w:pPr>
                        <w:r>
                          <w:rPr>
                            <w:b/>
                            <w:bCs/>
                            <w:lang w:eastAsia="fr-FR"/>
                          </w:rPr>
                          <w:t xml:space="preserve">Norme pour les implantations à </w:t>
                        </w:r>
                        <w:r>
                          <w:rPr>
                            <w:b/>
                            <w:bCs/>
                            <w:u w:val="single"/>
                            <w:lang w:eastAsia="fr-FR"/>
                          </w:rPr>
                          <w:t>min 2</w:t>
                        </w:r>
                        <w:r>
                          <w:rPr>
                            <w:b/>
                            <w:bCs/>
                            <w:lang w:eastAsia="fr-FR"/>
                          </w:rPr>
                          <w:t xml:space="preserve"> </w:t>
                        </w:r>
                        <w:r>
                          <w:rPr>
                            <w:b/>
                            <w:bCs/>
                            <w:u w:val="single"/>
                            <w:lang w:eastAsia="fr-FR"/>
                          </w:rPr>
                          <w:t>km du bâtiment principal</w:t>
                        </w:r>
                      </w:p>
                    </w:tc>
                  </w:tr>
                  <w:tr w:rsidR="00F04EEF">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rsidR="00F04EEF" w:rsidRDefault="00F04EEF">
                        <w:pPr>
                          <w:jc w:val="center"/>
                          <w:rPr>
                            <w:lang w:val="fr-FR" w:eastAsia="fr-FR"/>
                          </w:rPr>
                        </w:pPr>
                      </w:p>
                    </w:tc>
                    <w:tc>
                      <w:tcPr>
                        <w:tcW w:w="2552" w:type="dxa"/>
                        <w:tcBorders>
                          <w:top w:val="nil"/>
                          <w:left w:val="nil"/>
                          <w:bottom w:val="single" w:sz="8" w:space="0" w:color="auto"/>
                          <w:right w:val="single" w:sz="8" w:space="0" w:color="auto"/>
                        </w:tcBorders>
                        <w:noWrap/>
                        <w:vAlign w:val="center"/>
                      </w:tcPr>
                      <w:p w:rsidR="00F04EEF" w:rsidRDefault="0099351E">
                        <w:pPr>
                          <w:jc w:val="center"/>
                          <w:rPr>
                            <w:lang w:val="fr-FR" w:eastAsia="fr-FR"/>
                          </w:rPr>
                        </w:pPr>
                        <w:r>
                          <w:rPr>
                            <w:lang w:eastAsia="fr-FR"/>
                          </w:rPr>
                          <w:t>Nombre d’élèves pour maintenir la forme</w:t>
                        </w:r>
                      </w:p>
                    </w:tc>
                    <w:tc>
                      <w:tcPr>
                        <w:tcW w:w="2267" w:type="dxa"/>
                        <w:tcBorders>
                          <w:top w:val="nil"/>
                          <w:left w:val="nil"/>
                          <w:bottom w:val="single" w:sz="8" w:space="0" w:color="auto"/>
                          <w:right w:val="single" w:sz="8" w:space="0" w:color="auto"/>
                        </w:tcBorders>
                        <w:noWrap/>
                        <w:vAlign w:val="center"/>
                      </w:tcPr>
                      <w:p w:rsidR="00F04EEF" w:rsidRDefault="0099351E">
                        <w:pPr>
                          <w:jc w:val="center"/>
                          <w:rPr>
                            <w:lang w:val="fr-FR" w:eastAsia="fr-FR"/>
                          </w:rPr>
                        </w:pPr>
                        <w:r>
                          <w:rPr>
                            <w:lang w:eastAsia="fr-FR"/>
                          </w:rPr>
                          <w:t xml:space="preserve">2/3 </w:t>
                        </w:r>
                        <w:r>
                          <w:rPr>
                            <w:lang w:eastAsia="fr-FR"/>
                          </w:rPr>
                          <w:br/>
                          <w:t>de la norme</w:t>
                        </w:r>
                      </w:p>
                    </w:tc>
                    <w:tc>
                      <w:tcPr>
                        <w:tcW w:w="2127" w:type="dxa"/>
                        <w:tcBorders>
                          <w:top w:val="nil"/>
                          <w:left w:val="nil"/>
                          <w:bottom w:val="single" w:sz="8" w:space="0" w:color="auto"/>
                          <w:right w:val="single" w:sz="8" w:space="0" w:color="auto"/>
                        </w:tcBorders>
                        <w:noWrap/>
                        <w:vAlign w:val="center"/>
                      </w:tcPr>
                      <w:p w:rsidR="00F04EEF" w:rsidRDefault="0099351E">
                        <w:pPr>
                          <w:jc w:val="center"/>
                          <w:rPr>
                            <w:lang w:val="fr-FR" w:eastAsia="fr-FR"/>
                          </w:rPr>
                        </w:pPr>
                        <w:r>
                          <w:rPr>
                            <w:lang w:eastAsia="fr-FR"/>
                          </w:rPr>
                          <w:t xml:space="preserve">Nombre d’élèves pour maintenir </w:t>
                        </w:r>
                        <w:r>
                          <w:rPr>
                            <w:lang w:eastAsia="fr-FR"/>
                          </w:rPr>
                          <w:br/>
                          <w:t>la forme</w:t>
                        </w:r>
                      </w:p>
                    </w:tc>
                  </w:tr>
                  <w:tr w:rsidR="00F04EEF">
                    <w:trPr>
                      <w:trHeight w:val="300"/>
                    </w:trPr>
                    <w:tc>
                      <w:tcPr>
                        <w:tcW w:w="2425" w:type="dxa"/>
                        <w:tcBorders>
                          <w:top w:val="single" w:sz="8" w:space="0" w:color="auto"/>
                          <w:left w:val="single" w:sz="8" w:space="0" w:color="auto"/>
                          <w:bottom w:val="single" w:sz="8" w:space="0" w:color="auto"/>
                          <w:right w:val="single" w:sz="8" w:space="0" w:color="000000"/>
                        </w:tcBorders>
                        <w:shd w:val="clear" w:color="auto" w:fill="D9D9D9"/>
                        <w:vAlign w:val="center"/>
                      </w:tcPr>
                      <w:p w:rsidR="00F04EEF" w:rsidRDefault="0099351E">
                        <w:pPr>
                          <w:jc w:val="center"/>
                          <w:rPr>
                            <w:b/>
                            <w:bCs/>
                            <w:lang w:val="fr-FR" w:eastAsia="fr-FR"/>
                          </w:rPr>
                        </w:pPr>
                        <w:r>
                          <w:rPr>
                            <w:b/>
                            <w:bCs/>
                            <w:lang w:eastAsia="fr-FR"/>
                          </w:rPr>
                          <w:t>A</w:t>
                        </w:r>
                      </w:p>
                    </w:tc>
                    <w:tc>
                      <w:tcPr>
                        <w:tcW w:w="2552" w:type="dxa"/>
                        <w:tcBorders>
                          <w:top w:val="single" w:sz="8" w:space="0" w:color="000000"/>
                          <w:left w:val="nil"/>
                          <w:bottom w:val="single" w:sz="8" w:space="0" w:color="auto"/>
                          <w:right w:val="nil"/>
                        </w:tcBorders>
                        <w:shd w:val="clear" w:color="auto" w:fill="D9D9D9"/>
                        <w:vAlign w:val="center"/>
                      </w:tcPr>
                      <w:p w:rsidR="00F04EEF" w:rsidRDefault="0099351E">
                        <w:pPr>
                          <w:jc w:val="center"/>
                          <w:rPr>
                            <w:b/>
                            <w:bCs/>
                            <w:lang w:val="fr-FR" w:eastAsia="fr-FR"/>
                          </w:rPr>
                        </w:pPr>
                        <w:r>
                          <w:rPr>
                            <w:b/>
                            <w:bCs/>
                            <w:lang w:eastAsia="fr-FR"/>
                          </w:rPr>
                          <w:t>E</w:t>
                        </w:r>
                      </w:p>
                    </w:tc>
                    <w:tc>
                      <w:tcPr>
                        <w:tcW w:w="2267" w:type="dxa"/>
                        <w:tcBorders>
                          <w:top w:val="single" w:sz="8" w:space="0" w:color="000000"/>
                          <w:left w:val="single" w:sz="8" w:space="0" w:color="000000"/>
                          <w:bottom w:val="single" w:sz="8" w:space="0" w:color="auto"/>
                          <w:right w:val="nil"/>
                        </w:tcBorders>
                        <w:shd w:val="clear" w:color="auto" w:fill="D9D9D9"/>
                        <w:vAlign w:val="center"/>
                      </w:tcPr>
                      <w:p w:rsidR="00F04EEF" w:rsidRDefault="0099351E">
                        <w:pPr>
                          <w:jc w:val="center"/>
                          <w:rPr>
                            <w:b/>
                            <w:bCs/>
                            <w:lang w:val="fr-FR" w:eastAsia="fr-FR"/>
                          </w:rPr>
                        </w:pPr>
                        <w:r>
                          <w:rPr>
                            <w:b/>
                            <w:bCs/>
                            <w:lang w:eastAsia="fr-FR"/>
                          </w:rPr>
                          <w:t>F</w:t>
                        </w:r>
                      </w:p>
                    </w:tc>
                    <w:tc>
                      <w:tcPr>
                        <w:tcW w:w="2127" w:type="dxa"/>
                        <w:tcBorders>
                          <w:top w:val="single" w:sz="8" w:space="0" w:color="000000"/>
                          <w:left w:val="single" w:sz="8" w:space="0" w:color="000000"/>
                          <w:bottom w:val="single" w:sz="8" w:space="0" w:color="auto"/>
                          <w:right w:val="single" w:sz="8" w:space="0" w:color="000000"/>
                        </w:tcBorders>
                        <w:shd w:val="clear" w:color="auto" w:fill="D9D9D9"/>
                        <w:vAlign w:val="center"/>
                      </w:tcPr>
                      <w:p w:rsidR="00F04EEF" w:rsidRDefault="0099351E">
                        <w:pPr>
                          <w:jc w:val="center"/>
                          <w:rPr>
                            <w:b/>
                            <w:bCs/>
                            <w:lang w:val="fr-FR" w:eastAsia="fr-FR"/>
                          </w:rPr>
                        </w:pPr>
                        <w:r>
                          <w:rPr>
                            <w:b/>
                            <w:bCs/>
                            <w:lang w:eastAsia="fr-FR"/>
                          </w:rPr>
                          <w:t>G</w:t>
                        </w:r>
                      </w:p>
                    </w:tc>
                  </w:tr>
                  <w:tr w:rsidR="00F04EEF">
                    <w:trPr>
                      <w:trHeight w:val="315"/>
                    </w:trPr>
                    <w:tc>
                      <w:tcPr>
                        <w:tcW w:w="2425" w:type="dxa"/>
                        <w:tcBorders>
                          <w:top w:val="single" w:sz="8" w:space="0" w:color="auto"/>
                          <w:left w:val="single" w:sz="8" w:space="0" w:color="auto"/>
                          <w:bottom w:val="single" w:sz="4" w:space="0" w:color="auto"/>
                          <w:right w:val="single" w:sz="4" w:space="0" w:color="auto"/>
                        </w:tcBorders>
                        <w:vAlign w:val="center"/>
                      </w:tcPr>
                      <w:p w:rsidR="00F04EEF" w:rsidRDefault="0099351E">
                        <w:pPr>
                          <w:jc w:val="center"/>
                          <w:rPr>
                            <w:lang w:val="fr-FR" w:eastAsia="fr-FR"/>
                          </w:rPr>
                        </w:pPr>
                        <w:r>
                          <w:rPr>
                            <w:lang w:eastAsia="fr-FR"/>
                          </w:rPr>
                          <w:t>1</w:t>
                        </w:r>
                      </w:p>
                    </w:tc>
                    <w:tc>
                      <w:tcPr>
                        <w:tcW w:w="2552" w:type="dxa"/>
                        <w:tcBorders>
                          <w:top w:val="single" w:sz="8" w:space="0" w:color="auto"/>
                          <w:left w:val="nil"/>
                          <w:bottom w:val="single" w:sz="4" w:space="0" w:color="auto"/>
                          <w:right w:val="single" w:sz="4" w:space="0" w:color="auto"/>
                        </w:tcBorders>
                        <w:vAlign w:val="center"/>
                      </w:tcPr>
                      <w:p w:rsidR="00F04EEF" w:rsidRDefault="0099351E">
                        <w:pPr>
                          <w:jc w:val="center"/>
                          <w:rPr>
                            <w:lang w:val="fr-FR" w:eastAsia="fr-FR"/>
                          </w:rPr>
                        </w:pPr>
                        <w:r>
                          <w:rPr>
                            <w:lang w:eastAsia="fr-FR"/>
                          </w:rPr>
                          <w:t>5</w:t>
                        </w:r>
                      </w:p>
                    </w:tc>
                    <w:tc>
                      <w:tcPr>
                        <w:tcW w:w="2267" w:type="dxa"/>
                        <w:tcBorders>
                          <w:top w:val="single" w:sz="8" w:space="0" w:color="auto"/>
                          <w:left w:val="nil"/>
                          <w:bottom w:val="single" w:sz="4" w:space="0" w:color="auto"/>
                          <w:right w:val="single" w:sz="4" w:space="0" w:color="auto"/>
                        </w:tcBorders>
                        <w:vAlign w:val="center"/>
                      </w:tcPr>
                      <w:p w:rsidR="00F04EEF" w:rsidRDefault="0099351E">
                        <w:pPr>
                          <w:jc w:val="center"/>
                          <w:rPr>
                            <w:lang w:val="fr-FR" w:eastAsia="fr-FR"/>
                          </w:rPr>
                        </w:pPr>
                        <w:r>
                          <w:rPr>
                            <w:lang w:eastAsia="fr-FR"/>
                          </w:rPr>
                          <w:t>3</w:t>
                        </w:r>
                      </w:p>
                    </w:tc>
                    <w:tc>
                      <w:tcPr>
                        <w:tcW w:w="2127" w:type="dxa"/>
                        <w:tcBorders>
                          <w:top w:val="single" w:sz="8" w:space="0" w:color="auto"/>
                          <w:left w:val="nil"/>
                          <w:bottom w:val="single" w:sz="4" w:space="0" w:color="auto"/>
                          <w:right w:val="single" w:sz="8" w:space="0" w:color="auto"/>
                        </w:tcBorders>
                        <w:vAlign w:val="center"/>
                      </w:tcPr>
                      <w:p w:rsidR="00F04EEF" w:rsidRDefault="0099351E">
                        <w:pPr>
                          <w:jc w:val="center"/>
                          <w:rPr>
                            <w:lang w:val="fr-FR" w:eastAsia="fr-FR"/>
                          </w:rPr>
                        </w:pPr>
                        <w:r>
                          <w:rPr>
                            <w:lang w:eastAsia="fr-FR"/>
                          </w:rPr>
                          <w:t>3</w:t>
                        </w:r>
                      </w:p>
                    </w:tc>
                  </w:tr>
                  <w:tr w:rsidR="00F04EEF">
                    <w:trPr>
                      <w:trHeight w:val="285"/>
                    </w:trPr>
                    <w:tc>
                      <w:tcPr>
                        <w:tcW w:w="2425" w:type="dxa"/>
                        <w:tcBorders>
                          <w:top w:val="single" w:sz="4" w:space="0" w:color="auto"/>
                          <w:left w:val="single" w:sz="8" w:space="0" w:color="auto"/>
                          <w:bottom w:val="single" w:sz="4" w:space="0" w:color="auto"/>
                          <w:right w:val="single" w:sz="4" w:space="0" w:color="auto"/>
                        </w:tcBorders>
                        <w:vAlign w:val="center"/>
                      </w:tcPr>
                      <w:p w:rsidR="00F04EEF" w:rsidRDefault="0099351E">
                        <w:pPr>
                          <w:jc w:val="center"/>
                          <w:rPr>
                            <w:lang w:val="fr-FR" w:eastAsia="fr-FR"/>
                          </w:rPr>
                        </w:pPr>
                        <w:r>
                          <w:rPr>
                            <w:lang w:eastAsia="fr-FR"/>
                          </w:rPr>
                          <w:t>2</w:t>
                        </w:r>
                      </w:p>
                    </w:tc>
                    <w:tc>
                      <w:tcPr>
                        <w:tcW w:w="2552" w:type="dxa"/>
                        <w:tcBorders>
                          <w:top w:val="nil"/>
                          <w:left w:val="nil"/>
                          <w:bottom w:val="single" w:sz="4" w:space="0" w:color="auto"/>
                          <w:right w:val="single" w:sz="4" w:space="0" w:color="auto"/>
                        </w:tcBorders>
                        <w:vAlign w:val="center"/>
                      </w:tcPr>
                      <w:p w:rsidR="00F04EEF" w:rsidRDefault="0099351E">
                        <w:pPr>
                          <w:jc w:val="center"/>
                          <w:rPr>
                            <w:lang w:val="fr-FR" w:eastAsia="fr-FR"/>
                          </w:rPr>
                        </w:pPr>
                        <w:r>
                          <w:rPr>
                            <w:lang w:eastAsia="fr-FR"/>
                          </w:rPr>
                          <w:t>9</w:t>
                        </w:r>
                      </w:p>
                    </w:tc>
                    <w:tc>
                      <w:tcPr>
                        <w:tcW w:w="2267" w:type="dxa"/>
                        <w:tcBorders>
                          <w:top w:val="nil"/>
                          <w:left w:val="nil"/>
                          <w:bottom w:val="single" w:sz="4" w:space="0" w:color="auto"/>
                          <w:right w:val="single" w:sz="4" w:space="0" w:color="auto"/>
                        </w:tcBorders>
                        <w:vAlign w:val="center"/>
                      </w:tcPr>
                      <w:p w:rsidR="00F04EEF" w:rsidRDefault="0099351E">
                        <w:pPr>
                          <w:jc w:val="center"/>
                          <w:rPr>
                            <w:lang w:val="fr-FR" w:eastAsia="fr-FR"/>
                          </w:rPr>
                        </w:pPr>
                        <w:r>
                          <w:rPr>
                            <w:lang w:eastAsia="fr-FR"/>
                          </w:rPr>
                          <w:t>6</w:t>
                        </w:r>
                      </w:p>
                    </w:tc>
                    <w:tc>
                      <w:tcPr>
                        <w:tcW w:w="2127" w:type="dxa"/>
                        <w:tcBorders>
                          <w:top w:val="nil"/>
                          <w:left w:val="nil"/>
                          <w:bottom w:val="single" w:sz="4" w:space="0" w:color="auto"/>
                          <w:right w:val="single" w:sz="8" w:space="0" w:color="auto"/>
                        </w:tcBorders>
                        <w:vAlign w:val="center"/>
                      </w:tcPr>
                      <w:p w:rsidR="00F04EEF" w:rsidRDefault="0099351E">
                        <w:pPr>
                          <w:jc w:val="center"/>
                          <w:rPr>
                            <w:lang w:val="fr-FR" w:eastAsia="fr-FR"/>
                          </w:rPr>
                        </w:pPr>
                        <w:r>
                          <w:rPr>
                            <w:lang w:eastAsia="fr-FR"/>
                          </w:rPr>
                          <w:t>6</w:t>
                        </w:r>
                      </w:p>
                    </w:tc>
                  </w:tr>
                  <w:tr w:rsidR="00F04EEF">
                    <w:trPr>
                      <w:trHeight w:val="285"/>
                    </w:trPr>
                    <w:tc>
                      <w:tcPr>
                        <w:tcW w:w="2425" w:type="dxa"/>
                        <w:tcBorders>
                          <w:top w:val="single" w:sz="4" w:space="0" w:color="auto"/>
                          <w:left w:val="single" w:sz="8" w:space="0" w:color="auto"/>
                          <w:bottom w:val="single" w:sz="4" w:space="0" w:color="auto"/>
                          <w:right w:val="single" w:sz="4" w:space="0" w:color="auto"/>
                        </w:tcBorders>
                        <w:vAlign w:val="center"/>
                      </w:tcPr>
                      <w:p w:rsidR="00F04EEF" w:rsidRDefault="0099351E">
                        <w:pPr>
                          <w:jc w:val="center"/>
                          <w:rPr>
                            <w:lang w:val="fr-FR" w:eastAsia="fr-FR"/>
                          </w:rPr>
                        </w:pPr>
                        <w:r>
                          <w:rPr>
                            <w:lang w:eastAsia="fr-FR"/>
                          </w:rPr>
                          <w:t>3</w:t>
                        </w:r>
                      </w:p>
                    </w:tc>
                    <w:tc>
                      <w:tcPr>
                        <w:tcW w:w="2552" w:type="dxa"/>
                        <w:tcBorders>
                          <w:top w:val="nil"/>
                          <w:left w:val="nil"/>
                          <w:bottom w:val="single" w:sz="4" w:space="0" w:color="auto"/>
                          <w:right w:val="single" w:sz="4" w:space="0" w:color="auto"/>
                        </w:tcBorders>
                        <w:vAlign w:val="center"/>
                      </w:tcPr>
                      <w:p w:rsidR="00F04EEF" w:rsidRDefault="0099351E">
                        <w:pPr>
                          <w:jc w:val="center"/>
                          <w:rPr>
                            <w:lang w:val="fr-FR" w:eastAsia="fr-FR"/>
                          </w:rPr>
                        </w:pPr>
                        <w:r>
                          <w:rPr>
                            <w:lang w:eastAsia="fr-FR"/>
                          </w:rPr>
                          <w:t>18</w:t>
                        </w:r>
                      </w:p>
                    </w:tc>
                    <w:tc>
                      <w:tcPr>
                        <w:tcW w:w="2267" w:type="dxa"/>
                        <w:tcBorders>
                          <w:top w:val="nil"/>
                          <w:left w:val="nil"/>
                          <w:bottom w:val="single" w:sz="4" w:space="0" w:color="auto"/>
                          <w:right w:val="single" w:sz="4" w:space="0" w:color="auto"/>
                        </w:tcBorders>
                        <w:vAlign w:val="center"/>
                      </w:tcPr>
                      <w:p w:rsidR="00F04EEF" w:rsidRDefault="0099351E">
                        <w:pPr>
                          <w:jc w:val="center"/>
                          <w:rPr>
                            <w:lang w:val="fr-FR" w:eastAsia="fr-FR"/>
                          </w:rPr>
                        </w:pPr>
                        <w:r>
                          <w:rPr>
                            <w:lang w:eastAsia="fr-FR"/>
                          </w:rPr>
                          <w:t>12</w:t>
                        </w:r>
                      </w:p>
                    </w:tc>
                    <w:tc>
                      <w:tcPr>
                        <w:tcW w:w="2127" w:type="dxa"/>
                        <w:tcBorders>
                          <w:top w:val="nil"/>
                          <w:left w:val="nil"/>
                          <w:bottom w:val="single" w:sz="4" w:space="0" w:color="auto"/>
                          <w:right w:val="single" w:sz="8" w:space="0" w:color="auto"/>
                        </w:tcBorders>
                        <w:vAlign w:val="center"/>
                      </w:tcPr>
                      <w:p w:rsidR="00F04EEF" w:rsidRDefault="0099351E">
                        <w:pPr>
                          <w:jc w:val="center"/>
                          <w:rPr>
                            <w:lang w:val="fr-FR" w:eastAsia="fr-FR"/>
                          </w:rPr>
                        </w:pPr>
                        <w:r>
                          <w:rPr>
                            <w:lang w:eastAsia="fr-FR"/>
                          </w:rPr>
                          <w:t>12</w:t>
                        </w:r>
                      </w:p>
                    </w:tc>
                  </w:tr>
                  <w:tr w:rsidR="00F04EEF">
                    <w:trPr>
                      <w:trHeight w:val="300"/>
                    </w:trPr>
                    <w:tc>
                      <w:tcPr>
                        <w:tcW w:w="2425" w:type="dxa"/>
                        <w:tcBorders>
                          <w:top w:val="single" w:sz="4" w:space="0" w:color="auto"/>
                          <w:left w:val="single" w:sz="8" w:space="0" w:color="auto"/>
                          <w:bottom w:val="single" w:sz="8" w:space="0" w:color="auto"/>
                          <w:right w:val="single" w:sz="4" w:space="0" w:color="auto"/>
                        </w:tcBorders>
                        <w:vAlign w:val="center"/>
                      </w:tcPr>
                      <w:p w:rsidR="00F04EEF" w:rsidRDefault="0099351E">
                        <w:pPr>
                          <w:jc w:val="center"/>
                          <w:rPr>
                            <w:lang w:val="fr-FR" w:eastAsia="fr-FR"/>
                          </w:rPr>
                        </w:pPr>
                        <w:r>
                          <w:rPr>
                            <w:lang w:eastAsia="fr-FR"/>
                          </w:rPr>
                          <w:t>4</w:t>
                        </w:r>
                      </w:p>
                    </w:tc>
                    <w:tc>
                      <w:tcPr>
                        <w:tcW w:w="2552" w:type="dxa"/>
                        <w:tcBorders>
                          <w:top w:val="nil"/>
                          <w:left w:val="nil"/>
                          <w:bottom w:val="single" w:sz="8" w:space="0" w:color="auto"/>
                          <w:right w:val="single" w:sz="4" w:space="0" w:color="auto"/>
                        </w:tcBorders>
                        <w:vAlign w:val="center"/>
                      </w:tcPr>
                      <w:p w:rsidR="00F04EEF" w:rsidRDefault="0099351E">
                        <w:pPr>
                          <w:jc w:val="center"/>
                          <w:rPr>
                            <w:lang w:val="fr-FR" w:eastAsia="fr-FR"/>
                          </w:rPr>
                        </w:pPr>
                        <w:r>
                          <w:rPr>
                            <w:lang w:eastAsia="fr-FR"/>
                          </w:rPr>
                          <w:t>6</w:t>
                        </w:r>
                      </w:p>
                    </w:tc>
                    <w:tc>
                      <w:tcPr>
                        <w:tcW w:w="2267" w:type="dxa"/>
                        <w:tcBorders>
                          <w:top w:val="nil"/>
                          <w:left w:val="nil"/>
                          <w:bottom w:val="single" w:sz="8" w:space="0" w:color="auto"/>
                          <w:right w:val="single" w:sz="4" w:space="0" w:color="auto"/>
                        </w:tcBorders>
                        <w:vAlign w:val="center"/>
                      </w:tcPr>
                      <w:p w:rsidR="00F04EEF" w:rsidRDefault="0099351E">
                        <w:pPr>
                          <w:jc w:val="center"/>
                          <w:rPr>
                            <w:lang w:val="fr-FR" w:eastAsia="fr-FR"/>
                          </w:rPr>
                        </w:pPr>
                        <w:r>
                          <w:rPr>
                            <w:lang w:eastAsia="fr-FR"/>
                          </w:rPr>
                          <w:t>4</w:t>
                        </w:r>
                      </w:p>
                    </w:tc>
                    <w:tc>
                      <w:tcPr>
                        <w:tcW w:w="2127" w:type="dxa"/>
                        <w:tcBorders>
                          <w:top w:val="nil"/>
                          <w:left w:val="nil"/>
                          <w:bottom w:val="single" w:sz="8" w:space="0" w:color="auto"/>
                          <w:right w:val="single" w:sz="8" w:space="0" w:color="auto"/>
                        </w:tcBorders>
                        <w:vAlign w:val="center"/>
                      </w:tcPr>
                      <w:p w:rsidR="00F04EEF" w:rsidRDefault="0099351E">
                        <w:pPr>
                          <w:jc w:val="center"/>
                          <w:rPr>
                            <w:lang w:val="fr-FR" w:eastAsia="fr-FR"/>
                          </w:rPr>
                        </w:pPr>
                        <w:r>
                          <w:rPr>
                            <w:lang w:eastAsia="fr-FR"/>
                          </w:rPr>
                          <w:t>4</w:t>
                        </w:r>
                      </w:p>
                    </w:tc>
                  </w:tr>
                </w:tbl>
                <w:p w:rsidR="00F04EEF" w:rsidRDefault="00F04EEF">
                  <w:pPr>
                    <w:jc w:val="both"/>
                  </w:pPr>
                </w:p>
                <w:p w:rsidR="00F04EEF" w:rsidRDefault="0099351E">
                  <w:pPr>
                    <w:jc w:val="center"/>
                    <w:rPr>
                      <w:u w:val="single"/>
                    </w:rPr>
                  </w:pPr>
                  <w:r>
                    <w:rPr>
                      <w:u w:val="single"/>
                    </w:rPr>
                    <w:t xml:space="preserve">Application des normes de rationalisation aux </w:t>
                  </w:r>
                  <w:r>
                    <w:rPr>
                      <w:b/>
                      <w:u w:val="single"/>
                    </w:rPr>
                    <w:t>écoles</w:t>
                  </w:r>
                  <w:r>
                    <w:rPr>
                      <w:u w:val="single"/>
                    </w:rPr>
                    <w:t xml:space="preserve"> :</w:t>
                  </w:r>
                </w:p>
                <w:p w:rsidR="00F04EEF" w:rsidRDefault="00F04EEF">
                  <w:pPr>
                    <w:tabs>
                      <w:tab w:val="left" w:pos="962"/>
                      <w:tab w:val="left" w:pos="1134"/>
                      <w:tab w:val="left" w:pos="1303"/>
                      <w:tab w:val="left" w:pos="1586"/>
                      <w:tab w:val="left" w:pos="1813"/>
                      <w:tab w:val="left" w:pos="3967"/>
                    </w:tabs>
                    <w:ind w:hanging="962"/>
                    <w:jc w:val="both"/>
                    <w:rPr>
                      <w:u w:val="single"/>
                    </w:rPr>
                  </w:pPr>
                </w:p>
                <w:p w:rsidR="00F04EEF" w:rsidRDefault="0099351E">
                  <w:pPr>
                    <w:jc w:val="both"/>
                  </w:pPr>
                  <w:r>
                    <w:rPr>
                      <w:u w:val="single"/>
                    </w:rPr>
                    <w:t>Rappel :</w:t>
                  </w:r>
                  <w:r>
                    <w:t xml:space="preserve"> tous les élèves réguliers de l'école </w:t>
                  </w:r>
                  <w:r>
                    <w:noBreakHyphen/>
                    <w:t xml:space="preserve"> tant du bâtiment principal que des implantations éventuelles - interviennent pour le calcul des normes de rationalisation.</w:t>
                  </w:r>
                </w:p>
                <w:p w:rsidR="00F04EEF" w:rsidRDefault="00F04EEF">
                  <w:pPr>
                    <w:jc w:val="both"/>
                  </w:pPr>
                </w:p>
                <w:p w:rsidR="00F04EEF" w:rsidRDefault="0099351E">
                  <w:pPr>
                    <w:jc w:val="both"/>
                  </w:pPr>
                  <w:r>
                    <w:t>Il convient de distinguer les écoles qui n'organisent qu'une seule forme d'enseignement des écoles qui en organisent plusieurs.</w:t>
                  </w:r>
                </w:p>
                <w:p w:rsidR="00F04EEF" w:rsidRDefault="00F04EEF"/>
                <w:p w:rsidR="00F04EEF" w:rsidRDefault="0099351E">
                  <w:pPr>
                    <w:pStyle w:val="Paragraphedeliste"/>
                    <w:numPr>
                      <w:ilvl w:val="0"/>
                      <w:numId w:val="322"/>
                    </w:numPr>
                    <w:jc w:val="both"/>
                    <w:rPr>
                      <w:rFonts w:asciiTheme="majorHAnsi" w:eastAsiaTheme="minorHAnsi" w:hAnsiTheme="majorHAnsi" w:cstheme="minorBidi"/>
                      <w:b/>
                      <w:sz w:val="22"/>
                      <w:szCs w:val="22"/>
                      <w:u w:val="single"/>
                      <w:lang w:eastAsia="en-US"/>
                    </w:rPr>
                  </w:pPr>
                  <w:r>
                    <w:rPr>
                      <w:rFonts w:asciiTheme="majorHAnsi" w:eastAsiaTheme="minorHAnsi" w:hAnsiTheme="majorHAnsi" w:cstheme="minorBidi"/>
                      <w:b/>
                      <w:sz w:val="22"/>
                      <w:szCs w:val="22"/>
                      <w:u w:val="single"/>
                      <w:lang w:eastAsia="en-US"/>
                    </w:rPr>
                    <w:t>Écoles organisant une seule forme d'enseignement :</w:t>
                  </w:r>
                </w:p>
                <w:p w:rsidR="00F04EEF" w:rsidRDefault="00F04EEF">
                  <w:pPr>
                    <w:jc w:val="both"/>
                    <w:rPr>
                      <w:u w:val="single"/>
                    </w:rPr>
                  </w:pPr>
                </w:p>
                <w:p w:rsidR="00F04EEF" w:rsidRDefault="0099351E">
                  <w:pPr>
                    <w:jc w:val="both"/>
                    <w:rPr>
                      <w:u w:val="single"/>
                    </w:rPr>
                  </w:pPr>
                  <w:r>
                    <w:rPr>
                      <w:u w:val="single"/>
                    </w:rPr>
                    <w:t>Formes 1, 2 ou 4 :</w:t>
                  </w:r>
                  <w:r>
                    <w:t xml:space="preserve"> lorsqu'une école n'organise qu'une seule forme d'enseignement et que cette forme d'enseignement est une forme 1, 2 ou 4, sa population doit toujours au moins compter </w:t>
                  </w:r>
                  <w:r>
                    <w:rPr>
                      <w:u w:val="single"/>
                    </w:rPr>
                    <w:t>15 élèves</w:t>
                  </w:r>
                  <w:r>
                    <w:t>.</w:t>
                  </w:r>
                  <w:r>
                    <w:rPr>
                      <w:u w:val="single"/>
                    </w:rPr>
                    <w:t xml:space="preserve"> </w:t>
                  </w:r>
                  <w:r>
                    <w:t>Si elle ne satisfait pas à cette norme, l'école doit être supprimée ou doit fusionner.</w:t>
                  </w:r>
                </w:p>
                <w:p w:rsidR="00F04EEF" w:rsidRDefault="00F04EEF">
                  <w:pPr>
                    <w:jc w:val="both"/>
                  </w:pPr>
                </w:p>
                <w:p w:rsidR="00F04EEF" w:rsidRDefault="0099351E">
                  <w:pPr>
                    <w:jc w:val="both"/>
                    <w:rPr>
                      <w:u w:val="single"/>
                    </w:rPr>
                  </w:pPr>
                  <w:r>
                    <w:rPr>
                      <w:u w:val="single"/>
                    </w:rPr>
                    <w:t>Forme 3</w:t>
                  </w:r>
                  <w:r>
                    <w:t> : lorsqu'une école n'organise qu'une seule forme d'enseignement et que cette forme d'enseignement est  une forme 3, elle doit satisfaire à la norme de rationalisation qui lui est applicable : 24 ou 18 élèves. (</w:t>
                  </w:r>
                  <w:r>
                    <w:rPr>
                      <w:i/>
                    </w:rPr>
                    <w:t>Colonnes B ou E du tableau de la page ci-avant)</w:t>
                  </w:r>
                  <w:r>
                    <w:t>.</w:t>
                  </w:r>
                </w:p>
                <w:p w:rsidR="00F04EEF" w:rsidRDefault="0099351E">
                  <w:pPr>
                    <w:jc w:val="both"/>
                  </w:pPr>
                  <w:r>
                    <w:t>A défaut, l'école doit être supprimée ou doit fusionner avec une autre école.</w:t>
                  </w:r>
                </w:p>
                <w:p w:rsidR="00F04EEF" w:rsidRDefault="00F04EEF">
                  <w:pPr>
                    <w:jc w:val="both"/>
                  </w:pPr>
                </w:p>
                <w:p w:rsidR="00F04EEF" w:rsidRDefault="0099351E">
                  <w:pPr>
                    <w:jc w:val="both"/>
                    <w:rPr>
                      <w:u w:val="single"/>
                    </w:rPr>
                  </w:pPr>
                  <w:r>
                    <w:rPr>
                      <w:u w:val="single"/>
                    </w:rPr>
                    <w:t>Délais de suppression</w:t>
                  </w:r>
                </w:p>
                <w:p w:rsidR="00F04EEF" w:rsidRDefault="00F04EEF">
                  <w:pPr>
                    <w:jc w:val="both"/>
                  </w:pPr>
                </w:p>
                <w:p w:rsidR="00F04EEF" w:rsidRDefault="0099351E">
                  <w:pPr>
                    <w:jc w:val="both"/>
                  </w:pPr>
                  <w:r>
                    <w:t>a) Elle peut être maintenue jusqu'au 30 septembre de la 2</w:t>
                  </w:r>
                  <w:r>
                    <w:rPr>
                      <w:vertAlign w:val="superscript"/>
                    </w:rPr>
                    <w:t>ème</w:t>
                  </w:r>
                  <w:r>
                    <w:t xml:space="preserve"> année scolaire où se constate l'insuffisance du nombre d'élèves :</w:t>
                  </w:r>
                </w:p>
                <w:p w:rsidR="00F04EEF" w:rsidRDefault="0099351E">
                  <w:pPr>
                    <w:numPr>
                      <w:ilvl w:val="0"/>
                      <w:numId w:val="21"/>
                    </w:numPr>
                    <w:tabs>
                      <w:tab w:val="clear" w:pos="360"/>
                      <w:tab w:val="num" w:pos="900"/>
                    </w:tabs>
                    <w:suppressAutoHyphens/>
                    <w:ind w:left="0" w:firstLine="0"/>
                    <w:jc w:val="both"/>
                  </w:pPr>
                  <w:r>
                    <w:t>si elle est située dans un arrondissement de 75 habitants au km² ou plus ;</w:t>
                  </w:r>
                </w:p>
                <w:p w:rsidR="00F04EEF" w:rsidRDefault="0099351E">
                  <w:pPr>
                    <w:numPr>
                      <w:ilvl w:val="0"/>
                      <w:numId w:val="21"/>
                    </w:numPr>
                    <w:tabs>
                      <w:tab w:val="clear" w:pos="360"/>
                      <w:tab w:val="num" w:pos="900"/>
                    </w:tabs>
                    <w:suppressAutoHyphens/>
                    <w:ind w:left="0" w:firstLine="0"/>
                    <w:jc w:val="both"/>
                  </w:pPr>
                  <w:r>
                    <w:t>et si elle atteint au moins les 2/3 de la norme de rationalisation, c'est-à-dire 16.</w:t>
                  </w:r>
                </w:p>
                <w:p w:rsidR="00F04EEF" w:rsidRDefault="00F04EEF">
                  <w:pPr>
                    <w:jc w:val="both"/>
                  </w:pPr>
                </w:p>
                <w:p w:rsidR="00F04EEF" w:rsidRDefault="0099351E">
                  <w:pPr>
                    <w:jc w:val="both"/>
                  </w:pPr>
                  <w:r>
                    <w:t>b) Elle peut également être maintenue jusqu'au 30 septembre de la 2</w:t>
                  </w:r>
                  <w:r>
                    <w:rPr>
                      <w:vertAlign w:val="superscript"/>
                    </w:rPr>
                    <w:t>ème</w:t>
                  </w:r>
                  <w:r>
                    <w:t xml:space="preserve"> année scolaire où se constate l'insuffisance du nombre d'élèves :</w:t>
                  </w:r>
                </w:p>
                <w:p w:rsidR="00F04EEF" w:rsidRDefault="0099351E">
                  <w:pPr>
                    <w:numPr>
                      <w:ilvl w:val="0"/>
                      <w:numId w:val="40"/>
                    </w:numPr>
                    <w:tabs>
                      <w:tab w:val="clear" w:pos="360"/>
                      <w:tab w:val="num" w:pos="900"/>
                    </w:tabs>
                    <w:suppressAutoHyphens/>
                    <w:ind w:left="0" w:firstLine="0"/>
                    <w:jc w:val="both"/>
                  </w:pPr>
                  <w:r>
                    <w:t>si elle est située dans un arrondissement de moins de 75 habitants au km²</w:t>
                  </w:r>
                </w:p>
                <w:p w:rsidR="00F04EEF" w:rsidRDefault="0099351E">
                  <w:pPr>
                    <w:numPr>
                      <w:ilvl w:val="0"/>
                      <w:numId w:val="40"/>
                    </w:numPr>
                    <w:tabs>
                      <w:tab w:val="clear" w:pos="360"/>
                      <w:tab w:val="num" w:pos="900"/>
                    </w:tabs>
                    <w:suppressAutoHyphens/>
                    <w:ind w:left="0" w:firstLine="0"/>
                    <w:jc w:val="both"/>
                  </w:pPr>
                  <w:r>
                    <w:t>et si elle atteint au moins la norme de 15 élèves prévue par l'article 199.</w:t>
                  </w:r>
                </w:p>
                <w:p w:rsidR="00F04EEF" w:rsidRDefault="00F04EEF">
                  <w:pPr>
                    <w:jc w:val="both"/>
                  </w:pPr>
                </w:p>
                <w:p w:rsidR="00F04EEF" w:rsidRDefault="0099351E">
                  <w:pPr>
                    <w:jc w:val="both"/>
                  </w:pPr>
                  <w:r>
                    <w:t>Il est à noter que les 2/3 de la norme de rationalisation, c'est-à-dire 12, ne suffiraient pas dans ce cas (article 202, alinéa 4).</w:t>
                  </w:r>
                </w:p>
                <w:p w:rsidR="00F04EEF" w:rsidRDefault="00F04EEF">
                  <w:pPr>
                    <w:suppressAutoHyphens/>
                    <w:jc w:val="both"/>
                  </w:pPr>
                </w:p>
                <w:p w:rsidR="00F04EEF" w:rsidRDefault="0099351E">
                  <w:pPr>
                    <w:pStyle w:val="Paragraphedeliste"/>
                    <w:numPr>
                      <w:ilvl w:val="0"/>
                      <w:numId w:val="321"/>
                    </w:numPr>
                    <w:jc w:val="both"/>
                    <w:rPr>
                      <w:rFonts w:asciiTheme="majorHAnsi" w:hAnsiTheme="majorHAnsi"/>
                      <w:b/>
                      <w:sz w:val="22"/>
                      <w:u w:val="single"/>
                    </w:rPr>
                  </w:pPr>
                  <w:r>
                    <w:rPr>
                      <w:rFonts w:asciiTheme="majorHAnsi" w:hAnsiTheme="majorHAnsi"/>
                      <w:b/>
                      <w:sz w:val="22"/>
                      <w:u w:val="single"/>
                    </w:rPr>
                    <w:t>Écoles organisant plusieurs formes d'enseignement spécialisé :</w:t>
                  </w:r>
                </w:p>
                <w:p w:rsidR="00F04EEF" w:rsidRDefault="00F04EEF">
                  <w:pPr>
                    <w:jc w:val="both"/>
                    <w:rPr>
                      <w:u w:val="single"/>
                    </w:rPr>
                  </w:pPr>
                </w:p>
                <w:p w:rsidR="00F04EEF" w:rsidRDefault="0099351E">
                  <w:pPr>
                    <w:jc w:val="both"/>
                  </w:pPr>
                  <w:r>
                    <w:t>Toute école organisant plusieurs formes d'enseignement spécialisé doit répondre aux conditions suivantes :</w:t>
                  </w:r>
                </w:p>
                <w:p w:rsidR="00F04EEF" w:rsidRDefault="00F04EEF">
                  <w:pPr>
                    <w:jc w:val="both"/>
                  </w:pPr>
                </w:p>
                <w:p w:rsidR="00F04EEF" w:rsidRDefault="0099351E">
                  <w:pPr>
                    <w:numPr>
                      <w:ilvl w:val="0"/>
                      <w:numId w:val="41"/>
                    </w:numPr>
                    <w:tabs>
                      <w:tab w:val="clear" w:pos="360"/>
                      <w:tab w:val="num" w:pos="720"/>
                    </w:tabs>
                    <w:suppressAutoHyphens/>
                    <w:jc w:val="both"/>
                  </w:pPr>
                  <w:r>
                    <w:t>compter au moins 15 élèves. Si elle ne satisfait pas à cette norme, l'école doit être supprimée ou doit fusionner.</w:t>
                  </w:r>
                </w:p>
                <w:p w:rsidR="00F04EEF" w:rsidRDefault="0099351E">
                  <w:pPr>
                    <w:numPr>
                      <w:ilvl w:val="0"/>
                      <w:numId w:val="41"/>
                    </w:numPr>
                    <w:tabs>
                      <w:tab w:val="clear" w:pos="360"/>
                      <w:tab w:val="num" w:pos="720"/>
                    </w:tabs>
                    <w:suppressAutoHyphens/>
                    <w:jc w:val="both"/>
                    <w:rPr>
                      <w:i/>
                    </w:rPr>
                  </w:pPr>
                  <w:r>
                    <w:t xml:space="preserve">la population de chaque forme doit atteindre la norme de rationalisation qui lui est applicable </w:t>
                  </w:r>
                  <w:r>
                    <w:rPr>
                      <w:i/>
                    </w:rPr>
                    <w:t>(Colonne B&amp;E).</w:t>
                  </w:r>
                </w:p>
                <w:p w:rsidR="00F04EEF" w:rsidRDefault="00F04EEF">
                  <w:pPr>
                    <w:jc w:val="both"/>
                  </w:pPr>
                </w:p>
                <w:p w:rsidR="00F04EEF" w:rsidRDefault="0099351E">
                  <w:pPr>
                    <w:jc w:val="both"/>
                  </w:pPr>
                  <w:r>
                    <w:t>Une forme qui ne répond pas à cette norme n'est cependant pas nécessairement condamnée à disparaître.</w:t>
                  </w:r>
                </w:p>
                <w:p w:rsidR="00F04EEF" w:rsidRDefault="00F04EEF">
                  <w:pPr>
                    <w:jc w:val="both"/>
                  </w:pPr>
                </w:p>
                <w:p w:rsidR="00F04EEF" w:rsidRDefault="0099351E">
                  <w:pPr>
                    <w:jc w:val="both"/>
                    <w:rPr>
                      <w:b/>
                      <w:u w:val="single"/>
                    </w:rPr>
                  </w:pPr>
                  <w:r>
                    <w:rPr>
                      <w:b/>
                      <w:u w:val="single"/>
                    </w:rPr>
                    <w:t>Elle peut être maintenue :</w:t>
                  </w:r>
                </w:p>
                <w:p w:rsidR="00F04EEF" w:rsidRDefault="00F04EEF">
                  <w:pPr>
                    <w:jc w:val="both"/>
                  </w:pPr>
                </w:p>
                <w:p w:rsidR="00F04EEF" w:rsidRDefault="0099351E">
                  <w:pPr>
                    <w:jc w:val="both"/>
                  </w:pPr>
                  <w:r>
                    <w:t>a) sans limitation de temps :</w:t>
                  </w:r>
                </w:p>
                <w:p w:rsidR="00F04EEF" w:rsidRDefault="0099351E">
                  <w:pPr>
                    <w:numPr>
                      <w:ilvl w:val="0"/>
                      <w:numId w:val="31"/>
                    </w:numPr>
                    <w:tabs>
                      <w:tab w:val="clear" w:pos="360"/>
                      <w:tab w:val="num" w:pos="720"/>
                    </w:tabs>
                    <w:suppressAutoHyphens/>
                    <w:ind w:left="0" w:firstLine="0"/>
                    <w:jc w:val="both"/>
                  </w:pPr>
                  <w:r>
                    <w:t>si elle atteint les 2/3 de la norme de rationalisation. (C</w:t>
                  </w:r>
                  <w:r>
                    <w:rPr>
                      <w:i/>
                    </w:rPr>
                    <w:t>olonne C&amp;F</w:t>
                  </w:r>
                  <w:r>
                    <w:t>)</w:t>
                  </w:r>
                </w:p>
                <w:p w:rsidR="00F04EEF" w:rsidRDefault="0099351E">
                  <w:pPr>
                    <w:numPr>
                      <w:ilvl w:val="0"/>
                      <w:numId w:val="31"/>
                    </w:numPr>
                    <w:tabs>
                      <w:tab w:val="clear" w:pos="360"/>
                      <w:tab w:val="num" w:pos="720"/>
                    </w:tabs>
                    <w:suppressAutoHyphens/>
                    <w:ind w:left="0" w:firstLine="0"/>
                    <w:jc w:val="both"/>
                  </w:pPr>
                  <w:r>
                    <w:t xml:space="preserve">et si le nombre total d'élèves de l'école est au moins égal à la somme des normes fixées pour chacune des formes qui y sont organisées. (Article 202, alinéa 1) </w:t>
                  </w:r>
                  <w:r>
                    <w:rPr>
                      <w:i/>
                    </w:rPr>
                    <w:t>(Colonne B&amp;E)</w:t>
                  </w:r>
                  <w:r>
                    <w:t>;</w:t>
                  </w:r>
                </w:p>
                <w:p w:rsidR="00F04EEF" w:rsidRDefault="00F04EEF">
                  <w:pPr>
                    <w:jc w:val="both"/>
                  </w:pPr>
                </w:p>
                <w:p w:rsidR="00F04EEF" w:rsidRDefault="0099351E">
                  <w:pPr>
                    <w:jc w:val="both"/>
                  </w:pPr>
                  <w:r>
                    <w:t>b) avec sursis, jusqu'au 30 septembre de la 2</w:t>
                  </w:r>
                  <w:r>
                    <w:rPr>
                      <w:vertAlign w:val="superscript"/>
                    </w:rPr>
                    <w:t>ème</w:t>
                  </w:r>
                  <w:r>
                    <w:t xml:space="preserve"> année scolaire où se constate l'insuffisance du nombre d'élèves :</w:t>
                  </w:r>
                </w:p>
                <w:p w:rsidR="00F04EEF" w:rsidRDefault="0099351E">
                  <w:pPr>
                    <w:numPr>
                      <w:ilvl w:val="0"/>
                      <w:numId w:val="39"/>
                    </w:numPr>
                    <w:tabs>
                      <w:tab w:val="clear" w:pos="360"/>
                      <w:tab w:val="num" w:pos="720"/>
                    </w:tabs>
                    <w:suppressAutoHyphens/>
                    <w:jc w:val="both"/>
                  </w:pPr>
                  <w:r>
                    <w:t>si elle atteint les 2/3 de la norme de rationalisation (</w:t>
                  </w:r>
                  <w:r>
                    <w:rPr>
                      <w:i/>
                    </w:rPr>
                    <w:t>colonne C&amp;F</w:t>
                  </w:r>
                  <w:r>
                    <w:t>) et que le nombre total d'élèves de l'école est inférieur à la somme des normes fixées pour chacune des formes qui y sont organisées. (Article 202, alinéa 3) (</w:t>
                  </w:r>
                  <w:r>
                    <w:rPr>
                      <w:i/>
                    </w:rPr>
                    <w:t>Colonne B&amp;E</w:t>
                  </w:r>
                  <w:r>
                    <w:t>) ;</w:t>
                  </w:r>
                </w:p>
                <w:p w:rsidR="00F04EEF" w:rsidRDefault="00F04EEF">
                  <w:pPr>
                    <w:jc w:val="both"/>
                  </w:pPr>
                </w:p>
                <w:p w:rsidR="00F04EEF" w:rsidRDefault="0099351E">
                  <w:pPr>
                    <w:jc w:val="both"/>
                    <w:rPr>
                      <w:b/>
                    </w:rPr>
                  </w:pPr>
                  <w:r>
                    <w:rPr>
                      <w:b/>
                    </w:rPr>
                    <w:t>OU</w:t>
                  </w:r>
                </w:p>
                <w:p w:rsidR="00F04EEF" w:rsidRDefault="00F04EEF">
                  <w:pPr>
                    <w:jc w:val="both"/>
                    <w:rPr>
                      <w:b/>
                    </w:rPr>
                  </w:pPr>
                </w:p>
                <w:p w:rsidR="00F04EEF" w:rsidRDefault="0099351E">
                  <w:pPr>
                    <w:numPr>
                      <w:ilvl w:val="0"/>
                      <w:numId w:val="39"/>
                    </w:numPr>
                    <w:tabs>
                      <w:tab w:val="clear" w:pos="360"/>
                      <w:tab w:val="num" w:pos="720"/>
                    </w:tabs>
                    <w:suppressAutoHyphens/>
                    <w:jc w:val="both"/>
                  </w:pPr>
                  <w:r>
                    <w:t>si elle n'atteint pas les 2/3 de la norme de rationalisation (</w:t>
                  </w:r>
                  <w:r>
                    <w:rPr>
                      <w:i/>
                    </w:rPr>
                    <w:t>colonne C&amp;F</w:t>
                  </w:r>
                  <w:r>
                    <w:t>) et que le nombre total d'élèves de l'école est au moins égal à la somme des normes fixées pour chacune des formes qui y sont organisées. (Article 202, alinéa 2) (C</w:t>
                  </w:r>
                  <w:r>
                    <w:rPr>
                      <w:i/>
                    </w:rPr>
                    <w:t>olonne B&amp;E</w:t>
                  </w:r>
                  <w:r>
                    <w:t>).</w:t>
                  </w:r>
                </w:p>
                <w:p w:rsidR="00F04EEF" w:rsidRDefault="00F04EEF">
                  <w:pPr>
                    <w:jc w:val="both"/>
                  </w:pPr>
                </w:p>
                <w:p w:rsidR="00F04EEF" w:rsidRDefault="0099351E">
                  <w:pPr>
                    <w:jc w:val="both"/>
                  </w:pPr>
                  <w:r>
                    <w:t>Dans tous les autres cas, la forme qui ne satisfait pas à la norme de rationalisation qui lui est applicable est supprimée.</w:t>
                  </w:r>
                </w:p>
                <w:p w:rsidR="00F04EEF" w:rsidRDefault="00F04EEF">
                  <w:pPr>
                    <w:jc w:val="both"/>
                  </w:pPr>
                </w:p>
                <w:p w:rsidR="00F04EEF" w:rsidRDefault="0099351E">
                  <w:pPr>
                    <w:jc w:val="both"/>
                  </w:pPr>
                  <w:r>
                    <w:t>En vue de maintenir une ou plusieurs formes d'enseignement condamnées par les normes de rationalisation, une école peut décider de fusionner avec une autre école.</w:t>
                  </w:r>
                </w:p>
                <w:p w:rsidR="00F04EEF" w:rsidRDefault="00F04EEF">
                  <w:pPr>
                    <w:jc w:val="both"/>
                  </w:pPr>
                </w:p>
                <w:p w:rsidR="00F04EEF" w:rsidRDefault="0099351E">
                  <w:pPr>
                    <w:jc w:val="center"/>
                    <w:rPr>
                      <w:u w:val="single"/>
                    </w:rPr>
                  </w:pPr>
                  <w:r>
                    <w:rPr>
                      <w:u w:val="single"/>
                    </w:rPr>
                    <w:t xml:space="preserve">Application des normes de rationalisation aux </w:t>
                  </w:r>
                  <w:r>
                    <w:rPr>
                      <w:b/>
                      <w:u w:val="single"/>
                    </w:rPr>
                    <w:t>implantations</w:t>
                  </w:r>
                  <w:r>
                    <w:rPr>
                      <w:u w:val="single"/>
                    </w:rPr>
                    <w:t xml:space="preserve"> :</w:t>
                  </w:r>
                </w:p>
                <w:p w:rsidR="00F04EEF" w:rsidRDefault="00F04EEF">
                  <w:pPr>
                    <w:jc w:val="both"/>
                  </w:pPr>
                </w:p>
                <w:p w:rsidR="00F04EEF" w:rsidRDefault="0099351E">
                  <w:pPr>
                    <w:jc w:val="both"/>
                  </w:pPr>
                  <w:r>
                    <w:t>Les implantations situées à moins de 2 km du bâtiment principal ne sont soumises à aucune autre norme de rationalisation.</w:t>
                  </w:r>
                </w:p>
                <w:p w:rsidR="00F04EEF" w:rsidRDefault="00F04EEF">
                  <w:pPr>
                    <w:jc w:val="both"/>
                  </w:pPr>
                </w:p>
                <w:p w:rsidR="00F04EEF" w:rsidRDefault="0099351E">
                  <w:pPr>
                    <w:jc w:val="both"/>
                    <w:rPr>
                      <w:i/>
                    </w:rPr>
                  </w:pPr>
                  <w:r>
                    <w:t xml:space="preserve">En revanche, les implantations situées à 2 km et plus du bâtiment principal doivent toujours compter, par forme d'enseignement spécialisé, un nombre d'élèves au moins égal au 2/3 de la norme de rationalisation fixée à l'article 200 ou 201. </w:t>
                  </w:r>
                  <w:r>
                    <w:rPr>
                      <w:i/>
                    </w:rPr>
                    <w:t>(Colonne D&amp;G)</w:t>
                  </w:r>
                </w:p>
                <w:p w:rsidR="00F04EEF" w:rsidRDefault="00F04EEF">
                  <w:pPr>
                    <w:jc w:val="both"/>
                  </w:pPr>
                </w:p>
                <w:p w:rsidR="00F04EEF" w:rsidRDefault="0099351E">
                  <w:pPr>
                    <w:jc w:val="both"/>
                  </w:pPr>
                  <w:r>
                    <w:t>Il s'ensuit que la forme d'enseignement spécialisé organisée dans une implantation située à 2 km ou plus du bâtiment principal et qui atteint moins des 2/3 de cette norme doit être supprimée dès le 30 septembre de l'année au cours de laquelle est constatée l'insuffisance du nombre d'élèves.</w:t>
                  </w:r>
                </w:p>
                <w:p w:rsidR="00F04EEF" w:rsidRDefault="00F04EEF">
                  <w:pPr>
                    <w:jc w:val="both"/>
                  </w:pPr>
                </w:p>
                <w:p w:rsidR="00F04EEF" w:rsidRDefault="0099351E">
                  <w:pPr>
                    <w:jc w:val="both"/>
                  </w:pPr>
                  <w:r>
                    <w:t>Le tableau repris ci-avant vous aidera à appliquer les normes de rationalisation pour l’enseignement secondaire spécialisé telles que fixées aux articles 199, 200 et 202.</w:t>
                  </w:r>
                </w:p>
                <w:p w:rsidR="00F04EEF" w:rsidRDefault="00F04EEF">
                  <w:pPr>
                    <w:jc w:val="both"/>
                  </w:pPr>
                </w:p>
                <w:p w:rsidR="00F04EEF" w:rsidRDefault="0099351E">
                  <w:pPr>
                    <w:pStyle w:val="Titre4"/>
                  </w:pPr>
                  <w:bookmarkStart w:id="1527" w:name="_4.3._Maintien_minimal"/>
                  <w:bookmarkStart w:id="1528" w:name="_Toc291075265"/>
                  <w:bookmarkStart w:id="1529" w:name="_Toc291075689"/>
                  <w:bookmarkStart w:id="1530" w:name="_Toc291076113"/>
                  <w:bookmarkStart w:id="1531" w:name="_Toc291076537"/>
                  <w:bookmarkStart w:id="1532" w:name="_Toc291076961"/>
                  <w:bookmarkStart w:id="1533" w:name="_Toc293651804"/>
                  <w:bookmarkStart w:id="1534" w:name="_Toc293653387"/>
                  <w:bookmarkStart w:id="1535" w:name="_Toc293653998"/>
                  <w:bookmarkStart w:id="1536" w:name="_Toc294004576"/>
                  <w:bookmarkStart w:id="1537" w:name="_Toc294185072"/>
                  <w:bookmarkStart w:id="1538" w:name="_Toc324165887"/>
                  <w:bookmarkStart w:id="1539" w:name="_Toc324766924"/>
                  <w:bookmarkStart w:id="1540" w:name="_Toc324767782"/>
                  <w:bookmarkStart w:id="1541" w:name="_Toc453314285"/>
                  <w:bookmarkStart w:id="1542" w:name="_Toc454980320"/>
                  <w:bookmarkEnd w:id="1527"/>
                  <w:r>
                    <w:t>3.3. Maintien minimal d'une forme d'enseignement spécialisé par province ou par zone et par réseau d'enseignement. (Article 205)</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rsidR="00F04EEF" w:rsidRDefault="00F04EEF">
                  <w:pPr>
                    <w:jc w:val="both"/>
                    <w:rPr>
                      <w:u w:val="single"/>
                    </w:rPr>
                  </w:pPr>
                </w:p>
                <w:p w:rsidR="00F04EEF" w:rsidRDefault="0099351E">
                  <w:pPr>
                    <w:jc w:val="both"/>
                  </w:pPr>
                  <w:r>
                    <w:t xml:space="preserve">Afin de respecter le libre choix des parents, l'article 205 garantit le maintien minimal d'une forme d'enseignement spécialisé déterminée par province et par réseau d'enseignement : en effet, si, pour une forme déterminée, dans une province déterminée, aucune école d'un réseau déterminé n'atteint la norme de rationalisation, une seule école de ce réseau peut maintenir cette forme dans cette province </w:t>
                  </w:r>
                  <w:r>
                    <w:rPr>
                      <w:u w:val="single"/>
                    </w:rPr>
                    <w:t>pour autant</w:t>
                  </w:r>
                  <w:r>
                    <w:t xml:space="preserve"> que la population totale de cette école atteigne 15 élèves.</w:t>
                  </w:r>
                </w:p>
                <w:p w:rsidR="00F04EEF" w:rsidRDefault="00F04EEF">
                  <w:pPr>
                    <w:jc w:val="both"/>
                  </w:pPr>
                </w:p>
                <w:p w:rsidR="00F04EEF" w:rsidRDefault="0099351E">
                  <w:pPr>
                    <w:jc w:val="both"/>
                  </w:pPr>
                  <w:r>
                    <w:t xml:space="preserve">Le Gouvernement peut également autoriser, dans une province composée de plusieurs zones, le maintien d’une forme déterminée </w:t>
                  </w:r>
                  <w:r>
                    <w:rPr>
                      <w:u w:val="single"/>
                    </w:rPr>
                    <w:t>dans chaque zone</w:t>
                  </w:r>
                  <w:r>
                    <w:t xml:space="preserve"> de la province concernée pour le réseau concerné. Et ce, sur avis favorable motivé du Conseil Général pour l’Enseignement Secondaire.</w:t>
                  </w:r>
                </w:p>
                <w:p w:rsidR="00F04EEF" w:rsidRDefault="00F04EEF">
                  <w:pPr>
                    <w:jc w:val="both"/>
                  </w:pPr>
                </w:p>
                <w:p w:rsidR="00F04EEF" w:rsidRDefault="0099351E">
                  <w:pPr>
                    <w:pStyle w:val="Titre4"/>
                  </w:pPr>
                  <w:bookmarkStart w:id="1543" w:name="_4.4._Normes_particulières"/>
                  <w:bookmarkStart w:id="1544" w:name="_Toc291075266"/>
                  <w:bookmarkStart w:id="1545" w:name="_Toc291075690"/>
                  <w:bookmarkStart w:id="1546" w:name="_Toc291076114"/>
                  <w:bookmarkStart w:id="1547" w:name="_Toc291076538"/>
                  <w:bookmarkStart w:id="1548" w:name="_Toc291076962"/>
                  <w:bookmarkStart w:id="1549" w:name="_Toc293651805"/>
                  <w:bookmarkStart w:id="1550" w:name="_Toc293653388"/>
                  <w:bookmarkStart w:id="1551" w:name="_Toc293653999"/>
                  <w:bookmarkStart w:id="1552" w:name="_Toc294004577"/>
                  <w:bookmarkStart w:id="1553" w:name="_Toc294185073"/>
                  <w:bookmarkStart w:id="1554" w:name="_Toc324165888"/>
                  <w:bookmarkStart w:id="1555" w:name="_Toc324766925"/>
                  <w:bookmarkStart w:id="1556" w:name="_Toc324767783"/>
                  <w:bookmarkStart w:id="1557" w:name="_Toc453314286"/>
                  <w:bookmarkStart w:id="1558" w:name="_Toc454980321"/>
                  <w:bookmarkEnd w:id="1543"/>
                  <w:r>
                    <w:t>3.4. Normes particulières pour les secteurs professionnels de forme 3. (Articles 203 et 204)</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rsidR="00F04EEF" w:rsidRDefault="00F04EEF">
                  <w:pPr>
                    <w:jc w:val="both"/>
                    <w:rPr>
                      <w:u w:val="single"/>
                    </w:rPr>
                  </w:pPr>
                </w:p>
                <w:p w:rsidR="00F04EEF" w:rsidRDefault="0099351E">
                  <w:pPr>
                    <w:jc w:val="both"/>
                  </w:pPr>
                  <w:r>
                    <w:t>Le plan de rationalisation concerne également les secteurs professionnels organisés en forme 3.</w:t>
                  </w:r>
                </w:p>
                <w:p w:rsidR="00F04EEF" w:rsidRDefault="00F04EEF">
                  <w:pPr>
                    <w:jc w:val="both"/>
                  </w:pPr>
                </w:p>
                <w:p w:rsidR="00F04EEF" w:rsidRDefault="0099351E">
                  <w:pPr>
                    <w:jc w:val="both"/>
                  </w:pPr>
                  <w:r>
                    <w:t>L'article 203 fixe les normes pour le maintien de ces secteurs professionnels :</w:t>
                  </w:r>
                </w:p>
                <w:p w:rsidR="00F04EEF" w:rsidRDefault="00F04EEF">
                  <w:pPr>
                    <w:tabs>
                      <w:tab w:val="left" w:pos="962"/>
                      <w:tab w:val="left" w:pos="1134"/>
                      <w:tab w:val="left" w:pos="1303"/>
                      <w:tab w:val="left" w:pos="1586"/>
                      <w:tab w:val="left" w:pos="1813"/>
                      <w:tab w:val="left" w:pos="3967"/>
                    </w:tabs>
                    <w:jc w:val="both"/>
                  </w:pPr>
                </w:p>
                <w:tbl>
                  <w:tblPr>
                    <w:tblW w:w="0" w:type="auto"/>
                    <w:tblInd w:w="-25" w:type="dxa"/>
                    <w:tblLayout w:type="fixed"/>
                    <w:tblCellMar>
                      <w:left w:w="120" w:type="dxa"/>
                      <w:right w:w="120" w:type="dxa"/>
                    </w:tblCellMar>
                    <w:tblLook w:val="0000" w:firstRow="0" w:lastRow="0" w:firstColumn="0" w:lastColumn="0" w:noHBand="0" w:noVBand="0"/>
                  </w:tblPr>
                  <w:tblGrid>
                    <w:gridCol w:w="1740"/>
                    <w:gridCol w:w="4004"/>
                    <w:gridCol w:w="8"/>
                    <w:gridCol w:w="3958"/>
                  </w:tblGrid>
                  <w:tr w:rsidR="00F04EEF">
                    <w:trPr>
                      <w:cantSplit/>
                      <w:trHeight w:val="402"/>
                    </w:trPr>
                    <w:tc>
                      <w:tcPr>
                        <w:tcW w:w="1740" w:type="dxa"/>
                        <w:vMerge w:val="restart"/>
                        <w:tcBorders>
                          <w:top w:val="single" w:sz="4" w:space="0" w:color="000000"/>
                          <w:left w:val="single" w:sz="4" w:space="0" w:color="000000"/>
                          <w:bottom w:val="single" w:sz="4" w:space="0" w:color="000000"/>
                        </w:tcBorders>
                        <w:vAlign w:val="center"/>
                      </w:tcPr>
                      <w:p w:rsidR="00F04EEF" w:rsidRDefault="0099351E">
                        <w:pPr>
                          <w:snapToGrid w:val="0"/>
                          <w:jc w:val="center"/>
                        </w:pPr>
                        <w:r>
                          <w:t>Nombre de secteurs</w:t>
                        </w:r>
                      </w:p>
                    </w:tc>
                    <w:tc>
                      <w:tcPr>
                        <w:tcW w:w="4012" w:type="dxa"/>
                        <w:gridSpan w:val="2"/>
                        <w:tcBorders>
                          <w:top w:val="single" w:sz="4" w:space="0" w:color="000000"/>
                          <w:left w:val="single" w:sz="4" w:space="0" w:color="000000"/>
                        </w:tcBorders>
                        <w:vAlign w:val="center"/>
                      </w:tcPr>
                      <w:p w:rsidR="00F04EEF" w:rsidRDefault="0099351E">
                        <w:pPr>
                          <w:pStyle w:val="Titre9"/>
                          <w:tabs>
                            <w:tab w:val="left" w:pos="1134"/>
                          </w:tabs>
                          <w:snapToGrid w:val="0"/>
                          <w:ind w:left="0" w:firstLine="0"/>
                          <w:rPr>
                            <w:rFonts w:asciiTheme="majorHAnsi" w:hAnsiTheme="majorHAnsi"/>
                            <w:sz w:val="22"/>
                            <w:szCs w:val="22"/>
                            <w:u w:val="none"/>
                          </w:rPr>
                        </w:pPr>
                        <w:bookmarkStart w:id="1559" w:name="_Arrondissements_de_plus"/>
                        <w:bookmarkStart w:id="1560" w:name="_Toc291075267"/>
                        <w:bookmarkStart w:id="1561" w:name="_Toc291075691"/>
                        <w:bookmarkStart w:id="1562" w:name="_Toc291076115"/>
                        <w:bookmarkStart w:id="1563" w:name="_Toc291076539"/>
                        <w:bookmarkStart w:id="1564" w:name="_Toc291076963"/>
                        <w:bookmarkStart w:id="1565" w:name="_Toc293651806"/>
                        <w:bookmarkStart w:id="1566" w:name="_Toc293653389"/>
                        <w:bookmarkStart w:id="1567" w:name="_Toc293654000"/>
                        <w:bookmarkStart w:id="1568" w:name="_Toc294004578"/>
                        <w:bookmarkStart w:id="1569" w:name="_Toc294185074"/>
                        <w:bookmarkStart w:id="1570" w:name="_Toc324165889"/>
                        <w:bookmarkStart w:id="1571" w:name="_Toc324766926"/>
                        <w:bookmarkStart w:id="1572" w:name="_Toc324767784"/>
                        <w:bookmarkEnd w:id="1559"/>
                        <w:r>
                          <w:rPr>
                            <w:rFonts w:asciiTheme="majorHAnsi" w:hAnsiTheme="majorHAnsi"/>
                            <w:sz w:val="22"/>
                            <w:szCs w:val="22"/>
                            <w:u w:val="none"/>
                          </w:rPr>
                          <w:t xml:space="preserve">Arrondissements </w:t>
                        </w:r>
                        <w:r>
                          <w:rPr>
                            <w:rFonts w:asciiTheme="majorHAnsi" w:hAnsiTheme="majorHAnsi"/>
                            <w:sz w:val="22"/>
                            <w:szCs w:val="22"/>
                          </w:rPr>
                          <w:t>de plus</w:t>
                        </w:r>
                        <w:r>
                          <w:rPr>
                            <w:rFonts w:asciiTheme="majorHAnsi" w:hAnsiTheme="majorHAnsi"/>
                            <w:sz w:val="22"/>
                            <w:szCs w:val="22"/>
                            <w:u w:val="none"/>
                          </w:rPr>
                          <w:t xml:space="preserve"> </w:t>
                        </w:r>
                        <w:r>
                          <w:rPr>
                            <w:rFonts w:asciiTheme="majorHAnsi" w:hAnsiTheme="majorHAnsi"/>
                            <w:sz w:val="22"/>
                            <w:szCs w:val="22"/>
                            <w:u w:val="none"/>
                          </w:rPr>
                          <w:br/>
                          <w:t>de 75 habitants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r>
                          <w:rPr>
                            <w:rFonts w:asciiTheme="majorHAnsi" w:hAnsiTheme="majorHAnsi"/>
                            <w:sz w:val="22"/>
                            <w:szCs w:val="22"/>
                            <w:u w:val="none"/>
                          </w:rPr>
                          <w:t xml:space="preserve"> au km²</w:t>
                        </w:r>
                      </w:p>
                    </w:tc>
                    <w:tc>
                      <w:tcPr>
                        <w:tcW w:w="3958" w:type="dxa"/>
                        <w:tcBorders>
                          <w:top w:val="single" w:sz="4" w:space="0" w:color="000000"/>
                          <w:left w:val="single" w:sz="4" w:space="0" w:color="000000"/>
                          <w:right w:val="single" w:sz="4" w:space="0" w:color="000000"/>
                        </w:tcBorders>
                        <w:vAlign w:val="center"/>
                      </w:tcPr>
                      <w:p w:rsidR="00F04EEF" w:rsidRDefault="0099351E">
                        <w:pPr>
                          <w:tabs>
                            <w:tab w:val="left" w:pos="1134"/>
                          </w:tabs>
                          <w:snapToGrid w:val="0"/>
                          <w:jc w:val="center"/>
                          <w:rPr>
                            <w:b/>
                          </w:rPr>
                        </w:pPr>
                        <w:r>
                          <w:rPr>
                            <w:b/>
                          </w:rPr>
                          <w:t xml:space="preserve">Arrondissements </w:t>
                        </w:r>
                        <w:r>
                          <w:rPr>
                            <w:b/>
                            <w:u w:val="single"/>
                          </w:rPr>
                          <w:t>de moins</w:t>
                        </w:r>
                        <w:r>
                          <w:rPr>
                            <w:b/>
                          </w:rPr>
                          <w:t xml:space="preserve"> </w:t>
                        </w:r>
                        <w:r>
                          <w:rPr>
                            <w:b/>
                          </w:rPr>
                          <w:br/>
                          <w:t>de 75 habitants au km²</w:t>
                        </w:r>
                      </w:p>
                    </w:tc>
                  </w:tr>
                  <w:tr w:rsidR="00F04EEF">
                    <w:trPr>
                      <w:cantSplit/>
                      <w:trHeight w:val="402"/>
                    </w:trPr>
                    <w:tc>
                      <w:tcPr>
                        <w:tcW w:w="1740" w:type="dxa"/>
                        <w:vMerge/>
                        <w:tcBorders>
                          <w:left w:val="single" w:sz="4" w:space="0" w:color="000000"/>
                          <w:bottom w:val="single" w:sz="4" w:space="0" w:color="000000"/>
                        </w:tcBorders>
                        <w:vAlign w:val="center"/>
                      </w:tcPr>
                      <w:p w:rsidR="00F04EEF" w:rsidRDefault="00F04EEF">
                        <w:pPr>
                          <w:tabs>
                            <w:tab w:val="left" w:pos="1134"/>
                          </w:tabs>
                          <w:snapToGrid w:val="0"/>
                          <w:jc w:val="center"/>
                        </w:pPr>
                      </w:p>
                    </w:tc>
                    <w:tc>
                      <w:tcPr>
                        <w:tcW w:w="7970" w:type="dxa"/>
                        <w:gridSpan w:val="3"/>
                        <w:tcBorders>
                          <w:top w:val="single" w:sz="4" w:space="0" w:color="000000"/>
                          <w:left w:val="single" w:sz="4" w:space="0" w:color="000000"/>
                          <w:right w:val="single" w:sz="4" w:space="0" w:color="000000"/>
                        </w:tcBorders>
                        <w:vAlign w:val="center"/>
                      </w:tcPr>
                      <w:p w:rsidR="00F04EEF" w:rsidRDefault="0099351E">
                        <w:pPr>
                          <w:pStyle w:val="Titre9"/>
                          <w:tabs>
                            <w:tab w:val="left" w:pos="1134"/>
                          </w:tabs>
                          <w:snapToGrid w:val="0"/>
                          <w:ind w:left="0"/>
                          <w:rPr>
                            <w:rFonts w:asciiTheme="majorHAnsi" w:hAnsiTheme="majorHAnsi"/>
                            <w:sz w:val="22"/>
                            <w:szCs w:val="22"/>
                          </w:rPr>
                        </w:pPr>
                        <w:bookmarkStart w:id="1573" w:name="_Toc291075268"/>
                        <w:bookmarkStart w:id="1574" w:name="_Toc291075692"/>
                        <w:bookmarkStart w:id="1575" w:name="_Toc291076116"/>
                        <w:bookmarkStart w:id="1576" w:name="_Toc291076540"/>
                        <w:bookmarkStart w:id="1577" w:name="_Toc291076964"/>
                        <w:bookmarkStart w:id="1578" w:name="_Toc293651807"/>
                        <w:bookmarkStart w:id="1579" w:name="_Toc293653390"/>
                        <w:bookmarkStart w:id="1580" w:name="_Toc293654001"/>
                        <w:bookmarkStart w:id="1581" w:name="_Toc294004579"/>
                        <w:bookmarkStart w:id="1582" w:name="_Toc294185075"/>
                        <w:bookmarkStart w:id="1583" w:name="_Toc324165890"/>
                        <w:bookmarkStart w:id="1584" w:name="_Toc324766927"/>
                        <w:bookmarkStart w:id="1585" w:name="_Toc324767785"/>
                        <w:r>
                          <w:rPr>
                            <w:rFonts w:asciiTheme="majorHAnsi" w:hAnsiTheme="majorHAnsi"/>
                            <w:sz w:val="22"/>
                            <w:szCs w:val="22"/>
                          </w:rPr>
                          <w:t>Nombre d'élèves minimum</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p>
                    </w:tc>
                  </w:tr>
                  <w:tr w:rsidR="00F04EEF">
                    <w:trPr>
                      <w:cantSplit/>
                      <w:trHeight w:val="402"/>
                    </w:trPr>
                    <w:tc>
                      <w:tcPr>
                        <w:tcW w:w="174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2</w:t>
                        </w:r>
                      </w:p>
                      <w:p w:rsidR="00F04EEF" w:rsidRDefault="0099351E">
                        <w:pPr>
                          <w:tabs>
                            <w:tab w:val="left" w:pos="1134"/>
                          </w:tabs>
                          <w:jc w:val="center"/>
                        </w:pPr>
                        <w:r>
                          <w:t>3</w:t>
                        </w:r>
                      </w:p>
                      <w:p w:rsidR="00F04EEF" w:rsidRDefault="0099351E">
                        <w:pPr>
                          <w:tabs>
                            <w:tab w:val="left" w:pos="1134"/>
                          </w:tabs>
                          <w:jc w:val="center"/>
                        </w:pPr>
                        <w:r>
                          <w:t>4</w:t>
                        </w:r>
                      </w:p>
                    </w:tc>
                    <w:tc>
                      <w:tcPr>
                        <w:tcW w:w="4004"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32</w:t>
                        </w:r>
                      </w:p>
                      <w:p w:rsidR="00F04EEF" w:rsidRDefault="0099351E">
                        <w:pPr>
                          <w:tabs>
                            <w:tab w:val="left" w:pos="1134"/>
                          </w:tabs>
                          <w:jc w:val="center"/>
                        </w:pPr>
                        <w:r>
                          <w:t>48</w:t>
                        </w:r>
                      </w:p>
                      <w:p w:rsidR="00F04EEF" w:rsidRDefault="0099351E">
                        <w:pPr>
                          <w:tabs>
                            <w:tab w:val="left" w:pos="1134"/>
                          </w:tabs>
                          <w:jc w:val="center"/>
                        </w:pPr>
                        <w:r>
                          <w:t>64</w:t>
                        </w:r>
                      </w:p>
                    </w:tc>
                    <w:tc>
                      <w:tcPr>
                        <w:tcW w:w="3966" w:type="dxa"/>
                        <w:gridSpan w:val="2"/>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24</w:t>
                        </w:r>
                      </w:p>
                      <w:p w:rsidR="00F04EEF" w:rsidRDefault="0099351E">
                        <w:pPr>
                          <w:tabs>
                            <w:tab w:val="left" w:pos="1134"/>
                          </w:tabs>
                          <w:jc w:val="center"/>
                        </w:pPr>
                        <w:r>
                          <w:t>36</w:t>
                        </w:r>
                      </w:p>
                      <w:p w:rsidR="00F04EEF" w:rsidRDefault="0099351E">
                        <w:pPr>
                          <w:tabs>
                            <w:tab w:val="left" w:pos="1134"/>
                          </w:tabs>
                          <w:jc w:val="center"/>
                        </w:pPr>
                        <w:r>
                          <w:t>48</w:t>
                        </w:r>
                      </w:p>
                    </w:tc>
                  </w:tr>
                </w:tbl>
                <w:p w:rsidR="00F04EEF" w:rsidRDefault="00F04EEF">
                  <w:pPr>
                    <w:tabs>
                      <w:tab w:val="left" w:pos="962"/>
                      <w:tab w:val="left" w:pos="1134"/>
                      <w:tab w:val="left" w:pos="1303"/>
                      <w:tab w:val="left" w:pos="1586"/>
                      <w:tab w:val="left" w:pos="1813"/>
                      <w:tab w:val="left" w:pos="3967"/>
                    </w:tabs>
                    <w:ind w:hanging="962"/>
                    <w:jc w:val="both"/>
                  </w:pPr>
                </w:p>
                <w:p w:rsidR="00F04EEF" w:rsidRDefault="0099351E">
                  <w:pPr>
                    <w:jc w:val="both"/>
                  </w:pPr>
                  <w:r>
                    <w:t>Et un secteur supplémentaire par tranche supplémentaire de 12 ou 16 élèves.</w:t>
                  </w:r>
                </w:p>
                <w:p w:rsidR="00F04EEF" w:rsidRDefault="00F04EEF">
                  <w:pPr>
                    <w:jc w:val="both"/>
                  </w:pPr>
                </w:p>
                <w:p w:rsidR="00F04EEF" w:rsidRDefault="0099351E">
                  <w:pPr>
                    <w:rPr>
                      <w:u w:val="single"/>
                    </w:rPr>
                  </w:pPr>
                  <w:r>
                    <w:rPr>
                      <w:u w:val="single"/>
                    </w:rPr>
                    <w:br w:type="page"/>
                  </w:r>
                </w:p>
                <w:p w:rsidR="00F04EEF" w:rsidRDefault="0099351E">
                  <w:pPr>
                    <w:jc w:val="both"/>
                    <w:rPr>
                      <w:u w:val="single"/>
                    </w:rPr>
                  </w:pPr>
                  <w:r>
                    <w:rPr>
                      <w:u w:val="single"/>
                    </w:rPr>
                    <w:t>Il convient de noter que:</w:t>
                  </w:r>
                </w:p>
                <w:p w:rsidR="00F04EEF" w:rsidRDefault="00F04EEF">
                  <w:pPr>
                    <w:jc w:val="both"/>
                    <w:rPr>
                      <w:u w:val="single"/>
                    </w:rPr>
                  </w:pPr>
                </w:p>
                <w:p w:rsidR="00F04EEF" w:rsidRDefault="0099351E">
                  <w:pPr>
                    <w:numPr>
                      <w:ilvl w:val="0"/>
                      <w:numId w:val="39"/>
                    </w:numPr>
                    <w:suppressAutoHyphens/>
                    <w:jc w:val="both"/>
                  </w:pPr>
                  <w:r>
                    <w:t>pour ce calcul, le nombre d'élèves des types 6 et 7 à prendre en considération est multiplié par 2; le nombre d'élèves du type 4 à prendre en considération est multiplié par 2 dans un établissement organisant le type 4, uniquement dans le but d'assurer le maintien du nombre de secteurs de forme 3 existants ;</w:t>
                  </w:r>
                </w:p>
                <w:p w:rsidR="00F04EEF" w:rsidRDefault="0099351E">
                  <w:pPr>
                    <w:numPr>
                      <w:ilvl w:val="0"/>
                      <w:numId w:val="39"/>
                    </w:numPr>
                    <w:suppressAutoHyphens/>
                    <w:jc w:val="both"/>
                  </w:pPr>
                  <w:r>
                    <w:t>la suppression d'un secteur en surnombre a lieu au plus tard le 30 septembre de la 2ème année scolaire au cours de laquelle on constate que la norme de rationalisation n'est pas atteinte. Cette suppression se fait progressivement, phase par phase, à commencer par la première.</w:t>
                  </w:r>
                </w:p>
                <w:p w:rsidR="00F04EEF" w:rsidRDefault="00F04EEF">
                  <w:pPr>
                    <w:jc w:val="both"/>
                  </w:pPr>
                </w:p>
                <w:p w:rsidR="00F04EEF" w:rsidRDefault="0099351E">
                  <w:pPr>
                    <w:jc w:val="both"/>
                  </w:pPr>
                  <w:r>
                    <w:t>Pour maintenir un secteur condamné, l'école a la possibilité de fusionner avec une autre école.</w:t>
                  </w:r>
                </w:p>
                <w:p w:rsidR="00F04EEF" w:rsidRDefault="00F04EEF">
                  <w:pPr>
                    <w:jc w:val="both"/>
                  </w:pPr>
                </w:p>
                <w:p w:rsidR="00F04EEF" w:rsidRDefault="0099351E">
                  <w:pPr>
                    <w:jc w:val="both"/>
                  </w:pPr>
                  <w:r>
                    <w:t xml:space="preserve">Néanmoins, dans le cas où un établissement n’atteint pas les normes minimales pour maintenir tous les secteurs qu’il organise, </w:t>
                  </w:r>
                  <w:r>
                    <w:rPr>
                      <w:u w:val="single"/>
                    </w:rPr>
                    <w:t>dans la zone,</w:t>
                  </w:r>
                  <w:r>
                    <w:t xml:space="preserve"> en justifiant de la nécessité de ce maintien en fonction des besoins des élèves, le Gouvernement peut autoriser le maintien des secteurs organisés. Sur avis favorable motivé du Conseil Général pour l’Enseignement Secondaire.</w:t>
                  </w:r>
                </w:p>
                <w:p w:rsidR="00F04EEF" w:rsidRDefault="00F04EEF">
                  <w:pPr>
                    <w:jc w:val="both"/>
                    <w:rPr>
                      <w:lang w:val="fr-FR"/>
                    </w:rPr>
                  </w:pPr>
                </w:p>
                <w:p w:rsidR="00F04EEF" w:rsidRDefault="0099351E">
                  <w:pPr>
                    <w:pStyle w:val="NormalWeb"/>
                    <w:pBdr>
                      <w:top w:val="single" w:sz="4" w:space="1" w:color="000000"/>
                      <w:left w:val="single" w:sz="4" w:space="4" w:color="000000"/>
                      <w:bottom w:val="single" w:sz="4" w:space="1" w:color="000000"/>
                      <w:right w:val="single" w:sz="4" w:space="4" w:color="000000"/>
                    </w:pBdr>
                    <w:spacing w:before="0"/>
                    <w:rPr>
                      <w:rFonts w:asciiTheme="majorHAnsi" w:hAnsiTheme="majorHAnsi"/>
                      <w:b/>
                      <w:szCs w:val="22"/>
                    </w:rPr>
                  </w:pPr>
                  <w:r>
                    <w:rPr>
                      <w:rFonts w:asciiTheme="majorHAnsi" w:hAnsiTheme="majorHAnsi"/>
                      <w:b/>
                      <w:szCs w:val="22"/>
                      <w:u w:val="single"/>
                    </w:rPr>
                    <w:t>Remarque</w:t>
                  </w:r>
                  <w:r>
                    <w:rPr>
                      <w:rFonts w:asciiTheme="majorHAnsi" w:hAnsiTheme="majorHAnsi"/>
                      <w:b/>
                      <w:szCs w:val="22"/>
                    </w:rPr>
                    <w:t xml:space="preserve"> : </w:t>
                  </w:r>
                  <w:r>
                    <w:rPr>
                      <w:rFonts w:asciiTheme="majorHAnsi" w:hAnsiTheme="majorHAnsi"/>
                      <w:szCs w:val="22"/>
                    </w:rPr>
                    <w:t xml:space="preserve">les écoles qui, suite à l’application du décret, doivent créer de nouveaux secteurs correspondant aux sections précédemment organisées pendant l’année scolaire 2004-2005 peuvent maintenir </w:t>
                  </w:r>
                  <w:r>
                    <w:rPr>
                      <w:rFonts w:asciiTheme="majorHAnsi" w:hAnsiTheme="majorHAnsi"/>
                      <w:szCs w:val="22"/>
                      <w:u w:val="single"/>
                    </w:rPr>
                    <w:t>ces</w:t>
                  </w:r>
                  <w:r>
                    <w:rPr>
                      <w:rFonts w:asciiTheme="majorHAnsi" w:hAnsiTheme="majorHAnsi"/>
                      <w:szCs w:val="22"/>
                    </w:rPr>
                    <w:t xml:space="preserve"> secteurs même s’ils n’atteignent pas les normes prévues, et cela sans limite de temps.</w:t>
                  </w:r>
                  <w:r>
                    <w:rPr>
                      <w:rFonts w:asciiTheme="majorHAnsi" w:hAnsiTheme="majorHAnsi"/>
                      <w:b/>
                      <w:szCs w:val="22"/>
                    </w:rPr>
                    <w:t xml:space="preserve"> </w:t>
                  </w:r>
                </w:p>
                <w:p w:rsidR="00F04EEF" w:rsidRDefault="00F04EEF">
                  <w:pPr>
                    <w:pStyle w:val="NormalWeb"/>
                    <w:tabs>
                      <w:tab w:val="left" w:pos="1134"/>
                    </w:tabs>
                    <w:spacing w:before="0"/>
                    <w:rPr>
                      <w:rFonts w:asciiTheme="majorHAnsi" w:hAnsiTheme="majorHAnsi"/>
                      <w:b/>
                      <w:szCs w:val="22"/>
                    </w:rPr>
                  </w:pPr>
                </w:p>
                <w:p w:rsidR="00F04EEF" w:rsidRDefault="0099351E">
                  <w:pPr>
                    <w:pStyle w:val="NormalWeb"/>
                    <w:spacing w:before="0"/>
                    <w:rPr>
                      <w:rFonts w:asciiTheme="majorHAnsi" w:hAnsiTheme="majorHAnsi"/>
                      <w:b/>
                      <w:szCs w:val="22"/>
                    </w:rPr>
                  </w:pPr>
                  <w:r>
                    <w:rPr>
                      <w:rFonts w:asciiTheme="majorHAnsi" w:hAnsiTheme="majorHAnsi"/>
                      <w:b/>
                      <w:iCs/>
                      <w:szCs w:val="22"/>
                      <w:u w:val="single"/>
                    </w:rPr>
                    <w:t>Exemple</w:t>
                  </w:r>
                  <w:r>
                    <w:rPr>
                      <w:rFonts w:asciiTheme="majorHAnsi" w:hAnsiTheme="majorHAnsi"/>
                      <w:b/>
                      <w:szCs w:val="22"/>
                    </w:rPr>
                    <w:t xml:space="preserve"> : </w:t>
                  </w:r>
                </w:p>
                <w:p w:rsidR="00F04EEF" w:rsidRDefault="00F04EEF">
                  <w:pPr>
                    <w:pStyle w:val="NormalWeb"/>
                    <w:spacing w:before="0"/>
                    <w:rPr>
                      <w:rFonts w:asciiTheme="majorHAnsi" w:hAnsiTheme="majorHAnsi"/>
                      <w:b/>
                      <w:szCs w:val="22"/>
                    </w:rPr>
                  </w:pPr>
                </w:p>
                <w:p w:rsidR="00F04EEF" w:rsidRDefault="0099351E">
                  <w:pPr>
                    <w:pStyle w:val="NormalWeb"/>
                    <w:spacing w:before="0"/>
                    <w:rPr>
                      <w:rFonts w:asciiTheme="majorHAnsi" w:hAnsiTheme="majorHAnsi"/>
                      <w:bCs/>
                      <w:szCs w:val="22"/>
                    </w:rPr>
                  </w:pPr>
                  <w:r>
                    <w:rPr>
                      <w:rFonts w:asciiTheme="majorHAnsi" w:hAnsiTheme="majorHAnsi"/>
                      <w:b/>
                      <w:szCs w:val="22"/>
                      <w:u w:val="single"/>
                    </w:rPr>
                    <w:t>année scolaire 2004-2005</w:t>
                  </w:r>
                  <w:r>
                    <w:rPr>
                      <w:rFonts w:asciiTheme="majorHAnsi" w:hAnsiTheme="majorHAnsi"/>
                      <w:bCs/>
                      <w:szCs w:val="22"/>
                    </w:rPr>
                    <w:t> : 2 secteurs organisés avec 40 élèves </w:t>
                  </w:r>
                </w:p>
                <w:p w:rsidR="00F04EEF" w:rsidRDefault="0099351E">
                  <w:pPr>
                    <w:pStyle w:val="NormalWeb"/>
                    <w:spacing w:before="0"/>
                    <w:rPr>
                      <w:rFonts w:asciiTheme="majorHAnsi" w:hAnsiTheme="majorHAnsi"/>
                      <w:bCs/>
                      <w:szCs w:val="22"/>
                    </w:rPr>
                  </w:pPr>
                  <w:r>
                    <w:rPr>
                      <w:rFonts w:asciiTheme="majorHAnsi" w:hAnsiTheme="majorHAnsi"/>
                      <w:bCs/>
                      <w:szCs w:val="22"/>
                    </w:rPr>
                    <w:t xml:space="preserve">Norme = 32 élèves </w:t>
                  </w:r>
                  <w:r>
                    <w:rPr>
                      <w:rFonts w:asciiTheme="majorHAnsi" w:hAnsiTheme="majorHAnsi"/>
                      <w:bCs/>
                      <w:szCs w:val="22"/>
                    </w:rPr>
                    <w:sym w:font="Wingdings" w:char="F0E8"/>
                  </w:r>
                  <w:r>
                    <w:rPr>
                      <w:rFonts w:asciiTheme="majorHAnsi" w:hAnsiTheme="majorHAnsi"/>
                      <w:bCs/>
                      <w:szCs w:val="22"/>
                    </w:rPr>
                    <w:t>Accepté</w:t>
                  </w:r>
                </w:p>
                <w:p w:rsidR="00F04EEF" w:rsidRDefault="00F04EEF">
                  <w:pPr>
                    <w:pStyle w:val="NormalWeb"/>
                    <w:spacing w:before="0"/>
                    <w:rPr>
                      <w:rFonts w:asciiTheme="majorHAnsi" w:hAnsiTheme="majorHAnsi"/>
                      <w:bCs/>
                      <w:szCs w:val="22"/>
                    </w:rPr>
                  </w:pPr>
                </w:p>
                <w:p w:rsidR="00F04EEF" w:rsidRDefault="0099351E">
                  <w:pPr>
                    <w:pStyle w:val="NormalWeb"/>
                    <w:spacing w:before="0"/>
                    <w:rPr>
                      <w:rFonts w:asciiTheme="majorHAnsi" w:hAnsiTheme="majorHAnsi"/>
                      <w:bCs/>
                      <w:szCs w:val="22"/>
                    </w:rPr>
                  </w:pPr>
                  <w:r>
                    <w:rPr>
                      <w:rFonts w:asciiTheme="majorHAnsi" w:hAnsiTheme="majorHAnsi"/>
                      <w:b/>
                      <w:szCs w:val="22"/>
                      <w:u w:val="single"/>
                    </w:rPr>
                    <w:t>année scolaire 2005-2006</w:t>
                  </w:r>
                  <w:r>
                    <w:rPr>
                      <w:rFonts w:asciiTheme="majorHAnsi" w:hAnsiTheme="majorHAnsi"/>
                      <w:bCs/>
                      <w:szCs w:val="22"/>
                    </w:rPr>
                    <w:t> : 3 secteurs organisés avec 40 élèves (</w:t>
                  </w:r>
                  <w:r>
                    <w:rPr>
                      <w:rFonts w:asciiTheme="majorHAnsi" w:hAnsiTheme="majorHAnsi"/>
                      <w:bCs/>
                      <w:i/>
                      <w:iCs/>
                      <w:szCs w:val="22"/>
                    </w:rPr>
                    <w:t>3</w:t>
                  </w:r>
                  <w:r>
                    <w:rPr>
                      <w:rFonts w:asciiTheme="majorHAnsi" w:hAnsiTheme="majorHAnsi"/>
                      <w:bCs/>
                      <w:i/>
                      <w:iCs/>
                      <w:szCs w:val="22"/>
                      <w:vertAlign w:val="superscript"/>
                    </w:rPr>
                    <w:t>ème</w:t>
                  </w:r>
                  <w:r>
                    <w:rPr>
                      <w:rFonts w:asciiTheme="majorHAnsi" w:hAnsiTheme="majorHAnsi"/>
                      <w:bCs/>
                      <w:i/>
                      <w:iCs/>
                      <w:szCs w:val="22"/>
                    </w:rPr>
                    <w:t xml:space="preserve">  secteur imposé par la transformation de la F3</w:t>
                  </w:r>
                  <w:r>
                    <w:rPr>
                      <w:rFonts w:asciiTheme="majorHAnsi" w:hAnsiTheme="majorHAnsi"/>
                      <w:bCs/>
                      <w:szCs w:val="22"/>
                    </w:rPr>
                    <w:t>)</w:t>
                  </w:r>
                </w:p>
                <w:p w:rsidR="00F04EEF" w:rsidRDefault="00F04EEF">
                  <w:pPr>
                    <w:pStyle w:val="NormalWeb"/>
                    <w:spacing w:before="0"/>
                    <w:rPr>
                      <w:rFonts w:asciiTheme="majorHAnsi" w:hAnsiTheme="majorHAnsi"/>
                      <w:bCs/>
                      <w:szCs w:val="22"/>
                    </w:rPr>
                  </w:pPr>
                </w:p>
                <w:p w:rsidR="00F04EEF" w:rsidRDefault="0099351E">
                  <w:pPr>
                    <w:pStyle w:val="NormalWeb"/>
                    <w:spacing w:before="0"/>
                    <w:rPr>
                      <w:rFonts w:asciiTheme="majorHAnsi" w:hAnsiTheme="majorHAnsi"/>
                      <w:bCs/>
                      <w:szCs w:val="22"/>
                    </w:rPr>
                  </w:pPr>
                  <w:r>
                    <w:rPr>
                      <w:rFonts w:asciiTheme="majorHAnsi" w:hAnsiTheme="majorHAnsi"/>
                      <w:bCs/>
                      <w:szCs w:val="22"/>
                    </w:rPr>
                    <w:t xml:space="preserve">Norme = 48 élèves </w:t>
                  </w:r>
                  <w:r>
                    <w:rPr>
                      <w:rFonts w:asciiTheme="majorHAnsi" w:hAnsiTheme="majorHAnsi"/>
                      <w:bCs/>
                      <w:szCs w:val="22"/>
                    </w:rPr>
                    <w:sym w:font="Wingdings" w:char="F0E8"/>
                  </w:r>
                  <w:r>
                    <w:rPr>
                      <w:rFonts w:asciiTheme="majorHAnsi" w:hAnsiTheme="majorHAnsi"/>
                      <w:bCs/>
                      <w:szCs w:val="22"/>
                    </w:rPr>
                    <w:t xml:space="preserve">Accepté sur base de la situation 2004-2005 figée pour </w:t>
                  </w:r>
                  <w:r>
                    <w:rPr>
                      <w:rFonts w:asciiTheme="majorHAnsi" w:hAnsiTheme="majorHAnsi"/>
                      <w:b/>
                      <w:szCs w:val="22"/>
                    </w:rPr>
                    <w:t>toutes les années suivantes</w:t>
                  </w:r>
                  <w:r>
                    <w:rPr>
                      <w:rFonts w:asciiTheme="majorHAnsi" w:hAnsiTheme="majorHAnsi"/>
                      <w:bCs/>
                      <w:szCs w:val="22"/>
                    </w:rPr>
                    <w:t>.</w:t>
                  </w:r>
                </w:p>
                <w:p w:rsidR="00F04EEF" w:rsidRDefault="00F04EEF">
                  <w:pPr>
                    <w:pStyle w:val="NormalWeb"/>
                    <w:spacing w:before="0"/>
                    <w:rPr>
                      <w:rFonts w:asciiTheme="majorHAnsi" w:hAnsiTheme="majorHAnsi"/>
                      <w:bCs/>
                      <w:szCs w:val="22"/>
                    </w:rPr>
                  </w:pPr>
                </w:p>
                <w:p w:rsidR="00F04EEF" w:rsidRDefault="0099351E">
                  <w:pPr>
                    <w:pStyle w:val="NormalWeb"/>
                    <w:spacing w:before="0"/>
                    <w:rPr>
                      <w:rFonts w:asciiTheme="majorHAnsi" w:hAnsiTheme="majorHAnsi"/>
                      <w:szCs w:val="22"/>
                    </w:rPr>
                  </w:pPr>
                  <w:r>
                    <w:rPr>
                      <w:rFonts w:asciiTheme="majorHAnsi" w:hAnsiTheme="majorHAnsi"/>
                      <w:szCs w:val="22"/>
                    </w:rPr>
                    <w:t xml:space="preserve">Toutefois, pour ces écoles, après l’année scolaire 2005-2006, toute création de </w:t>
                  </w:r>
                  <w:r>
                    <w:rPr>
                      <w:rFonts w:asciiTheme="majorHAnsi" w:hAnsiTheme="majorHAnsi"/>
                      <w:i/>
                      <w:iCs/>
                      <w:szCs w:val="22"/>
                      <w:u w:val="single"/>
                    </w:rPr>
                    <w:t>nouveau</w:t>
                  </w:r>
                  <w:r>
                    <w:rPr>
                      <w:rFonts w:asciiTheme="majorHAnsi" w:hAnsiTheme="majorHAnsi"/>
                      <w:szCs w:val="22"/>
                    </w:rPr>
                    <w:t xml:space="preserve"> secteur, ou </w:t>
                  </w:r>
                  <w:r>
                    <w:rPr>
                      <w:rFonts w:asciiTheme="majorHAnsi" w:hAnsiTheme="majorHAnsi"/>
                      <w:i/>
                      <w:iCs/>
                      <w:szCs w:val="22"/>
                      <w:u w:val="single"/>
                    </w:rPr>
                    <w:t>transformation</w:t>
                  </w:r>
                  <w:r>
                    <w:rPr>
                      <w:rFonts w:asciiTheme="majorHAnsi" w:hAnsiTheme="majorHAnsi"/>
                      <w:szCs w:val="22"/>
                    </w:rPr>
                    <w:t xml:space="preserve"> de secteur, sera soumise aux normes de programmation.</w:t>
                  </w:r>
                </w:p>
                <w:p w:rsidR="00F04EEF" w:rsidRDefault="00F04EEF">
                  <w:pPr>
                    <w:jc w:val="both"/>
                  </w:pPr>
                </w:p>
                <w:p w:rsidR="00F04EEF" w:rsidRDefault="0099351E">
                  <w:pPr>
                    <w:pStyle w:val="Titre4"/>
                  </w:pPr>
                  <w:bookmarkStart w:id="1586" w:name="_Toc291075269"/>
                  <w:bookmarkStart w:id="1587" w:name="_Toc291075693"/>
                  <w:bookmarkStart w:id="1588" w:name="_Toc291076117"/>
                  <w:bookmarkStart w:id="1589" w:name="_Toc291076541"/>
                  <w:bookmarkStart w:id="1590" w:name="_Toc291076965"/>
                  <w:bookmarkStart w:id="1591" w:name="_Toc293651808"/>
                  <w:bookmarkStart w:id="1592" w:name="_Toc293653391"/>
                  <w:bookmarkStart w:id="1593" w:name="_Toc293654002"/>
                  <w:bookmarkStart w:id="1594" w:name="_Toc294004580"/>
                  <w:bookmarkStart w:id="1595" w:name="_Toc294185076"/>
                  <w:bookmarkStart w:id="1596" w:name="_Toc324165891"/>
                  <w:bookmarkStart w:id="1597" w:name="_Toc324766928"/>
                  <w:bookmarkStart w:id="1598" w:name="_Toc324767786"/>
                  <w:bookmarkStart w:id="1599" w:name="_Toc453314287"/>
                  <w:bookmarkStart w:id="1600" w:name="_Toc454980322"/>
                  <w:r>
                    <w:t>3.5. Date limite des suppressions de formes et des fusions d'écoles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rsidR="00F04EEF" w:rsidRDefault="00F04EEF">
                  <w:pPr>
                    <w:tabs>
                      <w:tab w:val="left" w:pos="962"/>
                      <w:tab w:val="left" w:pos="1134"/>
                      <w:tab w:val="left" w:pos="1303"/>
                      <w:tab w:val="left" w:pos="1586"/>
                      <w:tab w:val="left" w:pos="1813"/>
                      <w:tab w:val="left" w:pos="3967"/>
                    </w:tabs>
                    <w:jc w:val="both"/>
                    <w:rPr>
                      <w:u w:val="single"/>
                    </w:rPr>
                  </w:pPr>
                </w:p>
                <w:p w:rsidR="00F04EEF" w:rsidRDefault="0099351E">
                  <w:pPr>
                    <w:tabs>
                      <w:tab w:val="left" w:pos="1134"/>
                    </w:tabs>
                    <w:jc w:val="both"/>
                  </w:pPr>
                  <w:r>
                    <w:t>La suppression de formes ainsi que les fusions d'écoles ont lieu au plus tard le 30 septembre.</w:t>
                  </w:r>
                </w:p>
                <w:p w:rsidR="00F04EEF" w:rsidRDefault="00F04EEF">
                  <w:pPr>
                    <w:tabs>
                      <w:tab w:val="left" w:pos="1134"/>
                    </w:tabs>
                    <w:jc w:val="both"/>
                  </w:pPr>
                </w:p>
                <w:p w:rsidR="00F04EEF" w:rsidRDefault="0099351E">
                  <w:pPr>
                    <w:pStyle w:val="Titre4"/>
                  </w:pPr>
                  <w:bookmarkStart w:id="1601" w:name="_Toc291075270"/>
                  <w:bookmarkStart w:id="1602" w:name="_Toc291075694"/>
                  <w:bookmarkStart w:id="1603" w:name="_Toc291076118"/>
                  <w:bookmarkStart w:id="1604" w:name="_Toc291076542"/>
                  <w:bookmarkStart w:id="1605" w:name="_Toc291076966"/>
                  <w:bookmarkStart w:id="1606" w:name="_Toc293651809"/>
                  <w:bookmarkStart w:id="1607" w:name="_Toc293653392"/>
                  <w:bookmarkStart w:id="1608" w:name="_Toc293654003"/>
                  <w:bookmarkStart w:id="1609" w:name="_Toc294004581"/>
                  <w:bookmarkStart w:id="1610" w:name="_Toc294185077"/>
                  <w:bookmarkStart w:id="1611" w:name="_Toc324165892"/>
                  <w:bookmarkStart w:id="1612" w:name="_Toc324766929"/>
                  <w:bookmarkStart w:id="1613" w:name="_Toc324767787"/>
                  <w:bookmarkStart w:id="1614" w:name="_Toc453314288"/>
                  <w:bookmarkStart w:id="1615" w:name="_Toc454980323"/>
                  <w:r>
                    <w:t>3.6. Implantations issues d'une fusion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rsidR="00F04EEF" w:rsidRDefault="00F04EEF">
                  <w:pPr>
                    <w:tabs>
                      <w:tab w:val="left" w:pos="962"/>
                      <w:tab w:val="left" w:pos="1134"/>
                      <w:tab w:val="left" w:pos="1303"/>
                      <w:tab w:val="left" w:pos="1586"/>
                      <w:tab w:val="left" w:pos="1813"/>
                      <w:tab w:val="left" w:pos="3967"/>
                    </w:tabs>
                    <w:jc w:val="both"/>
                  </w:pPr>
                </w:p>
                <w:p w:rsidR="00F04EEF" w:rsidRDefault="0099351E">
                  <w:pPr>
                    <w:jc w:val="both"/>
                  </w:pPr>
                  <w:r>
                    <w:t>Dans les implantations issues d'une fusion, seules les formes et les secteurs qui existaient avant la fusion peuvent être maintenus.</w:t>
                  </w:r>
                </w:p>
                <w:p w:rsidR="00F04EEF" w:rsidRDefault="00F04EEF">
                  <w:bookmarkStart w:id="1616" w:name="__RefHeading__139_957262308"/>
                  <w:bookmarkStart w:id="1617" w:name="_Toc291075271"/>
                  <w:bookmarkStart w:id="1618" w:name="_Toc291075695"/>
                  <w:bookmarkStart w:id="1619" w:name="_Toc291076119"/>
                  <w:bookmarkStart w:id="1620" w:name="_Toc291076543"/>
                  <w:bookmarkStart w:id="1621" w:name="_Toc291076967"/>
                  <w:bookmarkStart w:id="1622" w:name="_Toc293651810"/>
                  <w:bookmarkStart w:id="1623" w:name="_Toc293653393"/>
                  <w:bookmarkStart w:id="1624" w:name="_Toc293654004"/>
                  <w:bookmarkStart w:id="1625" w:name="_Toc294004582"/>
                  <w:bookmarkStart w:id="1626" w:name="_Toc294185078"/>
                  <w:bookmarkStart w:id="1627" w:name="_Toc324165893"/>
                  <w:bookmarkStart w:id="1628" w:name="_Toc324766930"/>
                  <w:bookmarkEnd w:id="1616"/>
                </w:p>
                <w:p w:rsidR="00F04EEF" w:rsidRDefault="0099351E">
                  <w:pPr>
                    <w:pStyle w:val="Titre3"/>
                    <w:rPr>
                      <w:sz w:val="22"/>
                      <w:szCs w:val="22"/>
                    </w:rPr>
                  </w:pPr>
                  <w:bookmarkStart w:id="1629" w:name="__RefHeading__141_957262308"/>
                  <w:bookmarkStart w:id="1630" w:name="_Toc291075279"/>
                  <w:bookmarkStart w:id="1631" w:name="_Toc291075703"/>
                  <w:bookmarkStart w:id="1632" w:name="_Toc291076127"/>
                  <w:bookmarkStart w:id="1633" w:name="_Toc291076551"/>
                  <w:bookmarkStart w:id="1634" w:name="_Toc291076975"/>
                  <w:bookmarkStart w:id="1635" w:name="_Toc293651818"/>
                  <w:bookmarkStart w:id="1636" w:name="_Toc293653401"/>
                  <w:bookmarkStart w:id="1637" w:name="_Toc293654012"/>
                  <w:bookmarkStart w:id="1638" w:name="_Toc294004590"/>
                  <w:bookmarkStart w:id="1639" w:name="_Toc294185086"/>
                  <w:bookmarkStart w:id="1640" w:name="_Toc324165901"/>
                  <w:bookmarkStart w:id="1641" w:name="_Toc324766938"/>
                  <w:bookmarkStart w:id="1642" w:name="_Toc453314298"/>
                  <w:bookmarkStart w:id="1643" w:name="_Toc454980333"/>
                  <w:bookmarkStart w:id="1644" w:name="_Toc47708485"/>
                  <w:bookmarkEnd w:id="1617"/>
                  <w:bookmarkEnd w:id="1618"/>
                  <w:bookmarkEnd w:id="1619"/>
                  <w:bookmarkEnd w:id="1620"/>
                  <w:bookmarkEnd w:id="1621"/>
                  <w:bookmarkEnd w:id="1622"/>
                  <w:bookmarkEnd w:id="1623"/>
                  <w:bookmarkEnd w:id="1624"/>
                  <w:bookmarkEnd w:id="1625"/>
                  <w:bookmarkEnd w:id="1626"/>
                  <w:bookmarkEnd w:id="1627"/>
                  <w:bookmarkEnd w:id="1628"/>
                  <w:bookmarkEnd w:id="1629"/>
                  <w:r>
                    <w:rPr>
                      <w:sz w:val="22"/>
                      <w:szCs w:val="22"/>
                    </w:rPr>
                    <w:t>4. Programmation de l’enseignement secondaire spécialisé « Normes de création »</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rsidR="00F04EEF" w:rsidRDefault="00F04EEF">
                  <w:bookmarkStart w:id="1645" w:name="_Toc291075280"/>
                  <w:bookmarkStart w:id="1646" w:name="_Toc291075704"/>
                  <w:bookmarkStart w:id="1647" w:name="_Toc291076128"/>
                  <w:bookmarkStart w:id="1648" w:name="_Toc291076552"/>
                  <w:bookmarkStart w:id="1649" w:name="_Toc291076976"/>
                  <w:bookmarkStart w:id="1650" w:name="_Toc293651819"/>
                  <w:bookmarkStart w:id="1651" w:name="_Toc293653402"/>
                  <w:bookmarkStart w:id="1652" w:name="_Toc293654013"/>
                  <w:bookmarkStart w:id="1653" w:name="_Toc294004591"/>
                  <w:bookmarkStart w:id="1654" w:name="_Toc294185087"/>
                  <w:bookmarkStart w:id="1655" w:name="_Toc324165902"/>
                  <w:bookmarkStart w:id="1656" w:name="_Toc324766939"/>
                  <w:bookmarkStart w:id="1657" w:name="_Toc324767797"/>
                </w:p>
                <w:p w:rsidR="00F04EEF" w:rsidRDefault="0099351E">
                  <w:pPr>
                    <w:pStyle w:val="Titre4"/>
                  </w:pPr>
                  <w:bookmarkStart w:id="1658" w:name="_Toc453314299"/>
                  <w:bookmarkStart w:id="1659" w:name="_Toc454980334"/>
                  <w:r>
                    <w:t>4.1. Siège de la matière. (Articles 208 à 212 inclus)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rsidR="00F04EEF" w:rsidRDefault="00F04EEF"/>
                <w:p w:rsidR="00F04EEF" w:rsidRDefault="0099351E">
                  <w:pPr>
                    <w:pStyle w:val="Titre4"/>
                  </w:pPr>
                  <w:bookmarkStart w:id="1660" w:name="_6.2._Programmation_d'une"/>
                  <w:bookmarkStart w:id="1661" w:name="_Toc291075281"/>
                  <w:bookmarkStart w:id="1662" w:name="_Toc291075705"/>
                  <w:bookmarkStart w:id="1663" w:name="_Toc291076129"/>
                  <w:bookmarkStart w:id="1664" w:name="_Toc291076553"/>
                  <w:bookmarkStart w:id="1665" w:name="_Toc291076977"/>
                  <w:bookmarkStart w:id="1666" w:name="_Toc293651820"/>
                  <w:bookmarkStart w:id="1667" w:name="_Toc293653403"/>
                  <w:bookmarkStart w:id="1668" w:name="_Toc293654014"/>
                  <w:bookmarkStart w:id="1669" w:name="_Toc294004592"/>
                  <w:bookmarkStart w:id="1670" w:name="_Toc294185088"/>
                  <w:bookmarkStart w:id="1671" w:name="_Toc324165903"/>
                  <w:bookmarkStart w:id="1672" w:name="_Toc324766940"/>
                  <w:bookmarkStart w:id="1673" w:name="_Toc324767798"/>
                  <w:bookmarkStart w:id="1674" w:name="_Toc453314300"/>
                  <w:bookmarkStart w:id="1675" w:name="_Toc454980335"/>
                  <w:bookmarkEnd w:id="1660"/>
                  <w:r>
                    <w:t>4.2. Programmation d'une nouvelle école secondaire. (Articles 208 et 210)</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rsidR="00F04EEF" w:rsidRDefault="00F04EEF">
                  <w:pPr>
                    <w:tabs>
                      <w:tab w:val="left" w:pos="962"/>
                      <w:tab w:val="left" w:pos="1134"/>
                      <w:tab w:val="left" w:pos="1303"/>
                      <w:tab w:val="left" w:pos="1586"/>
                      <w:tab w:val="left" w:pos="1813"/>
                      <w:tab w:val="left" w:pos="3174"/>
                      <w:tab w:val="left" w:pos="3967"/>
                      <w:tab w:val="left" w:pos="4591"/>
                      <w:tab w:val="left" w:pos="4818"/>
                    </w:tabs>
                    <w:ind w:hanging="962"/>
                    <w:jc w:val="both"/>
                    <w:rPr>
                      <w:u w:val="single"/>
                    </w:rPr>
                  </w:pPr>
                </w:p>
                <w:p w:rsidR="00F04EEF" w:rsidRDefault="0099351E">
                  <w:pPr>
                    <w:jc w:val="both"/>
                  </w:pPr>
                  <w:r>
                    <w:t>L'article 208 fixe les conditions de programmation d'une nouvelle école d'enseignement secondaire spécialisé.</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r>
                    <w:br w:type="page"/>
                  </w:r>
                </w:p>
                <w:p w:rsidR="00F04EEF" w:rsidRDefault="0099351E">
                  <w:pPr>
                    <w:jc w:val="both"/>
                  </w:pPr>
                  <w:r>
                    <w:t>Toute nouvelle école doit satisfaire aux trois conditions suivantes :</w:t>
                  </w:r>
                </w:p>
                <w:p w:rsidR="00F04EEF" w:rsidRDefault="00F04EEF">
                  <w:pPr>
                    <w:jc w:val="both"/>
                  </w:pPr>
                </w:p>
                <w:p w:rsidR="00F04EEF" w:rsidRDefault="0099351E">
                  <w:pPr>
                    <w:numPr>
                      <w:ilvl w:val="0"/>
                      <w:numId w:val="26"/>
                    </w:numPr>
                    <w:tabs>
                      <w:tab w:val="clear" w:pos="360"/>
                      <w:tab w:val="num" w:pos="720"/>
                    </w:tabs>
                    <w:suppressAutoHyphens/>
                    <w:ind w:left="284" w:hanging="142"/>
                    <w:jc w:val="both"/>
                  </w:pPr>
                  <w:r>
                    <w:t>organiser au moins 2 formes, sauf dérogation accordée par le Gouvernement, après avis motivé du Conseil Général pour l’Enseignement Secondaire.</w:t>
                  </w:r>
                </w:p>
                <w:p w:rsidR="00F04EEF" w:rsidRDefault="0099351E">
                  <w:pPr>
                    <w:numPr>
                      <w:ilvl w:val="0"/>
                      <w:numId w:val="38"/>
                    </w:numPr>
                    <w:tabs>
                      <w:tab w:val="clear" w:pos="360"/>
                      <w:tab w:val="num" w:pos="720"/>
                    </w:tabs>
                    <w:suppressAutoHyphens/>
                    <w:ind w:left="284" w:hanging="142"/>
                    <w:jc w:val="both"/>
                  </w:pPr>
                  <w:r>
                    <w:t xml:space="preserve">atteindre pour </w:t>
                  </w:r>
                  <w:r>
                    <w:rPr>
                      <w:u w:val="single"/>
                    </w:rPr>
                    <w:t>chaque forme</w:t>
                  </w:r>
                  <w:r>
                    <w:t xml:space="preserve"> prise séparément 150% de la norme de rationalisation fixée à l'article 200 (arrondissements d'au moins 75 habitants au km²) ou 201 (arrondissements de moins de 75 habitants au km²) et, si une forme 3 est organisée, à l'article 203 (normes relatives aux secteurs)</w:t>
                  </w:r>
                </w:p>
                <w:p w:rsidR="00F04EEF" w:rsidRDefault="00F04EEF">
                  <w:pPr>
                    <w:jc w:val="both"/>
                  </w:pPr>
                </w:p>
                <w:p w:rsidR="00F04EEF" w:rsidRDefault="0099351E">
                  <w:pPr>
                    <w:numPr>
                      <w:ilvl w:val="0"/>
                      <w:numId w:val="38"/>
                    </w:numPr>
                    <w:tabs>
                      <w:tab w:val="clear" w:pos="360"/>
                      <w:tab w:val="num" w:pos="720"/>
                    </w:tabs>
                    <w:suppressAutoHyphens/>
                    <w:ind w:left="0" w:firstLine="0"/>
                    <w:jc w:val="both"/>
                  </w:pPr>
                  <w:r>
                    <w:rPr>
                      <w:noProof/>
                      <w:lang w:eastAsia="fr-BE"/>
                    </w:rPr>
                    <mc:AlternateContent>
                      <mc:Choice Requires="wps">
                        <w:drawing>
                          <wp:anchor distT="0" distB="0" distL="114300" distR="114300" simplePos="0" relativeHeight="251711488" behindDoc="0" locked="0" layoutInCell="1" allowOverlap="1">
                            <wp:simplePos x="0" y="0"/>
                            <wp:positionH relativeFrom="column">
                              <wp:posOffset>1594485</wp:posOffset>
                            </wp:positionH>
                            <wp:positionV relativeFrom="paragraph">
                              <wp:posOffset>131445</wp:posOffset>
                            </wp:positionV>
                            <wp:extent cx="114300" cy="571500"/>
                            <wp:effectExtent l="0" t="0" r="45720" b="19050"/>
                            <wp:wrapNone/>
                            <wp:docPr id="3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rightBrace">
                                      <a:avLst>
                                        <a:gd name="adj1" fmla="val 41667"/>
                                        <a:gd name="adj2" fmla="val 50000"/>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4B0D50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 o:spid="_x0000_s1026" type="#_x0000_t88" style="position:absolute;margin-left:125.55pt;margin-top:10.35pt;width:9pt;height:45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" strokeweight=".26mm">
                            <v:stroke joinstyle="miter"/>
                          </v:shape>
                        </w:pict>
                      </mc:Fallback>
                    </mc:AlternateContent>
                  </w:r>
                  <w:r>
                    <w:t>atteindre au moins :</w:t>
                  </w:r>
                </w:p>
                <w:p w:rsidR="00F04EEF" w:rsidRDefault="0099351E">
                  <w:pPr>
                    <w:jc w:val="both"/>
                  </w:pPr>
                  <w:r>
                    <w:t>la 1</w:t>
                  </w:r>
                  <w:r>
                    <w:rPr>
                      <w:vertAlign w:val="superscript"/>
                    </w:rPr>
                    <w:t>ère</w:t>
                  </w:r>
                  <w:r>
                    <w:t xml:space="preserve"> année :</w:t>
                  </w:r>
                  <w:r>
                    <w:tab/>
                    <w:t>200 %</w:t>
                  </w:r>
                </w:p>
                <w:p w:rsidR="00F04EEF" w:rsidRDefault="0099351E">
                  <w:pPr>
                    <w:jc w:val="both"/>
                  </w:pPr>
                  <w:r>
                    <w:t>la 2</w:t>
                  </w:r>
                  <w:r>
                    <w:rPr>
                      <w:vertAlign w:val="superscript"/>
                    </w:rPr>
                    <w:t>ème</w:t>
                  </w:r>
                  <w:r>
                    <w:t xml:space="preserve"> année :</w:t>
                  </w:r>
                  <w:r>
                    <w:tab/>
                    <w:t>250 %</w:t>
                  </w:r>
                  <w:r>
                    <w:tab/>
                  </w:r>
                  <w:r>
                    <w:tab/>
                    <w:t>du total des normes de rationalisation.</w:t>
                  </w:r>
                </w:p>
                <w:p w:rsidR="00F04EEF" w:rsidRDefault="0099351E">
                  <w:pPr>
                    <w:jc w:val="both"/>
                  </w:pPr>
                  <w:r>
                    <w:t>la 3</w:t>
                  </w:r>
                  <w:r>
                    <w:rPr>
                      <w:vertAlign w:val="superscript"/>
                    </w:rPr>
                    <w:t>ème</w:t>
                  </w:r>
                  <w:r>
                    <w:t xml:space="preserve"> année :</w:t>
                  </w:r>
                  <w:r>
                    <w:tab/>
                    <w:t>300 %</w:t>
                  </w:r>
                </w:p>
                <w:p w:rsidR="00F04EEF" w:rsidRDefault="00F04EEF">
                  <w:pPr>
                    <w:jc w:val="both"/>
                  </w:pPr>
                </w:p>
                <w:p w:rsidR="00F04EEF" w:rsidRDefault="0099351E">
                  <w:pPr>
                    <w:jc w:val="both"/>
                  </w:pPr>
                  <w:r>
                    <w:t>Si les normes de rationalisations prévues aux articles 199 et 200 ou 199 et 201 ne sont pas atteintes, ou bien la ou les forme(s) ne répondant pas à la norme doit/doivent être supprimée(s) à partir du 1er septembre suivant, ou bien l'école doit être fermée, sauf dérogation accordée par le Gouvernement si la ou les forme(s), ou l’école répond(ent) à un réel besoin dans la zone d’enseignement.</w:t>
                  </w:r>
                </w:p>
                <w:p w:rsidR="00F04EEF" w:rsidRDefault="00F04EEF">
                  <w:pPr>
                    <w:jc w:val="both"/>
                  </w:pPr>
                </w:p>
                <w:p w:rsidR="00F04EEF" w:rsidRDefault="0099351E">
                  <w:pPr>
                    <w:jc w:val="both"/>
                  </w:pPr>
                  <w:r>
                    <w:t>Toutefois, si ces minima visés ci-dessus sont atteints pendant un minimum de 10 jours ouvrables en cours d’année scolaire, la forme ou l’école n’est pas fermée au 1er septembre de l’année scolaire suivante. </w:t>
                  </w:r>
                </w:p>
                <w:p w:rsidR="00F04EEF" w:rsidRDefault="00F04EEF">
                  <w:pPr>
                    <w:jc w:val="both"/>
                  </w:pPr>
                </w:p>
                <w:p w:rsidR="00F04EEF" w:rsidRDefault="0099351E">
                  <w:pPr>
                    <w:jc w:val="both"/>
                  </w:pPr>
                  <w:r>
                    <w:t>A partir de la 4e année scolaire, les normes de matin sont exclusivement applicables et la nouvelle école est admise de manière définitive aux subventions et à l’accès aux Fonds des bâtiments scolaires.</w:t>
                  </w:r>
                </w:p>
                <w:p w:rsidR="00F04EEF" w:rsidRDefault="00F04EEF">
                  <w:pPr>
                    <w:jc w:val="both"/>
                  </w:pPr>
                </w:p>
                <w:p w:rsidR="00F04EEF" w:rsidRDefault="0099351E">
                  <w:pPr>
                    <w:jc w:val="both"/>
                  </w:pPr>
                  <w:r>
                    <w:t>L'article 210 contient des dispositions particulières en faveur de l'enseignement de type 5, de niveau secondaire et de forme 4.</w:t>
                  </w:r>
                </w:p>
                <w:p w:rsidR="00F04EEF" w:rsidRDefault="00F04EEF">
                  <w:pPr>
                    <w:jc w:val="both"/>
                  </w:pPr>
                </w:p>
                <w:p w:rsidR="00F04EEF" w:rsidRDefault="0099351E">
                  <w:pPr>
                    <w:jc w:val="both"/>
                    <w:rPr>
                      <w:b/>
                    </w:rPr>
                  </w:pPr>
                  <w:bookmarkStart w:id="1676" w:name="_Toc291075282"/>
                  <w:bookmarkStart w:id="1677" w:name="_Toc291075706"/>
                  <w:bookmarkStart w:id="1678" w:name="_Toc291076130"/>
                  <w:bookmarkStart w:id="1679" w:name="_Toc291076554"/>
                  <w:bookmarkStart w:id="1680" w:name="_Toc291076978"/>
                  <w:bookmarkStart w:id="1681" w:name="_Toc293651821"/>
                  <w:bookmarkStart w:id="1682" w:name="_Toc293653404"/>
                  <w:bookmarkStart w:id="1683" w:name="_Toc293654015"/>
                  <w:bookmarkStart w:id="1684" w:name="_Toc294004593"/>
                  <w:bookmarkStart w:id="1685" w:name="_Toc294185089"/>
                  <w:bookmarkStart w:id="1686" w:name="_Toc324165904"/>
                  <w:bookmarkStart w:id="1687" w:name="_Toc324766941"/>
                  <w:bookmarkStart w:id="1688" w:name="_Toc324767799"/>
                  <w:r>
                    <w:rPr>
                      <w:b/>
                    </w:rPr>
                    <w:t>La création de cet enseignement n’est soumise qu’aux articles 200 et 201 pour autant qu’elle réponde aux conditions suivantes :</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rsidR="00F04EEF" w:rsidRDefault="00F04EEF"/>
                <w:p w:rsidR="00F04EEF" w:rsidRDefault="0099351E">
                  <w:pPr>
                    <w:pStyle w:val="Paragraphedeliste"/>
                    <w:numPr>
                      <w:ilvl w:val="0"/>
                      <w:numId w:val="232"/>
                    </w:numPr>
                    <w:jc w:val="both"/>
                    <w:rPr>
                      <w:rFonts w:asciiTheme="majorHAnsi" w:hAnsiTheme="majorHAnsi"/>
                      <w:sz w:val="22"/>
                      <w:szCs w:val="22"/>
                    </w:rPr>
                  </w:pPr>
                  <w:r>
                    <w:rPr>
                      <w:rFonts w:asciiTheme="majorHAnsi" w:hAnsiTheme="majorHAnsi"/>
                      <w:sz w:val="22"/>
                      <w:szCs w:val="22"/>
                    </w:rPr>
                    <w:t>qu'il soit rattaché à une clinique ou à une institution médico-sociale organisée ou reconnue par la Fédération Wallonie-Bruxelles</w:t>
                  </w:r>
                </w:p>
                <w:p w:rsidR="00F04EEF" w:rsidRDefault="0099351E">
                  <w:pPr>
                    <w:pStyle w:val="Paragraphedeliste"/>
                    <w:numPr>
                      <w:ilvl w:val="0"/>
                      <w:numId w:val="232"/>
                    </w:numPr>
                    <w:jc w:val="both"/>
                    <w:rPr>
                      <w:rFonts w:asciiTheme="majorHAnsi" w:hAnsiTheme="majorHAnsi"/>
                      <w:sz w:val="22"/>
                      <w:szCs w:val="22"/>
                    </w:rPr>
                  </w:pPr>
                  <w:r>
                    <w:rPr>
                      <w:rFonts w:asciiTheme="majorHAnsi" w:hAnsiTheme="majorHAnsi"/>
                      <w:sz w:val="22"/>
                      <w:szCs w:val="22"/>
                    </w:rPr>
                    <w:t>que l’école d'enseignement fondamental spécialisé qui programme cet enseignement soit organisée le 1 septembre 2004.</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rPr>
                      <w:b/>
                    </w:rPr>
                  </w:pPr>
                  <w:bookmarkStart w:id="1689" w:name="_Toc291075283"/>
                  <w:bookmarkStart w:id="1690" w:name="_Toc291075707"/>
                  <w:bookmarkStart w:id="1691" w:name="_Toc291076131"/>
                  <w:bookmarkStart w:id="1692" w:name="_Toc291076555"/>
                  <w:bookmarkStart w:id="1693" w:name="_Toc291076979"/>
                  <w:bookmarkStart w:id="1694" w:name="_Toc293651822"/>
                  <w:bookmarkStart w:id="1695" w:name="_Toc293653405"/>
                  <w:bookmarkStart w:id="1696" w:name="_Toc293654016"/>
                  <w:bookmarkStart w:id="1697" w:name="_Toc294004594"/>
                  <w:bookmarkStart w:id="1698" w:name="_Toc294185090"/>
                  <w:bookmarkStart w:id="1699" w:name="_Toc324165905"/>
                  <w:bookmarkStart w:id="1700" w:name="_Toc324766942"/>
                  <w:bookmarkStart w:id="1701" w:name="_Toc324767800"/>
                  <w:r>
                    <w:rPr>
                      <w:b/>
                    </w:rPr>
                    <w:t>La création de cet enseignement est possible dans une école d'enseignement fondamental spécialisé créée en vertu de l'article 195 § 2 (programmation enseignement fondamental spécialisé) à condition d'atteindre un certain pourcentage de la norme de maintien, soit :</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rsidR="00F04EEF" w:rsidRDefault="0099351E">
                  <w:pPr>
                    <w:jc w:val="both"/>
                    <w:rPr>
                      <w:lang w:val="fr-FR"/>
                    </w:rPr>
                  </w:pPr>
                  <w:r>
                    <w:rPr>
                      <w:noProof/>
                      <w:lang w:eastAsia="fr-BE"/>
                    </w:rPr>
                    <mc:AlternateContent>
                      <mc:Choice Requires="wps">
                        <w:drawing>
                          <wp:anchor distT="0" distB="0" distL="114300" distR="114300" simplePos="0" relativeHeight="251712512" behindDoc="0" locked="0" layoutInCell="1" allowOverlap="1">
                            <wp:simplePos x="0" y="0"/>
                            <wp:positionH relativeFrom="column">
                              <wp:posOffset>4433570</wp:posOffset>
                            </wp:positionH>
                            <wp:positionV relativeFrom="paragraph">
                              <wp:posOffset>113665</wp:posOffset>
                            </wp:positionV>
                            <wp:extent cx="228600" cy="571500"/>
                            <wp:effectExtent l="0" t="0" r="34290" b="19050"/>
                            <wp:wrapNone/>
                            <wp:docPr id="3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71500"/>
                                    </a:xfrm>
                                    <a:prstGeom prst="rightBrace">
                                      <a:avLst>
                                        <a:gd name="adj1" fmla="val 20833"/>
                                        <a:gd name="adj2" fmla="val 50000"/>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763126" id="AutoShape 25" o:spid="_x0000_s1026" type="#_x0000_t88" style="position:absolute;margin-left:349.1pt;margin-top:8.95pt;width:18pt;height:45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" strokeweight=".26mm">
                            <v:stroke joinstyle="miter"/>
                          </v:shape>
                        </w:pict>
                      </mc:Fallback>
                    </mc:AlternateContent>
                  </w:r>
                </w:p>
                <w:p w:rsidR="00F04EEF" w:rsidRDefault="0099351E">
                  <w:pPr>
                    <w:numPr>
                      <w:ilvl w:val="0"/>
                      <w:numId w:val="36"/>
                    </w:numPr>
                    <w:tabs>
                      <w:tab w:val="left" w:pos="2340"/>
                    </w:tabs>
                    <w:suppressAutoHyphens/>
                    <w:jc w:val="both"/>
                  </w:pPr>
                  <w:r>
                    <w:rPr>
                      <w:lang w:val="fr-FR"/>
                    </w:rPr>
                    <w:t>l</w:t>
                  </w:r>
                  <w:r>
                    <w:t>a 1ère année :</w:t>
                  </w:r>
                  <w:r>
                    <w:tab/>
                    <w:t>200 % de la norme soit 16 élèves. (ou 12 élèves) </w:t>
                  </w:r>
                </w:p>
                <w:p w:rsidR="00F04EEF" w:rsidRDefault="0099351E">
                  <w:pPr>
                    <w:numPr>
                      <w:ilvl w:val="0"/>
                      <w:numId w:val="36"/>
                    </w:numPr>
                    <w:suppressAutoHyphens/>
                    <w:jc w:val="both"/>
                  </w:pPr>
                  <w:r>
                    <w:t>la 2ème année :</w:t>
                  </w:r>
                  <w:r>
                    <w:tab/>
                    <w:t xml:space="preserve">    250 % de la norme soit 20 élèves. (ou 15 élèves) </w:t>
                  </w:r>
                  <w:r>
                    <w:tab/>
                  </w:r>
                  <w:r>
                    <w:tab/>
                    <w:t xml:space="preserve">selon </w:t>
                  </w:r>
                </w:p>
                <w:p w:rsidR="00F04EEF" w:rsidRDefault="0099351E">
                  <w:pPr>
                    <w:numPr>
                      <w:ilvl w:val="0"/>
                      <w:numId w:val="36"/>
                    </w:numPr>
                    <w:tabs>
                      <w:tab w:val="left" w:pos="2340"/>
                    </w:tabs>
                    <w:suppressAutoHyphens/>
                    <w:jc w:val="both"/>
                  </w:pPr>
                  <w:r>
                    <w:t>la 3ème année :</w:t>
                  </w:r>
                  <w:r>
                    <w:tab/>
                    <w:t>300 % de la norme soit 24 élèves. (ou 18 élèves)               l’arrondissement</w:t>
                  </w:r>
                </w:p>
                <w:p w:rsidR="00F04EEF" w:rsidRDefault="00F04EEF">
                  <w:pPr>
                    <w:tabs>
                      <w:tab w:val="left" w:pos="2340"/>
                    </w:tabs>
                    <w:jc w:val="both"/>
                  </w:pPr>
                </w:p>
                <w:p w:rsidR="00F04EEF" w:rsidRDefault="0099351E">
                  <w:pPr>
                    <w:jc w:val="both"/>
                  </w:pPr>
                  <w:r>
                    <w:t>Cette forme 4 ne peut cependant être créée durant la phase de programmation de l'école d'enseignement fondamental spécialisé.</w:t>
                  </w:r>
                </w:p>
                <w:p w:rsidR="00F04EEF" w:rsidRDefault="00F04EEF">
                  <w:pPr>
                    <w:jc w:val="both"/>
                  </w:pPr>
                </w:p>
                <w:p w:rsidR="00F04EEF" w:rsidRDefault="0099351E">
                  <w:pPr>
                    <w:jc w:val="both"/>
                  </w:pPr>
                  <w:r>
                    <w:t xml:space="preserve">Le directeur de l’école fondamentale assure la direction de cette forme 4. </w:t>
                  </w:r>
                </w:p>
                <w:p w:rsidR="00F04EEF" w:rsidRDefault="0099351E">
                  <w:pPr>
                    <w:jc w:val="both"/>
                  </w:pPr>
                  <w:r>
                    <w:t xml:space="preserve">Aucune fonction de sélection ou de promotion ne peut être organisée, ni subventionnée au niveau secondaire.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tabs>
                      <w:tab w:val="left" w:pos="1134"/>
                    </w:tabs>
                    <w:jc w:val="both"/>
                  </w:pPr>
                  <w:r>
                    <w:rPr>
                      <w:b/>
                    </w:rPr>
                    <w:t>Remarque :</w:t>
                  </w:r>
                  <w:r>
                    <w:t xml:space="preserve"> Pour toute création d’un nouvel établissement scolaire d’enseignement secondaire spécialisé pour lequel le pouvoir organisateur demande des subventions, il y a lieu de se référer au </w:t>
                  </w:r>
                  <w:hyperlink w:anchor="_chapitre_3_:" w:history="1">
                    <w:r>
                      <w:rPr>
                        <w:rStyle w:val="Lienhypertexte"/>
                        <w:rFonts w:cstheme="minorBidi"/>
                      </w:rPr>
                      <w:t>chapitre 3 – Admission aux subventions</w:t>
                    </w:r>
                  </w:hyperlink>
                  <w:r>
                    <w:t>.</w:t>
                  </w:r>
                </w:p>
                <w:p w:rsidR="00F04EEF" w:rsidRDefault="0099351E">
                  <w:pPr>
                    <w:tabs>
                      <w:tab w:val="left" w:pos="1134"/>
                    </w:tabs>
                    <w:jc w:val="both"/>
                  </w:pPr>
                  <w:r>
                    <w:t>Le formulaire et les pièces jointes devront être introduits avant le 15 janvier de l’année scolaire précédant l’admission aux subventions.</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pStyle w:val="Titre4"/>
                  </w:pPr>
                  <w:bookmarkStart w:id="1702" w:name="_6.3._Programmation_d'une"/>
                  <w:bookmarkStart w:id="1703" w:name="_Toc291075284"/>
                  <w:bookmarkStart w:id="1704" w:name="_Toc291075708"/>
                  <w:bookmarkStart w:id="1705" w:name="_Toc291076132"/>
                  <w:bookmarkStart w:id="1706" w:name="_Toc291076556"/>
                  <w:bookmarkStart w:id="1707" w:name="_Toc291076980"/>
                  <w:bookmarkStart w:id="1708" w:name="_Toc293651823"/>
                  <w:bookmarkStart w:id="1709" w:name="_Toc293653406"/>
                  <w:bookmarkStart w:id="1710" w:name="_Toc293654017"/>
                  <w:bookmarkStart w:id="1711" w:name="_Toc294004595"/>
                  <w:bookmarkStart w:id="1712" w:name="_Toc294185091"/>
                  <w:bookmarkStart w:id="1713" w:name="_Toc324165906"/>
                  <w:bookmarkStart w:id="1714" w:name="_Toc324766943"/>
                  <w:bookmarkStart w:id="1715" w:name="_Toc324767801"/>
                  <w:bookmarkStart w:id="1716" w:name="_Toc453314301"/>
                  <w:bookmarkStart w:id="1717" w:name="_Toc454980336"/>
                  <w:bookmarkEnd w:id="1702"/>
                  <w:r>
                    <w:t>4.3. Programmation d'une nouvelle implantation. (Article 209)</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u w:val="single"/>
                    </w:rPr>
                  </w:pPr>
                </w:p>
                <w:p w:rsidR="00F04EEF" w:rsidRDefault="0099351E">
                  <w:pPr>
                    <w:jc w:val="both"/>
                  </w:pPr>
                  <w:r>
                    <w:t>Toute école qui satisfait aux normes de rationalisation fixées aux articles 199 et 200 ou 199 et 201 peut organiser une nouvelle implantation.</w:t>
                  </w:r>
                </w:p>
                <w:p w:rsidR="00F04EEF" w:rsidRDefault="00F04EEF">
                  <w:pPr>
                    <w:jc w:val="both"/>
                  </w:pPr>
                </w:p>
                <w:p w:rsidR="00F04EEF" w:rsidRDefault="0099351E">
                  <w:pPr>
                    <w:jc w:val="both"/>
                  </w:pPr>
                  <w:r>
                    <w:t>Toute nouvelle demande nécessitant une dérogation du Gouvernement doit être introduite auprès de l’administration avant le 15 mars.</w:t>
                  </w:r>
                </w:p>
                <w:p w:rsidR="00F04EEF" w:rsidRDefault="00F04EEF">
                  <w:pPr>
                    <w:jc w:val="both"/>
                  </w:pPr>
                </w:p>
                <w:p w:rsidR="00F04EEF" w:rsidRDefault="0099351E">
                  <w:pPr>
                    <w:pBdr>
                      <w:top w:val="single" w:sz="4" w:space="1" w:color="000000"/>
                      <w:left w:val="single" w:sz="4" w:space="4" w:color="000000"/>
                      <w:bottom w:val="single" w:sz="4" w:space="1" w:color="000000"/>
                      <w:right w:val="single" w:sz="4" w:space="4" w:color="000000"/>
                    </w:pBdr>
                    <w:jc w:val="both"/>
                    <w:rPr>
                      <w:b/>
                    </w:rPr>
                  </w:pPr>
                  <w:r>
                    <w:rPr>
                      <w:b/>
                      <w:u w:val="single"/>
                    </w:rPr>
                    <w:t>Remarque</w:t>
                  </w:r>
                  <w:r>
                    <w:rPr>
                      <w:b/>
                    </w:rPr>
                    <w:t xml:space="preserve"> : </w:t>
                  </w:r>
                  <w:r>
                    <w:t>l'école qui atteint les normes de rationalisation grâce aux régimes dérogatoires (article 205) ne peut créer une nouvelle implantation.</w:t>
                  </w:r>
                </w:p>
                <w:p w:rsidR="00F04EEF" w:rsidRDefault="00F04EEF">
                  <w:pPr>
                    <w:jc w:val="both"/>
                  </w:pPr>
                </w:p>
                <w:p w:rsidR="00F04EEF" w:rsidRDefault="0099351E">
                  <w:pPr>
                    <w:jc w:val="both"/>
                  </w:pPr>
                  <w:r>
                    <w:t>La nouvelle implantation doit, conformément à l'article 185 § 1, être située dans une même commune ou dans la même région de Bruxelles-Capitale, sauf dérogation accordée par le Gouvernement de la Fédération Wallonie-Bruxelles dans des cas exceptionnels.</w:t>
                  </w:r>
                </w:p>
                <w:p w:rsidR="00F04EEF" w:rsidRDefault="0099351E">
                  <w:pPr>
                    <w:jc w:val="both"/>
                  </w:pPr>
                  <w:r>
                    <w:t>Dans cette implantation ne peuvent être organisées que les formes et secteurs qui existent déjà dans l'école.</w:t>
                  </w:r>
                </w:p>
                <w:p w:rsidR="00F04EEF" w:rsidRDefault="00F04EEF">
                  <w:pPr>
                    <w:jc w:val="both"/>
                  </w:pPr>
                </w:p>
                <w:p w:rsidR="00F04EEF" w:rsidRDefault="0099351E">
                  <w:pPr>
                    <w:jc w:val="both"/>
                  </w:pPr>
                  <w:r>
                    <w:t>Si cette implantation est située à moins de 2 km du bâtiment principal, aucune norme n'est requise.</w:t>
                  </w:r>
                </w:p>
                <w:p w:rsidR="00F04EEF" w:rsidRDefault="00F04EEF">
                  <w:pPr>
                    <w:jc w:val="both"/>
                  </w:pPr>
                </w:p>
                <w:p w:rsidR="00F04EEF" w:rsidRDefault="0099351E">
                  <w:pPr>
                    <w:jc w:val="both"/>
                  </w:pPr>
                  <w:r>
                    <w:t>Si elle est située à 2 km ou plus du bâtiment principal, elle devra, elle aussi, satisfaire aux normes de rationalisation fixées aux articles 199 et 200 ou 199 et 201.</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Si ces minima ne sont pas atteints, ou bien la ou les formes(s) concernée(s) doit/doivent être supprimée(s) à partir du 1er septembre suivant, ou bien l'implantation doit être fermée, sauf dérogation accordée par le Gouvernement si la ou les forme(s), ou l’implantation répond(ent) à un réel besoin dans la zone d’enseignement.</w:t>
                  </w:r>
                </w:p>
                <w:p w:rsidR="00F04EEF" w:rsidRDefault="00F04EEF">
                  <w:pPr>
                    <w:jc w:val="both"/>
                  </w:pPr>
                </w:p>
                <w:p w:rsidR="00F04EEF" w:rsidRDefault="0099351E">
                  <w:pPr>
                    <w:jc w:val="both"/>
                  </w:pPr>
                  <w:r>
                    <w:t>Toutefois, si ces minima sont atteints pendant un minimum de 10 jours ouvrables en cours d’année scolaire, la forme ou l’implantation n’est pas fermée au 1er septembre de l’année scolaire suivante.</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Par dérogation aux normes de programmation, sur avis favorable motivé du Conseil Général pour l’Enseignement Secondaire, le Gouvernement peut autoriser la création d’une nouvelle implantation de forme 4.</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pStyle w:val="Titre4"/>
                  </w:pPr>
                  <w:bookmarkStart w:id="1718" w:name="_Toc291075285"/>
                  <w:bookmarkStart w:id="1719" w:name="_Toc291075709"/>
                  <w:bookmarkStart w:id="1720" w:name="_Toc291076133"/>
                  <w:bookmarkStart w:id="1721" w:name="_Toc291076557"/>
                  <w:bookmarkStart w:id="1722" w:name="_Toc291076981"/>
                  <w:bookmarkStart w:id="1723" w:name="_Toc293651824"/>
                  <w:bookmarkStart w:id="1724" w:name="_Toc293653407"/>
                  <w:bookmarkStart w:id="1725" w:name="_Toc293654018"/>
                  <w:bookmarkStart w:id="1726" w:name="_Toc294004596"/>
                  <w:bookmarkStart w:id="1727" w:name="_Toc294185092"/>
                  <w:bookmarkStart w:id="1728" w:name="_Toc324165907"/>
                  <w:bookmarkStart w:id="1729" w:name="_Toc324766944"/>
                  <w:bookmarkStart w:id="1730" w:name="_Toc324767802"/>
                  <w:bookmarkStart w:id="1731" w:name="_Toc453314302"/>
                  <w:bookmarkStart w:id="1732" w:name="_Toc454980337"/>
                  <w:r>
                    <w:t>4.4. Transformation d'une forme d'enseignement spécialisé et d'un secteur de la forme 3. (Article 211, § 1er, 1, 2, 3, 4, ,5 et 6)</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rsidR="00F04EEF" w:rsidRDefault="00F04EEF">
                  <w:pPr>
                    <w:jc w:val="both"/>
                  </w:pPr>
                </w:p>
                <w:p w:rsidR="00F04EEF" w:rsidRDefault="0099351E">
                  <w:pPr>
                    <w:jc w:val="both"/>
                  </w:pPr>
                  <w:r>
                    <w:t>L'article 211 § 1, 1, 2 ,3 et 6 définit les conditions auxquelles, dans une école existante, une forme d'enseignement spécialisé peut être transformée et remplacée par une nouvelle forme :</w:t>
                  </w:r>
                </w:p>
                <w:p w:rsidR="00F04EEF" w:rsidRDefault="00F04EEF">
                  <w:pPr>
                    <w:jc w:val="both"/>
                  </w:pPr>
                </w:p>
                <w:p w:rsidR="00F04EEF" w:rsidRDefault="0099351E">
                  <w:pPr>
                    <w:pStyle w:val="Paragraphedeliste"/>
                    <w:numPr>
                      <w:ilvl w:val="0"/>
                      <w:numId w:val="233"/>
                    </w:numPr>
                    <w:jc w:val="both"/>
                    <w:rPr>
                      <w:rFonts w:asciiTheme="majorHAnsi" w:hAnsiTheme="majorHAnsi"/>
                      <w:sz w:val="22"/>
                      <w:szCs w:val="22"/>
                    </w:rPr>
                  </w:pPr>
                  <w:r>
                    <w:rPr>
                      <w:rFonts w:asciiTheme="majorHAnsi" w:hAnsiTheme="majorHAnsi"/>
                      <w:sz w:val="22"/>
                      <w:szCs w:val="22"/>
                    </w:rPr>
                    <w:t>la forme à transformer doit, l'année scolaire précédant la transformation, répondre à la norme de rationalisation fixée aux articles 199 et 200 ou 199 et 201 ;</w:t>
                  </w:r>
                </w:p>
                <w:p w:rsidR="00F04EEF" w:rsidRDefault="0099351E">
                  <w:pPr>
                    <w:pStyle w:val="Paragraphedeliste"/>
                    <w:numPr>
                      <w:ilvl w:val="0"/>
                      <w:numId w:val="233"/>
                    </w:numPr>
                    <w:jc w:val="both"/>
                    <w:rPr>
                      <w:rFonts w:asciiTheme="majorHAnsi" w:hAnsiTheme="majorHAnsi"/>
                      <w:sz w:val="22"/>
                      <w:szCs w:val="22"/>
                    </w:rPr>
                  </w:pPr>
                  <w:r>
                    <w:rPr>
                      <w:rFonts w:asciiTheme="majorHAnsi" w:hAnsiTheme="majorHAnsi"/>
                      <w:sz w:val="22"/>
                      <w:szCs w:val="22"/>
                    </w:rPr>
                    <w:t>la nouvelle forme doit, dès que la transformation commence, atteindre la norme de rationalisation.</w:t>
                  </w:r>
                </w:p>
                <w:p w:rsidR="00F04EEF" w:rsidRDefault="00F04EEF">
                  <w:pPr>
                    <w:jc w:val="both"/>
                  </w:pPr>
                </w:p>
                <w:p w:rsidR="00F04EEF" w:rsidRDefault="0099351E">
                  <w:pPr>
                    <w:jc w:val="both"/>
                  </w:pPr>
                  <w:r>
                    <w:t>L'article 211 § 1, 4 permet la transformation d'un secteur existant de la forme 3 qui répond à la norme de rationalisation en un autre secteur pour autant que les normes prévues à l'article 203 (normes relatives aux secteurs) soient atteintes dès que la transformation s'opère.</w:t>
                  </w:r>
                </w:p>
                <w:p w:rsidR="00F04EEF" w:rsidRDefault="00F04EEF">
                  <w:pPr>
                    <w:jc w:val="both"/>
                  </w:pPr>
                </w:p>
                <w:p w:rsidR="00F04EEF" w:rsidRDefault="0099351E">
                  <w:pPr>
                    <w:jc w:val="both"/>
                  </w:pPr>
                  <w:r>
                    <w:t>- Lorsqu'une forme 1 est transformée, celle-ci doit être supprimée complètement et simultanément avec l'organisation de la nouvelle forme.</w:t>
                  </w:r>
                </w:p>
                <w:p w:rsidR="00F04EEF" w:rsidRDefault="00F04EEF">
                  <w:pPr>
                    <w:jc w:val="both"/>
                  </w:pPr>
                </w:p>
                <w:p w:rsidR="00F04EEF" w:rsidRDefault="0099351E">
                  <w:pPr>
                    <w:jc w:val="both"/>
                  </w:pPr>
                  <w:r>
                    <w:t>-  Lorsqu'une forme 2 est transformée celle-ci est transformée simultanément avec l'organisation de la nouvelle forme, phase par phase en commençant par la phase inférieure.</w:t>
                  </w:r>
                </w:p>
                <w:p w:rsidR="00F04EEF" w:rsidRDefault="00F04EEF">
                  <w:pPr>
                    <w:jc w:val="both"/>
                  </w:pPr>
                </w:p>
                <w:p w:rsidR="00F04EEF" w:rsidRDefault="0099351E">
                  <w:pPr>
                    <w:jc w:val="both"/>
                  </w:pPr>
                  <w:r>
                    <w:t>- Lorsqu'une forme 3 ou un secteur est transformé celui-ci est transformé simultanément avec l'organisation de la nouvelle forme ou du nouveau secteur, phase par phase en commençant par la phase inférieure.</w:t>
                  </w:r>
                </w:p>
                <w:p w:rsidR="00F04EEF" w:rsidRDefault="00F04EEF">
                  <w:pPr>
                    <w:jc w:val="both"/>
                  </w:pPr>
                </w:p>
                <w:p w:rsidR="00F04EEF" w:rsidRDefault="0099351E">
                  <w:pPr>
                    <w:jc w:val="both"/>
                  </w:pPr>
                  <w:r>
                    <w:t>-  Lorsqu'une forme 4 est transformée, celle-ci est transformée simultanément avec l'organisation de la nouvelle forme, année d'études par année d'études, à commencer par l'année inférieure.</w:t>
                  </w:r>
                </w:p>
                <w:p w:rsidR="00F04EEF" w:rsidRDefault="00F04EEF">
                  <w:pPr>
                    <w:jc w:val="both"/>
                  </w:pPr>
                </w:p>
                <w:p w:rsidR="00F04EEF" w:rsidRDefault="0099351E">
                  <w:pPr>
                    <w:jc w:val="both"/>
                  </w:pPr>
                  <w:r>
                    <w:t>Durant la période de transformation, aucun nouvel élève ne peut plus être inscrit dans la forme ou le secteur supprimé.</w:t>
                  </w:r>
                </w:p>
                <w:p w:rsidR="00F04EEF" w:rsidRDefault="0099351E">
                  <w:pPr>
                    <w:jc w:val="both"/>
                  </w:pPr>
                  <w:r>
                    <w:t>Les élèves fréquentant cette forme ou ce secteur peuvent cependant achever leurs études dans l'école.</w:t>
                  </w:r>
                </w:p>
                <w:p w:rsidR="00F04EEF" w:rsidRDefault="00F04EEF">
                  <w:pPr>
                    <w:jc w:val="both"/>
                  </w:pPr>
                </w:p>
                <w:p w:rsidR="00F04EEF" w:rsidRDefault="0099351E">
                  <w:pPr>
                    <w:jc w:val="both"/>
                  </w:pPr>
                  <w:r>
                    <w:t>Les élèves de la forme ou du secteur supprimé ne sont plus pris en considération pour le calcul des normes de rationalisation.</w:t>
                  </w:r>
                </w:p>
                <w:p w:rsidR="00F04EEF" w:rsidRDefault="00F04EEF">
                  <w:pPr>
                    <w:tabs>
                      <w:tab w:val="left" w:pos="1134"/>
                    </w:tabs>
                    <w:jc w:val="both"/>
                  </w:pPr>
                </w:p>
                <w:p w:rsidR="00F04EEF" w:rsidRDefault="0099351E">
                  <w:pPr>
                    <w:jc w:val="both"/>
                  </w:pPr>
                  <w:r>
                    <w:t>Il convient encore de noter que la transformation d'une forme ou d'un secteur existant doit être réalisée dans tous les lieux d'implantation de l'école où cette forme ou ce secteur est organisé.</w:t>
                  </w:r>
                </w:p>
                <w:p w:rsidR="00F04EEF" w:rsidRDefault="00F04EEF">
                  <w:pPr>
                    <w:jc w:val="both"/>
                  </w:pPr>
                </w:p>
                <w:p w:rsidR="00F04EEF" w:rsidRDefault="0099351E">
                  <w:pPr>
                    <w:pStyle w:val="Titre4"/>
                  </w:pPr>
                  <w:bookmarkStart w:id="1733" w:name="_Toc291075286"/>
                  <w:bookmarkStart w:id="1734" w:name="_Toc291075710"/>
                  <w:bookmarkStart w:id="1735" w:name="_Toc291076134"/>
                  <w:bookmarkStart w:id="1736" w:name="_Toc291076558"/>
                  <w:bookmarkStart w:id="1737" w:name="_Toc291076982"/>
                  <w:bookmarkStart w:id="1738" w:name="_Toc293651825"/>
                  <w:bookmarkStart w:id="1739" w:name="_Toc293653408"/>
                  <w:bookmarkStart w:id="1740" w:name="_Toc293654019"/>
                  <w:bookmarkStart w:id="1741" w:name="_Toc294004597"/>
                  <w:bookmarkStart w:id="1742" w:name="_Toc294185093"/>
                  <w:bookmarkStart w:id="1743" w:name="_Toc324165908"/>
                  <w:bookmarkStart w:id="1744" w:name="_Toc324766945"/>
                  <w:bookmarkStart w:id="1745" w:name="_Toc324767803"/>
                  <w:bookmarkStart w:id="1746" w:name="_Toc453314303"/>
                  <w:bookmarkStart w:id="1747" w:name="_Toc454980338"/>
                  <w:r>
                    <w:t>4.5. Création d'une nouvelle forme d'enseignement spécialisé dans une école existante. (Article 211 §1, 7 et 8)</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rsidR="00F04EEF" w:rsidRDefault="00F04EEF">
                  <w:pPr>
                    <w:jc w:val="both"/>
                    <w:rPr>
                      <w:u w:val="single"/>
                    </w:rPr>
                  </w:pPr>
                </w:p>
                <w:p w:rsidR="00F04EEF" w:rsidRDefault="0099351E">
                  <w:pPr>
                    <w:jc w:val="both"/>
                  </w:pPr>
                  <w:r>
                    <w:t xml:space="preserve">L'article 211 § 1, 7 et 8 définit les conditions auxquelles peut être créée une nouvelle forme d'enseignement spécialisé dans une école existante : </w:t>
                  </w:r>
                </w:p>
                <w:p w:rsidR="00F04EEF" w:rsidRDefault="00F04EEF">
                  <w:pPr>
                    <w:jc w:val="both"/>
                  </w:pPr>
                </w:p>
                <w:p w:rsidR="00F04EEF" w:rsidRDefault="0099351E">
                  <w:pPr>
                    <w:pStyle w:val="Paragraphedeliste"/>
                    <w:numPr>
                      <w:ilvl w:val="0"/>
                      <w:numId w:val="234"/>
                    </w:numPr>
                    <w:ind w:hanging="425"/>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sz w:val="22"/>
                      <w:szCs w:val="22"/>
                      <w:u w:val="single"/>
                    </w:rPr>
                    <w:t>population scolaire de l'école</w:t>
                  </w:r>
                  <w:r>
                    <w:rPr>
                      <w:rFonts w:asciiTheme="majorHAnsi" w:hAnsiTheme="majorHAnsi"/>
                      <w:sz w:val="22"/>
                      <w:szCs w:val="22"/>
                    </w:rPr>
                    <w:t xml:space="preserve"> doit, durant l'année scolaire précédant la création, atteindre au moins 150% de la somme des normes de rationalisation, prévues à l'article 200 ou 201, pour chacune des formes organisées ;</w:t>
                  </w:r>
                </w:p>
                <w:p w:rsidR="00F04EEF" w:rsidRDefault="0099351E">
                  <w:pPr>
                    <w:pStyle w:val="Paragraphedeliste"/>
                    <w:numPr>
                      <w:ilvl w:val="0"/>
                      <w:numId w:val="234"/>
                    </w:numPr>
                    <w:ind w:hanging="425"/>
                    <w:jc w:val="both"/>
                    <w:rPr>
                      <w:rFonts w:asciiTheme="majorHAnsi" w:hAnsiTheme="majorHAnsi"/>
                      <w:sz w:val="22"/>
                      <w:szCs w:val="22"/>
                    </w:rPr>
                  </w:pPr>
                  <w:r>
                    <w:rPr>
                      <w:rFonts w:asciiTheme="majorHAnsi" w:hAnsiTheme="majorHAnsi"/>
                      <w:sz w:val="22"/>
                      <w:szCs w:val="22"/>
                    </w:rPr>
                    <w:t xml:space="preserve">pendant deux années scolaires consécutives, la </w:t>
                  </w:r>
                  <w:r>
                    <w:rPr>
                      <w:rFonts w:asciiTheme="majorHAnsi" w:hAnsiTheme="majorHAnsi"/>
                      <w:sz w:val="22"/>
                      <w:szCs w:val="22"/>
                      <w:u w:val="single"/>
                    </w:rPr>
                    <w:t>nouvelle forme</w:t>
                  </w:r>
                  <w:r>
                    <w:rPr>
                      <w:rFonts w:asciiTheme="majorHAnsi" w:hAnsiTheme="majorHAnsi"/>
                      <w:sz w:val="22"/>
                      <w:szCs w:val="22"/>
                    </w:rPr>
                    <w:t xml:space="preserve"> doit atteindre :</w:t>
                  </w:r>
                </w:p>
                <w:p w:rsidR="00F04EEF" w:rsidRDefault="0099351E">
                  <w:pPr>
                    <w:numPr>
                      <w:ilvl w:val="0"/>
                      <w:numId w:val="27"/>
                    </w:numPr>
                    <w:tabs>
                      <w:tab w:val="clear" w:pos="567"/>
                      <w:tab w:val="num" w:pos="1260"/>
                    </w:tabs>
                    <w:suppressAutoHyphens/>
                    <w:ind w:left="709"/>
                    <w:jc w:val="both"/>
                  </w:pPr>
                  <w:r>
                    <w:t>soit 250% de la norme de rationalisation, s'il s'agit d'une forme 1, 2 ou 3 ;</w:t>
                  </w:r>
                </w:p>
                <w:p w:rsidR="00F04EEF" w:rsidRDefault="0099351E">
                  <w:pPr>
                    <w:numPr>
                      <w:ilvl w:val="0"/>
                      <w:numId w:val="27"/>
                    </w:numPr>
                    <w:tabs>
                      <w:tab w:val="clear" w:pos="567"/>
                      <w:tab w:val="num" w:pos="1260"/>
                    </w:tabs>
                    <w:suppressAutoHyphens/>
                    <w:ind w:left="709"/>
                    <w:jc w:val="both"/>
                  </w:pPr>
                  <w:r>
                    <w:t>soit 125% de la norme de rationalisation, s'il s'agit d'une forme 4.</w:t>
                  </w:r>
                </w:p>
                <w:p w:rsidR="00F04EEF" w:rsidRDefault="00F04EEF">
                  <w:pPr>
                    <w:jc w:val="both"/>
                  </w:pPr>
                </w:p>
                <w:p w:rsidR="00F04EEF" w:rsidRDefault="0099351E">
                  <w:pPr>
                    <w:jc w:val="both"/>
                  </w:pPr>
                  <w:r>
                    <w:t>Si une école possède une implantation à 2 km ou plus du bâtiment principal et qu'elle entend organiser une nouvelle forme d'enseignement spécialisé et dans le bâtiment principal et dans cette implantation, elle devra atteindre les normes de programmation définies ci-dessus tant dans le bâtiment principal que dans l'implantation.</w:t>
                  </w:r>
                </w:p>
                <w:p w:rsidR="00F04EEF" w:rsidRDefault="0099351E">
                  <w:pPr>
                    <w:jc w:val="both"/>
                  </w:pPr>
                  <w:r>
                    <w:t>Si une école n'organise la nouvelle forme que  dans un seul lieu d'implantation (bâtiment principal ou implantation), c'est ce lieu d'implantation, seul, qui devra répondre aux normes de programmation.</w:t>
                  </w:r>
                </w:p>
                <w:p w:rsidR="00F04EEF" w:rsidRDefault="00F04EEF">
                  <w:pPr>
                    <w:jc w:val="both"/>
                  </w:pPr>
                </w:p>
                <w:p w:rsidR="00F04EEF" w:rsidRDefault="0099351E">
                  <w:pPr>
                    <w:jc w:val="both"/>
                  </w:pPr>
                  <w:r>
                    <w:t>Dès la 3</w:t>
                  </w:r>
                  <w:r>
                    <w:rPr>
                      <w:vertAlign w:val="superscript"/>
                    </w:rPr>
                    <w:t>ème</w:t>
                  </w:r>
                  <w:r>
                    <w:t xml:space="preserve">  année, les règles de rationalisation sont exclusivement applicables.</w:t>
                  </w:r>
                </w:p>
                <w:p w:rsidR="00F04EEF" w:rsidRDefault="00F04EEF">
                  <w:pPr>
                    <w:jc w:val="both"/>
                  </w:pPr>
                </w:p>
                <w:p w:rsidR="00F04EEF" w:rsidRDefault="0099351E">
                  <w:pPr>
                    <w:pStyle w:val="Titre4"/>
                  </w:pPr>
                  <w:bookmarkStart w:id="1748" w:name="_6.6._Création_d'une"/>
                  <w:bookmarkStart w:id="1749" w:name="_Toc291075287"/>
                  <w:bookmarkStart w:id="1750" w:name="_Toc291075711"/>
                  <w:bookmarkStart w:id="1751" w:name="_Toc291076135"/>
                  <w:bookmarkStart w:id="1752" w:name="_Toc291076559"/>
                  <w:bookmarkStart w:id="1753" w:name="_Toc291076983"/>
                  <w:bookmarkStart w:id="1754" w:name="_Toc293651826"/>
                  <w:bookmarkStart w:id="1755" w:name="_Toc293653409"/>
                  <w:bookmarkStart w:id="1756" w:name="_Toc293654020"/>
                  <w:bookmarkStart w:id="1757" w:name="_Toc294004598"/>
                  <w:bookmarkStart w:id="1758" w:name="_Toc294185094"/>
                  <w:bookmarkStart w:id="1759" w:name="_Toc324165909"/>
                  <w:bookmarkStart w:id="1760" w:name="_Toc324766946"/>
                  <w:bookmarkStart w:id="1761" w:name="_Toc324767804"/>
                  <w:bookmarkStart w:id="1762" w:name="_Toc453314304"/>
                  <w:bookmarkStart w:id="1763" w:name="_Toc454980339"/>
                  <w:bookmarkEnd w:id="1748"/>
                  <w:r>
                    <w:t>4.6. Création d'une nouvelle forme dans une école existante afin d'assurer le libre choix des parents. (Article 211 § 2)</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rsidR="00F04EEF" w:rsidRDefault="00F04EEF">
                  <w:pPr>
                    <w:jc w:val="both"/>
                  </w:pPr>
                </w:p>
                <w:p w:rsidR="00F04EEF" w:rsidRDefault="0099351E">
                  <w:pPr>
                    <w:jc w:val="both"/>
                  </w:pPr>
                  <w:r>
                    <w:t>En vue d'assurer le libre choix des parents, l'article 211 § 2 permet de créer une nouvelle forme d'enseignement spécialisé dans une école existante par province et par réseau.</w:t>
                  </w:r>
                </w:p>
                <w:p w:rsidR="00F04EEF" w:rsidRDefault="00F04EEF">
                  <w:pPr>
                    <w:jc w:val="both"/>
                  </w:pPr>
                </w:p>
                <w:p w:rsidR="00F04EEF" w:rsidRDefault="0099351E">
                  <w:pPr>
                    <w:rPr>
                      <w:u w:val="single"/>
                    </w:rPr>
                  </w:pPr>
                  <w:r>
                    <w:rPr>
                      <w:u w:val="single"/>
                    </w:rPr>
                    <w:br w:type="page"/>
                  </w:r>
                </w:p>
                <w:p w:rsidR="00F04EEF" w:rsidRDefault="0099351E">
                  <w:pPr>
                    <w:jc w:val="both"/>
                    <w:rPr>
                      <w:u w:val="single"/>
                    </w:rPr>
                  </w:pPr>
                  <w:r>
                    <w:rPr>
                      <w:u w:val="single"/>
                    </w:rPr>
                    <w:t>3 conditions doivent être remplies :</w:t>
                  </w:r>
                </w:p>
                <w:p w:rsidR="00F04EEF" w:rsidRDefault="00F04EEF">
                  <w:pPr>
                    <w:jc w:val="both"/>
                    <w:rPr>
                      <w:u w:val="single"/>
                    </w:rPr>
                  </w:pPr>
                </w:p>
                <w:p w:rsidR="00F04EEF" w:rsidRDefault="0099351E">
                  <w:pPr>
                    <w:pStyle w:val="Paragraphedeliste"/>
                    <w:numPr>
                      <w:ilvl w:val="0"/>
                      <w:numId w:val="235"/>
                    </w:numPr>
                    <w:ind w:hanging="425"/>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sz w:val="22"/>
                      <w:szCs w:val="22"/>
                      <w:u w:val="single"/>
                    </w:rPr>
                    <w:t>forme nouvelle</w:t>
                  </w:r>
                  <w:r>
                    <w:rPr>
                      <w:rFonts w:asciiTheme="majorHAnsi" w:hAnsiTheme="majorHAnsi"/>
                      <w:sz w:val="22"/>
                      <w:szCs w:val="22"/>
                    </w:rPr>
                    <w:t xml:space="preserve"> ne peut déjà être organisée dans ce réseau et dans cette province ;</w:t>
                  </w:r>
                </w:p>
                <w:p w:rsidR="00F04EEF" w:rsidRDefault="0099351E">
                  <w:pPr>
                    <w:pStyle w:val="Paragraphedeliste"/>
                    <w:numPr>
                      <w:ilvl w:val="0"/>
                      <w:numId w:val="235"/>
                    </w:numPr>
                    <w:ind w:hanging="425"/>
                    <w:jc w:val="both"/>
                    <w:rPr>
                      <w:rFonts w:asciiTheme="majorHAnsi" w:hAnsiTheme="majorHAnsi"/>
                      <w:sz w:val="22"/>
                      <w:szCs w:val="22"/>
                    </w:rPr>
                  </w:pPr>
                  <w:r>
                    <w:rPr>
                      <w:rFonts w:asciiTheme="majorHAnsi" w:hAnsiTheme="majorHAnsi"/>
                      <w:sz w:val="22"/>
                      <w:szCs w:val="22"/>
                    </w:rPr>
                    <w:t xml:space="preserve">durant l'année scolaire précédente, la </w:t>
                  </w:r>
                  <w:r>
                    <w:rPr>
                      <w:rFonts w:asciiTheme="majorHAnsi" w:hAnsiTheme="majorHAnsi"/>
                      <w:sz w:val="22"/>
                      <w:szCs w:val="22"/>
                      <w:u w:val="single"/>
                    </w:rPr>
                    <w:t>population de l'école</w:t>
                  </w:r>
                  <w:r>
                    <w:rPr>
                      <w:rFonts w:asciiTheme="majorHAnsi" w:hAnsiTheme="majorHAnsi"/>
                      <w:sz w:val="22"/>
                      <w:szCs w:val="22"/>
                    </w:rPr>
                    <w:t xml:space="preserve"> doit atteindre la somme des normes de rationalisation prévues à l'article 200 ou 201 pour les formes qu'elle organise déjà ;</w:t>
                  </w:r>
                </w:p>
                <w:p w:rsidR="00F04EEF" w:rsidRDefault="0099351E">
                  <w:pPr>
                    <w:pStyle w:val="Paragraphedeliste"/>
                    <w:numPr>
                      <w:ilvl w:val="0"/>
                      <w:numId w:val="235"/>
                    </w:numPr>
                    <w:ind w:hanging="425"/>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sz w:val="22"/>
                      <w:szCs w:val="22"/>
                      <w:u w:val="single"/>
                    </w:rPr>
                    <w:t>forme nouvelle</w:t>
                  </w:r>
                  <w:r>
                    <w:rPr>
                      <w:rFonts w:asciiTheme="majorHAnsi" w:hAnsiTheme="majorHAnsi"/>
                      <w:sz w:val="22"/>
                      <w:szCs w:val="22"/>
                    </w:rPr>
                    <w:t xml:space="preserve"> doit atteindre pendant deux années scolaires consécutives la norme de rationalisation prévue à l'article 200 ou 201.</w:t>
                  </w:r>
                </w:p>
                <w:p w:rsidR="00F04EEF" w:rsidRDefault="00F04EEF">
                  <w:pPr>
                    <w:jc w:val="both"/>
                  </w:pPr>
                </w:p>
                <w:p w:rsidR="00F04EEF" w:rsidRDefault="0099351E">
                  <w:pPr>
                    <w:jc w:val="both"/>
                  </w:pPr>
                  <w:r>
                    <w:t>Si l'école qui souhaite se prévaloir de cette disposition, possède une implantation à 2 km ou plus du bâtiment principal et qu'elle entend organiser la nouvelle forme et dans le bâtiment principal et dans l'implantation, elle devra atteindre les normes de programmation définies ci-dessus tant dans le bâtiment principal que dans l'implantation.</w:t>
                  </w:r>
                </w:p>
                <w:p w:rsidR="00F04EEF" w:rsidRDefault="00F04EEF">
                  <w:pPr>
                    <w:jc w:val="both"/>
                  </w:pPr>
                </w:p>
                <w:p w:rsidR="00F04EEF" w:rsidRDefault="0099351E">
                  <w:pPr>
                    <w:jc w:val="both"/>
                  </w:pPr>
                  <w:r>
                    <w:t>Si cette école n'organise la nouvelle forme que dans un seul lieu d'implantation (bâtiment principal ou implantation), c'est ce lieu d'implantation, seul, qui devra répondre aux normes de programmation.</w:t>
                  </w:r>
                </w:p>
                <w:p w:rsidR="00F04EEF" w:rsidRDefault="00F04EEF">
                  <w:pPr>
                    <w:jc w:val="both"/>
                  </w:pPr>
                </w:p>
                <w:p w:rsidR="00F04EEF" w:rsidRDefault="0099351E">
                  <w:pPr>
                    <w:jc w:val="both"/>
                  </w:pPr>
                  <w:r>
                    <w:t>A partir de la 3ème année, les règles de rationalisation sont exclusivement applicables.</w:t>
                  </w:r>
                </w:p>
                <w:p w:rsidR="00F04EEF" w:rsidRDefault="00F04EEF">
                  <w:pPr>
                    <w:jc w:val="both"/>
                  </w:pPr>
                </w:p>
                <w:p w:rsidR="00F04EEF" w:rsidRDefault="0099351E">
                  <w:pPr>
                    <w:jc w:val="both"/>
                  </w:pPr>
                  <w:r>
                    <w:t xml:space="preserve">Par dérogation aux normes de programmation le Gouvernement peut autoriser l’organisation de nouvelles  formes, sur avis favorable motivé du Conseil Général pour l’Enseignement Secondaire, par réseau et </w:t>
                  </w:r>
                  <w:r>
                    <w:rPr>
                      <w:u w:val="single"/>
                    </w:rPr>
                    <w:t>par zone</w:t>
                  </w:r>
                  <w:r>
                    <w:t>.</w:t>
                  </w:r>
                </w:p>
                <w:p w:rsidR="00F04EEF" w:rsidRDefault="00F04EEF">
                  <w:pPr>
                    <w:jc w:val="both"/>
                  </w:pPr>
                </w:p>
                <w:p w:rsidR="00F04EEF" w:rsidRDefault="0099351E">
                  <w:pPr>
                    <w:pStyle w:val="Titre4"/>
                  </w:pPr>
                  <w:bookmarkStart w:id="1764" w:name="_6.7._Création_d'un"/>
                  <w:bookmarkStart w:id="1765" w:name="_Toc291075288"/>
                  <w:bookmarkStart w:id="1766" w:name="_Toc291075712"/>
                  <w:bookmarkStart w:id="1767" w:name="_Toc291076136"/>
                  <w:bookmarkStart w:id="1768" w:name="_Toc291076560"/>
                  <w:bookmarkStart w:id="1769" w:name="_Toc291076984"/>
                  <w:bookmarkStart w:id="1770" w:name="_Toc293651827"/>
                  <w:bookmarkStart w:id="1771" w:name="_Toc293653410"/>
                  <w:bookmarkStart w:id="1772" w:name="_Toc293654021"/>
                  <w:bookmarkStart w:id="1773" w:name="_Toc294004599"/>
                  <w:bookmarkStart w:id="1774" w:name="_Toc294185095"/>
                  <w:bookmarkStart w:id="1775" w:name="_Toc324165910"/>
                  <w:bookmarkStart w:id="1776" w:name="_Toc324766947"/>
                  <w:bookmarkStart w:id="1777" w:name="_Toc324767805"/>
                  <w:bookmarkStart w:id="1778" w:name="_Toc453314305"/>
                  <w:bookmarkStart w:id="1779" w:name="_Toc454980340"/>
                  <w:bookmarkEnd w:id="1764"/>
                  <w:r>
                    <w:t>4.7. Création d'un nouveau secteur dans la forme 3 d'une école existante. (Article 211 §3)</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F04EEF" w:rsidRDefault="00F04EEF">
                  <w:pPr>
                    <w:tabs>
                      <w:tab w:val="left" w:pos="1134"/>
                    </w:tabs>
                    <w:ind w:hanging="962"/>
                    <w:jc w:val="both"/>
                    <w:rPr>
                      <w:u w:val="single"/>
                    </w:rPr>
                  </w:pPr>
                </w:p>
                <w:p w:rsidR="00F04EEF" w:rsidRDefault="0099351E">
                  <w:pPr>
                    <w:jc w:val="both"/>
                  </w:pPr>
                  <w:r>
                    <w:t>L'article 211 § 3 fixe les normes pour la création d'un nouveau secteur dans la forme 3 d'une école existante répondant à la norme de rationalisation :</w:t>
                  </w:r>
                </w:p>
                <w:p w:rsidR="00F04EEF" w:rsidRDefault="00F04EEF">
                  <w:pPr>
                    <w:jc w:val="both"/>
                  </w:pPr>
                </w:p>
                <w:p w:rsidR="00F04EEF" w:rsidRDefault="0099351E">
                  <w:pPr>
                    <w:numPr>
                      <w:ilvl w:val="0"/>
                      <w:numId w:val="10"/>
                    </w:numPr>
                    <w:tabs>
                      <w:tab w:val="clear" w:pos="360"/>
                    </w:tabs>
                    <w:suppressAutoHyphens/>
                    <w:jc w:val="both"/>
                  </w:pPr>
                  <w:r>
                    <w:t>60 élèves pour créer un 2ème secteur ;</w:t>
                  </w:r>
                </w:p>
                <w:p w:rsidR="00F04EEF" w:rsidRDefault="0099351E">
                  <w:pPr>
                    <w:numPr>
                      <w:ilvl w:val="0"/>
                      <w:numId w:val="10"/>
                    </w:numPr>
                    <w:tabs>
                      <w:tab w:val="clear" w:pos="360"/>
                    </w:tabs>
                    <w:suppressAutoHyphens/>
                    <w:jc w:val="both"/>
                  </w:pPr>
                  <w:r>
                    <w:t>90 élèves pour créer un 3ème secteur ;</w:t>
                  </w:r>
                </w:p>
                <w:p w:rsidR="00F04EEF" w:rsidRDefault="0099351E">
                  <w:pPr>
                    <w:numPr>
                      <w:ilvl w:val="0"/>
                      <w:numId w:val="10"/>
                    </w:numPr>
                    <w:tabs>
                      <w:tab w:val="clear" w:pos="360"/>
                    </w:tabs>
                    <w:suppressAutoHyphens/>
                    <w:jc w:val="both"/>
                  </w:pPr>
                  <w:r>
                    <w:t>140 élèves pour créer un 4ème secteur ;</w:t>
                  </w:r>
                </w:p>
                <w:p w:rsidR="00F04EEF" w:rsidRDefault="0099351E">
                  <w:pPr>
                    <w:numPr>
                      <w:ilvl w:val="0"/>
                      <w:numId w:val="10"/>
                    </w:numPr>
                    <w:tabs>
                      <w:tab w:val="clear" w:pos="360"/>
                    </w:tabs>
                    <w:suppressAutoHyphens/>
                    <w:jc w:val="both"/>
                  </w:pPr>
                  <w:r>
                    <w:t>190 élèves pour créer un 5ème secteur ;</w:t>
                  </w:r>
                </w:p>
                <w:p w:rsidR="00F04EEF" w:rsidRDefault="0099351E">
                  <w:pPr>
                    <w:numPr>
                      <w:ilvl w:val="0"/>
                      <w:numId w:val="10"/>
                    </w:numPr>
                    <w:tabs>
                      <w:tab w:val="clear" w:pos="360"/>
                    </w:tabs>
                    <w:suppressAutoHyphens/>
                    <w:jc w:val="both"/>
                  </w:pPr>
                  <w:r>
                    <w:t>240 élèves pour créer un 6ème secteur ;</w:t>
                  </w:r>
                </w:p>
                <w:p w:rsidR="00F04EEF" w:rsidRDefault="0099351E">
                  <w:pPr>
                    <w:numPr>
                      <w:ilvl w:val="0"/>
                      <w:numId w:val="10"/>
                    </w:numPr>
                    <w:tabs>
                      <w:tab w:val="clear" w:pos="360"/>
                    </w:tabs>
                    <w:suppressAutoHyphens/>
                    <w:jc w:val="both"/>
                  </w:pPr>
                  <w:r>
                    <w:t>290 élèves pour créer un 7ème secteur ;</w:t>
                  </w:r>
                </w:p>
                <w:p w:rsidR="00F04EEF" w:rsidRDefault="0099351E">
                  <w:pPr>
                    <w:numPr>
                      <w:ilvl w:val="0"/>
                      <w:numId w:val="10"/>
                    </w:numPr>
                    <w:tabs>
                      <w:tab w:val="clear" w:pos="360"/>
                    </w:tabs>
                    <w:suppressAutoHyphens/>
                    <w:jc w:val="both"/>
                  </w:pPr>
                  <w:r>
                    <w:t>340 élèves pour créer un 8ème secteur.</w:t>
                  </w:r>
                </w:p>
                <w:p w:rsidR="00F04EEF" w:rsidRDefault="00F04EEF">
                  <w:pPr>
                    <w:jc w:val="both"/>
                  </w:pPr>
                </w:p>
                <w:p w:rsidR="00F04EEF" w:rsidRDefault="0099351E">
                  <w:pPr>
                    <w:jc w:val="both"/>
                  </w:pPr>
                  <w:r>
                    <w:t>Chaque nouveau secteur doit atteindre la norme qui lui est applicable pendant 2 années scolaires consécutives.</w:t>
                  </w:r>
                </w:p>
                <w:p w:rsidR="00F04EEF" w:rsidRDefault="00F04EEF">
                  <w:pPr>
                    <w:jc w:val="both"/>
                  </w:pPr>
                </w:p>
                <w:p w:rsidR="00F04EEF" w:rsidRDefault="0099351E">
                  <w:pPr>
                    <w:jc w:val="both"/>
                  </w:pPr>
                  <w:r>
                    <w:t>Pendant la période de programmation, un secteur ne peut être transformé en un autre secteur.</w:t>
                  </w:r>
                </w:p>
                <w:p w:rsidR="00F04EEF" w:rsidRDefault="00F04EEF">
                  <w:pPr>
                    <w:jc w:val="both"/>
                  </w:pPr>
                </w:p>
                <w:p w:rsidR="00F04EEF" w:rsidRDefault="0099351E">
                  <w:pPr>
                    <w:jc w:val="both"/>
                  </w:pPr>
                  <w:r>
                    <w:t xml:space="preserve">Si une école possède une implantation à 2 km ou plus du bâtiment principal et qu'elle entend créer un nouveau secteur et dans le bâtiment principal et dans cette implantation, elle devra atteindre les normes de programmation définies ci-dessus </w:t>
                  </w:r>
                  <w:r>
                    <w:rPr>
                      <w:bCs/>
                      <w:u w:val="single"/>
                    </w:rPr>
                    <w:t>tant</w:t>
                  </w:r>
                  <w:r>
                    <w:rPr>
                      <w:bCs/>
                    </w:rPr>
                    <w:t xml:space="preserve"> dans le bâtiment principal </w:t>
                  </w:r>
                  <w:r>
                    <w:rPr>
                      <w:bCs/>
                      <w:u w:val="single"/>
                    </w:rPr>
                    <w:t>que</w:t>
                  </w:r>
                  <w:r>
                    <w:rPr>
                      <w:bCs/>
                    </w:rPr>
                    <w:t xml:space="preserve"> dans l'implantation</w:t>
                  </w:r>
                  <w:r>
                    <w:t>.</w:t>
                  </w:r>
                </w:p>
                <w:p w:rsidR="00F04EEF" w:rsidRDefault="00F04EEF">
                  <w:pPr>
                    <w:jc w:val="both"/>
                  </w:pPr>
                </w:p>
                <w:p w:rsidR="00F04EEF" w:rsidRDefault="0099351E">
                  <w:pPr>
                    <w:jc w:val="both"/>
                  </w:pPr>
                  <w:r>
                    <w:t xml:space="preserve">Si cette école n'organise le nouveau secteur que dans un seul lieu d'implantation (bâtiment principal ou implantation), c'est </w:t>
                  </w:r>
                  <w:r>
                    <w:rPr>
                      <w:bCs/>
                    </w:rPr>
                    <w:t>ce lieu</w:t>
                  </w:r>
                  <w:r>
                    <w:t xml:space="preserve"> d'implantation, </w:t>
                  </w:r>
                  <w:r>
                    <w:rPr>
                      <w:bCs/>
                    </w:rPr>
                    <w:t>seul,</w:t>
                  </w:r>
                  <w:r>
                    <w:t xml:space="preserve"> qui devra répondre aux normes de programmation.</w:t>
                  </w:r>
                </w:p>
                <w:p w:rsidR="00F04EEF" w:rsidRDefault="00F04EEF">
                  <w:pPr>
                    <w:jc w:val="both"/>
                  </w:pPr>
                </w:p>
                <w:p w:rsidR="00F04EEF" w:rsidRDefault="0099351E">
                  <w:pPr>
                    <w:jc w:val="both"/>
                  </w:pPr>
                  <w:r>
                    <w:t>A partir de la 3</w:t>
                  </w:r>
                  <w:r>
                    <w:rPr>
                      <w:vertAlign w:val="superscript"/>
                    </w:rPr>
                    <w:t>ème</w:t>
                  </w:r>
                  <w:r>
                    <w:t xml:space="preserve"> année, les règles de rationalisation sont exclusivement applicables.</w:t>
                  </w:r>
                </w:p>
                <w:p w:rsidR="00F04EEF" w:rsidRDefault="00F04EEF">
                  <w:pPr>
                    <w:tabs>
                      <w:tab w:val="left" w:pos="1134"/>
                    </w:tabs>
                    <w:jc w:val="both"/>
                  </w:pPr>
                </w:p>
                <w:p w:rsidR="00F04EEF" w:rsidRDefault="0099351E">
                  <w:pPr>
                    <w:jc w:val="both"/>
                  </w:pPr>
                  <w:r>
                    <w:t xml:space="preserve">Néanmoins, par dérogation aux normes de programmation, le Gouvernement peut autoriser un établissement à créer un nouveau secteur professionnel qui n’atteint pas les normes minimales de création et ce, dans une zone où il est constaté une pénurie d’un métier, sur avis favorable motivé du Conseil Général pour l’Enseignement Secondaire. </w:t>
                  </w:r>
                </w:p>
                <w:p w:rsidR="00F04EEF" w:rsidRDefault="00F04EEF">
                  <w:pPr>
                    <w:ind w:firstLine="709"/>
                    <w:jc w:val="both"/>
                  </w:pPr>
                </w:p>
                <w:p w:rsidR="00F04EEF" w:rsidRDefault="0099351E">
                  <w:pPr>
                    <w:jc w:val="both"/>
                  </w:pPr>
                  <w:r>
                    <w:t xml:space="preserve">L’établissement est tenu de justifier d’un encadrement adéquat au niveau enseignant ainsi que d’une infrastructure adaptée. </w:t>
                  </w:r>
                </w:p>
                <w:p w:rsidR="00F04EEF" w:rsidRDefault="00F04EEF">
                  <w:pPr>
                    <w:jc w:val="both"/>
                  </w:pPr>
                </w:p>
                <w:p w:rsidR="00F04EEF" w:rsidRDefault="0099351E">
                  <w:pPr>
                    <w:jc w:val="both"/>
                  </w:pPr>
                  <w:r>
                    <w:t xml:space="preserve">Il doit également atteindre les normes de maintien en vigueur pour tous les secteurs professionnels y compris celui nouvellement créé et ce dès le 30 septembre de l’année scolaire en cours. </w:t>
                  </w:r>
                </w:p>
                <w:p w:rsidR="00F04EEF" w:rsidRDefault="00F04EEF">
                  <w:pPr>
                    <w:jc w:val="both"/>
                  </w:pPr>
                </w:p>
                <w:p w:rsidR="00F04EEF" w:rsidRDefault="0099351E">
                  <w:pPr>
                    <w:jc w:val="both"/>
                  </w:pPr>
                  <w:r>
                    <w:t>En cas de non-respect de cette norme le nouveau secteur sera fermé à la même date.</w:t>
                  </w:r>
                </w:p>
                <w:p w:rsidR="00F04EEF" w:rsidRDefault="00F04EEF">
                  <w:pPr>
                    <w:jc w:val="both"/>
                  </w:pPr>
                </w:p>
                <w:p w:rsidR="00F04EEF" w:rsidRDefault="0099351E">
                  <w:pPr>
                    <w:pStyle w:val="Titre4"/>
                  </w:pPr>
                  <w:bookmarkStart w:id="1780" w:name="_Toc291075289"/>
                  <w:bookmarkStart w:id="1781" w:name="_Toc291075713"/>
                  <w:bookmarkStart w:id="1782" w:name="_Toc291076137"/>
                  <w:bookmarkStart w:id="1783" w:name="_Toc291076561"/>
                  <w:bookmarkStart w:id="1784" w:name="_Toc291076985"/>
                  <w:bookmarkStart w:id="1785" w:name="_Toc293651828"/>
                  <w:bookmarkStart w:id="1786" w:name="_Toc293653411"/>
                  <w:bookmarkStart w:id="1787" w:name="_Toc293654022"/>
                  <w:bookmarkStart w:id="1788" w:name="_Toc294004600"/>
                  <w:bookmarkStart w:id="1789" w:name="_Toc294185096"/>
                  <w:bookmarkStart w:id="1790" w:name="_Toc324165911"/>
                  <w:bookmarkStart w:id="1791" w:name="_Toc324766948"/>
                  <w:bookmarkStart w:id="1792" w:name="_Toc324767806"/>
                  <w:bookmarkStart w:id="1793" w:name="_Toc453314306"/>
                  <w:bookmarkStart w:id="1794" w:name="_Toc454980341"/>
                  <w:r>
                    <w:t>4.8. Exemption de l'année de probation dans l'enseignement secondaire subventionné. (Article 212)</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rsidR="00F04EEF" w:rsidRDefault="00F04EEF"/>
                <w:p w:rsidR="00F04EEF" w:rsidRDefault="0099351E">
                  <w:pPr>
                    <w:jc w:val="both"/>
                  </w:pPr>
                  <w:r>
                    <w:t>La condition d'un an de fonctionnement n'est pas requise pour l'admission aux subventions des nouvelles écoles, implantations, formes d'enseignement et secteurs qui satisfont aux normes de programmation.</w:t>
                  </w:r>
                </w:p>
                <w:p w:rsidR="00F04EEF" w:rsidRDefault="00F04EEF">
                  <w:pPr>
                    <w:jc w:val="both"/>
                  </w:pPr>
                </w:p>
                <w:p w:rsidR="00F04EEF" w:rsidRDefault="00F04EEF">
                  <w:pPr>
                    <w:jc w:val="both"/>
                  </w:pPr>
                </w:p>
                <w:p w:rsidR="00F04EEF" w:rsidRDefault="0099351E">
                  <w:pPr>
                    <w:pStyle w:val="Titre3"/>
                    <w:rPr>
                      <w:sz w:val="22"/>
                      <w:szCs w:val="22"/>
                    </w:rPr>
                  </w:pPr>
                  <w:bookmarkStart w:id="1795" w:name="__RefHeading__143_957262308"/>
                  <w:bookmarkStart w:id="1796" w:name="_7._Régime_particulier"/>
                  <w:bookmarkStart w:id="1797" w:name="_Toc291075290"/>
                  <w:bookmarkStart w:id="1798" w:name="_Toc291075714"/>
                  <w:bookmarkStart w:id="1799" w:name="_Toc291076138"/>
                  <w:bookmarkStart w:id="1800" w:name="_Toc291076562"/>
                  <w:bookmarkStart w:id="1801" w:name="_Toc291076986"/>
                  <w:bookmarkStart w:id="1802" w:name="_Toc293651829"/>
                  <w:bookmarkStart w:id="1803" w:name="_Toc293653412"/>
                  <w:bookmarkStart w:id="1804" w:name="_Toc293654023"/>
                  <w:bookmarkStart w:id="1805" w:name="_Toc294004601"/>
                  <w:bookmarkStart w:id="1806" w:name="_Toc294185097"/>
                  <w:bookmarkStart w:id="1807" w:name="_Toc324165912"/>
                  <w:bookmarkStart w:id="1808" w:name="_Toc324766949"/>
                  <w:bookmarkStart w:id="1809" w:name="_Toc453314307"/>
                  <w:bookmarkStart w:id="1810" w:name="_Toc454980342"/>
                  <w:bookmarkStart w:id="1811" w:name="_Toc47708486"/>
                  <w:bookmarkEnd w:id="1795"/>
                  <w:bookmarkEnd w:id="1796"/>
                  <w:r>
                    <w:rPr>
                      <w:sz w:val="22"/>
                      <w:szCs w:val="22"/>
                    </w:rPr>
                    <w:t>5. Régime particulier en faveur des membres du personnel mis en disponibilité par défaut d’emploi par application du plan de rationalisation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r>
                    <w:rPr>
                      <w:sz w:val="22"/>
                      <w:szCs w:val="22"/>
                    </w:rPr>
                    <w:t xml:space="preserv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Les membres du personnel mis en disponibilité par défaut d'emploi par suite de l'application d’un plan de rationalisation bénéficient d'un régime particulier : pendant 3 ans, ils ont droit à un traitement d'attente ou à une subvention-traitement d'attente égale au traitement ou à la subvention-traitement qui leur aurait été dû s'ils étaient restés en activité de service.</w:t>
                  </w:r>
                </w:p>
                <w:p w:rsidR="00F04EEF" w:rsidRDefault="00F04EEF">
                  <w:pPr>
                    <w:jc w:val="both"/>
                  </w:pPr>
                </w:p>
                <w:p w:rsidR="00F04EEF" w:rsidRDefault="0099351E">
                  <w:pPr>
                    <w:jc w:val="both"/>
                  </w:pPr>
                  <w:r>
                    <w:t>Ils restent, dans l'attente de leur réaffectation, à la disposition de leur pouvoir organisateur qui peut leur confier dans une de ses écoles et en tenant compte des dispositions statutaires dudit PO des tâches fixées ou approuvées par le Ministre ayant l'enseignement spécialisé dans ses attributions.</w:t>
                  </w:r>
                </w:p>
                <w:p w:rsidR="00F04EEF" w:rsidRDefault="00F04EEF">
                  <w:pPr>
                    <w:jc w:val="both"/>
                  </w:pPr>
                </w:p>
                <w:p w:rsidR="00F04EEF" w:rsidRDefault="0099351E">
                  <w:pPr>
                    <w:pStyle w:val="Titre3"/>
                    <w:rPr>
                      <w:sz w:val="22"/>
                      <w:szCs w:val="22"/>
                    </w:rPr>
                  </w:pPr>
                  <w:bookmarkStart w:id="1812" w:name="_8._Calcul_des"/>
                  <w:bookmarkStart w:id="1813" w:name="_6._Calcul_des"/>
                  <w:bookmarkStart w:id="1814" w:name="_Toc324165913"/>
                  <w:bookmarkStart w:id="1815" w:name="_Toc324766950"/>
                  <w:bookmarkStart w:id="1816" w:name="_Toc453314308"/>
                  <w:bookmarkStart w:id="1817" w:name="_Toc454980343"/>
                  <w:bookmarkStart w:id="1818" w:name="_Ref10453496"/>
                  <w:bookmarkStart w:id="1819" w:name="_Ref10453606"/>
                  <w:bookmarkStart w:id="1820" w:name="_Ref10453619"/>
                  <w:bookmarkStart w:id="1821" w:name="_Ref10453671"/>
                  <w:bookmarkStart w:id="1822" w:name="_Ref10453677"/>
                  <w:bookmarkStart w:id="1823" w:name="_Ref10453682"/>
                  <w:bookmarkStart w:id="1824" w:name="_Ref10453686"/>
                  <w:bookmarkStart w:id="1825" w:name="_Ref10453851"/>
                  <w:bookmarkStart w:id="1826" w:name="_Ref10453908"/>
                  <w:bookmarkStart w:id="1827" w:name="_Toc47708487"/>
                  <w:bookmarkEnd w:id="1812"/>
                  <w:bookmarkEnd w:id="1813"/>
                  <w:r>
                    <w:rPr>
                      <w:sz w:val="22"/>
                      <w:szCs w:val="22"/>
                    </w:rPr>
                    <w:t>6. Calcul des capitaux-périodes utilisables en cas de programmation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F04EEF" w:rsidRDefault="00F04EEF">
                  <w:pPr>
                    <w:jc w:val="both"/>
                  </w:pPr>
                </w:p>
                <w:p w:rsidR="00F04EEF" w:rsidRDefault="0099351E">
                  <w:pPr>
                    <w:jc w:val="both"/>
                  </w:pPr>
                  <w:r>
                    <w:t>Lors de la première année de programmation d’une implantation, d’un type d’enseignement, d’une forme  ou d’un secteur, le calcul des capitaux-périodes utilisables à partir du 1</w:t>
                  </w:r>
                  <w:r>
                    <w:rPr>
                      <w:vertAlign w:val="superscript"/>
                    </w:rPr>
                    <w:t>er</w:t>
                  </w:r>
                  <w:r>
                    <w:t xml:space="preserve"> septembre pour le personnel enseignant, paramédical, administratif et auxiliaire d’éducation est différent du calcul habituel (</w:t>
                  </w:r>
                  <w:hyperlink w:anchor="_chapitre_5_:" w:history="1">
                    <w:r>
                      <w:rPr>
                        <w:rStyle w:val="Lienhypertexte"/>
                        <w:rFonts w:cs="Arial"/>
                      </w:rPr>
                      <w:t>Chapitre 5</w:t>
                    </w:r>
                  </w:hyperlink>
                  <w:r>
                    <w:t xml:space="preserve"> à </w:t>
                  </w:r>
                  <w:hyperlink w:anchor="_Chapitre_7_:_1" w:history="1">
                    <w:r>
                      <w:rPr>
                        <w:rStyle w:val="Lienhypertexte"/>
                        <w:rFonts w:cs="Arial"/>
                      </w:rPr>
                      <w:t>Chapitre 7</w:t>
                    </w:r>
                  </w:hyperlink>
                  <w:r>
                    <w:t xml:space="preserve"> de la présente circulaire) </w:t>
                  </w:r>
                </w:p>
                <w:p w:rsidR="00F04EEF" w:rsidRDefault="00F04EEF">
                  <w:pPr>
                    <w:jc w:val="both"/>
                  </w:pPr>
                </w:p>
                <w:p w:rsidR="00F04EEF" w:rsidRDefault="0099351E">
                  <w:pPr>
                    <w:jc w:val="both"/>
                  </w:pPr>
                  <w:r>
                    <w:t xml:space="preserve">Le nombre d’élèves régulièrement inscrits au 30 septembre dans la programmation (implantation, type, forme ou secteur) est ajouté au comptage des élèves du 15 janvier de l’année scolaire précédente. </w:t>
                  </w:r>
                </w:p>
                <w:p w:rsidR="00F04EEF" w:rsidRDefault="0099351E">
                  <w:pPr>
                    <w:jc w:val="both"/>
                  </w:pPr>
                  <w:r>
                    <w:t xml:space="preserve">Ce mode de calcul ne concerne pas les élèves qui ont déjà été comptabilisés à la date du 15 janvier dans l’établissement dont dépend la programmation. </w:t>
                  </w:r>
                </w:p>
                <w:p w:rsidR="00F04EEF" w:rsidRDefault="0099351E">
                  <w:pPr>
                    <w:jc w:val="both"/>
                  </w:pPr>
                  <w:r>
                    <w:t>Ce nouveau total est utilisé pour déterminer l’encadrement de l’établissement à partir du 1</w:t>
                  </w:r>
                  <w:r>
                    <w:rPr>
                      <w:vertAlign w:val="superscript"/>
                    </w:rPr>
                    <w:t>er</w:t>
                  </w:r>
                  <w:r>
                    <w:t xml:space="preserve"> septembre et sert de référence lors du contrôle de la variation de la population scolaire du 30 septembre (variation des 5%).</w:t>
                  </w:r>
                </w:p>
                <w:p w:rsidR="00F04EEF" w:rsidRDefault="00F04EEF">
                  <w:pPr>
                    <w:jc w:val="both"/>
                  </w:pPr>
                </w:p>
                <w:p w:rsidR="00F04EEF" w:rsidRDefault="0099351E">
                  <w:pPr>
                    <w:jc w:val="both"/>
                  </w:pPr>
                  <w:r>
                    <w:t>Cette mesure vaut uniquement pour l’année de programmation.</w:t>
                  </w:r>
                </w:p>
                <w:p w:rsidR="00F04EEF" w:rsidRDefault="00F04EEF">
                  <w:pPr>
                    <w:jc w:val="both"/>
                  </w:pPr>
                </w:p>
                <w:p w:rsidR="00F04EEF" w:rsidRDefault="0099351E">
                  <w:pPr>
                    <w:jc w:val="both"/>
                  </w:pPr>
                  <w:r>
                    <w:t>Pour l’</w:t>
                  </w:r>
                  <w:r>
                    <w:rPr>
                      <w:b/>
                    </w:rPr>
                    <w:t>enseignement de type 5</w:t>
                  </w:r>
                  <w:r>
                    <w:t xml:space="preserve">, la moyenne des présences des élèves de la nouvelle implantation durant les 30 premiers jours à compter du début de l’année scolaire est ajoutée au comptage des élèves. </w:t>
                  </w:r>
                </w:p>
                <w:p w:rsidR="00F04EEF" w:rsidRDefault="00F04EEF">
                  <w:pPr>
                    <w:jc w:val="both"/>
                  </w:pPr>
                </w:p>
                <w:p w:rsidR="00F04EEF" w:rsidRDefault="0099351E">
                  <w:pPr>
                    <w:jc w:val="both"/>
                    <w:rPr>
                      <w:b/>
                      <w:u w:val="single"/>
                    </w:rPr>
                  </w:pPr>
                  <w:r>
                    <w:rPr>
                      <w:b/>
                      <w:u w:val="single"/>
                    </w:rPr>
                    <w:t>Exemple :</w:t>
                  </w:r>
                </w:p>
                <w:p w:rsidR="00F04EEF" w:rsidRDefault="00F04EEF">
                  <w:pPr>
                    <w:jc w:val="both"/>
                    <w:rPr>
                      <w:b/>
                    </w:rPr>
                  </w:pPr>
                </w:p>
                <w:p w:rsidR="00F04EEF" w:rsidRDefault="0099351E">
                  <w:pPr>
                    <w:jc w:val="both"/>
                  </w:pPr>
                  <w:r>
                    <w:t>Une école composée d’un seul bâtiment compte 150 élèves au 15 janvier. A cause d’un manque de locaux, elle décide d’ouvrir une nouvelle implantation l’année scolaire suivante dans laquelle elle compte transférer 50 de ses 150 élèves comptabilisés au 15 janvier.</w:t>
                  </w:r>
                </w:p>
                <w:p w:rsidR="00F04EEF" w:rsidRDefault="00F04EEF">
                  <w:pPr>
                    <w:jc w:val="both"/>
                  </w:pPr>
                </w:p>
                <w:p w:rsidR="00F04EEF" w:rsidRDefault="0099351E">
                  <w:pPr>
                    <w:jc w:val="both"/>
                  </w:pPr>
                  <w:r>
                    <w:t>Au 30 septembre, elle accueille dans sa nouvelle implantation un total de 70 élèves, dont 50 qui étaient déjà inscrits dans l’école au 15 janvier et 20 qui sont de nouvelles inscriptions.</w:t>
                  </w:r>
                </w:p>
                <w:p w:rsidR="00F04EEF" w:rsidRDefault="00F04EEF">
                  <w:pPr>
                    <w:jc w:val="both"/>
                  </w:pPr>
                </w:p>
                <w:p w:rsidR="00F04EEF" w:rsidRDefault="0099351E">
                  <w:pPr>
                    <w:jc w:val="both"/>
                  </w:pPr>
                  <w:r>
                    <w:t>L’encadrement dont dispose cet établissement au 1</w:t>
                  </w:r>
                  <w:r>
                    <w:rPr>
                      <w:vertAlign w:val="superscript"/>
                    </w:rPr>
                    <w:t>er</w:t>
                  </w:r>
                  <w:r>
                    <w:t xml:space="preserve"> septembre est calculé sur base de la population suivante :</w:t>
                  </w:r>
                </w:p>
                <w:p w:rsidR="00F04EEF" w:rsidRDefault="00F04EEF">
                  <w:pPr>
                    <w:jc w:val="both"/>
                  </w:pPr>
                </w:p>
                <w:p w:rsidR="00F04EEF" w:rsidRDefault="0099351E">
                  <w:pPr>
                    <w:jc w:val="center"/>
                  </w:pPr>
                  <w:r>
                    <w:rPr>
                      <w:b/>
                    </w:rPr>
                    <w:t>150</w:t>
                  </w:r>
                  <w:r>
                    <w:t xml:space="preserve"> (Comptage du 15 janvier) + </w:t>
                  </w:r>
                  <w:r>
                    <w:rPr>
                      <w:b/>
                    </w:rPr>
                    <w:t>70</w:t>
                  </w:r>
                  <w:r>
                    <w:t xml:space="preserve"> (Comptage dans la programmation, c'est-à-dire l’implantation) </w:t>
                  </w:r>
                  <w:r>
                    <w:rPr>
                      <w:b/>
                    </w:rPr>
                    <w:t>– 50</w:t>
                  </w:r>
                  <w:r>
                    <w:t xml:space="preserve"> (Elèves présents dans l’implantation qui étaient déjà comptabilisés au comptage du 15 janvier) = </w:t>
                  </w:r>
                  <w:r>
                    <w:rPr>
                      <w:b/>
                    </w:rPr>
                    <w:t>170 élèves</w:t>
                  </w:r>
                  <w:r>
                    <w:t>.</w:t>
                  </w:r>
                </w:p>
                <w:p w:rsidR="00F04EEF" w:rsidRDefault="00F04EEF">
                  <w:pPr>
                    <w:jc w:val="center"/>
                  </w:pPr>
                </w:p>
                <w:p w:rsidR="00F04EEF" w:rsidRDefault="0099351E">
                  <w:pPr>
                    <w:jc w:val="both"/>
                  </w:pPr>
                  <w:r>
                    <w:t>C’est également cette base qui servira à la comparaison pour le recalcul au 1</w:t>
                  </w:r>
                  <w:r>
                    <w:rPr>
                      <w:vertAlign w:val="superscript"/>
                    </w:rPr>
                    <w:t>er</w:t>
                  </w:r>
                  <w:r>
                    <w:t xml:space="preserve"> octobre</w:t>
                  </w:r>
                </w:p>
                <w:tbl>
                  <w:tblPr>
                    <w:tblpPr w:leftFromText="180" w:rightFromText="180" w:vertAnchor="text" w:horzAnchor="margin" w:tblpY="1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8"/>
                    <w:gridCol w:w="4529"/>
                  </w:tblGrid>
                  <w:tr w:rsidR="00F04EEF">
                    <w:trPr>
                      <w:trHeight w:val="162"/>
                    </w:trPr>
                    <w:tc>
                      <w:tcPr>
                        <w:tcW w:w="4778" w:type="dxa"/>
                      </w:tcPr>
                      <w:p w:rsidR="00F04EEF" w:rsidRDefault="0099351E">
                        <w:pPr>
                          <w:jc w:val="center"/>
                          <w:rPr>
                            <w:b/>
                            <w:color w:val="333399"/>
                            <w:lang w:val="en-US"/>
                          </w:rPr>
                        </w:pPr>
                        <w:r>
                          <w:rPr>
                            <w:b/>
                            <w:color w:val="333399"/>
                            <w:lang w:val="en-US"/>
                          </w:rPr>
                          <w:t>Situation au 15 janvier</w:t>
                        </w:r>
                      </w:p>
                    </w:tc>
                    <w:tc>
                      <w:tcPr>
                        <w:tcW w:w="4529" w:type="dxa"/>
                      </w:tcPr>
                      <w:p w:rsidR="00F04EEF" w:rsidRDefault="0099351E">
                        <w:pPr>
                          <w:jc w:val="center"/>
                          <w:rPr>
                            <w:b/>
                            <w:color w:val="008080"/>
                            <w:lang w:val="en-US"/>
                          </w:rPr>
                        </w:pPr>
                        <w:r>
                          <w:rPr>
                            <w:b/>
                            <w:color w:val="008080"/>
                            <w:lang w:val="en-US"/>
                          </w:rPr>
                          <w:t>Situation au 30 septembre</w:t>
                        </w:r>
                      </w:p>
                    </w:tc>
                  </w:tr>
                  <w:tr w:rsidR="00F04EEF">
                    <w:trPr>
                      <w:trHeight w:val="1476"/>
                    </w:trPr>
                    <w:tc>
                      <w:tcPr>
                        <w:tcW w:w="9307" w:type="dxa"/>
                        <w:gridSpan w:val="2"/>
                      </w:tcPr>
                      <w:p w:rsidR="00F04EEF" w:rsidRDefault="00F04EEF">
                        <w:pPr>
                          <w:rPr>
                            <w:lang w:val="en-US"/>
                          </w:rPr>
                        </w:pPr>
                      </w:p>
                      <w:p w:rsidR="00F04EEF" w:rsidRDefault="0099351E">
                        <w:pPr>
                          <w:rPr>
                            <w:lang w:val="en-US"/>
                          </w:rPr>
                        </w:pPr>
                        <w:r>
                          <w:rPr>
                            <w:noProof/>
                            <w:lang w:eastAsia="fr-BE"/>
                          </w:rPr>
                          <mc:AlternateContent>
                            <mc:Choice Requires="wpc">
                              <w:drawing>
                                <wp:anchor distT="0" distB="0" distL="114300" distR="114300" simplePos="0" relativeHeight="251715584" behindDoc="1" locked="0" layoutInCell="1" allowOverlap="1">
                                  <wp:simplePos x="0" y="0"/>
                                  <wp:positionH relativeFrom="column">
                                    <wp:posOffset>1052195</wp:posOffset>
                                  </wp:positionH>
                                  <wp:positionV relativeFrom="paragraph">
                                    <wp:posOffset>178435</wp:posOffset>
                                  </wp:positionV>
                                  <wp:extent cx="4772660" cy="1164590"/>
                                  <wp:effectExtent l="4445" t="0" r="4445" b="9525"/>
                                  <wp:wrapNone/>
                                  <wp:docPr id="4932" name="Zone de dessin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928" name="Line 28"/>
                                          <wps:cNvCnPr>
                                            <a:cxnSpLocks noChangeShapeType="1"/>
                                          </wps:cNvCnPr>
                                          <wps:spPr bwMode="auto">
                                            <a:xfrm flipV="1">
                                              <a:off x="381405" y="174213"/>
                                              <a:ext cx="2685534" cy="890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9" name="AutoShape 29"/>
                                          <wps:cNvSpPr>
                                            <a:spLocks noChangeArrowheads="1"/>
                                          </wps:cNvSpPr>
                                          <wps:spPr bwMode="auto">
                                            <a:xfrm>
                                              <a:off x="2313629" y="421633"/>
                                              <a:ext cx="567807" cy="476337"/>
                                            </a:xfrm>
                                            <a:prstGeom prst="upArrow">
                                              <a:avLst>
                                                <a:gd name="adj1" fmla="val 67861"/>
                                                <a:gd name="adj2" fmla="val 50000"/>
                                              </a:avLst>
                                            </a:prstGeom>
                                            <a:solidFill>
                                              <a:srgbClr val="4F81BD"/>
                                            </a:solidFill>
                                            <a:ln w="25400">
                                              <a:solidFill>
                                                <a:srgbClr val="243F60"/>
                                              </a:solidFill>
                                              <a:miter lim="800000"/>
                                              <a:headEnd/>
                                              <a:tailEnd/>
                                            </a:ln>
                                          </wps:spPr>
                                          <wps:txbx>
                                            <w:txbxContent>
                                              <w:p w:rsidR="00F04EEF" w:rsidRDefault="0099351E">
                                                <w:pPr>
                                                  <w:jc w:val="center"/>
                                                  <w:rPr>
                                                    <w:sz w:val="23"/>
                                                    <w:szCs w:val="23"/>
                                                  </w:rPr>
                                                </w:pPr>
                                                <w:r>
                                                  <w:rPr>
                                                    <w:sz w:val="23"/>
                                                    <w:szCs w:val="23"/>
                                                  </w:rPr>
                                                  <w:t>70</w:t>
                                                </w:r>
                                              </w:p>
                                            </w:txbxContent>
                                          </wps:txbx>
                                          <wps:bodyPr rot="0" vert="horz" wrap="square" lIns="91440" tIns="45720" rIns="91440" bIns="45720" anchor="ctr" anchorCtr="0" upright="1">
                                            <a:noAutofit/>
                                          </wps:bodyPr>
                                        </wps:wsp>
                                        <wps:wsp>
                                          <wps:cNvPr id="4930" name="Line 30"/>
                                          <wps:cNvCnPr>
                                            <a:cxnSpLocks noChangeShapeType="1"/>
                                          </wps:cNvCnPr>
                                          <wps:spPr bwMode="auto">
                                            <a:xfrm>
                                              <a:off x="495406" y="717255"/>
                                              <a:ext cx="170502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31" name="Line 31"/>
                                          <wps:cNvCnPr>
                                            <a:cxnSpLocks noChangeShapeType="1"/>
                                          </wps:cNvCnPr>
                                          <wps:spPr bwMode="auto">
                                            <a:xfrm flipV="1">
                                              <a:off x="2110427" y="945373"/>
                                              <a:ext cx="276303" cy="2192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Zone de dessin 26" o:spid="_x0000_s1043" editas="canvas" style="position:absolute;margin-left:82.85pt;margin-top:14.05pt;width:375.8pt;height:91.7pt;z-index:-251600896" coordsize="47726,1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4" type="#_x0000_t75" style="position:absolute;width:47726;height:11645;visibility:visible;mso-wrap-style:square">
                                    <v:fill o:detectmouseclick="t"/>
                                    <v:path o:connecttype="none"/>
                                  </v:shape>
                                  <v:line id="Line 28" o:spid="_x0000_s1045" style="position:absolute;flip:y;visibility:visible;mso-wrap-style:square" from="3814,1742" to="30669,1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4FxcYAAADdAAAADwAAAGRycy9kb3ducmV2LnhtbESPTWvCQBCG74X+h2WEXkLdVEvR6Cr9&#10;EgrSg7aHHofsmASzsyE71fTfOwehx+Gd95lnlushtOZEfWoiO3gY52CIy+gbrhx8f23uZ2CSIHts&#10;I5ODP0qwXt3eLLHw8cw7Ou2lMgrhVKCDWqQrrE1lTQHTOHbEmh1iH1B07CvrezwrPLR2kudPNmDD&#10;eqHGjl5rKo/736Aam09+m06zl2CzbE7vP7LNrTh3NxqeF2CEBvlfvrY/vIPH+UR19RtFgF1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OBcXGAAAA3QAAAA8AAAAAAAAA&#10;AAAAAAAAoQIAAGRycy9kb3ducmV2LnhtbFBLBQYAAAAABAAEAPkAAACUAwAAAAA=&#10;">
                                    <v:stroke endarrow="block"/>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9" o:spid="_x0000_s1046" type="#_x0000_t68" style="position:absolute;left:23136;top:4216;width:5678;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ST8YA&#10;AADdAAAADwAAAGRycy9kb3ducmV2LnhtbESPT2sCMRDF74LfIYzQm2aVsrhbs1KEgngRbfU8bqb7&#10;p5vJNom6fvumUOjx8eb93rzVejCduJHzjWUF81kCgri0uuFKwcf723QJwgdkjZ1lUvAgD+tiPFph&#10;ru2dD3Q7hkpECPscFdQh9LmUvqzJoJ/Znjh6n9YZDFG6SmqH9wg3nVwkSSoNNhwbauxpU1P5dbya&#10;+EbVnlp9cudsWHaU7rff6WW/U+ppMry+gAg0hP/jv/RWK3jOFhn8rokI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ST8YAAADdAAAADwAAAAAAAAAAAAAAAACYAgAAZHJz&#10;L2Rvd25yZXYueG1sUEsFBgAAAAAEAAQA9QAAAIsDAAAAAA==&#10;" adj="10800,3471" fillcolor="#4f81bd" strokecolor="#243f60" strokeweight="2pt">
                                    <v:textbox>
                                      <w:txbxContent>
                                        <w:p>
                                          <w:pPr>
                                            <w:jc w:val="center"/>
                                            <w:rPr>
                                              <w:sz w:val="23"/>
                                              <w:szCs w:val="23"/>
                                            </w:rPr>
                                          </w:pPr>
                                          <w:r>
                                            <w:rPr>
                                              <w:sz w:val="23"/>
                                              <w:szCs w:val="23"/>
                                            </w:rPr>
                                            <w:t>70</w:t>
                                          </w:r>
                                        </w:p>
                                      </w:txbxContent>
                                    </v:textbox>
                                  </v:shape>
                                  <v:line id="Line 30" o:spid="_x0000_s1047" style="position:absolute;visibility:visible;mso-wrap-style:square" from="4954,7172" to="22004,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Hr8MAAADdAAAADwAAAGRycy9kb3ducmV2LnhtbERPz2vCMBS+C/sfwhN201QnunZGGZaB&#10;hymoY+e35q0pNi+lyWr23y+HgceP7/d6G20rBup941jBbJqBIK6cbrhW8HF5mzyD8AFZY+uYFPyS&#10;h+3mYbTGQrsbn2g4h1qkEPYFKjAhdIWUvjJk0U9dR5y4b9dbDAn2tdQ93lK4beU8y5bSYsOpwWBH&#10;O0PV9fxjFaxMeZIrWb5fjuXQzPJ4iJ9fuVKP4/j6AiJQDHfxv3uvFSzyp7Q/vU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PB6/DAAAA3QAAAA8AAAAAAAAAAAAA&#10;AAAAoQIAAGRycy9kb3ducmV2LnhtbFBLBQYAAAAABAAEAPkAAACRAwAAAAA=&#10;">
                                    <v:stroke endarrow="block"/>
                                  </v:line>
                                  <v:line id="Line 31" o:spid="_x0000_s1048" style="position:absolute;flip:y;visibility:visible;mso-wrap-style:square" from="21104,9453" to="23867,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06hcYAAADdAAAADwAAAGRycy9kb3ducmV2LnhtbESPT2vCQBDF7wW/wzJCL0E3NkU0uoq2&#10;FQqlB/8cPA7ZMQlmZ0N2qum37xYKPT7evN+bt1z3rlE36kLt2cBknIIiLrytuTRwOu5GM1BBkC02&#10;nsnANwVYrwYPS8ytv/OebgcpVYRwyNFAJdLmWoeiIodh7Fvi6F1851Ci7EptO7xHuGv0U5pOtcOa&#10;Y0OFLb1UVFwPXy6+sfvk1yxLtk4nyZzezvKRajHmcdhvFqCEevk//ku/WwPP82wCv2siAv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tOoXGAAAA3QAAAA8AAAAAAAAA&#10;AAAAAAAAoQIAAGRycy9kb3ducmV2LnhtbFBLBQYAAAAABAAEAPkAAACUAwAAAAA=&#10;">
                                    <v:stroke endarrow="block"/>
                                  </v:line>
                                </v:group>
                              </w:pict>
                            </mc:Fallback>
                          </mc:AlternateContent>
                        </w:r>
                        <w:r>
                          <w:rPr>
                            <w:lang w:val="en-US"/>
                          </w:rPr>
                          <w:t xml:space="preserve">                                                                          100 élèves</w:t>
                        </w:r>
                      </w:p>
                      <w:p w:rsidR="00F04EEF" w:rsidRDefault="0099351E">
                        <w:pPr>
                          <w:rPr>
                            <w:lang w:val="en-US"/>
                          </w:rPr>
                        </w:pPr>
                        <w:r>
                          <w:rPr>
                            <w:noProof/>
                            <w:lang w:eastAsia="fr-BE"/>
                          </w:rPr>
                          <mc:AlternateContent>
                            <mc:Choice Requires="wps">
                              <w:drawing>
                                <wp:anchor distT="0" distB="0" distL="114300" distR="114300" simplePos="0" relativeHeight="251714560" behindDoc="0" locked="0" layoutInCell="1" allowOverlap="1">
                                  <wp:simplePos x="0" y="0"/>
                                  <wp:positionH relativeFrom="column">
                                    <wp:posOffset>3910965</wp:posOffset>
                                  </wp:positionH>
                                  <wp:positionV relativeFrom="paragraph">
                                    <wp:posOffset>9525</wp:posOffset>
                                  </wp:positionV>
                                  <wp:extent cx="939800" cy="802640"/>
                                  <wp:effectExtent l="19050" t="19050" r="45720" b="13970"/>
                                  <wp:wrapNone/>
                                  <wp:docPr id="31"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802640"/>
                                          </a:xfrm>
                                          <a:prstGeom prst="upArrow">
                                            <a:avLst>
                                              <a:gd name="adj1" fmla="val 67861"/>
                                              <a:gd name="adj2" fmla="val 50000"/>
                                            </a:avLst>
                                          </a:prstGeom>
                                          <a:solidFill>
                                            <a:srgbClr val="4F81BD"/>
                                          </a:solidFill>
                                          <a:ln w="25400">
                                            <a:solidFill>
                                              <a:srgbClr val="243F60"/>
                                            </a:solidFill>
                                            <a:miter lim="800000"/>
                                            <a:headEnd/>
                                            <a:tailEnd/>
                                          </a:ln>
                                        </wps:spPr>
                                        <wps:txbx>
                                          <w:txbxContent>
                                            <w:p w:rsidR="00F04EEF" w:rsidRDefault="0099351E">
                                              <w:pPr>
                                                <w:jc w:val="center"/>
                                                <w:rPr>
                                                  <w:sz w:val="23"/>
                                                  <w:szCs w:val="23"/>
                                                </w:rPr>
                                              </w:pPr>
                                              <w:r>
                                                <w:rPr>
                                                  <w:sz w:val="23"/>
                                                  <w:szCs w:val="23"/>
                                                </w:rPr>
                                                <w:t xml:space="preserve">100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49" type="#_x0000_t68" style="position:absolute;margin-left:307.95pt;margin-top:.75pt;width:74pt;height:63.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" adj="10800,3471" fillcolor="#4f81bd" strokecolor="#243f60" strokeweight="2pt">
                                  <v:textbox>
                                    <w:txbxContent>
                                      <w:p>
                                        <w:pPr>
                                          <w:jc w:val="center"/>
                                          <w:rPr>
                                            <w:sz w:val="23"/>
                                            <w:szCs w:val="23"/>
                                          </w:rPr>
                                        </w:pPr>
                                        <w:r>
                                          <w:rPr>
                                            <w:sz w:val="23"/>
                                            <w:szCs w:val="23"/>
                                          </w:rPr>
                                          <w:t xml:space="preserve">100 </w:t>
                                        </w:r>
                                      </w:p>
                                    </w:txbxContent>
                                  </v:textbox>
                                </v:shape>
                              </w:pict>
                            </mc:Fallback>
                          </mc:AlternateContent>
                        </w:r>
                        <w:r>
                          <w:rPr>
                            <w:noProof/>
                            <w:lang w:eastAsia="fr-BE"/>
                          </w:rPr>
                          <mc:AlternateContent>
                            <mc:Choice Requires="wps">
                              <w:drawing>
                                <wp:anchor distT="0" distB="0" distL="114300" distR="114300" simplePos="0" relativeHeight="251713536" behindDoc="0" locked="0" layoutInCell="1" allowOverlap="1">
                                  <wp:simplePos x="0" y="0"/>
                                  <wp:positionH relativeFrom="column">
                                    <wp:posOffset>650875</wp:posOffset>
                                  </wp:positionH>
                                  <wp:positionV relativeFrom="paragraph">
                                    <wp:posOffset>21590</wp:posOffset>
                                  </wp:positionV>
                                  <wp:extent cx="939800" cy="790575"/>
                                  <wp:effectExtent l="19050" t="19050" r="45720" b="20955"/>
                                  <wp:wrapNone/>
                                  <wp:docPr id="30" name="Up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790575"/>
                                          </a:xfrm>
                                          <a:prstGeom prst="upArrow">
                                            <a:avLst>
                                              <a:gd name="adj1" fmla="val 67861"/>
                                              <a:gd name="adj2" fmla="val 50000"/>
                                            </a:avLst>
                                          </a:prstGeom>
                                          <a:solidFill>
                                            <a:srgbClr val="4F81BD"/>
                                          </a:solidFill>
                                          <a:ln w="25400">
                                            <a:solidFill>
                                              <a:srgbClr val="243F60"/>
                                            </a:solidFill>
                                            <a:miter lim="800000"/>
                                            <a:headEnd/>
                                            <a:tailEnd/>
                                          </a:ln>
                                        </wps:spPr>
                                        <wps:txbx>
                                          <w:txbxContent>
                                            <w:p w:rsidR="00F04EEF" w:rsidRDefault="0099351E">
                                              <w:pPr>
                                                <w:jc w:val="center"/>
                                                <w:rPr>
                                                  <w:sz w:val="23"/>
                                                  <w:szCs w:val="23"/>
                                                </w:rPr>
                                              </w:pPr>
                                              <w:r>
                                                <w:rPr>
                                                  <w:sz w:val="23"/>
                                                  <w:szCs w:val="23"/>
                                                </w:rPr>
                                                <w:t>150 élèves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Up Arrow 2" o:spid="_x0000_s1050" type="#_x0000_t68" style="position:absolute;margin-left:51.25pt;margin-top:1.7pt;width:74pt;height:62.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" adj="10800,3471" fillcolor="#4f81bd" strokecolor="#243f60" strokeweight="2pt">
                                  <v:textbox>
                                    <w:txbxContent>
                                      <w:p>
                                        <w:pPr>
                                          <w:jc w:val="center"/>
                                          <w:rPr>
                                            <w:sz w:val="23"/>
                                            <w:szCs w:val="23"/>
                                          </w:rPr>
                                        </w:pPr>
                                        <w:r>
                                          <w:rPr>
                                            <w:sz w:val="23"/>
                                            <w:szCs w:val="23"/>
                                          </w:rPr>
                                          <w:t>150 élèves</w:t>
                                        </w:r>
                                      </w:p>
                                    </w:txbxContent>
                                  </v:textbox>
                                </v:shape>
                              </w:pict>
                            </mc:Fallback>
                          </mc:AlternateContent>
                        </w:r>
                      </w:p>
                      <w:p w:rsidR="00F04EEF" w:rsidRDefault="00F04EEF">
                        <w:pPr>
                          <w:rPr>
                            <w:lang w:val="en-US"/>
                          </w:rPr>
                        </w:pPr>
                      </w:p>
                      <w:p w:rsidR="00F04EEF" w:rsidRDefault="0099351E">
                        <w:pPr>
                          <w:rPr>
                            <w:lang w:val="en-US"/>
                          </w:rPr>
                        </w:pPr>
                        <w:r>
                          <w:rPr>
                            <w:lang w:val="en-US"/>
                          </w:rPr>
                          <w:t xml:space="preserve">                                                            </w:t>
                        </w:r>
                      </w:p>
                      <w:p w:rsidR="00F04EEF" w:rsidRDefault="0099351E">
                        <w:pPr>
                          <w:tabs>
                            <w:tab w:val="left" w:pos="3045"/>
                          </w:tabs>
                          <w:rPr>
                            <w:lang w:val="en-US"/>
                          </w:rPr>
                        </w:pPr>
                        <w:r>
                          <w:rPr>
                            <w:lang w:val="en-US"/>
                          </w:rPr>
                          <w:tab/>
                          <w:t>50 élèves</w:t>
                        </w:r>
                      </w:p>
                      <w:p w:rsidR="00F04EEF" w:rsidRDefault="00F04EEF">
                        <w:pPr>
                          <w:rPr>
                            <w:lang w:val="en-US"/>
                          </w:rPr>
                        </w:pPr>
                      </w:p>
                      <w:p w:rsidR="00F04EEF" w:rsidRDefault="00F04EEF">
                        <w:pPr>
                          <w:rPr>
                            <w:lang w:val="en-US"/>
                          </w:rPr>
                        </w:pPr>
                      </w:p>
                      <w:p w:rsidR="00F04EEF" w:rsidRDefault="00F04EEF">
                        <w:pPr>
                          <w:jc w:val="center"/>
                          <w:rPr>
                            <w:lang w:val="en-US"/>
                          </w:rPr>
                        </w:pPr>
                      </w:p>
                      <w:p w:rsidR="00F04EEF" w:rsidRDefault="00F04EEF">
                        <w:pPr>
                          <w:jc w:val="center"/>
                          <w:rPr>
                            <w:lang w:val="en-US"/>
                          </w:rPr>
                        </w:pPr>
                      </w:p>
                      <w:p w:rsidR="00F04EEF" w:rsidRDefault="0099351E">
                        <w:pPr>
                          <w:jc w:val="center"/>
                          <w:rPr>
                            <w:lang w:val="en-US"/>
                          </w:rPr>
                        </w:pPr>
                        <w:r>
                          <w:rPr>
                            <w:lang w:val="en-US"/>
                          </w:rPr>
                          <w:t>20 nouvelles inscriptions</w:t>
                        </w:r>
                      </w:p>
                      <w:p w:rsidR="00F04EEF" w:rsidRDefault="00F04EEF">
                        <w:pPr>
                          <w:rPr>
                            <w:lang w:val="en-US"/>
                          </w:rPr>
                        </w:pPr>
                      </w:p>
                    </w:tc>
                  </w:tr>
                </w:tbl>
                <w:p w:rsidR="00F04EEF" w:rsidRDefault="00F04EEF">
                  <w:pPr>
                    <w:jc w:val="both"/>
                  </w:pPr>
                </w:p>
                <w:p w:rsidR="00F04EEF" w:rsidRDefault="0099351E">
                  <w:pPr>
                    <w:jc w:val="both"/>
                  </w:pPr>
                  <w:r>
                    <w:rPr>
                      <w:noProof/>
                      <w:lang w:eastAsia="fr-BE"/>
                    </w:rPr>
                    <mc:AlternateContent>
                      <mc:Choice Requires="wps">
                        <w:drawing>
                          <wp:anchor distT="0" distB="0" distL="114300" distR="114300" simplePos="0" relativeHeight="252384256" behindDoc="0" locked="0" layoutInCell="1" allowOverlap="1">
                            <wp:simplePos x="0" y="0"/>
                            <wp:positionH relativeFrom="column">
                              <wp:posOffset>6236970</wp:posOffset>
                            </wp:positionH>
                            <wp:positionV relativeFrom="paragraph">
                              <wp:posOffset>169545</wp:posOffset>
                            </wp:positionV>
                            <wp:extent cx="0" cy="5118100"/>
                            <wp:effectExtent l="0" t="0" r="19050" b="25400"/>
                            <wp:wrapNone/>
                            <wp:docPr id="594" name="Connecteur droit 594"/>
                            <wp:cNvGraphicFramePr/>
                            <a:graphic xmlns:a="http://schemas.openxmlformats.org/drawingml/2006/main">
                              <a:graphicData uri="http://schemas.microsoft.com/office/word/2010/wordprocessingShape">
                                <wps:wsp>
                                  <wps:cNvCnPr/>
                                  <wps:spPr>
                                    <a:xfrm>
                                      <a:off x="0" y="0"/>
                                      <a:ext cx="0" cy="5118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358D84" id="Connecteur droit 594" o:spid="_x0000_s1026" style="position:absolute;z-index:252384256;visibility:visible;mso-wrap-style:square;mso-wrap-distance-left:9pt;mso-wrap-distance-top:0;mso-wrap-distance-right:9pt;mso-wrap-distance-bottom:0;mso-position-horizontal:absolute;mso-position-horizontal-relative:text;mso-position-vertical:absolute;mso-position-vertical-relative:text" from="491.1pt,13.35pt" to="491.1pt,4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" strokecolor="black [3213]"/>
                        </w:pict>
                      </mc:Fallback>
                    </mc:AlternateContent>
                  </w:r>
                </w:p>
                <w:p w:rsidR="00F04EEF" w:rsidRDefault="0099351E">
                  <w:pPr>
                    <w:rPr>
                      <w:rFonts w:ascii="Calibri" w:hAnsi="Calibri" w:cs="Calibri"/>
                    </w:rPr>
                  </w:pPr>
                  <w:bookmarkStart w:id="1828" w:name="_9._Introduction_des"/>
                  <w:bookmarkStart w:id="1829" w:name="__RefHeading__145_957262308"/>
                  <w:bookmarkStart w:id="1830" w:name="_7._Introduction_des"/>
                  <w:bookmarkEnd w:id="1828"/>
                  <w:bookmarkEnd w:id="1829"/>
                  <w:bookmarkEnd w:id="1830"/>
                  <w:r>
                    <w:rPr>
                      <w:rFonts w:ascii="Calibri" w:hAnsi="Calibri" w:cs="Calibri"/>
                      <w:b/>
                      <w:bCs/>
                      <w:u w:val="single"/>
                    </w:rPr>
                    <w:t xml:space="preserve">7. Introduction des propositions de programmation d’une nouvelle forme, d’un nouveau type ou d’un nouveau métier </w:t>
                  </w:r>
                </w:p>
                <w:p w:rsidR="00F04EEF" w:rsidRDefault="0099351E">
                  <w:pPr>
                    <w:rPr>
                      <w:rFonts w:ascii="Calibri" w:hAnsi="Calibri" w:cs="Calibri"/>
                    </w:rPr>
                  </w:pPr>
                  <w:r>
                    <w:rPr>
                      <w:rFonts w:ascii="Calibri" w:hAnsi="Calibri" w:cs="Calibri"/>
                    </w:rPr>
                    <w:t> </w:t>
                  </w:r>
                </w:p>
                <w:p w:rsidR="00F04EEF" w:rsidRDefault="0099351E">
                  <w:pPr>
                    <w:jc w:val="both"/>
                  </w:pPr>
                  <w:r>
                    <w:t xml:space="preserve">L’arrêté de l’Exécutif de la Communauté française du 15 mars 1993 fixant les obligations de concertation entre établissements dans l’enseignement secondaire de plein exercice instaure une procédure de concertation obligatoire auprès de différents organes de concertation, afin d’assurer une harmonisation de l’offre d’enseignement au niveau zonal et au niveau de l’ensemble du territoire de la Fédération Wallonie-Bruxelles. </w:t>
                  </w:r>
                </w:p>
                <w:p w:rsidR="00F04EEF" w:rsidRDefault="0099351E">
                  <w:pPr>
                    <w:jc w:val="both"/>
                  </w:pPr>
                  <w:r>
                    <w:t> </w:t>
                  </w:r>
                </w:p>
                <w:p w:rsidR="00F04EEF" w:rsidRDefault="0099351E">
                  <w:pPr>
                    <w:jc w:val="both"/>
                  </w:pPr>
                  <w:r>
                    <w:t>Ainsi, l’article 24/2 de l’arrêté de l'Exécutif de la Communauté française du  15 mars 1993 précité, stipule que la création d'une nouvelle forme, d'un nouveau type ou d'un nouveau métier de l'enseignement secondaire de forme 3 requiert l'avis du Conseil de Zone et l'accord du Comité de concertation selon les modalités suivantes :</w:t>
                  </w:r>
                </w:p>
                <w:p w:rsidR="00F04EEF" w:rsidRDefault="0099351E">
                  <w:pPr>
                    <w:jc w:val="both"/>
                  </w:pPr>
                  <w:r>
                    <w:t> </w:t>
                  </w:r>
                </w:p>
                <w:p w:rsidR="00F04EEF" w:rsidRDefault="0099351E">
                  <w:pPr>
                    <w:jc w:val="both"/>
                  </w:pPr>
                  <w:r>
                    <w:t xml:space="preserve">Chaque conseil de zone assure la concertation entre pouvoirs organisateurs en matière d'organisation d'une nouvelle forme, d'un nouveau type ou d'un nouveau métier de l'enseignement secondaire spécialisé de forme 3. </w:t>
                  </w:r>
                </w:p>
                <w:p w:rsidR="00F04EEF" w:rsidRDefault="0099351E">
                  <w:pPr>
                    <w:rPr>
                      <w:rFonts w:ascii="Calibri" w:hAnsi="Calibri" w:cs="Calibri"/>
                    </w:rPr>
                  </w:pPr>
                  <w:r>
                    <w:rPr>
                      <w:rFonts w:ascii="Calibri" w:hAnsi="Calibri" w:cs="Calibri"/>
                    </w:rPr>
                    <w:t> </w:t>
                  </w:r>
                </w:p>
                <w:p w:rsidR="00F04EEF" w:rsidRDefault="0099351E">
                  <w:pPr>
                    <w:rPr>
                      <w:rFonts w:ascii="Calibri" w:hAnsi="Calibri" w:cs="Calibri"/>
                    </w:rPr>
                  </w:pPr>
                  <w:r>
                    <w:rPr>
                      <w:rFonts w:ascii="Calibri" w:hAnsi="Calibri" w:cs="Calibri"/>
                      <w:b/>
                      <w:bCs/>
                    </w:rPr>
                    <w:t>7.1. Les étapes de la programmation.</w:t>
                  </w:r>
                </w:p>
                <w:p w:rsidR="00F04EEF" w:rsidRDefault="0099351E">
                  <w:pPr>
                    <w:rPr>
                      <w:rFonts w:ascii="Calibri" w:hAnsi="Calibri" w:cs="Calibri"/>
                    </w:rPr>
                  </w:pPr>
                  <w:r>
                    <w:rPr>
                      <w:rFonts w:ascii="Calibri" w:hAnsi="Calibri" w:cs="Calibri"/>
                      <w:b/>
                      <w:bCs/>
                    </w:rPr>
                    <w:t> </w:t>
                  </w:r>
                </w:p>
                <w:p w:rsidR="00F04EEF" w:rsidRDefault="0099351E">
                  <w:pPr>
                    <w:jc w:val="both"/>
                  </w:pPr>
                  <w:r>
                    <w:rPr>
                      <w:rFonts w:ascii="Calibri" w:hAnsi="Calibri" w:cs="Calibri"/>
                      <w:b/>
                      <w:bCs/>
                    </w:rPr>
                    <w:t xml:space="preserve">7.1.1. </w:t>
                  </w:r>
                  <w:r>
                    <w:rPr>
                      <w:rFonts w:ascii="Calibri" w:hAnsi="Calibri" w:cs="Calibri"/>
                    </w:rPr>
                    <w:t xml:space="preserve"> </w:t>
                  </w:r>
                  <w:r>
                    <w:t>Chaque établissement ou Pouvoir organisateur formule, ses propositions de création :</w:t>
                  </w:r>
                </w:p>
                <w:p w:rsidR="00F04EEF" w:rsidRDefault="0099351E">
                  <w:pPr>
                    <w:pStyle w:val="Paragraphedeliste"/>
                    <w:numPr>
                      <w:ilvl w:val="0"/>
                      <w:numId w:val="364"/>
                    </w:numPr>
                    <w:jc w:val="both"/>
                    <w:rPr>
                      <w:rFonts w:eastAsiaTheme="minorHAnsi"/>
                    </w:rPr>
                  </w:pPr>
                  <w:r>
                    <w:rPr>
                      <w:rFonts w:asciiTheme="minorHAnsi" w:eastAsiaTheme="minorHAnsi" w:hAnsiTheme="minorHAnsi" w:cstheme="minorBidi"/>
                      <w:sz w:val="22"/>
                      <w:szCs w:val="22"/>
                      <w:lang w:eastAsia="en-US"/>
                    </w:rPr>
                    <w:t>d’une nouvelle forme</w:t>
                  </w:r>
                  <w:r>
                    <w:rPr>
                      <w:rFonts w:eastAsiaTheme="minorHAnsi"/>
                    </w:rPr>
                    <w:t> ;</w:t>
                  </w:r>
                </w:p>
                <w:p w:rsidR="00F04EEF" w:rsidRDefault="0099351E">
                  <w:pPr>
                    <w:pStyle w:val="Paragraphedeliste"/>
                    <w:numPr>
                      <w:ilvl w:val="0"/>
                      <w:numId w:val="364"/>
                    </w:numPr>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d’un nouveau type ;</w:t>
                  </w:r>
                </w:p>
                <w:p w:rsidR="00F04EEF" w:rsidRDefault="0099351E">
                  <w:pPr>
                    <w:pStyle w:val="Paragraphedeliste"/>
                    <w:numPr>
                      <w:ilvl w:val="0"/>
                      <w:numId w:val="364"/>
                    </w:numPr>
                    <w:jc w:val="both"/>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d’un nouveau métier </w:t>
                  </w:r>
                </w:p>
                <w:p w:rsidR="00F04EEF" w:rsidRDefault="0099351E">
                  <w:pPr>
                    <w:jc w:val="both"/>
                  </w:pPr>
                  <w:r>
                    <w:t>       pour l’enseignement spécialisé de forme 3.</w:t>
                  </w:r>
                </w:p>
                <w:p w:rsidR="00F04EEF" w:rsidRDefault="0099351E">
                  <w:pPr>
                    <w:rPr>
                      <w:rFonts w:ascii="Calibri" w:hAnsi="Calibri" w:cs="Calibri"/>
                    </w:rPr>
                  </w:pPr>
                  <w:r>
                    <w:rPr>
                      <w:rFonts w:ascii="Calibri" w:hAnsi="Calibri" w:cs="Calibri"/>
                    </w:rPr>
                    <w:t> </w:t>
                  </w:r>
                </w:p>
                <w:p w:rsidR="00F04EEF" w:rsidRDefault="0099351E">
                  <w:pPr>
                    <w:jc w:val="both"/>
                  </w:pPr>
                  <w:r>
                    <w:t>Toutes les demandes sont introduites auprès des conseils de zone respectifs par les Pouvoirs organisateurs pour les établissements subventionnés et par les chefs d’établissement pour l’enseignement organisé par Wallonie-Bruxelles Enseignement.</w:t>
                  </w:r>
                </w:p>
                <w:p w:rsidR="00F04EEF" w:rsidRDefault="0099351E">
                  <w:pPr>
                    <w:jc w:val="both"/>
                  </w:pPr>
                  <w:r>
                    <w:t> </w:t>
                  </w:r>
                </w:p>
                <w:p w:rsidR="00F04EEF" w:rsidRDefault="0099351E">
                  <w:pPr>
                    <w:jc w:val="both"/>
                  </w:pPr>
                  <w:r>
                    <w:rPr>
                      <w:noProof/>
                      <w:lang w:eastAsia="fr-BE"/>
                    </w:rPr>
                    <mc:AlternateContent>
                      <mc:Choice Requires="wps">
                        <w:drawing>
                          <wp:anchor distT="0" distB="0" distL="114300" distR="114300" simplePos="0" relativeHeight="252386304" behindDoc="0" locked="0" layoutInCell="1" allowOverlap="1">
                            <wp:simplePos x="0" y="0"/>
                            <wp:positionH relativeFrom="column">
                              <wp:posOffset>6294120</wp:posOffset>
                            </wp:positionH>
                            <wp:positionV relativeFrom="paragraph">
                              <wp:posOffset>-90170</wp:posOffset>
                            </wp:positionV>
                            <wp:extent cx="0" cy="9150350"/>
                            <wp:effectExtent l="0" t="0" r="19050" b="31750"/>
                            <wp:wrapNone/>
                            <wp:docPr id="602" name="Connecteur droit 602"/>
                            <wp:cNvGraphicFramePr/>
                            <a:graphic xmlns:a="http://schemas.openxmlformats.org/drawingml/2006/main">
                              <a:graphicData uri="http://schemas.microsoft.com/office/word/2010/wordprocessingShape">
                                <wps:wsp>
                                  <wps:cNvCnPr/>
                                  <wps:spPr>
                                    <a:xfrm>
                                      <a:off x="0" y="0"/>
                                      <a:ext cx="0" cy="9150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75F785B" id="Connecteur droit 602" o:spid="_x0000_s1026" style="position:absolute;z-index:25238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6pt,-7.1pt" to="495.6pt,7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" strokecolor="black [3213]"/>
                        </w:pict>
                      </mc:Fallback>
                    </mc:AlternateContent>
                  </w:r>
                  <w:r>
                    <w:t>Les Conseils de zone respectifs doivent se réunir avant le 31 janvier 2021.</w:t>
                  </w:r>
                </w:p>
                <w:p w:rsidR="00F04EEF" w:rsidRDefault="0099351E">
                  <w:pPr>
                    <w:rPr>
                      <w:rFonts w:ascii="Calibri" w:hAnsi="Calibri" w:cs="Calibri"/>
                    </w:rPr>
                  </w:pPr>
                  <w:r>
                    <w:rPr>
                      <w:rFonts w:ascii="Calibri" w:hAnsi="Calibri" w:cs="Calibri"/>
                      <w:b/>
                      <w:bCs/>
                    </w:rPr>
                    <w:t> </w:t>
                  </w:r>
                </w:p>
                <w:p w:rsidR="00F04EEF" w:rsidRDefault="0099351E">
                  <w:pPr>
                    <w:rPr>
                      <w:rFonts w:ascii="Calibri" w:hAnsi="Calibri" w:cs="Calibri"/>
                    </w:rPr>
                  </w:pPr>
                  <w:r>
                    <w:rPr>
                      <w:rFonts w:ascii="Calibri" w:hAnsi="Calibri" w:cs="Calibri"/>
                      <w:b/>
                      <w:bCs/>
                    </w:rPr>
                    <w:t>7.1.2. Au plus tard le 29 janvier 2021.</w:t>
                  </w:r>
                </w:p>
                <w:p w:rsidR="00F04EEF" w:rsidRDefault="0099351E">
                  <w:pPr>
                    <w:rPr>
                      <w:rFonts w:ascii="Calibri" w:hAnsi="Calibri" w:cs="Calibri"/>
                    </w:rPr>
                  </w:pPr>
                  <w:r>
                    <w:rPr>
                      <w:rFonts w:ascii="Calibri" w:hAnsi="Calibri" w:cs="Calibri"/>
                    </w:rPr>
                    <w:t> </w:t>
                  </w:r>
                </w:p>
                <w:p w:rsidR="00F04EEF" w:rsidRDefault="0099351E">
                  <w:r>
                    <w:t xml:space="preserve">Chaque conseil de zone rend un avis favorable ou défavorable sur les projets de création d’une nouvelle forme, d’un nouveau type ou d’un nouveau métier et les transmet au comité de concertation dont il relève ainsi qu'aux conseils des zones contiguës de même caractère. </w:t>
                  </w:r>
                </w:p>
                <w:p w:rsidR="00F04EEF" w:rsidRDefault="0099351E">
                  <w:pPr>
                    <w:rPr>
                      <w:rFonts w:ascii="Calibri" w:hAnsi="Calibri" w:cs="Calibri"/>
                    </w:rPr>
                  </w:pPr>
                  <w:r>
                    <w:rPr>
                      <w:rFonts w:ascii="Calibri" w:hAnsi="Calibri" w:cs="Calibri"/>
                    </w:rPr>
                    <w:t> </w:t>
                  </w:r>
                </w:p>
                <w:p w:rsidR="00F04EEF" w:rsidRDefault="0099351E">
                  <w:pPr>
                    <w:rPr>
                      <w:rFonts w:ascii="Calibri" w:hAnsi="Calibri" w:cs="Calibri"/>
                    </w:rPr>
                  </w:pPr>
                  <w:r>
                    <w:rPr>
                      <w:rFonts w:ascii="Calibri" w:hAnsi="Calibri" w:cs="Calibri"/>
                      <w:b/>
                      <w:bCs/>
                    </w:rPr>
                    <w:t>7.1.3. Au plus tard le 19 février 2021.</w:t>
                  </w:r>
                </w:p>
                <w:p w:rsidR="00F04EEF" w:rsidRDefault="0099351E">
                  <w:pPr>
                    <w:rPr>
                      <w:rFonts w:ascii="Calibri" w:hAnsi="Calibri" w:cs="Calibri"/>
                    </w:rPr>
                  </w:pPr>
                  <w:r>
                    <w:rPr>
                      <w:rFonts w:ascii="Calibri" w:hAnsi="Calibri" w:cs="Calibri"/>
                      <w:b/>
                      <w:bCs/>
                    </w:rPr>
                    <w:t> </w:t>
                  </w:r>
                </w:p>
                <w:p w:rsidR="00F04EEF" w:rsidRDefault="0099351E">
                  <w:r>
                    <w:t xml:space="preserve">Les conseils de zone contigües peuvent introduire un recours motivé auprès du comité de concertation dont ils relèvent. Ils en informent dans le même délai le conseil de zone concerné. </w:t>
                  </w:r>
                </w:p>
                <w:p w:rsidR="00F04EEF" w:rsidRDefault="0099351E">
                  <w:r>
                    <w:t xml:space="preserve">Les représentants d'un pouvoir organisateur au sein d'un conseil de zone peuvent également introduire pour le 19 février 2021 au plus tard un recours motivé contre les avis de ce conseil auprès du comité de concertation dont le conseil de zone relève. </w:t>
                  </w:r>
                </w:p>
                <w:p w:rsidR="00F04EEF" w:rsidRDefault="0099351E">
                  <w:r>
                    <w:t xml:space="preserve">Le représentant du comité de concertation auprès d'un conseil de zone peut également introduire pour le 19 février 2021 au plus tard un recours motivé auprès de ce comité de concertation. </w:t>
                  </w:r>
                </w:p>
                <w:p w:rsidR="00F04EEF" w:rsidRDefault="0099351E">
                  <w:r>
                    <w:t xml:space="preserve">Les représentants d'une organisation syndicale peuvent également introduire pour le 19 février 2021 au plus tard un recours motivé contre les avis du conseil de zone auprès du comité de concertation dont le conseil de zone relève. </w:t>
                  </w:r>
                </w:p>
                <w:p w:rsidR="00F04EEF" w:rsidRDefault="0099351E">
                  <w:r>
                    <w:t> </w:t>
                  </w:r>
                </w:p>
                <w:p w:rsidR="00F04EEF" w:rsidRDefault="0099351E">
                  <w:r>
                    <w:t xml:space="preserve">L'avis favorable d'un conseil de zone qui  n'a pas fait l'objet d'un des recours prévus ci-dessus devient définitif. </w:t>
                  </w:r>
                </w:p>
                <w:p w:rsidR="00F04EEF" w:rsidRDefault="0099351E">
                  <w:pPr>
                    <w:rPr>
                      <w:rFonts w:ascii="Calibri" w:hAnsi="Calibri" w:cs="Calibri"/>
                    </w:rPr>
                  </w:pPr>
                  <w:r>
                    <w:rPr>
                      <w:rFonts w:ascii="Calibri" w:hAnsi="Calibri" w:cs="Calibri"/>
                    </w:rPr>
                    <w:t> </w:t>
                  </w:r>
                </w:p>
                <w:p w:rsidR="00F04EEF" w:rsidRDefault="0099351E">
                  <w:pPr>
                    <w:rPr>
                      <w:rFonts w:ascii="Calibri" w:hAnsi="Calibri" w:cs="Calibri"/>
                    </w:rPr>
                  </w:pPr>
                  <w:r>
                    <w:rPr>
                      <w:rFonts w:ascii="Calibri" w:hAnsi="Calibri" w:cs="Calibri"/>
                      <w:b/>
                      <w:bCs/>
                    </w:rPr>
                    <w:t>7.1.4. Au plus tard le 29 mars 2021.</w:t>
                  </w:r>
                </w:p>
                <w:p w:rsidR="00F04EEF" w:rsidRDefault="0099351E">
                  <w:pPr>
                    <w:rPr>
                      <w:rFonts w:ascii="Calibri" w:hAnsi="Calibri" w:cs="Calibri"/>
                    </w:rPr>
                  </w:pPr>
                  <w:r>
                    <w:rPr>
                      <w:rFonts w:ascii="Calibri" w:hAnsi="Calibri" w:cs="Calibri"/>
                      <w:b/>
                      <w:bCs/>
                    </w:rPr>
                    <w:t> </w:t>
                  </w:r>
                </w:p>
                <w:p w:rsidR="00F04EEF" w:rsidRDefault="0099351E">
                  <w:r>
                    <w:t xml:space="preserve">Chaque comité de concertation se prononce sur les recours dont il est saisi et donne son avis favorable ou défavorable. </w:t>
                  </w:r>
                </w:p>
                <w:p w:rsidR="00F04EEF" w:rsidRDefault="0099351E">
                  <w:r>
                    <w:t> </w:t>
                  </w:r>
                </w:p>
                <w:p w:rsidR="00F04EEF" w:rsidRDefault="0099351E">
                  <w:r>
                    <w:t xml:space="preserve">En l'absence de décision du comité de concertation dans le délai prévu ci-avant, l'avis favorable du conseil de zone devient définitif. </w:t>
                  </w:r>
                </w:p>
                <w:p w:rsidR="00F04EEF" w:rsidRDefault="0099351E">
                  <w:r>
                    <w:t> </w:t>
                  </w:r>
                </w:p>
                <w:p w:rsidR="00F04EEF" w:rsidRDefault="0099351E">
                  <w:r>
                    <w:t xml:space="preserve">Chaque comité de concertation se prononce et donne un avis favorable ou défavorable sur les projets de création d’une nouvelle forme, d’un nouveau type ou d’un nouveau métier , pour lesquels les conseils de zone de son caractère ont rendu un avis favorable. </w:t>
                  </w:r>
                </w:p>
                <w:p w:rsidR="00F04EEF" w:rsidRDefault="0099351E">
                  <w:r>
                    <w:t> </w:t>
                  </w:r>
                </w:p>
                <w:p w:rsidR="00F04EEF" w:rsidRDefault="0099351E">
                  <w:r>
                    <w:t xml:space="preserve">Les comités de concertation communiquent à la Ministre qui a l’enseignement spécialisé dans ses attributions  et aux différents conseils de zone concernés leurs avis favorables ainsi que ceux des conseils de zone qui en relèvent. </w:t>
                  </w:r>
                </w:p>
                <w:p w:rsidR="00F04EEF" w:rsidRDefault="0099351E">
                  <w:r>
                    <w:t> </w:t>
                  </w:r>
                </w:p>
                <w:p w:rsidR="00F04EEF" w:rsidRDefault="0099351E">
                  <w:r>
                    <w:t xml:space="preserve">Les comités de concertation transmettent les projets de création d’une nouvelle forme, d’un nouveau type ou d’un nouveau métier au  Conseil général de l'enseignement secondaire qui se prononce et donne un avis favorable ou défavorable sur lesdits projets, pour lesquels les conseils de zone de l'un ou l'autre caractère ont rendu un avis favorable. </w:t>
                  </w:r>
                </w:p>
                <w:p w:rsidR="00F04EEF" w:rsidRDefault="0099351E">
                  <w:r>
                    <w:t xml:space="preserve">Il communique ses avis au Ministre. </w:t>
                  </w:r>
                </w:p>
                <w:p w:rsidR="00F04EEF" w:rsidRDefault="0099351E">
                  <w:pPr>
                    <w:rPr>
                      <w:rFonts w:ascii="Calibri" w:hAnsi="Calibri" w:cs="Calibri"/>
                    </w:rPr>
                  </w:pPr>
                  <w:r>
                    <w:rPr>
                      <w:rFonts w:ascii="Calibri" w:hAnsi="Calibri" w:cs="Calibri"/>
                    </w:rPr>
                    <w:t> </w:t>
                  </w:r>
                </w:p>
                <w:p w:rsidR="00F04EEF" w:rsidRDefault="0099351E">
                  <w:pPr>
                    <w:rPr>
                      <w:rFonts w:ascii="Calibri" w:hAnsi="Calibri" w:cs="Calibri"/>
                      <w:b/>
                      <w:bCs/>
                    </w:rPr>
                  </w:pPr>
                  <w:r>
                    <w:rPr>
                      <w:rFonts w:ascii="Calibri" w:hAnsi="Calibri" w:cs="Calibri"/>
                      <w:b/>
                      <w:bCs/>
                    </w:rPr>
                    <w:br w:type="page"/>
                  </w:r>
                </w:p>
                <w:p w:rsidR="00F04EEF" w:rsidRDefault="0099351E">
                  <w:pPr>
                    <w:rPr>
                      <w:rFonts w:ascii="Calibri" w:hAnsi="Calibri" w:cs="Calibri"/>
                    </w:rPr>
                  </w:pPr>
                  <w:r>
                    <w:rPr>
                      <w:rFonts w:ascii="Calibri" w:hAnsi="Calibri" w:cs="Calibri"/>
                      <w:b/>
                      <w:bCs/>
                    </w:rPr>
                    <w:t>7.1.5. Au plus tard le 31 mai 2021.</w:t>
                  </w:r>
                </w:p>
                <w:p w:rsidR="00F04EEF" w:rsidRDefault="0099351E">
                  <w:pPr>
                    <w:rPr>
                      <w:rFonts w:ascii="Calibri" w:hAnsi="Calibri" w:cs="Calibri"/>
                    </w:rPr>
                  </w:pPr>
                  <w:r>
                    <w:rPr>
                      <w:rFonts w:ascii="Calibri" w:hAnsi="Calibri" w:cs="Calibri"/>
                    </w:rPr>
                    <w:t> </w:t>
                  </w:r>
                </w:p>
                <w:p w:rsidR="00F04EEF" w:rsidRDefault="0099351E">
                  <w:r>
                    <w:t xml:space="preserve">Les avis des Conseils de zone, des Comités de concertation et du Conseil général de l’enseignement secondaire sont transmis à la DGEO : </w:t>
                  </w:r>
                </w:p>
                <w:p w:rsidR="00F04EEF" w:rsidRDefault="0099351E">
                  <w:pPr>
                    <w:rPr>
                      <w:rFonts w:ascii="Calibri" w:hAnsi="Calibri" w:cs="Calibri"/>
                    </w:rPr>
                  </w:pPr>
                  <w:r>
                    <w:rPr>
                      <w:rFonts w:ascii="Calibri" w:hAnsi="Calibri" w:cs="Calibri"/>
                    </w:rPr>
                    <w:t> </w:t>
                  </w:r>
                </w:p>
                <w:p w:rsidR="00F04EEF" w:rsidRDefault="0099351E">
                  <w:pPr>
                    <w:rPr>
                      <w:rFonts w:ascii="Calibri" w:hAnsi="Calibri" w:cs="Calibri"/>
                    </w:rPr>
                  </w:pPr>
                  <w:r>
                    <w:rPr>
                      <w:rFonts w:ascii="Calibri" w:hAnsi="Calibri" w:cs="Calibri"/>
                    </w:rPr>
                    <w:t xml:space="preserve">par courriel : </w:t>
                  </w:r>
                  <w:hyperlink r:id="rId128" w:history="1">
                    <w:r>
                      <w:rPr>
                        <w:rStyle w:val="Lienhypertexte"/>
                        <w:rFonts w:ascii="Calibri" w:hAnsi="Calibri" w:cs="Calibri"/>
                      </w:rPr>
                      <w:t>enseignement_specialise@cfwb.be</w:t>
                    </w:r>
                  </w:hyperlink>
                </w:p>
                <w:p w:rsidR="00F04EEF" w:rsidRDefault="0099351E">
                  <w:pPr>
                    <w:rPr>
                      <w:rFonts w:ascii="Calibri" w:hAnsi="Calibri" w:cs="Calibri"/>
                    </w:rPr>
                  </w:pPr>
                  <w:r>
                    <w:rPr>
                      <w:rFonts w:ascii="Calibri" w:hAnsi="Calibri" w:cs="Calibri"/>
                    </w:rPr>
                    <w:t> </w:t>
                  </w:r>
                </w:p>
                <w:p w:rsidR="00F04EEF" w:rsidRDefault="0099351E">
                  <w:pPr>
                    <w:rPr>
                      <w:rFonts w:ascii="Calibri" w:hAnsi="Calibri" w:cs="Calibri"/>
                    </w:rPr>
                  </w:pPr>
                  <w:r>
                    <w:rPr>
                      <w:rFonts w:ascii="Calibri" w:hAnsi="Calibri" w:cs="Calibri"/>
                      <w:noProof/>
                      <w:lang w:eastAsia="fr-BE"/>
                    </w:rPr>
                    <mc:AlternateContent>
                      <mc:Choice Requires="wps">
                        <w:drawing>
                          <wp:anchor distT="0" distB="0" distL="114300" distR="114300" simplePos="0" relativeHeight="252387328" behindDoc="0" locked="0" layoutInCell="1" allowOverlap="1">
                            <wp:simplePos x="0" y="0"/>
                            <wp:positionH relativeFrom="column">
                              <wp:posOffset>6319520</wp:posOffset>
                            </wp:positionH>
                            <wp:positionV relativeFrom="paragraph">
                              <wp:posOffset>-255270</wp:posOffset>
                            </wp:positionV>
                            <wp:extent cx="0" cy="2520950"/>
                            <wp:effectExtent l="0" t="0" r="19050" b="31750"/>
                            <wp:wrapNone/>
                            <wp:docPr id="603" name="Connecteur droit 603"/>
                            <wp:cNvGraphicFramePr/>
                            <a:graphic xmlns:a="http://schemas.openxmlformats.org/drawingml/2006/main">
                              <a:graphicData uri="http://schemas.microsoft.com/office/word/2010/wordprocessingShape">
                                <wps:wsp>
                                  <wps:cNvCnPr/>
                                  <wps:spPr>
                                    <a:xfrm>
                                      <a:off x="0" y="0"/>
                                      <a:ext cx="0" cy="2520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51A91A" id="Connecteur droit 603" o:spid="_x0000_s1026" style="position:absolute;z-index:252387328;visibility:visible;mso-wrap-style:square;mso-wrap-distance-left:9pt;mso-wrap-distance-top:0;mso-wrap-distance-right:9pt;mso-wrap-distance-bottom:0;mso-position-horizontal:absolute;mso-position-horizontal-relative:text;mso-position-vertical:absolute;mso-position-vertical-relative:text" from="497.6pt,-20.1pt" to="497.6pt,17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" strokecolor="black [3213]"/>
                        </w:pict>
                      </mc:Fallback>
                    </mc:AlternateContent>
                  </w:r>
                  <w:r>
                    <w:rPr>
                      <w:rFonts w:ascii="Calibri" w:hAnsi="Calibri" w:cs="Calibri"/>
                    </w:rPr>
                    <w:t xml:space="preserve">OU </w:t>
                  </w:r>
                </w:p>
                <w:p w:rsidR="00F04EEF" w:rsidRDefault="0099351E">
                  <w:pPr>
                    <w:rPr>
                      <w:rFonts w:ascii="Calibri" w:hAnsi="Calibri" w:cs="Calibri"/>
                    </w:rPr>
                  </w:pPr>
                  <w:r>
                    <w:rPr>
                      <w:rFonts w:ascii="Calibri" w:hAnsi="Calibri" w:cs="Calibri"/>
                    </w:rPr>
                    <w:t> </w:t>
                  </w:r>
                </w:p>
                <w:p w:rsidR="00F04EEF" w:rsidRDefault="0099351E">
                  <w:pPr>
                    <w:rPr>
                      <w:rFonts w:ascii="Calibri" w:hAnsi="Calibri" w:cs="Calibri"/>
                    </w:rPr>
                  </w:pPr>
                  <w:r>
                    <w:rPr>
                      <w:rFonts w:ascii="Calibri" w:hAnsi="Calibri" w:cs="Calibri"/>
                    </w:rPr>
                    <w:t>par voie postale à l’adresse suivante :</w:t>
                  </w:r>
                </w:p>
                <w:p w:rsidR="00F04EEF" w:rsidRDefault="0099351E">
                  <w:pPr>
                    <w:pBdr>
                      <w:top w:val="single" w:sz="4" w:space="1" w:color="auto"/>
                      <w:left w:val="single" w:sz="4" w:space="4" w:color="auto"/>
                      <w:bottom w:val="single" w:sz="4" w:space="1" w:color="auto"/>
                      <w:right w:val="single" w:sz="4" w:space="4" w:color="auto"/>
                    </w:pBdr>
                    <w:jc w:val="center"/>
                  </w:pPr>
                  <w: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jc w:val="center"/>
                  </w:pPr>
                  <w:r>
                    <w:t>Service de l’Enseignement spécialisé</w:t>
                  </w:r>
                </w:p>
                <w:p w:rsidR="00F04EEF" w:rsidRDefault="0099351E">
                  <w:pPr>
                    <w:pBdr>
                      <w:top w:val="single" w:sz="4" w:space="1" w:color="auto"/>
                      <w:left w:val="single" w:sz="4" w:space="4" w:color="auto"/>
                      <w:bottom w:val="single" w:sz="4" w:space="1" w:color="auto"/>
                      <w:right w:val="single" w:sz="4" w:space="4" w:color="auto"/>
                    </w:pBdr>
                    <w:jc w:val="center"/>
                  </w:pPr>
                  <w:r>
                    <w:t>Madame Véronique ROMBAUT</w:t>
                  </w:r>
                </w:p>
                <w:p w:rsidR="00F04EEF" w:rsidRDefault="0099351E">
                  <w:pPr>
                    <w:pBdr>
                      <w:top w:val="single" w:sz="4" w:space="1" w:color="auto"/>
                      <w:left w:val="single" w:sz="4" w:space="4" w:color="auto"/>
                      <w:bottom w:val="single" w:sz="4" w:space="1" w:color="auto"/>
                      <w:right w:val="single" w:sz="4" w:space="4" w:color="auto"/>
                    </w:pBdr>
                    <w:jc w:val="center"/>
                  </w:pPr>
                  <w:r>
                    <w:t>Bureau 2F251</w:t>
                  </w:r>
                </w:p>
                <w:p w:rsidR="00F04EEF" w:rsidRDefault="0099351E">
                  <w:pPr>
                    <w:pBdr>
                      <w:top w:val="single" w:sz="4" w:space="1" w:color="auto"/>
                      <w:left w:val="single" w:sz="4" w:space="4" w:color="auto"/>
                      <w:bottom w:val="single" w:sz="4" w:space="1" w:color="auto"/>
                      <w:right w:val="single" w:sz="4" w:space="4" w:color="auto"/>
                    </w:pBdr>
                    <w:jc w:val="center"/>
                  </w:pPr>
                  <w:r>
                    <w:t>Rue Adolphe Lavallée, 1</w:t>
                  </w:r>
                </w:p>
                <w:p w:rsidR="00F04EEF" w:rsidRDefault="0099351E">
                  <w:pPr>
                    <w:pBdr>
                      <w:top w:val="single" w:sz="4" w:space="1" w:color="auto"/>
                      <w:left w:val="single" w:sz="4" w:space="4" w:color="auto"/>
                      <w:bottom w:val="single" w:sz="4" w:space="1" w:color="auto"/>
                      <w:right w:val="single" w:sz="4" w:space="4" w:color="auto"/>
                    </w:pBdr>
                    <w:jc w:val="center"/>
                  </w:pPr>
                  <w: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rFonts w:ascii="Calibri" w:hAnsi="Calibri" w:cs="Calibri"/>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29" w:history="1">
                    <w:r>
                      <w:rPr>
                        <w:rStyle w:val="Lienhypertexte"/>
                        <w:szCs w:val="22"/>
                      </w:rPr>
                      <w:t>veronique.rombaut@cfwb.be</w:t>
                    </w:r>
                  </w:hyperlink>
                </w:p>
                <w:p w:rsidR="00F04EEF" w:rsidRDefault="0099351E">
                  <w:pPr>
                    <w:rPr>
                      <w:rFonts w:ascii="Calibri" w:hAnsi="Calibri" w:cs="Calibri"/>
                    </w:rPr>
                  </w:pPr>
                  <w:r>
                    <w:rPr>
                      <w:rFonts w:ascii="Calibri" w:hAnsi="Calibri" w:cs="Calibri"/>
                    </w:rPr>
                    <w:t>L’Administration les transmettra ensuite à la Ministre de l’Education.</w:t>
                  </w:r>
                </w:p>
                <w:p w:rsidR="00F04EEF" w:rsidRDefault="00F04EEF">
                  <w:pPr>
                    <w:rPr>
                      <w:rFonts w:ascii="Calibri" w:hAnsi="Calibri" w:cs="Calibri"/>
                    </w:rPr>
                  </w:pPr>
                </w:p>
                <w:p w:rsidR="00F04EEF" w:rsidRDefault="0099351E">
                  <w:pPr>
                    <w:rPr>
                      <w:rFonts w:ascii="Calibri" w:hAnsi="Calibri" w:cs="Calibri"/>
                    </w:rPr>
                  </w:pPr>
                  <w:r>
                    <w:rPr>
                      <w:rFonts w:ascii="Calibri" w:hAnsi="Calibri" w:cs="Calibri"/>
                      <w:noProof/>
                      <w:lang w:eastAsia="fr-BE"/>
                    </w:rPr>
                    <mc:AlternateContent>
                      <mc:Choice Requires="wps">
                        <w:drawing>
                          <wp:anchor distT="0" distB="0" distL="114300" distR="114300" simplePos="0" relativeHeight="252389376" behindDoc="0" locked="0" layoutInCell="1" allowOverlap="1">
                            <wp:simplePos x="0" y="0"/>
                            <wp:positionH relativeFrom="column">
                              <wp:posOffset>6325870</wp:posOffset>
                            </wp:positionH>
                            <wp:positionV relativeFrom="paragraph">
                              <wp:posOffset>180975</wp:posOffset>
                            </wp:positionV>
                            <wp:extent cx="0" cy="6654800"/>
                            <wp:effectExtent l="0" t="0" r="19050" b="31750"/>
                            <wp:wrapNone/>
                            <wp:docPr id="604" name="Connecteur droit 604"/>
                            <wp:cNvGraphicFramePr/>
                            <a:graphic xmlns:a="http://schemas.openxmlformats.org/drawingml/2006/main">
                              <a:graphicData uri="http://schemas.microsoft.com/office/word/2010/wordprocessingShape">
                                <wps:wsp>
                                  <wps:cNvCnPr/>
                                  <wps:spPr>
                                    <a:xfrm>
                                      <a:off x="0" y="0"/>
                                      <a:ext cx="0" cy="665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3067C6" id="Connecteur droit 604" o:spid="_x0000_s1026" style="position:absolute;z-index:25238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1pt,14.25pt" to="498.1pt,5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" strokecolor="black [3213]"/>
                        </w:pict>
                      </mc:Fallback>
                    </mc:AlternateContent>
                  </w:r>
                </w:p>
                <w:p w:rsidR="00F04EEF" w:rsidRDefault="0099351E">
                  <w:pPr>
                    <w:pStyle w:val="Titre3"/>
                    <w:rPr>
                      <w:sz w:val="22"/>
                      <w:szCs w:val="22"/>
                    </w:rPr>
                  </w:pPr>
                  <w:bookmarkStart w:id="1831" w:name="_8._Introduction_des"/>
                  <w:bookmarkStart w:id="1832" w:name="_Toc47708488"/>
                  <w:bookmarkEnd w:id="1831"/>
                  <w:r>
                    <w:rPr>
                      <w:sz w:val="22"/>
                      <w:szCs w:val="22"/>
                    </w:rPr>
                    <w:t>8. Introduction des propositions de programmation d’implantation ou d’école, de transformation, de fusion, de scission</w:t>
                  </w:r>
                  <w:bookmarkEnd w:id="1832"/>
                </w:p>
                <w:p w:rsidR="00F04EEF" w:rsidRDefault="00F04EEF">
                  <w:pPr>
                    <w:pStyle w:val="Titre"/>
                    <w:tabs>
                      <w:tab w:val="left" w:pos="1134"/>
                    </w:tabs>
                    <w:jc w:val="both"/>
                    <w:rPr>
                      <w:sz w:val="22"/>
                      <w:szCs w:val="22"/>
                    </w:rPr>
                  </w:pPr>
                </w:p>
                <w:p w:rsidR="00F04EEF" w:rsidRDefault="0099351E">
                  <w:pPr>
                    <w:jc w:val="both"/>
                  </w:pPr>
                  <w:r>
                    <w:t xml:space="preserve">Les écoles qui souhaitent programmer, transformer, fusionner, scinder sont invitées à transmettre, </w:t>
                  </w:r>
                  <w:r>
                    <w:rPr>
                      <w:u w:val="single"/>
                    </w:rPr>
                    <w:t>via leur pouvoir organisateur</w:t>
                  </w:r>
                  <w:r>
                    <w:t xml:space="preserve">, un dossier dûment argumenté (adresse, nom de la future implantation ou future école, nombre d’élèves concernés, statuts en cas de création de nouveau PO, article du décret, …). </w:t>
                  </w:r>
                </w:p>
                <w:p w:rsidR="00F04EEF" w:rsidRDefault="00F04EEF">
                  <w:pPr>
                    <w:jc w:val="both"/>
                  </w:pPr>
                </w:p>
                <w:p w:rsidR="00F04EEF" w:rsidRDefault="0099351E">
                  <w:pPr>
                    <w:jc w:val="both"/>
                  </w:pPr>
                  <w:r>
                    <w:t xml:space="preserve">Ce dossier, comprenant </w:t>
                  </w:r>
                  <w:r>
                    <w:rPr>
                      <w:u w:val="single"/>
                    </w:rPr>
                    <w:t>une copie de la décision prise par le pouvoir organisateur et une copie de l’avis de l’organe de concertation</w:t>
                  </w:r>
                  <w:r>
                    <w:t xml:space="preserve">, fera mention de (ou des) article(s) du Décret du 3 mars 2004 organisant l'Enseignement spécialisé concerné(s) par la modification et sera envoyé à l’administration pour le </w:t>
                  </w:r>
                  <w:r>
                    <w:rPr>
                      <w:b/>
                    </w:rPr>
                    <w:t>30 avril</w:t>
                  </w:r>
                  <w:r>
                    <w:t xml:space="preserve"> précédent la nouvelle année scolaire où prendra effet la programmation, transformation, fusion ou scission. </w:t>
                  </w:r>
                </w:p>
                <w:p w:rsidR="00F04EEF" w:rsidRDefault="0099351E">
                  <w:pPr>
                    <w:jc w:val="both"/>
                  </w:pPr>
                  <w:r>
                    <w:t xml:space="preserve">Cette information est nécessaire afin que l’administration puisse vérifier la légalité de la programmation, transformation, fusion ou scission. </w:t>
                  </w:r>
                </w:p>
                <w:p w:rsidR="00F04EEF" w:rsidRDefault="00F04EEF">
                  <w:pPr>
                    <w:jc w:val="both"/>
                  </w:pPr>
                </w:p>
                <w:p w:rsidR="00F04EEF" w:rsidRDefault="0099351E">
                  <w:pPr>
                    <w:jc w:val="both"/>
                  </w:pPr>
                  <w:r>
                    <w:t xml:space="preserve">Toutefois, si pour cette programmation, l’école sollicite la dérogation du Gouvernement prévue au </w:t>
                  </w:r>
                  <w:hyperlink w:anchor="_1.4._Bâtiment_principal" w:history="1">
                    <w:r>
                      <w:rPr>
                        <w:rStyle w:val="Lienhypertexte"/>
                        <w:rFonts w:cs="Arial"/>
                      </w:rPr>
                      <w:t>point 1.4</w:t>
                    </w:r>
                  </w:hyperlink>
                  <w:r>
                    <w:t xml:space="preserve"> du présent chapitre, le dossier, dûment accompagné d’une argumentation justifiant la dérogation et du calcul de son impact budgétaire, sera envoyé à l’administration pour le </w:t>
                  </w:r>
                  <w:r>
                    <w:rPr>
                      <w:b/>
                    </w:rPr>
                    <w:t>15 mars</w:t>
                  </w:r>
                  <w:r>
                    <w:t xml:space="preserve"> au plus tard.  </w:t>
                  </w:r>
                </w:p>
                <w:p w:rsidR="00F04EEF" w:rsidRDefault="0099351E">
                  <w:pPr>
                    <w:jc w:val="both"/>
                  </w:pPr>
                  <w:r>
                    <w:t>Ce délai est indispensable afin de permettre à l’administration d’instruire le dossier afin d’introduire le projet d’arrêté au Gouvernement.</w:t>
                  </w:r>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both"/>
                  </w:pPr>
                  <w:r>
                    <w:rPr>
                      <w:b/>
                      <w:u w:val="single"/>
                    </w:rPr>
                    <w:t>Attention</w:t>
                  </w:r>
                  <w:r>
                    <w:t> :</w:t>
                  </w:r>
                </w:p>
                <w:p w:rsidR="00F04EEF" w:rsidRDefault="0099351E">
                  <w:pPr>
                    <w:pBdr>
                      <w:top w:val="single" w:sz="4" w:space="1" w:color="auto"/>
                      <w:left w:val="single" w:sz="4" w:space="4" w:color="auto"/>
                      <w:bottom w:val="single" w:sz="4" w:space="1" w:color="auto"/>
                      <w:right w:val="single" w:sz="4" w:space="4" w:color="auto"/>
                    </w:pBdr>
                    <w:jc w:val="both"/>
                  </w:pPr>
                  <w:r>
                    <w:t>Une scission d’école revient à créer deux écoles distinctes avec chacune une direction.  L’école d’origine gardera son numéro FASE.  Un nouveau numéro FASE sera attribué lors de la création de la deuxième école.</w:t>
                  </w:r>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both"/>
                    <w:rPr>
                      <w:b/>
                      <w:u w:val="single"/>
                    </w:rPr>
                  </w:pPr>
                  <w:r>
                    <w:rPr>
                      <w:b/>
                      <w:u w:val="single"/>
                    </w:rPr>
                    <w:t>Remarque :</w:t>
                  </w:r>
                </w:p>
                <w:p w:rsidR="00F04EEF" w:rsidRDefault="0099351E">
                  <w:pPr>
                    <w:pBdr>
                      <w:top w:val="single" w:sz="4" w:space="1" w:color="auto"/>
                      <w:left w:val="single" w:sz="4" w:space="4" w:color="auto"/>
                      <w:bottom w:val="single" w:sz="4" w:space="1" w:color="auto"/>
                      <w:right w:val="single" w:sz="4" w:space="4" w:color="auto"/>
                    </w:pBdr>
                    <w:jc w:val="both"/>
                  </w:pPr>
                  <w:r>
                    <w:t>Pour les créations d’écoles (nouvelles ou résultant d’une scission), l’avis du Conseil Général doit être sollicité.</w:t>
                  </w:r>
                </w:p>
                <w:p w:rsidR="00F04EEF" w:rsidRDefault="00F04EEF">
                  <w:pPr>
                    <w:jc w:val="both"/>
                  </w:pPr>
                </w:p>
                <w:p w:rsidR="00F04EEF" w:rsidRDefault="0099351E">
                  <w:r>
                    <w:br w:type="page"/>
                  </w:r>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center"/>
                    <w:rPr>
                      <w:b/>
                      <w:u w:val="single"/>
                    </w:rPr>
                  </w:pPr>
                  <w:r>
                    <w:rPr>
                      <w:b/>
                      <w:u w:val="single"/>
                    </w:rPr>
                    <w:t>Les dossiers doivent être envoyés à l’adresse suivante :</w:t>
                  </w:r>
                </w:p>
                <w:p w:rsidR="00F04EEF" w:rsidRDefault="00F04EEF">
                  <w:pPr>
                    <w:pBdr>
                      <w:top w:val="single" w:sz="4" w:space="1" w:color="auto"/>
                      <w:left w:val="single" w:sz="4" w:space="4" w:color="auto"/>
                      <w:bottom w:val="single" w:sz="4" w:space="1" w:color="auto"/>
                      <w:right w:val="single" w:sz="4" w:space="4" w:color="auto"/>
                    </w:pBdr>
                    <w:jc w:val="center"/>
                    <w:rPr>
                      <w:b/>
                    </w:rPr>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bookmarkStart w:id="1833" w:name="OLE_LINK1"/>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30" w:history="1">
                    <w:r>
                      <w:rPr>
                        <w:rStyle w:val="Lienhypertexte"/>
                        <w:szCs w:val="22"/>
                      </w:rPr>
                      <w:t>veronique.rombaut@cfwb.be</w:t>
                    </w:r>
                  </w:hyperlink>
                </w:p>
                <w:bookmarkEnd w:id="1833"/>
                <w:p w:rsidR="00F04EEF" w:rsidRDefault="0099351E">
                  <w:pPr>
                    <w:pStyle w:val="Corpsdetexte"/>
                    <w:rPr>
                      <w:b w:val="0"/>
                      <w:bCs/>
                      <w:szCs w:val="22"/>
                    </w:rPr>
                  </w:pPr>
                  <w:r>
                    <w:rPr>
                      <w:b w:val="0"/>
                      <w:bCs/>
                      <w:noProof/>
                      <w:szCs w:val="22"/>
                      <w:lang w:eastAsia="fr-BE"/>
                    </w:rPr>
                    <mc:AlternateContent>
                      <mc:Choice Requires="wps">
                        <w:drawing>
                          <wp:anchor distT="0" distB="0" distL="114300" distR="114300" simplePos="0" relativeHeight="252390400" behindDoc="0" locked="0" layoutInCell="1" allowOverlap="1">
                            <wp:simplePos x="0" y="0"/>
                            <wp:positionH relativeFrom="column">
                              <wp:posOffset>6300470</wp:posOffset>
                            </wp:positionH>
                            <wp:positionV relativeFrom="paragraph">
                              <wp:posOffset>55880</wp:posOffset>
                            </wp:positionV>
                            <wp:extent cx="0" cy="952500"/>
                            <wp:effectExtent l="0" t="0" r="19050" b="19050"/>
                            <wp:wrapNone/>
                            <wp:docPr id="605" name="Connecteur droit 605"/>
                            <wp:cNvGraphicFramePr/>
                            <a:graphic xmlns:a="http://schemas.openxmlformats.org/drawingml/2006/main">
                              <a:graphicData uri="http://schemas.microsoft.com/office/word/2010/wordprocessingShape">
                                <wps:wsp>
                                  <wps:cNvCnPr/>
                                  <wps:spPr>
                                    <a:xfrm>
                                      <a:off x="0" y="0"/>
                                      <a:ext cx="0" cy="952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2ECEB9" id="Connecteur droit 605" o:spid="_x0000_s1026" style="position:absolute;z-index:252390400;visibility:visible;mso-wrap-style:square;mso-wrap-distance-left:9pt;mso-wrap-distance-top:0;mso-wrap-distance-right:9pt;mso-wrap-distance-bottom:0;mso-position-horizontal:absolute;mso-position-horizontal-relative:text;mso-position-vertical:absolute;mso-position-vertical-relative:text" from="496.1pt,4.4pt" to="496.1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" strokecolor="black [3213]"/>
                        </w:pict>
                      </mc:Fallback>
                    </mc:AlternateContent>
                  </w:r>
                </w:p>
                <w:p w:rsidR="00F04EEF" w:rsidRDefault="0099351E">
                  <w:pPr>
                    <w:pStyle w:val="Corpsdetexte"/>
                    <w:rPr>
                      <w:b w:val="0"/>
                      <w:bCs/>
                      <w:szCs w:val="22"/>
                    </w:rPr>
                  </w:pPr>
                  <w:r>
                    <w:rPr>
                      <w:b w:val="0"/>
                      <w:bCs/>
                      <w:szCs w:val="22"/>
                    </w:rPr>
                    <w:t xml:space="preserve">Afin d’obtenir les subventions de fonctionnement, il y a lieu de respecter la procédure d’admission aux subventions décrite au </w:t>
                  </w:r>
                  <w:hyperlink w:anchor="_chapitre_3_:" w:history="1">
                    <w:r>
                      <w:rPr>
                        <w:rStyle w:val="Lienhypertexte"/>
                        <w:b w:val="0"/>
                        <w:bCs/>
                        <w:szCs w:val="22"/>
                      </w:rPr>
                      <w:t>chapitre 3</w:t>
                    </w:r>
                  </w:hyperlink>
                  <w:r>
                    <w:rPr>
                      <w:b w:val="0"/>
                      <w:bCs/>
                      <w:szCs w:val="22"/>
                    </w:rPr>
                    <w:t xml:space="preserve"> de la présente circulaire. </w:t>
                  </w:r>
                </w:p>
                <w:p w:rsidR="00F04EEF" w:rsidRDefault="00F04EEF">
                  <w:pPr>
                    <w:pStyle w:val="Corpsdetexte"/>
                    <w:rPr>
                      <w:b w:val="0"/>
                      <w:bCs/>
                      <w:szCs w:val="22"/>
                    </w:rPr>
                  </w:pPr>
                </w:p>
                <w:p w:rsidR="00F04EEF" w:rsidRDefault="0099351E">
                  <w:pPr>
                    <w:jc w:val="both"/>
                  </w:pPr>
                  <w:r>
                    <w:t xml:space="preserve">Le formulaire et les pièces jointes devront être introduits </w:t>
                  </w:r>
                  <w:r>
                    <w:rPr>
                      <w:b/>
                    </w:rPr>
                    <w:t>avant le 15 janvier de l’année scolaire</w:t>
                  </w:r>
                  <w:r>
                    <w:t xml:space="preserve"> précédant l’admission aux subventions. </w:t>
                  </w:r>
                </w:p>
                <w:p w:rsidR="00F04EEF" w:rsidRDefault="00F04EEF">
                  <w:pPr>
                    <w:jc w:val="both"/>
                    <w:rPr>
                      <w:b/>
                    </w:rPr>
                  </w:pPr>
                </w:p>
                <w:p w:rsidR="00F04EEF" w:rsidRDefault="0099351E">
                  <w:pPr>
                    <w:jc w:val="both"/>
                  </w:pPr>
                  <w:r>
                    <w:rPr>
                      <w:noProof/>
                      <w:lang w:eastAsia="fr-BE"/>
                    </w:rPr>
                    <mc:AlternateContent>
                      <mc:Choice Requires="wps">
                        <w:drawing>
                          <wp:anchor distT="0" distB="0" distL="114300" distR="114300" simplePos="0" relativeHeight="252391424" behindDoc="0" locked="0" layoutInCell="1" allowOverlap="1">
                            <wp:simplePos x="0" y="0"/>
                            <wp:positionH relativeFrom="column">
                              <wp:posOffset>6313170</wp:posOffset>
                            </wp:positionH>
                            <wp:positionV relativeFrom="paragraph">
                              <wp:posOffset>189230</wp:posOffset>
                            </wp:positionV>
                            <wp:extent cx="0" cy="6934200"/>
                            <wp:effectExtent l="0" t="0" r="19050" b="19050"/>
                            <wp:wrapNone/>
                            <wp:docPr id="606" name="Connecteur droit 606"/>
                            <wp:cNvGraphicFramePr/>
                            <a:graphic xmlns:a="http://schemas.openxmlformats.org/drawingml/2006/main">
                              <a:graphicData uri="http://schemas.microsoft.com/office/word/2010/wordprocessingShape">
                                <wps:wsp>
                                  <wps:cNvCnPr/>
                                  <wps:spPr>
                                    <a:xfrm>
                                      <a:off x="0" y="0"/>
                                      <a:ext cx="0" cy="6934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342D8A" id="Connecteur droit 606" o:spid="_x0000_s1026" style="position:absolute;z-index:252391424;visibility:visible;mso-wrap-style:square;mso-wrap-distance-left:9pt;mso-wrap-distance-top:0;mso-wrap-distance-right:9pt;mso-wrap-distance-bottom:0;mso-position-horizontal:absolute;mso-position-horizontal-relative:text;mso-position-vertical:absolute;mso-position-vertical-relative:text" from="497.1pt,14.9pt" to="497.1pt,5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" strokecolor="black [3213]"/>
                        </w:pict>
                      </mc:Fallback>
                    </mc:AlternateContent>
                  </w:r>
                </w:p>
                <w:p w:rsidR="00F04EEF" w:rsidRDefault="0099351E">
                  <w:pPr>
                    <w:pStyle w:val="Titre3"/>
                    <w:rPr>
                      <w:sz w:val="22"/>
                      <w:szCs w:val="22"/>
                    </w:rPr>
                  </w:pPr>
                  <w:bookmarkStart w:id="1834" w:name="_9._Programmation_d’une"/>
                  <w:bookmarkStart w:id="1835" w:name="_Toc47708489"/>
                  <w:bookmarkEnd w:id="1834"/>
                  <w:r>
                    <w:rPr>
                      <w:sz w:val="22"/>
                      <w:szCs w:val="22"/>
                    </w:rPr>
                    <w:t>9. Programmation d’une classe ou  implantation à visée inclusive</w:t>
                  </w:r>
                  <w:bookmarkEnd w:id="1835"/>
                </w:p>
                <w:p w:rsidR="00F04EEF" w:rsidRDefault="00F04EEF">
                  <w:pPr>
                    <w:jc w:val="both"/>
                    <w:rPr>
                      <w:rFonts w:eastAsia="Times New Roman" w:cs="Arial"/>
                      <w:bCs/>
                      <w:lang w:eastAsia="ar-SA"/>
                    </w:rPr>
                  </w:pPr>
                </w:p>
                <w:p w:rsidR="00F04EEF" w:rsidRDefault="0099351E">
                  <w:pPr>
                    <w:jc w:val="both"/>
                    <w:rPr>
                      <w:rFonts w:eastAsia="Times New Roman" w:cs="Arial"/>
                      <w:bCs/>
                      <w:lang w:eastAsia="ar-SA"/>
                    </w:rPr>
                  </w:pPr>
                  <w:r>
                    <w:rPr>
                      <w:rFonts w:eastAsia="Times New Roman" w:cs="Arial"/>
                      <w:bCs/>
                      <w:lang w:eastAsia="ar-SA"/>
                    </w:rPr>
                    <w:t xml:space="preserve">Pour tout renseignement, se référer au </w:t>
                  </w:r>
                  <w:hyperlink w:anchor="_7.6._Informations_pratiques." w:history="1">
                    <w:r>
                      <w:rPr>
                        <w:rStyle w:val="Lienhypertexte"/>
                        <w:rFonts w:eastAsia="Times New Roman" w:cs="Arial"/>
                        <w:bCs/>
                        <w:lang w:eastAsia="ar-SA"/>
                      </w:rPr>
                      <w:t>point 7.6. Informations pratiques du chapitre 14</w:t>
                    </w:r>
                  </w:hyperlink>
                  <w:r>
                    <w:rPr>
                      <w:rFonts w:eastAsia="Times New Roman" w:cs="Arial"/>
                      <w:bCs/>
                      <w:lang w:eastAsia="ar-SA"/>
                    </w:rPr>
                    <w:t xml:space="preserve"> de la présente circulaire.</w:t>
                  </w:r>
                </w:p>
                <w:p w:rsidR="00F04EEF" w:rsidRDefault="00F04EEF">
                  <w:pPr>
                    <w:jc w:val="both"/>
                    <w:rPr>
                      <w:rFonts w:eastAsia="Times New Roman" w:cs="Arial"/>
                      <w:bCs/>
                      <w:lang w:eastAsia="ar-SA"/>
                    </w:rPr>
                  </w:pPr>
                </w:p>
                <w:p w:rsidR="00F04EEF" w:rsidRDefault="00F04EEF">
                  <w:pPr>
                    <w:jc w:val="both"/>
                    <w:rPr>
                      <w:rFonts w:eastAsia="Times New Roman" w:cs="Arial"/>
                      <w:bCs/>
                      <w:lang w:eastAsia="ar-SA"/>
                    </w:rPr>
                  </w:pPr>
                </w:p>
                <w:p w:rsidR="00F04EEF" w:rsidRDefault="0099351E">
                  <w:pPr>
                    <w:pStyle w:val="Titre3"/>
                    <w:rPr>
                      <w:sz w:val="22"/>
                      <w:szCs w:val="22"/>
                    </w:rPr>
                  </w:pPr>
                  <w:bookmarkStart w:id="1836" w:name="_10_Organisation_d’un"/>
                  <w:bookmarkStart w:id="1837" w:name="_Toc47708490"/>
                  <w:bookmarkEnd w:id="1836"/>
                  <w:r>
                    <w:rPr>
                      <w:sz w:val="22"/>
                      <w:szCs w:val="22"/>
                    </w:rPr>
                    <w:t>10. Organisation d’un enseignement de type 8 au niveau secondaire de l’enseignement spécialisé de forme 3</w:t>
                  </w:r>
                  <w:bookmarkEnd w:id="1837"/>
                </w:p>
                <w:p w:rsidR="00F04EEF" w:rsidRDefault="00F04EEF">
                  <w:pPr>
                    <w:widowControl w:val="0"/>
                    <w:autoSpaceDE w:val="0"/>
                    <w:autoSpaceDN w:val="0"/>
                    <w:adjustRightInd w:val="0"/>
                    <w:spacing w:before="19" w:line="220" w:lineRule="exact"/>
                    <w:jc w:val="both"/>
                    <w:rPr>
                      <w:rFonts w:cs="Georgia"/>
                      <w:color w:val="000000"/>
                    </w:rPr>
                  </w:pPr>
                </w:p>
                <w:p w:rsidR="00F04EEF" w:rsidRDefault="0099351E">
                  <w:pPr>
                    <w:widowControl w:val="0"/>
                    <w:autoSpaceDE w:val="0"/>
                    <w:autoSpaceDN w:val="0"/>
                    <w:adjustRightInd w:val="0"/>
                    <w:spacing w:before="19" w:line="220" w:lineRule="exact"/>
                    <w:jc w:val="both"/>
                    <w:rPr>
                      <w:rFonts w:cs="Georgia"/>
                      <w:b/>
                      <w:color w:val="000000"/>
                      <w:u w:val="single"/>
                    </w:rPr>
                  </w:pPr>
                  <w:r>
                    <w:rPr>
                      <w:rFonts w:cs="Georgia"/>
                      <w:b/>
                      <w:color w:val="000000"/>
                      <w:u w:val="single"/>
                    </w:rPr>
                    <w:t>10.1. Principes généraux</w:t>
                  </w:r>
                </w:p>
                <w:p w:rsidR="00F04EEF" w:rsidRDefault="00F04EEF">
                  <w:pPr>
                    <w:widowControl w:val="0"/>
                    <w:autoSpaceDE w:val="0"/>
                    <w:autoSpaceDN w:val="0"/>
                    <w:adjustRightInd w:val="0"/>
                    <w:spacing w:before="19" w:line="220" w:lineRule="exact"/>
                    <w:jc w:val="both"/>
                    <w:rPr>
                      <w:rFonts w:cs="Georgia"/>
                      <w:color w:val="000000"/>
                    </w:rPr>
                  </w:pPr>
                </w:p>
                <w:p w:rsidR="00F04EEF" w:rsidRDefault="0099351E">
                  <w:pPr>
                    <w:widowControl w:val="0"/>
                    <w:autoSpaceDE w:val="0"/>
                    <w:autoSpaceDN w:val="0"/>
                    <w:adjustRightInd w:val="0"/>
                    <w:spacing w:before="19" w:line="220" w:lineRule="exact"/>
                    <w:jc w:val="both"/>
                    <w:rPr>
                      <w:rFonts w:cs="Georgia"/>
                      <w:color w:val="000000"/>
                    </w:rPr>
                  </w:pPr>
                  <w:r>
                    <w:rPr>
                      <w:rFonts w:cs="Georgia"/>
                      <w:color w:val="000000"/>
                    </w:rPr>
                    <w:t xml:space="preserve">L’inscription dans l’enseignement secondaire spécialisé de type 8 est autorisée uniquement en enseignement de forme 3 moyennant le respect des conditions suivantes : </w:t>
                  </w:r>
                </w:p>
                <w:p w:rsidR="00F04EEF" w:rsidRDefault="0099351E">
                  <w:pPr>
                    <w:pStyle w:val="Paragraphedeliste"/>
                    <w:widowControl w:val="0"/>
                    <w:numPr>
                      <w:ilvl w:val="0"/>
                      <w:numId w:val="362"/>
                    </w:numPr>
                    <w:tabs>
                      <w:tab w:val="clear" w:pos="360"/>
                      <w:tab w:val="num" w:pos="567"/>
                    </w:tabs>
                    <w:autoSpaceDE w:val="0"/>
                    <w:autoSpaceDN w:val="0"/>
                    <w:adjustRightInd w:val="0"/>
                    <w:spacing w:before="19" w:line="220" w:lineRule="exact"/>
                    <w:ind w:left="567" w:hanging="283"/>
                    <w:jc w:val="both"/>
                    <w:rPr>
                      <w:rFonts w:asciiTheme="minorHAnsi" w:eastAsiaTheme="minorHAnsi" w:hAnsiTheme="minorHAnsi" w:cs="Georgia"/>
                      <w:color w:val="000000"/>
                      <w:sz w:val="22"/>
                      <w:szCs w:val="22"/>
                      <w:lang w:eastAsia="en-US"/>
                    </w:rPr>
                  </w:pPr>
                  <w:r>
                    <w:rPr>
                      <w:rFonts w:asciiTheme="minorHAnsi" w:eastAsiaTheme="minorHAnsi" w:hAnsiTheme="minorHAnsi" w:cs="Georgia"/>
                      <w:color w:val="000000"/>
                      <w:sz w:val="22"/>
                      <w:szCs w:val="22"/>
                      <w:lang w:eastAsia="en-US"/>
                    </w:rPr>
                    <w:t>Soit l’élève fréquente l’enseignement primaire spécialisé de type 8, entre le 15 octobre et le 30 juin de l’année précédente, et pour autant qu’il n’ait pas obtenu son CEB</w:t>
                  </w:r>
                  <w:r>
                    <w:rPr>
                      <w:rFonts w:asciiTheme="minorHAnsi" w:eastAsiaTheme="minorHAnsi" w:hAnsiTheme="minorHAnsi" w:cs="Georgia"/>
                      <w:sz w:val="22"/>
                      <w:szCs w:val="22"/>
                      <w:lang w:eastAsia="en-US"/>
                    </w:rPr>
                    <w:footnoteReference w:id="111"/>
                  </w:r>
                  <w:r>
                    <w:rPr>
                      <w:rFonts w:asciiTheme="minorHAnsi" w:eastAsiaTheme="minorHAnsi" w:hAnsiTheme="minorHAnsi" w:cs="Georgia"/>
                      <w:color w:val="000000"/>
                      <w:sz w:val="22"/>
                      <w:szCs w:val="22"/>
                      <w:lang w:eastAsia="en-US"/>
                    </w:rPr>
                    <w:t> ;</w:t>
                  </w:r>
                </w:p>
                <w:p w:rsidR="00F04EEF" w:rsidRDefault="0099351E">
                  <w:pPr>
                    <w:pStyle w:val="Paragraphedeliste"/>
                    <w:numPr>
                      <w:ilvl w:val="0"/>
                      <w:numId w:val="362"/>
                    </w:numPr>
                    <w:tabs>
                      <w:tab w:val="clear" w:pos="360"/>
                      <w:tab w:val="num" w:pos="567"/>
                    </w:tabs>
                    <w:autoSpaceDE w:val="0"/>
                    <w:autoSpaceDN w:val="0"/>
                    <w:ind w:left="567" w:hanging="283"/>
                    <w:jc w:val="both"/>
                    <w:rPr>
                      <w:rFonts w:cs="Georgia"/>
                      <w:color w:val="000000"/>
                    </w:rPr>
                  </w:pPr>
                  <w:r>
                    <w:rPr>
                      <w:rFonts w:asciiTheme="minorHAnsi" w:eastAsiaTheme="minorHAnsi" w:hAnsiTheme="minorHAnsi" w:cs="Georgia"/>
                      <w:color w:val="000000"/>
                      <w:sz w:val="22"/>
                      <w:szCs w:val="22"/>
                      <w:lang w:eastAsia="en-US"/>
                    </w:rPr>
                    <w:t>Soit l’élève possède, entre le 15 octobre et le 30 juin de l’année précédente, une attestation d’orientation vers l’enseignement spécialisé de type 8 et est en intégration permanente totale dans l’enseignement primaire ordinaire, et pour autant qu’il n’ait pas obtenu son CEB</w:t>
                  </w:r>
                  <w:r>
                    <w:rPr>
                      <w:rFonts w:asciiTheme="minorHAnsi" w:eastAsiaTheme="minorHAnsi" w:hAnsiTheme="minorHAnsi" w:cs="Georgia"/>
                      <w:sz w:val="22"/>
                      <w:szCs w:val="22"/>
                      <w:lang w:eastAsia="en-US"/>
                    </w:rPr>
                    <w:footnoteReference w:id="112"/>
                  </w:r>
                  <w:r>
                    <w:rPr>
                      <w:rFonts w:cs="Georgia"/>
                      <w:color w:val="000000"/>
                    </w:rPr>
                    <w:t xml:space="preserve"> </w:t>
                  </w:r>
                  <w:r>
                    <w:rPr>
                      <w:rFonts w:cs="Georgia"/>
                      <w:color w:val="000000"/>
                      <w:vertAlign w:val="superscript"/>
                    </w:rPr>
                    <w:t>.</w:t>
                  </w:r>
                  <w:r>
                    <w:rPr>
                      <w:rFonts w:cs="Georgia"/>
                      <w:color w:val="000000"/>
                    </w:rPr>
                    <w:t xml:space="preserve"> </w:t>
                  </w:r>
                </w:p>
                <w:p w:rsidR="00F04EEF" w:rsidRDefault="00F04EEF">
                  <w:pPr>
                    <w:autoSpaceDE w:val="0"/>
                    <w:autoSpaceDN w:val="0"/>
                    <w:jc w:val="both"/>
                    <w:rPr>
                      <w:rFonts w:cs="Georgia"/>
                      <w:color w:val="000000"/>
                    </w:rPr>
                  </w:pPr>
                </w:p>
                <w:p w:rsidR="00F04EEF" w:rsidRDefault="0099351E">
                  <w:pPr>
                    <w:jc w:val="both"/>
                  </w:pPr>
                  <w:r>
                    <w:t>Un élève qui a fréquenté l’enseignement primaire spécialisé de type 8, entre le 15 octobre et le 30 juin de l’année précédente, et pour autant qu’il n’ait pas obtenu son CEB et qui veut entamer ou poursuivre une intégration dans l’enseignement secondaire ordinaire, ne peut bénéficier que de l’intégration permanente totale.  Ainsi, il est inscrit dans l’enseignement secondaire ordinaire et doit être suivi par une école secondaire qui organise l’enseignement de forme 3. </w:t>
                  </w:r>
                </w:p>
                <w:p w:rsidR="00F04EEF" w:rsidRDefault="00F04EEF"/>
                <w:p w:rsidR="00F04EEF" w:rsidRDefault="0099351E">
                  <w:pPr>
                    <w:jc w:val="both"/>
                  </w:pPr>
                  <w:r>
                    <w:t>En ce qui concerne les élèves qui étaient en intégration ou non dans l’enseignement primaire de type 8 et qui ont obtenu leur CEB, ces élèves ne peuvent pas fréquenter une école d’enseignement secondaire spécialisé de forme 3, type 8.</w:t>
                  </w:r>
                </w:p>
                <w:p w:rsidR="00F04EEF" w:rsidRDefault="00F04EEF">
                  <w:pPr>
                    <w:jc w:val="both"/>
                  </w:pPr>
                </w:p>
                <w:p w:rsidR="00F04EEF" w:rsidRDefault="0099351E">
                  <w:pPr>
                    <w:rPr>
                      <w:b/>
                      <w:bCs/>
                      <w:u w:val="single"/>
                    </w:rPr>
                  </w:pPr>
                  <w:r>
                    <w:rPr>
                      <w:b/>
                      <w:bCs/>
                      <w:u w:val="single"/>
                    </w:rPr>
                    <w:br w:type="page"/>
                  </w:r>
                </w:p>
                <w:p w:rsidR="00F04EEF" w:rsidRDefault="0099351E">
                  <w:pPr>
                    <w:pBdr>
                      <w:right w:val="single" w:sz="4" w:space="31" w:color="auto"/>
                    </w:pBdr>
                    <w:jc w:val="both"/>
                    <w:rPr>
                      <w:b/>
                      <w:bCs/>
                      <w:u w:val="single"/>
                    </w:rPr>
                  </w:pPr>
                  <w:r>
                    <w:rPr>
                      <w:b/>
                      <w:bCs/>
                      <w:u w:val="single"/>
                    </w:rPr>
                    <w:t>10.2. L’élève en intégration permanente totale :</w:t>
                  </w:r>
                </w:p>
                <w:p w:rsidR="00F04EEF" w:rsidRDefault="00F04EEF">
                  <w:pPr>
                    <w:pBdr>
                      <w:right w:val="single" w:sz="4" w:space="31" w:color="auto"/>
                    </w:pBdr>
                    <w:jc w:val="both"/>
                  </w:pPr>
                </w:p>
                <w:p w:rsidR="00F04EEF" w:rsidRDefault="0099351E">
                  <w:pPr>
                    <w:pBdr>
                      <w:right w:val="single" w:sz="4" w:space="31" w:color="auto"/>
                    </w:pBdr>
                    <w:jc w:val="both"/>
                  </w:pPr>
                  <w:r>
                    <w:t>L’élève qui est en intégration permanente totale dans l’enseignement secondaire ordinaire, détenteur du CEB et ayant une attestation d’orientation type 8 est comptabilisé dans l’enseignement secondaire ordinaire.</w:t>
                  </w:r>
                </w:p>
                <w:p w:rsidR="00F04EEF" w:rsidRDefault="00F04EEF">
                  <w:pPr>
                    <w:pBdr>
                      <w:right w:val="single" w:sz="4" w:space="31" w:color="auto"/>
                    </w:pBdr>
                    <w:jc w:val="both"/>
                  </w:pPr>
                </w:p>
                <w:p w:rsidR="00F04EEF" w:rsidRDefault="0099351E">
                  <w:pPr>
                    <w:pBdr>
                      <w:right w:val="single" w:sz="4" w:space="31" w:color="auto"/>
                    </w:pBdr>
                    <w:jc w:val="both"/>
                  </w:pPr>
                  <w:r>
                    <w:t>Il bénéficie d’un encadrement par du personnel d’une école secondaire spécialisée de forme 3 de type 8 ou d’un autre type.</w:t>
                  </w:r>
                </w:p>
                <w:p w:rsidR="00F04EEF" w:rsidRDefault="00F04EEF">
                  <w:pPr>
                    <w:pBdr>
                      <w:right w:val="single" w:sz="4" w:space="31" w:color="auto"/>
                    </w:pBdr>
                    <w:jc w:val="both"/>
                  </w:pPr>
                </w:p>
                <w:p w:rsidR="00F04EEF" w:rsidRDefault="0099351E">
                  <w:pPr>
                    <w:pBdr>
                      <w:right w:val="single" w:sz="4" w:space="31" w:color="auto"/>
                    </w:pBdr>
                    <w:jc w:val="both"/>
                  </w:pPr>
                  <w:r>
                    <w:t>En effet, ce sont les règles régissant les intégrations permanentes totales et les règles de l’enseignement secondaire ordinaire qui sont applicables et non plus les règles régissant l’enseignement secondaire de type 8. L’élève ne doit donc pas faire modifier son attestation d’orientation.</w:t>
                  </w:r>
                </w:p>
                <w:p w:rsidR="00F04EEF" w:rsidRDefault="00F04EEF">
                  <w:pPr>
                    <w:pBdr>
                      <w:right w:val="single" w:sz="4" w:space="31" w:color="auto"/>
                    </w:pBdr>
                    <w:jc w:val="both"/>
                  </w:pPr>
                </w:p>
                <w:p w:rsidR="00F04EEF" w:rsidRDefault="0099351E">
                  <w:pPr>
                    <w:jc w:val="both"/>
                    <w:rPr>
                      <w:b/>
                      <w:bCs/>
                      <w:u w:val="single"/>
                    </w:rPr>
                  </w:pPr>
                  <w:r>
                    <w:rPr>
                      <w:b/>
                      <w:bCs/>
                      <w:noProof/>
                      <w:u w:val="single"/>
                      <w:lang w:eastAsia="fr-BE"/>
                    </w:rPr>
                    <mc:AlternateContent>
                      <mc:Choice Requires="wps">
                        <w:drawing>
                          <wp:anchor distT="0" distB="0" distL="114300" distR="114300" simplePos="0" relativeHeight="252392448" behindDoc="0" locked="0" layoutInCell="1" allowOverlap="1">
                            <wp:simplePos x="0" y="0"/>
                            <wp:positionH relativeFrom="column">
                              <wp:posOffset>6338570</wp:posOffset>
                            </wp:positionH>
                            <wp:positionV relativeFrom="paragraph">
                              <wp:posOffset>-115570</wp:posOffset>
                            </wp:positionV>
                            <wp:extent cx="0" cy="5372100"/>
                            <wp:effectExtent l="0" t="0" r="19050" b="19050"/>
                            <wp:wrapNone/>
                            <wp:docPr id="607" name="Connecteur droit 607"/>
                            <wp:cNvGraphicFramePr/>
                            <a:graphic xmlns:a="http://schemas.openxmlformats.org/drawingml/2006/main">
                              <a:graphicData uri="http://schemas.microsoft.com/office/word/2010/wordprocessingShape">
                                <wps:wsp>
                                  <wps:cNvCnPr/>
                                  <wps:spPr>
                                    <a:xfrm>
                                      <a:off x="0" y="0"/>
                                      <a:ext cx="0" cy="5372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57294E" id="Connecteur droit 607" o:spid="_x0000_s1026" style="position:absolute;z-index:252392448;visibility:visible;mso-wrap-style:square;mso-wrap-distance-left:9pt;mso-wrap-distance-top:0;mso-wrap-distance-right:9pt;mso-wrap-distance-bottom:0;mso-position-horizontal:absolute;mso-position-horizontal-relative:text;mso-position-vertical:absolute;mso-position-vertical-relative:text" from="499.1pt,-9.1pt" to="499.1pt,4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" strokecolor="black [3213]"/>
                        </w:pict>
                      </mc:Fallback>
                    </mc:AlternateContent>
                  </w:r>
                  <w:r>
                    <w:rPr>
                      <w:b/>
                      <w:bCs/>
                      <w:u w:val="single"/>
                    </w:rPr>
                    <w:t>10.3. Encadrement</w:t>
                  </w:r>
                </w:p>
                <w:p w:rsidR="00F04EEF" w:rsidRDefault="00F04EEF">
                  <w:pPr>
                    <w:jc w:val="both"/>
                  </w:pPr>
                </w:p>
                <w:p w:rsidR="00F04EEF" w:rsidRDefault="0099351E">
                  <w:pPr>
                    <w:jc w:val="both"/>
                  </w:pPr>
                  <w:r>
                    <w:t xml:space="preserve">Pour chaque élève relevant de l’enseignement secondaire spécialisé de type 8, l’accompagnement est assuré par du personnel de l’enseignement secondaire spécialisé de type 8 ou par du personnel de l’enseignement secondaire spécialisé de forme 3 ou de forme 4. </w:t>
                  </w:r>
                </w:p>
                <w:p w:rsidR="00F04EEF" w:rsidRDefault="00F04EEF">
                  <w:pPr>
                    <w:jc w:val="both"/>
                  </w:pPr>
                </w:p>
                <w:p w:rsidR="00F04EEF" w:rsidRDefault="0099351E">
                  <w:pPr>
                    <w:jc w:val="both"/>
                    <w:rPr>
                      <w:b/>
                      <w:bCs/>
                      <w:u w:val="single"/>
                    </w:rPr>
                  </w:pPr>
                  <w:r>
                    <w:rPr>
                      <w:b/>
                      <w:bCs/>
                      <w:u w:val="single"/>
                    </w:rPr>
                    <w:t>10.4. Obtention du CEB lors du cursus en enseignement secondaire de type 8</w:t>
                  </w:r>
                </w:p>
                <w:p w:rsidR="00F04EEF" w:rsidRDefault="00F04EEF">
                  <w:pPr>
                    <w:jc w:val="both"/>
                  </w:pPr>
                </w:p>
                <w:p w:rsidR="00F04EEF" w:rsidRDefault="0099351E">
                  <w:r>
                    <w:t>Si l’élève obtient son CEB pendant le cursus en type 8, forme 3, il peut poursuivre ses études dans l’enseignement secondaire de type 8, forme 3.</w:t>
                  </w:r>
                </w:p>
                <w:p w:rsidR="00F04EEF" w:rsidRDefault="0099351E">
                  <w:r>
                    <w:t>En effet, la non obtention du CEB doit être envisagée uniquement comme une condition d’inscription dans l’enseignement secondaire de type 8.</w:t>
                  </w:r>
                </w:p>
                <w:p w:rsidR="00F04EEF" w:rsidRDefault="00F04EEF">
                  <w:pPr>
                    <w:jc w:val="both"/>
                  </w:pPr>
                </w:p>
                <w:p w:rsidR="00F04EEF" w:rsidRDefault="0099351E">
                  <w:pPr>
                    <w:jc w:val="both"/>
                    <w:rPr>
                      <w:b/>
                      <w:bCs/>
                      <w:u w:val="single"/>
                    </w:rPr>
                  </w:pPr>
                  <w:r>
                    <w:rPr>
                      <w:b/>
                      <w:bCs/>
                      <w:u w:val="single"/>
                    </w:rPr>
                    <w:t>10.5. Organisation</w:t>
                  </w:r>
                </w:p>
                <w:p w:rsidR="00F04EEF" w:rsidRDefault="00F04EEF">
                  <w:pPr>
                    <w:jc w:val="both"/>
                  </w:pPr>
                </w:p>
                <w:p w:rsidR="00F04EEF" w:rsidRDefault="0099351E">
                  <w:pPr>
                    <w:jc w:val="both"/>
                  </w:pPr>
                  <w:r>
                    <w:t xml:space="preserve">Les écoles qui n’organisent pas l’enseignement de forme 3 et qui souhaitent accueillir des élèves relevant de l’enseignement de type 8 doivent créer la forme 3 en respectant les normes de rationalisation de l’enseignement secondaire spécialisé de forme 3. </w:t>
                  </w:r>
                </w:p>
                <w:p w:rsidR="00F04EEF" w:rsidRDefault="00F04EEF">
                  <w:pPr>
                    <w:autoSpaceDE w:val="0"/>
                    <w:autoSpaceDN w:val="0"/>
                    <w:jc w:val="both"/>
                    <w:rPr>
                      <w:rFonts w:cs="Georgia"/>
                      <w:color w:val="000000"/>
                    </w:rPr>
                  </w:pPr>
                </w:p>
                <w:p w:rsidR="00F04EEF" w:rsidRDefault="0099351E">
                  <w:pPr>
                    <w:autoSpaceDE w:val="0"/>
                    <w:autoSpaceDN w:val="0"/>
                    <w:jc w:val="both"/>
                    <w:rPr>
                      <w:rFonts w:cs="Georgia"/>
                      <w:color w:val="000000"/>
                    </w:rPr>
                  </w:pPr>
                  <w:r>
                    <w:rPr>
                      <w:rFonts w:cs="Georgia"/>
                      <w:color w:val="000000"/>
                    </w:rPr>
                    <w:t xml:space="preserve">Les établissements d’enseignement secondaire de forme 3 qui souhaitent organiser un enseignement de type 8 sont tenus d’informer l’Administration : </w:t>
                  </w:r>
                </w:p>
                <w:p w:rsidR="00F04EEF" w:rsidRDefault="00F04EEF">
                  <w:pPr>
                    <w:jc w:val="both"/>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31" w:history="1">
                    <w:r>
                      <w:rPr>
                        <w:rStyle w:val="Lienhypertexte"/>
                        <w:szCs w:val="22"/>
                      </w:rPr>
                      <w:t>veronique.rombaut@cfwb.be</w:t>
                    </w:r>
                  </w:hyperlink>
                </w:p>
                <w:p w:rsidR="00F04EEF" w:rsidRDefault="00F04EEF">
                  <w:pPr>
                    <w:pStyle w:val="Corpsdetexte"/>
                    <w:rPr>
                      <w:b w:val="0"/>
                      <w:bCs/>
                      <w:szCs w:val="22"/>
                    </w:rPr>
                  </w:pPr>
                </w:p>
                <w:p w:rsidR="00F04EEF" w:rsidRDefault="0099351E">
                  <w:pPr>
                    <w:pStyle w:val="Titre3"/>
                    <w:rPr>
                      <w:sz w:val="22"/>
                      <w:szCs w:val="22"/>
                    </w:rPr>
                  </w:pPr>
                  <w:bookmarkStart w:id="1838" w:name="_10._Annexe"/>
                  <w:bookmarkStart w:id="1839" w:name="_10._Annexes"/>
                  <w:bookmarkStart w:id="1840" w:name="_Toc453314310"/>
                  <w:bookmarkStart w:id="1841" w:name="_Toc454980345"/>
                  <w:bookmarkStart w:id="1842" w:name="_Toc47708491"/>
                  <w:bookmarkEnd w:id="1838"/>
                  <w:bookmarkEnd w:id="1839"/>
                  <w:r>
                    <w:rPr>
                      <w:sz w:val="22"/>
                      <w:szCs w:val="22"/>
                    </w:rPr>
                    <w:t>11. Annexe</w:t>
                  </w:r>
                  <w:bookmarkEnd w:id="1840"/>
                  <w:bookmarkEnd w:id="1841"/>
                  <w:r>
                    <w:rPr>
                      <w:sz w:val="22"/>
                      <w:szCs w:val="22"/>
                    </w:rPr>
                    <w:t>s</w:t>
                  </w:r>
                  <w:bookmarkEnd w:id="1842"/>
                </w:p>
                <w:p w:rsidR="00F04EEF" w:rsidRDefault="00F04EEF">
                  <w:pPr>
                    <w:jc w:val="both"/>
                    <w:rPr>
                      <w:b/>
                    </w:rPr>
                  </w:pPr>
                </w:p>
                <w:p w:rsidR="00F04EEF" w:rsidRDefault="0099351E">
                  <w:pPr>
                    <w:autoSpaceDE w:val="0"/>
                    <w:autoSpaceDN w:val="0"/>
                    <w:adjustRightInd w:val="0"/>
                    <w:jc w:val="both"/>
                    <w:rPr>
                      <w:rFonts w:cs="CenturySchoolbook"/>
                    </w:rPr>
                  </w:pPr>
                  <w:r>
                    <w:rPr>
                      <w:rFonts w:cs="CenturySchoolbook"/>
                    </w:rPr>
                    <w:t>En application de l'article 4, § 1er, 29°, du décret du 3 mars 2004 organisant l'enseignement spécialisé, les zones de l'enseignement spécialisé sont constituées de la manière suivante :</w:t>
                  </w:r>
                </w:p>
                <w:p w:rsidR="00F04EEF" w:rsidRDefault="00F04EEF">
                  <w:pPr>
                    <w:autoSpaceDE w:val="0"/>
                    <w:autoSpaceDN w:val="0"/>
                    <w:adjustRightInd w:val="0"/>
                    <w:jc w:val="both"/>
                    <w:rPr>
                      <w:rFonts w:cs="CenturySchoolbook"/>
                    </w:rPr>
                  </w:pPr>
                </w:p>
                <w:p w:rsidR="00F04EEF" w:rsidRDefault="0099351E">
                  <w:pPr>
                    <w:pStyle w:val="Paragraphedeliste"/>
                    <w:numPr>
                      <w:ilvl w:val="0"/>
                      <w:numId w:val="68"/>
                    </w:numPr>
                    <w:tabs>
                      <w:tab w:val="clear" w:pos="360"/>
                      <w:tab w:val="num" w:pos="426"/>
                    </w:tabs>
                    <w:autoSpaceDE w:val="0"/>
                    <w:autoSpaceDN w:val="0"/>
                    <w:adjustRightInd w:val="0"/>
                    <w:ind w:left="426" w:hanging="426"/>
                    <w:jc w:val="both"/>
                  </w:pPr>
                  <w:r>
                    <w:rPr>
                      <w:rFonts w:asciiTheme="minorHAnsi" w:eastAsiaTheme="minorHAnsi" w:hAnsiTheme="minorHAnsi" w:cs="CenturySchoolbook"/>
                      <w:sz w:val="22"/>
                      <w:szCs w:val="22"/>
                      <w:lang w:eastAsia="en-US"/>
                    </w:rPr>
                    <w:t>pour l'enseignement secondaire spécialisé, celles-ci sont définies telles que déterminées à l'article 1er de l'arrêté de l'Exécutif de la Communauté française du 15 mars 1993 fixant les obligations de concertation entre établissements dans l'enseignement secondaire de plein exercice</w:t>
                  </w:r>
                  <w:r>
                    <w:rPr>
                      <w:rFonts w:asciiTheme="majorHAnsi" w:hAnsiTheme="majorHAnsi" w:cs="CenturySchoolbook"/>
                      <w:sz w:val="22"/>
                      <w:szCs w:val="22"/>
                    </w:rPr>
                    <w:t>.</w:t>
                  </w:r>
                </w:p>
                <w:p w:rsidR="00F04EEF" w:rsidRDefault="0099351E">
                  <w:r>
                    <w:br w:type="page"/>
                  </w:r>
                </w:p>
                <w:p w:rsidR="00F04EEF" w:rsidRDefault="0099351E">
                  <w:pPr>
                    <w:pStyle w:val="Titre4"/>
                  </w:pPr>
                  <w:r>
                    <w:t>Annexe 1 : Liste des zones concernant l’enseignement secondaire</w:t>
                  </w:r>
                </w:p>
                <w:p w:rsidR="00F04EEF" w:rsidRDefault="00F04E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2517"/>
                    <w:gridCol w:w="2515"/>
                    <w:gridCol w:w="2240"/>
                  </w:tblGrid>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1</w:t>
                        </w:r>
                      </w:p>
                    </w:tc>
                    <w:tc>
                      <w:tcPr>
                        <w:tcW w:w="7272" w:type="dxa"/>
                        <w:gridSpan w:val="3"/>
                      </w:tcPr>
                      <w:p w:rsidR="00F04EEF" w:rsidRDefault="0099351E">
                        <w:pPr>
                          <w:rPr>
                            <w:sz w:val="20"/>
                            <w:szCs w:val="20"/>
                          </w:rPr>
                        </w:pPr>
                        <w:r>
                          <w:rPr>
                            <w:rFonts w:cs="Century Schoolbook"/>
                            <w:sz w:val="20"/>
                            <w:szCs w:val="20"/>
                          </w:rPr>
                          <w:t>Région de Bruxelles-Capitale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Schoolbook-Italic"/>
                            <w:iCs/>
                            <w:sz w:val="20"/>
                            <w:szCs w:val="20"/>
                          </w:rPr>
                        </w:pPr>
                        <w:r>
                          <w:rPr>
                            <w:rFonts w:cs="CenturySchoolbook-Italic"/>
                            <w:iCs/>
                            <w:sz w:val="20"/>
                            <w:szCs w:val="20"/>
                          </w:rPr>
                          <w:t>Anderlecht</w:t>
                        </w:r>
                      </w:p>
                    </w:tc>
                    <w:tc>
                      <w:tcPr>
                        <w:tcW w:w="2515" w:type="dxa"/>
                      </w:tcPr>
                      <w:p w:rsidR="00F04EEF" w:rsidRDefault="0099351E">
                        <w:pPr>
                          <w:rPr>
                            <w:rFonts w:cs="Century Schoolbook"/>
                            <w:sz w:val="20"/>
                            <w:szCs w:val="20"/>
                          </w:rPr>
                        </w:pPr>
                        <w:r>
                          <w:rPr>
                            <w:rFonts w:cs="CenturySchoolbook-Italic"/>
                            <w:iCs/>
                            <w:sz w:val="20"/>
                            <w:szCs w:val="20"/>
                          </w:rPr>
                          <w:t>Koekelberg</w:t>
                        </w:r>
                      </w:p>
                    </w:tc>
                    <w:tc>
                      <w:tcPr>
                        <w:tcW w:w="2240" w:type="dxa"/>
                      </w:tcPr>
                      <w:p w:rsidR="00F04EEF" w:rsidRDefault="0099351E">
                        <w:pPr>
                          <w:rPr>
                            <w:rFonts w:cs="CenturySchoolbook-Italic"/>
                            <w:iCs/>
                            <w:sz w:val="20"/>
                            <w:szCs w:val="20"/>
                          </w:rPr>
                        </w:pPr>
                        <w:r>
                          <w:rPr>
                            <w:rFonts w:cs="CenturySchoolbook-Italic"/>
                            <w:iCs/>
                            <w:sz w:val="20"/>
                            <w:szCs w:val="20"/>
                          </w:rPr>
                          <w:t>Saint-Josse-ten-Noode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Auderghem</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Molenbeek-Saint-Jean</w:t>
                        </w:r>
                      </w:p>
                    </w:tc>
                    <w:tc>
                      <w:tcPr>
                        <w:tcW w:w="2240" w:type="dxa"/>
                      </w:tcPr>
                      <w:p w:rsidR="00F04EEF" w:rsidRDefault="0099351E">
                        <w:pPr>
                          <w:rPr>
                            <w:rFonts w:cs="Century Schoolbook"/>
                            <w:sz w:val="20"/>
                            <w:szCs w:val="20"/>
                          </w:rPr>
                        </w:pPr>
                        <w:r>
                          <w:rPr>
                            <w:rFonts w:cs="CenturySchoolbook-Italic"/>
                            <w:iCs/>
                            <w:sz w:val="20"/>
                            <w:szCs w:val="20"/>
                          </w:rPr>
                          <w:t>Schaerbeek</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Berchem-Sainte-Agathe</w:t>
                        </w:r>
                      </w:p>
                    </w:tc>
                    <w:tc>
                      <w:tcPr>
                        <w:tcW w:w="2515" w:type="dxa"/>
                      </w:tcPr>
                      <w:p w:rsidR="00F04EEF" w:rsidRDefault="0099351E">
                        <w:pPr>
                          <w:rPr>
                            <w:rFonts w:cs="Century Schoolbook"/>
                            <w:sz w:val="20"/>
                            <w:szCs w:val="20"/>
                          </w:rPr>
                        </w:pPr>
                        <w:r>
                          <w:rPr>
                            <w:rFonts w:cs="CenturySchoolbook-Italic"/>
                            <w:iCs/>
                            <w:sz w:val="20"/>
                            <w:szCs w:val="20"/>
                          </w:rPr>
                          <w:t>Forest</w:t>
                        </w:r>
                      </w:p>
                    </w:tc>
                    <w:tc>
                      <w:tcPr>
                        <w:tcW w:w="2240" w:type="dxa"/>
                      </w:tcPr>
                      <w:p w:rsidR="00F04EEF" w:rsidRDefault="0099351E">
                        <w:pPr>
                          <w:rPr>
                            <w:rFonts w:cs="Century Schoolbook"/>
                            <w:sz w:val="20"/>
                            <w:szCs w:val="20"/>
                          </w:rPr>
                        </w:pPr>
                        <w:r>
                          <w:rPr>
                            <w:rFonts w:cs="CenturySchoolbook-Italic"/>
                            <w:iCs/>
                            <w:sz w:val="20"/>
                            <w:szCs w:val="20"/>
                          </w:rPr>
                          <w:t>Uccle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Bruxelles</w:t>
                        </w:r>
                      </w:p>
                    </w:tc>
                    <w:tc>
                      <w:tcPr>
                        <w:tcW w:w="2515" w:type="dxa"/>
                      </w:tcPr>
                      <w:p w:rsidR="00F04EEF" w:rsidRDefault="0099351E">
                        <w:pPr>
                          <w:rPr>
                            <w:rFonts w:cs="Century Schoolbook"/>
                            <w:sz w:val="20"/>
                            <w:szCs w:val="20"/>
                          </w:rPr>
                        </w:pPr>
                        <w:r>
                          <w:rPr>
                            <w:rFonts w:cs="CenturySchoolbook-Italic"/>
                            <w:iCs/>
                            <w:sz w:val="20"/>
                            <w:szCs w:val="20"/>
                          </w:rPr>
                          <w:t>Ganshoren</w:t>
                        </w:r>
                      </w:p>
                    </w:tc>
                    <w:tc>
                      <w:tcPr>
                        <w:tcW w:w="2240" w:type="dxa"/>
                      </w:tcPr>
                      <w:p w:rsidR="00F04EEF" w:rsidRDefault="0099351E">
                        <w:pPr>
                          <w:rPr>
                            <w:rFonts w:cs="Century Schoolbook"/>
                            <w:sz w:val="20"/>
                            <w:szCs w:val="20"/>
                          </w:rPr>
                        </w:pPr>
                        <w:r>
                          <w:rPr>
                            <w:rFonts w:cs="CenturySchoolbook-Italic"/>
                            <w:iCs/>
                            <w:sz w:val="20"/>
                            <w:szCs w:val="20"/>
                          </w:rPr>
                          <w:t>Watermael-Boitsfort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Etterbeek</w:t>
                        </w:r>
                      </w:p>
                    </w:tc>
                    <w:tc>
                      <w:tcPr>
                        <w:tcW w:w="2515" w:type="dxa"/>
                      </w:tcPr>
                      <w:p w:rsidR="00F04EEF" w:rsidRDefault="0099351E">
                        <w:pPr>
                          <w:rPr>
                            <w:rFonts w:cs="Century Schoolbook"/>
                            <w:sz w:val="20"/>
                            <w:szCs w:val="20"/>
                          </w:rPr>
                        </w:pPr>
                        <w:r>
                          <w:rPr>
                            <w:rFonts w:cs="CenturySchoolbook-Italic"/>
                            <w:iCs/>
                            <w:sz w:val="20"/>
                            <w:szCs w:val="20"/>
                          </w:rPr>
                          <w:t>Ixelles</w:t>
                        </w:r>
                      </w:p>
                    </w:tc>
                    <w:tc>
                      <w:tcPr>
                        <w:tcW w:w="2240" w:type="dxa"/>
                      </w:tcPr>
                      <w:p w:rsidR="00F04EEF" w:rsidRDefault="0099351E">
                        <w:pPr>
                          <w:rPr>
                            <w:rFonts w:cs="Century Schoolbook"/>
                            <w:sz w:val="20"/>
                            <w:szCs w:val="20"/>
                          </w:rPr>
                        </w:pPr>
                        <w:r>
                          <w:rPr>
                            <w:rFonts w:cs="CenturySchoolbook-Italic"/>
                            <w:iCs/>
                            <w:sz w:val="20"/>
                            <w:szCs w:val="20"/>
                          </w:rPr>
                          <w:t>Woluwe-Saint-Lambert</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Schoolbook-Italic"/>
                            <w:iCs/>
                            <w:sz w:val="20"/>
                            <w:szCs w:val="20"/>
                          </w:rPr>
                        </w:pPr>
                        <w:r>
                          <w:rPr>
                            <w:rFonts w:cs="CenturySchoolbook-Italic"/>
                            <w:iCs/>
                            <w:sz w:val="20"/>
                            <w:szCs w:val="20"/>
                          </w:rPr>
                          <w:t>Evere</w:t>
                        </w:r>
                      </w:p>
                    </w:tc>
                    <w:tc>
                      <w:tcPr>
                        <w:tcW w:w="2515" w:type="dxa"/>
                      </w:tcPr>
                      <w:p w:rsidR="00F04EEF" w:rsidRDefault="0099351E">
                        <w:pPr>
                          <w:rPr>
                            <w:sz w:val="20"/>
                            <w:szCs w:val="20"/>
                          </w:rPr>
                        </w:pPr>
                        <w:r>
                          <w:rPr>
                            <w:rFonts w:cs="CenturySchoolbook-Italic"/>
                            <w:iCs/>
                            <w:sz w:val="20"/>
                            <w:szCs w:val="20"/>
                          </w:rPr>
                          <w:t>Saint-Gilles</w:t>
                        </w:r>
                      </w:p>
                    </w:tc>
                    <w:tc>
                      <w:tcPr>
                        <w:tcW w:w="2240" w:type="dxa"/>
                      </w:tcPr>
                      <w:p w:rsidR="00F04EEF" w:rsidRDefault="0099351E">
                        <w:pPr>
                          <w:rPr>
                            <w:sz w:val="20"/>
                            <w:szCs w:val="20"/>
                          </w:rPr>
                        </w:pPr>
                        <w:r>
                          <w:rPr>
                            <w:rFonts w:cs="CenturySchoolbook-Italic"/>
                            <w:iCs/>
                            <w:sz w:val="20"/>
                            <w:szCs w:val="20"/>
                          </w:rPr>
                          <w:t>Woluwe-Saint Pierre</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Jette</w:t>
                        </w:r>
                      </w:p>
                    </w:tc>
                    <w:tc>
                      <w:tcPr>
                        <w:tcW w:w="2515" w:type="dxa"/>
                      </w:tcPr>
                      <w:p w:rsidR="00F04EEF" w:rsidRDefault="00F04EEF">
                        <w:pPr>
                          <w:autoSpaceDE w:val="0"/>
                          <w:autoSpaceDN w:val="0"/>
                          <w:adjustRightInd w:val="0"/>
                          <w:rPr>
                            <w:rFonts w:cs="Century Schoolbook"/>
                            <w:sz w:val="20"/>
                            <w:szCs w:val="20"/>
                          </w:rPr>
                        </w:pPr>
                      </w:p>
                    </w:tc>
                    <w:tc>
                      <w:tcPr>
                        <w:tcW w:w="2240" w:type="dxa"/>
                      </w:tcPr>
                      <w:p w:rsidR="00F04EEF" w:rsidRDefault="00F04EEF">
                        <w:pPr>
                          <w:rPr>
                            <w:rFonts w:cs="Century Schoolbook"/>
                            <w:sz w:val="20"/>
                            <w:szCs w:val="20"/>
                          </w:rPr>
                        </w:pP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2</w:t>
                        </w:r>
                      </w:p>
                    </w:tc>
                    <w:tc>
                      <w:tcPr>
                        <w:tcW w:w="7272" w:type="dxa"/>
                        <w:gridSpan w:val="3"/>
                      </w:tcPr>
                      <w:p w:rsidR="00F04EEF" w:rsidRDefault="0099351E">
                        <w:pPr>
                          <w:rPr>
                            <w:sz w:val="20"/>
                            <w:szCs w:val="20"/>
                          </w:rPr>
                        </w:pPr>
                        <w:r>
                          <w:rPr>
                            <w:rFonts w:cs="Century Schoolbook"/>
                            <w:sz w:val="20"/>
                            <w:szCs w:val="20"/>
                          </w:rPr>
                          <w:t>Province de Brabant wallon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Beauvechain</w:t>
                        </w:r>
                      </w:p>
                    </w:tc>
                    <w:tc>
                      <w:tcPr>
                        <w:tcW w:w="2515" w:type="dxa"/>
                      </w:tcPr>
                      <w:p w:rsidR="00F04EEF" w:rsidRDefault="0099351E">
                        <w:pPr>
                          <w:rPr>
                            <w:rFonts w:cs="Century Schoolbook"/>
                            <w:sz w:val="20"/>
                            <w:szCs w:val="20"/>
                          </w:rPr>
                        </w:pPr>
                        <w:r>
                          <w:rPr>
                            <w:rFonts w:cs="CenturySchoolbook-Italic"/>
                            <w:iCs/>
                            <w:sz w:val="20"/>
                            <w:szCs w:val="20"/>
                          </w:rPr>
                          <w:t>Incourt</w:t>
                        </w:r>
                      </w:p>
                    </w:tc>
                    <w:tc>
                      <w:tcPr>
                        <w:tcW w:w="2240" w:type="dxa"/>
                      </w:tcPr>
                      <w:p w:rsidR="00F04EEF" w:rsidRDefault="0099351E">
                        <w:pPr>
                          <w:rPr>
                            <w:rFonts w:cs="Century Schoolbook"/>
                            <w:sz w:val="20"/>
                            <w:szCs w:val="20"/>
                          </w:rPr>
                        </w:pPr>
                        <w:r>
                          <w:rPr>
                            <w:rFonts w:cs="CenturySchoolbook-Italic"/>
                            <w:iCs/>
                            <w:sz w:val="20"/>
                            <w:szCs w:val="20"/>
                          </w:rPr>
                          <w:t>Perwez</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Braine-l'Alleud</w:t>
                        </w:r>
                      </w:p>
                    </w:tc>
                    <w:tc>
                      <w:tcPr>
                        <w:tcW w:w="2515" w:type="dxa"/>
                      </w:tcPr>
                      <w:p w:rsidR="00F04EEF" w:rsidRDefault="0099351E">
                        <w:pPr>
                          <w:rPr>
                            <w:rFonts w:cs="Century Schoolbook"/>
                            <w:sz w:val="20"/>
                            <w:szCs w:val="20"/>
                          </w:rPr>
                        </w:pPr>
                        <w:r>
                          <w:rPr>
                            <w:rFonts w:cs="CenturySchoolbook-Italic"/>
                            <w:iCs/>
                            <w:sz w:val="20"/>
                            <w:szCs w:val="20"/>
                          </w:rPr>
                          <w:t>Ittre</w:t>
                        </w:r>
                      </w:p>
                    </w:tc>
                    <w:tc>
                      <w:tcPr>
                        <w:tcW w:w="2240" w:type="dxa"/>
                      </w:tcPr>
                      <w:p w:rsidR="00F04EEF" w:rsidRDefault="0099351E">
                        <w:pPr>
                          <w:rPr>
                            <w:rFonts w:cs="Century Schoolbook"/>
                            <w:sz w:val="20"/>
                            <w:szCs w:val="20"/>
                          </w:rPr>
                        </w:pPr>
                        <w:r>
                          <w:rPr>
                            <w:rFonts w:cs="CenturySchoolbook-Italic"/>
                            <w:iCs/>
                            <w:sz w:val="20"/>
                            <w:szCs w:val="20"/>
                          </w:rPr>
                          <w:t>Ramillies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Braine-le-Château</w:t>
                        </w:r>
                      </w:p>
                    </w:tc>
                    <w:tc>
                      <w:tcPr>
                        <w:tcW w:w="2515" w:type="dxa"/>
                      </w:tcPr>
                      <w:p w:rsidR="00F04EEF" w:rsidRDefault="0099351E">
                        <w:pPr>
                          <w:rPr>
                            <w:rFonts w:cs="Century Schoolbook"/>
                            <w:sz w:val="20"/>
                            <w:szCs w:val="20"/>
                          </w:rPr>
                        </w:pPr>
                        <w:r>
                          <w:rPr>
                            <w:rFonts w:cs="CenturySchoolbook-Italic"/>
                            <w:iCs/>
                            <w:sz w:val="20"/>
                            <w:szCs w:val="20"/>
                          </w:rPr>
                          <w:t>Jodoigne</w:t>
                        </w:r>
                      </w:p>
                    </w:tc>
                    <w:tc>
                      <w:tcPr>
                        <w:tcW w:w="2240" w:type="dxa"/>
                      </w:tcPr>
                      <w:p w:rsidR="00F04EEF" w:rsidRDefault="0099351E">
                        <w:pPr>
                          <w:rPr>
                            <w:rFonts w:cs="Century Schoolbook"/>
                            <w:sz w:val="20"/>
                            <w:szCs w:val="20"/>
                          </w:rPr>
                        </w:pPr>
                        <w:r>
                          <w:rPr>
                            <w:rFonts w:cs="CenturySchoolbook-Italic"/>
                            <w:iCs/>
                            <w:sz w:val="20"/>
                            <w:szCs w:val="20"/>
                          </w:rPr>
                          <w:t>Rebecq</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Court-Saint-Etienne</w:t>
                        </w:r>
                      </w:p>
                    </w:tc>
                    <w:tc>
                      <w:tcPr>
                        <w:tcW w:w="2515" w:type="dxa"/>
                      </w:tcPr>
                      <w:p w:rsidR="00F04EEF" w:rsidRDefault="0099351E">
                        <w:pPr>
                          <w:rPr>
                            <w:rFonts w:cs="Century Schoolbook"/>
                            <w:sz w:val="20"/>
                            <w:szCs w:val="20"/>
                          </w:rPr>
                        </w:pPr>
                        <w:r>
                          <w:rPr>
                            <w:rFonts w:cs="CenturySchoolbook-Italic"/>
                            <w:iCs/>
                            <w:sz w:val="20"/>
                            <w:szCs w:val="20"/>
                          </w:rPr>
                          <w:t>La Hulpe</w:t>
                        </w:r>
                      </w:p>
                    </w:tc>
                    <w:tc>
                      <w:tcPr>
                        <w:tcW w:w="2240" w:type="dxa"/>
                      </w:tcPr>
                      <w:p w:rsidR="00F04EEF" w:rsidRDefault="0099351E">
                        <w:pPr>
                          <w:rPr>
                            <w:rFonts w:cs="Century Schoolbook"/>
                            <w:sz w:val="20"/>
                            <w:szCs w:val="20"/>
                          </w:rPr>
                        </w:pPr>
                        <w:r>
                          <w:rPr>
                            <w:rFonts w:cs="CenturySchoolbook-Italic"/>
                            <w:iCs/>
                            <w:sz w:val="20"/>
                            <w:szCs w:val="20"/>
                          </w:rPr>
                          <w:t>Rixensart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Chastre</w:t>
                        </w:r>
                      </w:p>
                    </w:tc>
                    <w:tc>
                      <w:tcPr>
                        <w:tcW w:w="2515" w:type="dxa"/>
                      </w:tcPr>
                      <w:p w:rsidR="00F04EEF" w:rsidRDefault="0099351E">
                        <w:pPr>
                          <w:rPr>
                            <w:rFonts w:cs="Century Schoolbook"/>
                            <w:sz w:val="20"/>
                            <w:szCs w:val="20"/>
                          </w:rPr>
                        </w:pPr>
                        <w:r>
                          <w:rPr>
                            <w:rFonts w:cs="CenturySchoolbook-Italic"/>
                            <w:iCs/>
                            <w:sz w:val="20"/>
                            <w:szCs w:val="20"/>
                          </w:rPr>
                          <w:t>Lasne</w:t>
                        </w:r>
                      </w:p>
                    </w:tc>
                    <w:tc>
                      <w:tcPr>
                        <w:tcW w:w="2240" w:type="dxa"/>
                      </w:tcPr>
                      <w:p w:rsidR="00F04EEF" w:rsidRDefault="0099351E">
                        <w:pPr>
                          <w:rPr>
                            <w:rFonts w:cs="Century Schoolbook"/>
                            <w:sz w:val="20"/>
                            <w:szCs w:val="20"/>
                          </w:rPr>
                        </w:pPr>
                        <w:r>
                          <w:rPr>
                            <w:rFonts w:cs="CenturySchoolbook-Italic"/>
                            <w:iCs/>
                            <w:sz w:val="20"/>
                            <w:szCs w:val="20"/>
                          </w:rPr>
                          <w:t>Tubize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Chaumont-Gistoux</w:t>
                        </w:r>
                      </w:p>
                    </w:tc>
                    <w:tc>
                      <w:tcPr>
                        <w:tcW w:w="2515" w:type="dxa"/>
                      </w:tcPr>
                      <w:p w:rsidR="00F04EEF" w:rsidRDefault="0099351E">
                        <w:pPr>
                          <w:autoSpaceDE w:val="0"/>
                          <w:autoSpaceDN w:val="0"/>
                          <w:adjustRightInd w:val="0"/>
                          <w:rPr>
                            <w:rFonts w:cs="CenturySchoolbook-Italic"/>
                            <w:iCs/>
                            <w:sz w:val="20"/>
                            <w:szCs w:val="20"/>
                          </w:rPr>
                        </w:pPr>
                        <w:r>
                          <w:rPr>
                            <w:rFonts w:cs="CenturySchoolbook-Italic"/>
                            <w:iCs/>
                            <w:sz w:val="20"/>
                            <w:szCs w:val="20"/>
                          </w:rPr>
                          <w:t>Mont-Saint-Guibert</w:t>
                        </w:r>
                      </w:p>
                    </w:tc>
                    <w:tc>
                      <w:tcPr>
                        <w:tcW w:w="2240" w:type="dxa"/>
                      </w:tcPr>
                      <w:p w:rsidR="00F04EEF" w:rsidRDefault="0099351E">
                        <w:pPr>
                          <w:rPr>
                            <w:rFonts w:cs="Century Schoolbook"/>
                            <w:sz w:val="20"/>
                            <w:szCs w:val="20"/>
                          </w:rPr>
                        </w:pPr>
                        <w:r>
                          <w:rPr>
                            <w:rFonts w:cs="CenturySchoolbook-Italic"/>
                            <w:iCs/>
                            <w:sz w:val="20"/>
                            <w:szCs w:val="20"/>
                          </w:rPr>
                          <w:t>Walhain</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Genappe</w:t>
                        </w:r>
                      </w:p>
                    </w:tc>
                    <w:tc>
                      <w:tcPr>
                        <w:tcW w:w="2515" w:type="dxa"/>
                      </w:tcPr>
                      <w:p w:rsidR="00F04EEF" w:rsidRDefault="0099351E">
                        <w:pPr>
                          <w:rPr>
                            <w:rFonts w:cs="Century Schoolbook"/>
                            <w:sz w:val="20"/>
                            <w:szCs w:val="20"/>
                          </w:rPr>
                        </w:pPr>
                        <w:r>
                          <w:rPr>
                            <w:rFonts w:cs="CenturySchoolbook-Italic"/>
                            <w:iCs/>
                            <w:sz w:val="20"/>
                            <w:szCs w:val="20"/>
                          </w:rPr>
                          <w:t>Nivelles</w:t>
                        </w:r>
                      </w:p>
                    </w:tc>
                    <w:tc>
                      <w:tcPr>
                        <w:tcW w:w="2240" w:type="dxa"/>
                      </w:tcPr>
                      <w:p w:rsidR="00F04EEF" w:rsidRDefault="0099351E">
                        <w:pPr>
                          <w:rPr>
                            <w:rFonts w:cs="Century Schoolbook"/>
                            <w:sz w:val="20"/>
                            <w:szCs w:val="20"/>
                          </w:rPr>
                        </w:pPr>
                        <w:r>
                          <w:rPr>
                            <w:rFonts w:cs="CenturySchoolbook-Italic"/>
                            <w:iCs/>
                            <w:sz w:val="20"/>
                            <w:szCs w:val="20"/>
                          </w:rPr>
                          <w:t>Waterloo</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Grez-Doiceau</w:t>
                        </w:r>
                      </w:p>
                    </w:tc>
                    <w:tc>
                      <w:tcPr>
                        <w:tcW w:w="2515" w:type="dxa"/>
                      </w:tcPr>
                      <w:p w:rsidR="00F04EEF" w:rsidRDefault="0099351E">
                        <w:pPr>
                          <w:rPr>
                            <w:rFonts w:cs="Century Schoolbook"/>
                            <w:sz w:val="20"/>
                            <w:szCs w:val="20"/>
                          </w:rPr>
                        </w:pPr>
                        <w:r>
                          <w:rPr>
                            <w:rFonts w:cs="CenturySchoolbook-Italic"/>
                            <w:iCs/>
                            <w:sz w:val="20"/>
                            <w:szCs w:val="20"/>
                          </w:rPr>
                          <w:t>Orp-Jauche</w:t>
                        </w:r>
                      </w:p>
                    </w:tc>
                    <w:tc>
                      <w:tcPr>
                        <w:tcW w:w="2240" w:type="dxa"/>
                      </w:tcPr>
                      <w:p w:rsidR="00F04EEF" w:rsidRDefault="0099351E">
                        <w:pPr>
                          <w:rPr>
                            <w:rFonts w:cs="Century Schoolbook"/>
                            <w:sz w:val="20"/>
                            <w:szCs w:val="20"/>
                          </w:rPr>
                        </w:pPr>
                        <w:r>
                          <w:rPr>
                            <w:rFonts w:cs="CenturySchoolbook-Italic"/>
                            <w:iCs/>
                            <w:sz w:val="20"/>
                            <w:szCs w:val="20"/>
                          </w:rPr>
                          <w:t>Wavre</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Hélécine</w:t>
                        </w:r>
                      </w:p>
                    </w:tc>
                    <w:tc>
                      <w:tcPr>
                        <w:tcW w:w="2515" w:type="dxa"/>
                      </w:tcPr>
                      <w:p w:rsidR="00F04EEF" w:rsidRDefault="0099351E">
                        <w:pPr>
                          <w:rPr>
                            <w:sz w:val="20"/>
                            <w:szCs w:val="20"/>
                          </w:rPr>
                        </w:pPr>
                        <w:r>
                          <w:rPr>
                            <w:rFonts w:cs="CenturySchoolbook-Italic"/>
                            <w:iCs/>
                            <w:sz w:val="20"/>
                            <w:szCs w:val="20"/>
                          </w:rPr>
                          <w:t>Ottignies-Louvain-la-Neuve</w:t>
                        </w:r>
                      </w:p>
                    </w:tc>
                    <w:tc>
                      <w:tcPr>
                        <w:tcW w:w="2240" w:type="dxa"/>
                      </w:tcPr>
                      <w:p w:rsidR="00F04EEF" w:rsidRDefault="0099351E">
                        <w:pPr>
                          <w:rPr>
                            <w:sz w:val="20"/>
                            <w:szCs w:val="20"/>
                          </w:rPr>
                        </w:pPr>
                        <w:r>
                          <w:rPr>
                            <w:rFonts w:cs="CenturySchoolbook-Italic"/>
                            <w:iCs/>
                            <w:sz w:val="20"/>
                            <w:szCs w:val="20"/>
                          </w:rPr>
                          <w:t>Villers-la-Ville</w:t>
                        </w: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3</w:t>
                        </w:r>
                      </w:p>
                    </w:tc>
                    <w:tc>
                      <w:tcPr>
                        <w:tcW w:w="7272" w:type="dxa"/>
                        <w:gridSpan w:val="3"/>
                      </w:tcPr>
                      <w:p w:rsidR="00F04EEF" w:rsidRDefault="0099351E">
                        <w:pPr>
                          <w:rPr>
                            <w:sz w:val="20"/>
                            <w:szCs w:val="20"/>
                          </w:rPr>
                        </w:pPr>
                        <w:r>
                          <w:rPr>
                            <w:rFonts w:cs="Century Schoolbook"/>
                            <w:sz w:val="20"/>
                            <w:szCs w:val="20"/>
                          </w:rPr>
                          <w:t>arrondissements administratifs de Huy et Waremme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Amay</w:t>
                        </w:r>
                      </w:p>
                    </w:tc>
                    <w:tc>
                      <w:tcPr>
                        <w:tcW w:w="2515" w:type="dxa"/>
                      </w:tcPr>
                      <w:p w:rsidR="00F04EEF" w:rsidRDefault="0099351E">
                        <w:pPr>
                          <w:rPr>
                            <w:rFonts w:cs="Century Schoolbook"/>
                            <w:sz w:val="20"/>
                            <w:szCs w:val="20"/>
                          </w:rPr>
                        </w:pPr>
                        <w:r>
                          <w:rPr>
                            <w:rFonts w:cs="CenturySchoolbook-Italic"/>
                            <w:iCs/>
                            <w:sz w:val="20"/>
                            <w:szCs w:val="20"/>
                          </w:rPr>
                          <w:t>Fexhe-le-Haut-Clocher</w:t>
                        </w:r>
                      </w:p>
                    </w:tc>
                    <w:tc>
                      <w:tcPr>
                        <w:tcW w:w="2240" w:type="dxa"/>
                      </w:tcPr>
                      <w:p w:rsidR="00F04EEF" w:rsidRDefault="0099351E">
                        <w:pPr>
                          <w:rPr>
                            <w:rFonts w:cs="Century Schoolbook"/>
                            <w:sz w:val="20"/>
                            <w:szCs w:val="20"/>
                          </w:rPr>
                        </w:pPr>
                        <w:r>
                          <w:rPr>
                            <w:rFonts w:cs="CenturySchoolbook-Italic"/>
                            <w:iCs/>
                            <w:sz w:val="20"/>
                            <w:szCs w:val="20"/>
                          </w:rPr>
                          <w:t>Oreye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Anthisnes</w:t>
                        </w:r>
                      </w:p>
                    </w:tc>
                    <w:tc>
                      <w:tcPr>
                        <w:tcW w:w="2515" w:type="dxa"/>
                      </w:tcPr>
                      <w:p w:rsidR="00F04EEF" w:rsidRDefault="0099351E">
                        <w:pPr>
                          <w:autoSpaceDE w:val="0"/>
                          <w:autoSpaceDN w:val="0"/>
                          <w:adjustRightInd w:val="0"/>
                          <w:rPr>
                            <w:rFonts w:cs="CenturySchoolbook-Italic"/>
                            <w:iCs/>
                            <w:sz w:val="20"/>
                            <w:szCs w:val="20"/>
                          </w:rPr>
                        </w:pPr>
                        <w:r>
                          <w:rPr>
                            <w:rFonts w:cs="CenturySchoolbook-Italic"/>
                            <w:iCs/>
                            <w:sz w:val="20"/>
                            <w:szCs w:val="20"/>
                          </w:rPr>
                          <w:t>Geer</w:t>
                        </w:r>
                      </w:p>
                    </w:tc>
                    <w:tc>
                      <w:tcPr>
                        <w:tcW w:w="2240" w:type="dxa"/>
                      </w:tcPr>
                      <w:p w:rsidR="00F04EEF" w:rsidRDefault="0099351E">
                        <w:pPr>
                          <w:rPr>
                            <w:rFonts w:cs="Century Schoolbook"/>
                            <w:sz w:val="20"/>
                            <w:szCs w:val="20"/>
                          </w:rPr>
                        </w:pPr>
                        <w:r>
                          <w:rPr>
                            <w:rFonts w:cs="CenturySchoolbook-Italic"/>
                            <w:iCs/>
                            <w:sz w:val="20"/>
                            <w:szCs w:val="20"/>
                          </w:rPr>
                          <w:t>Ouffet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Berloz</w:t>
                        </w:r>
                      </w:p>
                    </w:tc>
                    <w:tc>
                      <w:tcPr>
                        <w:tcW w:w="2515" w:type="dxa"/>
                      </w:tcPr>
                      <w:p w:rsidR="00F04EEF" w:rsidRDefault="0099351E">
                        <w:pPr>
                          <w:rPr>
                            <w:rFonts w:cs="Century Schoolbook"/>
                            <w:sz w:val="20"/>
                            <w:szCs w:val="20"/>
                          </w:rPr>
                        </w:pPr>
                        <w:r>
                          <w:rPr>
                            <w:rFonts w:cs="CenturySchoolbook-Italic"/>
                            <w:iCs/>
                            <w:sz w:val="20"/>
                            <w:szCs w:val="20"/>
                          </w:rPr>
                          <w:t>Hamoir</w:t>
                        </w:r>
                      </w:p>
                    </w:tc>
                    <w:tc>
                      <w:tcPr>
                        <w:tcW w:w="2240" w:type="dxa"/>
                      </w:tcPr>
                      <w:p w:rsidR="00F04EEF" w:rsidRDefault="0099351E">
                        <w:pPr>
                          <w:rPr>
                            <w:rFonts w:cs="Century Schoolbook"/>
                            <w:sz w:val="20"/>
                            <w:szCs w:val="20"/>
                          </w:rPr>
                        </w:pPr>
                        <w:r>
                          <w:rPr>
                            <w:rFonts w:cs="CenturySchoolbook-Italic"/>
                            <w:iCs/>
                            <w:sz w:val="20"/>
                            <w:szCs w:val="20"/>
                          </w:rPr>
                          <w:t>Remicourt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Braives</w:t>
                        </w:r>
                      </w:p>
                    </w:tc>
                    <w:tc>
                      <w:tcPr>
                        <w:tcW w:w="2515" w:type="dxa"/>
                      </w:tcPr>
                      <w:p w:rsidR="00F04EEF" w:rsidRDefault="0099351E">
                        <w:pPr>
                          <w:rPr>
                            <w:rFonts w:cs="Century Schoolbook"/>
                            <w:sz w:val="20"/>
                            <w:szCs w:val="20"/>
                          </w:rPr>
                        </w:pPr>
                        <w:r>
                          <w:rPr>
                            <w:rFonts w:cs="CenturySchoolbook-Italic"/>
                            <w:iCs/>
                            <w:sz w:val="20"/>
                            <w:szCs w:val="20"/>
                          </w:rPr>
                          <w:t>Hannut</w:t>
                        </w:r>
                      </w:p>
                    </w:tc>
                    <w:tc>
                      <w:tcPr>
                        <w:tcW w:w="2240" w:type="dxa"/>
                      </w:tcPr>
                      <w:p w:rsidR="00F04EEF" w:rsidRDefault="0099351E">
                        <w:pPr>
                          <w:rPr>
                            <w:rFonts w:cs="Century Schoolbook"/>
                            <w:sz w:val="20"/>
                            <w:szCs w:val="20"/>
                          </w:rPr>
                        </w:pPr>
                        <w:r>
                          <w:rPr>
                            <w:rFonts w:cs="CenturySchoolbook-Italic"/>
                            <w:iCs/>
                            <w:sz w:val="20"/>
                            <w:szCs w:val="20"/>
                          </w:rPr>
                          <w:t>Saint-Georges-sur-Meuse</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Schoolbook-Italic"/>
                            <w:iCs/>
                            <w:sz w:val="20"/>
                            <w:szCs w:val="20"/>
                          </w:rPr>
                        </w:pPr>
                        <w:r>
                          <w:rPr>
                            <w:rFonts w:cs="CenturySchoolbook-Italic"/>
                            <w:iCs/>
                            <w:sz w:val="20"/>
                            <w:szCs w:val="20"/>
                          </w:rPr>
                          <w:t>Burdinne</w:t>
                        </w:r>
                      </w:p>
                    </w:tc>
                    <w:tc>
                      <w:tcPr>
                        <w:tcW w:w="2515" w:type="dxa"/>
                      </w:tcPr>
                      <w:p w:rsidR="00F04EEF" w:rsidRDefault="0099351E">
                        <w:pPr>
                          <w:rPr>
                            <w:rFonts w:cs="Century Schoolbook"/>
                            <w:sz w:val="20"/>
                            <w:szCs w:val="20"/>
                          </w:rPr>
                        </w:pPr>
                        <w:r>
                          <w:rPr>
                            <w:rFonts w:cs="CenturySchoolbook-Italic"/>
                            <w:iCs/>
                            <w:sz w:val="20"/>
                            <w:szCs w:val="20"/>
                          </w:rPr>
                          <w:t>Héron</w:t>
                        </w:r>
                      </w:p>
                    </w:tc>
                    <w:tc>
                      <w:tcPr>
                        <w:tcW w:w="2240" w:type="dxa"/>
                      </w:tcPr>
                      <w:p w:rsidR="00F04EEF" w:rsidRDefault="0099351E">
                        <w:pPr>
                          <w:rPr>
                            <w:rFonts w:cs="Century Schoolbook"/>
                            <w:sz w:val="20"/>
                            <w:szCs w:val="20"/>
                          </w:rPr>
                        </w:pPr>
                        <w:r>
                          <w:rPr>
                            <w:rFonts w:cs="CenturySchoolbook-Italic"/>
                            <w:iCs/>
                            <w:sz w:val="20"/>
                            <w:szCs w:val="20"/>
                          </w:rPr>
                          <w:t>Tinlot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Clavier</w:t>
                        </w:r>
                      </w:p>
                    </w:tc>
                    <w:tc>
                      <w:tcPr>
                        <w:tcW w:w="2515" w:type="dxa"/>
                      </w:tcPr>
                      <w:p w:rsidR="00F04EEF" w:rsidRDefault="0099351E">
                        <w:pPr>
                          <w:rPr>
                            <w:rFonts w:cs="Century Schoolbook"/>
                            <w:sz w:val="20"/>
                            <w:szCs w:val="20"/>
                          </w:rPr>
                        </w:pPr>
                        <w:r>
                          <w:rPr>
                            <w:rFonts w:cs="CenturySchoolbook-Italic"/>
                            <w:iCs/>
                            <w:sz w:val="20"/>
                            <w:szCs w:val="20"/>
                          </w:rPr>
                          <w:t>Huy</w:t>
                        </w:r>
                      </w:p>
                    </w:tc>
                    <w:tc>
                      <w:tcPr>
                        <w:tcW w:w="2240" w:type="dxa"/>
                      </w:tcPr>
                      <w:p w:rsidR="00F04EEF" w:rsidRDefault="0099351E">
                        <w:pPr>
                          <w:rPr>
                            <w:rFonts w:cs="Century Schoolbook"/>
                            <w:sz w:val="20"/>
                            <w:szCs w:val="20"/>
                          </w:rPr>
                        </w:pPr>
                        <w:r>
                          <w:rPr>
                            <w:rFonts w:cs="CenturySchoolbook-Italic"/>
                            <w:iCs/>
                            <w:sz w:val="20"/>
                            <w:szCs w:val="20"/>
                          </w:rPr>
                          <w:t>Verlaine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Crisnée</w:t>
                        </w:r>
                      </w:p>
                    </w:tc>
                    <w:tc>
                      <w:tcPr>
                        <w:tcW w:w="2515" w:type="dxa"/>
                      </w:tcPr>
                      <w:p w:rsidR="00F04EEF" w:rsidRDefault="0099351E">
                        <w:pPr>
                          <w:rPr>
                            <w:rFonts w:cs="Century Schoolbook"/>
                            <w:sz w:val="20"/>
                            <w:szCs w:val="20"/>
                          </w:rPr>
                        </w:pPr>
                        <w:r>
                          <w:rPr>
                            <w:rFonts w:cs="CenturySchoolbook-Italic"/>
                            <w:iCs/>
                            <w:sz w:val="20"/>
                            <w:szCs w:val="20"/>
                          </w:rPr>
                          <w:t>Lincent</w:t>
                        </w:r>
                      </w:p>
                    </w:tc>
                    <w:tc>
                      <w:tcPr>
                        <w:tcW w:w="2240" w:type="dxa"/>
                      </w:tcPr>
                      <w:p w:rsidR="00F04EEF" w:rsidRDefault="0099351E">
                        <w:pPr>
                          <w:rPr>
                            <w:rFonts w:cs="Century Schoolbook"/>
                            <w:sz w:val="20"/>
                            <w:szCs w:val="20"/>
                          </w:rPr>
                        </w:pPr>
                        <w:r>
                          <w:rPr>
                            <w:rFonts w:cs="CenturySchoolbook-Italic"/>
                            <w:iCs/>
                            <w:sz w:val="20"/>
                            <w:szCs w:val="20"/>
                          </w:rPr>
                          <w:t>Villers-le-Bouillet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Donceel</w:t>
                        </w:r>
                      </w:p>
                    </w:tc>
                    <w:tc>
                      <w:tcPr>
                        <w:tcW w:w="2515" w:type="dxa"/>
                      </w:tcPr>
                      <w:p w:rsidR="00F04EEF" w:rsidRDefault="0099351E">
                        <w:pPr>
                          <w:rPr>
                            <w:rFonts w:cs="Century Schoolbook"/>
                            <w:sz w:val="20"/>
                            <w:szCs w:val="20"/>
                          </w:rPr>
                        </w:pPr>
                        <w:r>
                          <w:rPr>
                            <w:rFonts w:cs="CenturySchoolbook-Italic"/>
                            <w:iCs/>
                            <w:sz w:val="20"/>
                            <w:szCs w:val="20"/>
                          </w:rPr>
                          <w:t>Marchin</w:t>
                        </w:r>
                      </w:p>
                    </w:tc>
                    <w:tc>
                      <w:tcPr>
                        <w:tcW w:w="2240" w:type="dxa"/>
                      </w:tcPr>
                      <w:p w:rsidR="00F04EEF" w:rsidRDefault="0099351E">
                        <w:pPr>
                          <w:rPr>
                            <w:rFonts w:cs="Century Schoolbook"/>
                            <w:sz w:val="20"/>
                            <w:szCs w:val="20"/>
                          </w:rPr>
                        </w:pPr>
                        <w:r>
                          <w:rPr>
                            <w:rFonts w:cs="CenturySchoolbook-Italic"/>
                            <w:iCs/>
                            <w:sz w:val="20"/>
                            <w:szCs w:val="20"/>
                          </w:rPr>
                          <w:t>Wanze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Engis</w:t>
                        </w:r>
                      </w:p>
                    </w:tc>
                    <w:tc>
                      <w:tcPr>
                        <w:tcW w:w="2515" w:type="dxa"/>
                      </w:tcPr>
                      <w:p w:rsidR="00F04EEF" w:rsidRDefault="0099351E">
                        <w:pPr>
                          <w:rPr>
                            <w:rFonts w:cs="Century Schoolbook"/>
                            <w:sz w:val="20"/>
                            <w:szCs w:val="20"/>
                          </w:rPr>
                        </w:pPr>
                        <w:r>
                          <w:rPr>
                            <w:rFonts w:cs="CenturySchoolbook-Italic"/>
                            <w:iCs/>
                            <w:sz w:val="20"/>
                            <w:szCs w:val="20"/>
                          </w:rPr>
                          <w:t>Modave</w:t>
                        </w:r>
                      </w:p>
                    </w:tc>
                    <w:tc>
                      <w:tcPr>
                        <w:tcW w:w="2240" w:type="dxa"/>
                      </w:tcPr>
                      <w:p w:rsidR="00F04EEF" w:rsidRDefault="0099351E">
                        <w:pPr>
                          <w:rPr>
                            <w:rFonts w:cs="Century Schoolbook"/>
                            <w:sz w:val="20"/>
                            <w:szCs w:val="20"/>
                          </w:rPr>
                        </w:pPr>
                        <w:r>
                          <w:rPr>
                            <w:rFonts w:cs="CenturySchoolbook-Italic"/>
                            <w:iCs/>
                            <w:sz w:val="20"/>
                            <w:szCs w:val="20"/>
                          </w:rPr>
                          <w:t>Waremme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Faimes</w:t>
                        </w:r>
                      </w:p>
                    </w:tc>
                    <w:tc>
                      <w:tcPr>
                        <w:tcW w:w="2515" w:type="dxa"/>
                      </w:tcPr>
                      <w:p w:rsidR="00F04EEF" w:rsidRDefault="0099351E">
                        <w:pPr>
                          <w:rPr>
                            <w:sz w:val="20"/>
                            <w:szCs w:val="20"/>
                          </w:rPr>
                        </w:pPr>
                        <w:r>
                          <w:rPr>
                            <w:rFonts w:cs="CenturySchoolbook-Italic"/>
                            <w:iCs/>
                            <w:sz w:val="20"/>
                            <w:szCs w:val="20"/>
                          </w:rPr>
                          <w:t>Nandrin</w:t>
                        </w:r>
                      </w:p>
                    </w:tc>
                    <w:tc>
                      <w:tcPr>
                        <w:tcW w:w="2240" w:type="dxa"/>
                      </w:tcPr>
                      <w:p w:rsidR="00F04EEF" w:rsidRDefault="0099351E">
                        <w:pPr>
                          <w:rPr>
                            <w:sz w:val="20"/>
                            <w:szCs w:val="20"/>
                          </w:rPr>
                        </w:pPr>
                        <w:r>
                          <w:rPr>
                            <w:rFonts w:cs="CenturySchoolbook-Italic"/>
                            <w:iCs/>
                            <w:sz w:val="20"/>
                            <w:szCs w:val="20"/>
                          </w:rPr>
                          <w:t>Wasseiges</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Ferrières</w:t>
                        </w:r>
                      </w:p>
                    </w:tc>
                    <w:tc>
                      <w:tcPr>
                        <w:tcW w:w="2515" w:type="dxa"/>
                      </w:tcPr>
                      <w:p w:rsidR="00F04EEF" w:rsidRDefault="00F04EEF">
                        <w:pPr>
                          <w:autoSpaceDE w:val="0"/>
                          <w:autoSpaceDN w:val="0"/>
                          <w:adjustRightInd w:val="0"/>
                          <w:rPr>
                            <w:rFonts w:cs="CenturySchoolbook-Italic"/>
                            <w:iCs/>
                            <w:sz w:val="20"/>
                            <w:szCs w:val="20"/>
                          </w:rPr>
                        </w:pPr>
                      </w:p>
                    </w:tc>
                    <w:tc>
                      <w:tcPr>
                        <w:tcW w:w="2240" w:type="dxa"/>
                      </w:tcPr>
                      <w:p w:rsidR="00F04EEF" w:rsidRDefault="00F04EEF">
                        <w:pPr>
                          <w:rPr>
                            <w:rFonts w:cs="Century Schoolbook"/>
                            <w:sz w:val="20"/>
                            <w:szCs w:val="20"/>
                          </w:rPr>
                        </w:pP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4</w:t>
                        </w:r>
                      </w:p>
                    </w:tc>
                    <w:tc>
                      <w:tcPr>
                        <w:tcW w:w="7272" w:type="dxa"/>
                        <w:gridSpan w:val="3"/>
                      </w:tcPr>
                      <w:p w:rsidR="00F04EEF" w:rsidRDefault="0099351E">
                        <w:pPr>
                          <w:rPr>
                            <w:sz w:val="20"/>
                            <w:szCs w:val="20"/>
                          </w:rPr>
                        </w:pPr>
                        <w:r>
                          <w:rPr>
                            <w:rFonts w:cs="Century Schoolbook"/>
                            <w:sz w:val="20"/>
                            <w:szCs w:val="20"/>
                          </w:rPr>
                          <w:t>arrondissement administratif de Liège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Ans</w:t>
                        </w:r>
                      </w:p>
                    </w:tc>
                    <w:tc>
                      <w:tcPr>
                        <w:tcW w:w="2515" w:type="dxa"/>
                      </w:tcPr>
                      <w:p w:rsidR="00F04EEF" w:rsidRDefault="0099351E">
                        <w:pPr>
                          <w:rPr>
                            <w:rFonts w:cs="Century Schoolbook"/>
                            <w:sz w:val="20"/>
                            <w:szCs w:val="20"/>
                          </w:rPr>
                        </w:pPr>
                        <w:r>
                          <w:rPr>
                            <w:rFonts w:cs="CenturySchoolbook-Italic"/>
                            <w:iCs/>
                            <w:sz w:val="20"/>
                            <w:szCs w:val="20"/>
                          </w:rPr>
                          <w:t>Dalhem</w:t>
                        </w:r>
                      </w:p>
                    </w:tc>
                    <w:tc>
                      <w:tcPr>
                        <w:tcW w:w="2240" w:type="dxa"/>
                      </w:tcPr>
                      <w:p w:rsidR="00F04EEF" w:rsidRDefault="0099351E">
                        <w:pPr>
                          <w:rPr>
                            <w:rFonts w:cs="CenturySchoolbook-Italic"/>
                            <w:iCs/>
                            <w:sz w:val="20"/>
                            <w:szCs w:val="20"/>
                          </w:rPr>
                        </w:pPr>
                        <w:r>
                          <w:rPr>
                            <w:rFonts w:cs="CenturySchoolbook-Italic"/>
                            <w:iCs/>
                            <w:sz w:val="20"/>
                            <w:szCs w:val="20"/>
                          </w:rPr>
                          <w:t>Neupré</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Awans</w:t>
                        </w:r>
                      </w:p>
                    </w:tc>
                    <w:tc>
                      <w:tcPr>
                        <w:tcW w:w="2515" w:type="dxa"/>
                      </w:tcPr>
                      <w:p w:rsidR="00F04EEF" w:rsidRDefault="0099351E">
                        <w:pPr>
                          <w:rPr>
                            <w:rFonts w:cs="Century Schoolbook"/>
                            <w:sz w:val="20"/>
                            <w:szCs w:val="20"/>
                          </w:rPr>
                        </w:pPr>
                        <w:r>
                          <w:rPr>
                            <w:rFonts w:cs="CenturySchoolbook-Italic"/>
                            <w:iCs/>
                            <w:sz w:val="20"/>
                            <w:szCs w:val="20"/>
                          </w:rPr>
                          <w:t>Esneux</w:t>
                        </w:r>
                      </w:p>
                    </w:tc>
                    <w:tc>
                      <w:tcPr>
                        <w:tcW w:w="2240" w:type="dxa"/>
                      </w:tcPr>
                      <w:p w:rsidR="00F04EEF" w:rsidRDefault="0099351E">
                        <w:pPr>
                          <w:rPr>
                            <w:rFonts w:cs="Century Schoolbook"/>
                            <w:sz w:val="20"/>
                            <w:szCs w:val="20"/>
                          </w:rPr>
                        </w:pPr>
                        <w:r>
                          <w:rPr>
                            <w:rFonts w:cs="CenturySchoolbook-Italic"/>
                            <w:iCs/>
                            <w:sz w:val="20"/>
                            <w:szCs w:val="20"/>
                          </w:rPr>
                          <w:t>Oupeye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Aywaille</w:t>
                        </w:r>
                      </w:p>
                    </w:tc>
                    <w:tc>
                      <w:tcPr>
                        <w:tcW w:w="2515" w:type="dxa"/>
                      </w:tcPr>
                      <w:p w:rsidR="00F04EEF" w:rsidRDefault="0099351E">
                        <w:pPr>
                          <w:rPr>
                            <w:rFonts w:cs="Century Schoolbook"/>
                            <w:sz w:val="20"/>
                            <w:szCs w:val="20"/>
                          </w:rPr>
                        </w:pPr>
                        <w:r>
                          <w:rPr>
                            <w:rFonts w:cs="CenturySchoolbook-Italic"/>
                            <w:iCs/>
                            <w:sz w:val="20"/>
                            <w:szCs w:val="20"/>
                          </w:rPr>
                          <w:t>Flémalle</w:t>
                        </w:r>
                      </w:p>
                    </w:tc>
                    <w:tc>
                      <w:tcPr>
                        <w:tcW w:w="2240" w:type="dxa"/>
                      </w:tcPr>
                      <w:p w:rsidR="00F04EEF" w:rsidRDefault="0099351E">
                        <w:pPr>
                          <w:rPr>
                            <w:rFonts w:cs="Century Schoolbook"/>
                            <w:sz w:val="20"/>
                            <w:szCs w:val="20"/>
                          </w:rPr>
                        </w:pPr>
                        <w:r>
                          <w:rPr>
                            <w:rFonts w:cs="CenturySchoolbook-Italic"/>
                            <w:iCs/>
                            <w:sz w:val="20"/>
                            <w:szCs w:val="20"/>
                          </w:rPr>
                          <w:t>Saint-Nicolas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Bassenge</w:t>
                        </w:r>
                      </w:p>
                    </w:tc>
                    <w:tc>
                      <w:tcPr>
                        <w:tcW w:w="2515" w:type="dxa"/>
                      </w:tcPr>
                      <w:p w:rsidR="00F04EEF" w:rsidRDefault="0099351E">
                        <w:pPr>
                          <w:rPr>
                            <w:rFonts w:cs="Century Schoolbook"/>
                            <w:sz w:val="20"/>
                            <w:szCs w:val="20"/>
                          </w:rPr>
                        </w:pPr>
                        <w:r>
                          <w:rPr>
                            <w:rFonts w:cs="CenturySchoolbook-Italic"/>
                            <w:iCs/>
                            <w:sz w:val="20"/>
                            <w:szCs w:val="20"/>
                          </w:rPr>
                          <w:t>Fléron</w:t>
                        </w:r>
                      </w:p>
                    </w:tc>
                    <w:tc>
                      <w:tcPr>
                        <w:tcW w:w="2240" w:type="dxa"/>
                      </w:tcPr>
                      <w:p w:rsidR="00F04EEF" w:rsidRDefault="0099351E">
                        <w:pPr>
                          <w:rPr>
                            <w:rFonts w:cs="Century Schoolbook"/>
                            <w:sz w:val="20"/>
                            <w:szCs w:val="20"/>
                          </w:rPr>
                        </w:pPr>
                        <w:r>
                          <w:rPr>
                            <w:rFonts w:cs="CenturySchoolbook-Italic"/>
                            <w:iCs/>
                            <w:sz w:val="20"/>
                            <w:szCs w:val="20"/>
                          </w:rPr>
                          <w:t>Seraing</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Beyne-Heusay</w:t>
                        </w:r>
                      </w:p>
                    </w:tc>
                    <w:tc>
                      <w:tcPr>
                        <w:tcW w:w="2515" w:type="dxa"/>
                      </w:tcPr>
                      <w:p w:rsidR="00F04EEF" w:rsidRDefault="0099351E">
                        <w:pPr>
                          <w:rPr>
                            <w:rFonts w:cs="Century Schoolbook"/>
                            <w:sz w:val="20"/>
                            <w:szCs w:val="20"/>
                          </w:rPr>
                        </w:pPr>
                        <w:r>
                          <w:rPr>
                            <w:rFonts w:cs="CenturySchoolbook-Italic"/>
                            <w:iCs/>
                            <w:sz w:val="20"/>
                            <w:szCs w:val="20"/>
                          </w:rPr>
                          <w:t>Grâce-Hollogne</w:t>
                        </w:r>
                      </w:p>
                    </w:tc>
                    <w:tc>
                      <w:tcPr>
                        <w:tcW w:w="2240" w:type="dxa"/>
                      </w:tcPr>
                      <w:p w:rsidR="00F04EEF" w:rsidRDefault="0099351E">
                        <w:pPr>
                          <w:rPr>
                            <w:rFonts w:cs="Century Schoolbook"/>
                            <w:sz w:val="20"/>
                            <w:szCs w:val="20"/>
                          </w:rPr>
                        </w:pPr>
                        <w:r>
                          <w:rPr>
                            <w:rFonts w:cs="CenturySchoolbook-Italic"/>
                            <w:iCs/>
                            <w:sz w:val="20"/>
                            <w:szCs w:val="20"/>
                          </w:rPr>
                          <w:t>Soumagne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Blegny</w:t>
                        </w:r>
                      </w:p>
                    </w:tc>
                    <w:tc>
                      <w:tcPr>
                        <w:tcW w:w="2515" w:type="dxa"/>
                      </w:tcPr>
                      <w:p w:rsidR="00F04EEF" w:rsidRDefault="0099351E">
                        <w:pPr>
                          <w:rPr>
                            <w:rFonts w:cs="Century Schoolbook"/>
                            <w:sz w:val="20"/>
                            <w:szCs w:val="20"/>
                          </w:rPr>
                        </w:pPr>
                        <w:r>
                          <w:rPr>
                            <w:rFonts w:cs="CenturySchoolbook-Italic"/>
                            <w:iCs/>
                            <w:sz w:val="20"/>
                            <w:szCs w:val="20"/>
                          </w:rPr>
                          <w:t>Herstal</w:t>
                        </w:r>
                      </w:p>
                    </w:tc>
                    <w:tc>
                      <w:tcPr>
                        <w:tcW w:w="2240" w:type="dxa"/>
                      </w:tcPr>
                      <w:p w:rsidR="00F04EEF" w:rsidRDefault="0099351E">
                        <w:pPr>
                          <w:rPr>
                            <w:rFonts w:cs="Century Schoolbook"/>
                            <w:sz w:val="20"/>
                            <w:szCs w:val="20"/>
                          </w:rPr>
                        </w:pPr>
                        <w:r>
                          <w:rPr>
                            <w:rFonts w:cs="CenturySchoolbook-Italic"/>
                            <w:iCs/>
                            <w:sz w:val="20"/>
                            <w:szCs w:val="20"/>
                          </w:rPr>
                          <w:t>Sprimont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Chaudfontaine</w:t>
                        </w:r>
                      </w:p>
                    </w:tc>
                    <w:tc>
                      <w:tcPr>
                        <w:tcW w:w="2515" w:type="dxa"/>
                      </w:tcPr>
                      <w:p w:rsidR="00F04EEF" w:rsidRDefault="0099351E">
                        <w:pPr>
                          <w:rPr>
                            <w:rFonts w:cs="Century Schoolbook"/>
                            <w:sz w:val="20"/>
                            <w:szCs w:val="20"/>
                          </w:rPr>
                        </w:pPr>
                        <w:r>
                          <w:rPr>
                            <w:rFonts w:cs="CenturySchoolbook-Italic"/>
                            <w:iCs/>
                            <w:sz w:val="20"/>
                            <w:szCs w:val="20"/>
                          </w:rPr>
                          <w:t>Juprelle</w:t>
                        </w:r>
                      </w:p>
                    </w:tc>
                    <w:tc>
                      <w:tcPr>
                        <w:tcW w:w="2240" w:type="dxa"/>
                      </w:tcPr>
                      <w:p w:rsidR="00F04EEF" w:rsidRDefault="0099351E">
                        <w:pPr>
                          <w:rPr>
                            <w:rFonts w:cs="Century Schoolbook"/>
                            <w:sz w:val="20"/>
                            <w:szCs w:val="20"/>
                          </w:rPr>
                        </w:pPr>
                        <w:r>
                          <w:rPr>
                            <w:rFonts w:cs="CenturySchoolbook-Italic"/>
                            <w:iCs/>
                            <w:sz w:val="20"/>
                            <w:szCs w:val="20"/>
                          </w:rPr>
                          <w:t>Trooz</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Comblain-au-Pont</w:t>
                        </w:r>
                      </w:p>
                    </w:tc>
                    <w:tc>
                      <w:tcPr>
                        <w:tcW w:w="2515" w:type="dxa"/>
                      </w:tcPr>
                      <w:p w:rsidR="00F04EEF" w:rsidRDefault="0099351E">
                        <w:pPr>
                          <w:rPr>
                            <w:sz w:val="20"/>
                            <w:szCs w:val="20"/>
                          </w:rPr>
                        </w:pPr>
                        <w:r>
                          <w:rPr>
                            <w:rFonts w:cs="CenturySchoolbook-Italic"/>
                            <w:iCs/>
                            <w:sz w:val="20"/>
                            <w:szCs w:val="20"/>
                          </w:rPr>
                          <w:t>Liège</w:t>
                        </w:r>
                      </w:p>
                    </w:tc>
                    <w:tc>
                      <w:tcPr>
                        <w:tcW w:w="2240" w:type="dxa"/>
                      </w:tcPr>
                      <w:p w:rsidR="00F04EEF" w:rsidRDefault="0099351E">
                        <w:pPr>
                          <w:rPr>
                            <w:sz w:val="20"/>
                            <w:szCs w:val="20"/>
                          </w:rPr>
                        </w:pPr>
                        <w:r>
                          <w:rPr>
                            <w:rFonts w:cs="CenturySchoolbook-Italic"/>
                            <w:iCs/>
                            <w:sz w:val="20"/>
                            <w:szCs w:val="20"/>
                          </w:rPr>
                          <w:t>Visé</w:t>
                        </w: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5</w:t>
                        </w:r>
                      </w:p>
                    </w:tc>
                    <w:tc>
                      <w:tcPr>
                        <w:tcW w:w="7272" w:type="dxa"/>
                        <w:gridSpan w:val="3"/>
                      </w:tcPr>
                      <w:p w:rsidR="00F04EEF" w:rsidRDefault="0099351E">
                        <w:pPr>
                          <w:rPr>
                            <w:sz w:val="20"/>
                            <w:szCs w:val="20"/>
                          </w:rPr>
                        </w:pPr>
                        <w:r>
                          <w:rPr>
                            <w:rFonts w:cs="Century Schoolbook"/>
                            <w:sz w:val="20"/>
                            <w:szCs w:val="20"/>
                          </w:rPr>
                          <w:t>arrondissement administratif de Verviers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Aubel</w:t>
                        </w:r>
                      </w:p>
                    </w:tc>
                    <w:tc>
                      <w:tcPr>
                        <w:tcW w:w="2515" w:type="dxa"/>
                      </w:tcPr>
                      <w:p w:rsidR="00F04EEF" w:rsidRDefault="0099351E">
                        <w:pPr>
                          <w:rPr>
                            <w:rFonts w:cs="Century Schoolbook"/>
                            <w:sz w:val="20"/>
                            <w:szCs w:val="20"/>
                          </w:rPr>
                        </w:pPr>
                        <w:r>
                          <w:rPr>
                            <w:rFonts w:cs="CenturySchoolbook-Italic"/>
                            <w:iCs/>
                            <w:sz w:val="20"/>
                            <w:szCs w:val="20"/>
                          </w:rPr>
                          <w:t>Malmedy</w:t>
                        </w:r>
                      </w:p>
                    </w:tc>
                    <w:tc>
                      <w:tcPr>
                        <w:tcW w:w="2240" w:type="dxa"/>
                      </w:tcPr>
                      <w:p w:rsidR="00F04EEF" w:rsidRDefault="0099351E">
                        <w:pPr>
                          <w:rPr>
                            <w:rFonts w:cs="CenturySchoolbook-Italic"/>
                            <w:iCs/>
                            <w:sz w:val="20"/>
                            <w:szCs w:val="20"/>
                          </w:rPr>
                        </w:pPr>
                        <w:r>
                          <w:rPr>
                            <w:rFonts w:cs="CenturySchoolbook-Italic"/>
                            <w:iCs/>
                            <w:sz w:val="20"/>
                            <w:szCs w:val="20"/>
                          </w:rPr>
                          <w:t>Theux</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Baelen</w:t>
                        </w:r>
                      </w:p>
                    </w:tc>
                    <w:tc>
                      <w:tcPr>
                        <w:tcW w:w="2515" w:type="dxa"/>
                      </w:tcPr>
                      <w:p w:rsidR="00F04EEF" w:rsidRDefault="0099351E">
                        <w:pPr>
                          <w:rPr>
                            <w:rFonts w:cs="Century Schoolbook"/>
                            <w:sz w:val="20"/>
                            <w:szCs w:val="20"/>
                          </w:rPr>
                        </w:pPr>
                        <w:r>
                          <w:rPr>
                            <w:rFonts w:cs="CenturySchoolbook-Italic"/>
                            <w:iCs/>
                            <w:sz w:val="20"/>
                            <w:szCs w:val="20"/>
                          </w:rPr>
                          <w:t>Olne</w:t>
                        </w:r>
                      </w:p>
                    </w:tc>
                    <w:tc>
                      <w:tcPr>
                        <w:tcW w:w="2240" w:type="dxa"/>
                      </w:tcPr>
                      <w:p w:rsidR="00F04EEF" w:rsidRDefault="0099351E">
                        <w:pPr>
                          <w:rPr>
                            <w:rFonts w:cs="Century Schoolbook"/>
                            <w:sz w:val="20"/>
                            <w:szCs w:val="20"/>
                          </w:rPr>
                        </w:pPr>
                        <w:r>
                          <w:rPr>
                            <w:rFonts w:cs="CenturySchoolbook-Italic"/>
                            <w:iCs/>
                            <w:sz w:val="20"/>
                            <w:szCs w:val="20"/>
                          </w:rPr>
                          <w:t>Thimister-Clermont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Dison</w:t>
                        </w:r>
                      </w:p>
                    </w:tc>
                    <w:tc>
                      <w:tcPr>
                        <w:tcW w:w="2515" w:type="dxa"/>
                      </w:tcPr>
                      <w:p w:rsidR="00F04EEF" w:rsidRDefault="0099351E">
                        <w:pPr>
                          <w:rPr>
                            <w:rFonts w:cs="Century Schoolbook"/>
                            <w:sz w:val="20"/>
                            <w:szCs w:val="20"/>
                          </w:rPr>
                        </w:pPr>
                        <w:r>
                          <w:rPr>
                            <w:rFonts w:cs="CenturySchoolbook-Italic"/>
                            <w:iCs/>
                            <w:sz w:val="20"/>
                            <w:szCs w:val="20"/>
                          </w:rPr>
                          <w:t>Pepinster</w:t>
                        </w:r>
                      </w:p>
                    </w:tc>
                    <w:tc>
                      <w:tcPr>
                        <w:tcW w:w="2240" w:type="dxa"/>
                      </w:tcPr>
                      <w:p w:rsidR="00F04EEF" w:rsidRDefault="0099351E">
                        <w:pPr>
                          <w:rPr>
                            <w:rFonts w:cs="Century Schoolbook"/>
                            <w:sz w:val="20"/>
                            <w:szCs w:val="20"/>
                          </w:rPr>
                        </w:pPr>
                        <w:r>
                          <w:rPr>
                            <w:rFonts w:cs="CenturySchoolbook-Italic"/>
                            <w:iCs/>
                            <w:sz w:val="20"/>
                            <w:szCs w:val="20"/>
                          </w:rPr>
                          <w:t>Trois-Ponts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Herve</w:t>
                        </w:r>
                      </w:p>
                    </w:tc>
                    <w:tc>
                      <w:tcPr>
                        <w:tcW w:w="2515" w:type="dxa"/>
                      </w:tcPr>
                      <w:p w:rsidR="00F04EEF" w:rsidRDefault="0099351E">
                        <w:pPr>
                          <w:rPr>
                            <w:rFonts w:cs="Century Schoolbook"/>
                            <w:sz w:val="20"/>
                            <w:szCs w:val="20"/>
                          </w:rPr>
                        </w:pPr>
                        <w:r>
                          <w:rPr>
                            <w:rFonts w:cs="CenturySchoolbook-Italic"/>
                            <w:iCs/>
                            <w:sz w:val="20"/>
                            <w:szCs w:val="20"/>
                          </w:rPr>
                          <w:t>Plombières</w:t>
                        </w:r>
                      </w:p>
                    </w:tc>
                    <w:tc>
                      <w:tcPr>
                        <w:tcW w:w="2240" w:type="dxa"/>
                      </w:tcPr>
                      <w:p w:rsidR="00F04EEF" w:rsidRDefault="0099351E">
                        <w:pPr>
                          <w:rPr>
                            <w:rFonts w:cs="Century Schoolbook"/>
                            <w:sz w:val="20"/>
                            <w:szCs w:val="20"/>
                          </w:rPr>
                        </w:pPr>
                        <w:r>
                          <w:rPr>
                            <w:rFonts w:cs="CenturySchoolbook-Italic"/>
                            <w:iCs/>
                            <w:sz w:val="20"/>
                            <w:szCs w:val="20"/>
                          </w:rPr>
                          <w:t>Verviers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Jalhay</w:t>
                        </w:r>
                      </w:p>
                    </w:tc>
                    <w:tc>
                      <w:tcPr>
                        <w:tcW w:w="2515" w:type="dxa"/>
                      </w:tcPr>
                      <w:p w:rsidR="00F04EEF" w:rsidRDefault="0099351E">
                        <w:pPr>
                          <w:rPr>
                            <w:rFonts w:cs="Century Schoolbook"/>
                            <w:sz w:val="20"/>
                            <w:szCs w:val="20"/>
                          </w:rPr>
                        </w:pPr>
                        <w:r>
                          <w:rPr>
                            <w:rFonts w:cs="CenturySchoolbook-Italic"/>
                            <w:iCs/>
                            <w:sz w:val="20"/>
                            <w:szCs w:val="20"/>
                          </w:rPr>
                          <w:t>Spa</w:t>
                        </w:r>
                      </w:p>
                    </w:tc>
                    <w:tc>
                      <w:tcPr>
                        <w:tcW w:w="2240" w:type="dxa"/>
                      </w:tcPr>
                      <w:p w:rsidR="00F04EEF" w:rsidRDefault="0099351E">
                        <w:pPr>
                          <w:rPr>
                            <w:rFonts w:cs="Century Schoolbook"/>
                            <w:sz w:val="20"/>
                            <w:szCs w:val="20"/>
                          </w:rPr>
                        </w:pPr>
                        <w:r>
                          <w:rPr>
                            <w:rFonts w:cs="CenturySchoolbook-Italic"/>
                            <w:iCs/>
                            <w:sz w:val="20"/>
                            <w:szCs w:val="20"/>
                          </w:rPr>
                          <w:t>Waimes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Lierneux</w:t>
                        </w:r>
                      </w:p>
                    </w:tc>
                    <w:tc>
                      <w:tcPr>
                        <w:tcW w:w="2515" w:type="dxa"/>
                      </w:tcPr>
                      <w:p w:rsidR="00F04EEF" w:rsidRDefault="0099351E">
                        <w:pPr>
                          <w:rPr>
                            <w:rFonts w:cs="Century Schoolbook"/>
                            <w:sz w:val="20"/>
                            <w:szCs w:val="20"/>
                          </w:rPr>
                        </w:pPr>
                        <w:r>
                          <w:rPr>
                            <w:rFonts w:cs="CenturySchoolbook-Italic"/>
                            <w:iCs/>
                            <w:sz w:val="20"/>
                            <w:szCs w:val="20"/>
                          </w:rPr>
                          <w:t>Stavelot</w:t>
                        </w:r>
                      </w:p>
                    </w:tc>
                    <w:tc>
                      <w:tcPr>
                        <w:tcW w:w="2240" w:type="dxa"/>
                      </w:tcPr>
                      <w:p w:rsidR="00F04EEF" w:rsidRDefault="0099351E">
                        <w:pPr>
                          <w:rPr>
                            <w:sz w:val="20"/>
                            <w:szCs w:val="20"/>
                          </w:rPr>
                        </w:pPr>
                        <w:r>
                          <w:rPr>
                            <w:rFonts w:cs="CenturySchoolbook-Italic"/>
                            <w:iCs/>
                            <w:sz w:val="20"/>
                            <w:szCs w:val="20"/>
                          </w:rPr>
                          <w:t>Welkenraedt</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Limbourg</w:t>
                        </w:r>
                      </w:p>
                    </w:tc>
                    <w:tc>
                      <w:tcPr>
                        <w:tcW w:w="2515" w:type="dxa"/>
                      </w:tcPr>
                      <w:p w:rsidR="00F04EEF" w:rsidRDefault="0099351E">
                        <w:pPr>
                          <w:rPr>
                            <w:sz w:val="20"/>
                            <w:szCs w:val="20"/>
                          </w:rPr>
                        </w:pPr>
                        <w:r>
                          <w:rPr>
                            <w:rFonts w:cs="CenturySchoolbook-Italic"/>
                            <w:iCs/>
                            <w:sz w:val="20"/>
                            <w:szCs w:val="20"/>
                          </w:rPr>
                          <w:t>Stoumont</w:t>
                        </w:r>
                      </w:p>
                    </w:tc>
                    <w:tc>
                      <w:tcPr>
                        <w:tcW w:w="2240" w:type="dxa"/>
                      </w:tcPr>
                      <w:p w:rsidR="00F04EEF" w:rsidRDefault="0099351E">
                        <w:pPr>
                          <w:rPr>
                            <w:rFonts w:cs="Century Schoolbook"/>
                            <w:sz w:val="20"/>
                            <w:szCs w:val="20"/>
                          </w:rPr>
                        </w:pPr>
                        <w:r>
                          <w:rPr>
                            <w:rFonts w:cs="CenturySchoolbook-Italic"/>
                            <w:iCs/>
                            <w:sz w:val="20"/>
                            <w:szCs w:val="20"/>
                          </w:rPr>
                          <w:t>Thimister-Clermont</w:t>
                        </w: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6</w:t>
                        </w:r>
                      </w:p>
                    </w:tc>
                    <w:tc>
                      <w:tcPr>
                        <w:tcW w:w="7272" w:type="dxa"/>
                        <w:gridSpan w:val="3"/>
                      </w:tcPr>
                      <w:p w:rsidR="00F04EEF" w:rsidRDefault="0099351E">
                        <w:pPr>
                          <w:rPr>
                            <w:sz w:val="20"/>
                            <w:szCs w:val="20"/>
                          </w:rPr>
                        </w:pPr>
                        <w:r>
                          <w:rPr>
                            <w:rFonts w:cs="Century Schoolbook"/>
                            <w:sz w:val="20"/>
                            <w:szCs w:val="20"/>
                          </w:rPr>
                          <w:t>Province de Namur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Andenne</w:t>
                        </w:r>
                      </w:p>
                    </w:tc>
                    <w:tc>
                      <w:tcPr>
                        <w:tcW w:w="2515" w:type="dxa"/>
                      </w:tcPr>
                      <w:p w:rsidR="00F04EEF" w:rsidRDefault="0099351E">
                        <w:pPr>
                          <w:rPr>
                            <w:rFonts w:cs="Century Schoolbook"/>
                            <w:sz w:val="20"/>
                            <w:szCs w:val="20"/>
                          </w:rPr>
                        </w:pPr>
                        <w:r>
                          <w:rPr>
                            <w:rFonts w:cs="CenturySchoolbook-Italic"/>
                            <w:iCs/>
                            <w:sz w:val="20"/>
                            <w:szCs w:val="20"/>
                          </w:rPr>
                          <w:t>Florennes</w:t>
                        </w:r>
                      </w:p>
                    </w:tc>
                    <w:tc>
                      <w:tcPr>
                        <w:tcW w:w="2240" w:type="dxa"/>
                      </w:tcPr>
                      <w:p w:rsidR="00F04EEF" w:rsidRDefault="0099351E">
                        <w:pPr>
                          <w:rPr>
                            <w:rFonts w:cs="Century Schoolbook"/>
                            <w:sz w:val="20"/>
                            <w:szCs w:val="20"/>
                          </w:rPr>
                        </w:pPr>
                        <w:r>
                          <w:rPr>
                            <w:rFonts w:cs="CenturySchoolbook-Italic"/>
                            <w:iCs/>
                            <w:sz w:val="20"/>
                            <w:szCs w:val="20"/>
                          </w:rPr>
                          <w:t>Mettet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Anhée</w:t>
                        </w:r>
                      </w:p>
                    </w:tc>
                    <w:tc>
                      <w:tcPr>
                        <w:tcW w:w="2515" w:type="dxa"/>
                      </w:tcPr>
                      <w:p w:rsidR="00F04EEF" w:rsidRDefault="0099351E">
                        <w:pPr>
                          <w:rPr>
                            <w:rFonts w:cs="Century Schoolbook"/>
                            <w:sz w:val="20"/>
                            <w:szCs w:val="20"/>
                          </w:rPr>
                        </w:pPr>
                        <w:r>
                          <w:rPr>
                            <w:rFonts w:cs="CenturySchoolbook-Italic"/>
                            <w:iCs/>
                            <w:sz w:val="20"/>
                            <w:szCs w:val="20"/>
                          </w:rPr>
                          <w:t>Fosses-la-Ville</w:t>
                        </w:r>
                      </w:p>
                    </w:tc>
                    <w:tc>
                      <w:tcPr>
                        <w:tcW w:w="2240" w:type="dxa"/>
                      </w:tcPr>
                      <w:p w:rsidR="00F04EEF" w:rsidRDefault="0099351E">
                        <w:pPr>
                          <w:rPr>
                            <w:rFonts w:cs="Century Schoolbook"/>
                            <w:sz w:val="20"/>
                            <w:szCs w:val="20"/>
                          </w:rPr>
                        </w:pPr>
                        <w:r>
                          <w:rPr>
                            <w:rFonts w:cs="CenturySchoolbook-Italic"/>
                            <w:iCs/>
                            <w:sz w:val="20"/>
                            <w:szCs w:val="20"/>
                          </w:rPr>
                          <w:t>Namur</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Assesse</w:t>
                        </w:r>
                      </w:p>
                    </w:tc>
                    <w:tc>
                      <w:tcPr>
                        <w:tcW w:w="2515" w:type="dxa"/>
                      </w:tcPr>
                      <w:p w:rsidR="00F04EEF" w:rsidRDefault="0099351E">
                        <w:pPr>
                          <w:rPr>
                            <w:rFonts w:cs="Century Schoolbook"/>
                            <w:sz w:val="20"/>
                            <w:szCs w:val="20"/>
                          </w:rPr>
                        </w:pPr>
                        <w:r>
                          <w:rPr>
                            <w:rFonts w:cs="CenturySchoolbook-Italic"/>
                            <w:iCs/>
                            <w:sz w:val="20"/>
                            <w:szCs w:val="20"/>
                          </w:rPr>
                          <w:t>Gedinne</w:t>
                        </w:r>
                      </w:p>
                    </w:tc>
                    <w:tc>
                      <w:tcPr>
                        <w:tcW w:w="2240" w:type="dxa"/>
                      </w:tcPr>
                      <w:p w:rsidR="00F04EEF" w:rsidRDefault="0099351E">
                        <w:pPr>
                          <w:rPr>
                            <w:rFonts w:cs="Century Schoolbook"/>
                            <w:sz w:val="20"/>
                            <w:szCs w:val="20"/>
                          </w:rPr>
                        </w:pPr>
                        <w:r>
                          <w:rPr>
                            <w:rFonts w:cs="CenturySchoolbook-Italic"/>
                            <w:iCs/>
                            <w:sz w:val="20"/>
                            <w:szCs w:val="20"/>
                          </w:rPr>
                          <w:t>Ohey</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Beauraing</w:t>
                        </w:r>
                      </w:p>
                    </w:tc>
                    <w:tc>
                      <w:tcPr>
                        <w:tcW w:w="2515" w:type="dxa"/>
                      </w:tcPr>
                      <w:p w:rsidR="00F04EEF" w:rsidRDefault="0099351E">
                        <w:pPr>
                          <w:rPr>
                            <w:rFonts w:cs="Century Schoolbook"/>
                            <w:sz w:val="20"/>
                            <w:szCs w:val="20"/>
                          </w:rPr>
                        </w:pPr>
                        <w:r>
                          <w:rPr>
                            <w:rFonts w:cs="CenturySchoolbook-Italic"/>
                            <w:iCs/>
                            <w:sz w:val="20"/>
                            <w:szCs w:val="20"/>
                          </w:rPr>
                          <w:t>Gembloux</w:t>
                        </w:r>
                      </w:p>
                    </w:tc>
                    <w:tc>
                      <w:tcPr>
                        <w:tcW w:w="2240" w:type="dxa"/>
                      </w:tcPr>
                      <w:p w:rsidR="00F04EEF" w:rsidRDefault="0099351E">
                        <w:pPr>
                          <w:autoSpaceDE w:val="0"/>
                          <w:autoSpaceDN w:val="0"/>
                          <w:adjustRightInd w:val="0"/>
                          <w:rPr>
                            <w:rFonts w:cs="Century Schoolbook"/>
                            <w:sz w:val="20"/>
                            <w:szCs w:val="20"/>
                          </w:rPr>
                        </w:pPr>
                        <w:r>
                          <w:rPr>
                            <w:rFonts w:cs="CenturySchoolbook-Italic"/>
                            <w:iCs/>
                            <w:sz w:val="20"/>
                            <w:szCs w:val="20"/>
                          </w:rPr>
                          <w:t>Onhaye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Bièvre</w:t>
                        </w:r>
                      </w:p>
                    </w:tc>
                    <w:tc>
                      <w:tcPr>
                        <w:tcW w:w="2515" w:type="dxa"/>
                      </w:tcPr>
                      <w:p w:rsidR="00F04EEF" w:rsidRDefault="0099351E">
                        <w:pPr>
                          <w:rPr>
                            <w:rFonts w:cs="Century Schoolbook"/>
                            <w:sz w:val="20"/>
                            <w:szCs w:val="20"/>
                          </w:rPr>
                        </w:pPr>
                        <w:r>
                          <w:rPr>
                            <w:rFonts w:cs="CenturySchoolbook-Italic"/>
                            <w:iCs/>
                            <w:sz w:val="20"/>
                            <w:szCs w:val="20"/>
                          </w:rPr>
                          <w:t>Gesves</w:t>
                        </w:r>
                      </w:p>
                    </w:tc>
                    <w:tc>
                      <w:tcPr>
                        <w:tcW w:w="2240" w:type="dxa"/>
                      </w:tcPr>
                      <w:p w:rsidR="00F04EEF" w:rsidRDefault="0099351E">
                        <w:pPr>
                          <w:rPr>
                            <w:rFonts w:cs="Century Schoolbook"/>
                            <w:sz w:val="20"/>
                            <w:szCs w:val="20"/>
                          </w:rPr>
                        </w:pPr>
                        <w:r>
                          <w:rPr>
                            <w:rFonts w:cs="CenturySchoolbook-Italic"/>
                            <w:iCs/>
                            <w:sz w:val="20"/>
                            <w:szCs w:val="20"/>
                          </w:rPr>
                          <w:t>Profondeville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Ciney</w:t>
                        </w:r>
                      </w:p>
                    </w:tc>
                    <w:tc>
                      <w:tcPr>
                        <w:tcW w:w="2515" w:type="dxa"/>
                      </w:tcPr>
                      <w:p w:rsidR="00F04EEF" w:rsidRDefault="0099351E">
                        <w:pPr>
                          <w:rPr>
                            <w:rFonts w:cs="Century Schoolbook"/>
                            <w:sz w:val="20"/>
                            <w:szCs w:val="20"/>
                          </w:rPr>
                        </w:pPr>
                        <w:r>
                          <w:rPr>
                            <w:rFonts w:cs="CenturySchoolbook-Italic"/>
                            <w:iCs/>
                            <w:sz w:val="20"/>
                            <w:szCs w:val="20"/>
                          </w:rPr>
                          <w:t>Hamois</w:t>
                        </w:r>
                      </w:p>
                    </w:tc>
                    <w:tc>
                      <w:tcPr>
                        <w:tcW w:w="2240" w:type="dxa"/>
                      </w:tcPr>
                      <w:p w:rsidR="00F04EEF" w:rsidRDefault="0099351E">
                        <w:pPr>
                          <w:rPr>
                            <w:rFonts w:cs="Century Schoolbook"/>
                            <w:sz w:val="20"/>
                            <w:szCs w:val="20"/>
                          </w:rPr>
                        </w:pPr>
                        <w:r>
                          <w:rPr>
                            <w:rFonts w:cs="CenturySchoolbook-Italic"/>
                            <w:iCs/>
                            <w:sz w:val="20"/>
                            <w:szCs w:val="20"/>
                          </w:rPr>
                          <w:t>Rochefort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Dinant</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Hastière</w:t>
                        </w:r>
                      </w:p>
                    </w:tc>
                    <w:tc>
                      <w:tcPr>
                        <w:tcW w:w="2240" w:type="dxa"/>
                      </w:tcPr>
                      <w:p w:rsidR="00F04EEF" w:rsidRDefault="0099351E">
                        <w:pPr>
                          <w:rPr>
                            <w:rFonts w:cs="Century Schoolbook"/>
                            <w:sz w:val="20"/>
                            <w:szCs w:val="20"/>
                          </w:rPr>
                        </w:pPr>
                        <w:r>
                          <w:rPr>
                            <w:rFonts w:cs="CenturySchoolbook-Italic"/>
                            <w:iCs/>
                            <w:sz w:val="20"/>
                            <w:szCs w:val="20"/>
                          </w:rPr>
                          <w:t>Sambreville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Doische</w:t>
                        </w:r>
                      </w:p>
                    </w:tc>
                    <w:tc>
                      <w:tcPr>
                        <w:tcW w:w="2515" w:type="dxa"/>
                      </w:tcPr>
                      <w:p w:rsidR="00F04EEF" w:rsidRDefault="0099351E">
                        <w:pPr>
                          <w:rPr>
                            <w:rFonts w:cs="Century Schoolbook"/>
                            <w:sz w:val="20"/>
                            <w:szCs w:val="20"/>
                          </w:rPr>
                        </w:pPr>
                        <w:r>
                          <w:rPr>
                            <w:rFonts w:cs="CenturySchoolbook-Italic"/>
                            <w:iCs/>
                            <w:sz w:val="20"/>
                            <w:szCs w:val="20"/>
                          </w:rPr>
                          <w:t>Havelange</w:t>
                        </w:r>
                      </w:p>
                    </w:tc>
                    <w:tc>
                      <w:tcPr>
                        <w:tcW w:w="2240" w:type="dxa"/>
                      </w:tcPr>
                      <w:p w:rsidR="00F04EEF" w:rsidRDefault="0099351E">
                        <w:pPr>
                          <w:rPr>
                            <w:rFonts w:cs="Century Schoolbook"/>
                            <w:sz w:val="20"/>
                            <w:szCs w:val="20"/>
                          </w:rPr>
                        </w:pPr>
                        <w:r>
                          <w:rPr>
                            <w:rFonts w:cs="CenturySchoolbook-Italic"/>
                            <w:iCs/>
                            <w:sz w:val="20"/>
                            <w:szCs w:val="20"/>
                          </w:rPr>
                          <w:t>Sombreffe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Eghezée</w:t>
                        </w:r>
                      </w:p>
                    </w:tc>
                    <w:tc>
                      <w:tcPr>
                        <w:tcW w:w="2515" w:type="dxa"/>
                      </w:tcPr>
                      <w:p w:rsidR="00F04EEF" w:rsidRDefault="0099351E">
                        <w:pPr>
                          <w:rPr>
                            <w:rFonts w:cs="Century Schoolbook"/>
                            <w:sz w:val="20"/>
                            <w:szCs w:val="20"/>
                          </w:rPr>
                        </w:pPr>
                        <w:r>
                          <w:rPr>
                            <w:rFonts w:cs="CenturySchoolbook-Italic"/>
                            <w:iCs/>
                            <w:sz w:val="20"/>
                            <w:szCs w:val="20"/>
                          </w:rPr>
                          <w:t>Houyet</w:t>
                        </w:r>
                      </w:p>
                    </w:tc>
                    <w:tc>
                      <w:tcPr>
                        <w:tcW w:w="2240" w:type="dxa"/>
                      </w:tcPr>
                      <w:p w:rsidR="00F04EEF" w:rsidRDefault="0099351E">
                        <w:pPr>
                          <w:rPr>
                            <w:rFonts w:cs="Century Schoolbook"/>
                            <w:sz w:val="20"/>
                            <w:szCs w:val="20"/>
                          </w:rPr>
                        </w:pPr>
                        <w:r>
                          <w:rPr>
                            <w:rFonts w:cs="CenturySchoolbook-Italic"/>
                            <w:iCs/>
                            <w:sz w:val="20"/>
                            <w:szCs w:val="20"/>
                          </w:rPr>
                          <w:t>Somme-Leuze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Fernelmont</w:t>
                        </w:r>
                      </w:p>
                    </w:tc>
                    <w:tc>
                      <w:tcPr>
                        <w:tcW w:w="2515" w:type="dxa"/>
                      </w:tcPr>
                      <w:p w:rsidR="00F04EEF" w:rsidRDefault="0099351E">
                        <w:pPr>
                          <w:rPr>
                            <w:rFonts w:cs="Century Schoolbook"/>
                            <w:sz w:val="20"/>
                            <w:szCs w:val="20"/>
                          </w:rPr>
                        </w:pPr>
                        <w:r>
                          <w:rPr>
                            <w:rFonts w:cs="CenturySchoolbook-Italic"/>
                            <w:iCs/>
                            <w:sz w:val="20"/>
                            <w:szCs w:val="20"/>
                          </w:rPr>
                          <w:t>Jemeppe-sur-Sambre</w:t>
                        </w:r>
                      </w:p>
                    </w:tc>
                    <w:tc>
                      <w:tcPr>
                        <w:tcW w:w="2240" w:type="dxa"/>
                      </w:tcPr>
                      <w:p w:rsidR="00F04EEF" w:rsidRDefault="0099351E">
                        <w:pPr>
                          <w:rPr>
                            <w:rFonts w:cs="Century Schoolbook"/>
                            <w:sz w:val="20"/>
                            <w:szCs w:val="20"/>
                          </w:rPr>
                        </w:pPr>
                        <w:r>
                          <w:rPr>
                            <w:rFonts w:cs="CenturySchoolbook-Italic"/>
                            <w:iCs/>
                            <w:sz w:val="20"/>
                            <w:szCs w:val="20"/>
                          </w:rPr>
                          <w:t>Vresse-sur-Semois</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Floreffe</w:t>
                        </w:r>
                      </w:p>
                    </w:tc>
                    <w:tc>
                      <w:tcPr>
                        <w:tcW w:w="2515" w:type="dxa"/>
                      </w:tcPr>
                      <w:p w:rsidR="00F04EEF" w:rsidRDefault="0099351E">
                        <w:pPr>
                          <w:rPr>
                            <w:sz w:val="20"/>
                            <w:szCs w:val="20"/>
                          </w:rPr>
                        </w:pPr>
                        <w:r>
                          <w:rPr>
                            <w:rFonts w:cs="CenturySchoolbook-Italic"/>
                            <w:iCs/>
                            <w:sz w:val="20"/>
                            <w:szCs w:val="20"/>
                          </w:rPr>
                          <w:t>La Bruyère</w:t>
                        </w:r>
                      </w:p>
                    </w:tc>
                    <w:tc>
                      <w:tcPr>
                        <w:tcW w:w="2240" w:type="dxa"/>
                      </w:tcPr>
                      <w:p w:rsidR="00F04EEF" w:rsidRDefault="0099351E">
                        <w:pPr>
                          <w:rPr>
                            <w:sz w:val="20"/>
                            <w:szCs w:val="20"/>
                          </w:rPr>
                        </w:pPr>
                        <w:r>
                          <w:rPr>
                            <w:rFonts w:cs="CenturySchoolbook-Italic"/>
                            <w:iCs/>
                            <w:sz w:val="20"/>
                            <w:szCs w:val="20"/>
                          </w:rPr>
                          <w:t>Yvoir</w:t>
                        </w: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7</w:t>
                        </w:r>
                      </w:p>
                    </w:tc>
                    <w:tc>
                      <w:tcPr>
                        <w:tcW w:w="7272" w:type="dxa"/>
                        <w:gridSpan w:val="3"/>
                      </w:tcPr>
                      <w:p w:rsidR="00F04EEF" w:rsidRDefault="0099351E">
                        <w:pPr>
                          <w:tabs>
                            <w:tab w:val="left" w:pos="3249"/>
                          </w:tabs>
                          <w:rPr>
                            <w:sz w:val="20"/>
                            <w:szCs w:val="20"/>
                          </w:rPr>
                        </w:pPr>
                        <w:r>
                          <w:rPr>
                            <w:rFonts w:cs="Century Schoolbook"/>
                            <w:sz w:val="20"/>
                            <w:szCs w:val="20"/>
                          </w:rPr>
                          <w:t>Province de Luxembourg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Schoolbook-Italic"/>
                            <w:iCs/>
                            <w:sz w:val="20"/>
                            <w:szCs w:val="20"/>
                          </w:rPr>
                        </w:pPr>
                        <w:r>
                          <w:rPr>
                            <w:rFonts w:cs="CenturySchoolbook-Italic"/>
                            <w:iCs/>
                            <w:sz w:val="20"/>
                            <w:szCs w:val="20"/>
                          </w:rPr>
                          <w:t>Arlon</w:t>
                        </w:r>
                      </w:p>
                    </w:tc>
                    <w:tc>
                      <w:tcPr>
                        <w:tcW w:w="2515" w:type="dxa"/>
                      </w:tcPr>
                      <w:p w:rsidR="00F04EEF" w:rsidRDefault="0099351E">
                        <w:pPr>
                          <w:rPr>
                            <w:rFonts w:cs="Century Schoolbook"/>
                            <w:sz w:val="20"/>
                            <w:szCs w:val="20"/>
                          </w:rPr>
                        </w:pPr>
                        <w:r>
                          <w:rPr>
                            <w:rFonts w:cs="CenturySchoolbook-Italic"/>
                            <w:iCs/>
                            <w:sz w:val="20"/>
                            <w:szCs w:val="20"/>
                          </w:rPr>
                          <w:t xml:space="preserve">Habay </w:t>
                        </w:r>
                      </w:p>
                    </w:tc>
                    <w:tc>
                      <w:tcPr>
                        <w:tcW w:w="2240" w:type="dxa"/>
                      </w:tcPr>
                      <w:p w:rsidR="00F04EEF" w:rsidRDefault="0099351E">
                        <w:pPr>
                          <w:rPr>
                            <w:rFonts w:cs="Century Schoolbook"/>
                            <w:sz w:val="20"/>
                            <w:szCs w:val="20"/>
                          </w:rPr>
                        </w:pPr>
                        <w:r>
                          <w:rPr>
                            <w:rFonts w:cs="CenturySchoolbook-Italic"/>
                            <w:iCs/>
                            <w:sz w:val="20"/>
                            <w:szCs w:val="20"/>
                          </w:rPr>
                          <w:t>Neuchâteau</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Attert</w:t>
                        </w:r>
                      </w:p>
                    </w:tc>
                    <w:tc>
                      <w:tcPr>
                        <w:tcW w:w="2515" w:type="dxa"/>
                      </w:tcPr>
                      <w:p w:rsidR="00F04EEF" w:rsidRDefault="0099351E">
                        <w:pPr>
                          <w:rPr>
                            <w:rFonts w:cs="Century Schoolbook"/>
                            <w:sz w:val="20"/>
                            <w:szCs w:val="20"/>
                          </w:rPr>
                        </w:pPr>
                        <w:r>
                          <w:rPr>
                            <w:rFonts w:cs="CenturySchoolbook-Italic"/>
                            <w:iCs/>
                            <w:sz w:val="20"/>
                            <w:szCs w:val="20"/>
                          </w:rPr>
                          <w:t>Herbeumont</w:t>
                        </w:r>
                      </w:p>
                    </w:tc>
                    <w:tc>
                      <w:tcPr>
                        <w:tcW w:w="2240" w:type="dxa"/>
                      </w:tcPr>
                      <w:p w:rsidR="00F04EEF" w:rsidRDefault="0099351E">
                        <w:pPr>
                          <w:rPr>
                            <w:rFonts w:cs="Century Schoolbook"/>
                            <w:sz w:val="20"/>
                            <w:szCs w:val="20"/>
                          </w:rPr>
                        </w:pPr>
                        <w:r>
                          <w:rPr>
                            <w:rFonts w:cs="CenturySchoolbook-Italic"/>
                            <w:iCs/>
                            <w:sz w:val="20"/>
                            <w:szCs w:val="20"/>
                          </w:rPr>
                          <w:t>Paliseul</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Aubange</w:t>
                        </w:r>
                      </w:p>
                    </w:tc>
                    <w:tc>
                      <w:tcPr>
                        <w:tcW w:w="2515" w:type="dxa"/>
                      </w:tcPr>
                      <w:p w:rsidR="00F04EEF" w:rsidRDefault="0099351E">
                        <w:pPr>
                          <w:rPr>
                            <w:rFonts w:cs="Century Schoolbook"/>
                            <w:sz w:val="20"/>
                            <w:szCs w:val="20"/>
                          </w:rPr>
                        </w:pPr>
                        <w:r>
                          <w:rPr>
                            <w:rFonts w:cs="CenturySchoolbook-Italic"/>
                            <w:iCs/>
                            <w:sz w:val="20"/>
                            <w:szCs w:val="20"/>
                          </w:rPr>
                          <w:t>Hotton</w:t>
                        </w:r>
                      </w:p>
                    </w:tc>
                    <w:tc>
                      <w:tcPr>
                        <w:tcW w:w="2240" w:type="dxa"/>
                      </w:tcPr>
                      <w:p w:rsidR="00F04EEF" w:rsidRDefault="0099351E">
                        <w:pPr>
                          <w:rPr>
                            <w:rFonts w:cs="Century Schoolbook"/>
                            <w:sz w:val="20"/>
                            <w:szCs w:val="20"/>
                          </w:rPr>
                        </w:pPr>
                        <w:r>
                          <w:rPr>
                            <w:rFonts w:cs="CenturySchoolbook-Italic"/>
                            <w:iCs/>
                            <w:sz w:val="20"/>
                            <w:szCs w:val="20"/>
                          </w:rPr>
                          <w:t>Rendeux</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Bastogne</w:t>
                        </w:r>
                      </w:p>
                    </w:tc>
                    <w:tc>
                      <w:tcPr>
                        <w:tcW w:w="2515" w:type="dxa"/>
                      </w:tcPr>
                      <w:p w:rsidR="00F04EEF" w:rsidRDefault="0099351E">
                        <w:pPr>
                          <w:rPr>
                            <w:rFonts w:cs="Century Schoolbook"/>
                            <w:sz w:val="20"/>
                            <w:szCs w:val="20"/>
                          </w:rPr>
                        </w:pPr>
                        <w:r>
                          <w:rPr>
                            <w:rFonts w:cs="CenturySchoolbook-Italic"/>
                            <w:iCs/>
                            <w:sz w:val="20"/>
                            <w:szCs w:val="20"/>
                          </w:rPr>
                          <w:t>Houffalize</w:t>
                        </w:r>
                      </w:p>
                    </w:tc>
                    <w:tc>
                      <w:tcPr>
                        <w:tcW w:w="2240" w:type="dxa"/>
                      </w:tcPr>
                      <w:p w:rsidR="00F04EEF" w:rsidRDefault="0099351E">
                        <w:pPr>
                          <w:rPr>
                            <w:rFonts w:cs="Century Schoolbook"/>
                            <w:sz w:val="20"/>
                            <w:szCs w:val="20"/>
                          </w:rPr>
                        </w:pPr>
                        <w:r>
                          <w:rPr>
                            <w:rFonts w:cs="CenturySchoolbook-Italic"/>
                            <w:iCs/>
                            <w:sz w:val="20"/>
                            <w:szCs w:val="20"/>
                          </w:rPr>
                          <w:t>Rouvroy</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Bertogne</w:t>
                        </w:r>
                      </w:p>
                    </w:tc>
                    <w:tc>
                      <w:tcPr>
                        <w:tcW w:w="2515" w:type="dxa"/>
                      </w:tcPr>
                      <w:p w:rsidR="00F04EEF" w:rsidRDefault="0099351E">
                        <w:pPr>
                          <w:rPr>
                            <w:rFonts w:cs="Century Schoolbook"/>
                            <w:sz w:val="20"/>
                            <w:szCs w:val="20"/>
                          </w:rPr>
                        </w:pPr>
                        <w:r>
                          <w:rPr>
                            <w:rFonts w:cs="CenturySchoolbook-Italic"/>
                            <w:iCs/>
                            <w:sz w:val="20"/>
                            <w:szCs w:val="20"/>
                          </w:rPr>
                          <w:t>La Roche-en-Ardenne</w:t>
                        </w:r>
                      </w:p>
                    </w:tc>
                    <w:tc>
                      <w:tcPr>
                        <w:tcW w:w="2240" w:type="dxa"/>
                      </w:tcPr>
                      <w:p w:rsidR="00F04EEF" w:rsidRDefault="0099351E">
                        <w:pPr>
                          <w:rPr>
                            <w:rFonts w:cs="Century Schoolbook"/>
                            <w:sz w:val="20"/>
                            <w:szCs w:val="20"/>
                          </w:rPr>
                        </w:pPr>
                        <w:r>
                          <w:rPr>
                            <w:rFonts w:cs="CenturySchoolbook-Italic"/>
                            <w:iCs/>
                            <w:sz w:val="20"/>
                            <w:szCs w:val="20"/>
                          </w:rPr>
                          <w:t>Saint-Léger</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Bertrix</w:t>
                        </w:r>
                      </w:p>
                    </w:tc>
                    <w:tc>
                      <w:tcPr>
                        <w:tcW w:w="2515" w:type="dxa"/>
                      </w:tcPr>
                      <w:p w:rsidR="00F04EEF" w:rsidRDefault="0099351E">
                        <w:pPr>
                          <w:rPr>
                            <w:rFonts w:cs="Century Schoolbook"/>
                            <w:sz w:val="20"/>
                            <w:szCs w:val="20"/>
                          </w:rPr>
                        </w:pPr>
                        <w:r>
                          <w:rPr>
                            <w:rFonts w:cs="CenturySchoolbook-Italic"/>
                            <w:iCs/>
                            <w:sz w:val="20"/>
                            <w:szCs w:val="20"/>
                          </w:rPr>
                          <w:t>Léglise</w:t>
                        </w:r>
                      </w:p>
                    </w:tc>
                    <w:tc>
                      <w:tcPr>
                        <w:tcW w:w="2240" w:type="dxa"/>
                      </w:tcPr>
                      <w:p w:rsidR="00F04EEF" w:rsidRDefault="0099351E">
                        <w:pPr>
                          <w:rPr>
                            <w:rFonts w:cs="Century Schoolbook"/>
                            <w:sz w:val="20"/>
                            <w:szCs w:val="20"/>
                          </w:rPr>
                        </w:pPr>
                        <w:r>
                          <w:rPr>
                            <w:rFonts w:cs="CenturySchoolbook-Italic"/>
                            <w:iCs/>
                            <w:sz w:val="20"/>
                            <w:szCs w:val="20"/>
                          </w:rPr>
                          <w:t>Tellin</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Bouillon</w:t>
                        </w:r>
                      </w:p>
                    </w:tc>
                    <w:tc>
                      <w:tcPr>
                        <w:tcW w:w="2515" w:type="dxa"/>
                      </w:tcPr>
                      <w:p w:rsidR="00F04EEF" w:rsidRDefault="0099351E">
                        <w:pPr>
                          <w:rPr>
                            <w:rFonts w:cs="Century Schoolbook"/>
                            <w:sz w:val="20"/>
                            <w:szCs w:val="20"/>
                          </w:rPr>
                        </w:pPr>
                        <w:r>
                          <w:rPr>
                            <w:rFonts w:cs="CenturySchoolbook-Italic"/>
                            <w:iCs/>
                            <w:sz w:val="20"/>
                            <w:szCs w:val="20"/>
                          </w:rPr>
                          <w:t>Libin</w:t>
                        </w:r>
                      </w:p>
                    </w:tc>
                    <w:tc>
                      <w:tcPr>
                        <w:tcW w:w="2240" w:type="dxa"/>
                      </w:tcPr>
                      <w:p w:rsidR="00F04EEF" w:rsidRDefault="0099351E">
                        <w:pPr>
                          <w:rPr>
                            <w:rFonts w:cs="Century Schoolbook"/>
                            <w:sz w:val="20"/>
                            <w:szCs w:val="20"/>
                          </w:rPr>
                        </w:pPr>
                        <w:r>
                          <w:rPr>
                            <w:rFonts w:cs="CenturySchoolbook-Italic"/>
                            <w:iCs/>
                            <w:sz w:val="20"/>
                            <w:szCs w:val="20"/>
                          </w:rPr>
                          <w:t>Tenneville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Chiny</w:t>
                        </w:r>
                      </w:p>
                    </w:tc>
                    <w:tc>
                      <w:tcPr>
                        <w:tcW w:w="2515" w:type="dxa"/>
                      </w:tcPr>
                      <w:p w:rsidR="00F04EEF" w:rsidRDefault="0099351E">
                        <w:pPr>
                          <w:rPr>
                            <w:rFonts w:cs="Century Schoolbook"/>
                            <w:sz w:val="20"/>
                            <w:szCs w:val="20"/>
                          </w:rPr>
                        </w:pPr>
                        <w:r>
                          <w:rPr>
                            <w:rFonts w:cs="CenturySchoolbook-Italic"/>
                            <w:iCs/>
                            <w:sz w:val="20"/>
                            <w:szCs w:val="20"/>
                          </w:rPr>
                          <w:t>Libramont-Chevigny</w:t>
                        </w:r>
                      </w:p>
                    </w:tc>
                    <w:tc>
                      <w:tcPr>
                        <w:tcW w:w="2240" w:type="dxa"/>
                      </w:tcPr>
                      <w:p w:rsidR="00F04EEF" w:rsidRDefault="0099351E">
                        <w:pPr>
                          <w:rPr>
                            <w:rFonts w:cs="Century Schoolbook"/>
                            <w:sz w:val="20"/>
                            <w:szCs w:val="20"/>
                          </w:rPr>
                        </w:pPr>
                        <w:r>
                          <w:rPr>
                            <w:rFonts w:cs="CenturySchoolbook-Italic"/>
                            <w:iCs/>
                            <w:sz w:val="20"/>
                            <w:szCs w:val="20"/>
                          </w:rPr>
                          <w:t>Tintigny</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Daverdisse</w:t>
                        </w:r>
                      </w:p>
                    </w:tc>
                    <w:tc>
                      <w:tcPr>
                        <w:tcW w:w="2515" w:type="dxa"/>
                      </w:tcPr>
                      <w:p w:rsidR="00F04EEF" w:rsidRDefault="0099351E">
                        <w:pPr>
                          <w:rPr>
                            <w:rFonts w:cs="Century Schoolbook"/>
                            <w:sz w:val="20"/>
                            <w:szCs w:val="20"/>
                          </w:rPr>
                        </w:pPr>
                        <w:r>
                          <w:rPr>
                            <w:rFonts w:cs="CenturySchoolbook-Italic"/>
                            <w:iCs/>
                            <w:sz w:val="20"/>
                            <w:szCs w:val="20"/>
                          </w:rPr>
                          <w:t>Manhay</w:t>
                        </w:r>
                      </w:p>
                    </w:tc>
                    <w:tc>
                      <w:tcPr>
                        <w:tcW w:w="2240" w:type="dxa"/>
                      </w:tcPr>
                      <w:p w:rsidR="00F04EEF" w:rsidRDefault="0099351E">
                        <w:pPr>
                          <w:rPr>
                            <w:rFonts w:cs="Century Schoolbook"/>
                            <w:sz w:val="20"/>
                            <w:szCs w:val="20"/>
                          </w:rPr>
                        </w:pPr>
                        <w:r>
                          <w:rPr>
                            <w:rFonts w:cs="CenturySchoolbook-Italic"/>
                            <w:iCs/>
                            <w:sz w:val="20"/>
                            <w:szCs w:val="20"/>
                          </w:rPr>
                          <w:t>Saint-Hubert</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Durbuy</w:t>
                        </w:r>
                      </w:p>
                    </w:tc>
                    <w:tc>
                      <w:tcPr>
                        <w:tcW w:w="2515" w:type="dxa"/>
                      </w:tcPr>
                      <w:p w:rsidR="00F04EEF" w:rsidRDefault="0099351E">
                        <w:pPr>
                          <w:rPr>
                            <w:rFonts w:cs="Century Schoolbook"/>
                            <w:sz w:val="20"/>
                            <w:szCs w:val="20"/>
                          </w:rPr>
                        </w:pPr>
                        <w:r>
                          <w:rPr>
                            <w:rFonts w:cs="CenturySchoolbook-Italic"/>
                            <w:iCs/>
                            <w:sz w:val="20"/>
                            <w:szCs w:val="20"/>
                          </w:rPr>
                          <w:t>Marche-en-Famenne</w:t>
                        </w:r>
                      </w:p>
                    </w:tc>
                    <w:tc>
                      <w:tcPr>
                        <w:tcW w:w="2240" w:type="dxa"/>
                      </w:tcPr>
                      <w:p w:rsidR="00F04EEF" w:rsidRDefault="0099351E">
                        <w:pPr>
                          <w:rPr>
                            <w:rFonts w:cs="Century Schoolbook"/>
                            <w:sz w:val="20"/>
                            <w:szCs w:val="20"/>
                          </w:rPr>
                        </w:pPr>
                        <w:r>
                          <w:rPr>
                            <w:rFonts w:cs="CenturySchoolbook-Italic"/>
                            <w:iCs/>
                            <w:sz w:val="20"/>
                            <w:szCs w:val="20"/>
                          </w:rPr>
                          <w:t>Sainte-Ode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Erezée</w:t>
                        </w:r>
                      </w:p>
                    </w:tc>
                    <w:tc>
                      <w:tcPr>
                        <w:tcW w:w="2515" w:type="dxa"/>
                      </w:tcPr>
                      <w:p w:rsidR="00F04EEF" w:rsidRDefault="0099351E">
                        <w:pPr>
                          <w:rPr>
                            <w:rFonts w:cs="Century Schoolbook"/>
                            <w:sz w:val="20"/>
                            <w:szCs w:val="20"/>
                          </w:rPr>
                        </w:pPr>
                        <w:r>
                          <w:rPr>
                            <w:rFonts w:cs="CenturySchoolbook-Italic"/>
                            <w:iCs/>
                            <w:sz w:val="20"/>
                            <w:szCs w:val="20"/>
                          </w:rPr>
                          <w:t>Martelange</w:t>
                        </w:r>
                      </w:p>
                    </w:tc>
                    <w:tc>
                      <w:tcPr>
                        <w:tcW w:w="2240" w:type="dxa"/>
                      </w:tcPr>
                      <w:p w:rsidR="00F04EEF" w:rsidRDefault="0099351E">
                        <w:pPr>
                          <w:rPr>
                            <w:rFonts w:cs="Century Schoolbook"/>
                            <w:sz w:val="20"/>
                            <w:szCs w:val="20"/>
                          </w:rPr>
                        </w:pPr>
                        <w:r>
                          <w:rPr>
                            <w:rFonts w:cs="CenturySchoolbook-Italic"/>
                            <w:iCs/>
                            <w:sz w:val="20"/>
                            <w:szCs w:val="20"/>
                          </w:rPr>
                          <w:t>Vaux-sur-Sûre</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Etalle</w:t>
                        </w:r>
                      </w:p>
                    </w:tc>
                    <w:tc>
                      <w:tcPr>
                        <w:tcW w:w="2515" w:type="dxa"/>
                      </w:tcPr>
                      <w:p w:rsidR="00F04EEF" w:rsidRDefault="0099351E">
                        <w:pPr>
                          <w:autoSpaceDE w:val="0"/>
                          <w:autoSpaceDN w:val="0"/>
                          <w:adjustRightInd w:val="0"/>
                          <w:rPr>
                            <w:rFonts w:cs="CenturySchoolbook-Italic"/>
                            <w:iCs/>
                            <w:sz w:val="20"/>
                            <w:szCs w:val="20"/>
                          </w:rPr>
                        </w:pPr>
                        <w:r>
                          <w:rPr>
                            <w:rFonts w:cs="CenturySchoolbook-Italic"/>
                            <w:iCs/>
                            <w:sz w:val="20"/>
                            <w:szCs w:val="20"/>
                          </w:rPr>
                          <w:t>Messancy</w:t>
                        </w:r>
                      </w:p>
                    </w:tc>
                    <w:tc>
                      <w:tcPr>
                        <w:tcW w:w="2240" w:type="dxa"/>
                      </w:tcPr>
                      <w:p w:rsidR="00F04EEF" w:rsidRDefault="0099351E">
                        <w:pPr>
                          <w:rPr>
                            <w:rFonts w:cs="Century Schoolbook"/>
                            <w:sz w:val="20"/>
                            <w:szCs w:val="20"/>
                          </w:rPr>
                        </w:pPr>
                        <w:r>
                          <w:rPr>
                            <w:rFonts w:cs="CenturySchoolbook-Italic"/>
                            <w:iCs/>
                            <w:sz w:val="20"/>
                            <w:szCs w:val="20"/>
                          </w:rPr>
                          <w:t>Vielsalm</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Schoolbook-Italic"/>
                            <w:iCs/>
                            <w:sz w:val="20"/>
                            <w:szCs w:val="20"/>
                          </w:rPr>
                        </w:pPr>
                        <w:r>
                          <w:rPr>
                            <w:rFonts w:cs="CenturySchoolbook-Italic"/>
                            <w:iCs/>
                            <w:sz w:val="20"/>
                            <w:szCs w:val="20"/>
                          </w:rPr>
                          <w:t>Fauvillers</w:t>
                        </w:r>
                      </w:p>
                    </w:tc>
                    <w:tc>
                      <w:tcPr>
                        <w:tcW w:w="2515" w:type="dxa"/>
                      </w:tcPr>
                      <w:p w:rsidR="00F04EEF" w:rsidRDefault="0099351E">
                        <w:pPr>
                          <w:rPr>
                            <w:rFonts w:cs="Century Schoolbook"/>
                            <w:sz w:val="20"/>
                            <w:szCs w:val="20"/>
                          </w:rPr>
                        </w:pPr>
                        <w:r>
                          <w:rPr>
                            <w:rFonts w:cs="CenturySchoolbook-Italic"/>
                            <w:iCs/>
                            <w:sz w:val="20"/>
                            <w:szCs w:val="20"/>
                          </w:rPr>
                          <w:t>Meix-devant-Virton</w:t>
                        </w:r>
                      </w:p>
                    </w:tc>
                    <w:tc>
                      <w:tcPr>
                        <w:tcW w:w="2240" w:type="dxa"/>
                      </w:tcPr>
                      <w:p w:rsidR="00F04EEF" w:rsidRDefault="0099351E">
                        <w:pPr>
                          <w:rPr>
                            <w:rFonts w:cs="Century Schoolbook"/>
                            <w:sz w:val="20"/>
                            <w:szCs w:val="20"/>
                          </w:rPr>
                        </w:pPr>
                        <w:r>
                          <w:rPr>
                            <w:rFonts w:cs="CenturySchoolbook-Italic"/>
                            <w:iCs/>
                            <w:sz w:val="20"/>
                            <w:szCs w:val="20"/>
                          </w:rPr>
                          <w:t>Virton</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Florenville</w:t>
                        </w:r>
                      </w:p>
                    </w:tc>
                    <w:tc>
                      <w:tcPr>
                        <w:tcW w:w="2515" w:type="dxa"/>
                      </w:tcPr>
                      <w:p w:rsidR="00F04EEF" w:rsidRDefault="0099351E">
                        <w:pPr>
                          <w:rPr>
                            <w:rFonts w:cs="Century Schoolbook"/>
                            <w:sz w:val="20"/>
                            <w:szCs w:val="20"/>
                          </w:rPr>
                        </w:pPr>
                        <w:r>
                          <w:rPr>
                            <w:rFonts w:cs="CenturySchoolbook-Italic"/>
                            <w:iCs/>
                            <w:sz w:val="20"/>
                            <w:szCs w:val="20"/>
                          </w:rPr>
                          <w:t>Musson</w:t>
                        </w:r>
                      </w:p>
                    </w:tc>
                    <w:tc>
                      <w:tcPr>
                        <w:tcW w:w="2240" w:type="dxa"/>
                      </w:tcPr>
                      <w:p w:rsidR="00F04EEF" w:rsidRDefault="0099351E">
                        <w:pPr>
                          <w:rPr>
                            <w:sz w:val="20"/>
                            <w:szCs w:val="20"/>
                          </w:rPr>
                        </w:pPr>
                        <w:r>
                          <w:rPr>
                            <w:rFonts w:cs="CenturySchoolbook-Italic"/>
                            <w:iCs/>
                            <w:sz w:val="20"/>
                            <w:szCs w:val="20"/>
                          </w:rPr>
                          <w:t>Wellin</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Gouvy</w:t>
                        </w:r>
                      </w:p>
                    </w:tc>
                    <w:tc>
                      <w:tcPr>
                        <w:tcW w:w="2515" w:type="dxa"/>
                      </w:tcPr>
                      <w:p w:rsidR="00F04EEF" w:rsidRDefault="0099351E">
                        <w:pPr>
                          <w:rPr>
                            <w:sz w:val="20"/>
                            <w:szCs w:val="20"/>
                          </w:rPr>
                        </w:pPr>
                        <w:r>
                          <w:rPr>
                            <w:rFonts w:cs="CenturySchoolbook-Italic"/>
                            <w:iCs/>
                            <w:sz w:val="20"/>
                            <w:szCs w:val="20"/>
                          </w:rPr>
                          <w:t>Nassogne</w:t>
                        </w:r>
                      </w:p>
                    </w:tc>
                    <w:tc>
                      <w:tcPr>
                        <w:tcW w:w="2240" w:type="dxa"/>
                      </w:tcPr>
                      <w:p w:rsidR="00F04EEF" w:rsidRDefault="0099351E">
                        <w:pPr>
                          <w:rPr>
                            <w:rFonts w:cs="Century Schoolbook"/>
                            <w:sz w:val="20"/>
                            <w:szCs w:val="20"/>
                          </w:rPr>
                        </w:pPr>
                        <w:r>
                          <w:rPr>
                            <w:rFonts w:cs="CenturySchoolbook-Italic"/>
                            <w:iCs/>
                            <w:sz w:val="20"/>
                            <w:szCs w:val="20"/>
                          </w:rPr>
                          <w:t>Paliseul</w:t>
                        </w: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8</w:t>
                        </w:r>
                      </w:p>
                    </w:tc>
                    <w:tc>
                      <w:tcPr>
                        <w:tcW w:w="7272" w:type="dxa"/>
                        <w:gridSpan w:val="3"/>
                      </w:tcPr>
                      <w:p w:rsidR="00F04EEF" w:rsidRDefault="0099351E">
                        <w:pPr>
                          <w:rPr>
                            <w:sz w:val="20"/>
                            <w:szCs w:val="20"/>
                          </w:rPr>
                        </w:pPr>
                        <w:r>
                          <w:rPr>
                            <w:rFonts w:cs="Century Schoolbook"/>
                            <w:sz w:val="20"/>
                            <w:szCs w:val="20"/>
                          </w:rPr>
                          <w:t>Hainaut occidental ou Wallonie Picarde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Antoing</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Comines-Warneton</w:t>
                        </w:r>
                      </w:p>
                    </w:tc>
                    <w:tc>
                      <w:tcPr>
                        <w:tcW w:w="2240" w:type="dxa"/>
                      </w:tcPr>
                      <w:p w:rsidR="00F04EEF" w:rsidRDefault="0099351E">
                        <w:pPr>
                          <w:rPr>
                            <w:rFonts w:cs="CenturySchoolbook-Italic"/>
                            <w:iCs/>
                            <w:sz w:val="20"/>
                            <w:szCs w:val="20"/>
                          </w:rPr>
                        </w:pPr>
                        <w:r>
                          <w:rPr>
                            <w:rFonts w:cs="CenturySchoolbook-Italic"/>
                            <w:iCs/>
                            <w:sz w:val="20"/>
                            <w:szCs w:val="20"/>
                          </w:rPr>
                          <w:t>Mont-de-l'Enclus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Ath</w:t>
                        </w:r>
                      </w:p>
                    </w:tc>
                    <w:tc>
                      <w:tcPr>
                        <w:tcW w:w="2515" w:type="dxa"/>
                      </w:tcPr>
                      <w:p w:rsidR="00F04EEF" w:rsidRDefault="0099351E">
                        <w:pPr>
                          <w:rPr>
                            <w:rFonts w:cs="Century Schoolbook"/>
                            <w:sz w:val="20"/>
                            <w:szCs w:val="20"/>
                          </w:rPr>
                        </w:pPr>
                        <w:r>
                          <w:rPr>
                            <w:rFonts w:cs="CenturySchoolbook-Italic"/>
                            <w:iCs/>
                            <w:sz w:val="20"/>
                            <w:szCs w:val="20"/>
                          </w:rPr>
                          <w:t>Ellezelles</w:t>
                        </w:r>
                      </w:p>
                    </w:tc>
                    <w:tc>
                      <w:tcPr>
                        <w:tcW w:w="2240" w:type="dxa"/>
                      </w:tcPr>
                      <w:p w:rsidR="00F04EEF" w:rsidRDefault="0099351E">
                        <w:pPr>
                          <w:rPr>
                            <w:rFonts w:cs="Century Schoolbook"/>
                            <w:sz w:val="20"/>
                            <w:szCs w:val="20"/>
                          </w:rPr>
                        </w:pPr>
                        <w:r>
                          <w:rPr>
                            <w:rFonts w:cs="CenturySchoolbook-Italic"/>
                            <w:iCs/>
                            <w:sz w:val="20"/>
                            <w:szCs w:val="20"/>
                          </w:rPr>
                          <w:t>Mouscron</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Beloeil</w:t>
                        </w:r>
                      </w:p>
                    </w:tc>
                    <w:tc>
                      <w:tcPr>
                        <w:tcW w:w="2515" w:type="dxa"/>
                      </w:tcPr>
                      <w:p w:rsidR="00F04EEF" w:rsidRDefault="0099351E">
                        <w:pPr>
                          <w:rPr>
                            <w:rFonts w:cs="Century Schoolbook"/>
                            <w:sz w:val="20"/>
                            <w:szCs w:val="20"/>
                          </w:rPr>
                        </w:pPr>
                        <w:r>
                          <w:rPr>
                            <w:rFonts w:cs="CenturySchoolbook-Italic"/>
                            <w:iCs/>
                            <w:sz w:val="20"/>
                            <w:szCs w:val="20"/>
                          </w:rPr>
                          <w:t>Enghien</w:t>
                        </w:r>
                      </w:p>
                    </w:tc>
                    <w:tc>
                      <w:tcPr>
                        <w:tcW w:w="2240" w:type="dxa"/>
                      </w:tcPr>
                      <w:p w:rsidR="00F04EEF" w:rsidRDefault="0099351E">
                        <w:pPr>
                          <w:rPr>
                            <w:rFonts w:cs="Century Schoolbook"/>
                            <w:sz w:val="20"/>
                            <w:szCs w:val="20"/>
                          </w:rPr>
                        </w:pPr>
                        <w:r>
                          <w:rPr>
                            <w:rFonts w:cs="CenturySchoolbook-Italic"/>
                            <w:iCs/>
                            <w:sz w:val="20"/>
                            <w:szCs w:val="20"/>
                          </w:rPr>
                          <w:t>Pecq</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Bernissart</w:t>
                        </w:r>
                      </w:p>
                    </w:tc>
                    <w:tc>
                      <w:tcPr>
                        <w:tcW w:w="2515" w:type="dxa"/>
                      </w:tcPr>
                      <w:p w:rsidR="00F04EEF" w:rsidRDefault="0099351E">
                        <w:pPr>
                          <w:rPr>
                            <w:rFonts w:cs="Century Schoolbook"/>
                            <w:sz w:val="20"/>
                            <w:szCs w:val="20"/>
                          </w:rPr>
                        </w:pPr>
                        <w:r>
                          <w:rPr>
                            <w:rFonts w:cs="CenturySchoolbook-Italic"/>
                            <w:iCs/>
                            <w:sz w:val="20"/>
                            <w:szCs w:val="20"/>
                          </w:rPr>
                          <w:t>Estaimpuis</w:t>
                        </w:r>
                      </w:p>
                    </w:tc>
                    <w:tc>
                      <w:tcPr>
                        <w:tcW w:w="2240" w:type="dxa"/>
                      </w:tcPr>
                      <w:p w:rsidR="00F04EEF" w:rsidRDefault="0099351E">
                        <w:pPr>
                          <w:rPr>
                            <w:rFonts w:cs="Century Schoolbook"/>
                            <w:sz w:val="20"/>
                            <w:szCs w:val="20"/>
                          </w:rPr>
                        </w:pPr>
                        <w:r>
                          <w:rPr>
                            <w:rFonts w:cs="CenturySchoolbook-Italic"/>
                            <w:iCs/>
                            <w:sz w:val="20"/>
                            <w:szCs w:val="20"/>
                          </w:rPr>
                          <w:t>Péruwelz</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Brugelette</w:t>
                        </w:r>
                      </w:p>
                    </w:tc>
                    <w:tc>
                      <w:tcPr>
                        <w:tcW w:w="2515" w:type="dxa"/>
                      </w:tcPr>
                      <w:p w:rsidR="00F04EEF" w:rsidRDefault="0099351E">
                        <w:pPr>
                          <w:rPr>
                            <w:rFonts w:cs="Century Schoolbook"/>
                            <w:sz w:val="20"/>
                            <w:szCs w:val="20"/>
                          </w:rPr>
                        </w:pPr>
                        <w:r>
                          <w:rPr>
                            <w:rFonts w:cs="CenturySchoolbook-Italic"/>
                            <w:iCs/>
                            <w:sz w:val="20"/>
                            <w:szCs w:val="20"/>
                          </w:rPr>
                          <w:t>Flobecq</w:t>
                        </w:r>
                      </w:p>
                    </w:tc>
                    <w:tc>
                      <w:tcPr>
                        <w:tcW w:w="2240" w:type="dxa"/>
                      </w:tcPr>
                      <w:p w:rsidR="00F04EEF" w:rsidRDefault="0099351E">
                        <w:pPr>
                          <w:rPr>
                            <w:rFonts w:cs="Century Schoolbook"/>
                            <w:sz w:val="20"/>
                            <w:szCs w:val="20"/>
                          </w:rPr>
                        </w:pPr>
                        <w:r>
                          <w:rPr>
                            <w:rFonts w:cs="CenturySchoolbook-Italic"/>
                            <w:iCs/>
                            <w:sz w:val="20"/>
                            <w:szCs w:val="20"/>
                          </w:rPr>
                          <w:t>Rumes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Brunehaut</w:t>
                        </w:r>
                      </w:p>
                    </w:tc>
                    <w:tc>
                      <w:tcPr>
                        <w:tcW w:w="2515" w:type="dxa"/>
                      </w:tcPr>
                      <w:p w:rsidR="00F04EEF" w:rsidRDefault="0099351E">
                        <w:pPr>
                          <w:rPr>
                            <w:rFonts w:cs="Century Schoolbook"/>
                            <w:sz w:val="20"/>
                            <w:szCs w:val="20"/>
                          </w:rPr>
                        </w:pPr>
                        <w:r>
                          <w:rPr>
                            <w:rFonts w:cs="CenturySchoolbook-Italic"/>
                            <w:iCs/>
                            <w:sz w:val="20"/>
                            <w:szCs w:val="20"/>
                          </w:rPr>
                          <w:t>Frasnes-lez-Anvaing</w:t>
                        </w:r>
                      </w:p>
                    </w:tc>
                    <w:tc>
                      <w:tcPr>
                        <w:tcW w:w="2240" w:type="dxa"/>
                      </w:tcPr>
                      <w:p w:rsidR="00F04EEF" w:rsidRDefault="0099351E">
                        <w:pPr>
                          <w:rPr>
                            <w:rFonts w:cs="Century Schoolbook"/>
                            <w:sz w:val="20"/>
                            <w:szCs w:val="20"/>
                          </w:rPr>
                        </w:pPr>
                        <w:r>
                          <w:rPr>
                            <w:rFonts w:cs="CenturySchoolbook-Italic"/>
                            <w:iCs/>
                            <w:sz w:val="20"/>
                            <w:szCs w:val="20"/>
                          </w:rPr>
                          <w:t>Silly</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Celles</w:t>
                        </w:r>
                      </w:p>
                    </w:tc>
                    <w:tc>
                      <w:tcPr>
                        <w:tcW w:w="2515" w:type="dxa"/>
                      </w:tcPr>
                      <w:p w:rsidR="00F04EEF" w:rsidRDefault="0099351E">
                        <w:pPr>
                          <w:rPr>
                            <w:rFonts w:cs="Century Schoolbook"/>
                            <w:sz w:val="20"/>
                            <w:szCs w:val="20"/>
                          </w:rPr>
                        </w:pPr>
                        <w:r>
                          <w:rPr>
                            <w:rFonts w:cs="CenturySchoolbook-Italic"/>
                            <w:iCs/>
                            <w:sz w:val="20"/>
                            <w:szCs w:val="20"/>
                          </w:rPr>
                          <w:t>Lessines</w:t>
                        </w:r>
                      </w:p>
                    </w:tc>
                    <w:tc>
                      <w:tcPr>
                        <w:tcW w:w="2240" w:type="dxa"/>
                      </w:tcPr>
                      <w:p w:rsidR="00F04EEF" w:rsidRDefault="0099351E">
                        <w:pPr>
                          <w:rPr>
                            <w:sz w:val="20"/>
                            <w:szCs w:val="20"/>
                          </w:rPr>
                        </w:pPr>
                        <w:r>
                          <w:rPr>
                            <w:rFonts w:cs="CenturySchoolbook-Italic"/>
                            <w:iCs/>
                            <w:sz w:val="20"/>
                            <w:szCs w:val="20"/>
                          </w:rPr>
                          <w:t>Tournai</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Chièvres</w:t>
                        </w:r>
                      </w:p>
                    </w:tc>
                    <w:tc>
                      <w:tcPr>
                        <w:tcW w:w="2515" w:type="dxa"/>
                      </w:tcPr>
                      <w:p w:rsidR="00F04EEF" w:rsidRDefault="0099351E">
                        <w:pPr>
                          <w:rPr>
                            <w:sz w:val="20"/>
                            <w:szCs w:val="20"/>
                          </w:rPr>
                        </w:pPr>
                        <w:r>
                          <w:rPr>
                            <w:rFonts w:cs="CenturySchoolbook-Italic"/>
                            <w:iCs/>
                            <w:sz w:val="20"/>
                            <w:szCs w:val="20"/>
                          </w:rPr>
                          <w:t>Leuze-en-Hainaut</w:t>
                        </w:r>
                      </w:p>
                    </w:tc>
                    <w:tc>
                      <w:tcPr>
                        <w:tcW w:w="2240" w:type="dxa"/>
                      </w:tcPr>
                      <w:p w:rsidR="00F04EEF" w:rsidRDefault="0099351E">
                        <w:pPr>
                          <w:rPr>
                            <w:rFonts w:cs="Century Schoolbook"/>
                            <w:sz w:val="20"/>
                            <w:szCs w:val="20"/>
                          </w:rPr>
                        </w:pPr>
                        <w:r>
                          <w:rPr>
                            <w:rFonts w:cs="CenturySchoolbook-Italic"/>
                            <w:iCs/>
                            <w:sz w:val="20"/>
                            <w:szCs w:val="20"/>
                          </w:rPr>
                          <w:t>Mouscron</w:t>
                        </w: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Zone 9</w:t>
                        </w:r>
                      </w:p>
                    </w:tc>
                    <w:tc>
                      <w:tcPr>
                        <w:tcW w:w="7272" w:type="dxa"/>
                        <w:gridSpan w:val="3"/>
                      </w:tcPr>
                      <w:p w:rsidR="00F04EEF" w:rsidRDefault="0099351E">
                        <w:pPr>
                          <w:rPr>
                            <w:sz w:val="20"/>
                            <w:szCs w:val="20"/>
                          </w:rPr>
                        </w:pPr>
                        <w:r>
                          <w:rPr>
                            <w:rFonts w:cs="Century Schoolbook"/>
                            <w:sz w:val="20"/>
                            <w:szCs w:val="20"/>
                          </w:rPr>
                          <w:t>Mons-Centre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Schoolbook-Italic"/>
                            <w:iCs/>
                            <w:sz w:val="20"/>
                            <w:szCs w:val="20"/>
                          </w:rPr>
                        </w:pPr>
                        <w:r>
                          <w:rPr>
                            <w:rFonts w:cs="CenturySchoolbook-Italic"/>
                            <w:iCs/>
                            <w:sz w:val="20"/>
                            <w:szCs w:val="20"/>
                          </w:rPr>
                          <w:t>Binche</w:t>
                        </w:r>
                      </w:p>
                    </w:tc>
                    <w:tc>
                      <w:tcPr>
                        <w:tcW w:w="2515" w:type="dxa"/>
                      </w:tcPr>
                      <w:p w:rsidR="00F04EEF" w:rsidRDefault="0099351E">
                        <w:pPr>
                          <w:rPr>
                            <w:rFonts w:cs="Century Schoolbook"/>
                            <w:sz w:val="20"/>
                            <w:szCs w:val="20"/>
                          </w:rPr>
                        </w:pPr>
                        <w:r>
                          <w:rPr>
                            <w:rFonts w:cs="CenturySchoolbook-Italic"/>
                            <w:iCs/>
                            <w:sz w:val="20"/>
                            <w:szCs w:val="20"/>
                          </w:rPr>
                          <w:t>Frameries</w:t>
                        </w:r>
                      </w:p>
                    </w:tc>
                    <w:tc>
                      <w:tcPr>
                        <w:tcW w:w="2240" w:type="dxa"/>
                      </w:tcPr>
                      <w:p w:rsidR="00F04EEF" w:rsidRDefault="0099351E">
                        <w:pPr>
                          <w:rPr>
                            <w:rFonts w:cs="Century Schoolbook"/>
                            <w:sz w:val="20"/>
                            <w:szCs w:val="20"/>
                          </w:rPr>
                        </w:pPr>
                        <w:r>
                          <w:rPr>
                            <w:rFonts w:cs="CenturySchoolbook-Italic"/>
                            <w:iCs/>
                            <w:sz w:val="20"/>
                            <w:szCs w:val="20"/>
                          </w:rPr>
                          <w:t>Mons</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Boussu</w:t>
                        </w:r>
                      </w:p>
                    </w:tc>
                    <w:tc>
                      <w:tcPr>
                        <w:tcW w:w="2515" w:type="dxa"/>
                      </w:tcPr>
                      <w:p w:rsidR="00F04EEF" w:rsidRDefault="0099351E">
                        <w:pPr>
                          <w:rPr>
                            <w:rFonts w:cs="Century Schoolbook"/>
                            <w:sz w:val="20"/>
                            <w:szCs w:val="20"/>
                          </w:rPr>
                        </w:pPr>
                        <w:r>
                          <w:rPr>
                            <w:rFonts w:cs="CenturySchoolbook-Italic"/>
                            <w:iCs/>
                            <w:sz w:val="20"/>
                            <w:szCs w:val="20"/>
                          </w:rPr>
                          <w:t>Hensies</w:t>
                        </w:r>
                      </w:p>
                    </w:tc>
                    <w:tc>
                      <w:tcPr>
                        <w:tcW w:w="2240" w:type="dxa"/>
                      </w:tcPr>
                      <w:p w:rsidR="00F04EEF" w:rsidRDefault="0099351E">
                        <w:pPr>
                          <w:rPr>
                            <w:rFonts w:cs="Century Schoolbook"/>
                            <w:sz w:val="20"/>
                            <w:szCs w:val="20"/>
                          </w:rPr>
                        </w:pPr>
                        <w:r>
                          <w:rPr>
                            <w:rFonts w:cs="CenturySchoolbook-Italic"/>
                            <w:iCs/>
                            <w:sz w:val="20"/>
                            <w:szCs w:val="20"/>
                          </w:rPr>
                          <w:t>Morlanwelz</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Braine-le-Comte</w:t>
                        </w:r>
                      </w:p>
                    </w:tc>
                    <w:tc>
                      <w:tcPr>
                        <w:tcW w:w="2515" w:type="dxa"/>
                      </w:tcPr>
                      <w:p w:rsidR="00F04EEF" w:rsidRDefault="0099351E">
                        <w:pPr>
                          <w:rPr>
                            <w:rFonts w:cs="Century Schoolbook"/>
                            <w:sz w:val="20"/>
                            <w:szCs w:val="20"/>
                          </w:rPr>
                        </w:pPr>
                        <w:r>
                          <w:rPr>
                            <w:rFonts w:cs="CenturySchoolbook-Italic"/>
                            <w:iCs/>
                            <w:sz w:val="20"/>
                            <w:szCs w:val="20"/>
                          </w:rPr>
                          <w:t>Honnelles</w:t>
                        </w:r>
                      </w:p>
                    </w:tc>
                    <w:tc>
                      <w:tcPr>
                        <w:tcW w:w="2240" w:type="dxa"/>
                      </w:tcPr>
                      <w:p w:rsidR="00F04EEF" w:rsidRDefault="0099351E">
                        <w:pPr>
                          <w:rPr>
                            <w:rFonts w:cs="Century Schoolbook"/>
                            <w:sz w:val="20"/>
                            <w:szCs w:val="20"/>
                          </w:rPr>
                        </w:pPr>
                        <w:r>
                          <w:rPr>
                            <w:rFonts w:cs="CenturySchoolbook-Italic"/>
                            <w:iCs/>
                            <w:sz w:val="20"/>
                            <w:szCs w:val="20"/>
                          </w:rPr>
                          <w:t>Quaregnon</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Chapelle-lez-Herlaimont</w:t>
                        </w:r>
                      </w:p>
                    </w:tc>
                    <w:tc>
                      <w:tcPr>
                        <w:tcW w:w="2515" w:type="dxa"/>
                      </w:tcPr>
                      <w:p w:rsidR="00F04EEF" w:rsidRDefault="0099351E">
                        <w:pPr>
                          <w:rPr>
                            <w:rFonts w:cs="Century Schoolbook"/>
                            <w:sz w:val="20"/>
                            <w:szCs w:val="20"/>
                          </w:rPr>
                        </w:pPr>
                        <w:r>
                          <w:rPr>
                            <w:rFonts w:cs="CenturySchoolbook-Italic"/>
                            <w:iCs/>
                            <w:sz w:val="20"/>
                            <w:szCs w:val="20"/>
                          </w:rPr>
                          <w:t>Jurbise</w:t>
                        </w:r>
                      </w:p>
                    </w:tc>
                    <w:tc>
                      <w:tcPr>
                        <w:tcW w:w="2240" w:type="dxa"/>
                      </w:tcPr>
                      <w:p w:rsidR="00F04EEF" w:rsidRDefault="0099351E">
                        <w:pPr>
                          <w:rPr>
                            <w:rFonts w:cs="Century Schoolbook"/>
                            <w:sz w:val="20"/>
                            <w:szCs w:val="20"/>
                          </w:rPr>
                        </w:pPr>
                        <w:r>
                          <w:rPr>
                            <w:rFonts w:cs="CenturySchoolbook-Italic"/>
                            <w:iCs/>
                            <w:sz w:val="20"/>
                            <w:szCs w:val="20"/>
                          </w:rPr>
                          <w:t>Quévy</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Colfontaine</w:t>
                        </w:r>
                      </w:p>
                    </w:tc>
                    <w:tc>
                      <w:tcPr>
                        <w:tcW w:w="2515" w:type="dxa"/>
                      </w:tcPr>
                      <w:p w:rsidR="00F04EEF" w:rsidRDefault="0099351E">
                        <w:pPr>
                          <w:rPr>
                            <w:rFonts w:cs="Century Schoolbook"/>
                            <w:sz w:val="20"/>
                            <w:szCs w:val="20"/>
                          </w:rPr>
                        </w:pPr>
                        <w:r>
                          <w:rPr>
                            <w:rFonts w:cs="CenturySchoolbook-Italic"/>
                            <w:iCs/>
                            <w:sz w:val="20"/>
                            <w:szCs w:val="20"/>
                          </w:rPr>
                          <w:t>La Louvière</w:t>
                        </w:r>
                      </w:p>
                    </w:tc>
                    <w:tc>
                      <w:tcPr>
                        <w:tcW w:w="2240" w:type="dxa"/>
                      </w:tcPr>
                      <w:p w:rsidR="00F04EEF" w:rsidRDefault="0099351E">
                        <w:pPr>
                          <w:rPr>
                            <w:rFonts w:cs="Century Schoolbook"/>
                            <w:sz w:val="20"/>
                            <w:szCs w:val="20"/>
                          </w:rPr>
                        </w:pPr>
                        <w:r>
                          <w:rPr>
                            <w:rFonts w:cs="CenturySchoolbook-Italic"/>
                            <w:iCs/>
                            <w:sz w:val="20"/>
                            <w:szCs w:val="20"/>
                          </w:rPr>
                          <w:t>Quiévrain</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Dour</w:t>
                        </w:r>
                      </w:p>
                    </w:tc>
                    <w:tc>
                      <w:tcPr>
                        <w:tcW w:w="2515" w:type="dxa"/>
                      </w:tcPr>
                      <w:p w:rsidR="00F04EEF" w:rsidRDefault="0099351E">
                        <w:pPr>
                          <w:autoSpaceDE w:val="0"/>
                          <w:autoSpaceDN w:val="0"/>
                          <w:adjustRightInd w:val="0"/>
                          <w:rPr>
                            <w:rFonts w:cs="CenturySchoolbook-Italic"/>
                            <w:iCs/>
                            <w:sz w:val="20"/>
                            <w:szCs w:val="20"/>
                          </w:rPr>
                        </w:pPr>
                        <w:r>
                          <w:rPr>
                            <w:rFonts w:cs="CenturySchoolbook-Italic"/>
                            <w:iCs/>
                            <w:sz w:val="20"/>
                            <w:szCs w:val="20"/>
                          </w:rPr>
                          <w:t>Lens.</w:t>
                        </w:r>
                      </w:p>
                    </w:tc>
                    <w:tc>
                      <w:tcPr>
                        <w:tcW w:w="2240" w:type="dxa"/>
                      </w:tcPr>
                      <w:p w:rsidR="00F04EEF" w:rsidRDefault="0099351E">
                        <w:pPr>
                          <w:rPr>
                            <w:rFonts w:cs="Century Schoolbook"/>
                            <w:sz w:val="20"/>
                            <w:szCs w:val="20"/>
                          </w:rPr>
                        </w:pPr>
                        <w:r>
                          <w:rPr>
                            <w:rFonts w:cs="CenturySchoolbook-Italic"/>
                            <w:iCs/>
                            <w:sz w:val="20"/>
                            <w:szCs w:val="20"/>
                          </w:rPr>
                          <w:t>Saint-Ghislain</w:t>
                        </w:r>
                      </w:p>
                    </w:tc>
                  </w:tr>
                  <w:tr w:rsidR="00F04EEF">
                    <w:tc>
                      <w:tcPr>
                        <w:tcW w:w="2072" w:type="dxa"/>
                        <w:vMerge/>
                      </w:tcPr>
                      <w:p w:rsidR="00F04EEF" w:rsidRDefault="00F04EEF">
                        <w:pPr>
                          <w:rPr>
                            <w:sz w:val="20"/>
                            <w:szCs w:val="20"/>
                          </w:rPr>
                        </w:pPr>
                      </w:p>
                    </w:tc>
                    <w:tc>
                      <w:tcPr>
                        <w:tcW w:w="2517" w:type="dxa"/>
                      </w:tcPr>
                      <w:p w:rsidR="00F04EEF" w:rsidRDefault="0099351E">
                        <w:pPr>
                          <w:rPr>
                            <w:rFonts w:cs="Century Schoolbook"/>
                            <w:sz w:val="20"/>
                            <w:szCs w:val="20"/>
                          </w:rPr>
                        </w:pPr>
                        <w:r>
                          <w:rPr>
                            <w:rFonts w:cs="CenturySchoolbook-Italic"/>
                            <w:iCs/>
                            <w:sz w:val="20"/>
                            <w:szCs w:val="20"/>
                          </w:rPr>
                          <w:t>Ecaussines</w:t>
                        </w:r>
                      </w:p>
                    </w:tc>
                    <w:tc>
                      <w:tcPr>
                        <w:tcW w:w="2515" w:type="dxa"/>
                      </w:tcPr>
                      <w:p w:rsidR="00F04EEF" w:rsidRDefault="0099351E">
                        <w:pPr>
                          <w:rPr>
                            <w:rFonts w:cs="Century Schoolbook"/>
                            <w:sz w:val="20"/>
                            <w:szCs w:val="20"/>
                          </w:rPr>
                        </w:pPr>
                        <w:r>
                          <w:rPr>
                            <w:rFonts w:cs="CenturySchoolbook-Italic"/>
                            <w:iCs/>
                            <w:sz w:val="20"/>
                            <w:szCs w:val="20"/>
                          </w:rPr>
                          <w:t>Le Roeulx</w:t>
                        </w:r>
                      </w:p>
                    </w:tc>
                    <w:tc>
                      <w:tcPr>
                        <w:tcW w:w="2240" w:type="dxa"/>
                      </w:tcPr>
                      <w:p w:rsidR="00F04EEF" w:rsidRDefault="0099351E">
                        <w:pPr>
                          <w:rPr>
                            <w:rFonts w:cs="Century Schoolbook"/>
                            <w:sz w:val="20"/>
                            <w:szCs w:val="20"/>
                          </w:rPr>
                        </w:pPr>
                        <w:r>
                          <w:rPr>
                            <w:rFonts w:cs="CenturySchoolbook-Italic"/>
                            <w:iCs/>
                            <w:sz w:val="20"/>
                            <w:szCs w:val="20"/>
                          </w:rPr>
                          <w:t>Seneffe</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Estinnes</w:t>
                        </w:r>
                      </w:p>
                    </w:tc>
                    <w:tc>
                      <w:tcPr>
                        <w:tcW w:w="2515" w:type="dxa"/>
                      </w:tcPr>
                      <w:p w:rsidR="00F04EEF" w:rsidRDefault="0099351E">
                        <w:pPr>
                          <w:rPr>
                            <w:sz w:val="20"/>
                            <w:szCs w:val="20"/>
                          </w:rPr>
                        </w:pPr>
                        <w:r>
                          <w:rPr>
                            <w:rFonts w:cs="CenturySchoolbook-Italic"/>
                            <w:iCs/>
                            <w:sz w:val="20"/>
                            <w:szCs w:val="20"/>
                          </w:rPr>
                          <w:t>Manage</w:t>
                        </w:r>
                      </w:p>
                    </w:tc>
                    <w:tc>
                      <w:tcPr>
                        <w:tcW w:w="2240" w:type="dxa"/>
                      </w:tcPr>
                      <w:p w:rsidR="00F04EEF" w:rsidRDefault="0099351E">
                        <w:pPr>
                          <w:rPr>
                            <w:sz w:val="20"/>
                            <w:szCs w:val="20"/>
                          </w:rPr>
                        </w:pPr>
                        <w:r>
                          <w:rPr>
                            <w:rFonts w:cs="CenturySchoolbook-Italic"/>
                            <w:iCs/>
                            <w:sz w:val="20"/>
                            <w:szCs w:val="20"/>
                          </w:rPr>
                          <w:t>Soignies</w:t>
                        </w:r>
                      </w:p>
                    </w:tc>
                  </w:tr>
                  <w:tr w:rsidR="00F04EEF">
                    <w:tc>
                      <w:tcPr>
                        <w:tcW w:w="2072" w:type="dxa"/>
                        <w:vMerge w:val="restart"/>
                      </w:tcPr>
                      <w:p w:rsidR="00F04EEF" w:rsidRDefault="00F04EEF">
                        <w:pPr>
                          <w:rPr>
                            <w:sz w:val="20"/>
                            <w:szCs w:val="20"/>
                          </w:rPr>
                        </w:pPr>
                      </w:p>
                      <w:p w:rsidR="00F04EEF" w:rsidRDefault="0099351E">
                        <w:pPr>
                          <w:rPr>
                            <w:sz w:val="20"/>
                            <w:szCs w:val="20"/>
                          </w:rPr>
                        </w:pPr>
                        <w:r>
                          <w:rPr>
                            <w:sz w:val="20"/>
                            <w:szCs w:val="20"/>
                          </w:rPr>
                          <w:t xml:space="preserve">Zone 10 </w:t>
                        </w:r>
                      </w:p>
                    </w:tc>
                    <w:tc>
                      <w:tcPr>
                        <w:tcW w:w="7272" w:type="dxa"/>
                        <w:gridSpan w:val="3"/>
                      </w:tcPr>
                      <w:p w:rsidR="00F04EEF" w:rsidRDefault="0099351E">
                        <w:pPr>
                          <w:autoSpaceDE w:val="0"/>
                          <w:autoSpaceDN w:val="0"/>
                          <w:adjustRightInd w:val="0"/>
                          <w:rPr>
                            <w:rFonts w:cs="Century Schoolbook"/>
                            <w:sz w:val="20"/>
                            <w:szCs w:val="20"/>
                          </w:rPr>
                        </w:pPr>
                        <w:r>
                          <w:rPr>
                            <w:rFonts w:cs="Century Schoolbook"/>
                            <w:sz w:val="20"/>
                            <w:szCs w:val="20"/>
                          </w:rPr>
                          <w:t>Charleroi-Hainaut Sud comprenant les communes suivantes :</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Schoolbook-Italic"/>
                            <w:iCs/>
                            <w:sz w:val="20"/>
                            <w:szCs w:val="20"/>
                          </w:rPr>
                        </w:pPr>
                        <w:r>
                          <w:rPr>
                            <w:rFonts w:cs="CenturySchoolbook-Italic"/>
                            <w:iCs/>
                            <w:sz w:val="20"/>
                            <w:szCs w:val="20"/>
                          </w:rPr>
                          <w:t>Aiseau-Presles</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Erquelinnes</w:t>
                        </w:r>
                      </w:p>
                    </w:tc>
                    <w:tc>
                      <w:tcPr>
                        <w:tcW w:w="2240" w:type="dxa"/>
                      </w:tcPr>
                      <w:p w:rsidR="00F04EEF" w:rsidRDefault="0099351E">
                        <w:pPr>
                          <w:autoSpaceDE w:val="0"/>
                          <w:autoSpaceDN w:val="0"/>
                          <w:adjustRightInd w:val="0"/>
                          <w:rPr>
                            <w:rFonts w:cs="Century Schoolbook"/>
                            <w:sz w:val="20"/>
                            <w:szCs w:val="20"/>
                          </w:rPr>
                        </w:pPr>
                        <w:r>
                          <w:rPr>
                            <w:rFonts w:cs="CenturySchoolbook-Italic"/>
                            <w:iCs/>
                            <w:sz w:val="20"/>
                            <w:szCs w:val="20"/>
                          </w:rPr>
                          <w:t>Merbes-le-Château</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Anderlues</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Farciennes</w:t>
                        </w:r>
                      </w:p>
                    </w:tc>
                    <w:tc>
                      <w:tcPr>
                        <w:tcW w:w="2240" w:type="dxa"/>
                      </w:tcPr>
                      <w:p w:rsidR="00F04EEF" w:rsidRDefault="0099351E">
                        <w:pPr>
                          <w:autoSpaceDE w:val="0"/>
                          <w:autoSpaceDN w:val="0"/>
                          <w:adjustRightInd w:val="0"/>
                          <w:rPr>
                            <w:rFonts w:cs="CenturySchoolbook-Italic"/>
                            <w:iCs/>
                            <w:sz w:val="20"/>
                            <w:szCs w:val="20"/>
                          </w:rPr>
                        </w:pPr>
                        <w:r>
                          <w:rPr>
                            <w:rFonts w:cs="CenturySchoolbook-Italic"/>
                            <w:iCs/>
                            <w:sz w:val="20"/>
                            <w:szCs w:val="20"/>
                          </w:rPr>
                          <w:t>Momignies</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Beaumont</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Fleurus</w:t>
                        </w:r>
                      </w:p>
                    </w:tc>
                    <w:tc>
                      <w:tcPr>
                        <w:tcW w:w="2240" w:type="dxa"/>
                      </w:tcPr>
                      <w:p w:rsidR="00F04EEF" w:rsidRDefault="0099351E">
                        <w:pPr>
                          <w:autoSpaceDE w:val="0"/>
                          <w:autoSpaceDN w:val="0"/>
                          <w:adjustRightInd w:val="0"/>
                          <w:rPr>
                            <w:rFonts w:cs="CenturySchoolbook-Italic"/>
                            <w:iCs/>
                            <w:sz w:val="20"/>
                            <w:szCs w:val="20"/>
                          </w:rPr>
                        </w:pPr>
                        <w:r>
                          <w:rPr>
                            <w:rFonts w:cs="CenturySchoolbook-Italic"/>
                            <w:iCs/>
                            <w:sz w:val="20"/>
                            <w:szCs w:val="20"/>
                          </w:rPr>
                          <w:t>Montigny-le-Tilleul</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Cerfontaine</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Fontaine-l'Evêque</w:t>
                        </w:r>
                      </w:p>
                    </w:tc>
                    <w:tc>
                      <w:tcPr>
                        <w:tcW w:w="2240" w:type="dxa"/>
                      </w:tcPr>
                      <w:p w:rsidR="00F04EEF" w:rsidRDefault="0099351E">
                        <w:pPr>
                          <w:autoSpaceDE w:val="0"/>
                          <w:autoSpaceDN w:val="0"/>
                          <w:adjustRightInd w:val="0"/>
                          <w:rPr>
                            <w:rFonts w:cs="CenturySchoolbook-Italic"/>
                            <w:iCs/>
                            <w:sz w:val="20"/>
                            <w:szCs w:val="20"/>
                          </w:rPr>
                        </w:pPr>
                        <w:r>
                          <w:rPr>
                            <w:rFonts w:cs="CenturySchoolbook-Italic"/>
                            <w:iCs/>
                            <w:sz w:val="20"/>
                            <w:szCs w:val="20"/>
                          </w:rPr>
                          <w:t>Philippeville</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Charleroi</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Froidchapelle</w:t>
                        </w:r>
                      </w:p>
                    </w:tc>
                    <w:tc>
                      <w:tcPr>
                        <w:tcW w:w="2240" w:type="dxa"/>
                      </w:tcPr>
                      <w:p w:rsidR="00F04EEF" w:rsidRDefault="0099351E">
                        <w:pPr>
                          <w:autoSpaceDE w:val="0"/>
                          <w:autoSpaceDN w:val="0"/>
                          <w:adjustRightInd w:val="0"/>
                          <w:rPr>
                            <w:rFonts w:cs="CenturySchoolbook-Italic"/>
                            <w:iCs/>
                            <w:sz w:val="20"/>
                            <w:szCs w:val="20"/>
                          </w:rPr>
                        </w:pPr>
                        <w:r>
                          <w:rPr>
                            <w:rFonts w:cs="CenturySchoolbook-Italic"/>
                            <w:iCs/>
                            <w:sz w:val="20"/>
                            <w:szCs w:val="20"/>
                          </w:rPr>
                          <w:t>Pont-à-Celles</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Châtelet</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Gerpinnes</w:t>
                        </w:r>
                      </w:p>
                    </w:tc>
                    <w:tc>
                      <w:tcPr>
                        <w:tcW w:w="2240" w:type="dxa"/>
                      </w:tcPr>
                      <w:p w:rsidR="00F04EEF" w:rsidRDefault="0099351E">
                        <w:pPr>
                          <w:autoSpaceDE w:val="0"/>
                          <w:autoSpaceDN w:val="0"/>
                          <w:adjustRightInd w:val="0"/>
                          <w:rPr>
                            <w:rFonts w:cs="CenturySchoolbook-Italic"/>
                            <w:iCs/>
                            <w:sz w:val="20"/>
                            <w:szCs w:val="20"/>
                          </w:rPr>
                        </w:pPr>
                        <w:r>
                          <w:rPr>
                            <w:rFonts w:cs="CenturySchoolbook-Italic"/>
                            <w:iCs/>
                            <w:sz w:val="20"/>
                            <w:szCs w:val="20"/>
                          </w:rPr>
                          <w:t>Sivry-Rance</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Chimay</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Ham-sur-Heure</w:t>
                        </w:r>
                      </w:p>
                    </w:tc>
                    <w:tc>
                      <w:tcPr>
                        <w:tcW w:w="2240" w:type="dxa"/>
                      </w:tcPr>
                      <w:p w:rsidR="00F04EEF" w:rsidRDefault="0099351E">
                        <w:pPr>
                          <w:autoSpaceDE w:val="0"/>
                          <w:autoSpaceDN w:val="0"/>
                          <w:adjustRightInd w:val="0"/>
                          <w:rPr>
                            <w:rFonts w:cs="CenturySchoolbook-Italic"/>
                            <w:iCs/>
                            <w:sz w:val="20"/>
                            <w:szCs w:val="20"/>
                          </w:rPr>
                        </w:pPr>
                        <w:r>
                          <w:rPr>
                            <w:rFonts w:cs="CenturySchoolbook-Italic"/>
                            <w:iCs/>
                            <w:sz w:val="20"/>
                            <w:szCs w:val="20"/>
                          </w:rPr>
                          <w:t>Thuin</w:t>
                        </w:r>
                      </w:p>
                    </w:tc>
                  </w:tr>
                  <w:tr w:rsidR="00F04EEF">
                    <w:tc>
                      <w:tcPr>
                        <w:tcW w:w="2072" w:type="dxa"/>
                        <w:vMerge/>
                      </w:tcPr>
                      <w:p w:rsidR="00F04EEF" w:rsidRDefault="00F04EEF">
                        <w:pPr>
                          <w:rPr>
                            <w:sz w:val="20"/>
                            <w:szCs w:val="20"/>
                          </w:rPr>
                        </w:pPr>
                      </w:p>
                    </w:tc>
                    <w:tc>
                      <w:tcPr>
                        <w:tcW w:w="2517" w:type="dxa"/>
                      </w:tcPr>
                      <w:p w:rsidR="00F04EEF" w:rsidRDefault="0099351E">
                        <w:pPr>
                          <w:autoSpaceDE w:val="0"/>
                          <w:autoSpaceDN w:val="0"/>
                          <w:adjustRightInd w:val="0"/>
                          <w:rPr>
                            <w:rFonts w:cs="Century Schoolbook"/>
                            <w:sz w:val="20"/>
                            <w:szCs w:val="20"/>
                          </w:rPr>
                        </w:pPr>
                        <w:r>
                          <w:rPr>
                            <w:rFonts w:cs="CenturySchoolbook-Italic"/>
                            <w:iCs/>
                            <w:sz w:val="20"/>
                            <w:szCs w:val="20"/>
                          </w:rPr>
                          <w:t>Courcelles</w:t>
                        </w:r>
                      </w:p>
                    </w:tc>
                    <w:tc>
                      <w:tcPr>
                        <w:tcW w:w="2515" w:type="dxa"/>
                      </w:tcPr>
                      <w:p w:rsidR="00F04EEF" w:rsidRDefault="0099351E">
                        <w:pPr>
                          <w:autoSpaceDE w:val="0"/>
                          <w:autoSpaceDN w:val="0"/>
                          <w:adjustRightInd w:val="0"/>
                          <w:rPr>
                            <w:rFonts w:cs="Century Schoolbook"/>
                            <w:sz w:val="20"/>
                            <w:szCs w:val="20"/>
                          </w:rPr>
                        </w:pPr>
                        <w:r>
                          <w:rPr>
                            <w:rFonts w:cs="CenturySchoolbook-Italic"/>
                            <w:iCs/>
                            <w:sz w:val="20"/>
                            <w:szCs w:val="20"/>
                          </w:rPr>
                          <w:t>Les Bons Villers</w:t>
                        </w:r>
                      </w:p>
                    </w:tc>
                    <w:tc>
                      <w:tcPr>
                        <w:tcW w:w="2240" w:type="dxa"/>
                      </w:tcPr>
                      <w:p w:rsidR="00F04EEF" w:rsidRDefault="0099351E">
                        <w:pPr>
                          <w:autoSpaceDE w:val="0"/>
                          <w:autoSpaceDN w:val="0"/>
                          <w:adjustRightInd w:val="0"/>
                          <w:rPr>
                            <w:rFonts w:cs="CenturySchoolbook-Italic"/>
                            <w:iCs/>
                            <w:sz w:val="20"/>
                            <w:szCs w:val="20"/>
                          </w:rPr>
                        </w:pPr>
                        <w:r>
                          <w:rPr>
                            <w:rFonts w:cs="CenturySchoolbook-Italic"/>
                            <w:iCs/>
                            <w:sz w:val="20"/>
                            <w:szCs w:val="20"/>
                          </w:rPr>
                          <w:t>Viroinval</w:t>
                        </w:r>
                      </w:p>
                    </w:tc>
                  </w:tr>
                  <w:tr w:rsidR="00F04EEF">
                    <w:tc>
                      <w:tcPr>
                        <w:tcW w:w="2072" w:type="dxa"/>
                        <w:vMerge/>
                      </w:tcPr>
                      <w:p w:rsidR="00F04EEF" w:rsidRDefault="00F04EEF">
                        <w:pPr>
                          <w:rPr>
                            <w:sz w:val="20"/>
                            <w:szCs w:val="20"/>
                          </w:rPr>
                        </w:pPr>
                      </w:p>
                    </w:tc>
                    <w:tc>
                      <w:tcPr>
                        <w:tcW w:w="2517" w:type="dxa"/>
                      </w:tcPr>
                      <w:p w:rsidR="00F04EEF" w:rsidRDefault="0099351E">
                        <w:pPr>
                          <w:rPr>
                            <w:sz w:val="20"/>
                            <w:szCs w:val="20"/>
                          </w:rPr>
                        </w:pPr>
                        <w:r>
                          <w:rPr>
                            <w:rFonts w:cs="CenturySchoolbook-Italic"/>
                            <w:iCs/>
                            <w:sz w:val="20"/>
                            <w:szCs w:val="20"/>
                          </w:rPr>
                          <w:t>Couvin</w:t>
                        </w:r>
                      </w:p>
                    </w:tc>
                    <w:tc>
                      <w:tcPr>
                        <w:tcW w:w="2515" w:type="dxa"/>
                      </w:tcPr>
                      <w:p w:rsidR="00F04EEF" w:rsidRDefault="0099351E">
                        <w:pPr>
                          <w:rPr>
                            <w:sz w:val="20"/>
                            <w:szCs w:val="20"/>
                          </w:rPr>
                        </w:pPr>
                        <w:r>
                          <w:rPr>
                            <w:rFonts w:cs="CenturySchoolbook-Italic"/>
                            <w:iCs/>
                            <w:sz w:val="20"/>
                            <w:szCs w:val="20"/>
                          </w:rPr>
                          <w:t>Lobbes</w:t>
                        </w:r>
                      </w:p>
                    </w:tc>
                    <w:tc>
                      <w:tcPr>
                        <w:tcW w:w="2240" w:type="dxa"/>
                      </w:tcPr>
                      <w:p w:rsidR="00F04EEF" w:rsidRDefault="0099351E">
                        <w:pPr>
                          <w:rPr>
                            <w:sz w:val="20"/>
                            <w:szCs w:val="20"/>
                          </w:rPr>
                        </w:pPr>
                        <w:r>
                          <w:rPr>
                            <w:rFonts w:cs="CenturySchoolbook-Italic"/>
                            <w:iCs/>
                            <w:sz w:val="20"/>
                            <w:szCs w:val="20"/>
                          </w:rPr>
                          <w:t>Walcourt</w:t>
                        </w:r>
                      </w:p>
                    </w:tc>
                  </w:tr>
                </w:tbl>
                <w:p w:rsidR="00F04EEF" w:rsidRDefault="00F04EEF"/>
                <w:p w:rsidR="00F04EEF" w:rsidRDefault="0099351E">
                  <w:r>
                    <w:br w:type="page"/>
                  </w:r>
                </w:p>
                <w:sdt>
                  <w:sdtPr>
                    <w:rPr>
                      <w:rFonts w:asciiTheme="majorHAnsi" w:eastAsiaTheme="minorHAnsi" w:hAnsiTheme="majorHAnsi"/>
                      <w:lang w:eastAsia="en-US"/>
                    </w:rPr>
                    <w:id w:val="207770601"/>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jc w:val="center"/>
                      </w:pPr>
                      <w:bookmarkStart w:id="1843" w:name="_chapitre_3_:"/>
                      <w:bookmarkStart w:id="1844" w:name="_Toc477623648"/>
                      <w:bookmarkStart w:id="1845" w:name="_Toc477767438"/>
                      <w:bookmarkStart w:id="1846" w:name="_Toc47708492"/>
                      <w:bookmarkEnd w:id="1843"/>
                      <w:r>
                        <w:t>Chapitre</w:t>
                      </w:r>
                      <w:bookmarkEnd w:id="1844"/>
                      <w:bookmarkEnd w:id="1845"/>
                      <w:r>
                        <w:t xml:space="preserve"> 3</w:t>
                      </w:r>
                      <w:bookmarkStart w:id="1847" w:name="_Toc477623649"/>
                      <w:bookmarkStart w:id="1848" w:name="_Toc477767439"/>
                      <w:r>
                        <w:t> : Admission aux subventions</w:t>
                      </w:r>
                      <w:bookmarkEnd w:id="1847"/>
                      <w:bookmarkEnd w:id="1848"/>
                      <w:r>
                        <w:rPr>
                          <w:rStyle w:val="Appelnotedebasdep"/>
                          <w:szCs w:val="44"/>
                        </w:rPr>
                        <w:footnoteReference w:id="113"/>
                      </w:r>
                      <w:bookmarkEnd w:id="1846"/>
                    </w:p>
                    <w:p w:rsidR="00F04EEF" w:rsidRDefault="00F04EEF"/>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rPr>
                      <w:b/>
                      <w:u w:val="single"/>
                    </w:rPr>
                  </w:pPr>
                  <w:bookmarkStart w:id="1849" w:name="_Toc414353000"/>
                  <w:r>
                    <w:rPr>
                      <w:b/>
                      <w:u w:val="single"/>
                    </w:rPr>
                    <w:t>Bases légales :</w:t>
                  </w:r>
                </w:p>
                <w:p w:rsidR="00F04EEF" w:rsidRDefault="00F04EEF">
                  <w:pPr>
                    <w:jc w:val="both"/>
                    <w:rPr>
                      <w:rStyle w:val="Lienhypertexte"/>
                    </w:rPr>
                  </w:pPr>
                </w:p>
                <w:p w:rsidR="00F04EEF" w:rsidRDefault="00F42422">
                  <w:pPr>
                    <w:numPr>
                      <w:ilvl w:val="0"/>
                      <w:numId w:val="121"/>
                    </w:numPr>
                    <w:suppressAutoHyphens/>
                    <w:jc w:val="both"/>
                  </w:pPr>
                  <w:hyperlink r:id="rId132" w:history="1">
                    <w:r w:rsidR="0099351E">
                      <w:rPr>
                        <w:rStyle w:val="Lienhypertexte"/>
                      </w:rPr>
                      <w:t>Loi du 29 mai 1959 modifiant certaines dispositions de la législation de l'enseignement étaient remplies telle que modifiée par le décret du 4 février 2016 portant diverses dispositions en matière d’enseignement</w:t>
                    </w:r>
                  </w:hyperlink>
                </w:p>
                <w:p w:rsidR="00F04EEF" w:rsidRDefault="00F42422">
                  <w:pPr>
                    <w:numPr>
                      <w:ilvl w:val="0"/>
                      <w:numId w:val="121"/>
                    </w:numPr>
                    <w:suppressAutoHyphens/>
                    <w:jc w:val="both"/>
                    <w:rPr>
                      <w:rStyle w:val="Lienhypertexte"/>
                      <w:rFonts w:cstheme="minorBidi"/>
                      <w:color w:val="auto"/>
                      <w:u w:val="none"/>
                    </w:rPr>
                  </w:pPr>
                  <w:hyperlink r:id="rId133" w:history="1">
                    <w:r w:rsidR="0099351E">
                      <w:rPr>
                        <w:rStyle w:val="Lienhypertexte"/>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F04EEF" w:rsidRDefault="00F42422">
                  <w:pPr>
                    <w:numPr>
                      <w:ilvl w:val="0"/>
                      <w:numId w:val="121"/>
                    </w:numPr>
                    <w:suppressAutoHyphens/>
                    <w:jc w:val="both"/>
                  </w:pPr>
                  <w:hyperlink r:id="rId134" w:history="1">
                    <w:r w:rsidR="0099351E">
                      <w:rPr>
                        <w:rStyle w:val="Lienhypertexte"/>
                        <w:rFonts w:cstheme="minorBidi"/>
                      </w:rPr>
                      <w:t>Décret du 4 février 2016 portant diverses mesures en matière d’enseignement et notamment le respect des conditions de subventionnement</w:t>
                    </w:r>
                  </w:hyperlink>
                </w:p>
                <w:bookmarkStart w:id="1850" w:name="_Toc453837016"/>
                <w:p w:rsidR="00F04EEF" w:rsidRDefault="0099351E">
                  <w:pPr>
                    <w:numPr>
                      <w:ilvl w:val="0"/>
                      <w:numId w:val="121"/>
                    </w:numPr>
                    <w:suppressAutoHyphens/>
                    <w:jc w:val="both"/>
                  </w:pPr>
                  <w:r>
                    <w:fldChar w:fldCharType="begin"/>
                  </w:r>
                  <w:r>
                    <w:instrText xml:space="preserve"> HYPERLINK "http://www.gallilex.cfwb.be/document/pdf/42912_000.pdf" </w:instrText>
                  </w:r>
                  <w:r>
                    <w:fldChar w:fldCharType="separate"/>
                  </w:r>
                  <w:r>
                    <w:rPr>
                      <w:rStyle w:val="Lienhypertexte"/>
                      <w:rFonts w:cstheme="minorBidi"/>
                    </w:rPr>
                    <w:t>Arrêté du 31 août 2016 relatif à la demande d’admission aux subventions des établissements scolaires</w:t>
                  </w:r>
                  <w:r>
                    <w:rPr>
                      <w:rStyle w:val="Lienhypertexte"/>
                      <w:rFonts w:cstheme="minorBidi"/>
                    </w:rPr>
                    <w:fldChar w:fldCharType="end"/>
                  </w:r>
                  <w:r>
                    <w:t xml:space="preserve"> </w:t>
                  </w:r>
                </w:p>
                <w:p w:rsidR="00F04EEF" w:rsidRDefault="00F42422">
                  <w:pPr>
                    <w:numPr>
                      <w:ilvl w:val="0"/>
                      <w:numId w:val="121"/>
                    </w:numPr>
                    <w:suppressAutoHyphens/>
                    <w:jc w:val="both"/>
                  </w:pPr>
                  <w:hyperlink r:id="rId135" w:history="1">
                    <w:r w:rsidR="0099351E">
                      <w:rPr>
                        <w:rStyle w:val="Lienhypertexte"/>
                        <w:rFonts w:cstheme="minorBidi"/>
                      </w:rPr>
                      <w:t>Arrêté du Gouvernement de la Communauté française du 6 septembre 2017 modifiant l’arrêté du Gouvernement de la CF du 31 août 2016 relatif à la demande d’admission aux subventions des établissements scolaires</w:t>
                    </w:r>
                  </w:hyperlink>
                </w:p>
                <w:p w:rsidR="00F04EEF" w:rsidRDefault="00F42422">
                  <w:pPr>
                    <w:numPr>
                      <w:ilvl w:val="0"/>
                      <w:numId w:val="121"/>
                    </w:numPr>
                    <w:suppressAutoHyphens/>
                    <w:jc w:val="both"/>
                  </w:pPr>
                  <w:hyperlink r:id="rId136" w:history="1">
                    <w:r w:rsidR="0099351E">
                      <w:rPr>
                        <w:rStyle w:val="Lienhypertexte"/>
                        <w:rFonts w:cs="Arial"/>
                        <w:spacing w:val="2"/>
                      </w:rPr>
                      <w:t>Circulaire 5997 relative à la demande d’admission aux subventions des établissements scolaires – modifie les circulaires 3383 du 14 décembre 2010 et 3284 du 14 septembre 2010</w:t>
                    </w:r>
                  </w:hyperlink>
                </w:p>
                <w:p w:rsidR="00F04EEF" w:rsidRDefault="00F04EEF">
                  <w:pPr>
                    <w:jc w:val="both"/>
                  </w:pPr>
                </w:p>
                <w:p w:rsidR="00F04EEF" w:rsidRDefault="00F04EEF">
                  <w:pPr>
                    <w:jc w:val="both"/>
                  </w:pPr>
                </w:p>
                <w:p w:rsidR="00F04EEF" w:rsidRDefault="0099351E">
                  <w:pPr>
                    <w:pStyle w:val="Titre3"/>
                    <w:jc w:val="both"/>
                    <w:rPr>
                      <w:sz w:val="22"/>
                      <w:szCs w:val="22"/>
                    </w:rPr>
                  </w:pPr>
                  <w:bookmarkStart w:id="1851" w:name="_1._Création_d’un"/>
                  <w:bookmarkStart w:id="1852" w:name="_Toc47708493"/>
                  <w:bookmarkEnd w:id="1851"/>
                  <w:r>
                    <w:rPr>
                      <w:sz w:val="22"/>
                      <w:szCs w:val="22"/>
                    </w:rPr>
                    <w:t>1. Création d’un nouvel établissement scolaire d’enseignement secondaire spécialisé</w:t>
                  </w:r>
                  <w:bookmarkEnd w:id="1852"/>
                </w:p>
                <w:p w:rsidR="00F04EEF" w:rsidRDefault="00F04EEF">
                  <w:pPr>
                    <w:jc w:val="both"/>
                  </w:pPr>
                </w:p>
                <w:p w:rsidR="00F04EEF" w:rsidRDefault="0099351E">
                  <w:pPr>
                    <w:jc w:val="both"/>
                    <w:rPr>
                      <w:rFonts w:cs="Calibri"/>
                    </w:rPr>
                  </w:pPr>
                  <w:r>
                    <w:rPr>
                      <w:rFonts w:cs="Calibri"/>
                    </w:rPr>
                    <w:t xml:space="preserve">En date du 31 août 2016, le Gouvernement de la Communauté française a adopté un nouvel arrêté </w:t>
                  </w:r>
                  <w:r>
                    <w:rPr>
                      <w:rFonts w:cs="Calibri"/>
                      <w:i/>
                    </w:rPr>
                    <w:t>relatif à la demande d’admission aux subventions des établissements scolaires</w:t>
                  </w:r>
                  <w:r>
                    <w:rPr>
                      <w:rFonts w:cs="Calibri"/>
                    </w:rPr>
                    <w:t xml:space="preserve">, afin d’établir les modalités d’introduction d’une demande d’admission aux subventions pour un établissement scolaire, conformément à l’article 37 de la loi du 29 mai 1959 </w:t>
                  </w:r>
                  <w:r>
                    <w:rPr>
                      <w:rFonts w:cs="Calibri"/>
                      <w:i/>
                    </w:rPr>
                    <w:t>modifiant certaines dispositions de la législation de l’enseignement</w:t>
                  </w:r>
                  <w:r>
                    <w:rPr>
                      <w:rFonts w:cs="Calibri"/>
                    </w:rPr>
                    <w:t>.</w:t>
                  </w:r>
                </w:p>
                <w:p w:rsidR="00F04EEF" w:rsidRDefault="0099351E">
                  <w:pPr>
                    <w:jc w:val="both"/>
                    <w:rPr>
                      <w:rFonts w:cs="Calibri"/>
                    </w:rPr>
                  </w:pPr>
                  <w:r>
                    <w:rPr>
                      <w:rFonts w:cs="Calibri"/>
                    </w:rPr>
                    <w:t xml:space="preserve">Cet arrêté intègre notamment le respect des nouvelles conditions de subventionnement ajoutées par le </w:t>
                  </w:r>
                  <w:hyperlink r:id="rId137" w:history="1">
                    <w:r>
                      <w:rPr>
                        <w:rStyle w:val="Lienhypertexte"/>
                        <w:rFonts w:cs="Calibri"/>
                      </w:rPr>
                      <w:t>décret du 4 février 2016 portant diverses mesures en matière d’enseignement</w:t>
                    </w:r>
                  </w:hyperlink>
                  <w:r>
                    <w:rPr>
                      <w:rFonts w:cs="Calibri"/>
                    </w:rPr>
                    <w:t xml:space="preserve">. </w:t>
                  </w:r>
                </w:p>
                <w:p w:rsidR="00F04EEF" w:rsidRDefault="00F04EEF">
                  <w:pPr>
                    <w:jc w:val="both"/>
                    <w:rPr>
                      <w:rFonts w:cs="Calibri"/>
                    </w:rPr>
                  </w:pPr>
                </w:p>
                <w:p w:rsidR="00F04EEF" w:rsidRDefault="0099351E">
                  <w:pPr>
                    <w:jc w:val="both"/>
                    <w:rPr>
                      <w:rFonts w:cs="Calibri"/>
                    </w:rPr>
                  </w:pPr>
                  <w:r>
                    <w:rPr>
                      <w:rFonts w:cs="Calibri"/>
                    </w:rPr>
                    <w:t>En pratique, il contient une annexe construite en deux parties, que les Pouvoirs organisateurs doivent renvoyer à l’Administration pour demander une première admission aux subventions d’un établissement scolaire de l’enseignement secondaire spécialisé.</w:t>
                  </w:r>
                </w:p>
                <w:p w:rsidR="00F04EEF" w:rsidRDefault="00F04EEF">
                  <w:pPr>
                    <w:jc w:val="both"/>
                    <w:rPr>
                      <w:rFonts w:cs="Calibri"/>
                    </w:rPr>
                  </w:pPr>
                </w:p>
                <w:p w:rsidR="00F04EEF" w:rsidRDefault="0099351E">
                  <w:pPr>
                    <w:jc w:val="both"/>
                    <w:rPr>
                      <w:rFonts w:cs="Calibri"/>
                    </w:rPr>
                  </w:pPr>
                  <w:r>
                    <w:rPr>
                      <w:rFonts w:cs="Calibri"/>
                    </w:rPr>
                    <w:t xml:space="preserve">La première partie concerne les données administratives liées au Pouvoir organisateur et aux structures de l’établissement. La deuxième partie contient une déclaration sur l’honneur enrichie, imposant notamment le transmis de certaines pièces ou de certaines informations, comme par exemple une copie des plans du bâtiment scolaire, du projet éducatif et pédagogique du Pouvoir organisateur, ou de l’accord de l’autorité compétente du culte concerné en cas d’admission aux subventions d’un établissement libre confessionnel. </w:t>
                  </w:r>
                </w:p>
                <w:p w:rsidR="00F04EEF" w:rsidRDefault="00F04EEF">
                  <w:pPr>
                    <w:jc w:val="both"/>
                    <w:rPr>
                      <w:rFonts w:cs="Calibri"/>
                    </w:rPr>
                  </w:pPr>
                </w:p>
                <w:p w:rsidR="00F04EEF" w:rsidRDefault="0099351E">
                  <w:pPr>
                    <w:rPr>
                      <w:rFonts w:cs="Calibri"/>
                    </w:rPr>
                  </w:pPr>
                  <w:r>
                    <w:rPr>
                      <w:rFonts w:cs="Calibri"/>
                    </w:rPr>
                    <w:br w:type="page"/>
                  </w:r>
                </w:p>
                <w:p w:rsidR="00F04EEF" w:rsidRDefault="0099351E">
                  <w:pPr>
                    <w:jc w:val="both"/>
                    <w:rPr>
                      <w:rFonts w:cs="Calibri"/>
                    </w:rPr>
                  </w:pPr>
                  <w:r>
                    <w:rPr>
                      <w:rFonts w:cs="Calibri"/>
                    </w:rPr>
                    <w:t xml:space="preserve">L’arrêté du Gouvernement du 31 août 2016 précité instaure également plusieurs nouvelles règles : </w:t>
                  </w:r>
                </w:p>
                <w:p w:rsidR="00F04EEF" w:rsidRDefault="00F04EEF">
                  <w:pPr>
                    <w:jc w:val="both"/>
                    <w:rPr>
                      <w:rFonts w:cs="Calibri"/>
                    </w:rPr>
                  </w:pPr>
                </w:p>
                <w:p w:rsidR="00F04EEF" w:rsidRDefault="0099351E">
                  <w:pPr>
                    <w:pStyle w:val="Paragraphedeliste"/>
                    <w:numPr>
                      <w:ilvl w:val="0"/>
                      <w:numId w:val="68"/>
                    </w:numPr>
                    <w:jc w:val="both"/>
                    <w:rPr>
                      <w:rFonts w:asciiTheme="majorHAnsi" w:hAnsiTheme="majorHAnsi" w:cs="Calibri"/>
                      <w:sz w:val="22"/>
                      <w:szCs w:val="22"/>
                    </w:rPr>
                  </w:pPr>
                  <w:r>
                    <w:rPr>
                      <w:rFonts w:asciiTheme="majorHAnsi" w:hAnsiTheme="majorHAnsi" w:cs="Calibri"/>
                      <w:sz w:val="22"/>
                      <w:szCs w:val="22"/>
                    </w:rPr>
                    <w:t>il est prévu une date butoir pour toutes les demandes d’admission aux subventions d’établissements scolaires ;</w:t>
                  </w:r>
                </w:p>
                <w:p w:rsidR="00F04EEF" w:rsidRDefault="0099351E">
                  <w:pPr>
                    <w:pStyle w:val="Paragraphedeliste"/>
                    <w:numPr>
                      <w:ilvl w:val="0"/>
                      <w:numId w:val="68"/>
                    </w:numPr>
                    <w:jc w:val="both"/>
                    <w:rPr>
                      <w:rFonts w:asciiTheme="majorHAnsi" w:hAnsiTheme="majorHAnsi" w:cs="Calibri"/>
                      <w:sz w:val="22"/>
                      <w:szCs w:val="22"/>
                    </w:rPr>
                  </w:pPr>
                  <w:r>
                    <w:rPr>
                      <w:rFonts w:asciiTheme="majorHAnsi" w:hAnsiTheme="majorHAnsi" w:cs="Calibri"/>
                      <w:sz w:val="22"/>
                      <w:szCs w:val="22"/>
                    </w:rPr>
                    <w:t>il est prévu que dès le 1er septembre de l’admission aux subventions, l’établissement doit tenir à la disposition des services du Gouvernement les documents prouvant le respect des normes de subventionnement ;</w:t>
                  </w:r>
                </w:p>
                <w:p w:rsidR="00F04EEF" w:rsidRDefault="0099351E">
                  <w:pPr>
                    <w:pStyle w:val="Paragraphedeliste"/>
                    <w:numPr>
                      <w:ilvl w:val="0"/>
                      <w:numId w:val="68"/>
                    </w:numPr>
                    <w:jc w:val="both"/>
                    <w:rPr>
                      <w:rFonts w:asciiTheme="majorHAnsi" w:hAnsiTheme="majorHAnsi" w:cs="Calibri"/>
                      <w:sz w:val="22"/>
                      <w:szCs w:val="22"/>
                    </w:rPr>
                  </w:pPr>
                  <w:r>
                    <w:rPr>
                      <w:rFonts w:asciiTheme="majorHAnsi" w:hAnsiTheme="majorHAnsi" w:cs="Calibri"/>
                      <w:sz w:val="22"/>
                      <w:szCs w:val="22"/>
                    </w:rPr>
                    <w:t xml:space="preserve">il est précisé que dès le 2 janvier de la première année scolaire d’admission aux subventions, l’établissement non affilié à un organe de représentation tient à la disposition des services du Gouvernement la convention conclue avec un Service de conseil et de soutien pédagogique ou avec une Cellule de conseil et de soutien pédagogique visés par le Décret « Inspection » du 8 mars 2007.  </w:t>
                  </w:r>
                </w:p>
                <w:p w:rsidR="00F04EEF" w:rsidRDefault="00F04EEF">
                  <w:pPr>
                    <w:jc w:val="both"/>
                    <w:rPr>
                      <w:rFonts w:cs="Calibri"/>
                    </w:rPr>
                  </w:pPr>
                </w:p>
                <w:p w:rsidR="00F04EEF" w:rsidRDefault="0099351E">
                  <w:pPr>
                    <w:pStyle w:val="Titre4"/>
                  </w:pPr>
                  <w:bookmarkStart w:id="1853" w:name="_1._Introduction_d’une"/>
                  <w:bookmarkStart w:id="1854" w:name="_1.1._Introduction_d’une"/>
                  <w:bookmarkStart w:id="1855" w:name="_Toc464657503"/>
                  <w:bookmarkEnd w:id="1853"/>
                  <w:bookmarkEnd w:id="1854"/>
                  <w:r>
                    <w:t>1.1. Introduction d’une demande de subventionnement</w:t>
                  </w:r>
                  <w:bookmarkEnd w:id="1855"/>
                  <w:r>
                    <w:t xml:space="preserve"> </w:t>
                  </w:r>
                </w:p>
                <w:p w:rsidR="00F04EEF" w:rsidRDefault="00F04EEF">
                  <w:pPr>
                    <w:jc w:val="both"/>
                  </w:pPr>
                </w:p>
                <w:p w:rsidR="00F04EEF" w:rsidRDefault="0099351E">
                  <w:pPr>
                    <w:jc w:val="both"/>
                  </w:pPr>
                  <w:r>
                    <w:t>Toute demande d’admission aux subventions d’un établissement d’enseignement devra être adressée à l’Administration à l’aide du formulaire unique repris en annexe.  Ce formulaire s’applique aussi bien aux pouvoirs organisateurs souhaitant ouvrir une nouvelle école, qu’à ceux organisant d’ores et déjà une école privée et qui souhaiteraient bénéficier d’une subvention.</w:t>
                  </w:r>
                </w:p>
                <w:p w:rsidR="00F04EEF" w:rsidRDefault="00F04EEF">
                  <w:pPr>
                    <w:jc w:val="both"/>
                  </w:pPr>
                </w:p>
                <w:p w:rsidR="00F04EEF" w:rsidRDefault="0099351E">
                  <w:pPr>
                    <w:jc w:val="both"/>
                  </w:pPr>
                  <w:r>
                    <w:t>L’avis du Conseil Général pour l’Enseignement Secondaire est requis avant toute décision du Gouvernement.</w:t>
                  </w:r>
                </w:p>
                <w:p w:rsidR="00F04EEF" w:rsidRDefault="00F04EEF">
                  <w:pPr>
                    <w:jc w:val="both"/>
                  </w:pPr>
                </w:p>
                <w:p w:rsidR="00F04EEF" w:rsidRDefault="0099351E">
                  <w:pPr>
                    <w:jc w:val="both"/>
                  </w:pPr>
                  <w:r>
                    <w:t>Vous trouverez ci-après les dates d’introduction de la demande, ainsi que l’adresse de destination.</w:t>
                  </w:r>
                </w:p>
                <w:p w:rsidR="00F04EEF" w:rsidRDefault="00F04EEF">
                  <w:pPr>
                    <w:jc w:val="both"/>
                  </w:pPr>
                </w:p>
                <w:p w:rsidR="00F04EEF" w:rsidRDefault="0099351E">
                  <w:r>
                    <w:t xml:space="preserve">La demande d’admission aux subventions d’un établissement d’enseignement spécialisé est transmise </w:t>
                  </w:r>
                  <w:r>
                    <w:rPr>
                      <w:b/>
                    </w:rPr>
                    <w:t>à tout moment de l’année</w:t>
                  </w:r>
                  <w:r>
                    <w:t xml:space="preserve"> au moyen d’un formulaire à l’adresse suivante :</w:t>
                  </w:r>
                </w:p>
                <w:p w:rsidR="00F04EEF" w:rsidRDefault="00F04EEF">
                  <w:pPr>
                    <w:jc w:val="both"/>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38" w:history="1">
                    <w:r>
                      <w:rPr>
                        <w:rStyle w:val="Lienhypertexte"/>
                        <w:b w:val="0"/>
                        <w:szCs w:val="22"/>
                      </w:rPr>
                      <w:t>veronique.rombaut@cfwb.be</w:t>
                    </w:r>
                  </w:hyperlink>
                </w:p>
                <w:p w:rsidR="00F04EEF" w:rsidRDefault="00F04EEF">
                  <w:pPr>
                    <w:jc w:val="both"/>
                  </w:pPr>
                  <w:bookmarkStart w:id="1856" w:name="_Toc464657507"/>
                </w:p>
                <w:p w:rsidR="00F04EEF" w:rsidRDefault="0099351E">
                  <w:pPr>
                    <w:pStyle w:val="Titre4"/>
                  </w:pPr>
                  <w:bookmarkStart w:id="1857" w:name="_1.2._Affiliation_à"/>
                  <w:bookmarkEnd w:id="1856"/>
                  <w:bookmarkEnd w:id="1857"/>
                  <w:r>
                    <w:t>1.2. Affiliation à un organe de représentation et de coordination</w:t>
                  </w:r>
                </w:p>
                <w:p w:rsidR="00F04EEF" w:rsidRDefault="0099351E">
                  <w:pPr>
                    <w:spacing w:before="240"/>
                    <w:jc w:val="both"/>
                    <w:rPr>
                      <w:rFonts w:cstheme="minorHAnsi"/>
                    </w:rPr>
                  </w:pPr>
                  <w:r>
                    <w:rPr>
                      <w:rFonts w:cstheme="minorHAnsi"/>
                    </w:rPr>
                    <w:t xml:space="preserve">Le deuxième article de l’arrêté du 31 août 2016 prévoit en son premier paragraphe que, dès la première rentrée scolaire d’admission aux subventions, le Pouvoir organisateur de l’établissement admis aux subventions doit informer la Direction générale de l’Enseignement obligatoire de son affiliation (ou non) à un organe de représentation et de coordination. Pour votre information, voici la liste (et les coordonnées) des différents organes pour l’enseignement spécialisé : </w:t>
                  </w:r>
                </w:p>
                <w:p w:rsidR="00F04EEF" w:rsidRDefault="0099351E">
                  <w:pPr>
                    <w:spacing w:before="240"/>
                    <w:jc w:val="both"/>
                    <w:rPr>
                      <w:rFonts w:cstheme="minorHAnsi"/>
                      <w:u w:val="single"/>
                    </w:rPr>
                  </w:pPr>
                  <w:r>
                    <w:rPr>
                      <w:rFonts w:cstheme="minorHAnsi"/>
                      <w:u w:val="single"/>
                    </w:rPr>
                    <w:t>Conseil de l’Enseignement des Communes et des Provinces</w:t>
                  </w:r>
                </w:p>
                <w:p w:rsidR="00F04EEF" w:rsidRDefault="0099351E">
                  <w:pPr>
                    <w:tabs>
                      <w:tab w:val="left" w:pos="0"/>
                    </w:tabs>
                    <w:jc w:val="both"/>
                    <w:rPr>
                      <w:rFonts w:cstheme="minorHAnsi"/>
                    </w:rPr>
                  </w:pPr>
                  <w:r>
                    <w:rPr>
                      <w:rFonts w:cstheme="minorHAnsi"/>
                    </w:rPr>
                    <w:t>Avenue des Gaulois 32</w:t>
                  </w:r>
                </w:p>
                <w:p w:rsidR="00F04EEF" w:rsidRDefault="0099351E">
                  <w:pPr>
                    <w:tabs>
                      <w:tab w:val="left" w:pos="0"/>
                    </w:tabs>
                    <w:jc w:val="both"/>
                    <w:rPr>
                      <w:rFonts w:cstheme="minorHAnsi"/>
                    </w:rPr>
                  </w:pPr>
                  <w:r>
                    <w:rPr>
                      <w:rFonts w:cstheme="minorHAnsi"/>
                    </w:rPr>
                    <w:t>1040 Bruxelles</w:t>
                  </w:r>
                </w:p>
                <w:p w:rsidR="00F04EEF" w:rsidRDefault="0099351E">
                  <w:pPr>
                    <w:tabs>
                      <w:tab w:val="left" w:pos="0"/>
                    </w:tabs>
                    <w:jc w:val="both"/>
                    <w:rPr>
                      <w:rFonts w:cstheme="minorHAnsi"/>
                    </w:rPr>
                  </w:pPr>
                  <w:r>
                    <w:rPr>
                      <w:rFonts w:cstheme="minorHAnsi"/>
                    </w:rPr>
                    <w:t xml:space="preserve">Tel : 02/736.89.74 – </w:t>
                  </w:r>
                </w:p>
                <w:p w:rsidR="00F04EEF" w:rsidRDefault="00F04EEF">
                  <w:pPr>
                    <w:jc w:val="both"/>
                    <w:rPr>
                      <w:rFonts w:cstheme="minorHAnsi"/>
                    </w:rPr>
                  </w:pPr>
                </w:p>
                <w:p w:rsidR="00F04EEF" w:rsidRDefault="0099351E">
                  <w:pPr>
                    <w:tabs>
                      <w:tab w:val="left" w:pos="0"/>
                    </w:tabs>
                    <w:jc w:val="both"/>
                    <w:rPr>
                      <w:rFonts w:cstheme="minorHAnsi"/>
                      <w:u w:val="single"/>
                    </w:rPr>
                  </w:pPr>
                  <w:r>
                    <w:rPr>
                      <w:rFonts w:cstheme="minorHAnsi"/>
                      <w:u w:val="single"/>
                    </w:rPr>
                    <w:t>Secrétariat Général de l’Enseignement Catholique</w:t>
                  </w:r>
                </w:p>
                <w:p w:rsidR="00F04EEF" w:rsidRDefault="0099351E">
                  <w:pPr>
                    <w:tabs>
                      <w:tab w:val="left" w:pos="0"/>
                    </w:tabs>
                    <w:jc w:val="both"/>
                    <w:rPr>
                      <w:rFonts w:cstheme="minorHAnsi"/>
                    </w:rPr>
                  </w:pPr>
                  <w:r>
                    <w:rPr>
                      <w:rFonts w:cstheme="minorHAnsi"/>
                    </w:rPr>
                    <w:t>Avenue Emmanuel Mounier 100</w:t>
                  </w:r>
                </w:p>
                <w:p w:rsidR="00F04EEF" w:rsidRDefault="0099351E">
                  <w:pPr>
                    <w:tabs>
                      <w:tab w:val="left" w:pos="0"/>
                    </w:tabs>
                    <w:jc w:val="both"/>
                    <w:rPr>
                      <w:rFonts w:cstheme="minorHAnsi"/>
                    </w:rPr>
                  </w:pPr>
                  <w:r>
                    <w:rPr>
                      <w:rFonts w:cstheme="minorHAnsi"/>
                    </w:rPr>
                    <w:t>1200 Bruxelles</w:t>
                  </w:r>
                </w:p>
                <w:p w:rsidR="00F04EEF" w:rsidRDefault="0099351E">
                  <w:pPr>
                    <w:tabs>
                      <w:tab w:val="left" w:pos="0"/>
                    </w:tabs>
                    <w:jc w:val="both"/>
                    <w:rPr>
                      <w:rFonts w:cstheme="minorHAnsi"/>
                    </w:rPr>
                  </w:pPr>
                  <w:r>
                    <w:rPr>
                      <w:rFonts w:cstheme="minorHAnsi"/>
                    </w:rPr>
                    <w:t xml:space="preserve">Tel : 02/256.70.11 – </w:t>
                  </w:r>
                </w:p>
                <w:p w:rsidR="00F04EEF" w:rsidRDefault="00F04EEF">
                  <w:pPr>
                    <w:tabs>
                      <w:tab w:val="left" w:pos="0"/>
                    </w:tabs>
                    <w:jc w:val="both"/>
                    <w:rPr>
                      <w:rFonts w:cstheme="minorHAnsi"/>
                    </w:rPr>
                  </w:pPr>
                </w:p>
                <w:p w:rsidR="00F04EEF" w:rsidRDefault="0099351E">
                  <w:pPr>
                    <w:tabs>
                      <w:tab w:val="left" w:pos="0"/>
                    </w:tabs>
                    <w:jc w:val="both"/>
                    <w:rPr>
                      <w:rFonts w:cstheme="minorHAnsi"/>
                      <w:u w:val="single"/>
                    </w:rPr>
                  </w:pPr>
                  <w:r>
                    <w:rPr>
                      <w:rFonts w:cstheme="minorHAnsi"/>
                      <w:u w:val="single"/>
                    </w:rPr>
                    <w:t>Fédération des Établissements Libres Subventionnés Indépendants</w:t>
                  </w:r>
                </w:p>
                <w:p w:rsidR="00F04EEF" w:rsidRDefault="0099351E">
                  <w:pPr>
                    <w:tabs>
                      <w:tab w:val="left" w:pos="0"/>
                    </w:tabs>
                    <w:jc w:val="both"/>
                    <w:rPr>
                      <w:rFonts w:cstheme="minorHAnsi"/>
                    </w:rPr>
                  </w:pPr>
                  <w:r>
                    <w:rPr>
                      <w:rFonts w:cstheme="minorHAnsi"/>
                    </w:rPr>
                    <w:t>Avenue Jupiter 180</w:t>
                  </w:r>
                </w:p>
                <w:p w:rsidR="00F04EEF" w:rsidRDefault="0099351E">
                  <w:pPr>
                    <w:tabs>
                      <w:tab w:val="left" w:pos="0"/>
                    </w:tabs>
                    <w:jc w:val="both"/>
                    <w:rPr>
                      <w:rFonts w:cstheme="minorHAnsi"/>
                    </w:rPr>
                  </w:pPr>
                  <w:r>
                    <w:rPr>
                      <w:rFonts w:cstheme="minorHAnsi"/>
                    </w:rPr>
                    <w:t>1190 Bruxelles</w:t>
                  </w:r>
                </w:p>
                <w:p w:rsidR="00F04EEF" w:rsidRDefault="0099351E">
                  <w:pPr>
                    <w:tabs>
                      <w:tab w:val="left" w:pos="0"/>
                    </w:tabs>
                    <w:jc w:val="both"/>
                    <w:rPr>
                      <w:rFonts w:cstheme="minorHAnsi"/>
                    </w:rPr>
                  </w:pPr>
                  <w:r>
                    <w:rPr>
                      <w:rFonts w:cstheme="minorHAnsi"/>
                    </w:rPr>
                    <w:t xml:space="preserve">Tel : 02/527.37.92 – </w:t>
                  </w:r>
                </w:p>
                <w:p w:rsidR="00F04EEF" w:rsidRDefault="00F04EEF">
                  <w:pPr>
                    <w:tabs>
                      <w:tab w:val="left" w:pos="0"/>
                    </w:tabs>
                    <w:jc w:val="both"/>
                    <w:rPr>
                      <w:rFonts w:cstheme="minorHAnsi"/>
                    </w:rPr>
                  </w:pPr>
                </w:p>
                <w:p w:rsidR="00F04EEF" w:rsidRDefault="0099351E">
                  <w:pPr>
                    <w:tabs>
                      <w:tab w:val="left" w:pos="0"/>
                    </w:tabs>
                    <w:jc w:val="both"/>
                    <w:rPr>
                      <w:rFonts w:cstheme="minorHAnsi"/>
                    </w:rPr>
                  </w:pPr>
                  <w:r>
                    <w:rPr>
                      <w:rFonts w:cstheme="minorHAnsi"/>
                    </w:rPr>
                    <w:t xml:space="preserve">L’article 2 de l’Arrêté, en son §3, prévoit que les établissements non affiliés à un organe de représentation et de coordination doivent conclure une convention avec un Service de conseil et de soutien pédagogique ou avec une Cellule de conseil et de soutien pédagogique. </w:t>
                  </w:r>
                </w:p>
                <w:p w:rsidR="00F04EEF" w:rsidRDefault="00F04EEF">
                  <w:pPr>
                    <w:tabs>
                      <w:tab w:val="left" w:pos="0"/>
                    </w:tabs>
                    <w:jc w:val="both"/>
                    <w:rPr>
                      <w:rFonts w:cstheme="minorHAnsi"/>
                    </w:rPr>
                  </w:pPr>
                </w:p>
                <w:p w:rsidR="00F04EEF" w:rsidRDefault="0099351E">
                  <w:pPr>
                    <w:tabs>
                      <w:tab w:val="left" w:pos="0"/>
                    </w:tabs>
                    <w:jc w:val="both"/>
                    <w:rPr>
                      <w:rFonts w:cstheme="minorHAnsi"/>
                    </w:rPr>
                  </w:pPr>
                  <w:r>
                    <w:rPr>
                      <w:rFonts w:cstheme="minorHAnsi"/>
                    </w:rPr>
                    <w:t xml:space="preserve">Voici, pour votre information, la liste de ces Services/Cellules et leurs coordonnées : </w:t>
                  </w:r>
                </w:p>
                <w:p w:rsidR="00F04EEF" w:rsidRDefault="00F04EEF">
                  <w:pPr>
                    <w:tabs>
                      <w:tab w:val="left" w:pos="0"/>
                    </w:tabs>
                    <w:jc w:val="both"/>
                    <w:rPr>
                      <w:rFonts w:cstheme="minorHAnsi"/>
                    </w:rPr>
                  </w:pPr>
                </w:p>
                <w:p w:rsidR="00F04EEF" w:rsidRDefault="0099351E">
                  <w:pPr>
                    <w:tabs>
                      <w:tab w:val="left" w:pos="0"/>
                    </w:tabs>
                    <w:jc w:val="both"/>
                    <w:rPr>
                      <w:rFonts w:cstheme="minorHAnsi"/>
                      <w:u w:val="single"/>
                    </w:rPr>
                  </w:pPr>
                  <w:r>
                    <w:rPr>
                      <w:rFonts w:cstheme="minorHAnsi"/>
                      <w:u w:val="single"/>
                    </w:rPr>
                    <w:t>Service de conseil et de soutien pédagogique</w:t>
                  </w:r>
                </w:p>
                <w:p w:rsidR="00F04EEF" w:rsidRDefault="0099351E">
                  <w:pPr>
                    <w:tabs>
                      <w:tab w:val="left" w:pos="0"/>
                    </w:tabs>
                    <w:jc w:val="both"/>
                    <w:rPr>
                      <w:rFonts w:cstheme="minorHAnsi"/>
                    </w:rPr>
                  </w:pPr>
                  <w:r>
                    <w:rPr>
                      <w:rFonts w:cstheme="minorHAnsi"/>
                    </w:rPr>
                    <w:t>Service général de l’Enseignement organisé par la Fédération Wallonie-Bruxelles</w:t>
                  </w:r>
                </w:p>
                <w:p w:rsidR="00F04EEF" w:rsidRDefault="0099351E">
                  <w:pPr>
                    <w:tabs>
                      <w:tab w:val="left" w:pos="0"/>
                    </w:tabs>
                    <w:jc w:val="both"/>
                    <w:rPr>
                      <w:rFonts w:cstheme="minorHAnsi"/>
                    </w:rPr>
                  </w:pPr>
                  <w:r>
                    <w:rPr>
                      <w:rFonts w:cstheme="minorHAnsi"/>
                    </w:rPr>
                    <w:t>Boulevard du Jardin Botanique, 20-22</w:t>
                  </w:r>
                </w:p>
                <w:p w:rsidR="00F04EEF" w:rsidRDefault="0099351E">
                  <w:pPr>
                    <w:tabs>
                      <w:tab w:val="left" w:pos="0"/>
                    </w:tabs>
                    <w:jc w:val="both"/>
                    <w:rPr>
                      <w:rFonts w:cstheme="minorHAnsi"/>
                    </w:rPr>
                  </w:pPr>
                  <w:r>
                    <w:rPr>
                      <w:rFonts w:cstheme="minorHAnsi"/>
                    </w:rPr>
                    <w:t>1000 Bruxelles</w:t>
                  </w:r>
                </w:p>
                <w:p w:rsidR="00F04EEF" w:rsidRDefault="0099351E">
                  <w:pPr>
                    <w:tabs>
                      <w:tab w:val="left" w:pos="0"/>
                    </w:tabs>
                    <w:jc w:val="both"/>
                    <w:rPr>
                      <w:rFonts w:cstheme="minorHAnsi"/>
                    </w:rPr>
                  </w:pPr>
                  <w:r>
                    <w:rPr>
                      <w:rFonts w:cstheme="minorHAnsi"/>
                    </w:rPr>
                    <w:t xml:space="preserve">Tel : 02.690.81.01 – </w:t>
                  </w:r>
                </w:p>
                <w:p w:rsidR="00F04EEF" w:rsidRDefault="00F04EEF">
                  <w:pPr>
                    <w:tabs>
                      <w:tab w:val="left" w:pos="0"/>
                    </w:tabs>
                    <w:jc w:val="both"/>
                    <w:rPr>
                      <w:rFonts w:cstheme="minorHAnsi"/>
                    </w:rPr>
                  </w:pPr>
                </w:p>
                <w:p w:rsidR="00F04EEF" w:rsidRDefault="0099351E">
                  <w:pPr>
                    <w:tabs>
                      <w:tab w:val="left" w:pos="0"/>
                    </w:tabs>
                    <w:jc w:val="both"/>
                    <w:rPr>
                      <w:rFonts w:cstheme="minorHAnsi"/>
                      <w:u w:val="single"/>
                    </w:rPr>
                  </w:pPr>
                  <w:r>
                    <w:rPr>
                      <w:rFonts w:cstheme="minorHAnsi"/>
                      <w:u w:val="single"/>
                    </w:rPr>
                    <w:t>Cellule de conseil de soutien pédagogique du SeGEC</w:t>
                  </w:r>
                </w:p>
                <w:p w:rsidR="00F04EEF" w:rsidRDefault="0099351E">
                  <w:pPr>
                    <w:tabs>
                      <w:tab w:val="left" w:pos="0"/>
                    </w:tabs>
                    <w:jc w:val="both"/>
                    <w:rPr>
                      <w:rFonts w:cstheme="minorHAnsi"/>
                    </w:rPr>
                  </w:pPr>
                  <w:r>
                    <w:rPr>
                      <w:rFonts w:cstheme="minorHAnsi"/>
                    </w:rPr>
                    <w:t>Secrétariat Général de l’Enseignement Catholique</w:t>
                  </w:r>
                </w:p>
                <w:p w:rsidR="00F04EEF" w:rsidRDefault="0099351E">
                  <w:pPr>
                    <w:tabs>
                      <w:tab w:val="left" w:pos="0"/>
                    </w:tabs>
                    <w:jc w:val="both"/>
                    <w:rPr>
                      <w:rFonts w:cstheme="minorHAnsi"/>
                    </w:rPr>
                  </w:pPr>
                  <w:r>
                    <w:rPr>
                      <w:rFonts w:cstheme="minorHAnsi"/>
                    </w:rPr>
                    <w:t>Avenue Emmanuel Mounier 100</w:t>
                  </w:r>
                </w:p>
                <w:p w:rsidR="00F04EEF" w:rsidRDefault="0099351E">
                  <w:pPr>
                    <w:tabs>
                      <w:tab w:val="left" w:pos="0"/>
                    </w:tabs>
                    <w:jc w:val="both"/>
                    <w:rPr>
                      <w:rFonts w:cstheme="minorHAnsi"/>
                    </w:rPr>
                  </w:pPr>
                  <w:r>
                    <w:rPr>
                      <w:rFonts w:cstheme="minorHAnsi"/>
                    </w:rPr>
                    <w:t>1200 Bruxelles</w:t>
                  </w:r>
                </w:p>
                <w:p w:rsidR="00F04EEF" w:rsidRDefault="0099351E">
                  <w:pPr>
                    <w:tabs>
                      <w:tab w:val="left" w:pos="0"/>
                    </w:tabs>
                    <w:jc w:val="both"/>
                    <w:rPr>
                      <w:rFonts w:cstheme="minorHAnsi"/>
                    </w:rPr>
                  </w:pPr>
                  <w:r>
                    <w:rPr>
                      <w:rFonts w:cstheme="minorHAnsi"/>
                    </w:rPr>
                    <w:t xml:space="preserve">Tel : 02/256.70.11 – </w:t>
                  </w:r>
                </w:p>
                <w:p w:rsidR="00F04EEF" w:rsidRDefault="00F04EEF">
                  <w:pPr>
                    <w:tabs>
                      <w:tab w:val="left" w:pos="0"/>
                    </w:tabs>
                    <w:jc w:val="both"/>
                    <w:rPr>
                      <w:rFonts w:cstheme="minorHAnsi"/>
                    </w:rPr>
                  </w:pPr>
                </w:p>
                <w:p w:rsidR="00F04EEF" w:rsidRDefault="0099351E">
                  <w:pPr>
                    <w:tabs>
                      <w:tab w:val="left" w:pos="0"/>
                    </w:tabs>
                    <w:jc w:val="both"/>
                    <w:rPr>
                      <w:rFonts w:cstheme="minorHAnsi"/>
                      <w:u w:val="single"/>
                    </w:rPr>
                  </w:pPr>
                  <w:r>
                    <w:rPr>
                      <w:rFonts w:cstheme="minorHAnsi"/>
                      <w:u w:val="single"/>
                    </w:rPr>
                    <w:t>Cellule de conseil de soutien pédagogique du CECP</w:t>
                  </w:r>
                </w:p>
                <w:p w:rsidR="00F04EEF" w:rsidRDefault="0099351E">
                  <w:pPr>
                    <w:tabs>
                      <w:tab w:val="left" w:pos="0"/>
                    </w:tabs>
                    <w:jc w:val="both"/>
                    <w:rPr>
                      <w:rFonts w:cstheme="minorHAnsi"/>
                    </w:rPr>
                  </w:pPr>
                  <w:r>
                    <w:rPr>
                      <w:rFonts w:cstheme="minorHAnsi"/>
                    </w:rPr>
                    <w:t>Conseil de l’Enseignement des Communes et Provinces</w:t>
                  </w:r>
                </w:p>
                <w:p w:rsidR="00F04EEF" w:rsidRDefault="0099351E">
                  <w:pPr>
                    <w:tabs>
                      <w:tab w:val="left" w:pos="0"/>
                    </w:tabs>
                    <w:jc w:val="both"/>
                    <w:rPr>
                      <w:rFonts w:cstheme="minorHAnsi"/>
                    </w:rPr>
                  </w:pPr>
                  <w:r>
                    <w:rPr>
                      <w:rFonts w:cstheme="minorHAnsi"/>
                    </w:rPr>
                    <w:t>Avenue des Gaulois 32</w:t>
                  </w:r>
                </w:p>
                <w:p w:rsidR="00F04EEF" w:rsidRDefault="0099351E">
                  <w:pPr>
                    <w:tabs>
                      <w:tab w:val="left" w:pos="0"/>
                    </w:tabs>
                    <w:jc w:val="both"/>
                    <w:rPr>
                      <w:rFonts w:cstheme="minorHAnsi"/>
                    </w:rPr>
                  </w:pPr>
                  <w:r>
                    <w:rPr>
                      <w:rFonts w:cstheme="minorHAnsi"/>
                    </w:rPr>
                    <w:t>1040 Bruxelles</w:t>
                  </w:r>
                </w:p>
                <w:p w:rsidR="00F04EEF" w:rsidRDefault="0099351E">
                  <w:pPr>
                    <w:tabs>
                      <w:tab w:val="left" w:pos="0"/>
                    </w:tabs>
                    <w:jc w:val="both"/>
                    <w:rPr>
                      <w:rFonts w:cstheme="minorHAnsi"/>
                    </w:rPr>
                  </w:pPr>
                  <w:r>
                    <w:rPr>
                      <w:rFonts w:cstheme="minorHAnsi"/>
                    </w:rPr>
                    <w:t xml:space="preserve">Tel : 02/736.89.74 – </w:t>
                  </w:r>
                </w:p>
                <w:p w:rsidR="00F04EEF" w:rsidRDefault="00F04EEF">
                  <w:pPr>
                    <w:tabs>
                      <w:tab w:val="left" w:pos="0"/>
                    </w:tabs>
                    <w:jc w:val="both"/>
                    <w:rPr>
                      <w:rFonts w:cstheme="minorHAnsi"/>
                    </w:rPr>
                  </w:pPr>
                </w:p>
                <w:p w:rsidR="00F04EEF" w:rsidRDefault="0099351E">
                  <w:pPr>
                    <w:tabs>
                      <w:tab w:val="left" w:pos="0"/>
                    </w:tabs>
                    <w:jc w:val="both"/>
                    <w:rPr>
                      <w:rFonts w:cstheme="minorHAnsi"/>
                      <w:u w:val="single"/>
                    </w:rPr>
                  </w:pPr>
                  <w:r>
                    <w:rPr>
                      <w:rFonts w:cstheme="minorHAnsi"/>
                      <w:u w:val="single"/>
                    </w:rPr>
                    <w:t>Cellule de conseil de soutien pédagogique de la FELSI</w:t>
                  </w:r>
                </w:p>
                <w:p w:rsidR="00F04EEF" w:rsidRDefault="0099351E">
                  <w:pPr>
                    <w:tabs>
                      <w:tab w:val="left" w:pos="0"/>
                    </w:tabs>
                    <w:jc w:val="both"/>
                    <w:rPr>
                      <w:rFonts w:cstheme="minorHAnsi"/>
                    </w:rPr>
                  </w:pPr>
                  <w:r>
                    <w:rPr>
                      <w:rFonts w:cstheme="minorHAnsi"/>
                    </w:rPr>
                    <w:t>Fédération des Établissements Libres Subventionnés indépendants</w:t>
                  </w:r>
                </w:p>
                <w:p w:rsidR="00F04EEF" w:rsidRDefault="0099351E">
                  <w:pPr>
                    <w:tabs>
                      <w:tab w:val="left" w:pos="0"/>
                    </w:tabs>
                    <w:jc w:val="both"/>
                    <w:rPr>
                      <w:rFonts w:cstheme="minorHAnsi"/>
                    </w:rPr>
                  </w:pPr>
                  <w:r>
                    <w:rPr>
                      <w:rFonts w:cstheme="minorHAnsi"/>
                    </w:rPr>
                    <w:t>Avenue Jupiter 180</w:t>
                  </w:r>
                </w:p>
                <w:p w:rsidR="00F04EEF" w:rsidRDefault="0099351E">
                  <w:pPr>
                    <w:tabs>
                      <w:tab w:val="left" w:pos="0"/>
                    </w:tabs>
                    <w:jc w:val="both"/>
                    <w:rPr>
                      <w:rFonts w:cstheme="minorHAnsi"/>
                    </w:rPr>
                  </w:pPr>
                  <w:r>
                    <w:rPr>
                      <w:rFonts w:cstheme="minorHAnsi"/>
                    </w:rPr>
                    <w:t>1190 Bruxelles</w:t>
                  </w:r>
                </w:p>
                <w:p w:rsidR="00F04EEF" w:rsidRDefault="0099351E">
                  <w:pPr>
                    <w:tabs>
                      <w:tab w:val="left" w:pos="0"/>
                    </w:tabs>
                    <w:jc w:val="both"/>
                    <w:rPr>
                      <w:rFonts w:cstheme="minorHAnsi"/>
                    </w:rPr>
                  </w:pPr>
                  <w:r>
                    <w:rPr>
                      <w:rFonts w:cstheme="minorHAnsi"/>
                    </w:rPr>
                    <w:t xml:space="preserve">Tel : 02/527.37.92 – </w:t>
                  </w:r>
                </w:p>
                <w:p w:rsidR="00F04EEF" w:rsidRDefault="00F04EEF">
                  <w:pPr>
                    <w:rPr>
                      <w:rFonts w:cstheme="minorHAnsi"/>
                      <w:b/>
                      <w:u w:val="single"/>
                    </w:rPr>
                  </w:pPr>
                </w:p>
                <w:p w:rsidR="00F04EEF" w:rsidRDefault="0099351E">
                  <w:pPr>
                    <w:jc w:val="both"/>
                    <w:rPr>
                      <w:rFonts w:cstheme="minorHAnsi"/>
                      <w:b/>
                      <w:u w:val="single"/>
                    </w:rPr>
                  </w:pPr>
                  <w:r>
                    <w:rPr>
                      <w:rFonts w:cstheme="minorHAnsi"/>
                      <w:b/>
                      <w:u w:val="single"/>
                    </w:rPr>
                    <w:sym w:font="Wingdings" w:char="F047"/>
                  </w:r>
                  <w:r>
                    <w:rPr>
                      <w:rFonts w:cstheme="minorHAnsi"/>
                      <w:b/>
                      <w:u w:val="single"/>
                    </w:rPr>
                    <w:t xml:space="preserve"> Attention :</w:t>
                  </w:r>
                </w:p>
                <w:p w:rsidR="00F04EEF" w:rsidRDefault="0099351E">
                  <w:pPr>
                    <w:jc w:val="both"/>
                    <w:rPr>
                      <w:rFonts w:cstheme="minorHAnsi"/>
                    </w:rPr>
                  </w:pPr>
                  <w:r>
                    <w:rPr>
                      <w:rFonts w:cstheme="minorHAnsi"/>
                    </w:rPr>
                    <w:t xml:space="preserve">Lorsqu’un établissement n’est plus affilié à un organe de représentation et de coordination et/ou lorsqu’aucune convention n’est signée avec un Service de conseil et de soutien pédagogique ou avec une Cellule de conseil et de soutien pédagogique, </w:t>
                  </w:r>
                  <w:r>
                    <w:rPr>
                      <w:rFonts w:cstheme="minorHAnsi"/>
                      <w:b/>
                    </w:rPr>
                    <w:t>le chef d’établissement dans l’enseignement organisé par la FWB ou le Pouvoir organisateur dans l’enseignement subventionné par la FWB doit obligatoirement adresser</w:t>
                  </w:r>
                  <w:r>
                    <w:rPr>
                      <w:rFonts w:cstheme="minorHAnsi"/>
                    </w:rPr>
                    <w:t xml:space="preserve"> </w:t>
                  </w:r>
                  <w:r>
                    <w:rPr>
                      <w:rFonts w:cstheme="minorHAnsi"/>
                      <w:b/>
                    </w:rPr>
                    <w:t>un courrier informant l’administration de cette situation</w:t>
                  </w:r>
                  <w:r>
                    <w:rPr>
                      <w:rFonts w:cstheme="minorHAnsi"/>
                    </w:rPr>
                    <w:t xml:space="preserve"> dans les plus brefs délais à l’adresse suivante :</w:t>
                  </w:r>
                </w:p>
                <w:p w:rsidR="00F04EEF" w:rsidRDefault="00F04EEF">
                  <w:pPr>
                    <w:jc w:val="both"/>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39" w:history="1">
                    <w:r>
                      <w:rPr>
                        <w:rStyle w:val="Lienhypertexte"/>
                        <w:b w:val="0"/>
                        <w:szCs w:val="22"/>
                      </w:rPr>
                      <w:t>veronique.rombaut@cfwb.be</w:t>
                    </w:r>
                  </w:hyperlink>
                </w:p>
                <w:p w:rsidR="00F04EEF" w:rsidRDefault="00F04EEF">
                  <w:pPr>
                    <w:tabs>
                      <w:tab w:val="left" w:pos="0"/>
                    </w:tabs>
                    <w:jc w:val="both"/>
                    <w:rPr>
                      <w:rFonts w:cstheme="minorHAnsi"/>
                    </w:rPr>
                  </w:pPr>
                </w:p>
                <w:p w:rsidR="00F04EEF" w:rsidRDefault="0099351E">
                  <w:pPr>
                    <w:rPr>
                      <w:b/>
                      <w:u w:val="single"/>
                    </w:rPr>
                  </w:pPr>
                  <w:r>
                    <w:br w:type="page"/>
                  </w:r>
                </w:p>
                <w:p w:rsidR="00F04EEF" w:rsidRDefault="0099351E">
                  <w:pPr>
                    <w:pStyle w:val="Titre4"/>
                  </w:pPr>
                  <w:r>
                    <w:t>1.3. Documents à tenir à disposition des services du Gouvernement dès le 1er septembre de l’année scolaire d’admission aux subventions</w:t>
                  </w:r>
                </w:p>
                <w:p w:rsidR="00F04EEF" w:rsidRDefault="00F04EEF">
                  <w:pPr>
                    <w:tabs>
                      <w:tab w:val="left" w:pos="0"/>
                    </w:tabs>
                    <w:jc w:val="both"/>
                  </w:pPr>
                </w:p>
                <w:p w:rsidR="00F04EEF" w:rsidRDefault="0099351E">
                  <w:pPr>
                    <w:autoSpaceDE w:val="0"/>
                    <w:autoSpaceDN w:val="0"/>
                    <w:adjustRightInd w:val="0"/>
                    <w:jc w:val="both"/>
                    <w:rPr>
                      <w:rFonts w:eastAsia="Times New Roman" w:cs="Calibri"/>
                      <w:bCs/>
                      <w:lang w:val="fr-FR" w:eastAsia="fr-FR"/>
                    </w:rPr>
                  </w:pPr>
                  <w:r>
                    <w:rPr>
                      <w:rFonts w:eastAsia="Times New Roman" w:cs="Calibri"/>
                      <w:bCs/>
                      <w:lang w:val="fr-FR" w:eastAsia="fr-FR"/>
                    </w:rPr>
                    <w:t>Dès la première rentrée scolaire d’admission aux subventions, le Pouvoir organisateur tient à la disposition des services du Gouvernement les documents prouvant le respect des conditions de subventionnement qui s’appliquent à lui, notamment :</w:t>
                  </w:r>
                </w:p>
                <w:p w:rsidR="00F04EEF" w:rsidRDefault="00F04EEF">
                  <w:pPr>
                    <w:autoSpaceDE w:val="0"/>
                    <w:autoSpaceDN w:val="0"/>
                    <w:adjustRightInd w:val="0"/>
                    <w:jc w:val="both"/>
                    <w:rPr>
                      <w:rFonts w:eastAsia="Times New Roman" w:cs="Calibri"/>
                      <w:bCs/>
                      <w:lang w:val="fr-FR" w:eastAsia="fr-FR"/>
                    </w:rPr>
                  </w:pPr>
                </w:p>
                <w:p w:rsidR="00F04EEF" w:rsidRDefault="0099351E">
                  <w:pPr>
                    <w:numPr>
                      <w:ilvl w:val="0"/>
                      <w:numId w:val="212"/>
                    </w:numPr>
                    <w:spacing w:line="276" w:lineRule="auto"/>
                    <w:ind w:left="567" w:hanging="567"/>
                    <w:jc w:val="both"/>
                    <w:rPr>
                      <w:rFonts w:cs="Calibri"/>
                      <w:lang w:eastAsia="fr-BE"/>
                    </w:rPr>
                  </w:pPr>
                  <w:r>
                    <w:rPr>
                      <w:rFonts w:cs="Calibri"/>
                      <w:lang w:eastAsia="fr-BE"/>
                    </w:rPr>
                    <w:t>le projet d’établissement visé à l’article 67 du décret du 24 juillet 1997 définissant les missions prioritaires de l'enseignement fondamental et de l'enseignement secondaire et organisant les structures propres à les atteindre ;</w:t>
                  </w:r>
                </w:p>
                <w:p w:rsidR="00F04EEF" w:rsidRDefault="0099351E">
                  <w:pPr>
                    <w:numPr>
                      <w:ilvl w:val="0"/>
                      <w:numId w:val="212"/>
                    </w:numPr>
                    <w:spacing w:line="276" w:lineRule="auto"/>
                    <w:ind w:left="567" w:hanging="567"/>
                    <w:jc w:val="both"/>
                    <w:rPr>
                      <w:rFonts w:cs="Calibri"/>
                      <w:lang w:eastAsia="fr-BE"/>
                    </w:rPr>
                  </w:pPr>
                  <w:r>
                    <w:rPr>
                      <w:rFonts w:cs="Calibri"/>
                      <w:lang w:eastAsia="fr-BE"/>
                    </w:rPr>
                    <w:t>le règlement général des études visé aux articles 77, 77bis et 78 du décret du 24 juillet 1997 précité ;</w:t>
                  </w:r>
                </w:p>
                <w:p w:rsidR="00F04EEF" w:rsidRDefault="0099351E">
                  <w:pPr>
                    <w:numPr>
                      <w:ilvl w:val="0"/>
                      <w:numId w:val="212"/>
                    </w:numPr>
                    <w:spacing w:line="276" w:lineRule="auto"/>
                    <w:ind w:left="567" w:hanging="567"/>
                    <w:jc w:val="both"/>
                    <w:rPr>
                      <w:rFonts w:cs="Calibri"/>
                      <w:lang w:eastAsia="fr-BE"/>
                    </w:rPr>
                  </w:pPr>
                  <w:r>
                    <w:rPr>
                      <w:rFonts w:cs="Calibri"/>
                      <w:lang w:eastAsia="fr-BE"/>
                    </w:rPr>
                    <w:t xml:space="preserve">la grille-horaire des cours, conforme aux articles 4bis à 4octies de la loi du 19 juillet 1971 relative à la structure générale à l’organisation de l’enseignement secondaire et aux articles 7 à 12 du décret du 30 juin 2006 relatif à l'organisation pédagogique du 1er degré de l'enseignement secondaire ;  </w:t>
                  </w:r>
                </w:p>
                <w:p w:rsidR="00F04EEF" w:rsidRDefault="0099351E">
                  <w:pPr>
                    <w:numPr>
                      <w:ilvl w:val="0"/>
                      <w:numId w:val="212"/>
                    </w:numPr>
                    <w:spacing w:line="276" w:lineRule="auto"/>
                    <w:ind w:left="567" w:hanging="567"/>
                    <w:jc w:val="both"/>
                    <w:rPr>
                      <w:rFonts w:cs="Calibri"/>
                      <w:lang w:eastAsia="fr-BE"/>
                    </w:rPr>
                  </w:pPr>
                  <w:r>
                    <w:rPr>
                      <w:rFonts w:cs="Calibri"/>
                      <w:lang w:eastAsia="fr-BE"/>
                    </w:rPr>
                    <w:t>la grille-horaire des élèves, conforme aux articles 16 à 24, en particulier l’article 23, alinéa 2 ; aux articles 47, 48, 50, 52 et 54, §1</w:t>
                  </w:r>
                  <w:r>
                    <w:rPr>
                      <w:rFonts w:cs="Calibri"/>
                      <w:vertAlign w:val="superscript"/>
                      <w:lang w:eastAsia="fr-BE"/>
                    </w:rPr>
                    <w:t>er</w:t>
                  </w:r>
                  <w:r>
                    <w:rPr>
                      <w:rFonts w:cs="Calibri"/>
                      <w:lang w:eastAsia="fr-BE"/>
                    </w:rPr>
                    <w:t xml:space="preserve"> et § 2, du décret du 3 mars 2004 organisant l’enseignement spécialisé ;  </w:t>
                  </w:r>
                </w:p>
                <w:p w:rsidR="00F04EEF" w:rsidRDefault="0099351E">
                  <w:pPr>
                    <w:numPr>
                      <w:ilvl w:val="0"/>
                      <w:numId w:val="212"/>
                    </w:numPr>
                    <w:spacing w:line="276" w:lineRule="auto"/>
                    <w:ind w:left="567" w:hanging="567"/>
                    <w:jc w:val="both"/>
                    <w:rPr>
                      <w:rFonts w:cs="Calibri"/>
                      <w:lang w:eastAsia="fr-BE"/>
                    </w:rPr>
                  </w:pPr>
                  <w:r>
                    <w:rPr>
                      <w:rFonts w:cs="Calibri"/>
                      <w:lang w:eastAsia="fr-BE"/>
                    </w:rPr>
                    <w:t>la convention-cadre conclue avec un service de promotion de la santé à l’école telle que prévue à l’article 19 du décret du 20 décembre 2001 relatif à la promotion de la santé à l’école ;</w:t>
                  </w:r>
                </w:p>
                <w:p w:rsidR="00F04EEF" w:rsidRDefault="0099351E">
                  <w:pPr>
                    <w:numPr>
                      <w:ilvl w:val="0"/>
                      <w:numId w:val="212"/>
                    </w:numPr>
                    <w:spacing w:line="276" w:lineRule="auto"/>
                    <w:ind w:left="567" w:hanging="567"/>
                    <w:jc w:val="both"/>
                    <w:rPr>
                      <w:rFonts w:cs="Calibri"/>
                      <w:lang w:eastAsia="fr-BE"/>
                    </w:rPr>
                  </w:pPr>
                  <w:r>
                    <w:rPr>
                      <w:rFonts w:cs="Calibri"/>
                      <w:lang w:eastAsia="fr-BE"/>
                    </w:rPr>
                    <w:t>la convention conclue avec un centre psycho-médico-social telle que prévue à l’article 2, § 1</w:t>
                  </w:r>
                  <w:r>
                    <w:rPr>
                      <w:rFonts w:cs="Calibri"/>
                      <w:vertAlign w:val="superscript"/>
                      <w:lang w:eastAsia="fr-BE"/>
                    </w:rPr>
                    <w:t>er</w:t>
                  </w:r>
                  <w:r>
                    <w:rPr>
                      <w:rFonts w:cs="Calibri"/>
                      <w:lang w:eastAsia="fr-BE"/>
                    </w:rPr>
                    <w:t>, 3° et 4°, de la loi du 1</w:t>
                  </w:r>
                  <w:r>
                    <w:rPr>
                      <w:rFonts w:cs="Calibri"/>
                      <w:vertAlign w:val="superscript"/>
                      <w:lang w:eastAsia="fr-BE"/>
                    </w:rPr>
                    <w:t>er</w:t>
                  </w:r>
                  <w:r>
                    <w:rPr>
                      <w:rFonts w:cs="Calibri"/>
                      <w:lang w:eastAsia="fr-BE"/>
                    </w:rPr>
                    <w:t xml:space="preserve"> avril 1960 relative aux centres psycho-médico-sociaux ; </w:t>
                  </w:r>
                </w:p>
                <w:p w:rsidR="00F04EEF" w:rsidRDefault="0099351E">
                  <w:pPr>
                    <w:numPr>
                      <w:ilvl w:val="0"/>
                      <w:numId w:val="212"/>
                    </w:numPr>
                    <w:spacing w:line="276" w:lineRule="auto"/>
                    <w:ind w:left="567" w:hanging="567"/>
                    <w:jc w:val="both"/>
                    <w:rPr>
                      <w:rFonts w:cs="Calibri"/>
                      <w:lang w:eastAsia="fr-BE"/>
                    </w:rPr>
                  </w:pPr>
                  <w:r>
                    <w:rPr>
                      <w:rFonts w:cs="Calibri"/>
                      <w:lang w:eastAsia="fr-BE"/>
                    </w:rPr>
                    <w:t xml:space="preserve">la liste des enseignants de l’établissement et le titre de capacité dont ils disposent ; </w:t>
                  </w:r>
                </w:p>
                <w:p w:rsidR="00F04EEF" w:rsidRDefault="0099351E">
                  <w:pPr>
                    <w:numPr>
                      <w:ilvl w:val="0"/>
                      <w:numId w:val="212"/>
                    </w:numPr>
                    <w:spacing w:line="276" w:lineRule="auto"/>
                    <w:ind w:left="567" w:hanging="567"/>
                    <w:jc w:val="both"/>
                    <w:rPr>
                      <w:rFonts w:cs="Calibri"/>
                      <w:lang w:eastAsia="fr-BE"/>
                    </w:rPr>
                  </w:pPr>
                  <w:r>
                    <w:rPr>
                      <w:rFonts w:cs="Calibri"/>
                      <w:lang w:eastAsia="fr-BE"/>
                    </w:rPr>
                    <w:t xml:space="preserve">une analyse des risques relative au risque d’incendie. </w:t>
                  </w:r>
                </w:p>
                <w:p w:rsidR="00F04EEF" w:rsidRDefault="00F04EEF">
                  <w:pPr>
                    <w:tabs>
                      <w:tab w:val="left" w:pos="0"/>
                    </w:tabs>
                    <w:jc w:val="both"/>
                    <w:rPr>
                      <w:rFonts w:cs="Calibri"/>
                    </w:rPr>
                  </w:pPr>
                </w:p>
                <w:p w:rsidR="00F04EEF" w:rsidRDefault="00F04EEF">
                  <w:pPr>
                    <w:tabs>
                      <w:tab w:val="left" w:pos="0"/>
                    </w:tabs>
                    <w:jc w:val="both"/>
                    <w:rPr>
                      <w:rFonts w:cs="Calibri"/>
                    </w:rPr>
                  </w:pPr>
                </w:p>
                <w:p w:rsidR="00F04EEF" w:rsidRDefault="0099351E">
                  <w:pPr>
                    <w:pStyle w:val="Titre3"/>
                    <w:rPr>
                      <w:sz w:val="22"/>
                      <w:szCs w:val="22"/>
                      <w:lang w:val="fr-FR" w:eastAsia="fr-FR"/>
                    </w:rPr>
                  </w:pPr>
                  <w:bookmarkStart w:id="1858" w:name="_Toc47708494"/>
                  <w:r>
                    <w:rPr>
                      <w:sz w:val="22"/>
                      <w:szCs w:val="22"/>
                      <w:lang w:val="fr-FR" w:eastAsia="fr-FR"/>
                    </w:rPr>
                    <w:t>2. Admission aux subventions pour création de nouveaux types, formes et métiers</w:t>
                  </w:r>
                  <w:bookmarkEnd w:id="1858"/>
                </w:p>
                <w:p w:rsidR="00F04EEF" w:rsidRDefault="00F04EEF">
                  <w:pPr>
                    <w:jc w:val="both"/>
                    <w:rPr>
                      <w:rFonts w:cs="Calibri"/>
                      <w:bCs/>
                      <w:lang w:val="fr-FR" w:eastAsia="fr-FR"/>
                    </w:rPr>
                  </w:pPr>
                </w:p>
                <w:p w:rsidR="00F04EEF" w:rsidRDefault="0099351E">
                  <w:pPr>
                    <w:jc w:val="both"/>
                    <w:rPr>
                      <w:rFonts w:eastAsia="Times New Roman" w:cs="Calibri"/>
                      <w:bCs/>
                      <w:lang w:val="fr-FR" w:eastAsia="fr-FR"/>
                    </w:rPr>
                  </w:pPr>
                  <w:bookmarkStart w:id="1859" w:name="__RefHeading__355_957262308"/>
                  <w:bookmarkEnd w:id="1859"/>
                  <w:r>
                    <w:rPr>
                      <w:rFonts w:eastAsia="Times New Roman" w:cs="Calibri"/>
                      <w:bCs/>
                      <w:lang w:val="fr-FR" w:eastAsia="fr-FR"/>
                    </w:rPr>
                    <w:t>Une demande d’admission aux subventions doit être introduite auprès de la Direction générale de l’Enseignement obligatoire pour toute création de forme :</w:t>
                  </w:r>
                </w:p>
                <w:p w:rsidR="00F04EEF" w:rsidRDefault="00F04EEF">
                  <w:pPr>
                    <w:jc w:val="both"/>
                    <w:rPr>
                      <w:rFonts w:eastAsia="Times New Roman" w:cs="Calibri"/>
                      <w:bCs/>
                      <w:lang w:val="fr-FR" w:eastAsia="fr-FR"/>
                    </w:rPr>
                  </w:pPr>
                </w:p>
                <w:p w:rsidR="00F04EEF" w:rsidRDefault="0099351E">
                  <w:pPr>
                    <w:pStyle w:val="Paragraphedeliste"/>
                    <w:numPr>
                      <w:ilvl w:val="0"/>
                      <w:numId w:val="255"/>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1 : pour toute création de la phase unique ;</w:t>
                  </w:r>
                </w:p>
                <w:p w:rsidR="00F04EEF" w:rsidRDefault="0099351E">
                  <w:pPr>
                    <w:pStyle w:val="Paragraphedeliste"/>
                    <w:numPr>
                      <w:ilvl w:val="0"/>
                      <w:numId w:val="255"/>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2 : pour toute création de phase ;</w:t>
                  </w:r>
                </w:p>
                <w:p w:rsidR="00F04EEF" w:rsidRDefault="0099351E">
                  <w:pPr>
                    <w:pStyle w:val="Paragraphedeliste"/>
                    <w:numPr>
                      <w:ilvl w:val="0"/>
                      <w:numId w:val="255"/>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3 en enseignement de plein exercice : pour toute création de secteur, groupe professionnel et métier ;</w:t>
                  </w:r>
                </w:p>
                <w:p w:rsidR="00F04EEF" w:rsidRDefault="0099351E">
                  <w:pPr>
                    <w:pStyle w:val="Paragraphedeliste"/>
                    <w:numPr>
                      <w:ilvl w:val="0"/>
                      <w:numId w:val="255"/>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3 en enseignement en alternance : pour toute création de secteur, groupe professionnel et métier ;</w:t>
                  </w:r>
                </w:p>
                <w:p w:rsidR="00F04EEF" w:rsidRDefault="0099351E">
                  <w:pPr>
                    <w:pStyle w:val="Paragraphedeliste"/>
                    <w:numPr>
                      <w:ilvl w:val="0"/>
                      <w:numId w:val="255"/>
                    </w:numPr>
                    <w:jc w:val="both"/>
                    <w:rPr>
                      <w:rFonts w:asciiTheme="majorHAnsi" w:hAnsiTheme="majorHAnsi" w:cs="Calibri"/>
                      <w:bCs/>
                      <w:sz w:val="22"/>
                      <w:szCs w:val="22"/>
                      <w:lang w:val="fr-FR" w:eastAsia="fr-FR"/>
                    </w:rPr>
                  </w:pPr>
                  <w:r>
                    <w:rPr>
                      <w:rFonts w:asciiTheme="majorHAnsi" w:hAnsiTheme="majorHAnsi" w:cs="Calibri"/>
                      <w:bCs/>
                      <w:sz w:val="22"/>
                      <w:szCs w:val="22"/>
                      <w:lang w:val="fr-FR" w:eastAsia="fr-FR"/>
                    </w:rPr>
                    <w:t>Pour la forme 4 : respect des normes propres à la forme 4 notamment les grilles et les programmes.</w:t>
                  </w:r>
                  <w:bookmarkStart w:id="1860" w:name="_Toc384300789"/>
                  <w:bookmarkStart w:id="1861" w:name="_Toc324768135"/>
                  <w:bookmarkStart w:id="1862" w:name="_Toc324767277"/>
                  <w:bookmarkStart w:id="1863" w:name="_Toc324166240"/>
                  <w:bookmarkStart w:id="1864" w:name="_Toc294185410"/>
                  <w:bookmarkStart w:id="1865" w:name="_Toc294004914"/>
                  <w:bookmarkStart w:id="1866" w:name="_Toc293654334"/>
                  <w:bookmarkStart w:id="1867" w:name="_Toc293653722"/>
                  <w:bookmarkStart w:id="1868" w:name="_Toc293652140"/>
                </w:p>
                <w:p w:rsidR="00F04EEF" w:rsidRDefault="00F04EEF">
                  <w:pPr>
                    <w:tabs>
                      <w:tab w:val="num" w:pos="0"/>
                    </w:tabs>
                    <w:suppressAutoHyphens/>
                    <w:ind w:left="540"/>
                    <w:jc w:val="both"/>
                    <w:rPr>
                      <w:rFonts w:eastAsia="Times New Roman" w:cs="Calibri"/>
                      <w:bCs/>
                      <w:lang w:val="fr-FR" w:eastAsia="fr-FR"/>
                    </w:rPr>
                  </w:pPr>
                </w:p>
                <w:p w:rsidR="00F04EEF" w:rsidRDefault="0099351E">
                  <w:pPr>
                    <w:tabs>
                      <w:tab w:val="num" w:pos="0"/>
                    </w:tabs>
                    <w:suppressAutoHyphens/>
                    <w:jc w:val="both"/>
                    <w:rPr>
                      <w:rFonts w:eastAsia="Times New Roman" w:cs="Calibri"/>
                      <w:bCs/>
                      <w:lang w:val="fr-FR" w:eastAsia="fr-FR"/>
                    </w:rPr>
                  </w:pPr>
                  <w:r>
                    <w:rPr>
                      <w:rFonts w:eastAsia="Times New Roman" w:cs="Calibri"/>
                      <w:bCs/>
                      <w:lang w:val="fr-FR" w:eastAsia="fr-FR"/>
                    </w:rPr>
                    <w:t>A.</w:t>
                  </w:r>
                  <w:r>
                    <w:rPr>
                      <w:rFonts w:eastAsia="Times New Roman" w:cs="Calibri"/>
                      <w:bCs/>
                      <w:u w:val="single"/>
                      <w:lang w:val="fr-FR" w:eastAsia="fr-FR"/>
                    </w:rPr>
                    <w:t xml:space="preserve"> Constitution du dossier</w:t>
                  </w:r>
                  <w:bookmarkEnd w:id="1860"/>
                  <w:bookmarkEnd w:id="1861"/>
                  <w:bookmarkEnd w:id="1862"/>
                  <w:bookmarkEnd w:id="1863"/>
                  <w:bookmarkEnd w:id="1864"/>
                  <w:bookmarkEnd w:id="1865"/>
                  <w:bookmarkEnd w:id="1866"/>
                  <w:bookmarkEnd w:id="1867"/>
                  <w:bookmarkEnd w:id="1868"/>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La demande doit être établie en un seul exemplaire par :</w:t>
                  </w:r>
                </w:p>
                <w:p w:rsidR="00F04EEF" w:rsidRDefault="00F04EEF">
                  <w:pPr>
                    <w:jc w:val="both"/>
                    <w:rPr>
                      <w:rFonts w:eastAsia="Times New Roman" w:cs="Calibri"/>
                      <w:bCs/>
                      <w:lang w:val="fr-FR" w:eastAsia="fr-FR"/>
                    </w:rPr>
                  </w:pPr>
                </w:p>
                <w:p w:rsidR="00F04EEF" w:rsidRDefault="0099351E">
                  <w:pPr>
                    <w:numPr>
                      <w:ilvl w:val="0"/>
                      <w:numId w:val="166"/>
                    </w:numPr>
                    <w:suppressAutoHyphens/>
                    <w:jc w:val="both"/>
                    <w:rPr>
                      <w:rFonts w:eastAsia="Times New Roman" w:cs="Calibri"/>
                      <w:bCs/>
                      <w:lang w:val="fr-FR" w:eastAsia="fr-FR"/>
                    </w:rPr>
                  </w:pPr>
                  <w:r>
                    <w:rPr>
                      <w:rFonts w:eastAsia="Times New Roman" w:cs="Calibri"/>
                      <w:bCs/>
                      <w:lang w:val="fr-FR" w:eastAsia="fr-FR"/>
                    </w:rPr>
                    <w:t>forme d’enseignement, avec précision du type d’enseignement spécialisé</w:t>
                  </w:r>
                </w:p>
                <w:p w:rsidR="00F04EEF" w:rsidRDefault="0099351E">
                  <w:pPr>
                    <w:numPr>
                      <w:ilvl w:val="0"/>
                      <w:numId w:val="166"/>
                    </w:numPr>
                    <w:suppressAutoHyphens/>
                    <w:jc w:val="both"/>
                    <w:rPr>
                      <w:rFonts w:eastAsia="Times New Roman" w:cs="Calibri"/>
                      <w:bCs/>
                      <w:lang w:val="fr-FR" w:eastAsia="fr-FR"/>
                    </w:rPr>
                  </w:pPr>
                  <w:r>
                    <w:rPr>
                      <w:rFonts w:eastAsia="Times New Roman" w:cs="Calibri"/>
                      <w:bCs/>
                      <w:lang w:val="fr-FR" w:eastAsia="fr-FR"/>
                    </w:rPr>
                    <w:t xml:space="preserve">métier, avec précision du secteur et du groupe professionnel. </w:t>
                  </w:r>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 xml:space="preserve">Exemples : </w:t>
                  </w:r>
                </w:p>
                <w:p w:rsidR="00F04EEF" w:rsidRDefault="00F04EEF">
                  <w:pPr>
                    <w:jc w:val="both"/>
                    <w:rPr>
                      <w:rFonts w:eastAsia="Times New Roman" w:cs="Calibri"/>
                      <w:bCs/>
                      <w:lang w:val="fr-FR" w:eastAsia="fr-FR"/>
                    </w:rPr>
                  </w:pPr>
                </w:p>
                <w:p w:rsidR="00F04EEF" w:rsidRDefault="0099351E">
                  <w:pPr>
                    <w:numPr>
                      <w:ilvl w:val="0"/>
                      <w:numId w:val="250"/>
                    </w:numPr>
                    <w:ind w:left="567" w:hanging="567"/>
                    <w:jc w:val="both"/>
                    <w:rPr>
                      <w:rFonts w:eastAsia="Times New Roman" w:cs="Calibri"/>
                      <w:bCs/>
                      <w:lang w:val="fr-FR" w:eastAsia="fr-FR"/>
                    </w:rPr>
                  </w:pPr>
                  <w:r>
                    <w:rPr>
                      <w:rFonts w:eastAsia="Times New Roman" w:cs="Calibri"/>
                      <w:bCs/>
                      <w:lang w:val="fr-FR" w:eastAsia="fr-FR"/>
                    </w:rPr>
                    <w:t>Un établissement d’enseignement secondaire spécialisé qui organise la forme 1 pour les types 2 et 3 et qui  crée la forme 2 pour les types 2 et 3 fait une seule demande d’admission aux subventions pour la forme 2 - types 2 et 3.</w:t>
                  </w:r>
                </w:p>
                <w:p w:rsidR="00F04EEF" w:rsidRDefault="0099351E">
                  <w:pPr>
                    <w:numPr>
                      <w:ilvl w:val="0"/>
                      <w:numId w:val="250"/>
                    </w:numPr>
                    <w:ind w:left="567" w:hanging="567"/>
                    <w:jc w:val="both"/>
                    <w:rPr>
                      <w:rFonts w:eastAsia="Times New Roman" w:cs="Calibri"/>
                      <w:bCs/>
                      <w:lang w:val="fr-FR" w:eastAsia="fr-FR"/>
                    </w:rPr>
                  </w:pPr>
                  <w:r>
                    <w:rPr>
                      <w:rFonts w:eastAsia="Times New Roman" w:cs="Calibri"/>
                      <w:bCs/>
                      <w:lang w:val="fr-FR" w:eastAsia="fr-FR"/>
                    </w:rPr>
                    <w:t>Un établissement d’enseignement secondaire spécialisé qui organise le secteur agronomie, groupe professionnel horticulture, métier « ouvrier jardinier » et qui désire ouvrir le métier « ouvrier en exploitation horticole » du même groupe professionnel et le métier « palefrenier » du groupe «métiers du cheval » dans le même secteur introduit autant de demandes que de nouveaux métiers qu’il veut organiser, à savoir :</w:t>
                  </w:r>
                </w:p>
                <w:p w:rsidR="00F04EEF" w:rsidRDefault="0099351E">
                  <w:pPr>
                    <w:numPr>
                      <w:ilvl w:val="0"/>
                      <w:numId w:val="251"/>
                    </w:numPr>
                    <w:tabs>
                      <w:tab w:val="clear" w:pos="1077"/>
                      <w:tab w:val="num" w:pos="1276"/>
                    </w:tabs>
                    <w:ind w:left="1276" w:hanging="425"/>
                    <w:jc w:val="both"/>
                    <w:rPr>
                      <w:rFonts w:eastAsia="Times New Roman" w:cs="Calibri"/>
                      <w:bCs/>
                      <w:lang w:val="fr-FR" w:eastAsia="fr-FR"/>
                    </w:rPr>
                  </w:pPr>
                  <w:r>
                    <w:rPr>
                      <w:rFonts w:eastAsia="Times New Roman" w:cs="Calibri"/>
                      <w:bCs/>
                      <w:lang w:val="fr-FR" w:eastAsia="fr-FR"/>
                    </w:rPr>
                    <w:t>« ouvrier en exploitation horticole »</w:t>
                  </w:r>
                </w:p>
                <w:p w:rsidR="00F04EEF" w:rsidRDefault="0099351E">
                  <w:pPr>
                    <w:numPr>
                      <w:ilvl w:val="0"/>
                      <w:numId w:val="251"/>
                    </w:numPr>
                    <w:tabs>
                      <w:tab w:val="clear" w:pos="1077"/>
                      <w:tab w:val="num" w:pos="1276"/>
                    </w:tabs>
                    <w:ind w:left="1276" w:hanging="425"/>
                    <w:jc w:val="both"/>
                    <w:rPr>
                      <w:rFonts w:eastAsia="Times New Roman" w:cs="Calibri"/>
                      <w:bCs/>
                      <w:lang w:val="fr-FR" w:eastAsia="fr-FR"/>
                    </w:rPr>
                  </w:pPr>
                  <w:r>
                    <w:rPr>
                      <w:rFonts w:eastAsia="Times New Roman" w:cs="Calibri"/>
                      <w:bCs/>
                      <w:lang w:val="fr-FR" w:eastAsia="fr-FR"/>
                    </w:rPr>
                    <w:t>« palefrenier »</w:t>
                  </w:r>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Si certains métiers sont organisés en alternance ET en plein exercice, il y a lieu d’adresser deux demandes différentes.</w:t>
                  </w:r>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Le dossier reprendra les éléments suivants :</w:t>
                  </w:r>
                </w:p>
                <w:p w:rsidR="00F04EEF" w:rsidRDefault="00F04EEF">
                  <w:pPr>
                    <w:jc w:val="both"/>
                    <w:rPr>
                      <w:rFonts w:eastAsia="Times New Roman" w:cs="Calibri"/>
                      <w:bCs/>
                      <w:lang w:val="fr-FR" w:eastAsia="fr-FR"/>
                    </w:rPr>
                  </w:pPr>
                </w:p>
                <w:p w:rsidR="00F04EEF" w:rsidRDefault="0099351E">
                  <w:pPr>
                    <w:numPr>
                      <w:ilvl w:val="0"/>
                      <w:numId w:val="252"/>
                    </w:numPr>
                    <w:tabs>
                      <w:tab w:val="left" w:pos="426"/>
                    </w:tabs>
                    <w:suppressAutoHyphens/>
                    <w:ind w:left="426" w:hanging="426"/>
                    <w:jc w:val="both"/>
                    <w:rPr>
                      <w:rFonts w:eastAsia="Times New Roman" w:cs="Calibri"/>
                      <w:bCs/>
                      <w:lang w:val="fr-FR" w:eastAsia="fr-FR"/>
                    </w:rPr>
                  </w:pPr>
                  <w:r>
                    <w:rPr>
                      <w:rFonts w:eastAsia="Times New Roman" w:cs="Calibri"/>
                      <w:bCs/>
                      <w:lang w:val="fr-FR" w:eastAsia="fr-FR"/>
                    </w:rPr>
                    <w:t>Une demande du pouvoir organisateur ainsi que la copie du procès-verbal de délibération ;</w:t>
                  </w:r>
                </w:p>
                <w:p w:rsidR="00F04EEF" w:rsidRDefault="0099351E">
                  <w:pPr>
                    <w:numPr>
                      <w:ilvl w:val="0"/>
                      <w:numId w:val="253"/>
                    </w:numPr>
                    <w:tabs>
                      <w:tab w:val="left" w:pos="426"/>
                    </w:tabs>
                    <w:suppressAutoHyphens/>
                    <w:ind w:left="426" w:hanging="426"/>
                    <w:jc w:val="both"/>
                    <w:rPr>
                      <w:rFonts w:eastAsia="Times New Roman" w:cs="Calibri"/>
                      <w:bCs/>
                      <w:lang w:val="fr-FR" w:eastAsia="fr-FR"/>
                    </w:rPr>
                  </w:pPr>
                  <w:r>
                    <w:rPr>
                      <w:rFonts w:eastAsia="Times New Roman" w:cs="Calibri"/>
                      <w:bCs/>
                      <w:lang w:val="fr-FR" w:eastAsia="fr-FR"/>
                    </w:rPr>
                    <w:t>La déclaration sur l’honneur dûment complétée relative au respect des conditions reprises à l’article 24, §2, de la loi du 29 mai 1959 modifiant certaines dispositions de la législation de l'enseignement et reprise à l’annexe 2.</w:t>
                  </w:r>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 xml:space="preserve">Il est porté à votre attention que certains documents doivent être tenus à la disposition du service de la vérification dans le cadre d’un rapport éventuel sur la salubrité, l’hygiène et la sécurité. Ils ne doivent donc pas être joints au dossier. </w:t>
                  </w:r>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Ces documents sont les suivants : rapport du S.E.P.P.T</w:t>
                  </w:r>
                  <w:r>
                    <w:rPr>
                      <w:rStyle w:val="Appelnotedebasdep"/>
                      <w:rFonts w:eastAsia="Times New Roman"/>
                      <w:bCs/>
                      <w:lang w:val="fr-FR" w:eastAsia="fr-FR"/>
                    </w:rPr>
                    <w:footnoteReference w:id="114"/>
                  </w:r>
                  <w:r>
                    <w:rPr>
                      <w:rFonts w:eastAsia="Times New Roman" w:cs="Calibri"/>
                      <w:bCs/>
                      <w:lang w:val="fr-FR" w:eastAsia="fr-FR"/>
                    </w:rPr>
                    <w:t>, rapport de la médecine scolaire PSE</w:t>
                  </w:r>
                  <w:r>
                    <w:rPr>
                      <w:rStyle w:val="Appelnotedebasdep"/>
                      <w:rFonts w:eastAsia="Times New Roman"/>
                      <w:bCs/>
                      <w:lang w:val="fr-FR" w:eastAsia="fr-FR"/>
                    </w:rPr>
                    <w:footnoteReference w:id="115"/>
                  </w:r>
                  <w:r>
                    <w:rPr>
                      <w:rFonts w:eastAsia="Times New Roman" w:cs="Calibri"/>
                      <w:bCs/>
                      <w:lang w:val="fr-FR" w:eastAsia="fr-FR"/>
                    </w:rPr>
                    <w:t>, autorisation de l’AFSCA</w:t>
                  </w:r>
                  <w:r>
                    <w:rPr>
                      <w:rStyle w:val="Appelnotedebasdep"/>
                      <w:rFonts w:eastAsia="Times New Roman"/>
                      <w:bCs/>
                      <w:lang w:val="fr-FR" w:eastAsia="fr-FR"/>
                    </w:rPr>
                    <w:footnoteReference w:id="116"/>
                  </w:r>
                  <w:r>
                    <w:rPr>
                      <w:rFonts w:eastAsia="Times New Roman" w:cs="Calibri"/>
                      <w:bCs/>
                      <w:lang w:val="fr-FR" w:eastAsia="fr-FR"/>
                    </w:rPr>
                    <w:t>, registre de la sécurité, rapport du service régional d’incendie, plan global de prévention, règlement de travail, règlement d’atelier, règlement de laboratoire, registre des produits dangereux, inventaire amiante, plan interne d’urgence.</w:t>
                  </w:r>
                </w:p>
                <w:p w:rsidR="00F04EEF" w:rsidRDefault="00F04EEF">
                  <w:bookmarkStart w:id="1869" w:name="_2.3._Modalités"/>
                  <w:bookmarkStart w:id="1870" w:name="_Toc293652141"/>
                  <w:bookmarkStart w:id="1871" w:name="_Toc293653723"/>
                  <w:bookmarkStart w:id="1872" w:name="_Toc293654335"/>
                  <w:bookmarkStart w:id="1873" w:name="_Toc294004915"/>
                  <w:bookmarkStart w:id="1874" w:name="_Toc294185411"/>
                  <w:bookmarkStart w:id="1875" w:name="_Toc324166241"/>
                  <w:bookmarkStart w:id="1876" w:name="_Toc324767278"/>
                  <w:bookmarkStart w:id="1877" w:name="_Toc324768136"/>
                  <w:bookmarkStart w:id="1878" w:name="_Toc384300790"/>
                  <w:bookmarkEnd w:id="1869"/>
                </w:p>
                <w:p w:rsidR="00F04EEF" w:rsidRDefault="0099351E">
                  <w:r>
                    <w:t xml:space="preserve">B. </w:t>
                  </w:r>
                  <w:r>
                    <w:rPr>
                      <w:u w:val="single"/>
                    </w:rPr>
                    <w:t>Modalités</w:t>
                  </w:r>
                  <w:bookmarkEnd w:id="1870"/>
                  <w:bookmarkEnd w:id="1871"/>
                  <w:bookmarkEnd w:id="1872"/>
                  <w:bookmarkEnd w:id="1873"/>
                  <w:bookmarkEnd w:id="1874"/>
                  <w:bookmarkEnd w:id="1875"/>
                  <w:bookmarkEnd w:id="1876"/>
                  <w:bookmarkEnd w:id="1877"/>
                  <w:bookmarkEnd w:id="1878"/>
                  <w:r>
                    <w:rPr>
                      <w:u w:val="single"/>
                    </w:rPr>
                    <w:t xml:space="preserve"> </w:t>
                  </w:r>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Seuls les dossiers complets seront pris en considération. Il est donc inutile de transmettre un dossier ne comportant pas toutes les pièces énumérées ci-dessus.</w:t>
                  </w:r>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Les dossiers de demande d’admission aux subventions doivent être transmis par le pouvoir organisateur de l’établissement concerné, en un seul exemplaire, entre le 1er octobre et le 1er novembre de l’année d’ouverture de la structure et éventuellement joints au dossier annonçant la programmation à l’adresse suivante :</w:t>
                  </w:r>
                </w:p>
                <w:p w:rsidR="00F04EEF" w:rsidRDefault="00F04EEF">
                  <w:pPr>
                    <w:jc w:val="both"/>
                    <w:rPr>
                      <w:rFonts w:eastAsia="Times New Roman" w:cs="Calibri"/>
                      <w:bCs/>
                      <w:lang w:val="fr-FR" w:eastAsia="fr-FR"/>
                    </w:rPr>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Admission aux subventions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w:t>
                  </w:r>
                  <w:r>
                    <w:rPr>
                      <w:b w:val="0"/>
                      <w:bCs/>
                      <w:szCs w:val="22"/>
                    </w:rPr>
                    <w:t xml:space="preserve"> </w:t>
                  </w:r>
                  <w:hyperlink r:id="rId140" w:history="1">
                    <w:r>
                      <w:rPr>
                        <w:rStyle w:val="Lienhypertexte"/>
                        <w:b w:val="0"/>
                        <w:szCs w:val="22"/>
                      </w:rPr>
                      <w:t>veronique.rombaut@cfwb.be</w:t>
                    </w:r>
                  </w:hyperlink>
                </w:p>
                <w:p w:rsidR="00F04EEF" w:rsidRDefault="00F04EEF">
                  <w:pPr>
                    <w:jc w:val="both"/>
                    <w:rPr>
                      <w:rFonts w:eastAsia="Times New Roman" w:cs="Calibri"/>
                      <w:bCs/>
                      <w:lang w:val="fr-FR" w:eastAsia="fr-FR"/>
                    </w:rPr>
                  </w:pPr>
                </w:p>
                <w:p w:rsidR="00F04EEF" w:rsidRDefault="0099351E">
                  <w:pPr>
                    <w:jc w:val="both"/>
                    <w:rPr>
                      <w:rFonts w:eastAsia="Times New Roman" w:cs="Calibri"/>
                      <w:bCs/>
                      <w:lang w:val="fr-FR" w:eastAsia="fr-FR"/>
                    </w:rPr>
                  </w:pPr>
                  <w:r>
                    <w:rPr>
                      <w:rFonts w:eastAsia="Times New Roman" w:cs="Calibri"/>
                      <w:bCs/>
                      <w:lang w:val="fr-FR" w:eastAsia="fr-FR"/>
                    </w:rPr>
                    <w:t xml:space="preserve">Les demandes introduites après le 1er novembre ne seront pas prises en considération. </w:t>
                  </w:r>
                </w:p>
                <w:p w:rsidR="00F04EEF" w:rsidRDefault="00F04EEF">
                  <w:pPr>
                    <w:tabs>
                      <w:tab w:val="left" w:pos="0"/>
                    </w:tabs>
                    <w:jc w:val="both"/>
                    <w:rPr>
                      <w:rFonts w:cs="Calibri"/>
                    </w:rPr>
                  </w:pPr>
                </w:p>
                <w:p w:rsidR="00F04EEF" w:rsidRDefault="0099351E">
                  <w:pPr>
                    <w:pStyle w:val="Titre3"/>
                    <w:rPr>
                      <w:sz w:val="22"/>
                      <w:szCs w:val="22"/>
                    </w:rPr>
                  </w:pPr>
                  <w:bookmarkStart w:id="1879" w:name="_Toc47708495"/>
                  <w:r>
                    <w:rPr>
                      <w:sz w:val="22"/>
                      <w:szCs w:val="22"/>
                    </w:rPr>
                    <w:t>3. Annexes</w:t>
                  </w:r>
                  <w:bookmarkEnd w:id="1879"/>
                </w:p>
                <w:p w:rsidR="00F04EEF" w:rsidRDefault="0099351E">
                  <w:r>
                    <w:br w:type="page"/>
                  </w:r>
                </w:p>
                <w:p w:rsidR="00F04EEF" w:rsidRDefault="00F04EEF">
                  <w:pPr>
                    <w:tabs>
                      <w:tab w:val="left" w:pos="0"/>
                    </w:tabs>
                    <w:jc w:val="both"/>
                  </w:pPr>
                </w:p>
                <w:p w:rsidR="00F04EEF" w:rsidRDefault="0099351E">
                  <w:pPr>
                    <w:pStyle w:val="Titre4"/>
                  </w:pPr>
                  <w:r>
                    <w:t>Annexe 1 : Demande d’admission aux subventions d’un établissement scolaire</w:t>
                  </w:r>
                  <w:r>
                    <w:rPr>
                      <w:rStyle w:val="Appelnotedebasdep"/>
                      <w:b w:val="0"/>
                    </w:rPr>
                    <w:footnoteReference w:id="117"/>
                  </w:r>
                </w:p>
                <w:p w:rsidR="00F04EEF" w:rsidRDefault="00F04EEF">
                  <w:pPr>
                    <w:shd w:val="clear" w:color="auto" w:fill="FFFFFF" w:themeFill="background1"/>
                    <w:jc w:val="center"/>
                    <w:rPr>
                      <w:b/>
                    </w:rPr>
                  </w:pPr>
                </w:p>
                <w:p w:rsidR="00F04EEF" w:rsidRDefault="00F04EEF">
                  <w:pPr>
                    <w:rPr>
                      <w:b/>
                    </w:rPr>
                  </w:pPr>
                </w:p>
                <w:p w:rsidR="00F04EEF" w:rsidRDefault="0099351E">
                  <w:pPr>
                    <w:rPr>
                      <w:rFonts w:cs="Calibri"/>
                    </w:rPr>
                  </w:pPr>
                  <w:r>
                    <w:rPr>
                      <w:rFonts w:cs="Calibri"/>
                    </w:rPr>
                    <w:t>Le ……/……./……..</w:t>
                  </w:r>
                </w:p>
                <w:p w:rsidR="00F04EEF" w:rsidRDefault="00F04EEF">
                  <w:pPr>
                    <w:rPr>
                      <w:rFonts w:cs="Calibri"/>
                    </w:rPr>
                  </w:pPr>
                </w:p>
                <w:p w:rsidR="00F04EEF" w:rsidRDefault="0099351E">
                  <w:pPr>
                    <w:jc w:val="both"/>
                    <w:rPr>
                      <w:rFonts w:cs="Calibri"/>
                      <w:i/>
                    </w:rPr>
                  </w:pPr>
                  <w:r>
                    <w:rPr>
                      <w:rFonts w:cs="Calibri"/>
                    </w:rPr>
                    <w:t>Conformément aux dispositions des articles 24 et 37 de la loi du 29 mai 1959</w:t>
                  </w:r>
                  <w:r>
                    <w:rPr>
                      <w:rFonts w:cs="Calibri"/>
                      <w:color w:val="4A4A4A"/>
                    </w:rPr>
                    <w:t xml:space="preserve"> </w:t>
                  </w:r>
                  <w:r>
                    <w:rPr>
                      <w:rFonts w:cs="Calibri"/>
                      <w:i/>
                    </w:rPr>
                    <w:t xml:space="preserve">modifiant certaines dispositions de la législation de l'enseignement, </w:t>
                  </w:r>
                  <w:r>
                    <w:rPr>
                      <w:rFonts w:cs="Calibri"/>
                    </w:rPr>
                    <w:t xml:space="preserve">et à l’article 6 de l’arrêté royal du 22 octobre 1959 </w:t>
                  </w:r>
                  <w:r>
                    <w:rPr>
                      <w:rFonts w:cs="Calibri"/>
                      <w:i/>
                    </w:rPr>
                    <w:t>portant application des articles 34 et 37 de la loi du 29 mai 1959</w:t>
                  </w:r>
                </w:p>
                <w:p w:rsidR="00F04EEF" w:rsidRDefault="00F04EEF">
                  <w:pPr>
                    <w:rPr>
                      <w:rFonts w:cs="Calibri"/>
                    </w:rPr>
                  </w:pPr>
                </w:p>
                <w:p w:rsidR="00F04EEF" w:rsidRDefault="0099351E">
                  <w:pPr>
                    <w:spacing w:line="360" w:lineRule="auto"/>
                    <w:rPr>
                      <w:rFonts w:cs="Calibri"/>
                    </w:rPr>
                  </w:pPr>
                  <w:r>
                    <w:rPr>
                      <w:rFonts w:cs="Calibri"/>
                    </w:rPr>
                    <w:t>Je soussigné-e ................................................................................................................................</w:t>
                  </w:r>
                </w:p>
                <w:p w:rsidR="00F04EEF" w:rsidRDefault="0099351E">
                  <w:pPr>
                    <w:numPr>
                      <w:ilvl w:val="0"/>
                      <w:numId w:val="203"/>
                    </w:numPr>
                    <w:tabs>
                      <w:tab w:val="left" w:pos="495"/>
                    </w:tabs>
                    <w:ind w:left="0" w:firstLine="0"/>
                    <w:rPr>
                      <w:rFonts w:cs="Calibri"/>
                    </w:rPr>
                  </w:pPr>
                  <w:r>
                    <w:rPr>
                      <w:rFonts w:cs="Calibri"/>
                    </w:rPr>
                    <w:t xml:space="preserve">Gouverneur-e, Bourgmestre ou Président-e du Pouvoir organisateur suivant (biffez la mention inutile): </w:t>
                  </w:r>
                </w:p>
                <w:p w:rsidR="00F04EEF" w:rsidRDefault="0099351E">
                  <w:pPr>
                    <w:numPr>
                      <w:ilvl w:val="0"/>
                      <w:numId w:val="203"/>
                    </w:numPr>
                    <w:tabs>
                      <w:tab w:val="left" w:pos="495"/>
                    </w:tabs>
                    <w:ind w:left="0" w:firstLine="0"/>
                    <w:rPr>
                      <w:rFonts w:cs="Calibri"/>
                    </w:rPr>
                  </w:pPr>
                  <w:r>
                    <w:rPr>
                      <w:rFonts w:cs="Calibri"/>
                    </w:rPr>
                    <w:t>Représentant le Pouvoir organisateur suivant (</w:t>
                  </w:r>
                  <w:r>
                    <w:rPr>
                      <w:rFonts w:cs="Calibri"/>
                      <w:b/>
                    </w:rPr>
                    <w:t>joindre une copie du compte-rendu de la délibération du P.O. autorisant la représentation)</w:t>
                  </w:r>
                  <w:r>
                    <w:rPr>
                      <w:rFonts w:cs="Calibri"/>
                    </w:rPr>
                    <w:t xml:space="preserve">: </w:t>
                  </w:r>
                </w:p>
                <w:p w:rsidR="00F04EEF" w:rsidRDefault="0099351E">
                  <w:pPr>
                    <w:rPr>
                      <w:rFonts w:cs="Calibri"/>
                    </w:rPr>
                  </w:pPr>
                  <w:r>
                    <w:rPr>
                      <w:rFonts w:cs="Calibri"/>
                    </w:rPr>
                    <w:t>.................................................................................................................................................................</w:t>
                  </w:r>
                </w:p>
                <w:p w:rsidR="00F04EEF" w:rsidRDefault="0099351E">
                  <w:pPr>
                    <w:rPr>
                      <w:rFonts w:cs="Calibri"/>
                    </w:rPr>
                  </w:pPr>
                  <w:r>
                    <w:rPr>
                      <w:rFonts w:cs="Calibri"/>
                    </w:rPr>
                    <w:t>.................................................................................................................................................................</w:t>
                  </w:r>
                </w:p>
                <w:p w:rsidR="00F04EEF" w:rsidRDefault="0099351E">
                  <w:pPr>
                    <w:rPr>
                      <w:rFonts w:cs="Calibri"/>
                    </w:rPr>
                  </w:pPr>
                  <w:r>
                    <w:rPr>
                      <w:rFonts w:cs="Calibri"/>
                    </w:rPr>
                    <w:t xml:space="preserve"> (nom+adresse du P.O.)</w:t>
                  </w:r>
                </w:p>
                <w:p w:rsidR="00F04EEF" w:rsidRDefault="00F04EEF">
                  <w:pPr>
                    <w:tabs>
                      <w:tab w:val="left" w:pos="495"/>
                    </w:tabs>
                    <w:jc w:val="both"/>
                    <w:rPr>
                      <w:rFonts w:cs="Calibri"/>
                    </w:rPr>
                  </w:pPr>
                </w:p>
                <w:p w:rsidR="00F04EEF" w:rsidRDefault="0099351E">
                  <w:pPr>
                    <w:jc w:val="both"/>
                    <w:rPr>
                      <w:rFonts w:cs="Calibri"/>
                    </w:rPr>
                  </w:pPr>
                  <w:r>
                    <w:rPr>
                      <w:rFonts w:cs="Calibr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F04EEF">
                    <w:tc>
                      <w:tcPr>
                        <w:tcW w:w="9180" w:type="dxa"/>
                      </w:tcPr>
                      <w:p w:rsidR="00F04EEF" w:rsidRDefault="00F04EEF">
                        <w:pPr>
                          <w:rPr>
                            <w:rFonts w:cs="Calibri"/>
                          </w:rPr>
                        </w:pPr>
                      </w:p>
                      <w:p w:rsidR="00F04EEF" w:rsidRDefault="0099351E">
                        <w:pPr>
                          <w:numPr>
                            <w:ilvl w:val="0"/>
                            <w:numId w:val="262"/>
                          </w:numPr>
                          <w:tabs>
                            <w:tab w:val="left" w:pos="743"/>
                          </w:tabs>
                          <w:ind w:hanging="1818"/>
                          <w:rPr>
                            <w:rFonts w:cs="Calibri"/>
                          </w:rPr>
                        </w:pPr>
                        <w:r>
                          <w:rPr>
                            <w:rFonts w:cs="Calibri"/>
                          </w:rPr>
                          <w:t>Ordinaire</w:t>
                        </w:r>
                      </w:p>
                      <w:p w:rsidR="00F04EEF" w:rsidRDefault="0099351E">
                        <w:pPr>
                          <w:numPr>
                            <w:ilvl w:val="0"/>
                            <w:numId w:val="262"/>
                          </w:numPr>
                          <w:tabs>
                            <w:tab w:val="left" w:pos="743"/>
                          </w:tabs>
                          <w:ind w:hanging="1818"/>
                          <w:rPr>
                            <w:rFonts w:cs="Calibri"/>
                          </w:rPr>
                        </w:pPr>
                        <w:r>
                          <w:rPr>
                            <w:rFonts w:cs="Calibri"/>
                          </w:rPr>
                          <w:t>Spécialisé</w:t>
                        </w:r>
                      </w:p>
                      <w:p w:rsidR="00F04EEF" w:rsidRDefault="00F04EEF">
                        <w:pPr>
                          <w:tabs>
                            <w:tab w:val="left" w:pos="743"/>
                          </w:tabs>
                          <w:ind w:hanging="1818"/>
                          <w:rPr>
                            <w:rFonts w:cs="Calibri"/>
                          </w:rPr>
                        </w:pPr>
                      </w:p>
                      <w:p w:rsidR="00F04EEF" w:rsidRDefault="0099351E">
                        <w:pPr>
                          <w:numPr>
                            <w:ilvl w:val="0"/>
                            <w:numId w:val="262"/>
                          </w:numPr>
                          <w:tabs>
                            <w:tab w:val="left" w:pos="743"/>
                          </w:tabs>
                          <w:ind w:hanging="1818"/>
                          <w:rPr>
                            <w:rFonts w:cs="Calibri"/>
                          </w:rPr>
                        </w:pPr>
                        <w:r>
                          <w:rPr>
                            <w:rFonts w:cs="Calibri"/>
                          </w:rPr>
                          <w:t xml:space="preserve">Maternel </w:t>
                        </w:r>
                      </w:p>
                      <w:p w:rsidR="00F04EEF" w:rsidRDefault="0099351E">
                        <w:pPr>
                          <w:numPr>
                            <w:ilvl w:val="0"/>
                            <w:numId w:val="262"/>
                          </w:numPr>
                          <w:tabs>
                            <w:tab w:val="left" w:pos="743"/>
                          </w:tabs>
                          <w:ind w:hanging="1818"/>
                          <w:rPr>
                            <w:rFonts w:cs="Calibri"/>
                          </w:rPr>
                        </w:pPr>
                        <w:r>
                          <w:rPr>
                            <w:rFonts w:cs="Calibri"/>
                          </w:rPr>
                          <w:t>Primaire</w:t>
                        </w:r>
                      </w:p>
                      <w:p w:rsidR="00F04EEF" w:rsidRDefault="0099351E">
                        <w:pPr>
                          <w:numPr>
                            <w:ilvl w:val="0"/>
                            <w:numId w:val="262"/>
                          </w:numPr>
                          <w:tabs>
                            <w:tab w:val="left" w:pos="743"/>
                          </w:tabs>
                          <w:ind w:hanging="1818"/>
                          <w:rPr>
                            <w:rFonts w:cs="Calibri"/>
                          </w:rPr>
                        </w:pPr>
                        <w:r>
                          <w:rPr>
                            <w:rFonts w:cs="Calibri"/>
                          </w:rPr>
                          <w:t>Fondamental</w:t>
                        </w:r>
                      </w:p>
                      <w:p w:rsidR="00F04EEF" w:rsidRDefault="0099351E">
                        <w:pPr>
                          <w:numPr>
                            <w:ilvl w:val="0"/>
                            <w:numId w:val="262"/>
                          </w:numPr>
                          <w:tabs>
                            <w:tab w:val="left" w:pos="743"/>
                          </w:tabs>
                          <w:ind w:hanging="1818"/>
                          <w:rPr>
                            <w:rFonts w:cs="Calibri"/>
                          </w:rPr>
                        </w:pPr>
                        <w:r>
                          <w:rPr>
                            <w:rFonts w:cs="Calibri"/>
                          </w:rPr>
                          <w:t>Secondaire</w:t>
                        </w:r>
                      </w:p>
                      <w:p w:rsidR="00F04EEF" w:rsidRDefault="00F04EEF">
                        <w:pPr>
                          <w:tabs>
                            <w:tab w:val="left" w:pos="495"/>
                          </w:tabs>
                          <w:ind w:hanging="567"/>
                          <w:rPr>
                            <w:rFonts w:cs="Calibri"/>
                          </w:rPr>
                        </w:pPr>
                      </w:p>
                      <w:p w:rsidR="00F04EEF" w:rsidRDefault="0099351E">
                        <w:pPr>
                          <w:numPr>
                            <w:ilvl w:val="0"/>
                            <w:numId w:val="262"/>
                          </w:numPr>
                          <w:tabs>
                            <w:tab w:val="left" w:pos="495"/>
                          </w:tabs>
                          <w:ind w:left="459" w:hanging="459"/>
                          <w:rPr>
                            <w:rFonts w:cs="Calibri"/>
                          </w:rPr>
                        </w:pPr>
                        <w:r>
                          <w:rPr>
                            <w:rFonts w:cs="Calibri"/>
                          </w:rPr>
                          <w:t>de confession (</w:t>
                        </w:r>
                        <w:r>
                          <w:rPr>
                            <w:rFonts w:cs="Calibri"/>
                            <w:b/>
                          </w:rPr>
                          <w:t xml:space="preserve">joindre une copie de l’accord de l’autorité compétente du culte concerné, </w:t>
                        </w:r>
                        <w:r>
                          <w:rPr>
                            <w:rFonts w:cs="Calibri"/>
                          </w:rPr>
                          <w:t>conformément à l’article 4, alinéa 2, 2, de la loi du 29 mai 1959 précitée) :</w:t>
                        </w:r>
                      </w:p>
                      <w:p w:rsidR="00F04EEF" w:rsidRDefault="0099351E">
                        <w:pPr>
                          <w:numPr>
                            <w:ilvl w:val="4"/>
                            <w:numId w:val="263"/>
                          </w:numPr>
                          <w:ind w:left="1735" w:hanging="425"/>
                          <w:rPr>
                            <w:rFonts w:cs="Calibri"/>
                          </w:rPr>
                        </w:pPr>
                        <w:r>
                          <w:rPr>
                            <w:rFonts w:cs="Calibri"/>
                          </w:rPr>
                          <w:t>Catholique</w:t>
                        </w:r>
                      </w:p>
                      <w:p w:rsidR="00F04EEF" w:rsidRDefault="0099351E">
                        <w:pPr>
                          <w:numPr>
                            <w:ilvl w:val="4"/>
                            <w:numId w:val="263"/>
                          </w:numPr>
                          <w:ind w:left="1735" w:hanging="425"/>
                          <w:rPr>
                            <w:rFonts w:cs="Calibri"/>
                          </w:rPr>
                        </w:pPr>
                        <w:r>
                          <w:rPr>
                            <w:rFonts w:cs="Calibri"/>
                          </w:rPr>
                          <w:t>Protestante</w:t>
                        </w:r>
                      </w:p>
                      <w:p w:rsidR="00F04EEF" w:rsidRDefault="0099351E">
                        <w:pPr>
                          <w:numPr>
                            <w:ilvl w:val="4"/>
                            <w:numId w:val="263"/>
                          </w:numPr>
                          <w:ind w:left="1735" w:hanging="425"/>
                          <w:rPr>
                            <w:rFonts w:cs="Calibri"/>
                          </w:rPr>
                        </w:pPr>
                        <w:r>
                          <w:rPr>
                            <w:rFonts w:cs="Calibri"/>
                          </w:rPr>
                          <w:t>Islamique</w:t>
                        </w:r>
                      </w:p>
                      <w:p w:rsidR="00F04EEF" w:rsidRDefault="0099351E">
                        <w:pPr>
                          <w:numPr>
                            <w:ilvl w:val="4"/>
                            <w:numId w:val="263"/>
                          </w:numPr>
                          <w:ind w:left="1735" w:hanging="425"/>
                          <w:rPr>
                            <w:rFonts w:cs="Calibri"/>
                          </w:rPr>
                        </w:pPr>
                        <w:r>
                          <w:rPr>
                            <w:rFonts w:cs="Calibri"/>
                          </w:rPr>
                          <w:t>Israélite</w:t>
                        </w:r>
                      </w:p>
                      <w:p w:rsidR="00F04EEF" w:rsidRDefault="0099351E">
                        <w:pPr>
                          <w:numPr>
                            <w:ilvl w:val="4"/>
                            <w:numId w:val="263"/>
                          </w:numPr>
                          <w:ind w:left="1735" w:hanging="425"/>
                          <w:rPr>
                            <w:rFonts w:cs="Calibri"/>
                          </w:rPr>
                        </w:pPr>
                        <w:r>
                          <w:rPr>
                            <w:rFonts w:cs="Calibri"/>
                          </w:rPr>
                          <w:t>Orthodoxe</w:t>
                        </w:r>
                      </w:p>
                      <w:p w:rsidR="00F04EEF" w:rsidRDefault="00F04EEF">
                        <w:pPr>
                          <w:ind w:hanging="567"/>
                          <w:rPr>
                            <w:rFonts w:cs="Calibri"/>
                          </w:rPr>
                        </w:pPr>
                      </w:p>
                      <w:p w:rsidR="00F04EEF" w:rsidRDefault="0099351E">
                        <w:pPr>
                          <w:numPr>
                            <w:ilvl w:val="0"/>
                            <w:numId w:val="262"/>
                          </w:numPr>
                          <w:tabs>
                            <w:tab w:val="left" w:pos="495"/>
                          </w:tabs>
                          <w:ind w:left="459" w:hanging="459"/>
                          <w:rPr>
                            <w:rFonts w:cs="Calibri"/>
                          </w:rPr>
                        </w:pPr>
                        <w:r>
                          <w:rPr>
                            <w:rFonts w:cs="Calibri"/>
                          </w:rPr>
                          <w:t>non confessionnel</w:t>
                        </w:r>
                      </w:p>
                      <w:p w:rsidR="00F04EEF" w:rsidRDefault="00F04EEF">
                        <w:pPr>
                          <w:rPr>
                            <w:rFonts w:cs="Calibri"/>
                          </w:rPr>
                        </w:pPr>
                      </w:p>
                    </w:tc>
                  </w:tr>
                </w:tbl>
                <w:p w:rsidR="00F04EEF" w:rsidRDefault="0099351E">
                  <w:pPr>
                    <w:rPr>
                      <w:rFonts w:cs="Calibri"/>
                    </w:rPr>
                  </w:pPr>
                  <w:r>
                    <w:rPr>
                      <w:rFonts w:cs="Calibri"/>
                    </w:rPr>
                    <w:t>Adresse de l’implantation principale :</w:t>
                  </w:r>
                </w:p>
                <w:p w:rsidR="00F04EEF" w:rsidRDefault="0099351E">
                  <w:pPr>
                    <w:spacing w:line="360" w:lineRule="auto"/>
                    <w:rPr>
                      <w:rFonts w:cs="Calibri"/>
                    </w:rPr>
                  </w:pPr>
                  <w:r>
                    <w:rPr>
                      <w:rFonts w:cs="Calibri"/>
                    </w:rPr>
                    <w:t>........................................................................................................................................................ ........................................................................................................................................................</w:t>
                  </w:r>
                </w:p>
                <w:p w:rsidR="00F04EEF" w:rsidRDefault="0099351E">
                  <w:pPr>
                    <w:rPr>
                      <w:rFonts w:cs="Calibri"/>
                    </w:rPr>
                  </w:pPr>
                  <w:r>
                    <w:rPr>
                      <w:rFonts w:cs="Calibri"/>
                    </w:rPr>
                    <w:t>Le cas échéant, adresse d’une autre implantation :</w:t>
                  </w:r>
                </w:p>
                <w:p w:rsidR="00F04EEF" w:rsidRDefault="0099351E">
                  <w:pPr>
                    <w:rPr>
                      <w:rFonts w:cs="Calibri"/>
                    </w:rPr>
                  </w:pPr>
                  <w:r>
                    <w:rPr>
                      <w:rFonts w:cs="Calibri"/>
                    </w:rPr>
                    <w:t xml:space="preserve">...........................................................................................................................…………………………........................................................................................................................................................ </w:t>
                  </w:r>
                </w:p>
                <w:p w:rsidR="00F04EEF" w:rsidRDefault="0099351E">
                  <w:pPr>
                    <w:rPr>
                      <w:rFonts w:cs="Calibri"/>
                    </w:rPr>
                  </w:pPr>
                  <w:r>
                    <w:rPr>
                      <w:rFonts w:cs="Calibri"/>
                    </w:rPr>
                    <w:br w:type="page"/>
                  </w:r>
                </w:p>
                <w:p w:rsidR="00F04EEF" w:rsidRDefault="0099351E">
                  <w:pPr>
                    <w:pStyle w:val="Titre4"/>
                  </w:pPr>
                  <w:r>
                    <w:t xml:space="preserve">Annexe 2 : Demande d’admission aux subventions d’un établissement scolaire pour l’enseignement </w:t>
                  </w:r>
                  <w:r>
                    <w:rPr>
                      <w:i/>
                    </w:rPr>
                    <w:t>spécialisé</w:t>
                  </w:r>
                  <w:r>
                    <w:t>.</w:t>
                  </w:r>
                </w:p>
                <w:p w:rsidR="00F04EEF" w:rsidRDefault="00F04EEF"/>
                <w:p w:rsidR="00F04EEF" w:rsidRDefault="0099351E">
                  <w:r>
                    <w:t>ATTENTION : cochez le niveau, la forme et le type</w:t>
                  </w:r>
                  <w:r>
                    <w:rPr>
                      <w:rStyle w:val="Appelnotedebasdep"/>
                    </w:rPr>
                    <w:footnoteReference w:id="118"/>
                  </w:r>
                  <w:r>
                    <w:t> </w:t>
                  </w:r>
                </w:p>
                <w:p w:rsidR="00F04EEF" w:rsidRDefault="00F04EEF"/>
                <w:p w:rsidR="00F04EEF" w:rsidRDefault="0099351E">
                  <w:pPr>
                    <w:rPr>
                      <w:rFonts w:cs="Calibri"/>
                      <w:b/>
                    </w:rPr>
                  </w:pPr>
                  <w:r>
                    <w:rPr>
                      <w:rFonts w:cs="Calibri"/>
                      <w:b/>
                    </w:rPr>
                    <w:t xml:space="preserve">Enseignement </w:t>
                  </w:r>
                  <w:r>
                    <w:rPr>
                      <w:rFonts w:cs="Calibri"/>
                      <w:b/>
                      <w:smallCaps/>
                    </w:rPr>
                    <w:t xml:space="preserve">fondamental </w:t>
                  </w:r>
                  <w:r>
                    <w:rPr>
                      <w:rFonts w:cs="Calibri"/>
                      <w:b/>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F04EEF">
                    <w:tc>
                      <w:tcPr>
                        <w:tcW w:w="4272" w:type="dxa"/>
                        <w:gridSpan w:val="2"/>
                        <w:tcBorders>
                          <w:bottom w:val="single" w:sz="2" w:space="0" w:color="auto"/>
                        </w:tcBorders>
                      </w:tcPr>
                      <w:p w:rsidR="00F04EEF" w:rsidRDefault="0099351E">
                        <w:pPr>
                          <w:jc w:val="center"/>
                          <w:rPr>
                            <w:rFonts w:cs="Calibri"/>
                            <w:u w:val="single"/>
                          </w:rPr>
                        </w:pPr>
                        <w:r>
                          <w:rPr>
                            <w:rFonts w:cs="Calibri"/>
                            <w:u w:val="single"/>
                          </w:rPr>
                          <w:t>Maternel</w:t>
                        </w:r>
                        <w:r>
                          <w:rPr>
                            <w:rFonts w:cs="Calibri"/>
                          </w:rPr>
                          <w:t> :</w:t>
                        </w:r>
                      </w:p>
                    </w:tc>
                    <w:tc>
                      <w:tcPr>
                        <w:tcW w:w="4364" w:type="dxa"/>
                        <w:gridSpan w:val="2"/>
                        <w:tcBorders>
                          <w:bottom w:val="single" w:sz="2" w:space="0" w:color="auto"/>
                        </w:tcBorders>
                      </w:tcPr>
                      <w:p w:rsidR="00F04EEF" w:rsidRDefault="0099351E">
                        <w:pPr>
                          <w:jc w:val="center"/>
                          <w:rPr>
                            <w:rFonts w:cs="Calibri"/>
                            <w:u w:val="single"/>
                          </w:rPr>
                        </w:pPr>
                        <w:r>
                          <w:rPr>
                            <w:rFonts w:cs="Calibri"/>
                            <w:u w:val="single"/>
                          </w:rPr>
                          <w:t>Primaire</w:t>
                        </w:r>
                      </w:p>
                    </w:tc>
                  </w:tr>
                  <w:tr w:rsidR="00F04EEF">
                    <w:tc>
                      <w:tcPr>
                        <w:tcW w:w="2136" w:type="dxa"/>
                        <w:tcBorders>
                          <w:top w:val="single" w:sz="2" w:space="0" w:color="auto"/>
                          <w:left w:val="single" w:sz="2" w:space="0" w:color="auto"/>
                          <w:bottom w:val="single" w:sz="2" w:space="0" w:color="auto"/>
                          <w:right w:val="nil"/>
                        </w:tcBorders>
                      </w:tcPr>
                      <w:p w:rsidR="00F04EEF" w:rsidRDefault="0099351E">
                        <w:pPr>
                          <w:numPr>
                            <w:ilvl w:val="3"/>
                            <w:numId w:val="199"/>
                          </w:numPr>
                          <w:ind w:left="0" w:firstLine="30"/>
                          <w:rPr>
                            <w:rFonts w:cs="Calibri"/>
                          </w:rPr>
                        </w:pPr>
                        <w:r>
                          <w:rPr>
                            <w:rFonts w:cs="Calibri"/>
                          </w:rPr>
                          <w:t xml:space="preserve">Type 2 </w:t>
                        </w:r>
                      </w:p>
                      <w:p w:rsidR="00F04EEF" w:rsidRDefault="0099351E">
                        <w:pPr>
                          <w:numPr>
                            <w:ilvl w:val="3"/>
                            <w:numId w:val="199"/>
                          </w:numPr>
                          <w:ind w:left="0" w:firstLine="30"/>
                          <w:rPr>
                            <w:rFonts w:cs="Calibri"/>
                          </w:rPr>
                        </w:pPr>
                        <w:r>
                          <w:rPr>
                            <w:rFonts w:cs="Calibri"/>
                          </w:rPr>
                          <w:t>Type 3</w:t>
                        </w:r>
                      </w:p>
                      <w:p w:rsidR="00F04EEF" w:rsidRDefault="0099351E">
                        <w:pPr>
                          <w:numPr>
                            <w:ilvl w:val="3"/>
                            <w:numId w:val="199"/>
                          </w:numPr>
                          <w:ind w:left="0" w:firstLine="30"/>
                          <w:rPr>
                            <w:rFonts w:cs="Calibri"/>
                          </w:rPr>
                        </w:pPr>
                        <w:r>
                          <w:rPr>
                            <w:rFonts w:cs="Calibri"/>
                          </w:rPr>
                          <w:t>Type 4</w:t>
                        </w:r>
                      </w:p>
                      <w:p w:rsidR="00F04EEF" w:rsidRDefault="00F04EEF">
                        <w:pPr>
                          <w:rPr>
                            <w:rFonts w:cs="Calibri"/>
                          </w:rPr>
                        </w:pPr>
                      </w:p>
                    </w:tc>
                    <w:tc>
                      <w:tcPr>
                        <w:tcW w:w="2136" w:type="dxa"/>
                        <w:tcBorders>
                          <w:top w:val="single" w:sz="2" w:space="0" w:color="auto"/>
                          <w:left w:val="nil"/>
                          <w:bottom w:val="single" w:sz="2" w:space="0" w:color="auto"/>
                          <w:right w:val="single" w:sz="2" w:space="0" w:color="auto"/>
                        </w:tcBorders>
                      </w:tcPr>
                      <w:p w:rsidR="00F04EEF" w:rsidRDefault="0099351E">
                        <w:pPr>
                          <w:numPr>
                            <w:ilvl w:val="3"/>
                            <w:numId w:val="199"/>
                          </w:numPr>
                          <w:ind w:left="0" w:firstLine="30"/>
                          <w:rPr>
                            <w:rFonts w:cs="Calibri"/>
                          </w:rPr>
                        </w:pPr>
                        <w:r>
                          <w:rPr>
                            <w:rFonts w:cs="Calibri"/>
                          </w:rPr>
                          <w:t>Type 5</w:t>
                        </w:r>
                      </w:p>
                      <w:p w:rsidR="00F04EEF" w:rsidRDefault="0099351E">
                        <w:pPr>
                          <w:numPr>
                            <w:ilvl w:val="3"/>
                            <w:numId w:val="199"/>
                          </w:numPr>
                          <w:ind w:left="0" w:firstLine="30"/>
                          <w:rPr>
                            <w:rFonts w:cs="Calibri"/>
                          </w:rPr>
                        </w:pPr>
                        <w:r>
                          <w:rPr>
                            <w:rFonts w:cs="Calibri"/>
                          </w:rPr>
                          <w:t>Type 6</w:t>
                        </w:r>
                      </w:p>
                      <w:p w:rsidR="00F04EEF" w:rsidRDefault="0099351E">
                        <w:pPr>
                          <w:numPr>
                            <w:ilvl w:val="3"/>
                            <w:numId w:val="199"/>
                          </w:numPr>
                          <w:ind w:left="0" w:firstLine="30"/>
                          <w:rPr>
                            <w:rFonts w:cs="Calibri"/>
                          </w:rPr>
                        </w:pPr>
                        <w:r>
                          <w:rPr>
                            <w:rFonts w:cs="Calibri"/>
                          </w:rPr>
                          <w:t>Type 7</w:t>
                        </w:r>
                      </w:p>
                      <w:p w:rsidR="00F04EEF" w:rsidRDefault="00F04EEF">
                        <w:pPr>
                          <w:rPr>
                            <w:rFonts w:cs="Calibri"/>
                            <w:u w:val="single"/>
                          </w:rPr>
                        </w:pPr>
                      </w:p>
                    </w:tc>
                    <w:tc>
                      <w:tcPr>
                        <w:tcW w:w="2182" w:type="dxa"/>
                        <w:tcBorders>
                          <w:top w:val="single" w:sz="2" w:space="0" w:color="auto"/>
                          <w:left w:val="single" w:sz="2" w:space="0" w:color="auto"/>
                          <w:bottom w:val="single" w:sz="2" w:space="0" w:color="auto"/>
                          <w:right w:val="nil"/>
                        </w:tcBorders>
                      </w:tcPr>
                      <w:p w:rsidR="00F04EEF" w:rsidRDefault="0099351E">
                        <w:pPr>
                          <w:numPr>
                            <w:ilvl w:val="3"/>
                            <w:numId w:val="200"/>
                          </w:numPr>
                          <w:ind w:left="0" w:right="255" w:firstLine="0"/>
                          <w:rPr>
                            <w:rFonts w:cs="Calibri"/>
                          </w:rPr>
                        </w:pPr>
                        <w:r>
                          <w:rPr>
                            <w:rFonts w:cs="Calibri"/>
                          </w:rPr>
                          <w:t>Type 1</w:t>
                        </w:r>
                      </w:p>
                      <w:p w:rsidR="00F04EEF" w:rsidRDefault="0099351E">
                        <w:pPr>
                          <w:numPr>
                            <w:ilvl w:val="3"/>
                            <w:numId w:val="200"/>
                          </w:numPr>
                          <w:ind w:left="0" w:right="255" w:firstLine="0"/>
                          <w:rPr>
                            <w:rFonts w:cs="Calibri"/>
                          </w:rPr>
                        </w:pPr>
                        <w:r>
                          <w:rPr>
                            <w:rFonts w:cs="Calibri"/>
                          </w:rPr>
                          <w:t>Type 2</w:t>
                        </w:r>
                      </w:p>
                      <w:p w:rsidR="00F04EEF" w:rsidRDefault="0099351E">
                        <w:pPr>
                          <w:numPr>
                            <w:ilvl w:val="3"/>
                            <w:numId w:val="200"/>
                          </w:numPr>
                          <w:ind w:left="0" w:right="255" w:firstLine="0"/>
                          <w:rPr>
                            <w:rFonts w:cs="Calibri"/>
                          </w:rPr>
                        </w:pPr>
                        <w:r>
                          <w:rPr>
                            <w:rFonts w:cs="Calibri"/>
                          </w:rPr>
                          <w:t>Type 3</w:t>
                        </w:r>
                      </w:p>
                      <w:p w:rsidR="00F04EEF" w:rsidRDefault="0099351E">
                        <w:pPr>
                          <w:numPr>
                            <w:ilvl w:val="3"/>
                            <w:numId w:val="200"/>
                          </w:numPr>
                          <w:ind w:left="0" w:right="255" w:firstLine="0"/>
                          <w:rPr>
                            <w:rFonts w:cs="Calibri"/>
                          </w:rPr>
                        </w:pPr>
                        <w:r>
                          <w:rPr>
                            <w:rFonts w:cs="Calibri"/>
                          </w:rPr>
                          <w:t>Type 4</w:t>
                        </w:r>
                      </w:p>
                    </w:tc>
                    <w:tc>
                      <w:tcPr>
                        <w:tcW w:w="2182" w:type="dxa"/>
                        <w:tcBorders>
                          <w:top w:val="single" w:sz="2" w:space="0" w:color="auto"/>
                          <w:left w:val="nil"/>
                          <w:bottom w:val="single" w:sz="2" w:space="0" w:color="auto"/>
                          <w:right w:val="single" w:sz="2" w:space="0" w:color="auto"/>
                        </w:tcBorders>
                      </w:tcPr>
                      <w:p w:rsidR="00F04EEF" w:rsidRDefault="0099351E">
                        <w:pPr>
                          <w:numPr>
                            <w:ilvl w:val="3"/>
                            <w:numId w:val="200"/>
                          </w:numPr>
                          <w:ind w:left="0" w:right="255" w:firstLine="0"/>
                          <w:rPr>
                            <w:rFonts w:cs="Calibri"/>
                          </w:rPr>
                        </w:pPr>
                        <w:r>
                          <w:rPr>
                            <w:rFonts w:cs="Calibri"/>
                          </w:rPr>
                          <w:t>Type 5</w:t>
                        </w:r>
                      </w:p>
                      <w:p w:rsidR="00F04EEF" w:rsidRDefault="0099351E">
                        <w:pPr>
                          <w:numPr>
                            <w:ilvl w:val="3"/>
                            <w:numId w:val="200"/>
                          </w:numPr>
                          <w:ind w:left="0" w:right="255" w:firstLine="0"/>
                          <w:rPr>
                            <w:rFonts w:cs="Calibri"/>
                          </w:rPr>
                        </w:pPr>
                        <w:r>
                          <w:rPr>
                            <w:rFonts w:cs="Calibri"/>
                          </w:rPr>
                          <w:t>Type 6</w:t>
                        </w:r>
                      </w:p>
                      <w:p w:rsidR="00F04EEF" w:rsidRDefault="0099351E">
                        <w:pPr>
                          <w:numPr>
                            <w:ilvl w:val="3"/>
                            <w:numId w:val="200"/>
                          </w:numPr>
                          <w:ind w:left="0" w:right="255" w:firstLine="0"/>
                          <w:rPr>
                            <w:rFonts w:cs="Calibri"/>
                          </w:rPr>
                        </w:pPr>
                        <w:r>
                          <w:rPr>
                            <w:rFonts w:cs="Calibri"/>
                          </w:rPr>
                          <w:t>Type 7</w:t>
                        </w:r>
                      </w:p>
                      <w:p w:rsidR="00F04EEF" w:rsidRDefault="0099351E">
                        <w:pPr>
                          <w:numPr>
                            <w:ilvl w:val="3"/>
                            <w:numId w:val="200"/>
                          </w:numPr>
                          <w:ind w:left="0" w:right="255" w:firstLine="0"/>
                          <w:rPr>
                            <w:rFonts w:cs="Calibri"/>
                            <w:u w:val="single"/>
                          </w:rPr>
                        </w:pPr>
                        <w:r>
                          <w:rPr>
                            <w:rFonts w:cs="Calibri"/>
                          </w:rPr>
                          <w:t>Type 8</w:t>
                        </w:r>
                      </w:p>
                    </w:tc>
                  </w:tr>
                </w:tbl>
                <w:p w:rsidR="00F04EEF" w:rsidRDefault="00F04EEF">
                  <w:pPr>
                    <w:rPr>
                      <w:rFonts w:cs="Calibri"/>
                      <w:u w:val="single"/>
                    </w:rPr>
                  </w:pPr>
                </w:p>
                <w:p w:rsidR="00F04EEF" w:rsidRDefault="0099351E">
                  <w:pPr>
                    <w:rPr>
                      <w:rFonts w:cs="Calibri"/>
                      <w:b/>
                      <w:i/>
                    </w:rPr>
                  </w:pPr>
                  <w:r>
                    <w:rPr>
                      <w:rFonts w:cs="Calibri"/>
                      <w:b/>
                      <w:i/>
                    </w:rPr>
                    <w:t xml:space="preserve">Enseignement </w:t>
                  </w:r>
                  <w:r>
                    <w:rPr>
                      <w:rFonts w:cs="Calibri"/>
                      <w:b/>
                      <w:smallCaps/>
                    </w:rPr>
                    <w:t>secondaire</w:t>
                  </w:r>
                  <w:r>
                    <w:rPr>
                      <w:rFonts w:cs="Calibri"/>
                      <w:b/>
                      <w:i/>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F04EEF">
                    <w:tc>
                      <w:tcPr>
                        <w:tcW w:w="4319" w:type="dxa"/>
                        <w:gridSpan w:val="2"/>
                        <w:tcBorders>
                          <w:top w:val="single" w:sz="2" w:space="0" w:color="auto"/>
                          <w:left w:val="single" w:sz="2" w:space="0" w:color="auto"/>
                          <w:bottom w:val="single" w:sz="2" w:space="0" w:color="auto"/>
                          <w:right w:val="single" w:sz="2" w:space="0" w:color="auto"/>
                        </w:tcBorders>
                      </w:tcPr>
                      <w:p w:rsidR="00F04EEF" w:rsidRDefault="0099351E">
                        <w:pPr>
                          <w:numPr>
                            <w:ilvl w:val="0"/>
                            <w:numId w:val="206"/>
                          </w:numPr>
                          <w:spacing w:line="312" w:lineRule="auto"/>
                          <w:ind w:left="0"/>
                          <w:jc w:val="center"/>
                          <w:rPr>
                            <w:rFonts w:cs="Calibri"/>
                            <w:u w:val="single"/>
                          </w:rPr>
                        </w:pPr>
                        <w:r>
                          <w:rPr>
                            <w:rFonts w:cs="Calibri"/>
                            <w:u w:val="single"/>
                          </w:rPr>
                          <w:t>Forme 1</w:t>
                        </w:r>
                      </w:p>
                    </w:tc>
                    <w:tc>
                      <w:tcPr>
                        <w:tcW w:w="4317" w:type="dxa"/>
                        <w:gridSpan w:val="2"/>
                        <w:tcBorders>
                          <w:left w:val="single" w:sz="2" w:space="0" w:color="auto"/>
                          <w:bottom w:val="single" w:sz="2" w:space="0" w:color="auto"/>
                        </w:tcBorders>
                      </w:tcPr>
                      <w:p w:rsidR="00F04EEF" w:rsidRDefault="0099351E">
                        <w:pPr>
                          <w:numPr>
                            <w:ilvl w:val="0"/>
                            <w:numId w:val="206"/>
                          </w:numPr>
                          <w:spacing w:line="312" w:lineRule="auto"/>
                          <w:ind w:left="0"/>
                          <w:jc w:val="center"/>
                          <w:rPr>
                            <w:rFonts w:cs="Calibri"/>
                            <w:u w:val="single"/>
                          </w:rPr>
                        </w:pPr>
                        <w:r>
                          <w:rPr>
                            <w:rFonts w:cs="Calibri"/>
                            <w:u w:val="single"/>
                          </w:rPr>
                          <w:t>Forme 2</w:t>
                        </w:r>
                      </w:p>
                    </w:tc>
                  </w:tr>
                  <w:tr w:rsidR="00F04EEF">
                    <w:tc>
                      <w:tcPr>
                        <w:tcW w:w="2159" w:type="dxa"/>
                        <w:tcBorders>
                          <w:top w:val="single" w:sz="2" w:space="0" w:color="auto"/>
                          <w:left w:val="single" w:sz="2" w:space="0" w:color="auto"/>
                          <w:bottom w:val="single" w:sz="2" w:space="0" w:color="auto"/>
                          <w:right w:val="nil"/>
                        </w:tcBorders>
                      </w:tcPr>
                      <w:p w:rsidR="00F04EEF" w:rsidRDefault="0099351E">
                        <w:pPr>
                          <w:numPr>
                            <w:ilvl w:val="2"/>
                            <w:numId w:val="208"/>
                          </w:numPr>
                          <w:spacing w:line="312" w:lineRule="auto"/>
                          <w:ind w:left="0" w:firstLine="0"/>
                          <w:rPr>
                            <w:rFonts w:cs="Calibri"/>
                          </w:rPr>
                        </w:pPr>
                        <w:r>
                          <w:rPr>
                            <w:rFonts w:cs="Calibri"/>
                          </w:rPr>
                          <w:t>Type 2</w:t>
                        </w:r>
                      </w:p>
                      <w:p w:rsidR="00F04EEF" w:rsidRDefault="0099351E">
                        <w:pPr>
                          <w:numPr>
                            <w:ilvl w:val="2"/>
                            <w:numId w:val="208"/>
                          </w:numPr>
                          <w:spacing w:line="312" w:lineRule="auto"/>
                          <w:ind w:left="0" w:firstLine="0"/>
                          <w:rPr>
                            <w:rFonts w:cs="Calibri"/>
                          </w:rPr>
                        </w:pPr>
                        <w:r>
                          <w:rPr>
                            <w:rFonts w:cs="Calibri"/>
                          </w:rPr>
                          <w:t>Type 3</w:t>
                        </w:r>
                      </w:p>
                      <w:p w:rsidR="00F04EEF" w:rsidRDefault="0099351E">
                        <w:pPr>
                          <w:numPr>
                            <w:ilvl w:val="2"/>
                            <w:numId w:val="208"/>
                          </w:numPr>
                          <w:spacing w:line="312" w:lineRule="auto"/>
                          <w:ind w:left="0" w:firstLine="0"/>
                          <w:rPr>
                            <w:rFonts w:cs="Calibri"/>
                          </w:rPr>
                        </w:pPr>
                        <w:r>
                          <w:rPr>
                            <w:rFonts w:cs="Calibri"/>
                          </w:rPr>
                          <w:t>Type 4</w:t>
                        </w:r>
                      </w:p>
                    </w:tc>
                    <w:tc>
                      <w:tcPr>
                        <w:tcW w:w="2160" w:type="dxa"/>
                        <w:tcBorders>
                          <w:top w:val="single" w:sz="2" w:space="0" w:color="auto"/>
                          <w:left w:val="nil"/>
                          <w:bottom w:val="single" w:sz="2" w:space="0" w:color="auto"/>
                          <w:right w:val="single" w:sz="2" w:space="0" w:color="auto"/>
                        </w:tcBorders>
                      </w:tcPr>
                      <w:p w:rsidR="00F04EEF" w:rsidRDefault="0099351E">
                        <w:pPr>
                          <w:numPr>
                            <w:ilvl w:val="2"/>
                            <w:numId w:val="208"/>
                          </w:numPr>
                          <w:spacing w:line="312" w:lineRule="auto"/>
                          <w:ind w:left="0" w:firstLine="0"/>
                          <w:rPr>
                            <w:rFonts w:cs="Calibri"/>
                          </w:rPr>
                        </w:pPr>
                        <w:r>
                          <w:rPr>
                            <w:rFonts w:cs="Calibri"/>
                          </w:rPr>
                          <w:t>Type 5</w:t>
                        </w:r>
                      </w:p>
                      <w:p w:rsidR="00F04EEF" w:rsidRDefault="0099351E">
                        <w:pPr>
                          <w:numPr>
                            <w:ilvl w:val="2"/>
                            <w:numId w:val="208"/>
                          </w:numPr>
                          <w:spacing w:line="312" w:lineRule="auto"/>
                          <w:ind w:left="0" w:firstLine="0"/>
                          <w:rPr>
                            <w:rFonts w:cs="Calibri"/>
                          </w:rPr>
                        </w:pPr>
                        <w:r>
                          <w:rPr>
                            <w:rFonts w:cs="Calibri"/>
                          </w:rPr>
                          <w:t>Type 6</w:t>
                        </w:r>
                      </w:p>
                      <w:p w:rsidR="00F04EEF" w:rsidRDefault="0099351E">
                        <w:pPr>
                          <w:numPr>
                            <w:ilvl w:val="2"/>
                            <w:numId w:val="208"/>
                          </w:numPr>
                          <w:spacing w:line="312" w:lineRule="auto"/>
                          <w:ind w:left="0" w:firstLine="0"/>
                          <w:rPr>
                            <w:rFonts w:cs="Calibri"/>
                            <w:u w:val="single"/>
                          </w:rPr>
                        </w:pPr>
                        <w:r>
                          <w:rPr>
                            <w:rFonts w:cs="Calibri"/>
                          </w:rPr>
                          <w:t>Type 7</w:t>
                        </w:r>
                      </w:p>
                    </w:tc>
                    <w:tc>
                      <w:tcPr>
                        <w:tcW w:w="2158" w:type="dxa"/>
                        <w:tcBorders>
                          <w:top w:val="single" w:sz="2" w:space="0" w:color="auto"/>
                          <w:left w:val="single" w:sz="2" w:space="0" w:color="auto"/>
                          <w:bottom w:val="single" w:sz="2" w:space="0" w:color="auto"/>
                          <w:right w:val="nil"/>
                        </w:tcBorders>
                      </w:tcPr>
                      <w:p w:rsidR="00F04EEF" w:rsidRDefault="0099351E">
                        <w:pPr>
                          <w:numPr>
                            <w:ilvl w:val="2"/>
                            <w:numId w:val="207"/>
                          </w:numPr>
                          <w:spacing w:line="312" w:lineRule="auto"/>
                          <w:ind w:left="0" w:firstLine="0"/>
                          <w:rPr>
                            <w:rFonts w:cs="Calibri"/>
                          </w:rPr>
                        </w:pPr>
                        <w:r>
                          <w:rPr>
                            <w:rFonts w:cs="Calibri"/>
                          </w:rPr>
                          <w:t>Type 2</w:t>
                        </w:r>
                      </w:p>
                      <w:p w:rsidR="00F04EEF" w:rsidRDefault="0099351E">
                        <w:pPr>
                          <w:numPr>
                            <w:ilvl w:val="2"/>
                            <w:numId w:val="207"/>
                          </w:numPr>
                          <w:spacing w:line="312" w:lineRule="auto"/>
                          <w:ind w:left="0" w:firstLine="0"/>
                          <w:rPr>
                            <w:rFonts w:cs="Calibri"/>
                          </w:rPr>
                        </w:pPr>
                        <w:r>
                          <w:rPr>
                            <w:rFonts w:cs="Calibri"/>
                          </w:rPr>
                          <w:t>Type 3</w:t>
                        </w:r>
                      </w:p>
                      <w:p w:rsidR="00F04EEF" w:rsidRDefault="0099351E">
                        <w:pPr>
                          <w:numPr>
                            <w:ilvl w:val="2"/>
                            <w:numId w:val="207"/>
                          </w:numPr>
                          <w:spacing w:line="312" w:lineRule="auto"/>
                          <w:ind w:left="0" w:firstLine="0"/>
                          <w:rPr>
                            <w:rFonts w:cs="Calibri"/>
                          </w:rPr>
                        </w:pPr>
                        <w:r>
                          <w:rPr>
                            <w:rFonts w:cs="Calibri"/>
                          </w:rPr>
                          <w:t>Type 4</w:t>
                        </w:r>
                      </w:p>
                    </w:tc>
                    <w:tc>
                      <w:tcPr>
                        <w:tcW w:w="2159" w:type="dxa"/>
                        <w:tcBorders>
                          <w:top w:val="single" w:sz="2" w:space="0" w:color="auto"/>
                          <w:left w:val="nil"/>
                          <w:bottom w:val="single" w:sz="2" w:space="0" w:color="auto"/>
                          <w:right w:val="single" w:sz="2" w:space="0" w:color="auto"/>
                        </w:tcBorders>
                      </w:tcPr>
                      <w:p w:rsidR="00F04EEF" w:rsidRDefault="0099351E">
                        <w:pPr>
                          <w:numPr>
                            <w:ilvl w:val="2"/>
                            <w:numId w:val="207"/>
                          </w:numPr>
                          <w:spacing w:line="312" w:lineRule="auto"/>
                          <w:ind w:left="0" w:firstLine="0"/>
                          <w:rPr>
                            <w:rFonts w:cs="Calibri"/>
                          </w:rPr>
                        </w:pPr>
                        <w:r>
                          <w:rPr>
                            <w:rFonts w:cs="Calibri"/>
                          </w:rPr>
                          <w:t>Type 5</w:t>
                        </w:r>
                      </w:p>
                      <w:p w:rsidR="00F04EEF" w:rsidRDefault="0099351E">
                        <w:pPr>
                          <w:numPr>
                            <w:ilvl w:val="2"/>
                            <w:numId w:val="207"/>
                          </w:numPr>
                          <w:spacing w:line="312" w:lineRule="auto"/>
                          <w:ind w:left="0" w:firstLine="0"/>
                          <w:rPr>
                            <w:rFonts w:cs="Calibri"/>
                          </w:rPr>
                        </w:pPr>
                        <w:r>
                          <w:rPr>
                            <w:rFonts w:cs="Calibri"/>
                          </w:rPr>
                          <w:t>Type 6</w:t>
                        </w:r>
                      </w:p>
                      <w:p w:rsidR="00F04EEF" w:rsidRDefault="0099351E">
                        <w:pPr>
                          <w:numPr>
                            <w:ilvl w:val="2"/>
                            <w:numId w:val="207"/>
                          </w:numPr>
                          <w:spacing w:line="312" w:lineRule="auto"/>
                          <w:ind w:left="0" w:firstLine="0"/>
                          <w:rPr>
                            <w:rFonts w:cs="Calibri"/>
                            <w:u w:val="single"/>
                          </w:rPr>
                        </w:pPr>
                        <w:r>
                          <w:rPr>
                            <w:rFonts w:cs="Calibri"/>
                          </w:rPr>
                          <w:t>Type 7</w:t>
                        </w:r>
                      </w:p>
                    </w:tc>
                  </w:tr>
                  <w:tr w:rsidR="00F04EEF">
                    <w:tc>
                      <w:tcPr>
                        <w:tcW w:w="8636" w:type="dxa"/>
                        <w:gridSpan w:val="4"/>
                        <w:tcBorders>
                          <w:bottom w:val="single" w:sz="2" w:space="0" w:color="auto"/>
                        </w:tcBorders>
                      </w:tcPr>
                      <w:p w:rsidR="00F04EEF" w:rsidRDefault="0099351E">
                        <w:pPr>
                          <w:numPr>
                            <w:ilvl w:val="2"/>
                            <w:numId w:val="207"/>
                          </w:numPr>
                          <w:spacing w:line="312" w:lineRule="auto"/>
                          <w:ind w:left="0" w:hanging="708"/>
                          <w:rPr>
                            <w:rFonts w:cs="Calibri"/>
                          </w:rPr>
                        </w:pPr>
                        <w:r>
                          <w:rPr>
                            <w:rFonts w:cs="Calibri"/>
                            <w:u w:val="single"/>
                          </w:rPr>
                          <w:t>Forme 3</w:t>
                        </w:r>
                        <w:r>
                          <w:rPr>
                            <w:rFonts w:cs="Calibri"/>
                          </w:rPr>
                          <w:t xml:space="preserve"> : </w:t>
                        </w:r>
                        <w:r>
                          <w:rPr>
                            <w:rFonts w:cs="Calibri"/>
                            <w:b/>
                          </w:rPr>
                          <w:t>+ joindre en annexe libre le(s) secteur(s), groupe(s) professionnel(s) et métier(s)</w:t>
                        </w:r>
                        <w:r>
                          <w:rPr>
                            <w:rStyle w:val="Appelnotedebasdep"/>
                            <w:b/>
                          </w:rPr>
                          <w:footnoteReference w:id="119"/>
                        </w:r>
                      </w:p>
                    </w:tc>
                  </w:tr>
                  <w:tr w:rsidR="00F04EEF">
                    <w:tc>
                      <w:tcPr>
                        <w:tcW w:w="4319" w:type="dxa"/>
                        <w:gridSpan w:val="2"/>
                        <w:tcBorders>
                          <w:top w:val="single" w:sz="2" w:space="0" w:color="auto"/>
                          <w:left w:val="single" w:sz="2" w:space="0" w:color="auto"/>
                          <w:bottom w:val="single" w:sz="2" w:space="0" w:color="auto"/>
                          <w:right w:val="nil"/>
                        </w:tcBorders>
                      </w:tcPr>
                      <w:p w:rsidR="00F04EEF" w:rsidRDefault="0099351E">
                        <w:pPr>
                          <w:numPr>
                            <w:ilvl w:val="0"/>
                            <w:numId w:val="201"/>
                          </w:numPr>
                          <w:spacing w:line="312" w:lineRule="auto"/>
                          <w:ind w:left="0" w:firstLine="1022"/>
                          <w:rPr>
                            <w:rFonts w:cs="Calibri"/>
                          </w:rPr>
                        </w:pPr>
                        <w:r>
                          <w:rPr>
                            <w:rFonts w:cs="Calibri"/>
                          </w:rPr>
                          <w:t>Type 1 </w:t>
                        </w:r>
                      </w:p>
                      <w:p w:rsidR="00F04EEF" w:rsidRDefault="0099351E">
                        <w:pPr>
                          <w:numPr>
                            <w:ilvl w:val="0"/>
                            <w:numId w:val="201"/>
                          </w:numPr>
                          <w:spacing w:line="312" w:lineRule="auto"/>
                          <w:ind w:left="0" w:firstLine="1022"/>
                          <w:rPr>
                            <w:rFonts w:cs="Calibri"/>
                          </w:rPr>
                        </w:pPr>
                        <w:r>
                          <w:rPr>
                            <w:rFonts w:cs="Calibri"/>
                          </w:rPr>
                          <w:t>Type 3</w:t>
                        </w:r>
                      </w:p>
                      <w:p w:rsidR="00F04EEF" w:rsidRDefault="0099351E">
                        <w:pPr>
                          <w:numPr>
                            <w:ilvl w:val="0"/>
                            <w:numId w:val="201"/>
                          </w:numPr>
                          <w:spacing w:line="312" w:lineRule="auto"/>
                          <w:ind w:left="0" w:firstLine="1022"/>
                          <w:rPr>
                            <w:rFonts w:cs="Calibri"/>
                          </w:rPr>
                        </w:pPr>
                        <w:r>
                          <w:rPr>
                            <w:rFonts w:cs="Calibri"/>
                          </w:rPr>
                          <w:t>Type 4 </w:t>
                        </w:r>
                      </w:p>
                    </w:tc>
                    <w:tc>
                      <w:tcPr>
                        <w:tcW w:w="4317" w:type="dxa"/>
                        <w:gridSpan w:val="2"/>
                        <w:tcBorders>
                          <w:top w:val="single" w:sz="2" w:space="0" w:color="auto"/>
                          <w:left w:val="nil"/>
                          <w:bottom w:val="single" w:sz="2" w:space="0" w:color="auto"/>
                          <w:right w:val="single" w:sz="2" w:space="0" w:color="auto"/>
                        </w:tcBorders>
                      </w:tcPr>
                      <w:p w:rsidR="00F04EEF" w:rsidRDefault="0099351E">
                        <w:pPr>
                          <w:numPr>
                            <w:ilvl w:val="0"/>
                            <w:numId w:val="201"/>
                          </w:numPr>
                          <w:spacing w:line="312" w:lineRule="auto"/>
                          <w:ind w:left="0" w:firstLine="1097"/>
                          <w:rPr>
                            <w:rFonts w:cs="Calibri"/>
                          </w:rPr>
                        </w:pPr>
                        <w:r>
                          <w:rPr>
                            <w:rFonts w:cs="Calibri"/>
                          </w:rPr>
                          <w:t>Type 5 </w:t>
                        </w:r>
                      </w:p>
                      <w:p w:rsidR="00F04EEF" w:rsidRDefault="0099351E">
                        <w:pPr>
                          <w:numPr>
                            <w:ilvl w:val="0"/>
                            <w:numId w:val="201"/>
                          </w:numPr>
                          <w:spacing w:line="312" w:lineRule="auto"/>
                          <w:ind w:left="0" w:firstLine="1097"/>
                          <w:rPr>
                            <w:rFonts w:cs="Calibri"/>
                          </w:rPr>
                        </w:pPr>
                        <w:r>
                          <w:rPr>
                            <w:rFonts w:cs="Calibri"/>
                          </w:rPr>
                          <w:t>Type 6 </w:t>
                        </w:r>
                      </w:p>
                      <w:p w:rsidR="00F04EEF" w:rsidRDefault="0099351E">
                        <w:pPr>
                          <w:numPr>
                            <w:ilvl w:val="0"/>
                            <w:numId w:val="201"/>
                          </w:numPr>
                          <w:spacing w:line="312" w:lineRule="auto"/>
                          <w:ind w:left="0" w:firstLine="1097"/>
                          <w:rPr>
                            <w:rFonts w:cs="Calibri"/>
                          </w:rPr>
                        </w:pPr>
                        <w:r>
                          <w:rPr>
                            <w:rFonts w:cs="Calibri"/>
                          </w:rPr>
                          <w:t>Type 7 </w:t>
                        </w:r>
                      </w:p>
                    </w:tc>
                  </w:tr>
                </w:tbl>
                <w:p w:rsidR="00F04EEF" w:rsidRDefault="00F04EEF">
                  <w:pPr>
                    <w:rPr>
                      <w:rFonts w:cs="Calibri"/>
                      <w:u w:val="single"/>
                    </w:rPr>
                  </w:pPr>
                </w:p>
                <w:tbl>
                  <w:tblPr>
                    <w:tblStyle w:val="Grilledutableau"/>
                    <w:tblW w:w="0" w:type="auto"/>
                    <w:tblInd w:w="708" w:type="dxa"/>
                    <w:tblLook w:val="04A0" w:firstRow="1" w:lastRow="0" w:firstColumn="1" w:lastColumn="0" w:noHBand="0" w:noVBand="1"/>
                  </w:tblPr>
                  <w:tblGrid>
                    <w:gridCol w:w="4282"/>
                    <w:gridCol w:w="36"/>
                    <w:gridCol w:w="4318"/>
                  </w:tblGrid>
                  <w:tr w:rsidR="00F04EEF">
                    <w:tc>
                      <w:tcPr>
                        <w:tcW w:w="8636" w:type="dxa"/>
                        <w:gridSpan w:val="3"/>
                      </w:tcPr>
                      <w:p w:rsidR="00F04EEF" w:rsidRDefault="0099351E">
                        <w:pPr>
                          <w:spacing w:line="312" w:lineRule="auto"/>
                          <w:jc w:val="center"/>
                          <w:rPr>
                            <w:rFonts w:cs="Calibri"/>
                            <w:u w:val="single"/>
                          </w:rPr>
                        </w:pPr>
                        <w:r>
                          <w:rPr>
                            <w:rFonts w:cs="Calibri"/>
                            <w:u w:val="single"/>
                          </w:rPr>
                          <w:t>Forme 4</w:t>
                        </w:r>
                        <w:r>
                          <w:rPr>
                            <w:rStyle w:val="Appelnotedebasdep"/>
                            <w:u w:val="single"/>
                          </w:rPr>
                          <w:footnoteReference w:id="120"/>
                        </w:r>
                        <w:r>
                          <w:rPr>
                            <w:rFonts w:cs="Calibri"/>
                          </w:rPr>
                          <w:t> :</w:t>
                        </w:r>
                      </w:p>
                    </w:tc>
                  </w:tr>
                  <w:tr w:rsidR="00F04EEF">
                    <w:tc>
                      <w:tcPr>
                        <w:tcW w:w="4282" w:type="dxa"/>
                      </w:tcPr>
                      <w:p w:rsidR="00F04EEF" w:rsidRDefault="0099351E">
                        <w:pPr>
                          <w:numPr>
                            <w:ilvl w:val="0"/>
                            <w:numId w:val="202"/>
                          </w:numPr>
                          <w:spacing w:line="312" w:lineRule="auto"/>
                          <w:ind w:left="0" w:firstLine="30"/>
                          <w:rPr>
                            <w:rFonts w:cs="Calibri"/>
                            <w:u w:val="single"/>
                          </w:rPr>
                        </w:pPr>
                        <w:r>
                          <w:rPr>
                            <w:rFonts w:cs="Calibri"/>
                          </w:rPr>
                          <w:t>Type 3</w:t>
                        </w:r>
                      </w:p>
                    </w:tc>
                    <w:tc>
                      <w:tcPr>
                        <w:tcW w:w="4354" w:type="dxa"/>
                        <w:gridSpan w:val="2"/>
                      </w:tcPr>
                      <w:p w:rsidR="00F04EEF" w:rsidRDefault="0099351E">
                        <w:pPr>
                          <w:numPr>
                            <w:ilvl w:val="0"/>
                            <w:numId w:val="202"/>
                          </w:numPr>
                          <w:spacing w:line="312" w:lineRule="auto"/>
                          <w:ind w:left="0" w:firstLine="30"/>
                          <w:rPr>
                            <w:rFonts w:cs="Calibri"/>
                            <w:u w:val="single"/>
                          </w:rPr>
                        </w:pPr>
                        <w:r>
                          <w:rPr>
                            <w:rFonts w:cs="Calibri"/>
                          </w:rPr>
                          <w:t>Type 4</w:t>
                        </w:r>
                      </w:p>
                    </w:tc>
                  </w:tr>
                  <w:tr w:rsidR="00F04EEF">
                    <w:tc>
                      <w:tcPr>
                        <w:tcW w:w="4282" w:type="dxa"/>
                      </w:tcPr>
                      <w:p w:rsidR="00F04EEF" w:rsidRDefault="0099351E">
                        <w:pPr>
                          <w:numPr>
                            <w:ilvl w:val="0"/>
                            <w:numId w:val="202"/>
                          </w:numPr>
                          <w:ind w:left="544" w:hanging="414"/>
                          <w:rPr>
                            <w:rFonts w:cs="Calibri"/>
                          </w:rPr>
                        </w:pPr>
                        <w:r>
                          <w:rPr>
                            <w:rFonts w:cs="Calibri"/>
                          </w:rPr>
                          <w:t>1</w:t>
                        </w:r>
                        <w:r>
                          <w:rPr>
                            <w:rFonts w:cs="Calibri"/>
                            <w:vertAlign w:val="superscript"/>
                          </w:rPr>
                          <w:t>er</w:t>
                        </w:r>
                        <w:r>
                          <w:rPr>
                            <w:rFonts w:cs="Calibri"/>
                          </w:rPr>
                          <w:t xml:space="preserve"> degré commun</w:t>
                        </w:r>
                      </w:p>
                      <w:p w:rsidR="00F04EEF" w:rsidRDefault="0099351E">
                        <w:pPr>
                          <w:numPr>
                            <w:ilvl w:val="0"/>
                            <w:numId w:val="202"/>
                          </w:numPr>
                          <w:ind w:left="544" w:hanging="414"/>
                          <w:rPr>
                            <w:rFonts w:cs="Calibri"/>
                          </w:rPr>
                        </w:pPr>
                        <w:r>
                          <w:rPr>
                            <w:rFonts w:cs="Calibri"/>
                          </w:rPr>
                          <w:t>2</w:t>
                        </w:r>
                        <w:r>
                          <w:rPr>
                            <w:rFonts w:cs="Calibri"/>
                            <w:vertAlign w:val="superscript"/>
                          </w:rPr>
                          <w:t>ème</w:t>
                        </w:r>
                        <w:r>
                          <w:rPr>
                            <w:rFonts w:cs="Calibri"/>
                          </w:rPr>
                          <w:t xml:space="preserve"> degré</w:t>
                        </w:r>
                      </w:p>
                      <w:p w:rsidR="00F04EEF" w:rsidRDefault="0099351E">
                        <w:pPr>
                          <w:numPr>
                            <w:ilvl w:val="1"/>
                            <w:numId w:val="202"/>
                          </w:numPr>
                          <w:spacing w:line="360" w:lineRule="auto"/>
                          <w:ind w:left="1164" w:hanging="567"/>
                          <w:rPr>
                            <w:rFonts w:cs="Calibri"/>
                          </w:rPr>
                        </w:pPr>
                        <w:r>
                          <w:rPr>
                            <w:rFonts w:cs="Calibri"/>
                          </w:rPr>
                          <w:t>Général</w:t>
                        </w:r>
                      </w:p>
                      <w:p w:rsidR="00F04EEF" w:rsidRDefault="0099351E">
                        <w:pPr>
                          <w:numPr>
                            <w:ilvl w:val="1"/>
                            <w:numId w:val="202"/>
                          </w:numPr>
                          <w:spacing w:line="360" w:lineRule="auto"/>
                          <w:ind w:left="1164" w:hanging="567"/>
                          <w:rPr>
                            <w:rFonts w:cs="Calibri"/>
                          </w:rPr>
                        </w:pPr>
                        <w:r>
                          <w:rPr>
                            <w:rFonts w:cs="Calibri"/>
                          </w:rPr>
                          <w:t>Technique de Transition</w:t>
                        </w:r>
                      </w:p>
                      <w:p w:rsidR="00F04EEF" w:rsidRDefault="0099351E">
                        <w:pPr>
                          <w:numPr>
                            <w:ilvl w:val="1"/>
                            <w:numId w:val="202"/>
                          </w:numPr>
                          <w:spacing w:line="360" w:lineRule="auto"/>
                          <w:ind w:left="1164" w:hanging="567"/>
                          <w:rPr>
                            <w:rFonts w:cs="Calibri"/>
                          </w:rPr>
                        </w:pPr>
                        <w:r>
                          <w:rPr>
                            <w:rFonts w:cs="Calibri"/>
                          </w:rPr>
                          <w:t>Technique de Qualification</w:t>
                        </w:r>
                      </w:p>
                      <w:p w:rsidR="00F04EEF" w:rsidRDefault="0099351E">
                        <w:pPr>
                          <w:numPr>
                            <w:ilvl w:val="1"/>
                            <w:numId w:val="202"/>
                          </w:numPr>
                          <w:spacing w:line="360" w:lineRule="auto"/>
                          <w:ind w:left="1164" w:hanging="567"/>
                          <w:rPr>
                            <w:rFonts w:cs="Calibri"/>
                          </w:rPr>
                        </w:pPr>
                        <w:r>
                          <w:rPr>
                            <w:rFonts w:cs="Calibri"/>
                          </w:rPr>
                          <w:t>Artistique de Transition</w:t>
                        </w:r>
                      </w:p>
                      <w:p w:rsidR="00F04EEF" w:rsidRDefault="0099351E">
                        <w:pPr>
                          <w:numPr>
                            <w:ilvl w:val="1"/>
                            <w:numId w:val="202"/>
                          </w:numPr>
                          <w:spacing w:line="360" w:lineRule="auto"/>
                          <w:ind w:left="1164" w:hanging="567"/>
                          <w:rPr>
                            <w:rFonts w:cs="Calibri"/>
                          </w:rPr>
                        </w:pPr>
                        <w:r>
                          <w:rPr>
                            <w:rFonts w:cs="Calibri"/>
                          </w:rPr>
                          <w:t>Artistique de Qualification</w:t>
                        </w:r>
                      </w:p>
                      <w:p w:rsidR="00F04EEF" w:rsidRDefault="0099351E">
                        <w:pPr>
                          <w:numPr>
                            <w:ilvl w:val="1"/>
                            <w:numId w:val="202"/>
                          </w:numPr>
                          <w:spacing w:line="360" w:lineRule="auto"/>
                          <w:ind w:left="1164" w:hanging="567"/>
                          <w:rPr>
                            <w:rFonts w:cs="Calibri"/>
                          </w:rPr>
                        </w:pPr>
                        <w:r>
                          <w:rPr>
                            <w:rFonts w:cs="Calibri"/>
                          </w:rPr>
                          <w:t>Professionnel</w:t>
                        </w:r>
                      </w:p>
                      <w:p w:rsidR="00F04EEF" w:rsidRDefault="0099351E">
                        <w:pPr>
                          <w:numPr>
                            <w:ilvl w:val="0"/>
                            <w:numId w:val="202"/>
                          </w:numPr>
                          <w:spacing w:line="360" w:lineRule="auto"/>
                          <w:ind w:left="739" w:hanging="567"/>
                          <w:rPr>
                            <w:rFonts w:cs="Calibri"/>
                          </w:rPr>
                        </w:pPr>
                        <w:r>
                          <w:rPr>
                            <w:rFonts w:cs="Calibri"/>
                          </w:rPr>
                          <w:t>3</w:t>
                        </w:r>
                        <w:r>
                          <w:rPr>
                            <w:rFonts w:cs="Calibri"/>
                            <w:vertAlign w:val="superscript"/>
                          </w:rPr>
                          <w:t>ème</w:t>
                        </w:r>
                        <w:r>
                          <w:rPr>
                            <w:rFonts w:cs="Calibri"/>
                          </w:rPr>
                          <w:t xml:space="preserve"> degré</w:t>
                        </w:r>
                      </w:p>
                      <w:p w:rsidR="00F04EEF" w:rsidRDefault="0099351E">
                        <w:pPr>
                          <w:numPr>
                            <w:ilvl w:val="1"/>
                            <w:numId w:val="202"/>
                          </w:numPr>
                          <w:spacing w:line="360" w:lineRule="auto"/>
                          <w:ind w:left="1164" w:hanging="567"/>
                          <w:rPr>
                            <w:rFonts w:cs="Calibri"/>
                          </w:rPr>
                        </w:pPr>
                        <w:r>
                          <w:rPr>
                            <w:rFonts w:cs="Calibri"/>
                          </w:rPr>
                          <w:t>Général</w:t>
                        </w:r>
                      </w:p>
                      <w:p w:rsidR="00F04EEF" w:rsidRDefault="0099351E">
                        <w:pPr>
                          <w:numPr>
                            <w:ilvl w:val="1"/>
                            <w:numId w:val="202"/>
                          </w:numPr>
                          <w:spacing w:line="360" w:lineRule="auto"/>
                          <w:ind w:left="1164" w:hanging="567"/>
                          <w:rPr>
                            <w:rFonts w:cs="Calibri"/>
                          </w:rPr>
                        </w:pPr>
                        <w:r>
                          <w:rPr>
                            <w:rFonts w:cs="Calibri"/>
                          </w:rPr>
                          <w:t>Technique de Transition</w:t>
                        </w:r>
                      </w:p>
                      <w:p w:rsidR="00F04EEF" w:rsidRDefault="0099351E">
                        <w:pPr>
                          <w:numPr>
                            <w:ilvl w:val="1"/>
                            <w:numId w:val="202"/>
                          </w:numPr>
                          <w:spacing w:line="360" w:lineRule="auto"/>
                          <w:ind w:left="1164" w:hanging="567"/>
                          <w:rPr>
                            <w:rFonts w:cs="Calibri"/>
                          </w:rPr>
                        </w:pPr>
                        <w:r>
                          <w:rPr>
                            <w:rFonts w:cs="Calibri"/>
                          </w:rPr>
                          <w:t>Technique de Qualification</w:t>
                        </w:r>
                      </w:p>
                      <w:p w:rsidR="00F04EEF" w:rsidRDefault="0099351E">
                        <w:pPr>
                          <w:numPr>
                            <w:ilvl w:val="1"/>
                            <w:numId w:val="202"/>
                          </w:numPr>
                          <w:spacing w:line="360" w:lineRule="auto"/>
                          <w:ind w:left="1164" w:hanging="567"/>
                          <w:rPr>
                            <w:rFonts w:cs="Calibri"/>
                          </w:rPr>
                        </w:pPr>
                        <w:r>
                          <w:rPr>
                            <w:rFonts w:cs="Calibri"/>
                          </w:rPr>
                          <w:t>Artistique de Transition</w:t>
                        </w:r>
                      </w:p>
                      <w:p w:rsidR="00F04EEF" w:rsidRDefault="0099351E">
                        <w:pPr>
                          <w:numPr>
                            <w:ilvl w:val="1"/>
                            <w:numId w:val="202"/>
                          </w:numPr>
                          <w:spacing w:line="360" w:lineRule="auto"/>
                          <w:ind w:left="1164" w:hanging="567"/>
                          <w:rPr>
                            <w:rFonts w:cs="Calibri"/>
                          </w:rPr>
                        </w:pPr>
                        <w:r>
                          <w:rPr>
                            <w:rFonts w:cs="Calibri"/>
                          </w:rPr>
                          <w:t>Artistique de Qualification</w:t>
                        </w:r>
                      </w:p>
                      <w:p w:rsidR="00F04EEF" w:rsidRDefault="0099351E">
                        <w:pPr>
                          <w:numPr>
                            <w:ilvl w:val="1"/>
                            <w:numId w:val="202"/>
                          </w:numPr>
                          <w:spacing w:line="360" w:lineRule="auto"/>
                          <w:ind w:left="1164" w:hanging="567"/>
                          <w:rPr>
                            <w:rFonts w:cs="Calibri"/>
                            <w:u w:val="single"/>
                          </w:rPr>
                        </w:pPr>
                        <w:r>
                          <w:rPr>
                            <w:rFonts w:cs="Calibri"/>
                          </w:rPr>
                          <w:t>Professionnel</w:t>
                        </w:r>
                      </w:p>
                    </w:tc>
                    <w:tc>
                      <w:tcPr>
                        <w:tcW w:w="4354" w:type="dxa"/>
                        <w:gridSpan w:val="2"/>
                      </w:tcPr>
                      <w:p w:rsidR="00F04EEF" w:rsidRDefault="0099351E">
                        <w:pPr>
                          <w:numPr>
                            <w:ilvl w:val="0"/>
                            <w:numId w:val="202"/>
                          </w:numPr>
                          <w:ind w:left="544" w:hanging="414"/>
                          <w:rPr>
                            <w:rFonts w:cs="Calibri"/>
                          </w:rPr>
                        </w:pPr>
                        <w:r>
                          <w:rPr>
                            <w:rFonts w:cs="Calibri"/>
                          </w:rPr>
                          <w:t>1</w:t>
                        </w:r>
                        <w:r>
                          <w:rPr>
                            <w:rFonts w:cs="Calibri"/>
                            <w:vertAlign w:val="superscript"/>
                          </w:rPr>
                          <w:t>er</w:t>
                        </w:r>
                        <w:r>
                          <w:rPr>
                            <w:rFonts w:cs="Calibri"/>
                          </w:rPr>
                          <w:t xml:space="preserve"> degré commun</w:t>
                        </w:r>
                      </w:p>
                      <w:p w:rsidR="00F04EEF" w:rsidRDefault="0099351E">
                        <w:pPr>
                          <w:numPr>
                            <w:ilvl w:val="0"/>
                            <w:numId w:val="202"/>
                          </w:numPr>
                          <w:ind w:left="544" w:hanging="414"/>
                          <w:rPr>
                            <w:rFonts w:cs="Calibri"/>
                          </w:rPr>
                        </w:pPr>
                        <w:r>
                          <w:rPr>
                            <w:rFonts w:cs="Calibri"/>
                          </w:rPr>
                          <w:t>2</w:t>
                        </w:r>
                        <w:r>
                          <w:rPr>
                            <w:rFonts w:cs="Calibri"/>
                            <w:vertAlign w:val="superscript"/>
                          </w:rPr>
                          <w:t>ème</w:t>
                        </w:r>
                        <w:r>
                          <w:rPr>
                            <w:rFonts w:cs="Calibri"/>
                          </w:rPr>
                          <w:t xml:space="preserve"> degré</w:t>
                        </w:r>
                      </w:p>
                      <w:p w:rsidR="00F04EEF" w:rsidRDefault="0099351E">
                        <w:pPr>
                          <w:numPr>
                            <w:ilvl w:val="1"/>
                            <w:numId w:val="202"/>
                          </w:numPr>
                          <w:spacing w:line="360" w:lineRule="auto"/>
                          <w:ind w:left="842" w:hanging="416"/>
                          <w:rPr>
                            <w:rFonts w:cs="Calibri"/>
                          </w:rPr>
                        </w:pPr>
                        <w:r>
                          <w:rPr>
                            <w:rFonts w:cs="Calibri"/>
                          </w:rPr>
                          <w:t>Général</w:t>
                        </w:r>
                      </w:p>
                      <w:p w:rsidR="00F04EEF" w:rsidRDefault="0099351E">
                        <w:pPr>
                          <w:numPr>
                            <w:ilvl w:val="1"/>
                            <w:numId w:val="202"/>
                          </w:numPr>
                          <w:spacing w:line="360" w:lineRule="auto"/>
                          <w:ind w:left="842" w:hanging="416"/>
                          <w:rPr>
                            <w:rFonts w:cs="Calibri"/>
                          </w:rPr>
                        </w:pPr>
                        <w:r>
                          <w:rPr>
                            <w:rFonts w:cs="Calibri"/>
                          </w:rPr>
                          <w:t>Technique de Transition</w:t>
                        </w:r>
                      </w:p>
                      <w:p w:rsidR="00F04EEF" w:rsidRDefault="0099351E">
                        <w:pPr>
                          <w:numPr>
                            <w:ilvl w:val="1"/>
                            <w:numId w:val="202"/>
                          </w:numPr>
                          <w:spacing w:line="360" w:lineRule="auto"/>
                          <w:ind w:left="842" w:hanging="416"/>
                          <w:rPr>
                            <w:rFonts w:cs="Calibri"/>
                          </w:rPr>
                        </w:pPr>
                        <w:r>
                          <w:rPr>
                            <w:rFonts w:cs="Calibri"/>
                          </w:rPr>
                          <w:t>Technique de Qualification</w:t>
                        </w:r>
                      </w:p>
                      <w:p w:rsidR="00F04EEF" w:rsidRDefault="0099351E">
                        <w:pPr>
                          <w:numPr>
                            <w:ilvl w:val="1"/>
                            <w:numId w:val="202"/>
                          </w:numPr>
                          <w:spacing w:line="360" w:lineRule="auto"/>
                          <w:ind w:left="842" w:hanging="416"/>
                          <w:rPr>
                            <w:rFonts w:cs="Calibri"/>
                          </w:rPr>
                        </w:pPr>
                        <w:r>
                          <w:rPr>
                            <w:rFonts w:cs="Calibri"/>
                          </w:rPr>
                          <w:t>Artistique de Transition</w:t>
                        </w:r>
                      </w:p>
                      <w:p w:rsidR="00F04EEF" w:rsidRDefault="0099351E">
                        <w:pPr>
                          <w:numPr>
                            <w:ilvl w:val="1"/>
                            <w:numId w:val="202"/>
                          </w:numPr>
                          <w:spacing w:line="360" w:lineRule="auto"/>
                          <w:ind w:left="842" w:hanging="416"/>
                          <w:rPr>
                            <w:rFonts w:cs="Calibri"/>
                          </w:rPr>
                        </w:pPr>
                        <w:r>
                          <w:rPr>
                            <w:rFonts w:cs="Calibri"/>
                          </w:rPr>
                          <w:t>Artistique de Qualification</w:t>
                        </w:r>
                      </w:p>
                      <w:p w:rsidR="00F04EEF" w:rsidRDefault="0099351E">
                        <w:pPr>
                          <w:numPr>
                            <w:ilvl w:val="1"/>
                            <w:numId w:val="202"/>
                          </w:numPr>
                          <w:spacing w:line="360" w:lineRule="auto"/>
                          <w:ind w:left="842" w:hanging="416"/>
                          <w:rPr>
                            <w:rFonts w:cs="Calibri"/>
                          </w:rPr>
                        </w:pPr>
                        <w:r>
                          <w:rPr>
                            <w:rFonts w:cs="Calibri"/>
                          </w:rPr>
                          <w:t>Professionnel</w:t>
                        </w:r>
                      </w:p>
                      <w:p w:rsidR="00F04EEF" w:rsidRDefault="0099351E">
                        <w:pPr>
                          <w:numPr>
                            <w:ilvl w:val="0"/>
                            <w:numId w:val="202"/>
                          </w:numPr>
                          <w:spacing w:line="360" w:lineRule="auto"/>
                          <w:ind w:left="706"/>
                          <w:rPr>
                            <w:rFonts w:cs="Calibri"/>
                          </w:rPr>
                        </w:pPr>
                        <w:r>
                          <w:rPr>
                            <w:rFonts w:cs="Calibri"/>
                          </w:rPr>
                          <w:t>3</w:t>
                        </w:r>
                        <w:r>
                          <w:rPr>
                            <w:rFonts w:cs="Calibri"/>
                            <w:vertAlign w:val="superscript"/>
                          </w:rPr>
                          <w:t>ème</w:t>
                        </w:r>
                        <w:r>
                          <w:rPr>
                            <w:rFonts w:cs="Calibri"/>
                          </w:rPr>
                          <w:t xml:space="preserve"> degré</w:t>
                        </w:r>
                      </w:p>
                      <w:p w:rsidR="00F04EEF" w:rsidRDefault="0099351E">
                        <w:pPr>
                          <w:numPr>
                            <w:ilvl w:val="1"/>
                            <w:numId w:val="202"/>
                          </w:numPr>
                          <w:spacing w:line="360" w:lineRule="auto"/>
                          <w:ind w:left="848" w:hanging="425"/>
                          <w:rPr>
                            <w:rFonts w:cs="Calibri"/>
                          </w:rPr>
                        </w:pPr>
                        <w:r>
                          <w:rPr>
                            <w:rFonts w:cs="Calibri"/>
                          </w:rPr>
                          <w:t>Général</w:t>
                        </w:r>
                      </w:p>
                      <w:p w:rsidR="00F04EEF" w:rsidRDefault="0099351E">
                        <w:pPr>
                          <w:numPr>
                            <w:ilvl w:val="1"/>
                            <w:numId w:val="202"/>
                          </w:numPr>
                          <w:spacing w:line="360" w:lineRule="auto"/>
                          <w:ind w:left="848" w:hanging="425"/>
                          <w:rPr>
                            <w:rFonts w:cs="Calibri"/>
                          </w:rPr>
                        </w:pPr>
                        <w:r>
                          <w:rPr>
                            <w:rFonts w:cs="Calibri"/>
                          </w:rPr>
                          <w:t>Technique de Transition</w:t>
                        </w:r>
                      </w:p>
                      <w:p w:rsidR="00F04EEF" w:rsidRDefault="0099351E">
                        <w:pPr>
                          <w:numPr>
                            <w:ilvl w:val="1"/>
                            <w:numId w:val="202"/>
                          </w:numPr>
                          <w:spacing w:line="360" w:lineRule="auto"/>
                          <w:ind w:left="848" w:hanging="425"/>
                          <w:rPr>
                            <w:rFonts w:cs="Calibri"/>
                          </w:rPr>
                        </w:pPr>
                        <w:r>
                          <w:rPr>
                            <w:rFonts w:cs="Calibri"/>
                          </w:rPr>
                          <w:t>Technique de Qualification</w:t>
                        </w:r>
                      </w:p>
                      <w:p w:rsidR="00F04EEF" w:rsidRDefault="0099351E">
                        <w:pPr>
                          <w:numPr>
                            <w:ilvl w:val="1"/>
                            <w:numId w:val="202"/>
                          </w:numPr>
                          <w:spacing w:line="360" w:lineRule="auto"/>
                          <w:ind w:left="848" w:hanging="425"/>
                          <w:rPr>
                            <w:rFonts w:cs="Calibri"/>
                          </w:rPr>
                        </w:pPr>
                        <w:r>
                          <w:rPr>
                            <w:rFonts w:cs="Calibri"/>
                          </w:rPr>
                          <w:t>Artistique de Transition</w:t>
                        </w:r>
                      </w:p>
                      <w:p w:rsidR="00F04EEF" w:rsidRDefault="0099351E">
                        <w:pPr>
                          <w:numPr>
                            <w:ilvl w:val="1"/>
                            <w:numId w:val="202"/>
                          </w:numPr>
                          <w:spacing w:line="360" w:lineRule="auto"/>
                          <w:ind w:left="848" w:hanging="425"/>
                          <w:rPr>
                            <w:rFonts w:cs="Calibri"/>
                          </w:rPr>
                        </w:pPr>
                        <w:r>
                          <w:rPr>
                            <w:rFonts w:cs="Calibri"/>
                          </w:rPr>
                          <w:t>Artistique de Qualification</w:t>
                        </w:r>
                      </w:p>
                      <w:p w:rsidR="00F04EEF" w:rsidRDefault="0099351E">
                        <w:pPr>
                          <w:numPr>
                            <w:ilvl w:val="1"/>
                            <w:numId w:val="202"/>
                          </w:numPr>
                          <w:spacing w:line="360" w:lineRule="auto"/>
                          <w:ind w:left="848" w:hanging="425"/>
                          <w:rPr>
                            <w:rFonts w:cs="Calibri"/>
                            <w:u w:val="single"/>
                          </w:rPr>
                        </w:pPr>
                        <w:r>
                          <w:rPr>
                            <w:rFonts w:cs="Calibri"/>
                          </w:rPr>
                          <w:t>Professionnel</w:t>
                        </w:r>
                      </w:p>
                    </w:tc>
                  </w:tr>
                  <w:tr w:rsidR="00F04EEF">
                    <w:tc>
                      <w:tcPr>
                        <w:tcW w:w="4282" w:type="dxa"/>
                      </w:tcPr>
                      <w:p w:rsidR="00F04EEF" w:rsidRDefault="0099351E">
                        <w:pPr>
                          <w:numPr>
                            <w:ilvl w:val="0"/>
                            <w:numId w:val="202"/>
                          </w:numPr>
                          <w:spacing w:line="312" w:lineRule="auto"/>
                          <w:ind w:left="0" w:firstLine="30"/>
                          <w:rPr>
                            <w:rFonts w:cs="Calibri"/>
                          </w:rPr>
                        </w:pPr>
                        <w:r>
                          <w:rPr>
                            <w:rFonts w:cs="Calibri"/>
                          </w:rPr>
                          <w:t>Type 5</w:t>
                        </w:r>
                      </w:p>
                    </w:tc>
                    <w:tc>
                      <w:tcPr>
                        <w:tcW w:w="4354" w:type="dxa"/>
                        <w:gridSpan w:val="2"/>
                      </w:tcPr>
                      <w:p w:rsidR="00F04EEF" w:rsidRDefault="0099351E">
                        <w:pPr>
                          <w:numPr>
                            <w:ilvl w:val="0"/>
                            <w:numId w:val="202"/>
                          </w:numPr>
                          <w:spacing w:line="312" w:lineRule="auto"/>
                          <w:ind w:left="0" w:firstLine="30"/>
                          <w:rPr>
                            <w:rFonts w:cs="Calibri"/>
                          </w:rPr>
                        </w:pPr>
                        <w:r>
                          <w:rPr>
                            <w:rFonts w:cs="Calibri"/>
                          </w:rPr>
                          <w:t>Type 6</w:t>
                        </w:r>
                      </w:p>
                    </w:tc>
                  </w:tr>
                  <w:tr w:rsidR="00F04EEF">
                    <w:tc>
                      <w:tcPr>
                        <w:tcW w:w="4282" w:type="dxa"/>
                      </w:tcPr>
                      <w:p w:rsidR="00F04EEF" w:rsidRDefault="0099351E">
                        <w:pPr>
                          <w:numPr>
                            <w:ilvl w:val="0"/>
                            <w:numId w:val="202"/>
                          </w:numPr>
                          <w:spacing w:line="360" w:lineRule="auto"/>
                          <w:ind w:left="739"/>
                          <w:rPr>
                            <w:rFonts w:cs="Calibri"/>
                          </w:rPr>
                        </w:pPr>
                        <w:r>
                          <w:rPr>
                            <w:rFonts w:cs="Calibri"/>
                          </w:rPr>
                          <w:t>1</w:t>
                        </w:r>
                        <w:r>
                          <w:rPr>
                            <w:rFonts w:cs="Calibri"/>
                            <w:vertAlign w:val="superscript"/>
                          </w:rPr>
                          <w:t>er</w:t>
                        </w:r>
                        <w:r>
                          <w:rPr>
                            <w:rFonts w:cs="Calibri"/>
                          </w:rPr>
                          <w:t xml:space="preserve"> degré commun</w:t>
                        </w:r>
                      </w:p>
                      <w:p w:rsidR="00F04EEF" w:rsidRDefault="0099351E">
                        <w:pPr>
                          <w:numPr>
                            <w:ilvl w:val="0"/>
                            <w:numId w:val="202"/>
                          </w:numPr>
                          <w:spacing w:line="360" w:lineRule="auto"/>
                          <w:ind w:left="739"/>
                          <w:rPr>
                            <w:rFonts w:cs="Calibri"/>
                          </w:rPr>
                        </w:pPr>
                        <w:r>
                          <w:rPr>
                            <w:rFonts w:cs="Calibri"/>
                          </w:rPr>
                          <w:t>2</w:t>
                        </w:r>
                        <w:r>
                          <w:rPr>
                            <w:rFonts w:cs="Calibri"/>
                            <w:vertAlign w:val="superscript"/>
                          </w:rPr>
                          <w:t>ème</w:t>
                        </w:r>
                        <w:r>
                          <w:rPr>
                            <w:rFonts w:cs="Calibri"/>
                          </w:rPr>
                          <w:t xml:space="preserve"> degré</w:t>
                        </w:r>
                      </w:p>
                      <w:p w:rsidR="00F04EEF" w:rsidRDefault="0099351E">
                        <w:pPr>
                          <w:numPr>
                            <w:ilvl w:val="1"/>
                            <w:numId w:val="202"/>
                          </w:numPr>
                          <w:spacing w:line="360" w:lineRule="auto"/>
                          <w:ind w:left="880" w:hanging="283"/>
                          <w:rPr>
                            <w:rFonts w:cs="Calibri"/>
                          </w:rPr>
                        </w:pPr>
                        <w:r>
                          <w:rPr>
                            <w:rFonts w:cs="Calibri"/>
                          </w:rPr>
                          <w:t>Général</w:t>
                        </w:r>
                      </w:p>
                      <w:p w:rsidR="00F04EEF" w:rsidRDefault="0099351E">
                        <w:pPr>
                          <w:numPr>
                            <w:ilvl w:val="1"/>
                            <w:numId w:val="202"/>
                          </w:numPr>
                          <w:spacing w:line="360" w:lineRule="auto"/>
                          <w:ind w:left="880" w:hanging="283"/>
                          <w:rPr>
                            <w:rFonts w:cs="Calibri"/>
                          </w:rPr>
                        </w:pPr>
                        <w:r>
                          <w:rPr>
                            <w:rFonts w:cs="Calibri"/>
                          </w:rPr>
                          <w:t>Technique de Transition</w:t>
                        </w:r>
                      </w:p>
                      <w:p w:rsidR="00F04EEF" w:rsidRDefault="0099351E">
                        <w:pPr>
                          <w:numPr>
                            <w:ilvl w:val="1"/>
                            <w:numId w:val="202"/>
                          </w:numPr>
                          <w:spacing w:line="360" w:lineRule="auto"/>
                          <w:ind w:left="880" w:hanging="283"/>
                          <w:rPr>
                            <w:rFonts w:cs="Calibri"/>
                          </w:rPr>
                        </w:pPr>
                        <w:r>
                          <w:rPr>
                            <w:rFonts w:cs="Calibri"/>
                          </w:rPr>
                          <w:t>Technique de Qualification</w:t>
                        </w:r>
                      </w:p>
                      <w:p w:rsidR="00F04EEF" w:rsidRDefault="0099351E">
                        <w:pPr>
                          <w:numPr>
                            <w:ilvl w:val="1"/>
                            <w:numId w:val="202"/>
                          </w:numPr>
                          <w:spacing w:line="360" w:lineRule="auto"/>
                          <w:ind w:left="880" w:hanging="283"/>
                          <w:rPr>
                            <w:rFonts w:cs="Calibri"/>
                          </w:rPr>
                        </w:pPr>
                        <w:r>
                          <w:rPr>
                            <w:rFonts w:cs="Calibri"/>
                          </w:rPr>
                          <w:t>Artistique de Transition</w:t>
                        </w:r>
                      </w:p>
                      <w:p w:rsidR="00F04EEF" w:rsidRDefault="0099351E">
                        <w:pPr>
                          <w:numPr>
                            <w:ilvl w:val="1"/>
                            <w:numId w:val="202"/>
                          </w:numPr>
                          <w:spacing w:line="360" w:lineRule="auto"/>
                          <w:ind w:left="880" w:hanging="283"/>
                          <w:rPr>
                            <w:rFonts w:cs="Calibri"/>
                          </w:rPr>
                        </w:pPr>
                        <w:r>
                          <w:rPr>
                            <w:rFonts w:cs="Calibri"/>
                          </w:rPr>
                          <w:t>Artistique de Qualification</w:t>
                        </w:r>
                      </w:p>
                      <w:p w:rsidR="00F04EEF" w:rsidRDefault="0099351E">
                        <w:pPr>
                          <w:numPr>
                            <w:ilvl w:val="1"/>
                            <w:numId w:val="202"/>
                          </w:numPr>
                          <w:spacing w:line="360" w:lineRule="auto"/>
                          <w:ind w:left="880" w:hanging="283"/>
                          <w:rPr>
                            <w:rFonts w:cs="Calibri"/>
                          </w:rPr>
                        </w:pPr>
                        <w:r>
                          <w:rPr>
                            <w:rFonts w:cs="Calibri"/>
                          </w:rPr>
                          <w:t>Professionnel</w:t>
                        </w:r>
                      </w:p>
                      <w:p w:rsidR="00F04EEF" w:rsidRDefault="0099351E">
                        <w:pPr>
                          <w:numPr>
                            <w:ilvl w:val="0"/>
                            <w:numId w:val="202"/>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rsidR="00F04EEF" w:rsidRDefault="0099351E">
                        <w:pPr>
                          <w:numPr>
                            <w:ilvl w:val="1"/>
                            <w:numId w:val="202"/>
                          </w:numPr>
                          <w:spacing w:line="360" w:lineRule="auto"/>
                          <w:ind w:left="880" w:hanging="283"/>
                          <w:rPr>
                            <w:rFonts w:cs="Calibri"/>
                          </w:rPr>
                        </w:pPr>
                        <w:r>
                          <w:rPr>
                            <w:rFonts w:cs="Calibri"/>
                          </w:rPr>
                          <w:t>Général</w:t>
                        </w:r>
                      </w:p>
                      <w:p w:rsidR="00F04EEF" w:rsidRDefault="0099351E">
                        <w:pPr>
                          <w:numPr>
                            <w:ilvl w:val="1"/>
                            <w:numId w:val="202"/>
                          </w:numPr>
                          <w:spacing w:line="360" w:lineRule="auto"/>
                          <w:ind w:left="880" w:hanging="283"/>
                          <w:rPr>
                            <w:rFonts w:cs="Calibri"/>
                          </w:rPr>
                        </w:pPr>
                        <w:r>
                          <w:rPr>
                            <w:rFonts w:cs="Calibri"/>
                          </w:rPr>
                          <w:t>Technique de Transition</w:t>
                        </w:r>
                      </w:p>
                      <w:p w:rsidR="00F04EEF" w:rsidRDefault="0099351E">
                        <w:pPr>
                          <w:numPr>
                            <w:ilvl w:val="1"/>
                            <w:numId w:val="202"/>
                          </w:numPr>
                          <w:spacing w:line="360" w:lineRule="auto"/>
                          <w:ind w:left="880" w:hanging="283"/>
                          <w:rPr>
                            <w:rFonts w:cs="Calibri"/>
                          </w:rPr>
                        </w:pPr>
                        <w:r>
                          <w:rPr>
                            <w:rFonts w:cs="Calibri"/>
                          </w:rPr>
                          <w:t>Technique de Qualification</w:t>
                        </w:r>
                      </w:p>
                      <w:p w:rsidR="00F04EEF" w:rsidRDefault="0099351E">
                        <w:pPr>
                          <w:numPr>
                            <w:ilvl w:val="1"/>
                            <w:numId w:val="202"/>
                          </w:numPr>
                          <w:spacing w:line="360" w:lineRule="auto"/>
                          <w:ind w:left="880" w:hanging="283"/>
                          <w:rPr>
                            <w:rFonts w:cs="Calibri"/>
                          </w:rPr>
                        </w:pPr>
                        <w:r>
                          <w:rPr>
                            <w:rFonts w:cs="Calibri"/>
                          </w:rPr>
                          <w:t>Artistique de Transition</w:t>
                        </w:r>
                      </w:p>
                      <w:p w:rsidR="00F04EEF" w:rsidRDefault="0099351E">
                        <w:pPr>
                          <w:numPr>
                            <w:ilvl w:val="1"/>
                            <w:numId w:val="202"/>
                          </w:numPr>
                          <w:spacing w:line="360" w:lineRule="auto"/>
                          <w:ind w:left="880" w:hanging="283"/>
                          <w:rPr>
                            <w:rFonts w:cs="Calibri"/>
                          </w:rPr>
                        </w:pPr>
                        <w:r>
                          <w:rPr>
                            <w:rFonts w:cs="Calibri"/>
                          </w:rPr>
                          <w:t>Artistique de Qualification</w:t>
                        </w:r>
                      </w:p>
                      <w:p w:rsidR="00F04EEF" w:rsidRDefault="0099351E">
                        <w:pPr>
                          <w:numPr>
                            <w:ilvl w:val="1"/>
                            <w:numId w:val="202"/>
                          </w:numPr>
                          <w:spacing w:line="360" w:lineRule="auto"/>
                          <w:ind w:left="880" w:hanging="283"/>
                          <w:rPr>
                            <w:rFonts w:cs="Calibri"/>
                          </w:rPr>
                        </w:pPr>
                        <w:r>
                          <w:rPr>
                            <w:rFonts w:cs="Calibri"/>
                          </w:rPr>
                          <w:t>Professionnel</w:t>
                        </w:r>
                      </w:p>
                    </w:tc>
                    <w:tc>
                      <w:tcPr>
                        <w:tcW w:w="4354" w:type="dxa"/>
                        <w:gridSpan w:val="2"/>
                      </w:tcPr>
                      <w:p w:rsidR="00F04EEF" w:rsidRDefault="0099351E">
                        <w:pPr>
                          <w:numPr>
                            <w:ilvl w:val="0"/>
                            <w:numId w:val="202"/>
                          </w:numPr>
                          <w:spacing w:line="360" w:lineRule="auto"/>
                          <w:ind w:left="139" w:firstLine="0"/>
                          <w:rPr>
                            <w:rFonts w:cs="Calibri"/>
                          </w:rPr>
                        </w:pPr>
                        <w:r>
                          <w:rPr>
                            <w:rFonts w:cs="Calibri"/>
                          </w:rPr>
                          <w:t>1</w:t>
                        </w:r>
                        <w:r>
                          <w:rPr>
                            <w:rFonts w:cs="Calibri"/>
                            <w:vertAlign w:val="superscript"/>
                          </w:rPr>
                          <w:t>er</w:t>
                        </w:r>
                        <w:r>
                          <w:rPr>
                            <w:rFonts w:cs="Calibri"/>
                          </w:rPr>
                          <w:t xml:space="preserve"> degré commun</w:t>
                        </w:r>
                      </w:p>
                      <w:p w:rsidR="00F04EEF" w:rsidRDefault="0099351E">
                        <w:pPr>
                          <w:numPr>
                            <w:ilvl w:val="0"/>
                            <w:numId w:val="202"/>
                          </w:numPr>
                          <w:spacing w:line="360" w:lineRule="auto"/>
                          <w:ind w:left="139" w:firstLine="0"/>
                          <w:rPr>
                            <w:rFonts w:cs="Calibri"/>
                          </w:rPr>
                        </w:pPr>
                        <w:r>
                          <w:rPr>
                            <w:rFonts w:cs="Calibri"/>
                          </w:rPr>
                          <w:t>2</w:t>
                        </w:r>
                        <w:r>
                          <w:rPr>
                            <w:rFonts w:cs="Calibri"/>
                            <w:vertAlign w:val="superscript"/>
                          </w:rPr>
                          <w:t>ème</w:t>
                        </w:r>
                        <w:r>
                          <w:rPr>
                            <w:rFonts w:cs="Calibri"/>
                          </w:rPr>
                          <w:t xml:space="preserve"> degré</w:t>
                        </w:r>
                      </w:p>
                      <w:p w:rsidR="00F04EEF" w:rsidRDefault="0099351E">
                        <w:pPr>
                          <w:numPr>
                            <w:ilvl w:val="1"/>
                            <w:numId w:val="202"/>
                          </w:numPr>
                          <w:spacing w:line="360" w:lineRule="auto"/>
                          <w:ind w:left="990"/>
                          <w:rPr>
                            <w:rFonts w:cs="Calibri"/>
                          </w:rPr>
                        </w:pPr>
                        <w:r>
                          <w:rPr>
                            <w:rFonts w:cs="Calibri"/>
                          </w:rPr>
                          <w:t>Général</w:t>
                        </w:r>
                      </w:p>
                      <w:p w:rsidR="00F04EEF" w:rsidRDefault="0099351E">
                        <w:pPr>
                          <w:numPr>
                            <w:ilvl w:val="1"/>
                            <w:numId w:val="202"/>
                          </w:numPr>
                          <w:spacing w:line="360" w:lineRule="auto"/>
                          <w:ind w:left="990"/>
                          <w:rPr>
                            <w:rFonts w:cs="Calibri"/>
                          </w:rPr>
                        </w:pPr>
                        <w:r>
                          <w:rPr>
                            <w:rFonts w:cs="Calibri"/>
                          </w:rPr>
                          <w:t>Technique de Transition</w:t>
                        </w:r>
                      </w:p>
                      <w:p w:rsidR="00F04EEF" w:rsidRDefault="0099351E">
                        <w:pPr>
                          <w:numPr>
                            <w:ilvl w:val="1"/>
                            <w:numId w:val="202"/>
                          </w:numPr>
                          <w:spacing w:line="360" w:lineRule="auto"/>
                          <w:ind w:left="990"/>
                          <w:rPr>
                            <w:rFonts w:cs="Calibri"/>
                          </w:rPr>
                        </w:pPr>
                        <w:r>
                          <w:rPr>
                            <w:rFonts w:cs="Calibri"/>
                          </w:rPr>
                          <w:t>Technique de Qualification</w:t>
                        </w:r>
                      </w:p>
                      <w:p w:rsidR="00F04EEF" w:rsidRDefault="0099351E">
                        <w:pPr>
                          <w:numPr>
                            <w:ilvl w:val="1"/>
                            <w:numId w:val="202"/>
                          </w:numPr>
                          <w:spacing w:line="360" w:lineRule="auto"/>
                          <w:ind w:left="990"/>
                          <w:rPr>
                            <w:rFonts w:cs="Calibri"/>
                          </w:rPr>
                        </w:pPr>
                        <w:r>
                          <w:rPr>
                            <w:rFonts w:cs="Calibri"/>
                          </w:rPr>
                          <w:t>Artistique de Transition</w:t>
                        </w:r>
                      </w:p>
                      <w:p w:rsidR="00F04EEF" w:rsidRDefault="0099351E">
                        <w:pPr>
                          <w:numPr>
                            <w:ilvl w:val="1"/>
                            <w:numId w:val="202"/>
                          </w:numPr>
                          <w:spacing w:line="360" w:lineRule="auto"/>
                          <w:ind w:left="990"/>
                          <w:rPr>
                            <w:rFonts w:cs="Calibri"/>
                          </w:rPr>
                        </w:pPr>
                        <w:r>
                          <w:rPr>
                            <w:rFonts w:cs="Calibri"/>
                          </w:rPr>
                          <w:t>Artistique de Qualification</w:t>
                        </w:r>
                      </w:p>
                      <w:p w:rsidR="00F04EEF" w:rsidRDefault="0099351E">
                        <w:pPr>
                          <w:numPr>
                            <w:ilvl w:val="1"/>
                            <w:numId w:val="202"/>
                          </w:numPr>
                          <w:spacing w:line="360" w:lineRule="auto"/>
                          <w:ind w:left="990"/>
                          <w:rPr>
                            <w:rFonts w:cs="Calibri"/>
                          </w:rPr>
                        </w:pPr>
                        <w:r>
                          <w:rPr>
                            <w:rFonts w:cs="Calibri"/>
                          </w:rPr>
                          <w:t>Professionnel</w:t>
                        </w:r>
                      </w:p>
                      <w:p w:rsidR="00F04EEF" w:rsidRDefault="0099351E">
                        <w:pPr>
                          <w:numPr>
                            <w:ilvl w:val="0"/>
                            <w:numId w:val="202"/>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rsidR="00F04EEF" w:rsidRDefault="0099351E">
                        <w:pPr>
                          <w:numPr>
                            <w:ilvl w:val="1"/>
                            <w:numId w:val="202"/>
                          </w:numPr>
                          <w:spacing w:line="360" w:lineRule="auto"/>
                          <w:ind w:left="993" w:hanging="284"/>
                          <w:rPr>
                            <w:rFonts w:cs="Calibri"/>
                          </w:rPr>
                        </w:pPr>
                        <w:r>
                          <w:rPr>
                            <w:rFonts w:cs="Calibri"/>
                          </w:rPr>
                          <w:t>Général</w:t>
                        </w:r>
                      </w:p>
                      <w:p w:rsidR="00F04EEF" w:rsidRDefault="0099351E">
                        <w:pPr>
                          <w:numPr>
                            <w:ilvl w:val="1"/>
                            <w:numId w:val="202"/>
                          </w:numPr>
                          <w:spacing w:line="360" w:lineRule="auto"/>
                          <w:ind w:left="993" w:hanging="284"/>
                          <w:rPr>
                            <w:rFonts w:cs="Calibri"/>
                          </w:rPr>
                        </w:pPr>
                        <w:r>
                          <w:rPr>
                            <w:rFonts w:cs="Calibri"/>
                          </w:rPr>
                          <w:t>Technique de Transition</w:t>
                        </w:r>
                      </w:p>
                      <w:p w:rsidR="00F04EEF" w:rsidRDefault="0099351E">
                        <w:pPr>
                          <w:numPr>
                            <w:ilvl w:val="1"/>
                            <w:numId w:val="202"/>
                          </w:numPr>
                          <w:spacing w:line="360" w:lineRule="auto"/>
                          <w:ind w:left="993" w:hanging="284"/>
                          <w:rPr>
                            <w:rFonts w:cs="Calibri"/>
                          </w:rPr>
                        </w:pPr>
                        <w:r>
                          <w:rPr>
                            <w:rFonts w:cs="Calibri"/>
                          </w:rPr>
                          <w:t>Technique de Qualification</w:t>
                        </w:r>
                      </w:p>
                      <w:p w:rsidR="00F04EEF" w:rsidRDefault="0099351E">
                        <w:pPr>
                          <w:numPr>
                            <w:ilvl w:val="1"/>
                            <w:numId w:val="202"/>
                          </w:numPr>
                          <w:spacing w:line="360" w:lineRule="auto"/>
                          <w:ind w:left="993" w:hanging="284"/>
                          <w:rPr>
                            <w:rFonts w:cs="Calibri"/>
                          </w:rPr>
                        </w:pPr>
                        <w:r>
                          <w:rPr>
                            <w:rFonts w:cs="Calibri"/>
                          </w:rPr>
                          <w:t>Artistique de Transition</w:t>
                        </w:r>
                      </w:p>
                      <w:p w:rsidR="00F04EEF" w:rsidRDefault="0099351E">
                        <w:pPr>
                          <w:numPr>
                            <w:ilvl w:val="1"/>
                            <w:numId w:val="202"/>
                          </w:numPr>
                          <w:spacing w:line="360" w:lineRule="auto"/>
                          <w:ind w:left="993" w:hanging="284"/>
                          <w:rPr>
                            <w:rFonts w:cs="Calibri"/>
                          </w:rPr>
                        </w:pPr>
                        <w:r>
                          <w:rPr>
                            <w:rFonts w:cs="Calibri"/>
                          </w:rPr>
                          <w:t>Artistique de Qualification</w:t>
                        </w:r>
                      </w:p>
                      <w:p w:rsidR="00F04EEF" w:rsidRDefault="0099351E">
                        <w:pPr>
                          <w:numPr>
                            <w:ilvl w:val="1"/>
                            <w:numId w:val="202"/>
                          </w:numPr>
                          <w:spacing w:line="360" w:lineRule="auto"/>
                          <w:ind w:left="993" w:hanging="284"/>
                          <w:rPr>
                            <w:rFonts w:cs="Calibri"/>
                          </w:rPr>
                        </w:pPr>
                        <w:r>
                          <w:rPr>
                            <w:rFonts w:cs="Calibri"/>
                          </w:rPr>
                          <w:t>Professionnel</w:t>
                        </w:r>
                      </w:p>
                    </w:tc>
                  </w:tr>
                  <w:tr w:rsidR="00F04EEF">
                    <w:tc>
                      <w:tcPr>
                        <w:tcW w:w="8636" w:type="dxa"/>
                        <w:gridSpan w:val="3"/>
                      </w:tcPr>
                      <w:p w:rsidR="00F04EEF" w:rsidRDefault="0099351E">
                        <w:pPr>
                          <w:spacing w:line="360" w:lineRule="auto"/>
                          <w:jc w:val="center"/>
                          <w:rPr>
                            <w:rFonts w:cs="Calibri"/>
                          </w:rPr>
                        </w:pPr>
                        <w:r>
                          <w:rPr>
                            <w:rFonts w:cs="Calibri"/>
                          </w:rPr>
                          <w:t>Type 7</w:t>
                        </w:r>
                      </w:p>
                    </w:tc>
                  </w:tr>
                  <w:tr w:rsidR="00F04EEF">
                    <w:tc>
                      <w:tcPr>
                        <w:tcW w:w="4318" w:type="dxa"/>
                        <w:gridSpan w:val="2"/>
                      </w:tcPr>
                      <w:p w:rsidR="00F04EEF" w:rsidRDefault="0099351E">
                        <w:pPr>
                          <w:numPr>
                            <w:ilvl w:val="0"/>
                            <w:numId w:val="202"/>
                          </w:numPr>
                          <w:spacing w:line="360" w:lineRule="auto"/>
                          <w:ind w:left="0" w:firstLine="0"/>
                          <w:rPr>
                            <w:rFonts w:cs="Calibri"/>
                          </w:rPr>
                        </w:pPr>
                        <w:r>
                          <w:rPr>
                            <w:rFonts w:cs="Calibri"/>
                          </w:rPr>
                          <w:t>1</w:t>
                        </w:r>
                        <w:r>
                          <w:rPr>
                            <w:rFonts w:cs="Calibri"/>
                            <w:vertAlign w:val="superscript"/>
                          </w:rPr>
                          <w:t>er</w:t>
                        </w:r>
                        <w:r>
                          <w:rPr>
                            <w:rFonts w:cs="Calibri"/>
                          </w:rPr>
                          <w:t xml:space="preserve"> degré commun</w:t>
                        </w:r>
                      </w:p>
                      <w:p w:rsidR="00F04EEF" w:rsidRDefault="0099351E">
                        <w:pPr>
                          <w:numPr>
                            <w:ilvl w:val="0"/>
                            <w:numId w:val="202"/>
                          </w:numPr>
                          <w:spacing w:line="360" w:lineRule="auto"/>
                          <w:ind w:left="0" w:firstLine="0"/>
                          <w:rPr>
                            <w:rFonts w:cs="Calibri"/>
                          </w:rPr>
                        </w:pPr>
                        <w:r>
                          <w:rPr>
                            <w:rFonts w:cs="Calibri"/>
                          </w:rPr>
                          <w:t>2</w:t>
                        </w:r>
                        <w:r>
                          <w:rPr>
                            <w:rFonts w:cs="Calibri"/>
                            <w:vertAlign w:val="superscript"/>
                          </w:rPr>
                          <w:t>ème</w:t>
                        </w:r>
                        <w:r>
                          <w:rPr>
                            <w:rFonts w:cs="Calibri"/>
                          </w:rPr>
                          <w:t xml:space="preserve"> degré</w:t>
                        </w:r>
                      </w:p>
                      <w:p w:rsidR="00F04EEF" w:rsidRDefault="0099351E">
                        <w:pPr>
                          <w:numPr>
                            <w:ilvl w:val="1"/>
                            <w:numId w:val="202"/>
                          </w:numPr>
                          <w:spacing w:line="360" w:lineRule="auto"/>
                          <w:ind w:left="880"/>
                          <w:rPr>
                            <w:rFonts w:cs="Calibri"/>
                          </w:rPr>
                        </w:pPr>
                        <w:r>
                          <w:rPr>
                            <w:rFonts w:cs="Calibri"/>
                          </w:rPr>
                          <w:t>Général</w:t>
                        </w:r>
                      </w:p>
                      <w:p w:rsidR="00F04EEF" w:rsidRDefault="0099351E">
                        <w:pPr>
                          <w:numPr>
                            <w:ilvl w:val="1"/>
                            <w:numId w:val="202"/>
                          </w:numPr>
                          <w:spacing w:line="360" w:lineRule="auto"/>
                          <w:ind w:left="880"/>
                          <w:rPr>
                            <w:rFonts w:cs="Calibri"/>
                          </w:rPr>
                        </w:pPr>
                        <w:r>
                          <w:rPr>
                            <w:rFonts w:cs="Calibri"/>
                          </w:rPr>
                          <w:t>Technique de Transition</w:t>
                        </w:r>
                      </w:p>
                      <w:p w:rsidR="00F04EEF" w:rsidRDefault="0099351E">
                        <w:pPr>
                          <w:numPr>
                            <w:ilvl w:val="1"/>
                            <w:numId w:val="202"/>
                          </w:numPr>
                          <w:spacing w:line="360" w:lineRule="auto"/>
                          <w:ind w:left="880"/>
                          <w:rPr>
                            <w:rFonts w:cs="Calibri"/>
                          </w:rPr>
                        </w:pPr>
                        <w:r>
                          <w:rPr>
                            <w:rFonts w:cs="Calibri"/>
                          </w:rPr>
                          <w:t>Technique de Qualification</w:t>
                        </w:r>
                      </w:p>
                      <w:p w:rsidR="00F04EEF" w:rsidRDefault="0099351E">
                        <w:pPr>
                          <w:numPr>
                            <w:ilvl w:val="1"/>
                            <w:numId w:val="202"/>
                          </w:numPr>
                          <w:spacing w:line="360" w:lineRule="auto"/>
                          <w:ind w:left="880"/>
                          <w:rPr>
                            <w:rFonts w:cs="Calibri"/>
                          </w:rPr>
                        </w:pPr>
                        <w:r>
                          <w:rPr>
                            <w:rFonts w:cs="Calibri"/>
                          </w:rPr>
                          <w:t>Artistique de Transition</w:t>
                        </w:r>
                      </w:p>
                      <w:p w:rsidR="00F04EEF" w:rsidRDefault="0099351E">
                        <w:pPr>
                          <w:numPr>
                            <w:ilvl w:val="1"/>
                            <w:numId w:val="202"/>
                          </w:numPr>
                          <w:spacing w:line="360" w:lineRule="auto"/>
                          <w:ind w:left="880"/>
                          <w:rPr>
                            <w:rFonts w:cs="Calibri"/>
                          </w:rPr>
                        </w:pPr>
                        <w:r>
                          <w:rPr>
                            <w:rFonts w:cs="Calibri"/>
                          </w:rPr>
                          <w:t>Artistique de Qualification</w:t>
                        </w:r>
                      </w:p>
                      <w:p w:rsidR="00F04EEF" w:rsidRDefault="0099351E">
                        <w:pPr>
                          <w:numPr>
                            <w:ilvl w:val="1"/>
                            <w:numId w:val="202"/>
                          </w:numPr>
                          <w:spacing w:line="360" w:lineRule="auto"/>
                          <w:ind w:left="880"/>
                          <w:rPr>
                            <w:rFonts w:cs="Calibri"/>
                          </w:rPr>
                        </w:pPr>
                        <w:r>
                          <w:rPr>
                            <w:rFonts w:cs="Calibri"/>
                          </w:rPr>
                          <w:t>Professionnel</w:t>
                        </w:r>
                      </w:p>
                    </w:tc>
                    <w:tc>
                      <w:tcPr>
                        <w:tcW w:w="4318" w:type="dxa"/>
                      </w:tcPr>
                      <w:p w:rsidR="00F04EEF" w:rsidRDefault="0099351E">
                        <w:pPr>
                          <w:numPr>
                            <w:ilvl w:val="0"/>
                            <w:numId w:val="202"/>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rsidR="00F04EEF" w:rsidRDefault="0099351E">
                        <w:pPr>
                          <w:numPr>
                            <w:ilvl w:val="1"/>
                            <w:numId w:val="202"/>
                          </w:numPr>
                          <w:spacing w:line="360" w:lineRule="auto"/>
                          <w:ind w:left="880" w:hanging="425"/>
                          <w:rPr>
                            <w:rFonts w:cs="Calibri"/>
                          </w:rPr>
                        </w:pPr>
                        <w:r>
                          <w:rPr>
                            <w:rFonts w:cs="Calibri"/>
                          </w:rPr>
                          <w:t>Général</w:t>
                        </w:r>
                      </w:p>
                      <w:p w:rsidR="00F04EEF" w:rsidRDefault="0099351E">
                        <w:pPr>
                          <w:numPr>
                            <w:ilvl w:val="1"/>
                            <w:numId w:val="202"/>
                          </w:numPr>
                          <w:spacing w:line="360" w:lineRule="auto"/>
                          <w:ind w:left="880" w:hanging="425"/>
                          <w:rPr>
                            <w:rFonts w:cs="Calibri"/>
                          </w:rPr>
                        </w:pPr>
                        <w:r>
                          <w:rPr>
                            <w:rFonts w:cs="Calibri"/>
                          </w:rPr>
                          <w:t>Technique de Transition</w:t>
                        </w:r>
                      </w:p>
                      <w:p w:rsidR="00F04EEF" w:rsidRDefault="0099351E">
                        <w:pPr>
                          <w:numPr>
                            <w:ilvl w:val="1"/>
                            <w:numId w:val="202"/>
                          </w:numPr>
                          <w:spacing w:line="360" w:lineRule="auto"/>
                          <w:ind w:left="880" w:hanging="425"/>
                          <w:rPr>
                            <w:rFonts w:cs="Calibri"/>
                          </w:rPr>
                        </w:pPr>
                        <w:r>
                          <w:rPr>
                            <w:rFonts w:cs="Calibri"/>
                          </w:rPr>
                          <w:t>Technique de Qualification</w:t>
                        </w:r>
                      </w:p>
                      <w:p w:rsidR="00F04EEF" w:rsidRDefault="0099351E">
                        <w:pPr>
                          <w:numPr>
                            <w:ilvl w:val="1"/>
                            <w:numId w:val="202"/>
                          </w:numPr>
                          <w:spacing w:line="360" w:lineRule="auto"/>
                          <w:ind w:left="880" w:hanging="425"/>
                          <w:rPr>
                            <w:rFonts w:cs="Calibri"/>
                          </w:rPr>
                        </w:pPr>
                        <w:r>
                          <w:rPr>
                            <w:rFonts w:cs="Calibri"/>
                          </w:rPr>
                          <w:t>Artistique de Transition</w:t>
                        </w:r>
                      </w:p>
                      <w:p w:rsidR="00F04EEF" w:rsidRDefault="0099351E">
                        <w:pPr>
                          <w:numPr>
                            <w:ilvl w:val="1"/>
                            <w:numId w:val="202"/>
                          </w:numPr>
                          <w:spacing w:line="360" w:lineRule="auto"/>
                          <w:ind w:left="880" w:hanging="425"/>
                          <w:rPr>
                            <w:rFonts w:cs="Calibri"/>
                          </w:rPr>
                        </w:pPr>
                        <w:r>
                          <w:rPr>
                            <w:rFonts w:cs="Calibri"/>
                          </w:rPr>
                          <w:t>Artistique de Qualification</w:t>
                        </w:r>
                      </w:p>
                      <w:p w:rsidR="00F04EEF" w:rsidRDefault="0099351E">
                        <w:pPr>
                          <w:numPr>
                            <w:ilvl w:val="1"/>
                            <w:numId w:val="202"/>
                          </w:numPr>
                          <w:spacing w:line="360" w:lineRule="auto"/>
                          <w:ind w:left="880" w:hanging="425"/>
                          <w:rPr>
                            <w:rFonts w:cs="Calibri"/>
                          </w:rPr>
                        </w:pPr>
                        <w:r>
                          <w:rPr>
                            <w:rFonts w:cs="Calibri"/>
                          </w:rPr>
                          <w:t>Professionnel</w:t>
                        </w:r>
                      </w:p>
                    </w:tc>
                  </w:tr>
                </w:tbl>
                <w:p w:rsidR="00F04EEF" w:rsidRDefault="00F04EEF">
                  <w:pPr>
                    <w:spacing w:line="312" w:lineRule="auto"/>
                    <w:rPr>
                      <w:rFonts w:cs="Calibri"/>
                    </w:rPr>
                  </w:pPr>
                </w:p>
                <w:p w:rsidR="00F04EEF" w:rsidRDefault="0099351E">
                  <w:pPr>
                    <w:jc w:val="both"/>
                    <w:rPr>
                      <w:rFonts w:cs="Calibri"/>
                    </w:rPr>
                  </w:pPr>
                  <w:r>
                    <w:rPr>
                      <w:rFonts w:cs="Calibri"/>
                      <w:highlight w:val="green"/>
                    </w:rPr>
                    <w:br w:type="page"/>
                  </w:r>
                </w:p>
                <w:p w:rsidR="00F04EEF" w:rsidRDefault="0099351E">
                  <w:pPr>
                    <w:pStyle w:val="Titre4"/>
                  </w:pPr>
                  <w:bookmarkStart w:id="1880" w:name="_Annexe_3_:_7"/>
                  <w:bookmarkEnd w:id="1880"/>
                  <w:r>
                    <w:t xml:space="preserve">Annexe 3 : Déclaration sur l’honneur </w:t>
                  </w:r>
                </w:p>
                <w:p w:rsidR="00F04EEF" w:rsidRDefault="00F04EEF">
                  <w:pPr>
                    <w:jc w:val="both"/>
                    <w:rPr>
                      <w:rFonts w:cs="Calibri"/>
                    </w:rPr>
                  </w:pPr>
                </w:p>
                <w:p w:rsidR="00F04EEF" w:rsidRDefault="0099351E">
                  <w:pPr>
                    <w:jc w:val="both"/>
                    <w:rPr>
                      <w:rFonts w:cs="Calibri"/>
                    </w:rPr>
                  </w:pPr>
                  <w:r>
                    <w:rPr>
                      <w:rFonts w:cs="Calibri"/>
                    </w:rPr>
                    <w:t>Je déclare  sur l'honneur que l'établissement précité s’engage à se conformer aux dispositions légales et réglementaires concernant l'organisation des études, les statuts administratifs des membres du personnel et l'application des lois linguistiques.</w:t>
                  </w:r>
                </w:p>
                <w:p w:rsidR="00F04EEF" w:rsidRDefault="00F04EEF">
                  <w:pPr>
                    <w:jc w:val="both"/>
                    <w:rPr>
                      <w:rFonts w:cs="Calibri"/>
                    </w:rPr>
                  </w:pPr>
                </w:p>
                <w:p w:rsidR="00F04EEF" w:rsidRDefault="0099351E">
                  <w:pPr>
                    <w:jc w:val="both"/>
                    <w:rPr>
                      <w:rFonts w:cs="Calibri"/>
                    </w:rPr>
                  </w:pPr>
                  <w:r>
                    <w:rPr>
                      <w:rFonts w:cs="Calibri"/>
                    </w:rPr>
                    <w:t xml:space="preserve">De plus, je déclare sur l’honneur que l’établissement s’engage également à : </w:t>
                  </w:r>
                </w:p>
                <w:p w:rsidR="00F04EEF" w:rsidRDefault="00F04EEF">
                  <w:pPr>
                    <w:jc w:val="both"/>
                    <w:rPr>
                      <w:rFonts w:cs="Calibri"/>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Adopter la structure d’enseignement définie par les lois, décrets et arrêtés royaux, notamment, selon le cas d’espèce :</w:t>
                  </w:r>
                </w:p>
                <w:p w:rsidR="00F04EEF" w:rsidRDefault="00F04EEF">
                  <w:pPr>
                    <w:pStyle w:val="msolistparagraph0"/>
                    <w:autoSpaceDE w:val="0"/>
                    <w:autoSpaceDN w:val="0"/>
                    <w:ind w:left="284" w:hanging="284"/>
                    <w:jc w:val="both"/>
                    <w:rPr>
                      <w:rFonts w:asciiTheme="majorHAnsi" w:hAnsiTheme="majorHAnsi" w:cs="Calibri"/>
                      <w:lang w:val="fr-BE"/>
                    </w:rPr>
                  </w:pPr>
                </w:p>
                <w:p w:rsidR="00F04EEF" w:rsidRDefault="0099351E">
                  <w:pPr>
                    <w:pStyle w:val="msolistparagraph0"/>
                    <w:numPr>
                      <w:ilvl w:val="1"/>
                      <w:numId w:val="205"/>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l’arrêté royal du 20 août 1957 portant coordination des lois sur l’enseignement primaire ;</w:t>
                  </w:r>
                </w:p>
                <w:p w:rsidR="00F04EEF" w:rsidRDefault="0099351E">
                  <w:pPr>
                    <w:pStyle w:val="msolistparagraph0"/>
                    <w:numPr>
                      <w:ilvl w:val="1"/>
                      <w:numId w:val="205"/>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13 juillet 1998 portant organisation de l’enseignement maternel ; et primaire ordinaire et modifiant la réglementation de l’enseignement; </w:t>
                  </w:r>
                </w:p>
                <w:p w:rsidR="00F04EEF" w:rsidRDefault="0099351E">
                  <w:pPr>
                    <w:pStyle w:val="msolistparagraph0"/>
                    <w:numPr>
                      <w:ilvl w:val="1"/>
                      <w:numId w:val="205"/>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29 juillet 1992 portant organisation de l’enseignement secondaire de plein exercice ;</w:t>
                  </w:r>
                </w:p>
                <w:p w:rsidR="00F04EEF" w:rsidRDefault="0099351E">
                  <w:pPr>
                    <w:pStyle w:val="msolistparagraph0"/>
                    <w:numPr>
                      <w:ilvl w:val="1"/>
                      <w:numId w:val="205"/>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 loi du 19 juillet 1971 relative à la structure générale et à l’organisation de l’enseignement secondaire ;</w:t>
                  </w:r>
                </w:p>
                <w:p w:rsidR="00F04EEF" w:rsidRDefault="0099351E">
                  <w:pPr>
                    <w:pStyle w:val="msolistparagraph0"/>
                    <w:numPr>
                      <w:ilvl w:val="1"/>
                      <w:numId w:val="205"/>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30 juin 2006 </w:t>
                  </w:r>
                  <w:r>
                    <w:rPr>
                      <w:rFonts w:asciiTheme="majorHAnsi" w:hAnsiTheme="majorHAnsi" w:cs="Calibri"/>
                    </w:rPr>
                    <w:t>relatif à l'organisation pédagogique du 1er degré de l'enseignement secondaire</w:t>
                  </w:r>
                </w:p>
                <w:p w:rsidR="00F04EEF" w:rsidRDefault="0099351E">
                  <w:pPr>
                    <w:pStyle w:val="msolistparagraph0"/>
                    <w:numPr>
                      <w:ilvl w:val="1"/>
                      <w:numId w:val="205"/>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3 mars 2004 organisant l’enseignement spécialisé.</w:t>
                  </w:r>
                </w:p>
                <w:p w:rsidR="00F04EEF" w:rsidRDefault="00F04EEF">
                  <w:pPr>
                    <w:pStyle w:val="msolistparagraph0"/>
                    <w:shd w:val="clear" w:color="auto" w:fill="FFFFFF"/>
                    <w:autoSpaceDE w:val="0"/>
                    <w:autoSpaceDN w:val="0"/>
                    <w:ind w:left="0"/>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un programme approuvé par le Gouvernement, </w:t>
                  </w:r>
                  <w:r>
                    <w:rPr>
                      <w:rFonts w:asciiTheme="majorHAnsi" w:hAnsiTheme="majorHAnsi" w:cs="Calibri"/>
                    </w:rPr>
                    <w:t>au sens de l’article 5, 15° du décret du 24 juillet 1997</w:t>
                  </w:r>
                  <w:r>
                    <w:rPr>
                      <w:rFonts w:asciiTheme="majorHAnsi" w:hAnsiTheme="majorHAnsi" w:cs="Calibri"/>
                      <w:lang w:val="fr-BE"/>
                    </w:rPr>
                    <w:t xml:space="preserve"> définissant les missions prioritaires de l'enseignement fondamental et de l'enseignement secondaire et organisant les structures propres à les atteindre ; </w:t>
                  </w:r>
                </w:p>
                <w:p w:rsidR="00F04EEF" w:rsidRDefault="00F04EEF">
                  <w:pPr>
                    <w:pStyle w:val="Paragraphedeliste"/>
                    <w:ind w:left="0"/>
                    <w:jc w:val="both"/>
                    <w:rPr>
                      <w:rFonts w:asciiTheme="majorHAnsi" w:hAnsiTheme="majorHAnsi" w:cs="Calibri"/>
                      <w:sz w:val="22"/>
                      <w:szCs w:val="22"/>
                    </w:rPr>
                  </w:pPr>
                </w:p>
                <w:p w:rsidR="00F04EEF" w:rsidRDefault="0099351E">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 xml:space="preserve">A cet effet, je joins :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numPr>
                      <w:ilvl w:val="0"/>
                      <w:numId w:val="198"/>
                    </w:numPr>
                    <w:tabs>
                      <w:tab w:val="left" w:pos="993"/>
                    </w:tabs>
                    <w:ind w:left="851" w:hanging="425"/>
                    <w:jc w:val="both"/>
                    <w:rPr>
                      <w:rFonts w:cs="Calibri"/>
                      <w:b/>
                    </w:rPr>
                  </w:pPr>
                  <w:r>
                    <w:rPr>
                      <w:rFonts w:cs="Calibri"/>
                      <w:b/>
                    </w:rPr>
                    <w:t xml:space="preserve">Soit la référence du ou des programmes choisi(s) si le Pouvoir organisateur opte pour un ou des programmes déjà approuvé(s) </w:t>
                  </w:r>
                  <w:r>
                    <w:rPr>
                      <w:rFonts w:cs="Calibri"/>
                    </w:rPr>
                    <w:t>conformément au décret du 24 juillet 1997 précité </w:t>
                  </w:r>
                  <w:r>
                    <w:rPr>
                      <w:rFonts w:cs="Calibri"/>
                      <w:b/>
                    </w:rPr>
                    <w:t>;</w:t>
                  </w:r>
                </w:p>
                <w:p w:rsidR="00F04EEF" w:rsidRDefault="00F04EEF">
                  <w:pPr>
                    <w:tabs>
                      <w:tab w:val="left" w:pos="993"/>
                    </w:tabs>
                    <w:ind w:left="851" w:hanging="425"/>
                    <w:jc w:val="both"/>
                    <w:rPr>
                      <w:rFonts w:cs="Calibri"/>
                      <w:b/>
                    </w:rPr>
                  </w:pPr>
                </w:p>
                <w:p w:rsidR="00F04EEF" w:rsidRDefault="0099351E">
                  <w:pPr>
                    <w:numPr>
                      <w:ilvl w:val="0"/>
                      <w:numId w:val="198"/>
                    </w:numPr>
                    <w:tabs>
                      <w:tab w:val="left" w:pos="993"/>
                    </w:tabs>
                    <w:ind w:left="851" w:hanging="425"/>
                    <w:jc w:val="both"/>
                    <w:rPr>
                      <w:rFonts w:cs="Calibri"/>
                      <w:b/>
                    </w:rPr>
                  </w:pPr>
                  <w:r>
                    <w:rPr>
                      <w:rFonts w:cs="Calibri"/>
                      <w:b/>
                    </w:rPr>
                    <w:t xml:space="preserve">Soit la copie de la demande d’approbation effectuée </w:t>
                  </w:r>
                  <w:r>
                    <w:rPr>
                      <w:rFonts w:cs="Calibri"/>
                    </w:rPr>
                    <w:t>conformément au décret du 24 juillet 1997 précité</w:t>
                  </w:r>
                  <w:r>
                    <w:rPr>
                      <w:rFonts w:cs="Calibri"/>
                      <w:b/>
                    </w:rPr>
                    <w:t xml:space="preserve">, laquelle contient donc le programme d’étude soumis à approbation et la date de demande d’approbation.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i/>
                      <w:lang w:val="fr-BE"/>
                    </w:rPr>
                  </w:pPr>
                  <w:r>
                    <w:rPr>
                      <w:rFonts w:asciiTheme="majorHAnsi" w:hAnsiTheme="majorHAnsi" w:cs="Calibri"/>
                      <w:lang w:val="fr-BE"/>
                    </w:rPr>
                    <w:t>Respecter les dispositions prévues par le décret du 24 juillet 1997 précité, notamment et sans préjudice des autres dispositions fixées par ce décret, les objectifs généraux prévus à l’article 6, 3° et 4°, à savoir </w:t>
                  </w:r>
                  <w:r>
                    <w:rPr>
                      <w:rFonts w:asciiTheme="majorHAnsi" w:hAnsiTheme="majorHAnsi" w:cs="Calibri"/>
                      <w:i/>
                      <w:lang w:val="fr-BE"/>
                    </w:rPr>
                    <w:t>« préparer tous les élèves à être des citoyens responsables, capables de contribuer au développement d'une société démocratique, solidaire, pluraliste et ouverte aux autres cultures »</w:t>
                  </w:r>
                  <w:r>
                    <w:rPr>
                      <w:rFonts w:asciiTheme="majorHAnsi" w:hAnsiTheme="majorHAnsi" w:cs="Calibri"/>
                      <w:lang w:val="fr-BE"/>
                    </w:rPr>
                    <w:t xml:space="preserve"> et </w:t>
                  </w:r>
                  <w:r>
                    <w:rPr>
                      <w:rFonts w:asciiTheme="majorHAnsi" w:hAnsiTheme="majorHAnsi" w:cs="Calibri"/>
                      <w:i/>
                      <w:lang w:val="fr-BE"/>
                    </w:rPr>
                    <w:t>« assurer à tous les élèves des chances égales d'émancipation sociale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w:t>
                  </w:r>
                </w:p>
                <w:p w:rsidR="00F04EEF" w:rsidRDefault="00F04EEF">
                  <w:pPr>
                    <w:pStyle w:val="msolistparagraph0"/>
                    <w:autoSpaceDE w:val="0"/>
                    <w:autoSpaceDN w:val="0"/>
                    <w:ind w:left="0"/>
                    <w:jc w:val="both"/>
                    <w:rPr>
                      <w:rFonts w:asciiTheme="majorHAnsi" w:hAnsiTheme="majorHAnsi" w:cs="Calibri"/>
                      <w:b/>
                      <w:lang w:val="fr-BE"/>
                    </w:rPr>
                  </w:pPr>
                </w:p>
                <w:p w:rsidR="00F04EEF" w:rsidRDefault="0099351E">
                  <w:pPr>
                    <w:pStyle w:val="msolistparagraph0"/>
                    <w:numPr>
                      <w:ilvl w:val="0"/>
                      <w:numId w:val="198"/>
                    </w:numPr>
                    <w:autoSpaceDE w:val="0"/>
                    <w:autoSpaceDN w:val="0"/>
                    <w:ind w:left="851" w:hanging="425"/>
                    <w:jc w:val="both"/>
                    <w:rPr>
                      <w:rFonts w:asciiTheme="majorHAnsi" w:hAnsiTheme="majorHAnsi" w:cs="Calibri"/>
                      <w:lang w:val="fr-BE"/>
                    </w:rPr>
                  </w:pPr>
                  <w:r>
                    <w:rPr>
                      <w:rFonts w:asciiTheme="majorHAnsi" w:hAnsiTheme="majorHAnsi" w:cs="Calibri"/>
                      <w:b/>
                      <w:lang w:val="fr-BE"/>
                    </w:rPr>
                    <w:t>projet éducatif et du projet pédagogique du Pouvoir organisateur</w:t>
                  </w:r>
                  <w:r>
                    <w:rPr>
                      <w:rFonts w:asciiTheme="majorHAnsi" w:hAnsiTheme="majorHAnsi" w:cs="Calibri"/>
                      <w:lang w:val="fr-BE"/>
                    </w:rPr>
                    <w:t>, visés aux articles 63, 64 et 66 du décret du 24 juillet 1997 précité</w:t>
                  </w:r>
                </w:p>
                <w:p w:rsidR="00F04EEF" w:rsidRDefault="00F04EEF">
                  <w:pPr>
                    <w:pStyle w:val="msolistparagraph0"/>
                    <w:autoSpaceDE w:val="0"/>
                    <w:autoSpaceDN w:val="0"/>
                    <w:ind w:left="851" w:hanging="425"/>
                    <w:jc w:val="both"/>
                    <w:rPr>
                      <w:rFonts w:asciiTheme="majorHAnsi" w:hAnsiTheme="majorHAnsi" w:cs="Calibri"/>
                      <w:lang w:val="fr-BE"/>
                    </w:rPr>
                  </w:pPr>
                </w:p>
                <w:p w:rsidR="00F04EEF" w:rsidRDefault="0099351E">
                  <w:pPr>
                    <w:pStyle w:val="msolistparagraph0"/>
                    <w:numPr>
                      <w:ilvl w:val="0"/>
                      <w:numId w:val="198"/>
                    </w:numPr>
                    <w:autoSpaceDE w:val="0"/>
                    <w:autoSpaceDN w:val="0"/>
                    <w:ind w:left="851" w:hanging="425"/>
                    <w:jc w:val="both"/>
                    <w:rPr>
                      <w:rFonts w:asciiTheme="majorHAnsi" w:hAnsiTheme="majorHAnsi" w:cs="Calibri"/>
                      <w:b/>
                      <w:lang w:val="fr-BE"/>
                    </w:rPr>
                  </w:pPr>
                  <w:r>
                    <w:rPr>
                      <w:rFonts w:asciiTheme="majorHAnsi" w:hAnsiTheme="majorHAnsi" w:cs="Calibri"/>
                      <w:b/>
                      <w:lang w:val="fr-BE"/>
                    </w:rPr>
                    <w:t xml:space="preserve">règlement d’Ordre Intérieur (R.O.I.) du futur établissement, </w:t>
                  </w:r>
                  <w:r>
                    <w:rPr>
                      <w:rFonts w:asciiTheme="majorHAnsi" w:hAnsiTheme="majorHAnsi" w:cs="Calibri"/>
                      <w:lang w:val="fr-BE"/>
                    </w:rPr>
                    <w:t>visé à l’article 76, 4°, du décret du 24 juillet 1997 précité</w:t>
                  </w:r>
                  <w:r>
                    <w:rPr>
                      <w:rFonts w:asciiTheme="majorHAnsi" w:hAnsiTheme="majorHAnsi" w:cs="Calibri"/>
                      <w:b/>
                      <w:lang w:val="fr-BE"/>
                    </w:rPr>
                    <w:t xml:space="preserve">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fixées par le décret du 20 décembre 2001 </w:t>
                  </w:r>
                  <w:r>
                    <w:rPr>
                      <w:rFonts w:asciiTheme="majorHAnsi" w:hAnsiTheme="majorHAnsi" w:cs="Calibri"/>
                      <w:i/>
                      <w:lang w:val="fr-BE"/>
                    </w:rPr>
                    <w:t>relatif à la promotion de la santé à l’école</w:t>
                  </w:r>
                  <w:r>
                    <w:rPr>
                      <w:rFonts w:asciiTheme="majorHAnsi" w:hAnsiTheme="majorHAnsi" w:cs="Calibri"/>
                      <w:lang w:val="fr-BE"/>
                    </w:rPr>
                    <w:t xml:space="preserve"> ; </w:t>
                  </w:r>
                </w:p>
                <w:p w:rsidR="00F04EEF" w:rsidRDefault="00F04EEF">
                  <w:pPr>
                    <w:pStyle w:val="msolistparagraph0"/>
                    <w:autoSpaceDE w:val="0"/>
                    <w:autoSpaceDN w:val="0"/>
                    <w:ind w:left="0" w:hanging="284"/>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 cas échéant, les dispositions fixées par le décret du 30 avril 2009 </w:t>
                  </w:r>
                  <w:r>
                    <w:rPr>
                      <w:rFonts w:asciiTheme="majorHAnsi" w:hAnsiTheme="majorHAnsi" w:cs="Calibri"/>
                      <w:i/>
                      <w:lang w:val="fr-BE"/>
                    </w:rPr>
                    <w:t>organisant un encadrement différencié au sein des établissements scolaires de la Communauté française afin d’assurer à chaque élève des chances égales d’émancipation sociale dans un environnement pédagogique de qualité</w:t>
                  </w:r>
                  <w:r>
                    <w:rPr>
                      <w:rFonts w:asciiTheme="majorHAnsi" w:hAnsiTheme="majorHAnsi" w:cs="Calibri"/>
                      <w:lang w:val="fr-BE"/>
                    </w:rPr>
                    <w:t xml:space="preserve"> ; </w:t>
                  </w:r>
                </w:p>
                <w:p w:rsidR="00F04EEF" w:rsidRDefault="00F04EEF">
                  <w:pPr>
                    <w:pStyle w:val="msolistparagraph0"/>
                    <w:autoSpaceDE w:val="0"/>
                    <w:autoSpaceDN w:val="0"/>
                    <w:ind w:left="284" w:hanging="284"/>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du décret du 21 novembre 2013 </w:t>
                  </w:r>
                  <w:r>
                    <w:rPr>
                      <w:rFonts w:asciiTheme="majorHAnsi" w:hAnsiTheme="majorHAnsi" w:cs="Calibri"/>
                      <w:i/>
                      <w:lang w:val="fr-BE"/>
                    </w:rPr>
                    <w:t>organisant divers dispositifs scolaires favorisant le bien-être des jeunes à l'école, l'accrochage scolaire, la prévention de la violence à l'école et l'accompagnement des démarches d'orientation scolaire </w:t>
                  </w:r>
                  <w:r>
                    <w:rPr>
                      <w:rFonts w:asciiTheme="majorHAnsi" w:hAnsiTheme="majorHAnsi" w:cs="Calibri"/>
                      <w:lang w:val="fr-BE"/>
                    </w:rPr>
                    <w:t>;</w:t>
                  </w:r>
                </w:p>
                <w:p w:rsidR="00F04EEF" w:rsidRDefault="00F04EEF">
                  <w:pPr>
                    <w:pStyle w:val="msolistparagraph0"/>
                    <w:autoSpaceDE w:val="0"/>
                    <w:autoSpaceDN w:val="0"/>
                    <w:ind w:left="284" w:hanging="284"/>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Se soumettre au contrôle et à l'inspection organisée par la Communauté française conformément au décret du 8 mars </w:t>
                  </w:r>
                  <w:r>
                    <w:rPr>
                      <w:rFonts w:asciiTheme="majorHAnsi" w:hAnsiTheme="majorHAnsi" w:cs="Calibri"/>
                      <w:i/>
                      <w:lang w:val="fr-BE"/>
                    </w:rPr>
                    <w:t>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w:t>
                  </w:r>
                  <w:r>
                    <w:rPr>
                      <w:rFonts w:asciiTheme="majorHAnsi" w:hAnsiTheme="majorHAnsi" w:cs="Calibri"/>
                      <w:lang w:val="fr-BE"/>
                    </w:rPr>
                    <w:t xml:space="preserve">; </w:t>
                  </w:r>
                </w:p>
                <w:p w:rsidR="00F04EEF" w:rsidRDefault="00F04EEF">
                  <w:pPr>
                    <w:pStyle w:val="msolistparagraph0"/>
                    <w:autoSpaceDE w:val="0"/>
                    <w:autoSpaceDN w:val="0"/>
                    <w:ind w:left="284" w:hanging="284"/>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Bénéficier, si l’établissement n’est pas affilié à un organe de représentation et de coordination des Pouvoirs organisateurs visé à l’article 5bis de la loi du 29 mai 1959 précitée,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 décret du 8 mars 2007 précité ;</w:t>
                  </w:r>
                </w:p>
                <w:p w:rsidR="00F04EEF" w:rsidRDefault="00F04EEF">
                  <w:pPr>
                    <w:pStyle w:val="msolistparagraph0"/>
                    <w:autoSpaceDE w:val="0"/>
                    <w:autoSpaceDN w:val="0"/>
                    <w:ind w:left="284" w:hanging="284"/>
                    <w:jc w:val="both"/>
                    <w:rPr>
                      <w:rFonts w:asciiTheme="majorHAnsi" w:hAnsiTheme="majorHAnsi" w:cs="Calibri"/>
                      <w:lang w:val="fr-BE"/>
                    </w:rPr>
                  </w:pPr>
                </w:p>
                <w:p w:rsidR="00F04EEF" w:rsidRDefault="0099351E">
                  <w:pPr>
                    <w:pStyle w:val="msolistparagraph0"/>
                    <w:numPr>
                      <w:ilvl w:val="0"/>
                      <w:numId w:val="195"/>
                    </w:numPr>
                    <w:autoSpaceDE w:val="0"/>
                    <w:autoSpaceDN w:val="0"/>
                    <w:ind w:left="284" w:hanging="284"/>
                    <w:jc w:val="both"/>
                    <w:rPr>
                      <w:rFonts w:asciiTheme="majorHAnsi" w:hAnsiTheme="majorHAnsi" w:cs="Calibri"/>
                      <w:lang w:val="fr-BE"/>
                    </w:rPr>
                  </w:pPr>
                  <w:r>
                    <w:rPr>
                      <w:rFonts w:asciiTheme="majorHAnsi" w:hAnsiTheme="majorHAnsi" w:cs="Calibr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w:t>
                  </w:r>
                </w:p>
                <w:p w:rsidR="00F04EEF" w:rsidRDefault="00F04EEF">
                  <w:pPr>
                    <w:pStyle w:val="msolistparagraph0"/>
                    <w:autoSpaceDE w:val="0"/>
                    <w:autoSpaceDN w:val="0"/>
                    <w:ind w:left="0"/>
                    <w:jc w:val="both"/>
                    <w:rPr>
                      <w:rFonts w:asciiTheme="majorHAnsi" w:hAnsiTheme="majorHAnsi" w:cs="Calibri"/>
                      <w:b/>
                      <w:lang w:val="fr-BE"/>
                    </w:rPr>
                  </w:pPr>
                </w:p>
                <w:p w:rsidR="00F04EEF" w:rsidRDefault="0099351E">
                  <w:pPr>
                    <w:pStyle w:val="msolistparagraph0"/>
                    <w:numPr>
                      <w:ilvl w:val="0"/>
                      <w:numId w:val="204"/>
                    </w:numPr>
                    <w:autoSpaceDE w:val="0"/>
                    <w:autoSpaceDN w:val="0"/>
                    <w:ind w:left="851"/>
                    <w:jc w:val="both"/>
                    <w:rPr>
                      <w:rFonts w:asciiTheme="majorHAnsi" w:hAnsiTheme="majorHAnsi" w:cs="Calibri"/>
                      <w:b/>
                      <w:lang w:val="fr-BE"/>
                    </w:rPr>
                  </w:pPr>
                  <w:r>
                    <w:rPr>
                      <w:rFonts w:asciiTheme="majorHAnsi" w:hAnsiTheme="majorHAnsi" w:cs="Calibri"/>
                      <w:b/>
                      <w:lang w:val="fr-BE"/>
                    </w:rPr>
                    <w:t>le compte-rendu de la délibération actant la décision de solliciter l’admission aux subventions ;</w:t>
                  </w:r>
                </w:p>
                <w:p w:rsidR="00F04EEF" w:rsidRDefault="0099351E">
                  <w:pPr>
                    <w:pStyle w:val="msolistparagraph0"/>
                    <w:numPr>
                      <w:ilvl w:val="0"/>
                      <w:numId w:val="204"/>
                    </w:numPr>
                    <w:autoSpaceDE w:val="0"/>
                    <w:autoSpaceDN w:val="0"/>
                    <w:ind w:left="851"/>
                    <w:jc w:val="both"/>
                    <w:rPr>
                      <w:rFonts w:asciiTheme="majorHAnsi" w:hAnsiTheme="majorHAnsi" w:cs="Calibri"/>
                      <w:b/>
                      <w:lang w:val="fr-BE"/>
                    </w:rPr>
                  </w:pPr>
                  <w:r>
                    <w:rPr>
                      <w:rFonts w:asciiTheme="majorHAnsi" w:hAnsiTheme="majorHAnsi" w:cs="Calibri"/>
                      <w:b/>
                      <w:lang w:val="fr-BE"/>
                    </w:rPr>
                    <w:t>si le Pouvoir organisateur est constitué en ASBL, une copie des statuts.</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Les personnes physiques qui composent la personne morale doivent :</w:t>
                  </w:r>
                </w:p>
                <w:p w:rsidR="00F04EEF" w:rsidRDefault="0099351E">
                  <w:pPr>
                    <w:pStyle w:val="msolistparagraph0"/>
                    <w:numPr>
                      <w:ilvl w:val="0"/>
                      <w:numId w:val="196"/>
                    </w:numPr>
                    <w:autoSpaceDE w:val="0"/>
                    <w:autoSpaceDN w:val="0"/>
                    <w:ind w:left="851" w:hanging="425"/>
                    <w:jc w:val="both"/>
                    <w:rPr>
                      <w:rFonts w:asciiTheme="majorHAnsi" w:hAnsiTheme="majorHAnsi" w:cs="Calibri"/>
                      <w:lang w:val="fr-BE"/>
                    </w:rPr>
                  </w:pPr>
                  <w:r>
                    <w:rPr>
                      <w:rFonts w:asciiTheme="majorHAnsi" w:hAnsiTheme="majorHAnsi" w:cs="Calibri"/>
                      <w:lang w:val="fr-BE"/>
                    </w:rPr>
                    <w:t>être de conduite irréprochable;</w:t>
                  </w:r>
                </w:p>
                <w:p w:rsidR="00F04EEF" w:rsidRDefault="0099351E">
                  <w:pPr>
                    <w:pStyle w:val="msolistparagraph0"/>
                    <w:numPr>
                      <w:ilvl w:val="0"/>
                      <w:numId w:val="196"/>
                    </w:numPr>
                    <w:autoSpaceDE w:val="0"/>
                    <w:autoSpaceDN w:val="0"/>
                    <w:ind w:left="851" w:hanging="425"/>
                    <w:jc w:val="both"/>
                    <w:rPr>
                      <w:rFonts w:asciiTheme="majorHAnsi" w:hAnsiTheme="majorHAnsi" w:cs="Calibri"/>
                      <w:lang w:val="fr-BE"/>
                    </w:rPr>
                  </w:pPr>
                  <w:r>
                    <w:rPr>
                      <w:rFonts w:asciiTheme="majorHAnsi" w:hAnsiTheme="majorHAnsi" w:cs="Calibri"/>
                      <w:lang w:val="fr-BE"/>
                    </w:rPr>
                    <w:t xml:space="preserve">jouir des droits civils et politiques.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de l’extrait de casier judiciaire des membres du Conseil d’administration de l’ASBL Pouvoir Organisateur.</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numPr>
                      <w:ilvl w:val="0"/>
                      <w:numId w:val="195"/>
                    </w:numPr>
                    <w:autoSpaceDE w:val="0"/>
                    <w:autoSpaceDN w:val="0"/>
                    <w:ind w:left="426"/>
                    <w:jc w:val="both"/>
                    <w:rPr>
                      <w:rFonts w:asciiTheme="majorHAnsi" w:hAnsiTheme="majorHAnsi" w:cs="Calibri"/>
                      <w:lang w:val="fr-BE"/>
                    </w:rPr>
                  </w:pPr>
                  <w:r>
                    <w:rPr>
                      <w:rFonts w:asciiTheme="majorHAnsi" w:hAnsiTheme="majorHAnsi" w:cs="Calibri"/>
                      <w:lang w:val="fr-BE"/>
                    </w:rPr>
                    <w:t xml:space="preserve">Compter :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numPr>
                      <w:ilvl w:val="0"/>
                      <w:numId w:val="197"/>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rsidR="00F04EEF" w:rsidRDefault="0099351E">
                  <w:pPr>
                    <w:pStyle w:val="msolistparagraph0"/>
                    <w:numPr>
                      <w:ilvl w:val="0"/>
                      <w:numId w:val="197"/>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secondaire, pour l’établissement ainsi que par classe, section, degré, année ou option au moins le nombre minimum d'élèves fixé par décret ;</w:t>
                  </w:r>
                </w:p>
                <w:p w:rsidR="00F04EEF" w:rsidRDefault="0099351E">
                  <w:pPr>
                    <w:pStyle w:val="msolistparagraph0"/>
                    <w:numPr>
                      <w:ilvl w:val="0"/>
                      <w:numId w:val="197"/>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spécialisé, par établissement, au moins les nombres minimums prévus par les normes de programmation et rationalisation telles que définies dans le décret du 3 mars 2004 organisant l’enseignement spécialisé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numPr>
                      <w:ilvl w:val="0"/>
                      <w:numId w:val="195"/>
                    </w:numPr>
                    <w:autoSpaceDE w:val="0"/>
                    <w:autoSpaceDN w:val="0"/>
                    <w:ind w:left="426" w:hanging="357"/>
                    <w:jc w:val="both"/>
                    <w:rPr>
                      <w:rFonts w:asciiTheme="majorHAnsi" w:hAnsiTheme="majorHAnsi" w:cs="Calibri"/>
                      <w:lang w:val="fr-BE"/>
                    </w:rPr>
                  </w:pPr>
                  <w:r>
                    <w:rPr>
                      <w:rFonts w:asciiTheme="majorHAnsi" w:hAnsiTheme="majorHAnsi" w:cs="Calibri"/>
                      <w:lang w:val="fr-BE"/>
                    </w:rPr>
                    <w:t xml:space="preserve">Etre établi dans des locaux répondant à des conditions de sécurité, d'hygiène et de salubrité, tel que prévu, notamment dans l’arrêté royal du 18 novembre 1957 </w:t>
                  </w:r>
                  <w:r>
                    <w:rPr>
                      <w:rFonts w:asciiTheme="majorHAnsi" w:hAnsiTheme="majorHAnsi" w:cs="Calibri"/>
                      <w:i/>
                    </w:rPr>
                    <w:t>portant les conditions d'hygiène et de salubrité exigées des établissements d'enseignement moyen, technique et normal subventionnés</w:t>
                  </w:r>
                  <w:r>
                    <w:rPr>
                      <w:rFonts w:asciiTheme="majorHAnsi" w:hAnsiTheme="majorHAnsi" w:cs="Calibri"/>
                      <w:lang w:val="fr-BE"/>
                    </w:rPr>
                    <w:t> ;</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plan des bâtiments qui accueilleront les élèves.</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numPr>
                      <w:ilvl w:val="0"/>
                      <w:numId w:val="195"/>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 matériel didactique et de l'équipement scolaires répondant aux nécessités pédagogiques ; </w:t>
                  </w:r>
                </w:p>
                <w:p w:rsidR="00F04EEF" w:rsidRDefault="00F04EEF">
                  <w:pPr>
                    <w:pStyle w:val="msolistparagraph0"/>
                    <w:autoSpaceDE w:val="0"/>
                    <w:autoSpaceDN w:val="0"/>
                    <w:ind w:left="567" w:hanging="425"/>
                    <w:jc w:val="both"/>
                    <w:rPr>
                      <w:rFonts w:asciiTheme="majorHAnsi" w:hAnsiTheme="majorHAnsi" w:cs="Calibri"/>
                      <w:lang w:val="fr-BE"/>
                    </w:rPr>
                  </w:pPr>
                </w:p>
                <w:p w:rsidR="00F04EEF" w:rsidRDefault="0099351E">
                  <w:pPr>
                    <w:pStyle w:val="msolistparagraph0"/>
                    <w:numPr>
                      <w:ilvl w:val="0"/>
                      <w:numId w:val="195"/>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Former un ensemble pédagogique situé dans un même complexe de bâtiments ou, en tout cas, dans une même commune ou agglomération, sauf dérogation qui sera introduite auprès du Gouvernement dans des cas exceptionnels ; </w:t>
                  </w:r>
                </w:p>
                <w:p w:rsidR="00F04EEF" w:rsidRDefault="00F04EEF">
                  <w:pPr>
                    <w:pStyle w:val="msolistparagraph0"/>
                    <w:autoSpaceDE w:val="0"/>
                    <w:autoSpaceDN w:val="0"/>
                    <w:ind w:left="567" w:hanging="425"/>
                    <w:jc w:val="both"/>
                    <w:rPr>
                      <w:rFonts w:asciiTheme="majorHAnsi" w:hAnsiTheme="majorHAnsi" w:cs="Calibri"/>
                      <w:lang w:val="fr-BE"/>
                    </w:rPr>
                  </w:pPr>
                </w:p>
                <w:p w:rsidR="00F04EEF" w:rsidRDefault="0099351E">
                  <w:pPr>
                    <w:pStyle w:val="msolistparagraph0"/>
                    <w:numPr>
                      <w:ilvl w:val="0"/>
                      <w:numId w:val="195"/>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d'un personnel susceptible de ne pas mettre en danger la santé des élèves et soumis dès lors au contrôle prévu à l'article 28, alinéa 1er, 4°, de la loi du 29 mai 1959 précitée ; </w:t>
                  </w:r>
                </w:p>
                <w:p w:rsidR="00F04EEF" w:rsidRDefault="00F04EEF">
                  <w:pPr>
                    <w:pStyle w:val="msolistparagraph0"/>
                    <w:autoSpaceDE w:val="0"/>
                    <w:autoSpaceDN w:val="0"/>
                    <w:ind w:left="567" w:hanging="425"/>
                    <w:jc w:val="both"/>
                    <w:rPr>
                      <w:rFonts w:asciiTheme="majorHAnsi" w:hAnsiTheme="majorHAnsi" w:cs="Calibri"/>
                      <w:lang w:val="fr-BE"/>
                    </w:rPr>
                  </w:pPr>
                </w:p>
                <w:p w:rsidR="00F04EEF" w:rsidRDefault="0099351E">
                  <w:pPr>
                    <w:pStyle w:val="msolistparagraph0"/>
                    <w:numPr>
                      <w:ilvl w:val="0"/>
                      <w:numId w:val="195"/>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Se soumettre au régime des congés organisé en application de l'article 7 de la loi du 29 mai 1959 précitée ; </w:t>
                  </w:r>
                </w:p>
                <w:p w:rsidR="00F04EEF" w:rsidRDefault="00F04EEF">
                  <w:pPr>
                    <w:pStyle w:val="Paragraphedeliste"/>
                    <w:rPr>
                      <w:rFonts w:asciiTheme="majorHAnsi" w:hAnsiTheme="majorHAnsi" w:cs="Calibri"/>
                    </w:rPr>
                  </w:pPr>
                </w:p>
                <w:p w:rsidR="00F04EEF" w:rsidRDefault="0099351E">
                  <w:pPr>
                    <w:pStyle w:val="msolistparagraph0"/>
                    <w:numPr>
                      <w:ilvl w:val="0"/>
                      <w:numId w:val="195"/>
                    </w:numPr>
                    <w:autoSpaceDE w:val="0"/>
                    <w:autoSpaceDN w:val="0"/>
                    <w:ind w:left="567" w:hanging="425"/>
                    <w:jc w:val="both"/>
                    <w:rPr>
                      <w:rFonts w:asciiTheme="majorHAnsi" w:hAnsiTheme="majorHAnsi" w:cs="Calibri"/>
                      <w:lang w:val="fr-BE"/>
                    </w:rPr>
                  </w:pPr>
                  <w:r>
                    <w:rPr>
                      <w:rFonts w:asciiTheme="majorHAnsi" w:hAnsiTheme="majorHAnsi" w:cs="Calibri"/>
                      <w:lang w:val="fr-BE"/>
                    </w:rPr>
                    <w:t>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psycho-médico-sociaux et à la création d’un institut de la formation en cours de carrière.</w:t>
                  </w:r>
                </w:p>
                <w:p w:rsidR="00F04EEF" w:rsidRDefault="00F04EEF">
                  <w:pPr>
                    <w:pStyle w:val="Paragraphedeliste"/>
                    <w:rPr>
                      <w:rFonts w:asciiTheme="majorHAnsi" w:hAnsiTheme="majorHAnsi" w:cs="Calibri"/>
                    </w:rPr>
                  </w:pPr>
                </w:p>
                <w:p w:rsidR="00F04EEF" w:rsidRDefault="0099351E">
                  <w:pPr>
                    <w:pStyle w:val="msolistparagraph0"/>
                    <w:numPr>
                      <w:ilvl w:val="0"/>
                      <w:numId w:val="195"/>
                    </w:numPr>
                    <w:autoSpaceDE w:val="0"/>
                    <w:autoSpaceDN w:val="0"/>
                    <w:ind w:left="567" w:hanging="425"/>
                    <w:jc w:val="both"/>
                    <w:rPr>
                      <w:rFonts w:asciiTheme="majorHAnsi" w:hAnsiTheme="majorHAnsi" w:cs="Calibri"/>
                      <w:lang w:val="fr-BE"/>
                    </w:rPr>
                  </w:pPr>
                  <w:r>
                    <w:rPr>
                      <w:rFonts w:asciiTheme="majorHAnsi" w:hAnsiTheme="majorHAnsi" w:cs="Calibri"/>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rsidR="00F04EEF" w:rsidRDefault="00F04EEF">
                  <w:pPr>
                    <w:pStyle w:val="msolistparagraph0"/>
                    <w:autoSpaceDE w:val="0"/>
                    <w:autoSpaceDN w:val="0"/>
                    <w:ind w:left="567"/>
                    <w:jc w:val="both"/>
                    <w:rPr>
                      <w:rFonts w:asciiTheme="majorHAnsi" w:hAnsiTheme="majorHAnsi" w:cs="Calibri"/>
                      <w:lang w:val="fr-BE"/>
                    </w:rPr>
                  </w:pPr>
                </w:p>
                <w:p w:rsidR="00F04EEF" w:rsidRDefault="0099351E">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r>
                    <w:rPr>
                      <w:rFonts w:asciiTheme="majorHAnsi" w:hAnsiTheme="majorHAnsi" w:cs="Calibri"/>
                      <w:lang w:val="fr-BE"/>
                    </w:rPr>
                    <w:t>Signature</w:t>
                  </w:r>
                </w:p>
                <w:p w:rsidR="00F04EEF" w:rsidRDefault="00F04EEF">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rsidR="00F04EEF" w:rsidRDefault="00F04EEF">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rsidR="00F04EEF" w:rsidRDefault="00F04EEF">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jc w:val="both"/>
                    <w:rPr>
                      <w:rFonts w:eastAsia="Times New Roman" w:cs="Calibri"/>
                      <w:lang w:eastAsia="fr-FR"/>
                    </w:rPr>
                  </w:pPr>
                  <w:r>
                    <w:rPr>
                      <w:rFonts w:cs="Calibri"/>
                    </w:rPr>
                    <w:br w:type="page"/>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Titre4"/>
                  </w:pPr>
                  <w:bookmarkStart w:id="1881" w:name="_Annexe_4_:_7"/>
                  <w:bookmarkEnd w:id="1881"/>
                  <w:r>
                    <w:t>Annexe 4 : Annexes à joindre à la présente demande </w:t>
                  </w:r>
                </w:p>
                <w:tbl>
                  <w:tblPr>
                    <w:tblW w:w="17424" w:type="dxa"/>
                    <w:tblInd w:w="-1026" w:type="dxa"/>
                    <w:tblLook w:val="04A0" w:firstRow="1" w:lastRow="0" w:firstColumn="1" w:lastColumn="0" w:noHBand="0" w:noVBand="1"/>
                  </w:tblPr>
                  <w:tblGrid>
                    <w:gridCol w:w="17424"/>
                  </w:tblGrid>
                  <w:tr w:rsidR="00F04EEF">
                    <w:tc>
                      <w:tcPr>
                        <w:tcW w:w="17424" w:type="dxa"/>
                      </w:tcPr>
                      <w:p w:rsidR="00F04EEF" w:rsidRDefault="00F04EEF">
                        <w:pPr>
                          <w:pStyle w:val="msolistparagraph0"/>
                          <w:autoSpaceDE w:val="0"/>
                          <w:autoSpaceDN w:val="0"/>
                          <w:ind w:left="0"/>
                          <w:jc w:val="both"/>
                          <w:rPr>
                            <w:rFonts w:asciiTheme="majorHAnsi" w:hAnsiTheme="majorHAnsi" w:cs="Calibri"/>
                            <w:b/>
                          </w:rPr>
                        </w:pPr>
                      </w:p>
                    </w:tc>
                  </w:tr>
                </w:tbl>
                <w:p w:rsidR="00F04EEF" w:rsidRDefault="0099351E">
                  <w:pPr>
                    <w:pStyle w:val="msolistparagraph0"/>
                    <w:numPr>
                      <w:ilvl w:val="0"/>
                      <w:numId w:val="209"/>
                    </w:numPr>
                    <w:autoSpaceDE w:val="0"/>
                    <w:autoSpaceDN w:val="0"/>
                    <w:spacing w:after="200"/>
                    <w:ind w:left="0" w:firstLine="0"/>
                    <w:jc w:val="both"/>
                    <w:rPr>
                      <w:rFonts w:asciiTheme="majorHAnsi" w:hAnsiTheme="majorHAnsi" w:cs="Calibri"/>
                      <w:lang w:val="fr-BE"/>
                    </w:rPr>
                  </w:pPr>
                  <w:r>
                    <w:rPr>
                      <w:rFonts w:asciiTheme="majorHAnsi" w:hAnsiTheme="majorHAnsi" w:cs="Calibri"/>
                      <w:b/>
                      <w:u w:val="single"/>
                      <w:lang w:val="fr-BE"/>
                    </w:rPr>
                    <w:t>Dans tous les cas</w:t>
                  </w:r>
                  <w:r>
                    <w:rPr>
                      <w:rFonts w:asciiTheme="majorHAnsi" w:hAnsiTheme="majorHAnsi" w:cs="Calibri"/>
                      <w:lang w:val="fr-BE"/>
                    </w:rPr>
                    <w:t xml:space="preserve"> : </w:t>
                  </w:r>
                </w:p>
                <w:p w:rsidR="00F04EEF" w:rsidRDefault="0099351E">
                  <w:pPr>
                    <w:pStyle w:val="msolistparagraph0"/>
                    <w:numPr>
                      <w:ilvl w:val="0"/>
                      <w:numId w:val="210"/>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1</w:t>
                  </w:r>
                  <w:r>
                    <w:rPr>
                      <w:rFonts w:asciiTheme="majorHAnsi" w:hAnsiTheme="majorHAnsi" w:cs="Calibri"/>
                      <w:lang w:val="fr-BE"/>
                    </w:rPr>
                    <w:t> : copie du compte-rendu de la délibération du P.O. actant la décision de solliciter l’admission aux subventions ;</w:t>
                  </w:r>
                </w:p>
                <w:p w:rsidR="00F04EEF" w:rsidRDefault="0099351E">
                  <w:pPr>
                    <w:pStyle w:val="msolistparagraph0"/>
                    <w:numPr>
                      <w:ilvl w:val="0"/>
                      <w:numId w:val="210"/>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2</w:t>
                  </w:r>
                  <w:r>
                    <w:rPr>
                      <w:rFonts w:asciiTheme="majorHAnsi" w:hAnsiTheme="majorHAnsi" w:cs="Calibri"/>
                      <w:lang w:val="fr-BE"/>
                    </w:rPr>
                    <w:t xml:space="preserve"> : copie du projet éducatif et pédagogique ; </w:t>
                  </w:r>
                </w:p>
                <w:p w:rsidR="00F04EEF" w:rsidRDefault="0099351E">
                  <w:pPr>
                    <w:pStyle w:val="msolistparagraph0"/>
                    <w:numPr>
                      <w:ilvl w:val="0"/>
                      <w:numId w:val="210"/>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3</w:t>
                  </w:r>
                  <w:r>
                    <w:rPr>
                      <w:rFonts w:asciiTheme="majorHAnsi" w:hAnsiTheme="majorHAnsi" w:cs="Calibri"/>
                      <w:lang w:val="fr-BE"/>
                    </w:rPr>
                    <w:t> : copie du R.O.I. ;</w:t>
                  </w:r>
                </w:p>
                <w:p w:rsidR="00F04EEF" w:rsidRDefault="0099351E">
                  <w:pPr>
                    <w:pStyle w:val="msolistparagraph0"/>
                    <w:numPr>
                      <w:ilvl w:val="0"/>
                      <w:numId w:val="210"/>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4</w:t>
                  </w:r>
                  <w:r>
                    <w:rPr>
                      <w:rFonts w:asciiTheme="majorHAnsi" w:hAnsiTheme="majorHAnsi" w:cs="Calibri"/>
                      <w:lang w:val="fr-BE"/>
                    </w:rPr>
                    <w:t> : copie du plan des bâtiments ;</w:t>
                  </w:r>
                </w:p>
                <w:p w:rsidR="00F04EEF" w:rsidRDefault="0099351E">
                  <w:pPr>
                    <w:pStyle w:val="msolistparagraph0"/>
                    <w:numPr>
                      <w:ilvl w:val="0"/>
                      <w:numId w:val="210"/>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5a</w:t>
                  </w:r>
                  <w:r>
                    <w:rPr>
                      <w:rFonts w:asciiTheme="majorHAnsi" w:hAnsiTheme="majorHAnsi" w:cs="Calibri"/>
                      <w:lang w:val="fr-BE"/>
                    </w:rPr>
                    <w:t> : référence du ou des programmes choisi(s) si le P.O. opte pour un ou des programmes déjà approuvé(s) ;</w:t>
                  </w:r>
                </w:p>
                <w:p w:rsidR="00F04EEF" w:rsidRDefault="0099351E">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Ou</w:t>
                  </w:r>
                </w:p>
                <w:p w:rsidR="00F04EEF" w:rsidRDefault="00F04EEF">
                  <w:pPr>
                    <w:pStyle w:val="msolistparagraph0"/>
                    <w:autoSpaceDE w:val="0"/>
                    <w:autoSpaceDN w:val="0"/>
                    <w:ind w:left="0"/>
                    <w:jc w:val="both"/>
                    <w:rPr>
                      <w:rFonts w:asciiTheme="majorHAnsi" w:hAnsiTheme="majorHAnsi" w:cs="Calibri"/>
                      <w:lang w:val="fr-BE"/>
                    </w:rPr>
                  </w:pPr>
                </w:p>
                <w:p w:rsidR="00F04EEF" w:rsidRDefault="0099351E">
                  <w:pPr>
                    <w:pStyle w:val="msolistparagraph0"/>
                    <w:autoSpaceDE w:val="0"/>
                    <w:autoSpaceDN w:val="0"/>
                    <w:ind w:left="0"/>
                    <w:jc w:val="both"/>
                    <w:rPr>
                      <w:rFonts w:asciiTheme="majorHAnsi" w:hAnsiTheme="majorHAnsi" w:cs="Calibri"/>
                    </w:rPr>
                  </w:pPr>
                  <w:r>
                    <w:rPr>
                      <w:rFonts w:asciiTheme="majorHAnsi" w:hAnsiTheme="majorHAnsi" w:cs="Calibri"/>
                      <w:b/>
                      <w:lang w:val="fr-BE"/>
                    </w:rPr>
                    <w:t>Annexe 5b</w:t>
                  </w:r>
                  <w:r>
                    <w:rPr>
                      <w:rFonts w:asciiTheme="majorHAnsi" w:hAnsiTheme="majorHAnsi" w:cs="Calibri"/>
                      <w:lang w:val="fr-BE"/>
                    </w:rPr>
                    <w:t xml:space="preserve"> : copie </w:t>
                  </w:r>
                  <w:r>
                    <w:rPr>
                      <w:rFonts w:asciiTheme="majorHAnsi" w:hAnsiTheme="majorHAnsi" w:cs="Calibri"/>
                    </w:rPr>
                    <w:t>de la demande d’approbation effectuée avec le programme d’étude soumis à approbation et la date de demande d’approbation ;</w:t>
                  </w:r>
                </w:p>
                <w:p w:rsidR="00F04EEF" w:rsidRDefault="00F04EEF">
                  <w:pPr>
                    <w:pStyle w:val="msolistparagraph0"/>
                    <w:autoSpaceDE w:val="0"/>
                    <w:autoSpaceDN w:val="0"/>
                    <w:ind w:left="0"/>
                    <w:jc w:val="both"/>
                    <w:rPr>
                      <w:rFonts w:asciiTheme="majorHAnsi" w:hAnsiTheme="majorHAnsi" w:cs="Calibri"/>
                    </w:rPr>
                  </w:pPr>
                </w:p>
                <w:p w:rsidR="00F04EEF" w:rsidRDefault="0099351E">
                  <w:pPr>
                    <w:pStyle w:val="msolistparagraph0"/>
                    <w:numPr>
                      <w:ilvl w:val="0"/>
                      <w:numId w:val="209"/>
                    </w:numPr>
                    <w:autoSpaceDE w:val="0"/>
                    <w:autoSpaceDN w:val="0"/>
                    <w:spacing w:after="200"/>
                    <w:ind w:left="709" w:hanging="709"/>
                    <w:jc w:val="both"/>
                    <w:rPr>
                      <w:rFonts w:asciiTheme="majorHAnsi" w:hAnsiTheme="majorHAnsi" w:cs="Calibri"/>
                    </w:rPr>
                  </w:pPr>
                  <w:r>
                    <w:rPr>
                      <w:rFonts w:asciiTheme="majorHAnsi" w:hAnsiTheme="majorHAnsi" w:cs="Calibri"/>
                      <w:b/>
                      <w:u w:val="single"/>
                    </w:rPr>
                    <w:t>Le cas échéant</w:t>
                  </w:r>
                  <w:r>
                    <w:rPr>
                      <w:rFonts w:asciiTheme="majorHAnsi" w:hAnsiTheme="majorHAnsi" w:cs="Calibri"/>
                    </w:rPr>
                    <w:t xml:space="preserve"> : </w:t>
                  </w:r>
                </w:p>
                <w:p w:rsidR="00F04EEF" w:rsidRDefault="0099351E">
                  <w:pPr>
                    <w:pStyle w:val="msolistparagraph0"/>
                    <w:numPr>
                      <w:ilvl w:val="0"/>
                      <w:numId w:val="211"/>
                    </w:numPr>
                    <w:autoSpaceDE w:val="0"/>
                    <w:autoSpaceDN w:val="0"/>
                    <w:spacing w:after="200"/>
                    <w:ind w:left="0" w:firstLine="0"/>
                    <w:jc w:val="both"/>
                    <w:rPr>
                      <w:rFonts w:asciiTheme="majorHAnsi" w:hAnsiTheme="majorHAnsi" w:cs="Calibri"/>
                    </w:rPr>
                  </w:pPr>
                  <w:r>
                    <w:rPr>
                      <w:rFonts w:asciiTheme="majorHAnsi" w:hAnsiTheme="majorHAnsi" w:cs="Calibri"/>
                      <w:b/>
                    </w:rPr>
                    <w:t>Annexe 6</w:t>
                  </w:r>
                  <w:r>
                    <w:rPr>
                      <w:rFonts w:asciiTheme="majorHAnsi" w:hAnsiTheme="majorHAnsi" w:cs="Calibri"/>
                    </w:rPr>
                    <w:t xml:space="preserve"> : </w:t>
                  </w:r>
                  <w:r>
                    <w:rPr>
                      <w:rFonts w:asciiTheme="majorHAnsi" w:hAnsiTheme="majorHAnsi" w:cs="Calibri"/>
                      <w:lang w:val="fr-BE"/>
                    </w:rPr>
                    <w:t>copie du compte-rendu de la délibération du P.O. autorisant la représentation</w:t>
                  </w:r>
                </w:p>
                <w:p w:rsidR="00F04EEF" w:rsidRDefault="0099351E">
                  <w:pPr>
                    <w:pStyle w:val="msolistparagraph0"/>
                    <w:numPr>
                      <w:ilvl w:val="0"/>
                      <w:numId w:val="211"/>
                    </w:numPr>
                    <w:autoSpaceDE w:val="0"/>
                    <w:autoSpaceDN w:val="0"/>
                    <w:spacing w:after="200"/>
                    <w:ind w:left="0" w:firstLine="0"/>
                    <w:jc w:val="both"/>
                    <w:rPr>
                      <w:rFonts w:asciiTheme="majorHAnsi" w:hAnsiTheme="majorHAnsi" w:cs="Calibri"/>
                    </w:rPr>
                  </w:pPr>
                  <w:r>
                    <w:rPr>
                      <w:rFonts w:asciiTheme="majorHAnsi" w:hAnsiTheme="majorHAnsi" w:cs="Calibri"/>
                      <w:b/>
                    </w:rPr>
                    <w:t>Annexe 7</w:t>
                  </w:r>
                  <w:r>
                    <w:rPr>
                      <w:rFonts w:asciiTheme="majorHAnsi" w:hAnsiTheme="majorHAnsi" w:cs="Calibri"/>
                    </w:rPr>
                    <w:t xml:space="preserve"> : </w:t>
                  </w:r>
                  <w:r>
                    <w:rPr>
                      <w:rFonts w:asciiTheme="majorHAnsi" w:hAnsiTheme="majorHAnsi" w:cs="Calibri"/>
                      <w:lang w:val="fr-BE"/>
                    </w:rPr>
                    <w:t>si le P.O. est constitué en ASBL, une copie des statuts</w:t>
                  </w:r>
                </w:p>
                <w:p w:rsidR="00F04EEF" w:rsidRDefault="0099351E">
                  <w:pPr>
                    <w:pStyle w:val="msolistparagraph0"/>
                    <w:numPr>
                      <w:ilvl w:val="0"/>
                      <w:numId w:val="211"/>
                    </w:numPr>
                    <w:autoSpaceDE w:val="0"/>
                    <w:autoSpaceDN w:val="0"/>
                    <w:spacing w:after="200"/>
                    <w:ind w:left="0" w:firstLine="0"/>
                    <w:jc w:val="both"/>
                    <w:rPr>
                      <w:rFonts w:asciiTheme="majorHAnsi" w:hAnsiTheme="majorHAnsi" w:cs="Calibri"/>
                    </w:rPr>
                  </w:pPr>
                  <w:r>
                    <w:rPr>
                      <w:rFonts w:asciiTheme="majorHAnsi" w:hAnsiTheme="majorHAnsi" w:cs="Calibri"/>
                      <w:b/>
                    </w:rPr>
                    <w:t>Annexe 8</w:t>
                  </w:r>
                  <w:r>
                    <w:rPr>
                      <w:rFonts w:asciiTheme="majorHAnsi" w:hAnsiTheme="majorHAnsi" w:cs="Calibri"/>
                    </w:rPr>
                    <w:t> :</w:t>
                  </w:r>
                  <w:r>
                    <w:rPr>
                      <w:rFonts w:asciiTheme="majorHAnsi" w:hAnsiTheme="majorHAnsi" w:cs="Calibri"/>
                      <w:lang w:val="fr-BE"/>
                    </w:rPr>
                    <w:t xml:space="preserve"> si le P.O. est constitué en ASBL, une copie de l’extrait de casier judiciaire des membres du C.A. </w:t>
                  </w:r>
                </w:p>
                <w:p w:rsidR="00F04EEF" w:rsidRDefault="0099351E">
                  <w:pPr>
                    <w:pStyle w:val="msolistparagraph0"/>
                    <w:numPr>
                      <w:ilvl w:val="0"/>
                      <w:numId w:val="211"/>
                    </w:numPr>
                    <w:autoSpaceDE w:val="0"/>
                    <w:autoSpaceDN w:val="0"/>
                    <w:spacing w:after="200"/>
                    <w:ind w:left="0" w:firstLine="0"/>
                    <w:jc w:val="both"/>
                    <w:rPr>
                      <w:rFonts w:asciiTheme="majorHAnsi" w:hAnsiTheme="majorHAnsi" w:cs="Calibri"/>
                    </w:rPr>
                  </w:pPr>
                  <w:r>
                    <w:rPr>
                      <w:rFonts w:asciiTheme="majorHAnsi" w:hAnsiTheme="majorHAnsi" w:cs="Calibri"/>
                      <w:b/>
                    </w:rPr>
                    <w:t>Annexe 9</w:t>
                  </w:r>
                  <w:r>
                    <w:rPr>
                      <w:rFonts w:asciiTheme="majorHAnsi" w:hAnsiTheme="majorHAnsi" w:cs="Calibri"/>
                    </w:rPr>
                    <w:t xml:space="preserve"> : </w:t>
                  </w:r>
                  <w:r>
                    <w:rPr>
                      <w:rFonts w:asciiTheme="majorHAnsi" w:hAnsiTheme="majorHAnsi" w:cs="Calibri"/>
                      <w:lang w:val="fr-BE"/>
                    </w:rPr>
                    <w:t>si enseignement confessionnel, copie de l’accord de l’autorité compétente du culte concerné</w:t>
                  </w:r>
                </w:p>
                <w:p w:rsidR="00F04EEF" w:rsidRDefault="0099351E">
                  <w:pPr>
                    <w:pStyle w:val="msolistparagraph0"/>
                    <w:numPr>
                      <w:ilvl w:val="0"/>
                      <w:numId w:val="211"/>
                    </w:numPr>
                    <w:autoSpaceDE w:val="0"/>
                    <w:autoSpaceDN w:val="0"/>
                    <w:spacing w:after="200"/>
                    <w:ind w:left="0" w:firstLine="0"/>
                    <w:jc w:val="both"/>
                    <w:rPr>
                      <w:rFonts w:asciiTheme="majorHAnsi" w:hAnsiTheme="majorHAnsi" w:cs="Calibri"/>
                    </w:rPr>
                  </w:pPr>
                  <w:r>
                    <w:rPr>
                      <w:rFonts w:asciiTheme="majorHAnsi" w:hAnsiTheme="majorHAnsi" w:cs="Calibri"/>
                      <w:b/>
                    </w:rPr>
                    <w:t>Annexe 10</w:t>
                  </w:r>
                  <w:r>
                    <w:rPr>
                      <w:rFonts w:asciiTheme="majorHAnsi" w:hAnsiTheme="majorHAnsi" w:cs="Calibri"/>
                    </w:rPr>
                    <w:t> :</w:t>
                  </w:r>
                  <w:r>
                    <w:rPr>
                      <w:rFonts w:asciiTheme="majorHAnsi" w:hAnsiTheme="majorHAnsi" w:cs="Calibri"/>
                      <w:lang w:val="fr-BE"/>
                    </w:rPr>
                    <w:t xml:space="preserve"> si enseignement secondaire spécialisé de forme 3, préciser le(s) secteur(s), le(s) groupes(s) professionnel(s) et les métier(s)</w:t>
                  </w:r>
                </w:p>
                <w:p w:rsidR="00F04EEF" w:rsidRDefault="0099351E">
                  <w:pPr>
                    <w:pStyle w:val="msolistparagraph0"/>
                    <w:numPr>
                      <w:ilvl w:val="0"/>
                      <w:numId w:val="211"/>
                    </w:numPr>
                    <w:autoSpaceDE w:val="0"/>
                    <w:autoSpaceDN w:val="0"/>
                    <w:spacing w:after="200"/>
                    <w:ind w:left="0" w:firstLine="0"/>
                    <w:jc w:val="both"/>
                    <w:rPr>
                      <w:rFonts w:asciiTheme="majorHAnsi" w:hAnsiTheme="majorHAnsi" w:cs="Calibri"/>
                    </w:rPr>
                  </w:pPr>
                  <w:r>
                    <w:rPr>
                      <w:rFonts w:asciiTheme="majorHAnsi" w:hAnsiTheme="majorHAnsi" w:cs="Calibri"/>
                      <w:b/>
                    </w:rPr>
                    <w:t>Annexe 11</w:t>
                  </w:r>
                  <w:r>
                    <w:rPr>
                      <w:rFonts w:asciiTheme="majorHAnsi" w:hAnsiTheme="majorHAnsi" w:cs="Calibr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rsidR="00F04EEF" w:rsidRDefault="00F04EEF">
                  <w:pPr>
                    <w:rPr>
                      <w:lang w:val="fr-FR"/>
                    </w:rPr>
                  </w:pPr>
                </w:p>
                <w:p w:rsidR="00F04EEF" w:rsidRDefault="0099351E">
                  <w:pPr>
                    <w:rPr>
                      <w:b/>
                      <w:u w:val="single"/>
                    </w:rPr>
                  </w:pPr>
                  <w:r>
                    <w:br w:type="page"/>
                  </w:r>
                </w:p>
                <w:p w:rsidR="00F04EEF" w:rsidRDefault="00F04EEF"/>
                <w:bookmarkEnd w:id="1849"/>
                <w:bookmarkEnd w:id="1850"/>
                <w:p w:rsidR="00F04EEF" w:rsidRDefault="00F04EEF">
                  <w:pPr>
                    <w:tabs>
                      <w:tab w:val="center" w:pos="4536"/>
                    </w:tabs>
                    <w:jc w:val="right"/>
                    <w:rPr>
                      <w:b/>
                    </w:rPr>
                  </w:pPr>
                </w:p>
                <w:p w:rsidR="00F04EEF" w:rsidRDefault="0099351E">
                  <w:pPr>
                    <w:pStyle w:val="Titre4"/>
                  </w:pPr>
                  <w:bookmarkStart w:id="1882" w:name="_Toc414353001"/>
                  <w:bookmarkStart w:id="1883" w:name="_Toc453837017"/>
                  <w:r>
                    <w:t>Annexe 5 : Demande d’admission aux subventions - Enseignement secondaire spécialisé</w:t>
                  </w:r>
                  <w:bookmarkEnd w:id="1882"/>
                  <w:bookmarkEnd w:id="1883"/>
                </w:p>
                <w:p w:rsidR="00F04EEF" w:rsidRDefault="00F04EEF">
                  <w:pPr>
                    <w:jc w:val="both"/>
                  </w:pPr>
                </w:p>
                <w:p w:rsidR="00F04EEF" w:rsidRDefault="0099351E">
                  <w:pPr>
                    <w:jc w:val="both"/>
                    <w:rPr>
                      <w:b/>
                    </w:rPr>
                  </w:pPr>
                  <w:r>
                    <w:rPr>
                      <w:b/>
                    </w:rPr>
                    <w:t>Présenter une demande distincte par forme d’enseignement et (pour la forme 3) par métier.</w:t>
                  </w:r>
                </w:p>
                <w:p w:rsidR="00F04EEF" w:rsidRDefault="00F04EEF">
                  <w:pPr>
                    <w:jc w:val="both"/>
                  </w:pPr>
                </w:p>
                <w:p w:rsidR="00F04EEF" w:rsidRDefault="0099351E">
                  <w:pPr>
                    <w:pBdr>
                      <w:top w:val="single" w:sz="4" w:space="1" w:color="000000"/>
                      <w:left w:val="single" w:sz="4" w:space="4" w:color="000000"/>
                      <w:bottom w:val="single" w:sz="4" w:space="0" w:color="000000"/>
                      <w:right w:val="single" w:sz="4" w:space="0" w:color="000000"/>
                    </w:pBdr>
                    <w:jc w:val="both"/>
                    <w:rPr>
                      <w:b/>
                    </w:rPr>
                  </w:pPr>
                  <w:r>
                    <w:rPr>
                      <w:b/>
                    </w:rPr>
                    <w:t>Dénomination et adresse du pouvoir organisateur</w:t>
                  </w:r>
                </w:p>
                <w:p w:rsidR="00F04EEF" w:rsidRDefault="00F04EEF">
                  <w:pPr>
                    <w:pBdr>
                      <w:top w:val="single" w:sz="4" w:space="1" w:color="000000"/>
                      <w:left w:val="single" w:sz="4" w:space="4" w:color="000000"/>
                      <w:bottom w:val="single" w:sz="4" w:space="0" w:color="000000"/>
                      <w:right w:val="single" w:sz="4" w:space="0" w:color="000000"/>
                    </w:pBdr>
                    <w:jc w:val="both"/>
                  </w:pPr>
                </w:p>
                <w:p w:rsidR="00F04EEF" w:rsidRDefault="00F04EEF">
                  <w:pPr>
                    <w:pBdr>
                      <w:top w:val="single" w:sz="4" w:space="1" w:color="000000"/>
                      <w:left w:val="single" w:sz="4" w:space="4" w:color="000000"/>
                      <w:bottom w:val="single" w:sz="4" w:space="0" w:color="000000"/>
                      <w:right w:val="single" w:sz="4" w:space="0" w:color="000000"/>
                    </w:pBdr>
                    <w:jc w:val="both"/>
                  </w:pPr>
                </w:p>
                <w:p w:rsidR="00F04EEF" w:rsidRDefault="00F04EEF">
                  <w:pPr>
                    <w:pBdr>
                      <w:top w:val="single" w:sz="4" w:space="1" w:color="000000"/>
                      <w:left w:val="single" w:sz="4" w:space="4" w:color="000000"/>
                      <w:bottom w:val="single" w:sz="4" w:space="0" w:color="000000"/>
                      <w:right w:val="single" w:sz="4" w:space="0" w:color="000000"/>
                    </w:pBdr>
                    <w:jc w:val="both"/>
                  </w:pPr>
                </w:p>
                <w:p w:rsidR="00F04EEF" w:rsidRDefault="00F04EEF"/>
                <w:p w:rsidR="00F04EEF" w:rsidRDefault="0099351E">
                  <w:r>
                    <w:t xml:space="preserve">Annexes : </w:t>
                  </w:r>
                  <w:r>
                    <w:tab/>
                  </w:r>
                  <w:r>
                    <w:tab/>
                  </w:r>
                  <w:r>
                    <w:tab/>
                  </w:r>
                  <w:r>
                    <w:tab/>
                  </w:r>
                  <w:r>
                    <w:tab/>
                  </w:r>
                  <w:r>
                    <w:tab/>
                  </w:r>
                  <w:r>
                    <w:tab/>
                  </w:r>
                  <w:r>
                    <w:tab/>
                    <w:t>Date d’envoi :</w:t>
                  </w:r>
                </w:p>
                <w:p w:rsidR="00F04EEF" w:rsidRDefault="00F04EEF">
                  <w:pPr>
                    <w:jc w:val="both"/>
                  </w:pPr>
                </w:p>
                <w:p w:rsidR="00F04EEF" w:rsidRDefault="00F04EEF">
                  <w:pPr>
                    <w:jc w:val="both"/>
                  </w:pPr>
                </w:p>
                <w:p w:rsidR="00F04EEF" w:rsidRDefault="0099351E">
                  <w:pPr>
                    <w:rPr>
                      <w:rStyle w:val="Caractresdenotedebasdepage"/>
                    </w:rPr>
                  </w:pPr>
                  <w:r>
                    <w:t>Conformément aux dispositions des articles 24 et 37 de la loi du 29 mai 1959 modifiant certaines dispositions de la législation de l'enseignement, le (la) soussigné(e)</w:t>
                  </w:r>
                  <w:r>
                    <w:rPr>
                      <w:rStyle w:val="Caractresdenotedebasdepage"/>
                    </w:rPr>
                    <w:t xml:space="preserve"> 1)</w:t>
                  </w:r>
                </w:p>
                <w:p w:rsidR="00F04EEF" w:rsidRDefault="00F04EEF">
                  <w:pPr>
                    <w:jc w:val="both"/>
                  </w:pPr>
                </w:p>
                <w:p w:rsidR="00F04EEF" w:rsidRDefault="0099351E">
                  <w:pPr>
                    <w:jc w:val="both"/>
                  </w:pPr>
                  <w:r>
                    <w:t>Représentant le pouvoir organisateur de l’établissement :</w:t>
                  </w:r>
                </w:p>
                <w:p w:rsidR="00F04EEF" w:rsidRDefault="0099351E">
                  <w:pPr>
                    <w:jc w:val="both"/>
                  </w:pPr>
                  <w:r>
                    <w:t>Matricule SIGES et Numéro FASE :</w:t>
                  </w:r>
                </w:p>
                <w:p w:rsidR="00F04EEF" w:rsidRDefault="0099351E">
                  <w:pPr>
                    <w:jc w:val="both"/>
                  </w:pPr>
                  <w:r>
                    <w:t>Dénomination :</w:t>
                  </w:r>
                </w:p>
                <w:p w:rsidR="00F04EEF" w:rsidRDefault="0099351E">
                  <w:pPr>
                    <w:jc w:val="both"/>
                  </w:pPr>
                  <w:r>
                    <w:t>Adresse :</w:t>
                  </w:r>
                </w:p>
                <w:p w:rsidR="00F04EEF" w:rsidRDefault="00F04EEF">
                  <w:pPr>
                    <w:jc w:val="both"/>
                  </w:pPr>
                </w:p>
                <w:p w:rsidR="00F04EEF" w:rsidRDefault="0099351E">
                  <w:pPr>
                    <w:jc w:val="both"/>
                  </w:pPr>
                  <w:r>
                    <w:t>CP et LOCALITE :</w:t>
                  </w:r>
                </w:p>
                <w:p w:rsidR="00F04EEF" w:rsidRDefault="0099351E">
                  <w:pPr>
                    <w:jc w:val="both"/>
                  </w:pPr>
                  <w:r>
                    <w:rPr>
                      <w:rFonts w:cs="Arial"/>
                    </w:rPr>
                    <w:sym w:font="Wingdings" w:char="F028"/>
                  </w:r>
                  <w:r>
                    <w:rPr>
                      <w:rFonts w:cs="Arial"/>
                    </w:rPr>
                    <w:t> </w:t>
                  </w:r>
                  <w:r>
                    <w:tab/>
                  </w:r>
                  <w:r>
                    <w:tab/>
                  </w:r>
                  <w:r>
                    <w:tab/>
                  </w:r>
                  <w:r>
                    <w:tab/>
                  </w:r>
                  <w:r>
                    <w:tab/>
                  </w:r>
                  <w:r>
                    <w:tab/>
                    <w:t xml:space="preserve"> </w:t>
                  </w:r>
                </w:p>
                <w:p w:rsidR="00F04EEF" w:rsidRDefault="00F04EEF">
                  <w:pPr>
                    <w:jc w:val="both"/>
                  </w:pPr>
                </w:p>
                <w:p w:rsidR="00F04EEF" w:rsidRDefault="0099351E">
                  <w:pPr>
                    <w:jc w:val="both"/>
                    <w:rPr>
                      <w:rStyle w:val="Caractresdenotedebasdepage"/>
                    </w:rPr>
                  </w:pPr>
                  <w:r>
                    <w:t xml:space="preserve">Direction confiée à Madame/Monsieur </w:t>
                  </w:r>
                  <w:r>
                    <w:rPr>
                      <w:rStyle w:val="Caractresdenotedebasdepage"/>
                    </w:rPr>
                    <w:t xml:space="preserve"> </w:t>
                  </w:r>
                  <w:r>
                    <w:rPr>
                      <w:rStyle w:val="Caractresdenotedebasdepage"/>
                    </w:rPr>
                    <w:footnoteReference w:customMarkFollows="1" w:id="121"/>
                    <w:t>(1) (2)</w:t>
                  </w:r>
                </w:p>
                <w:p w:rsidR="00F04EEF" w:rsidRDefault="0099351E">
                  <w:pPr>
                    <w:jc w:val="both"/>
                  </w:pPr>
                  <w:r>
                    <w:t>A l’honneur de solliciter les subventions de la Fédération Wallonie-Bruxelles en faveur de :</w:t>
                  </w:r>
                </w:p>
                <w:p w:rsidR="00F04EEF" w:rsidRDefault="00F04EEF">
                  <w:pPr>
                    <w:jc w:val="both"/>
                  </w:pPr>
                </w:p>
                <w:tbl>
                  <w:tblPr>
                    <w:tblW w:w="9628" w:type="dxa"/>
                    <w:tblInd w:w="-35" w:type="dxa"/>
                    <w:tblLayout w:type="fixed"/>
                    <w:tblLook w:val="0000" w:firstRow="0" w:lastRow="0" w:firstColumn="0" w:lastColumn="0" w:noHBand="0" w:noVBand="0"/>
                  </w:tblPr>
                  <w:tblGrid>
                    <w:gridCol w:w="881"/>
                    <w:gridCol w:w="753"/>
                    <w:gridCol w:w="2649"/>
                    <w:gridCol w:w="2835"/>
                    <w:gridCol w:w="2510"/>
                  </w:tblGrid>
                  <w:tr w:rsidR="00F04EEF">
                    <w:tc>
                      <w:tcPr>
                        <w:tcW w:w="881" w:type="dxa"/>
                        <w:tcBorders>
                          <w:top w:val="single" w:sz="4" w:space="0" w:color="000000"/>
                          <w:left w:val="single" w:sz="4" w:space="0" w:color="000000"/>
                          <w:bottom w:val="single" w:sz="4" w:space="0" w:color="000000"/>
                        </w:tcBorders>
                      </w:tcPr>
                      <w:p w:rsidR="00F04EEF" w:rsidRDefault="0099351E">
                        <w:pPr>
                          <w:snapToGrid w:val="0"/>
                          <w:jc w:val="center"/>
                        </w:pPr>
                        <w:r>
                          <w:t>Forme</w:t>
                        </w:r>
                      </w:p>
                    </w:tc>
                    <w:tc>
                      <w:tcPr>
                        <w:tcW w:w="753" w:type="dxa"/>
                        <w:tcBorders>
                          <w:top w:val="single" w:sz="4" w:space="0" w:color="000000"/>
                          <w:left w:val="single" w:sz="4" w:space="0" w:color="000000"/>
                          <w:bottom w:val="single" w:sz="4" w:space="0" w:color="000000"/>
                        </w:tcBorders>
                      </w:tcPr>
                      <w:p w:rsidR="00F04EEF" w:rsidRDefault="0099351E">
                        <w:pPr>
                          <w:snapToGrid w:val="0"/>
                          <w:jc w:val="center"/>
                        </w:pPr>
                        <w:r>
                          <w:t>Type</w:t>
                        </w:r>
                      </w:p>
                    </w:tc>
                    <w:tc>
                      <w:tcPr>
                        <w:tcW w:w="2649" w:type="dxa"/>
                        <w:tcBorders>
                          <w:top w:val="single" w:sz="4" w:space="0" w:color="000000"/>
                          <w:left w:val="single" w:sz="4" w:space="0" w:color="000000"/>
                          <w:bottom w:val="single" w:sz="4" w:space="0" w:color="000000"/>
                        </w:tcBorders>
                      </w:tcPr>
                      <w:p w:rsidR="00F04EEF" w:rsidRDefault="0099351E">
                        <w:pPr>
                          <w:snapToGrid w:val="0"/>
                          <w:jc w:val="center"/>
                        </w:pPr>
                        <w:r>
                          <w:t>Secteur professionnel</w:t>
                        </w:r>
                      </w:p>
                    </w:tc>
                    <w:tc>
                      <w:tcPr>
                        <w:tcW w:w="2835" w:type="dxa"/>
                        <w:tcBorders>
                          <w:top w:val="single" w:sz="4" w:space="0" w:color="000000"/>
                          <w:left w:val="single" w:sz="4" w:space="0" w:color="000000"/>
                          <w:bottom w:val="single" w:sz="4" w:space="0" w:color="000000"/>
                        </w:tcBorders>
                      </w:tcPr>
                      <w:p w:rsidR="00F04EEF" w:rsidRDefault="0099351E">
                        <w:pPr>
                          <w:snapToGrid w:val="0"/>
                          <w:jc w:val="center"/>
                        </w:pPr>
                        <w:r>
                          <w:t>Groupe professionnel</w:t>
                        </w:r>
                      </w:p>
                    </w:tc>
                    <w:tc>
                      <w:tcPr>
                        <w:tcW w:w="2510" w:type="dxa"/>
                        <w:tcBorders>
                          <w:top w:val="single" w:sz="4" w:space="0" w:color="000000"/>
                          <w:left w:val="single" w:sz="4" w:space="0" w:color="000000"/>
                          <w:bottom w:val="single" w:sz="4" w:space="0" w:color="000000"/>
                          <w:right w:val="single" w:sz="4" w:space="0" w:color="000000"/>
                        </w:tcBorders>
                      </w:tcPr>
                      <w:p w:rsidR="00F04EEF" w:rsidRDefault="0099351E">
                        <w:pPr>
                          <w:snapToGrid w:val="0"/>
                          <w:jc w:val="center"/>
                        </w:pPr>
                        <w:r>
                          <w:t>Métier</w:t>
                        </w:r>
                      </w:p>
                    </w:tc>
                  </w:tr>
                  <w:tr w:rsidR="00F04EEF">
                    <w:tc>
                      <w:tcPr>
                        <w:tcW w:w="881" w:type="dxa"/>
                        <w:tcBorders>
                          <w:top w:val="single" w:sz="4" w:space="0" w:color="000000"/>
                          <w:left w:val="single" w:sz="4" w:space="0" w:color="000000"/>
                          <w:bottom w:val="single" w:sz="4" w:space="0" w:color="000000"/>
                        </w:tcBorders>
                      </w:tcPr>
                      <w:p w:rsidR="00F04EEF" w:rsidRDefault="00F04EEF">
                        <w:pPr>
                          <w:snapToGrid w:val="0"/>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tc>
                    <w:tc>
                      <w:tcPr>
                        <w:tcW w:w="753" w:type="dxa"/>
                        <w:tcBorders>
                          <w:top w:val="single" w:sz="4" w:space="0" w:color="000000"/>
                          <w:left w:val="single" w:sz="4" w:space="0" w:color="000000"/>
                          <w:bottom w:val="single" w:sz="4" w:space="0" w:color="000000"/>
                        </w:tcBorders>
                      </w:tcPr>
                      <w:p w:rsidR="00F04EEF" w:rsidRDefault="00F04EEF">
                        <w:pPr>
                          <w:snapToGrid w:val="0"/>
                          <w:jc w:val="both"/>
                        </w:pPr>
                      </w:p>
                    </w:tc>
                    <w:tc>
                      <w:tcPr>
                        <w:tcW w:w="2649" w:type="dxa"/>
                        <w:tcBorders>
                          <w:top w:val="single" w:sz="4" w:space="0" w:color="000000"/>
                          <w:left w:val="single" w:sz="4" w:space="0" w:color="000000"/>
                          <w:bottom w:val="single" w:sz="4" w:space="0" w:color="000000"/>
                        </w:tcBorders>
                      </w:tcPr>
                      <w:p w:rsidR="00F04EEF" w:rsidRDefault="00F04EEF">
                        <w:pPr>
                          <w:snapToGrid w:val="0"/>
                          <w:jc w:val="both"/>
                        </w:pPr>
                      </w:p>
                    </w:tc>
                    <w:tc>
                      <w:tcPr>
                        <w:tcW w:w="2835" w:type="dxa"/>
                        <w:tcBorders>
                          <w:top w:val="single" w:sz="4" w:space="0" w:color="000000"/>
                          <w:left w:val="single" w:sz="4" w:space="0" w:color="000000"/>
                          <w:bottom w:val="single" w:sz="4" w:space="0" w:color="000000"/>
                        </w:tcBorders>
                      </w:tcPr>
                      <w:p w:rsidR="00F04EEF" w:rsidRDefault="00F04EEF">
                        <w:pPr>
                          <w:snapToGrid w:val="0"/>
                          <w:jc w:val="both"/>
                        </w:pPr>
                      </w:p>
                    </w:tc>
                    <w:tc>
                      <w:tcPr>
                        <w:tcW w:w="2510" w:type="dxa"/>
                        <w:tcBorders>
                          <w:top w:val="single" w:sz="4" w:space="0" w:color="000000"/>
                          <w:left w:val="single" w:sz="4" w:space="0" w:color="000000"/>
                          <w:bottom w:val="single" w:sz="4" w:space="0" w:color="000000"/>
                          <w:right w:val="single" w:sz="4" w:space="0" w:color="000000"/>
                        </w:tcBorders>
                      </w:tcPr>
                      <w:p w:rsidR="00F04EEF" w:rsidRDefault="00F04EEF">
                        <w:pPr>
                          <w:snapToGrid w:val="0"/>
                          <w:jc w:val="both"/>
                        </w:pPr>
                      </w:p>
                    </w:tc>
                  </w:tr>
                </w:tbl>
                <w:p w:rsidR="00F04EEF" w:rsidRDefault="0099351E">
                  <w:pPr>
                    <w:jc w:val="both"/>
                  </w:pPr>
                  <w:r>
                    <w:tab/>
                  </w:r>
                  <w:r>
                    <w:tab/>
                  </w:r>
                  <w:r>
                    <w:tab/>
                  </w:r>
                </w:p>
                <w:p w:rsidR="00F04EEF" w:rsidRDefault="0099351E">
                  <w:pPr>
                    <w:jc w:val="both"/>
                    <w:rPr>
                      <w:b/>
                    </w:rPr>
                  </w:pPr>
                  <w:r>
                    <w:rPr>
                      <w:b/>
                    </w:rPr>
                    <w:t>Il (Elle) déclare sur l’honneur que l’établissement organisant la formation précitée :</w:t>
                  </w:r>
                </w:p>
                <w:p w:rsidR="00F04EEF" w:rsidRDefault="00F04EEF">
                  <w:pPr>
                    <w:jc w:val="both"/>
                  </w:pPr>
                </w:p>
                <w:p w:rsidR="00F04EEF" w:rsidRDefault="0099351E">
                  <w:pPr>
                    <w:jc w:val="both"/>
                  </w:pPr>
                  <w:r>
                    <w:t>1) se conforme aux dispositions légales et réglementaires concernant l’organisation des études, les statuts administratifs des membres du personnel et l’application des lois linguistiques ;</w:t>
                  </w:r>
                </w:p>
                <w:p w:rsidR="00F04EEF" w:rsidRDefault="00F04EEF">
                  <w:pPr>
                    <w:jc w:val="both"/>
                  </w:pPr>
                </w:p>
                <w:p w:rsidR="00F04EEF" w:rsidRDefault="0099351E">
                  <w:pPr>
                    <w:jc w:val="both"/>
                  </w:pPr>
                  <w:r>
                    <w:t>2) adopte une structure  existante dans l’enseignement de la Fédération Wallonie-Bruxelles ;</w:t>
                  </w:r>
                </w:p>
                <w:p w:rsidR="00F04EEF" w:rsidRDefault="00F04EEF">
                  <w:pPr>
                    <w:jc w:val="both"/>
                  </w:pPr>
                </w:p>
                <w:p w:rsidR="00F04EEF" w:rsidRDefault="0099351E">
                  <w:pPr>
                    <w:jc w:val="both"/>
                  </w:pPr>
                  <w:r>
                    <w:t>3) respecte les dispositions fixées :</w:t>
                  </w:r>
                </w:p>
                <w:p w:rsidR="00F04EEF" w:rsidRDefault="00F04EEF">
                  <w:pPr>
                    <w:jc w:val="both"/>
                  </w:pPr>
                </w:p>
                <w:p w:rsidR="00F04EEF" w:rsidRDefault="0099351E">
                  <w:pPr>
                    <w:numPr>
                      <w:ilvl w:val="0"/>
                      <w:numId w:val="111"/>
                    </w:numPr>
                    <w:suppressAutoHyphens/>
                    <w:ind w:left="284" w:hanging="284"/>
                    <w:jc w:val="both"/>
                  </w:pPr>
                  <w:r>
                    <w:t>par le décret du 24 juillet 1997 définissant les missions prioritaires de l’enseignement fondamental et de l’enseignement secondaire et organisant les structures propres à les atteindre ;</w:t>
                  </w:r>
                </w:p>
                <w:p w:rsidR="00F04EEF" w:rsidRDefault="0099351E">
                  <w:pPr>
                    <w:numPr>
                      <w:ilvl w:val="0"/>
                      <w:numId w:val="111"/>
                    </w:numPr>
                    <w:suppressAutoHyphens/>
                    <w:ind w:left="284" w:hanging="284"/>
                    <w:jc w:val="both"/>
                  </w:pPr>
                  <w:r>
                    <w:t>par le décret du 20 décembre 2001 relatif à la promotion de la santé à l’école ;</w:t>
                  </w:r>
                </w:p>
                <w:p w:rsidR="00F04EEF" w:rsidRDefault="00F04EEF">
                  <w:pPr>
                    <w:jc w:val="both"/>
                  </w:pPr>
                </w:p>
                <w:p w:rsidR="00F04EEF" w:rsidRDefault="0099351E">
                  <w:pPr>
                    <w:jc w:val="both"/>
                  </w:pPr>
                  <w:r>
                    <w:t xml:space="preserve">4) est organisé par une personne physique ou morale </w:t>
                  </w:r>
                  <w:r>
                    <w:rPr>
                      <w:rStyle w:val="Caractresdenotedebasdepage"/>
                    </w:rPr>
                    <w:footnoteReference w:customMarkFollows="1" w:id="122"/>
                    <w:t>(2)</w:t>
                  </w:r>
                  <w:r>
                    <w:t xml:space="preserve"> qui en assume la responsabilité ; </w:t>
                  </w:r>
                </w:p>
                <w:p w:rsidR="00F04EEF" w:rsidRDefault="0099351E">
                  <w:pPr>
                    <w:numPr>
                      <w:ilvl w:val="0"/>
                      <w:numId w:val="73"/>
                    </w:numPr>
                    <w:tabs>
                      <w:tab w:val="clear" w:pos="720"/>
                      <w:tab w:val="num" w:pos="284"/>
                    </w:tabs>
                    <w:suppressAutoHyphens/>
                    <w:ind w:left="0" w:firstLine="0"/>
                    <w:jc w:val="both"/>
                  </w:pPr>
                  <w:r>
                    <w:t>dénomination de cette personne :</w:t>
                  </w:r>
                </w:p>
                <w:p w:rsidR="00F04EEF" w:rsidRDefault="00F04EEF">
                  <w:pPr>
                    <w:jc w:val="both"/>
                  </w:pPr>
                </w:p>
                <w:p w:rsidR="00F04EEF" w:rsidRDefault="0099351E">
                  <w:pPr>
                    <w:jc w:val="both"/>
                  </w:pPr>
                  <w:r>
                    <w:t xml:space="preserve">5) forme un ensemble pédagogique situé </w:t>
                  </w:r>
                  <w:r>
                    <w:rPr>
                      <w:rStyle w:val="Caractresdenotedebasdepage"/>
                    </w:rPr>
                    <w:t xml:space="preserve"> </w:t>
                  </w:r>
                  <w:r>
                    <w:rPr>
                      <w:rStyle w:val="Caractresdenotedebasdepage"/>
                    </w:rPr>
                    <w:footnoteReference w:customMarkFollows="1" w:id="123"/>
                    <w:t>(3)</w:t>
                  </w:r>
                  <w:r>
                    <w:t> ;</w:t>
                  </w:r>
                </w:p>
                <w:p w:rsidR="00F04EEF" w:rsidRDefault="00F04EEF">
                  <w:pPr>
                    <w:jc w:val="both"/>
                  </w:pPr>
                </w:p>
                <w:p w:rsidR="00F04EEF" w:rsidRDefault="0099351E">
                  <w:pPr>
                    <w:jc w:val="both"/>
                  </w:pPr>
                  <w:r>
                    <w:t>6) se soumet au régime des congés tel qu’il est prévu par l’Arrêté de l’Exécutif de la Communauté française du 22 mars 1984 fixant le régime des vacances et des congés dans l’enseignement organisé dans la Communauté française ;</w:t>
                  </w:r>
                </w:p>
                <w:p w:rsidR="00F04EEF" w:rsidRDefault="00F04EEF">
                  <w:pPr>
                    <w:jc w:val="both"/>
                  </w:pPr>
                </w:p>
                <w:p w:rsidR="00F04EEF" w:rsidRDefault="0099351E">
                  <w:pPr>
                    <w:jc w:val="both"/>
                  </w:pPr>
                  <w:r>
                    <w:t>7) respecte un programme conforme aux prescriptions légales</w:t>
                  </w:r>
                  <w:r>
                    <w:rPr>
                      <w:rStyle w:val="Caractresdenotedebasdepage"/>
                    </w:rPr>
                    <w:footnoteReference w:customMarkFollows="1" w:id="124"/>
                    <w:t>(4)</w:t>
                  </w:r>
                  <w:r>
                    <w:t> ;</w:t>
                  </w:r>
                </w:p>
                <w:p w:rsidR="00F04EEF" w:rsidRDefault="00F04EEF">
                  <w:pPr>
                    <w:jc w:val="both"/>
                  </w:pPr>
                </w:p>
                <w:p w:rsidR="00F04EEF" w:rsidRDefault="0099351E">
                  <w:pPr>
                    <w:jc w:val="both"/>
                  </w:pPr>
                  <w:r>
                    <w:t>8) se soumet au contrôle de la vérification comptable et de l’inspection organisés par la Fédération Wallonie-Bruxelles;</w:t>
                  </w:r>
                </w:p>
                <w:p w:rsidR="00F04EEF" w:rsidRDefault="00F04EEF">
                  <w:pPr>
                    <w:jc w:val="both"/>
                  </w:pPr>
                </w:p>
                <w:p w:rsidR="00F04EEF" w:rsidRDefault="0099351E">
                  <w:pPr>
                    <w:jc w:val="both"/>
                  </w:pPr>
                  <w:r>
                    <w:t>9) est établi dans des locaux répondant aux conditions normales d’hygiène et de salubrité telles que fixées par la réglementation et notamment celles fixées par l’Arrêté Royal du 18 novembre 1957</w:t>
                  </w:r>
                  <w:r>
                    <w:rPr>
                      <w:color w:val="4A4A4A"/>
                    </w:rPr>
                    <w:t xml:space="preserve"> </w:t>
                  </w:r>
                  <w:r>
                    <w:t>portant les conditions d'hygiène et de salubrité exigées des établissements d'enseignement moyen, technique et normal subventionnés ;</w:t>
                  </w:r>
                </w:p>
                <w:p w:rsidR="00F04EEF" w:rsidRDefault="00F04EEF">
                  <w:pPr>
                    <w:jc w:val="both"/>
                  </w:pPr>
                </w:p>
                <w:p w:rsidR="00F04EEF" w:rsidRDefault="0099351E">
                  <w:pPr>
                    <w:jc w:val="both"/>
                  </w:pPr>
                  <w:r>
                    <w:t>10) dispose du matériel didactique et de l’équipement répondant aux nécessités pédagogiques ;</w:t>
                  </w:r>
                </w:p>
                <w:p w:rsidR="00F04EEF" w:rsidRDefault="00F04EEF">
                  <w:pPr>
                    <w:jc w:val="both"/>
                  </w:pPr>
                </w:p>
                <w:p w:rsidR="00F04EEF" w:rsidRDefault="0099351E">
                  <w:pPr>
                    <w:jc w:val="both"/>
                  </w:pPr>
                  <w:r>
                    <w:t>11) dispose d’un personnel qui ne met pas en danger la santé des élèves et qui se soumet au contrôle de santé administratif ;</w:t>
                  </w:r>
                </w:p>
                <w:p w:rsidR="00F04EEF" w:rsidRDefault="00F04EEF">
                  <w:pPr>
                    <w:jc w:val="both"/>
                  </w:pPr>
                </w:p>
                <w:p w:rsidR="00F04EEF" w:rsidRDefault="0099351E">
                  <w:pPr>
                    <w:jc w:val="both"/>
                  </w:pPr>
                  <w:r>
                    <w:t>12) compte par forme et secteur le nombre minimum d’élèves fixé par la réglementation et compte pour la formation concernée</w:t>
                  </w:r>
                  <w:r>
                    <w:tab/>
                  </w:r>
                  <w:r>
                    <w:tab/>
                    <w:t>élèves.</w:t>
                  </w:r>
                </w:p>
                <w:p w:rsidR="00F04EEF" w:rsidRDefault="00F04EEF">
                  <w:pPr>
                    <w:jc w:val="both"/>
                  </w:pPr>
                </w:p>
                <w:p w:rsidR="00F04EEF" w:rsidRDefault="00F04EEF">
                  <w:pPr>
                    <w:jc w:val="both"/>
                  </w:pPr>
                </w:p>
                <w:p w:rsidR="00F04EEF" w:rsidRDefault="00F04EEF">
                  <w:pPr>
                    <w:jc w:val="both"/>
                  </w:pPr>
                </w:p>
                <w:p w:rsidR="00F04EEF" w:rsidRDefault="0099351E">
                  <w:pPr>
                    <w:jc w:val="both"/>
                  </w:pPr>
                  <w:r>
                    <w:t>Au nom du pouvoir organisateur</w:t>
                  </w:r>
                </w:p>
                <w:p w:rsidR="00F04EEF" w:rsidRDefault="00F04EEF">
                  <w:pPr>
                    <w:jc w:val="both"/>
                  </w:pPr>
                </w:p>
                <w:p w:rsidR="00F04EEF" w:rsidRDefault="00F04EEF">
                  <w:pPr>
                    <w:jc w:val="both"/>
                  </w:pPr>
                </w:p>
                <w:p w:rsidR="00F04EEF" w:rsidRDefault="00F04EEF">
                  <w:pPr>
                    <w:jc w:val="both"/>
                  </w:pPr>
                </w:p>
                <w:p w:rsidR="00F04EEF" w:rsidRDefault="0099351E">
                  <w:r>
                    <w:t xml:space="preserve">         Date et signature</w:t>
                  </w:r>
                </w:p>
                <w:p w:rsidR="00F04EEF" w:rsidRDefault="00F04EEF"/>
                <w:p w:rsidR="00F04EEF" w:rsidRDefault="00F04EEF"/>
                <w:p w:rsidR="00F04EEF" w:rsidRDefault="0099351E">
                  <w:pPr>
                    <w:rPr>
                      <w:rFonts w:cs="Arial"/>
                    </w:rPr>
                  </w:pPr>
                  <w:r>
                    <w:br w:type="page"/>
                  </w:r>
                </w:p>
                <w:sdt>
                  <w:sdtPr>
                    <w:rPr>
                      <w:rFonts w:asciiTheme="majorHAnsi" w:eastAsiaTheme="minorHAnsi" w:hAnsiTheme="majorHAnsi"/>
                      <w:lang w:eastAsia="en-US"/>
                    </w:rPr>
                    <w:id w:val="1412036194"/>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pPr>
                      <w:bookmarkStart w:id="1884" w:name="_Toc477623663"/>
                      <w:bookmarkStart w:id="1885" w:name="_Toc477767456"/>
                      <w:bookmarkStart w:id="1886" w:name="_Toc47708496"/>
                      <w:r>
                        <w:t>Chapitre</w:t>
                      </w:r>
                      <w:bookmarkEnd w:id="1884"/>
                      <w:bookmarkEnd w:id="1885"/>
                      <w:r>
                        <w:t xml:space="preserve"> 4 :</w:t>
                      </w:r>
                      <w:bookmarkStart w:id="1887" w:name="_Toc477623664"/>
                      <w:bookmarkStart w:id="1888" w:name="_Toc477767457"/>
                      <w:r>
                        <w:t xml:space="preserve"> Calendrier scolaire, suspension des cours et fermeture exceptionnelle</w:t>
                      </w:r>
                      <w:bookmarkEnd w:id="1887"/>
                      <w:bookmarkEnd w:id="1888"/>
                      <w:bookmarkEnd w:id="1886"/>
                    </w:p>
                    <w:p w:rsidR="00F04EEF" w:rsidRDefault="00F04EEF"/>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rPr>
                      <w:b/>
                      <w:u w:val="single"/>
                    </w:rPr>
                  </w:pPr>
                  <w:r>
                    <w:rPr>
                      <w:b/>
                      <w:u w:val="single"/>
                    </w:rPr>
                    <w:t>Bases légales :</w:t>
                  </w:r>
                </w:p>
                <w:p w:rsidR="00F04EEF" w:rsidRDefault="00F04EEF">
                  <w:pPr>
                    <w:rPr>
                      <w:b/>
                      <w:u w:val="single"/>
                    </w:rPr>
                  </w:pPr>
                </w:p>
                <w:p w:rsidR="00F04EEF" w:rsidRDefault="00F42422">
                  <w:pPr>
                    <w:numPr>
                      <w:ilvl w:val="0"/>
                      <w:numId w:val="50"/>
                    </w:numPr>
                    <w:suppressAutoHyphens/>
                    <w:jc w:val="both"/>
                    <w:rPr>
                      <w:rFonts w:cs="Arial"/>
                    </w:rPr>
                  </w:pPr>
                  <w:hyperlink r:id="rId141" w:history="1">
                    <w:r w:rsidR="0099351E">
                      <w:rPr>
                        <w:rStyle w:val="Lienhypertexte"/>
                        <w:rFonts w:cs="Arial"/>
                      </w:rPr>
                      <w:t>Décret du 3 mars 2004 organisant l'Enseignement spécialisé</w:t>
                    </w:r>
                  </w:hyperlink>
                  <w:r w:rsidR="0099351E">
                    <w:rPr>
                      <w:rFonts w:cs="Arial"/>
                    </w:rPr>
                    <w:t> ;</w:t>
                  </w:r>
                </w:p>
                <w:p w:rsidR="00F04EEF" w:rsidRDefault="00F42422">
                  <w:pPr>
                    <w:numPr>
                      <w:ilvl w:val="0"/>
                      <w:numId w:val="50"/>
                    </w:numPr>
                    <w:suppressAutoHyphens/>
                    <w:jc w:val="both"/>
                    <w:rPr>
                      <w:rFonts w:cs="Arial"/>
                    </w:rPr>
                  </w:pPr>
                  <w:hyperlink r:id="rId142" w:history="1">
                    <w:r w:rsidR="0099351E">
                      <w:rPr>
                        <w:rStyle w:val="Lienhypertexte"/>
                        <w:rFonts w:cs="Arial"/>
                      </w:rPr>
                      <w:t>Arrêté de l’Exécutif du 22 mars 1984 fixant le régime des vacances et des congés dans l’enseignement organisé dans la Communauté française.</w:t>
                    </w:r>
                  </w:hyperlink>
                </w:p>
                <w:p w:rsidR="00F04EEF" w:rsidRDefault="00F04EEF">
                  <w:pPr>
                    <w:jc w:val="both"/>
                    <w:rPr>
                      <w:rFonts w:cs="Arial"/>
                    </w:rPr>
                  </w:pPr>
                </w:p>
                <w:p w:rsidR="00F04EEF" w:rsidRDefault="00F04EEF">
                  <w:pPr>
                    <w:jc w:val="both"/>
                    <w:rPr>
                      <w:rFonts w:cs="Arial"/>
                    </w:rPr>
                  </w:pPr>
                </w:p>
                <w:p w:rsidR="00F04EEF" w:rsidRDefault="0099351E">
                  <w:pPr>
                    <w:pStyle w:val="Titre3"/>
                    <w:rPr>
                      <w:sz w:val="22"/>
                      <w:szCs w:val="22"/>
                    </w:rPr>
                  </w:pPr>
                  <w:bookmarkStart w:id="1889" w:name="_1._Calendrier_scolaire"/>
                  <w:bookmarkStart w:id="1890" w:name="_Toc391629049"/>
                  <w:bookmarkStart w:id="1891" w:name="_Toc414353027"/>
                  <w:bookmarkStart w:id="1892" w:name="_Toc453837055"/>
                  <w:bookmarkStart w:id="1893" w:name="_Toc47708497"/>
                  <w:bookmarkEnd w:id="1889"/>
                  <w:r>
                    <w:rPr>
                      <w:sz w:val="22"/>
                      <w:szCs w:val="22"/>
                    </w:rPr>
                    <w:t xml:space="preserve">1. Calendrier scolaire </w:t>
                  </w:r>
                  <w:bookmarkEnd w:id="1890"/>
                  <w:bookmarkEnd w:id="1891"/>
                  <w:bookmarkEnd w:id="1892"/>
                  <w:r>
                    <w:rPr>
                      <w:sz w:val="22"/>
                      <w:szCs w:val="22"/>
                    </w:rPr>
                    <w:t>2020-2021</w:t>
                  </w:r>
                  <w:bookmarkEnd w:id="1893"/>
                </w:p>
                <w:p w:rsidR="00F04EEF" w:rsidRDefault="00F04EEF"/>
                <w:p w:rsidR="00F04EEF" w:rsidRDefault="0099351E">
                  <w:pPr>
                    <w:rPr>
                      <w:rFonts w:cs="Arial"/>
                    </w:rPr>
                  </w:pPr>
                  <w:bookmarkStart w:id="1894" w:name="_Toc295913783"/>
                  <w:bookmarkStart w:id="1895" w:name="_Toc295932053"/>
                  <w:bookmarkStart w:id="1896" w:name="_Toc391629050"/>
                  <w:bookmarkStart w:id="1897" w:name="_Toc414353028"/>
                  <w:r>
                    <w:rPr>
                      <w:rFonts w:cs="Arial"/>
                    </w:rPr>
                    <w:t xml:space="preserve">Le nombre de jours de classe est fixé à </w:t>
                  </w:r>
                  <w:r>
                    <w:rPr>
                      <w:rFonts w:cs="Arial"/>
                      <w:b/>
                    </w:rPr>
                    <w:t xml:space="preserve">182 </w:t>
                  </w:r>
                  <w:r>
                    <w:rPr>
                      <w:rFonts w:cs="Arial"/>
                    </w:rPr>
                    <w:t>jours.</w:t>
                  </w:r>
                </w:p>
                <w:p w:rsidR="00F04EEF" w:rsidRDefault="00F04EEF">
                  <w:pPr>
                    <w:rPr>
                      <w:rFonts w:cs="Arial"/>
                    </w:rPr>
                  </w:pPr>
                </w:p>
                <w:tbl>
                  <w:tblPr>
                    <w:tblW w:w="0" w:type="auto"/>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3187"/>
                    <w:gridCol w:w="5280"/>
                  </w:tblGrid>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Rentrée scolaire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Mardi 1er septembre 2020</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Fête de la Communauté française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Dimanche 27 septembre 2020</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Congé d'automne (Toussaint)</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du lundi 2 novembre 2020 au vendredi 6 novembre 2020</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Commémoration du 11 novembre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mercredi 11 novembre 2020</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Vacances d'hiver (Noël)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du lundi 21 décembre 2020 au vendredi 1</w:t>
                        </w:r>
                        <w:r>
                          <w:rPr>
                            <w:rFonts w:eastAsia="Times New Roman" w:cs="Arial"/>
                            <w:spacing w:val="2"/>
                            <w:vertAlign w:val="superscript"/>
                            <w:lang w:eastAsia="fr-BE"/>
                          </w:rPr>
                          <w:t>er</w:t>
                        </w:r>
                        <w:r>
                          <w:rPr>
                            <w:rFonts w:eastAsia="Times New Roman" w:cs="Arial"/>
                            <w:spacing w:val="2"/>
                            <w:lang w:eastAsia="fr-BE"/>
                          </w:rPr>
                          <w:t xml:space="preserve"> janvier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Congé de détente (Carnaval)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du lundi 15 février 2021 au vendredi 19 février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Vacances de printemps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du lundi 5 avril 2021 au vendredi 16 avril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Congé</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Vendredi 30 avril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Fête du 1er mai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Samedi 1</w:t>
                        </w:r>
                        <w:r>
                          <w:rPr>
                            <w:rFonts w:eastAsia="Times New Roman" w:cs="Arial"/>
                            <w:spacing w:val="2"/>
                            <w:vertAlign w:val="superscript"/>
                            <w:lang w:eastAsia="fr-BE"/>
                          </w:rPr>
                          <w:t>er</w:t>
                        </w:r>
                        <w:r>
                          <w:rPr>
                            <w:rFonts w:eastAsia="Times New Roman" w:cs="Arial"/>
                            <w:spacing w:val="2"/>
                            <w:lang w:eastAsia="fr-BE"/>
                          </w:rPr>
                          <w:t xml:space="preserve"> mai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Congé de l'Ascension</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jeudi 13 mai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Congé</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vendredi 14 mai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Pentecôte lundi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Lundi 24 mai 2021</w:t>
                        </w:r>
                      </w:p>
                    </w:tc>
                  </w:tr>
                  <w:tr w:rsidR="00F04EEF">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 xml:space="preserve">Les vacances d’été débutent le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F04EEF" w:rsidRDefault="0099351E">
                        <w:pPr>
                          <w:pBdr>
                            <w:right w:val="single" w:sz="18" w:space="0" w:color="FF0000"/>
                          </w:pBdr>
                          <w:rPr>
                            <w:rFonts w:eastAsia="Times New Roman" w:cs="Arial"/>
                            <w:spacing w:val="2"/>
                            <w:lang w:eastAsia="fr-BE"/>
                          </w:rPr>
                        </w:pPr>
                        <w:r>
                          <w:rPr>
                            <w:rFonts w:eastAsia="Times New Roman" w:cs="Arial"/>
                            <w:spacing w:val="2"/>
                            <w:lang w:eastAsia="fr-BE"/>
                          </w:rPr>
                          <w:t>Jeudi 1</w:t>
                        </w:r>
                        <w:r>
                          <w:rPr>
                            <w:rFonts w:eastAsia="Times New Roman" w:cs="Arial"/>
                            <w:spacing w:val="2"/>
                            <w:vertAlign w:val="superscript"/>
                            <w:lang w:eastAsia="fr-BE"/>
                          </w:rPr>
                          <w:t>er</w:t>
                        </w:r>
                        <w:r>
                          <w:rPr>
                            <w:rFonts w:eastAsia="Times New Roman" w:cs="Arial"/>
                            <w:spacing w:val="2"/>
                            <w:lang w:eastAsia="fr-BE"/>
                          </w:rPr>
                          <w:t xml:space="preserve"> juillet 2021</w:t>
                        </w:r>
                      </w:p>
                    </w:tc>
                  </w:tr>
                </w:tbl>
                <w:p w:rsidR="00F04EEF" w:rsidRDefault="00F04EEF">
                  <w:pPr>
                    <w:pStyle w:val="Paragraphedeliste"/>
                    <w:ind w:left="0"/>
                    <w:rPr>
                      <w:rFonts w:asciiTheme="majorHAnsi" w:hAnsiTheme="majorHAnsi"/>
                      <w:sz w:val="22"/>
                      <w:szCs w:val="22"/>
                    </w:rPr>
                  </w:pPr>
                </w:p>
                <w:p w:rsidR="00F04EEF" w:rsidRDefault="00F04EEF">
                  <w:pPr>
                    <w:pStyle w:val="Paragraphedeliste"/>
                    <w:ind w:left="0"/>
                    <w:rPr>
                      <w:rFonts w:asciiTheme="majorHAnsi" w:hAnsiTheme="majorHAnsi"/>
                      <w:sz w:val="22"/>
                      <w:szCs w:val="22"/>
                    </w:rPr>
                  </w:pPr>
                </w:p>
                <w:p w:rsidR="00F04EEF" w:rsidRDefault="0099351E">
                  <w:pPr>
                    <w:pStyle w:val="Titre3"/>
                    <w:rPr>
                      <w:sz w:val="22"/>
                      <w:szCs w:val="22"/>
                    </w:rPr>
                  </w:pPr>
                  <w:bookmarkStart w:id="1898" w:name="_2._Suspension_de"/>
                  <w:bookmarkStart w:id="1899" w:name="_Toc453837056"/>
                  <w:bookmarkStart w:id="1900" w:name="_Toc47708498"/>
                  <w:bookmarkEnd w:id="1898"/>
                  <w:r>
                    <w:rPr>
                      <w:sz w:val="22"/>
                      <w:szCs w:val="22"/>
                    </w:rPr>
                    <w:t>2. Suspension de cours</w:t>
                  </w:r>
                  <w:bookmarkEnd w:id="1894"/>
                  <w:bookmarkEnd w:id="1895"/>
                  <w:bookmarkEnd w:id="1896"/>
                  <w:bookmarkEnd w:id="1897"/>
                  <w:bookmarkEnd w:id="1899"/>
                  <w:bookmarkEnd w:id="1900"/>
                </w:p>
                <w:p w:rsidR="00F04EEF" w:rsidRDefault="00F04EEF"/>
                <w:p w:rsidR="00F04EEF" w:rsidRDefault="0099351E">
                  <w:pPr>
                    <w:pStyle w:val="Titre4"/>
                    <w:rPr>
                      <w:rFonts w:ascii="Cambria" w:hAnsi="Cambria"/>
                    </w:rPr>
                  </w:pPr>
                  <w:r>
                    <w:rPr>
                      <w:rStyle w:val="Titre4Car1"/>
                      <w:b/>
                    </w:rPr>
                    <w:t>2.1. Principe</w:t>
                  </w:r>
                  <w:r>
                    <w:rPr>
                      <w:rFonts w:ascii="Cambria" w:hAnsi="Cambria"/>
                    </w:rPr>
                    <w:t xml:space="preserve"> général </w:t>
                  </w:r>
                </w:p>
                <w:p w:rsidR="00F04EEF" w:rsidRDefault="00F04EEF"/>
                <w:p w:rsidR="00F04EEF" w:rsidRDefault="0099351E">
                  <w:pPr>
                    <w:jc w:val="both"/>
                    <w:rPr>
                      <w:rFonts w:cs="Arial"/>
                    </w:rPr>
                  </w:pPr>
                  <w:r>
                    <w:rPr>
                      <w:rFonts w:cs="Arial"/>
                    </w:rPr>
                    <w:t xml:space="preserve">Les demi-jours ou les jours où les cours n’ont pas été donnés doivent être récupérés.  </w:t>
                  </w:r>
                </w:p>
                <w:p w:rsidR="00F04EEF" w:rsidRDefault="00F04EEF">
                  <w:pPr>
                    <w:jc w:val="both"/>
                    <w:rPr>
                      <w:rFonts w:cs="Arial"/>
                    </w:rPr>
                  </w:pPr>
                </w:p>
                <w:p w:rsidR="00F04EEF" w:rsidRDefault="0099351E">
                  <w:pPr>
                    <w:jc w:val="both"/>
                    <w:rPr>
                      <w:rFonts w:cs="Arial"/>
                    </w:rPr>
                  </w:pPr>
                  <w:r>
                    <w:rPr>
                      <w:rFonts w:cs="Arial"/>
                    </w:rPr>
                    <w:t xml:space="preserve">A cet effet, le chef d’établissement, dans l’enseignement organisé par la Communauté française, ou le pouvoir organisateur ou son délégué, dans l’enseignement subventionné, informe spontanément la </w:t>
                  </w:r>
                  <w:r>
                    <w:t>Direction générale de l'Enseignement obligatoire</w:t>
                  </w:r>
                  <w:r>
                    <w:rPr>
                      <w:rFonts w:cs="Arial"/>
                    </w:rPr>
                    <w:t xml:space="preserve"> des modalités de récupération de ces cours, au plus tard dans les vingt jours ouvrables à dater du premier demi-jour de suspension des cours, </w:t>
                  </w:r>
                  <w:r>
                    <w:rPr>
                      <w:rFonts w:ascii="Cambria" w:hAnsi="Cambria" w:cs="Arial"/>
                    </w:rPr>
                    <w:t>et ce au moyen de l</w:t>
                  </w:r>
                  <w:r>
                    <w:rPr>
                      <w:rFonts w:ascii="Cambria" w:hAnsi="Cambria" w:cs="Arial"/>
                      <w:b/>
                    </w:rPr>
                    <w:t xml:space="preserve">’annexe </w:t>
                  </w:r>
                  <w:r>
                    <w:rPr>
                      <w:rFonts w:ascii="Cambria" w:hAnsi="Cambria" w:cs="Arial"/>
                    </w:rPr>
                    <w:t xml:space="preserve">1, </w:t>
                  </w:r>
                  <w:r>
                    <w:rPr>
                      <w:rFonts w:cs="Arial"/>
                    </w:rPr>
                    <w:t>après que les modalités de récupération des cours aient été déterminées au sein de l’organe de concertation locale, qui veillera pour ce faire à prendre en considération l’offre de transport public et/ou scolaire.</w:t>
                  </w:r>
                </w:p>
                <w:p w:rsidR="00F04EEF" w:rsidRDefault="0099351E">
                  <w:pPr>
                    <w:rPr>
                      <w:rFonts w:cs="Arial"/>
                    </w:rPr>
                  </w:pPr>
                  <w:r>
                    <w:rPr>
                      <w:rFonts w:cs="Arial"/>
                    </w:rPr>
                    <w:br w:type="page"/>
                  </w:r>
                </w:p>
                <w:p w:rsidR="00F04EEF" w:rsidRDefault="0099351E">
                  <w:pPr>
                    <w:rPr>
                      <w:rFonts w:ascii="Cambria" w:hAnsi="Cambria"/>
                    </w:rPr>
                  </w:pPr>
                  <w:r>
                    <w:rPr>
                      <w:rFonts w:ascii="Cambria" w:hAnsi="Cambria"/>
                    </w:rPr>
                    <w:t>L’</w:t>
                  </w:r>
                  <w:hyperlink w:anchor="_Annexe_1_:_2" w:history="1">
                    <w:r>
                      <w:rPr>
                        <w:rStyle w:val="Lienhypertexte"/>
                        <w:rFonts w:ascii="Cambria" w:hAnsi="Cambria"/>
                        <w:u w:val="none"/>
                      </w:rPr>
                      <w:t>annexe 1</w:t>
                    </w:r>
                  </w:hyperlink>
                  <w:r>
                    <w:rPr>
                      <w:rFonts w:ascii="Cambria" w:hAnsi="Cambria"/>
                    </w:rPr>
                    <w:t xml:space="preserve"> est à adresser à l’adresse suivante : </w:t>
                  </w:r>
                </w:p>
                <w:p w:rsidR="00F04EEF" w:rsidRDefault="00F04EEF">
                  <w:pPr>
                    <w:rPr>
                      <w:rFonts w:ascii="Cambria" w:hAnsi="Cambria"/>
                    </w:rPr>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Rue Adolphe Lavallée, 1</w:t>
                  </w:r>
                </w:p>
                <w:p w:rsidR="00F04EEF" w:rsidRDefault="0099351E">
                  <w:pPr>
                    <w:pStyle w:val="Corpsdetexte"/>
                    <w:pBdr>
                      <w:top w:val="single" w:sz="4" w:space="1" w:color="auto"/>
                      <w:left w:val="single" w:sz="4" w:space="4" w:color="auto"/>
                      <w:bottom w:val="single" w:sz="4" w:space="1" w:color="auto"/>
                      <w:right w:val="single" w:sz="4" w:space="4" w:color="auto"/>
                    </w:pBdr>
                    <w:jc w:val="center"/>
                    <w:rPr>
                      <w:rFonts w:ascii="Cambria" w:hAnsi="Cambria"/>
                      <w:b w:val="0"/>
                      <w:szCs w:val="22"/>
                    </w:rPr>
                  </w:pPr>
                  <w:r>
                    <w:rPr>
                      <w:rFonts w:ascii="Cambria" w:hAnsi="Cambria"/>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bCs/>
                      <w:szCs w:val="22"/>
                    </w:rPr>
                    <w:t>Bureau 2F251</w:t>
                  </w:r>
                </w:p>
                <w:p w:rsidR="00F04EEF" w:rsidRDefault="0099351E">
                  <w:pPr>
                    <w:pStyle w:val="Corpsdetexte"/>
                    <w:pBdr>
                      <w:top w:val="single" w:sz="4" w:space="1" w:color="auto"/>
                      <w:left w:val="single" w:sz="4" w:space="4" w:color="auto"/>
                      <w:bottom w:val="single" w:sz="4" w:space="1" w:color="auto"/>
                      <w:right w:val="single" w:sz="4" w:space="4" w:color="auto"/>
                    </w:pBdr>
                    <w:jc w:val="center"/>
                    <w:rPr>
                      <w:rFonts w:ascii="Cambria" w:hAnsi="Cambria"/>
                      <w:b w:val="0"/>
                      <w:bCs/>
                      <w:szCs w:val="22"/>
                    </w:rPr>
                  </w:pPr>
                  <w:r>
                    <w:rPr>
                      <w:rFonts w:ascii="Cambria" w:hAnsi="Cambria"/>
                      <w:b w:val="0"/>
                      <w:szCs w:val="22"/>
                    </w:rPr>
                    <w:sym w:font="Wingdings" w:char="F028"/>
                  </w:r>
                  <w:r>
                    <w:rPr>
                      <w:rFonts w:ascii="Cambria" w:hAnsi="Cambria"/>
                      <w:b w:val="0"/>
                      <w:szCs w:val="22"/>
                    </w:rPr>
                    <w:t xml:space="preserve"> : </w:t>
                  </w:r>
                  <w:r>
                    <w:rPr>
                      <w:rFonts w:ascii="Cambria" w:hAnsi="Cambria"/>
                      <w:b w:val="0"/>
                      <w:bCs/>
                      <w:szCs w:val="22"/>
                    </w:rPr>
                    <w:t xml:space="preserve">02/690.83.99 </w:t>
                  </w:r>
                </w:p>
                <w:p w:rsidR="00F04EEF" w:rsidRDefault="0099351E">
                  <w:pPr>
                    <w:pStyle w:val="Corpsdetexte"/>
                    <w:pBdr>
                      <w:top w:val="single" w:sz="4" w:space="1" w:color="auto"/>
                      <w:left w:val="single" w:sz="4" w:space="4" w:color="auto"/>
                      <w:bottom w:val="single" w:sz="4" w:space="1" w:color="auto"/>
                      <w:right w:val="single" w:sz="4" w:space="4" w:color="auto"/>
                    </w:pBdr>
                    <w:jc w:val="center"/>
                    <w:rPr>
                      <w:rFonts w:ascii="Cambria" w:hAnsi="Cambria"/>
                      <w:szCs w:val="22"/>
                    </w:rPr>
                  </w:pPr>
                  <w:r>
                    <w:rPr>
                      <w:rFonts w:ascii="Cambria" w:hAnsi="Cambria"/>
                      <w:b w:val="0"/>
                      <w:bCs/>
                      <w:szCs w:val="22"/>
                    </w:rPr>
                    <w:sym w:font="Wingdings" w:char="F03A"/>
                  </w:r>
                  <w:r>
                    <w:rPr>
                      <w:rFonts w:ascii="Cambria" w:hAnsi="Cambria"/>
                      <w:bCs/>
                      <w:szCs w:val="22"/>
                    </w:rPr>
                    <w:t> :</w:t>
                  </w:r>
                  <w:r>
                    <w:rPr>
                      <w:rFonts w:ascii="Cambria" w:hAnsi="Cambria"/>
                      <w:szCs w:val="22"/>
                    </w:rPr>
                    <w:t xml:space="preserve"> </w:t>
                  </w:r>
                  <w:hyperlink r:id="rId143" w:history="1">
                    <w:r>
                      <w:rPr>
                        <w:rStyle w:val="Lienhypertexte"/>
                        <w:rFonts w:ascii="Cambria" w:eastAsiaTheme="minorEastAsia" w:hAnsi="Cambria"/>
                        <w:b w:val="0"/>
                        <w:szCs w:val="22"/>
                      </w:rPr>
                      <w:t>veronique.rombaut@cfwb.be</w:t>
                    </w:r>
                  </w:hyperlink>
                </w:p>
                <w:p w:rsidR="00F04EEF" w:rsidRDefault="00F04EEF">
                  <w:pPr>
                    <w:jc w:val="both"/>
                    <w:rPr>
                      <w:rFonts w:cs="Arial"/>
                    </w:rPr>
                  </w:pPr>
                </w:p>
                <w:p w:rsidR="00F04EEF" w:rsidRDefault="00F04EEF">
                  <w:pPr>
                    <w:jc w:val="both"/>
                    <w:rPr>
                      <w:rFonts w:cs="Arial"/>
                    </w:rPr>
                  </w:pPr>
                </w:p>
                <w:p w:rsidR="00F04EEF" w:rsidRDefault="0099351E">
                  <w:pPr>
                    <w:jc w:val="both"/>
                    <w:rPr>
                      <w:rFonts w:ascii="Cambria" w:hAnsi="Cambria" w:cs="Arial"/>
                    </w:rPr>
                  </w:pPr>
                  <w:r>
                    <w:rPr>
                      <w:rFonts w:ascii="Cambria" w:hAnsi="Cambria" w:cs="Arial"/>
                    </w:rPr>
                    <w:t>Le chef d’établissement ou le pouvoir organisateur qui a suspendu les cours sans devoir les récupérer ultérieurement doit néanmoins tout mettre en œuvre, dans la mesure du possible, afin que les compétences attendues soient atteintes au terme de l’année scolaire.</w:t>
                  </w:r>
                </w:p>
                <w:p w:rsidR="00F04EEF" w:rsidRDefault="0099351E">
                  <w:pPr>
                    <w:jc w:val="both"/>
                    <w:rPr>
                      <w:rFonts w:ascii="Cambria" w:hAnsi="Cambria" w:cs="Arial"/>
                    </w:rPr>
                  </w:pPr>
                  <w:r>
                    <w:rPr>
                      <w:rFonts w:ascii="Cambria" w:hAnsi="Cambria" w:cs="Arial"/>
                    </w:rPr>
                    <w:t>Si la fermeture de l’école résulte d’un événement prévisible, les cours qui n’ont pas été dispensés doivent être récupérés.</w:t>
                  </w:r>
                </w:p>
                <w:p w:rsidR="00F04EEF" w:rsidRDefault="00F04EEF">
                  <w:pPr>
                    <w:jc w:val="both"/>
                    <w:rPr>
                      <w:rFonts w:cs="Arial"/>
                    </w:rPr>
                  </w:pPr>
                </w:p>
                <w:p w:rsidR="00F04EEF" w:rsidRDefault="0099351E">
                  <w:pPr>
                    <w:pStyle w:val="Titre4"/>
                  </w:pPr>
                  <w:r>
                    <w:t>2.2. Cas où les cours ne doivent pas être récupérés</w:t>
                  </w:r>
                </w:p>
                <w:p w:rsidR="00F04EEF" w:rsidRDefault="00F04EEF">
                  <w:pPr>
                    <w:jc w:val="both"/>
                    <w:rPr>
                      <w:rFonts w:cs="Arial"/>
                    </w:rPr>
                  </w:pPr>
                </w:p>
                <w:p w:rsidR="00F04EEF" w:rsidRDefault="0099351E">
                  <w:pPr>
                    <w:jc w:val="both"/>
                    <w:rPr>
                      <w:rFonts w:cs="Arial"/>
                    </w:rPr>
                  </w:pPr>
                  <w:r>
                    <w:rPr>
                      <w:rFonts w:cs="Arial"/>
                    </w:rPr>
                    <w:t>Par dérogation à l’alinéa précédent, les cours ne doivent néanmoins pas être récupérés si une prise en charge pédagogique des élèves concernés a pu être assurée par l’établissement scolaire, ou si la suspension des cours relève d’un cas de force majeure.</w:t>
                  </w:r>
                </w:p>
                <w:p w:rsidR="00F04EEF" w:rsidRDefault="00F04EEF">
                  <w:pPr>
                    <w:jc w:val="both"/>
                    <w:rPr>
                      <w:rFonts w:cs="Arial"/>
                    </w:rPr>
                  </w:pPr>
                </w:p>
                <w:p w:rsidR="00F04EEF" w:rsidRDefault="0099351E">
                  <w:pPr>
                    <w:jc w:val="both"/>
                    <w:rPr>
                      <w:rFonts w:cs="Arial"/>
                    </w:rPr>
                  </w:pPr>
                  <w:r>
                    <w:rPr>
                      <w:rFonts w:cs="Arial"/>
                    </w:rPr>
                    <w:t xml:space="preserve">Par « cas de force majeure », il y a lieu d’entendre un évènement irrésistible, imprévisible et extérieur à la personne qui l’invoque </w:t>
                  </w:r>
                  <w:r>
                    <w:rPr>
                      <w:rFonts w:ascii="Cambria" w:hAnsi="Cambria" w:cs="Arial"/>
                    </w:rPr>
                    <w:t>(exemples : panne de chauffage, tempête de neige)</w:t>
                  </w:r>
                  <w:r>
                    <w:rPr>
                      <w:rFonts w:cs="Arial"/>
                    </w:rPr>
                    <w:t>.</w:t>
                  </w:r>
                </w:p>
                <w:p w:rsidR="00F04EEF" w:rsidRDefault="00F04EEF">
                  <w:pPr>
                    <w:jc w:val="both"/>
                    <w:rPr>
                      <w:rFonts w:cs="Arial"/>
                    </w:rPr>
                  </w:pPr>
                </w:p>
                <w:p w:rsidR="00F04EEF" w:rsidRDefault="0099351E">
                  <w:pPr>
                    <w:jc w:val="both"/>
                    <w:rPr>
                      <w:rFonts w:ascii="Cambria" w:hAnsi="Cambria" w:cs="Arial"/>
                    </w:rPr>
                  </w:pPr>
                  <w:r>
                    <w:rPr>
                      <w:rFonts w:ascii="Cambria" w:hAnsi="Cambria" w:cs="Arial"/>
                    </w:rPr>
                    <w:t>Le chef d’établissement, ou le pouvoir organisateur ou son délégué, atteste de l’une ou l’autre des situations visées à l’alinéa précédent au moyen de l’annexe 1 au plus tard dans les dix jours ouvrables à dater du premier demi-jour de suspension des cours.</w:t>
                  </w:r>
                </w:p>
                <w:p w:rsidR="00F04EEF" w:rsidRDefault="00F04EEF">
                  <w:pPr>
                    <w:jc w:val="both"/>
                    <w:rPr>
                      <w:rFonts w:cs="Arial"/>
                    </w:rPr>
                  </w:pPr>
                </w:p>
                <w:p w:rsidR="00F04EEF" w:rsidRDefault="0099351E">
                  <w:pPr>
                    <w:jc w:val="both"/>
                    <w:rPr>
                      <w:rFonts w:ascii="Cambria" w:hAnsi="Cambria" w:cs="Arial"/>
                    </w:rPr>
                  </w:pPr>
                  <w:r>
                    <w:rPr>
                      <w:rFonts w:ascii="Cambria" w:hAnsi="Cambria" w:cs="Arial"/>
                    </w:rPr>
                    <w:t>Les services du Gouvernement sont habilités à vérifier que la déclaration sur l’honneur est conforme à la réalité.</w:t>
                  </w:r>
                </w:p>
                <w:p w:rsidR="00F04EEF" w:rsidRDefault="00F04EEF">
                  <w:pPr>
                    <w:jc w:val="both"/>
                    <w:rPr>
                      <w:rFonts w:cs="Arial"/>
                    </w:rPr>
                  </w:pPr>
                </w:p>
                <w:p w:rsidR="00F04EEF" w:rsidRDefault="0099351E">
                  <w:pPr>
                    <w:jc w:val="both"/>
                    <w:rPr>
                      <w:rFonts w:ascii="Cambria" w:hAnsi="Cambria"/>
                    </w:rPr>
                  </w:pPr>
                  <w:r>
                    <w:rPr>
                      <w:rFonts w:ascii="Cambria" w:hAnsi="Cambria"/>
                    </w:rPr>
                    <w:t>L’</w:t>
                  </w:r>
                  <w:hyperlink w:anchor="_Annexe_1_:_2" w:history="1">
                    <w:r>
                      <w:rPr>
                        <w:rStyle w:val="Lienhypertexte"/>
                        <w:rFonts w:ascii="Cambria" w:hAnsi="Cambria"/>
                      </w:rPr>
                      <w:t>annexe 1</w:t>
                    </w:r>
                  </w:hyperlink>
                  <w:r>
                    <w:rPr>
                      <w:rFonts w:ascii="Cambria" w:hAnsi="Cambria"/>
                    </w:rPr>
                    <w:t xml:space="preserve"> est à adresser à l’adresse suivante :</w:t>
                  </w:r>
                </w:p>
                <w:p w:rsidR="00F04EEF" w:rsidRDefault="00F04EEF">
                  <w:pPr>
                    <w:jc w:val="both"/>
                    <w:rPr>
                      <w:rFonts w:cs="Arial"/>
                    </w:rPr>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Rue Adolphe Lavallée, 1</w:t>
                  </w:r>
                </w:p>
                <w:p w:rsidR="00F04EEF" w:rsidRDefault="0099351E">
                  <w:pPr>
                    <w:pStyle w:val="Corpsdetexte"/>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Bureau 2F251</w:t>
                  </w:r>
                </w:p>
                <w:p w:rsidR="00F04EEF" w:rsidRDefault="0099351E">
                  <w:pPr>
                    <w:pStyle w:val="Corpsdetexte"/>
                    <w:pBdr>
                      <w:top w:val="single" w:sz="4" w:space="1" w:color="auto"/>
                      <w:left w:val="single" w:sz="4" w:space="4" w:color="auto"/>
                      <w:bottom w:val="single" w:sz="4" w:space="1" w:color="auto"/>
                      <w:right w:val="single" w:sz="4" w:space="4" w:color="auto"/>
                    </w:pBdr>
                    <w:jc w:val="center"/>
                    <w:rPr>
                      <w:b w:val="0"/>
                      <w:bCs/>
                      <w:szCs w:val="22"/>
                    </w:rPr>
                  </w:pPr>
                  <w:r>
                    <w:rPr>
                      <w:b w:val="0"/>
                      <w:szCs w:val="22"/>
                    </w:rPr>
                    <w:sym w:font="Wingdings" w:char="F028"/>
                  </w:r>
                  <w:r>
                    <w:rPr>
                      <w:b w:val="0"/>
                      <w:szCs w:val="22"/>
                    </w:rPr>
                    <w:t xml:space="preserve"> : </w:t>
                  </w:r>
                  <w:r>
                    <w:rPr>
                      <w:b w:val="0"/>
                      <w:bCs/>
                      <w:szCs w:val="22"/>
                    </w:rPr>
                    <w:t xml:space="preserve">02/690.83.99 </w:t>
                  </w:r>
                </w:p>
                <w:p w:rsidR="00F04EEF" w:rsidRDefault="0099351E">
                  <w:pPr>
                    <w:pStyle w:val="Corpsdetexte"/>
                    <w:pBdr>
                      <w:top w:val="single" w:sz="4" w:space="1" w:color="auto"/>
                      <w:left w:val="single" w:sz="4" w:space="4" w:color="auto"/>
                      <w:bottom w:val="single" w:sz="4" w:space="1" w:color="auto"/>
                      <w:right w:val="single" w:sz="4" w:space="4" w:color="auto"/>
                    </w:pBdr>
                    <w:jc w:val="center"/>
                    <w:rPr>
                      <w:szCs w:val="22"/>
                    </w:rPr>
                  </w:pPr>
                  <w:r>
                    <w:rPr>
                      <w:b w:val="0"/>
                      <w:bCs/>
                      <w:szCs w:val="22"/>
                    </w:rPr>
                    <w:sym w:font="Wingdings" w:char="F03A"/>
                  </w:r>
                  <w:r>
                    <w:rPr>
                      <w:bCs/>
                      <w:szCs w:val="22"/>
                    </w:rPr>
                    <w:t> :</w:t>
                  </w:r>
                  <w:r>
                    <w:rPr>
                      <w:szCs w:val="22"/>
                    </w:rPr>
                    <w:t xml:space="preserve"> </w:t>
                  </w:r>
                  <w:hyperlink r:id="rId144" w:history="1">
                    <w:r>
                      <w:rPr>
                        <w:rStyle w:val="Lienhypertexte"/>
                        <w:b w:val="0"/>
                        <w:szCs w:val="22"/>
                      </w:rPr>
                      <w:t>veronique.rombaut@cfwb.be</w:t>
                    </w:r>
                  </w:hyperlink>
                </w:p>
                <w:p w:rsidR="00F04EEF" w:rsidRDefault="00F04EEF">
                  <w:pPr>
                    <w:jc w:val="both"/>
                    <w:rPr>
                      <w:rFonts w:cs="Arial"/>
                    </w:rPr>
                  </w:pPr>
                </w:p>
                <w:p w:rsidR="00F04EEF" w:rsidRDefault="0099351E">
                  <w:pPr>
                    <w:jc w:val="both"/>
                    <w:rPr>
                      <w:rFonts w:ascii="Cambria" w:hAnsi="Cambria" w:cs="Arial"/>
                    </w:rPr>
                  </w:pPr>
                  <w:r>
                    <w:rPr>
                      <w:rFonts w:ascii="Cambria" w:hAnsi="Cambria" w:cs="Arial"/>
                    </w:rPr>
                    <w:t>Les cours ne doivent pas être récupérés dans le cas où les cours sont suspendus suite :</w:t>
                  </w:r>
                </w:p>
                <w:p w:rsidR="00F04EEF" w:rsidRDefault="0099351E">
                  <w:pPr>
                    <w:numPr>
                      <w:ilvl w:val="0"/>
                      <w:numId w:val="335"/>
                    </w:numPr>
                    <w:jc w:val="both"/>
                    <w:rPr>
                      <w:rFonts w:ascii="Cambria" w:hAnsi="Cambria" w:cs="Arial"/>
                    </w:rPr>
                  </w:pPr>
                  <w:r>
                    <w:rPr>
                      <w:rFonts w:ascii="Cambria" w:hAnsi="Cambria" w:cs="Arial"/>
                    </w:rPr>
                    <w:t>à l’absence d’un enseignant</w:t>
                  </w:r>
                </w:p>
                <w:p w:rsidR="00F04EEF" w:rsidRDefault="0099351E">
                  <w:pPr>
                    <w:numPr>
                      <w:ilvl w:val="0"/>
                      <w:numId w:val="335"/>
                    </w:numPr>
                    <w:jc w:val="both"/>
                    <w:rPr>
                      <w:rFonts w:ascii="Cambria" w:hAnsi="Cambria" w:cs="Arial"/>
                    </w:rPr>
                  </w:pPr>
                  <w:r>
                    <w:rPr>
                      <w:rFonts w:ascii="Cambria" w:hAnsi="Cambria" w:cs="Arial"/>
                    </w:rPr>
                    <w:t xml:space="preserve">une grève d’un ou plusieurs enseignants, </w:t>
                  </w:r>
                </w:p>
                <w:p w:rsidR="00F04EEF" w:rsidRDefault="0099351E">
                  <w:pPr>
                    <w:numPr>
                      <w:ilvl w:val="0"/>
                      <w:numId w:val="335"/>
                    </w:numPr>
                    <w:jc w:val="both"/>
                    <w:rPr>
                      <w:rFonts w:ascii="Cambria" w:hAnsi="Cambria" w:cs="Arial"/>
                    </w:rPr>
                  </w:pPr>
                  <w:r>
                    <w:rPr>
                      <w:rFonts w:ascii="Cambria" w:hAnsi="Cambria" w:cs="Arial"/>
                    </w:rPr>
                    <w:t xml:space="preserve">à l’organisation d’une journée ou demi-journée de formation en cours de carrière, </w:t>
                  </w:r>
                </w:p>
                <w:p w:rsidR="00F04EEF" w:rsidRDefault="0099351E">
                  <w:pPr>
                    <w:numPr>
                      <w:ilvl w:val="0"/>
                      <w:numId w:val="335"/>
                    </w:numPr>
                    <w:jc w:val="both"/>
                    <w:rPr>
                      <w:rFonts w:ascii="Cambria" w:hAnsi="Cambria" w:cs="Arial"/>
                    </w:rPr>
                  </w:pPr>
                  <w:r>
                    <w:rPr>
                      <w:rFonts w:ascii="Cambria" w:hAnsi="Cambria" w:cs="Arial"/>
                    </w:rPr>
                    <w:t xml:space="preserve">à l’organisation d’une réunion de parents </w:t>
                  </w:r>
                </w:p>
                <w:p w:rsidR="00F04EEF" w:rsidRDefault="0099351E">
                  <w:pPr>
                    <w:numPr>
                      <w:ilvl w:val="0"/>
                      <w:numId w:val="335"/>
                    </w:numPr>
                    <w:jc w:val="both"/>
                    <w:rPr>
                      <w:rFonts w:ascii="Cambria" w:hAnsi="Cambria" w:cs="Arial"/>
                    </w:rPr>
                  </w:pPr>
                  <w:r>
                    <w:rPr>
                      <w:rFonts w:ascii="Cambria" w:hAnsi="Cambria" w:cs="Arial"/>
                    </w:rPr>
                    <w:t>à la réquisition des locaux pour l’organisation d’élections.</w:t>
                  </w:r>
                </w:p>
                <w:p w:rsidR="00F04EEF" w:rsidRDefault="00F04EEF">
                  <w:pPr>
                    <w:rPr>
                      <w:rFonts w:cs="Arial"/>
                    </w:rPr>
                  </w:pPr>
                </w:p>
                <w:p w:rsidR="00F04EEF" w:rsidRDefault="0099351E">
                  <w:r>
                    <w:br w:type="page"/>
                  </w:r>
                </w:p>
                <w:p w:rsidR="00F04EEF" w:rsidRDefault="0099351E">
                  <w:pPr>
                    <w:jc w:val="both"/>
                  </w:pPr>
                  <w:r>
                    <w:t xml:space="preserve">Dans l'enseignement secondaire spécialisé de formes 1 et 2, les cours peuvent être suspendus afin d'organiser l'évaluation, les délibérations des conseils de classe et les rencontres avec les parents pendant 3 jours au maximum sur l'année. </w:t>
                  </w:r>
                </w:p>
                <w:p w:rsidR="00F04EEF" w:rsidRDefault="00F04EEF">
                  <w:pPr>
                    <w:jc w:val="both"/>
                  </w:pPr>
                </w:p>
                <w:p w:rsidR="00F04EEF" w:rsidRDefault="0099351E">
                  <w:pPr>
                    <w:jc w:val="both"/>
                  </w:pPr>
                  <w:r>
                    <w:t xml:space="preserve">Dans l'enseignement secondaire spécialisé de forme 3, les cours peuvent être suspendus afin d'organiser des épreuves d'évaluation, les délibérations des conseils de classe et les rencontres avec les parents pendant 15 jours au maximum sur l'année. </w:t>
                  </w:r>
                </w:p>
                <w:p w:rsidR="00F04EEF" w:rsidRDefault="00F04EEF">
                  <w:pPr>
                    <w:jc w:val="both"/>
                  </w:pPr>
                </w:p>
                <w:p w:rsidR="00F04EEF" w:rsidRDefault="0099351E">
                  <w:pPr>
                    <w:jc w:val="both"/>
                  </w:pPr>
                  <w:r>
                    <w:t xml:space="preserve">Dans l'enseignement secondaire spécialisé de forme 4, les cours peuvent être suspendus afin d'organiser des épreuves d'évaluation, les délibérations des conseils de classe et les rencontres avec les parents pendant 15 jours au maximum sur l'année au premier degré, pendant 25 jours au maximum au deuxième degré, pendant 25 jours au maximum au troisième degré. </w:t>
                  </w:r>
                </w:p>
                <w:p w:rsidR="00F04EEF" w:rsidRDefault="00F04EEF">
                  <w:pPr>
                    <w:jc w:val="both"/>
                  </w:pPr>
                </w:p>
                <w:p w:rsidR="00F04EEF" w:rsidRDefault="0099351E">
                  <w:pPr>
                    <w:jc w:val="both"/>
                    <w:rPr>
                      <w:rFonts w:cstheme="minorHAnsi"/>
                    </w:rPr>
                  </w:pPr>
                  <w:r>
                    <w:rPr>
                      <w:rFonts w:cstheme="minorHAnsi"/>
                    </w:rPr>
                    <w:t xml:space="preserve">Dans l’enseignement secondaire spécialisé, les cours sont suspendus pendant six demi-jours maximum afin de permettre aux membres du personnel de participer aux formations obligatoires visées à l’article 8, §2 du décret du 11 juillet 2002 relatif à la formation en cours de carrière dans l’enseignement spécialisé, l’enseignement secondaire et les centres psycho-médico-sociaux et à la création d'un Institut de la formation en cours de carrière. </w:t>
                  </w:r>
                </w:p>
                <w:p w:rsidR="00F04EEF" w:rsidRDefault="0099351E">
                  <w:pPr>
                    <w:jc w:val="both"/>
                    <w:rPr>
                      <w:rFonts w:cstheme="minorHAnsi"/>
                    </w:rPr>
                  </w:pPr>
                  <w:r>
                    <w:rPr>
                      <w:rFonts w:cstheme="minorHAnsi"/>
                    </w:rPr>
                    <w:t>Pendant ces journées, les élèves ne sont pas tenus à la fréquentation normale de l'école.</w:t>
                  </w:r>
                </w:p>
                <w:p w:rsidR="00F04EEF" w:rsidRDefault="00F04EEF"/>
                <w:p w:rsidR="00F04EEF" w:rsidRDefault="0099351E">
                  <w:pPr>
                    <w:jc w:val="both"/>
                  </w:pPr>
                  <w:r>
                    <w:t>Lorsqu'il n'existe pas de congé de réserve et qu'une festivité locale rend impossible l’organisation des cours un jour réservé à la classe, le pouvoir organisateur est tenu d'organiser une des journées de formations visées ci-dessus pendant un jour de congé des élèves, sauf s</w:t>
                  </w:r>
                  <w:r>
                    <w:rPr>
                      <w:rFonts w:cs="Arial"/>
                    </w:rPr>
                    <w:t>’il a procédé à la récupération des cours qui n’ont pas été donnés ou sauf s’il n’est pas tenu de récupérer les cours en raison de l’implication pédagogique des élèves lors de la festivité locale</w:t>
                  </w:r>
                  <w:r>
                    <w:t>. Il en informe par écrit la Direction générale de l'Enseignement obligatoire.</w:t>
                  </w:r>
                </w:p>
                <w:p w:rsidR="00F04EEF" w:rsidRDefault="00F04EEF"/>
                <w:p w:rsidR="00F04EEF" w:rsidRDefault="0099351E">
                  <w:pPr>
                    <w:pStyle w:val="Titre4"/>
                  </w:pPr>
                  <w:bookmarkStart w:id="1901" w:name="_3._Fermeture_exceptionnelle"/>
                  <w:bookmarkStart w:id="1902" w:name="_Toc414353029"/>
                  <w:bookmarkStart w:id="1903" w:name="_Toc453837057"/>
                  <w:bookmarkEnd w:id="1901"/>
                  <w:r>
                    <w:t>2.3. Fermeture exceptionnelle</w:t>
                  </w:r>
                  <w:bookmarkEnd w:id="1902"/>
                  <w:bookmarkEnd w:id="1903"/>
                </w:p>
                <w:p w:rsidR="00F04EEF" w:rsidRDefault="00F04EEF"/>
                <w:p w:rsidR="00F04EEF" w:rsidRDefault="0099351E">
                  <w:pPr>
                    <w:jc w:val="both"/>
                  </w:pPr>
                  <w:r>
                    <w:t xml:space="preserve">Une dérogation à la suspension des cours peut être accordée pour des raisons exceptionnelles et dûment motivées.  Les demi-jours ou les jours durant lesquels les cours ne sont pas donnés doivent être récupérés un mercredi après-midi ou un samedi. </w:t>
                  </w:r>
                </w:p>
                <w:p w:rsidR="00F04EEF" w:rsidRDefault="00F04EEF"/>
                <w:p w:rsidR="00F04EEF" w:rsidRDefault="0099351E">
                  <w:pPr>
                    <w:jc w:val="both"/>
                    <w:rPr>
                      <w:rFonts w:cs="Arial"/>
                    </w:rPr>
                  </w:pPr>
                  <w:r>
                    <w:rPr>
                      <w:rFonts w:cs="Arial"/>
                    </w:rPr>
                    <w:t>Le chef d’établissement (réseau FWB) ou le Pouvoir organisateur (enseignement subventionné) doit en faire la demande au préalable par écrit à la Direction générale de l'enseignement obligatoire et ce, dans des délais raisonnables.</w:t>
                  </w:r>
                </w:p>
                <w:p w:rsidR="00F04EEF" w:rsidRDefault="00F04EEF"/>
                <w:p w:rsidR="00F04EEF" w:rsidRDefault="0099351E">
                  <w:r>
                    <w:t xml:space="preserve">Les demandes complètes introduites à l’aide du formulaire en </w:t>
                  </w:r>
                  <w:hyperlink w:anchor="_Annexe_1_:_2" w:history="1">
                    <w:r>
                      <w:rPr>
                        <w:rStyle w:val="Lienhypertexte"/>
                        <w:rFonts w:cstheme="minorBidi"/>
                      </w:rPr>
                      <w:t>annexe 1,</w:t>
                    </w:r>
                  </w:hyperlink>
                  <w:r>
                    <w:t xml:space="preserve"> sont à adresser à : </w:t>
                  </w:r>
                </w:p>
                <w:p w:rsidR="00F04EEF" w:rsidRDefault="00F04EEF"/>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Rue Adolphe Lavallée, 1</w:t>
                  </w:r>
                </w:p>
                <w:p w:rsidR="00F04EEF" w:rsidRDefault="0099351E">
                  <w:pPr>
                    <w:pStyle w:val="Corpsdetexte"/>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Pr>
                      <w:b w:val="0"/>
                      <w:bCs/>
                      <w:szCs w:val="22"/>
                    </w:rPr>
                    <w:t>Bureau 2F251</w:t>
                  </w:r>
                </w:p>
                <w:p w:rsidR="00F04EEF" w:rsidRDefault="0099351E">
                  <w:pPr>
                    <w:pStyle w:val="Corpsdetexte"/>
                    <w:pBdr>
                      <w:top w:val="single" w:sz="4" w:space="1" w:color="auto"/>
                      <w:left w:val="single" w:sz="4" w:space="4" w:color="auto"/>
                      <w:bottom w:val="single" w:sz="4" w:space="1" w:color="auto"/>
                      <w:right w:val="single" w:sz="4" w:space="4" w:color="auto"/>
                    </w:pBdr>
                    <w:jc w:val="center"/>
                    <w:rPr>
                      <w:b w:val="0"/>
                      <w:bCs/>
                      <w:szCs w:val="22"/>
                    </w:rPr>
                  </w:pPr>
                  <w:r>
                    <w:rPr>
                      <w:b w:val="0"/>
                      <w:szCs w:val="22"/>
                    </w:rPr>
                    <w:sym w:font="Wingdings" w:char="F028"/>
                  </w:r>
                  <w:r>
                    <w:rPr>
                      <w:b w:val="0"/>
                      <w:szCs w:val="22"/>
                    </w:rPr>
                    <w:t xml:space="preserve"> : </w:t>
                  </w:r>
                  <w:r>
                    <w:rPr>
                      <w:b w:val="0"/>
                      <w:bCs/>
                      <w:szCs w:val="22"/>
                    </w:rPr>
                    <w:t xml:space="preserve">02/690.83.99 </w:t>
                  </w:r>
                </w:p>
                <w:p w:rsidR="00F04EEF" w:rsidRDefault="0099351E">
                  <w:pPr>
                    <w:pStyle w:val="Corpsdetexte"/>
                    <w:pBdr>
                      <w:top w:val="single" w:sz="4" w:space="1" w:color="auto"/>
                      <w:left w:val="single" w:sz="4" w:space="4" w:color="auto"/>
                      <w:bottom w:val="single" w:sz="4" w:space="1" w:color="auto"/>
                      <w:right w:val="single" w:sz="4" w:space="4" w:color="auto"/>
                    </w:pBdr>
                    <w:jc w:val="center"/>
                    <w:rPr>
                      <w:szCs w:val="22"/>
                    </w:rPr>
                  </w:pPr>
                  <w:r>
                    <w:rPr>
                      <w:b w:val="0"/>
                      <w:bCs/>
                      <w:szCs w:val="22"/>
                    </w:rPr>
                    <w:sym w:font="Wingdings" w:char="F03A"/>
                  </w:r>
                  <w:r>
                    <w:rPr>
                      <w:bCs/>
                      <w:szCs w:val="22"/>
                    </w:rPr>
                    <w:t> :</w:t>
                  </w:r>
                  <w:r>
                    <w:rPr>
                      <w:szCs w:val="22"/>
                    </w:rPr>
                    <w:t xml:space="preserve"> </w:t>
                  </w:r>
                  <w:hyperlink r:id="rId145" w:history="1">
                    <w:r>
                      <w:rPr>
                        <w:rStyle w:val="Lienhypertexte"/>
                        <w:b w:val="0"/>
                        <w:szCs w:val="22"/>
                      </w:rPr>
                      <w:t>veronique.rombaut@cfwb.be</w:t>
                    </w:r>
                  </w:hyperlink>
                </w:p>
                <w:p w:rsidR="00F04EEF" w:rsidRDefault="00F04EEF">
                  <w:pPr>
                    <w:pStyle w:val="Corpsdetexte"/>
                    <w:jc w:val="center"/>
                    <w:rPr>
                      <w:b w:val="0"/>
                      <w:szCs w:val="22"/>
                    </w:rPr>
                  </w:pPr>
                </w:p>
                <w:p w:rsidR="00F04EEF" w:rsidRDefault="0099351E">
                  <w:pPr>
                    <w:pStyle w:val="Titre3"/>
                    <w:rPr>
                      <w:b w:val="0"/>
                    </w:rPr>
                  </w:pPr>
                  <w:bookmarkStart w:id="1904" w:name="_Toc414353030"/>
                  <w:bookmarkStart w:id="1905" w:name="_Toc453837058"/>
                  <w:bookmarkStart w:id="1906" w:name="_Toc47708499"/>
                  <w:r>
                    <w:rPr>
                      <w:sz w:val="22"/>
                      <w:szCs w:val="22"/>
                    </w:rPr>
                    <w:t>3. Annexe</w:t>
                  </w:r>
                  <w:bookmarkEnd w:id="1904"/>
                  <w:bookmarkEnd w:id="1905"/>
                  <w:bookmarkEnd w:id="1906"/>
                  <w:r>
                    <w:rPr>
                      <w:sz w:val="22"/>
                      <w:szCs w:val="22"/>
                    </w:rPr>
                    <w:br w:type="page"/>
                  </w:r>
                </w:p>
                <w:p w:rsidR="00F04EEF" w:rsidRDefault="0099351E">
                  <w:pPr>
                    <w:pStyle w:val="Titre4"/>
                  </w:pPr>
                  <w:bookmarkStart w:id="1907" w:name="_Annexe_1_:_18"/>
                  <w:bookmarkStart w:id="1908" w:name="_Annexe_1_:_2"/>
                  <w:bookmarkStart w:id="1909" w:name="_Toc518999845"/>
                  <w:bookmarkStart w:id="1910" w:name="_Toc453837059"/>
                  <w:bookmarkStart w:id="1911" w:name="_Toc414353031"/>
                  <w:bookmarkEnd w:id="1907"/>
                  <w:bookmarkEnd w:id="1908"/>
                  <w:r>
                    <w:t xml:space="preserve">Annexe 1 : Déclaration pour suspension des cours </w:t>
                  </w:r>
                  <w:bookmarkEnd w:id="1909"/>
                  <w:bookmarkEnd w:id="1910"/>
                  <w:bookmarkEnd w:id="1911"/>
                </w:p>
                <w:p w:rsidR="00F04EEF" w:rsidRDefault="00F04EEF">
                  <w:pPr>
                    <w:jc w:val="center"/>
                    <w:rPr>
                      <w:rFonts w:ascii="Calibri Light" w:hAnsi="Calibri Light"/>
                    </w:rPr>
                  </w:pPr>
                </w:p>
                <w:p w:rsidR="00F04EEF" w:rsidRDefault="00F04EEF">
                  <w:pPr>
                    <w:jc w:val="center"/>
                    <w:rPr>
                      <w:rFonts w:ascii="Calibri Light" w:hAnsi="Calibri Light"/>
                    </w:rPr>
                  </w:pPr>
                </w:p>
                <w:p w:rsidR="00F04EEF" w:rsidRDefault="0099351E">
                  <w:pPr>
                    <w:pBdr>
                      <w:top w:val="single" w:sz="4" w:space="1" w:color="auto"/>
                      <w:left w:val="single" w:sz="4" w:space="4" w:color="auto"/>
                      <w:bottom w:val="single" w:sz="4" w:space="1" w:color="auto"/>
                      <w:right w:val="single" w:sz="4" w:space="4" w:color="auto"/>
                    </w:pBdr>
                    <w:jc w:val="center"/>
                    <w:rPr>
                      <w:b/>
                    </w:rPr>
                  </w:pPr>
                  <w:r>
                    <w:rPr>
                      <w:b/>
                    </w:rPr>
                    <w:t>Renseignement portant sur l’école (un formulaire par école / implantation)</w:t>
                  </w:r>
                </w:p>
                <w:p w:rsidR="00F04EEF" w:rsidRDefault="00F04EEF">
                  <w:pPr>
                    <w:jc w:val="center"/>
                    <w:rPr>
                      <w:rFonts w:ascii="Calibri Light" w:hAnsi="Calibri Light"/>
                    </w:rPr>
                  </w:pPr>
                </w:p>
                <w:p w:rsidR="00F04EEF" w:rsidRDefault="0099351E">
                  <w:pPr>
                    <w:rPr>
                      <w:rFonts w:ascii="Cambria" w:hAnsi="Cambria" w:cs="Arial"/>
                    </w:rPr>
                  </w:pPr>
                  <w:r>
                    <w:rPr>
                      <w:rFonts w:ascii="Cambria" w:hAnsi="Cambria" w:cs="Arial"/>
                    </w:rPr>
                    <w:t>NOM de l’école : ……………..…………………………………………………………………………………..……………………</w:t>
                  </w:r>
                </w:p>
                <w:p w:rsidR="00F04EEF" w:rsidRDefault="00F04EEF">
                  <w:pPr>
                    <w:rPr>
                      <w:rFonts w:ascii="Cambria" w:hAnsi="Cambria" w:cs="Arial"/>
                    </w:rPr>
                  </w:pPr>
                </w:p>
                <w:p w:rsidR="00F04EEF" w:rsidRDefault="0099351E">
                  <w:pPr>
                    <w:rPr>
                      <w:rFonts w:ascii="Cambria" w:hAnsi="Cambria" w:cs="Arial"/>
                    </w:rPr>
                  </w:pPr>
                  <w:r>
                    <w:rPr>
                      <w:rFonts w:ascii="Cambria" w:hAnsi="Cambria" w:cs="Arial"/>
                    </w:rPr>
                    <w:t>Numéro FASE (obligatoire) : ……………..…………………….………………………………………………………………</w:t>
                  </w:r>
                </w:p>
                <w:p w:rsidR="00F04EEF" w:rsidRDefault="00F04EEF">
                  <w:pPr>
                    <w:rPr>
                      <w:rFonts w:ascii="Cambria" w:hAnsi="Cambria" w:cs="Arial"/>
                    </w:rPr>
                  </w:pPr>
                </w:p>
                <w:p w:rsidR="00F04EEF" w:rsidRDefault="0099351E">
                  <w:pPr>
                    <w:rPr>
                      <w:rFonts w:ascii="Cambria" w:hAnsi="Cambria" w:cs="Arial"/>
                    </w:rPr>
                  </w:pPr>
                  <w:r>
                    <w:rPr>
                      <w:rFonts w:ascii="Cambria" w:hAnsi="Cambria" w:cs="Arial"/>
                    </w:rPr>
                    <w:t>Adresse complète : ……………..……………………………………………………………………………………………………</w:t>
                  </w:r>
                </w:p>
                <w:p w:rsidR="00F04EEF" w:rsidRDefault="00F04EEF">
                  <w:pPr>
                    <w:rPr>
                      <w:rFonts w:ascii="Cambria" w:hAnsi="Cambria" w:cs="Arial"/>
                    </w:rPr>
                  </w:pPr>
                </w:p>
                <w:p w:rsidR="00F04EEF" w:rsidRDefault="0099351E">
                  <w:pPr>
                    <w:rPr>
                      <w:rFonts w:ascii="Cambria" w:hAnsi="Cambria" w:cs="Arial"/>
                    </w:rPr>
                  </w:pPr>
                  <w:r>
                    <w:rPr>
                      <w:rFonts w:ascii="Cambria" w:hAnsi="Cambria" w:cs="Arial"/>
                    </w:rPr>
                    <w:t>Numéro de téléphone : ……………..………………………………………………………………………………</w:t>
                  </w:r>
                </w:p>
                <w:p w:rsidR="00F04EEF" w:rsidRDefault="00F04EEF">
                  <w:pPr>
                    <w:rPr>
                      <w:rFonts w:ascii="Cambria" w:hAnsi="Cambria" w:cs="Arial"/>
                    </w:rPr>
                  </w:pPr>
                </w:p>
                <w:p w:rsidR="00F04EEF" w:rsidRDefault="0099351E">
                  <w:pPr>
                    <w:rPr>
                      <w:rFonts w:ascii="Cambria" w:hAnsi="Cambria" w:cs="Arial"/>
                    </w:rPr>
                  </w:pPr>
                  <w:r>
                    <w:rPr>
                      <w:rFonts w:ascii="Cambria" w:hAnsi="Cambria" w:cs="Arial"/>
                    </w:rPr>
                    <w:t>NOM complet de la Direction : Madame-Monsieur ……………..………………………………………………………</w:t>
                  </w:r>
                </w:p>
                <w:p w:rsidR="00F04EEF" w:rsidRDefault="00F04EEF">
                  <w:pPr>
                    <w:rPr>
                      <w:rFonts w:ascii="Cambria" w:hAnsi="Cambria" w:cs="Arial"/>
                    </w:rPr>
                  </w:pPr>
                </w:p>
                <w:p w:rsidR="00F04EEF" w:rsidRDefault="0099351E">
                  <w:pPr>
                    <w:pBdr>
                      <w:top w:val="single" w:sz="4" w:space="1" w:color="auto"/>
                      <w:left w:val="single" w:sz="4" w:space="4" w:color="auto"/>
                      <w:bottom w:val="single" w:sz="4" w:space="1" w:color="auto"/>
                      <w:right w:val="single" w:sz="4" w:space="4" w:color="auto"/>
                    </w:pBdr>
                    <w:jc w:val="center"/>
                    <w:rPr>
                      <w:rFonts w:ascii="Cambria" w:hAnsi="Cambria" w:cs="Arial"/>
                    </w:rPr>
                  </w:pPr>
                  <w:r>
                    <w:rPr>
                      <w:rFonts w:ascii="Cambria" w:hAnsi="Cambria" w:cs="Arial"/>
                    </w:rPr>
                    <w:t xml:space="preserve">Renseignement portant sur la suspension des cours </w:t>
                  </w:r>
                </w:p>
                <w:p w:rsidR="00F04EEF" w:rsidRDefault="00F04EEF">
                  <w:pPr>
                    <w:rPr>
                      <w:rFonts w:ascii="Cambria" w:hAnsi="Cambria" w:cs="Arial"/>
                    </w:rPr>
                  </w:pPr>
                </w:p>
                <w:p w:rsidR="00F04EEF" w:rsidRDefault="0099351E">
                  <w:pPr>
                    <w:rPr>
                      <w:rFonts w:ascii="Cambria" w:hAnsi="Cambria" w:cs="Arial"/>
                    </w:rPr>
                  </w:pPr>
                  <w:r>
                    <w:rPr>
                      <w:rFonts w:ascii="Cambria" w:hAnsi="Cambria" w:cs="Arial"/>
                    </w:rPr>
                    <w:t>Date de la suspension des cours  : ……………..………………………………………………………………………………</w:t>
                  </w:r>
                </w:p>
                <w:p w:rsidR="00F04EEF" w:rsidRDefault="0099351E">
                  <w:pPr>
                    <w:rPr>
                      <w:rFonts w:ascii="Cambria" w:hAnsi="Cambria" w:cs="Arial"/>
                    </w:rPr>
                  </w:pPr>
                  <w:r>
                    <w:rPr>
                      <w:rFonts w:ascii="Cambria" w:hAnsi="Cambria" w:cs="Arial"/>
                    </w:rPr>
                    <w:t>Motif de suspension des cours (entourer l’une des propositions suivantes) :</w:t>
                  </w:r>
                </w:p>
                <w:p w:rsidR="00F04EEF" w:rsidRDefault="0099351E">
                  <w:pPr>
                    <w:pStyle w:val="Paragraphedeliste"/>
                    <w:numPr>
                      <w:ilvl w:val="0"/>
                      <w:numId w:val="336"/>
                    </w:numPr>
                    <w:suppressAutoHyphens w:val="0"/>
                    <w:spacing w:line="256" w:lineRule="auto"/>
                    <w:contextualSpacing/>
                    <w:rPr>
                      <w:rFonts w:ascii="Cambria" w:hAnsi="Cambria"/>
                      <w:sz w:val="22"/>
                      <w:szCs w:val="22"/>
                    </w:rPr>
                  </w:pPr>
                  <w:r>
                    <w:rPr>
                      <w:rFonts w:ascii="Cambria" w:hAnsi="Cambria"/>
                      <w:sz w:val="22"/>
                      <w:szCs w:val="22"/>
                    </w:rPr>
                    <w:t>Force majeure</w:t>
                  </w:r>
                </w:p>
                <w:p w:rsidR="00F04EEF" w:rsidRDefault="0099351E">
                  <w:pPr>
                    <w:pStyle w:val="Paragraphedeliste"/>
                    <w:numPr>
                      <w:ilvl w:val="0"/>
                      <w:numId w:val="336"/>
                    </w:numPr>
                    <w:suppressAutoHyphens w:val="0"/>
                    <w:spacing w:line="256" w:lineRule="auto"/>
                    <w:contextualSpacing/>
                    <w:rPr>
                      <w:rFonts w:ascii="Cambria" w:hAnsi="Cambria"/>
                      <w:sz w:val="22"/>
                      <w:szCs w:val="22"/>
                    </w:rPr>
                  </w:pPr>
                  <w:r>
                    <w:rPr>
                      <w:rFonts w:ascii="Cambria" w:hAnsi="Cambria"/>
                      <w:sz w:val="22"/>
                      <w:szCs w:val="22"/>
                    </w:rPr>
                    <w:t>Situation prévisible</w:t>
                  </w:r>
                </w:p>
                <w:p w:rsidR="00F04EEF" w:rsidRDefault="0099351E">
                  <w:pPr>
                    <w:numPr>
                      <w:ilvl w:val="0"/>
                      <w:numId w:val="336"/>
                    </w:numPr>
                    <w:spacing w:after="160" w:line="259" w:lineRule="auto"/>
                    <w:rPr>
                      <w:rFonts w:ascii="Cambria" w:hAnsi="Cambria" w:cs="Arial"/>
                    </w:rPr>
                  </w:pPr>
                  <w:r>
                    <w:rPr>
                      <w:rFonts w:ascii="Cambria" w:hAnsi="Cambria" w:cs="Arial"/>
                    </w:rPr>
                    <w:t>Fermeture exceptionnelle</w:t>
                  </w:r>
                </w:p>
                <w:p w:rsidR="00F04EEF" w:rsidRDefault="0099351E">
                  <w:pPr>
                    <w:rPr>
                      <w:sz w:val="20"/>
                      <w:szCs w:val="20"/>
                    </w:rPr>
                  </w:pPr>
                  <w:r>
                    <w:rPr>
                      <w:rFonts w:ascii="Cambria" w:hAnsi="Cambria" w:cs="Arial"/>
                    </w:rPr>
                    <w:t>Raison de la suspension des cours :</w:t>
                  </w:r>
                  <w:r>
                    <w:rPr>
                      <w:b/>
                      <w:sz w:val="20"/>
                      <w:szCs w:val="20"/>
                    </w:rPr>
                    <w:t xml:space="preserve"> </w:t>
                  </w:r>
                  <w:r>
                    <w:rPr>
                      <w:rFonts w:ascii="Calibri Light" w:hAnsi="Calibri Light"/>
                    </w:rPr>
                    <w:t>………………………………………………………………………………………………………………………………………………………………………………………………………………………………………………………………………………………………………………………………………………………………………………………………………………………………………………………………………………………………………………………………………………………………………………………………………………………………………………………………………………………………………………………………………………………………………………………………………………………………………………………………………………………………………………………………………………………………………………………………</w:t>
                  </w:r>
                </w:p>
                <w:p w:rsidR="00F04EEF" w:rsidRDefault="00F04EEF">
                  <w:pPr>
                    <w:rPr>
                      <w:rFonts w:ascii="Cambria" w:hAnsi="Cambria" w:cs="Arial"/>
                    </w:rPr>
                  </w:pPr>
                </w:p>
                <w:p w:rsidR="00F04EEF" w:rsidRDefault="0099351E">
                  <w:pPr>
                    <w:rPr>
                      <w:rFonts w:ascii="Cambria" w:hAnsi="Cambria" w:cs="Arial"/>
                    </w:rPr>
                  </w:pPr>
                  <w:r>
                    <w:rPr>
                      <w:rFonts w:ascii="Cambria" w:hAnsi="Cambria" w:cs="Arial"/>
                    </w:rPr>
                    <w:t>Si la suspension des cours résulte du motif b) ou c), indiquer la date de récupération des cours :</w:t>
                  </w:r>
                </w:p>
                <w:p w:rsidR="00F04EEF" w:rsidRDefault="00F04EEF">
                  <w:pPr>
                    <w:rPr>
                      <w:rFonts w:ascii="Cambria" w:hAnsi="Cambria" w:cs="Arial"/>
                    </w:rPr>
                  </w:pPr>
                </w:p>
                <w:p w:rsidR="00F04EEF" w:rsidRDefault="0099351E">
                  <w:pPr>
                    <w:ind w:firstLine="426"/>
                    <w:rPr>
                      <w:rFonts w:ascii="Cambria" w:hAnsi="Cambria" w:cs="Arial"/>
                    </w:rPr>
                  </w:pPr>
                  <w:r>
                    <w:rPr>
                      <w:rFonts w:ascii="Cambria" w:hAnsi="Cambria" w:cs="Arial"/>
                    </w:rPr>
                    <w:t>Date de récupération du jour de fermeture : ……………………………………………………………………</w:t>
                  </w:r>
                </w:p>
                <w:p w:rsidR="00F04EEF" w:rsidRDefault="00F04EEF">
                  <w:pPr>
                    <w:rPr>
                      <w:rFonts w:ascii="Cambria" w:hAnsi="Cambria" w:cs="Arial"/>
                    </w:rPr>
                  </w:pPr>
                </w:p>
                <w:p w:rsidR="00F04EEF" w:rsidRDefault="00F04EEF">
                  <w:pPr>
                    <w:rPr>
                      <w:rFonts w:ascii="Cambria" w:hAnsi="Cambria" w:cs="Arial"/>
                    </w:rPr>
                  </w:pPr>
                </w:p>
                <w:p w:rsidR="00F04EEF" w:rsidRDefault="0099351E">
                  <w:pPr>
                    <w:rPr>
                      <w:rFonts w:ascii="Cambria" w:hAnsi="Cambria" w:cs="Arial"/>
                      <w:b/>
                    </w:rPr>
                  </w:pPr>
                  <w:r>
                    <w:rPr>
                      <w:rFonts w:ascii="Cambria" w:hAnsi="Cambria" w:cs="Arial"/>
                      <w:b/>
                    </w:rPr>
                    <w:t>Je déclare sur l’honneur que les informations reprises ci-dessus sont sincères et exactes.</w:t>
                  </w:r>
                </w:p>
                <w:p w:rsidR="00F04EEF" w:rsidRDefault="00F04EEF">
                  <w:pPr>
                    <w:rPr>
                      <w:rFonts w:ascii="Cambria" w:hAnsi="Cambria" w:cs="Arial"/>
                      <w:b/>
                    </w:rPr>
                  </w:pPr>
                </w:p>
                <w:p w:rsidR="00F04EEF" w:rsidRDefault="0099351E">
                  <w:pPr>
                    <w:rPr>
                      <w:rFonts w:ascii="Cambria" w:hAnsi="Cambria" w:cs="Arial"/>
                      <w:b/>
                    </w:rPr>
                  </w:pPr>
                  <w:r>
                    <w:rPr>
                      <w:rFonts w:ascii="Cambria" w:hAnsi="Cambria" w:cs="Arial"/>
                      <w:b/>
                    </w:rPr>
                    <w:t>Pour le Pouvoir organisateur (OS-LS) ou le chef d’établissement (FWB)</w:t>
                  </w:r>
                  <w:r>
                    <w:rPr>
                      <w:rStyle w:val="Appelnotedebasdep"/>
                      <w:rFonts w:ascii="Cambria" w:hAnsi="Cambria" w:cs="Arial"/>
                      <w:b/>
                    </w:rPr>
                    <w:footnoteReference w:id="125"/>
                  </w:r>
                  <w:r>
                    <w:rPr>
                      <w:rFonts w:ascii="Cambria" w:hAnsi="Cambria" w:cs="Arial"/>
                      <w:b/>
                    </w:rPr>
                    <w:t xml:space="preserve"> : </w:t>
                  </w:r>
                </w:p>
                <w:p w:rsidR="00F04EEF" w:rsidRDefault="0099351E">
                  <w:pPr>
                    <w:rPr>
                      <w:rFonts w:ascii="Cambria" w:hAnsi="Cambria" w:cs="Arial"/>
                      <w:b/>
                    </w:rPr>
                  </w:pPr>
                  <w:r>
                    <w:rPr>
                      <w:rFonts w:ascii="Cambria" w:hAnsi="Cambria" w:cs="Arial"/>
                      <w:b/>
                    </w:rPr>
                    <w:t>NOM (en majuscules) et signature :</w:t>
                  </w:r>
                  <w:r>
                    <w:rPr>
                      <w:rFonts w:ascii="Cambria" w:hAnsi="Cambria" w:cs="Arial"/>
                      <w:b/>
                    </w:rPr>
                    <w:tab/>
                  </w:r>
                  <w:r>
                    <w:rPr>
                      <w:rFonts w:ascii="Cambria" w:hAnsi="Cambria" w:cs="Arial"/>
                      <w:b/>
                    </w:rPr>
                    <w:tab/>
                  </w:r>
                  <w:r>
                    <w:rPr>
                      <w:rFonts w:ascii="Cambria" w:hAnsi="Cambria" w:cs="Arial"/>
                      <w:b/>
                    </w:rPr>
                    <w:tab/>
                  </w:r>
                  <w:r>
                    <w:rPr>
                      <w:rFonts w:ascii="Cambria" w:hAnsi="Cambria" w:cs="Arial"/>
                      <w:b/>
                    </w:rPr>
                    <w:tab/>
                  </w:r>
                  <w:r>
                    <w:rPr>
                      <w:rFonts w:ascii="Cambria" w:hAnsi="Cambria" w:cs="Arial"/>
                      <w:b/>
                    </w:rPr>
                    <w:tab/>
                    <w:t>Date :</w:t>
                  </w:r>
                </w:p>
                <w:p w:rsidR="00F04EEF" w:rsidRDefault="00F04EEF"/>
                <w:p w:rsidR="00F04EEF" w:rsidRDefault="00F04EEF">
                  <w:pPr>
                    <w:pStyle w:val="Corpsdetexte3"/>
                    <w:rPr>
                      <w:rFonts w:asciiTheme="majorHAnsi" w:hAnsiTheme="majorHAnsi"/>
                      <w:sz w:val="22"/>
                      <w:szCs w:val="22"/>
                    </w:rPr>
                  </w:pPr>
                </w:p>
                <w:p w:rsidR="00F04EEF" w:rsidRDefault="00F04EEF"/>
                <w:p w:rsidR="00F04EEF" w:rsidRDefault="00F04EEF">
                  <w:pPr>
                    <w:rPr>
                      <w:b/>
                      <w:u w:val="single"/>
                    </w:rPr>
                  </w:pPr>
                </w:p>
                <w:p w:rsidR="00F04EEF" w:rsidRDefault="0099351E">
                  <w:pPr>
                    <w:pStyle w:val="Sansinterligne"/>
                    <w:rPr>
                      <w:rFonts w:asciiTheme="majorHAnsi" w:hAnsiTheme="majorHAnsi"/>
                    </w:rPr>
                  </w:pPr>
                  <w:r>
                    <w:rPr>
                      <w:rFonts w:asciiTheme="majorHAnsi" w:hAnsiTheme="majorHAnsi"/>
                    </w:rPr>
                    <w:br w:type="page"/>
                  </w:r>
                </w:p>
                <w:sdt>
                  <w:sdtPr>
                    <w:rPr>
                      <w:rFonts w:asciiTheme="majorHAnsi" w:eastAsiaTheme="minorHAnsi" w:hAnsiTheme="majorHAnsi"/>
                      <w:lang w:eastAsia="en-US"/>
                    </w:rPr>
                    <w:id w:val="426542486"/>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jc w:val="left"/>
                      </w:pPr>
                      <w:bookmarkStart w:id="1912" w:name="_chapitre_5_:"/>
                      <w:bookmarkStart w:id="1913" w:name="_Toc477623671"/>
                      <w:bookmarkStart w:id="1914" w:name="_Toc477767464"/>
                      <w:bookmarkStart w:id="1915" w:name="_Toc47708500"/>
                      <w:bookmarkEnd w:id="1912"/>
                      <w:r>
                        <w:t>Chapitre</w:t>
                      </w:r>
                      <w:bookmarkEnd w:id="1913"/>
                      <w:bookmarkEnd w:id="1914"/>
                      <w:r>
                        <w:t xml:space="preserve"> 5 : </w:t>
                      </w:r>
                      <w:bookmarkStart w:id="1916" w:name="_Toc477623672"/>
                      <w:bookmarkStart w:id="1917" w:name="_Toc477767465"/>
                      <w:r>
                        <w:t>Personnel directeur et enseignant des établissements et instituts d’enseignement spécialisé</w:t>
                      </w:r>
                      <w:bookmarkEnd w:id="1916"/>
                      <w:bookmarkEnd w:id="1917"/>
                      <w:bookmarkEnd w:id="1915"/>
                    </w:p>
                    <w:p w:rsidR="00F04EEF" w:rsidRDefault="00F04EEF"/>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F04EEF">
                  <w:pPr>
                    <w:rPr>
                      <w:b/>
                      <w:u w:val="single"/>
                    </w:rPr>
                  </w:pPr>
                </w:p>
                <w:p w:rsidR="00F04EEF" w:rsidRDefault="0099351E">
                  <w:pPr>
                    <w:jc w:val="both"/>
                    <w:rPr>
                      <w:b/>
                      <w:u w:val="single"/>
                    </w:rPr>
                  </w:pPr>
                  <w:r>
                    <w:rPr>
                      <w:b/>
                      <w:u w:val="single"/>
                    </w:rPr>
                    <w:t xml:space="preserve">Bases légales : </w:t>
                  </w:r>
                </w:p>
                <w:p w:rsidR="00F04EEF" w:rsidRDefault="00F04EEF">
                  <w:pPr>
                    <w:jc w:val="both"/>
                    <w:rPr>
                      <w:b/>
                      <w:u w:val="single"/>
                    </w:rPr>
                  </w:pPr>
                </w:p>
                <w:p w:rsidR="00F04EEF" w:rsidRDefault="00F42422">
                  <w:pPr>
                    <w:numPr>
                      <w:ilvl w:val="0"/>
                      <w:numId w:val="47"/>
                    </w:numPr>
                    <w:suppressAutoHyphens/>
                    <w:jc w:val="both"/>
                  </w:pPr>
                  <w:hyperlink r:id="rId146" w:history="1">
                    <w:r w:rsidR="0099351E">
                      <w:rPr>
                        <w:rStyle w:val="Lienhypertexte"/>
                        <w:rFonts w:cs="Arial"/>
                      </w:rPr>
                      <w:t>Décret du 3 mars 2004 organisant l'enseignement spécialisé</w:t>
                    </w:r>
                  </w:hyperlink>
                </w:p>
                <w:p w:rsidR="00F04EEF" w:rsidRDefault="00F42422">
                  <w:pPr>
                    <w:numPr>
                      <w:ilvl w:val="0"/>
                      <w:numId w:val="47"/>
                    </w:numPr>
                    <w:suppressAutoHyphens/>
                    <w:jc w:val="both"/>
                  </w:pPr>
                  <w:hyperlink r:id="rId147" w:history="1">
                    <w:r w:rsidR="0099351E">
                      <w:rPr>
                        <w:rStyle w:val="Lienhypertexte"/>
                        <w:rFonts w:cs="Arial"/>
                      </w:rPr>
                      <w:t>Décret du 14 mars 2019 portant diverses dispositions relatives à l’organisation du travail des membres du personnel de l’enseignement et octroyant plus de souplesse organisationnelle aux Pouvoirs Organisateurs.</w:t>
                    </w:r>
                  </w:hyperlink>
                  <w:r w:rsidR="0099351E">
                    <w:rPr>
                      <w:rStyle w:val="Lienhypertexte"/>
                      <w:rFonts w:cs="Arial"/>
                    </w:rPr>
                    <w:t xml:space="preserve"> </w:t>
                  </w:r>
                </w:p>
                <w:p w:rsidR="00F04EEF" w:rsidRDefault="0099351E">
                  <w:pPr>
                    <w:numPr>
                      <w:ilvl w:val="0"/>
                      <w:numId w:val="47"/>
                    </w:numPr>
                    <w:suppressAutoHyphens/>
                    <w:jc w:val="both"/>
                    <w:rPr>
                      <w:rStyle w:val="Lienhypertexte"/>
                      <w:rFonts w:cstheme="minorBidi"/>
                    </w:rPr>
                  </w:pPr>
                  <w:r>
                    <w:rPr>
                      <w:rStyle w:val="Lienhypertexte"/>
                      <w:rFonts w:cs="Arial"/>
                    </w:rPr>
                    <w:fldChar w:fldCharType="begin"/>
                  </w:r>
                  <w:r>
                    <w:rPr>
                      <w:rStyle w:val="Lienhypertexte"/>
                      <w:rFonts w:cs="Arial"/>
                    </w:rPr>
                    <w:instrText xml:space="preserve"> HYPERLINK "https://www.gallilex.cfwb.be/document/pdf/10164_007.pdf" </w:instrText>
                  </w:r>
                  <w:r>
                    <w:rPr>
                      <w:rStyle w:val="Lienhypertexte"/>
                      <w:rFonts w:cs="Arial"/>
                    </w:rPr>
                    <w:fldChar w:fldCharType="separate"/>
                  </w:r>
                  <w:r>
                    <w:rPr>
                      <w:rStyle w:val="Lienhypertexte"/>
                      <w:rFonts w:cs="Arial"/>
                    </w:rPr>
                    <w:t>Arrêté royal n°297 du 31 mars 1984</w:t>
                  </w:r>
                  <w:r>
                    <w:rPr>
                      <w:rStyle w:val="Lienhypertexte"/>
                      <w:rFonts w:cstheme="minorBidi"/>
                    </w:rPr>
                    <w:t xml:space="preserve"> relatif aux charges, traitements, subventions traitements et congés pour prestations réduites dans l'enseignement et les centres psycho-médico-sociaux.</w:t>
                  </w:r>
                </w:p>
                <w:p w:rsidR="00F04EEF" w:rsidRDefault="0099351E">
                  <w:pPr>
                    <w:numPr>
                      <w:ilvl w:val="0"/>
                      <w:numId w:val="47"/>
                    </w:numPr>
                    <w:suppressAutoHyphens/>
                    <w:autoSpaceDE w:val="0"/>
                    <w:jc w:val="both"/>
                    <w:rPr>
                      <w:rFonts w:cs="Arial"/>
                      <w:color w:val="0000FF"/>
                      <w:lang w:val="fr-FR"/>
                    </w:rPr>
                  </w:pPr>
                  <w:r>
                    <w:rPr>
                      <w:rStyle w:val="Lienhypertexte"/>
                      <w:rFonts w:cs="Arial"/>
                    </w:rPr>
                    <w:fldChar w:fldCharType="end"/>
                  </w:r>
                  <w:hyperlink r:id="rId148" w:history="1">
                    <w:r>
                      <w:rPr>
                        <w:rStyle w:val="Lienhypertexte"/>
                        <w:rFonts w:cs="Arial"/>
                        <w:lang w:val="fr-FR"/>
                      </w:rPr>
                      <w:t>Circulaire n°1422 du 5 avril 2006 « Emplois de professeur de pratique professionnelle sans élèves dans les établissements secondaires organisés ou subventionnés par la Communauté française, qui dispensent un enseignement dans le secteur de l’agronomie ».</w:t>
                    </w:r>
                  </w:hyperlink>
                  <w:r>
                    <w:rPr>
                      <w:rFonts w:cs="Arial"/>
                      <w:color w:val="0000FF"/>
                      <w:lang w:val="fr-FR"/>
                    </w:rPr>
                    <w:t xml:space="preserve"> </w:t>
                  </w:r>
                </w:p>
                <w:p w:rsidR="00F04EEF" w:rsidRDefault="00F42422">
                  <w:pPr>
                    <w:numPr>
                      <w:ilvl w:val="0"/>
                      <w:numId w:val="47"/>
                    </w:numPr>
                    <w:suppressAutoHyphens/>
                    <w:autoSpaceDE w:val="0"/>
                    <w:jc w:val="both"/>
                    <w:rPr>
                      <w:rStyle w:val="Lienhypertexte"/>
                      <w:rFonts w:cs="Arial"/>
                      <w:u w:val="none"/>
                      <w:lang w:val="fr-FR"/>
                    </w:rPr>
                  </w:pPr>
                  <w:hyperlink r:id="rId149" w:history="1">
                    <w:r w:rsidR="0099351E">
                      <w:rPr>
                        <w:rStyle w:val="Lienhypertexte"/>
                        <w:rFonts w:cs="Arial"/>
                        <w:lang w:val="fr-FR"/>
                      </w:rPr>
                      <w:t xml:space="preserve">Circulaire 7167 concernant la </w:t>
                    </w:r>
                    <w:r w:rsidR="0099351E">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F04EEF" w:rsidRDefault="0099351E">
                  <w:pPr>
                    <w:numPr>
                      <w:ilvl w:val="0"/>
                      <w:numId w:val="47"/>
                    </w:numPr>
                    <w:suppressAutoHyphens/>
                    <w:jc w:val="both"/>
                    <w:rPr>
                      <w:rStyle w:val="Lienhypertexte"/>
                      <w:rFonts w:cstheme="minorBidi"/>
                      <w:color w:val="auto"/>
                      <w:u w:val="none"/>
                    </w:rPr>
                  </w:pPr>
                  <w:r>
                    <w:rPr>
                      <w:noProof/>
                      <w:color w:val="0000FF"/>
                      <w:u w:val="single"/>
                      <w:lang w:eastAsia="fr-BE"/>
                    </w:rPr>
                    <mc:AlternateContent>
                      <mc:Choice Requires="wps">
                        <w:drawing>
                          <wp:anchor distT="0" distB="0" distL="114300" distR="114300" simplePos="0" relativeHeight="252407808" behindDoc="0" locked="0" layoutInCell="1" allowOverlap="1">
                            <wp:simplePos x="0" y="0"/>
                            <wp:positionH relativeFrom="column">
                              <wp:posOffset>6290945</wp:posOffset>
                            </wp:positionH>
                            <wp:positionV relativeFrom="paragraph">
                              <wp:posOffset>50800</wp:posOffset>
                            </wp:positionV>
                            <wp:extent cx="0" cy="1454150"/>
                            <wp:effectExtent l="0" t="0" r="19050" b="31750"/>
                            <wp:wrapNone/>
                            <wp:docPr id="5545" name="Connecteur droit 5545"/>
                            <wp:cNvGraphicFramePr/>
                            <a:graphic xmlns:a="http://schemas.openxmlformats.org/drawingml/2006/main">
                              <a:graphicData uri="http://schemas.microsoft.com/office/word/2010/wordprocessingShape">
                                <wps:wsp>
                                  <wps:cNvCnPr/>
                                  <wps:spPr>
                                    <a:xfrm>
                                      <a:off x="0" y="0"/>
                                      <a:ext cx="0" cy="1454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20D076" id="Connecteur droit 5545" o:spid="_x0000_s1026" style="position:absolute;z-index:252407808;visibility:visible;mso-wrap-style:square;mso-wrap-distance-left:9pt;mso-wrap-distance-top:0;mso-wrap-distance-right:9pt;mso-wrap-distance-bottom:0;mso-position-horizontal:absolute;mso-position-horizontal-relative:text;mso-position-vertical:absolute;mso-position-vertical-relative:text" from="495.35pt,4pt" to="495.3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" strokecolor="black [3213]"/>
                        </w:pict>
                      </mc:Fallback>
                    </mc:AlternateContent>
                  </w:r>
                  <w:hyperlink r:id="rId150" w:history="1">
                    <w:r>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F04EEF" w:rsidRDefault="00F42422">
                  <w:pPr>
                    <w:numPr>
                      <w:ilvl w:val="0"/>
                      <w:numId w:val="47"/>
                    </w:numPr>
                    <w:suppressAutoHyphens/>
                    <w:jc w:val="both"/>
                    <w:rPr>
                      <w:rStyle w:val="Lienhypertexte"/>
                      <w:rFonts w:cstheme="minorBidi"/>
                      <w:color w:val="auto"/>
                      <w:u w:val="none"/>
                    </w:rPr>
                  </w:pPr>
                  <w:hyperlink r:id="rId151" w:history="1">
                    <w:r w:rsidR="0099351E">
                      <w:rPr>
                        <w:rStyle w:val="Lienhypertexte"/>
                        <w:rFonts w:cstheme="minorBidi"/>
                      </w:rPr>
                      <w:t>Circulaire 7608 du 09/06/2020 Coronavirus Covid-19: mesures concernant l'intégration et l'enseignement spécialisé</w:t>
                    </w:r>
                  </w:hyperlink>
                  <w:r w:rsidR="0099351E">
                    <w:rPr>
                      <w:rStyle w:val="Lienhypertexte"/>
                      <w:rFonts w:cstheme="minorBidi"/>
                      <w:color w:val="auto"/>
                      <w:u w:val="none"/>
                    </w:rPr>
                    <w:t xml:space="preserve"> </w:t>
                  </w:r>
                </w:p>
                <w:p w:rsidR="00F04EEF" w:rsidRDefault="00F42422">
                  <w:pPr>
                    <w:numPr>
                      <w:ilvl w:val="0"/>
                      <w:numId w:val="47"/>
                    </w:numPr>
                    <w:suppressAutoHyphens/>
                    <w:jc w:val="both"/>
                    <w:rPr>
                      <w:rStyle w:val="Lienhypertexte"/>
                      <w:rFonts w:cstheme="minorBidi"/>
                      <w:color w:val="auto"/>
                      <w:u w:val="none"/>
                    </w:rPr>
                  </w:pPr>
                  <w:hyperlink r:id="rId152" w:history="1">
                    <w:r w:rsidR="0099351E">
                      <w:rPr>
                        <w:rStyle w:val="Lienhypertexte"/>
                        <w:rFonts w:cstheme="minorBidi"/>
                      </w:rPr>
                      <w:t>Circulaire 7615 du 11/06/2020 Addendum à la circulaire 7608 : Coronavirus Covid-19: mesures concernant l'intégration et l'enseignement spécialisé</w:t>
                    </w:r>
                  </w:hyperlink>
                  <w:r w:rsidR="0099351E">
                    <w:rPr>
                      <w:rStyle w:val="Lienhypertexte"/>
                      <w:rFonts w:cstheme="minorBidi"/>
                      <w:color w:val="auto"/>
                      <w:u w:val="none"/>
                    </w:rPr>
                    <w:t xml:space="preserve"> </w:t>
                  </w:r>
                </w:p>
                <w:p w:rsidR="00F04EEF" w:rsidRDefault="00F04EEF">
                  <w:pPr>
                    <w:suppressAutoHyphens/>
                    <w:autoSpaceDE w:val="0"/>
                    <w:ind w:left="360"/>
                    <w:jc w:val="both"/>
                    <w:rPr>
                      <w:rFonts w:cs="Arial"/>
                      <w:color w:val="0000FF"/>
                      <w:lang w:val="fr-FR"/>
                    </w:rPr>
                  </w:pPr>
                </w:p>
                <w:p w:rsidR="00F04EEF" w:rsidRDefault="0099351E">
                  <w:pPr>
                    <w:tabs>
                      <w:tab w:val="left" w:pos="2535"/>
                    </w:tabs>
                    <w:suppressAutoHyphens/>
                    <w:autoSpaceDE w:val="0"/>
                    <w:jc w:val="both"/>
                    <w:rPr>
                      <w:b/>
                      <w:lang w:val="fr-FR"/>
                    </w:rPr>
                  </w:pPr>
                  <w:r>
                    <w:rPr>
                      <w:b/>
                      <w:noProof/>
                      <w:lang w:eastAsia="fr-BE"/>
                    </w:rPr>
                    <mc:AlternateContent>
                      <mc:Choice Requires="wps">
                        <w:drawing>
                          <wp:anchor distT="0" distB="0" distL="114300" distR="114300" simplePos="0" relativeHeight="252227584" behindDoc="0" locked="0" layoutInCell="1" allowOverlap="1">
                            <wp:simplePos x="0" y="0"/>
                            <wp:positionH relativeFrom="column">
                              <wp:posOffset>6290945</wp:posOffset>
                            </wp:positionH>
                            <wp:positionV relativeFrom="paragraph">
                              <wp:posOffset>222250</wp:posOffset>
                            </wp:positionV>
                            <wp:extent cx="0" cy="361950"/>
                            <wp:effectExtent l="0" t="0" r="19050" b="19050"/>
                            <wp:wrapNone/>
                            <wp:docPr id="519" name="Connecteur droit 519"/>
                            <wp:cNvGraphicFramePr/>
                            <a:graphic xmlns:a="http://schemas.openxmlformats.org/drawingml/2006/main">
                              <a:graphicData uri="http://schemas.microsoft.com/office/word/2010/wordprocessingShape">
                                <wps:wsp>
                                  <wps:cNvCnPr/>
                                  <wps:spPr>
                                    <a:xfrm>
                                      <a:off x="0" y="0"/>
                                      <a:ext cx="0" cy="361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7AB74C" id="Connecteur droit 519" o:spid="_x0000_s1026" style="position:absolute;z-index:252227584;visibility:visible;mso-wrap-style:square;mso-wrap-distance-left:9pt;mso-wrap-distance-top:0;mso-wrap-distance-right:9pt;mso-wrap-distance-bottom:0;mso-position-horizontal:absolute;mso-position-horizontal-relative:text;mso-position-vertical:absolute;mso-position-vertical-relative:text" from="495.35pt,17.5pt" to="495.3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" strokecolor="black [3213]"/>
                        </w:pict>
                      </mc:Fallback>
                    </mc:AlternateContent>
                  </w:r>
                  <w:r>
                    <w:rPr>
                      <w:b/>
                      <w:lang w:val="fr-FR"/>
                    </w:rPr>
                    <w:tab/>
                  </w:r>
                </w:p>
                <w:p w:rsidR="00F04EEF" w:rsidRDefault="0099351E">
                  <w:pPr>
                    <w:suppressAutoHyphens/>
                    <w:autoSpaceDE w:val="0"/>
                    <w:jc w:val="both"/>
                    <w:rPr>
                      <w:b/>
                    </w:rPr>
                  </w:pPr>
                  <w:r>
                    <w:rPr>
                      <w:b/>
                    </w:rPr>
                    <w:t>Remarque inportante : Les instituteurs(trice)s maternel(le)s peuvent être recruté(e)s (titres requis) dans l’enseignement secondaire spécialisé de forme 1 et de forme 2.</w:t>
                  </w:r>
                </w:p>
                <w:p w:rsidR="00F04EEF" w:rsidRDefault="00F04EEF">
                  <w:pPr>
                    <w:suppressAutoHyphens/>
                    <w:autoSpaceDE w:val="0"/>
                    <w:jc w:val="both"/>
                    <w:rPr>
                      <w:b/>
                    </w:rPr>
                  </w:pPr>
                </w:p>
                <w:p w:rsidR="00F04EEF" w:rsidRDefault="00F04EEF">
                  <w:pPr>
                    <w:suppressAutoHyphens/>
                    <w:autoSpaceDE w:val="0"/>
                    <w:jc w:val="both"/>
                    <w:rPr>
                      <w:b/>
                    </w:rPr>
                  </w:pPr>
                </w:p>
                <w:p w:rsidR="00F04EEF" w:rsidRDefault="0099351E">
                  <w:pPr>
                    <w:pStyle w:val="Titre3"/>
                    <w:rPr>
                      <w:sz w:val="22"/>
                      <w:szCs w:val="22"/>
                    </w:rPr>
                  </w:pPr>
                  <w:bookmarkStart w:id="1918" w:name="_1._Principes_généraux_1"/>
                  <w:bookmarkStart w:id="1919" w:name="_Toc453314312"/>
                  <w:bookmarkStart w:id="1920" w:name="_Toc454980347"/>
                  <w:bookmarkStart w:id="1921" w:name="_Toc47708501"/>
                  <w:bookmarkEnd w:id="1918"/>
                  <w:r>
                    <w:rPr>
                      <w:sz w:val="22"/>
                      <w:szCs w:val="22"/>
                    </w:rPr>
                    <w:t xml:space="preserve">1. </w:t>
                  </w:r>
                  <w:r>
                    <w:rPr>
                      <w:spacing w:val="1"/>
                      <w:sz w:val="22"/>
                      <w:szCs w:val="22"/>
                    </w:rPr>
                    <w:t>Pr</w:t>
                  </w:r>
                  <w:r>
                    <w:rPr>
                      <w:spacing w:val="-3"/>
                      <w:sz w:val="22"/>
                      <w:szCs w:val="22"/>
                    </w:rPr>
                    <w:t>i</w:t>
                  </w:r>
                  <w:r>
                    <w:rPr>
                      <w:spacing w:val="-2"/>
                      <w:sz w:val="22"/>
                      <w:szCs w:val="22"/>
                    </w:rPr>
                    <w:t>n</w:t>
                  </w:r>
                  <w:r>
                    <w:rPr>
                      <w:spacing w:val="1"/>
                      <w:sz w:val="22"/>
                      <w:szCs w:val="22"/>
                    </w:rPr>
                    <w:t>c</w:t>
                  </w:r>
                  <w:r>
                    <w:rPr>
                      <w:sz w:val="22"/>
                      <w:szCs w:val="22"/>
                    </w:rPr>
                    <w:t xml:space="preserve">ipes </w:t>
                  </w:r>
                  <w:r>
                    <w:rPr>
                      <w:spacing w:val="1"/>
                      <w:sz w:val="22"/>
                      <w:szCs w:val="22"/>
                    </w:rPr>
                    <w:t>g</w:t>
                  </w:r>
                  <w:r>
                    <w:rPr>
                      <w:spacing w:val="-3"/>
                      <w:sz w:val="22"/>
                      <w:szCs w:val="22"/>
                    </w:rPr>
                    <w:t>é</w:t>
                  </w:r>
                  <w:r>
                    <w:rPr>
                      <w:spacing w:val="1"/>
                      <w:sz w:val="22"/>
                      <w:szCs w:val="22"/>
                    </w:rPr>
                    <w:t>n</w:t>
                  </w:r>
                  <w:r>
                    <w:rPr>
                      <w:spacing w:val="-3"/>
                      <w:sz w:val="22"/>
                      <w:szCs w:val="22"/>
                    </w:rPr>
                    <w:t>é</w:t>
                  </w:r>
                  <w:r>
                    <w:rPr>
                      <w:spacing w:val="1"/>
                      <w:sz w:val="22"/>
                      <w:szCs w:val="22"/>
                    </w:rPr>
                    <w:t>r</w:t>
                  </w:r>
                  <w:r>
                    <w:rPr>
                      <w:sz w:val="22"/>
                      <w:szCs w:val="22"/>
                    </w:rPr>
                    <w:t>aux</w:t>
                  </w:r>
                  <w:bookmarkEnd w:id="1919"/>
                  <w:bookmarkEnd w:id="1920"/>
                  <w:bookmarkEnd w:id="1921"/>
                </w:p>
                <w:p w:rsidR="00F04EEF" w:rsidRDefault="00F04EEF">
                  <w:pPr>
                    <w:widowControl w:val="0"/>
                    <w:autoSpaceDE w:val="0"/>
                    <w:autoSpaceDN w:val="0"/>
                    <w:adjustRightInd w:val="0"/>
                    <w:spacing w:before="19" w:line="220" w:lineRule="exact"/>
                    <w:rPr>
                      <w:rFonts w:cs="Georgia"/>
                      <w:color w:val="000000"/>
                    </w:rPr>
                  </w:pPr>
                </w:p>
                <w:p w:rsidR="00F04EEF" w:rsidRDefault="0099351E">
                  <w:pPr>
                    <w:pStyle w:val="Titre4"/>
                  </w:pPr>
                  <w:bookmarkStart w:id="1922" w:name="_1.1._Capital-périodes"/>
                  <w:bookmarkStart w:id="1923" w:name="_Toc453314313"/>
                  <w:bookmarkStart w:id="1924" w:name="_Toc454980348"/>
                  <w:bookmarkEnd w:id="1922"/>
                  <w:r>
                    <w:t>1.1.</w:t>
                  </w:r>
                  <w:r>
                    <w:rPr>
                      <w:spacing w:val="-1"/>
                    </w:rPr>
                    <w:t xml:space="preserve"> </w:t>
                  </w:r>
                  <w:r>
                    <w:t>C</w:t>
                  </w:r>
                  <w:r>
                    <w:rPr>
                      <w:spacing w:val="-1"/>
                    </w:rPr>
                    <w:t>a</w:t>
                  </w:r>
                  <w:r>
                    <w:t>p</w:t>
                  </w:r>
                  <w:r>
                    <w:rPr>
                      <w:spacing w:val="-3"/>
                    </w:rPr>
                    <w:t>i</w:t>
                  </w:r>
                  <w:r>
                    <w:t>t</w:t>
                  </w:r>
                  <w:r>
                    <w:rPr>
                      <w:spacing w:val="-1"/>
                    </w:rPr>
                    <w:t>al-</w:t>
                  </w:r>
                  <w:r>
                    <w:t>p</w:t>
                  </w:r>
                  <w:r>
                    <w:rPr>
                      <w:spacing w:val="-1"/>
                    </w:rPr>
                    <w:t>é</w:t>
                  </w:r>
                  <w:r>
                    <w:rPr>
                      <w:spacing w:val="1"/>
                    </w:rPr>
                    <w:t>r</w:t>
                  </w:r>
                  <w:r>
                    <w:rPr>
                      <w:spacing w:val="-3"/>
                    </w:rPr>
                    <w:t>i</w:t>
                  </w:r>
                  <w:r>
                    <w:t>o</w:t>
                  </w:r>
                  <w:r>
                    <w:rPr>
                      <w:spacing w:val="-1"/>
                    </w:rPr>
                    <w:t>des</w:t>
                  </w:r>
                  <w:bookmarkEnd w:id="1923"/>
                  <w:bookmarkEnd w:id="1924"/>
                </w:p>
                <w:p w:rsidR="00F04EEF" w:rsidRDefault="00F04EEF">
                  <w:pPr>
                    <w:widowControl w:val="0"/>
                    <w:autoSpaceDE w:val="0"/>
                    <w:autoSpaceDN w:val="0"/>
                    <w:adjustRightInd w:val="0"/>
                    <w:spacing w:before="8" w:line="200" w:lineRule="exact"/>
                    <w:rPr>
                      <w:rFonts w:cs="Georgia"/>
                      <w:color w:val="000000"/>
                    </w:rPr>
                  </w:pPr>
                </w:p>
                <w:p w:rsidR="00F04EEF" w:rsidRDefault="0099351E">
                  <w:pPr>
                    <w:widowControl w:val="0"/>
                    <w:autoSpaceDE w:val="0"/>
                    <w:autoSpaceDN w:val="0"/>
                    <w:adjustRightInd w:val="0"/>
                    <w:spacing w:before="38" w:line="250" w:lineRule="exact"/>
                    <w:ind w:right="46"/>
                    <w:jc w:val="both"/>
                    <w:rPr>
                      <w:rFonts w:cs="Georgia"/>
                      <w:color w:val="000000"/>
                      <w:spacing w:val="-1"/>
                    </w:rPr>
                  </w:pPr>
                  <w:r>
                    <w:rPr>
                      <w:rFonts w:cs="Georgia"/>
                      <w:color w:val="000000"/>
                      <w:spacing w:val="1"/>
                    </w:rPr>
                    <w:t>L</w:t>
                  </w:r>
                  <w:r>
                    <w:rPr>
                      <w:rFonts w:cs="Georgia"/>
                      <w:color w:val="000000"/>
                    </w:rPr>
                    <w:t>e</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2"/>
                    </w:rPr>
                    <w:t>s</w:t>
                  </w:r>
                  <w:r>
                    <w:rPr>
                      <w:rFonts w:cs="Georgia"/>
                      <w:color w:val="000000"/>
                      <w:spacing w:val="1"/>
                    </w:rPr>
                    <w:t xml:space="preserve"> est le vo</w:t>
                  </w:r>
                  <w:r>
                    <w:rPr>
                      <w:rFonts w:cs="Georgia"/>
                      <w:color w:val="000000"/>
                      <w:spacing w:val="-1"/>
                    </w:rPr>
                    <w:t>l</w:t>
                  </w:r>
                  <w:r>
                    <w:rPr>
                      <w:rFonts w:cs="Georgia"/>
                      <w:color w:val="000000"/>
                    </w:rPr>
                    <w:t>ume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3"/>
                    </w:rPr>
                    <w:t>e</w:t>
                  </w:r>
                  <w:r>
                    <w:rPr>
                      <w:rFonts w:cs="Georgia"/>
                      <w:color w:val="000000"/>
                      <w:spacing w:val="1"/>
                    </w:rPr>
                    <w:t>st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ch</w:t>
                  </w:r>
                  <w:r>
                    <w:rPr>
                      <w:rFonts w:cs="Georgia"/>
                      <w:color w:val="000000"/>
                      <w:spacing w:val="-1"/>
                    </w:rPr>
                    <w:t>a</w:t>
                  </w:r>
                  <w:r>
                    <w:rPr>
                      <w:rFonts w:cs="Georgia"/>
                      <w:color w:val="000000"/>
                      <w:spacing w:val="-2"/>
                    </w:rPr>
                    <w:t>r</w:t>
                  </w:r>
                  <w:r>
                    <w:rPr>
                      <w:rFonts w:cs="Georgia"/>
                      <w:color w:val="000000"/>
                    </w:rPr>
                    <w:t>g</w:t>
                  </w:r>
                  <w:r>
                    <w:rPr>
                      <w:rFonts w:cs="Georgia"/>
                      <w:color w:val="000000"/>
                      <w:spacing w:val="-1"/>
                    </w:rPr>
                    <w:t>é</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br</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w:t>
                  </w:r>
                  <w:r>
                    <w:rPr>
                      <w:rFonts w:cs="Georgia"/>
                      <w:color w:val="000000"/>
                      <w:spacing w:val="3"/>
                    </w:rPr>
                    <w:t xml:space="preserve"> </w:t>
                  </w:r>
                  <w:r>
                    <w:rPr>
                      <w:rFonts w:cs="Georgia"/>
                      <w:color w:val="000000"/>
                      <w:spacing w:val="-1"/>
                    </w:rPr>
                    <w:t>et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w:t>
                  </w:r>
                  <w:r>
                    <w:rPr>
                      <w:rFonts w:cs="Georgia"/>
                      <w:color w:val="000000"/>
                      <w:spacing w:val="4"/>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o</w:t>
                  </w:r>
                  <w:r>
                    <w:rPr>
                      <w:rFonts w:cs="Georgia"/>
                      <w:color w:val="000000"/>
                    </w:rPr>
                    <w:t>u</w:t>
                  </w:r>
                  <w:r>
                    <w:rPr>
                      <w:rFonts w:cs="Georgia"/>
                      <w:color w:val="000000"/>
                      <w:spacing w:val="3"/>
                    </w:rPr>
                    <w:t xml:space="preserve"> </w:t>
                  </w:r>
                  <w:r>
                    <w:rPr>
                      <w:rFonts w:cs="Georgia"/>
                      <w:color w:val="000000"/>
                      <w:spacing w:val="-2"/>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2"/>
                    </w:rPr>
                    <w:t>t</w:t>
                  </w:r>
                  <w:r>
                    <w:rPr>
                      <w:rFonts w:cs="Georgia"/>
                      <w:color w:val="000000"/>
                    </w:rPr>
                    <w:t>ut</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2"/>
                    </w:rPr>
                    <w:t>s</w:t>
                  </w:r>
                  <w:r>
                    <w:rPr>
                      <w:rFonts w:cs="Georgia"/>
                      <w:color w:val="000000"/>
                      <w:spacing w:val="1"/>
                    </w:rPr>
                    <w:t>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2"/>
                    </w:rPr>
                    <w:t>s</w:t>
                  </w:r>
                  <w:r>
                    <w:rPr>
                      <w:rFonts w:cs="Georgia"/>
                      <w:color w:val="000000"/>
                    </w:rPr>
                    <w:t>é. 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é</w:t>
                  </w:r>
                  <w:r>
                    <w:rPr>
                      <w:rFonts w:cs="Georgia"/>
                      <w:color w:val="000000"/>
                      <w:spacing w:val="1"/>
                    </w:rPr>
                    <w:t>co</w:t>
                  </w:r>
                  <w:r>
                    <w:rPr>
                      <w:rFonts w:cs="Georgia"/>
                      <w:color w:val="000000"/>
                      <w:spacing w:val="-1"/>
                    </w:rPr>
                    <w:t>l</w:t>
                  </w:r>
                  <w:r>
                    <w:rPr>
                      <w:rFonts w:cs="Georgia"/>
                      <w:color w:val="000000"/>
                    </w:rPr>
                    <w:t>e</w:t>
                  </w:r>
                  <w:r>
                    <w:rPr>
                      <w:rFonts w:cs="Georgia"/>
                      <w:color w:val="000000"/>
                      <w:spacing w:val="-1"/>
                    </w:rPr>
                    <w:t xml:space="preserve"> en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3"/>
                    </w:rPr>
                    <w:t>l</w:t>
                  </w:r>
                  <w:r>
                    <w:rPr>
                      <w:rFonts w:cs="Georgia"/>
                      <w:color w:val="000000"/>
                    </w:rPr>
                    <w:t>a</w:t>
                  </w:r>
                  <w:r>
                    <w:rPr>
                      <w:rFonts w:cs="Georgia"/>
                      <w:color w:val="000000"/>
                      <w:spacing w:val="-1"/>
                    </w:rPr>
                    <w:t xml:space="preserve"> </w:t>
                  </w:r>
                  <w:r>
                    <w:rPr>
                      <w:rFonts w:cs="Georgia"/>
                      <w:color w:val="000000"/>
                    </w:rPr>
                    <w:t>du</w:t>
                  </w:r>
                  <w:r>
                    <w:rPr>
                      <w:rFonts w:cs="Georgia"/>
                      <w:color w:val="000000"/>
                      <w:spacing w:val="1"/>
                    </w:rPr>
                    <w:t>r</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p>
                <w:p w:rsidR="00F04EEF" w:rsidRDefault="0099351E">
                  <w:pPr>
                    <w:widowControl w:val="0"/>
                    <w:autoSpaceDE w:val="0"/>
                    <w:autoSpaceDN w:val="0"/>
                    <w:adjustRightInd w:val="0"/>
                    <w:spacing w:before="38" w:line="250" w:lineRule="exact"/>
                    <w:ind w:right="46"/>
                    <w:jc w:val="both"/>
                    <w:rPr>
                      <w:rFonts w:cs="Georgia"/>
                      <w:color w:val="000000"/>
                      <w:spacing w:val="-1"/>
                    </w:rPr>
                  </w:pPr>
                  <w:r>
                    <w:rPr>
                      <w:rFonts w:cs="Georgia"/>
                      <w:noProof/>
                      <w:color w:val="000000"/>
                      <w:spacing w:val="-1"/>
                      <w:lang w:eastAsia="fr-BE"/>
                    </w:rPr>
                    <mc:AlternateContent>
                      <mc:Choice Requires="wps">
                        <w:drawing>
                          <wp:anchor distT="0" distB="0" distL="114300" distR="114300" simplePos="0" relativeHeight="252230656" behindDoc="0" locked="0" layoutInCell="1" allowOverlap="1">
                            <wp:simplePos x="0" y="0"/>
                            <wp:positionH relativeFrom="column">
                              <wp:posOffset>6224270</wp:posOffset>
                            </wp:positionH>
                            <wp:positionV relativeFrom="paragraph">
                              <wp:posOffset>128905</wp:posOffset>
                            </wp:positionV>
                            <wp:extent cx="0" cy="314325"/>
                            <wp:effectExtent l="0" t="0" r="19050" b="28575"/>
                            <wp:wrapNone/>
                            <wp:docPr id="521" name="Connecteur droit 521"/>
                            <wp:cNvGraphicFramePr/>
                            <a:graphic xmlns:a="http://schemas.openxmlformats.org/drawingml/2006/main">
                              <a:graphicData uri="http://schemas.microsoft.com/office/word/2010/wordprocessingShape">
                                <wps:wsp>
                                  <wps:cNvCnPr/>
                                  <wps:spPr>
                                    <a:xfrm>
                                      <a:off x="0" y="0"/>
                                      <a:ext cx="0" cy="314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B6314E" id="Connecteur droit 521" o:spid="_x0000_s1026" style="position:absolute;z-index:252230656;visibility:visible;mso-wrap-style:square;mso-wrap-distance-left:9pt;mso-wrap-distance-top:0;mso-wrap-distance-right:9pt;mso-wrap-distance-bottom:0;mso-position-horizontal:absolute;mso-position-horizontal-relative:text;mso-position-vertical:absolute;mso-position-vertical-relative:text" from="490.1pt,10.15pt" to="490.1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" strokecolor="black [3213]"/>
                        </w:pict>
                      </mc:Fallback>
                    </mc:AlternateContent>
                  </w:r>
                </w:p>
                <w:p w:rsidR="00F04EEF" w:rsidRDefault="0099351E">
                  <w:pPr>
                    <w:widowControl w:val="0"/>
                    <w:autoSpaceDE w:val="0"/>
                    <w:autoSpaceDN w:val="0"/>
                    <w:adjustRightInd w:val="0"/>
                    <w:spacing w:before="9" w:line="240" w:lineRule="exact"/>
                    <w:jc w:val="both"/>
                    <w:rPr>
                      <w:rFonts w:cs="Georgia"/>
                      <w:color w:val="000000"/>
                    </w:rPr>
                  </w:pPr>
                  <w:r>
                    <w:rPr>
                      <w:rFonts w:cs="Georgia"/>
                      <w:color w:val="000000"/>
                    </w:rPr>
                    <w:t>Pour le calcul du capital périodes relatif à l’enseignement spécialisé de type 5 il y a lieu de se référer au chapitre 12 point 4</w:t>
                  </w:r>
                </w:p>
                <w:p w:rsidR="00F04EEF" w:rsidRDefault="00F04EEF">
                  <w:pPr>
                    <w:widowControl w:val="0"/>
                    <w:autoSpaceDE w:val="0"/>
                    <w:autoSpaceDN w:val="0"/>
                    <w:adjustRightInd w:val="0"/>
                    <w:spacing w:before="38" w:line="250" w:lineRule="exact"/>
                    <w:ind w:right="46"/>
                    <w:jc w:val="both"/>
                    <w:rPr>
                      <w:rFonts w:cs="Georgia"/>
                      <w:color w:val="000000"/>
                    </w:rPr>
                  </w:pPr>
                </w:p>
                <w:p w:rsidR="00F04EEF" w:rsidRDefault="00F04EEF">
                  <w:pPr>
                    <w:widowControl w:val="0"/>
                    <w:autoSpaceDE w:val="0"/>
                    <w:autoSpaceDN w:val="0"/>
                    <w:adjustRightInd w:val="0"/>
                    <w:spacing w:before="9" w:line="240" w:lineRule="exact"/>
                    <w:rPr>
                      <w:rFonts w:cs="Georgia"/>
                      <w:color w:val="000000"/>
                    </w:rPr>
                  </w:pPr>
                </w:p>
                <w:p w:rsidR="00F04EEF" w:rsidRDefault="0099351E">
                  <w:pPr>
                    <w:pStyle w:val="Titre4"/>
                  </w:pPr>
                  <w:bookmarkStart w:id="1925" w:name="_1.2._Éléments_servant"/>
                  <w:bookmarkStart w:id="1926" w:name="_Toc453314314"/>
                  <w:bookmarkStart w:id="1927" w:name="_Toc454980349"/>
                  <w:bookmarkEnd w:id="1925"/>
                  <w:r>
                    <w:t>1.</w:t>
                  </w:r>
                  <w:r>
                    <w:rPr>
                      <w:spacing w:val="1"/>
                    </w:rPr>
                    <w:t>2</w:t>
                  </w:r>
                  <w:r>
                    <w:t>.</w:t>
                  </w:r>
                  <w:r>
                    <w:rPr>
                      <w:spacing w:val="-1"/>
                    </w:rPr>
                    <w:t xml:space="preserve"> É</w:t>
                  </w:r>
                  <w:r>
                    <w:rPr>
                      <w:spacing w:val="1"/>
                    </w:rPr>
                    <w:t>lé</w:t>
                  </w:r>
                  <w:r>
                    <w:rPr>
                      <w:spacing w:val="-4"/>
                    </w:rPr>
                    <w:t>m</w:t>
                  </w:r>
                  <w:r>
                    <w:rPr>
                      <w:spacing w:val="1"/>
                    </w:rPr>
                    <w:t>e</w:t>
                  </w:r>
                  <w:r>
                    <w:rPr>
                      <w:spacing w:val="-1"/>
                    </w:rPr>
                    <w:t>n</w:t>
                  </w:r>
                  <w:r>
                    <w:rPr>
                      <w:spacing w:val="1"/>
                    </w:rPr>
                    <w:t>t</w:t>
                  </w:r>
                  <w:r>
                    <w:t>s</w:t>
                  </w:r>
                  <w:r>
                    <w:rPr>
                      <w:spacing w:val="-1"/>
                    </w:rPr>
                    <w:t xml:space="preserve"> </w:t>
                  </w:r>
                  <w:r>
                    <w:t>s</w:t>
                  </w:r>
                  <w:r>
                    <w:rPr>
                      <w:spacing w:val="-2"/>
                    </w:rPr>
                    <w:t>e</w:t>
                  </w:r>
                  <w:r>
                    <w:t>rva</w:t>
                  </w:r>
                  <w:r>
                    <w:rPr>
                      <w:spacing w:val="-1"/>
                    </w:rPr>
                    <w:t>n</w:t>
                  </w:r>
                  <w:r>
                    <w:t>t</w:t>
                  </w:r>
                  <w:r>
                    <w:rPr>
                      <w:spacing w:val="-2"/>
                    </w:rPr>
                    <w:t xml:space="preserve"> </w:t>
                  </w:r>
                  <w:r>
                    <w:t>au</w:t>
                  </w:r>
                  <w:r>
                    <w:rPr>
                      <w:spacing w:val="-2"/>
                    </w:rPr>
                    <w:t xml:space="preserve"> </w:t>
                  </w:r>
                  <w:r>
                    <w:t>ca</w:t>
                  </w:r>
                  <w:r>
                    <w:rPr>
                      <w:spacing w:val="1"/>
                    </w:rPr>
                    <w:t>l</w:t>
                  </w:r>
                  <w:r>
                    <w:t>c</w:t>
                  </w:r>
                  <w:r>
                    <w:rPr>
                      <w:spacing w:val="-3"/>
                    </w:rPr>
                    <w:t>u</w:t>
                  </w:r>
                  <w:r>
                    <w:t>l du</w:t>
                  </w:r>
                  <w:r>
                    <w:rPr>
                      <w:spacing w:val="-2"/>
                    </w:rPr>
                    <w:t xml:space="preserve"> </w:t>
                  </w:r>
                  <w:r>
                    <w:t>c</w:t>
                  </w:r>
                  <w:r>
                    <w:rPr>
                      <w:spacing w:val="-2"/>
                    </w:rPr>
                    <w:t>a</w:t>
                  </w:r>
                  <w:r>
                    <w:rPr>
                      <w:spacing w:val="1"/>
                    </w:rPr>
                    <w:t>p</w:t>
                  </w:r>
                  <w:r>
                    <w:rPr>
                      <w:spacing w:val="-1"/>
                    </w:rPr>
                    <w:t>i</w:t>
                  </w:r>
                  <w:r>
                    <w:rPr>
                      <w:spacing w:val="1"/>
                    </w:rPr>
                    <w:t>t</w:t>
                  </w:r>
                  <w:r>
                    <w:rPr>
                      <w:spacing w:val="-2"/>
                    </w:rPr>
                    <w:t>a</w:t>
                  </w:r>
                  <w:r>
                    <w:rPr>
                      <w:spacing w:val="1"/>
                    </w:rPr>
                    <w:t>l</w:t>
                  </w:r>
                  <w:r>
                    <w:rPr>
                      <w:spacing w:val="-2"/>
                    </w:rPr>
                    <w:t>-</w:t>
                  </w:r>
                  <w:r>
                    <w:rPr>
                      <w:spacing w:val="-1"/>
                    </w:rPr>
                    <w:t>p</w:t>
                  </w:r>
                  <w:r>
                    <w:rPr>
                      <w:spacing w:val="1"/>
                    </w:rPr>
                    <w:t>é</w:t>
                  </w:r>
                  <w:r>
                    <w:rPr>
                      <w:spacing w:val="-2"/>
                    </w:rPr>
                    <w:t>r</w:t>
                  </w:r>
                  <w:r>
                    <w:rPr>
                      <w:spacing w:val="1"/>
                    </w:rPr>
                    <w:t>i</w:t>
                  </w:r>
                  <w:r>
                    <w:rPr>
                      <w:spacing w:val="-1"/>
                    </w:rPr>
                    <w:t>o</w:t>
                  </w:r>
                  <w:r>
                    <w:t>d</w:t>
                  </w:r>
                  <w:r>
                    <w:rPr>
                      <w:spacing w:val="1"/>
                    </w:rPr>
                    <w:t>e</w:t>
                  </w:r>
                  <w:r>
                    <w:t>s</w:t>
                  </w:r>
                  <w:bookmarkEnd w:id="1926"/>
                  <w:bookmarkEnd w:id="1927"/>
                </w:p>
                <w:p w:rsidR="00F04EEF" w:rsidRDefault="00F04EEF">
                  <w:pPr>
                    <w:widowControl w:val="0"/>
                    <w:autoSpaceDE w:val="0"/>
                    <w:autoSpaceDN w:val="0"/>
                    <w:adjustRightInd w:val="0"/>
                    <w:spacing w:before="10" w:line="240" w:lineRule="exact"/>
                    <w:rPr>
                      <w:rFonts w:cs="Georgia"/>
                      <w:color w:val="000000"/>
                    </w:rPr>
                  </w:pPr>
                </w:p>
                <w:p w:rsidR="00F04EEF" w:rsidRDefault="0099351E">
                  <w:pPr>
                    <w:widowControl w:val="0"/>
                    <w:autoSpaceDE w:val="0"/>
                    <w:autoSpaceDN w:val="0"/>
                    <w:adjustRightInd w:val="0"/>
                    <w:ind w:right="41"/>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élé</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2"/>
                    </w:rPr>
                    <w:t>t</w:t>
                  </w:r>
                  <w:r>
                    <w:rPr>
                      <w:rFonts w:cs="Georgia"/>
                      <w:color w:val="000000"/>
                    </w:rPr>
                    <w:t xml:space="preserve">s </w:t>
                  </w:r>
                  <w:r>
                    <w:rPr>
                      <w:rFonts w:cs="Georgia"/>
                      <w:color w:val="000000"/>
                      <w:spacing w:val="-1"/>
                    </w:rPr>
                    <w:t>en</w:t>
                  </w:r>
                  <w:r>
                    <w:rPr>
                      <w:rFonts w:cs="Georgia"/>
                      <w:color w:val="000000"/>
                      <w:spacing w:val="1"/>
                    </w:rPr>
                    <w:t>tr</w:t>
                  </w:r>
                  <w:r>
                    <w:rPr>
                      <w:rFonts w:cs="Georgia"/>
                      <w:color w:val="000000"/>
                      <w:spacing w:val="-1"/>
                    </w:rPr>
                    <w:t>en</w:t>
                  </w:r>
                  <w:r>
                    <w:rPr>
                      <w:rFonts w:cs="Georgia"/>
                      <w:color w:val="000000"/>
                    </w:rPr>
                    <w:t xml:space="preserve">t </w:t>
                  </w:r>
                  <w:r>
                    <w:rPr>
                      <w:rFonts w:cs="Georgia"/>
                      <w:color w:val="000000"/>
                      <w:spacing w:val="-1"/>
                    </w:rPr>
                    <w:t>e</w:t>
                  </w:r>
                  <w:r>
                    <w:rPr>
                      <w:rFonts w:cs="Georgia"/>
                      <w:color w:val="000000"/>
                    </w:rPr>
                    <w:t>n</w:t>
                  </w:r>
                  <w:r>
                    <w:rPr>
                      <w:rFonts w:cs="Georgia"/>
                      <w:color w:val="000000"/>
                      <w:spacing w:val="-1"/>
                    </w:rPr>
                    <w:t xml:space="preserve"> l</w:t>
                  </w:r>
                  <w:r>
                    <w:rPr>
                      <w:rFonts w:cs="Georgia"/>
                      <w:color w:val="000000"/>
                    </w:rPr>
                    <w:t>ig</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rPr>
                    <w:t>m</w:t>
                  </w:r>
                  <w:r>
                    <w:rPr>
                      <w:rFonts w:cs="Georgia"/>
                      <w:color w:val="000000"/>
                      <w:spacing w:val="-1"/>
                    </w:rPr>
                    <w:t>p</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rPr>
                    <w:t xml:space="preserve">du </w:t>
                  </w:r>
                  <w:r>
                    <w:rPr>
                      <w:rFonts w:cs="Georgia"/>
                      <w:color w:val="000000"/>
                      <w:spacing w:val="1"/>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w:t>
                  </w:r>
                </w:p>
                <w:p w:rsidR="00F04EEF" w:rsidRDefault="0099351E">
                  <w:pPr>
                    <w:widowControl w:val="0"/>
                    <w:autoSpaceDE w:val="0"/>
                    <w:autoSpaceDN w:val="0"/>
                    <w:adjustRightInd w:val="0"/>
                    <w:ind w:right="1415"/>
                    <w:jc w:val="both"/>
                    <w:rPr>
                      <w:rFonts w:cs="Georgia"/>
                      <w:color w:val="000000"/>
                    </w:rPr>
                  </w:pPr>
                  <w:r>
                    <w:rPr>
                      <w:rFonts w:cs="Georgia"/>
                      <w:color w:val="000000"/>
                      <w:spacing w:val="-1"/>
                    </w:rPr>
                    <w:t>a</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es ;</w:t>
                  </w:r>
                </w:p>
                <w:p w:rsidR="00F04EEF" w:rsidRDefault="0099351E">
                  <w:pPr>
                    <w:widowControl w:val="0"/>
                    <w:autoSpaceDE w:val="0"/>
                    <w:autoSpaceDN w:val="0"/>
                    <w:adjustRightInd w:val="0"/>
                    <w:spacing w:before="3" w:line="250" w:lineRule="exact"/>
                    <w:rPr>
                      <w:rFonts w:cs="Georgia"/>
                      <w:color w:val="000000"/>
                      <w:spacing w:val="-1"/>
                    </w:rPr>
                  </w:pPr>
                  <w:r>
                    <w:rPr>
                      <w:rFonts w:cs="Georgia"/>
                      <w:color w:val="000000"/>
                      <w:spacing w:val="1"/>
                    </w:rPr>
                    <w:t>b</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h</w:t>
                  </w:r>
                  <w:r>
                    <w:rPr>
                      <w:rFonts w:cs="Georgia"/>
                      <w:color w:val="000000"/>
                      <w:spacing w:val="-1"/>
                    </w:rPr>
                    <w:t>e</w:t>
                  </w:r>
                  <w:r>
                    <w:rPr>
                      <w:rFonts w:cs="Georgia"/>
                      <w:color w:val="000000"/>
                      <w:spacing w:val="1"/>
                    </w:rPr>
                    <w:t>b</w:t>
                  </w:r>
                  <w:r>
                    <w:rPr>
                      <w:rFonts w:cs="Georgia"/>
                      <w:color w:val="000000"/>
                      <w:spacing w:val="-2"/>
                    </w:rPr>
                    <w:t>d</w:t>
                  </w:r>
                  <w:r>
                    <w:rPr>
                      <w:rFonts w:cs="Georgia"/>
                      <w:color w:val="000000"/>
                      <w:spacing w:val="1"/>
                    </w:rPr>
                    <w:t>o</w:t>
                  </w:r>
                  <w:r>
                    <w:rPr>
                      <w:rFonts w:cs="Georgia"/>
                      <w:color w:val="000000"/>
                    </w:rPr>
                    <w:t>m</w:t>
                  </w:r>
                  <w:r>
                    <w:rPr>
                      <w:rFonts w:cs="Georgia"/>
                      <w:color w:val="000000"/>
                      <w:spacing w:val="-1"/>
                    </w:rPr>
                    <w:t>a</w:t>
                  </w:r>
                  <w:r>
                    <w:rPr>
                      <w:rFonts w:cs="Georgia"/>
                      <w:color w:val="000000"/>
                    </w:rPr>
                    <w:t>d</w:t>
                  </w:r>
                  <w:r>
                    <w:rPr>
                      <w:rFonts w:cs="Georgia"/>
                      <w:color w:val="000000"/>
                      <w:spacing w:val="-1"/>
                    </w:rPr>
                    <w:t>a</w:t>
                  </w:r>
                  <w:r>
                    <w:rPr>
                      <w:rFonts w:cs="Georgia"/>
                      <w:color w:val="000000"/>
                      <w:spacing w:val="-2"/>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o</w:t>
                  </w:r>
                  <w:r>
                    <w:rPr>
                      <w:rFonts w:cs="Georgia"/>
                      <w:color w:val="000000"/>
                      <w:spacing w:val="1"/>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3"/>
                    </w:rPr>
                    <w:t>é</w:t>
                  </w:r>
                  <w:r>
                    <w:rPr>
                      <w:rFonts w:cs="Georgia"/>
                      <w:color w:val="000000"/>
                      <w:spacing w:val="-1"/>
                    </w:rPr>
                    <w:t xml:space="preserve">es ; </w:t>
                  </w:r>
                </w:p>
                <w:p w:rsidR="00F04EEF" w:rsidRDefault="0099351E">
                  <w:pPr>
                    <w:widowControl w:val="0"/>
                    <w:autoSpaceDE w:val="0"/>
                    <w:autoSpaceDN w:val="0"/>
                    <w:adjustRightInd w:val="0"/>
                    <w:spacing w:before="3" w:line="250" w:lineRule="exact"/>
                    <w:ind w:right="4001"/>
                    <w:rPr>
                      <w:rFonts w:cs="Georgia"/>
                      <w:color w:val="000000"/>
                    </w:rPr>
                  </w:pPr>
                  <w:r>
                    <w:rPr>
                      <w:rFonts w:cs="Georgia"/>
                      <w:color w:val="000000"/>
                      <w:spacing w:val="1"/>
                    </w:rPr>
                    <w:t>c</w:t>
                  </w:r>
                  <w:r>
                    <w:rPr>
                      <w:rFonts w:cs="Georgia"/>
                      <w:color w:val="000000"/>
                    </w:rPr>
                    <w:t>)</w:t>
                  </w:r>
                  <w:r>
                    <w:rPr>
                      <w:rFonts w:cs="Georgia"/>
                      <w:color w:val="000000"/>
                      <w:spacing w:val="1"/>
                    </w:rPr>
                    <w:t xml:space="preserve"> </w:t>
                  </w:r>
                  <w:r>
                    <w:rPr>
                      <w:rFonts w:cs="Georgia"/>
                      <w:color w:val="000000"/>
                    </w:rPr>
                    <w:t>un</w:t>
                  </w:r>
                  <w:r>
                    <w:rPr>
                      <w:rFonts w:cs="Georgia"/>
                      <w:color w:val="000000"/>
                      <w:spacing w:val="-1"/>
                    </w:rPr>
                    <w:t xml:space="preserve"> 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w:t>
                  </w:r>
                  <w:r>
                    <w:rPr>
                      <w:rFonts w:cs="Georgia"/>
                      <w:color w:val="000000"/>
                      <w:spacing w:val="-1"/>
                    </w:rPr>
                    <w:t>e</w:t>
                  </w:r>
                  <w:r>
                    <w:rPr>
                      <w:rFonts w:cs="Georgia"/>
                      <w:color w:val="000000"/>
                    </w:rPr>
                    <w:t>.</w:t>
                  </w:r>
                </w:p>
                <w:p w:rsidR="00F04EEF" w:rsidRDefault="00F04EEF">
                  <w:pPr>
                    <w:widowControl w:val="0"/>
                    <w:autoSpaceDE w:val="0"/>
                    <w:autoSpaceDN w:val="0"/>
                    <w:adjustRightInd w:val="0"/>
                    <w:spacing w:before="3" w:line="260" w:lineRule="exact"/>
                    <w:rPr>
                      <w:rFonts w:cs="Georgia"/>
                      <w:color w:val="000000"/>
                    </w:rPr>
                  </w:pPr>
                </w:p>
                <w:p w:rsidR="00F04EEF" w:rsidRDefault="0099351E">
                  <w:pPr>
                    <w:rPr>
                      <w:rFonts w:cs="Georgia"/>
                      <w:b/>
                      <w:bCs/>
                      <w:color w:val="000000"/>
                      <w:position w:val="-1"/>
                      <w:u w:val="single"/>
                    </w:rPr>
                  </w:pPr>
                  <w:r>
                    <w:rPr>
                      <w:rFonts w:cs="Georgia"/>
                      <w:b/>
                      <w:bCs/>
                      <w:color w:val="000000"/>
                      <w:position w:val="-1"/>
                      <w:u w:val="single"/>
                    </w:rPr>
                    <w:br w:type="page"/>
                  </w:r>
                </w:p>
                <w:p w:rsidR="00F04EEF" w:rsidRDefault="0099351E">
                  <w:pPr>
                    <w:widowControl w:val="0"/>
                    <w:numPr>
                      <w:ilvl w:val="0"/>
                      <w:numId w:val="57"/>
                    </w:numPr>
                    <w:autoSpaceDE w:val="0"/>
                    <w:autoSpaceDN w:val="0"/>
                    <w:adjustRightInd w:val="0"/>
                    <w:spacing w:before="1" w:line="220" w:lineRule="exact"/>
                    <w:ind w:left="360"/>
                    <w:rPr>
                      <w:rFonts w:cs="Georgia"/>
                      <w:b/>
                      <w:bCs/>
                      <w:color w:val="000000"/>
                      <w:position w:val="-1"/>
                      <w:u w:val="single"/>
                    </w:rPr>
                  </w:pPr>
                  <w:r>
                    <w:rPr>
                      <w:rFonts w:cs="Georgia"/>
                      <w:b/>
                      <w:bCs/>
                      <w:color w:val="000000"/>
                      <w:position w:val="-1"/>
                      <w:u w:val="single"/>
                    </w:rPr>
                    <w:t>Le nombre d’élèves</w:t>
                  </w:r>
                </w:p>
                <w:p w:rsidR="00F04EEF" w:rsidRDefault="00F04EEF">
                  <w:pPr>
                    <w:widowControl w:val="0"/>
                    <w:autoSpaceDE w:val="0"/>
                    <w:autoSpaceDN w:val="0"/>
                    <w:adjustRightInd w:val="0"/>
                    <w:spacing w:before="1" w:line="220" w:lineRule="exact"/>
                    <w:rPr>
                      <w:rFonts w:cs="Georgia"/>
                      <w:b/>
                      <w:bCs/>
                      <w:color w:val="000000"/>
                      <w:position w:val="-1"/>
                      <w:u w:val="single"/>
                    </w:rPr>
                  </w:pPr>
                </w:p>
                <w:p w:rsidR="00F04EEF" w:rsidRDefault="0099351E">
                  <w:pPr>
                    <w:widowControl w:val="0"/>
                    <w:autoSpaceDE w:val="0"/>
                    <w:autoSpaceDN w:val="0"/>
                    <w:adjustRightInd w:val="0"/>
                    <w:spacing w:before="36"/>
                    <w:jc w:val="both"/>
                    <w:rPr>
                      <w:rFonts w:cs="Georgia"/>
                      <w:bCs/>
                      <w:color w:val="000000"/>
                    </w:rPr>
                  </w:pPr>
                  <w:r>
                    <w:rPr>
                      <w:rFonts w:cs="Georgia"/>
                      <w:bCs/>
                      <w:color w:val="000000"/>
                    </w:rPr>
                    <w:t>L</w:t>
                  </w:r>
                  <w:r>
                    <w:rPr>
                      <w:rFonts w:cs="Georgia"/>
                      <w:bCs/>
                      <w:color w:val="000000"/>
                      <w:spacing w:val="1"/>
                    </w:rPr>
                    <w:t>es</w:t>
                  </w:r>
                  <w:r>
                    <w:rPr>
                      <w:rFonts w:cs="Georgia"/>
                      <w:bCs/>
                      <w:color w:val="000000"/>
                      <w:spacing w:val="-2"/>
                    </w:rPr>
                    <w:t xml:space="preserve"> </w:t>
                  </w:r>
                  <w:r>
                    <w:rPr>
                      <w:rFonts w:cs="Georgia"/>
                      <w:bCs/>
                      <w:color w:val="000000"/>
                      <w:spacing w:val="1"/>
                    </w:rPr>
                    <w:t>é</w:t>
                  </w:r>
                  <w:r>
                    <w:rPr>
                      <w:rFonts w:cs="Georgia"/>
                      <w:bCs/>
                      <w:color w:val="000000"/>
                      <w:spacing w:val="-2"/>
                    </w:rPr>
                    <w:t>l</w:t>
                  </w:r>
                  <w:r>
                    <w:rPr>
                      <w:rFonts w:cs="Georgia"/>
                      <w:bCs/>
                      <w:color w:val="000000"/>
                      <w:spacing w:val="1"/>
                    </w:rPr>
                    <w:t>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rPr>
                    <w:t>d</w:t>
                  </w:r>
                  <w:r>
                    <w:rPr>
                      <w:rFonts w:cs="Georgia"/>
                      <w:bCs/>
                      <w:color w:val="000000"/>
                      <w:spacing w:val="-2"/>
                    </w:rPr>
                    <w:t>r</w:t>
                  </w:r>
                  <w:r>
                    <w:rPr>
                      <w:rFonts w:cs="Georgia"/>
                      <w:bCs/>
                      <w:color w:val="000000"/>
                    </w:rPr>
                    <w:t>e</w:t>
                  </w:r>
                  <w:r>
                    <w:rPr>
                      <w:rFonts w:cs="Georgia"/>
                      <w:bCs/>
                      <w:color w:val="000000"/>
                      <w:spacing w:val="-2"/>
                    </w:rPr>
                    <w:t xml:space="preserve"> </w:t>
                  </w:r>
                  <w:r>
                    <w:rPr>
                      <w:rFonts w:cs="Georgia"/>
                      <w:bCs/>
                      <w:color w:val="000000"/>
                      <w:spacing w:val="1"/>
                    </w:rPr>
                    <w:t>en</w:t>
                  </w:r>
                  <w:r>
                    <w:rPr>
                      <w:rFonts w:cs="Georgia"/>
                      <w:bCs/>
                      <w:color w:val="000000"/>
                      <w:spacing w:val="-3"/>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rPr>
                    <w:t>s</w:t>
                  </w:r>
                  <w:r>
                    <w:rPr>
                      <w:rFonts w:cs="Georgia"/>
                      <w:bCs/>
                      <w:color w:val="000000"/>
                      <w:spacing w:val="-1"/>
                    </w:rPr>
                    <w:t>ont</w:t>
                  </w:r>
                  <w:r>
                    <w:rPr>
                      <w:rFonts w:cs="Georgia"/>
                      <w:bCs/>
                      <w:color w:val="000000"/>
                      <w:spacing w:val="1"/>
                    </w:rPr>
                    <w:t xml:space="preserve"> </w:t>
                  </w:r>
                  <w:r>
                    <w:rPr>
                      <w:rFonts w:cs="Georgia"/>
                      <w:bCs/>
                      <w:color w:val="000000"/>
                    </w:rPr>
                    <w:t>:</w:t>
                  </w:r>
                </w:p>
                <w:p w:rsidR="00F04EEF" w:rsidRDefault="00F04EEF">
                  <w:pPr>
                    <w:widowControl w:val="0"/>
                    <w:autoSpaceDE w:val="0"/>
                    <w:autoSpaceDN w:val="0"/>
                    <w:adjustRightInd w:val="0"/>
                    <w:spacing w:before="36"/>
                    <w:ind w:right="4645"/>
                    <w:jc w:val="both"/>
                    <w:rPr>
                      <w:rFonts w:cs="Georgia"/>
                      <w:color w:val="000000"/>
                    </w:rPr>
                  </w:pPr>
                </w:p>
                <w:p w:rsidR="00F04EEF" w:rsidRDefault="0099351E">
                  <w:pPr>
                    <w:widowControl w:val="0"/>
                    <w:numPr>
                      <w:ilvl w:val="1"/>
                      <w:numId w:val="57"/>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4"/>
                    </w:rPr>
                    <w:t xml:space="preserve"> </w:t>
                  </w:r>
                  <w:r>
                    <w:rPr>
                      <w:rFonts w:cs="Georgia"/>
                      <w:b/>
                      <w:color w:val="000000"/>
                      <w:spacing w:val="-2"/>
                    </w:rPr>
                    <w:t>d</w:t>
                  </w:r>
                  <w:r>
                    <w:rPr>
                      <w:rFonts w:cs="Georgia"/>
                      <w:b/>
                      <w:color w:val="000000"/>
                      <w:spacing w:val="1"/>
                    </w:rPr>
                    <w:t>o</w:t>
                  </w:r>
                  <w:r>
                    <w:rPr>
                      <w:rFonts w:cs="Georgia"/>
                      <w:b/>
                      <w:color w:val="000000"/>
                      <w:spacing w:val="-2"/>
                    </w:rPr>
                    <w:t>i</w:t>
                  </w:r>
                  <w:r>
                    <w:rPr>
                      <w:rFonts w:cs="Georgia"/>
                      <w:b/>
                      <w:color w:val="000000"/>
                      <w:spacing w:val="1"/>
                    </w:rPr>
                    <w:t>v</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spacing w:val="-1"/>
                    </w:rPr>
                    <w:t>ê</w:t>
                  </w:r>
                  <w:r>
                    <w:rPr>
                      <w:rFonts w:cs="Georgia"/>
                      <w:b/>
                      <w:color w:val="000000"/>
                      <w:spacing w:val="1"/>
                    </w:rPr>
                    <w:t>tr</w:t>
                  </w:r>
                  <w:r>
                    <w:rPr>
                      <w:rFonts w:cs="Georgia"/>
                      <w:b/>
                      <w:color w:val="000000"/>
                    </w:rPr>
                    <w:t xml:space="preserve">e </w:t>
                  </w:r>
                  <w:r>
                    <w:rPr>
                      <w:rFonts w:cs="Georgia"/>
                      <w:b/>
                      <w:color w:val="000000"/>
                      <w:spacing w:val="1"/>
                    </w:rPr>
                    <w:t>co</w:t>
                  </w:r>
                  <w:r>
                    <w:rPr>
                      <w:rFonts w:cs="Georgia"/>
                      <w:b/>
                      <w:color w:val="000000"/>
                      <w:spacing w:val="-1"/>
                    </w:rPr>
                    <w:t>n</w:t>
                  </w:r>
                  <w:r>
                    <w:rPr>
                      <w:rFonts w:cs="Georgia"/>
                      <w:b/>
                      <w:color w:val="000000"/>
                      <w:spacing w:val="1"/>
                    </w:rPr>
                    <w:t>s</w:t>
                  </w:r>
                  <w:r>
                    <w:rPr>
                      <w:rFonts w:cs="Georgia"/>
                      <w:b/>
                      <w:color w:val="000000"/>
                      <w:spacing w:val="-2"/>
                    </w:rPr>
                    <w:t>i</w:t>
                  </w:r>
                  <w:r>
                    <w:rPr>
                      <w:rFonts w:cs="Georgia"/>
                      <w:b/>
                      <w:color w:val="000000"/>
                    </w:rPr>
                    <w:t>d</w:t>
                  </w:r>
                  <w:r>
                    <w:rPr>
                      <w:rFonts w:cs="Georgia"/>
                      <w:b/>
                      <w:color w:val="000000"/>
                      <w:spacing w:val="-1"/>
                    </w:rPr>
                    <w:t>é</w:t>
                  </w:r>
                  <w:r>
                    <w:rPr>
                      <w:rFonts w:cs="Georgia"/>
                      <w:b/>
                      <w:color w:val="000000"/>
                      <w:spacing w:val="1"/>
                    </w:rPr>
                    <w:t>r</w:t>
                  </w:r>
                  <w:r>
                    <w:rPr>
                      <w:rFonts w:cs="Georgia"/>
                      <w:b/>
                      <w:color w:val="000000"/>
                      <w:spacing w:val="-1"/>
                    </w:rPr>
                    <w:t>é</w:t>
                  </w:r>
                  <w:r>
                    <w:rPr>
                      <w:rFonts w:cs="Georgia"/>
                      <w:b/>
                      <w:color w:val="000000"/>
                    </w:rPr>
                    <w:t>s</w:t>
                  </w:r>
                  <w:r>
                    <w:rPr>
                      <w:rFonts w:cs="Georgia"/>
                      <w:b/>
                      <w:color w:val="000000"/>
                      <w:spacing w:val="4"/>
                    </w:rPr>
                    <w:t xml:space="preserve"> </w:t>
                  </w:r>
                  <w:r>
                    <w:rPr>
                      <w:rFonts w:cs="Georgia"/>
                      <w:b/>
                      <w:color w:val="000000"/>
                      <w:spacing w:val="-2"/>
                    </w:rPr>
                    <w:t>c</w:t>
                  </w:r>
                  <w:r>
                    <w:rPr>
                      <w:rFonts w:cs="Georgia"/>
                      <w:b/>
                      <w:color w:val="000000"/>
                      <w:spacing w:val="1"/>
                    </w:rPr>
                    <w:t>o</w:t>
                  </w:r>
                  <w:r>
                    <w:rPr>
                      <w:rFonts w:cs="Georgia"/>
                      <w:b/>
                      <w:color w:val="000000"/>
                    </w:rPr>
                    <w:t>mme</w:t>
                  </w:r>
                  <w:r>
                    <w:rPr>
                      <w:rFonts w:cs="Georgia"/>
                      <w:b/>
                      <w:color w:val="000000"/>
                      <w:spacing w:val="2"/>
                    </w:rPr>
                    <w:t xml:space="preserve"> </w:t>
                  </w:r>
                  <w:r>
                    <w:rPr>
                      <w:rFonts w:cs="Georgia"/>
                      <w:b/>
                      <w:color w:val="000000"/>
                      <w:spacing w:val="-1"/>
                    </w:rPr>
                    <w:t>élè</w:t>
                  </w:r>
                  <w:r>
                    <w:rPr>
                      <w:rFonts w:cs="Georgia"/>
                      <w:b/>
                      <w:color w:val="000000"/>
                      <w:spacing w:val="1"/>
                    </w:rPr>
                    <w:t>v</w:t>
                  </w:r>
                  <w:r>
                    <w:rPr>
                      <w:rFonts w:cs="Georgia"/>
                      <w:b/>
                      <w:color w:val="000000"/>
                      <w:spacing w:val="-3"/>
                    </w:rPr>
                    <w:t>e</w:t>
                  </w:r>
                  <w:r>
                    <w:rPr>
                      <w:rFonts w:cs="Georgia"/>
                      <w:b/>
                      <w:color w:val="000000"/>
                    </w:rPr>
                    <w:t>s</w:t>
                  </w:r>
                  <w:r>
                    <w:rPr>
                      <w:rFonts w:cs="Georgia"/>
                      <w:b/>
                      <w:color w:val="000000"/>
                      <w:spacing w:val="4"/>
                    </w:rPr>
                    <w:t xml:space="preserve"> </w:t>
                  </w:r>
                  <w:r>
                    <w:rPr>
                      <w:rFonts w:cs="Georgia"/>
                      <w:b/>
                      <w:color w:val="000000"/>
                      <w:spacing w:val="1"/>
                    </w:rPr>
                    <w:t>r</w:t>
                  </w:r>
                  <w:r>
                    <w:rPr>
                      <w:rFonts w:cs="Georgia"/>
                      <w:b/>
                      <w:color w:val="000000"/>
                      <w:spacing w:val="-1"/>
                    </w:rPr>
                    <w:t>é</w:t>
                  </w:r>
                  <w:r>
                    <w:rPr>
                      <w:rFonts w:cs="Georgia"/>
                      <w:b/>
                      <w:color w:val="000000"/>
                    </w:rPr>
                    <w:t>gu</w:t>
                  </w:r>
                  <w:r>
                    <w:rPr>
                      <w:rFonts w:cs="Georgia"/>
                      <w:b/>
                      <w:color w:val="000000"/>
                      <w:spacing w:val="-1"/>
                    </w:rPr>
                    <w:t>l</w:t>
                  </w:r>
                  <w:r>
                    <w:rPr>
                      <w:rFonts w:cs="Georgia"/>
                      <w:b/>
                      <w:color w:val="000000"/>
                    </w:rPr>
                    <w:t>i</w:t>
                  </w:r>
                  <w:r>
                    <w:rPr>
                      <w:rFonts w:cs="Georgia"/>
                      <w:b/>
                      <w:color w:val="000000"/>
                      <w:spacing w:val="-1"/>
                    </w:rPr>
                    <w:t>e</w:t>
                  </w:r>
                  <w:r>
                    <w:rPr>
                      <w:rFonts w:cs="Georgia"/>
                      <w:b/>
                      <w:color w:val="000000"/>
                      <w:spacing w:val="-2"/>
                    </w:rPr>
                    <w:t>r</w:t>
                  </w:r>
                  <w:r>
                    <w:rPr>
                      <w:rFonts w:cs="Georgia"/>
                      <w:b/>
                      <w:color w:val="000000"/>
                    </w:rPr>
                    <w:t>s</w:t>
                  </w:r>
                  <w:r>
                    <w:rPr>
                      <w:rFonts w:cs="Georgia"/>
                      <w:color w:val="000000"/>
                      <w:spacing w:val="4"/>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w:t>
                  </w:r>
                  <w:r>
                    <w:rPr>
                      <w:rFonts w:cs="Georgia"/>
                      <w:color w:val="000000"/>
                      <w:spacing w:val="-3"/>
                    </w:rPr>
                    <w:t>n</w:t>
                  </w:r>
                  <w:r>
                    <w:rPr>
                      <w:rFonts w:cs="Georgia"/>
                      <w:color w:val="000000"/>
                    </w:rPr>
                    <w:t>t</w:t>
                  </w:r>
                  <w:r>
                    <w:rPr>
                      <w:rFonts w:cs="Georgia"/>
                      <w:color w:val="000000"/>
                      <w:spacing w:val="4"/>
                    </w:rPr>
                    <w:t xml:space="preserve"> </w:t>
                  </w:r>
                  <w:r>
                    <w:rPr>
                      <w:rFonts w:cs="Georgia"/>
                      <w:color w:val="000000"/>
                      <w:spacing w:val="-1"/>
                    </w:rPr>
                    <w:t>a</w:t>
                  </w:r>
                  <w:r>
                    <w:rPr>
                      <w:rFonts w:cs="Georgia"/>
                      <w:color w:val="000000"/>
                    </w:rPr>
                    <w:t>ux</w:t>
                  </w:r>
                  <w:r>
                    <w:rPr>
                      <w:rFonts w:cs="Georgia"/>
                      <w:color w:val="000000"/>
                      <w:spacing w:val="2"/>
                    </w:rPr>
                    <w:t xml:space="preserve">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os</w:t>
                  </w:r>
                  <w:r>
                    <w:rPr>
                      <w:rFonts w:cs="Georgia"/>
                      <w:color w:val="000000"/>
                    </w:rPr>
                    <w:t>i</w:t>
                  </w:r>
                  <w:r>
                    <w:rPr>
                      <w:rFonts w:cs="Georgia"/>
                      <w:color w:val="000000"/>
                      <w:spacing w:val="-2"/>
                    </w:rPr>
                    <w:t>t</w:t>
                  </w:r>
                  <w:r>
                    <w:rPr>
                      <w:rFonts w:cs="Georgia"/>
                      <w:color w:val="000000"/>
                    </w:rPr>
                    <w:t>i</w:t>
                  </w:r>
                  <w:r>
                    <w:rPr>
                      <w:rFonts w:cs="Georgia"/>
                      <w:color w:val="000000"/>
                      <w:spacing w:val="1"/>
                    </w:rPr>
                    <w:t>o</w:t>
                  </w:r>
                  <w:r>
                    <w:rPr>
                      <w:rFonts w:cs="Georgia"/>
                      <w:color w:val="000000"/>
                      <w:spacing w:val="-1"/>
                    </w:rPr>
                    <w:t>n</w:t>
                  </w:r>
                  <w:r>
                    <w:rPr>
                      <w:rFonts w:cs="Georgia"/>
                      <w:color w:val="000000"/>
                    </w:rPr>
                    <w:t xml:space="preserve">s du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p</w:t>
                  </w:r>
                  <w:r>
                    <w:rPr>
                      <w:rFonts w:cs="Georgia"/>
                      <w:color w:val="000000"/>
                    </w:rPr>
                    <w:t>i</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III</w:t>
                  </w:r>
                  <w:r>
                    <w:rPr>
                      <w:rFonts w:cs="Georgia"/>
                      <w:color w:val="000000"/>
                      <w:spacing w:val="-2"/>
                    </w:rPr>
                    <w:t xml:space="preserve"> </w:t>
                  </w:r>
                  <w:r>
                    <w:rPr>
                      <w:rFonts w:cs="Georgia"/>
                      <w:color w:val="000000"/>
                    </w:rPr>
                    <w:t>du 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du 3 m</w:t>
                  </w:r>
                  <w:r>
                    <w:rPr>
                      <w:rFonts w:cs="Georgia"/>
                      <w:color w:val="000000"/>
                      <w:spacing w:val="-1"/>
                    </w:rPr>
                    <w:t>a</w:t>
                  </w:r>
                  <w:r>
                    <w:rPr>
                      <w:rFonts w:cs="Georgia"/>
                      <w:color w:val="000000"/>
                      <w:spacing w:val="-2"/>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2"/>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spacing w:val="-2"/>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n</w:t>
                  </w:r>
                  <w:r>
                    <w:rPr>
                      <w:rFonts w:cs="Georgia"/>
                      <w:color w:val="000000"/>
                      <w:spacing w:val="1"/>
                    </w:rPr>
                    <w:t>ot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rPr>
                    <w:t>gu</w:t>
                  </w:r>
                  <w:r>
                    <w:rPr>
                      <w:rFonts w:cs="Georgia"/>
                      <w:color w:val="000000"/>
                      <w:spacing w:val="-1"/>
                    </w:rPr>
                    <w:t>la</w:t>
                  </w:r>
                  <w:r>
                    <w:rPr>
                      <w:rFonts w:cs="Georgia"/>
                      <w:color w:val="000000"/>
                      <w:spacing w:val="1"/>
                    </w:rPr>
                    <w:t>r</w:t>
                  </w:r>
                  <w:r>
                    <w:rPr>
                      <w:rFonts w:cs="Georgia"/>
                      <w:color w:val="000000"/>
                    </w:rPr>
                    <w:t>i</w:t>
                  </w:r>
                  <w:r>
                    <w:rPr>
                      <w:rFonts w:cs="Georgia"/>
                      <w:color w:val="000000"/>
                      <w:spacing w:val="1"/>
                    </w:rPr>
                    <w:t>t</w:t>
                  </w:r>
                  <w:r>
                    <w:rPr>
                      <w:rFonts w:cs="Georgia"/>
                      <w:color w:val="000000"/>
                    </w:rPr>
                    <w:t>é</w:t>
                  </w:r>
                  <w:r>
                    <w:rPr>
                      <w:rFonts w:cs="Georgia"/>
                      <w:color w:val="000000"/>
                      <w:spacing w:val="1"/>
                    </w:rPr>
                    <w:t xml:space="preserve"> </w:t>
                  </w:r>
                  <w:r>
                    <w:rPr>
                      <w:rFonts w:cs="Georgia"/>
                      <w:color w:val="000000"/>
                      <w:spacing w:val="-2"/>
                    </w:rPr>
                    <w:t>d</w:t>
                  </w:r>
                  <w:r>
                    <w:rPr>
                      <w:rFonts w:cs="Georgia"/>
                      <w:color w:val="000000"/>
                    </w:rPr>
                    <w:t>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é</w:t>
                  </w:r>
                  <w:r>
                    <w:rPr>
                      <w:rFonts w:cs="Georgia"/>
                      <w:color w:val="000000"/>
                      <w:spacing w:val="2"/>
                    </w:rPr>
                    <w:t>l</w:t>
                  </w:r>
                  <w:r>
                    <w:rPr>
                      <w:rFonts w:cs="Georgia"/>
                      <w:color w:val="000000"/>
                      <w:spacing w:val="-1"/>
                    </w:rPr>
                    <w:t>è</w:t>
                  </w:r>
                  <w:r>
                    <w:rPr>
                      <w:rFonts w:cs="Georgia"/>
                      <w:color w:val="000000"/>
                      <w:spacing w:val="1"/>
                    </w:rPr>
                    <w:t>v</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s</w:t>
                  </w:r>
                  <w:r>
                    <w:rPr>
                      <w:rFonts w:cs="Georgia"/>
                      <w:color w:val="000000"/>
                      <w:spacing w:val="-1"/>
                    </w:rPr>
                    <w:t>en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1"/>
                    </w:rPr>
                    <w:t>e</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s 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rt</w:t>
                  </w:r>
                  <w:r>
                    <w:rPr>
                      <w:rFonts w:cs="Georgia"/>
                      <w:color w:val="000000"/>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6</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2</w:t>
                  </w:r>
                  <w:r>
                    <w:rPr>
                      <w:rFonts w:cs="Georgia"/>
                      <w:color w:val="000000"/>
                    </w:rPr>
                    <w:t>4</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 xml:space="preserve">a </w:t>
                  </w:r>
                  <w:r>
                    <w:rPr>
                      <w:rFonts w:cs="Georgia"/>
                      <w:color w:val="000000"/>
                      <w:spacing w:val="-1"/>
                    </w:rPr>
                    <w:t>l</w:t>
                  </w:r>
                  <w:r>
                    <w:rPr>
                      <w:rFonts w:cs="Georgia"/>
                      <w:color w:val="000000"/>
                      <w:spacing w:val="1"/>
                    </w:rPr>
                    <w:t>o</w:t>
                  </w:r>
                  <w:r>
                    <w:rPr>
                      <w:rFonts w:cs="Georgia"/>
                      <w:color w:val="000000"/>
                    </w:rPr>
                    <w:t xml:space="preserve">i </w:t>
                  </w:r>
                  <w:r>
                    <w:rPr>
                      <w:rFonts w:cs="Georgia"/>
                      <w:color w:val="000000"/>
                      <w:spacing w:val="-2"/>
                    </w:rPr>
                    <w:t>d</w:t>
                  </w:r>
                  <w:r>
                    <w:rPr>
                      <w:rFonts w:cs="Georgia"/>
                      <w:color w:val="000000"/>
                    </w:rPr>
                    <w:t xml:space="preserve">u </w:t>
                  </w:r>
                  <w:r>
                    <w:rPr>
                      <w:rFonts w:cs="Georgia"/>
                      <w:color w:val="000000"/>
                      <w:spacing w:val="-1"/>
                    </w:rPr>
                    <w:t>2</w:t>
                  </w:r>
                  <w:r>
                    <w:rPr>
                      <w:rFonts w:cs="Georgia"/>
                      <w:color w:val="000000"/>
                    </w:rPr>
                    <w:t>9</w:t>
                  </w:r>
                  <w:r>
                    <w:rPr>
                      <w:rFonts w:cs="Georgia"/>
                      <w:color w:val="000000"/>
                      <w:spacing w:val="31"/>
                    </w:rPr>
                    <w:t xml:space="preserve"> </w:t>
                  </w:r>
                  <w:r>
                    <w:rPr>
                      <w:rFonts w:cs="Georgia"/>
                      <w:color w:val="000000"/>
                    </w:rPr>
                    <w:t>m</w:t>
                  </w:r>
                  <w:r>
                    <w:rPr>
                      <w:rFonts w:cs="Georgia"/>
                      <w:color w:val="000000"/>
                      <w:spacing w:val="-1"/>
                    </w:rPr>
                    <w:t>a</w:t>
                  </w:r>
                  <w:r>
                    <w:rPr>
                      <w:rFonts w:cs="Georgia"/>
                      <w:color w:val="000000"/>
                    </w:rPr>
                    <w:t xml:space="preserve">i </w:t>
                  </w:r>
                  <w:r>
                    <w:rPr>
                      <w:rFonts w:cs="Georgia"/>
                      <w:color w:val="000000"/>
                      <w:spacing w:val="1"/>
                    </w:rPr>
                    <w:t>1</w:t>
                  </w:r>
                  <w:r>
                    <w:rPr>
                      <w:rFonts w:cs="Georgia"/>
                      <w:color w:val="000000"/>
                      <w:spacing w:val="-3"/>
                    </w:rPr>
                    <w:t>9</w:t>
                  </w:r>
                  <w:r>
                    <w:rPr>
                      <w:rFonts w:cs="Georgia"/>
                      <w:color w:val="000000"/>
                      <w:spacing w:val="1"/>
                    </w:rPr>
                    <w:t>5</w:t>
                  </w:r>
                  <w:r>
                    <w:rPr>
                      <w:rFonts w:cs="Georgia"/>
                      <w:color w:val="000000"/>
                    </w:rPr>
                    <w:t xml:space="preserve">9 </w:t>
                  </w:r>
                  <w:r>
                    <w:rPr>
                      <w:rFonts w:cs="Georgia"/>
                      <w:color w:val="000000"/>
                      <w:spacing w:val="-1"/>
                    </w:rPr>
                    <w:t>q</w:t>
                  </w:r>
                  <w:r>
                    <w:rPr>
                      <w:rFonts w:cs="Georgia"/>
                      <w:color w:val="000000"/>
                    </w:rPr>
                    <w:t xml:space="preserve">ui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en</w:t>
                  </w:r>
                  <w:r>
                    <w:rPr>
                      <w:rFonts w:cs="Georgia"/>
                      <w:color w:val="000000"/>
                    </w:rPr>
                    <w:t>t</w:t>
                  </w:r>
                  <w:r>
                    <w:rPr>
                      <w:rFonts w:cs="Georgia"/>
                      <w:color w:val="000000"/>
                      <w:spacing w:val="29"/>
                    </w:rPr>
                    <w:t xml:space="preserve"> </w:t>
                  </w:r>
                  <w:r>
                    <w:rPr>
                      <w:rFonts w:cs="Georgia"/>
                      <w:color w:val="000000"/>
                    </w:rPr>
                    <w:t>u</w:t>
                  </w:r>
                  <w:r>
                    <w:rPr>
                      <w:rFonts w:cs="Georgia"/>
                      <w:color w:val="000000"/>
                      <w:spacing w:val="-1"/>
                    </w:rPr>
                    <w:t>n</w:t>
                  </w:r>
                  <w:r>
                    <w:rPr>
                      <w:rFonts w:cs="Georgia"/>
                      <w:color w:val="000000"/>
                    </w:rPr>
                    <w:t xml:space="preserve">e </w:t>
                  </w:r>
                  <w:r>
                    <w:rPr>
                      <w:rFonts w:cs="Georgia"/>
                      <w:color w:val="000000"/>
                      <w:spacing w:val="1"/>
                    </w:rPr>
                    <w:t>co</w:t>
                  </w:r>
                  <w:r>
                    <w:rPr>
                      <w:rFonts w:cs="Georgia"/>
                      <w:color w:val="000000"/>
                      <w:spacing w:val="-3"/>
                    </w:rPr>
                    <w:t>n</w:t>
                  </w:r>
                  <w:r>
                    <w:rPr>
                      <w:rFonts w:cs="Georgia"/>
                      <w:color w:val="000000"/>
                    </w:rPr>
                    <w:t>di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30"/>
                    </w:rPr>
                    <w:t xml:space="preserve"> </w:t>
                  </w:r>
                  <w:r>
                    <w:rPr>
                      <w:rFonts w:cs="Georgia"/>
                      <w:color w:val="000000"/>
                      <w:spacing w:val="-1"/>
                    </w:rPr>
                    <w:t>lé</w:t>
                  </w:r>
                  <w:r>
                    <w:rPr>
                      <w:rFonts w:cs="Georgia"/>
                      <w:color w:val="000000"/>
                    </w:rPr>
                    <w:t>g</w:t>
                  </w:r>
                  <w:r>
                    <w:rPr>
                      <w:rFonts w:cs="Georgia"/>
                      <w:color w:val="000000"/>
                      <w:spacing w:val="-1"/>
                    </w:rPr>
                    <w:t>al</w:t>
                  </w:r>
                  <w:r>
                    <w:rPr>
                      <w:rFonts w:cs="Georgia"/>
                      <w:color w:val="000000"/>
                    </w:rPr>
                    <w:t>e</w:t>
                  </w:r>
                  <w:r>
                    <w:rPr>
                      <w:rFonts w:cs="Georgia"/>
                      <w:color w:val="000000"/>
                      <w:spacing w:val="30"/>
                    </w:rPr>
                    <w:t xml:space="preserve"> </w:t>
                  </w:r>
                  <w:r>
                    <w:rPr>
                      <w:rFonts w:cs="Georgia"/>
                      <w:color w:val="000000"/>
                    </w:rPr>
                    <w:t xml:space="preserve">de </w:t>
                  </w:r>
                  <w:r>
                    <w:rPr>
                      <w:rFonts w:cs="Georgia"/>
                      <w:color w:val="000000"/>
                      <w:spacing w:val="1"/>
                    </w:rPr>
                    <w:t>cr</w:t>
                  </w:r>
                  <w:r>
                    <w:rPr>
                      <w:rFonts w:cs="Georgia"/>
                      <w:color w:val="000000"/>
                      <w:spacing w:val="-1"/>
                    </w:rPr>
                    <w:t>éa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u</w:t>
                  </w:r>
                  <w:r>
                    <w:rPr>
                      <w:rFonts w:cs="Georgia"/>
                      <w:color w:val="000000"/>
                      <w:spacing w:val="29"/>
                    </w:rPr>
                    <w:t xml:space="preserve"> </w:t>
                  </w:r>
                  <w:r>
                    <w:rPr>
                      <w:rFonts w:cs="Georgia"/>
                      <w:color w:val="000000"/>
                    </w:rPr>
                    <w:t>d’</w:t>
                  </w:r>
                  <w:r>
                    <w:rPr>
                      <w:rFonts w:cs="Georgia"/>
                      <w:color w:val="000000"/>
                      <w:spacing w:val="-1"/>
                    </w:rPr>
                    <w:t>a</w:t>
                  </w:r>
                  <w:r>
                    <w:rPr>
                      <w:rFonts w:cs="Georgia"/>
                      <w:color w:val="000000"/>
                    </w:rPr>
                    <w:t>d</w:t>
                  </w:r>
                  <w:r>
                    <w:rPr>
                      <w:rFonts w:cs="Georgia"/>
                      <w:color w:val="000000"/>
                      <w:spacing w:val="-3"/>
                    </w:rPr>
                    <w:t>m</w:t>
                  </w:r>
                  <w:r>
                    <w:rPr>
                      <w:rFonts w:cs="Georgia"/>
                      <w:color w:val="000000"/>
                    </w:rPr>
                    <w:t>i</w:t>
                  </w:r>
                  <w:r>
                    <w:rPr>
                      <w:rFonts w:cs="Georgia"/>
                      <w:color w:val="000000"/>
                      <w:spacing w:val="1"/>
                    </w:rPr>
                    <w:t>s</w:t>
                  </w:r>
                  <w:r>
                    <w:rPr>
                      <w:rFonts w:cs="Georgia"/>
                      <w:color w:val="000000"/>
                      <w:spacing w:val="-2"/>
                    </w:rPr>
                    <w:t>s</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a</w:t>
                  </w:r>
                  <w:r>
                    <w:rPr>
                      <w:rFonts w:cs="Georgia"/>
                      <w:color w:val="000000"/>
                      <w:spacing w:val="-2"/>
                    </w:rPr>
                    <w:t>u</w:t>
                  </w:r>
                  <w:r>
                    <w:rPr>
                      <w:rFonts w:cs="Georgia"/>
                      <w:color w:val="000000"/>
                    </w:rPr>
                    <w:t xml:space="preserve">x </w:t>
                  </w:r>
                  <w:r>
                    <w:rPr>
                      <w:rFonts w:cs="Georgia"/>
                      <w:color w:val="000000"/>
                      <w:spacing w:val="1"/>
                    </w:rPr>
                    <w:t>s</w:t>
                  </w:r>
                  <w:r>
                    <w:rPr>
                      <w:rFonts w:cs="Georgia"/>
                      <w:color w:val="000000"/>
                    </w:rPr>
                    <w:t>u</w:t>
                  </w:r>
                  <w:r>
                    <w:rPr>
                      <w:rFonts w:cs="Georgia"/>
                      <w:color w:val="000000"/>
                      <w:spacing w:val="-1"/>
                    </w:rPr>
                    <w:t>b</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w:t>
                  </w:r>
                  <w:r>
                    <w:rPr>
                      <w:rFonts w:cs="Georgia"/>
                      <w:color w:val="000000"/>
                      <w:spacing w:val="2"/>
                    </w:rPr>
                    <w:t xml:space="preserve"> </w:t>
                  </w:r>
                  <w:r>
                    <w:rPr>
                      <w:rFonts w:cs="Georgia"/>
                      <w:color w:val="000000"/>
                    </w:rPr>
                    <w:t>C’</w:t>
                  </w:r>
                  <w:r>
                    <w:rPr>
                      <w:rFonts w:cs="Georgia"/>
                      <w:color w:val="000000"/>
                      <w:spacing w:val="-1"/>
                    </w:rPr>
                    <w:t>e</w:t>
                  </w:r>
                  <w:r>
                    <w:rPr>
                      <w:rFonts w:cs="Georgia"/>
                      <w:color w:val="000000"/>
                      <w:spacing w:val="1"/>
                    </w:rPr>
                    <w:t>st</w:t>
                  </w:r>
                  <w:r>
                    <w:rPr>
                      <w:rFonts w:cs="Georgia"/>
                      <w:color w:val="000000"/>
                      <w:spacing w:val="-1"/>
                    </w:rPr>
                    <w:t>-à-</w:t>
                  </w:r>
                  <w:r>
                    <w:rPr>
                      <w:rFonts w:cs="Georgia"/>
                      <w:color w:val="000000"/>
                    </w:rPr>
                    <w:t>di</w:t>
                  </w:r>
                  <w:r>
                    <w:rPr>
                      <w:rFonts w:cs="Georgia"/>
                      <w:color w:val="000000"/>
                      <w:spacing w:val="1"/>
                    </w:rPr>
                    <w:t>r</w:t>
                  </w:r>
                  <w:r>
                    <w:rPr>
                      <w:rFonts w:cs="Georgia"/>
                      <w:color w:val="000000"/>
                    </w:rPr>
                    <w:t>e</w:t>
                  </w:r>
                  <w:r>
                    <w:rPr>
                      <w:rFonts w:cs="Georgia"/>
                      <w:color w:val="000000"/>
                      <w:spacing w:val="3"/>
                    </w:rPr>
                    <w:t xml:space="preserve"> </w:t>
                  </w:r>
                  <w:r>
                    <w:rPr>
                      <w:rFonts w:cs="Georgia"/>
                      <w:color w:val="000000"/>
                      <w:spacing w:val="-1"/>
                    </w:rPr>
                    <w:t>q</w:t>
                  </w:r>
                  <w:r>
                    <w:rPr>
                      <w:rFonts w:cs="Georgia"/>
                      <w:color w:val="000000"/>
                      <w:spacing w:val="-2"/>
                    </w:rPr>
                    <w:t>u</w:t>
                  </w:r>
                  <w:r>
                    <w:rPr>
                      <w:rFonts w:cs="Georgia"/>
                      <w:color w:val="000000"/>
                    </w:rPr>
                    <w:t>’il</w:t>
                  </w:r>
                  <w:r>
                    <w:rPr>
                      <w:rFonts w:cs="Georgia"/>
                      <w:color w:val="000000"/>
                      <w:spacing w:val="3"/>
                    </w:rPr>
                    <w:t xml:space="preserve"> </w:t>
                  </w:r>
                  <w:r>
                    <w:rPr>
                      <w:rFonts w:cs="Georgia"/>
                      <w:color w:val="000000"/>
                    </w:rPr>
                    <w:t>f</w:t>
                  </w:r>
                  <w:r>
                    <w:rPr>
                      <w:rFonts w:cs="Georgia"/>
                      <w:color w:val="000000"/>
                      <w:spacing w:val="-1"/>
                    </w:rPr>
                    <w:t>a</w:t>
                  </w:r>
                  <w:r>
                    <w:rPr>
                      <w:rFonts w:cs="Georgia"/>
                      <w:color w:val="000000"/>
                    </w:rPr>
                    <w:t>ut</w:t>
                  </w:r>
                  <w:r>
                    <w:rPr>
                      <w:rFonts w:cs="Georgia"/>
                      <w:color w:val="000000"/>
                      <w:spacing w:val="2"/>
                    </w:rPr>
                    <w:t xml:space="preserve"> </w:t>
                  </w:r>
                  <w:r>
                    <w:rPr>
                      <w:rFonts w:cs="Georgia"/>
                      <w:color w:val="000000"/>
                      <w:spacing w:val="-2"/>
                    </w:rPr>
                    <w:t>u</w:t>
                  </w:r>
                  <w:r>
                    <w:rPr>
                      <w:rFonts w:cs="Georgia"/>
                      <w:color w:val="000000"/>
                      <w:spacing w:val="-1"/>
                    </w:rPr>
                    <w:t>n</w:t>
                  </w:r>
                  <w:r>
                    <w:rPr>
                      <w:rFonts w:cs="Georgia"/>
                      <w:color w:val="000000"/>
                    </w:rPr>
                    <w:t>e</w:t>
                  </w:r>
                  <w:r>
                    <w:rPr>
                      <w:rFonts w:cs="Georgia"/>
                      <w:color w:val="000000"/>
                      <w:spacing w:val="3"/>
                    </w:rPr>
                    <w:t xml:space="preserve">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rPr>
                    <w:t xml:space="preserve">e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 mi</w:t>
                  </w:r>
                  <w:r>
                    <w:rPr>
                      <w:rFonts w:cs="Georgia"/>
                      <w:color w:val="000000"/>
                      <w:spacing w:val="-1"/>
                    </w:rPr>
                    <w:t>n</w:t>
                  </w:r>
                  <w:r>
                    <w:rPr>
                      <w:rFonts w:cs="Georgia"/>
                      <w:color w:val="000000"/>
                    </w:rPr>
                    <w:t>imum</w:t>
                  </w:r>
                  <w:r>
                    <w:rPr>
                      <w:rFonts w:cs="Georgia"/>
                      <w:color w:val="000000"/>
                      <w:spacing w:val="1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17"/>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l</w:t>
                  </w:r>
                  <w:r>
                    <w:rPr>
                      <w:rFonts w:cs="Georgia"/>
                      <w:color w:val="000000"/>
                      <w:spacing w:val="-2"/>
                    </w:rPr>
                    <w:t>’</w:t>
                  </w:r>
                  <w:r>
                    <w:rPr>
                      <w:rFonts w:cs="Georgia"/>
                      <w:color w:val="000000"/>
                      <w:spacing w:val="-1"/>
                    </w:rPr>
                    <w:t>é</w:t>
                  </w:r>
                  <w:r>
                    <w:rPr>
                      <w:rFonts w:cs="Georgia"/>
                      <w:color w:val="000000"/>
                      <w:spacing w:val="1"/>
                    </w:rPr>
                    <w:t>co</w:t>
                  </w:r>
                  <w:r>
                    <w:rPr>
                      <w:rFonts w:cs="Georgia"/>
                      <w:color w:val="000000"/>
                      <w:spacing w:val="-1"/>
                    </w:rPr>
                    <w:t>l</w:t>
                  </w:r>
                  <w:r>
                    <w:rPr>
                      <w:rFonts w:cs="Georgia"/>
                      <w:color w:val="000000"/>
                    </w:rPr>
                    <w:t>e</w:t>
                  </w:r>
                  <w:r>
                    <w:rPr>
                      <w:rFonts w:cs="Georgia"/>
                      <w:color w:val="000000"/>
                      <w:spacing w:val="15"/>
                    </w:rPr>
                    <w:t xml:space="preserve"> </w:t>
                  </w:r>
                  <w:r>
                    <w:rPr>
                      <w:rFonts w:cs="Georgia"/>
                      <w:color w:val="000000"/>
                      <w:spacing w:val="-1"/>
                    </w:rPr>
                    <w:t>a</w:t>
                  </w:r>
                  <w:r>
                    <w:rPr>
                      <w:rFonts w:cs="Georgia"/>
                      <w:color w:val="000000"/>
                    </w:rPr>
                    <w:t>fin</w:t>
                  </w:r>
                  <w:r>
                    <w:rPr>
                      <w:rFonts w:cs="Georgia"/>
                      <w:color w:val="000000"/>
                      <w:spacing w:val="16"/>
                    </w:rPr>
                    <w:t xml:space="preserve"> </w:t>
                  </w:r>
                  <w:r>
                    <w:rPr>
                      <w:rFonts w:cs="Georgia"/>
                      <w:color w:val="000000"/>
                    </w:rPr>
                    <w:t>de</w:t>
                  </w:r>
                  <w:r>
                    <w:rPr>
                      <w:rFonts w:cs="Georgia"/>
                      <w:color w:val="000000"/>
                      <w:spacing w:val="16"/>
                    </w:rPr>
                    <w:t xml:space="preserve"> </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3"/>
                    </w:rPr>
                    <w:t>e</w:t>
                  </w:r>
                  <w:r>
                    <w:rPr>
                      <w:rFonts w:cs="Georgia"/>
                      <w:color w:val="000000"/>
                    </w:rPr>
                    <w:t>r</w:t>
                  </w:r>
                  <w:r>
                    <w:rPr>
                      <w:rFonts w:cs="Georgia"/>
                      <w:color w:val="000000"/>
                      <w:spacing w:val="17"/>
                    </w:rPr>
                    <w:t xml:space="preserve"> </w:t>
                  </w:r>
                  <w:r>
                    <w:rPr>
                      <w:rFonts w:cs="Georgia"/>
                      <w:color w:val="000000"/>
                      <w:spacing w:val="-1"/>
                    </w:rPr>
                    <w:t>le</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e</w:t>
                  </w:r>
                  <w:r>
                    <w:rPr>
                      <w:rFonts w:cs="Georgia"/>
                      <w:color w:val="000000"/>
                    </w:rPr>
                    <w:t>s</w:t>
                  </w:r>
                  <w:r>
                    <w:rPr>
                      <w:rFonts w:cs="Georgia"/>
                      <w:color w:val="000000"/>
                      <w:spacing w:val="15"/>
                    </w:rPr>
                    <w:t xml:space="preserve"> </w:t>
                  </w:r>
                  <w:r>
                    <w:rPr>
                      <w:rFonts w:cs="Georgia"/>
                      <w:color w:val="000000"/>
                      <w:spacing w:val="-1"/>
                    </w:rPr>
                    <w:t>e</w:t>
                  </w:r>
                  <w:r>
                    <w:rPr>
                      <w:rFonts w:cs="Georgia"/>
                      <w:color w:val="000000"/>
                    </w:rPr>
                    <w:t>t</w:t>
                  </w:r>
                  <w:r>
                    <w:rPr>
                      <w:rFonts w:cs="Georgia"/>
                      <w:color w:val="000000"/>
                      <w:spacing w:val="17"/>
                    </w:rPr>
                    <w:t xml:space="preserve"> </w:t>
                  </w:r>
                  <w:r>
                    <w:rPr>
                      <w:rFonts w:cs="Georgia"/>
                      <w:color w:val="000000"/>
                      <w:spacing w:val="-1"/>
                    </w:rPr>
                    <w:t>l</w:t>
                  </w:r>
                  <w:r>
                    <w:rPr>
                      <w:rFonts w:cs="Georgia"/>
                      <w:color w:val="000000"/>
                      <w:spacing w:val="-2"/>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2"/>
                    </w:rPr>
                    <w:t>r</w:t>
                  </w:r>
                  <w:r>
                    <w:rPr>
                      <w:rFonts w:cs="Georgia"/>
                      <w:color w:val="000000"/>
                    </w:rPr>
                    <w:t>e</w:t>
                  </w:r>
                  <w:r>
                    <w:rPr>
                      <w:rFonts w:cs="Georgia"/>
                      <w:color w:val="000000"/>
                      <w:spacing w:val="15"/>
                    </w:rPr>
                    <w:t xml:space="preserve"> </w:t>
                  </w:r>
                  <w:r>
                    <w:rPr>
                      <w:rFonts w:cs="Georgia"/>
                      <w:color w:val="000000"/>
                    </w:rPr>
                    <w:t>mi</w:t>
                  </w:r>
                  <w:r>
                    <w:rPr>
                      <w:rFonts w:cs="Georgia"/>
                      <w:color w:val="000000"/>
                      <w:spacing w:val="-1"/>
                    </w:rPr>
                    <w:t>n</w:t>
                  </w:r>
                  <w:r>
                    <w:rPr>
                      <w:rFonts w:cs="Georgia"/>
                      <w:color w:val="000000"/>
                    </w:rPr>
                    <w:t>imum</w:t>
                  </w:r>
                  <w:r>
                    <w:rPr>
                      <w:rFonts w:cs="Georgia"/>
                      <w:color w:val="000000"/>
                      <w:spacing w:val="16"/>
                    </w:rPr>
                    <w:t xml:space="preserve"> </w:t>
                  </w:r>
                  <w:r>
                    <w:rPr>
                      <w:rFonts w:cs="Georgia"/>
                      <w:color w:val="000000"/>
                      <w:spacing w:val="-1"/>
                    </w:rPr>
                    <w:t>lé</w:t>
                  </w:r>
                  <w:r>
                    <w:rPr>
                      <w:rFonts w:cs="Georgia"/>
                      <w:color w:val="000000"/>
                    </w:rPr>
                    <w:t>g</w:t>
                  </w:r>
                  <w:r>
                    <w:rPr>
                      <w:rFonts w:cs="Georgia"/>
                      <w:color w:val="000000"/>
                      <w:spacing w:val="-1"/>
                    </w:rPr>
                    <w:t>ale</w:t>
                  </w:r>
                  <w:r>
                    <w:rPr>
                      <w:rFonts w:cs="Georgia"/>
                      <w:color w:val="000000"/>
                    </w:rPr>
                    <w:t>m</w:t>
                  </w:r>
                  <w:r>
                    <w:rPr>
                      <w:rFonts w:cs="Georgia"/>
                      <w:color w:val="000000"/>
                      <w:spacing w:val="-1"/>
                    </w:rPr>
                    <w:t>en</w:t>
                  </w:r>
                  <w:r>
                    <w:rPr>
                      <w:rFonts w:cs="Georgia"/>
                      <w:color w:val="000000"/>
                    </w:rPr>
                    <w:t>t fi</w:t>
                  </w:r>
                  <w:r>
                    <w:rPr>
                      <w:rFonts w:cs="Georgia"/>
                      <w:color w:val="000000"/>
                      <w:spacing w:val="-1"/>
                    </w:rPr>
                    <w:t>x</w:t>
                  </w:r>
                  <w:r>
                    <w:rPr>
                      <w:rFonts w:cs="Georgia"/>
                      <w:color w:val="000000"/>
                    </w:rPr>
                    <w:t>é</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v</w:t>
                  </w:r>
                  <w:r>
                    <w:rPr>
                      <w:rFonts w:cs="Georgia"/>
                      <w:color w:val="000000"/>
                    </w:rPr>
                    <w:t>ue</w:t>
                  </w:r>
                  <w:r>
                    <w:rPr>
                      <w:rFonts w:cs="Georgia"/>
                      <w:color w:val="000000"/>
                      <w:spacing w:val="-1"/>
                    </w:rPr>
                    <w:t xml:space="preserve"> </w:t>
                  </w:r>
                  <w:r>
                    <w:rPr>
                      <w:rFonts w:cs="Georgia"/>
                      <w:color w:val="000000"/>
                    </w:rPr>
                    <w:t>d’</w:t>
                  </w:r>
                  <w:r>
                    <w:rPr>
                      <w:rFonts w:cs="Georgia"/>
                      <w:color w:val="000000"/>
                      <w:spacing w:val="-1"/>
                    </w:rPr>
                    <w:t>a</w:t>
                  </w:r>
                  <w:r>
                    <w:rPr>
                      <w:rFonts w:cs="Georgia"/>
                      <w:color w:val="000000"/>
                      <w:spacing w:val="1"/>
                    </w:rPr>
                    <w:t>ss</w:t>
                  </w:r>
                  <w:r>
                    <w:rPr>
                      <w:rFonts w:cs="Georgia"/>
                      <w:color w:val="000000"/>
                    </w:rPr>
                    <w:t>u</w:t>
                  </w:r>
                  <w:r>
                    <w:rPr>
                      <w:rFonts w:cs="Georgia"/>
                      <w:color w:val="000000"/>
                      <w:spacing w:val="1"/>
                    </w:rPr>
                    <w:t>r</w:t>
                  </w:r>
                  <w:r>
                    <w:rPr>
                      <w:rFonts w:cs="Georgia"/>
                      <w:color w:val="000000"/>
                      <w:spacing w:val="-1"/>
                    </w:rPr>
                    <w:t>e</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2"/>
                    </w:rPr>
                    <w:t>i</w:t>
                  </w:r>
                  <w:r>
                    <w:rPr>
                      <w:rFonts w:cs="Georgia"/>
                      <w:color w:val="000000"/>
                      <w:spacing w:val="1"/>
                    </w:rPr>
                    <w:t>v</w:t>
                  </w:r>
                  <w:r>
                    <w:rPr>
                      <w:rFonts w:cs="Georgia"/>
                      <w:color w:val="000000"/>
                      <w:spacing w:val="-1"/>
                    </w:rPr>
                    <w:t>ea</w:t>
                  </w:r>
                  <w:r>
                    <w:rPr>
                      <w:rFonts w:cs="Georgia"/>
                      <w:color w:val="000000"/>
                    </w:rPr>
                    <w:t>u d</w:t>
                  </w:r>
                  <w:r>
                    <w:rPr>
                      <w:rFonts w:cs="Georgia"/>
                      <w:color w:val="000000"/>
                      <w:spacing w:val="-1"/>
                    </w:rPr>
                    <w:t>e</w:t>
                  </w:r>
                  <w:r>
                    <w:rPr>
                      <w:rFonts w:cs="Georgia"/>
                      <w:color w:val="000000"/>
                    </w:rPr>
                    <w:t xml:space="preserve">s </w:t>
                  </w:r>
                  <w:r>
                    <w:rPr>
                      <w:rFonts w:cs="Georgia"/>
                      <w:color w:val="000000"/>
                      <w:spacing w:val="-1"/>
                    </w:rPr>
                    <w:t>é</w:t>
                  </w:r>
                  <w:r>
                    <w:rPr>
                      <w:rFonts w:cs="Georgia"/>
                      <w:color w:val="000000"/>
                      <w:spacing w:val="1"/>
                    </w:rPr>
                    <w:t>t</w:t>
                  </w:r>
                  <w:r>
                    <w:rPr>
                      <w:rFonts w:cs="Georgia"/>
                      <w:color w:val="000000"/>
                    </w:rPr>
                    <w:t>ud</w:t>
                  </w:r>
                  <w:r>
                    <w:rPr>
                      <w:rFonts w:cs="Georgia"/>
                      <w:color w:val="000000"/>
                      <w:spacing w:val="-1"/>
                    </w:rPr>
                    <w:t>e</w:t>
                  </w:r>
                  <w:r>
                    <w:rPr>
                      <w:rFonts w:cs="Georgia"/>
                      <w:color w:val="000000"/>
                      <w:spacing w:val="1"/>
                    </w:rPr>
                    <w:t>s</w:t>
                  </w:r>
                  <w:r>
                    <w:rPr>
                      <w:rFonts w:cs="Georgia"/>
                      <w:color w:val="000000"/>
                    </w:rPr>
                    <w:t>.</w:t>
                  </w:r>
                </w:p>
                <w:p w:rsidR="00F04EEF" w:rsidRDefault="00F04EEF">
                  <w:pPr>
                    <w:widowControl w:val="0"/>
                    <w:autoSpaceDE w:val="0"/>
                    <w:autoSpaceDN w:val="0"/>
                    <w:adjustRightInd w:val="0"/>
                    <w:ind w:right="5557"/>
                    <w:jc w:val="both"/>
                    <w:rPr>
                      <w:rFonts w:cs="Georgia"/>
                      <w:color w:val="000000"/>
                    </w:rPr>
                  </w:pPr>
                </w:p>
                <w:p w:rsidR="00F04EEF" w:rsidRDefault="0099351E">
                  <w:pPr>
                    <w:widowControl w:val="0"/>
                    <w:numPr>
                      <w:ilvl w:val="1"/>
                      <w:numId w:val="57"/>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3"/>
                    </w:rPr>
                    <w:t xml:space="preserve"> </w:t>
                  </w:r>
                  <w:r>
                    <w:rPr>
                      <w:rFonts w:cs="Georgia"/>
                      <w:b/>
                      <w:color w:val="000000"/>
                      <w:spacing w:val="1"/>
                    </w:rPr>
                    <w:t>b</w:t>
                  </w:r>
                  <w:r>
                    <w:rPr>
                      <w:rFonts w:cs="Georgia"/>
                      <w:b/>
                      <w:color w:val="000000"/>
                      <w:spacing w:val="-1"/>
                    </w:rPr>
                    <w:t>éné</w:t>
                  </w:r>
                  <w:r>
                    <w:rPr>
                      <w:rFonts w:cs="Georgia"/>
                      <w:b/>
                      <w:color w:val="000000"/>
                    </w:rPr>
                    <w:t>fi</w:t>
                  </w:r>
                  <w:r>
                    <w:rPr>
                      <w:rFonts w:cs="Georgia"/>
                      <w:b/>
                      <w:color w:val="000000"/>
                      <w:spacing w:val="1"/>
                    </w:rPr>
                    <w:t>c</w:t>
                  </w:r>
                  <w:r>
                    <w:rPr>
                      <w:rFonts w:cs="Georgia"/>
                      <w:b/>
                      <w:color w:val="000000"/>
                    </w:rPr>
                    <w:t>i</w:t>
                  </w:r>
                  <w:r>
                    <w:rPr>
                      <w:rFonts w:cs="Georgia"/>
                      <w:b/>
                      <w:color w:val="000000"/>
                      <w:spacing w:val="-1"/>
                    </w:rPr>
                    <w:t>e</w:t>
                  </w:r>
                  <w:r>
                    <w:rPr>
                      <w:rFonts w:cs="Georgia"/>
                      <w:b/>
                      <w:color w:val="000000"/>
                      <w:spacing w:val="2"/>
                    </w:rPr>
                    <w:t>n</w:t>
                  </w:r>
                  <w:r>
                    <w:rPr>
                      <w:rFonts w:cs="Georgia"/>
                      <w:b/>
                      <w:color w:val="000000"/>
                    </w:rPr>
                    <w:t>t</w:t>
                  </w:r>
                  <w:r>
                    <w:rPr>
                      <w:rFonts w:cs="Georgia"/>
                      <w:b/>
                      <w:color w:val="000000"/>
                      <w:spacing w:val="4"/>
                    </w:rPr>
                    <w:t xml:space="preserve"> </w:t>
                  </w:r>
                  <w:r>
                    <w:rPr>
                      <w:rFonts w:cs="Georgia"/>
                      <w:b/>
                      <w:color w:val="000000"/>
                    </w:rPr>
                    <w:t>d</w:t>
                  </w:r>
                  <w:r>
                    <w:rPr>
                      <w:rFonts w:cs="Georgia"/>
                      <w:b/>
                      <w:color w:val="000000"/>
                      <w:spacing w:val="1"/>
                    </w:rPr>
                    <w:t>'</w:t>
                  </w:r>
                  <w:r>
                    <w:rPr>
                      <w:rFonts w:cs="Georgia"/>
                      <w:b/>
                      <w:color w:val="000000"/>
                    </w:rPr>
                    <w:t>un</w:t>
                  </w:r>
                  <w:r>
                    <w:rPr>
                      <w:rFonts w:cs="Georgia"/>
                      <w:b/>
                      <w:color w:val="000000"/>
                      <w:spacing w:val="2"/>
                    </w:rPr>
                    <w:t xml:space="preserve"> </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rPr>
                    <w:t>di</w:t>
                  </w:r>
                  <w:r>
                    <w:rPr>
                      <w:rFonts w:cs="Georgia"/>
                      <w:b/>
                      <w:color w:val="000000"/>
                      <w:spacing w:val="1"/>
                    </w:rPr>
                    <w:t>sp</w:t>
                  </w:r>
                  <w:r>
                    <w:rPr>
                      <w:rFonts w:cs="Georgia"/>
                      <w:b/>
                      <w:color w:val="000000"/>
                      <w:spacing w:val="-1"/>
                    </w:rPr>
                    <w:t>en</w:t>
                  </w:r>
                  <w:r>
                    <w:rPr>
                      <w:rFonts w:cs="Georgia"/>
                      <w:b/>
                      <w:color w:val="000000"/>
                      <w:spacing w:val="1"/>
                    </w:rPr>
                    <w:t>s</w:t>
                  </w:r>
                  <w:r>
                    <w:rPr>
                      <w:rFonts w:cs="Georgia"/>
                      <w:b/>
                      <w:color w:val="000000"/>
                    </w:rPr>
                    <w:t>é</w:t>
                  </w:r>
                  <w:r>
                    <w:rPr>
                      <w:rFonts w:cs="Georgia"/>
                      <w:b/>
                      <w:color w:val="000000"/>
                      <w:spacing w:val="2"/>
                    </w:rPr>
                    <w:t xml:space="preserve"> </w:t>
                  </w:r>
                  <w:r>
                    <w:rPr>
                      <w:rFonts w:cs="Georgia"/>
                      <w:b/>
                      <w:color w:val="000000"/>
                    </w:rPr>
                    <w:t>à</w:t>
                  </w:r>
                  <w:r>
                    <w:rPr>
                      <w:rFonts w:cs="Georgia"/>
                      <w:b/>
                      <w:color w:val="000000"/>
                      <w:spacing w:val="2"/>
                    </w:rPr>
                    <w:t xml:space="preserve"> </w:t>
                  </w:r>
                  <w:r>
                    <w:rPr>
                      <w:rFonts w:cs="Georgia"/>
                      <w:b/>
                      <w:color w:val="000000"/>
                    </w:rPr>
                    <w:t>d</w:t>
                  </w:r>
                  <w:r>
                    <w:rPr>
                      <w:rFonts w:cs="Georgia"/>
                      <w:b/>
                      <w:color w:val="000000"/>
                      <w:spacing w:val="1"/>
                    </w:rPr>
                    <w:t>o</w:t>
                  </w:r>
                  <w:r>
                    <w:rPr>
                      <w:rFonts w:cs="Georgia"/>
                      <w:b/>
                      <w:color w:val="000000"/>
                    </w:rPr>
                    <w:t>mi</w:t>
                  </w:r>
                  <w:r>
                    <w:rPr>
                      <w:rFonts w:cs="Georgia"/>
                      <w:b/>
                      <w:color w:val="000000"/>
                      <w:spacing w:val="1"/>
                    </w:rPr>
                    <w:t>c</w:t>
                  </w:r>
                  <w:r>
                    <w:rPr>
                      <w:rFonts w:cs="Georgia"/>
                      <w:b/>
                      <w:color w:val="000000"/>
                    </w:rPr>
                    <w:t>i</w:t>
                  </w:r>
                  <w:r>
                    <w:rPr>
                      <w:rFonts w:cs="Georgia"/>
                      <w:b/>
                      <w:color w:val="000000"/>
                      <w:spacing w:val="-1"/>
                    </w:rPr>
                    <w:t>l</w:t>
                  </w:r>
                  <w:r>
                    <w:rPr>
                      <w:rFonts w:cs="Georgia"/>
                      <w:b/>
                      <w:color w:val="000000"/>
                    </w:rPr>
                    <w:t>e</w:t>
                  </w:r>
                  <w:r>
                    <w:rPr>
                      <w:rFonts w:cs="Georgia"/>
                      <w:b/>
                      <w:color w:val="000000"/>
                      <w:spacing w:val="2"/>
                    </w:rPr>
                    <w:t xml:space="preserve"> </w:t>
                  </w:r>
                  <w:r>
                    <w:rPr>
                      <w:rFonts w:cs="Georgia"/>
                      <w:b/>
                      <w:color w:val="000000"/>
                      <w:spacing w:val="1"/>
                    </w:rPr>
                    <w:t>p</w:t>
                  </w:r>
                  <w:r>
                    <w:rPr>
                      <w:rFonts w:cs="Georgia"/>
                      <w:b/>
                      <w:color w:val="000000"/>
                      <w:spacing w:val="-1"/>
                    </w:rPr>
                    <w:t>a</w:t>
                  </w:r>
                  <w:r>
                    <w:rPr>
                      <w:rFonts w:cs="Georgia"/>
                      <w:b/>
                      <w:color w:val="000000"/>
                    </w:rPr>
                    <w:t>r</w:t>
                  </w:r>
                  <w:r>
                    <w:rPr>
                      <w:rFonts w:cs="Georgia"/>
                      <w:b/>
                      <w:color w:val="000000"/>
                      <w:spacing w:val="1"/>
                    </w:rPr>
                    <w:t xml:space="preserve"> </w:t>
                  </w:r>
                  <w:r>
                    <w:rPr>
                      <w:rFonts w:cs="Georgia"/>
                      <w:b/>
                      <w:color w:val="000000"/>
                    </w:rPr>
                    <w:t>un</w:t>
                  </w:r>
                  <w:r>
                    <w:rPr>
                      <w:rFonts w:cs="Georgia"/>
                      <w:b/>
                      <w:color w:val="000000"/>
                      <w:spacing w:val="2"/>
                    </w:rPr>
                    <w:t xml:space="preserve"> </w:t>
                  </w:r>
                  <w:r>
                    <w:rPr>
                      <w:rFonts w:cs="Georgia"/>
                      <w:b/>
                      <w:color w:val="000000"/>
                      <w:spacing w:val="-1"/>
                    </w:rPr>
                    <w:t>é</w:t>
                  </w:r>
                  <w:r>
                    <w:rPr>
                      <w:rFonts w:cs="Georgia"/>
                      <w:b/>
                      <w:color w:val="000000"/>
                      <w:spacing w:val="1"/>
                    </w:rPr>
                    <w:t>t</w:t>
                  </w:r>
                  <w:r>
                    <w:rPr>
                      <w:rFonts w:cs="Georgia"/>
                      <w:b/>
                      <w:color w:val="000000"/>
                      <w:spacing w:val="-1"/>
                    </w:rPr>
                    <w:t>a</w:t>
                  </w:r>
                  <w:r>
                    <w:rPr>
                      <w:rFonts w:cs="Georgia"/>
                      <w:b/>
                      <w:color w:val="000000"/>
                      <w:spacing w:val="1"/>
                    </w:rPr>
                    <w:t>b</w:t>
                  </w:r>
                  <w:r>
                    <w:rPr>
                      <w:rFonts w:cs="Georgia"/>
                      <w:b/>
                      <w:color w:val="000000"/>
                      <w:spacing w:val="-1"/>
                    </w:rPr>
                    <w:t>l</w:t>
                  </w:r>
                  <w:r>
                    <w:rPr>
                      <w:rFonts w:cs="Georgia"/>
                      <w:b/>
                      <w:color w:val="000000"/>
                    </w:rPr>
                    <w:t>i</w:t>
                  </w:r>
                  <w:r>
                    <w:rPr>
                      <w:rFonts w:cs="Georgia"/>
                      <w:b/>
                      <w:color w:val="000000"/>
                      <w:spacing w:val="1"/>
                    </w:rPr>
                    <w:t>ss</w:t>
                  </w:r>
                  <w:r>
                    <w:rPr>
                      <w:rFonts w:cs="Georgia"/>
                      <w:b/>
                      <w:color w:val="000000"/>
                      <w:spacing w:val="-1"/>
                    </w:rPr>
                    <w:t>e</w:t>
                  </w:r>
                  <w:r>
                    <w:rPr>
                      <w:rFonts w:cs="Georgia"/>
                      <w:b/>
                      <w:color w:val="000000"/>
                    </w:rPr>
                    <w:t>m</w:t>
                  </w:r>
                  <w:r>
                    <w:rPr>
                      <w:rFonts w:cs="Georgia"/>
                      <w:b/>
                      <w:color w:val="000000"/>
                      <w:spacing w:val="-1"/>
                    </w:rPr>
                    <w:t>en</w:t>
                  </w:r>
                  <w:r>
                    <w:rPr>
                      <w:rFonts w:cs="Georgia"/>
                      <w:b/>
                      <w:color w:val="000000"/>
                    </w:rPr>
                    <w:t>t d’</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27"/>
                    </w:rPr>
                    <w:t xml:space="preserve"> </w:t>
                  </w:r>
                  <w:r>
                    <w:rPr>
                      <w:rFonts w:cs="Georgia"/>
                      <w:b/>
                      <w:color w:val="000000"/>
                      <w:spacing w:val="1"/>
                    </w:rPr>
                    <w:t>sp</w:t>
                  </w:r>
                  <w:r>
                    <w:rPr>
                      <w:rFonts w:cs="Georgia"/>
                      <w:b/>
                      <w:color w:val="000000"/>
                      <w:spacing w:val="-1"/>
                    </w:rPr>
                    <w:t>é</w:t>
                  </w:r>
                  <w:r>
                    <w:rPr>
                      <w:rFonts w:cs="Georgia"/>
                      <w:b/>
                      <w:color w:val="000000"/>
                      <w:spacing w:val="-2"/>
                    </w:rPr>
                    <w:t>c</w:t>
                  </w:r>
                  <w:r>
                    <w:rPr>
                      <w:rFonts w:cs="Georgia"/>
                      <w:b/>
                      <w:color w:val="000000"/>
                    </w:rPr>
                    <w:t>i</w:t>
                  </w:r>
                  <w:r>
                    <w:rPr>
                      <w:rFonts w:cs="Georgia"/>
                      <w:b/>
                      <w:color w:val="000000"/>
                      <w:spacing w:val="-1"/>
                    </w:rPr>
                    <w:t>al</w:t>
                  </w:r>
                  <w:r>
                    <w:rPr>
                      <w:rFonts w:cs="Georgia"/>
                      <w:b/>
                      <w:color w:val="000000"/>
                    </w:rPr>
                    <w:t>i</w:t>
                  </w:r>
                  <w:r>
                    <w:rPr>
                      <w:rFonts w:cs="Georgia"/>
                      <w:b/>
                      <w:color w:val="000000"/>
                      <w:spacing w:val="-2"/>
                    </w:rPr>
                    <w:t>s</w:t>
                  </w:r>
                  <w:r>
                    <w:rPr>
                      <w:rFonts w:cs="Georgia"/>
                      <w:b/>
                      <w:color w:val="000000"/>
                    </w:rPr>
                    <w:t>é</w:t>
                  </w:r>
                  <w:r>
                    <w:rPr>
                      <w:rFonts w:cs="Georgia"/>
                      <w:color w:val="000000"/>
                      <w:spacing w:val="25"/>
                    </w:rPr>
                    <w:t xml:space="preserve"> </w:t>
                  </w:r>
                  <w:r>
                    <w:rPr>
                      <w:rFonts w:cs="Georgia"/>
                      <w:color w:val="000000"/>
                      <w:spacing w:val="1"/>
                    </w:rPr>
                    <w:t>co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en</w:t>
                  </w:r>
                  <w:r>
                    <w:rPr>
                      <w:rFonts w:cs="Georgia"/>
                      <w:color w:val="000000"/>
                    </w:rPr>
                    <w:t>t</w:t>
                  </w:r>
                  <w:r>
                    <w:rPr>
                      <w:rFonts w:cs="Georgia"/>
                      <w:color w:val="000000"/>
                      <w:spacing w:val="27"/>
                    </w:rPr>
                    <w:t xml:space="preserve"> </w:t>
                  </w:r>
                  <w:r>
                    <w:rPr>
                      <w:rFonts w:cs="Georgia"/>
                      <w:color w:val="000000"/>
                      <w:spacing w:val="-1"/>
                    </w:rPr>
                    <w:t>a</w:t>
                  </w:r>
                  <w:r>
                    <w:rPr>
                      <w:rFonts w:cs="Georgia"/>
                      <w:color w:val="000000"/>
                    </w:rPr>
                    <w:t>ux</w:t>
                  </w:r>
                  <w:r>
                    <w:rPr>
                      <w:rFonts w:cs="Georgia"/>
                      <w:color w:val="000000"/>
                      <w:spacing w:val="25"/>
                    </w:rPr>
                    <w:t xml:space="preserve"> </w:t>
                  </w:r>
                  <w:r>
                    <w:rPr>
                      <w:rFonts w:cs="Georgia"/>
                      <w:color w:val="000000"/>
                    </w:rPr>
                    <w:t>d</w:t>
                  </w:r>
                  <w:r>
                    <w:rPr>
                      <w:rFonts w:cs="Georgia"/>
                      <w:color w:val="000000"/>
                      <w:spacing w:val="-2"/>
                    </w:rPr>
                    <w:t>is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7"/>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27"/>
                    </w:rPr>
                    <w:t xml:space="preserve"> </w:t>
                  </w:r>
                  <w:r>
                    <w:rPr>
                      <w:rFonts w:cs="Georgia"/>
                      <w:color w:val="000000"/>
                      <w:spacing w:val="-1"/>
                    </w:rPr>
                    <w:t>a</w:t>
                  </w:r>
                  <w:r>
                    <w:rPr>
                      <w:rFonts w:cs="Georgia"/>
                      <w:color w:val="000000"/>
                      <w:spacing w:val="1"/>
                    </w:rPr>
                    <w:t>rt</w:t>
                  </w:r>
                  <w:r>
                    <w:rPr>
                      <w:rFonts w:cs="Georgia"/>
                      <w:color w:val="000000"/>
                      <w:spacing w:val="-2"/>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27"/>
                    </w:rPr>
                    <w:t xml:space="preserve"> </w:t>
                  </w:r>
                  <w:r>
                    <w:rPr>
                      <w:rFonts w:cs="Georgia"/>
                      <w:color w:val="000000"/>
                      <w:spacing w:val="-1"/>
                    </w:rPr>
                    <w:t>1</w:t>
                  </w:r>
                  <w:r>
                    <w:rPr>
                      <w:rFonts w:cs="Georgia"/>
                      <w:color w:val="000000"/>
                      <w:spacing w:val="-2"/>
                    </w:rPr>
                    <w:t>5</w:t>
                  </w:r>
                  <w:r>
                    <w:rPr>
                      <w:rFonts w:cs="Georgia"/>
                      <w:color w:val="000000"/>
                    </w:rPr>
                    <w:t>9</w:t>
                  </w:r>
                  <w:r>
                    <w:rPr>
                      <w:rFonts w:cs="Georgia"/>
                      <w:color w:val="000000"/>
                      <w:spacing w:val="26"/>
                    </w:rPr>
                    <w:t xml:space="preserve"> </w:t>
                  </w:r>
                  <w:r>
                    <w:rPr>
                      <w:rFonts w:cs="Georgia"/>
                      <w:color w:val="000000"/>
                    </w:rPr>
                    <w:t>à</w:t>
                  </w:r>
                  <w:r>
                    <w:rPr>
                      <w:rFonts w:cs="Georgia"/>
                      <w:color w:val="000000"/>
                      <w:spacing w:val="25"/>
                    </w:rPr>
                    <w:t xml:space="preserve"> </w:t>
                  </w:r>
                  <w:r>
                    <w:rPr>
                      <w:rFonts w:cs="Georgia"/>
                      <w:color w:val="000000"/>
                      <w:spacing w:val="1"/>
                    </w:rPr>
                    <w:t>1</w:t>
                  </w:r>
                  <w:r>
                    <w:rPr>
                      <w:rFonts w:cs="Georgia"/>
                      <w:color w:val="000000"/>
                    </w:rPr>
                    <w:t>63</w:t>
                  </w:r>
                  <w:r>
                    <w:rPr>
                      <w:rFonts w:cs="Georgia"/>
                      <w:color w:val="000000"/>
                      <w:spacing w:val="24"/>
                    </w:rPr>
                    <w:t xml:space="preserve"> </w:t>
                  </w:r>
                  <w:r>
                    <w:rPr>
                      <w:rFonts w:cs="Georgia"/>
                      <w:color w:val="000000"/>
                    </w:rPr>
                    <w:t>du</w:t>
                  </w:r>
                  <w:r>
                    <w:rPr>
                      <w:rFonts w:cs="Georgia"/>
                      <w:color w:val="000000"/>
                      <w:spacing w:val="26"/>
                    </w:rPr>
                    <w:t xml:space="preserve"> </w:t>
                  </w:r>
                  <w:r>
                    <w:rPr>
                      <w:rFonts w:cs="Georgia"/>
                      <w:color w:val="000000"/>
                    </w:rPr>
                    <w:t>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7"/>
                    </w:rPr>
                    <w:t xml:space="preserve"> </w:t>
                  </w:r>
                  <w:r>
                    <w:rPr>
                      <w:rFonts w:cs="Georgia"/>
                      <w:color w:val="000000"/>
                    </w:rPr>
                    <w:t>du</w:t>
                  </w:r>
                  <w:r>
                    <w:rPr>
                      <w:rFonts w:cs="Georgia"/>
                      <w:color w:val="000000"/>
                      <w:spacing w:val="24"/>
                    </w:rPr>
                    <w:t xml:space="preserve"> </w:t>
                  </w:r>
                  <w:r>
                    <w:rPr>
                      <w:rFonts w:cs="Georgia"/>
                      <w:color w:val="000000"/>
                    </w:rPr>
                    <w:t>3 m</w:t>
                  </w:r>
                  <w:r>
                    <w:rPr>
                      <w:rFonts w:cs="Georgia"/>
                      <w:color w:val="000000"/>
                      <w:spacing w:val="-1"/>
                    </w:rPr>
                    <w:t>a</w:t>
                  </w:r>
                  <w:r>
                    <w:rPr>
                      <w:rFonts w:cs="Georgia"/>
                      <w:color w:val="000000"/>
                      <w:spacing w:val="1"/>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2"/>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p>
                <w:p w:rsidR="00F04EEF" w:rsidRDefault="00F04EEF">
                  <w:pPr>
                    <w:widowControl w:val="0"/>
                    <w:autoSpaceDE w:val="0"/>
                    <w:autoSpaceDN w:val="0"/>
                    <w:adjustRightInd w:val="0"/>
                    <w:spacing w:before="1" w:line="250" w:lineRule="exact"/>
                    <w:ind w:right="48"/>
                    <w:jc w:val="both"/>
                    <w:rPr>
                      <w:rFonts w:cs="Georgia"/>
                      <w:color w:val="000000"/>
                    </w:rPr>
                  </w:pPr>
                </w:p>
                <w:p w:rsidR="00F04EEF" w:rsidRDefault="0099351E">
                  <w:pPr>
                    <w:widowControl w:val="0"/>
                    <w:autoSpaceDE w:val="0"/>
                    <w:autoSpaceDN w:val="0"/>
                    <w:adjustRightInd w:val="0"/>
                    <w:spacing w:before="36"/>
                    <w:ind w:right="-20"/>
                    <w:rPr>
                      <w:rFonts w:cs="Georgia"/>
                      <w:bCs/>
                      <w:color w:val="000000"/>
                    </w:rPr>
                  </w:pPr>
                  <w:r>
                    <w:rPr>
                      <w:rFonts w:cs="Georgia"/>
                      <w:bCs/>
                      <w:color w:val="000000"/>
                    </w:rPr>
                    <w:t xml:space="preserve">Le </w:t>
                  </w:r>
                  <w:r>
                    <w:rPr>
                      <w:rFonts w:cs="Georgia"/>
                      <w:bCs/>
                      <w:color w:val="000000"/>
                      <w:spacing w:val="-1"/>
                    </w:rPr>
                    <w:t>nomb</w:t>
                  </w:r>
                  <w:r>
                    <w:rPr>
                      <w:rFonts w:cs="Georgia"/>
                      <w:bCs/>
                      <w:color w:val="000000"/>
                    </w:rPr>
                    <w:t>re d</w:t>
                  </w:r>
                  <w:r>
                    <w:rPr>
                      <w:rFonts w:cs="Georgia"/>
                      <w:bCs/>
                      <w:color w:val="000000"/>
                      <w:spacing w:val="1"/>
                    </w:rPr>
                    <w:t>'</w:t>
                  </w:r>
                  <w:r>
                    <w:rPr>
                      <w:rFonts w:cs="Georgia"/>
                      <w:bCs/>
                      <w:color w:val="000000"/>
                      <w:spacing w:val="-2"/>
                    </w:rPr>
                    <w:t>é</w:t>
                  </w:r>
                  <w:r>
                    <w:rPr>
                      <w:rFonts w:cs="Georgia"/>
                      <w:bCs/>
                      <w:color w:val="000000"/>
                      <w:spacing w:val="1"/>
                    </w:rPr>
                    <w:t>lè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v</w:t>
                  </w:r>
                  <w:r>
                    <w:rPr>
                      <w:rFonts w:cs="Georgia"/>
                      <w:bCs/>
                      <w:color w:val="000000"/>
                      <w:spacing w:val="-1"/>
                    </w:rPr>
                    <w:t>i</w:t>
                  </w:r>
                  <w:r>
                    <w:rPr>
                      <w:rFonts w:cs="Georgia"/>
                      <w:bCs/>
                      <w:color w:val="000000"/>
                    </w:rPr>
                    <w:t>s</w:t>
                  </w:r>
                  <w:r>
                    <w:rPr>
                      <w:rFonts w:cs="Georgia"/>
                      <w:bCs/>
                      <w:color w:val="000000"/>
                      <w:spacing w:val="1"/>
                    </w:rPr>
                    <w:t>és</w:t>
                  </w:r>
                  <w:r>
                    <w:rPr>
                      <w:rFonts w:cs="Georgia"/>
                      <w:bCs/>
                      <w:color w:val="000000"/>
                      <w:spacing w:val="-2"/>
                    </w:rPr>
                    <w:t xml:space="preserve"> </w:t>
                  </w:r>
                  <w:r>
                    <w:rPr>
                      <w:rFonts w:cs="Georgia"/>
                      <w:bCs/>
                      <w:color w:val="000000"/>
                    </w:rPr>
                    <w:t>aux</w:t>
                  </w:r>
                  <w:r>
                    <w:rPr>
                      <w:rFonts w:cs="Georgia"/>
                      <w:bCs/>
                      <w:color w:val="000000"/>
                      <w:spacing w:val="-2"/>
                    </w:rPr>
                    <w:t xml:space="preserve"> </w:t>
                  </w:r>
                  <w:r>
                    <w:rPr>
                      <w:rFonts w:cs="Georgia"/>
                      <w:bCs/>
                      <w:color w:val="000000"/>
                      <w:spacing w:val="1"/>
                    </w:rPr>
                    <w:t>p</w:t>
                  </w:r>
                  <w:r>
                    <w:rPr>
                      <w:rFonts w:cs="Georgia"/>
                      <w:bCs/>
                      <w:color w:val="000000"/>
                      <w:spacing w:val="-1"/>
                    </w:rPr>
                    <w:t>o</w:t>
                  </w:r>
                  <w:r>
                    <w:rPr>
                      <w:rFonts w:cs="Georgia"/>
                      <w:bCs/>
                      <w:color w:val="000000"/>
                      <w:spacing w:val="1"/>
                    </w:rPr>
                    <w:t>i</w:t>
                  </w:r>
                  <w:r>
                    <w:rPr>
                      <w:rFonts w:cs="Georgia"/>
                      <w:bCs/>
                      <w:color w:val="000000"/>
                      <w:spacing w:val="-4"/>
                    </w:rPr>
                    <w:t>n</w:t>
                  </w:r>
                  <w:r>
                    <w:rPr>
                      <w:rFonts w:cs="Georgia"/>
                      <w:bCs/>
                      <w:color w:val="000000"/>
                    </w:rPr>
                    <w:t>ts c</w:t>
                  </w:r>
                  <w:r>
                    <w:rPr>
                      <w:rFonts w:cs="Georgia"/>
                      <w:bCs/>
                      <w:color w:val="000000"/>
                      <w:spacing w:val="-1"/>
                    </w:rPr>
                    <w:t>i</w:t>
                  </w:r>
                  <w:r>
                    <w:rPr>
                      <w:rFonts w:cs="Georgia"/>
                      <w:bCs/>
                      <w:color w:val="000000"/>
                    </w:rPr>
                    <w:t>-d</w:t>
                  </w:r>
                  <w:r>
                    <w:rPr>
                      <w:rFonts w:cs="Georgia"/>
                      <w:bCs/>
                      <w:color w:val="000000"/>
                      <w:spacing w:val="1"/>
                    </w:rPr>
                    <w:t>e</w:t>
                  </w:r>
                  <w:r>
                    <w:rPr>
                      <w:rFonts w:cs="Georgia"/>
                      <w:bCs/>
                      <w:color w:val="000000"/>
                    </w:rPr>
                    <w:t>ss</w:t>
                  </w:r>
                  <w:r>
                    <w:rPr>
                      <w:rFonts w:cs="Georgia"/>
                      <w:bCs/>
                      <w:color w:val="000000"/>
                      <w:spacing w:val="-1"/>
                    </w:rPr>
                    <w:t>u</w:t>
                  </w:r>
                  <w:r>
                    <w:rPr>
                      <w:rFonts w:cs="Georgia"/>
                      <w:bCs/>
                      <w:color w:val="000000"/>
                    </w:rPr>
                    <w:t>s</w:t>
                  </w:r>
                  <w:r>
                    <w:rPr>
                      <w:rFonts w:cs="Georgia"/>
                      <w:bCs/>
                      <w:color w:val="000000"/>
                      <w:spacing w:val="-4"/>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spacing w:val="-2"/>
                    </w:rPr>
                    <w:t>d</w:t>
                  </w:r>
                  <w:r>
                    <w:rPr>
                      <w:rFonts w:cs="Georgia"/>
                      <w:bCs/>
                      <w:color w:val="000000"/>
                    </w:rPr>
                    <w:t>re</w:t>
                  </w:r>
                  <w:r>
                    <w:rPr>
                      <w:rFonts w:cs="Georgia"/>
                      <w:bCs/>
                      <w:color w:val="000000"/>
                      <w:spacing w:val="-2"/>
                    </w:rPr>
                    <w:t xml:space="preserve"> </w:t>
                  </w:r>
                  <w:r>
                    <w:rPr>
                      <w:rFonts w:cs="Georgia"/>
                      <w:bCs/>
                      <w:color w:val="000000"/>
                      <w:spacing w:val="1"/>
                    </w:rPr>
                    <w:t>e</w:t>
                  </w:r>
                  <w:r>
                    <w:rPr>
                      <w:rFonts w:cs="Georgia"/>
                      <w:bCs/>
                      <w:color w:val="000000"/>
                    </w:rPr>
                    <w:t>n</w:t>
                  </w:r>
                  <w:r>
                    <w:rPr>
                      <w:rFonts w:cs="Georgia"/>
                      <w:bCs/>
                      <w:color w:val="000000"/>
                      <w:spacing w:val="-2"/>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spacing w:val="1"/>
                    </w:rPr>
                    <w:t>e</w:t>
                  </w:r>
                  <w:r>
                    <w:rPr>
                      <w:rFonts w:cs="Georgia"/>
                      <w:bCs/>
                      <w:color w:val="000000"/>
                    </w:rPr>
                    <w:t>st :</w:t>
                  </w:r>
                </w:p>
                <w:p w:rsidR="00F04EEF" w:rsidRDefault="00F04EEF">
                  <w:pPr>
                    <w:widowControl w:val="0"/>
                    <w:autoSpaceDE w:val="0"/>
                    <w:autoSpaceDN w:val="0"/>
                    <w:adjustRightInd w:val="0"/>
                    <w:spacing w:before="36"/>
                    <w:ind w:right="-20"/>
                    <w:rPr>
                      <w:rFonts w:cs="Georgia"/>
                      <w:bCs/>
                      <w:color w:val="000000"/>
                    </w:rPr>
                  </w:pPr>
                </w:p>
                <w:p w:rsidR="00F04EEF" w:rsidRDefault="0099351E">
                  <w:pPr>
                    <w:widowControl w:val="0"/>
                    <w:numPr>
                      <w:ilvl w:val="0"/>
                      <w:numId w:val="58"/>
                    </w:numPr>
                    <w:tabs>
                      <w:tab w:val="clear" w:pos="1800"/>
                      <w:tab w:val="num" w:pos="142"/>
                    </w:tabs>
                    <w:autoSpaceDE w:val="0"/>
                    <w:autoSpaceDN w:val="0"/>
                    <w:adjustRightInd w:val="0"/>
                    <w:spacing w:before="1" w:line="250" w:lineRule="exact"/>
                    <w:ind w:left="851" w:right="48" w:hanging="284"/>
                    <w:jc w:val="both"/>
                    <w:rPr>
                      <w:rFonts w:cs="Georgia"/>
                      <w:color w:val="000000"/>
                      <w:spacing w:val="1"/>
                    </w:rPr>
                  </w:pPr>
                  <w:r>
                    <w:rPr>
                      <w:rFonts w:cs="Georgia"/>
                      <w:color w:val="000000"/>
                      <w:spacing w:val="1"/>
                    </w:rPr>
                    <w:t>pour les types d'enseignement 1, 2, 3, 4, 6, 7 et 8 : le nombre d'élèves inscrits le 15 janvier précédant l’année scolaire. Si à la date du 30 septembre la population scolaire a varié de minimum 5% par rapport à celle du 15 janvier précédent, un nouveau calcul de l’encadrement est établi à partir du 1er octobre.</w:t>
                  </w:r>
                </w:p>
                <w:p w:rsidR="00F04EEF" w:rsidRDefault="00F04EEF">
                  <w:pPr>
                    <w:widowControl w:val="0"/>
                    <w:autoSpaceDE w:val="0"/>
                    <w:autoSpaceDN w:val="0"/>
                    <w:adjustRightInd w:val="0"/>
                    <w:spacing w:before="1" w:line="250" w:lineRule="exact"/>
                    <w:ind w:right="48" w:hanging="284"/>
                    <w:jc w:val="both"/>
                    <w:rPr>
                      <w:rFonts w:cs="Georgia"/>
                      <w:color w:val="000000"/>
                      <w:spacing w:val="1"/>
                    </w:rPr>
                  </w:pPr>
                </w:p>
                <w:p w:rsidR="00F04EEF" w:rsidRDefault="0099351E">
                  <w:pPr>
                    <w:widowControl w:val="0"/>
                    <w:numPr>
                      <w:ilvl w:val="0"/>
                      <w:numId w:val="58"/>
                    </w:numPr>
                    <w:tabs>
                      <w:tab w:val="clear" w:pos="1800"/>
                    </w:tabs>
                    <w:autoSpaceDE w:val="0"/>
                    <w:autoSpaceDN w:val="0"/>
                    <w:adjustRightInd w:val="0"/>
                    <w:spacing w:line="250" w:lineRule="exact"/>
                    <w:ind w:left="851" w:right="-20" w:hanging="284"/>
                    <w:rPr>
                      <w:rFonts w:cs="Georgia"/>
                      <w:color w:val="000000"/>
                    </w:rPr>
                  </w:pP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2"/>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rPr>
                    <w:t xml:space="preserve">A </w:t>
                  </w:r>
                  <w:r>
                    <w:rPr>
                      <w:rFonts w:cs="Georgia"/>
                      <w:color w:val="000000"/>
                      <w:spacing w:val="-1"/>
                    </w:rPr>
                    <w:t>e</w:t>
                  </w:r>
                  <w:r>
                    <w:rPr>
                      <w:rFonts w:cs="Georgia"/>
                      <w:color w:val="000000"/>
                    </w:rPr>
                    <w:t>t 5</w:t>
                  </w:r>
                  <w:r>
                    <w:rPr>
                      <w:rFonts w:cs="Georgia"/>
                      <w:color w:val="000000"/>
                      <w:spacing w:val="1"/>
                    </w:rPr>
                    <w:t xml:space="preserve"> </w:t>
                  </w:r>
                  <w:r>
                    <w:rPr>
                      <w:rFonts w:cs="Georgia"/>
                      <w:color w:val="000000"/>
                    </w:rPr>
                    <w:t xml:space="preserve">B: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en</w:t>
                  </w:r>
                  <w:r>
                    <w:rPr>
                      <w:rFonts w:cs="Georgia"/>
                      <w:color w:val="000000"/>
                      <w:spacing w:val="1"/>
                    </w:rPr>
                    <w:t>r</w:t>
                  </w:r>
                  <w:r>
                    <w:rPr>
                      <w:rFonts w:cs="Georgia"/>
                      <w:color w:val="000000"/>
                      <w:spacing w:val="-1"/>
                    </w:rPr>
                    <w:t>e</w:t>
                  </w:r>
                  <w:r>
                    <w:rPr>
                      <w:rFonts w:cs="Georgia"/>
                      <w:color w:val="000000"/>
                    </w:rPr>
                    <w:t>gi</w:t>
                  </w:r>
                  <w:r>
                    <w:rPr>
                      <w:rFonts w:cs="Georgia"/>
                      <w:color w:val="000000"/>
                      <w:spacing w:val="1"/>
                    </w:rPr>
                    <w:t>s</w:t>
                  </w:r>
                  <w:r>
                    <w:rPr>
                      <w:rFonts w:cs="Georgia"/>
                      <w:color w:val="000000"/>
                      <w:spacing w:val="-2"/>
                    </w:rPr>
                    <w:t>t</w:t>
                  </w:r>
                  <w:r>
                    <w:rPr>
                      <w:rFonts w:cs="Georgia"/>
                      <w:color w:val="000000"/>
                      <w:spacing w:val="1"/>
                    </w:rPr>
                    <w:t>r</w:t>
                  </w:r>
                  <w:r>
                    <w:rPr>
                      <w:rFonts w:cs="Georgia"/>
                      <w:color w:val="000000"/>
                      <w:spacing w:val="-1"/>
                    </w:rPr>
                    <w:t>ée</w:t>
                  </w:r>
                  <w:r>
                    <w:rPr>
                      <w:rFonts w:cs="Georgia"/>
                      <w:color w:val="000000"/>
                    </w:rPr>
                    <w:t>s</w:t>
                  </w:r>
                  <w:r>
                    <w:rPr>
                      <w:rFonts w:cs="Georgia"/>
                      <w:color w:val="000000"/>
                      <w:spacing w:val="1"/>
                    </w:rPr>
                    <w:t xml:space="preserve"> </w:t>
                  </w:r>
                  <w:r>
                    <w:rPr>
                      <w:rFonts w:cs="Georgia"/>
                      <w:color w:val="000000"/>
                    </w:rPr>
                    <w:t>:</w:t>
                  </w:r>
                </w:p>
                <w:p w:rsidR="00F04EEF" w:rsidRDefault="00F04EEF">
                  <w:pPr>
                    <w:widowControl w:val="0"/>
                    <w:autoSpaceDE w:val="0"/>
                    <w:autoSpaceDN w:val="0"/>
                    <w:adjustRightInd w:val="0"/>
                    <w:spacing w:line="250" w:lineRule="exact"/>
                    <w:ind w:right="-20"/>
                    <w:rPr>
                      <w:rFonts w:cs="Georgia"/>
                      <w:color w:val="000000"/>
                    </w:rPr>
                  </w:pPr>
                </w:p>
                <w:p w:rsidR="00F04EEF" w:rsidRDefault="0099351E">
                  <w:pPr>
                    <w:widowControl w:val="0"/>
                    <w:numPr>
                      <w:ilvl w:val="0"/>
                      <w:numId w:val="66"/>
                    </w:numPr>
                    <w:tabs>
                      <w:tab w:val="left" w:pos="709"/>
                    </w:tabs>
                    <w:suppressAutoHyphens/>
                    <w:autoSpaceDE w:val="0"/>
                    <w:autoSpaceDN w:val="0"/>
                    <w:adjustRightInd w:val="0"/>
                    <w:spacing w:line="250" w:lineRule="exact"/>
                    <w:ind w:left="1701" w:right="-20" w:hanging="425"/>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 </w:t>
                  </w:r>
                  <w:r>
                    <w:rPr>
                      <w:rFonts w:cs="Georgia"/>
                      <w:color w:val="000000"/>
                      <w:spacing w:val="1"/>
                    </w:rPr>
                    <w:t>s</w:t>
                  </w:r>
                  <w:r>
                    <w:rPr>
                      <w:rFonts w:cs="Georgia"/>
                      <w:color w:val="000000"/>
                    </w:rPr>
                    <w:t xml:space="preserve">i </w:t>
                  </w:r>
                  <w:r>
                    <w:rPr>
                      <w:rFonts w:cs="Georgia"/>
                      <w:color w:val="000000"/>
                      <w:spacing w:val="1"/>
                    </w:rPr>
                    <w:t>c</w:t>
                  </w:r>
                  <w:r>
                    <w:rPr>
                      <w:rFonts w:cs="Georgia"/>
                      <w:color w:val="000000"/>
                    </w:rPr>
                    <w:t>e</w:t>
                  </w:r>
                  <w:r>
                    <w:rPr>
                      <w:rFonts w:cs="Georgia"/>
                      <w:color w:val="000000"/>
                      <w:spacing w:val="-1"/>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rPr>
                    <w:t>e</w:t>
                  </w:r>
                  <w:r>
                    <w:rPr>
                      <w:rFonts w:cs="Georgia"/>
                      <w:color w:val="000000"/>
                      <w:spacing w:val="-1"/>
                    </w:rPr>
                    <w:t xml:space="preserve"> é</w:t>
                  </w:r>
                  <w:r>
                    <w:rPr>
                      <w:rFonts w:cs="Georgia"/>
                      <w:color w:val="000000"/>
                      <w:spacing w:val="1"/>
                    </w:rPr>
                    <w:t>t</w:t>
                  </w:r>
                  <w:r>
                    <w:rPr>
                      <w:rFonts w:cs="Georgia"/>
                      <w:color w:val="000000"/>
                      <w:spacing w:val="-1"/>
                    </w:rPr>
                    <w:t>a</w:t>
                  </w:r>
                  <w:r>
                    <w:rPr>
                      <w:rFonts w:cs="Georgia"/>
                      <w:color w:val="000000"/>
                    </w:rPr>
                    <w:t>it d</w:t>
                  </w:r>
                  <w:r>
                    <w:rPr>
                      <w:rFonts w:cs="Georgia"/>
                      <w:color w:val="000000"/>
                      <w:spacing w:val="-1"/>
                    </w:rPr>
                    <w:t>é</w:t>
                  </w:r>
                  <w:r>
                    <w:rPr>
                      <w:rFonts w:cs="Georgia"/>
                      <w:color w:val="000000"/>
                    </w:rPr>
                    <w:t>jà</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w:t>
                  </w:r>
                </w:p>
                <w:p w:rsidR="00F04EEF" w:rsidRDefault="0099351E">
                  <w:pPr>
                    <w:widowControl w:val="0"/>
                    <w:numPr>
                      <w:ilvl w:val="0"/>
                      <w:numId w:val="66"/>
                    </w:numPr>
                    <w:tabs>
                      <w:tab w:val="left" w:pos="709"/>
                    </w:tabs>
                    <w:autoSpaceDE w:val="0"/>
                    <w:autoSpaceDN w:val="0"/>
                    <w:adjustRightInd w:val="0"/>
                    <w:spacing w:line="250" w:lineRule="exact"/>
                    <w:ind w:left="1701" w:right="-20" w:hanging="42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t</w:t>
                  </w:r>
                  <w:r>
                    <w:rPr>
                      <w:rFonts w:cs="Georgia"/>
                      <w:color w:val="000000"/>
                      <w:spacing w:val="17"/>
                    </w:rPr>
                    <w:t xml:space="preserve"> </w:t>
                  </w:r>
                  <w:r>
                    <w:rPr>
                      <w:rFonts w:cs="Georgia"/>
                      <w:color w:val="000000"/>
                      <w:spacing w:val="-1"/>
                    </w:rPr>
                    <w:t>l</w:t>
                  </w:r>
                  <w:r>
                    <w:rPr>
                      <w:rFonts w:cs="Georgia"/>
                      <w:color w:val="000000"/>
                    </w:rPr>
                    <w:t>e</w:t>
                  </w:r>
                  <w:r>
                    <w:rPr>
                      <w:rFonts w:cs="Georgia"/>
                      <w:color w:val="000000"/>
                      <w:spacing w:val="15"/>
                    </w:rPr>
                    <w:t xml:space="preserve"> </w:t>
                  </w:r>
                  <w:r>
                    <w:rPr>
                      <w:rFonts w:cs="Georgia"/>
                      <w:color w:val="000000"/>
                    </w:rPr>
                    <w:t>m</w:t>
                  </w:r>
                  <w:r>
                    <w:rPr>
                      <w:rFonts w:cs="Georgia"/>
                      <w:color w:val="000000"/>
                      <w:spacing w:val="1"/>
                    </w:rPr>
                    <w:t>o</w:t>
                  </w:r>
                  <w:r>
                    <w:rPr>
                      <w:rFonts w:cs="Georgia"/>
                      <w:color w:val="000000"/>
                      <w:spacing w:val="-2"/>
                    </w:rPr>
                    <w:t>i</w:t>
                  </w:r>
                  <w:r>
                    <w:rPr>
                      <w:rFonts w:cs="Georgia"/>
                      <w:color w:val="000000"/>
                    </w:rPr>
                    <w:t>s</w:t>
                  </w:r>
                  <w:r>
                    <w:rPr>
                      <w:rFonts w:cs="Georgia"/>
                      <w:color w:val="000000"/>
                      <w:spacing w:val="17"/>
                    </w:rPr>
                    <w:t xml:space="preserve"> </w:t>
                  </w:r>
                  <w:r>
                    <w:rPr>
                      <w:rFonts w:cs="Georgia"/>
                      <w:color w:val="000000"/>
                    </w:rPr>
                    <w:t>de</w:t>
                  </w:r>
                  <w:r>
                    <w:rPr>
                      <w:rFonts w:cs="Georgia"/>
                      <w:color w:val="000000"/>
                      <w:spacing w:val="15"/>
                    </w:rPr>
                    <w:t xml:space="preserve">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br</w:t>
                  </w:r>
                  <w:r>
                    <w:rPr>
                      <w:rFonts w:cs="Georgia"/>
                      <w:color w:val="000000"/>
                    </w:rPr>
                    <w:t>e</w:t>
                  </w:r>
                  <w:r>
                    <w:rPr>
                      <w:rFonts w:cs="Georgia"/>
                      <w:color w:val="000000"/>
                      <w:spacing w:val="13"/>
                    </w:rPr>
                    <w:t xml:space="preserve"> </w:t>
                  </w:r>
                  <w:r>
                    <w:rPr>
                      <w:rFonts w:cs="Georgia"/>
                      <w:color w:val="000000"/>
                      <w:spacing w:val="1"/>
                    </w:rPr>
                    <w:t>o</w:t>
                  </w:r>
                  <w:r>
                    <w:rPr>
                      <w:rFonts w:cs="Georgia"/>
                      <w:color w:val="000000"/>
                    </w:rPr>
                    <w:t>u</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p</w:t>
                  </w:r>
                  <w:r>
                    <w:rPr>
                      <w:rFonts w:cs="Georgia"/>
                      <w:color w:val="000000"/>
                      <w:spacing w:val="-1"/>
                    </w:rPr>
                    <w:t>a</w:t>
                  </w:r>
                  <w:r>
                    <w:rPr>
                      <w:rFonts w:cs="Georgia"/>
                      <w:color w:val="000000"/>
                      <w:spacing w:val="-2"/>
                    </w:rPr>
                    <w:t>r</w:t>
                  </w:r>
                  <w:r>
                    <w:rPr>
                      <w:rFonts w:cs="Georgia"/>
                      <w:color w:val="000000"/>
                      <w:spacing w:val="1"/>
                    </w:rPr>
                    <w:t>t</w:t>
                  </w:r>
                  <w:r>
                    <w:rPr>
                      <w:rFonts w:cs="Georgia"/>
                      <w:color w:val="000000"/>
                    </w:rPr>
                    <w:t>ir</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6"/>
                    </w:rPr>
                    <w:t xml:space="preserve"> </w:t>
                  </w:r>
                  <w:r>
                    <w:rPr>
                      <w:rFonts w:cs="Georgia"/>
                      <w:color w:val="000000"/>
                    </w:rPr>
                    <w:t>mi</w:t>
                  </w:r>
                  <w:r>
                    <w:rPr>
                      <w:rFonts w:cs="Georgia"/>
                      <w:color w:val="000000"/>
                      <w:spacing w:val="1"/>
                    </w:rPr>
                    <w:t>s</w:t>
                  </w:r>
                  <w:r>
                    <w:rPr>
                      <w:rFonts w:cs="Georgia"/>
                      <w:color w:val="000000"/>
                    </w:rPr>
                    <w:t>e</w:t>
                  </w:r>
                  <w:r>
                    <w:rPr>
                      <w:rFonts w:cs="Georgia"/>
                      <w:color w:val="000000"/>
                      <w:spacing w:val="15"/>
                    </w:rPr>
                    <w:t xml:space="preserve"> </w:t>
                  </w:r>
                  <w:r>
                    <w:rPr>
                      <w:rFonts w:cs="Georgia"/>
                      <w:color w:val="000000"/>
                      <w:spacing w:val="-1"/>
                    </w:rPr>
                    <w:t>e</w:t>
                  </w:r>
                  <w:r>
                    <w:rPr>
                      <w:rFonts w:cs="Georgia"/>
                      <w:color w:val="000000"/>
                    </w:rPr>
                    <w:t>n</w:t>
                  </w:r>
                  <w:r>
                    <w:rPr>
                      <w:rFonts w:cs="Georgia"/>
                      <w:color w:val="000000"/>
                      <w:spacing w:val="16"/>
                    </w:rPr>
                    <w:t xml:space="preserve"> </w:t>
                  </w:r>
                  <w:r>
                    <w:rPr>
                      <w:rFonts w:cs="Georgia"/>
                      <w:color w:val="000000"/>
                      <w:spacing w:val="1"/>
                    </w:rPr>
                    <w:t>p</w:t>
                  </w:r>
                  <w:r>
                    <w:rPr>
                      <w:rFonts w:cs="Georgia"/>
                      <w:color w:val="000000"/>
                      <w:spacing w:val="-1"/>
                    </w:rPr>
                    <w:t>la</w:t>
                  </w:r>
                  <w:r>
                    <w:rPr>
                      <w:rFonts w:cs="Georgia"/>
                      <w:color w:val="000000"/>
                      <w:spacing w:val="1"/>
                    </w:rPr>
                    <w:t>c</w:t>
                  </w:r>
                  <w:r>
                    <w:rPr>
                      <w:rFonts w:cs="Georgia"/>
                      <w:color w:val="000000"/>
                    </w:rPr>
                    <w:t>e</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c</w:t>
                  </w:r>
                  <w:r>
                    <w:rPr>
                      <w:rFonts w:cs="Georgia"/>
                      <w:color w:val="000000"/>
                    </w:rPr>
                    <w:t>e</w:t>
                  </w:r>
                  <w:r>
                    <w:rPr>
                      <w:rFonts w:cs="Georgia"/>
                      <w:color w:val="000000"/>
                      <w:spacing w:val="15"/>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w:t>
                  </w:r>
                  <w:r>
                    <w:rPr>
                      <w:rFonts w:cs="Georgia"/>
                      <w:color w:val="000000"/>
                      <w:spacing w:val="17"/>
                    </w:rPr>
                    <w:t xml:space="preserve"> </w:t>
                  </w:r>
                  <w:r>
                    <w:rPr>
                      <w:rFonts w:cs="Georgia"/>
                      <w:color w:val="000000"/>
                      <w:spacing w:val="-2"/>
                    </w:rPr>
                    <w:t>s</w:t>
                  </w:r>
                  <w:r>
                    <w:rPr>
                      <w:rFonts w:cs="Georgia"/>
                      <w:color w:val="000000"/>
                      <w:spacing w:val="1"/>
                    </w:rPr>
                    <w:t>'</w:t>
                  </w:r>
                  <w:r>
                    <w:rPr>
                      <w:rFonts w:cs="Georgia"/>
                      <w:color w:val="000000"/>
                    </w:rPr>
                    <w:t>il</w:t>
                  </w:r>
                  <w:r>
                    <w:rPr>
                      <w:rFonts w:cs="Georgia"/>
                      <w:color w:val="000000"/>
                      <w:spacing w:val="16"/>
                    </w:rPr>
                    <w:t xml:space="preserve"> </w:t>
                  </w:r>
                  <w:r>
                    <w:rPr>
                      <w:rFonts w:cs="Georgia"/>
                      <w:color w:val="000000"/>
                      <w:spacing w:val="-1"/>
                    </w:rPr>
                    <w:t>n</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rPr>
                    <w:t>it</w:t>
                  </w:r>
                  <w:r>
                    <w:rPr>
                      <w:rFonts w:cs="Georgia"/>
                      <w:color w:val="000000"/>
                      <w:spacing w:val="17"/>
                    </w:rPr>
                    <w:t xml:space="preserve"> </w:t>
                  </w:r>
                  <w:r>
                    <w:rPr>
                      <w:rFonts w:cs="Georgia"/>
                      <w:color w:val="000000"/>
                      <w:spacing w:val="1"/>
                    </w:rPr>
                    <w:t>p</w:t>
                  </w:r>
                  <w:r>
                    <w:rPr>
                      <w:rFonts w:cs="Georgia"/>
                      <w:color w:val="000000"/>
                      <w:spacing w:val="-3"/>
                    </w:rPr>
                    <w:t>a</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w:t>
                  </w:r>
                  <w:r>
                    <w:rPr>
                      <w:rFonts w:cs="Georgia"/>
                      <w:color w:val="000000"/>
                    </w:rPr>
                    <w:t>mm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é.</w:t>
                  </w:r>
                </w:p>
                <w:p w:rsidR="00F04EEF" w:rsidRDefault="00F04EEF">
                  <w:pPr>
                    <w:widowControl w:val="0"/>
                    <w:tabs>
                      <w:tab w:val="left" w:pos="709"/>
                    </w:tabs>
                    <w:autoSpaceDE w:val="0"/>
                    <w:autoSpaceDN w:val="0"/>
                    <w:adjustRightInd w:val="0"/>
                    <w:spacing w:line="250" w:lineRule="exact"/>
                    <w:ind w:left="1985" w:right="-20"/>
                    <w:jc w:val="both"/>
                    <w:rPr>
                      <w:rFonts w:cs="Georgia"/>
                      <w:color w:val="000000"/>
                    </w:rPr>
                  </w:pPr>
                </w:p>
                <w:p w:rsidR="00F04EEF" w:rsidRDefault="0099351E">
                  <w:pPr>
                    <w:widowControl w:val="0"/>
                    <w:tabs>
                      <w:tab w:val="left" w:pos="709"/>
                      <w:tab w:val="left" w:pos="8820"/>
                    </w:tabs>
                    <w:autoSpaceDE w:val="0"/>
                    <w:autoSpaceDN w:val="0"/>
                    <w:adjustRightInd w:val="0"/>
                    <w:spacing w:line="252" w:lineRule="exact"/>
                    <w:ind w:right="4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pr</w:t>
                  </w:r>
                  <w:r>
                    <w:rPr>
                      <w:rFonts w:cs="Georgia"/>
                      <w:color w:val="000000"/>
                      <w:spacing w:val="-1"/>
                    </w:rPr>
                    <w:t>e</w:t>
                  </w:r>
                  <w:r>
                    <w:rPr>
                      <w:rFonts w:cs="Georgia"/>
                      <w:color w:val="000000"/>
                      <w:spacing w:val="-3"/>
                    </w:rPr>
                    <w:t>m</w:t>
                  </w:r>
                  <w:r>
                    <w:rPr>
                      <w:rFonts w:cs="Georgia"/>
                      <w:color w:val="000000"/>
                    </w:rPr>
                    <w:t>i</w:t>
                  </w:r>
                  <w:r>
                    <w:rPr>
                      <w:rFonts w:cs="Georgia"/>
                      <w:color w:val="000000"/>
                      <w:spacing w:val="-1"/>
                    </w:rPr>
                    <w:t>è</w:t>
                  </w:r>
                  <w:r>
                    <w:rPr>
                      <w:rFonts w:cs="Georgia"/>
                      <w:color w:val="000000"/>
                      <w:spacing w:val="1"/>
                    </w:rPr>
                    <w:t>r</w:t>
                  </w:r>
                  <w:r>
                    <w:rPr>
                      <w:rFonts w:cs="Georgia"/>
                      <w:color w:val="000000"/>
                    </w:rPr>
                    <w:t>e</w:t>
                  </w:r>
                  <w:r>
                    <w:rPr>
                      <w:rFonts w:cs="Georgia"/>
                      <w:color w:val="000000"/>
                      <w:spacing w:val="-1"/>
                    </w:rPr>
                    <w:t xml:space="preserve"> ann</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pro</w:t>
                  </w:r>
                  <w:r>
                    <w:rPr>
                      <w:rFonts w:cs="Georgia"/>
                      <w:color w:val="000000"/>
                      <w:spacing w:val="-2"/>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le</w:t>
                  </w:r>
                  <w:r>
                    <w:rPr>
                      <w:rFonts w:cs="Georgia"/>
                      <w:color w:val="000000"/>
                    </w:rPr>
                    <w:t xml:space="preserve">s </w:t>
                  </w:r>
                  <w:r>
                    <w:rPr>
                      <w:rFonts w:cs="Georgia"/>
                      <w:color w:val="000000"/>
                      <w:spacing w:val="-2"/>
                    </w:rPr>
                    <w:t>r</w:t>
                  </w:r>
                  <w:r>
                    <w:rPr>
                      <w:rFonts w:cs="Georgia"/>
                      <w:color w:val="000000"/>
                      <w:spacing w:val="-1"/>
                    </w:rPr>
                    <w:t>è</w:t>
                  </w:r>
                  <w:r>
                    <w:rPr>
                      <w:rFonts w:cs="Georgia"/>
                      <w:color w:val="000000"/>
                    </w:rPr>
                    <w:t>g</w:t>
                  </w:r>
                  <w:r>
                    <w:rPr>
                      <w:rFonts w:cs="Georgia"/>
                      <w:color w:val="000000"/>
                      <w:spacing w:val="-1"/>
                    </w:rPr>
                    <w:t>le</w:t>
                  </w:r>
                  <w:r>
                    <w:rPr>
                      <w:rFonts w:cs="Georgia"/>
                      <w:color w:val="000000"/>
                    </w:rPr>
                    <w:t>s de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spacing w:val="1"/>
                    </w:rPr>
                    <w:t>so</w:t>
                  </w:r>
                  <w:r>
                    <w:rPr>
                      <w:rFonts w:cs="Georgia"/>
                      <w:color w:val="000000"/>
                      <w:spacing w:val="-1"/>
                    </w:rPr>
                    <w:t>n</w:t>
                  </w:r>
                  <w:r>
                    <w:rPr>
                      <w:rFonts w:cs="Georgia"/>
                      <w:color w:val="000000"/>
                    </w:rPr>
                    <w:t>t d</w:t>
                  </w:r>
                  <w:r>
                    <w:rPr>
                      <w:rFonts w:cs="Georgia"/>
                      <w:color w:val="000000"/>
                      <w:spacing w:val="-2"/>
                    </w:rPr>
                    <w:t>i</w:t>
                  </w:r>
                  <w:r>
                    <w:rPr>
                      <w:rFonts w:cs="Georgia"/>
                      <w:color w:val="000000"/>
                    </w:rPr>
                    <w:t>ff</w:t>
                  </w:r>
                  <w:r>
                    <w:rPr>
                      <w:rFonts w:cs="Georgia"/>
                      <w:color w:val="000000"/>
                      <w:spacing w:val="-1"/>
                    </w:rPr>
                    <w:t>é</w:t>
                  </w:r>
                  <w:r>
                    <w:rPr>
                      <w:rFonts w:cs="Georgia"/>
                      <w:color w:val="000000"/>
                      <w:spacing w:val="-2"/>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w:t>
                  </w:r>
                  <w:hyperlink w:anchor="_Chapitre_2_:_1" w:history="1">
                    <w:r>
                      <w:rPr>
                        <w:rStyle w:val="Lienhypertexte"/>
                        <w:rFonts w:cs="Georgia"/>
                      </w:rPr>
                      <w:t>c</w:t>
                    </w:r>
                    <w:r>
                      <w:rPr>
                        <w:rStyle w:val="Lienhypertexte"/>
                        <w:rFonts w:cs="Georgia"/>
                        <w:spacing w:val="1"/>
                      </w:rPr>
                      <w:t>h</w:t>
                    </w:r>
                    <w:r>
                      <w:rPr>
                        <w:rStyle w:val="Lienhypertexte"/>
                        <w:rFonts w:cs="Georgia"/>
                        <w:spacing w:val="-3"/>
                      </w:rPr>
                      <w:t>a</w:t>
                    </w:r>
                    <w:r>
                      <w:rPr>
                        <w:rStyle w:val="Lienhypertexte"/>
                        <w:rFonts w:cs="Georgia"/>
                        <w:spacing w:val="1"/>
                      </w:rPr>
                      <w:t>p</w:t>
                    </w:r>
                    <w:r>
                      <w:rPr>
                        <w:rStyle w:val="Lienhypertexte"/>
                        <w:rFonts w:cs="Georgia"/>
                      </w:rPr>
                      <w:t>i</w:t>
                    </w:r>
                    <w:r>
                      <w:rPr>
                        <w:rStyle w:val="Lienhypertexte"/>
                        <w:rFonts w:cs="Georgia"/>
                        <w:spacing w:val="-2"/>
                      </w:rPr>
                      <w:t>t</w:t>
                    </w:r>
                    <w:r>
                      <w:rPr>
                        <w:rStyle w:val="Lienhypertexte"/>
                        <w:rFonts w:cs="Georgia"/>
                        <w:spacing w:val="1"/>
                      </w:rPr>
                      <w:t>r</w:t>
                    </w:r>
                    <w:r>
                      <w:rPr>
                        <w:rStyle w:val="Lienhypertexte"/>
                        <w:rFonts w:cs="Georgia"/>
                      </w:rPr>
                      <w:t>e</w:t>
                    </w:r>
                    <w:r>
                      <w:rPr>
                        <w:rStyle w:val="Lienhypertexte"/>
                        <w:rFonts w:cs="Georgia"/>
                        <w:spacing w:val="-1"/>
                      </w:rPr>
                      <w:t xml:space="preserve"> </w:t>
                    </w:r>
                    <w:r>
                      <w:rPr>
                        <w:rStyle w:val="Lienhypertexte"/>
                        <w:rFonts w:cs="Georgia"/>
                        <w:spacing w:val="1"/>
                      </w:rPr>
                      <w:t>2</w:t>
                    </w:r>
                  </w:hyperlink>
                  <w:r>
                    <w:rPr>
                      <w:rFonts w:cs="Georgia"/>
                      <w:spacing w:val="1"/>
                    </w:rPr>
                    <w:t>,</w:t>
                  </w:r>
                  <w:r>
                    <w:rPr>
                      <w:rFonts w:cs="Georgia"/>
                      <w:spacing w:val="-4"/>
                    </w:rPr>
                    <w:t xml:space="preserve"> </w:t>
                  </w:r>
                  <w:hyperlink w:anchor="_6._Calcul_des" w:history="1">
                    <w:r>
                      <w:rPr>
                        <w:rStyle w:val="Lienhypertexte"/>
                        <w:rFonts w:cs="Georgia"/>
                        <w:spacing w:val="1"/>
                      </w:rPr>
                      <w:t>po</w:t>
                    </w:r>
                    <w:r>
                      <w:rPr>
                        <w:rStyle w:val="Lienhypertexte"/>
                        <w:rFonts w:cs="Georgia"/>
                      </w:rPr>
                      <w:t>i</w:t>
                    </w:r>
                    <w:r>
                      <w:rPr>
                        <w:rStyle w:val="Lienhypertexte"/>
                        <w:rFonts w:cs="Georgia"/>
                        <w:spacing w:val="-3"/>
                      </w:rPr>
                      <w:t>n</w:t>
                    </w:r>
                    <w:r>
                      <w:rPr>
                        <w:rStyle w:val="Lienhypertexte"/>
                        <w:rFonts w:cs="Georgia"/>
                      </w:rPr>
                      <w:t xml:space="preserve">t </w:t>
                    </w:r>
                    <w:r>
                      <w:rPr>
                        <w:rStyle w:val="Lienhypertexte"/>
                        <w:rFonts w:cs="Georgia"/>
                        <w:position w:val="-1"/>
                      </w:rPr>
                      <w:t>6</w:t>
                    </w:r>
                  </w:hyperlink>
                  <w:r>
                    <w:rPr>
                      <w:rFonts w:cs="Georgia"/>
                      <w:color w:val="0000FF"/>
                      <w:position w:val="-1"/>
                    </w:rPr>
                    <w:t xml:space="preserve"> </w:t>
                  </w:r>
                  <w:r>
                    <w:rPr>
                      <w:rFonts w:cs="Georgia"/>
                      <w:color w:val="000000"/>
                      <w:position w:val="-1"/>
                    </w:rPr>
                    <w:t>de</w:t>
                  </w:r>
                  <w:r>
                    <w:rPr>
                      <w:rFonts w:cs="Georgia"/>
                      <w:color w:val="000000"/>
                      <w:spacing w:val="-1"/>
                      <w:position w:val="-1"/>
                    </w:rPr>
                    <w:t xml:space="preserve"> l</w:t>
                  </w:r>
                  <w:r>
                    <w:rPr>
                      <w:rFonts w:cs="Georgia"/>
                      <w:color w:val="000000"/>
                      <w:position w:val="-1"/>
                    </w:rPr>
                    <w:t>a</w:t>
                  </w:r>
                  <w:r>
                    <w:rPr>
                      <w:rFonts w:cs="Georgia"/>
                      <w:color w:val="000000"/>
                      <w:spacing w:val="-1"/>
                      <w:position w:val="-1"/>
                    </w:rPr>
                    <w:t xml:space="preserve"> </w:t>
                  </w:r>
                  <w:r>
                    <w:rPr>
                      <w:rFonts w:cs="Georgia"/>
                      <w:color w:val="000000"/>
                      <w:spacing w:val="1"/>
                      <w:position w:val="-1"/>
                    </w:rPr>
                    <w:t>pr</w:t>
                  </w:r>
                  <w:r>
                    <w:rPr>
                      <w:rFonts w:cs="Georgia"/>
                      <w:color w:val="000000"/>
                      <w:spacing w:val="-1"/>
                      <w:position w:val="-1"/>
                    </w:rPr>
                    <w:t>é</w:t>
                  </w:r>
                  <w:r>
                    <w:rPr>
                      <w:rFonts w:cs="Georgia"/>
                      <w:color w:val="000000"/>
                      <w:spacing w:val="1"/>
                      <w:position w:val="-1"/>
                    </w:rPr>
                    <w:t>s</w:t>
                  </w:r>
                  <w:r>
                    <w:rPr>
                      <w:rFonts w:cs="Georgia"/>
                      <w:color w:val="000000"/>
                      <w:spacing w:val="-1"/>
                      <w:position w:val="-1"/>
                    </w:rPr>
                    <w:t>en</w:t>
                  </w:r>
                  <w:r>
                    <w:rPr>
                      <w:rFonts w:cs="Georgia"/>
                      <w:color w:val="000000"/>
                      <w:spacing w:val="1"/>
                      <w:position w:val="-1"/>
                    </w:rPr>
                    <w:t>t</w:t>
                  </w:r>
                  <w:r>
                    <w:rPr>
                      <w:rFonts w:cs="Georgia"/>
                      <w:color w:val="000000"/>
                      <w:position w:val="-1"/>
                    </w:rPr>
                    <w:t>e</w:t>
                  </w:r>
                  <w:r>
                    <w:rPr>
                      <w:rFonts w:cs="Georgia"/>
                      <w:color w:val="000000"/>
                      <w:spacing w:val="-1"/>
                      <w:position w:val="-1"/>
                    </w:rPr>
                    <w:t xml:space="preserve"> </w:t>
                  </w:r>
                  <w:r>
                    <w:rPr>
                      <w:rFonts w:cs="Georgia"/>
                      <w:color w:val="000000"/>
                      <w:spacing w:val="1"/>
                      <w:position w:val="-1"/>
                    </w:rPr>
                    <w:t>c</w:t>
                  </w:r>
                  <w:r>
                    <w:rPr>
                      <w:rFonts w:cs="Georgia"/>
                      <w:color w:val="000000"/>
                      <w:position w:val="-1"/>
                    </w:rPr>
                    <w:t>i</w:t>
                  </w:r>
                  <w:r>
                    <w:rPr>
                      <w:rFonts w:cs="Georgia"/>
                      <w:color w:val="000000"/>
                      <w:spacing w:val="-2"/>
                      <w:position w:val="-1"/>
                    </w:rPr>
                    <w:t>r</w:t>
                  </w:r>
                  <w:r>
                    <w:rPr>
                      <w:rFonts w:cs="Georgia"/>
                      <w:color w:val="000000"/>
                      <w:spacing w:val="1"/>
                      <w:position w:val="-1"/>
                    </w:rPr>
                    <w:t>c</w:t>
                  </w:r>
                  <w:r>
                    <w:rPr>
                      <w:rFonts w:cs="Georgia"/>
                      <w:color w:val="000000"/>
                      <w:position w:val="-1"/>
                    </w:rPr>
                    <w:t>u</w:t>
                  </w:r>
                  <w:r>
                    <w:rPr>
                      <w:rFonts w:cs="Georgia"/>
                      <w:color w:val="000000"/>
                      <w:spacing w:val="-1"/>
                      <w:position w:val="-1"/>
                    </w:rPr>
                    <w:t>la</w:t>
                  </w:r>
                  <w:r>
                    <w:rPr>
                      <w:rFonts w:cs="Georgia"/>
                      <w:color w:val="000000"/>
                      <w:position w:val="-1"/>
                    </w:rPr>
                    <w:t>i</w:t>
                  </w:r>
                  <w:r>
                    <w:rPr>
                      <w:rFonts w:cs="Georgia"/>
                      <w:color w:val="000000"/>
                      <w:spacing w:val="-2"/>
                      <w:position w:val="-1"/>
                    </w:rPr>
                    <w:t>r</w:t>
                  </w:r>
                  <w:r>
                    <w:rPr>
                      <w:rFonts w:cs="Georgia"/>
                      <w:color w:val="000000"/>
                      <w:spacing w:val="-1"/>
                      <w:position w:val="-1"/>
                    </w:rPr>
                    <w:t>e).</w:t>
                  </w:r>
                </w:p>
                <w:p w:rsidR="00F04EEF" w:rsidRDefault="00F04EEF">
                  <w:pPr>
                    <w:widowControl w:val="0"/>
                    <w:autoSpaceDE w:val="0"/>
                    <w:autoSpaceDN w:val="0"/>
                    <w:adjustRightInd w:val="0"/>
                    <w:spacing w:before="18" w:line="200" w:lineRule="exact"/>
                    <w:jc w:val="both"/>
                    <w:rPr>
                      <w:rFonts w:cs="Georgia"/>
                      <w:color w:val="000000"/>
                    </w:rPr>
                  </w:pPr>
                </w:p>
                <w:p w:rsidR="00F04EEF" w:rsidRDefault="0099351E">
                  <w:pPr>
                    <w:widowControl w:val="0"/>
                    <w:autoSpaceDE w:val="0"/>
                    <w:autoSpaceDN w:val="0"/>
                    <w:adjustRightInd w:val="0"/>
                    <w:spacing w:before="38" w:line="250" w:lineRule="exact"/>
                    <w:ind w:right="46"/>
                    <w:jc w:val="both"/>
                    <w:rPr>
                      <w:rFonts w:cs="Georgia"/>
                      <w:color w:val="000000"/>
                    </w:rPr>
                  </w:pPr>
                  <w:r>
                    <w:rPr>
                      <w:rFonts w:cs="Georgia"/>
                      <w:color w:val="000000"/>
                    </w:rPr>
                    <w:t>En</w:t>
                  </w:r>
                  <w:r>
                    <w:rPr>
                      <w:rFonts w:cs="Georgia"/>
                      <w:color w:val="000000"/>
                      <w:spacing w:val="1"/>
                    </w:rPr>
                    <w:t xml:space="preserve"> c</w:t>
                  </w:r>
                  <w:r>
                    <w:rPr>
                      <w:rFonts w:cs="Georgia"/>
                      <w:color w:val="000000"/>
                    </w:rPr>
                    <w:t>e</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l</w:t>
                  </w:r>
                  <w:r>
                    <w:rPr>
                      <w:rFonts w:cs="Georgia"/>
                      <w:color w:val="000000"/>
                      <w:spacing w:val="1"/>
                    </w:rPr>
                    <w:t>'</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rPr>
                    <w:t>g</w:t>
                  </w:r>
                  <w:r>
                    <w:rPr>
                      <w:rFonts w:cs="Georgia"/>
                      <w:color w:val="000000"/>
                      <w:spacing w:val="-2"/>
                    </w:rPr>
                    <w:t>r</w:t>
                  </w:r>
                  <w:r>
                    <w:rPr>
                      <w:rFonts w:cs="Georgia"/>
                      <w:color w:val="000000"/>
                      <w:spacing w:val="1"/>
                    </w:rPr>
                    <w:t>o</w:t>
                  </w:r>
                  <w:r>
                    <w:rPr>
                      <w:rFonts w:cs="Georgia"/>
                      <w:color w:val="000000"/>
                      <w:spacing w:val="-2"/>
                    </w:rPr>
                    <w:t>u</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1"/>
                    </w:rPr>
                    <w:t>(</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ph</w:t>
                  </w:r>
                  <w:r>
                    <w:rPr>
                      <w:rFonts w:cs="Georgia"/>
                      <w:color w:val="000000"/>
                    </w:rPr>
                    <w:t>i</w:t>
                  </w:r>
                  <w:r>
                    <w:rPr>
                      <w:rFonts w:cs="Georgia"/>
                      <w:color w:val="000000"/>
                      <w:spacing w:val="-3"/>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q</w:t>
                  </w:r>
                  <w:r>
                    <w:rPr>
                      <w:rFonts w:cs="Georgia"/>
                      <w:color w:val="000000"/>
                      <w:spacing w:val="-2"/>
                    </w:rPr>
                    <w:t>u</w:t>
                  </w:r>
                  <w:r>
                    <w:rPr>
                      <w:rFonts w:cs="Georgia"/>
                      <w:color w:val="000000"/>
                      <w:spacing w:val="-1"/>
                    </w:rPr>
                    <w:t>e</w:t>
                  </w:r>
                  <w:r>
                    <w:rPr>
                      <w:rFonts w:cs="Georgia"/>
                      <w:color w:val="000000"/>
                      <w:spacing w:val="1"/>
                    </w:rPr>
                    <w:t>s</w:t>
                  </w:r>
                  <w:r>
                    <w:rPr>
                      <w:rFonts w:cs="Georgia"/>
                      <w:color w:val="000000"/>
                    </w:rPr>
                    <w:t>,</w:t>
                  </w:r>
                  <w:r>
                    <w:rPr>
                      <w:rFonts w:cs="Georgia"/>
                      <w:color w:val="000000"/>
                      <w:spacing w:val="3"/>
                    </w:rPr>
                    <w:t xml:space="preserve"> </w:t>
                  </w:r>
                  <w:r>
                    <w:rPr>
                      <w:rFonts w:cs="Georgia"/>
                      <w:color w:val="000000"/>
                    </w:rPr>
                    <w:t>de</w:t>
                  </w:r>
                  <w:r>
                    <w:rPr>
                      <w:rFonts w:cs="Georgia"/>
                      <w:color w:val="000000"/>
                      <w:spacing w:val="1"/>
                    </w:rPr>
                    <w:t xml:space="preserve"> 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m</w:t>
                  </w:r>
                  <w:r>
                    <w:rPr>
                      <w:rFonts w:cs="Georgia"/>
                      <w:color w:val="000000"/>
                      <w:spacing w:val="-1"/>
                    </w:rPr>
                    <w:t>an</w:t>
                  </w:r>
                  <w:r>
                    <w:rPr>
                      <w:rFonts w:cs="Georgia"/>
                      <w:color w:val="000000"/>
                    </w:rPr>
                    <w:t>u</w:t>
                  </w:r>
                  <w:r>
                    <w:rPr>
                      <w:rFonts w:cs="Georgia"/>
                      <w:color w:val="000000"/>
                      <w:spacing w:val="-1"/>
                    </w:rPr>
                    <w:t>el</w:t>
                  </w:r>
                  <w:r>
                    <w:rPr>
                      <w:rFonts w:cs="Georgia"/>
                      <w:color w:val="000000"/>
                      <w:spacing w:val="1"/>
                    </w:rPr>
                    <w:t xml:space="preserve">s, </w:t>
                  </w:r>
                  <w:r>
                    <w:rPr>
                      <w:rFonts w:cs="Georgia"/>
                      <w:color w:val="000000"/>
                    </w:rPr>
                    <w:t>d’</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ph</w:t>
                  </w:r>
                  <w:r>
                    <w:rPr>
                      <w:rFonts w:cs="Georgia"/>
                      <w:color w:val="000000"/>
                      <w:spacing w:val="-3"/>
                    </w:rPr>
                    <w:t>y</w:t>
                  </w:r>
                  <w:r>
                    <w:rPr>
                      <w:rFonts w:cs="Georgia"/>
                      <w:color w:val="000000"/>
                      <w:spacing w:val="1"/>
                    </w:rPr>
                    <w:t>s</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4"/>
                    </w:rPr>
                    <w:t xml:space="preserve"> </w:t>
                  </w:r>
                  <w:r>
                    <w:rPr>
                      <w:rFonts w:cs="Georgia"/>
                      <w:color w:val="000000"/>
                      <w:spacing w:val="-1"/>
                    </w:rPr>
                    <w:t>e</w:t>
                  </w:r>
                  <w:r>
                    <w:rPr>
                      <w:rFonts w:cs="Georgia"/>
                      <w:color w:val="000000"/>
                      <w:spacing w:val="-2"/>
                    </w:rPr>
                    <w:t>t</w:t>
                  </w:r>
                  <w:r>
                    <w:rPr>
                      <w:rFonts w:cs="Georgia"/>
                      <w:color w:val="000000"/>
                      <w:spacing w:val="1"/>
                    </w:rPr>
                    <w:t>c</w:t>
                  </w:r>
                  <w:r>
                    <w:rPr>
                      <w:rFonts w:cs="Georgia"/>
                      <w:color w:val="000000"/>
                    </w:rPr>
                    <w:t>.</w:t>
                  </w:r>
                  <w:r>
                    <w:rPr>
                      <w:rFonts w:cs="Georgia"/>
                      <w:color w:val="000000"/>
                      <w:spacing w:val="-1"/>
                    </w:rPr>
                    <w:t>) </w:t>
                  </w:r>
                  <w:r>
                    <w:rPr>
                      <w:rFonts w:cs="Georgia"/>
                      <w:b/>
                      <w:color w:val="000000"/>
                      <w:spacing w:val="-1"/>
                      <w:u w:val="single"/>
                    </w:rPr>
                    <w:t>un</w:t>
                  </w:r>
                  <w:r>
                    <w:rPr>
                      <w:rFonts w:cs="Georgia"/>
                      <w:b/>
                      <w:color w:val="000000"/>
                      <w:spacing w:val="2"/>
                      <w:u w:val="single"/>
                    </w:rPr>
                    <w:t xml:space="preserve"> </w:t>
                  </w:r>
                  <w:r>
                    <w:rPr>
                      <w:rFonts w:cs="Georgia"/>
                      <w:b/>
                      <w:color w:val="000000"/>
                      <w:spacing w:val="1"/>
                      <w:u w:val="single"/>
                    </w:rPr>
                    <w:t>c</w:t>
                  </w:r>
                  <w:r>
                    <w:rPr>
                      <w:rFonts w:cs="Georgia"/>
                      <w:b/>
                      <w:color w:val="000000"/>
                      <w:spacing w:val="-1"/>
                      <w:u w:val="single"/>
                    </w:rPr>
                    <w:t>al</w:t>
                  </w:r>
                  <w:r>
                    <w:rPr>
                      <w:rFonts w:cs="Georgia"/>
                      <w:b/>
                      <w:color w:val="000000"/>
                      <w:spacing w:val="1"/>
                      <w:u w:val="single"/>
                    </w:rPr>
                    <w:t>c</w:t>
                  </w:r>
                  <w:r>
                    <w:rPr>
                      <w:rFonts w:cs="Georgia"/>
                      <w:b/>
                      <w:color w:val="000000"/>
                      <w:u w:val="single"/>
                    </w:rPr>
                    <w:t>ul</w:t>
                  </w:r>
                  <w:r>
                    <w:rPr>
                      <w:rFonts w:cs="Georgia"/>
                      <w:b/>
                      <w:color w:val="000000"/>
                      <w:spacing w:val="3"/>
                      <w:u w:val="single"/>
                    </w:rPr>
                    <w:t xml:space="preserve"> </w:t>
                  </w:r>
                  <w:r>
                    <w:rPr>
                      <w:rFonts w:cs="Georgia"/>
                      <w:b/>
                      <w:color w:val="000000"/>
                      <w:spacing w:val="1"/>
                      <w:u w:val="single"/>
                    </w:rPr>
                    <w:t>s</w:t>
                  </w:r>
                  <w:r>
                    <w:rPr>
                      <w:rFonts w:cs="Georgia"/>
                      <w:b/>
                      <w:color w:val="000000"/>
                      <w:spacing w:val="-1"/>
                      <w:u w:val="single"/>
                    </w:rPr>
                    <w:t>e</w:t>
                  </w:r>
                  <w:r>
                    <w:rPr>
                      <w:rFonts w:cs="Georgia"/>
                      <w:b/>
                      <w:color w:val="000000"/>
                      <w:spacing w:val="1"/>
                      <w:u w:val="single"/>
                    </w:rPr>
                    <w:t>r</w:t>
                  </w:r>
                  <w:r>
                    <w:rPr>
                      <w:rFonts w:cs="Georgia"/>
                      <w:b/>
                      <w:color w:val="000000"/>
                      <w:u w:val="single"/>
                    </w:rPr>
                    <w:t>a</w:t>
                  </w:r>
                  <w:r>
                    <w:rPr>
                      <w:rFonts w:cs="Georgia"/>
                      <w:b/>
                      <w:color w:val="000000"/>
                      <w:spacing w:val="2"/>
                      <w:u w:val="single"/>
                    </w:rPr>
                    <w:t xml:space="preserve"> aussi </w:t>
                  </w:r>
                  <w:r>
                    <w:rPr>
                      <w:rFonts w:cs="Georgia"/>
                      <w:b/>
                      <w:color w:val="000000"/>
                      <w:spacing w:val="-1"/>
                      <w:u w:val="single"/>
                    </w:rPr>
                    <w:t>e</w:t>
                  </w:r>
                  <w:r>
                    <w:rPr>
                      <w:rFonts w:cs="Georgia"/>
                      <w:b/>
                      <w:color w:val="000000"/>
                      <w:spacing w:val="-2"/>
                      <w:u w:val="single"/>
                    </w:rPr>
                    <w:t>f</w:t>
                  </w:r>
                  <w:r>
                    <w:rPr>
                      <w:rFonts w:cs="Georgia"/>
                      <w:b/>
                      <w:color w:val="000000"/>
                      <w:u w:val="single"/>
                    </w:rPr>
                    <w:t>f</w:t>
                  </w:r>
                  <w:r>
                    <w:rPr>
                      <w:rFonts w:cs="Georgia"/>
                      <w:b/>
                      <w:color w:val="000000"/>
                      <w:spacing w:val="-1"/>
                      <w:u w:val="single"/>
                    </w:rPr>
                    <w:t>e</w:t>
                  </w:r>
                  <w:r>
                    <w:rPr>
                      <w:rFonts w:cs="Georgia"/>
                      <w:b/>
                      <w:color w:val="000000"/>
                      <w:spacing w:val="1"/>
                      <w:u w:val="single"/>
                    </w:rPr>
                    <w:t>ct</w:t>
                  </w:r>
                  <w:r>
                    <w:rPr>
                      <w:rFonts w:cs="Georgia"/>
                      <w:b/>
                      <w:color w:val="000000"/>
                      <w:u w:val="single"/>
                    </w:rPr>
                    <w:t>ué obligatoirement</w:t>
                  </w:r>
                  <w:r>
                    <w:rPr>
                      <w:rFonts w:cs="Georgia"/>
                      <w:b/>
                      <w:color w:val="000000"/>
                      <w:spacing w:val="9"/>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l</w:t>
                  </w:r>
                  <w:r>
                    <w:rPr>
                      <w:rFonts w:cs="Georgia"/>
                      <w:b/>
                      <w:color w:val="000000"/>
                      <w:u w:val="single"/>
                    </w:rPr>
                    <w:t>a</w:t>
                  </w:r>
                  <w:r>
                    <w:rPr>
                      <w:rFonts w:cs="Georgia"/>
                      <w:b/>
                      <w:color w:val="000000"/>
                      <w:spacing w:val="2"/>
                      <w:u w:val="single"/>
                    </w:rPr>
                    <w:t xml:space="preserve"> </w:t>
                  </w:r>
                  <w:r>
                    <w:rPr>
                      <w:rFonts w:cs="Georgia"/>
                      <w:b/>
                      <w:color w:val="000000"/>
                      <w:u w:val="single"/>
                    </w:rPr>
                    <w:t>d</w:t>
                  </w:r>
                  <w:r>
                    <w:rPr>
                      <w:rFonts w:cs="Georgia"/>
                      <w:b/>
                      <w:color w:val="000000"/>
                      <w:spacing w:val="-1"/>
                      <w:u w:val="single"/>
                    </w:rPr>
                    <w:t>a</w:t>
                  </w:r>
                  <w:r>
                    <w:rPr>
                      <w:rFonts w:cs="Georgia"/>
                      <w:b/>
                      <w:color w:val="000000"/>
                      <w:spacing w:val="1"/>
                      <w:u w:val="single"/>
                    </w:rPr>
                    <w:t>t</w:t>
                  </w:r>
                  <w:r>
                    <w:rPr>
                      <w:rFonts w:cs="Georgia"/>
                      <w:b/>
                      <w:color w:val="000000"/>
                      <w:u w:val="single"/>
                    </w:rPr>
                    <w:t>e</w:t>
                  </w:r>
                  <w:r>
                    <w:rPr>
                      <w:rFonts w:cs="Georgia"/>
                      <w:b/>
                      <w:color w:val="000000"/>
                      <w:spacing w:val="2"/>
                      <w:u w:val="single"/>
                    </w:rPr>
                    <w:t xml:space="preserve"> </w:t>
                  </w:r>
                  <w:r>
                    <w:rPr>
                      <w:rFonts w:cs="Georgia"/>
                      <w:b/>
                      <w:color w:val="000000"/>
                      <w:u w:val="single"/>
                    </w:rPr>
                    <w:t xml:space="preserve">du </w:t>
                  </w:r>
                  <w:r>
                    <w:rPr>
                      <w:rFonts w:cs="Georgia"/>
                      <w:b/>
                      <w:color w:val="000000"/>
                      <w:spacing w:val="1"/>
                      <w:u w:val="single"/>
                    </w:rPr>
                    <w:t>3</w:t>
                  </w:r>
                  <w:r>
                    <w:rPr>
                      <w:rFonts w:cs="Georgia"/>
                      <w:b/>
                      <w:color w:val="000000"/>
                      <w:u w:val="single"/>
                    </w:rPr>
                    <w:t>0</w:t>
                  </w:r>
                  <w:r>
                    <w:rPr>
                      <w:rFonts w:cs="Georgia"/>
                      <w:b/>
                      <w:color w:val="000000"/>
                      <w:spacing w:val="2"/>
                      <w:u w:val="single"/>
                    </w:rPr>
                    <w:t xml:space="preserve"> </w:t>
                  </w:r>
                  <w:r>
                    <w:rPr>
                      <w:rFonts w:cs="Georgia"/>
                      <w:b/>
                      <w:color w:val="000000"/>
                      <w:spacing w:val="1"/>
                      <w:u w:val="single"/>
                    </w:rPr>
                    <w:t>s</w:t>
                  </w:r>
                  <w:r>
                    <w:rPr>
                      <w:rFonts w:cs="Georgia"/>
                      <w:b/>
                      <w:color w:val="000000"/>
                      <w:spacing w:val="-1"/>
                      <w:u w:val="single"/>
                    </w:rPr>
                    <w:t>ep</w:t>
                  </w:r>
                  <w:r>
                    <w:rPr>
                      <w:rFonts w:cs="Georgia"/>
                      <w:b/>
                      <w:color w:val="000000"/>
                      <w:spacing w:val="1"/>
                      <w:u w:val="single"/>
                    </w:rPr>
                    <w:t>t</w:t>
                  </w:r>
                  <w:r>
                    <w:rPr>
                      <w:rFonts w:cs="Georgia"/>
                      <w:b/>
                      <w:color w:val="000000"/>
                      <w:spacing w:val="-1"/>
                      <w:u w:val="single"/>
                    </w:rPr>
                    <w:t>e</w:t>
                  </w:r>
                  <w:r>
                    <w:rPr>
                      <w:rFonts w:cs="Georgia"/>
                      <w:b/>
                      <w:color w:val="000000"/>
                      <w:spacing w:val="-3"/>
                      <w:u w:val="single"/>
                    </w:rPr>
                    <w:t>m</w:t>
                  </w:r>
                  <w:r>
                    <w:rPr>
                      <w:rFonts w:cs="Georgia"/>
                      <w:b/>
                      <w:color w:val="000000"/>
                      <w:spacing w:val="1"/>
                      <w:u w:val="single"/>
                    </w:rPr>
                    <w:t>br</w:t>
                  </w:r>
                  <w:r>
                    <w:rPr>
                      <w:rFonts w:cs="Georgia"/>
                      <w:b/>
                      <w:color w:val="000000"/>
                      <w:spacing w:val="-1"/>
                      <w:u w:val="single"/>
                    </w:rPr>
                    <w:t>e</w:t>
                  </w:r>
                  <w:r>
                    <w:rPr>
                      <w:rFonts w:cs="Georgia"/>
                      <w:color w:val="000000"/>
                    </w:rPr>
                    <w:t>.</w:t>
                  </w:r>
                </w:p>
                <w:p w:rsidR="00F04EEF" w:rsidRDefault="00F04EEF">
                  <w:pPr>
                    <w:tabs>
                      <w:tab w:val="left" w:pos="2895"/>
                    </w:tabs>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jc w:val="both"/>
                    <w:rPr>
                      <w:b/>
                      <w:bCs/>
                    </w:rPr>
                  </w:pPr>
                  <w:r>
                    <w:rPr>
                      <w:b/>
                      <w:bCs/>
                      <w:u w:val="single"/>
                    </w:rPr>
                    <w:t>Remarque :</w:t>
                  </w:r>
                  <w:r>
                    <w:rPr>
                      <w:b/>
                      <w:bCs/>
                    </w:rPr>
                    <w:t xml:space="preserve"> </w:t>
                  </w:r>
                  <w:r>
                    <w:rPr>
                      <w:bCs/>
                    </w:rPr>
                    <w:t>lorsqu’un établissement organisé ou subventionné par la Fédération Wallonie-Bruxelles doit, pour des raisons d’insuffisance de locaux disponibles, limiter le nombre d’élèves qu’il accueille, il en informe immédiatement l’Administration en s’adressant à </w:t>
                  </w:r>
                  <w:r>
                    <w:rPr>
                      <w:b/>
                      <w:bCs/>
                    </w:rPr>
                    <w:t>:</w:t>
                  </w:r>
                </w:p>
                <w:p w:rsidR="00F04EEF" w:rsidRDefault="0099351E">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lang w:val="es-ES_tradnl"/>
                    </w:rPr>
                  </w:pPr>
                  <w:r>
                    <w:rPr>
                      <w:bCs/>
                      <w:lang w:val="es-ES_tradnl"/>
                    </w:rPr>
                    <w:t>Madame Arlette RUSURA</w:t>
                  </w:r>
                  <w:r>
                    <w:rPr>
                      <w:bCs/>
                      <w:lang w:val="es-ES_tradnl"/>
                    </w:rPr>
                    <w:tab/>
                  </w:r>
                  <w:r>
                    <w:sym w:font="Wingdings" w:char="F028"/>
                  </w:r>
                  <w:r>
                    <w:rPr>
                      <w:lang w:val="es-ES_tradnl"/>
                    </w:rPr>
                    <w:t xml:space="preserve"> : 02/690.88.93 </w:t>
                  </w:r>
                  <w:r>
                    <w:rPr>
                      <w:lang w:val="es-ES_tradnl"/>
                    </w:rPr>
                    <w:tab/>
                    <w:t xml:space="preserve"> </w:t>
                  </w:r>
                  <w:r>
                    <w:rPr>
                      <w:bCs/>
                    </w:rPr>
                    <w:sym w:font="Wingdings" w:char="F03A"/>
                  </w:r>
                  <w:r>
                    <w:rPr>
                      <w:bCs/>
                      <w:lang w:val="es-ES_tradnl"/>
                    </w:rPr>
                    <w:t> :</w:t>
                  </w:r>
                  <w:r>
                    <w:rPr>
                      <w:lang w:val="es-ES_tradnl"/>
                    </w:rPr>
                    <w:t xml:space="preserve"> </w:t>
                  </w:r>
                  <w:hyperlink r:id="rId153" w:history="1">
                    <w:r>
                      <w:rPr>
                        <w:rStyle w:val="Lienhypertexte"/>
                        <w:rFonts w:cs="Arial"/>
                        <w:lang w:val="es-ES_tradnl"/>
                      </w:rPr>
                      <w:t>arlette.rusura@cfwb.be</w:t>
                    </w:r>
                  </w:hyperlink>
                </w:p>
                <w:p w:rsidR="00F04EEF" w:rsidRDefault="0099351E">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b/>
                      <w:bCs/>
                      <w:lang w:val="es-ES_tradnl"/>
                    </w:rPr>
                  </w:pPr>
                  <w:r>
                    <w:rPr>
                      <w:lang w:val="es-ES_tradnl"/>
                    </w:rPr>
                    <w:t>Madame Sabrina MONTANTE</w:t>
                  </w:r>
                  <w:r>
                    <w:rPr>
                      <w:lang w:val="es-ES_tradnl"/>
                    </w:rPr>
                    <w:tab/>
                  </w:r>
                  <w:r>
                    <w:sym w:font="Wingdings" w:char="F028"/>
                  </w:r>
                  <w:r>
                    <w:rPr>
                      <w:lang w:val="es-ES_tradnl"/>
                    </w:rPr>
                    <w:t> : 02/690.84.97</w:t>
                  </w:r>
                  <w:r>
                    <w:rPr>
                      <w:lang w:val="es-ES_tradnl"/>
                    </w:rPr>
                    <w:tab/>
                    <w:t xml:space="preserve"> </w:t>
                  </w:r>
                  <w:r>
                    <w:rPr>
                      <w:bCs/>
                    </w:rPr>
                    <w:sym w:font="Wingdings" w:char="F03A"/>
                  </w:r>
                  <w:r>
                    <w:rPr>
                      <w:bCs/>
                      <w:lang w:val="es-ES_tradnl"/>
                    </w:rPr>
                    <w:t xml:space="preserve"> : </w:t>
                  </w:r>
                  <w:hyperlink r:id="rId154" w:history="1">
                    <w:r>
                      <w:rPr>
                        <w:rStyle w:val="Lienhypertexte"/>
                        <w:rFonts w:cs="Arial"/>
                        <w:bCs/>
                        <w:lang w:val="es-ES_tradnl"/>
                      </w:rPr>
                      <w:t>sabrina.montante@cfwb.be</w:t>
                    </w:r>
                  </w:hyperlink>
                  <w:r>
                    <w:rPr>
                      <w:bCs/>
                      <w:lang w:val="es-ES_tradnl"/>
                    </w:rPr>
                    <w:t xml:space="preserve"> </w:t>
                  </w:r>
                </w:p>
                <w:p w:rsidR="00F04EEF" w:rsidRDefault="00F04EEF">
                  <w:pPr>
                    <w:widowControl w:val="0"/>
                    <w:autoSpaceDE w:val="0"/>
                    <w:autoSpaceDN w:val="0"/>
                    <w:adjustRightInd w:val="0"/>
                    <w:spacing w:before="1" w:line="220" w:lineRule="exact"/>
                    <w:rPr>
                      <w:rFonts w:cs="Georgia"/>
                      <w:b/>
                      <w:bCs/>
                      <w:color w:val="000000"/>
                      <w:position w:val="-1"/>
                      <w:u w:val="single"/>
                      <w:lang w:val="es-ES_tradnl"/>
                    </w:rPr>
                  </w:pPr>
                </w:p>
                <w:p w:rsidR="00F04EEF" w:rsidRDefault="00F04EEF">
                  <w:pPr>
                    <w:widowControl w:val="0"/>
                    <w:autoSpaceDE w:val="0"/>
                    <w:autoSpaceDN w:val="0"/>
                    <w:adjustRightInd w:val="0"/>
                    <w:spacing w:before="1" w:line="220" w:lineRule="exact"/>
                    <w:rPr>
                      <w:rFonts w:cs="Georgia"/>
                      <w:b/>
                      <w:bCs/>
                      <w:color w:val="000000"/>
                      <w:position w:val="-1"/>
                      <w:u w:val="single"/>
                      <w:lang w:val="es-ES_tradnl"/>
                    </w:rPr>
                  </w:pPr>
                </w:p>
                <w:p w:rsidR="00F04EEF" w:rsidRDefault="0099351E">
                  <w:pPr>
                    <w:widowControl w:val="0"/>
                    <w:numPr>
                      <w:ilvl w:val="0"/>
                      <w:numId w:val="57"/>
                    </w:numPr>
                    <w:autoSpaceDE w:val="0"/>
                    <w:autoSpaceDN w:val="0"/>
                    <w:adjustRightInd w:val="0"/>
                    <w:spacing w:before="1" w:line="220" w:lineRule="exact"/>
                    <w:ind w:left="360"/>
                    <w:rPr>
                      <w:rFonts w:cs="Georgia"/>
                      <w:b/>
                      <w:color w:val="000000"/>
                      <w:spacing w:val="-1"/>
                      <w:u w:val="single"/>
                    </w:rPr>
                  </w:pPr>
                  <w:r>
                    <w:rPr>
                      <w:rFonts w:cs="Georgia"/>
                      <w:b/>
                      <w:color w:val="000000"/>
                      <w:spacing w:val="-1"/>
                      <w:u w:val="single"/>
                    </w:rPr>
                    <w:t>L</w:t>
                  </w:r>
                  <w:r>
                    <w:rPr>
                      <w:rFonts w:cs="Georgia"/>
                      <w:b/>
                      <w:color w:val="000000"/>
                      <w:u w:val="single"/>
                    </w:rPr>
                    <w:t>e</w:t>
                  </w:r>
                  <w:r>
                    <w:rPr>
                      <w:rFonts w:cs="Georgia"/>
                      <w:b/>
                      <w:color w:val="000000"/>
                      <w:spacing w:val="-1"/>
                      <w:u w:val="single"/>
                    </w:rPr>
                    <w:t xml:space="preserve"> n</w:t>
                  </w:r>
                  <w:r>
                    <w:rPr>
                      <w:rFonts w:cs="Georgia"/>
                      <w:b/>
                      <w:color w:val="000000"/>
                      <w:spacing w:val="1"/>
                      <w:u w:val="single"/>
                    </w:rPr>
                    <w:t>o</w:t>
                  </w:r>
                  <w:r>
                    <w:rPr>
                      <w:rFonts w:cs="Georgia"/>
                      <w:b/>
                      <w:color w:val="000000"/>
                      <w:spacing w:val="-3"/>
                      <w:u w:val="single"/>
                    </w:rPr>
                    <w:t>m</w:t>
                  </w:r>
                  <w:r>
                    <w:rPr>
                      <w:rFonts w:cs="Georgia"/>
                      <w:b/>
                      <w:color w:val="000000"/>
                      <w:spacing w:val="1"/>
                      <w:u w:val="single"/>
                    </w:rPr>
                    <w:t>br</w:t>
                  </w:r>
                  <w:r>
                    <w:rPr>
                      <w:rFonts w:cs="Georgia"/>
                      <w:b/>
                      <w:color w:val="000000"/>
                      <w:u w:val="single"/>
                    </w:rPr>
                    <w:t>e</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p</w:t>
                  </w:r>
                  <w:r>
                    <w:rPr>
                      <w:rFonts w:cs="Georgia"/>
                      <w:b/>
                      <w:color w:val="000000"/>
                      <w:spacing w:val="-3"/>
                      <w:u w:val="single"/>
                    </w:rPr>
                    <w:t>é</w:t>
                  </w:r>
                  <w:r>
                    <w:rPr>
                      <w:rFonts w:cs="Georgia"/>
                      <w:b/>
                      <w:color w:val="000000"/>
                      <w:spacing w:val="1"/>
                      <w:u w:val="single"/>
                    </w:rPr>
                    <w:t>r</w:t>
                  </w:r>
                  <w:r>
                    <w:rPr>
                      <w:rFonts w:cs="Georgia"/>
                      <w:b/>
                      <w:color w:val="000000"/>
                      <w:u w:val="single"/>
                    </w:rPr>
                    <w:t>i</w:t>
                  </w:r>
                  <w:r>
                    <w:rPr>
                      <w:rFonts w:cs="Georgia"/>
                      <w:b/>
                      <w:color w:val="000000"/>
                      <w:spacing w:val="-1"/>
                      <w:u w:val="single"/>
                    </w:rPr>
                    <w:t>o</w:t>
                  </w:r>
                  <w:r>
                    <w:rPr>
                      <w:rFonts w:cs="Georgia"/>
                      <w:b/>
                      <w:color w:val="000000"/>
                      <w:u w:val="single"/>
                    </w:rPr>
                    <w:t>d</w:t>
                  </w:r>
                  <w:r>
                    <w:rPr>
                      <w:rFonts w:cs="Georgia"/>
                      <w:b/>
                      <w:color w:val="000000"/>
                      <w:spacing w:val="-1"/>
                      <w:u w:val="single"/>
                    </w:rPr>
                    <w:t>e</w:t>
                  </w:r>
                  <w:r>
                    <w:rPr>
                      <w:rFonts w:cs="Georgia"/>
                      <w:b/>
                      <w:color w:val="000000"/>
                      <w:u w:val="single"/>
                    </w:rPr>
                    <w:t>s</w:t>
                  </w:r>
                  <w:r>
                    <w:rPr>
                      <w:rFonts w:cs="Georgia"/>
                      <w:b/>
                      <w:color w:val="000000"/>
                      <w:spacing w:val="-2"/>
                      <w:u w:val="single"/>
                    </w:rPr>
                    <w:t xml:space="preserve"> </w:t>
                  </w:r>
                  <w:r>
                    <w:rPr>
                      <w:rFonts w:cs="Georgia"/>
                      <w:b/>
                      <w:color w:val="000000"/>
                      <w:spacing w:val="1"/>
                      <w:u w:val="single"/>
                    </w:rPr>
                    <w:t>h</w:t>
                  </w:r>
                  <w:r>
                    <w:rPr>
                      <w:rFonts w:cs="Georgia"/>
                      <w:b/>
                      <w:color w:val="000000"/>
                      <w:spacing w:val="-1"/>
                      <w:u w:val="single"/>
                    </w:rPr>
                    <w:t>e</w:t>
                  </w:r>
                  <w:r>
                    <w:rPr>
                      <w:rFonts w:cs="Georgia"/>
                      <w:b/>
                      <w:color w:val="000000"/>
                      <w:spacing w:val="1"/>
                      <w:u w:val="single"/>
                    </w:rPr>
                    <w:t>b</w:t>
                  </w:r>
                  <w:r>
                    <w:rPr>
                      <w:rFonts w:cs="Georgia"/>
                      <w:b/>
                      <w:color w:val="000000"/>
                      <w:spacing w:val="-2"/>
                      <w:u w:val="single"/>
                    </w:rPr>
                    <w:t>d</w:t>
                  </w:r>
                  <w:r>
                    <w:rPr>
                      <w:rFonts w:cs="Georgia"/>
                      <w:b/>
                      <w:color w:val="000000"/>
                      <w:spacing w:val="1"/>
                      <w:u w:val="single"/>
                    </w:rPr>
                    <w:t>o</w:t>
                  </w:r>
                  <w:r>
                    <w:rPr>
                      <w:rFonts w:cs="Georgia"/>
                      <w:b/>
                      <w:color w:val="000000"/>
                      <w:u w:val="single"/>
                    </w:rPr>
                    <w:t>m</w:t>
                  </w:r>
                  <w:r>
                    <w:rPr>
                      <w:rFonts w:cs="Georgia"/>
                      <w:b/>
                      <w:color w:val="000000"/>
                      <w:spacing w:val="-1"/>
                      <w:u w:val="single"/>
                    </w:rPr>
                    <w:t>a</w:t>
                  </w:r>
                  <w:r>
                    <w:rPr>
                      <w:rFonts w:cs="Georgia"/>
                      <w:b/>
                      <w:color w:val="000000"/>
                      <w:u w:val="single"/>
                    </w:rPr>
                    <w:t>d</w:t>
                  </w:r>
                  <w:r>
                    <w:rPr>
                      <w:rFonts w:cs="Georgia"/>
                      <w:b/>
                      <w:color w:val="000000"/>
                      <w:spacing w:val="-1"/>
                      <w:u w:val="single"/>
                    </w:rPr>
                    <w:t>a</w:t>
                  </w:r>
                  <w:r>
                    <w:rPr>
                      <w:rFonts w:cs="Georgia"/>
                      <w:b/>
                      <w:color w:val="000000"/>
                      <w:spacing w:val="-2"/>
                      <w:u w:val="single"/>
                    </w:rPr>
                    <w:t>i</w:t>
                  </w:r>
                  <w:r>
                    <w:rPr>
                      <w:rFonts w:cs="Georgia"/>
                      <w:b/>
                      <w:color w:val="000000"/>
                      <w:spacing w:val="1"/>
                      <w:u w:val="single"/>
                    </w:rPr>
                    <w:t>r</w:t>
                  </w:r>
                  <w:r>
                    <w:rPr>
                      <w:rFonts w:cs="Georgia"/>
                      <w:b/>
                      <w:color w:val="000000"/>
                      <w:spacing w:val="-1"/>
                      <w:u w:val="single"/>
                    </w:rPr>
                    <w:t>e</w:t>
                  </w:r>
                  <w:r>
                    <w:rPr>
                      <w:rFonts w:cs="Georgia"/>
                      <w:b/>
                      <w:color w:val="000000"/>
                      <w:u w:val="single"/>
                    </w:rPr>
                    <w:t xml:space="preserve">s </w:t>
                  </w:r>
                  <w:r>
                    <w:rPr>
                      <w:rFonts w:cs="Georgia"/>
                      <w:b/>
                      <w:color w:val="000000"/>
                      <w:spacing w:val="-1"/>
                      <w:u w:val="single"/>
                    </w:rPr>
                    <w:t>o</w:t>
                  </w:r>
                  <w:r>
                    <w:rPr>
                      <w:rFonts w:cs="Georgia"/>
                      <w:b/>
                      <w:color w:val="000000"/>
                      <w:spacing w:val="1"/>
                      <w:u w:val="single"/>
                    </w:rPr>
                    <w:t>r</w:t>
                  </w:r>
                  <w:r>
                    <w:rPr>
                      <w:rFonts w:cs="Georgia"/>
                      <w:b/>
                      <w:color w:val="000000"/>
                      <w:u w:val="single"/>
                    </w:rPr>
                    <w:t>g</w:t>
                  </w:r>
                  <w:r>
                    <w:rPr>
                      <w:rFonts w:cs="Georgia"/>
                      <w:b/>
                      <w:color w:val="000000"/>
                      <w:spacing w:val="-1"/>
                      <w:u w:val="single"/>
                    </w:rPr>
                    <w:t>an</w:t>
                  </w:r>
                  <w:r>
                    <w:rPr>
                      <w:rFonts w:cs="Georgia"/>
                      <w:b/>
                      <w:color w:val="000000"/>
                      <w:u w:val="single"/>
                    </w:rPr>
                    <w:t>i</w:t>
                  </w:r>
                  <w:r>
                    <w:rPr>
                      <w:rFonts w:cs="Georgia"/>
                      <w:b/>
                      <w:color w:val="000000"/>
                      <w:spacing w:val="1"/>
                      <w:u w:val="single"/>
                    </w:rPr>
                    <w:t>s</w:t>
                  </w:r>
                  <w:r>
                    <w:rPr>
                      <w:rFonts w:cs="Georgia"/>
                      <w:b/>
                      <w:color w:val="000000"/>
                      <w:spacing w:val="-3"/>
                      <w:u w:val="single"/>
                    </w:rPr>
                    <w:t>é</w:t>
                  </w:r>
                  <w:r>
                    <w:rPr>
                      <w:rFonts w:cs="Georgia"/>
                      <w:b/>
                      <w:color w:val="000000"/>
                      <w:spacing w:val="-1"/>
                      <w:u w:val="single"/>
                    </w:rPr>
                    <w:t>es</w:t>
                  </w:r>
                </w:p>
                <w:p w:rsidR="00F04EEF" w:rsidRDefault="00F04EEF">
                  <w:pPr>
                    <w:widowControl w:val="0"/>
                    <w:autoSpaceDE w:val="0"/>
                    <w:autoSpaceDN w:val="0"/>
                    <w:adjustRightInd w:val="0"/>
                    <w:spacing w:before="1" w:line="220" w:lineRule="exact"/>
                    <w:rPr>
                      <w:rFonts w:cs="Georgia"/>
                      <w:b/>
                      <w:color w:val="000000"/>
                      <w:spacing w:val="-1"/>
                      <w:u w:val="single"/>
                    </w:rPr>
                  </w:pPr>
                </w:p>
                <w:p w:rsidR="00F04EEF" w:rsidRDefault="0099351E">
                  <w:pPr>
                    <w:widowControl w:val="0"/>
                    <w:autoSpaceDE w:val="0"/>
                    <w:autoSpaceDN w:val="0"/>
                    <w:adjustRightInd w:val="0"/>
                    <w:spacing w:before="1" w:line="250" w:lineRule="exact"/>
                    <w:ind w:right="47"/>
                    <w:jc w:val="both"/>
                    <w:rPr>
                      <w:rFonts w:cs="Georgia"/>
                    </w:rPr>
                  </w:pP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42"/>
                    </w:rPr>
                    <w:t xml:space="preserve"> </w:t>
                  </w:r>
                  <w:r>
                    <w:rPr>
                      <w:rFonts w:cs="Georgia"/>
                    </w:rPr>
                    <w:t>de</w:t>
                  </w:r>
                  <w:r>
                    <w:rPr>
                      <w:rFonts w:cs="Georgia"/>
                      <w:spacing w:val="39"/>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rPr>
                    <w:t>à</w:t>
                  </w:r>
                  <w:r>
                    <w:rPr>
                      <w:rFonts w:cs="Georgia"/>
                      <w:spacing w:val="42"/>
                    </w:rPr>
                    <w:t xml:space="preserve"> </w:t>
                  </w:r>
                  <w:r>
                    <w:rPr>
                      <w:rFonts w:cs="Georgia"/>
                      <w:spacing w:val="1"/>
                    </w:rPr>
                    <w:t>pr</w:t>
                  </w:r>
                  <w:r>
                    <w:rPr>
                      <w:rFonts w:cs="Georgia"/>
                      <w:spacing w:val="-1"/>
                    </w:rPr>
                    <w:t>en</w:t>
                  </w:r>
                  <w:r>
                    <w:rPr>
                      <w:rFonts w:cs="Georgia"/>
                    </w:rPr>
                    <w:t>d</w:t>
                  </w:r>
                  <w:r>
                    <w:rPr>
                      <w:rFonts w:cs="Georgia"/>
                      <w:spacing w:val="1"/>
                    </w:rPr>
                    <w:t>r</w:t>
                  </w:r>
                  <w:r>
                    <w:rPr>
                      <w:rFonts w:cs="Georgia"/>
                    </w:rPr>
                    <w:t>e</w:t>
                  </w:r>
                  <w:r>
                    <w:rPr>
                      <w:rFonts w:cs="Georgia"/>
                      <w:spacing w:val="42"/>
                    </w:rPr>
                    <w:t xml:space="preserve"> </w:t>
                  </w:r>
                  <w:r>
                    <w:rPr>
                      <w:rFonts w:cs="Georgia"/>
                      <w:spacing w:val="-1"/>
                    </w:rPr>
                    <w:t>e</w:t>
                  </w:r>
                  <w:r>
                    <w:rPr>
                      <w:rFonts w:cs="Georgia"/>
                    </w:rPr>
                    <w:t>n</w:t>
                  </w:r>
                  <w:r>
                    <w:rPr>
                      <w:rFonts w:cs="Georgia"/>
                      <w:spacing w:val="42"/>
                    </w:rPr>
                    <w:t xml:space="preserve"> </w:t>
                  </w:r>
                  <w:r>
                    <w:rPr>
                      <w:rFonts w:cs="Georgia"/>
                      <w:spacing w:val="-2"/>
                    </w:rPr>
                    <w:t>c</w:t>
                  </w:r>
                  <w:r>
                    <w:rPr>
                      <w:rFonts w:cs="Georgia"/>
                      <w:spacing w:val="1"/>
                    </w:rPr>
                    <w:t>o</w:t>
                  </w:r>
                  <w:r>
                    <w:rPr>
                      <w:rFonts w:cs="Georgia"/>
                      <w:spacing w:val="-1"/>
                    </w:rPr>
                    <w:t>n</w:t>
                  </w:r>
                  <w:r>
                    <w:rPr>
                      <w:rFonts w:cs="Georgia"/>
                      <w:spacing w:val="1"/>
                    </w:rPr>
                    <w:t>s</w:t>
                  </w:r>
                  <w:r>
                    <w:rPr>
                      <w:rFonts w:cs="Georgia"/>
                    </w:rPr>
                    <w:t>id</w:t>
                  </w:r>
                  <w:r>
                    <w:rPr>
                      <w:rFonts w:cs="Georgia"/>
                      <w:spacing w:val="-1"/>
                    </w:rPr>
                    <w:t>é</w:t>
                  </w:r>
                  <w:r>
                    <w:rPr>
                      <w:rFonts w:cs="Georgia"/>
                      <w:spacing w:val="1"/>
                    </w:rPr>
                    <w:t>r</w:t>
                  </w:r>
                  <w:r>
                    <w:rPr>
                      <w:rFonts w:cs="Georgia"/>
                      <w:spacing w:val="-3"/>
                    </w:rPr>
                    <w:t>a</w:t>
                  </w:r>
                  <w:r>
                    <w:rPr>
                      <w:rFonts w:cs="Georgia"/>
                      <w:spacing w:val="-2"/>
                    </w:rPr>
                    <w:t>t</w:t>
                  </w:r>
                  <w:r>
                    <w:rPr>
                      <w:rFonts w:cs="Georgia"/>
                    </w:rPr>
                    <w:t>i</w:t>
                  </w:r>
                  <w:r>
                    <w:rPr>
                      <w:rFonts w:cs="Georgia"/>
                      <w:spacing w:val="1"/>
                    </w:rPr>
                    <w:t>o</w:t>
                  </w:r>
                  <w:r>
                    <w:rPr>
                      <w:rFonts w:cs="Georgia"/>
                    </w:rPr>
                    <w:t>n</w:t>
                  </w:r>
                  <w:r>
                    <w:rPr>
                      <w:rFonts w:cs="Georgia"/>
                      <w:spacing w:val="42"/>
                    </w:rPr>
                    <w:t xml:space="preserve"> </w:t>
                  </w:r>
                  <w:r>
                    <w:rPr>
                      <w:rFonts w:cs="Georgia"/>
                      <w:spacing w:val="-1"/>
                    </w:rPr>
                    <w:t>e</w:t>
                  </w:r>
                  <w:r>
                    <w:rPr>
                      <w:rFonts w:cs="Georgia"/>
                      <w:spacing w:val="1"/>
                    </w:rPr>
                    <w:t>s</w:t>
                  </w:r>
                  <w:r>
                    <w:rPr>
                      <w:rFonts w:cs="Georgia"/>
                    </w:rPr>
                    <w:t>t</w:t>
                  </w:r>
                  <w:r>
                    <w:rPr>
                      <w:rFonts w:cs="Georgia"/>
                      <w:spacing w:val="44"/>
                    </w:rPr>
                    <w:t xml:space="preserve"> </w:t>
                  </w: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39"/>
                    </w:rPr>
                    <w:t xml:space="preserve"> </w:t>
                  </w:r>
                  <w:r>
                    <w:rPr>
                      <w:rFonts w:cs="Georgia"/>
                    </w:rPr>
                    <w:t>de</w:t>
                  </w:r>
                  <w:r>
                    <w:rPr>
                      <w:rFonts w:cs="Georgia"/>
                      <w:spacing w:val="42"/>
                    </w:rPr>
                    <w:t xml:space="preserve"> </w:t>
                  </w:r>
                  <w:r>
                    <w:rPr>
                      <w:rFonts w:cs="Georgia"/>
                      <w:spacing w:val="-1"/>
                    </w:rPr>
                    <w:t>pé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spacing w:val="1"/>
                    </w:rPr>
                    <w:t>h</w:t>
                  </w:r>
                  <w:r>
                    <w:rPr>
                      <w:rFonts w:cs="Georgia"/>
                      <w:spacing w:val="-1"/>
                    </w:rPr>
                    <w:t>eb</w:t>
                  </w:r>
                  <w:r>
                    <w:rPr>
                      <w:rFonts w:cs="Georgia"/>
                    </w:rPr>
                    <w:t>d</w:t>
                  </w:r>
                  <w:r>
                    <w:rPr>
                      <w:rFonts w:cs="Georgia"/>
                      <w:spacing w:val="-1"/>
                    </w:rPr>
                    <w:t>o</w:t>
                  </w:r>
                  <w:r>
                    <w:rPr>
                      <w:rFonts w:cs="Georgia"/>
                    </w:rPr>
                    <w:t>m</w:t>
                  </w:r>
                  <w:r>
                    <w:rPr>
                      <w:rFonts w:cs="Georgia"/>
                      <w:spacing w:val="-1"/>
                    </w:rPr>
                    <w:t>a</w:t>
                  </w:r>
                  <w:r>
                    <w:rPr>
                      <w:rFonts w:cs="Georgia"/>
                      <w:spacing w:val="1"/>
                    </w:rPr>
                    <w:t>d</w:t>
                  </w:r>
                  <w:r>
                    <w:rPr>
                      <w:rFonts w:cs="Georgia"/>
                      <w:spacing w:val="-1"/>
                    </w:rPr>
                    <w:t>a</w:t>
                  </w:r>
                  <w:r>
                    <w:rPr>
                      <w:rFonts w:cs="Georgia"/>
                    </w:rPr>
                    <w:t>i</w:t>
                  </w:r>
                  <w:r>
                    <w:rPr>
                      <w:rFonts w:cs="Georgia"/>
                      <w:spacing w:val="1"/>
                    </w:rPr>
                    <w:t>r</w:t>
                  </w:r>
                  <w:r>
                    <w:rPr>
                      <w:rFonts w:cs="Georgia"/>
                      <w:spacing w:val="-1"/>
                    </w:rPr>
                    <w:t>e</w:t>
                  </w:r>
                  <w:r>
                    <w:rPr>
                      <w:rFonts w:cs="Georgia"/>
                    </w:rPr>
                    <w:t xml:space="preserve">s </w:t>
                  </w:r>
                  <w:r>
                    <w:rPr>
                      <w:rFonts w:cs="Georgia"/>
                      <w:spacing w:val="1"/>
                    </w:rPr>
                    <w:t>or</w:t>
                  </w:r>
                  <w:r>
                    <w:rPr>
                      <w:rFonts w:cs="Georgia"/>
                    </w:rPr>
                    <w:t>g</w:t>
                  </w:r>
                  <w:r>
                    <w:rPr>
                      <w:rFonts w:cs="Georgia"/>
                      <w:spacing w:val="-1"/>
                    </w:rPr>
                    <w:t>an</w:t>
                  </w:r>
                  <w:r>
                    <w:rPr>
                      <w:rFonts w:cs="Georgia"/>
                      <w:spacing w:val="-2"/>
                    </w:rPr>
                    <w:t>i</w:t>
                  </w:r>
                  <w:r>
                    <w:rPr>
                      <w:rFonts w:cs="Georgia"/>
                      <w:spacing w:val="1"/>
                    </w:rPr>
                    <w:t>s</w:t>
                  </w:r>
                  <w:r>
                    <w:rPr>
                      <w:rFonts w:cs="Georgia"/>
                      <w:spacing w:val="-1"/>
                    </w:rPr>
                    <w:t>ée</w:t>
                  </w:r>
                  <w:r>
                    <w:rPr>
                      <w:rFonts w:cs="Georgia"/>
                    </w:rPr>
                    <w:t xml:space="preserve">s </w:t>
                  </w:r>
                  <w:r>
                    <w:rPr>
                      <w:rFonts w:cs="Georgia"/>
                      <w:spacing w:val="1"/>
                    </w:rPr>
                    <w:t>s</w:t>
                  </w:r>
                  <w:r>
                    <w:rPr>
                      <w:rFonts w:cs="Georgia"/>
                    </w:rPr>
                    <w:t xml:space="preserve">ur </w:t>
                  </w:r>
                  <w:r>
                    <w:rPr>
                      <w:rFonts w:cs="Georgia"/>
                      <w:spacing w:val="1"/>
                    </w:rPr>
                    <w:t>b</w:t>
                  </w:r>
                  <w:r>
                    <w:rPr>
                      <w:rFonts w:cs="Georgia"/>
                      <w:spacing w:val="-1"/>
                    </w:rPr>
                    <w:t>a</w:t>
                  </w:r>
                  <w:r>
                    <w:rPr>
                      <w:rFonts w:cs="Georgia"/>
                      <w:spacing w:val="1"/>
                    </w:rPr>
                    <w:t>s</w:t>
                  </w:r>
                  <w:r>
                    <w:rPr>
                      <w:rFonts w:cs="Georgia"/>
                    </w:rPr>
                    <w:t>e</w:t>
                  </w:r>
                  <w:r>
                    <w:rPr>
                      <w:rFonts w:cs="Georgia"/>
                      <w:spacing w:val="-1"/>
                    </w:rPr>
                    <w:t xml:space="preserve"> </w:t>
                  </w:r>
                  <w:r>
                    <w:rPr>
                      <w:rFonts w:cs="Georgia"/>
                    </w:rPr>
                    <w:t>de</w:t>
                  </w:r>
                  <w:r>
                    <w:rPr>
                      <w:rFonts w:cs="Georgia"/>
                      <w:spacing w:val="-4"/>
                    </w:rPr>
                    <w:t xml:space="preserve"> </w:t>
                  </w:r>
                  <w:r>
                    <w:rPr>
                      <w:rFonts w:cs="Georgia"/>
                      <w:spacing w:val="-1"/>
                    </w:rPr>
                    <w:t>l</w:t>
                  </w:r>
                  <w:r>
                    <w:rPr>
                      <w:rFonts w:cs="Georgia"/>
                    </w:rPr>
                    <w:t>a</w:t>
                  </w:r>
                  <w:r>
                    <w:rPr>
                      <w:rFonts w:cs="Georgia"/>
                      <w:spacing w:val="-1"/>
                    </w:rPr>
                    <w:t xml:space="preserve"> </w:t>
                  </w:r>
                  <w:r>
                    <w:rPr>
                      <w:rFonts w:cs="Georgia"/>
                    </w:rPr>
                    <w:t>g</w:t>
                  </w:r>
                  <w:r>
                    <w:rPr>
                      <w:rFonts w:cs="Georgia"/>
                      <w:spacing w:val="1"/>
                    </w:rPr>
                    <w:t>r</w:t>
                  </w:r>
                  <w:r>
                    <w:rPr>
                      <w:rFonts w:cs="Georgia"/>
                    </w:rPr>
                    <w:t>i</w:t>
                  </w:r>
                  <w:r>
                    <w:rPr>
                      <w:rFonts w:cs="Georgia"/>
                      <w:spacing w:val="-1"/>
                    </w:rPr>
                    <w:t>ll</w:t>
                  </w:r>
                  <w:r>
                    <w:rPr>
                      <w:rFonts w:cs="Georgia"/>
                    </w:rPr>
                    <w:t>e</w:t>
                  </w:r>
                  <w:r>
                    <w:rPr>
                      <w:rFonts w:cs="Georgia"/>
                      <w:spacing w:val="-1"/>
                    </w:rPr>
                    <w:t>-</w:t>
                  </w:r>
                  <w:r>
                    <w:rPr>
                      <w:rFonts w:cs="Georgia"/>
                      <w:spacing w:val="1"/>
                    </w:rPr>
                    <w:t>hor</w:t>
                  </w:r>
                  <w:r>
                    <w:rPr>
                      <w:rFonts w:cs="Georgia"/>
                      <w:spacing w:val="-1"/>
                    </w:rPr>
                    <w:t>a</w:t>
                  </w:r>
                  <w:r>
                    <w:rPr>
                      <w:rFonts w:cs="Georgia"/>
                      <w:spacing w:val="-2"/>
                    </w:rPr>
                    <w:t>i</w:t>
                  </w:r>
                  <w:r>
                    <w:rPr>
                      <w:rFonts w:cs="Georgia"/>
                      <w:spacing w:val="1"/>
                    </w:rPr>
                    <w:t>r</w:t>
                  </w:r>
                  <w:r>
                    <w:rPr>
                      <w:rFonts w:cs="Georgia"/>
                    </w:rPr>
                    <w:t>e</w:t>
                  </w:r>
                  <w:r>
                    <w:rPr>
                      <w:rFonts w:cs="Georgia"/>
                      <w:spacing w:val="-1"/>
                    </w:rPr>
                    <w:t xml:space="preserve"> a</w:t>
                  </w:r>
                  <w:r>
                    <w:rPr>
                      <w:rFonts w:cs="Georgia"/>
                      <w:spacing w:val="1"/>
                    </w:rPr>
                    <w:t>p</w:t>
                  </w:r>
                  <w:r>
                    <w:rPr>
                      <w:rFonts w:cs="Georgia"/>
                      <w:spacing w:val="-1"/>
                    </w:rPr>
                    <w:t>p</w:t>
                  </w:r>
                  <w:r>
                    <w:rPr>
                      <w:rFonts w:cs="Georgia"/>
                      <w:spacing w:val="1"/>
                    </w:rPr>
                    <w:t>ro</w:t>
                  </w:r>
                  <w:r>
                    <w:rPr>
                      <w:rFonts w:cs="Georgia"/>
                      <w:spacing w:val="-2"/>
                    </w:rPr>
                    <w:t>u</w:t>
                  </w:r>
                  <w:r>
                    <w:rPr>
                      <w:rFonts w:cs="Georgia"/>
                      <w:spacing w:val="1"/>
                    </w:rPr>
                    <w:t>v</w:t>
                  </w:r>
                  <w:r>
                    <w:rPr>
                      <w:rFonts w:cs="Georgia"/>
                      <w:spacing w:val="-3"/>
                    </w:rPr>
                    <w:t>é</w:t>
                  </w:r>
                  <w:r>
                    <w:rPr>
                      <w:rFonts w:cs="Georgia"/>
                      <w:spacing w:val="-1"/>
                    </w:rPr>
                    <w:t>e</w:t>
                  </w:r>
                  <w:r>
                    <w:rPr>
                      <w:rFonts w:cs="Georgia"/>
                    </w:rPr>
                    <w:t>.</w:t>
                  </w:r>
                </w:p>
                <w:p w:rsidR="00F04EEF" w:rsidRDefault="00F04EEF">
                  <w:pPr>
                    <w:widowControl w:val="0"/>
                    <w:autoSpaceDE w:val="0"/>
                    <w:autoSpaceDN w:val="0"/>
                    <w:adjustRightInd w:val="0"/>
                    <w:spacing w:before="1" w:line="220" w:lineRule="exact"/>
                    <w:rPr>
                      <w:rFonts w:cs="Georgia"/>
                      <w:b/>
                      <w:color w:val="000000"/>
                      <w:spacing w:val="-1"/>
                      <w:u w:val="single"/>
                    </w:rPr>
                  </w:pPr>
                </w:p>
                <w:p w:rsidR="00F04EEF" w:rsidRDefault="0099351E">
                  <w:pPr>
                    <w:widowControl w:val="0"/>
                    <w:numPr>
                      <w:ilvl w:val="0"/>
                      <w:numId w:val="57"/>
                    </w:numPr>
                    <w:autoSpaceDE w:val="0"/>
                    <w:autoSpaceDN w:val="0"/>
                    <w:adjustRightInd w:val="0"/>
                    <w:spacing w:before="1" w:line="220" w:lineRule="exact"/>
                    <w:ind w:left="360"/>
                    <w:rPr>
                      <w:rFonts w:cs="Georgia"/>
                      <w:b/>
                      <w:color w:val="000000"/>
                      <w:spacing w:val="-1"/>
                      <w:u w:val="single"/>
                    </w:rPr>
                  </w:pPr>
                  <w:r>
                    <w:rPr>
                      <w:rFonts w:cs="Georgia"/>
                      <w:b/>
                      <w:color w:val="000000"/>
                      <w:u w:val="single"/>
                    </w:rPr>
                    <w:t>Un</w:t>
                  </w:r>
                  <w:r>
                    <w:rPr>
                      <w:rFonts w:cs="Georgia"/>
                      <w:b/>
                      <w:color w:val="000000"/>
                      <w:spacing w:val="-1"/>
                      <w:u w:val="single"/>
                    </w:rPr>
                    <w:t xml:space="preserve"> no</w:t>
                  </w:r>
                  <w:r>
                    <w:rPr>
                      <w:rFonts w:cs="Georgia"/>
                      <w:b/>
                      <w:color w:val="000000"/>
                      <w:u w:val="single"/>
                    </w:rPr>
                    <w:t>m</w:t>
                  </w:r>
                  <w:r>
                    <w:rPr>
                      <w:rFonts w:cs="Georgia"/>
                      <w:b/>
                      <w:color w:val="000000"/>
                      <w:spacing w:val="-1"/>
                      <w:u w:val="single"/>
                    </w:rPr>
                    <w:t>b</w:t>
                  </w:r>
                  <w:r>
                    <w:rPr>
                      <w:rFonts w:cs="Georgia"/>
                      <w:b/>
                      <w:color w:val="000000"/>
                      <w:spacing w:val="1"/>
                      <w:u w:val="single"/>
                    </w:rPr>
                    <w:t>r</w:t>
                  </w:r>
                  <w:r>
                    <w:rPr>
                      <w:rFonts w:cs="Georgia"/>
                      <w:b/>
                      <w:color w:val="000000"/>
                      <w:u w:val="single"/>
                    </w:rPr>
                    <w:t>e</w:t>
                  </w:r>
                  <w:r>
                    <w:rPr>
                      <w:rFonts w:cs="Georgia"/>
                      <w:b/>
                      <w:color w:val="000000"/>
                      <w:spacing w:val="-1"/>
                      <w:u w:val="single"/>
                    </w:rPr>
                    <w:t xml:space="preserve"> </w:t>
                  </w:r>
                  <w:r>
                    <w:rPr>
                      <w:rFonts w:cs="Georgia"/>
                      <w:b/>
                      <w:color w:val="000000"/>
                      <w:u w:val="single"/>
                    </w:rPr>
                    <w:t>guid</w:t>
                  </w:r>
                  <w:r>
                    <w:rPr>
                      <w:rFonts w:cs="Georgia"/>
                      <w:b/>
                      <w:color w:val="000000"/>
                      <w:spacing w:val="-1"/>
                      <w:u w:val="single"/>
                    </w:rPr>
                    <w:t>e</w:t>
                  </w:r>
                </w:p>
                <w:p w:rsidR="00F04EEF" w:rsidRDefault="00F04EEF">
                  <w:pPr>
                    <w:widowControl w:val="0"/>
                    <w:autoSpaceDE w:val="0"/>
                    <w:autoSpaceDN w:val="0"/>
                    <w:adjustRightInd w:val="0"/>
                    <w:spacing w:before="5" w:line="260" w:lineRule="exact"/>
                    <w:rPr>
                      <w:rFonts w:cs="Georgia"/>
                    </w:rPr>
                  </w:pPr>
                </w:p>
                <w:p w:rsidR="00F04EEF" w:rsidRDefault="0099351E">
                  <w:pPr>
                    <w:widowControl w:val="0"/>
                    <w:autoSpaceDE w:val="0"/>
                    <w:autoSpaceDN w:val="0"/>
                    <w:adjustRightInd w:val="0"/>
                    <w:ind w:right="-20"/>
                    <w:jc w:val="both"/>
                    <w:rPr>
                      <w:rFonts w:cs="Georgia"/>
                      <w:spacing w:val="1"/>
                    </w:rPr>
                  </w:pPr>
                  <w:r>
                    <w:rPr>
                      <w:rFonts w:cs="Georgia"/>
                      <w:spacing w:val="1"/>
                    </w:rPr>
                    <w:t>Le nombre guide est un nombre de référence intervenant dans le calcul du capital-périodes utilisable et du nombre de groupes.</w:t>
                  </w:r>
                </w:p>
                <w:p w:rsidR="00F04EEF" w:rsidRDefault="0099351E">
                  <w:pPr>
                    <w:rPr>
                      <w:rFonts w:cs="Georgia"/>
                      <w:spacing w:val="1"/>
                    </w:rPr>
                  </w:pPr>
                  <w:r>
                    <w:rPr>
                      <w:rFonts w:cs="Georgia"/>
                      <w:noProof/>
                      <w:spacing w:val="1"/>
                      <w:lang w:eastAsia="fr-BE"/>
                    </w:rPr>
                    <mc:AlternateContent>
                      <mc:Choice Requires="wps">
                        <w:drawing>
                          <wp:anchor distT="0" distB="0" distL="114300" distR="114300" simplePos="0" relativeHeight="252231680" behindDoc="0" locked="0" layoutInCell="1" allowOverlap="1">
                            <wp:simplePos x="0" y="0"/>
                            <wp:positionH relativeFrom="column">
                              <wp:posOffset>6205220</wp:posOffset>
                            </wp:positionH>
                            <wp:positionV relativeFrom="paragraph">
                              <wp:posOffset>116205</wp:posOffset>
                            </wp:positionV>
                            <wp:extent cx="0" cy="161925"/>
                            <wp:effectExtent l="0" t="0" r="19050" b="28575"/>
                            <wp:wrapNone/>
                            <wp:docPr id="522" name="Connecteur droit 522"/>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0CA2CF" id="Connecteur droit 522" o:spid="_x0000_s1026" style="position:absolute;z-index:252231680;visibility:visible;mso-wrap-style:square;mso-wrap-distance-left:9pt;mso-wrap-distance-top:0;mso-wrap-distance-right:9pt;mso-wrap-distance-bottom:0;mso-position-horizontal:absolute;mso-position-horizontal-relative:text;mso-position-vertical:absolute;mso-position-vertical-relative:text" from="488.6pt,9.15pt" to="488.6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" strokecolor="black [3213]"/>
                        </w:pict>
                      </mc:Fallback>
                    </mc:AlternateContent>
                  </w:r>
                </w:p>
                <w:p w:rsidR="00F04EEF" w:rsidRDefault="0099351E">
                  <w:pPr>
                    <w:rPr>
                      <w:rFonts w:asciiTheme="majorHAnsi" w:hAnsiTheme="majorHAnsi" w:cs="Georgia"/>
                      <w:spacing w:val="1"/>
                    </w:rPr>
                  </w:pPr>
                  <w:r>
                    <w:rPr>
                      <w:rFonts w:asciiTheme="majorHAnsi" w:hAnsiTheme="majorHAnsi" w:cs="Georgia"/>
                      <w:spacing w:val="1"/>
                    </w:rPr>
                    <w:br w:type="page"/>
                  </w:r>
                </w:p>
                <w:p w:rsidR="00F04EEF" w:rsidRDefault="0099351E">
                  <w:pPr>
                    <w:widowControl w:val="0"/>
                    <w:tabs>
                      <w:tab w:val="left" w:pos="820"/>
                    </w:tabs>
                    <w:autoSpaceDE w:val="0"/>
                    <w:autoSpaceDN w:val="0"/>
                    <w:adjustRightInd w:val="0"/>
                    <w:ind w:right="-20"/>
                    <w:jc w:val="both"/>
                    <w:rPr>
                      <w:rFonts w:asciiTheme="majorHAnsi" w:hAnsiTheme="majorHAnsi" w:cs="Georgia"/>
                    </w:rPr>
                  </w:pPr>
                  <w:r>
                    <w:rPr>
                      <w:rFonts w:asciiTheme="majorHAnsi" w:hAnsiTheme="majorHAnsi" w:cs="Georgia"/>
                      <w:spacing w:val="1"/>
                    </w:rPr>
                    <w:t>Les nombres guides propres à chaque type et forme d’enseignement sont fixés comme suit</w:t>
                  </w:r>
                  <w:r>
                    <w:rPr>
                      <w:rFonts w:asciiTheme="majorHAnsi" w:hAnsiTheme="majorHAnsi" w:cs="Georgia"/>
                    </w:rPr>
                    <w:t> :</w:t>
                  </w:r>
                </w:p>
                <w:p w:rsidR="00F04EEF" w:rsidRDefault="00F04EEF">
                  <w:pPr>
                    <w:widowControl w:val="0"/>
                    <w:tabs>
                      <w:tab w:val="left" w:pos="820"/>
                    </w:tabs>
                    <w:autoSpaceDE w:val="0"/>
                    <w:autoSpaceDN w:val="0"/>
                    <w:adjustRightInd w:val="0"/>
                    <w:ind w:right="-20"/>
                    <w:rPr>
                      <w:rFonts w:cs="Georgia"/>
                    </w:rPr>
                  </w:pPr>
                </w:p>
                <w:tbl>
                  <w:tblPr>
                    <w:tblW w:w="8904" w:type="dxa"/>
                    <w:jc w:val="center"/>
                    <w:tblLayout w:type="fixed"/>
                    <w:tblCellMar>
                      <w:left w:w="0" w:type="dxa"/>
                      <w:right w:w="0" w:type="dxa"/>
                    </w:tblCellMar>
                    <w:tblLook w:val="0000" w:firstRow="0" w:lastRow="0" w:firstColumn="0" w:lastColumn="0" w:noHBand="0" w:noVBand="0"/>
                  </w:tblPr>
                  <w:tblGrid>
                    <w:gridCol w:w="2675"/>
                    <w:gridCol w:w="1619"/>
                    <w:gridCol w:w="1420"/>
                    <w:gridCol w:w="1583"/>
                    <w:gridCol w:w="1607"/>
                  </w:tblGrid>
                  <w:tr w:rsidR="00F04EEF">
                    <w:trPr>
                      <w:trHeight w:hRule="exact" w:val="544"/>
                      <w:jc w:val="center"/>
                    </w:trPr>
                    <w:tc>
                      <w:tcPr>
                        <w:tcW w:w="2675" w:type="dxa"/>
                        <w:vMerge w:val="restart"/>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16"/>
                          <w:jc w:val="center"/>
                          <w:rPr>
                            <w:rFonts w:cs="Georgia"/>
                            <w:b/>
                          </w:rPr>
                        </w:pPr>
                        <w:r>
                          <w:rPr>
                            <w:rFonts w:cs="Georgia"/>
                            <w:b/>
                          </w:rPr>
                          <w:t>T</w:t>
                        </w:r>
                        <w:r>
                          <w:rPr>
                            <w:rFonts w:cs="Georgia"/>
                            <w:b/>
                            <w:spacing w:val="-1"/>
                          </w:rPr>
                          <w:t>y</w:t>
                        </w:r>
                        <w:r>
                          <w:rPr>
                            <w:rFonts w:cs="Georgia"/>
                            <w:b/>
                            <w:spacing w:val="1"/>
                          </w:rPr>
                          <w:t>p</w:t>
                        </w:r>
                        <w:r>
                          <w:rPr>
                            <w:rFonts w:cs="Georgia"/>
                            <w:b/>
                            <w:spacing w:val="-1"/>
                          </w:rPr>
                          <w:t>es</w:t>
                        </w:r>
                      </w:p>
                      <w:p w:rsidR="00F04EEF" w:rsidRDefault="00F04EEF">
                        <w:pPr>
                          <w:widowControl w:val="0"/>
                          <w:autoSpaceDE w:val="0"/>
                          <w:autoSpaceDN w:val="0"/>
                          <w:adjustRightInd w:val="0"/>
                          <w:spacing w:before="3" w:line="160" w:lineRule="exact"/>
                          <w:ind w:right="16"/>
                          <w:jc w:val="center"/>
                          <w:rPr>
                            <w:b/>
                          </w:rPr>
                        </w:pPr>
                      </w:p>
                      <w:p w:rsidR="00F04EEF" w:rsidRDefault="0099351E">
                        <w:pPr>
                          <w:widowControl w:val="0"/>
                          <w:autoSpaceDE w:val="0"/>
                          <w:autoSpaceDN w:val="0"/>
                          <w:adjustRightInd w:val="0"/>
                          <w:ind w:right="16"/>
                          <w:jc w:val="center"/>
                        </w:pPr>
                        <w:r>
                          <w:rPr>
                            <w:rFonts w:cs="Georgia"/>
                            <w:b/>
                          </w:rPr>
                          <w:t>d</w:t>
                        </w:r>
                        <w:r>
                          <w:rPr>
                            <w:rFonts w:cs="Georgia"/>
                            <w:b/>
                            <w:spacing w:val="1"/>
                          </w:rPr>
                          <w:t>'</w:t>
                        </w:r>
                        <w:r>
                          <w:rPr>
                            <w:rFonts w:cs="Georgia"/>
                            <w:b/>
                            <w:spacing w:val="-1"/>
                          </w:rPr>
                          <w:t>en</w:t>
                        </w:r>
                        <w:r>
                          <w:rPr>
                            <w:rFonts w:cs="Georgia"/>
                            <w:b/>
                            <w:spacing w:val="1"/>
                          </w:rPr>
                          <w:t>s</w:t>
                        </w:r>
                        <w:r>
                          <w:rPr>
                            <w:rFonts w:cs="Georgia"/>
                            <w:b/>
                            <w:spacing w:val="-1"/>
                          </w:rPr>
                          <w:t>e</w:t>
                        </w:r>
                        <w:r>
                          <w:rPr>
                            <w:rFonts w:cs="Georgia"/>
                            <w:b/>
                          </w:rPr>
                          <w:t>ig</w:t>
                        </w:r>
                        <w:r>
                          <w:rPr>
                            <w:rFonts w:cs="Georgia"/>
                            <w:b/>
                            <w:spacing w:val="-1"/>
                          </w:rPr>
                          <w:t>ne</w:t>
                        </w:r>
                        <w:r>
                          <w:rPr>
                            <w:rFonts w:cs="Georgia"/>
                            <w:b/>
                          </w:rPr>
                          <w:t>m</w:t>
                        </w:r>
                        <w:r>
                          <w:rPr>
                            <w:rFonts w:cs="Georgia"/>
                            <w:b/>
                            <w:spacing w:val="-1"/>
                          </w:rPr>
                          <w:t>en</w:t>
                        </w:r>
                        <w:r>
                          <w:rPr>
                            <w:rFonts w:cs="Georgia"/>
                            <w:b/>
                          </w:rPr>
                          <w:t>t</w:t>
                        </w: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16"/>
                          <w:jc w:val="center"/>
                          <w:rPr>
                            <w:b/>
                          </w:rPr>
                        </w:pPr>
                        <w:r>
                          <w:rPr>
                            <w:rFonts w:cs="Georgia"/>
                            <w:b/>
                          </w:rPr>
                          <w:t>F</w:t>
                        </w:r>
                        <w:r>
                          <w:rPr>
                            <w:rFonts w:cs="Georgia"/>
                            <w:b/>
                            <w:spacing w:val="1"/>
                          </w:rPr>
                          <w:t>or</w:t>
                        </w:r>
                        <w:r>
                          <w:rPr>
                            <w:rFonts w:cs="Georgia"/>
                            <w:b/>
                          </w:rPr>
                          <w:t>m</w:t>
                        </w:r>
                        <w:r>
                          <w:rPr>
                            <w:rFonts w:cs="Georgia"/>
                            <w:b/>
                            <w:spacing w:val="-1"/>
                          </w:rPr>
                          <w:t>e</w:t>
                        </w:r>
                        <w:r>
                          <w:rPr>
                            <w:rFonts w:cs="Georgia"/>
                            <w:b/>
                          </w:rPr>
                          <w:t>s</w:t>
                        </w:r>
                        <w:r>
                          <w:rPr>
                            <w:rFonts w:cs="Georgia"/>
                            <w:b/>
                            <w:spacing w:val="-2"/>
                          </w:rPr>
                          <w:t xml:space="preserve"> </w:t>
                        </w:r>
                        <w:r>
                          <w:rPr>
                            <w:rFonts w:cs="Georgia"/>
                            <w:b/>
                          </w:rPr>
                          <w:t>d</w:t>
                        </w:r>
                        <w:r>
                          <w:rPr>
                            <w:rFonts w:cs="Georgia"/>
                            <w:b/>
                            <w:spacing w:val="1"/>
                          </w:rPr>
                          <w:t>'</w:t>
                        </w:r>
                        <w:r>
                          <w:rPr>
                            <w:rFonts w:cs="Georgia"/>
                            <w:b/>
                            <w:spacing w:val="-1"/>
                          </w:rPr>
                          <w:t>en</w:t>
                        </w:r>
                        <w:r>
                          <w:rPr>
                            <w:rFonts w:cs="Georgia"/>
                            <w:b/>
                            <w:spacing w:val="1"/>
                          </w:rPr>
                          <w:t>s</w:t>
                        </w:r>
                        <w:r>
                          <w:rPr>
                            <w:rFonts w:cs="Georgia"/>
                            <w:b/>
                            <w:spacing w:val="-1"/>
                          </w:rPr>
                          <w:t>e</w:t>
                        </w:r>
                        <w:r>
                          <w:rPr>
                            <w:rFonts w:cs="Georgia"/>
                            <w:b/>
                          </w:rPr>
                          <w:t>ig</w:t>
                        </w:r>
                        <w:r>
                          <w:rPr>
                            <w:rFonts w:cs="Georgia"/>
                            <w:b/>
                            <w:spacing w:val="-1"/>
                          </w:rPr>
                          <w:t>ne</w:t>
                        </w:r>
                        <w:r>
                          <w:rPr>
                            <w:rFonts w:cs="Georgia"/>
                            <w:b/>
                          </w:rPr>
                          <w:t>m</w:t>
                        </w:r>
                        <w:r>
                          <w:rPr>
                            <w:rFonts w:cs="Georgia"/>
                            <w:b/>
                            <w:spacing w:val="-1"/>
                          </w:rPr>
                          <w:t>en</w:t>
                        </w:r>
                        <w:r>
                          <w:rPr>
                            <w:rFonts w:cs="Georgia"/>
                            <w:b/>
                          </w:rPr>
                          <w:t>t</w:t>
                        </w:r>
                      </w:p>
                    </w:tc>
                  </w:tr>
                  <w:tr w:rsidR="00F04EEF">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rsidR="00F04EEF" w:rsidRDefault="00F04EEF">
                        <w:pPr>
                          <w:widowControl w:val="0"/>
                          <w:autoSpaceDE w:val="0"/>
                          <w:autoSpaceDN w:val="0"/>
                          <w:adjustRightInd w:val="0"/>
                          <w:spacing w:line="249" w:lineRule="exact"/>
                          <w:ind w:right="16"/>
                        </w:pPr>
                      </w:p>
                    </w:tc>
                    <w:tc>
                      <w:tcPr>
                        <w:tcW w:w="16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16"/>
                          <w:jc w:val="center"/>
                        </w:pPr>
                        <w:r>
                          <w:rPr>
                            <w:rFonts w:cs="Georgia"/>
                          </w:rPr>
                          <w:t>1</w:t>
                        </w:r>
                      </w:p>
                    </w:tc>
                    <w:tc>
                      <w:tcPr>
                        <w:tcW w:w="14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16"/>
                          <w:jc w:val="center"/>
                        </w:pPr>
                        <w:r>
                          <w:rPr>
                            <w:rFonts w:cs="Georgia"/>
                          </w:rPr>
                          <w:t>2</w:t>
                        </w:r>
                      </w:p>
                    </w:tc>
                    <w:tc>
                      <w:tcPr>
                        <w:tcW w:w="1583"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16"/>
                          <w:jc w:val="center"/>
                        </w:pPr>
                        <w:r>
                          <w:rPr>
                            <w:rFonts w:cs="Georgia"/>
                          </w:rPr>
                          <w:t>3</w:t>
                        </w:r>
                      </w:p>
                    </w:tc>
                    <w:tc>
                      <w:tcPr>
                        <w:tcW w:w="1607"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16"/>
                          <w:jc w:val="center"/>
                        </w:pPr>
                        <w:r>
                          <w:rPr>
                            <w:rFonts w:cs="Georgia"/>
                          </w:rPr>
                          <w:t>4</w:t>
                        </w:r>
                      </w:p>
                    </w:tc>
                  </w:tr>
                  <w:tr w:rsidR="00F04EEF">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rsidR="00F04EEF" w:rsidRDefault="00F04EEF">
                        <w:pPr>
                          <w:widowControl w:val="0"/>
                          <w:autoSpaceDE w:val="0"/>
                          <w:autoSpaceDN w:val="0"/>
                          <w:adjustRightInd w:val="0"/>
                          <w:spacing w:line="249" w:lineRule="exact"/>
                          <w:ind w:right="16"/>
                        </w:pP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16"/>
                          <w:jc w:val="center"/>
                          <w:rPr>
                            <w:b/>
                          </w:rPr>
                        </w:pPr>
                        <w:r>
                          <w:rPr>
                            <w:b/>
                          </w:rPr>
                          <w:t>Nombre guide</w:t>
                        </w:r>
                      </w:p>
                    </w:tc>
                  </w:tr>
                  <w:tr w:rsidR="00F04EEF">
                    <w:trPr>
                      <w:trHeight w:hRule="exact" w:val="2323"/>
                      <w:jc w:val="center"/>
                    </w:trPr>
                    <w:tc>
                      <w:tcPr>
                        <w:tcW w:w="2675"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9" w:lineRule="exact"/>
                          <w:ind w:right="16"/>
                          <w:jc w:val="center"/>
                          <w:rPr>
                            <w:rFonts w:cs="Georgia"/>
                          </w:rPr>
                        </w:pPr>
                        <w:r>
                          <w:rPr>
                            <w:rFonts w:cs="Georgia"/>
                          </w:rPr>
                          <w:t>1</w:t>
                        </w:r>
                      </w:p>
                      <w:p w:rsidR="00F04EEF" w:rsidRDefault="0099351E">
                        <w:pPr>
                          <w:widowControl w:val="0"/>
                          <w:autoSpaceDE w:val="0"/>
                          <w:autoSpaceDN w:val="0"/>
                          <w:adjustRightInd w:val="0"/>
                          <w:spacing w:before="2"/>
                          <w:ind w:right="16"/>
                          <w:jc w:val="center"/>
                          <w:rPr>
                            <w:rFonts w:cs="Georgia"/>
                          </w:rPr>
                        </w:pPr>
                        <w:r>
                          <w:rPr>
                            <w:rFonts w:cs="Georgia"/>
                          </w:rPr>
                          <w:t>2</w:t>
                        </w:r>
                      </w:p>
                      <w:p w:rsidR="00F04EEF" w:rsidRDefault="0099351E">
                        <w:pPr>
                          <w:widowControl w:val="0"/>
                          <w:autoSpaceDE w:val="0"/>
                          <w:autoSpaceDN w:val="0"/>
                          <w:adjustRightInd w:val="0"/>
                          <w:spacing w:line="250" w:lineRule="exact"/>
                          <w:ind w:right="16"/>
                          <w:jc w:val="center"/>
                          <w:rPr>
                            <w:rFonts w:cs="Georgia"/>
                          </w:rPr>
                        </w:pPr>
                        <w:r>
                          <w:rPr>
                            <w:rFonts w:cs="Georgia"/>
                          </w:rPr>
                          <w:t>3</w:t>
                        </w:r>
                      </w:p>
                      <w:p w:rsidR="00F04EEF" w:rsidRDefault="0099351E">
                        <w:pPr>
                          <w:widowControl w:val="0"/>
                          <w:autoSpaceDE w:val="0"/>
                          <w:autoSpaceDN w:val="0"/>
                          <w:adjustRightInd w:val="0"/>
                          <w:spacing w:line="250" w:lineRule="exact"/>
                          <w:ind w:right="16"/>
                          <w:jc w:val="center"/>
                          <w:rPr>
                            <w:rFonts w:cs="Georgia"/>
                          </w:rPr>
                        </w:pPr>
                        <w:r>
                          <w:rPr>
                            <w:rFonts w:cs="Georgia"/>
                          </w:rPr>
                          <w:t>4</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spacing w:line="250" w:lineRule="exact"/>
                          <w:ind w:right="16"/>
                          <w:jc w:val="center"/>
                          <w:rPr>
                            <w:rFonts w:cs="Georgia"/>
                          </w:rPr>
                        </w:pPr>
                        <w:r>
                          <w:rPr>
                            <w:rFonts w:cs="Georgia"/>
                          </w:rPr>
                          <w:t>6</w:t>
                        </w:r>
                      </w:p>
                      <w:p w:rsidR="00F04EEF" w:rsidRDefault="0099351E">
                        <w:pPr>
                          <w:widowControl w:val="0"/>
                          <w:autoSpaceDE w:val="0"/>
                          <w:autoSpaceDN w:val="0"/>
                          <w:adjustRightInd w:val="0"/>
                          <w:ind w:right="16"/>
                          <w:jc w:val="center"/>
                          <w:rPr>
                            <w:rFonts w:cs="Georgia"/>
                          </w:rPr>
                        </w:pPr>
                        <w:r>
                          <w:rPr>
                            <w:rFonts w:cs="Georgia"/>
                          </w:rPr>
                          <w:t>7</w:t>
                        </w:r>
                      </w:p>
                      <w:p w:rsidR="00F04EEF" w:rsidRDefault="0099351E">
                        <w:pPr>
                          <w:widowControl w:val="0"/>
                          <w:autoSpaceDE w:val="0"/>
                          <w:autoSpaceDN w:val="0"/>
                          <w:adjustRightInd w:val="0"/>
                          <w:ind w:right="16"/>
                          <w:jc w:val="center"/>
                          <w:rPr>
                            <w:rFonts w:cs="Georgia"/>
                          </w:rPr>
                        </w:pPr>
                        <w:r>
                          <w:rPr>
                            <w:rFonts w:cs="Georgia"/>
                          </w:rPr>
                          <w:t>8</w:t>
                        </w:r>
                      </w:p>
                      <w:p w:rsidR="00F04EEF" w:rsidRDefault="00F04EEF">
                        <w:pPr>
                          <w:widowControl w:val="0"/>
                          <w:autoSpaceDE w:val="0"/>
                          <w:autoSpaceDN w:val="0"/>
                          <w:adjustRightInd w:val="0"/>
                          <w:ind w:right="16"/>
                        </w:pPr>
                      </w:p>
                    </w:tc>
                    <w:tc>
                      <w:tcPr>
                        <w:tcW w:w="1619"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9" w:lineRule="exact"/>
                          <w:ind w:right="16"/>
                          <w:jc w:val="center"/>
                          <w:rPr>
                            <w:rFonts w:cs="Georgia"/>
                          </w:rPr>
                        </w:pPr>
                        <w:r>
                          <w:rPr>
                            <w:rFonts w:cs="Georgia"/>
                          </w:rPr>
                          <w:t>-</w:t>
                        </w:r>
                      </w:p>
                      <w:p w:rsidR="00F04EEF" w:rsidRDefault="0099351E">
                        <w:pPr>
                          <w:widowControl w:val="0"/>
                          <w:autoSpaceDE w:val="0"/>
                          <w:autoSpaceDN w:val="0"/>
                          <w:adjustRightInd w:val="0"/>
                          <w:spacing w:before="2"/>
                          <w:ind w:right="16"/>
                          <w:jc w:val="center"/>
                          <w:rPr>
                            <w:rFonts w:cs="Georgia"/>
                          </w:rPr>
                        </w:pPr>
                        <w:r>
                          <w:rPr>
                            <w:rFonts w:cs="Georgia"/>
                          </w:rPr>
                          <w:t>6</w:t>
                        </w:r>
                      </w:p>
                      <w:p w:rsidR="00F04EEF" w:rsidRDefault="0099351E">
                        <w:pPr>
                          <w:widowControl w:val="0"/>
                          <w:autoSpaceDE w:val="0"/>
                          <w:autoSpaceDN w:val="0"/>
                          <w:adjustRightInd w:val="0"/>
                          <w:spacing w:line="250" w:lineRule="exact"/>
                          <w:ind w:right="16"/>
                          <w:jc w:val="center"/>
                          <w:rPr>
                            <w:rFonts w:cs="Georgia"/>
                          </w:rPr>
                        </w:pPr>
                        <w:r>
                          <w:rPr>
                            <w:rFonts w:cs="Georgia"/>
                          </w:rPr>
                          <w:t>6</w:t>
                        </w:r>
                      </w:p>
                      <w:p w:rsidR="00F04EEF" w:rsidRDefault="0099351E">
                        <w:pPr>
                          <w:widowControl w:val="0"/>
                          <w:autoSpaceDE w:val="0"/>
                          <w:autoSpaceDN w:val="0"/>
                          <w:adjustRightInd w:val="0"/>
                          <w:spacing w:line="250" w:lineRule="exact"/>
                          <w:ind w:right="16"/>
                          <w:jc w:val="center"/>
                          <w:rPr>
                            <w:rFonts w:cs="Georgia"/>
                          </w:rPr>
                        </w:pPr>
                        <w:r>
                          <w:rPr>
                            <w:rFonts w:cs="Georgia"/>
                          </w:rPr>
                          <w:t>6</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ind w:right="16"/>
                          <w:jc w:val="center"/>
                          <w:rPr>
                            <w:rFonts w:cs="Georgia"/>
                          </w:rPr>
                        </w:pPr>
                        <w:r>
                          <w:rPr>
                            <w:rFonts w:cs="Georgia"/>
                          </w:rPr>
                          <w:t>5</w:t>
                        </w:r>
                      </w:p>
                      <w:p w:rsidR="00F04EEF" w:rsidRDefault="0099351E">
                        <w:pPr>
                          <w:widowControl w:val="0"/>
                          <w:autoSpaceDE w:val="0"/>
                          <w:autoSpaceDN w:val="0"/>
                          <w:adjustRightInd w:val="0"/>
                          <w:ind w:right="16"/>
                          <w:jc w:val="center"/>
                        </w:pPr>
                        <w:r>
                          <w:t>-</w:t>
                        </w:r>
                      </w:p>
                    </w:tc>
                    <w:tc>
                      <w:tcPr>
                        <w:tcW w:w="1420"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9" w:lineRule="exact"/>
                          <w:ind w:right="16"/>
                          <w:jc w:val="center"/>
                          <w:rPr>
                            <w:rFonts w:cs="Georgia"/>
                          </w:rPr>
                        </w:pPr>
                        <w:r>
                          <w:rPr>
                            <w:rFonts w:cs="Georgia"/>
                          </w:rPr>
                          <w:t>-</w:t>
                        </w:r>
                      </w:p>
                      <w:p w:rsidR="00F04EEF" w:rsidRDefault="0099351E">
                        <w:pPr>
                          <w:widowControl w:val="0"/>
                          <w:autoSpaceDE w:val="0"/>
                          <w:autoSpaceDN w:val="0"/>
                          <w:adjustRightInd w:val="0"/>
                          <w:spacing w:before="2"/>
                          <w:ind w:right="16"/>
                          <w:jc w:val="center"/>
                          <w:rPr>
                            <w:rFonts w:cs="Georgia"/>
                          </w:rPr>
                        </w:pPr>
                        <w:r>
                          <w:rPr>
                            <w:rFonts w:cs="Georgia"/>
                          </w:rPr>
                          <w:t>7</w:t>
                        </w:r>
                      </w:p>
                      <w:p w:rsidR="00F04EEF" w:rsidRDefault="0099351E">
                        <w:pPr>
                          <w:widowControl w:val="0"/>
                          <w:autoSpaceDE w:val="0"/>
                          <w:autoSpaceDN w:val="0"/>
                          <w:adjustRightInd w:val="0"/>
                          <w:spacing w:line="250" w:lineRule="exact"/>
                          <w:ind w:right="16"/>
                          <w:jc w:val="center"/>
                          <w:rPr>
                            <w:rFonts w:cs="Georgia"/>
                          </w:rPr>
                        </w:pPr>
                        <w:r>
                          <w:rPr>
                            <w:rFonts w:cs="Georgia"/>
                          </w:rPr>
                          <w:t>7</w:t>
                        </w:r>
                      </w:p>
                      <w:p w:rsidR="00F04EEF" w:rsidRDefault="0099351E">
                        <w:pPr>
                          <w:widowControl w:val="0"/>
                          <w:autoSpaceDE w:val="0"/>
                          <w:autoSpaceDN w:val="0"/>
                          <w:adjustRightInd w:val="0"/>
                          <w:spacing w:line="250" w:lineRule="exact"/>
                          <w:ind w:right="16"/>
                          <w:jc w:val="center"/>
                          <w:rPr>
                            <w:rFonts w:cs="Georgia"/>
                          </w:rPr>
                        </w:pPr>
                        <w:r>
                          <w:rPr>
                            <w:rFonts w:cs="Georgia"/>
                          </w:rPr>
                          <w:t>6</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ind w:right="16"/>
                          <w:jc w:val="center"/>
                          <w:rPr>
                            <w:rFonts w:cs="Georgia"/>
                          </w:rPr>
                        </w:pPr>
                        <w:r>
                          <w:rPr>
                            <w:rFonts w:cs="Georgia"/>
                          </w:rPr>
                          <w:t>5</w:t>
                        </w:r>
                      </w:p>
                      <w:p w:rsidR="00F04EEF" w:rsidRDefault="0099351E">
                        <w:pPr>
                          <w:widowControl w:val="0"/>
                          <w:autoSpaceDE w:val="0"/>
                          <w:autoSpaceDN w:val="0"/>
                          <w:adjustRightInd w:val="0"/>
                          <w:ind w:right="16"/>
                          <w:jc w:val="center"/>
                        </w:pPr>
                        <w:r>
                          <w:rPr>
                            <w:rFonts w:cs="Georgia"/>
                          </w:rPr>
                          <w:t>-</w:t>
                        </w:r>
                      </w:p>
                    </w:tc>
                    <w:tc>
                      <w:tcPr>
                        <w:tcW w:w="1583"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9" w:lineRule="exact"/>
                          <w:ind w:right="16"/>
                          <w:jc w:val="center"/>
                          <w:rPr>
                            <w:rFonts w:cs="Georgia"/>
                          </w:rPr>
                        </w:pPr>
                        <w:r>
                          <w:rPr>
                            <w:rFonts w:cs="Georgia"/>
                          </w:rPr>
                          <w:t>7</w:t>
                        </w:r>
                      </w:p>
                      <w:p w:rsidR="00F04EEF" w:rsidRDefault="0099351E">
                        <w:pPr>
                          <w:widowControl w:val="0"/>
                          <w:autoSpaceDE w:val="0"/>
                          <w:autoSpaceDN w:val="0"/>
                          <w:adjustRightInd w:val="0"/>
                          <w:spacing w:before="2"/>
                          <w:ind w:right="16"/>
                          <w:jc w:val="center"/>
                          <w:rPr>
                            <w:rFonts w:cs="Georgia"/>
                          </w:rPr>
                        </w:pPr>
                        <w:r>
                          <w:rPr>
                            <w:rFonts w:cs="Georgia"/>
                          </w:rPr>
                          <w:t>-</w:t>
                        </w:r>
                      </w:p>
                      <w:p w:rsidR="00F04EEF" w:rsidRDefault="0099351E">
                        <w:pPr>
                          <w:widowControl w:val="0"/>
                          <w:autoSpaceDE w:val="0"/>
                          <w:autoSpaceDN w:val="0"/>
                          <w:adjustRightInd w:val="0"/>
                          <w:spacing w:line="250" w:lineRule="exact"/>
                          <w:ind w:right="16"/>
                          <w:jc w:val="center"/>
                          <w:rPr>
                            <w:rFonts w:cs="Georgia"/>
                          </w:rPr>
                        </w:pPr>
                        <w:r>
                          <w:rPr>
                            <w:rFonts w:cs="Georgia"/>
                          </w:rPr>
                          <w:t>7</w:t>
                        </w:r>
                      </w:p>
                      <w:p w:rsidR="00F04EEF" w:rsidRDefault="0099351E">
                        <w:pPr>
                          <w:widowControl w:val="0"/>
                          <w:autoSpaceDE w:val="0"/>
                          <w:autoSpaceDN w:val="0"/>
                          <w:adjustRightInd w:val="0"/>
                          <w:spacing w:line="250" w:lineRule="exact"/>
                          <w:ind w:right="16"/>
                          <w:jc w:val="center"/>
                          <w:rPr>
                            <w:rFonts w:cs="Georgia"/>
                          </w:rPr>
                        </w:pPr>
                        <w:r>
                          <w:rPr>
                            <w:rFonts w:cs="Georgia"/>
                          </w:rPr>
                          <w:t>6</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ind w:right="16"/>
                          <w:jc w:val="center"/>
                          <w:rPr>
                            <w:rFonts w:cs="Georgia"/>
                          </w:rPr>
                        </w:pPr>
                        <w:r>
                          <w:rPr>
                            <w:rFonts w:cs="Georgia"/>
                          </w:rPr>
                          <w:t>5</w:t>
                        </w:r>
                      </w:p>
                      <w:p w:rsidR="00F04EEF" w:rsidRDefault="0099351E">
                        <w:pPr>
                          <w:widowControl w:val="0"/>
                          <w:autoSpaceDE w:val="0"/>
                          <w:autoSpaceDN w:val="0"/>
                          <w:adjustRightInd w:val="0"/>
                          <w:ind w:right="16"/>
                          <w:jc w:val="center"/>
                        </w:pPr>
                        <w:r>
                          <w:rPr>
                            <w:rFonts w:cs="Georgia"/>
                          </w:rPr>
                          <w:t>7</w:t>
                        </w:r>
                      </w:p>
                    </w:tc>
                    <w:tc>
                      <w:tcPr>
                        <w:tcW w:w="1607"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9" w:lineRule="exact"/>
                          <w:ind w:right="16"/>
                          <w:jc w:val="center"/>
                          <w:rPr>
                            <w:rFonts w:cs="Georgia"/>
                          </w:rPr>
                        </w:pPr>
                        <w:r>
                          <w:rPr>
                            <w:rFonts w:cs="Georgia"/>
                          </w:rPr>
                          <w:t>-</w:t>
                        </w:r>
                      </w:p>
                      <w:p w:rsidR="00F04EEF" w:rsidRDefault="0099351E">
                        <w:pPr>
                          <w:widowControl w:val="0"/>
                          <w:autoSpaceDE w:val="0"/>
                          <w:autoSpaceDN w:val="0"/>
                          <w:adjustRightInd w:val="0"/>
                          <w:spacing w:before="2"/>
                          <w:ind w:right="16"/>
                          <w:jc w:val="center"/>
                          <w:rPr>
                            <w:rFonts w:cs="Georgia"/>
                          </w:rPr>
                        </w:pPr>
                        <w:r>
                          <w:rPr>
                            <w:rFonts w:cs="Georgia"/>
                          </w:rPr>
                          <w:t>-</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spacing w:line="250" w:lineRule="exact"/>
                          <w:ind w:right="16"/>
                          <w:jc w:val="center"/>
                          <w:rPr>
                            <w:rFonts w:cs="Georgia"/>
                          </w:rPr>
                        </w:pPr>
                        <w:r>
                          <w:rPr>
                            <w:rFonts w:cs="Georgia"/>
                          </w:rPr>
                          <w:t>5</w:t>
                        </w:r>
                      </w:p>
                      <w:p w:rsidR="00F04EEF" w:rsidRDefault="0099351E">
                        <w:pPr>
                          <w:widowControl w:val="0"/>
                          <w:autoSpaceDE w:val="0"/>
                          <w:autoSpaceDN w:val="0"/>
                          <w:adjustRightInd w:val="0"/>
                          <w:ind w:right="16"/>
                          <w:jc w:val="center"/>
                          <w:rPr>
                            <w:rFonts w:cs="Georgia"/>
                          </w:rPr>
                        </w:pPr>
                        <w:r>
                          <w:rPr>
                            <w:rFonts w:cs="Georgia"/>
                          </w:rPr>
                          <w:t>5</w:t>
                        </w:r>
                      </w:p>
                      <w:p w:rsidR="00F04EEF" w:rsidRDefault="0099351E">
                        <w:pPr>
                          <w:widowControl w:val="0"/>
                          <w:autoSpaceDE w:val="0"/>
                          <w:autoSpaceDN w:val="0"/>
                          <w:adjustRightInd w:val="0"/>
                          <w:ind w:right="16"/>
                          <w:jc w:val="center"/>
                        </w:pPr>
                        <w:r>
                          <w:rPr>
                            <w:rFonts w:cs="Georgia"/>
                          </w:rPr>
                          <w:t>-</w:t>
                        </w:r>
                      </w:p>
                    </w:tc>
                  </w:tr>
                </w:tbl>
                <w:p w:rsidR="00F04EEF" w:rsidRDefault="00F04EEF">
                  <w:pPr>
                    <w:widowControl w:val="0"/>
                    <w:autoSpaceDE w:val="0"/>
                    <w:autoSpaceDN w:val="0"/>
                    <w:adjustRightInd w:val="0"/>
                    <w:spacing w:line="250" w:lineRule="exact"/>
                    <w:ind w:right="-20"/>
                    <w:rPr>
                      <w:rFonts w:cs="Georgia"/>
                      <w:spacing w:val="1"/>
                    </w:rPr>
                  </w:pPr>
                </w:p>
                <w:p w:rsidR="00F04EEF" w:rsidRDefault="00F04EEF"/>
                <w:p w:rsidR="00F04EEF" w:rsidRDefault="0099351E">
                  <w:pPr>
                    <w:pStyle w:val="Titre4"/>
                  </w:pPr>
                  <w:bookmarkStart w:id="1928" w:name="_1.3._Capital-périodes_utilisable"/>
                  <w:bookmarkStart w:id="1929" w:name="_Toc453314315"/>
                  <w:bookmarkStart w:id="1930" w:name="_Toc454980350"/>
                  <w:bookmarkEnd w:id="1928"/>
                  <w:r>
                    <w:t>1.</w:t>
                  </w:r>
                  <w:r>
                    <w:rPr>
                      <w:spacing w:val="-1"/>
                    </w:rPr>
                    <w:t>3.</w:t>
                  </w:r>
                  <w:r>
                    <w:t xml:space="preserve"> Ca</w:t>
                  </w:r>
                  <w:r>
                    <w:rPr>
                      <w:spacing w:val="-1"/>
                    </w:rPr>
                    <w:t>p</w:t>
                  </w:r>
                  <w:r>
                    <w:t>it</w:t>
                  </w:r>
                  <w:r>
                    <w:rPr>
                      <w:spacing w:val="-2"/>
                    </w:rPr>
                    <w:t>a</w:t>
                  </w:r>
                  <w:r>
                    <w:t>l</w:t>
                  </w:r>
                  <w:r>
                    <w:rPr>
                      <w:spacing w:val="-2"/>
                    </w:rPr>
                    <w:t>-</w:t>
                  </w:r>
                  <w:r>
                    <w:t>p</w:t>
                  </w:r>
                  <w:r>
                    <w:rPr>
                      <w:spacing w:val="-2"/>
                    </w:rPr>
                    <w:t>é</w:t>
                  </w:r>
                  <w:r>
                    <w:t>ri</w:t>
                  </w:r>
                  <w:r>
                    <w:rPr>
                      <w:spacing w:val="-1"/>
                    </w:rPr>
                    <w:t>o</w:t>
                  </w:r>
                  <w:r>
                    <w:rPr>
                      <w:spacing w:val="-2"/>
                    </w:rPr>
                    <w:t>d</w:t>
                  </w:r>
                  <w:r>
                    <w:t>es</w:t>
                  </w:r>
                  <w:r>
                    <w:rPr>
                      <w:spacing w:val="-4"/>
                    </w:rPr>
                    <w:t xml:space="preserve"> </w:t>
                  </w:r>
                  <w:r>
                    <w:rPr>
                      <w:spacing w:val="-1"/>
                    </w:rPr>
                    <w:t>u</w:t>
                  </w:r>
                  <w:r>
                    <w:t>t</w:t>
                  </w:r>
                  <w:r>
                    <w:rPr>
                      <w:spacing w:val="-1"/>
                    </w:rPr>
                    <w:t>i</w:t>
                  </w:r>
                  <w:r>
                    <w:t>li</w:t>
                  </w:r>
                  <w:r>
                    <w:rPr>
                      <w:spacing w:val="-3"/>
                    </w:rPr>
                    <w:t>s</w:t>
                  </w:r>
                  <w:r>
                    <w:t>a</w:t>
                  </w:r>
                  <w:r>
                    <w:rPr>
                      <w:spacing w:val="-1"/>
                    </w:rPr>
                    <w:t>b</w:t>
                  </w:r>
                  <w:r>
                    <w:t>le</w:t>
                  </w:r>
                  <w:bookmarkEnd w:id="1929"/>
                  <w:bookmarkEnd w:id="1930"/>
                </w:p>
                <w:p w:rsidR="00F04EEF" w:rsidRDefault="00F04EEF">
                  <w:pPr>
                    <w:widowControl w:val="0"/>
                    <w:autoSpaceDE w:val="0"/>
                    <w:autoSpaceDN w:val="0"/>
                    <w:adjustRightInd w:val="0"/>
                    <w:ind w:right="-20"/>
                    <w:rPr>
                      <w:rFonts w:cs="Georgia"/>
                    </w:rPr>
                  </w:pPr>
                </w:p>
                <w:p w:rsidR="00F04EEF" w:rsidRDefault="0099351E">
                  <w:pPr>
                    <w:widowControl w:val="0"/>
                    <w:autoSpaceDE w:val="0"/>
                    <w:autoSpaceDN w:val="0"/>
                    <w:adjustRightInd w:val="0"/>
                    <w:ind w:right="-20"/>
                    <w:rPr>
                      <w:rFonts w:cs="Georgia"/>
                    </w:rPr>
                  </w:pPr>
                  <w:r>
                    <w:rPr>
                      <w:rFonts w:cs="Georgia"/>
                      <w:spacing w:val="1"/>
                    </w:rPr>
                    <w:t>L</w:t>
                  </w:r>
                  <w:r>
                    <w:rPr>
                      <w:rFonts w:cs="Georgia"/>
                    </w:rPr>
                    <w:t>a</w:t>
                  </w:r>
                  <w:r>
                    <w:rPr>
                      <w:rFonts w:cs="Georgia"/>
                      <w:spacing w:val="-1"/>
                    </w:rPr>
                    <w:t xml:space="preserve"> </w:t>
                  </w:r>
                  <w:r>
                    <w:rPr>
                      <w:rFonts w:cs="Georgia"/>
                    </w:rPr>
                    <w:t>f</w:t>
                  </w:r>
                  <w:r>
                    <w:rPr>
                      <w:rFonts w:cs="Georgia"/>
                      <w:spacing w:val="-1"/>
                    </w:rPr>
                    <w:t>o</w:t>
                  </w:r>
                  <w:r>
                    <w:rPr>
                      <w:rFonts w:cs="Georgia"/>
                      <w:spacing w:val="1"/>
                    </w:rPr>
                    <w:t>r</w:t>
                  </w:r>
                  <w:r>
                    <w:rPr>
                      <w:rFonts w:cs="Georgia"/>
                    </w:rPr>
                    <w:t>mu</w:t>
                  </w:r>
                  <w:r>
                    <w:rPr>
                      <w:rFonts w:cs="Georgia"/>
                      <w:spacing w:val="-1"/>
                    </w:rPr>
                    <w:t>l</w:t>
                  </w:r>
                  <w:r>
                    <w:rPr>
                      <w:rFonts w:cs="Georgia"/>
                    </w:rPr>
                    <w:t>e suivante détermine le capital-périodes :</w:t>
                  </w:r>
                </w:p>
                <w:p w:rsidR="00F04EEF" w:rsidRDefault="00F04EEF">
                  <w:pPr>
                    <w:widowControl w:val="0"/>
                    <w:autoSpaceDE w:val="0"/>
                    <w:autoSpaceDN w:val="0"/>
                    <w:adjustRightInd w:val="0"/>
                    <w:ind w:right="-20"/>
                    <w:rPr>
                      <w:rFonts w:cs="Georgia"/>
                    </w:rPr>
                  </w:pPr>
                </w:p>
                <w:p w:rsidR="00F04EEF" w:rsidRDefault="0099351E">
                  <w:pPr>
                    <w:jc w:val="center"/>
                    <w:rPr>
                      <w:rFonts w:cs="Georgia"/>
                      <w:b/>
                      <w:spacing w:val="-1"/>
                      <w:u w:val="single"/>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w:t>
                  </w:r>
                  <w:r>
                    <w:rPr>
                      <w:rFonts w:cs="Georgia"/>
                      <w:b/>
                      <w:spacing w:val="1"/>
                      <w:u w:val="single"/>
                    </w:rPr>
                    <w:t>nombre de périodes hebdomadaires organisées</w:t>
                  </w:r>
                </w:p>
                <w:p w:rsidR="00F04EEF" w:rsidRDefault="0099351E">
                  <w:pPr>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w:t>
                  </w:r>
                  <w:r>
                    <w:rPr>
                      <w:rFonts w:cs="Georgia"/>
                      <w:b/>
                    </w:rPr>
                    <w:t>guide</w:t>
                  </w:r>
                </w:p>
                <w:p w:rsidR="00F04EEF" w:rsidRDefault="00F04EEF">
                  <w:pPr>
                    <w:widowControl w:val="0"/>
                    <w:autoSpaceDE w:val="0"/>
                    <w:autoSpaceDN w:val="0"/>
                    <w:adjustRightInd w:val="0"/>
                    <w:rPr>
                      <w:rFonts w:cs="Georgia"/>
                      <w:b/>
                    </w:rPr>
                  </w:pPr>
                </w:p>
                <w:p w:rsidR="00F04EEF" w:rsidRDefault="0099351E">
                  <w:pPr>
                    <w:widowControl w:val="0"/>
                    <w:autoSpaceDE w:val="0"/>
                    <w:autoSpaceDN w:val="0"/>
                    <w:adjustRightInd w:val="0"/>
                    <w:ind w:right="-20"/>
                    <w:jc w:val="both"/>
                    <w:rPr>
                      <w:rFonts w:cs="Georgia"/>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w:t>
                  </w:r>
                  <w:r>
                    <w:rPr>
                      <w:rFonts w:cs="Georgia"/>
                      <w:spacing w:val="-2"/>
                    </w:rPr>
                    <w:t>t</w:t>
                  </w:r>
                  <w:r>
                    <w:rPr>
                      <w:rFonts w:cs="Georgia"/>
                      <w:spacing w:val="1"/>
                    </w:rPr>
                    <w:t>r</w:t>
                  </w:r>
                  <w:r>
                    <w:rPr>
                      <w:rFonts w:cs="Georgia"/>
                    </w:rPr>
                    <w:t>i</w:t>
                  </w:r>
                  <w:r>
                    <w:rPr>
                      <w:rFonts w:cs="Georgia"/>
                      <w:spacing w:val="-1"/>
                    </w:rPr>
                    <w:t>b</w:t>
                  </w:r>
                  <w:r>
                    <w:rPr>
                      <w:rFonts w:cs="Georgia"/>
                    </w:rPr>
                    <w:t>ué</w:t>
                  </w:r>
                  <w:r>
                    <w:rPr>
                      <w:rFonts w:cs="Georgia"/>
                      <w:spacing w:val="-1"/>
                    </w:rPr>
                    <w:t xml:space="preserve"> </w:t>
                  </w:r>
                  <w:r>
                    <w:rPr>
                      <w:rFonts w:cs="Georgia"/>
                    </w:rPr>
                    <w:t>à</w:t>
                  </w:r>
                  <w:r>
                    <w:rPr>
                      <w:rFonts w:cs="Georgia"/>
                      <w:spacing w:val="-1"/>
                    </w:rPr>
                    <w:t xml:space="preserve"> l</w:t>
                  </w:r>
                  <w:r>
                    <w:rPr>
                      <w:rFonts w:cs="Georgia"/>
                      <w:spacing w:val="1"/>
                    </w:rPr>
                    <w:t>'</w:t>
                  </w:r>
                  <w:r>
                    <w:rPr>
                      <w:rFonts w:cs="Georgia"/>
                      <w:spacing w:val="-1"/>
                    </w:rPr>
                    <w:t>é</w:t>
                  </w:r>
                  <w:r>
                    <w:rPr>
                      <w:rFonts w:cs="Georgia"/>
                      <w:spacing w:val="1"/>
                    </w:rPr>
                    <w:t>co</w:t>
                  </w:r>
                  <w:r>
                    <w:rPr>
                      <w:rFonts w:cs="Georgia"/>
                      <w:spacing w:val="-1"/>
                    </w:rPr>
                    <w:t>l</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l</w:t>
                  </w:r>
                  <w:r>
                    <w:rPr>
                      <w:rFonts w:cs="Georgia"/>
                    </w:rPr>
                    <w:t>a</w:t>
                  </w:r>
                  <w:r>
                    <w:rPr>
                      <w:rFonts w:cs="Georgia"/>
                      <w:spacing w:val="1"/>
                    </w:rPr>
                    <w:t xml:space="preserve"> so</w:t>
                  </w:r>
                  <w:r>
                    <w:rPr>
                      <w:rFonts w:cs="Georgia"/>
                    </w:rPr>
                    <w:t>mme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q</w:t>
                  </w:r>
                  <w:r>
                    <w:rPr>
                      <w:rFonts w:cs="Georgia"/>
                      <w:spacing w:val="-2"/>
                    </w:rPr>
                    <w:t>u</w:t>
                  </w:r>
                  <w:r>
                    <w:rPr>
                      <w:rFonts w:cs="Georgia"/>
                      <w:spacing w:val="1"/>
                    </w:rPr>
                    <w:t>o</w:t>
                  </w:r>
                  <w:r>
                    <w:rPr>
                      <w:rFonts w:cs="Georgia"/>
                      <w:spacing w:val="2"/>
                    </w:rPr>
                    <w:t>t</w:t>
                  </w:r>
                  <w:r>
                    <w:rPr>
                      <w:rFonts w:cs="Georgia"/>
                    </w:rPr>
                    <w:t>i</w:t>
                  </w:r>
                  <w:r>
                    <w:rPr>
                      <w:rFonts w:cs="Georgia"/>
                      <w:spacing w:val="-1"/>
                    </w:rPr>
                    <w:t>en</w:t>
                  </w:r>
                  <w:r>
                    <w:rPr>
                      <w:rFonts w:cs="Georgia"/>
                      <w:spacing w:val="1"/>
                    </w:rPr>
                    <w:t>t</w:t>
                  </w:r>
                  <w:r>
                    <w:rPr>
                      <w:rFonts w:cs="Georgia"/>
                    </w:rPr>
                    <w:t>s</w:t>
                  </w:r>
                  <w:r>
                    <w:rPr>
                      <w:rFonts w:cs="Georgia"/>
                      <w:spacing w:val="-2"/>
                    </w:rPr>
                    <w:t xml:space="preserve"> </w:t>
                  </w:r>
                  <w:r>
                    <w:rPr>
                      <w:rFonts w:cs="Georgia"/>
                      <w:spacing w:val="1"/>
                    </w:rPr>
                    <w:t>o</w:t>
                  </w:r>
                  <w:r>
                    <w:rPr>
                      <w:rFonts w:cs="Georgia"/>
                      <w:spacing w:val="-1"/>
                    </w:rPr>
                    <w:t>b</w:t>
                  </w:r>
                  <w:r>
                    <w:rPr>
                      <w:rFonts w:cs="Georgia"/>
                      <w:spacing w:val="1"/>
                    </w:rPr>
                    <w:t>t</w:t>
                  </w:r>
                  <w:r>
                    <w:rPr>
                      <w:rFonts w:cs="Georgia"/>
                      <w:spacing w:val="-1"/>
                    </w:rPr>
                    <w:t>en</w:t>
                  </w:r>
                  <w:r>
                    <w:rPr>
                      <w:rFonts w:cs="Georgia"/>
                    </w:rPr>
                    <w:t xml:space="preserve">us. </w:t>
                  </w:r>
                  <w:r>
                    <w:rPr>
                      <w:rFonts w:cs="Georgia"/>
                      <w:b/>
                      <w:bCs/>
                      <w:iCs/>
                      <w:u w:val="single"/>
                    </w:rPr>
                    <w:t>S</w:t>
                  </w:r>
                  <w:r>
                    <w:rPr>
                      <w:rFonts w:cs="Georgia"/>
                      <w:b/>
                      <w:bCs/>
                      <w:iCs/>
                      <w:spacing w:val="-1"/>
                      <w:u w:val="single"/>
                    </w:rPr>
                    <w:t>e</w:t>
                  </w:r>
                  <w:r>
                    <w:rPr>
                      <w:rFonts w:cs="Georgia"/>
                      <w:b/>
                      <w:bCs/>
                      <w:iCs/>
                      <w:u w:val="single"/>
                    </w:rPr>
                    <w:t xml:space="preserve">ul </w:t>
                  </w:r>
                  <w:r>
                    <w:rPr>
                      <w:rFonts w:cs="Georgia"/>
                      <w:b/>
                      <w:bCs/>
                      <w:iCs/>
                      <w:spacing w:val="1"/>
                      <w:u w:val="single"/>
                    </w:rPr>
                    <w:t>l</w:t>
                  </w:r>
                  <w:r>
                    <w:rPr>
                      <w:rFonts w:cs="Georgia"/>
                      <w:b/>
                      <w:bCs/>
                      <w:iCs/>
                      <w:u w:val="single"/>
                    </w:rPr>
                    <w:t>e</w:t>
                  </w:r>
                  <w:r>
                    <w:rPr>
                      <w:rFonts w:cs="Georgia"/>
                      <w:b/>
                      <w:bCs/>
                      <w:iCs/>
                      <w:spacing w:val="-1"/>
                      <w:u w:val="single"/>
                    </w:rPr>
                    <w:t xml:space="preserve"> tot</w:t>
                  </w:r>
                  <w:r>
                    <w:rPr>
                      <w:rFonts w:cs="Georgia"/>
                      <w:b/>
                      <w:bCs/>
                      <w:iCs/>
                      <w:spacing w:val="1"/>
                      <w:u w:val="single"/>
                    </w:rPr>
                    <w:t>a</w:t>
                  </w:r>
                  <w:r>
                    <w:rPr>
                      <w:rFonts w:cs="Georgia"/>
                      <w:b/>
                      <w:bCs/>
                      <w:iCs/>
                      <w:u w:val="single"/>
                    </w:rPr>
                    <w:t xml:space="preserve">l </w:t>
                  </w:r>
                  <w:r>
                    <w:rPr>
                      <w:rFonts w:cs="Georgia"/>
                      <w:b/>
                      <w:bCs/>
                      <w:iCs/>
                      <w:spacing w:val="-1"/>
                      <w:u w:val="single"/>
                    </w:rPr>
                    <w:t>e</w:t>
                  </w:r>
                  <w:r>
                    <w:rPr>
                      <w:rFonts w:cs="Georgia"/>
                      <w:b/>
                      <w:bCs/>
                      <w:iCs/>
                      <w:spacing w:val="1"/>
                      <w:u w:val="single"/>
                    </w:rPr>
                    <w:t>s</w:t>
                  </w:r>
                  <w:r>
                    <w:rPr>
                      <w:rFonts w:cs="Georgia"/>
                      <w:b/>
                      <w:bCs/>
                      <w:iCs/>
                      <w:u w:val="single"/>
                    </w:rPr>
                    <w:t>t</w:t>
                  </w:r>
                  <w:r>
                    <w:rPr>
                      <w:rFonts w:cs="Georgia"/>
                      <w:b/>
                      <w:bCs/>
                      <w:iCs/>
                      <w:spacing w:val="-2"/>
                      <w:u w:val="single"/>
                    </w:rPr>
                    <w:t xml:space="preserve"> </w:t>
                  </w:r>
                  <w:r>
                    <w:rPr>
                      <w:rFonts w:cs="Georgia"/>
                      <w:b/>
                      <w:bCs/>
                      <w:iCs/>
                      <w:spacing w:val="1"/>
                      <w:u w:val="single"/>
                    </w:rPr>
                    <w:t>a</w:t>
                  </w:r>
                  <w:r>
                    <w:rPr>
                      <w:rFonts w:cs="Georgia"/>
                      <w:b/>
                      <w:bCs/>
                      <w:iCs/>
                      <w:u w:val="single"/>
                    </w:rPr>
                    <w:t>rr</w:t>
                  </w:r>
                  <w:r>
                    <w:rPr>
                      <w:rFonts w:cs="Georgia"/>
                      <w:b/>
                      <w:bCs/>
                      <w:iCs/>
                      <w:spacing w:val="-4"/>
                      <w:u w:val="single"/>
                    </w:rPr>
                    <w:t>o</w:t>
                  </w:r>
                  <w:r>
                    <w:rPr>
                      <w:rFonts w:cs="Georgia"/>
                      <w:b/>
                      <w:bCs/>
                      <w:iCs/>
                      <w:spacing w:val="-1"/>
                      <w:u w:val="single"/>
                    </w:rPr>
                    <w:t>n</w:t>
                  </w:r>
                  <w:r>
                    <w:rPr>
                      <w:rFonts w:cs="Georgia"/>
                      <w:b/>
                      <w:bCs/>
                      <w:iCs/>
                      <w:u w:val="single"/>
                    </w:rPr>
                    <w:t xml:space="preserve">di à </w:t>
                  </w:r>
                  <w:r>
                    <w:rPr>
                      <w:rFonts w:cs="Georgia"/>
                      <w:b/>
                      <w:bCs/>
                      <w:iCs/>
                      <w:spacing w:val="1"/>
                      <w:u w:val="single"/>
                    </w:rPr>
                    <w:t>l'</w:t>
                  </w:r>
                  <w:r>
                    <w:rPr>
                      <w:rFonts w:cs="Georgia"/>
                      <w:b/>
                      <w:bCs/>
                      <w:iCs/>
                      <w:u w:val="single"/>
                    </w:rPr>
                    <w:t>u</w:t>
                  </w:r>
                  <w:r>
                    <w:rPr>
                      <w:rFonts w:cs="Georgia"/>
                      <w:b/>
                      <w:bCs/>
                      <w:iCs/>
                      <w:spacing w:val="-4"/>
                      <w:u w:val="single"/>
                    </w:rPr>
                    <w:t>n</w:t>
                  </w:r>
                  <w:r>
                    <w:rPr>
                      <w:rFonts w:cs="Georgia"/>
                      <w:b/>
                      <w:bCs/>
                      <w:iCs/>
                      <w:spacing w:val="1"/>
                      <w:u w:val="single"/>
                    </w:rPr>
                    <w:t>i</w:t>
                  </w:r>
                  <w:r>
                    <w:rPr>
                      <w:rFonts w:cs="Georgia"/>
                      <w:b/>
                      <w:bCs/>
                      <w:iCs/>
                      <w:spacing w:val="-1"/>
                      <w:u w:val="single"/>
                    </w:rPr>
                    <w:t>t</w:t>
                  </w:r>
                  <w:r>
                    <w:rPr>
                      <w:rFonts w:cs="Georgia"/>
                      <w:b/>
                      <w:bCs/>
                      <w:iCs/>
                      <w:u w:val="single"/>
                    </w:rPr>
                    <w:t>é</w:t>
                  </w:r>
                  <w:r>
                    <w:rPr>
                      <w:rFonts w:cs="Georgia"/>
                      <w:b/>
                      <w:bCs/>
                      <w:iCs/>
                      <w:spacing w:val="-1"/>
                      <w:u w:val="single"/>
                    </w:rPr>
                    <w:t xml:space="preserve"> </w:t>
                  </w:r>
                  <w:r>
                    <w:rPr>
                      <w:rFonts w:cs="Georgia"/>
                      <w:b/>
                      <w:bCs/>
                      <w:iCs/>
                      <w:spacing w:val="1"/>
                      <w:u w:val="single"/>
                    </w:rPr>
                    <w:t>s</w:t>
                  </w:r>
                  <w:r>
                    <w:rPr>
                      <w:rFonts w:cs="Georgia"/>
                      <w:b/>
                      <w:bCs/>
                      <w:iCs/>
                      <w:u w:val="single"/>
                    </w:rPr>
                    <w:t>up</w:t>
                  </w:r>
                  <w:r>
                    <w:rPr>
                      <w:rFonts w:cs="Georgia"/>
                      <w:b/>
                      <w:bCs/>
                      <w:iCs/>
                      <w:spacing w:val="-1"/>
                      <w:u w:val="single"/>
                    </w:rPr>
                    <w:t>é</w:t>
                  </w:r>
                  <w:r>
                    <w:rPr>
                      <w:rFonts w:cs="Georgia"/>
                      <w:b/>
                      <w:bCs/>
                      <w:iCs/>
                      <w:spacing w:val="-3"/>
                      <w:u w:val="single"/>
                    </w:rPr>
                    <w:t>r</w:t>
                  </w:r>
                  <w:r>
                    <w:rPr>
                      <w:rFonts w:cs="Georgia"/>
                      <w:b/>
                      <w:bCs/>
                      <w:iCs/>
                      <w:spacing w:val="1"/>
                      <w:u w:val="single"/>
                    </w:rPr>
                    <w:t>i</w:t>
                  </w:r>
                  <w:r>
                    <w:rPr>
                      <w:rFonts w:cs="Georgia"/>
                      <w:b/>
                      <w:bCs/>
                      <w:iCs/>
                      <w:spacing w:val="-1"/>
                      <w:u w:val="single"/>
                    </w:rPr>
                    <w:t>e</w:t>
                  </w:r>
                  <w:r>
                    <w:rPr>
                      <w:rFonts w:cs="Georgia"/>
                      <w:b/>
                      <w:bCs/>
                      <w:iCs/>
                      <w:spacing w:val="-2"/>
                      <w:u w:val="single"/>
                    </w:rPr>
                    <w:t>u</w:t>
                  </w:r>
                  <w:r>
                    <w:rPr>
                      <w:rFonts w:cs="Georgia"/>
                      <w:b/>
                      <w:bCs/>
                      <w:iCs/>
                      <w:u w:val="single"/>
                    </w:rPr>
                    <w:t>r</w:t>
                  </w:r>
                  <w:r>
                    <w:rPr>
                      <w:rFonts w:cs="Georgia"/>
                      <w:b/>
                      <w:bCs/>
                      <w:iCs/>
                      <w:spacing w:val="-1"/>
                      <w:u w:val="single"/>
                    </w:rPr>
                    <w:t>e</w:t>
                  </w:r>
                  <w:r>
                    <w:rPr>
                      <w:rFonts w:cs="Georgia"/>
                      <w:iCs/>
                    </w:rPr>
                    <w:t>.</w:t>
                  </w:r>
                </w:p>
                <w:p w:rsidR="00F04EEF" w:rsidRDefault="00F04EEF">
                  <w:pPr>
                    <w:widowControl w:val="0"/>
                    <w:autoSpaceDE w:val="0"/>
                    <w:autoSpaceDN w:val="0"/>
                    <w:adjustRightInd w:val="0"/>
                    <w:spacing w:before="12" w:line="240" w:lineRule="exact"/>
                    <w:rPr>
                      <w:rFonts w:cs="Georgia"/>
                    </w:rPr>
                  </w:pPr>
                </w:p>
                <w:p w:rsidR="00F04EEF" w:rsidRDefault="0099351E">
                  <w:pPr>
                    <w:widowControl w:val="0"/>
                    <w:autoSpaceDE w:val="0"/>
                    <w:autoSpaceDN w:val="0"/>
                    <w:adjustRightInd w:val="0"/>
                    <w:ind w:right="52"/>
                    <w:jc w:val="both"/>
                    <w:rPr>
                      <w:rFonts w:cs="Georgia"/>
                    </w:rPr>
                  </w:pPr>
                  <w:r>
                    <w:rPr>
                      <w:rFonts w:cs="Georgia"/>
                      <w:spacing w:val="1"/>
                    </w:rPr>
                    <w:t>L</w:t>
                  </w:r>
                  <w:r>
                    <w:rPr>
                      <w:rFonts w:cs="Georgia"/>
                    </w:rPr>
                    <w:t>e</w:t>
                  </w:r>
                  <w:r>
                    <w:rPr>
                      <w:rFonts w:cs="Georgia"/>
                      <w:spacing w:val="4"/>
                    </w:rPr>
                    <w:t xml:space="preserve"> </w:t>
                  </w:r>
                  <w:r>
                    <w:rPr>
                      <w:rFonts w:cs="Georgia"/>
                      <w:spacing w:val="1"/>
                    </w:rPr>
                    <w:t>po</w:t>
                  </w:r>
                  <w:r>
                    <w:rPr>
                      <w:rFonts w:cs="Georgia"/>
                      <w:spacing w:val="-2"/>
                    </w:rPr>
                    <w:t>u</w:t>
                  </w:r>
                  <w:r>
                    <w:rPr>
                      <w:rFonts w:cs="Georgia"/>
                      <w:spacing w:val="1"/>
                    </w:rPr>
                    <w:t>rc</w:t>
                  </w:r>
                  <w:r>
                    <w:rPr>
                      <w:rFonts w:cs="Georgia"/>
                      <w:spacing w:val="-1"/>
                    </w:rPr>
                    <w:t>en</w:t>
                  </w:r>
                  <w:r>
                    <w:rPr>
                      <w:rFonts w:cs="Georgia"/>
                      <w:spacing w:val="1"/>
                    </w:rPr>
                    <w:t>t</w:t>
                  </w:r>
                  <w:r>
                    <w:rPr>
                      <w:rFonts w:cs="Georgia"/>
                      <w:spacing w:val="-1"/>
                    </w:rPr>
                    <w:t>a</w:t>
                  </w:r>
                  <w:r>
                    <w:rPr>
                      <w:rFonts w:cs="Georgia"/>
                    </w:rPr>
                    <w:t>ge</w:t>
                  </w:r>
                  <w:r>
                    <w:rPr>
                      <w:rFonts w:cs="Georgia"/>
                      <w:spacing w:val="4"/>
                    </w:rPr>
                    <w:t xml:space="preserve"> </w:t>
                  </w:r>
                  <w:r>
                    <w:rPr>
                      <w:rFonts w:cs="Georgia"/>
                    </w:rPr>
                    <w:t>du</w:t>
                  </w:r>
                  <w:r>
                    <w:rPr>
                      <w:rFonts w:cs="Georgia"/>
                      <w:spacing w:val="5"/>
                    </w:rPr>
                    <w:t xml:space="preserve"> </w:t>
                  </w:r>
                  <w:r>
                    <w:rPr>
                      <w:rFonts w:cs="Georgia"/>
                      <w:spacing w:val="1"/>
                    </w:rPr>
                    <w:t>c</w:t>
                  </w:r>
                  <w:r>
                    <w:rPr>
                      <w:rFonts w:cs="Georgia"/>
                      <w:spacing w:val="-1"/>
                    </w:rPr>
                    <w:t>ap</w:t>
                  </w:r>
                  <w:r>
                    <w:rPr>
                      <w:rFonts w:cs="Georgia"/>
                    </w:rPr>
                    <w:t>i</w:t>
                  </w:r>
                  <w:r>
                    <w:rPr>
                      <w:rFonts w:cs="Georgia"/>
                      <w:spacing w:val="-2"/>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5"/>
                    </w:rPr>
                    <w:t xml:space="preserve"> </w:t>
                  </w:r>
                  <w:r>
                    <w:rPr>
                      <w:rFonts w:cs="Georgia"/>
                      <w:spacing w:val="-1"/>
                    </w:rPr>
                    <w:t>q</w:t>
                  </w:r>
                  <w:r>
                    <w:rPr>
                      <w:rFonts w:cs="Georgia"/>
                    </w:rPr>
                    <w:t>ui</w:t>
                  </w:r>
                  <w:r>
                    <w:rPr>
                      <w:rFonts w:cs="Georgia"/>
                      <w:spacing w:val="5"/>
                    </w:rPr>
                    <w:t xml:space="preserve"> </w:t>
                  </w:r>
                  <w:r>
                    <w:rPr>
                      <w:rFonts w:cs="Georgia"/>
                      <w:spacing w:val="1"/>
                    </w:rPr>
                    <w:t>p</w:t>
                  </w:r>
                  <w:r>
                    <w:rPr>
                      <w:rFonts w:cs="Georgia"/>
                      <w:spacing w:val="-1"/>
                    </w:rPr>
                    <w:t>e</w:t>
                  </w:r>
                  <w:r>
                    <w:rPr>
                      <w:rFonts w:cs="Georgia"/>
                    </w:rPr>
                    <w:t>ut</w:t>
                  </w:r>
                  <w:r>
                    <w:rPr>
                      <w:rFonts w:cs="Georgia"/>
                      <w:spacing w:val="5"/>
                    </w:rPr>
                    <w:t xml:space="preserve">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rPr>
                    <w:t>i</w:t>
                  </w:r>
                  <w:r>
                    <w:rPr>
                      <w:rFonts w:cs="Georgia"/>
                      <w:spacing w:val="1"/>
                    </w:rPr>
                    <w:t>s</w:t>
                  </w:r>
                  <w:r>
                    <w:rPr>
                      <w:rFonts w:cs="Georgia"/>
                    </w:rPr>
                    <w:t>é</w:t>
                  </w:r>
                  <w:r>
                    <w:rPr>
                      <w:rFonts w:cs="Georgia"/>
                      <w:spacing w:val="4"/>
                    </w:rPr>
                    <w:t xml:space="preserve"> </w:t>
                  </w:r>
                  <w:r>
                    <w:rPr>
                      <w:rFonts w:cs="Georgia"/>
                      <w:spacing w:val="-1"/>
                    </w:rPr>
                    <w:t>e</w:t>
                  </w:r>
                  <w:r>
                    <w:rPr>
                      <w:rFonts w:cs="Georgia"/>
                      <w:spacing w:val="1"/>
                    </w:rPr>
                    <w:t>s</w:t>
                  </w:r>
                  <w:r>
                    <w:rPr>
                      <w:rFonts w:cs="Georgia"/>
                    </w:rPr>
                    <w:t>t</w:t>
                  </w:r>
                  <w:r>
                    <w:rPr>
                      <w:rFonts w:cs="Georgia"/>
                      <w:spacing w:val="5"/>
                    </w:rPr>
                    <w:t xml:space="preserve"> </w:t>
                  </w:r>
                  <w:r>
                    <w:rPr>
                      <w:rFonts w:cs="Georgia"/>
                    </w:rPr>
                    <w:t>fi</w:t>
                  </w:r>
                  <w:r>
                    <w:rPr>
                      <w:rFonts w:cs="Georgia"/>
                      <w:spacing w:val="-1"/>
                    </w:rPr>
                    <w:t>x</w:t>
                  </w:r>
                  <w:r>
                    <w:rPr>
                      <w:rFonts w:cs="Georgia"/>
                    </w:rPr>
                    <w:t>é</w:t>
                  </w:r>
                  <w:r>
                    <w:rPr>
                      <w:rFonts w:cs="Georgia"/>
                      <w:spacing w:val="4"/>
                    </w:rPr>
                    <w:t xml:space="preserve"> </w:t>
                  </w:r>
                  <w:r>
                    <w:rPr>
                      <w:rFonts w:cs="Georgia"/>
                    </w:rPr>
                    <w:t>à</w:t>
                  </w:r>
                  <w:r>
                    <w:rPr>
                      <w:rFonts w:cs="Georgia"/>
                      <w:spacing w:val="4"/>
                    </w:rPr>
                    <w:t xml:space="preserve"> </w:t>
                  </w:r>
                  <w:r>
                    <w:rPr>
                      <w:rFonts w:cs="Georgia"/>
                    </w:rPr>
                    <w:t>97</w:t>
                  </w:r>
                  <w:r>
                    <w:rPr>
                      <w:rFonts w:cs="Georgia"/>
                      <w:spacing w:val="4"/>
                    </w:rPr>
                    <w:t xml:space="preserve"> </w:t>
                  </w:r>
                  <w:r>
                    <w:rPr>
                      <w:rFonts w:cs="Georgia"/>
                    </w:rPr>
                    <w:t>%</w:t>
                  </w:r>
                  <w:r>
                    <w:rPr>
                      <w:rFonts w:cs="Georgia"/>
                      <w:spacing w:val="7"/>
                    </w:rPr>
                    <w:t xml:space="preserve"> </w:t>
                  </w:r>
                  <w:r>
                    <w:rPr>
                      <w:rFonts w:cs="Georgia"/>
                      <w:spacing w:val="1"/>
                    </w:rPr>
                    <w:t>po</w:t>
                  </w:r>
                  <w:r>
                    <w:rPr>
                      <w:rFonts w:cs="Georgia"/>
                    </w:rPr>
                    <w:t xml:space="preserve">ur cette </w:t>
                  </w:r>
                  <w:r>
                    <w:rPr>
                      <w:rFonts w:cs="Georgia"/>
                      <w:spacing w:val="-1"/>
                    </w:rPr>
                    <w:t>anné</w:t>
                  </w:r>
                  <w:r>
                    <w:rPr>
                      <w:rFonts w:cs="Georgia"/>
                    </w:rPr>
                    <w:t>e</w:t>
                  </w:r>
                  <w:r>
                    <w:rPr>
                      <w:rFonts w:cs="Georgia"/>
                      <w:spacing w:val="4"/>
                    </w:rPr>
                    <w:t xml:space="preserve"> </w:t>
                  </w:r>
                  <w:r>
                    <w:rPr>
                      <w:rFonts w:cs="Georgia"/>
                      <w:spacing w:val="1"/>
                    </w:rPr>
                    <w:t>sco</w:t>
                  </w:r>
                  <w:r>
                    <w:rPr>
                      <w:rFonts w:cs="Georgia"/>
                      <w:spacing w:val="-1"/>
                    </w:rPr>
                    <w:t>la</w:t>
                  </w:r>
                  <w:r>
                    <w:rPr>
                      <w:rFonts w:cs="Georgia"/>
                    </w:rPr>
                    <w:t>i</w:t>
                  </w:r>
                  <w:r>
                    <w:rPr>
                      <w:rFonts w:cs="Georgia"/>
                      <w:spacing w:val="1"/>
                    </w:rPr>
                    <w:t>r</w:t>
                  </w:r>
                  <w:r>
                    <w:rPr>
                      <w:rFonts w:cs="Georgia"/>
                    </w:rPr>
                    <w:t>e</w:t>
                  </w:r>
                  <w:r>
                    <w:rPr>
                      <w:rFonts w:cs="Georgia"/>
                      <w:spacing w:val="4"/>
                    </w:rPr>
                    <w:t>.</w:t>
                  </w:r>
                  <w:r>
                    <w:rPr>
                      <w:rFonts w:cs="Georgia"/>
                    </w:rPr>
                    <w:t xml:space="preserve"> Ce</w:t>
                  </w:r>
                  <w:r>
                    <w:rPr>
                      <w:rFonts w:cs="Georgia"/>
                      <w:spacing w:val="-1"/>
                    </w:rPr>
                    <w:t xml:space="preserve"> n</w:t>
                  </w:r>
                  <w:r>
                    <w:rPr>
                      <w:rFonts w:cs="Georgia"/>
                      <w:spacing w:val="1"/>
                    </w:rPr>
                    <w:t>o</w:t>
                  </w:r>
                  <w:r>
                    <w:rPr>
                      <w:rFonts w:cs="Georgia"/>
                      <w:spacing w:val="-3"/>
                    </w:rPr>
                    <w:t>m</w:t>
                  </w:r>
                  <w:r>
                    <w:rPr>
                      <w:rFonts w:cs="Georgia"/>
                      <w:spacing w:val="1"/>
                    </w:rPr>
                    <w:t>br</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2"/>
                    </w:rPr>
                    <w:t>rr</w:t>
                  </w:r>
                  <w:r>
                    <w:rPr>
                      <w:rFonts w:cs="Georgia"/>
                      <w:spacing w:val="-1"/>
                    </w:rPr>
                    <w:t>on</w:t>
                  </w:r>
                  <w:r>
                    <w:rPr>
                      <w:rFonts w:cs="Georgia"/>
                    </w:rPr>
                    <w:t>di à</w:t>
                  </w:r>
                  <w:r>
                    <w:rPr>
                      <w:rFonts w:cs="Georgia"/>
                      <w:spacing w:val="-1"/>
                    </w:rPr>
                    <w:t xml:space="preserve"> l</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rsidR="00F04EEF" w:rsidRDefault="00F04EEF">
                  <w:pPr>
                    <w:widowControl w:val="0"/>
                    <w:autoSpaceDE w:val="0"/>
                    <w:autoSpaceDN w:val="0"/>
                    <w:adjustRightInd w:val="0"/>
                    <w:spacing w:before="1" w:line="250" w:lineRule="exact"/>
                    <w:ind w:right="47"/>
                    <w:rPr>
                      <w:rFonts w:cs="Georgia"/>
                    </w:rPr>
                  </w:pPr>
                </w:p>
                <w:p w:rsidR="00F04EEF" w:rsidRDefault="0099351E">
                  <w:pPr>
                    <w:jc w:val="both"/>
                    <w:rPr>
                      <w:rFonts w:cs="Georgia"/>
                      <w:spacing w:val="-1"/>
                    </w:rPr>
                  </w:pPr>
                  <w:r>
                    <w:rPr>
                      <w:rFonts w:cs="Georgia"/>
                    </w:rPr>
                    <w:t>En</w:t>
                  </w:r>
                  <w:r>
                    <w:rPr>
                      <w:rFonts w:cs="Georgia"/>
                      <w:spacing w:val="25"/>
                    </w:rPr>
                    <w:t xml:space="preserve"> </w:t>
                  </w:r>
                  <w:r>
                    <w:rPr>
                      <w:rFonts w:cs="Georgia"/>
                      <w:spacing w:val="-1"/>
                    </w:rPr>
                    <w:t>a</w:t>
                  </w:r>
                  <w:r>
                    <w:rPr>
                      <w:rFonts w:cs="Georgia"/>
                    </w:rPr>
                    <w:t>u</w:t>
                  </w:r>
                  <w:r>
                    <w:rPr>
                      <w:rFonts w:cs="Georgia"/>
                      <w:spacing w:val="1"/>
                    </w:rPr>
                    <w:t>c</w:t>
                  </w:r>
                  <w:r>
                    <w:rPr>
                      <w:rFonts w:cs="Georgia"/>
                    </w:rPr>
                    <w:t>un</w:t>
                  </w:r>
                  <w:r>
                    <w:rPr>
                      <w:rFonts w:cs="Georgia"/>
                      <w:spacing w:val="25"/>
                    </w:rPr>
                    <w:t xml:space="preserve"> </w:t>
                  </w:r>
                  <w:r>
                    <w:rPr>
                      <w:rFonts w:cs="Georgia"/>
                      <w:spacing w:val="1"/>
                    </w:rPr>
                    <w:t>c</w:t>
                  </w:r>
                  <w:r>
                    <w:rPr>
                      <w:rFonts w:cs="Georgia"/>
                      <w:spacing w:val="-1"/>
                    </w:rPr>
                    <w:t>a</w:t>
                  </w:r>
                  <w:r>
                    <w:rPr>
                      <w:rFonts w:cs="Georgia"/>
                      <w:spacing w:val="1"/>
                    </w:rPr>
                    <w:t>s, à l’exception de l’octroi de périodes dérogatoires</w:t>
                  </w:r>
                  <w:r>
                    <w:rPr>
                      <w:rFonts w:cs="Georgia"/>
                    </w:rPr>
                    <w:t>,</w:t>
                  </w:r>
                  <w:r>
                    <w:rPr>
                      <w:rFonts w:cs="Georgia"/>
                      <w:spacing w:val="27"/>
                    </w:rPr>
                    <w:t xml:space="preserve"> </w:t>
                  </w:r>
                  <w:r>
                    <w:rPr>
                      <w:rFonts w:cs="Georgia"/>
                      <w:spacing w:val="-1"/>
                    </w:rPr>
                    <w:t>l</w:t>
                  </w:r>
                  <w:r>
                    <w:rPr>
                      <w:rFonts w:cs="Georgia"/>
                    </w:rPr>
                    <w:t>e</w:t>
                  </w:r>
                  <w:r>
                    <w:rPr>
                      <w:rFonts w:cs="Georgia"/>
                      <w:spacing w:val="25"/>
                    </w:rPr>
                    <w:t xml:space="preserve"> </w:t>
                  </w:r>
                  <w:r>
                    <w:rPr>
                      <w:rFonts w:cs="Georgia"/>
                      <w:spacing w:val="-1"/>
                    </w:rPr>
                    <w:t>n</w:t>
                  </w:r>
                  <w:r>
                    <w:rPr>
                      <w:rFonts w:cs="Georgia"/>
                      <w:spacing w:val="1"/>
                    </w:rPr>
                    <w:t>o</w:t>
                  </w:r>
                  <w:r>
                    <w:rPr>
                      <w:rFonts w:cs="Georgia"/>
                      <w:spacing w:val="-3"/>
                    </w:rPr>
                    <w:t>m</w:t>
                  </w:r>
                  <w:r>
                    <w:rPr>
                      <w:rFonts w:cs="Georgia"/>
                      <w:spacing w:val="1"/>
                    </w:rPr>
                    <w:t>b</w:t>
                  </w:r>
                  <w:r>
                    <w:rPr>
                      <w:rFonts w:cs="Georgia"/>
                      <w:spacing w:val="-2"/>
                    </w:rPr>
                    <w:t>r</w:t>
                  </w:r>
                  <w:r>
                    <w:rPr>
                      <w:rFonts w:cs="Georgia"/>
                    </w:rPr>
                    <w:t>e</w:t>
                  </w:r>
                  <w:r>
                    <w:rPr>
                      <w:rFonts w:cs="Georgia"/>
                      <w:spacing w:val="25"/>
                    </w:rPr>
                    <w:t xml:space="preserve"> </w:t>
                  </w:r>
                  <w:r>
                    <w:rPr>
                      <w:rFonts w:cs="Georgia"/>
                    </w:rPr>
                    <w:t>de</w:t>
                  </w:r>
                  <w:r>
                    <w:rPr>
                      <w:rFonts w:cs="Georgia"/>
                      <w:spacing w:val="25"/>
                    </w:rPr>
                    <w:t xml:space="preserve">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4"/>
                    </w:rPr>
                    <w:t xml:space="preserve"> </w:t>
                  </w:r>
                  <w:r>
                    <w:rPr>
                      <w:rFonts w:cs="Georgia"/>
                      <w:spacing w:val="1"/>
                    </w:rPr>
                    <w:t>r</w:t>
                  </w:r>
                  <w:r>
                    <w:rPr>
                      <w:rFonts w:cs="Georgia"/>
                      <w:spacing w:val="-1"/>
                    </w:rPr>
                    <w:t>éelle</w:t>
                  </w:r>
                  <w:r>
                    <w:rPr>
                      <w:rFonts w:cs="Georgia"/>
                    </w:rPr>
                    <w:t>m</w:t>
                  </w:r>
                  <w:r>
                    <w:rPr>
                      <w:rFonts w:cs="Georgia"/>
                      <w:spacing w:val="-1"/>
                    </w:rPr>
                    <w:t>en</w:t>
                  </w:r>
                  <w:r>
                    <w:rPr>
                      <w:rFonts w:cs="Georgia"/>
                    </w:rPr>
                    <w:t>t</w:t>
                  </w:r>
                  <w:r>
                    <w:rPr>
                      <w:rFonts w:cs="Georgia"/>
                      <w:spacing w:val="27"/>
                    </w:rPr>
                    <w:t xml:space="preserve"> </w:t>
                  </w:r>
                  <w:r>
                    <w:rPr>
                      <w:rFonts w:cs="Georgia"/>
                      <w:spacing w:val="-1"/>
                    </w:rPr>
                    <w:t>attribuées selon ce calcul ne peut dépasser le capital-périodes utilisable.</w:t>
                  </w:r>
                </w:p>
                <w:p w:rsidR="00F04EEF" w:rsidRDefault="00F04EEF">
                  <w:pPr>
                    <w:jc w:val="both"/>
                    <w:rPr>
                      <w:rFonts w:cs="Georgia"/>
                      <w:spacing w:val="-1"/>
                    </w:rPr>
                  </w:pPr>
                </w:p>
                <w:p w:rsidR="00F04EEF" w:rsidRDefault="0099351E">
                  <w:pPr>
                    <w:jc w:val="both"/>
                    <w:rPr>
                      <w:rFonts w:ascii="Calibri" w:hAnsi="Calibri"/>
                    </w:rPr>
                  </w:pPr>
                  <w:r>
                    <w:t>En vertu de l’article 213, alinéa 3 du décret du 3 mars 2004,  le pourcentage du capital-périodes utilisable est de 100% en ce qui concerne les catégories du personnel directeur et enseignant  encadrant les élèves qui relèvent des pédagogies adaptées.</w:t>
                  </w:r>
                </w:p>
                <w:p w:rsidR="00F04EEF" w:rsidRDefault="0099351E">
                  <w:pP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one-shot publiée prochainement.</w:t>
                  </w:r>
                </w:p>
                <w:p w:rsidR="00F04EEF" w:rsidRDefault="00F04EEF">
                  <w:pPr>
                    <w:jc w:val="both"/>
                  </w:pPr>
                </w:p>
                <w:p w:rsidR="00F04EEF" w:rsidRDefault="00F04EEF">
                  <w:pPr>
                    <w:widowControl w:val="0"/>
                    <w:autoSpaceDE w:val="0"/>
                    <w:autoSpaceDN w:val="0"/>
                    <w:adjustRightInd w:val="0"/>
                    <w:spacing w:before="1" w:line="250" w:lineRule="exact"/>
                    <w:ind w:right="47"/>
                    <w:jc w:val="both"/>
                    <w:rPr>
                      <w:rFonts w:cs="Georgia"/>
                    </w:rPr>
                  </w:pPr>
                </w:p>
                <w:p w:rsidR="00F04EEF" w:rsidRDefault="0099351E">
                  <w:pPr>
                    <w:rPr>
                      <w:b/>
                      <w:u w:val="single"/>
                    </w:rPr>
                  </w:pPr>
                  <w:bookmarkStart w:id="1931" w:name="_Toc453314316"/>
                  <w:bookmarkStart w:id="1932" w:name="_Toc454980351"/>
                  <w:r>
                    <w:br w:type="page"/>
                  </w:r>
                </w:p>
                <w:p w:rsidR="00F04EEF" w:rsidRDefault="0099351E">
                  <w:pPr>
                    <w:pStyle w:val="Titre4"/>
                  </w:pPr>
                  <w:r>
                    <w:t>1.4. Variation de 5% de la population scolaire au 30 septembre</w:t>
                  </w:r>
                  <w:bookmarkEnd w:id="1931"/>
                  <w:bookmarkEnd w:id="1932"/>
                </w:p>
                <w:p w:rsidR="00F04EEF" w:rsidRDefault="00F04EEF">
                  <w:pPr>
                    <w:widowControl w:val="0"/>
                    <w:autoSpaceDE w:val="0"/>
                    <w:autoSpaceDN w:val="0"/>
                    <w:adjustRightInd w:val="0"/>
                    <w:spacing w:line="244" w:lineRule="exact"/>
                    <w:ind w:right="5864"/>
                    <w:jc w:val="both"/>
                    <w:rPr>
                      <w:rFonts w:cs="Georgia"/>
                      <w:b/>
                      <w:bCs/>
                      <w:color w:val="000000"/>
                      <w:position w:val="-1"/>
                    </w:rPr>
                  </w:pPr>
                </w:p>
                <w:p w:rsidR="00F04EEF" w:rsidRDefault="0099351E">
                  <w:pPr>
                    <w:widowControl w:val="0"/>
                    <w:autoSpaceDE w:val="0"/>
                    <w:autoSpaceDN w:val="0"/>
                    <w:adjustRightInd w:val="0"/>
                    <w:spacing w:before="38" w:line="250" w:lineRule="exact"/>
                    <w:ind w:right="46"/>
                    <w:jc w:val="both"/>
                    <w:rPr>
                      <w:rFonts w:cs="Georgia"/>
                      <w:color w:val="000000"/>
                      <w:spacing w:val="1"/>
                    </w:rPr>
                  </w:pPr>
                  <w:r>
                    <w:rPr>
                      <w:rFonts w:cs="Georgia"/>
                      <w:color w:val="000000"/>
                      <w:spacing w:val="1"/>
                    </w:rPr>
                    <w:t>En cas de variation de 5% de la population scolaire par rapport à celle du 15 janvier de l’année scolaire précédente, le capital-périodes est recalculé. S’il n’y a pas de variation de 5%, le capital-périodes calculé au 15 janvier de l’année scolaire précédente est maintenu.</w:t>
                  </w:r>
                </w:p>
                <w:p w:rsidR="00F04EEF" w:rsidRDefault="00F04EEF">
                  <w:pPr>
                    <w:widowControl w:val="0"/>
                    <w:autoSpaceDE w:val="0"/>
                    <w:autoSpaceDN w:val="0"/>
                    <w:adjustRightInd w:val="0"/>
                    <w:spacing w:before="38" w:line="250" w:lineRule="exact"/>
                    <w:ind w:right="46"/>
                    <w:jc w:val="both"/>
                    <w:rPr>
                      <w:rFonts w:cs="Georgia"/>
                      <w:color w:val="000000"/>
                      <w:spacing w:val="1"/>
                    </w:rPr>
                  </w:pPr>
                </w:p>
                <w:tbl>
                  <w:tblPr>
                    <w:tblW w:w="9497" w:type="dxa"/>
                    <w:jc w:val="center"/>
                    <w:tblLayout w:type="fixed"/>
                    <w:tblCellMar>
                      <w:left w:w="0" w:type="dxa"/>
                      <w:right w:w="0" w:type="dxa"/>
                    </w:tblCellMar>
                    <w:tblLook w:val="0000" w:firstRow="0" w:lastRow="0" w:firstColumn="0" w:lastColumn="0" w:noHBand="0" w:noVBand="0"/>
                  </w:tblPr>
                  <w:tblGrid>
                    <w:gridCol w:w="4678"/>
                    <w:gridCol w:w="4819"/>
                  </w:tblGrid>
                  <w:tr w:rsidR="00F04EEF">
                    <w:trPr>
                      <w:trHeight w:hRule="exact" w:val="491"/>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20"/>
                          <w:jc w:val="center"/>
                        </w:pPr>
                        <w:r>
                          <w:rPr>
                            <w:rFonts w:cs="Georgia"/>
                            <w:color w:val="000000"/>
                          </w:rPr>
                          <w:br w:type="page"/>
                        </w:r>
                        <w:r>
                          <w:rPr>
                            <w:rFonts w:cs="Georgia"/>
                            <w:b/>
                            <w:bCs/>
                            <w:spacing w:val="-1"/>
                          </w:rPr>
                          <w:t>Nomb</w:t>
                        </w:r>
                        <w:r>
                          <w:rPr>
                            <w:rFonts w:cs="Georgia"/>
                            <w:b/>
                            <w:bCs/>
                          </w:rPr>
                          <w:t>re d</w:t>
                        </w:r>
                        <w:r>
                          <w:rPr>
                            <w:rFonts w:cs="Georgia"/>
                            <w:b/>
                            <w:bCs/>
                            <w:spacing w:val="-2"/>
                          </w:rPr>
                          <w:t>’</w:t>
                        </w:r>
                        <w:r>
                          <w:rPr>
                            <w:rFonts w:cs="Georgia"/>
                            <w:b/>
                            <w:bCs/>
                            <w:spacing w:val="1"/>
                          </w:rPr>
                          <w:t>é</w:t>
                        </w:r>
                        <w:r>
                          <w:rPr>
                            <w:rFonts w:cs="Georgia"/>
                            <w:b/>
                            <w:bCs/>
                            <w:spacing w:val="-2"/>
                          </w:rPr>
                          <w:t>l</w:t>
                        </w:r>
                        <w:r>
                          <w:rPr>
                            <w:rFonts w:cs="Georgia"/>
                            <w:b/>
                            <w:bCs/>
                            <w:spacing w:val="1"/>
                          </w:rPr>
                          <w:t>è</w:t>
                        </w:r>
                        <w:r>
                          <w:rPr>
                            <w:rFonts w:cs="Georgia"/>
                            <w:b/>
                            <w:bCs/>
                          </w:rPr>
                          <w:t>v</w:t>
                        </w:r>
                        <w:r>
                          <w:rPr>
                            <w:rFonts w:cs="Georgia"/>
                            <w:b/>
                            <w:bCs/>
                            <w:spacing w:val="1"/>
                          </w:rPr>
                          <w:t>e(</w:t>
                        </w:r>
                        <w:r>
                          <w:rPr>
                            <w:rFonts w:cs="Georgia"/>
                            <w:b/>
                            <w:bCs/>
                          </w:rPr>
                          <w:t>s)</w:t>
                        </w:r>
                        <w:r>
                          <w:rPr>
                            <w:rFonts w:cs="Georgia"/>
                            <w:b/>
                            <w:bCs/>
                            <w:spacing w:val="-4"/>
                          </w:rPr>
                          <w:t xml:space="preserve"> </w:t>
                        </w:r>
                        <w:r>
                          <w:rPr>
                            <w:rFonts w:cs="Georgia"/>
                            <w:b/>
                            <w:bCs/>
                          </w:rPr>
                          <w:t>au</w:t>
                        </w:r>
                        <w:r>
                          <w:rPr>
                            <w:rFonts w:cs="Georgia"/>
                            <w:b/>
                            <w:bCs/>
                            <w:spacing w:val="-1"/>
                          </w:rPr>
                          <w:t xml:space="preserve"> </w:t>
                        </w:r>
                        <w:r>
                          <w:rPr>
                            <w:rFonts w:cs="Georgia"/>
                            <w:b/>
                            <w:bCs/>
                          </w:rPr>
                          <w:t>15 janvier</w:t>
                        </w:r>
                        <w:r>
                          <w:rPr>
                            <w:rFonts w:cs="Georgia"/>
                            <w:b/>
                            <w:bCs/>
                            <w:spacing w:val="-1"/>
                          </w:rPr>
                          <w:t xml:space="preserve"> de l’année précédente</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20"/>
                          <w:jc w:val="center"/>
                        </w:pPr>
                        <w:r>
                          <w:rPr>
                            <w:rFonts w:cs="Georgia"/>
                            <w:b/>
                            <w:bCs/>
                          </w:rPr>
                          <w:t>Nombre d’élève(s) pour atteindre les 5% au 30 septembre</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1</w:t>
                        </w:r>
                        <w:r>
                          <w:rPr>
                            <w:rFonts w:cs="Georgia"/>
                            <w:spacing w:val="1"/>
                          </w:rPr>
                          <w:t xml:space="preserve"> </w:t>
                        </w:r>
                        <w:r>
                          <w:rPr>
                            <w:rFonts w:cs="Georgia"/>
                          </w:rPr>
                          <w:t>à</w:t>
                        </w:r>
                        <w:r>
                          <w:rPr>
                            <w:rFonts w:cs="Georgia"/>
                            <w:spacing w:val="-1"/>
                          </w:rPr>
                          <w:t xml:space="preserve"> 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81"/>
                          <w:jc w:val="center"/>
                        </w:pPr>
                        <w:r>
                          <w:rPr>
                            <w:rFonts w:cs="Georgia"/>
                          </w:rPr>
                          <w:t>1</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1</w:t>
                        </w:r>
                        <w:r>
                          <w:rPr>
                            <w:rFonts w:cs="Georgia"/>
                            <w:spacing w:val="1"/>
                          </w:rPr>
                          <w:t xml:space="preserve"> </w:t>
                        </w:r>
                        <w:r>
                          <w:rPr>
                            <w:rFonts w:cs="Georgia"/>
                          </w:rPr>
                          <w:t>à</w:t>
                        </w:r>
                        <w:r>
                          <w:rPr>
                            <w:rFonts w:cs="Georgia"/>
                            <w:spacing w:val="-1"/>
                          </w:rPr>
                          <w:t xml:space="preserve"> </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67"/>
                          <w:jc w:val="center"/>
                        </w:pPr>
                        <w:r>
                          <w:rPr>
                            <w:rFonts w:cs="Georgia"/>
                          </w:rPr>
                          <w:t>2</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rPr>
                          <w:t>41</w:t>
                        </w:r>
                        <w:r>
                          <w:rPr>
                            <w:rFonts w:cs="Georgia"/>
                            <w:spacing w:val="1"/>
                          </w:rPr>
                          <w:t xml:space="preserve"> </w:t>
                        </w:r>
                        <w:r>
                          <w:rPr>
                            <w:rFonts w:cs="Georgia"/>
                          </w:rPr>
                          <w:t>à</w:t>
                        </w:r>
                        <w:r>
                          <w:rPr>
                            <w:rFonts w:cs="Georgia"/>
                            <w:spacing w:val="-1"/>
                          </w:rPr>
                          <w:t xml:space="preserve"> </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469"/>
                          <w:jc w:val="center"/>
                        </w:pPr>
                        <w:r>
                          <w:rPr>
                            <w:rFonts w:cs="Georgia"/>
                          </w:rPr>
                          <w:t>3</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61</w:t>
                        </w:r>
                        <w:r>
                          <w:rPr>
                            <w:rFonts w:cs="Georgia"/>
                            <w:spacing w:val="1"/>
                          </w:rPr>
                          <w:t xml:space="preserve"> </w:t>
                        </w:r>
                        <w:r>
                          <w:rPr>
                            <w:rFonts w:cs="Georgia"/>
                          </w:rPr>
                          <w:t>à</w:t>
                        </w:r>
                        <w:r>
                          <w:rPr>
                            <w:rFonts w:cs="Georgia"/>
                            <w:spacing w:val="-1"/>
                          </w:rPr>
                          <w:t xml:space="preserve"> </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68"/>
                          <w:jc w:val="center"/>
                        </w:pPr>
                        <w:r>
                          <w:rPr>
                            <w:rFonts w:cs="Georgia"/>
                          </w:rPr>
                          <w:t>4</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71"/>
                          <w:jc w:val="center"/>
                        </w:pPr>
                        <w:r>
                          <w:rPr>
                            <w:rFonts w:cs="Georgia"/>
                          </w:rPr>
                          <w:t>5</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468"/>
                          <w:jc w:val="center"/>
                        </w:pPr>
                        <w:r>
                          <w:rPr>
                            <w:rFonts w:cs="Georgia"/>
                          </w:rPr>
                          <w:t>6</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75"/>
                          <w:jc w:val="center"/>
                        </w:pPr>
                        <w:r>
                          <w:rPr>
                            <w:rFonts w:cs="Georgia"/>
                          </w:rPr>
                          <w:t>7</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41</w:t>
                        </w:r>
                        <w:r>
                          <w:rPr>
                            <w:rFonts w:cs="Georgia"/>
                            <w:spacing w:val="1"/>
                          </w:rPr>
                          <w:t xml:space="preserve"> </w:t>
                        </w:r>
                        <w:r>
                          <w:rPr>
                            <w:rFonts w:cs="Georgia"/>
                          </w:rPr>
                          <w:t>à</w:t>
                        </w:r>
                        <w:r>
                          <w:rPr>
                            <w:rFonts w:cs="Georgia"/>
                            <w:spacing w:val="-4"/>
                          </w:rPr>
                          <w:t xml:space="preserve"> </w:t>
                        </w:r>
                        <w:r>
                          <w:rPr>
                            <w:rFonts w:cs="Georgia"/>
                            <w:spacing w:val="1"/>
                          </w:rPr>
                          <w:t>1</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64"/>
                          <w:jc w:val="center"/>
                        </w:pPr>
                        <w:r>
                          <w:rPr>
                            <w:rFonts w:cs="Georgia"/>
                          </w:rPr>
                          <w:t>8</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rPr>
                          <w:t>61</w:t>
                        </w:r>
                        <w:r>
                          <w:rPr>
                            <w:rFonts w:cs="Georgia"/>
                            <w:spacing w:val="1"/>
                          </w:rPr>
                          <w:t xml:space="preserve"> </w:t>
                        </w:r>
                        <w:r>
                          <w:rPr>
                            <w:rFonts w:cs="Georgia"/>
                          </w:rPr>
                          <w:t>à</w:t>
                        </w:r>
                        <w:r>
                          <w:rPr>
                            <w:rFonts w:cs="Georgia"/>
                            <w:spacing w:val="-1"/>
                          </w:rPr>
                          <w:t xml:space="preserve"> 1</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ind w:right="468"/>
                          <w:jc w:val="center"/>
                        </w:pPr>
                        <w:r>
                          <w:rPr>
                            <w:rFonts w:cs="Georgia"/>
                          </w:rPr>
                          <w:t>9</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81</w:t>
                        </w:r>
                        <w:r>
                          <w:rPr>
                            <w:rFonts w:cs="Georgia"/>
                            <w:spacing w:val="1"/>
                          </w:rPr>
                          <w:t xml:space="preserve"> </w:t>
                        </w:r>
                        <w:r>
                          <w:rPr>
                            <w:rFonts w:cs="Georgia"/>
                          </w:rPr>
                          <w:t>à</w:t>
                        </w:r>
                        <w:r>
                          <w:rPr>
                            <w:rFonts w:cs="Georgia"/>
                            <w:spacing w:val="-1"/>
                          </w:rPr>
                          <w:t xml:space="preserve"> 200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13"/>
                          <w:jc w:val="center"/>
                        </w:pPr>
                        <w:r>
                          <w:rPr>
                            <w:rFonts w:cs="Georgia"/>
                            <w:spacing w:val="1"/>
                          </w:rPr>
                          <w:t>10</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20</w:t>
                        </w:r>
                        <w:r>
                          <w:rPr>
                            <w:rFonts w:cs="Georgia"/>
                          </w:rPr>
                          <w:t>1</w:t>
                        </w:r>
                        <w:r>
                          <w:rPr>
                            <w:rFonts w:cs="Georgia"/>
                            <w:spacing w:val="1"/>
                          </w:rPr>
                          <w:t xml:space="preserve"> </w:t>
                        </w:r>
                        <w:r>
                          <w:rPr>
                            <w:rFonts w:cs="Georgia"/>
                          </w:rPr>
                          <w:t>à</w:t>
                        </w:r>
                        <w:r>
                          <w:rPr>
                            <w:rFonts w:cs="Georgia"/>
                            <w:spacing w:val="-1"/>
                          </w:rPr>
                          <w:t xml:space="preserve"> 22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32"/>
                          <w:jc w:val="center"/>
                        </w:pPr>
                        <w:r>
                          <w:rPr>
                            <w:rFonts w:cs="Georgia"/>
                            <w:spacing w:val="1"/>
                          </w:rPr>
                          <w:t>11</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22</w:t>
                        </w:r>
                        <w:r>
                          <w:rPr>
                            <w:rFonts w:cs="Georgia"/>
                          </w:rPr>
                          <w:t>1</w:t>
                        </w:r>
                        <w:r>
                          <w:rPr>
                            <w:rFonts w:cs="Georgia"/>
                            <w:spacing w:val="1"/>
                          </w:rPr>
                          <w:t xml:space="preserve"> </w:t>
                        </w:r>
                        <w:r>
                          <w:rPr>
                            <w:rFonts w:cs="Georgia"/>
                          </w:rPr>
                          <w:t>à</w:t>
                        </w:r>
                        <w:r>
                          <w:rPr>
                            <w:rFonts w:cs="Georgia"/>
                            <w:spacing w:val="-1"/>
                          </w:rPr>
                          <w:t xml:space="preserve"> 2</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18"/>
                          <w:jc w:val="center"/>
                        </w:pPr>
                        <w:r>
                          <w:rPr>
                            <w:rFonts w:cs="Georgia"/>
                            <w:spacing w:val="1"/>
                          </w:rPr>
                          <w:t>12</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before="1" w:line="249" w:lineRule="exact"/>
                        </w:pPr>
                        <w:r>
                          <w:rPr>
                            <w:rFonts w:cs="Georgia"/>
                          </w:rPr>
                          <w:t>De</w:t>
                        </w:r>
                        <w:r>
                          <w:rPr>
                            <w:rFonts w:cs="Georgia"/>
                            <w:spacing w:val="-1"/>
                          </w:rPr>
                          <w:t xml:space="preserve"> 2</w:t>
                        </w:r>
                        <w:r>
                          <w:rPr>
                            <w:rFonts w:cs="Georgia"/>
                          </w:rPr>
                          <w:t>41</w:t>
                        </w:r>
                        <w:r>
                          <w:rPr>
                            <w:rFonts w:cs="Georgia"/>
                            <w:spacing w:val="1"/>
                          </w:rPr>
                          <w:t xml:space="preserve"> </w:t>
                        </w:r>
                        <w:r>
                          <w:rPr>
                            <w:rFonts w:cs="Georgia"/>
                          </w:rPr>
                          <w:t>à</w:t>
                        </w:r>
                        <w:r>
                          <w:rPr>
                            <w:rFonts w:cs="Georgia"/>
                            <w:spacing w:val="-1"/>
                          </w:rPr>
                          <w:t xml:space="preserve"> 2</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before="1" w:line="249" w:lineRule="exact"/>
                          <w:ind w:right="419"/>
                          <w:jc w:val="center"/>
                        </w:pPr>
                        <w:r>
                          <w:rPr>
                            <w:rFonts w:cs="Georgia"/>
                            <w:spacing w:val="1"/>
                          </w:rPr>
                          <w:t>13</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61</w:t>
                        </w:r>
                        <w:r>
                          <w:rPr>
                            <w:rFonts w:cs="Georgia"/>
                            <w:spacing w:val="1"/>
                          </w:rPr>
                          <w:t xml:space="preserve"> </w:t>
                        </w:r>
                        <w:r>
                          <w:rPr>
                            <w:rFonts w:cs="Georgia"/>
                          </w:rPr>
                          <w:t>à</w:t>
                        </w:r>
                        <w:r>
                          <w:rPr>
                            <w:rFonts w:cs="Georgia"/>
                            <w:spacing w:val="-1"/>
                          </w:rPr>
                          <w:t xml:space="preserve"> 2</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17"/>
                          <w:jc w:val="center"/>
                        </w:pPr>
                        <w:r>
                          <w:rPr>
                            <w:rFonts w:cs="Georgia"/>
                            <w:spacing w:val="1"/>
                          </w:rPr>
                          <w:t>14</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22"/>
                          <w:jc w:val="center"/>
                        </w:pPr>
                        <w:r>
                          <w:rPr>
                            <w:rFonts w:cs="Georgia"/>
                            <w:spacing w:val="1"/>
                          </w:rPr>
                          <w:t>15</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20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before="1" w:line="249" w:lineRule="exact"/>
                          <w:ind w:right="416"/>
                          <w:jc w:val="center"/>
                        </w:pPr>
                        <w:r>
                          <w:rPr>
                            <w:rFonts w:cs="Georgia"/>
                            <w:spacing w:val="1"/>
                          </w:rPr>
                          <w:t>16</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23"/>
                          <w:jc w:val="center"/>
                        </w:pPr>
                        <w:r>
                          <w:rPr>
                            <w:rFonts w:cs="Georgia"/>
                            <w:spacing w:val="1"/>
                          </w:rPr>
                          <w:t>17</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41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14"/>
                          <w:jc w:val="center"/>
                        </w:pPr>
                        <w:r>
                          <w:rPr>
                            <w:rFonts w:cs="Georgia"/>
                            <w:spacing w:val="1"/>
                          </w:rPr>
                          <w:t>18</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rPr>
                          <w:t>61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before="1" w:line="249" w:lineRule="exact"/>
                          <w:ind w:right="416"/>
                          <w:jc w:val="center"/>
                        </w:pPr>
                        <w:r>
                          <w:rPr>
                            <w:rFonts w:cs="Georgia"/>
                            <w:spacing w:val="1"/>
                          </w:rPr>
                          <w:t>19</w:t>
                        </w:r>
                      </w:p>
                    </w:tc>
                  </w:tr>
                  <w:tr w:rsidR="00F04EEF">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81</w:t>
                        </w:r>
                        <w:r>
                          <w:rPr>
                            <w:rFonts w:cs="Georgia"/>
                            <w:spacing w:val="1"/>
                          </w:rPr>
                          <w:t xml:space="preserve"> </w:t>
                        </w:r>
                        <w:r>
                          <w:rPr>
                            <w:rFonts w:cs="Georgia"/>
                          </w:rPr>
                          <w:t>à</w:t>
                        </w:r>
                        <w:r>
                          <w:rPr>
                            <w:rFonts w:cs="Georgia"/>
                            <w:spacing w:val="-1"/>
                          </w:rPr>
                          <w:t xml:space="preserve"> </w:t>
                        </w:r>
                        <w:r>
                          <w:rPr>
                            <w:rFonts w:cs="Georgia"/>
                          </w:rPr>
                          <w:t>4</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ind w:right="400"/>
                          <w:jc w:val="center"/>
                        </w:pPr>
                        <w:r>
                          <w:rPr>
                            <w:rFonts w:cs="Georgia"/>
                            <w:spacing w:val="-1"/>
                          </w:rPr>
                          <w:t>2</w:t>
                        </w:r>
                        <w:r>
                          <w:rPr>
                            <w:rFonts w:cs="Georgia"/>
                          </w:rPr>
                          <w:t>0</w:t>
                        </w:r>
                      </w:p>
                    </w:tc>
                  </w:tr>
                </w:tbl>
                <w:p w:rsidR="00F04EEF" w:rsidRDefault="00F04EEF">
                  <w:pPr>
                    <w:widowControl w:val="0"/>
                    <w:autoSpaceDE w:val="0"/>
                    <w:autoSpaceDN w:val="0"/>
                    <w:adjustRightInd w:val="0"/>
                    <w:spacing w:before="1" w:line="250" w:lineRule="exact"/>
                    <w:ind w:right="47"/>
                    <w:rPr>
                      <w:rFonts w:cs="Georgia"/>
                    </w:rPr>
                  </w:pPr>
                </w:p>
                <w:p w:rsidR="00F04EEF" w:rsidRDefault="0099351E">
                  <w:pPr>
                    <w:pStyle w:val="Titre4"/>
                  </w:pPr>
                  <w:bookmarkStart w:id="1933" w:name="_1.5._Augmentation_de"/>
                  <w:bookmarkStart w:id="1934" w:name="_Toc453314317"/>
                  <w:bookmarkStart w:id="1935" w:name="_Toc454980352"/>
                  <w:bookmarkEnd w:id="1933"/>
                  <w:r>
                    <w:t>1.5. Augmentation de la population scolaire en cours d’année</w:t>
                  </w:r>
                  <w:bookmarkEnd w:id="1934"/>
                  <w:bookmarkEnd w:id="1935"/>
                </w:p>
                <w:p w:rsidR="00F04EEF" w:rsidRDefault="00F04EEF">
                  <w:pPr>
                    <w:jc w:val="both"/>
                    <w:rPr>
                      <w:rFonts w:cs="Georgia"/>
                      <w:b/>
                      <w:bCs/>
                      <w:u w:val="single"/>
                    </w:rPr>
                  </w:pPr>
                </w:p>
                <w:p w:rsidR="00F04EEF" w:rsidRDefault="0099351E">
                  <w:pPr>
                    <w:jc w:val="both"/>
                    <w:rPr>
                      <w:rFonts w:cs="Georgia"/>
                    </w:rPr>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3"/>
                    </w:rPr>
                    <w:t xml:space="preserve"> </w:t>
                  </w:r>
                  <w:r>
                    <w:rPr>
                      <w:rFonts w:cs="Georgia"/>
                      <w:spacing w:val="-1"/>
                    </w:rPr>
                    <w:t>l</w:t>
                  </w:r>
                  <w:r>
                    <w:rPr>
                      <w:rFonts w:cs="Georgia"/>
                    </w:rPr>
                    <w:t>e</w:t>
                  </w:r>
                  <w:r>
                    <w:rPr>
                      <w:rFonts w:cs="Georgia"/>
                      <w:spacing w:val="1"/>
                    </w:rPr>
                    <w:t xml:space="preserve"> 3</w:t>
                  </w:r>
                  <w:r>
                    <w:rPr>
                      <w:rFonts w:cs="Georgia"/>
                    </w:rPr>
                    <w:t>0</w:t>
                  </w:r>
                  <w:r>
                    <w:rPr>
                      <w:rFonts w:cs="Georgia"/>
                      <w:spacing w:val="1"/>
                    </w:rPr>
                    <w:t xml:space="preserve"> 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1"/>
                    </w:rPr>
                    <w:t xml:space="preserve"> de l’année scolaire en cours</w:t>
                  </w:r>
                  <w:r>
                    <w:rPr>
                      <w:rFonts w:cs="Georgia"/>
                    </w:rPr>
                    <w:t>,</w:t>
                  </w:r>
                  <w:r>
                    <w:rPr>
                      <w:rFonts w:cs="Georgia"/>
                      <w:spacing w:val="2"/>
                    </w:rPr>
                    <w:t xml:space="preserve"> </w:t>
                  </w:r>
                  <w:r>
                    <w:rPr>
                      <w:rFonts w:cs="Georgia"/>
                      <w:spacing w:val="-1"/>
                    </w:rPr>
                    <w:t>l</w:t>
                  </w:r>
                  <w:r>
                    <w:rPr>
                      <w:rFonts w:cs="Georgia"/>
                    </w:rPr>
                    <w:t>e</w:t>
                  </w:r>
                  <w:r>
                    <w:rPr>
                      <w:rFonts w:cs="Georgia"/>
                      <w:spacing w:val="1"/>
                    </w:rPr>
                    <w:t xml:space="preserve"> 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3"/>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1"/>
                    </w:rPr>
                    <w:t>e</w:t>
                  </w:r>
                  <w:r>
                    <w:rPr>
                      <w:rFonts w:cs="Georgia"/>
                    </w:rPr>
                    <w:t>ut</w:t>
                  </w:r>
                  <w:r>
                    <w:rPr>
                      <w:rFonts w:cs="Georgia"/>
                      <w:spacing w:val="3"/>
                    </w:rPr>
                    <w:t xml:space="preserve"> </w:t>
                  </w:r>
                  <w:r>
                    <w:rPr>
                      <w:rFonts w:cs="Georgia"/>
                      <w:spacing w:val="-1"/>
                    </w:rPr>
                    <w:t>ê</w:t>
                  </w:r>
                  <w:r>
                    <w:rPr>
                      <w:rFonts w:cs="Georgia"/>
                      <w:spacing w:val="1"/>
                    </w:rPr>
                    <w:t>tr</w:t>
                  </w:r>
                  <w:r>
                    <w:rPr>
                      <w:rFonts w:cs="Georgia"/>
                    </w:rPr>
                    <w:t>e</w:t>
                  </w:r>
                  <w:r>
                    <w:rPr>
                      <w:rFonts w:cs="Georgia"/>
                      <w:spacing w:val="1"/>
                    </w:rPr>
                    <w:t xml:space="preserve"> r</w:t>
                  </w:r>
                  <w:r>
                    <w:rPr>
                      <w:rFonts w:cs="Georgia"/>
                      <w:spacing w:val="-1"/>
                    </w:rPr>
                    <w:t>e</w:t>
                  </w:r>
                  <w:r>
                    <w:rPr>
                      <w:rFonts w:cs="Georgia"/>
                      <w:spacing w:val="1"/>
                    </w:rPr>
                    <w:t>c</w:t>
                  </w:r>
                  <w:r>
                    <w:rPr>
                      <w:rFonts w:cs="Georgia"/>
                      <w:spacing w:val="-1"/>
                    </w:rPr>
                    <w:t>al</w:t>
                  </w:r>
                  <w:r>
                    <w:rPr>
                      <w:rFonts w:cs="Georgia"/>
                      <w:spacing w:val="-2"/>
                    </w:rPr>
                    <w:t>c</w:t>
                  </w:r>
                  <w:r>
                    <w:rPr>
                      <w:rFonts w:cs="Georgia"/>
                    </w:rPr>
                    <w:t>u</w:t>
                  </w:r>
                  <w:r>
                    <w:rPr>
                      <w:rFonts w:cs="Georgia"/>
                      <w:spacing w:val="-1"/>
                    </w:rPr>
                    <w:t>l</w:t>
                  </w:r>
                  <w:r>
                    <w:rPr>
                      <w:rFonts w:cs="Georgia"/>
                    </w:rPr>
                    <w:t>é</w:t>
                  </w:r>
                  <w:r>
                    <w:rPr>
                      <w:rFonts w:cs="Georgia"/>
                      <w:spacing w:val="1"/>
                    </w:rPr>
                    <w:t xml:space="preserve"> ch</w:t>
                  </w:r>
                  <w:r>
                    <w:rPr>
                      <w:rFonts w:cs="Georgia"/>
                      <w:spacing w:val="-1"/>
                    </w:rPr>
                    <w:t>a</w:t>
                  </w:r>
                  <w:r>
                    <w:rPr>
                      <w:rFonts w:cs="Georgia"/>
                      <w:spacing w:val="-4"/>
                    </w:rPr>
                    <w:t>q</w:t>
                  </w:r>
                  <w:r>
                    <w:rPr>
                      <w:rFonts w:cs="Georgia"/>
                    </w:rPr>
                    <w:t>ue</w:t>
                  </w:r>
                  <w:r>
                    <w:rPr>
                      <w:rFonts w:cs="Georgia"/>
                      <w:spacing w:val="1"/>
                    </w:rPr>
                    <w:t xml:space="preserve"> </w:t>
                  </w:r>
                  <w:r>
                    <w:rPr>
                      <w:rFonts w:cs="Georgia"/>
                    </w:rPr>
                    <w:t>f</w:t>
                  </w:r>
                  <w:r>
                    <w:rPr>
                      <w:rFonts w:cs="Georgia"/>
                      <w:spacing w:val="1"/>
                    </w:rPr>
                    <w:t>o</w:t>
                  </w:r>
                  <w:r>
                    <w:rPr>
                      <w:rFonts w:cs="Georgia"/>
                    </w:rPr>
                    <w:t>is</w:t>
                  </w:r>
                  <w:r>
                    <w:rPr>
                      <w:rFonts w:cs="Georgia"/>
                      <w:spacing w:val="3"/>
                    </w:rPr>
                    <w:t xml:space="preserve"> </w:t>
                  </w:r>
                  <w:r>
                    <w:rPr>
                      <w:rFonts w:cs="Georgia"/>
                      <w:spacing w:val="-1"/>
                    </w:rPr>
                    <w:t>q</w:t>
                  </w:r>
                  <w:r>
                    <w:rPr>
                      <w:rFonts w:cs="Georgia"/>
                    </w:rPr>
                    <w:t>ue</w:t>
                  </w:r>
                  <w:r>
                    <w:rPr>
                      <w:rFonts w:cs="Georgia"/>
                      <w:spacing w:val="1"/>
                    </w:rPr>
                    <w:t xml:space="preserve"> </w:t>
                  </w:r>
                  <w:r>
                    <w:rPr>
                      <w:rFonts w:cs="Georgia"/>
                      <w:spacing w:val="-1"/>
                    </w:rPr>
                    <w:t>l</w:t>
                  </w:r>
                  <w:r>
                    <w:rPr>
                      <w:rFonts w:cs="Georgia"/>
                    </w:rPr>
                    <w:t>a</w:t>
                  </w:r>
                  <w:r>
                    <w:rPr>
                      <w:rFonts w:cs="Georgia"/>
                      <w:spacing w:val="1"/>
                    </w:rPr>
                    <w:t xml:space="preserve"> 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sco</w:t>
                  </w:r>
                  <w:r>
                    <w:rPr>
                      <w:rFonts w:cs="Georgia"/>
                      <w:spacing w:val="-1"/>
                    </w:rPr>
                    <w:t>la</w:t>
                  </w:r>
                  <w:r>
                    <w:rPr>
                      <w:rFonts w:cs="Georgia"/>
                    </w:rPr>
                    <w:t>i</w:t>
                  </w:r>
                  <w:r>
                    <w:rPr>
                      <w:rFonts w:cs="Georgia"/>
                      <w:spacing w:val="1"/>
                    </w:rPr>
                    <w:t>r</w:t>
                  </w:r>
                  <w:r>
                    <w:rPr>
                      <w:rFonts w:cs="Georgia"/>
                    </w:rPr>
                    <w:t xml:space="preserve">e globale en cours d’année </w:t>
                  </w:r>
                  <w:r>
                    <w:rPr>
                      <w:rFonts w:cs="Georgia"/>
                      <w:spacing w:val="-1"/>
                    </w:rPr>
                    <w:t>a</w:t>
                  </w:r>
                  <w:r>
                    <w:rPr>
                      <w:rFonts w:cs="Georgia"/>
                    </w:rPr>
                    <w:t>ugm</w:t>
                  </w:r>
                  <w:r>
                    <w:rPr>
                      <w:rFonts w:cs="Georgia"/>
                      <w:spacing w:val="-1"/>
                    </w:rPr>
                    <w:t>en</w:t>
                  </w:r>
                  <w:r>
                    <w:rPr>
                      <w:rFonts w:cs="Georgia"/>
                      <w:spacing w:val="1"/>
                    </w:rPr>
                    <w:t>t</w:t>
                  </w:r>
                  <w:r>
                    <w:rPr>
                      <w:rFonts w:cs="Georgia"/>
                    </w:rPr>
                    <w:t>e d</w:t>
                  </w:r>
                  <w:r>
                    <w:rPr>
                      <w:rFonts w:cs="Georgia"/>
                      <w:spacing w:val="1"/>
                    </w:rPr>
                    <w:t>'</w:t>
                  </w:r>
                  <w:r>
                    <w:rPr>
                      <w:rFonts w:cs="Georgia"/>
                      <w:spacing w:val="-1"/>
                    </w:rPr>
                    <w:t>a</w:t>
                  </w:r>
                  <w:r>
                    <w:rPr>
                      <w:rFonts w:cs="Georgia"/>
                    </w:rPr>
                    <w:t>u</w:t>
                  </w:r>
                  <w:r>
                    <w:rPr>
                      <w:rFonts w:cs="Georgia"/>
                      <w:spacing w:val="1"/>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
                    </w:rPr>
                    <w:t xml:space="preserve"> 1</w:t>
                  </w:r>
                  <w:r>
                    <w:rPr>
                      <w:rFonts w:cs="Georgia"/>
                    </w:rPr>
                    <w:t>0</w:t>
                  </w:r>
                  <w:r>
                    <w:rPr>
                      <w:rFonts w:cs="Georgia"/>
                      <w:spacing w:val="2"/>
                    </w:rPr>
                    <w:t xml:space="preserve"> </w:t>
                  </w:r>
                  <w:r>
                    <w:rPr>
                      <w:rFonts w:cs="Georgia"/>
                    </w:rPr>
                    <w:t xml:space="preserve">% </w:t>
                  </w:r>
                  <w:r>
                    <w:rPr>
                      <w:rFonts w:cs="Georgia"/>
                      <w:spacing w:val="1"/>
                    </w:rPr>
                    <w:t>p</w:t>
                  </w:r>
                  <w:r>
                    <w:rPr>
                      <w:rFonts w:cs="Georgia"/>
                      <w:spacing w:val="-3"/>
                    </w:rPr>
                    <w:t>a</w:t>
                  </w:r>
                  <w:r>
                    <w:rPr>
                      <w:rFonts w:cs="Georgia"/>
                    </w:rPr>
                    <w:t>r</w:t>
                  </w:r>
                  <w:r>
                    <w:rPr>
                      <w:rFonts w:cs="Georgia"/>
                      <w:spacing w:val="1"/>
                    </w:rPr>
                    <w:t xml:space="preserve"> r</w:t>
                  </w:r>
                  <w:r>
                    <w:rPr>
                      <w:rFonts w:cs="Georgia"/>
                      <w:spacing w:val="-1"/>
                    </w:rPr>
                    <w:t>ap</w:t>
                  </w:r>
                  <w:r>
                    <w:rPr>
                      <w:rFonts w:cs="Georgia"/>
                      <w:spacing w:val="1"/>
                    </w:rPr>
                    <w:t>p</w:t>
                  </w:r>
                  <w:r>
                    <w:rPr>
                      <w:rFonts w:cs="Georgia"/>
                      <w:spacing w:val="-1"/>
                    </w:rPr>
                    <w:t>o</w:t>
                  </w:r>
                  <w:r>
                    <w:rPr>
                      <w:rFonts w:cs="Georgia"/>
                      <w:spacing w:val="1"/>
                    </w:rPr>
                    <w:t>r</w:t>
                  </w:r>
                  <w:r>
                    <w:rPr>
                      <w:rFonts w:cs="Georgia"/>
                    </w:rPr>
                    <w:t>t</w:t>
                  </w:r>
                  <w:r>
                    <w:rPr>
                      <w:rFonts w:cs="Georgia"/>
                      <w:spacing w:val="1"/>
                    </w:rPr>
                    <w:t xml:space="preserve"> </w:t>
                  </w:r>
                  <w:r>
                    <w:rPr>
                      <w:rFonts w:cs="Georgia"/>
                    </w:rPr>
                    <w:t>à</w:t>
                  </w:r>
                  <w:r>
                    <w:rPr>
                      <w:rFonts w:cs="Georgia"/>
                      <w:spacing w:val="2"/>
                    </w:rPr>
                    <w:t xml:space="preserve"> </w:t>
                  </w:r>
                  <w:r>
                    <w:rPr>
                      <w:rFonts w:cs="Georgia"/>
                      <w:spacing w:val="1"/>
                    </w:rPr>
                    <w:t>c</w:t>
                  </w:r>
                  <w:r>
                    <w:rPr>
                      <w:rFonts w:cs="Georgia"/>
                      <w:spacing w:val="-1"/>
                    </w:rPr>
                    <w:t>ell</w:t>
                  </w:r>
                  <w:r>
                    <w:rPr>
                      <w:rFonts w:cs="Georgia"/>
                    </w:rPr>
                    <w:t>e</w:t>
                  </w:r>
                  <w:r>
                    <w:rPr>
                      <w:rFonts w:cs="Georgia"/>
                      <w:spacing w:val="2"/>
                    </w:rPr>
                    <w:t xml:space="preserve"> </w:t>
                  </w:r>
                  <w:r>
                    <w:rPr>
                      <w:rFonts w:cs="Georgia"/>
                      <w:spacing w:val="-1"/>
                    </w:rPr>
                    <w:t>q</w:t>
                  </w:r>
                  <w:r>
                    <w:rPr>
                      <w:rFonts w:cs="Georgia"/>
                    </w:rPr>
                    <w:t>ui</w:t>
                  </w:r>
                  <w:r>
                    <w:rPr>
                      <w:rFonts w:cs="Georgia"/>
                      <w:spacing w:val="3"/>
                    </w:rPr>
                    <w:t xml:space="preserve"> </w:t>
                  </w:r>
                  <w:r>
                    <w:rPr>
                      <w:rFonts w:cs="Georgia"/>
                    </w:rPr>
                    <w:t>a</w:t>
                  </w:r>
                  <w:r>
                    <w:rPr>
                      <w:rFonts w:cs="Georgia"/>
                      <w:spacing w:val="2"/>
                    </w:rPr>
                    <w:t xml:space="preserve"> </w:t>
                  </w:r>
                  <w:r>
                    <w:rPr>
                      <w:rFonts w:cs="Georgia"/>
                      <w:spacing w:val="1"/>
                    </w:rPr>
                    <w:t>s</w:t>
                  </w:r>
                  <w:r>
                    <w:rPr>
                      <w:rFonts w:cs="Georgia"/>
                      <w:spacing w:val="-1"/>
                    </w:rPr>
                    <w:t>e</w:t>
                  </w:r>
                  <w:r>
                    <w:rPr>
                      <w:rFonts w:cs="Georgia"/>
                      <w:spacing w:val="-2"/>
                    </w:rPr>
                    <w:t>r</w:t>
                  </w:r>
                  <w:r>
                    <w:rPr>
                      <w:rFonts w:cs="Georgia"/>
                      <w:spacing w:val="1"/>
                    </w:rPr>
                    <w:t>v</w:t>
                  </w:r>
                  <w:r>
                    <w:rPr>
                      <w:rFonts w:cs="Georgia"/>
                    </w:rPr>
                    <w:t>i</w:t>
                  </w:r>
                  <w:r>
                    <w:rPr>
                      <w:rFonts w:cs="Georgia"/>
                      <w:spacing w:val="3"/>
                    </w:rPr>
                    <w:t xml:space="preserve"> </w:t>
                  </w:r>
                  <w:r>
                    <w:rPr>
                      <w:rFonts w:cs="Georgia"/>
                      <w:spacing w:val="-1"/>
                    </w:rPr>
                    <w:t>l</w:t>
                  </w:r>
                  <w:r>
                    <w:rPr>
                      <w:rFonts w:cs="Georgia"/>
                    </w:rPr>
                    <w:t>a d</w:t>
                  </w:r>
                  <w:r>
                    <w:rPr>
                      <w:rFonts w:cs="Georgia"/>
                      <w:spacing w:val="-1"/>
                    </w:rPr>
                    <w:t>e</w:t>
                  </w:r>
                  <w:r>
                    <w:rPr>
                      <w:rFonts w:cs="Georgia"/>
                      <w:spacing w:val="-2"/>
                    </w:rPr>
                    <w:t>r</w:t>
                  </w:r>
                  <w:r>
                    <w:rPr>
                      <w:rFonts w:cs="Georgia"/>
                      <w:spacing w:val="-1"/>
                    </w:rPr>
                    <w:t>n</w:t>
                  </w:r>
                  <w:r>
                    <w:rPr>
                      <w:rFonts w:cs="Georgia"/>
                    </w:rPr>
                    <w:t>i</w:t>
                  </w:r>
                  <w:r>
                    <w:rPr>
                      <w:rFonts w:cs="Georgia"/>
                      <w:spacing w:val="-1"/>
                    </w:rPr>
                    <w:t>è</w:t>
                  </w:r>
                  <w:r>
                    <w:rPr>
                      <w:rFonts w:cs="Georgia"/>
                      <w:spacing w:val="1"/>
                    </w:rPr>
                    <w:t>r</w:t>
                  </w:r>
                  <w:r>
                    <w:rPr>
                      <w:rFonts w:cs="Georgia"/>
                    </w:rPr>
                    <w:t>e</w:t>
                  </w:r>
                  <w:r>
                    <w:rPr>
                      <w:rFonts w:cs="Georgia"/>
                      <w:spacing w:val="2"/>
                    </w:rPr>
                    <w:t xml:space="preserve"> </w:t>
                  </w:r>
                  <w:r>
                    <w:rPr>
                      <w:rFonts w:cs="Georgia"/>
                    </w:rPr>
                    <w:t>f</w:t>
                  </w:r>
                  <w:r>
                    <w:rPr>
                      <w:rFonts w:cs="Georgia"/>
                      <w:spacing w:val="1"/>
                    </w:rPr>
                    <w:t>o</w:t>
                  </w:r>
                  <w:r>
                    <w:rPr>
                      <w:rFonts w:cs="Georgia"/>
                      <w:spacing w:val="-2"/>
                    </w:rPr>
                    <w:t>i</w:t>
                  </w:r>
                  <w:r>
                    <w:rPr>
                      <w:rFonts w:cs="Georgia"/>
                    </w:rPr>
                    <w:t>s</w:t>
                  </w:r>
                  <w:r>
                    <w:rPr>
                      <w:rFonts w:cs="Georgia"/>
                      <w:spacing w:val="4"/>
                    </w:rPr>
                    <w:t xml:space="preserve"> </w:t>
                  </w:r>
                  <w:r>
                    <w:rPr>
                      <w:rFonts w:cs="Georgia"/>
                    </w:rPr>
                    <w:t xml:space="preserve">de </w:t>
                  </w:r>
                  <w:r>
                    <w:rPr>
                      <w:rFonts w:cs="Georgia"/>
                      <w:spacing w:val="1"/>
                    </w:rPr>
                    <w:t>b</w:t>
                  </w:r>
                  <w:r>
                    <w:rPr>
                      <w:rFonts w:cs="Georgia"/>
                      <w:spacing w:val="-1"/>
                    </w:rPr>
                    <w:t>a</w:t>
                  </w:r>
                  <w:r>
                    <w:rPr>
                      <w:rFonts w:cs="Georgia"/>
                      <w:spacing w:val="1"/>
                    </w:rPr>
                    <w:t>s</w:t>
                  </w:r>
                  <w:r>
                    <w:rPr>
                      <w:rFonts w:cs="Georgia"/>
                    </w:rPr>
                    <w:t xml:space="preserve">e </w:t>
                  </w:r>
                  <w:r>
                    <w:rPr>
                      <w:rFonts w:cs="Georgia"/>
                      <w:spacing w:val="-1"/>
                    </w:rPr>
                    <w:t>p</w:t>
                  </w:r>
                  <w:r>
                    <w:rPr>
                      <w:rFonts w:cs="Georgia"/>
                      <w:spacing w:val="1"/>
                    </w:rPr>
                    <w:t>o</w:t>
                  </w:r>
                  <w:r>
                    <w:rPr>
                      <w:rFonts w:cs="Georgia"/>
                    </w:rPr>
                    <w:t>ur</w:t>
                  </w:r>
                  <w:r>
                    <w:rPr>
                      <w:rFonts w:cs="Georgia"/>
                      <w:spacing w:val="1"/>
                    </w:rPr>
                    <w:t xml:space="preserve"> </w:t>
                  </w:r>
                  <w:r>
                    <w:rPr>
                      <w:rFonts w:cs="Georgia"/>
                      <w:spacing w:val="-1"/>
                    </w:rPr>
                    <w:t>l</w:t>
                  </w:r>
                  <w:r>
                    <w:rPr>
                      <w:rFonts w:cs="Georgia"/>
                    </w:rPr>
                    <w:t>a 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c</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3"/>
                    </w:rPr>
                    <w:t>e</w:t>
                  </w:r>
                  <w:r>
                    <w:rPr>
                      <w:rFonts w:cs="Georgia"/>
                      <w:spacing w:val="1"/>
                    </w:rPr>
                    <w:t>s.</w:t>
                  </w:r>
                </w:p>
                <w:p w:rsidR="00F04EEF" w:rsidRDefault="00F04EEF">
                  <w:pPr>
                    <w:jc w:val="both"/>
                    <w:rPr>
                      <w:rFonts w:cs="Georgia"/>
                    </w:rPr>
                  </w:pPr>
                </w:p>
                <w:p w:rsidR="00F04EEF" w:rsidRDefault="0099351E">
                  <w:pPr>
                    <w:jc w:val="both"/>
                    <w:rPr>
                      <w:rFonts w:cs="Georgia"/>
                    </w:rPr>
                  </w:pPr>
                  <w:r>
                    <w:rPr>
                      <w:rFonts w:cs="Georgia"/>
                      <w:b/>
                      <w:bCs/>
                      <w:spacing w:val="-1"/>
                      <w:position w:val="-1"/>
                      <w:u w:val="single"/>
                    </w:rPr>
                    <w:t>E</w:t>
                  </w:r>
                  <w:r>
                    <w:rPr>
                      <w:rFonts w:cs="Georgia"/>
                      <w:b/>
                      <w:bCs/>
                      <w:position w:val="-1"/>
                      <w:u w:val="single"/>
                    </w:rPr>
                    <w:t>x</w:t>
                  </w:r>
                  <w:r>
                    <w:rPr>
                      <w:rFonts w:cs="Georgia"/>
                      <w:b/>
                      <w:bCs/>
                      <w:spacing w:val="1"/>
                      <w:position w:val="-1"/>
                      <w:u w:val="single"/>
                    </w:rPr>
                    <w:t>e</w:t>
                  </w:r>
                  <w:r>
                    <w:rPr>
                      <w:rFonts w:cs="Georgia"/>
                      <w:b/>
                      <w:bCs/>
                      <w:spacing w:val="-1"/>
                      <w:position w:val="-1"/>
                      <w:u w:val="single"/>
                    </w:rPr>
                    <w:t>mp</w:t>
                  </w:r>
                  <w:r>
                    <w:rPr>
                      <w:rFonts w:cs="Georgia"/>
                      <w:b/>
                      <w:bCs/>
                      <w:spacing w:val="1"/>
                      <w:position w:val="-1"/>
                      <w:u w:val="single"/>
                    </w:rPr>
                    <w:t>l</w:t>
                  </w:r>
                  <w:r>
                    <w:rPr>
                      <w:rFonts w:cs="Georgia"/>
                      <w:b/>
                      <w:bCs/>
                      <w:position w:val="-1"/>
                      <w:u w:val="single"/>
                    </w:rPr>
                    <w:t>e :</w:t>
                  </w:r>
                </w:p>
                <w:p w:rsidR="00F04EEF" w:rsidRDefault="00F04EEF">
                  <w:pPr>
                    <w:jc w:val="both"/>
                    <w:rPr>
                      <w:rFonts w:cs="Georgia"/>
                    </w:rPr>
                  </w:pPr>
                </w:p>
                <w:p w:rsidR="00F04EEF" w:rsidRDefault="0099351E">
                  <w:pPr>
                    <w:jc w:val="both"/>
                    <w:rPr>
                      <w:rFonts w:cs="Georgia"/>
                    </w:rPr>
                  </w:pPr>
                  <w:r>
                    <w:rPr>
                      <w:rFonts w:cs="Georgia"/>
                      <w:spacing w:val="1"/>
                    </w:rPr>
                    <w:t>A</w:t>
                  </w:r>
                  <w:r>
                    <w:rPr>
                      <w:rFonts w:cs="Georgia"/>
                    </w:rPr>
                    <w:t xml:space="preserve">u </w:t>
                  </w:r>
                  <w:r>
                    <w:rPr>
                      <w:rFonts w:cs="Georgia"/>
                      <w:spacing w:val="-1"/>
                    </w:rPr>
                    <w:t>1</w:t>
                  </w:r>
                  <w:r>
                    <w:rPr>
                      <w:rFonts w:cs="Georgia"/>
                    </w:rPr>
                    <w:t>5 j</w:t>
                  </w:r>
                  <w:r>
                    <w:rPr>
                      <w:rFonts w:cs="Georgia"/>
                      <w:spacing w:val="-1"/>
                    </w:rPr>
                    <w:t>an</w:t>
                  </w:r>
                  <w:r>
                    <w:rPr>
                      <w:rFonts w:cs="Georgia"/>
                      <w:spacing w:val="-2"/>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l</w:t>
                  </w:r>
                  <w:r>
                    <w:rPr>
                      <w:rFonts w:cs="Georgia"/>
                    </w:rPr>
                    <w:t>’</w:t>
                  </w:r>
                  <w:r>
                    <w:rPr>
                      <w:rFonts w:cs="Georgia"/>
                      <w:spacing w:val="-3"/>
                    </w:rPr>
                    <w:t>é</w:t>
                  </w:r>
                  <w:r>
                    <w:rPr>
                      <w:rFonts w:cs="Georgia"/>
                      <w:spacing w:val="1"/>
                    </w:rPr>
                    <w:t>co</w:t>
                  </w:r>
                  <w:r>
                    <w:rPr>
                      <w:rFonts w:cs="Georgia"/>
                      <w:spacing w:val="-1"/>
                    </w:rPr>
                    <w:t>l</w:t>
                  </w:r>
                  <w:r>
                    <w:rPr>
                      <w:rFonts w:cs="Georgia"/>
                    </w:rPr>
                    <w:t xml:space="preserve">e a un </w:t>
                  </w:r>
                  <w:r>
                    <w:rPr>
                      <w:rFonts w:cs="Georgia"/>
                      <w:spacing w:val="-1"/>
                    </w:rPr>
                    <w:t>n</w:t>
                  </w:r>
                  <w:r>
                    <w:rPr>
                      <w:rFonts w:cs="Georgia"/>
                      <w:spacing w:val="1"/>
                    </w:rPr>
                    <w:t>o</w:t>
                  </w:r>
                  <w:r>
                    <w:rPr>
                      <w:rFonts w:cs="Georgia"/>
                      <w:spacing w:val="-3"/>
                    </w:rPr>
                    <w:t>m</w:t>
                  </w:r>
                  <w:r>
                    <w:rPr>
                      <w:rFonts w:cs="Georgia"/>
                      <w:spacing w:val="1"/>
                    </w:rPr>
                    <w:t>br</w:t>
                  </w:r>
                  <w:r>
                    <w:rPr>
                      <w:rFonts w:cs="Georgia"/>
                    </w:rPr>
                    <w:t xml:space="preserve">e </w:t>
                  </w:r>
                  <w:r>
                    <w:rPr>
                      <w:rFonts w:cs="Georgia"/>
                      <w:spacing w:val="1"/>
                    </w:rPr>
                    <w:t>v</w:t>
                  </w:r>
                  <w:r>
                    <w:rPr>
                      <w:rFonts w:cs="Georgia"/>
                      <w:spacing w:val="-3"/>
                    </w:rPr>
                    <w:t>é</w:t>
                  </w:r>
                  <w:r>
                    <w:rPr>
                      <w:rFonts w:cs="Georgia"/>
                      <w:spacing w:val="1"/>
                    </w:rPr>
                    <w:t>r</w:t>
                  </w:r>
                  <w:r>
                    <w:rPr>
                      <w:rFonts w:cs="Georgia"/>
                    </w:rPr>
                    <w:t>i</w:t>
                  </w:r>
                  <w:r>
                    <w:rPr>
                      <w:rFonts w:cs="Georgia"/>
                      <w:spacing w:val="-2"/>
                    </w:rPr>
                    <w:t>f</w:t>
                  </w:r>
                  <w:r>
                    <w:rPr>
                      <w:rFonts w:cs="Georgia"/>
                    </w:rPr>
                    <w:t xml:space="preserve">ié de </w:t>
                  </w:r>
                  <w:r>
                    <w:rPr>
                      <w:rFonts w:cs="Georgia"/>
                      <w:spacing w:val="1"/>
                    </w:rPr>
                    <w:t>1</w:t>
                  </w:r>
                  <w:r>
                    <w:rPr>
                      <w:rFonts w:cs="Georgia"/>
                      <w:spacing w:val="-1"/>
                    </w:rPr>
                    <w:t>0</w:t>
                  </w:r>
                  <w:r>
                    <w:rPr>
                      <w:rFonts w:cs="Georgia"/>
                    </w:rPr>
                    <w:t xml:space="preserve">0 </w:t>
                  </w:r>
                  <w:r>
                    <w:rPr>
                      <w:rFonts w:cs="Georgia"/>
                      <w:spacing w:val="-1"/>
                    </w:rPr>
                    <w:t>élè</w:t>
                  </w:r>
                  <w:r>
                    <w:rPr>
                      <w:rFonts w:cs="Georgia"/>
                      <w:spacing w:val="1"/>
                    </w:rPr>
                    <w:t>v</w:t>
                  </w:r>
                  <w:r>
                    <w:rPr>
                      <w:rFonts w:cs="Georgia"/>
                      <w:spacing w:val="-1"/>
                    </w:rPr>
                    <w:t>e</w:t>
                  </w:r>
                  <w:r>
                    <w:rPr>
                      <w:rFonts w:cs="Georgia"/>
                      <w:spacing w:val="1"/>
                    </w:rPr>
                    <w:t>s suite au passage du vérificateur</w:t>
                  </w:r>
                  <w:r>
                    <w:rPr>
                      <w:rFonts w:cs="Georgia"/>
                    </w:rPr>
                    <w:t>.</w:t>
                  </w:r>
                  <w:r>
                    <w:rPr>
                      <w:rFonts w:cs="Georgia"/>
                      <w:spacing w:val="3"/>
                    </w:rPr>
                    <w:t xml:space="preserve"> </w:t>
                  </w:r>
                  <w:r>
                    <w:rPr>
                      <w:rFonts w:cs="Georgia"/>
                      <w:spacing w:val="1"/>
                    </w:rPr>
                    <w:t>A</w:t>
                  </w:r>
                  <w:r>
                    <w:rPr>
                      <w:rFonts w:cs="Georgia"/>
                    </w:rPr>
                    <w:t xml:space="preserve">u </w:t>
                  </w:r>
                  <w:r>
                    <w:rPr>
                      <w:rFonts w:cs="Georgia"/>
                      <w:spacing w:val="-2"/>
                    </w:rPr>
                    <w:t>3</w:t>
                  </w:r>
                  <w:r>
                    <w:rPr>
                      <w:rFonts w:cs="Georgia"/>
                    </w:rPr>
                    <w:t xml:space="preserve">0 </w:t>
                  </w:r>
                  <w:r>
                    <w:rPr>
                      <w:rFonts w:cs="Georgia"/>
                      <w:spacing w:val="1"/>
                    </w:rPr>
                    <w:t>s</w:t>
                  </w:r>
                  <w:r>
                    <w:rPr>
                      <w:rFonts w:cs="Georgia"/>
                      <w:spacing w:val="-1"/>
                    </w:rPr>
                    <w:t>e</w:t>
                  </w:r>
                  <w:r>
                    <w:rPr>
                      <w:rFonts w:cs="Georgia"/>
                      <w:spacing w:val="1"/>
                    </w:rPr>
                    <w:t>pt</w:t>
                  </w:r>
                  <w:r>
                    <w:rPr>
                      <w:rFonts w:cs="Georgia"/>
                      <w:spacing w:val="-1"/>
                    </w:rPr>
                    <w:t>e</w:t>
                  </w:r>
                  <w:r>
                    <w:rPr>
                      <w:rFonts w:cs="Georgia"/>
                    </w:rPr>
                    <w:t>m</w:t>
                  </w:r>
                  <w:r>
                    <w:rPr>
                      <w:rFonts w:cs="Georgia"/>
                      <w:spacing w:val="-1"/>
                    </w:rPr>
                    <w:t>b</w:t>
                  </w:r>
                  <w:r>
                    <w:rPr>
                      <w:rFonts w:cs="Georgia"/>
                      <w:spacing w:val="1"/>
                    </w:rPr>
                    <w:t>r</w:t>
                  </w:r>
                  <w:r>
                    <w:rPr>
                      <w:rFonts w:cs="Georgia"/>
                    </w:rPr>
                    <w:t xml:space="preserve">e </w:t>
                  </w:r>
                  <w:r>
                    <w:rPr>
                      <w:rFonts w:cs="Georgia"/>
                      <w:spacing w:val="-1"/>
                    </w:rPr>
                    <w:t>20</w:t>
                  </w:r>
                  <w:r>
                    <w:rPr>
                      <w:rFonts w:cs="Georgia"/>
                      <w:spacing w:val="1"/>
                    </w:rPr>
                    <w:t>18</w:t>
                  </w:r>
                  <w:r>
                    <w:rPr>
                      <w:rFonts w:cs="Georgia"/>
                    </w:rPr>
                    <w:t xml:space="preserve">, </w:t>
                  </w:r>
                  <w:r>
                    <w:rPr>
                      <w:rFonts w:cs="Georgia"/>
                      <w:spacing w:val="1"/>
                    </w:rPr>
                    <w:t>s</w:t>
                  </w:r>
                  <w:r>
                    <w:rPr>
                      <w:rFonts w:cs="Georgia"/>
                    </w:rPr>
                    <w:t xml:space="preserve">a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n</w:t>
                  </w:r>
                  <w:r>
                    <w:rPr>
                      <w:rFonts w:cs="Georgia"/>
                      <w:spacing w:val="3"/>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rPr>
                    <w:t>d</w:t>
                  </w:r>
                  <w:r>
                    <w:rPr>
                      <w:rFonts w:cs="Georgia"/>
                      <w:spacing w:val="-1"/>
                    </w:rPr>
                    <w:t>e</w:t>
                  </w:r>
                  <w:r>
                    <w:rPr>
                      <w:rFonts w:cs="Georgia"/>
                      <w:spacing w:val="1"/>
                    </w:rPr>
                    <w:t>sc</w:t>
                  </w:r>
                  <w:r>
                    <w:rPr>
                      <w:rFonts w:cs="Georgia"/>
                      <w:spacing w:val="-1"/>
                    </w:rPr>
                    <w:t>en</w:t>
                  </w:r>
                  <w:r>
                    <w:rPr>
                      <w:rFonts w:cs="Georgia"/>
                    </w:rPr>
                    <w:t>d</w:t>
                  </w:r>
                  <w:r>
                    <w:rPr>
                      <w:rFonts w:cs="Georgia"/>
                      <w:spacing w:val="-2"/>
                    </w:rPr>
                    <w:t>u</w:t>
                  </w:r>
                  <w:r>
                    <w:rPr>
                      <w:rFonts w:cs="Georgia"/>
                    </w:rPr>
                    <w:t>e</w:t>
                  </w:r>
                  <w:r>
                    <w:rPr>
                      <w:rFonts w:cs="Georgia"/>
                      <w:spacing w:val="3"/>
                    </w:rPr>
                    <w:t xml:space="preserve"> </w:t>
                  </w:r>
                  <w:r>
                    <w:rPr>
                      <w:rFonts w:cs="Georgia"/>
                    </w:rPr>
                    <w:t>à</w:t>
                  </w:r>
                  <w:r>
                    <w:rPr>
                      <w:rFonts w:cs="Georgia"/>
                      <w:spacing w:val="3"/>
                    </w:rPr>
                    <w:t xml:space="preserve"> </w:t>
                  </w:r>
                  <w:r>
                    <w:rPr>
                      <w:rFonts w:cs="Georgia"/>
                    </w:rPr>
                    <w:t>97</w:t>
                  </w:r>
                  <w:r>
                    <w:rPr>
                      <w:rFonts w:cs="Georgia"/>
                      <w:spacing w:val="3"/>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4"/>
                    </w:rPr>
                    <w:t xml:space="preserve"> </w:t>
                  </w:r>
                  <w:r>
                    <w:rPr>
                      <w:rFonts w:cs="Georgia"/>
                      <w:spacing w:val="1"/>
                    </w:rPr>
                    <w:t>so</w:t>
                  </w:r>
                  <w:r>
                    <w:rPr>
                      <w:rFonts w:cs="Georgia"/>
                      <w:spacing w:val="-2"/>
                    </w:rPr>
                    <w:t>i</w:t>
                  </w:r>
                  <w:r>
                    <w:rPr>
                      <w:rFonts w:cs="Georgia"/>
                    </w:rPr>
                    <w:t>t</w:t>
                  </w:r>
                  <w:r>
                    <w:rPr>
                      <w:rFonts w:cs="Georgia"/>
                      <w:spacing w:val="4"/>
                    </w:rPr>
                    <w:t xml:space="preserve"> </w:t>
                  </w:r>
                  <w:r>
                    <w:rPr>
                      <w:rFonts w:cs="Georgia"/>
                    </w:rPr>
                    <w:t>u</w:t>
                  </w:r>
                  <w:r>
                    <w:rPr>
                      <w:rFonts w:cs="Georgia"/>
                      <w:spacing w:val="-1"/>
                    </w:rPr>
                    <w:t>n</w:t>
                  </w:r>
                  <w:r>
                    <w:rPr>
                      <w:rFonts w:cs="Georgia"/>
                    </w:rPr>
                    <w:t>e</w:t>
                  </w:r>
                  <w:r>
                    <w:rPr>
                      <w:rFonts w:cs="Georgia"/>
                      <w:spacing w:val="3"/>
                    </w:rPr>
                    <w:t xml:space="preserve"> </w:t>
                  </w:r>
                  <w:r>
                    <w:rPr>
                      <w:rFonts w:cs="Georgia"/>
                      <w:spacing w:val="1"/>
                    </w:rPr>
                    <w:t>v</w:t>
                  </w:r>
                  <w:r>
                    <w:rPr>
                      <w:rFonts w:cs="Georgia"/>
                      <w:spacing w:val="-3"/>
                    </w:rPr>
                    <w:t>a</w:t>
                  </w:r>
                  <w:r>
                    <w:rPr>
                      <w:rFonts w:cs="Georgia"/>
                      <w:spacing w:val="1"/>
                    </w:rPr>
                    <w:t>r</w:t>
                  </w:r>
                  <w:r>
                    <w:rPr>
                      <w:rFonts w:cs="Georgia"/>
                    </w:rPr>
                    <w:t>i</w:t>
                  </w:r>
                  <w:r>
                    <w:rPr>
                      <w:rFonts w:cs="Georgia"/>
                      <w:spacing w:val="-1"/>
                    </w:rPr>
                    <w:t>a</w:t>
                  </w:r>
                  <w:r>
                    <w:rPr>
                      <w:rFonts w:cs="Georgia"/>
                      <w:spacing w:val="1"/>
                    </w:rPr>
                    <w:t>t</w:t>
                  </w:r>
                  <w:r>
                    <w:rPr>
                      <w:rFonts w:cs="Georgia"/>
                    </w:rPr>
                    <w:t>i</w:t>
                  </w:r>
                  <w:r>
                    <w:rPr>
                      <w:rFonts w:cs="Georgia"/>
                      <w:spacing w:val="1"/>
                    </w:rPr>
                    <w:t>o</w:t>
                  </w:r>
                  <w:r>
                    <w:rPr>
                      <w:rFonts w:cs="Georgia"/>
                    </w:rPr>
                    <w:t>n i</w:t>
                  </w:r>
                  <w:r>
                    <w:rPr>
                      <w:rFonts w:cs="Georgia"/>
                      <w:spacing w:val="-1"/>
                    </w:rPr>
                    <w:t>n</w:t>
                  </w:r>
                  <w:r>
                    <w:rPr>
                      <w:rFonts w:cs="Georgia"/>
                    </w:rPr>
                    <w:t>f</w:t>
                  </w:r>
                  <w:r>
                    <w:rPr>
                      <w:rFonts w:cs="Georgia"/>
                      <w:spacing w:val="-1"/>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rPr>
                    <w:t>e</w:t>
                  </w:r>
                  <w:r>
                    <w:rPr>
                      <w:rFonts w:cs="Georgia"/>
                      <w:spacing w:val="3"/>
                    </w:rPr>
                    <w:t xml:space="preserve"> </w:t>
                  </w:r>
                  <w:r>
                    <w:rPr>
                      <w:rFonts w:cs="Georgia"/>
                    </w:rPr>
                    <w:t xml:space="preserve">à </w:t>
                  </w:r>
                  <w:r>
                    <w:rPr>
                      <w:rFonts w:cs="Georgia"/>
                      <w:spacing w:val="1"/>
                    </w:rPr>
                    <w:t>5</w:t>
                  </w:r>
                  <w:r>
                    <w:rPr>
                      <w:rFonts w:cs="Georgia"/>
                    </w:rPr>
                    <w:t>%.</w:t>
                  </w:r>
                  <w:r>
                    <w:rPr>
                      <w:rFonts w:cs="Georgia"/>
                      <w:spacing w:val="2"/>
                    </w:rPr>
                    <w:t xml:space="preserve"> </w:t>
                  </w:r>
                  <w:r>
                    <w:rPr>
                      <w:rFonts w:cs="Georgia"/>
                    </w:rPr>
                    <w:t>C’</w:t>
                  </w:r>
                  <w:r>
                    <w:rPr>
                      <w:rFonts w:cs="Georgia"/>
                      <w:spacing w:val="-1"/>
                    </w:rPr>
                    <w:t>e</w:t>
                  </w:r>
                  <w:r>
                    <w:rPr>
                      <w:rFonts w:cs="Georgia"/>
                      <w:spacing w:val="1"/>
                    </w:rPr>
                    <w:t>s</w:t>
                  </w:r>
                  <w:r>
                    <w:rPr>
                      <w:rFonts w:cs="Georgia"/>
                    </w:rPr>
                    <w:t>t</w:t>
                  </w:r>
                  <w:r>
                    <w:rPr>
                      <w:rFonts w:cs="Georgia"/>
                      <w:spacing w:val="4"/>
                    </w:rPr>
                    <w:t xml:space="preserve"> </w:t>
                  </w:r>
                  <w:r>
                    <w:rPr>
                      <w:rFonts w:cs="Georgia"/>
                      <w:spacing w:val="-2"/>
                    </w:rPr>
                    <w:t>d</w:t>
                  </w:r>
                  <w:r>
                    <w:rPr>
                      <w:rFonts w:cs="Georgia"/>
                      <w:spacing w:val="1"/>
                    </w:rPr>
                    <w:t>o</w:t>
                  </w:r>
                  <w:r>
                    <w:rPr>
                      <w:rFonts w:cs="Georgia"/>
                      <w:spacing w:val="-1"/>
                    </w:rPr>
                    <w:t>n</w:t>
                  </w:r>
                  <w:r>
                    <w:rPr>
                      <w:rFonts w:cs="Georgia"/>
                    </w:rPr>
                    <w:t>c</w:t>
                  </w:r>
                  <w:r>
                    <w:rPr>
                      <w:rFonts w:cs="Georgia"/>
                      <w:spacing w:val="3"/>
                    </w:rPr>
                    <w:t xml:space="preserve"> </w:t>
                  </w:r>
                  <w:r>
                    <w:rPr>
                      <w:rFonts w:cs="Georgia"/>
                      <w:spacing w:val="1"/>
                    </w:rPr>
                    <w:t>s</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 xml:space="preserve">n du </w:t>
                  </w:r>
                  <w:r>
                    <w:rPr>
                      <w:rFonts w:cs="Georgia"/>
                      <w:spacing w:val="-1"/>
                    </w:rPr>
                    <w:t>1</w:t>
                  </w:r>
                  <w:r>
                    <w:rPr>
                      <w:rFonts w:cs="Georgia"/>
                    </w:rPr>
                    <w:t>5</w:t>
                  </w:r>
                  <w:r>
                    <w:rPr>
                      <w:rFonts w:cs="Georgia"/>
                      <w:spacing w:val="1"/>
                    </w:rPr>
                    <w:t xml:space="preserve"> </w:t>
                  </w:r>
                  <w:r>
                    <w:rPr>
                      <w:rFonts w:cs="Georgia"/>
                    </w:rPr>
                    <w:t>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q</w:t>
                  </w:r>
                  <w:r>
                    <w:rPr>
                      <w:rFonts w:cs="Georgia"/>
                    </w:rPr>
                    <w:t>ui</w:t>
                  </w:r>
                  <w:r>
                    <w:rPr>
                      <w:rFonts w:cs="Georgia"/>
                      <w:spacing w:val="-3"/>
                    </w:rPr>
                    <w:t xml:space="preserve"> </w:t>
                  </w:r>
                  <w:r>
                    <w:rPr>
                      <w:rFonts w:cs="Georgia"/>
                    </w:rPr>
                    <w:t>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w:t>
                  </w:r>
                  <w:r>
                    <w:rPr>
                      <w:rFonts w:cs="Georgia"/>
                    </w:rPr>
                    <w:t>e</w:t>
                  </w:r>
                  <w:r>
                    <w:rPr>
                      <w:rFonts w:cs="Georgia"/>
                      <w:spacing w:val="-1"/>
                    </w:rPr>
                    <w:t xml:space="preserve"> 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spacing w:val="-2"/>
                    </w:rPr>
                    <w:t>d</w:t>
                  </w:r>
                  <w:r>
                    <w:rPr>
                      <w:rFonts w:cs="Georgia"/>
                      <w:spacing w:val="-1"/>
                    </w:rPr>
                    <w:t>e</w:t>
                  </w:r>
                  <w:r>
                    <w:rPr>
                      <w:rFonts w:cs="Georgia"/>
                    </w:rPr>
                    <w:t xml:space="preserve">s </w:t>
                  </w:r>
                  <w:r>
                    <w:rPr>
                      <w:rFonts w:cs="Georgia"/>
                      <w:spacing w:val="1"/>
                    </w:rPr>
                    <w:t>po</w:t>
                  </w:r>
                  <w:r>
                    <w:rPr>
                      <w:rFonts w:cs="Georgia"/>
                      <w:spacing w:val="-2"/>
                    </w:rPr>
                    <w:t>u</w:t>
                  </w:r>
                  <w:r>
                    <w:rPr>
                      <w:rFonts w:cs="Georgia"/>
                    </w:rPr>
                    <w:t xml:space="preserve">r </w:t>
                  </w:r>
                  <w:r>
                    <w:rPr>
                      <w:rFonts w:cs="Georgia"/>
                      <w:spacing w:val="-1"/>
                    </w:rPr>
                    <w:t>l</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st</w:t>
                  </w:r>
                  <w:r>
                    <w:rPr>
                      <w:rFonts w:cs="Georgia"/>
                    </w:rPr>
                    <w:t>e</w:t>
                  </w:r>
                  <w:r>
                    <w:rPr>
                      <w:rFonts w:cs="Georgia"/>
                      <w:spacing w:val="-1"/>
                    </w:rPr>
                    <w:t xml:space="preserve"> </w:t>
                  </w:r>
                  <w:r>
                    <w:rPr>
                      <w:rFonts w:cs="Georgia"/>
                    </w:rPr>
                    <w:t>de</w:t>
                  </w:r>
                  <w:r>
                    <w:rPr>
                      <w:rFonts w:cs="Georgia"/>
                      <w:spacing w:val="-1"/>
                    </w:rPr>
                    <w:t xml:space="preserve"> l</w:t>
                  </w:r>
                  <w:r>
                    <w:rPr>
                      <w:rFonts w:cs="Georgia"/>
                    </w:rPr>
                    <w:t>’</w:t>
                  </w:r>
                  <w:r>
                    <w:rPr>
                      <w:rFonts w:cs="Georgia"/>
                      <w:spacing w:val="-1"/>
                    </w:rPr>
                    <w:t>anné</w:t>
                  </w:r>
                  <w:r>
                    <w:rPr>
                      <w:rFonts w:cs="Georgia"/>
                    </w:rPr>
                    <w:t>e</w:t>
                  </w:r>
                  <w:r>
                    <w:rPr>
                      <w:rFonts w:cs="Georgia"/>
                      <w:spacing w:val="-1"/>
                    </w:rPr>
                    <w:t xml:space="preserve"> </w:t>
                  </w:r>
                  <w:r>
                    <w:rPr>
                      <w:rFonts w:cs="Georgia"/>
                      <w:spacing w:val="1"/>
                    </w:rPr>
                    <w:t>sco</w:t>
                  </w:r>
                  <w:r>
                    <w:rPr>
                      <w:rFonts w:cs="Georgia"/>
                      <w:spacing w:val="-1"/>
                    </w:rPr>
                    <w:t>la</w:t>
                  </w:r>
                  <w:r>
                    <w:rPr>
                      <w:rFonts w:cs="Georgia"/>
                    </w:rPr>
                    <w:t>i</w:t>
                  </w:r>
                  <w:r>
                    <w:rPr>
                      <w:rFonts w:cs="Georgia"/>
                      <w:spacing w:val="1"/>
                    </w:rPr>
                    <w:t>r</w:t>
                  </w:r>
                  <w:r>
                    <w:rPr>
                      <w:rFonts w:cs="Georgia"/>
                      <w:spacing w:val="-1"/>
                    </w:rPr>
                    <w:t>e, soit 100 élèves.</w:t>
                  </w:r>
                </w:p>
                <w:p w:rsidR="00F04EEF" w:rsidRDefault="00F04EEF">
                  <w:pPr>
                    <w:jc w:val="both"/>
                    <w:rPr>
                      <w:rFonts w:cs="Georgia"/>
                      <w:spacing w:val="1"/>
                    </w:rPr>
                  </w:pPr>
                </w:p>
                <w:p w:rsidR="00F04EEF" w:rsidRDefault="0099351E">
                  <w:pPr>
                    <w:jc w:val="both"/>
                    <w:rPr>
                      <w:rFonts w:cs="Georgia"/>
                    </w:rPr>
                  </w:pPr>
                  <w:r>
                    <w:rPr>
                      <w:rFonts w:cs="Georgia"/>
                      <w:spacing w:val="1"/>
                    </w:rPr>
                    <w:t>N</w:t>
                  </w:r>
                  <w:r>
                    <w:rPr>
                      <w:rFonts w:cs="Georgia"/>
                      <w:spacing w:val="-1"/>
                    </w:rPr>
                    <w:t>éan</w:t>
                  </w:r>
                  <w:r>
                    <w:rPr>
                      <w:rFonts w:cs="Georgia"/>
                    </w:rPr>
                    <w:t>m</w:t>
                  </w:r>
                  <w:r>
                    <w:rPr>
                      <w:rFonts w:cs="Georgia"/>
                      <w:spacing w:val="1"/>
                    </w:rPr>
                    <w:t>o</w:t>
                  </w:r>
                  <w:r>
                    <w:rPr>
                      <w:rFonts w:cs="Georgia"/>
                    </w:rPr>
                    <w:t>i</w:t>
                  </w:r>
                  <w:r>
                    <w:rPr>
                      <w:rFonts w:cs="Georgia"/>
                      <w:spacing w:val="-1"/>
                    </w:rPr>
                    <w:t>n</w:t>
                  </w:r>
                  <w:r>
                    <w:rPr>
                      <w:rFonts w:cs="Georgia"/>
                      <w:spacing w:val="1"/>
                    </w:rPr>
                    <w:t>s</w:t>
                  </w:r>
                  <w:r>
                    <w:rPr>
                      <w:rFonts w:cs="Georgia"/>
                    </w:rPr>
                    <w:t>,</w:t>
                  </w:r>
                  <w:r>
                    <w:rPr>
                      <w:rFonts w:cs="Georgia"/>
                      <w:spacing w:val="26"/>
                    </w:rPr>
                    <w:t xml:space="preserve"> </w:t>
                  </w:r>
                  <w:r>
                    <w:rPr>
                      <w:rFonts w:cs="Georgia"/>
                      <w:spacing w:val="-2"/>
                    </w:rPr>
                    <w:t>s</w:t>
                  </w:r>
                  <w:r>
                    <w:rPr>
                      <w:rFonts w:cs="Georgia"/>
                      <w:spacing w:val="1"/>
                    </w:rPr>
                    <w:t>o</w:t>
                  </w:r>
                  <w:r>
                    <w:rPr>
                      <w:rFonts w:cs="Georgia"/>
                    </w:rPr>
                    <w:t>n</w:t>
                  </w:r>
                  <w:r>
                    <w:rPr>
                      <w:rFonts w:cs="Georgia"/>
                      <w:spacing w:val="28"/>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7"/>
                    </w:rPr>
                    <w:t xml:space="preserve"> </w:t>
                  </w:r>
                  <w:r>
                    <w:rPr>
                      <w:rFonts w:cs="Georgia"/>
                      <w:spacing w:val="1"/>
                    </w:rPr>
                    <w:t>p</w:t>
                  </w:r>
                  <w:r>
                    <w:rPr>
                      <w:rFonts w:cs="Georgia"/>
                      <w:spacing w:val="-1"/>
                    </w:rPr>
                    <w:t>e</w:t>
                  </w:r>
                  <w:r>
                    <w:rPr>
                      <w:rFonts w:cs="Georgia"/>
                    </w:rPr>
                    <w:t>u</w:t>
                  </w:r>
                  <w:r>
                    <w:rPr>
                      <w:rFonts w:cs="Georgia"/>
                      <w:spacing w:val="1"/>
                    </w:rPr>
                    <w:t>t</w:t>
                  </w:r>
                  <w:r>
                    <w:rPr>
                      <w:rFonts w:cs="Georgia"/>
                      <w:spacing w:val="-1"/>
                    </w:rPr>
                    <w:t xml:space="preserve"> ê</w:t>
                  </w:r>
                  <w:r>
                    <w:rPr>
                      <w:rFonts w:cs="Georgia"/>
                      <w:spacing w:val="1"/>
                    </w:rPr>
                    <w:t>tr</w:t>
                  </w:r>
                  <w:r>
                    <w:rPr>
                      <w:rFonts w:cs="Georgia"/>
                    </w:rPr>
                    <w:t>e</w:t>
                  </w:r>
                  <w:r>
                    <w:rPr>
                      <w:rFonts w:cs="Georgia"/>
                      <w:spacing w:val="27"/>
                    </w:rPr>
                    <w:t xml:space="preserve"> </w:t>
                  </w:r>
                  <w:r>
                    <w:rPr>
                      <w:rFonts w:cs="Georgia"/>
                      <w:spacing w:val="1"/>
                    </w:rPr>
                    <w:t>recalculé</w:t>
                  </w:r>
                  <w:r>
                    <w:rPr>
                      <w:rFonts w:cs="Georgia"/>
                      <w:spacing w:val="26"/>
                    </w:rPr>
                    <w:t xml:space="preserve"> </w:t>
                  </w:r>
                  <w:r>
                    <w:rPr>
                      <w:rFonts w:cs="Georgia"/>
                      <w:spacing w:val="-1"/>
                    </w:rPr>
                    <w:t>a</w:t>
                  </w:r>
                  <w:r>
                    <w:rPr>
                      <w:rFonts w:cs="Georgia"/>
                      <w:spacing w:val="1"/>
                    </w:rPr>
                    <w:t>pr</w:t>
                  </w:r>
                  <w:r>
                    <w:rPr>
                      <w:rFonts w:cs="Georgia"/>
                      <w:spacing w:val="-1"/>
                    </w:rPr>
                    <w:t>è</w:t>
                  </w:r>
                  <w:r>
                    <w:rPr>
                      <w:rFonts w:cs="Georgia"/>
                    </w:rPr>
                    <w:t>s</w:t>
                  </w:r>
                  <w:r>
                    <w:rPr>
                      <w:rFonts w:cs="Georgia"/>
                      <w:spacing w:val="29"/>
                    </w:rPr>
                    <w:t xml:space="preserve"> </w:t>
                  </w:r>
                  <w:r>
                    <w:rPr>
                      <w:rFonts w:cs="Georgia"/>
                      <w:spacing w:val="-1"/>
                    </w:rPr>
                    <w:t>l</w:t>
                  </w:r>
                  <w:r>
                    <w:rPr>
                      <w:rFonts w:cs="Georgia"/>
                    </w:rPr>
                    <w:t>e</w:t>
                  </w:r>
                  <w:r>
                    <w:rPr>
                      <w:rFonts w:cs="Georgia"/>
                      <w:spacing w:val="27"/>
                    </w:rPr>
                    <w:t xml:space="preserve"> </w:t>
                  </w:r>
                  <w:r>
                    <w:rPr>
                      <w:rFonts w:cs="Georgia"/>
                      <w:spacing w:val="1"/>
                    </w:rPr>
                    <w:t>3</w:t>
                  </w:r>
                  <w:r>
                    <w:rPr>
                      <w:rFonts w:cs="Georgia"/>
                    </w:rPr>
                    <w:t>0</w:t>
                  </w:r>
                  <w:r>
                    <w:rPr>
                      <w:rFonts w:cs="Georgia"/>
                      <w:spacing w:val="27"/>
                    </w:rPr>
                    <w:t xml:space="preserve"> </w:t>
                  </w:r>
                  <w:r>
                    <w:rPr>
                      <w:rFonts w:cs="Georgia"/>
                      <w:spacing w:val="1"/>
                    </w:rPr>
                    <w:t>s</w:t>
                  </w:r>
                  <w:r>
                    <w:rPr>
                      <w:rFonts w:cs="Georgia"/>
                      <w:spacing w:val="-3"/>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28"/>
                    </w:rPr>
                    <w:t xml:space="preserve"> </w:t>
                  </w:r>
                  <w:r>
                    <w:rPr>
                      <w:rFonts w:cs="Georgia"/>
                      <w:spacing w:val="-2"/>
                    </w:rPr>
                    <w:t>s</w:t>
                  </w:r>
                  <w:r>
                    <w:rPr>
                      <w:rFonts w:cs="Georgia"/>
                    </w:rPr>
                    <w:t>i</w:t>
                  </w:r>
                  <w:r>
                    <w:rPr>
                      <w:rFonts w:cs="Georgia"/>
                      <w:spacing w:val="29"/>
                    </w:rPr>
                    <w:t xml:space="preserve"> </w:t>
                  </w:r>
                  <w:r>
                    <w:rPr>
                      <w:rFonts w:cs="Georgia"/>
                      <w:spacing w:val="1"/>
                    </w:rPr>
                    <w:t>s</w:t>
                  </w:r>
                  <w:r>
                    <w:rPr>
                      <w:rFonts w:cs="Georgia"/>
                    </w:rPr>
                    <w:t>a</w:t>
                  </w:r>
                  <w:r>
                    <w:rPr>
                      <w:rFonts w:cs="Georgia"/>
                      <w:spacing w:val="28"/>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25"/>
                    </w:rPr>
                    <w:t xml:space="preserve"> </w:t>
                  </w:r>
                  <w:r>
                    <w:rPr>
                      <w:rFonts w:cs="Georgia"/>
                      <w:spacing w:val="1"/>
                    </w:rPr>
                    <w:t>s</w:t>
                  </w:r>
                  <w:r>
                    <w:rPr>
                      <w:rFonts w:cs="Georgia"/>
                      <w:spacing w:val="-2"/>
                    </w:rPr>
                    <w:t>c</w:t>
                  </w:r>
                  <w:r>
                    <w:rPr>
                      <w:rFonts w:cs="Georgia"/>
                      <w:spacing w:val="1"/>
                    </w:rPr>
                    <w:t>o</w:t>
                  </w:r>
                  <w:r>
                    <w:rPr>
                      <w:rFonts w:cs="Georgia"/>
                      <w:spacing w:val="-1"/>
                    </w:rPr>
                    <w:t>la</w:t>
                  </w:r>
                  <w:r>
                    <w:rPr>
                      <w:rFonts w:cs="Georgia"/>
                    </w:rPr>
                    <w:t>i</w:t>
                  </w:r>
                  <w:r>
                    <w:rPr>
                      <w:rFonts w:cs="Georgia"/>
                      <w:spacing w:val="1"/>
                    </w:rPr>
                    <w:t xml:space="preserve">re </w:t>
                  </w:r>
                  <w:r>
                    <w:rPr>
                      <w:rFonts w:cs="Georgia"/>
                      <w:spacing w:val="-1"/>
                    </w:rPr>
                    <w:t>a</w:t>
                  </w:r>
                  <w:r>
                    <w:rPr>
                      <w:rFonts w:cs="Georgia"/>
                      <w:spacing w:val="1"/>
                    </w:rPr>
                    <w:t>tt</w:t>
                  </w:r>
                  <w:r>
                    <w:rPr>
                      <w:rFonts w:cs="Georgia"/>
                      <w:spacing w:val="-1"/>
                    </w:rPr>
                    <w:t>e</w:t>
                  </w:r>
                  <w:r>
                    <w:rPr>
                      <w:rFonts w:cs="Georgia"/>
                    </w:rPr>
                    <w:t>i</w:t>
                  </w:r>
                  <w:r>
                    <w:rPr>
                      <w:rFonts w:cs="Georgia"/>
                      <w:spacing w:val="-1"/>
                    </w:rPr>
                    <w:t>n</w:t>
                  </w:r>
                  <w:r>
                    <w:rPr>
                      <w:rFonts w:cs="Georgia"/>
                    </w:rPr>
                    <w:t>t</w:t>
                  </w:r>
                  <w:r>
                    <w:rPr>
                      <w:rFonts w:cs="Georgia"/>
                      <w:spacing w:val="10"/>
                    </w:rPr>
                    <w:t xml:space="preserve"> </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0"/>
                    </w:rPr>
                    <w:t xml:space="preserve"> </w:t>
                  </w:r>
                  <w:r>
                    <w:rPr>
                      <w:rFonts w:cs="Georgia"/>
                      <w:spacing w:val="-1"/>
                    </w:rPr>
                    <w:t>1</w:t>
                  </w:r>
                  <w:r>
                    <w:rPr>
                      <w:rFonts w:cs="Georgia"/>
                      <w:spacing w:val="1"/>
                    </w:rPr>
                    <w:t>1</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10"/>
                    </w:rPr>
                    <w:t xml:space="preserve"> </w:t>
                  </w:r>
                  <w:r>
                    <w:rPr>
                      <w:rFonts w:cs="Georgia"/>
                      <w:spacing w:val="1"/>
                    </w:rPr>
                    <w:t>so</w:t>
                  </w:r>
                  <w:r>
                    <w:rPr>
                      <w:rFonts w:cs="Georgia"/>
                      <w:spacing w:val="-2"/>
                    </w:rPr>
                    <w:t>i</w:t>
                  </w:r>
                  <w:r>
                    <w:rPr>
                      <w:rFonts w:cs="Georgia"/>
                    </w:rPr>
                    <w:t>t</w:t>
                  </w:r>
                  <w:r>
                    <w:rPr>
                      <w:rFonts w:cs="Georgia"/>
                      <w:spacing w:val="10"/>
                    </w:rPr>
                    <w:t xml:space="preserve"> </w:t>
                  </w:r>
                  <w:r>
                    <w:rPr>
                      <w:rFonts w:cs="Georgia"/>
                    </w:rPr>
                    <w:t>u</w:t>
                  </w:r>
                  <w:r>
                    <w:rPr>
                      <w:rFonts w:cs="Georgia"/>
                      <w:spacing w:val="-1"/>
                    </w:rPr>
                    <w:t>n</w:t>
                  </w:r>
                  <w:r>
                    <w:rPr>
                      <w:rFonts w:cs="Georgia"/>
                    </w:rPr>
                    <w:t>e</w:t>
                  </w:r>
                  <w:r>
                    <w:rPr>
                      <w:rFonts w:cs="Georgia"/>
                      <w:spacing w:val="8"/>
                    </w:rPr>
                    <w:t xml:space="preserve"> </w:t>
                  </w:r>
                  <w:r>
                    <w:rPr>
                      <w:rFonts w:cs="Georgia"/>
                      <w:spacing w:val="-1"/>
                    </w:rPr>
                    <w:t>a</w:t>
                  </w:r>
                  <w:r>
                    <w:rPr>
                      <w:rFonts w:cs="Georgia"/>
                    </w:rPr>
                    <w:t>ugm</w:t>
                  </w:r>
                  <w:r>
                    <w:rPr>
                      <w:rFonts w:cs="Georgia"/>
                      <w:spacing w:val="-1"/>
                    </w:rPr>
                    <w:t>en</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8"/>
                    </w:rPr>
                    <w:t xml:space="preserve"> </w:t>
                  </w:r>
                  <w:r>
                    <w:rPr>
                      <w:rFonts w:cs="Georgia"/>
                    </w:rPr>
                    <w:t>d’</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3"/>
                    </w:rPr>
                    <w:t>n</w:t>
                  </w:r>
                  <w:r>
                    <w:rPr>
                      <w:rFonts w:cs="Georgia"/>
                    </w:rPr>
                    <w:t>s</w:t>
                  </w:r>
                  <w:r>
                    <w:rPr>
                      <w:rFonts w:cs="Georgia"/>
                      <w:spacing w:val="10"/>
                    </w:rPr>
                    <w:t xml:space="preserve"> </w:t>
                  </w:r>
                  <w:r>
                    <w:rPr>
                      <w:rFonts w:cs="Georgia"/>
                      <w:spacing w:val="1"/>
                    </w:rPr>
                    <w:t>1</w:t>
                  </w:r>
                  <w:r>
                    <w:rPr>
                      <w:rFonts w:cs="Georgia"/>
                      <w:spacing w:val="-1"/>
                    </w:rPr>
                    <w:t>0</w:t>
                  </w:r>
                  <w:r>
                    <w:rPr>
                      <w:rFonts w:cs="Georgia"/>
                    </w:rPr>
                    <w:t>%</w:t>
                  </w:r>
                  <w:r>
                    <w:rPr>
                      <w:rFonts w:cs="Georgia"/>
                      <w:spacing w:val="7"/>
                    </w:rPr>
                    <w:t xml:space="preserve"> </w:t>
                  </w:r>
                  <w:r>
                    <w:rPr>
                      <w:rFonts w:cs="Georgia"/>
                      <w:spacing w:val="1"/>
                    </w:rPr>
                    <w:t>p</w:t>
                  </w:r>
                  <w:r>
                    <w:rPr>
                      <w:rFonts w:cs="Georgia"/>
                      <w:spacing w:val="-1"/>
                    </w:rPr>
                    <w:t>a</w:t>
                  </w:r>
                  <w:r>
                    <w:rPr>
                      <w:rFonts w:cs="Georgia"/>
                    </w:rPr>
                    <w:t>r</w:t>
                  </w:r>
                  <w:r>
                    <w:rPr>
                      <w:rFonts w:cs="Georgia"/>
                      <w:spacing w:val="10"/>
                    </w:rPr>
                    <w:t xml:space="preserve"> </w:t>
                  </w:r>
                  <w:r>
                    <w:rPr>
                      <w:rFonts w:cs="Georgia"/>
                      <w:spacing w:val="1"/>
                    </w:rPr>
                    <w:t>r</w:t>
                  </w:r>
                  <w:r>
                    <w:rPr>
                      <w:rFonts w:cs="Georgia"/>
                      <w:spacing w:val="-3"/>
                    </w:rPr>
                    <w:t>a</w:t>
                  </w:r>
                  <w:r>
                    <w:rPr>
                      <w:rFonts w:cs="Georgia"/>
                      <w:spacing w:val="1"/>
                    </w:rPr>
                    <w:t>p</w:t>
                  </w:r>
                  <w:r>
                    <w:rPr>
                      <w:rFonts w:cs="Georgia"/>
                      <w:spacing w:val="-1"/>
                    </w:rPr>
                    <w:t>p</w:t>
                  </w:r>
                  <w:r>
                    <w:rPr>
                      <w:rFonts w:cs="Georgia"/>
                      <w:spacing w:val="1"/>
                    </w:rPr>
                    <w:t>o</w:t>
                  </w:r>
                  <w:r>
                    <w:rPr>
                      <w:rFonts w:cs="Georgia"/>
                      <w:spacing w:val="-2"/>
                    </w:rPr>
                    <w:t>r</w:t>
                  </w:r>
                  <w:r>
                    <w:rPr>
                      <w:rFonts w:cs="Georgia"/>
                    </w:rPr>
                    <w:t>t</w:t>
                  </w:r>
                  <w:r>
                    <w:rPr>
                      <w:rFonts w:cs="Georgia"/>
                      <w:spacing w:val="10"/>
                    </w:rPr>
                    <w:t xml:space="preserve"> </w:t>
                  </w:r>
                  <w:r>
                    <w:rPr>
                      <w:rFonts w:cs="Georgia"/>
                      <w:spacing w:val="-1"/>
                    </w:rPr>
                    <w:t>a</w:t>
                  </w:r>
                  <w:r>
                    <w:rPr>
                      <w:rFonts w:cs="Georgia"/>
                    </w:rPr>
                    <w:t>ux</w:t>
                  </w:r>
                  <w:r>
                    <w:rPr>
                      <w:rFonts w:cs="Georgia"/>
                      <w:spacing w:val="8"/>
                    </w:rPr>
                    <w:t xml:space="preserve"> </w:t>
                  </w:r>
                  <w:r>
                    <w:rPr>
                      <w:rFonts w:cs="Georgia"/>
                      <w:spacing w:val="1"/>
                    </w:rPr>
                    <w:t>1</w:t>
                  </w:r>
                  <w:r>
                    <w:rPr>
                      <w:rFonts w:cs="Georgia"/>
                      <w:spacing w:val="-1"/>
                    </w:rPr>
                    <w:t>0</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0"/>
                    </w:rPr>
                    <w:t xml:space="preserve"> </w:t>
                  </w:r>
                  <w:r>
                    <w:rPr>
                      <w:rFonts w:cs="Georgia"/>
                    </w:rPr>
                    <w:t>de 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8.</w:t>
                  </w:r>
                </w:p>
                <w:p w:rsidR="00F04EEF" w:rsidRDefault="00F04EEF">
                  <w:pPr>
                    <w:jc w:val="both"/>
                    <w:rPr>
                      <w:rFonts w:cs="Georgia"/>
                    </w:rPr>
                  </w:pPr>
                </w:p>
                <w:p w:rsidR="00F04EEF" w:rsidRDefault="0099351E">
                  <w:pPr>
                    <w:jc w:val="both"/>
                    <w:rPr>
                      <w:rFonts w:cs="Georgia"/>
                      <w:color w:val="000000"/>
                    </w:rPr>
                  </w:pPr>
                  <w:r>
                    <w:rPr>
                      <w:rFonts w:cs="Georgia"/>
                      <w:position w:val="-1"/>
                    </w:rPr>
                    <w:t>P</w:t>
                  </w:r>
                  <w:r>
                    <w:rPr>
                      <w:rFonts w:cs="Georgia"/>
                      <w:spacing w:val="1"/>
                      <w:position w:val="-1"/>
                    </w:rPr>
                    <w:t>o</w:t>
                  </w:r>
                  <w:r>
                    <w:rPr>
                      <w:rFonts w:cs="Georgia"/>
                      <w:position w:val="-1"/>
                    </w:rPr>
                    <w:t>ur</w:t>
                  </w:r>
                  <w:r>
                    <w:rPr>
                      <w:rFonts w:cs="Georgia"/>
                      <w:spacing w:val="-2"/>
                      <w:position w:val="-1"/>
                    </w:rPr>
                    <w:t xml:space="preserve"> </w:t>
                  </w:r>
                  <w:r>
                    <w:rPr>
                      <w:rFonts w:cs="Georgia"/>
                      <w:spacing w:val="1"/>
                      <w:position w:val="-1"/>
                    </w:rPr>
                    <w:t>c</w:t>
                  </w:r>
                  <w:r>
                    <w:rPr>
                      <w:rFonts w:cs="Georgia"/>
                      <w:position w:val="-1"/>
                    </w:rPr>
                    <w:t>e</w:t>
                  </w:r>
                  <w:r>
                    <w:rPr>
                      <w:rFonts w:cs="Georgia"/>
                      <w:spacing w:val="-1"/>
                      <w:position w:val="-1"/>
                    </w:rPr>
                    <w:t xml:space="preserve"> n</w:t>
                  </w:r>
                  <w:r>
                    <w:rPr>
                      <w:rFonts w:cs="Georgia"/>
                      <w:spacing w:val="1"/>
                      <w:position w:val="-1"/>
                    </w:rPr>
                    <w:t>o</w:t>
                  </w:r>
                  <w:r>
                    <w:rPr>
                      <w:rFonts w:cs="Georgia"/>
                      <w:position w:val="-1"/>
                    </w:rPr>
                    <w:t>u</w:t>
                  </w:r>
                  <w:r>
                    <w:rPr>
                      <w:rFonts w:cs="Georgia"/>
                      <w:spacing w:val="1"/>
                      <w:position w:val="-1"/>
                    </w:rPr>
                    <w:t>v</w:t>
                  </w:r>
                  <w:r>
                    <w:rPr>
                      <w:rFonts w:cs="Georgia"/>
                      <w:spacing w:val="-1"/>
                      <w:position w:val="-1"/>
                    </w:rPr>
                    <w:t>ea</w:t>
                  </w:r>
                  <w:r>
                    <w:rPr>
                      <w:rFonts w:cs="Georgia"/>
                      <w:position w:val="-1"/>
                    </w:rPr>
                    <w:t xml:space="preserve">u </w:t>
                  </w:r>
                  <w:r>
                    <w:rPr>
                      <w:rFonts w:cs="Georgia"/>
                      <w:spacing w:val="1"/>
                      <w:position w:val="-1"/>
                    </w:rPr>
                    <w:t>c</w:t>
                  </w:r>
                  <w:r>
                    <w:rPr>
                      <w:rFonts w:cs="Georgia"/>
                      <w:spacing w:val="-3"/>
                      <w:position w:val="-1"/>
                    </w:rPr>
                    <w:t>a</w:t>
                  </w:r>
                  <w:r>
                    <w:rPr>
                      <w:rFonts w:cs="Georgia"/>
                      <w:spacing w:val="1"/>
                      <w:position w:val="-1"/>
                    </w:rPr>
                    <w:t>p</w:t>
                  </w:r>
                  <w:r>
                    <w:rPr>
                      <w:rFonts w:cs="Georgia"/>
                      <w:position w:val="-1"/>
                    </w:rPr>
                    <w:t>i</w:t>
                  </w:r>
                  <w:r>
                    <w:rPr>
                      <w:rFonts w:cs="Georgia"/>
                      <w:spacing w:val="1"/>
                      <w:position w:val="-1"/>
                    </w:rPr>
                    <w:t>t</w:t>
                  </w:r>
                  <w:r>
                    <w:rPr>
                      <w:rFonts w:cs="Georgia"/>
                      <w:spacing w:val="-1"/>
                      <w:position w:val="-1"/>
                    </w:rPr>
                    <w:t>al</w:t>
                  </w:r>
                  <w:r>
                    <w:rPr>
                      <w:rFonts w:cs="Georgia"/>
                      <w:spacing w:val="-3"/>
                      <w:position w:val="-1"/>
                    </w:rPr>
                    <w:t>-</w:t>
                  </w:r>
                  <w:r>
                    <w:rPr>
                      <w:rFonts w:cs="Georgia"/>
                      <w:spacing w:val="1"/>
                      <w:position w:val="-1"/>
                    </w:rPr>
                    <w:t>p</w:t>
                  </w:r>
                  <w:r>
                    <w:rPr>
                      <w:rFonts w:cs="Georgia"/>
                      <w:spacing w:val="-1"/>
                      <w:position w:val="-1"/>
                    </w:rPr>
                    <w:t>é</w:t>
                  </w:r>
                  <w:r>
                    <w:rPr>
                      <w:rFonts w:cs="Georgia"/>
                      <w:spacing w:val="1"/>
                      <w:position w:val="-1"/>
                    </w:rPr>
                    <w:t>r</w:t>
                  </w:r>
                  <w:r>
                    <w:rPr>
                      <w:rFonts w:cs="Georgia"/>
                      <w:position w:val="-1"/>
                    </w:rPr>
                    <w:t>i</w:t>
                  </w:r>
                  <w:r>
                    <w:rPr>
                      <w:rFonts w:cs="Georgia"/>
                      <w:spacing w:val="-1"/>
                      <w:position w:val="-1"/>
                    </w:rPr>
                    <w:t>o</w:t>
                  </w:r>
                  <w:r>
                    <w:rPr>
                      <w:rFonts w:cs="Georgia"/>
                      <w:position w:val="-1"/>
                    </w:rPr>
                    <w:t>d</w:t>
                  </w:r>
                  <w:r>
                    <w:rPr>
                      <w:rFonts w:cs="Georgia"/>
                      <w:spacing w:val="-1"/>
                      <w:position w:val="-1"/>
                    </w:rPr>
                    <w:t>e</w:t>
                  </w:r>
                  <w:r>
                    <w:rPr>
                      <w:rFonts w:cs="Georgia"/>
                      <w:position w:val="-1"/>
                    </w:rPr>
                    <w:t xml:space="preserve">s </w:t>
                  </w:r>
                  <w:r>
                    <w:rPr>
                      <w:rFonts w:cs="Georgia"/>
                      <w:spacing w:val="-2"/>
                      <w:position w:val="-1"/>
                    </w:rPr>
                    <w:t>s</w:t>
                  </w:r>
                  <w:r>
                    <w:rPr>
                      <w:rFonts w:cs="Georgia"/>
                      <w:spacing w:val="1"/>
                      <w:position w:val="-1"/>
                    </w:rPr>
                    <w:t>o</w:t>
                  </w:r>
                  <w:r>
                    <w:rPr>
                      <w:rFonts w:cs="Georgia"/>
                      <w:spacing w:val="-1"/>
                      <w:position w:val="-1"/>
                    </w:rPr>
                    <w:t>n</w:t>
                  </w:r>
                  <w:r>
                    <w:rPr>
                      <w:rFonts w:cs="Georgia"/>
                      <w:position w:val="-1"/>
                    </w:rPr>
                    <w:t xml:space="preserve">t </w:t>
                  </w:r>
                  <w:r>
                    <w:rPr>
                      <w:rFonts w:cs="Georgia"/>
                      <w:spacing w:val="-1"/>
                      <w:position w:val="-1"/>
                    </w:rPr>
                    <w:t>p</w:t>
                  </w:r>
                  <w:r>
                    <w:rPr>
                      <w:rFonts w:cs="Georgia"/>
                      <w:spacing w:val="1"/>
                      <w:position w:val="-1"/>
                    </w:rPr>
                    <w:t>r</w:t>
                  </w:r>
                  <w:r>
                    <w:rPr>
                      <w:rFonts w:cs="Georgia"/>
                      <w:position w:val="-1"/>
                    </w:rPr>
                    <w:t xml:space="preserve">is </w:t>
                  </w:r>
                  <w:r>
                    <w:rPr>
                      <w:rFonts w:cs="Georgia"/>
                      <w:spacing w:val="-1"/>
                      <w:position w:val="-1"/>
                    </w:rPr>
                    <w:t>e</w:t>
                  </w:r>
                  <w:r>
                    <w:rPr>
                      <w:rFonts w:cs="Georgia"/>
                      <w:position w:val="-1"/>
                    </w:rPr>
                    <w:t>n</w:t>
                  </w:r>
                  <w:r>
                    <w:rPr>
                      <w:rFonts w:cs="Georgia"/>
                      <w:spacing w:val="-1"/>
                      <w:position w:val="-1"/>
                    </w:rPr>
                    <w:t xml:space="preserve"> </w:t>
                  </w:r>
                  <w:r>
                    <w:rPr>
                      <w:rFonts w:cs="Georgia"/>
                      <w:spacing w:val="-2"/>
                      <w:position w:val="-1"/>
                    </w:rPr>
                    <w:t>c</w:t>
                  </w:r>
                  <w:r>
                    <w:rPr>
                      <w:rFonts w:cs="Georgia"/>
                      <w:spacing w:val="1"/>
                      <w:position w:val="-1"/>
                    </w:rPr>
                    <w:t>o</w:t>
                  </w:r>
                  <w:r>
                    <w:rPr>
                      <w:rFonts w:cs="Georgia"/>
                      <w:spacing w:val="-3"/>
                      <w:position w:val="-1"/>
                    </w:rPr>
                    <w:t>n</w:t>
                  </w:r>
                  <w:r>
                    <w:rPr>
                      <w:rFonts w:cs="Georgia"/>
                      <w:spacing w:val="1"/>
                      <w:position w:val="-1"/>
                    </w:rPr>
                    <w:t>s</w:t>
                  </w:r>
                  <w:r>
                    <w:rPr>
                      <w:rFonts w:cs="Georgia"/>
                      <w:position w:val="-1"/>
                    </w:rPr>
                    <w:t>id</w:t>
                  </w:r>
                  <w:r>
                    <w:rPr>
                      <w:rFonts w:cs="Georgia"/>
                      <w:spacing w:val="-1"/>
                      <w:position w:val="-1"/>
                    </w:rPr>
                    <w:t>é</w:t>
                  </w:r>
                  <w:r>
                    <w:rPr>
                      <w:rFonts w:cs="Georgia"/>
                      <w:spacing w:val="1"/>
                      <w:position w:val="-1"/>
                    </w:rPr>
                    <w:t>r</w:t>
                  </w:r>
                  <w:r>
                    <w:rPr>
                      <w:rFonts w:cs="Georgia"/>
                      <w:spacing w:val="-1"/>
                      <w:position w:val="-1"/>
                    </w:rPr>
                    <w:t>a</w:t>
                  </w:r>
                  <w:r>
                    <w:rPr>
                      <w:rFonts w:cs="Georgia"/>
                      <w:spacing w:val="1"/>
                      <w:position w:val="-1"/>
                    </w:rPr>
                    <w:t>t</w:t>
                  </w:r>
                  <w:r>
                    <w:rPr>
                      <w:rFonts w:cs="Georgia"/>
                      <w:spacing w:val="-2"/>
                      <w:position w:val="-1"/>
                    </w:rPr>
                    <w:t>i</w:t>
                  </w:r>
                  <w:r>
                    <w:rPr>
                      <w:rFonts w:cs="Georgia"/>
                      <w:spacing w:val="1"/>
                      <w:position w:val="-1"/>
                    </w:rPr>
                    <w:t>o</w:t>
                  </w:r>
                  <w:r>
                    <w:rPr>
                      <w:rFonts w:cs="Georgia"/>
                      <w:position w:val="-1"/>
                    </w:rPr>
                    <w:t>n</w:t>
                  </w:r>
                  <w:r>
                    <w:rPr>
                      <w:rFonts w:cs="Georgia"/>
                      <w:spacing w:val="-1"/>
                      <w:position w:val="-1"/>
                    </w:rPr>
                    <w:t xml:space="preserve"> le</w:t>
                  </w:r>
                  <w:r>
                    <w:rPr>
                      <w:rFonts w:cs="Georgia"/>
                      <w:position w:val="-1"/>
                    </w:rPr>
                    <w:t xml:space="preserve">s </w:t>
                  </w:r>
                  <w:r>
                    <w:rPr>
                      <w:rFonts w:cs="Georgia"/>
                      <w:spacing w:val="-1"/>
                      <w:position w:val="-1"/>
                    </w:rPr>
                    <w:t>élè</w:t>
                  </w:r>
                  <w:r>
                    <w:rPr>
                      <w:rFonts w:cs="Georgia"/>
                      <w:spacing w:val="1"/>
                      <w:position w:val="-1"/>
                    </w:rPr>
                    <w:t>v</w:t>
                  </w:r>
                  <w:r>
                    <w:rPr>
                      <w:rFonts w:cs="Georgia"/>
                      <w:spacing w:val="-1"/>
                      <w:position w:val="-1"/>
                    </w:rPr>
                    <w:t>e</w:t>
                  </w:r>
                  <w:r>
                    <w:rPr>
                      <w:rFonts w:cs="Georgia"/>
                      <w:position w:val="-1"/>
                    </w:rPr>
                    <w:t xml:space="preserve">s </w:t>
                  </w:r>
                  <w:r>
                    <w:rPr>
                      <w:rFonts w:cs="Georgia"/>
                      <w:spacing w:val="1"/>
                      <w:position w:val="-1"/>
                    </w:rPr>
                    <w:t>v</w:t>
                  </w:r>
                  <w:r>
                    <w:rPr>
                      <w:rFonts w:cs="Georgia"/>
                      <w:position w:val="-1"/>
                    </w:rPr>
                    <w:t>i</w:t>
                  </w:r>
                  <w:r>
                    <w:rPr>
                      <w:rFonts w:cs="Georgia"/>
                      <w:spacing w:val="1"/>
                      <w:position w:val="-1"/>
                    </w:rPr>
                    <w:t>s</w:t>
                  </w:r>
                  <w:r>
                    <w:rPr>
                      <w:rFonts w:cs="Georgia"/>
                      <w:spacing w:val="-3"/>
                      <w:position w:val="-1"/>
                    </w:rPr>
                    <w:t>é</w:t>
                  </w:r>
                  <w:r>
                    <w:rPr>
                      <w:rFonts w:cs="Georgia"/>
                      <w:position w:val="-1"/>
                    </w:rPr>
                    <w:t xml:space="preserve">s </w:t>
                  </w:r>
                  <w:r>
                    <w:rPr>
                      <w:rFonts w:cs="Georgia"/>
                      <w:spacing w:val="-1"/>
                      <w:position w:val="-1"/>
                    </w:rPr>
                    <w:t>a</w:t>
                  </w:r>
                  <w:r>
                    <w:rPr>
                      <w:rFonts w:cs="Georgia"/>
                      <w:position w:val="-1"/>
                    </w:rPr>
                    <w:t xml:space="preserve">u </w:t>
                  </w:r>
                  <w:hyperlink w:anchor="_1.2._Éléments_servant" w:history="1">
                    <w:r>
                      <w:rPr>
                        <w:rStyle w:val="Lienhypertexte"/>
                        <w:rFonts w:cs="Georgia"/>
                        <w:spacing w:val="1"/>
                        <w:position w:val="-1"/>
                      </w:rPr>
                      <w:t>p</w:t>
                    </w:r>
                    <w:r>
                      <w:rPr>
                        <w:rStyle w:val="Lienhypertexte"/>
                        <w:rFonts w:cs="Georgia"/>
                        <w:spacing w:val="-1"/>
                        <w:position w:val="-1"/>
                      </w:rPr>
                      <w:t>o</w:t>
                    </w:r>
                    <w:r>
                      <w:rPr>
                        <w:rStyle w:val="Lienhypertexte"/>
                        <w:rFonts w:cs="Georgia"/>
                        <w:position w:val="-1"/>
                      </w:rPr>
                      <w:t>i</w:t>
                    </w:r>
                    <w:r>
                      <w:rPr>
                        <w:rStyle w:val="Lienhypertexte"/>
                        <w:rFonts w:cs="Georgia"/>
                        <w:spacing w:val="-1"/>
                        <w:position w:val="-1"/>
                      </w:rPr>
                      <w:t>n</w:t>
                    </w:r>
                    <w:r>
                      <w:rPr>
                        <w:rStyle w:val="Lienhypertexte"/>
                        <w:rFonts w:cs="Georgia"/>
                        <w:position w:val="-1"/>
                      </w:rPr>
                      <w:t xml:space="preserve">t </w:t>
                    </w:r>
                    <w:r>
                      <w:rPr>
                        <w:rStyle w:val="Lienhypertexte"/>
                        <w:rFonts w:cs="Georgia"/>
                        <w:spacing w:val="-1"/>
                        <w:position w:val="-1"/>
                      </w:rPr>
                      <w:t>1</w:t>
                    </w:r>
                    <w:r>
                      <w:rPr>
                        <w:rStyle w:val="Lienhypertexte"/>
                        <w:rFonts w:cs="Georgia"/>
                        <w:position w:val="-1"/>
                      </w:rPr>
                      <w:t>.</w:t>
                    </w:r>
                    <w:r>
                      <w:rPr>
                        <w:rStyle w:val="Lienhypertexte"/>
                        <w:rFonts w:cs="Georgia"/>
                        <w:spacing w:val="-1"/>
                        <w:position w:val="-1"/>
                      </w:rPr>
                      <w:t>2</w:t>
                    </w:r>
                  </w:hyperlink>
                  <w:r>
                    <w:rPr>
                      <w:rFonts w:cs="Georgia"/>
                      <w:color w:val="000000"/>
                      <w:position w:val="-1"/>
                    </w:rPr>
                    <w:t>.</w:t>
                  </w:r>
                </w:p>
                <w:p w:rsidR="00F04EEF" w:rsidRDefault="00F04EEF">
                  <w:pPr>
                    <w:jc w:val="both"/>
                    <w:rPr>
                      <w:rFonts w:cs="Georgia"/>
                      <w:color w:val="000000"/>
                    </w:rPr>
                  </w:pPr>
                </w:p>
                <w:p w:rsidR="00F04EEF" w:rsidRDefault="0099351E">
                  <w:pPr>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3"/>
                    </w:rPr>
                    <w:t>n</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1</w:t>
                  </w:r>
                  <w:r>
                    <w:rPr>
                      <w:rFonts w:cs="Georgia"/>
                      <w:color w:val="000000"/>
                    </w:rPr>
                    <w:t>,</w:t>
                  </w:r>
                  <w:r>
                    <w:rPr>
                      <w:rFonts w:cs="Georgia"/>
                      <w:color w:val="000000"/>
                      <w:spacing w:val="2"/>
                    </w:rPr>
                    <w:t xml:space="preserve"> </w:t>
                  </w:r>
                  <w:r>
                    <w:rPr>
                      <w:rFonts w:cs="Georgia"/>
                      <w:color w:val="000000"/>
                      <w:spacing w:val="-1"/>
                    </w:rPr>
                    <w:t>2</w:t>
                  </w:r>
                  <w:r>
                    <w:rPr>
                      <w:rFonts w:cs="Georgia"/>
                      <w:color w:val="000000"/>
                    </w:rPr>
                    <w:t>,</w:t>
                  </w:r>
                  <w:r>
                    <w:rPr>
                      <w:rFonts w:cs="Georgia"/>
                      <w:color w:val="000000"/>
                      <w:spacing w:val="2"/>
                    </w:rPr>
                    <w:t xml:space="preserve"> </w:t>
                  </w:r>
                  <w:r>
                    <w:rPr>
                      <w:rFonts w:cs="Georgia"/>
                      <w:color w:val="000000"/>
                      <w:spacing w:val="1"/>
                    </w:rPr>
                    <w:t>3</w:t>
                  </w:r>
                  <w:r>
                    <w:rPr>
                      <w:rFonts w:cs="Georgia"/>
                      <w:color w:val="000000"/>
                    </w:rPr>
                    <w:t>,</w:t>
                  </w:r>
                  <w:r>
                    <w:rPr>
                      <w:rFonts w:cs="Georgia"/>
                      <w:color w:val="000000"/>
                      <w:spacing w:val="2"/>
                    </w:rPr>
                    <w:t xml:space="preserve"> </w:t>
                  </w:r>
                  <w:r>
                    <w:rPr>
                      <w:rFonts w:cs="Georgia"/>
                      <w:color w:val="000000"/>
                    </w:rPr>
                    <w:t>4,</w:t>
                  </w:r>
                  <w:r>
                    <w:rPr>
                      <w:rFonts w:cs="Georgia"/>
                      <w:color w:val="000000"/>
                      <w:spacing w:val="2"/>
                    </w:rPr>
                    <w:t xml:space="preserve"> </w:t>
                  </w:r>
                  <w:r>
                    <w:rPr>
                      <w:rFonts w:cs="Georgia"/>
                      <w:color w:val="000000"/>
                    </w:rPr>
                    <w:t>6,</w:t>
                  </w:r>
                  <w:r>
                    <w:rPr>
                      <w:rFonts w:cs="Georgia"/>
                      <w:color w:val="000000"/>
                      <w:spacing w:val="2"/>
                    </w:rPr>
                    <w:t xml:space="preserve"> </w:t>
                  </w:r>
                  <w:r>
                    <w:rPr>
                      <w:rFonts w:cs="Georgia"/>
                      <w:color w:val="000000"/>
                    </w:rPr>
                    <w:t>7</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8</w:t>
                  </w:r>
                  <w:r>
                    <w:rPr>
                      <w:rFonts w:cs="Georgia"/>
                    </w:rPr>
                    <w:t>,</w:t>
                  </w:r>
                  <w:r>
                    <w:rPr>
                      <w:rFonts w:cs="Georgia"/>
                      <w:spacing w:val="2"/>
                    </w:rPr>
                    <w:t xml:space="preserve"> pris globalement </w:t>
                  </w:r>
                  <w:r>
                    <w:rPr>
                      <w:rFonts w:cs="Georgia"/>
                      <w:color w:val="000000"/>
                      <w:spacing w:val="1"/>
                    </w:rPr>
                    <w:t>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cc</w:t>
                  </w:r>
                  <w:r>
                    <w:rPr>
                      <w:rFonts w:cs="Georgia"/>
                      <w:color w:val="000000"/>
                      <w:spacing w:val="-2"/>
                    </w:rPr>
                    <w:t>r</w:t>
                  </w:r>
                  <w:r>
                    <w:rPr>
                      <w:rFonts w:cs="Georgia"/>
                      <w:color w:val="000000"/>
                      <w:spacing w:val="1"/>
                    </w:rPr>
                    <w:t>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n</w:t>
                  </w:r>
                  <w:r>
                    <w:rPr>
                      <w:rFonts w:cs="Georgia"/>
                      <w:color w:val="000000"/>
                      <w:spacing w:val="1"/>
                    </w:rPr>
                    <w:t>'</w:t>
                  </w:r>
                  <w:r>
                    <w:rPr>
                      <w:rFonts w:cs="Georgia"/>
                      <w:color w:val="000000"/>
                      <w:spacing w:val="-1"/>
                    </w:rPr>
                    <w:t>e</w:t>
                  </w:r>
                  <w:r>
                    <w:rPr>
                      <w:rFonts w:cs="Georgia"/>
                      <w:color w:val="000000"/>
                      <w:spacing w:val="1"/>
                    </w:rPr>
                    <w:t>s</w:t>
                  </w:r>
                  <w:r>
                    <w:rPr>
                      <w:rFonts w:cs="Georgia"/>
                      <w:color w:val="000000"/>
                    </w:rPr>
                    <w:t>t</w:t>
                  </w:r>
                  <w:r>
                    <w:rPr>
                      <w:rFonts w:cs="Georgia"/>
                      <w:color w:val="000000"/>
                      <w:spacing w:val="2"/>
                    </w:rPr>
                    <w:t xml:space="preserve"> </w:t>
                  </w:r>
                  <w:r>
                    <w:rPr>
                      <w:rFonts w:cs="Georgia"/>
                      <w:color w:val="000000"/>
                      <w:spacing w:val="-1"/>
                    </w:rPr>
                    <w:t>p</w:t>
                  </w:r>
                  <w:r>
                    <w:rPr>
                      <w:rFonts w:cs="Georgia"/>
                      <w:color w:val="000000"/>
                      <w:spacing w:val="1"/>
                    </w:rPr>
                    <w:t>r</w:t>
                  </w:r>
                  <w:r>
                    <w:rPr>
                      <w:rFonts w:cs="Georgia"/>
                      <w:color w:val="000000"/>
                    </w:rPr>
                    <w:t>is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 xml:space="preserve">e </w:t>
                  </w:r>
                  <w:r>
                    <w:rPr>
                      <w:rFonts w:cs="Georgia"/>
                      <w:color w:val="000000"/>
                      <w:spacing w:val="-1"/>
                    </w:rPr>
                    <w:t>q</w:t>
                  </w:r>
                  <w:r>
                    <w:rPr>
                      <w:rFonts w:cs="Georgia"/>
                      <w:color w:val="000000"/>
                    </w:rPr>
                    <w:t xml:space="preserve">ue </w:t>
                  </w:r>
                  <w:r>
                    <w:rPr>
                      <w:rFonts w:cs="Georgia"/>
                      <w:color w:val="000000"/>
                      <w:spacing w:val="1"/>
                    </w:rPr>
                    <w:t>s</w:t>
                  </w:r>
                  <w:r>
                    <w:rPr>
                      <w:rFonts w:cs="Georgia"/>
                      <w:color w:val="000000"/>
                    </w:rPr>
                    <w:t xml:space="preserve">i </w:t>
                  </w:r>
                  <w:r>
                    <w:rPr>
                      <w:rFonts w:cs="Georgia"/>
                      <w:color w:val="000000"/>
                      <w:spacing w:val="-1"/>
                    </w:rPr>
                    <w:t>l</w:t>
                  </w:r>
                  <w:r>
                    <w:rPr>
                      <w:rFonts w:cs="Georgia"/>
                      <w:color w:val="000000"/>
                      <w:spacing w:val="1"/>
                    </w:rPr>
                    <w:t>'</w:t>
                  </w:r>
                  <w:r>
                    <w:rPr>
                      <w:rFonts w:cs="Georgia"/>
                      <w:color w:val="000000"/>
                      <w:spacing w:val="-1"/>
                    </w:rPr>
                    <w:t>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 du</w:t>
                  </w:r>
                  <w:r>
                    <w:rPr>
                      <w:rFonts w:cs="Georgia"/>
                      <w:color w:val="000000"/>
                      <w:spacing w:val="3"/>
                    </w:rPr>
                    <w:t xml:space="preserve"> </w:t>
                  </w:r>
                  <w:r>
                    <w:rPr>
                      <w:rFonts w:cs="Georgia"/>
                      <w:color w:val="000000"/>
                      <w:spacing w:val="-3"/>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2"/>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c</w:t>
                  </w:r>
                  <w:r>
                    <w:rPr>
                      <w:rFonts w:cs="Georgia"/>
                      <w:color w:val="000000"/>
                      <w:spacing w:val="-1"/>
                    </w:rPr>
                    <w:t>o</w:t>
                  </w:r>
                  <w:r>
                    <w:rPr>
                      <w:rFonts w:cs="Georgia"/>
                      <w:color w:val="000000"/>
                      <w:spacing w:val="1"/>
                    </w:rPr>
                    <w:t>rr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 xml:space="preserve"> </w:t>
                  </w:r>
                  <w:r>
                    <w:rPr>
                      <w:rFonts w:cs="Georgia"/>
                      <w:b/>
                      <w:color w:val="000000"/>
                      <w:spacing w:val="-1"/>
                      <w:u w:val="single"/>
                    </w:rPr>
                    <w:t>a</w:t>
                  </w:r>
                  <w:r>
                    <w:rPr>
                      <w:rFonts w:cs="Georgia"/>
                      <w:b/>
                      <w:color w:val="000000"/>
                      <w:u w:val="single"/>
                    </w:rPr>
                    <w:t>u</w:t>
                  </w:r>
                  <w:r>
                    <w:rPr>
                      <w:rFonts w:cs="Georgia"/>
                      <w:b/>
                      <w:color w:val="000000"/>
                      <w:spacing w:val="3"/>
                      <w:u w:val="single"/>
                    </w:rPr>
                    <w:t xml:space="preserve"> </w:t>
                  </w:r>
                  <w:r>
                    <w:rPr>
                      <w:rFonts w:cs="Georgia"/>
                      <w:b/>
                      <w:color w:val="000000"/>
                      <w:u w:val="single"/>
                    </w:rPr>
                    <w:t>m</w:t>
                  </w:r>
                  <w:r>
                    <w:rPr>
                      <w:rFonts w:cs="Georgia"/>
                      <w:b/>
                      <w:color w:val="000000"/>
                      <w:spacing w:val="1"/>
                      <w:u w:val="single"/>
                    </w:rPr>
                    <w:t>o</w:t>
                  </w:r>
                  <w:r>
                    <w:rPr>
                      <w:rFonts w:cs="Georgia"/>
                      <w:b/>
                      <w:color w:val="000000"/>
                      <w:u w:val="single"/>
                    </w:rPr>
                    <w:t>i</w:t>
                  </w:r>
                  <w:r>
                    <w:rPr>
                      <w:rFonts w:cs="Georgia"/>
                      <w:b/>
                      <w:color w:val="000000"/>
                      <w:spacing w:val="-3"/>
                      <w:u w:val="single"/>
                    </w:rPr>
                    <w:t>n</w:t>
                  </w:r>
                  <w:r>
                    <w:rPr>
                      <w:rFonts w:cs="Georgia"/>
                      <w:b/>
                      <w:color w:val="000000"/>
                      <w:u w:val="single"/>
                    </w:rPr>
                    <w:t>s</w:t>
                  </w:r>
                  <w:r>
                    <w:rPr>
                      <w:rFonts w:cs="Georgia"/>
                      <w:b/>
                      <w:color w:val="000000"/>
                      <w:spacing w:val="4"/>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u w:val="single"/>
                    </w:rPr>
                    <w:t xml:space="preserve">% </w:t>
                  </w:r>
                  <w:r>
                    <w:rPr>
                      <w:rFonts w:cs="Georgia"/>
                      <w:b/>
                      <w:color w:val="000000"/>
                      <w:spacing w:val="1"/>
                      <w:u w:val="single"/>
                    </w:rPr>
                    <w:t>p</w:t>
                  </w:r>
                  <w:r>
                    <w:rPr>
                      <w:rFonts w:cs="Georgia"/>
                      <w:b/>
                      <w:color w:val="000000"/>
                      <w:spacing w:val="-1"/>
                      <w:u w:val="single"/>
                    </w:rPr>
                    <w:t>e</w:t>
                  </w:r>
                  <w:r>
                    <w:rPr>
                      <w:rFonts w:cs="Georgia"/>
                      <w:b/>
                      <w:color w:val="000000"/>
                      <w:spacing w:val="-3"/>
                      <w:u w:val="single"/>
                    </w:rPr>
                    <w:t>n</w:t>
                  </w:r>
                  <w:r>
                    <w:rPr>
                      <w:rFonts w:cs="Georgia"/>
                      <w:b/>
                      <w:color w:val="000000"/>
                      <w:u w:val="single"/>
                    </w:rPr>
                    <w:t>d</w:t>
                  </w:r>
                  <w:r>
                    <w:rPr>
                      <w:rFonts w:cs="Georgia"/>
                      <w:b/>
                      <w:color w:val="000000"/>
                      <w:spacing w:val="-1"/>
                      <w:u w:val="single"/>
                    </w:rPr>
                    <w:t>an</w:t>
                  </w:r>
                  <w:r>
                    <w:rPr>
                      <w:rFonts w:cs="Georgia"/>
                      <w:b/>
                      <w:color w:val="000000"/>
                      <w:u w:val="single"/>
                    </w:rPr>
                    <w:t>t</w:t>
                  </w:r>
                  <w:r>
                    <w:rPr>
                      <w:rFonts w:cs="Georgia"/>
                      <w:b/>
                      <w:color w:val="000000"/>
                      <w:spacing w:val="4"/>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spacing w:val="-2"/>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4"/>
                      <w:u w:val="single"/>
                    </w:rPr>
                    <w:t xml:space="preserve"> </w:t>
                  </w:r>
                  <w:r>
                    <w:rPr>
                      <w:rFonts w:cs="Georgia"/>
                      <w:b/>
                      <w:color w:val="000000"/>
                      <w:u w:val="single"/>
                    </w:rPr>
                    <w:t xml:space="preserve">de </w:t>
                  </w:r>
                  <w:r>
                    <w:rPr>
                      <w:rFonts w:cs="Georgia"/>
                      <w:b/>
                      <w:color w:val="000000"/>
                      <w:spacing w:val="1"/>
                      <w:u w:val="single"/>
                    </w:rPr>
                    <w:t>c</w:t>
                  </w:r>
                  <w:r>
                    <w:rPr>
                      <w:rFonts w:cs="Georgia"/>
                      <w:b/>
                      <w:color w:val="000000"/>
                      <w:spacing w:val="-1"/>
                      <w:u w:val="single"/>
                    </w:rPr>
                    <w:t>la</w:t>
                  </w:r>
                  <w:r>
                    <w:rPr>
                      <w:rFonts w:cs="Georgia"/>
                      <w:b/>
                      <w:color w:val="000000"/>
                      <w:spacing w:val="1"/>
                      <w:u w:val="single"/>
                    </w:rPr>
                    <w:t>sse co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2"/>
                      <w:u w:val="single"/>
                    </w:rPr>
                    <w:t>c</w:t>
                  </w:r>
                  <w:r>
                    <w:rPr>
                      <w:rFonts w:cs="Georgia"/>
                      <w:b/>
                      <w:color w:val="000000"/>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w:t>
                  </w:r>
                  <w:r>
                    <w:rPr>
                      <w:rFonts w:cs="Georgia"/>
                      <w:color w:val="000000"/>
                      <w:spacing w:val="1"/>
                    </w:rPr>
                    <w:t>.</w:t>
                  </w:r>
                </w:p>
                <w:p w:rsidR="00F04EEF" w:rsidRDefault="0099351E">
                  <w:pPr>
                    <w:jc w:val="both"/>
                    <w:rPr>
                      <w:rFonts w:cs="Georgia"/>
                      <w:color w:val="000000"/>
                    </w:rPr>
                  </w:pPr>
                  <w:r>
                    <w:rPr>
                      <w:rFonts w:cs="Georgia"/>
                      <w:noProof/>
                      <w:color w:val="000000"/>
                      <w:lang w:eastAsia="fr-BE"/>
                    </w:rPr>
                    <mc:AlternateContent>
                      <mc:Choice Requires="wps">
                        <w:drawing>
                          <wp:anchor distT="0" distB="0" distL="114300" distR="114300" simplePos="0" relativeHeight="252232704" behindDoc="0" locked="0" layoutInCell="1" allowOverlap="1">
                            <wp:simplePos x="0" y="0"/>
                            <wp:positionH relativeFrom="column">
                              <wp:posOffset>6300470</wp:posOffset>
                            </wp:positionH>
                            <wp:positionV relativeFrom="paragraph">
                              <wp:posOffset>162560</wp:posOffset>
                            </wp:positionV>
                            <wp:extent cx="0" cy="361950"/>
                            <wp:effectExtent l="0" t="0" r="19050" b="19050"/>
                            <wp:wrapNone/>
                            <wp:docPr id="523" name="Connecteur droit 523"/>
                            <wp:cNvGraphicFramePr/>
                            <a:graphic xmlns:a="http://schemas.openxmlformats.org/drawingml/2006/main">
                              <a:graphicData uri="http://schemas.microsoft.com/office/word/2010/wordprocessingShape">
                                <wps:wsp>
                                  <wps:cNvCnPr/>
                                  <wps:spPr>
                                    <a:xfrm>
                                      <a:off x="0" y="0"/>
                                      <a:ext cx="0" cy="361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34FAC5" id="Connecteur droit 523" o:spid="_x0000_s1026" style="position:absolute;z-index:252232704;visibility:visible;mso-wrap-style:square;mso-wrap-distance-left:9pt;mso-wrap-distance-top:0;mso-wrap-distance-right:9pt;mso-wrap-distance-bottom:0;mso-position-horizontal:absolute;mso-position-horizontal-relative:text;mso-position-vertical:absolute;mso-position-vertical-relative:text" from="496.1pt,12.8pt" to="496.1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" strokecolor="black [3213]"/>
                        </w:pict>
                      </mc:Fallback>
                    </mc:AlternateContent>
                  </w:r>
                </w:p>
                <w:p w:rsidR="00F04EEF" w:rsidRDefault="0099351E">
                  <w:pPr>
                    <w:rPr>
                      <w:rFonts w:asciiTheme="majorHAnsi" w:hAnsiTheme="majorHAnsi" w:cs="Georgia"/>
                      <w:color w:val="000000"/>
                    </w:rPr>
                  </w:pPr>
                  <w:r>
                    <w:rPr>
                      <w:rFonts w:asciiTheme="majorHAnsi" w:hAnsiTheme="majorHAnsi" w:cs="Georgia"/>
                      <w:color w:val="000000"/>
                    </w:rPr>
                    <w:br w:type="page"/>
                  </w:r>
                </w:p>
                <w:p w:rsidR="00F04EEF" w:rsidRDefault="0099351E">
                  <w:pPr>
                    <w:widowControl w:val="0"/>
                    <w:autoSpaceDE w:val="0"/>
                    <w:autoSpaceDN w:val="0"/>
                    <w:adjustRightInd w:val="0"/>
                    <w:spacing w:line="250" w:lineRule="exact"/>
                    <w:ind w:right="51"/>
                    <w:jc w:val="both"/>
                    <w:rPr>
                      <w:rFonts w:cstheme="minorHAnsi"/>
                      <w:color w:val="000000"/>
                      <w:spacing w:val="1"/>
                    </w:rPr>
                  </w:pPr>
                  <w:r>
                    <w:rPr>
                      <w:rFonts w:cstheme="minorHAnsi"/>
                      <w:color w:val="000000"/>
                    </w:rPr>
                    <w:t>P</w:t>
                  </w:r>
                  <w:r>
                    <w:rPr>
                      <w:rFonts w:cstheme="minorHAnsi"/>
                      <w:color w:val="000000"/>
                      <w:spacing w:val="1"/>
                    </w:rPr>
                    <w:t>o</w:t>
                  </w:r>
                  <w:r>
                    <w:rPr>
                      <w:rFonts w:cstheme="minorHAnsi"/>
                      <w:color w:val="000000"/>
                    </w:rPr>
                    <w:t>ur</w:t>
                  </w:r>
                  <w:r>
                    <w:rPr>
                      <w:rFonts w:cstheme="minorHAnsi"/>
                      <w:color w:val="000000"/>
                      <w:spacing w:val="2"/>
                    </w:rPr>
                    <w:t xml:space="preserve"> </w:t>
                  </w:r>
                  <w:r>
                    <w:rPr>
                      <w:rFonts w:cstheme="minorHAnsi"/>
                      <w:color w:val="000000"/>
                      <w:spacing w:val="-1"/>
                    </w:rPr>
                    <w:t>l</w:t>
                  </w:r>
                  <w:r>
                    <w:rPr>
                      <w:rFonts w:cstheme="minorHAnsi"/>
                      <w:color w:val="000000"/>
                    </w:rPr>
                    <w:t>e</w:t>
                  </w:r>
                  <w:r>
                    <w:rPr>
                      <w:rFonts w:cstheme="minorHAnsi"/>
                      <w:color w:val="000000"/>
                      <w:spacing w:val="2"/>
                    </w:rPr>
                    <w:t xml:space="preserve"> </w:t>
                  </w:r>
                  <w:r>
                    <w:rPr>
                      <w:rFonts w:cstheme="minorHAnsi"/>
                      <w:color w:val="000000"/>
                      <w:spacing w:val="1"/>
                    </w:rPr>
                    <w:t>t</w:t>
                  </w:r>
                  <w:r>
                    <w:rPr>
                      <w:rFonts w:cstheme="minorHAnsi"/>
                      <w:color w:val="000000"/>
                      <w:spacing w:val="-1"/>
                    </w:rPr>
                    <w:t>y</w:t>
                  </w:r>
                  <w:r>
                    <w:rPr>
                      <w:rFonts w:cstheme="minorHAnsi"/>
                      <w:color w:val="000000"/>
                      <w:spacing w:val="1"/>
                    </w:rPr>
                    <w:t>p</w:t>
                  </w:r>
                  <w:r>
                    <w:rPr>
                      <w:rFonts w:cstheme="minorHAnsi"/>
                      <w:color w:val="000000"/>
                    </w:rPr>
                    <w:t>e d</w:t>
                  </w:r>
                  <w:r>
                    <w:rPr>
                      <w:rFonts w:cstheme="minorHAnsi"/>
                      <w:color w:val="000000"/>
                      <w:spacing w:val="1"/>
                    </w:rPr>
                    <w:t>'</w:t>
                  </w:r>
                  <w:r>
                    <w:rPr>
                      <w:rFonts w:cstheme="minorHAnsi"/>
                      <w:color w:val="000000"/>
                      <w:spacing w:val="-1"/>
                    </w:rPr>
                    <w:t>en</w:t>
                  </w:r>
                  <w:r>
                    <w:rPr>
                      <w:rFonts w:cstheme="minorHAnsi"/>
                      <w:color w:val="000000"/>
                      <w:spacing w:val="1"/>
                    </w:rPr>
                    <w:t>s</w:t>
                  </w:r>
                  <w:r>
                    <w:rPr>
                      <w:rFonts w:cstheme="minorHAnsi"/>
                      <w:color w:val="000000"/>
                      <w:spacing w:val="-1"/>
                    </w:rPr>
                    <w:t>e</w:t>
                  </w:r>
                  <w:r>
                    <w:rPr>
                      <w:rFonts w:cstheme="minorHAnsi"/>
                      <w:color w:val="000000"/>
                    </w:rPr>
                    <w:t>ig</w:t>
                  </w:r>
                  <w:r>
                    <w:rPr>
                      <w:rFonts w:cstheme="minorHAnsi"/>
                      <w:color w:val="000000"/>
                      <w:spacing w:val="-1"/>
                    </w:rPr>
                    <w:t>n</w:t>
                  </w:r>
                  <w:r>
                    <w:rPr>
                      <w:rFonts w:cstheme="minorHAnsi"/>
                      <w:color w:val="000000"/>
                      <w:spacing w:val="-3"/>
                    </w:rPr>
                    <w:t>e</w:t>
                  </w:r>
                  <w:r>
                    <w:rPr>
                      <w:rFonts w:cstheme="minorHAnsi"/>
                      <w:color w:val="000000"/>
                    </w:rPr>
                    <w:t>m</w:t>
                  </w:r>
                  <w:r>
                    <w:rPr>
                      <w:rFonts w:cstheme="minorHAnsi"/>
                      <w:color w:val="000000"/>
                      <w:spacing w:val="-1"/>
                    </w:rPr>
                    <w:t>en</w:t>
                  </w:r>
                  <w:r>
                    <w:rPr>
                      <w:rFonts w:cstheme="minorHAnsi"/>
                      <w:color w:val="000000"/>
                    </w:rPr>
                    <w:t>t</w:t>
                  </w:r>
                  <w:r>
                    <w:rPr>
                      <w:rFonts w:cstheme="minorHAnsi"/>
                      <w:color w:val="000000"/>
                      <w:spacing w:val="4"/>
                    </w:rPr>
                    <w:t xml:space="preserve"> </w:t>
                  </w:r>
                  <w:r>
                    <w:rPr>
                      <w:rFonts w:cstheme="minorHAnsi"/>
                      <w:color w:val="000000"/>
                      <w:spacing w:val="1"/>
                    </w:rPr>
                    <w:t>5</w:t>
                  </w:r>
                  <w:r>
                    <w:rPr>
                      <w:rFonts w:cstheme="minorHAnsi"/>
                      <w:color w:val="000000"/>
                    </w:rPr>
                    <w:t>,</w:t>
                  </w:r>
                  <w:r>
                    <w:rPr>
                      <w:rFonts w:cstheme="minorHAnsi"/>
                      <w:color w:val="000000"/>
                      <w:spacing w:val="1"/>
                    </w:rPr>
                    <w:t xml:space="preserve"> c</w:t>
                  </w:r>
                  <w:r>
                    <w:rPr>
                      <w:rFonts w:cstheme="minorHAnsi"/>
                      <w:color w:val="000000"/>
                      <w:spacing w:val="-1"/>
                    </w:rPr>
                    <w:t>e</w:t>
                  </w:r>
                  <w:r>
                    <w:rPr>
                      <w:rFonts w:cstheme="minorHAnsi"/>
                      <w:color w:val="000000"/>
                    </w:rPr>
                    <w:t>t</w:t>
                  </w:r>
                  <w:r>
                    <w:rPr>
                      <w:rFonts w:cstheme="minorHAnsi"/>
                      <w:color w:val="000000"/>
                      <w:spacing w:val="2"/>
                    </w:rPr>
                    <w:t xml:space="preserve"> </w:t>
                  </w:r>
                  <w:r>
                    <w:rPr>
                      <w:rFonts w:cstheme="minorHAnsi"/>
                      <w:color w:val="000000"/>
                      <w:spacing w:val="-1"/>
                    </w:rPr>
                    <w:t>a</w:t>
                  </w:r>
                  <w:r>
                    <w:rPr>
                      <w:rFonts w:cstheme="minorHAnsi"/>
                      <w:color w:val="000000"/>
                      <w:spacing w:val="1"/>
                    </w:rPr>
                    <w:t>c</w:t>
                  </w:r>
                  <w:r>
                    <w:rPr>
                      <w:rFonts w:cstheme="minorHAnsi"/>
                      <w:color w:val="000000"/>
                      <w:spacing w:val="-2"/>
                    </w:rPr>
                    <w:t>c</w:t>
                  </w:r>
                  <w:r>
                    <w:rPr>
                      <w:rFonts w:cstheme="minorHAnsi"/>
                      <w:color w:val="000000"/>
                      <w:spacing w:val="1"/>
                    </w:rPr>
                    <w:t>ro</w:t>
                  </w:r>
                  <w:r>
                    <w:rPr>
                      <w:rFonts w:cstheme="minorHAnsi"/>
                      <w:color w:val="000000"/>
                      <w:spacing w:val="-2"/>
                    </w:rPr>
                    <w:t>i</w:t>
                  </w:r>
                  <w:r>
                    <w:rPr>
                      <w:rFonts w:cstheme="minorHAnsi"/>
                      <w:color w:val="000000"/>
                      <w:spacing w:val="1"/>
                    </w:rPr>
                    <w:t>ss</w:t>
                  </w:r>
                  <w:r>
                    <w:rPr>
                      <w:rFonts w:cstheme="minorHAnsi"/>
                      <w:color w:val="000000"/>
                      <w:spacing w:val="-1"/>
                    </w:rPr>
                    <w:t>e</w:t>
                  </w:r>
                  <w:r>
                    <w:rPr>
                      <w:rFonts w:cstheme="minorHAnsi"/>
                      <w:color w:val="000000"/>
                    </w:rPr>
                    <w:t>m</w:t>
                  </w:r>
                  <w:r>
                    <w:rPr>
                      <w:rFonts w:cstheme="minorHAnsi"/>
                      <w:color w:val="000000"/>
                      <w:spacing w:val="-3"/>
                    </w:rPr>
                    <w:t>e</w:t>
                  </w:r>
                  <w:r>
                    <w:rPr>
                      <w:rFonts w:cstheme="minorHAnsi"/>
                      <w:color w:val="000000"/>
                      <w:spacing w:val="-1"/>
                    </w:rPr>
                    <w:t>n</w:t>
                  </w:r>
                  <w:r>
                    <w:rPr>
                      <w:rFonts w:cstheme="minorHAnsi"/>
                      <w:color w:val="000000"/>
                    </w:rPr>
                    <w:t>t</w:t>
                  </w:r>
                  <w:r>
                    <w:rPr>
                      <w:rFonts w:cstheme="minorHAnsi"/>
                      <w:color w:val="000000"/>
                      <w:spacing w:val="4"/>
                    </w:rPr>
                    <w:t xml:space="preserve"> </w:t>
                  </w:r>
                  <w:r>
                    <w:rPr>
                      <w:rFonts w:cstheme="minorHAnsi"/>
                      <w:color w:val="000000"/>
                    </w:rPr>
                    <w:t xml:space="preserve">de </w:t>
                  </w:r>
                  <w:r>
                    <w:rPr>
                      <w:rFonts w:cstheme="minorHAnsi"/>
                      <w:color w:val="000000"/>
                      <w:spacing w:val="1"/>
                    </w:rPr>
                    <w:t>1</w:t>
                  </w:r>
                  <w:r>
                    <w:rPr>
                      <w:rFonts w:cstheme="minorHAnsi"/>
                      <w:color w:val="000000"/>
                    </w:rPr>
                    <w:t>0</w:t>
                  </w:r>
                  <w:r>
                    <w:rPr>
                      <w:rFonts w:cstheme="minorHAnsi"/>
                      <w:color w:val="000000"/>
                      <w:spacing w:val="2"/>
                    </w:rPr>
                    <w:t xml:space="preserve"> </w:t>
                  </w:r>
                  <w:r>
                    <w:rPr>
                      <w:rFonts w:cstheme="minorHAnsi"/>
                      <w:color w:val="000000"/>
                    </w:rPr>
                    <w:t>%</w:t>
                  </w:r>
                  <w:r>
                    <w:rPr>
                      <w:rFonts w:cstheme="minorHAnsi"/>
                      <w:color w:val="000000"/>
                      <w:spacing w:val="1"/>
                    </w:rPr>
                    <w:t xml:space="preserve"> </w:t>
                  </w:r>
                  <w:r>
                    <w:rPr>
                      <w:rFonts w:cstheme="minorHAnsi"/>
                      <w:color w:val="000000"/>
                    </w:rPr>
                    <w:t>d</w:t>
                  </w:r>
                  <w:r>
                    <w:rPr>
                      <w:rFonts w:cstheme="minorHAnsi"/>
                      <w:color w:val="000000"/>
                      <w:spacing w:val="1"/>
                    </w:rPr>
                    <w:t>o</w:t>
                  </w:r>
                  <w:r>
                    <w:rPr>
                      <w:rFonts w:cstheme="minorHAnsi"/>
                      <w:color w:val="000000"/>
                      <w:spacing w:val="-2"/>
                    </w:rPr>
                    <w:t>i</w:t>
                  </w:r>
                  <w:r>
                    <w:rPr>
                      <w:rFonts w:cstheme="minorHAnsi"/>
                      <w:color w:val="000000"/>
                    </w:rPr>
                    <w:t>t</w:t>
                  </w:r>
                  <w:r>
                    <w:rPr>
                      <w:rFonts w:cstheme="minorHAnsi"/>
                      <w:color w:val="000000"/>
                      <w:spacing w:val="4"/>
                    </w:rPr>
                    <w:t xml:space="preserve"> </w:t>
                  </w:r>
                  <w:r>
                    <w:rPr>
                      <w:rFonts w:cstheme="minorHAnsi"/>
                      <w:color w:val="000000"/>
                      <w:spacing w:val="-1"/>
                    </w:rPr>
                    <w:t>ê</w:t>
                  </w:r>
                  <w:r>
                    <w:rPr>
                      <w:rFonts w:cstheme="minorHAnsi"/>
                      <w:color w:val="000000"/>
                      <w:spacing w:val="-2"/>
                    </w:rPr>
                    <w:t>t</w:t>
                  </w:r>
                  <w:r>
                    <w:rPr>
                      <w:rFonts w:cstheme="minorHAnsi"/>
                      <w:color w:val="000000"/>
                      <w:spacing w:val="1"/>
                    </w:rPr>
                    <w:t>r</w:t>
                  </w:r>
                  <w:r>
                    <w:rPr>
                      <w:rFonts w:cstheme="minorHAnsi"/>
                      <w:color w:val="000000"/>
                    </w:rPr>
                    <w:t>e</w:t>
                  </w:r>
                  <w:r>
                    <w:rPr>
                      <w:rFonts w:cstheme="minorHAnsi"/>
                      <w:color w:val="000000"/>
                      <w:spacing w:val="2"/>
                    </w:rPr>
                    <w:t xml:space="preserve"> </w:t>
                  </w:r>
                  <w:r>
                    <w:rPr>
                      <w:rFonts w:cstheme="minorHAnsi"/>
                      <w:color w:val="000000"/>
                    </w:rPr>
                    <w:t>d</w:t>
                  </w:r>
                  <w:r>
                    <w:rPr>
                      <w:rFonts w:cstheme="minorHAnsi"/>
                      <w:color w:val="000000"/>
                      <w:spacing w:val="-1"/>
                    </w:rPr>
                    <w:t>é</w:t>
                  </w:r>
                  <w:r>
                    <w:rPr>
                      <w:rFonts w:cstheme="minorHAnsi"/>
                      <w:color w:val="000000"/>
                      <w:spacing w:val="1"/>
                    </w:rPr>
                    <w:t>t</w:t>
                  </w:r>
                  <w:r>
                    <w:rPr>
                      <w:rFonts w:cstheme="minorHAnsi"/>
                      <w:color w:val="000000"/>
                      <w:spacing w:val="-3"/>
                    </w:rPr>
                    <w:t>e</w:t>
                  </w:r>
                  <w:r>
                    <w:rPr>
                      <w:rFonts w:cstheme="minorHAnsi"/>
                      <w:color w:val="000000"/>
                      <w:spacing w:val="1"/>
                    </w:rPr>
                    <w:t>r</w:t>
                  </w:r>
                  <w:r>
                    <w:rPr>
                      <w:rFonts w:cstheme="minorHAnsi"/>
                      <w:color w:val="000000"/>
                    </w:rPr>
                    <w:t>mi</w:t>
                  </w:r>
                  <w:r>
                    <w:rPr>
                      <w:rFonts w:cstheme="minorHAnsi"/>
                      <w:color w:val="000000"/>
                      <w:spacing w:val="-1"/>
                    </w:rPr>
                    <w:t>n</w:t>
                  </w:r>
                  <w:r>
                    <w:rPr>
                      <w:rFonts w:cstheme="minorHAnsi"/>
                      <w:color w:val="000000"/>
                    </w:rPr>
                    <w:t>é</w:t>
                  </w:r>
                  <w:r>
                    <w:rPr>
                      <w:rFonts w:cstheme="minorHAnsi"/>
                      <w:color w:val="000000"/>
                      <w:spacing w:val="2"/>
                    </w:rPr>
                    <w:t xml:space="preserve"> </w:t>
                  </w:r>
                  <w:r>
                    <w:rPr>
                      <w:rFonts w:cstheme="minorHAnsi"/>
                      <w:color w:val="000000"/>
                      <w:spacing w:val="1"/>
                    </w:rPr>
                    <w:t>p</w:t>
                  </w:r>
                  <w:r>
                    <w:rPr>
                      <w:rFonts w:cstheme="minorHAnsi"/>
                      <w:color w:val="000000"/>
                      <w:spacing w:val="-3"/>
                    </w:rPr>
                    <w:t>a</w:t>
                  </w:r>
                  <w:r>
                    <w:rPr>
                      <w:rFonts w:cstheme="minorHAnsi"/>
                      <w:color w:val="000000"/>
                    </w:rPr>
                    <w:t>r</w:t>
                  </w:r>
                  <w:r>
                    <w:rPr>
                      <w:rFonts w:cstheme="minorHAnsi"/>
                      <w:color w:val="000000"/>
                      <w:spacing w:val="4"/>
                    </w:rPr>
                    <w:t xml:space="preserve"> </w:t>
                  </w:r>
                  <w:r>
                    <w:rPr>
                      <w:rFonts w:cstheme="minorHAnsi"/>
                      <w:color w:val="000000"/>
                      <w:spacing w:val="-1"/>
                    </w:rPr>
                    <w:t>l</w:t>
                  </w:r>
                  <w:r>
                    <w:rPr>
                      <w:rFonts w:cstheme="minorHAnsi"/>
                      <w:color w:val="000000"/>
                    </w:rPr>
                    <w:t>a</w:t>
                  </w:r>
                  <w:r>
                    <w:rPr>
                      <w:rFonts w:cstheme="minorHAnsi"/>
                      <w:color w:val="000000"/>
                      <w:spacing w:val="2"/>
                    </w:rPr>
                    <w:t xml:space="preserve"> </w:t>
                  </w:r>
                  <w:r>
                    <w:rPr>
                      <w:rFonts w:cstheme="minorHAnsi"/>
                      <w:color w:val="000000"/>
                      <w:spacing w:val="-3"/>
                    </w:rPr>
                    <w:t>m</w:t>
                  </w:r>
                  <w:r>
                    <w:rPr>
                      <w:rFonts w:cstheme="minorHAnsi"/>
                      <w:color w:val="000000"/>
                      <w:spacing w:val="1"/>
                    </w:rPr>
                    <w:t>o</w:t>
                  </w:r>
                  <w:r>
                    <w:rPr>
                      <w:rFonts w:cstheme="minorHAnsi"/>
                      <w:color w:val="000000"/>
                      <w:spacing w:val="-1"/>
                    </w:rPr>
                    <w:t>yenn</w:t>
                  </w:r>
                  <w:r>
                    <w:rPr>
                      <w:rFonts w:cstheme="minorHAnsi"/>
                      <w:color w:val="000000"/>
                    </w:rPr>
                    <w:t>e</w:t>
                  </w:r>
                  <w:r>
                    <w:rPr>
                      <w:rFonts w:cstheme="minorHAnsi"/>
                      <w:color w:val="000000"/>
                      <w:spacing w:val="2"/>
                    </w:rPr>
                    <w:t xml:space="preserve"> </w:t>
                  </w:r>
                  <w:r>
                    <w:rPr>
                      <w:rFonts w:cstheme="minorHAnsi"/>
                      <w:color w:val="000000"/>
                    </w:rPr>
                    <w:t>d</w:t>
                  </w:r>
                  <w:r>
                    <w:rPr>
                      <w:rFonts w:cstheme="minorHAnsi"/>
                      <w:color w:val="000000"/>
                      <w:spacing w:val="-1"/>
                    </w:rPr>
                    <w:t xml:space="preserve">es </w:t>
                  </w:r>
                  <w:r>
                    <w:rPr>
                      <w:rFonts w:cstheme="minorHAnsi"/>
                      <w:color w:val="000000"/>
                      <w:spacing w:val="1"/>
                    </w:rPr>
                    <w:t>pr</w:t>
                  </w:r>
                  <w:r>
                    <w:rPr>
                      <w:rFonts w:cstheme="minorHAnsi"/>
                      <w:color w:val="000000"/>
                      <w:spacing w:val="-1"/>
                    </w:rPr>
                    <w:t>é</w:t>
                  </w:r>
                  <w:r>
                    <w:rPr>
                      <w:rFonts w:cstheme="minorHAnsi"/>
                      <w:color w:val="000000"/>
                      <w:spacing w:val="1"/>
                    </w:rPr>
                    <w:t>s</w:t>
                  </w:r>
                  <w:r>
                    <w:rPr>
                      <w:rFonts w:cstheme="minorHAnsi"/>
                      <w:color w:val="000000"/>
                      <w:spacing w:val="-1"/>
                    </w:rPr>
                    <w:t>en</w:t>
                  </w:r>
                  <w:r>
                    <w:rPr>
                      <w:rFonts w:cstheme="minorHAnsi"/>
                      <w:color w:val="000000"/>
                      <w:spacing w:val="1"/>
                    </w:rPr>
                    <w:t>c</w:t>
                  </w:r>
                  <w:r>
                    <w:rPr>
                      <w:rFonts w:cstheme="minorHAnsi"/>
                      <w:color w:val="000000"/>
                      <w:spacing w:val="-1"/>
                    </w:rPr>
                    <w:t>e</w:t>
                  </w:r>
                  <w:r>
                    <w:rPr>
                      <w:rFonts w:cstheme="minorHAnsi"/>
                      <w:color w:val="000000"/>
                    </w:rPr>
                    <w:t>s</w:t>
                  </w:r>
                  <w:r>
                    <w:rPr>
                      <w:rFonts w:cstheme="minorHAnsi"/>
                      <w:color w:val="000000"/>
                      <w:spacing w:val="-2"/>
                    </w:rPr>
                    <w:t xml:space="preserve"> </w:t>
                  </w:r>
                  <w:r>
                    <w:rPr>
                      <w:rFonts w:cstheme="minorHAnsi"/>
                      <w:color w:val="000000"/>
                      <w:spacing w:val="1"/>
                    </w:rPr>
                    <w:t>p</w:t>
                  </w:r>
                  <w:r>
                    <w:rPr>
                      <w:rFonts w:cstheme="minorHAnsi"/>
                      <w:color w:val="000000"/>
                      <w:spacing w:val="-1"/>
                    </w:rPr>
                    <w:t>en</w:t>
                  </w:r>
                  <w:r>
                    <w:rPr>
                      <w:rFonts w:cstheme="minorHAnsi"/>
                      <w:color w:val="000000"/>
                    </w:rPr>
                    <w:t>d</w:t>
                  </w:r>
                  <w:r>
                    <w:rPr>
                      <w:rFonts w:cstheme="minorHAnsi"/>
                      <w:color w:val="000000"/>
                      <w:spacing w:val="-1"/>
                    </w:rPr>
                    <w:t>an</w:t>
                  </w:r>
                  <w:r>
                    <w:rPr>
                      <w:rFonts w:cstheme="minorHAnsi"/>
                      <w:color w:val="000000"/>
                    </w:rPr>
                    <w:t>t u</w:t>
                  </w:r>
                  <w:r>
                    <w:rPr>
                      <w:rFonts w:cstheme="minorHAnsi"/>
                      <w:color w:val="000000"/>
                      <w:spacing w:val="-1"/>
                    </w:rPr>
                    <w:t>n</w:t>
                  </w:r>
                  <w:r>
                    <w:rPr>
                      <w:rFonts w:cstheme="minorHAnsi"/>
                      <w:color w:val="000000"/>
                    </w:rPr>
                    <w:t>e</w:t>
                  </w:r>
                  <w:r>
                    <w:rPr>
                      <w:rFonts w:cstheme="minorHAnsi"/>
                      <w:color w:val="000000"/>
                      <w:spacing w:val="-1"/>
                    </w:rPr>
                    <w:t xml:space="preserve"> pé</w:t>
                  </w:r>
                  <w:r>
                    <w:rPr>
                      <w:rFonts w:cstheme="minorHAnsi"/>
                      <w:color w:val="000000"/>
                      <w:spacing w:val="1"/>
                    </w:rPr>
                    <w:t>r</w:t>
                  </w:r>
                  <w:r>
                    <w:rPr>
                      <w:rFonts w:cstheme="minorHAnsi"/>
                      <w:color w:val="000000"/>
                    </w:rPr>
                    <w:t>i</w:t>
                  </w:r>
                  <w:r>
                    <w:rPr>
                      <w:rFonts w:cstheme="minorHAnsi"/>
                      <w:color w:val="000000"/>
                      <w:spacing w:val="1"/>
                    </w:rPr>
                    <w:t>o</w:t>
                  </w:r>
                  <w:r>
                    <w:rPr>
                      <w:rFonts w:cstheme="minorHAnsi"/>
                      <w:color w:val="000000"/>
                    </w:rPr>
                    <w:t>de</w:t>
                  </w:r>
                  <w:r>
                    <w:rPr>
                      <w:rFonts w:cstheme="minorHAnsi"/>
                      <w:color w:val="000000"/>
                      <w:spacing w:val="-1"/>
                    </w:rPr>
                    <w:t xml:space="preserve"> </w:t>
                  </w:r>
                  <w:r>
                    <w:rPr>
                      <w:rFonts w:cstheme="minorHAnsi"/>
                      <w:color w:val="000000"/>
                    </w:rPr>
                    <w:t>d</w:t>
                  </w:r>
                  <w:r>
                    <w:rPr>
                      <w:rFonts w:cstheme="minorHAnsi"/>
                      <w:color w:val="000000"/>
                      <w:spacing w:val="1"/>
                    </w:rPr>
                    <w:t>'</w:t>
                  </w:r>
                  <w:r>
                    <w:rPr>
                      <w:rFonts w:cstheme="minorHAnsi"/>
                      <w:color w:val="000000"/>
                      <w:spacing w:val="-1"/>
                    </w:rPr>
                    <w:t>a</w:t>
                  </w:r>
                  <w:r>
                    <w:rPr>
                      <w:rFonts w:cstheme="minorHAnsi"/>
                      <w:color w:val="000000"/>
                    </w:rPr>
                    <w:t>u</w:t>
                  </w:r>
                  <w:r>
                    <w:rPr>
                      <w:rFonts w:cstheme="minorHAnsi"/>
                      <w:color w:val="000000"/>
                      <w:spacing w:val="-2"/>
                    </w:rPr>
                    <w:t xml:space="preserve"> </w:t>
                  </w:r>
                  <w:r>
                    <w:rPr>
                      <w:rFonts w:cstheme="minorHAnsi"/>
                      <w:color w:val="000000"/>
                    </w:rPr>
                    <w:t>m</w:t>
                  </w:r>
                  <w:r>
                    <w:rPr>
                      <w:rFonts w:cstheme="minorHAnsi"/>
                      <w:color w:val="000000"/>
                      <w:spacing w:val="1"/>
                    </w:rPr>
                    <w:t>o</w:t>
                  </w:r>
                  <w:r>
                    <w:rPr>
                      <w:rFonts w:cstheme="minorHAnsi"/>
                      <w:color w:val="000000"/>
                    </w:rPr>
                    <w:t>i</w:t>
                  </w:r>
                  <w:r>
                    <w:rPr>
                      <w:rFonts w:cstheme="minorHAnsi"/>
                      <w:color w:val="000000"/>
                      <w:spacing w:val="-3"/>
                    </w:rPr>
                    <w:t>n</w:t>
                  </w:r>
                  <w:r>
                    <w:rPr>
                      <w:rFonts w:cstheme="minorHAnsi"/>
                      <w:color w:val="000000"/>
                    </w:rPr>
                    <w:t xml:space="preserve">s </w:t>
                  </w:r>
                  <w:r>
                    <w:rPr>
                      <w:rFonts w:cstheme="minorHAnsi"/>
                      <w:b/>
                      <w:color w:val="000000"/>
                      <w:spacing w:val="-1"/>
                      <w:u w:val="single"/>
                    </w:rPr>
                    <w:t>2</w:t>
                  </w:r>
                  <w:r>
                    <w:rPr>
                      <w:rFonts w:cstheme="minorHAnsi"/>
                      <w:b/>
                      <w:color w:val="000000"/>
                      <w:u w:val="single"/>
                    </w:rPr>
                    <w:t>0</w:t>
                  </w:r>
                  <w:r>
                    <w:rPr>
                      <w:rFonts w:cstheme="minorHAnsi"/>
                      <w:b/>
                      <w:color w:val="000000"/>
                      <w:spacing w:val="-1"/>
                      <w:u w:val="single"/>
                    </w:rPr>
                    <w:t xml:space="preserve"> </w:t>
                  </w:r>
                  <w:r>
                    <w:rPr>
                      <w:rFonts w:cstheme="minorHAnsi"/>
                      <w:b/>
                      <w:color w:val="000000"/>
                      <w:u w:val="single"/>
                    </w:rPr>
                    <w:t>j</w:t>
                  </w:r>
                  <w:r>
                    <w:rPr>
                      <w:rFonts w:cstheme="minorHAnsi"/>
                      <w:b/>
                      <w:color w:val="000000"/>
                      <w:spacing w:val="1"/>
                      <w:u w:val="single"/>
                    </w:rPr>
                    <w:t>o</w:t>
                  </w:r>
                  <w:r>
                    <w:rPr>
                      <w:rFonts w:cstheme="minorHAnsi"/>
                      <w:b/>
                      <w:color w:val="000000"/>
                      <w:spacing w:val="-2"/>
                      <w:u w:val="single"/>
                    </w:rPr>
                    <w:t>u</w:t>
                  </w:r>
                  <w:r>
                    <w:rPr>
                      <w:rFonts w:cstheme="minorHAnsi"/>
                      <w:b/>
                      <w:color w:val="000000"/>
                      <w:spacing w:val="1"/>
                      <w:u w:val="single"/>
                    </w:rPr>
                    <w:t>r</w:t>
                  </w:r>
                  <w:r>
                    <w:rPr>
                      <w:rFonts w:cstheme="minorHAnsi"/>
                      <w:b/>
                      <w:color w:val="000000"/>
                      <w:u w:val="single"/>
                    </w:rPr>
                    <w:t>s</w:t>
                  </w:r>
                  <w:r>
                    <w:rPr>
                      <w:rFonts w:cstheme="minorHAnsi"/>
                      <w:b/>
                      <w:color w:val="000000"/>
                      <w:spacing w:val="1"/>
                      <w:u w:val="single"/>
                    </w:rPr>
                    <w:t xml:space="preserve"> </w:t>
                  </w:r>
                  <w:r>
                    <w:rPr>
                      <w:rFonts w:cstheme="minorHAnsi"/>
                      <w:b/>
                      <w:color w:val="000000"/>
                      <w:u w:val="single"/>
                    </w:rPr>
                    <w:t>de</w:t>
                  </w:r>
                  <w:r>
                    <w:rPr>
                      <w:rFonts w:cstheme="minorHAnsi"/>
                      <w:b/>
                      <w:color w:val="000000"/>
                      <w:spacing w:val="-1"/>
                      <w:u w:val="single"/>
                    </w:rPr>
                    <w:t xml:space="preserve"> </w:t>
                  </w:r>
                  <w:r>
                    <w:rPr>
                      <w:rFonts w:cstheme="minorHAnsi"/>
                      <w:b/>
                      <w:color w:val="000000"/>
                      <w:spacing w:val="1"/>
                      <w:u w:val="single"/>
                    </w:rPr>
                    <w:t>c</w:t>
                  </w:r>
                  <w:r>
                    <w:rPr>
                      <w:rFonts w:cstheme="minorHAnsi"/>
                      <w:b/>
                      <w:color w:val="000000"/>
                      <w:spacing w:val="-1"/>
                      <w:u w:val="single"/>
                    </w:rPr>
                    <w:t>la</w:t>
                  </w:r>
                  <w:r>
                    <w:rPr>
                      <w:rFonts w:cstheme="minorHAnsi"/>
                      <w:b/>
                      <w:color w:val="000000"/>
                      <w:spacing w:val="1"/>
                      <w:u w:val="single"/>
                    </w:rPr>
                    <w:t>ss</w:t>
                  </w:r>
                  <w:r>
                    <w:rPr>
                      <w:rFonts w:cstheme="minorHAnsi"/>
                      <w:b/>
                      <w:color w:val="000000"/>
                      <w:u w:val="single"/>
                    </w:rPr>
                    <w:t>e</w:t>
                  </w:r>
                  <w:r>
                    <w:rPr>
                      <w:rFonts w:cstheme="minorHAnsi"/>
                      <w:b/>
                      <w:color w:val="000000"/>
                      <w:spacing w:val="-1"/>
                      <w:u w:val="single"/>
                    </w:rPr>
                    <w:t xml:space="preserve"> </w:t>
                  </w:r>
                  <w:r>
                    <w:rPr>
                      <w:rFonts w:cstheme="minorHAnsi"/>
                      <w:b/>
                      <w:color w:val="000000"/>
                      <w:spacing w:val="-2"/>
                      <w:u w:val="single"/>
                    </w:rPr>
                    <w:t>c</w:t>
                  </w:r>
                  <w:r>
                    <w:rPr>
                      <w:rFonts w:cstheme="minorHAnsi"/>
                      <w:b/>
                      <w:color w:val="000000"/>
                      <w:spacing w:val="1"/>
                      <w:u w:val="single"/>
                    </w:rPr>
                    <w:t>o</w:t>
                  </w:r>
                  <w:r>
                    <w:rPr>
                      <w:rFonts w:cstheme="minorHAnsi"/>
                      <w:b/>
                      <w:color w:val="000000"/>
                      <w:spacing w:val="-1"/>
                      <w:u w:val="single"/>
                    </w:rPr>
                    <w:t>n</w:t>
                  </w:r>
                  <w:r>
                    <w:rPr>
                      <w:rFonts w:cstheme="minorHAnsi"/>
                      <w:b/>
                      <w:color w:val="000000"/>
                      <w:spacing w:val="1"/>
                      <w:u w:val="single"/>
                    </w:rPr>
                    <w:t>s</w:t>
                  </w:r>
                  <w:r>
                    <w:rPr>
                      <w:rFonts w:cstheme="minorHAnsi"/>
                      <w:b/>
                      <w:color w:val="000000"/>
                      <w:spacing w:val="-1"/>
                      <w:u w:val="single"/>
                    </w:rPr>
                    <w:t>é</w:t>
                  </w:r>
                  <w:r>
                    <w:rPr>
                      <w:rFonts w:cstheme="minorHAnsi"/>
                      <w:b/>
                      <w:color w:val="000000"/>
                      <w:spacing w:val="1"/>
                      <w:u w:val="single"/>
                    </w:rPr>
                    <w:t>c</w:t>
                  </w:r>
                  <w:r>
                    <w:rPr>
                      <w:rFonts w:cstheme="minorHAnsi"/>
                      <w:b/>
                      <w:color w:val="000000"/>
                      <w:spacing w:val="-2"/>
                      <w:u w:val="single"/>
                    </w:rPr>
                    <w:t>u</w:t>
                  </w:r>
                  <w:r>
                    <w:rPr>
                      <w:rFonts w:cstheme="minorHAnsi"/>
                      <w:b/>
                      <w:color w:val="000000"/>
                      <w:spacing w:val="1"/>
                      <w:u w:val="single"/>
                    </w:rPr>
                    <w:t>t</w:t>
                  </w:r>
                  <w:r>
                    <w:rPr>
                      <w:rFonts w:cstheme="minorHAnsi"/>
                      <w:b/>
                      <w:color w:val="000000"/>
                      <w:u w:val="single"/>
                    </w:rPr>
                    <w:t>i</w:t>
                  </w:r>
                  <w:r>
                    <w:rPr>
                      <w:rFonts w:cstheme="minorHAnsi"/>
                      <w:b/>
                      <w:color w:val="000000"/>
                      <w:spacing w:val="-2"/>
                      <w:u w:val="single"/>
                    </w:rPr>
                    <w:t>f</w:t>
                  </w:r>
                  <w:r>
                    <w:rPr>
                      <w:rFonts w:cstheme="minorHAnsi"/>
                      <w:b/>
                      <w:color w:val="000000"/>
                      <w:spacing w:val="1"/>
                      <w:u w:val="single"/>
                    </w:rPr>
                    <w:t>s à partir du 01 octobre</w:t>
                  </w:r>
                  <w:r>
                    <w:rPr>
                      <w:rFonts w:cstheme="minorHAnsi"/>
                      <w:color w:val="000000"/>
                      <w:spacing w:val="1"/>
                    </w:rPr>
                    <w:t>.</w:t>
                  </w:r>
                </w:p>
                <w:p w:rsidR="00F04EEF" w:rsidRDefault="00F04EEF">
                  <w:pPr>
                    <w:widowControl w:val="0"/>
                    <w:autoSpaceDE w:val="0"/>
                    <w:autoSpaceDN w:val="0"/>
                    <w:adjustRightInd w:val="0"/>
                    <w:spacing w:line="250" w:lineRule="exact"/>
                    <w:ind w:right="51"/>
                    <w:jc w:val="both"/>
                    <w:rPr>
                      <w:rFonts w:asciiTheme="majorHAnsi" w:hAnsiTheme="majorHAnsi"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T</w:t>
                  </w:r>
                  <w:r>
                    <w:rPr>
                      <w:rFonts w:cs="Georgia"/>
                      <w:color w:val="000000"/>
                      <w:spacing w:val="1"/>
                    </w:rPr>
                    <w:t>o</w:t>
                  </w:r>
                  <w:r>
                    <w:rPr>
                      <w:rFonts w:cs="Georgia"/>
                      <w:color w:val="000000"/>
                    </w:rPr>
                    <w:t>u</w:t>
                  </w:r>
                  <w:r>
                    <w:rPr>
                      <w:rFonts w:cs="Georgia"/>
                      <w:color w:val="000000"/>
                      <w:spacing w:val="1"/>
                    </w:rPr>
                    <w:t>t</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rPr>
                    <w:t>de</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spacing w:val="1"/>
                    </w:rPr>
                    <w:t>v</w:t>
                  </w:r>
                  <w:r>
                    <w:rPr>
                      <w:rFonts w:cs="Georgia"/>
                      <w:color w:val="000000"/>
                    </w:rPr>
                    <w:t>i</w:t>
                  </w:r>
                  <w:r>
                    <w:rPr>
                      <w:rFonts w:cs="Georgia"/>
                      <w:color w:val="000000"/>
                      <w:spacing w:val="-2"/>
                    </w:rPr>
                    <w:t>si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1"/>
                    </w:rPr>
                    <w:t>al</w:t>
                  </w:r>
                  <w:r>
                    <w:rPr>
                      <w:rFonts w:cs="Georgia"/>
                      <w:color w:val="000000"/>
                    </w:rPr>
                    <w:t>cul</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-pé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so</w:t>
                  </w:r>
                  <w:r>
                    <w:rPr>
                      <w:rFonts w:cs="Georgia"/>
                      <w:color w:val="000000"/>
                      <w:spacing w:val="-1"/>
                    </w:rPr>
                    <w:t>ll</w:t>
                  </w:r>
                  <w:r>
                    <w:rPr>
                      <w:rFonts w:cs="Georgia"/>
                      <w:color w:val="000000"/>
                    </w:rPr>
                    <w:t>i</w:t>
                  </w:r>
                  <w:r>
                    <w:rPr>
                      <w:rFonts w:cs="Georgia"/>
                      <w:color w:val="000000"/>
                      <w:spacing w:val="1"/>
                    </w:rPr>
                    <w:t>c</w:t>
                  </w:r>
                  <w:r>
                    <w:rPr>
                      <w:rFonts w:cs="Georgia"/>
                      <w:color w:val="000000"/>
                      <w:spacing w:val="-2"/>
                    </w:rPr>
                    <w:t>i</w:t>
                  </w:r>
                  <w:r>
                    <w:rPr>
                      <w:rFonts w:cs="Georgia"/>
                      <w:color w:val="000000"/>
                      <w:spacing w:val="1"/>
                    </w:rPr>
                    <w:t>t</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a</w:t>
                  </w:r>
                  <w:r>
                    <w:rPr>
                      <w:rFonts w:cs="Georgia"/>
                      <w:color w:val="000000"/>
                    </w:rPr>
                    <w:t>u</w:t>
                  </w:r>
                  <w:r>
                    <w:rPr>
                      <w:rFonts w:cs="Georgia"/>
                      <w:color w:val="000000"/>
                      <w:spacing w:val="1"/>
                    </w:rPr>
                    <w:t>pr</w:t>
                  </w:r>
                  <w:r>
                    <w:rPr>
                      <w:rFonts w:cs="Georgia"/>
                      <w:color w:val="000000"/>
                      <w:spacing w:val="-1"/>
                    </w:rPr>
                    <w:t>è</w:t>
                  </w:r>
                  <w:r>
                    <w:rPr>
                      <w:rFonts w:cs="Georgia"/>
                      <w:color w:val="000000"/>
                    </w:rPr>
                    <w:t xml:space="preserve">s du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ifi</w:t>
                  </w:r>
                  <w:r>
                    <w:rPr>
                      <w:rFonts w:cs="Georgia"/>
                      <w:color w:val="000000"/>
                      <w:spacing w:val="1"/>
                    </w:rPr>
                    <w:t>c</w:t>
                  </w:r>
                  <w:r>
                    <w:rPr>
                      <w:rFonts w:cs="Georgia"/>
                      <w:color w:val="000000"/>
                      <w:spacing w:val="-3"/>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2"/>
                    </w:rPr>
                    <w:t xml:space="preserve"> </w:t>
                  </w:r>
                  <w:r>
                    <w:rPr>
                      <w:rFonts w:cs="Georgia"/>
                      <w:color w:val="000000"/>
                      <w:spacing w:val="1"/>
                    </w:rPr>
                    <w:t>(</w:t>
                  </w:r>
                  <w:r>
                    <w:rPr>
                      <w:rFonts w:cs="Georgia"/>
                      <w:color w:val="000000"/>
                      <w:spacing w:val="-1"/>
                    </w:rPr>
                    <w:t>é</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u</w:t>
                  </w:r>
                  <w:r>
                    <w:rPr>
                      <w:rFonts w:cs="Georgia"/>
                      <w:color w:val="000000"/>
                      <w:spacing w:val="-1"/>
                    </w:rPr>
                    <w:t>elle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t</w:t>
                  </w:r>
                  <w:r>
                    <w:rPr>
                      <w:rFonts w:cs="Georgia"/>
                      <w:color w:val="000000"/>
                      <w:spacing w:val="-1"/>
                    </w:rPr>
                    <w:t>élé</w:t>
                  </w:r>
                  <w:r>
                    <w:rPr>
                      <w:rFonts w:cs="Georgia"/>
                      <w:color w:val="000000"/>
                      <w:spacing w:val="1"/>
                    </w:rPr>
                    <w:t>p</w:t>
                  </w:r>
                  <w:r>
                    <w:rPr>
                      <w:rFonts w:cs="Georgia"/>
                      <w:color w:val="000000"/>
                      <w:spacing w:val="-1"/>
                    </w:rPr>
                    <w:t>h</w:t>
                  </w:r>
                  <w:r>
                    <w:rPr>
                      <w:rFonts w:cs="Georgia"/>
                      <w:color w:val="000000"/>
                      <w:spacing w:val="1"/>
                    </w:rPr>
                    <w:t>o</w:t>
                  </w:r>
                  <w:r>
                    <w:rPr>
                      <w:rFonts w:cs="Georgia"/>
                      <w:color w:val="000000"/>
                      <w:spacing w:val="-1"/>
                    </w:rPr>
                    <w:t>ne</w:t>
                  </w:r>
                  <w:r>
                    <w:rPr>
                      <w:rFonts w:cs="Georgia"/>
                      <w:color w:val="000000"/>
                      <w:spacing w:val="1"/>
                    </w:rPr>
                    <w:t>)</w:t>
                  </w:r>
                  <w:r>
                    <w:rPr>
                      <w:rFonts w:cs="Georgia"/>
                      <w:color w:val="000000"/>
                    </w:rPr>
                    <w:t>.</w:t>
                  </w:r>
                </w:p>
                <w:p w:rsidR="00F04EEF" w:rsidRDefault="00F04EEF">
                  <w:pPr>
                    <w:widowControl w:val="0"/>
                    <w:autoSpaceDE w:val="0"/>
                    <w:autoSpaceDN w:val="0"/>
                    <w:adjustRightInd w:val="0"/>
                    <w:spacing w:before="11" w:line="240" w:lineRule="exact"/>
                    <w:jc w:val="both"/>
                    <w:rPr>
                      <w:rFonts w:cs="Georgia"/>
                      <w:color w:val="000000"/>
                    </w:rPr>
                  </w:pPr>
                </w:p>
                <w:p w:rsidR="00F04EEF" w:rsidRDefault="0099351E">
                  <w:pPr>
                    <w:widowControl w:val="0"/>
                    <w:autoSpaceDE w:val="0"/>
                    <w:autoSpaceDN w:val="0"/>
                    <w:adjustRightInd w:val="0"/>
                    <w:spacing w:line="250" w:lineRule="exact"/>
                    <w:jc w:val="both"/>
                    <w:rPr>
                      <w:rFonts w:cs="Georgia"/>
                      <w:color w:val="000000"/>
                      <w:spacing w:val="-1"/>
                    </w:rPr>
                  </w:pPr>
                  <w:r>
                    <w:rPr>
                      <w:rFonts w:cs="Georgia"/>
                      <w:color w:val="000000"/>
                      <w:spacing w:val="1"/>
                    </w:rPr>
                    <w:t>A</w:t>
                  </w:r>
                  <w:r>
                    <w:rPr>
                      <w:rFonts w:cs="Georgia"/>
                      <w:color w:val="000000"/>
                    </w:rPr>
                    <w:t>u</w:t>
                  </w:r>
                  <w:r>
                    <w:rPr>
                      <w:rFonts w:cs="Georgia"/>
                      <w:color w:val="000000"/>
                      <w:spacing w:val="1"/>
                    </w:rPr>
                    <w:t>c</w:t>
                  </w:r>
                  <w:r>
                    <w:rPr>
                      <w:rFonts w:cs="Georgia"/>
                      <w:color w:val="000000"/>
                    </w:rPr>
                    <w:t>un</w:t>
                  </w:r>
                  <w:r>
                    <w:rPr>
                      <w:rFonts w:cs="Georgia"/>
                      <w:color w:val="000000"/>
                      <w:spacing w:val="35"/>
                    </w:rPr>
                    <w:t xml:space="preserve"> </w:t>
                  </w:r>
                  <w:r>
                    <w:rPr>
                      <w:rFonts w:cs="Georgia"/>
                      <w:color w:val="000000"/>
                      <w:spacing w:val="-1"/>
                    </w:rPr>
                    <w:t>en</w:t>
                  </w:r>
                  <w:r>
                    <w:rPr>
                      <w:rFonts w:cs="Georgia"/>
                      <w:color w:val="000000"/>
                    </w:rPr>
                    <w:t>g</w:t>
                  </w:r>
                  <w:r>
                    <w:rPr>
                      <w:rFonts w:cs="Georgia"/>
                      <w:color w:val="000000"/>
                      <w:spacing w:val="-1"/>
                    </w:rPr>
                    <w:t>a</w:t>
                  </w:r>
                  <w:r>
                    <w:rPr>
                      <w:rFonts w:cs="Georgia"/>
                      <w:color w:val="000000"/>
                    </w:rPr>
                    <w:t>g</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4"/>
                    </w:rPr>
                    <w:t xml:space="preserve"> </w:t>
                  </w:r>
                  <w:r>
                    <w:rPr>
                      <w:rFonts w:cs="Georgia"/>
                      <w:color w:val="000000"/>
                    </w:rPr>
                    <w:t>de</w:t>
                  </w:r>
                  <w:r>
                    <w:rPr>
                      <w:rFonts w:cs="Georgia"/>
                      <w:color w:val="000000"/>
                      <w:spacing w:val="35"/>
                    </w:rPr>
                    <w:t xml:space="preserve"> </w:t>
                  </w:r>
                  <w:r>
                    <w:rPr>
                      <w:rFonts w:cs="Georgia"/>
                      <w:color w:val="000000"/>
                      <w:spacing w:val="-1"/>
                    </w:rPr>
                    <w:t>pe</w:t>
                  </w:r>
                  <w:r>
                    <w:rPr>
                      <w:rFonts w:cs="Georgia"/>
                      <w:color w:val="000000"/>
                      <w:spacing w:val="1"/>
                    </w:rPr>
                    <w:t>rso</w:t>
                  </w:r>
                  <w:r>
                    <w:rPr>
                      <w:rFonts w:cs="Georgia"/>
                      <w:color w:val="000000"/>
                      <w:spacing w:val="-1"/>
                    </w:rPr>
                    <w:t>nne</w:t>
                  </w:r>
                  <w:r>
                    <w:rPr>
                      <w:rFonts w:cs="Georgia"/>
                      <w:color w:val="000000"/>
                    </w:rPr>
                    <w:t>l</w:t>
                  </w:r>
                  <w:r>
                    <w:rPr>
                      <w:rFonts w:cs="Georgia"/>
                      <w:color w:val="000000"/>
                      <w:spacing w:val="35"/>
                    </w:rPr>
                    <w:t xml:space="preserve"> </w:t>
                  </w:r>
                  <w:r>
                    <w:rPr>
                      <w:rFonts w:cs="Georgia"/>
                      <w:color w:val="000000"/>
                      <w:spacing w:val="-1"/>
                    </w:rPr>
                    <w:t>n</w:t>
                  </w:r>
                  <w:r>
                    <w:rPr>
                      <w:rFonts w:cs="Georgia"/>
                      <w:color w:val="000000"/>
                    </w:rPr>
                    <w:t>e</w:t>
                  </w:r>
                  <w:r>
                    <w:rPr>
                      <w:rFonts w:cs="Georgia"/>
                      <w:color w:val="000000"/>
                      <w:spacing w:val="35"/>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36"/>
                    </w:rPr>
                    <w:t xml:space="preserve"> </w:t>
                  </w:r>
                  <w:r>
                    <w:rPr>
                      <w:rFonts w:cs="Georgia"/>
                      <w:color w:val="000000"/>
                      <w:spacing w:val="-3"/>
                    </w:rPr>
                    <w:t>a</w:t>
                  </w:r>
                  <w:r>
                    <w:rPr>
                      <w:rFonts w:cs="Georgia"/>
                      <w:color w:val="000000"/>
                      <w:spacing w:val="1"/>
                    </w:rPr>
                    <w:t>vo</w:t>
                  </w:r>
                  <w:r>
                    <w:rPr>
                      <w:rFonts w:cs="Georgia"/>
                      <w:color w:val="000000"/>
                      <w:spacing w:val="-2"/>
                    </w:rPr>
                    <w:t>i</w:t>
                  </w:r>
                  <w:r>
                    <w:rPr>
                      <w:rFonts w:cs="Georgia"/>
                      <w:color w:val="000000"/>
                    </w:rPr>
                    <w:t>r</w:t>
                  </w:r>
                  <w:r>
                    <w:rPr>
                      <w:rFonts w:cs="Georgia"/>
                      <w:color w:val="000000"/>
                      <w:spacing w:val="36"/>
                    </w:rPr>
                    <w:t xml:space="preserve"> </w:t>
                  </w:r>
                  <w:r>
                    <w:rPr>
                      <w:rFonts w:cs="Georgia"/>
                      <w:color w:val="000000"/>
                      <w:spacing w:val="-3"/>
                    </w:rPr>
                    <w:t>l</w:t>
                  </w:r>
                  <w:r>
                    <w:rPr>
                      <w:rFonts w:cs="Georgia"/>
                      <w:color w:val="000000"/>
                      <w:spacing w:val="1"/>
                    </w:rPr>
                    <w:t>i</w:t>
                  </w:r>
                  <w:r>
                    <w:rPr>
                      <w:rFonts w:cs="Georgia"/>
                      <w:color w:val="000000"/>
                      <w:spacing w:val="-1"/>
                    </w:rPr>
                    <w:t>e</w:t>
                  </w:r>
                  <w:r>
                    <w:rPr>
                      <w:rFonts w:cs="Georgia"/>
                      <w:color w:val="000000"/>
                    </w:rPr>
                    <w:t>u</w:t>
                  </w:r>
                  <w:r>
                    <w:rPr>
                      <w:rFonts w:cs="Georgia"/>
                      <w:color w:val="000000"/>
                      <w:spacing w:val="36"/>
                    </w:rPr>
                    <w:t xml:space="preserve"> </w:t>
                  </w:r>
                  <w:r>
                    <w:rPr>
                      <w:rFonts w:cs="Georgia"/>
                      <w:color w:val="000000"/>
                      <w:spacing w:val="-1"/>
                    </w:rPr>
                    <w:t>a</w:t>
                  </w:r>
                  <w:r>
                    <w:rPr>
                      <w:rFonts w:cs="Georgia"/>
                      <w:color w:val="000000"/>
                      <w:spacing w:val="1"/>
                    </w:rPr>
                    <w:t>v</w:t>
                  </w:r>
                  <w:r>
                    <w:rPr>
                      <w:rFonts w:cs="Georgia"/>
                      <w:color w:val="000000"/>
                      <w:spacing w:val="-1"/>
                    </w:rPr>
                    <w:t>an</w:t>
                  </w:r>
                  <w:r>
                    <w:rPr>
                      <w:rFonts w:cs="Georgia"/>
                      <w:color w:val="000000"/>
                    </w:rPr>
                    <w:t>t</w:t>
                  </w:r>
                  <w:r>
                    <w:rPr>
                      <w:rFonts w:cs="Georgia"/>
                      <w:color w:val="000000"/>
                      <w:spacing w:val="36"/>
                    </w:rPr>
                    <w:t xml:space="preserve"> </w:t>
                  </w:r>
                  <w:r>
                    <w:rPr>
                      <w:rFonts w:cs="Georgia"/>
                      <w:color w:val="000000"/>
                    </w:rPr>
                    <w:t>d</w:t>
                  </w:r>
                  <w:r>
                    <w:rPr>
                      <w:rFonts w:cs="Georgia"/>
                      <w:color w:val="000000"/>
                      <w:spacing w:val="-2"/>
                    </w:rPr>
                    <w:t>'</w:t>
                  </w:r>
                  <w:r>
                    <w:rPr>
                      <w:rFonts w:cs="Georgia"/>
                      <w:color w:val="000000"/>
                      <w:spacing w:val="-1"/>
                    </w:rPr>
                    <w:t>o</w:t>
                  </w:r>
                  <w:r>
                    <w:rPr>
                      <w:rFonts w:cs="Georgia"/>
                      <w:color w:val="000000"/>
                      <w:spacing w:val="1"/>
                    </w:rPr>
                    <w:t>bt</w:t>
                  </w:r>
                  <w:r>
                    <w:rPr>
                      <w:rFonts w:cs="Georgia"/>
                      <w:color w:val="000000"/>
                      <w:spacing w:val="-1"/>
                    </w:rPr>
                    <w:t>en</w:t>
                  </w:r>
                  <w:r>
                    <w:rPr>
                      <w:rFonts w:cs="Georgia"/>
                      <w:color w:val="000000"/>
                    </w:rPr>
                    <w:t>ir</w:t>
                  </w:r>
                  <w:r>
                    <w:rPr>
                      <w:rFonts w:cs="Georgia"/>
                      <w:color w:val="000000"/>
                      <w:spacing w:val="36"/>
                    </w:rPr>
                    <w:t xml:space="preserve"> </w:t>
                  </w:r>
                  <w:r>
                    <w:rPr>
                      <w:rFonts w:cs="Georgia"/>
                      <w:color w:val="000000"/>
                      <w:spacing w:val="-1"/>
                    </w:rPr>
                    <w:t>l</w:t>
                  </w:r>
                  <w:r>
                    <w:rPr>
                      <w:rFonts w:cs="Georgia"/>
                      <w:color w:val="000000"/>
                      <w:spacing w:val="1"/>
                    </w:rPr>
                    <w:t>'</w:t>
                  </w:r>
                  <w:r>
                    <w:rPr>
                      <w:rFonts w:cs="Georgia"/>
                      <w:color w:val="000000"/>
                      <w:spacing w:val="-3"/>
                    </w:rPr>
                    <w:t>a</w:t>
                  </w:r>
                  <w:r>
                    <w:rPr>
                      <w:rFonts w:cs="Georgia"/>
                      <w:color w:val="000000"/>
                      <w:spacing w:val="1"/>
                    </w:rPr>
                    <w:t>c</w:t>
                  </w:r>
                  <w:r>
                    <w:rPr>
                      <w:rFonts w:cs="Georgia"/>
                      <w:color w:val="000000"/>
                      <w:spacing w:val="-2"/>
                    </w:rPr>
                    <w:t>c</w:t>
                  </w:r>
                  <w:r>
                    <w:rPr>
                      <w:rFonts w:cs="Georgia"/>
                      <w:color w:val="000000"/>
                      <w:spacing w:val="1"/>
                    </w:rPr>
                    <w:t>or</w:t>
                  </w:r>
                  <w:r>
                    <w:rPr>
                      <w:rFonts w:cs="Georgia"/>
                      <w:color w:val="000000"/>
                    </w:rPr>
                    <w:t>d</w:t>
                  </w:r>
                  <w:r>
                    <w:rPr>
                      <w:rFonts w:cs="Georgia"/>
                      <w:color w:val="000000"/>
                      <w:spacing w:val="34"/>
                    </w:rPr>
                    <w:t xml:space="preserve"> </w:t>
                  </w:r>
                  <w:r>
                    <w:rPr>
                      <w:rFonts w:cs="Georgia"/>
                      <w:color w:val="000000"/>
                    </w:rPr>
                    <w:t>du</w:t>
                  </w:r>
                  <w:r>
                    <w:rPr>
                      <w:rFonts w:cs="Georgia"/>
                      <w:color w:val="000000"/>
                      <w:spacing w:val="34"/>
                    </w:rPr>
                    <w:t xml:space="preserve">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w:t>
                  </w:r>
                  <w:r>
                    <w:rPr>
                      <w:rFonts w:cs="Georgia"/>
                      <w:color w:val="000000"/>
                      <w:spacing w:val="-2"/>
                    </w:rPr>
                    <w:t>f</w:t>
                  </w:r>
                  <w:r>
                    <w:rPr>
                      <w:rFonts w:cs="Georgia"/>
                      <w:color w:val="000000"/>
                    </w:rPr>
                    <w:t>i</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34"/>
                    </w:rPr>
                    <w:t xml:space="preserve"> </w:t>
                  </w:r>
                  <w:r>
                    <w:rPr>
                      <w:rFonts w:cs="Georgia"/>
                      <w:color w:val="000000"/>
                      <w:spacing w:val="1"/>
                    </w:rPr>
                    <w:t>s</w:t>
                  </w:r>
                  <w:r>
                    <w:rPr>
                      <w:rFonts w:cs="Georgia"/>
                      <w:color w:val="000000"/>
                      <w:spacing w:val="-2"/>
                    </w:rPr>
                    <w:t>u</w:t>
                  </w:r>
                  <w:r>
                    <w:rPr>
                      <w:rFonts w:cs="Georgia"/>
                      <w:color w:val="000000"/>
                    </w:rPr>
                    <w:t xml:space="preserve">r </w:t>
                  </w:r>
                  <w:r>
                    <w:rPr>
                      <w:rFonts w:cs="Georgia"/>
                      <w:color w:val="000000"/>
                      <w:spacing w:val="1"/>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1"/>
                    </w:rPr>
                    <w:t xml:space="preserve"> 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p>
                <w:p w:rsidR="00F04EEF" w:rsidRDefault="00F04EEF">
                  <w:pPr>
                    <w:widowControl w:val="0"/>
                    <w:autoSpaceDE w:val="0"/>
                    <w:autoSpaceDN w:val="0"/>
                    <w:adjustRightInd w:val="0"/>
                    <w:spacing w:line="250" w:lineRule="exact"/>
                    <w:jc w:val="both"/>
                    <w:rPr>
                      <w:rFonts w:cs="Georgia"/>
                      <w:color w:val="000000"/>
                      <w:spacing w:val="-1"/>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F04EEF" w:rsidRDefault="00F04EEF">
                  <w:pPr>
                    <w:widowControl w:val="0"/>
                    <w:autoSpaceDE w:val="0"/>
                    <w:autoSpaceDN w:val="0"/>
                    <w:adjustRightInd w:val="0"/>
                    <w:spacing w:before="7" w:line="240" w:lineRule="exact"/>
                    <w:jc w:val="both"/>
                    <w:rPr>
                      <w:rFonts w:cs="Georgia"/>
                      <w:color w:val="000000"/>
                    </w:rPr>
                  </w:pPr>
                </w:p>
                <w:p w:rsidR="00F04EEF" w:rsidRDefault="0099351E">
                  <w:pPr>
                    <w:pStyle w:val="Titre4"/>
                  </w:pPr>
                  <w:bookmarkStart w:id="1936" w:name="_Toc453314318"/>
                  <w:bookmarkStart w:id="1937" w:name="_Toc454980353"/>
                  <w:r>
                    <w:t>1.6. Utilisation du capital-périodes</w:t>
                  </w:r>
                  <w:bookmarkEnd w:id="1936"/>
                  <w:bookmarkEnd w:id="1937"/>
                </w:p>
                <w:p w:rsidR="00F04EEF" w:rsidRDefault="00F04EEF">
                  <w:pPr>
                    <w:widowControl w:val="0"/>
                    <w:autoSpaceDE w:val="0"/>
                    <w:autoSpaceDN w:val="0"/>
                    <w:adjustRightInd w:val="0"/>
                    <w:spacing w:before="10" w:line="240" w:lineRule="exact"/>
                    <w:jc w:val="both"/>
                    <w:rPr>
                      <w:rFonts w:cs="Georgia"/>
                      <w:color w:val="000000"/>
                    </w:rPr>
                  </w:pPr>
                </w:p>
                <w:p w:rsidR="00F04EEF" w:rsidRDefault="0099351E">
                  <w:pPr>
                    <w:widowControl w:val="0"/>
                    <w:autoSpaceDE w:val="0"/>
                    <w:autoSpaceDN w:val="0"/>
                    <w:adjustRightInd w:val="0"/>
                    <w:spacing w:line="241" w:lineRule="auto"/>
                    <w:jc w:val="both"/>
                    <w:rPr>
                      <w:rFonts w:cs="Georgia"/>
                      <w:color w:val="000000"/>
                    </w:rPr>
                  </w:pPr>
                  <w:r>
                    <w:rPr>
                      <w:rFonts w:cs="Georgia"/>
                      <w:color w:val="000000"/>
                    </w:rPr>
                    <w:t>Il</w:t>
                  </w:r>
                  <w:r>
                    <w:rPr>
                      <w:rFonts w:cs="Georgia"/>
                      <w:color w:val="000000"/>
                      <w:spacing w:val="25"/>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24"/>
                    </w:rPr>
                    <w:t xml:space="preserve"> </w:t>
                  </w:r>
                  <w:r>
                    <w:rPr>
                      <w:rFonts w:cs="Georgia"/>
                      <w:color w:val="000000"/>
                      <w:spacing w:val="1"/>
                    </w:rPr>
                    <w:t>r</w:t>
                  </w:r>
                  <w:r>
                    <w:rPr>
                      <w:rFonts w:cs="Georgia"/>
                      <w:color w:val="000000"/>
                      <w:spacing w:val="-1"/>
                    </w:rPr>
                    <w:t>ap</w:t>
                  </w:r>
                  <w:r>
                    <w:rPr>
                      <w:rFonts w:cs="Georgia"/>
                      <w:color w:val="000000"/>
                      <w:spacing w:val="1"/>
                    </w:rPr>
                    <w:t>p</w:t>
                  </w:r>
                  <w:r>
                    <w:rPr>
                      <w:rFonts w:cs="Georgia"/>
                      <w:color w:val="000000"/>
                      <w:spacing w:val="-1"/>
                    </w:rPr>
                    <w:t>el</w:t>
                  </w:r>
                  <w:r>
                    <w:rPr>
                      <w:rFonts w:cs="Georgia"/>
                      <w:color w:val="000000"/>
                    </w:rPr>
                    <w:t>é</w:t>
                  </w:r>
                  <w:r>
                    <w:rPr>
                      <w:rFonts w:cs="Georgia"/>
                      <w:color w:val="000000"/>
                      <w:spacing w:val="25"/>
                    </w:rPr>
                    <w:t xml:space="preserve"> </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24"/>
                    </w:rPr>
                    <w:t xml:space="preserve"> </w:t>
                  </w:r>
                  <w:r>
                    <w:rPr>
                      <w:rFonts w:cs="Georgia"/>
                      <w:color w:val="000000"/>
                      <w:spacing w:val="1"/>
                    </w:rPr>
                    <w:t>p</w:t>
                  </w:r>
                  <w:r>
                    <w:rPr>
                      <w:rFonts w:cs="Georgia"/>
                      <w:color w:val="000000"/>
                      <w:spacing w:val="-1"/>
                    </w:rPr>
                    <w:t>o</w:t>
                  </w:r>
                  <w:r>
                    <w:rPr>
                      <w:rFonts w:cs="Georgia"/>
                      <w:color w:val="000000"/>
                    </w:rPr>
                    <w:t>ur</w:t>
                  </w:r>
                  <w:r>
                    <w:rPr>
                      <w:rFonts w:cs="Georgia"/>
                      <w:color w:val="000000"/>
                      <w:spacing w:val="24"/>
                    </w:rPr>
                    <w:t xml:space="preserve"> </w:t>
                  </w:r>
                  <w:r>
                    <w:rPr>
                      <w:rFonts w:cs="Georgia"/>
                      <w:color w:val="000000"/>
                      <w:spacing w:val="-1"/>
                    </w:rPr>
                    <w:t>l</w:t>
                  </w:r>
                  <w:r>
                    <w:rPr>
                      <w:rFonts w:cs="Georgia"/>
                      <w:color w:val="000000"/>
                    </w:rPr>
                    <w:t>a</w:t>
                  </w:r>
                  <w:r>
                    <w:rPr>
                      <w:rFonts w:cs="Georgia"/>
                      <w:color w:val="000000"/>
                      <w:spacing w:val="25"/>
                    </w:rPr>
                    <w:t xml:space="preserve"> </w:t>
                  </w:r>
                  <w:r>
                    <w:rPr>
                      <w:rFonts w:cs="Georgia"/>
                      <w:color w:val="000000"/>
                      <w:spacing w:val="1"/>
                    </w:rPr>
                    <w:t>r</w:t>
                  </w:r>
                  <w:r>
                    <w:rPr>
                      <w:rFonts w:cs="Georgia"/>
                      <w:color w:val="000000"/>
                      <w:spacing w:val="-1"/>
                    </w:rPr>
                    <w:t>é</w:t>
                  </w:r>
                  <w:r>
                    <w:rPr>
                      <w:rFonts w:cs="Georgia"/>
                      <w:color w:val="000000"/>
                      <w:spacing w:val="1"/>
                    </w:rPr>
                    <w:t>p</w:t>
                  </w:r>
                  <w:r>
                    <w:rPr>
                      <w:rFonts w:cs="Georgia"/>
                      <w:color w:val="000000"/>
                      <w:spacing w:val="-1"/>
                    </w:rPr>
                    <w:t>a</w:t>
                  </w:r>
                  <w:r>
                    <w:rPr>
                      <w:rFonts w:cs="Georgia"/>
                      <w:color w:val="000000"/>
                      <w:spacing w:val="1"/>
                    </w:rPr>
                    <w:t>r</w:t>
                  </w:r>
                  <w:r>
                    <w:rPr>
                      <w:rFonts w:cs="Georgia"/>
                      <w:color w:val="000000"/>
                      <w:spacing w:val="-2"/>
                    </w:rPr>
                    <w:t>t</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5"/>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4"/>
                    </w:rPr>
                    <w:t xml:space="preserve">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spacing w:val="-2"/>
                    </w:rPr>
                    <w:t>s</w:t>
                  </w:r>
                  <w:r>
                    <w:rPr>
                      <w:rFonts w:cs="Georgia"/>
                      <w:color w:val="000000"/>
                    </w:rPr>
                    <w:t>,</w:t>
                  </w:r>
                  <w:r>
                    <w:rPr>
                      <w:rFonts w:cs="Georgia"/>
                      <w:color w:val="000000"/>
                      <w:spacing w:val="27"/>
                    </w:rPr>
                    <w:t xml:space="preserve"> </w:t>
                  </w:r>
                  <w:r>
                    <w:rPr>
                      <w:rFonts w:cs="Georgia"/>
                      <w:color w:val="000000"/>
                      <w:spacing w:val="-1"/>
                    </w:rPr>
                    <w:t>l</w:t>
                  </w:r>
                  <w:r>
                    <w:rPr>
                      <w:rFonts w:cs="Georgia"/>
                      <w:color w:val="000000"/>
                    </w:rPr>
                    <w:t>a</w:t>
                  </w:r>
                  <w:r>
                    <w:rPr>
                      <w:rFonts w:cs="Georgia"/>
                      <w:color w:val="000000"/>
                      <w:spacing w:val="23"/>
                    </w:rPr>
                    <w:t xml:space="preserve"> </w:t>
                  </w:r>
                  <w:r>
                    <w:rPr>
                      <w:rFonts w:cs="Georgia"/>
                      <w:color w:val="000000"/>
                      <w:spacing w:val="1"/>
                    </w:rPr>
                    <w:t>co</w:t>
                  </w:r>
                  <w:r>
                    <w:rPr>
                      <w:rFonts w:cs="Georgia"/>
                      <w:color w:val="000000"/>
                      <w:spacing w:val="-1"/>
                    </w:rPr>
                    <w:t>n</w:t>
                  </w:r>
                  <w:r>
                    <w:rPr>
                      <w:rFonts w:cs="Georgia"/>
                      <w:color w:val="000000"/>
                      <w:spacing w:val="-2"/>
                    </w:rPr>
                    <w:t>s</w:t>
                  </w:r>
                  <w:r>
                    <w:rPr>
                      <w:rFonts w:cs="Georgia"/>
                      <w:color w:val="000000"/>
                    </w:rPr>
                    <w:t>u</w:t>
                  </w:r>
                  <w:r>
                    <w:rPr>
                      <w:rFonts w:cs="Georgia"/>
                      <w:color w:val="000000"/>
                      <w:spacing w:val="-1"/>
                    </w:rPr>
                    <w:t>l</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3"/>
                    </w:rPr>
                    <w:t xml:space="preserve"> </w:t>
                  </w:r>
                  <w:r>
                    <w:rPr>
                      <w:rFonts w:cs="Georgia"/>
                      <w:color w:val="000000"/>
                      <w:spacing w:val="1"/>
                    </w:rPr>
                    <w:t>p</w:t>
                  </w:r>
                  <w:r>
                    <w:rPr>
                      <w:rFonts w:cs="Georgia"/>
                      <w:color w:val="000000"/>
                      <w:spacing w:val="-2"/>
                    </w:rPr>
                    <w:t>r</w:t>
                  </w:r>
                  <w:r>
                    <w:rPr>
                      <w:rFonts w:cs="Georgia"/>
                      <w:color w:val="000000"/>
                      <w:spacing w:val="-1"/>
                    </w:rPr>
                    <w:t>éala</w:t>
                  </w:r>
                  <w:r>
                    <w:rPr>
                      <w:rFonts w:cs="Georgia"/>
                      <w:color w:val="000000"/>
                      <w:spacing w:val="1"/>
                    </w:rPr>
                    <w:t>b</w:t>
                  </w:r>
                  <w:r>
                    <w:rPr>
                      <w:rFonts w:cs="Georgia"/>
                      <w:color w:val="000000"/>
                      <w:spacing w:val="-1"/>
                    </w:rPr>
                    <w:t>le</w:t>
                  </w:r>
                  <w:r>
                    <w:rPr>
                      <w:rFonts w:cs="Georgia"/>
                      <w:color w:val="000000"/>
                    </w:rPr>
                    <w:t>,</w:t>
                  </w:r>
                  <w:r>
                    <w:rPr>
                      <w:rFonts w:cs="Georgia"/>
                      <w:color w:val="000000"/>
                      <w:spacing w:val="27"/>
                    </w:rPr>
                    <w:t xml:space="preserve"> </w:t>
                  </w:r>
                  <w:r>
                    <w:rPr>
                      <w:rFonts w:cs="Georgia"/>
                      <w:color w:val="000000"/>
                      <w:spacing w:val="1"/>
                    </w:rPr>
                    <w:t>v</w:t>
                  </w:r>
                  <w:r>
                    <w:rPr>
                      <w:rFonts w:cs="Georgia"/>
                      <w:color w:val="000000"/>
                    </w:rPr>
                    <w:t>ia</w:t>
                  </w:r>
                  <w:r>
                    <w:rPr>
                      <w:rFonts w:cs="Georgia"/>
                      <w:color w:val="000000"/>
                      <w:spacing w:val="25"/>
                    </w:rPr>
                    <w:t xml:space="preserve"> </w:t>
                  </w:r>
                  <w:r>
                    <w:rPr>
                      <w:rFonts w:cs="Georgia"/>
                      <w:color w:val="000000"/>
                      <w:spacing w:val="-1"/>
                    </w:rPr>
                    <w:t>le</w:t>
                  </w:r>
                  <w:r>
                    <w:rPr>
                      <w:rFonts w:cs="Georgia"/>
                      <w:color w:val="000000"/>
                    </w:rPr>
                    <w:t>s</w:t>
                  </w:r>
                  <w:r>
                    <w:rPr>
                      <w:rFonts w:cs="Georgia"/>
                      <w:color w:val="000000"/>
                      <w:spacing w:val="24"/>
                    </w:rPr>
                    <w:t xml:space="preserve">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ane</w:t>
                  </w:r>
                  <w:r>
                    <w:rPr>
                      <w:rFonts w:cs="Georgia"/>
                      <w:color w:val="000000"/>
                    </w:rPr>
                    <w:t xml:space="preserve">s </w:t>
                  </w:r>
                  <w:r>
                    <w:rPr>
                      <w:rFonts w:cs="Georgia"/>
                      <w:color w:val="000000"/>
                      <w:spacing w:val="-1"/>
                    </w:rPr>
                    <w:t>lé</w:t>
                  </w:r>
                  <w:r>
                    <w:rPr>
                      <w:rFonts w:cs="Georgia"/>
                      <w:color w:val="000000"/>
                    </w:rPr>
                    <w:t>g</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 xml:space="preserve">, </w:t>
                  </w:r>
                  <w:r>
                    <w:rPr>
                      <w:rFonts w:cs="Georgia"/>
                      <w:color w:val="000000"/>
                      <w:spacing w:val="-3"/>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eq</w:t>
                  </w:r>
                  <w:r>
                    <w:rPr>
                      <w:rFonts w:cs="Georgia"/>
                      <w:color w:val="000000"/>
                    </w:rPr>
                    <w:t>ui</w:t>
                  </w:r>
                  <w:r>
                    <w:rPr>
                      <w:rFonts w:cs="Georgia"/>
                      <w:color w:val="000000"/>
                      <w:spacing w:val="1"/>
                    </w:rPr>
                    <w:t>s</w:t>
                  </w:r>
                  <w:r>
                    <w:rPr>
                      <w:rFonts w:cs="Georgia"/>
                      <w:color w:val="000000"/>
                      <w:spacing w:val="-1"/>
                    </w:rPr>
                    <w:t>e.</w:t>
                  </w:r>
                </w:p>
                <w:p w:rsidR="00F04EEF" w:rsidRDefault="00F04EEF">
                  <w:pPr>
                    <w:widowControl w:val="0"/>
                    <w:autoSpaceDE w:val="0"/>
                    <w:autoSpaceDN w:val="0"/>
                    <w:adjustRightInd w:val="0"/>
                    <w:spacing w:before="7" w:line="240" w:lineRule="exact"/>
                    <w:jc w:val="both"/>
                    <w:rPr>
                      <w:rFonts w:cs="Georgia"/>
                      <w:color w:val="000000"/>
                    </w:rPr>
                  </w:pPr>
                </w:p>
                <w:p w:rsidR="00F04EEF" w:rsidRDefault="0099351E">
                  <w:pPr>
                    <w:widowControl w:val="0"/>
                    <w:autoSpaceDE w:val="0"/>
                    <w:autoSpaceDN w:val="0"/>
                    <w:adjustRightInd w:val="0"/>
                    <w:jc w:val="both"/>
                    <w:rPr>
                      <w:rFonts w:cs="Georgia"/>
                      <w:color w:val="000000"/>
                    </w:rPr>
                  </w:pPr>
                  <w:r>
                    <w:rPr>
                      <w:rFonts w:cs="Georgia"/>
                      <w:color w:val="000000"/>
                    </w:rPr>
                    <w:t>D</w:t>
                  </w:r>
                  <w:r>
                    <w:rPr>
                      <w:rFonts w:cs="Georgia"/>
                      <w:color w:val="000000"/>
                      <w:spacing w:val="-1"/>
                    </w:rPr>
                    <w:t>an</w:t>
                  </w:r>
                  <w:r>
                    <w:rPr>
                      <w:rFonts w:cs="Georgia"/>
                      <w:color w:val="000000"/>
                    </w:rPr>
                    <w:t>s</w:t>
                  </w:r>
                  <w:r>
                    <w:rPr>
                      <w:rFonts w:cs="Georgia"/>
                      <w:color w:val="000000"/>
                      <w:spacing w:val="2"/>
                    </w:rPr>
                    <w:t xml:space="preserve"> </w:t>
                  </w:r>
                  <w:r>
                    <w:rPr>
                      <w:rFonts w:cs="Georgia"/>
                      <w:color w:val="000000"/>
                      <w:spacing w:val="1"/>
                    </w:rPr>
                    <w:t>ch</w:t>
                  </w:r>
                  <w:r>
                    <w:rPr>
                      <w:rFonts w:cs="Georgia"/>
                      <w:color w:val="000000"/>
                      <w:spacing w:val="-1"/>
                    </w:rPr>
                    <w:t>aq</w:t>
                  </w:r>
                  <w:r>
                    <w:rPr>
                      <w:rFonts w:cs="Georgia"/>
                      <w:color w:val="000000"/>
                    </w:rPr>
                    <w:t xml:space="preserve">ue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spacing w:val="-3"/>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spacing w:val="1"/>
                    </w:rPr>
                    <w:t>is</w:t>
                  </w:r>
                  <w:r>
                    <w:rPr>
                      <w:rFonts w:cs="Georgia"/>
                      <w:color w:val="000000"/>
                    </w:rPr>
                    <w:t xml:space="preserve">é </w:t>
                  </w:r>
                  <w:r>
                    <w:rPr>
                      <w:rFonts w:cs="Georgia"/>
                      <w:color w:val="000000"/>
                      <w:spacing w:val="1"/>
                    </w:rPr>
                    <w:t>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imi</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du</w:t>
                  </w:r>
                  <w:r>
                    <w:rPr>
                      <w:rFonts w:cs="Georgia"/>
                      <w:color w:val="000000"/>
                      <w:spacing w:val="2"/>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u</w:t>
                  </w:r>
                  <w:r>
                    <w:rPr>
                      <w:rFonts w:cs="Georgia"/>
                      <w:color w:val="000000"/>
                      <w:spacing w:val="-2"/>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ap</w:t>
                  </w:r>
                  <w:r>
                    <w:rPr>
                      <w:rFonts w:cs="Georgia"/>
                      <w:color w:val="000000"/>
                      <w:spacing w:val="-2"/>
                    </w:rPr>
                    <w:t>r</w:t>
                  </w:r>
                  <w:r>
                    <w:rPr>
                      <w:rFonts w:cs="Georgia"/>
                      <w:color w:val="000000"/>
                      <w:spacing w:val="-1"/>
                    </w:rPr>
                    <w:t>è</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vo</w:t>
                  </w:r>
                  <w:r>
                    <w:rPr>
                      <w:rFonts w:cs="Georgia"/>
                      <w:color w:val="000000"/>
                    </w:rPr>
                    <w:t xml:space="preserve">ir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t</w:t>
                  </w:r>
                  <w:r>
                    <w:rPr>
                      <w:rFonts w:cs="Georgia"/>
                      <w:color w:val="000000"/>
                      <w:spacing w:val="-1"/>
                    </w:rPr>
                    <w:t>o</w:t>
                  </w:r>
                  <w:r>
                    <w:rPr>
                      <w:rFonts w:cs="Georgia"/>
                      <w:color w:val="000000"/>
                    </w:rPr>
                    <w:t>us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c</w:t>
                  </w:r>
                  <w:r>
                    <w:rPr>
                      <w:rFonts w:cs="Georgia"/>
                      <w:color w:val="000000"/>
                      <w:spacing w:val="-1"/>
                    </w:rPr>
                    <w:t>o</w:t>
                  </w:r>
                  <w:r>
                    <w:rPr>
                      <w:rFonts w:cs="Georgia"/>
                      <w:color w:val="000000"/>
                    </w:rPr>
                    <w:t>u</w:t>
                  </w:r>
                  <w:r>
                    <w:rPr>
                      <w:rFonts w:cs="Georgia"/>
                      <w:color w:val="000000"/>
                      <w:spacing w:val="1"/>
                    </w:rPr>
                    <w:t>r</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2"/>
                    </w:rPr>
                    <w:t>v</w:t>
                  </w:r>
                  <w:r>
                    <w:rPr>
                      <w:rFonts w:cs="Georgia"/>
                      <w:color w:val="000000"/>
                    </w:rPr>
                    <w:t>us</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g</w:t>
                  </w:r>
                  <w:r>
                    <w:rPr>
                      <w:rFonts w:cs="Georgia"/>
                      <w:color w:val="000000"/>
                      <w:spacing w:val="-2"/>
                    </w:rPr>
                    <w:t>r</w:t>
                  </w:r>
                  <w:r>
                    <w:rPr>
                      <w:rFonts w:cs="Georgia"/>
                      <w:color w:val="000000"/>
                    </w:rPr>
                    <w:t>i</w:t>
                  </w:r>
                  <w:r>
                    <w:rPr>
                      <w:rFonts w:cs="Georgia"/>
                      <w:color w:val="000000"/>
                      <w:spacing w:val="-1"/>
                    </w:rPr>
                    <w:t>lle</w:t>
                  </w:r>
                  <w:r>
                    <w:rPr>
                      <w:rFonts w:cs="Georgia"/>
                      <w:color w:val="000000"/>
                      <w:spacing w:val="1"/>
                    </w:rPr>
                    <w:t>s</w:t>
                  </w:r>
                  <w:r>
                    <w:rPr>
                      <w:rFonts w:cs="Georgia"/>
                      <w:color w:val="000000"/>
                      <w:spacing w:val="-1"/>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spacing w:val="3"/>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r>
                    <w:rPr>
                      <w:rFonts w:cs="Georgia"/>
                      <w:color w:val="000000"/>
                    </w:rPr>
                    <w:t>:</w:t>
                  </w:r>
                </w:p>
                <w:p w:rsidR="00F04EEF" w:rsidRDefault="00F04EEF">
                  <w:pPr>
                    <w:widowControl w:val="0"/>
                    <w:autoSpaceDE w:val="0"/>
                    <w:autoSpaceDN w:val="0"/>
                    <w:adjustRightInd w:val="0"/>
                    <w:jc w:val="both"/>
                    <w:rPr>
                      <w:rFonts w:cs="Georgia"/>
                      <w:color w:val="000000"/>
                    </w:rPr>
                  </w:pPr>
                </w:p>
                <w:p w:rsidR="00F04EEF" w:rsidRDefault="0099351E">
                  <w:pPr>
                    <w:widowControl w:val="0"/>
                    <w:numPr>
                      <w:ilvl w:val="0"/>
                      <w:numId w:val="59"/>
                    </w:numPr>
                    <w:autoSpaceDE w:val="0"/>
                    <w:autoSpaceDN w:val="0"/>
                    <w:adjustRightInd w:val="0"/>
                    <w:ind w:left="927" w:right="45"/>
                    <w:jc w:val="both"/>
                    <w:rPr>
                      <w:rFonts w:cs="Georgia"/>
                      <w:color w:val="000000"/>
                      <w:spacing w:val="1"/>
                    </w:rPr>
                  </w:pPr>
                  <w:r>
                    <w:rPr>
                      <w:rFonts w:cs="Georgia"/>
                      <w:color w:val="000000"/>
                      <w:spacing w:val="-1"/>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n d</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j</w:t>
                  </w:r>
                  <w:r>
                    <w:rPr>
                      <w:rFonts w:cs="Georgia"/>
                      <w:color w:val="000000"/>
                      <w:spacing w:val="-1"/>
                    </w:rPr>
                    <w:t>e</w:t>
                  </w:r>
                  <w:r>
                    <w:rPr>
                      <w:rFonts w:cs="Georgia"/>
                      <w:color w:val="000000"/>
                      <w:spacing w:val="1"/>
                    </w:rPr>
                    <w:t>t</w:t>
                  </w:r>
                  <w:r>
                    <w:rPr>
                      <w:rFonts w:cs="Georgia"/>
                      <w:color w:val="000000"/>
                    </w:rPr>
                    <w:t>s</w:t>
                  </w:r>
                  <w:r>
                    <w:rPr>
                      <w:rFonts w:cs="Georgia"/>
                      <w:color w:val="000000"/>
                      <w:spacing w:val="2"/>
                    </w:rPr>
                    <w:t xml:space="preserve"> </w:t>
                  </w:r>
                  <w:r>
                    <w:rPr>
                      <w:rFonts w:cs="Georgia"/>
                      <w:color w:val="000000"/>
                    </w:rPr>
                    <w:t>d’i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 ;</w:t>
                  </w:r>
                  <w:r>
                    <w:rPr>
                      <w:rFonts w:cs="Georgia"/>
                      <w:color w:val="000000"/>
                      <w:spacing w:val="1"/>
                    </w:rPr>
                    <w:t xml:space="preserve"> </w:t>
                  </w:r>
                </w:p>
                <w:p w:rsidR="00F04EEF" w:rsidRDefault="0099351E">
                  <w:pPr>
                    <w:widowControl w:val="0"/>
                    <w:numPr>
                      <w:ilvl w:val="0"/>
                      <w:numId w:val="59"/>
                    </w:numPr>
                    <w:autoSpaceDE w:val="0"/>
                    <w:autoSpaceDN w:val="0"/>
                    <w:adjustRightInd w:val="0"/>
                    <w:ind w:left="927" w:right="45"/>
                    <w:jc w:val="both"/>
                    <w:rPr>
                      <w:rFonts w:cs="Georgia"/>
                      <w:color w:val="000000"/>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rPr>
                    <w:t>u</w:t>
                  </w:r>
                  <w:r>
                    <w:rPr>
                      <w:rFonts w:cs="Georgia"/>
                      <w:color w:val="000000"/>
                      <w:spacing w:val="-1"/>
                    </w:rPr>
                    <w:t>e</w:t>
                  </w:r>
                  <w:r>
                    <w:rPr>
                      <w:rFonts w:cs="Georgia"/>
                      <w:color w:val="000000"/>
                    </w:rPr>
                    <w:t>i</w:t>
                  </w:r>
                  <w:r>
                    <w:rPr>
                      <w:rFonts w:cs="Georgia"/>
                      <w:color w:val="000000"/>
                      <w:spacing w:val="-1"/>
                    </w:rPr>
                    <w:t>l</w:t>
                  </w:r>
                  <w:r>
                    <w:rPr>
                      <w:rFonts w:cs="Georgia"/>
                      <w:color w:val="000000"/>
                    </w:rPr>
                    <w:t>,</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o</w:t>
                  </w:r>
                  <w:r>
                    <w:rPr>
                      <w:rFonts w:cs="Georgia"/>
                      <w:color w:val="000000"/>
                      <w:spacing w:val="-1"/>
                    </w:rPr>
                    <w:t>b</w:t>
                  </w:r>
                  <w:r>
                    <w:rPr>
                      <w:rFonts w:cs="Georgia"/>
                      <w:color w:val="000000"/>
                      <w:spacing w:val="1"/>
                    </w:rPr>
                    <w:t>s</w:t>
                  </w:r>
                  <w:r>
                    <w:rPr>
                      <w:rFonts w:cs="Georgia"/>
                      <w:color w:val="000000"/>
                      <w:spacing w:val="-1"/>
                    </w:rPr>
                    <w:t>e</w:t>
                  </w:r>
                  <w:r>
                    <w:rPr>
                      <w:rFonts w:cs="Georgia"/>
                      <w:color w:val="000000"/>
                      <w:spacing w:val="1"/>
                    </w:rPr>
                    <w:t>rv</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n</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4"/>
                    </w:rPr>
                    <w:t xml:space="preserve"> </w:t>
                  </w:r>
                  <w:r>
                    <w:rPr>
                      <w:rFonts w:cs="Georgia"/>
                      <w:color w:val="000000"/>
                      <w:spacing w:val="-1"/>
                    </w:rPr>
                    <w:t>l</w:t>
                  </w:r>
                  <w:r>
                    <w:rPr>
                      <w:rFonts w:cs="Georgia"/>
                      <w:color w:val="000000"/>
                    </w:rPr>
                    <w:t xml:space="preserve">a </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2"/>
                    </w:rPr>
                    <w:t xml:space="preserve"> </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3"/>
                    </w:rPr>
                    <w:t>e</w:t>
                  </w:r>
                  <w:r>
                    <w:rPr>
                      <w:rFonts w:cs="Georgia"/>
                      <w:color w:val="000000"/>
                    </w:rPr>
                    <w:t xml:space="preserve">s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ea</w:t>
                  </w:r>
                  <w:r>
                    <w:rPr>
                      <w:rFonts w:cs="Georgia"/>
                      <w:color w:val="000000"/>
                    </w:rPr>
                    <w:t xml:space="preserve">ux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p>
                <w:p w:rsidR="00F04EEF" w:rsidRDefault="0099351E">
                  <w:pPr>
                    <w:widowControl w:val="0"/>
                    <w:numPr>
                      <w:ilvl w:val="0"/>
                      <w:numId w:val="59"/>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a</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diffi</w:t>
                  </w:r>
                  <w:r>
                    <w:rPr>
                      <w:rFonts w:cs="Georgia"/>
                      <w:color w:val="000000"/>
                      <w:spacing w:val="1"/>
                    </w:rPr>
                    <w:t>c</w:t>
                  </w:r>
                  <w:r>
                    <w:rPr>
                      <w:rFonts w:cs="Georgia"/>
                      <w:color w:val="000000"/>
                    </w:rPr>
                    <w:t>u</w:t>
                  </w:r>
                  <w:r>
                    <w:rPr>
                      <w:rFonts w:cs="Georgia"/>
                      <w:color w:val="000000"/>
                      <w:spacing w:val="-1"/>
                    </w:rPr>
                    <w:t>l</w:t>
                  </w:r>
                  <w:r>
                    <w:rPr>
                      <w:rFonts w:cs="Georgia"/>
                      <w:color w:val="000000"/>
                      <w:spacing w:val="1"/>
                    </w:rPr>
                    <w:t>t</w:t>
                  </w:r>
                  <w:r>
                    <w:rPr>
                      <w:rFonts w:cs="Georgia"/>
                      <w:color w:val="000000"/>
                    </w:rPr>
                    <w:t xml:space="preserve">é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anée ;</w:t>
                  </w:r>
                </w:p>
                <w:p w:rsidR="00F04EEF" w:rsidRDefault="0099351E">
                  <w:pPr>
                    <w:widowControl w:val="0"/>
                    <w:numPr>
                      <w:ilvl w:val="0"/>
                      <w:numId w:val="59"/>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a</w:t>
                  </w:r>
                  <w:r>
                    <w:rPr>
                      <w:rFonts w:cs="Georgia"/>
                      <w:color w:val="000000"/>
                      <w:spacing w:val="1"/>
                    </w:rPr>
                    <w:t xml:space="preserve"> </w:t>
                  </w:r>
                  <w:r>
                    <w:rPr>
                      <w:rFonts w:cs="Georgia"/>
                      <w:color w:val="000000"/>
                    </w:rPr>
                    <w:t>m</w:t>
                  </w:r>
                  <w:r>
                    <w:rPr>
                      <w:rFonts w:cs="Georgia"/>
                      <w:color w:val="000000"/>
                      <w:spacing w:val="-1"/>
                    </w:rPr>
                    <w:t>é</w:t>
                  </w:r>
                  <w:r>
                    <w:rPr>
                      <w:rFonts w:cs="Georgia"/>
                      <w:color w:val="000000"/>
                    </w:rPr>
                    <w:t>di</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e</w:t>
                  </w:r>
                  <w:r>
                    <w:rPr>
                      <w:rFonts w:cs="Georgia"/>
                      <w:color w:val="000000"/>
                      <w:spacing w:val="1"/>
                    </w:rPr>
                    <w:t>t</w:t>
                  </w:r>
                  <w:r>
                    <w:rPr>
                      <w:rFonts w:cs="Georgia"/>
                      <w:color w:val="000000"/>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3"/>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é</w:t>
                  </w:r>
                  <w:r>
                    <w:rPr>
                      <w:rFonts w:cs="Georgia"/>
                      <w:color w:val="000000"/>
                    </w:rPr>
                    <w:t>d</w:t>
                  </w:r>
                  <w:r>
                    <w:rPr>
                      <w:rFonts w:cs="Georgia"/>
                      <w:color w:val="000000"/>
                      <w:spacing w:val="-3"/>
                    </w:rPr>
                    <w:t>a</w:t>
                  </w:r>
                  <w:r>
                    <w:rPr>
                      <w:rFonts w:cs="Georgia"/>
                      <w:color w:val="000000"/>
                    </w:rPr>
                    <w:t>g</w:t>
                  </w:r>
                  <w:r>
                    <w:rPr>
                      <w:rFonts w:cs="Georgia"/>
                      <w:color w:val="000000"/>
                      <w:spacing w:val="1"/>
                    </w:rPr>
                    <w:t>o</w:t>
                  </w:r>
                  <w:r>
                    <w:rPr>
                      <w:rFonts w:cs="Georgia"/>
                      <w:color w:val="000000"/>
                      <w:spacing w:val="-2"/>
                    </w:rPr>
                    <w:t>g</w:t>
                  </w:r>
                  <w:r>
                    <w:rPr>
                      <w:rFonts w:cs="Georgia"/>
                      <w:color w:val="000000"/>
                    </w:rPr>
                    <w:t>i</w:t>
                  </w:r>
                  <w:r>
                    <w:rPr>
                      <w:rFonts w:cs="Georgia"/>
                      <w:color w:val="000000"/>
                      <w:spacing w:val="-1"/>
                    </w:rPr>
                    <w:t>q</w:t>
                  </w:r>
                  <w:r>
                    <w:rPr>
                      <w:rFonts w:cs="Georgia"/>
                      <w:color w:val="000000"/>
                    </w:rPr>
                    <w:t xml:space="preserve">ue </w:t>
                  </w:r>
                  <w:r>
                    <w:rPr>
                      <w:rFonts w:cs="Georgia"/>
                      <w:color w:val="000000"/>
                      <w:spacing w:val="-1"/>
                    </w:rPr>
                    <w:t>e</w:t>
                  </w:r>
                  <w:r>
                    <w:rPr>
                      <w:rFonts w:cs="Georgia"/>
                      <w:color w:val="000000"/>
                    </w:rPr>
                    <w:t>t</w:t>
                  </w:r>
                  <w:r>
                    <w:rPr>
                      <w:rFonts w:cs="Georgia"/>
                      <w:color w:val="000000"/>
                      <w:spacing w:val="1"/>
                    </w:rPr>
                    <w:t xml:space="preserve"> </w:t>
                  </w:r>
                  <w:r>
                    <w:rPr>
                      <w:rFonts w:cs="Georgia"/>
                      <w:color w:val="000000"/>
                      <w:spacing w:val="-1"/>
                    </w:rPr>
                    <w:t>l</w:t>
                  </w:r>
                  <w:r>
                    <w:rPr>
                      <w:rFonts w:cs="Georgia"/>
                      <w:color w:val="000000"/>
                    </w:rPr>
                    <w:t>a mi</w:t>
                  </w:r>
                  <w:r>
                    <w:rPr>
                      <w:rFonts w:cs="Georgia"/>
                      <w:color w:val="000000"/>
                      <w:spacing w:val="1"/>
                    </w:rPr>
                    <w:t>s</w:t>
                  </w:r>
                  <w:r>
                    <w:rPr>
                      <w:rFonts w:cs="Georgia"/>
                      <w:color w:val="000000"/>
                    </w:rPr>
                    <w:t xml:space="preserve">e </w:t>
                  </w:r>
                  <w:r>
                    <w:rPr>
                      <w:rFonts w:cs="Georgia"/>
                      <w:color w:val="000000"/>
                      <w:spacing w:val="-1"/>
                    </w:rPr>
                    <w:t>e</w:t>
                  </w:r>
                  <w:r>
                    <w:rPr>
                      <w:rFonts w:cs="Georgia"/>
                      <w:color w:val="000000"/>
                    </w:rPr>
                    <w:t>n</w:t>
                  </w:r>
                  <w:r>
                    <w:rPr>
                      <w:rFonts w:cs="Georgia"/>
                      <w:color w:val="000000"/>
                      <w:spacing w:val="2"/>
                    </w:rPr>
                    <w:t xml:space="preserve"> </w:t>
                  </w:r>
                  <w:r>
                    <w:rPr>
                      <w:rFonts w:cs="Georgia"/>
                      <w:color w:val="000000"/>
                    </w:rPr>
                    <w:t>œu</w:t>
                  </w:r>
                  <w:r>
                    <w:rPr>
                      <w:rFonts w:cs="Georgia"/>
                      <w:color w:val="000000"/>
                      <w:spacing w:val="1"/>
                    </w:rPr>
                    <w:t>vr</w:t>
                  </w:r>
                  <w:r>
                    <w:rPr>
                      <w:rFonts w:cs="Georgia"/>
                      <w:color w:val="000000"/>
                    </w:rPr>
                    <w:t>e du</w:t>
                  </w:r>
                  <w:r>
                    <w:rPr>
                      <w:rFonts w:cs="Georgia"/>
                      <w:color w:val="000000"/>
                      <w:spacing w:val="1"/>
                    </w:rPr>
                    <w:t xml:space="preserve"> p</w:t>
                  </w:r>
                  <w:r>
                    <w:rPr>
                      <w:rFonts w:cs="Georgia"/>
                      <w:color w:val="000000"/>
                      <w:spacing w:val="-1"/>
                    </w:rPr>
                    <w:t>la</w:t>
                  </w:r>
                  <w:r>
                    <w:rPr>
                      <w:rFonts w:cs="Georgia"/>
                      <w:color w:val="000000"/>
                    </w:rPr>
                    <w:t>n i</w:t>
                  </w:r>
                  <w:r>
                    <w:rPr>
                      <w:rFonts w:cs="Georgia"/>
                      <w:color w:val="000000"/>
                      <w:spacing w:val="-1"/>
                    </w:rPr>
                    <w:t>n</w:t>
                  </w:r>
                  <w:r>
                    <w:rPr>
                      <w:rFonts w:cs="Georgia"/>
                      <w:color w:val="000000"/>
                    </w:rPr>
                    <w:t>di</w:t>
                  </w:r>
                  <w:r>
                    <w:rPr>
                      <w:rFonts w:cs="Georgia"/>
                      <w:color w:val="000000"/>
                      <w:spacing w:val="1"/>
                    </w:rPr>
                    <w:t>v</w:t>
                  </w:r>
                  <w:r>
                    <w:rPr>
                      <w:rFonts w:cs="Georgia"/>
                      <w:color w:val="000000"/>
                      <w:spacing w:val="-2"/>
                    </w:rPr>
                    <w:t>i</w:t>
                  </w:r>
                  <w:r>
                    <w:rPr>
                      <w:rFonts w:cs="Georgia"/>
                      <w:color w:val="000000"/>
                    </w:rPr>
                    <w:t>du</w:t>
                  </w:r>
                  <w:r>
                    <w:rPr>
                      <w:rFonts w:cs="Georgia"/>
                      <w:color w:val="000000"/>
                      <w:spacing w:val="-1"/>
                    </w:rPr>
                    <w:t>e</w:t>
                  </w:r>
                  <w:r>
                    <w:rPr>
                      <w:rFonts w:cs="Georgia"/>
                      <w:color w:val="000000"/>
                    </w:rPr>
                    <w:t xml:space="preserve">l de </w:t>
                  </w:r>
                  <w:r>
                    <w:rPr>
                      <w:rFonts w:cs="Georgia"/>
                      <w:color w:val="000000"/>
                      <w:spacing w:val="1"/>
                    </w:rPr>
                    <w:t>t</w:t>
                  </w:r>
                  <w:r>
                    <w:rPr>
                      <w:rFonts w:cs="Georgia"/>
                      <w:color w:val="000000"/>
                      <w:spacing w:val="-2"/>
                    </w:rPr>
                    <w:t>r</w:t>
                  </w:r>
                  <w:r>
                    <w:rPr>
                      <w:rFonts w:cs="Georgia"/>
                      <w:color w:val="000000"/>
                      <w:spacing w:val="-1"/>
                    </w:rPr>
                    <w:t>an</w:t>
                  </w:r>
                  <w:r>
                    <w:rPr>
                      <w:rFonts w:cs="Georgia"/>
                      <w:color w:val="000000"/>
                      <w:spacing w:val="1"/>
                    </w:rPr>
                    <w:t>s</w:t>
                  </w:r>
                  <w:r>
                    <w:rPr>
                      <w:rFonts w:cs="Georgia"/>
                      <w:color w:val="000000"/>
                    </w:rPr>
                    <w:t>i</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 xml:space="preserve">e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 xml:space="preserve">u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1"/>
                    </w:rPr>
                    <w:t>n</w:t>
                  </w:r>
                  <w:r>
                    <w:rPr>
                      <w:rFonts w:cs="Georgia"/>
                      <w:color w:val="000000"/>
                    </w:rPr>
                    <w:t>d</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u</w:t>
                  </w:r>
                  <w:r>
                    <w:rPr>
                      <w:rFonts w:cs="Georgia"/>
                      <w:color w:val="000000"/>
                      <w:spacing w:val="-1"/>
                    </w:rPr>
                    <w:t>n</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w:t>
                  </w:r>
                </w:p>
                <w:p w:rsidR="00F04EEF" w:rsidRDefault="00F04EEF">
                  <w:pPr>
                    <w:widowControl w:val="0"/>
                    <w:autoSpaceDE w:val="0"/>
                    <w:autoSpaceDN w:val="0"/>
                    <w:adjustRightInd w:val="0"/>
                    <w:ind w:right="45"/>
                    <w:jc w:val="both"/>
                    <w:rPr>
                      <w:rFonts w:cs="Georgia"/>
                      <w:color w:val="000000"/>
                      <w:spacing w:val="2"/>
                    </w:rPr>
                  </w:pPr>
                </w:p>
                <w:p w:rsidR="00F04EEF" w:rsidRDefault="0099351E">
                  <w:pPr>
                    <w:widowControl w:val="0"/>
                    <w:autoSpaceDE w:val="0"/>
                    <w:autoSpaceDN w:val="0"/>
                    <w:adjustRightInd w:val="0"/>
                    <w:ind w:right="45"/>
                    <w:jc w:val="both"/>
                    <w:rPr>
                      <w:rFonts w:cs="Georgia"/>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t</w:t>
                  </w:r>
                  <w:r>
                    <w:rPr>
                      <w:rFonts w:cs="Georgia"/>
                      <w:color w:val="000000"/>
                      <w:spacing w:val="-1"/>
                    </w:rPr>
                    <w:t>â</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ée</w:t>
                  </w:r>
                  <w:r>
                    <w:rPr>
                      <w:rFonts w:cs="Georgia"/>
                      <w:color w:val="000000"/>
                    </w:rPr>
                    <w:t xml:space="preserve">s </w:t>
                  </w:r>
                  <w:r>
                    <w:rPr>
                      <w:rFonts w:cs="Georgia"/>
                      <w:color w:val="000000"/>
                      <w:spacing w:val="1"/>
                    </w:rPr>
                    <w:t>p</w:t>
                  </w:r>
                  <w:r>
                    <w:rPr>
                      <w:rFonts w:cs="Georgia"/>
                      <w:color w:val="000000"/>
                      <w:spacing w:val="-1"/>
                    </w:rPr>
                    <w:t>a</w:t>
                  </w:r>
                  <w:r>
                    <w:rPr>
                      <w:rFonts w:cs="Georgia"/>
                      <w:color w:val="000000"/>
                    </w:rPr>
                    <w:t>r un</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p</w:t>
                  </w:r>
                  <w:r>
                    <w:rPr>
                      <w:rFonts w:cs="Georgia"/>
                      <w:color w:val="000000"/>
                      <w:spacing w:val="-1"/>
                    </w:rPr>
                    <w:t>l</w:t>
                  </w:r>
                  <w:r>
                    <w:rPr>
                      <w:rFonts w:cs="Georgia"/>
                      <w:color w:val="000000"/>
                    </w:rPr>
                    <w:t>u</w:t>
                  </w:r>
                  <w:r>
                    <w:rPr>
                      <w:rFonts w:cs="Georgia"/>
                      <w:color w:val="000000"/>
                      <w:spacing w:val="1"/>
                    </w:rPr>
                    <w:t>s</w:t>
                  </w:r>
                  <w:r>
                    <w:rPr>
                      <w:rFonts w:cs="Georgia"/>
                      <w:color w:val="000000"/>
                    </w:rPr>
                    <w:t>i</w:t>
                  </w:r>
                  <w:r>
                    <w:rPr>
                      <w:rFonts w:cs="Georgia"/>
                      <w:color w:val="000000"/>
                      <w:spacing w:val="-1"/>
                    </w:rPr>
                    <w:t>e</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me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2"/>
                    </w:rPr>
                    <w:t>d</w:t>
                  </w:r>
                  <w:r>
                    <w:rPr>
                      <w:rFonts w:cs="Georgia"/>
                      <w:color w:val="000000"/>
                    </w:rPr>
                    <w:t xml:space="preserve">u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spacing w:val="1"/>
                    </w:rPr>
                    <w:t>r</w:t>
                  </w:r>
                  <w:r>
                    <w:rPr>
                      <w:rFonts w:cs="Georgia"/>
                      <w:spacing w:val="-1"/>
                    </w:rPr>
                    <w:t>e</w:t>
                  </w:r>
                  <w:r>
                    <w:rPr>
                      <w:rFonts w:cs="Georgia"/>
                      <w:spacing w:val="1"/>
                    </w:rPr>
                    <w:t>sp</w:t>
                  </w:r>
                  <w:r>
                    <w:rPr>
                      <w:rFonts w:cs="Georgia"/>
                      <w:spacing w:val="-1"/>
                    </w:rPr>
                    <w:t>e</w:t>
                  </w:r>
                  <w:r>
                    <w:rPr>
                      <w:rFonts w:cs="Georgia"/>
                      <w:spacing w:val="1"/>
                    </w:rPr>
                    <w:t>c</w:t>
                  </w:r>
                  <w:r>
                    <w:rPr>
                      <w:rFonts w:cs="Georgia"/>
                    </w:rPr>
                    <w:t>t d</w:t>
                  </w:r>
                  <w:r>
                    <w:rPr>
                      <w:rFonts w:cs="Georgia"/>
                      <w:spacing w:val="-1"/>
                    </w:rPr>
                    <w:t>e</w:t>
                  </w:r>
                  <w:r>
                    <w:rPr>
                      <w:rFonts w:cs="Georgia"/>
                    </w:rPr>
                    <w:t>s</w:t>
                  </w:r>
                  <w:r>
                    <w:rPr>
                      <w:rFonts w:cs="Georgia"/>
                      <w:spacing w:val="-2"/>
                    </w:rPr>
                    <w:t xml:space="preserve"> </w:t>
                  </w:r>
                  <w:r>
                    <w:rPr>
                      <w:rFonts w:cs="Georgia"/>
                      <w:spacing w:val="1"/>
                    </w:rPr>
                    <w:t>r</w:t>
                  </w:r>
                  <w:r>
                    <w:rPr>
                      <w:rFonts w:cs="Georgia"/>
                      <w:spacing w:val="-1"/>
                    </w:rPr>
                    <w:t>è</w:t>
                  </w:r>
                  <w:r>
                    <w:rPr>
                      <w:rFonts w:cs="Georgia"/>
                    </w:rPr>
                    <w:t>g</w:t>
                  </w:r>
                  <w:r>
                    <w:rPr>
                      <w:rFonts w:cs="Georgia"/>
                      <w:spacing w:val="-1"/>
                    </w:rPr>
                    <w:t>le</w:t>
                  </w:r>
                  <w:r>
                    <w:rPr>
                      <w:rFonts w:cs="Georgia"/>
                    </w:rPr>
                    <w:t xml:space="preserve">s </w:t>
                  </w:r>
                  <w:r>
                    <w:rPr>
                      <w:rFonts w:cs="Georgia"/>
                      <w:spacing w:val="1"/>
                    </w:rPr>
                    <w:t>s</w:t>
                  </w:r>
                  <w:r>
                    <w:rPr>
                      <w:rFonts w:cs="Georgia"/>
                      <w:spacing w:val="-2"/>
                    </w:rPr>
                    <w:t>t</w:t>
                  </w:r>
                  <w:r>
                    <w:rPr>
                      <w:rFonts w:cs="Georgia"/>
                      <w:spacing w:val="-1"/>
                    </w:rPr>
                    <w:t>a</w:t>
                  </w:r>
                  <w:r>
                    <w:rPr>
                      <w:rFonts w:cs="Georgia"/>
                      <w:spacing w:val="1"/>
                    </w:rPr>
                    <w:t>t</w:t>
                  </w:r>
                  <w:r>
                    <w:rPr>
                      <w:rFonts w:cs="Georgia"/>
                    </w:rPr>
                    <w:t>u</w:t>
                  </w:r>
                  <w:r>
                    <w:rPr>
                      <w:rFonts w:cs="Georgia"/>
                      <w:spacing w:val="1"/>
                    </w:rPr>
                    <w:t>t</w:t>
                  </w:r>
                  <w:r>
                    <w:rPr>
                      <w:rFonts w:cs="Georgia"/>
                      <w:spacing w:val="-1"/>
                    </w:rPr>
                    <w:t>a</w:t>
                  </w:r>
                  <w:r>
                    <w:rPr>
                      <w:rFonts w:cs="Georgia"/>
                    </w:rPr>
                    <w:t>i</w:t>
                  </w:r>
                  <w:r>
                    <w:rPr>
                      <w:rFonts w:cs="Georgia"/>
                      <w:spacing w:val="1"/>
                    </w:rPr>
                    <w:t>r</w:t>
                  </w:r>
                  <w:r>
                    <w:rPr>
                      <w:rFonts w:cs="Georgia"/>
                      <w:spacing w:val="-1"/>
                    </w:rPr>
                    <w:t>e</w:t>
                  </w:r>
                  <w:r>
                    <w:rPr>
                      <w:rFonts w:cs="Georgia"/>
                      <w:spacing w:val="-2"/>
                    </w:rPr>
                    <w:t>s</w:t>
                  </w:r>
                  <w:r>
                    <w:rPr>
                      <w:rFonts w:cs="Georgia"/>
                    </w:rPr>
                    <w:t>.</w:t>
                  </w:r>
                </w:p>
                <w:p w:rsidR="00F04EEF" w:rsidRDefault="00F04EEF">
                  <w:pPr>
                    <w:widowControl w:val="0"/>
                    <w:autoSpaceDE w:val="0"/>
                    <w:autoSpaceDN w:val="0"/>
                    <w:adjustRightInd w:val="0"/>
                    <w:spacing w:before="9" w:line="240" w:lineRule="exact"/>
                    <w:rPr>
                      <w:rFonts w:cs="Georgia"/>
                      <w:color w:val="000000"/>
                    </w:rPr>
                  </w:pPr>
                </w:p>
                <w:p w:rsidR="00F04EEF" w:rsidRDefault="0099351E">
                  <w:pPr>
                    <w:pStyle w:val="Titre4"/>
                  </w:pPr>
                  <w:bookmarkStart w:id="1938" w:name="_1.7._Calcul_du"/>
                  <w:bookmarkStart w:id="1939" w:name="_Toc453314319"/>
                  <w:bookmarkStart w:id="1940" w:name="_Toc454980354"/>
                  <w:bookmarkEnd w:id="1938"/>
                  <w:r>
                    <w:t>1.7. Calcul du capital-périodes dans le cadre de l’intégration</w:t>
                  </w:r>
                  <w:bookmarkEnd w:id="1939"/>
                  <w:bookmarkEnd w:id="1940"/>
                </w:p>
                <w:p w:rsidR="00F04EEF" w:rsidRDefault="00F04EEF">
                  <w:pPr>
                    <w:widowControl w:val="0"/>
                    <w:autoSpaceDE w:val="0"/>
                    <w:autoSpaceDN w:val="0"/>
                    <w:adjustRightInd w:val="0"/>
                    <w:spacing w:before="19" w:line="200" w:lineRule="exact"/>
                    <w:rPr>
                      <w:rFonts w:cs="Georgia"/>
                      <w:color w:val="000000"/>
                    </w:rPr>
                  </w:pPr>
                </w:p>
                <w:p w:rsidR="00F04EEF" w:rsidRDefault="0099351E">
                  <w:pPr>
                    <w:widowControl w:val="0"/>
                    <w:autoSpaceDE w:val="0"/>
                    <w:autoSpaceDN w:val="0"/>
                    <w:adjustRightInd w:val="0"/>
                    <w:spacing w:before="36"/>
                    <w:rPr>
                      <w:rFonts w:cs="Georgia"/>
                      <w:color w:val="000000"/>
                    </w:rPr>
                  </w:pP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rPr>
                    <w:t>ut 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c</w:t>
                  </w:r>
                  <w:r>
                    <w:rPr>
                      <w:rFonts w:cs="Georgia"/>
                      <w:color w:val="000000"/>
                    </w:rPr>
                    <w:t>i</w:t>
                  </w:r>
                  <w:r>
                    <w:rPr>
                      <w:rFonts w:cs="Georgia"/>
                      <w:color w:val="000000"/>
                      <w:spacing w:val="-3"/>
                    </w:rPr>
                    <w:t>e</w:t>
                  </w:r>
                  <w:r>
                    <w:rPr>
                      <w:rFonts w:cs="Georgia"/>
                      <w:color w:val="000000"/>
                    </w:rPr>
                    <w:t xml:space="preserve">r quatre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 de</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rPr>
                    <w:t>u</w:t>
                  </w:r>
                  <w:r>
                    <w:rPr>
                      <w:rFonts w:cs="Georgia"/>
                      <w:color w:val="000000"/>
                      <w:spacing w:val="-1"/>
                    </w:rPr>
                    <w:t>ée</w:t>
                  </w:r>
                  <w:r>
                    <w:rPr>
                      <w:rFonts w:cs="Georgia"/>
                      <w:color w:val="000000"/>
                    </w:rPr>
                    <w:t>s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rPr>
                    <w:t>d</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p>
                <w:p w:rsidR="00F04EEF" w:rsidRDefault="00F04EEF">
                  <w:pPr>
                    <w:widowControl w:val="0"/>
                    <w:autoSpaceDE w:val="0"/>
                    <w:autoSpaceDN w:val="0"/>
                    <w:adjustRightInd w:val="0"/>
                    <w:spacing w:before="10" w:line="240" w:lineRule="exact"/>
                    <w:rPr>
                      <w:rFonts w:cs="Georgia"/>
                      <w:color w:val="000000"/>
                    </w:rPr>
                  </w:pPr>
                </w:p>
                <w:p w:rsidR="00F04EEF" w:rsidRDefault="0099351E">
                  <w:pPr>
                    <w:pStyle w:val="Paragraphedeliste"/>
                    <w:widowControl w:val="0"/>
                    <w:numPr>
                      <w:ilvl w:val="1"/>
                      <w:numId w:val="197"/>
                    </w:numPr>
                    <w:tabs>
                      <w:tab w:val="left" w:pos="840"/>
                    </w:tabs>
                    <w:autoSpaceDE w:val="0"/>
                    <w:autoSpaceDN w:val="0"/>
                    <w:adjustRightInd w:val="0"/>
                    <w:ind w:right="-20"/>
                    <w:rPr>
                      <w:rFonts w:asciiTheme="majorHAnsi" w:hAnsiTheme="majorHAnsi" w:cs="Georgia"/>
                      <w:color w:val="000000"/>
                      <w:sz w:val="22"/>
                      <w:szCs w:val="22"/>
                    </w:rPr>
                  </w:pPr>
                  <w:r>
                    <w:rPr>
                      <w:rFonts w:asciiTheme="majorHAnsi" w:hAnsiTheme="majorHAnsi" w:cs="Georgia"/>
                      <w:color w:val="000000"/>
                      <w:spacing w:val="1"/>
                      <w:sz w:val="22"/>
                      <w:szCs w:val="22"/>
                    </w:rPr>
                    <w:t>L</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é</w:t>
                  </w:r>
                  <w:r>
                    <w:rPr>
                      <w:rFonts w:asciiTheme="majorHAnsi" w:hAnsiTheme="majorHAnsi" w:cs="Georgia"/>
                      <w:color w:val="000000"/>
                      <w:spacing w:val="-2"/>
                      <w:sz w:val="22"/>
                      <w:szCs w:val="22"/>
                    </w:rPr>
                    <w:t>r</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d</w:t>
                  </w:r>
                  <w:r>
                    <w:rPr>
                      <w:rFonts w:asciiTheme="majorHAnsi" w:hAnsiTheme="majorHAnsi" w:cs="Georgia"/>
                      <w:color w:val="000000"/>
                      <w:spacing w:val="-3"/>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o</w:t>
                  </w:r>
                  <w:r>
                    <w:rPr>
                      <w:rFonts w:asciiTheme="majorHAnsi" w:hAnsiTheme="majorHAnsi" w:cs="Georgia"/>
                      <w:color w:val="000000"/>
                      <w:spacing w:val="-2"/>
                      <w:sz w:val="22"/>
                      <w:szCs w:val="22"/>
                    </w:rPr>
                    <w:t>r</w:t>
                  </w:r>
                  <w:r>
                    <w:rPr>
                      <w:rFonts w:asciiTheme="majorHAnsi" w:hAnsiTheme="majorHAnsi" w:cs="Georgia"/>
                      <w:color w:val="000000"/>
                      <w:sz w:val="22"/>
                      <w:szCs w:val="22"/>
                    </w:rPr>
                    <w:t>g</w:t>
                  </w:r>
                  <w:r>
                    <w:rPr>
                      <w:rFonts w:asciiTheme="majorHAnsi" w:hAnsiTheme="majorHAnsi" w:cs="Georgia"/>
                      <w:color w:val="000000"/>
                      <w:spacing w:val="-1"/>
                      <w:sz w:val="22"/>
                      <w:szCs w:val="22"/>
                    </w:rPr>
                    <w:t>an</w:t>
                  </w:r>
                  <w:r>
                    <w:rPr>
                      <w:rFonts w:asciiTheme="majorHAnsi" w:hAnsiTheme="majorHAnsi" w:cs="Georgia"/>
                      <w:color w:val="000000"/>
                      <w:sz w:val="22"/>
                      <w:szCs w:val="22"/>
                    </w:rPr>
                    <w:t>i</w:t>
                  </w:r>
                  <w:r>
                    <w:rPr>
                      <w:rFonts w:asciiTheme="majorHAnsi" w:hAnsiTheme="majorHAnsi" w:cs="Georgia"/>
                      <w:color w:val="000000"/>
                      <w:spacing w:val="-1"/>
                      <w:sz w:val="22"/>
                      <w:szCs w:val="22"/>
                    </w:rPr>
                    <w:t>q</w:t>
                  </w:r>
                  <w:r>
                    <w:rPr>
                      <w:rFonts w:asciiTheme="majorHAnsi" w:hAnsiTheme="majorHAnsi" w:cs="Georgia"/>
                      <w:color w:val="000000"/>
                      <w:sz w:val="22"/>
                      <w:szCs w:val="22"/>
                    </w:rPr>
                    <w:t>u</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po</w:t>
                  </w:r>
                  <w:r>
                    <w:rPr>
                      <w:rFonts w:asciiTheme="majorHAnsi" w:hAnsiTheme="majorHAnsi" w:cs="Georgia"/>
                      <w:color w:val="000000"/>
                      <w:spacing w:val="-2"/>
                      <w:sz w:val="22"/>
                      <w:szCs w:val="22"/>
                    </w:rPr>
                    <w:t>u</w:t>
                  </w:r>
                  <w:r>
                    <w:rPr>
                      <w:rFonts w:asciiTheme="majorHAnsi" w:hAnsiTheme="majorHAnsi" w:cs="Georgia"/>
                      <w:color w:val="000000"/>
                      <w:sz w:val="22"/>
                      <w:szCs w:val="22"/>
                    </w:rPr>
                    <w:t xml:space="preserve">r </w:t>
                  </w:r>
                  <w:r>
                    <w:rPr>
                      <w:rFonts w:asciiTheme="majorHAnsi" w:hAnsiTheme="majorHAnsi" w:cs="Georgia"/>
                      <w:color w:val="000000"/>
                      <w:spacing w:val="-1"/>
                      <w:sz w:val="22"/>
                      <w:szCs w:val="22"/>
                    </w:rPr>
                    <w:t>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élè</w:t>
                  </w:r>
                  <w:r>
                    <w:rPr>
                      <w:rFonts w:asciiTheme="majorHAnsi" w:hAnsiTheme="majorHAnsi" w:cs="Georgia"/>
                      <w:color w:val="000000"/>
                      <w:spacing w:val="1"/>
                      <w:sz w:val="22"/>
                      <w:szCs w:val="22"/>
                    </w:rPr>
                    <w:t>v</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e</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i</w:t>
                  </w:r>
                  <w:r>
                    <w:rPr>
                      <w:rFonts w:asciiTheme="majorHAnsi" w:hAnsiTheme="majorHAnsi" w:cs="Georgia"/>
                      <w:color w:val="000000"/>
                      <w:spacing w:val="-1"/>
                      <w:sz w:val="22"/>
                      <w:szCs w:val="22"/>
                    </w:rPr>
                    <w:t>n</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é</w:t>
                  </w:r>
                  <w:r>
                    <w:rPr>
                      <w:rFonts w:asciiTheme="majorHAnsi" w:hAnsiTheme="majorHAnsi" w:cs="Georgia"/>
                      <w:color w:val="000000"/>
                      <w:sz w:val="22"/>
                      <w:szCs w:val="22"/>
                    </w:rPr>
                    <w:t>g</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e</w:t>
                  </w:r>
                  <w:r>
                    <w:rPr>
                      <w:rFonts w:asciiTheme="majorHAnsi" w:hAnsiTheme="majorHAnsi" w:cs="Georgia"/>
                      <w:color w:val="000000"/>
                      <w:spacing w:val="1"/>
                      <w:sz w:val="22"/>
                      <w:szCs w:val="22"/>
                    </w:rPr>
                    <w:t>t</w:t>
                  </w:r>
                  <w:r>
                    <w:rPr>
                      <w:rFonts w:asciiTheme="majorHAnsi" w:hAnsiTheme="majorHAnsi" w:cs="Georgia"/>
                      <w:color w:val="000000"/>
                      <w:sz w:val="22"/>
                      <w:szCs w:val="22"/>
                    </w:rPr>
                    <w:t>/</w:t>
                  </w:r>
                  <w:r>
                    <w:rPr>
                      <w:rFonts w:asciiTheme="majorHAnsi" w:hAnsiTheme="majorHAnsi" w:cs="Georgia"/>
                      <w:color w:val="000000"/>
                      <w:spacing w:val="-1"/>
                      <w:sz w:val="22"/>
                      <w:szCs w:val="22"/>
                    </w:rPr>
                    <w:t>o</w:t>
                  </w:r>
                  <w:r>
                    <w:rPr>
                      <w:rFonts w:asciiTheme="majorHAnsi" w:hAnsiTheme="majorHAnsi" w:cs="Georgia"/>
                      <w:color w:val="000000"/>
                      <w:sz w:val="22"/>
                      <w:szCs w:val="22"/>
                    </w:rPr>
                    <w:t xml:space="preserve">u </w:t>
                  </w:r>
                  <w:r>
                    <w:rPr>
                      <w:rFonts w:asciiTheme="majorHAnsi" w:hAnsiTheme="majorHAnsi" w:cs="Georgia"/>
                      <w:color w:val="000000"/>
                      <w:spacing w:val="1"/>
                      <w:sz w:val="22"/>
                      <w:szCs w:val="22"/>
                    </w:rPr>
                    <w:t>p</w:t>
                  </w:r>
                  <w:r>
                    <w:rPr>
                      <w:rFonts w:asciiTheme="majorHAnsi" w:hAnsiTheme="majorHAnsi" w:cs="Georgia"/>
                      <w:color w:val="000000"/>
                      <w:spacing w:val="-3"/>
                      <w:sz w:val="22"/>
                      <w:szCs w:val="22"/>
                    </w:rPr>
                    <w:t>a</w:t>
                  </w:r>
                  <w:r>
                    <w:rPr>
                      <w:rFonts w:asciiTheme="majorHAnsi" w:hAnsiTheme="majorHAnsi" w:cs="Georgia"/>
                      <w:color w:val="000000"/>
                      <w:spacing w:val="1"/>
                      <w:sz w:val="22"/>
                      <w:szCs w:val="22"/>
                    </w:rPr>
                    <w:t>rt</w:t>
                  </w:r>
                  <w:r>
                    <w:rPr>
                      <w:rFonts w:asciiTheme="majorHAnsi" w:hAnsiTheme="majorHAnsi" w:cs="Georgia"/>
                      <w:color w:val="000000"/>
                      <w:sz w:val="22"/>
                      <w:szCs w:val="22"/>
                    </w:rPr>
                    <w:t>i</w:t>
                  </w:r>
                  <w:r>
                    <w:rPr>
                      <w:rFonts w:asciiTheme="majorHAnsi" w:hAnsiTheme="majorHAnsi" w:cs="Georgia"/>
                      <w:color w:val="000000"/>
                      <w:spacing w:val="-1"/>
                      <w:sz w:val="22"/>
                      <w:szCs w:val="22"/>
                    </w:rPr>
                    <w:t>ell</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w:t>
                  </w:r>
                </w:p>
                <w:p w:rsidR="00F04EEF" w:rsidRDefault="00F04EEF">
                  <w:pPr>
                    <w:widowControl w:val="0"/>
                    <w:autoSpaceDE w:val="0"/>
                    <w:autoSpaceDN w:val="0"/>
                    <w:adjustRightInd w:val="0"/>
                    <w:spacing w:before="13"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 xml:space="preserve">t </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3"/>
                    </w:rPr>
                    <w:t>a</w:t>
                  </w:r>
                  <w:r>
                    <w:rPr>
                      <w:rFonts w:cs="Georgia"/>
                      <w:color w:val="000000"/>
                      <w:spacing w:val="1"/>
                    </w:rPr>
                    <w:t>b</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s </w:t>
                  </w:r>
                  <w:r>
                    <w:rPr>
                      <w:rFonts w:cs="Georgia"/>
                      <w:color w:val="000000"/>
                      <w:spacing w:val="-2"/>
                    </w:rPr>
                    <w:t>c</w:t>
                  </w:r>
                  <w:r>
                    <w:rPr>
                      <w:rFonts w:cs="Georgia"/>
                      <w:color w:val="000000"/>
                      <w:spacing w:val="1"/>
                    </w:rPr>
                    <w:t>o</w:t>
                  </w:r>
                  <w:r>
                    <w:rPr>
                      <w:rFonts w:cs="Georgia"/>
                      <w:color w:val="000000"/>
                    </w:rPr>
                    <w:t xml:space="preserve">mme </w:t>
                  </w:r>
                  <w:r>
                    <w:rPr>
                      <w:rFonts w:cs="Georgia"/>
                      <w:color w:val="000000"/>
                      <w:spacing w:val="-2"/>
                    </w:rPr>
                    <w:t>t</w:t>
                  </w:r>
                  <w:r>
                    <w:rPr>
                      <w:rFonts w:cs="Georgia"/>
                      <w:color w:val="000000"/>
                      <w:spacing w:val="1"/>
                    </w:rPr>
                    <w:t>o</w:t>
                  </w:r>
                  <w:r>
                    <w:rPr>
                      <w:rFonts w:cs="Georgia"/>
                      <w:color w:val="000000"/>
                    </w:rPr>
                    <w:t xml:space="preserve">us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r</w:t>
                  </w:r>
                  <w:r>
                    <w:rPr>
                      <w:rFonts w:cs="Georgia"/>
                      <w:color w:val="000000"/>
                      <w:spacing w:val="-1"/>
                    </w:rPr>
                    <w:t>é</w:t>
                  </w:r>
                  <w:r>
                    <w:rPr>
                      <w:rFonts w:cs="Georgia"/>
                      <w:color w:val="000000"/>
                    </w:rPr>
                    <w:t>gu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rPr>
                    <w:t>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 xml:space="preserve">n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I</w:t>
                  </w:r>
                  <w:r>
                    <w:rPr>
                      <w:rFonts w:cs="Georgia"/>
                      <w:color w:val="000000"/>
                      <w:spacing w:val="-1"/>
                    </w:rPr>
                    <w:t>l</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pr</w:t>
                  </w:r>
                  <w:r>
                    <w:rPr>
                      <w:rFonts w:cs="Georgia"/>
                      <w:color w:val="000000"/>
                      <w:spacing w:val="-2"/>
                    </w:rPr>
                    <w:t>i</w:t>
                  </w:r>
                  <w:r>
                    <w:rPr>
                      <w:rFonts w:cs="Georgia"/>
                      <w:color w:val="000000"/>
                    </w:rPr>
                    <w:t>s</w:t>
                  </w:r>
                  <w:r>
                    <w:rPr>
                      <w:rFonts w:cs="Georgia"/>
                      <w:color w:val="000000"/>
                      <w:spacing w:val="3"/>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di</w:t>
                  </w:r>
                  <w:r>
                    <w:rPr>
                      <w:rFonts w:cs="Georgia"/>
                      <w:color w:val="000000"/>
                      <w:spacing w:val="-2"/>
                    </w:rPr>
                    <w:t>f</w:t>
                  </w:r>
                  <w:r>
                    <w:rPr>
                      <w:rFonts w:cs="Georgia"/>
                      <w:color w:val="000000"/>
                    </w:rPr>
                    <w:t>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s d</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r</w:t>
                  </w:r>
                  <w:r>
                    <w:rPr>
                      <w:rFonts w:cs="Georgia"/>
                      <w:color w:val="000000"/>
                      <w:spacing w:val="-1"/>
                    </w:rPr>
                    <w:t>e</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1"/>
                    </w:rPr>
                    <w:t>an</w:t>
                  </w:r>
                  <w:r>
                    <w:rPr>
                      <w:rFonts w:cs="Georgia"/>
                      <w:color w:val="000000"/>
                      <w:spacing w:val="-2"/>
                    </w:rPr>
                    <w:t>v</w:t>
                  </w:r>
                  <w:r>
                    <w:rPr>
                      <w:rFonts w:cs="Georgia"/>
                      <w:color w:val="000000"/>
                    </w:rPr>
                    <w:t>i</w:t>
                  </w:r>
                  <w:r>
                    <w:rPr>
                      <w:rFonts w:cs="Georgia"/>
                      <w:color w:val="000000"/>
                      <w:spacing w:val="-1"/>
                    </w:rPr>
                    <w:t>e</w:t>
                  </w:r>
                  <w:r>
                    <w:rPr>
                      <w:rFonts w:cs="Georgia"/>
                      <w:color w:val="000000"/>
                      <w:spacing w:val="1"/>
                    </w:rPr>
                    <w:t>r, 3</w:t>
                  </w:r>
                  <w:r>
                    <w:rPr>
                      <w:rFonts w:cs="Georgia"/>
                      <w:color w:val="000000"/>
                    </w:rPr>
                    <w:t>0</w:t>
                  </w:r>
                  <w:r>
                    <w:rPr>
                      <w:rFonts w:cs="Georgia"/>
                      <w:color w:val="000000"/>
                      <w:spacing w:val="1"/>
                    </w:rPr>
                    <w:t xml:space="preserve"> 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 </w:t>
                  </w:r>
                  <w:r>
                    <w:rPr>
                      <w:rFonts w:cs="Georgia"/>
                      <w:color w:val="000000"/>
                      <w:spacing w:val="1"/>
                    </w:rPr>
                    <w:t>1</w:t>
                  </w:r>
                  <w:r>
                    <w:rPr>
                      <w:rFonts w:cs="Georgia"/>
                      <w:color w:val="000000"/>
                      <w:spacing w:val="-1"/>
                    </w:rPr>
                    <w:t>0</w:t>
                  </w:r>
                  <w:r>
                    <w:rPr>
                      <w:rFonts w:cs="Georgia"/>
                      <w:color w:val="000000"/>
                    </w:rPr>
                    <w:t>%</w:t>
                  </w:r>
                  <w:r>
                    <w:rPr>
                      <w:rFonts w:cs="Georgia"/>
                      <w:color w:val="000000"/>
                      <w:spacing w:val="-1"/>
                    </w:rPr>
                    <w:t>)</w:t>
                  </w:r>
                  <w:r>
                    <w:rPr>
                      <w:rFonts w:cs="Georgia"/>
                      <w:color w:val="000000"/>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1"/>
                    </w:rPr>
                    <w:t>l</w:t>
                  </w:r>
                  <w:r>
                    <w:rPr>
                      <w:rFonts w:cs="Georgia"/>
                      <w:color w:val="000000"/>
                    </w:rPr>
                    <w:t>s</w:t>
                  </w:r>
                  <w:r>
                    <w:rPr>
                      <w:rFonts w:cs="Georgia"/>
                      <w:color w:val="000000"/>
                      <w:spacing w:val="1"/>
                    </w:rPr>
                    <w:t xml:space="preserve"> </w:t>
                  </w:r>
                  <w:r>
                    <w:rPr>
                      <w:rFonts w:cs="Georgia"/>
                      <w:color w:val="000000"/>
                    </w:rPr>
                    <w:t>g</w:t>
                  </w:r>
                  <w:r>
                    <w:rPr>
                      <w:rFonts w:cs="Georgia"/>
                      <w:color w:val="000000"/>
                      <w:spacing w:val="-1"/>
                    </w:rPr>
                    <w:t>énè</w:t>
                  </w:r>
                  <w:r>
                    <w:rPr>
                      <w:rFonts w:cs="Georgia"/>
                      <w:color w:val="000000"/>
                      <w:spacing w:val="-2"/>
                    </w:rPr>
                    <w:t>r</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spacing w:val="-2"/>
                    </w:rPr>
                    <w:t>i</w:t>
                  </w:r>
                  <w:r>
                    <w:rPr>
                      <w:rFonts w:cs="Georgia"/>
                      <w:color w:val="000000"/>
                      <w:spacing w:val="1"/>
                    </w:rPr>
                    <w:t>t</w:t>
                  </w:r>
                  <w:r>
                    <w:rPr>
                      <w:rFonts w:cs="Georgia"/>
                      <w:color w:val="000000"/>
                      <w:spacing w:val="-1"/>
                    </w:rPr>
                    <w:t>a</w:t>
                  </w:r>
                  <w:r>
                    <w:rPr>
                      <w:rFonts w:cs="Georgia"/>
                      <w:color w:val="000000"/>
                    </w:rPr>
                    <w:t>ux</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 xml:space="preserve">es </w:t>
                  </w:r>
                  <w:r>
                    <w:rPr>
                      <w:rFonts w:cs="Georgia"/>
                      <w:color w:val="000000"/>
                    </w:rPr>
                    <w:t>u</w:t>
                  </w:r>
                  <w:r>
                    <w:rPr>
                      <w:rFonts w:cs="Georgia"/>
                      <w:color w:val="000000"/>
                      <w:spacing w:val="1"/>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3"/>
                    </w:rPr>
                    <w:t>a</w:t>
                  </w:r>
                  <w:r>
                    <w:rPr>
                      <w:rFonts w:cs="Georgia"/>
                      <w:color w:val="000000"/>
                      <w:spacing w:val="1"/>
                    </w:rPr>
                    <w:t>b</w:t>
                  </w:r>
                  <w:r>
                    <w:rPr>
                      <w:rFonts w:cs="Georgia"/>
                      <w:color w:val="000000"/>
                      <w:spacing w:val="-1"/>
                    </w:rPr>
                    <w:t>le</w:t>
                  </w:r>
                  <w:r>
                    <w:rPr>
                      <w:rFonts w:cs="Georgia"/>
                      <w:color w:val="000000"/>
                    </w:rPr>
                    <w:t>s d</w:t>
                  </w:r>
                  <w:r>
                    <w:rPr>
                      <w:rFonts w:cs="Georgia"/>
                      <w:color w:val="000000"/>
                      <w:spacing w:val="-1"/>
                    </w:rPr>
                    <w:t>e</w:t>
                  </w:r>
                  <w:r>
                    <w:rPr>
                      <w:rFonts w:cs="Georgia"/>
                      <w:color w:val="000000"/>
                    </w:rPr>
                    <w:t>s diff</w:t>
                  </w:r>
                  <w:r>
                    <w:rPr>
                      <w:rFonts w:cs="Georgia"/>
                      <w:color w:val="000000"/>
                      <w:spacing w:val="-3"/>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o</w:t>
                  </w:r>
                  <w:r>
                    <w:rPr>
                      <w:rFonts w:cs="Georgia"/>
                      <w:color w:val="000000"/>
                      <w:spacing w:val="1"/>
                    </w:rPr>
                    <w:t>r</w:t>
                  </w:r>
                  <w:r>
                    <w:rPr>
                      <w:rFonts w:cs="Georgia"/>
                      <w:color w:val="000000"/>
                    </w:rPr>
                    <w:t>i</w:t>
                  </w:r>
                  <w:r>
                    <w:rPr>
                      <w:rFonts w:cs="Georgia"/>
                      <w:color w:val="000000"/>
                      <w:spacing w:val="-1"/>
                    </w:rPr>
                    <w:t>e</w:t>
                  </w:r>
                  <w:r>
                    <w:rPr>
                      <w:rFonts w:cs="Georgia"/>
                      <w:color w:val="000000"/>
                    </w:rPr>
                    <w:t>s de</w:t>
                  </w:r>
                  <w:r>
                    <w:rPr>
                      <w:rFonts w:cs="Georgia"/>
                      <w:color w:val="000000"/>
                      <w:spacing w:val="-1"/>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nnel</w:t>
                  </w:r>
                  <w:r>
                    <w:rPr>
                      <w:rFonts w:cs="Georgia"/>
                      <w:color w:val="000000"/>
                    </w:rPr>
                    <w:t>.</w:t>
                  </w:r>
                </w:p>
                <w:p w:rsidR="00F04EEF" w:rsidRDefault="00F04EEF">
                  <w:pPr>
                    <w:widowControl w:val="0"/>
                    <w:autoSpaceDE w:val="0"/>
                    <w:autoSpaceDN w:val="0"/>
                    <w:adjustRightInd w:val="0"/>
                    <w:spacing w:before="7" w:line="240" w:lineRule="exact"/>
                    <w:jc w:val="both"/>
                    <w:rPr>
                      <w:rFonts w:cs="Georgia"/>
                      <w:color w:val="000000"/>
                    </w:rPr>
                  </w:pPr>
                </w:p>
                <w:p w:rsidR="00F04EEF" w:rsidRDefault="0099351E">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rsidR="00F04EEF" w:rsidRDefault="00F04EEF">
                  <w:pPr>
                    <w:widowControl w:val="0"/>
                    <w:autoSpaceDE w:val="0"/>
                    <w:autoSpaceDN w:val="0"/>
                    <w:adjustRightInd w:val="0"/>
                    <w:jc w:val="both"/>
                    <w:rPr>
                      <w:rFonts w:cstheme="minorHAnsi"/>
                      <w:color w:val="000000"/>
                      <w:u w:val="single"/>
                    </w:rPr>
                  </w:pPr>
                </w:p>
                <w:p w:rsidR="00F04EEF" w:rsidRDefault="0099351E">
                  <w:pPr>
                    <w:pStyle w:val="Paragraphedeliste"/>
                    <w:numPr>
                      <w:ilvl w:val="0"/>
                      <w:numId w:val="316"/>
                    </w:numPr>
                    <w:jc w:val="both"/>
                    <w:rPr>
                      <w:rFonts w:asciiTheme="minorHAnsi" w:hAnsiTheme="minorHAnsi" w:cstheme="minorHAnsi"/>
                      <w:sz w:val="22"/>
                      <w:szCs w:val="22"/>
                    </w:rPr>
                  </w:pPr>
                  <w:r>
                    <w:rPr>
                      <w:rFonts w:asciiTheme="minorHAnsi" w:hAnsiTheme="minorHAnsi" w:cstheme="minorHAnsi"/>
                      <w:sz w:val="22"/>
                      <w:szCs w:val="22"/>
                    </w:rPr>
                    <w:t>Un</w:t>
                  </w:r>
                  <w:r>
                    <w:rPr>
                      <w:rFonts w:asciiTheme="minorHAnsi" w:hAnsiTheme="minorHAnsi" w:cstheme="minorHAnsi"/>
                      <w:spacing w:val="8"/>
                      <w:sz w:val="22"/>
                      <w:szCs w:val="22"/>
                    </w:rPr>
                    <w:t xml:space="preserve"> </w:t>
                  </w:r>
                  <w:r>
                    <w:rPr>
                      <w:rFonts w:asciiTheme="minorHAnsi" w:hAnsiTheme="minorHAnsi" w:cstheme="minorHAnsi"/>
                      <w:spacing w:val="-1"/>
                      <w:sz w:val="22"/>
                      <w:szCs w:val="22"/>
                    </w:rPr>
                    <w:t>élè</w:t>
                  </w:r>
                  <w:r>
                    <w:rPr>
                      <w:rFonts w:asciiTheme="minorHAnsi" w:hAnsiTheme="minorHAnsi" w:cstheme="minorHAnsi"/>
                      <w:spacing w:val="1"/>
                      <w:sz w:val="22"/>
                      <w:szCs w:val="22"/>
                    </w:rPr>
                    <w:t>v</w:t>
                  </w:r>
                  <w:r>
                    <w:rPr>
                      <w:rFonts w:asciiTheme="minorHAnsi" w:hAnsiTheme="minorHAnsi" w:cstheme="minorHAnsi"/>
                      <w:sz w:val="22"/>
                      <w:szCs w:val="22"/>
                    </w:rPr>
                    <w:t>e</w:t>
                  </w:r>
                  <w:r>
                    <w:rPr>
                      <w:rFonts w:asciiTheme="minorHAnsi" w:hAnsiTheme="minorHAnsi" w:cstheme="minorHAnsi"/>
                      <w:spacing w:val="11"/>
                      <w:sz w:val="22"/>
                      <w:szCs w:val="22"/>
                    </w:rPr>
                    <w:t xml:space="preserve"> </w:t>
                  </w:r>
                  <w:r>
                    <w:rPr>
                      <w:rFonts w:asciiTheme="minorHAnsi" w:hAnsiTheme="minorHAnsi" w:cstheme="minorHAnsi"/>
                      <w:spacing w:val="-1"/>
                      <w:sz w:val="22"/>
                      <w:szCs w:val="22"/>
                    </w:rPr>
                    <w:t>e</w:t>
                  </w:r>
                  <w:r>
                    <w:rPr>
                      <w:rFonts w:asciiTheme="minorHAnsi" w:hAnsiTheme="minorHAnsi" w:cstheme="minorHAnsi"/>
                      <w:sz w:val="22"/>
                      <w:szCs w:val="22"/>
                    </w:rPr>
                    <w:t>n</w:t>
                  </w:r>
                  <w:r>
                    <w:rPr>
                      <w:rFonts w:asciiTheme="minorHAnsi" w:hAnsiTheme="minorHAnsi" w:cstheme="minorHAnsi"/>
                      <w:spacing w:val="8"/>
                      <w:sz w:val="22"/>
                      <w:szCs w:val="22"/>
                    </w:rPr>
                    <w:t xml:space="preserve"> </w:t>
                  </w:r>
                  <w:r>
                    <w:rPr>
                      <w:rFonts w:asciiTheme="minorHAnsi" w:hAnsiTheme="minorHAnsi" w:cstheme="minorHAnsi"/>
                      <w:sz w:val="22"/>
                      <w:szCs w:val="22"/>
                    </w:rPr>
                    <w:t>i</w:t>
                  </w:r>
                  <w:r>
                    <w:rPr>
                      <w:rFonts w:asciiTheme="minorHAnsi" w:hAnsiTheme="minorHAnsi" w:cstheme="minorHAnsi"/>
                      <w:spacing w:val="-1"/>
                      <w:sz w:val="22"/>
                      <w:szCs w:val="22"/>
                    </w:rPr>
                    <w:t>n</w:t>
                  </w:r>
                  <w:r>
                    <w:rPr>
                      <w:rFonts w:asciiTheme="minorHAnsi" w:hAnsiTheme="minorHAnsi" w:cstheme="minorHAnsi"/>
                      <w:spacing w:val="1"/>
                      <w:sz w:val="22"/>
                      <w:szCs w:val="22"/>
                    </w:rPr>
                    <w:t>t</w:t>
                  </w:r>
                  <w:r>
                    <w:rPr>
                      <w:rFonts w:asciiTheme="minorHAnsi" w:hAnsiTheme="minorHAnsi" w:cstheme="minorHAnsi"/>
                      <w:spacing w:val="-1"/>
                      <w:sz w:val="22"/>
                      <w:szCs w:val="22"/>
                    </w:rPr>
                    <w:t>é</w:t>
                  </w:r>
                  <w:r>
                    <w:rPr>
                      <w:rFonts w:asciiTheme="minorHAnsi" w:hAnsiTheme="minorHAnsi" w:cstheme="minorHAnsi"/>
                      <w:sz w:val="22"/>
                      <w:szCs w:val="22"/>
                    </w:rPr>
                    <w:t>g</w:t>
                  </w:r>
                  <w:r>
                    <w:rPr>
                      <w:rFonts w:asciiTheme="minorHAnsi" w:hAnsiTheme="minorHAnsi" w:cstheme="minorHAnsi"/>
                      <w:spacing w:val="1"/>
                      <w:sz w:val="22"/>
                      <w:szCs w:val="22"/>
                    </w:rPr>
                    <w:t>r</w:t>
                  </w:r>
                  <w:r>
                    <w:rPr>
                      <w:rFonts w:asciiTheme="minorHAnsi" w:hAnsiTheme="minorHAnsi" w:cstheme="minorHAnsi"/>
                      <w:spacing w:val="-1"/>
                      <w:sz w:val="22"/>
                      <w:szCs w:val="22"/>
                    </w:rPr>
                    <w:t>a</w:t>
                  </w:r>
                  <w:r>
                    <w:rPr>
                      <w:rFonts w:asciiTheme="minorHAnsi" w:hAnsiTheme="minorHAnsi" w:cstheme="minorHAnsi"/>
                      <w:spacing w:val="1"/>
                      <w:sz w:val="22"/>
                      <w:szCs w:val="22"/>
                    </w:rPr>
                    <w:t>t</w:t>
                  </w:r>
                  <w:r>
                    <w:rPr>
                      <w:rFonts w:asciiTheme="minorHAnsi" w:hAnsiTheme="minorHAnsi" w:cstheme="minorHAnsi"/>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8"/>
                      <w:sz w:val="22"/>
                      <w:szCs w:val="22"/>
                    </w:rPr>
                    <w:t xml:space="preserve"> </w:t>
                  </w:r>
                  <w:r>
                    <w:rPr>
                      <w:rFonts w:asciiTheme="minorHAnsi" w:hAnsiTheme="minorHAnsi" w:cstheme="minorHAnsi"/>
                      <w:spacing w:val="1"/>
                      <w:sz w:val="22"/>
                      <w:szCs w:val="22"/>
                    </w:rPr>
                    <w:t>t</w:t>
                  </w:r>
                  <w:r>
                    <w:rPr>
                      <w:rFonts w:asciiTheme="minorHAnsi" w:hAnsiTheme="minorHAnsi" w:cstheme="minorHAnsi"/>
                      <w:spacing w:val="-1"/>
                      <w:sz w:val="22"/>
                      <w:szCs w:val="22"/>
                    </w:rPr>
                    <w:t>e</w:t>
                  </w:r>
                  <w:r>
                    <w:rPr>
                      <w:rFonts w:asciiTheme="minorHAnsi" w:hAnsiTheme="minorHAnsi" w:cstheme="minorHAnsi"/>
                      <w:sz w:val="22"/>
                      <w:szCs w:val="22"/>
                    </w:rPr>
                    <w:t>m</w:t>
                  </w:r>
                  <w:r>
                    <w:rPr>
                      <w:rFonts w:asciiTheme="minorHAnsi" w:hAnsiTheme="minorHAnsi" w:cstheme="minorHAnsi"/>
                      <w:spacing w:val="1"/>
                      <w:sz w:val="22"/>
                      <w:szCs w:val="22"/>
                    </w:rPr>
                    <w:t>p</w:t>
                  </w:r>
                  <w:r>
                    <w:rPr>
                      <w:rFonts w:asciiTheme="minorHAnsi" w:hAnsiTheme="minorHAnsi" w:cstheme="minorHAnsi"/>
                      <w:spacing w:val="-1"/>
                      <w:sz w:val="22"/>
                      <w:szCs w:val="22"/>
                    </w:rPr>
                    <w:t>o</w:t>
                  </w:r>
                  <w:r>
                    <w:rPr>
                      <w:rFonts w:asciiTheme="minorHAnsi" w:hAnsiTheme="minorHAnsi" w:cstheme="minorHAnsi"/>
                      <w:spacing w:val="1"/>
                      <w:sz w:val="22"/>
                      <w:szCs w:val="22"/>
                    </w:rPr>
                    <w:t>r</w:t>
                  </w:r>
                  <w:r>
                    <w:rPr>
                      <w:rFonts w:asciiTheme="minorHAnsi" w:hAnsiTheme="minorHAnsi" w:cstheme="minorHAnsi"/>
                      <w:spacing w:val="-1"/>
                      <w:sz w:val="22"/>
                      <w:szCs w:val="22"/>
                    </w:rPr>
                    <w:t>a</w:t>
                  </w:r>
                  <w:r>
                    <w:rPr>
                      <w:rFonts w:asciiTheme="minorHAnsi" w:hAnsiTheme="minorHAnsi" w:cstheme="minorHAnsi"/>
                      <w:sz w:val="22"/>
                      <w:szCs w:val="22"/>
                    </w:rPr>
                    <w:t>i</w:t>
                  </w:r>
                  <w:r>
                    <w:rPr>
                      <w:rFonts w:asciiTheme="minorHAnsi" w:hAnsiTheme="minorHAnsi" w:cstheme="minorHAnsi"/>
                      <w:spacing w:val="1"/>
                      <w:sz w:val="22"/>
                      <w:szCs w:val="22"/>
                    </w:rPr>
                    <w:t>r</w:t>
                  </w:r>
                  <w:r>
                    <w:rPr>
                      <w:rFonts w:asciiTheme="minorHAnsi" w:hAnsiTheme="minorHAnsi" w:cstheme="minorHAnsi"/>
                      <w:sz w:val="22"/>
                      <w:szCs w:val="22"/>
                    </w:rPr>
                    <w:t>e</w:t>
                  </w:r>
                  <w:r>
                    <w:rPr>
                      <w:rFonts w:asciiTheme="minorHAnsi" w:hAnsiTheme="minorHAnsi" w:cstheme="minorHAnsi"/>
                      <w:spacing w:val="8"/>
                      <w:sz w:val="22"/>
                      <w:szCs w:val="22"/>
                    </w:rPr>
                    <w:t xml:space="preserve"> </w:t>
                  </w:r>
                  <w:r>
                    <w:rPr>
                      <w:rFonts w:asciiTheme="minorHAnsi" w:hAnsiTheme="minorHAnsi" w:cstheme="minorHAnsi"/>
                      <w:spacing w:val="1"/>
                      <w:sz w:val="22"/>
                      <w:szCs w:val="22"/>
                    </w:rPr>
                    <w:t>t</w:t>
                  </w:r>
                  <w:r>
                    <w:rPr>
                      <w:rFonts w:asciiTheme="minorHAnsi" w:hAnsiTheme="minorHAnsi" w:cstheme="minorHAnsi"/>
                      <w:spacing w:val="-1"/>
                      <w:sz w:val="22"/>
                      <w:szCs w:val="22"/>
                    </w:rPr>
                    <w:t>o</w:t>
                  </w:r>
                  <w:r>
                    <w:rPr>
                      <w:rFonts w:asciiTheme="minorHAnsi" w:hAnsiTheme="minorHAnsi" w:cstheme="minorHAnsi"/>
                      <w:spacing w:val="1"/>
                      <w:sz w:val="22"/>
                      <w:szCs w:val="22"/>
                    </w:rPr>
                    <w:t>t</w:t>
                  </w:r>
                  <w:r>
                    <w:rPr>
                      <w:rFonts w:asciiTheme="minorHAnsi" w:hAnsiTheme="minorHAnsi" w:cstheme="minorHAnsi"/>
                      <w:spacing w:val="-1"/>
                      <w:sz w:val="22"/>
                      <w:szCs w:val="22"/>
                    </w:rPr>
                    <w:t>al</w:t>
                  </w:r>
                  <w:r>
                    <w:rPr>
                      <w:rFonts w:asciiTheme="minorHAnsi" w:hAnsiTheme="minorHAnsi" w:cstheme="minorHAnsi"/>
                      <w:sz w:val="22"/>
                      <w:szCs w:val="22"/>
                    </w:rPr>
                    <w:t>e</w:t>
                  </w:r>
                  <w:r>
                    <w:rPr>
                      <w:rFonts w:asciiTheme="minorHAnsi" w:hAnsiTheme="minorHAnsi" w:cstheme="minorHAnsi"/>
                      <w:spacing w:val="8"/>
                      <w:sz w:val="22"/>
                      <w:szCs w:val="22"/>
                    </w:rPr>
                    <w:t xml:space="preserve"> </w:t>
                  </w:r>
                  <w:r>
                    <w:rPr>
                      <w:rFonts w:asciiTheme="minorHAnsi" w:hAnsiTheme="minorHAnsi" w:cstheme="minorHAnsi"/>
                      <w:sz w:val="22"/>
                      <w:szCs w:val="22"/>
                    </w:rPr>
                    <w:t>i</w:t>
                  </w:r>
                  <w:r>
                    <w:rPr>
                      <w:rFonts w:asciiTheme="minorHAnsi" w:hAnsiTheme="minorHAnsi" w:cstheme="minorHAnsi"/>
                      <w:spacing w:val="-1"/>
                      <w:sz w:val="22"/>
                      <w:szCs w:val="22"/>
                    </w:rPr>
                    <w:t>n</w:t>
                  </w:r>
                  <w:r>
                    <w:rPr>
                      <w:rFonts w:asciiTheme="minorHAnsi" w:hAnsiTheme="minorHAnsi" w:cstheme="minorHAnsi"/>
                      <w:spacing w:val="1"/>
                      <w:sz w:val="22"/>
                      <w:szCs w:val="22"/>
                    </w:rPr>
                    <w:t>scr</w:t>
                  </w:r>
                  <w:r>
                    <w:rPr>
                      <w:rFonts w:asciiTheme="minorHAnsi" w:hAnsiTheme="minorHAnsi" w:cstheme="minorHAnsi"/>
                      <w:sz w:val="22"/>
                      <w:szCs w:val="22"/>
                    </w:rPr>
                    <w:t>it</w:t>
                  </w:r>
                  <w:r>
                    <w:rPr>
                      <w:rFonts w:asciiTheme="minorHAnsi" w:hAnsiTheme="minorHAnsi" w:cstheme="minorHAnsi"/>
                      <w:spacing w:val="8"/>
                      <w:sz w:val="22"/>
                      <w:szCs w:val="22"/>
                    </w:rPr>
                    <w:t xml:space="preserve"> </w:t>
                  </w:r>
                  <w:r>
                    <w:rPr>
                      <w:rFonts w:asciiTheme="minorHAnsi" w:hAnsiTheme="minorHAnsi" w:cstheme="minorHAnsi"/>
                      <w:spacing w:val="-1"/>
                      <w:sz w:val="22"/>
                      <w:szCs w:val="22"/>
                    </w:rPr>
                    <w:t>a</w:t>
                  </w:r>
                  <w:r>
                    <w:rPr>
                      <w:rFonts w:asciiTheme="minorHAnsi" w:hAnsiTheme="minorHAnsi" w:cstheme="minorHAnsi"/>
                      <w:sz w:val="22"/>
                      <w:szCs w:val="22"/>
                    </w:rPr>
                    <w:t>u</w:t>
                  </w:r>
                  <w:r>
                    <w:rPr>
                      <w:rFonts w:asciiTheme="minorHAnsi" w:hAnsiTheme="minorHAnsi" w:cstheme="minorHAnsi"/>
                      <w:spacing w:val="10"/>
                      <w:sz w:val="22"/>
                      <w:szCs w:val="22"/>
                    </w:rPr>
                    <w:t xml:space="preserve"> </w:t>
                  </w:r>
                  <w:r>
                    <w:rPr>
                      <w:rFonts w:asciiTheme="minorHAnsi" w:hAnsiTheme="minorHAnsi" w:cstheme="minorHAnsi"/>
                      <w:spacing w:val="1"/>
                      <w:sz w:val="22"/>
                      <w:szCs w:val="22"/>
                    </w:rPr>
                    <w:t>1</w:t>
                  </w:r>
                  <w:r>
                    <w:rPr>
                      <w:rFonts w:asciiTheme="minorHAnsi" w:hAnsiTheme="minorHAnsi" w:cstheme="minorHAnsi"/>
                      <w:sz w:val="22"/>
                      <w:szCs w:val="22"/>
                    </w:rPr>
                    <w:t>5</w:t>
                  </w:r>
                  <w:r>
                    <w:rPr>
                      <w:rFonts w:asciiTheme="minorHAnsi" w:hAnsiTheme="minorHAnsi" w:cstheme="minorHAnsi"/>
                      <w:spacing w:val="10"/>
                      <w:sz w:val="22"/>
                      <w:szCs w:val="22"/>
                    </w:rPr>
                    <w:t xml:space="preserve"> </w:t>
                  </w:r>
                  <w:r>
                    <w:rPr>
                      <w:rFonts w:asciiTheme="minorHAnsi" w:hAnsiTheme="minorHAnsi" w:cstheme="minorHAnsi"/>
                      <w:sz w:val="22"/>
                      <w:szCs w:val="22"/>
                    </w:rPr>
                    <w:t>j</w:t>
                  </w:r>
                  <w:r>
                    <w:rPr>
                      <w:rFonts w:asciiTheme="minorHAnsi" w:hAnsiTheme="minorHAnsi" w:cstheme="minorHAnsi"/>
                      <w:spacing w:val="-1"/>
                      <w:sz w:val="22"/>
                      <w:szCs w:val="22"/>
                    </w:rPr>
                    <w:t>an</w:t>
                  </w:r>
                  <w:r>
                    <w:rPr>
                      <w:rFonts w:asciiTheme="minorHAnsi" w:hAnsiTheme="minorHAnsi" w:cstheme="minorHAnsi"/>
                      <w:spacing w:val="1"/>
                      <w:sz w:val="22"/>
                      <w:szCs w:val="22"/>
                    </w:rPr>
                    <w:t>v</w:t>
                  </w:r>
                  <w:r>
                    <w:rPr>
                      <w:rFonts w:asciiTheme="minorHAnsi" w:hAnsiTheme="minorHAnsi" w:cstheme="minorHAnsi"/>
                      <w:sz w:val="22"/>
                      <w:szCs w:val="22"/>
                    </w:rPr>
                    <w:t>i</w:t>
                  </w:r>
                  <w:r>
                    <w:rPr>
                      <w:rFonts w:asciiTheme="minorHAnsi" w:hAnsiTheme="minorHAnsi" w:cstheme="minorHAnsi"/>
                      <w:spacing w:val="-1"/>
                      <w:sz w:val="22"/>
                      <w:szCs w:val="22"/>
                    </w:rPr>
                    <w:t>e</w:t>
                  </w:r>
                  <w:r>
                    <w:rPr>
                      <w:rFonts w:asciiTheme="minorHAnsi" w:hAnsiTheme="minorHAnsi" w:cstheme="minorHAnsi"/>
                      <w:sz w:val="22"/>
                      <w:szCs w:val="22"/>
                    </w:rPr>
                    <w:t>r</w:t>
                  </w:r>
                  <w:r>
                    <w:rPr>
                      <w:rFonts w:asciiTheme="minorHAnsi" w:hAnsiTheme="minorHAnsi" w:cstheme="minorHAnsi"/>
                      <w:spacing w:val="10"/>
                      <w:sz w:val="22"/>
                      <w:szCs w:val="22"/>
                    </w:rPr>
                    <w:t xml:space="preserve"> </w:t>
                  </w:r>
                  <w:r>
                    <w:rPr>
                      <w:rFonts w:asciiTheme="minorHAnsi" w:hAnsiTheme="minorHAnsi" w:cstheme="minorHAnsi"/>
                      <w:sz w:val="22"/>
                      <w:szCs w:val="22"/>
                    </w:rPr>
                    <w:t>f</w:t>
                  </w:r>
                  <w:r>
                    <w:rPr>
                      <w:rFonts w:asciiTheme="minorHAnsi" w:hAnsiTheme="minorHAnsi" w:cstheme="minorHAnsi"/>
                      <w:spacing w:val="-1"/>
                      <w:sz w:val="22"/>
                      <w:szCs w:val="22"/>
                    </w:rPr>
                    <w:t>a</w:t>
                  </w:r>
                  <w:r>
                    <w:rPr>
                      <w:rFonts w:asciiTheme="minorHAnsi" w:hAnsiTheme="minorHAnsi" w:cstheme="minorHAnsi"/>
                      <w:sz w:val="22"/>
                      <w:szCs w:val="22"/>
                    </w:rPr>
                    <w:t>it</w:t>
                  </w:r>
                  <w:r>
                    <w:rPr>
                      <w:rFonts w:asciiTheme="minorHAnsi" w:hAnsiTheme="minorHAnsi" w:cstheme="minorHAnsi"/>
                      <w:spacing w:val="10"/>
                      <w:sz w:val="22"/>
                      <w:szCs w:val="22"/>
                    </w:rPr>
                    <w:t xml:space="preserve"> </w:t>
                  </w:r>
                  <w:r>
                    <w:rPr>
                      <w:rFonts w:asciiTheme="minorHAnsi" w:hAnsiTheme="minorHAnsi" w:cstheme="minorHAnsi"/>
                      <w:spacing w:val="1"/>
                      <w:sz w:val="22"/>
                      <w:szCs w:val="22"/>
                    </w:rPr>
                    <w:t>p</w:t>
                  </w:r>
                  <w:r>
                    <w:rPr>
                      <w:rFonts w:asciiTheme="minorHAnsi" w:hAnsiTheme="minorHAnsi" w:cstheme="minorHAnsi"/>
                      <w:spacing w:val="-3"/>
                      <w:sz w:val="22"/>
                      <w:szCs w:val="22"/>
                    </w:rPr>
                    <w:t>a</w:t>
                  </w:r>
                  <w:r>
                    <w:rPr>
                      <w:rFonts w:asciiTheme="minorHAnsi" w:hAnsiTheme="minorHAnsi" w:cstheme="minorHAnsi"/>
                      <w:spacing w:val="1"/>
                      <w:sz w:val="22"/>
                      <w:szCs w:val="22"/>
                    </w:rPr>
                    <w:t>rt</w:t>
                  </w:r>
                  <w:r>
                    <w:rPr>
                      <w:rFonts w:asciiTheme="minorHAnsi" w:hAnsiTheme="minorHAnsi" w:cstheme="minorHAnsi"/>
                      <w:sz w:val="22"/>
                      <w:szCs w:val="22"/>
                    </w:rPr>
                    <w:t>ie</w:t>
                  </w:r>
                  <w:r>
                    <w:rPr>
                      <w:rFonts w:asciiTheme="minorHAnsi" w:hAnsiTheme="minorHAnsi" w:cstheme="minorHAnsi"/>
                      <w:spacing w:val="8"/>
                      <w:sz w:val="22"/>
                      <w:szCs w:val="22"/>
                    </w:rPr>
                    <w:t xml:space="preserve"> </w:t>
                  </w:r>
                  <w:r>
                    <w:rPr>
                      <w:rFonts w:asciiTheme="minorHAnsi" w:hAnsiTheme="minorHAnsi" w:cstheme="minorHAnsi"/>
                      <w:sz w:val="22"/>
                      <w:szCs w:val="22"/>
                    </w:rPr>
                    <w:t>du</w:t>
                  </w:r>
                  <w:r>
                    <w:rPr>
                      <w:rFonts w:asciiTheme="minorHAnsi" w:hAnsiTheme="minorHAnsi" w:cstheme="minorHAnsi"/>
                      <w:spacing w:val="10"/>
                      <w:sz w:val="22"/>
                      <w:szCs w:val="22"/>
                    </w:rPr>
                    <w:t xml:space="preserve"> </w:t>
                  </w:r>
                  <w:r>
                    <w:rPr>
                      <w:rFonts w:asciiTheme="minorHAnsi" w:hAnsiTheme="minorHAnsi" w:cstheme="minorHAnsi"/>
                      <w:spacing w:val="-1"/>
                      <w:sz w:val="22"/>
                      <w:szCs w:val="22"/>
                    </w:rPr>
                    <w:t>n</w:t>
                  </w:r>
                  <w:r>
                    <w:rPr>
                      <w:rFonts w:asciiTheme="minorHAnsi" w:hAnsiTheme="minorHAnsi" w:cstheme="minorHAnsi"/>
                      <w:spacing w:val="1"/>
                      <w:sz w:val="22"/>
                      <w:szCs w:val="22"/>
                    </w:rPr>
                    <w:t>o</w:t>
                  </w:r>
                  <w:r>
                    <w:rPr>
                      <w:rFonts w:asciiTheme="minorHAnsi" w:hAnsiTheme="minorHAnsi" w:cstheme="minorHAnsi"/>
                      <w:spacing w:val="-3"/>
                      <w:sz w:val="22"/>
                      <w:szCs w:val="22"/>
                    </w:rPr>
                    <w:t>m</w:t>
                  </w:r>
                  <w:r>
                    <w:rPr>
                      <w:rFonts w:asciiTheme="minorHAnsi" w:hAnsiTheme="minorHAnsi" w:cstheme="minorHAnsi"/>
                      <w:spacing w:val="1"/>
                      <w:sz w:val="22"/>
                      <w:szCs w:val="22"/>
                    </w:rPr>
                    <w:t>br</w:t>
                  </w:r>
                  <w:r>
                    <w:rPr>
                      <w:rFonts w:asciiTheme="minorHAnsi" w:hAnsiTheme="minorHAnsi" w:cstheme="minorHAnsi"/>
                      <w:sz w:val="22"/>
                      <w:szCs w:val="22"/>
                    </w:rPr>
                    <w:t>e</w:t>
                  </w:r>
                  <w:r>
                    <w:rPr>
                      <w:rFonts w:asciiTheme="minorHAnsi" w:hAnsiTheme="minorHAnsi" w:cstheme="minorHAnsi"/>
                      <w:spacing w:val="8"/>
                      <w:sz w:val="22"/>
                      <w:szCs w:val="22"/>
                    </w:rPr>
                    <w:t xml:space="preserve"> </w:t>
                  </w:r>
                  <w:r>
                    <w:rPr>
                      <w:rFonts w:asciiTheme="minorHAnsi" w:hAnsiTheme="minorHAnsi" w:cstheme="minorHAnsi"/>
                      <w:sz w:val="22"/>
                      <w:szCs w:val="22"/>
                    </w:rPr>
                    <w:t>d’</w:t>
                  </w:r>
                  <w:r>
                    <w:rPr>
                      <w:rFonts w:asciiTheme="minorHAnsi" w:hAnsiTheme="minorHAnsi" w:cstheme="minorHAnsi"/>
                      <w:spacing w:val="-1"/>
                      <w:sz w:val="22"/>
                      <w:szCs w:val="22"/>
                    </w:rPr>
                    <w:t>élè</w:t>
                  </w:r>
                  <w:r>
                    <w:rPr>
                      <w:rFonts w:asciiTheme="minorHAnsi" w:hAnsiTheme="minorHAnsi" w:cstheme="minorHAnsi"/>
                      <w:spacing w:val="1"/>
                      <w:sz w:val="22"/>
                      <w:szCs w:val="22"/>
                    </w:rPr>
                    <w:t>v</w:t>
                  </w:r>
                  <w:r>
                    <w:rPr>
                      <w:rFonts w:asciiTheme="minorHAnsi" w:hAnsiTheme="minorHAnsi" w:cstheme="minorHAnsi"/>
                      <w:spacing w:val="-1"/>
                      <w:sz w:val="22"/>
                      <w:szCs w:val="22"/>
                    </w:rPr>
                    <w:t>e</w:t>
                  </w:r>
                  <w:r>
                    <w:rPr>
                      <w:rFonts w:asciiTheme="minorHAnsi" w:hAnsiTheme="minorHAnsi" w:cstheme="minorHAnsi"/>
                      <w:sz w:val="22"/>
                      <w:szCs w:val="22"/>
                    </w:rPr>
                    <w:t xml:space="preserve">s </w:t>
                  </w:r>
                  <w:r>
                    <w:rPr>
                      <w:rFonts w:asciiTheme="minorHAnsi" w:hAnsiTheme="minorHAnsi" w:cstheme="minorHAnsi"/>
                      <w:spacing w:val="1"/>
                      <w:sz w:val="22"/>
                      <w:szCs w:val="22"/>
                    </w:rPr>
                    <w:t>pr</w:t>
                  </w:r>
                  <w:r>
                    <w:rPr>
                      <w:rFonts w:asciiTheme="minorHAnsi" w:hAnsiTheme="minorHAnsi" w:cstheme="minorHAnsi"/>
                      <w:spacing w:val="-2"/>
                      <w:sz w:val="22"/>
                      <w:szCs w:val="22"/>
                    </w:rPr>
                    <w:t>i</w:t>
                  </w:r>
                  <w:r>
                    <w:rPr>
                      <w:rFonts w:asciiTheme="minorHAnsi" w:hAnsiTheme="minorHAnsi" w:cstheme="minorHAnsi"/>
                      <w:sz w:val="22"/>
                      <w:szCs w:val="22"/>
                    </w:rPr>
                    <w:t>s</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e</w:t>
                  </w:r>
                  <w:r>
                    <w:rPr>
                      <w:rFonts w:asciiTheme="minorHAnsi" w:hAnsiTheme="minorHAnsi" w:cstheme="minorHAnsi"/>
                      <w:sz w:val="22"/>
                      <w:szCs w:val="22"/>
                    </w:rPr>
                    <w:t>n</w:t>
                  </w:r>
                  <w:r>
                    <w:rPr>
                      <w:rFonts w:asciiTheme="minorHAnsi" w:hAnsiTheme="minorHAnsi" w:cstheme="minorHAnsi"/>
                      <w:spacing w:val="14"/>
                      <w:sz w:val="22"/>
                      <w:szCs w:val="22"/>
                    </w:rPr>
                    <w:t xml:space="preserve"> </w:t>
                  </w:r>
                  <w:r>
                    <w:rPr>
                      <w:rFonts w:asciiTheme="minorHAnsi" w:hAnsiTheme="minorHAnsi" w:cstheme="minorHAnsi"/>
                      <w:spacing w:val="1"/>
                      <w:sz w:val="22"/>
                      <w:szCs w:val="22"/>
                    </w:rPr>
                    <w:t>co</w:t>
                  </w:r>
                  <w:r>
                    <w:rPr>
                      <w:rFonts w:asciiTheme="minorHAnsi" w:hAnsiTheme="minorHAnsi" w:cstheme="minorHAnsi"/>
                      <w:sz w:val="22"/>
                      <w:szCs w:val="22"/>
                    </w:rPr>
                    <w:t>m</w:t>
                  </w:r>
                  <w:r>
                    <w:rPr>
                      <w:rFonts w:asciiTheme="minorHAnsi" w:hAnsiTheme="minorHAnsi" w:cstheme="minorHAnsi"/>
                      <w:spacing w:val="1"/>
                      <w:sz w:val="22"/>
                      <w:szCs w:val="22"/>
                    </w:rPr>
                    <w:t>pt</w:t>
                  </w:r>
                  <w:r>
                    <w:rPr>
                      <w:rFonts w:asciiTheme="minorHAnsi" w:hAnsiTheme="minorHAnsi" w:cstheme="minorHAnsi"/>
                      <w:sz w:val="22"/>
                      <w:szCs w:val="22"/>
                    </w:rPr>
                    <w:t>e</w:t>
                  </w:r>
                  <w:r>
                    <w:rPr>
                      <w:rFonts w:asciiTheme="minorHAnsi" w:hAnsiTheme="minorHAnsi" w:cstheme="minorHAnsi"/>
                      <w:spacing w:val="14"/>
                      <w:sz w:val="22"/>
                      <w:szCs w:val="22"/>
                    </w:rPr>
                    <w:t xml:space="preserve"> </w:t>
                  </w:r>
                  <w:r>
                    <w:rPr>
                      <w:rFonts w:asciiTheme="minorHAnsi" w:hAnsiTheme="minorHAnsi" w:cstheme="minorHAnsi"/>
                      <w:spacing w:val="-1"/>
                      <w:sz w:val="22"/>
                      <w:szCs w:val="22"/>
                    </w:rPr>
                    <w:t>p</w:t>
                  </w:r>
                  <w:r>
                    <w:rPr>
                      <w:rFonts w:asciiTheme="minorHAnsi" w:hAnsiTheme="minorHAnsi" w:cstheme="minorHAnsi"/>
                      <w:spacing w:val="1"/>
                      <w:sz w:val="22"/>
                      <w:szCs w:val="22"/>
                    </w:rPr>
                    <w:t>o</w:t>
                  </w:r>
                  <w:r>
                    <w:rPr>
                      <w:rFonts w:asciiTheme="minorHAnsi" w:hAnsiTheme="minorHAnsi" w:cstheme="minorHAnsi"/>
                      <w:spacing w:val="-2"/>
                      <w:sz w:val="22"/>
                      <w:szCs w:val="22"/>
                    </w:rPr>
                    <w:t>u</w:t>
                  </w:r>
                  <w:r>
                    <w:rPr>
                      <w:rFonts w:asciiTheme="minorHAnsi" w:hAnsiTheme="minorHAnsi" w:cstheme="minorHAnsi"/>
                      <w:sz w:val="22"/>
                      <w:szCs w:val="22"/>
                    </w:rPr>
                    <w:t>r</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l</w:t>
                  </w:r>
                  <w:r>
                    <w:rPr>
                      <w:rFonts w:asciiTheme="minorHAnsi" w:hAnsiTheme="minorHAnsi" w:cstheme="minorHAnsi"/>
                      <w:sz w:val="22"/>
                      <w:szCs w:val="22"/>
                    </w:rPr>
                    <w:t>e</w:t>
                  </w:r>
                  <w:r>
                    <w:rPr>
                      <w:rFonts w:asciiTheme="minorHAnsi" w:hAnsiTheme="minorHAnsi" w:cstheme="minorHAnsi"/>
                      <w:spacing w:val="16"/>
                      <w:sz w:val="22"/>
                      <w:szCs w:val="22"/>
                    </w:rPr>
                    <w:t xml:space="preserve"> </w:t>
                  </w:r>
                  <w:r>
                    <w:rPr>
                      <w:rFonts w:asciiTheme="minorHAnsi" w:hAnsiTheme="minorHAnsi" w:cstheme="minorHAnsi"/>
                      <w:sz w:val="22"/>
                      <w:szCs w:val="22"/>
                    </w:rPr>
                    <w:t>CPU</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ap</w:t>
                  </w:r>
                  <w:r>
                    <w:rPr>
                      <w:rFonts w:asciiTheme="minorHAnsi" w:hAnsiTheme="minorHAnsi" w:cstheme="minorHAnsi"/>
                      <w:spacing w:val="1"/>
                      <w:sz w:val="22"/>
                      <w:szCs w:val="22"/>
                    </w:rPr>
                    <w:t>p</w:t>
                  </w:r>
                  <w:r>
                    <w:rPr>
                      <w:rFonts w:asciiTheme="minorHAnsi" w:hAnsiTheme="minorHAnsi" w:cstheme="minorHAnsi"/>
                      <w:spacing w:val="-1"/>
                      <w:sz w:val="22"/>
                      <w:szCs w:val="22"/>
                    </w:rPr>
                    <w:t>l</w:t>
                  </w:r>
                  <w:r>
                    <w:rPr>
                      <w:rFonts w:asciiTheme="minorHAnsi" w:hAnsiTheme="minorHAnsi" w:cstheme="minorHAnsi"/>
                      <w:sz w:val="22"/>
                      <w:szCs w:val="22"/>
                    </w:rPr>
                    <w:t>i</w:t>
                  </w:r>
                  <w:r>
                    <w:rPr>
                      <w:rFonts w:asciiTheme="minorHAnsi" w:hAnsiTheme="minorHAnsi" w:cstheme="minorHAnsi"/>
                      <w:spacing w:val="-1"/>
                      <w:sz w:val="22"/>
                      <w:szCs w:val="22"/>
                    </w:rPr>
                    <w:t>q</w:t>
                  </w:r>
                  <w:r>
                    <w:rPr>
                      <w:rFonts w:asciiTheme="minorHAnsi" w:hAnsiTheme="minorHAnsi" w:cstheme="minorHAnsi"/>
                      <w:sz w:val="22"/>
                      <w:szCs w:val="22"/>
                    </w:rPr>
                    <w:t>ué</w:t>
                  </w:r>
                  <w:r>
                    <w:rPr>
                      <w:rFonts w:asciiTheme="minorHAnsi" w:hAnsiTheme="minorHAnsi" w:cstheme="minorHAnsi"/>
                      <w:spacing w:val="14"/>
                      <w:sz w:val="22"/>
                      <w:szCs w:val="22"/>
                    </w:rPr>
                    <w:t xml:space="preserve"> </w:t>
                  </w:r>
                  <w:r>
                    <w:rPr>
                      <w:rFonts w:asciiTheme="minorHAnsi" w:hAnsiTheme="minorHAnsi" w:cstheme="minorHAnsi"/>
                      <w:sz w:val="22"/>
                      <w:szCs w:val="22"/>
                    </w:rPr>
                    <w:t>à</w:t>
                  </w:r>
                  <w:r>
                    <w:rPr>
                      <w:rFonts w:asciiTheme="minorHAnsi" w:hAnsiTheme="minorHAnsi" w:cstheme="minorHAnsi"/>
                      <w:spacing w:val="14"/>
                      <w:sz w:val="22"/>
                      <w:szCs w:val="22"/>
                    </w:rPr>
                    <w:t xml:space="preserve"> </w:t>
                  </w:r>
                  <w:r>
                    <w:rPr>
                      <w:rFonts w:asciiTheme="minorHAnsi" w:hAnsiTheme="minorHAnsi" w:cstheme="minorHAnsi"/>
                      <w:spacing w:val="1"/>
                      <w:sz w:val="22"/>
                      <w:szCs w:val="22"/>
                    </w:rPr>
                    <w:t>p</w:t>
                  </w:r>
                  <w:r>
                    <w:rPr>
                      <w:rFonts w:asciiTheme="minorHAnsi" w:hAnsiTheme="minorHAnsi" w:cstheme="minorHAnsi"/>
                      <w:spacing w:val="-1"/>
                      <w:sz w:val="22"/>
                      <w:szCs w:val="22"/>
                    </w:rPr>
                    <w:t>a</w:t>
                  </w:r>
                  <w:r>
                    <w:rPr>
                      <w:rFonts w:asciiTheme="minorHAnsi" w:hAnsiTheme="minorHAnsi" w:cstheme="minorHAnsi"/>
                      <w:spacing w:val="1"/>
                      <w:sz w:val="22"/>
                      <w:szCs w:val="22"/>
                    </w:rPr>
                    <w:t>rt</w:t>
                  </w:r>
                  <w:r>
                    <w:rPr>
                      <w:rFonts w:asciiTheme="minorHAnsi" w:hAnsiTheme="minorHAnsi" w:cstheme="minorHAnsi"/>
                      <w:sz w:val="22"/>
                      <w:szCs w:val="22"/>
                    </w:rPr>
                    <w:t>ir</w:t>
                  </w:r>
                  <w:r>
                    <w:rPr>
                      <w:rFonts w:asciiTheme="minorHAnsi" w:hAnsiTheme="minorHAnsi" w:cstheme="minorHAnsi"/>
                      <w:spacing w:val="16"/>
                      <w:sz w:val="22"/>
                      <w:szCs w:val="22"/>
                    </w:rPr>
                    <w:t xml:space="preserve"> </w:t>
                  </w:r>
                  <w:r>
                    <w:rPr>
                      <w:rFonts w:asciiTheme="minorHAnsi" w:hAnsiTheme="minorHAnsi" w:cstheme="minorHAnsi"/>
                      <w:spacing w:val="-2"/>
                      <w:sz w:val="22"/>
                      <w:szCs w:val="22"/>
                    </w:rPr>
                    <w:t>d</w:t>
                  </w:r>
                  <w:r>
                    <w:rPr>
                      <w:rFonts w:asciiTheme="minorHAnsi" w:hAnsiTheme="minorHAnsi" w:cstheme="minorHAnsi"/>
                      <w:sz w:val="22"/>
                      <w:szCs w:val="22"/>
                    </w:rPr>
                    <w:t>u</w:t>
                  </w:r>
                  <w:r>
                    <w:rPr>
                      <w:rFonts w:asciiTheme="minorHAnsi" w:hAnsiTheme="minorHAnsi" w:cstheme="minorHAnsi"/>
                      <w:spacing w:val="15"/>
                      <w:sz w:val="22"/>
                      <w:szCs w:val="22"/>
                    </w:rPr>
                    <w:t xml:space="preserve"> </w:t>
                  </w:r>
                  <w:r>
                    <w:rPr>
                      <w:rFonts w:asciiTheme="minorHAnsi" w:hAnsiTheme="minorHAnsi" w:cstheme="minorHAnsi"/>
                      <w:spacing w:val="1"/>
                      <w:sz w:val="22"/>
                      <w:szCs w:val="22"/>
                    </w:rPr>
                    <w:t>1</w:t>
                  </w:r>
                  <w:r>
                    <w:rPr>
                      <w:rFonts w:asciiTheme="minorHAnsi" w:hAnsiTheme="minorHAnsi" w:cstheme="minorHAnsi"/>
                      <w:position w:val="6"/>
                      <w:sz w:val="22"/>
                      <w:szCs w:val="22"/>
                    </w:rPr>
                    <w:t xml:space="preserve">er  </w:t>
                  </w:r>
                  <w:r>
                    <w:rPr>
                      <w:rFonts w:asciiTheme="minorHAnsi" w:hAnsiTheme="minorHAnsi" w:cstheme="minorHAnsi"/>
                      <w:spacing w:val="1"/>
                      <w:sz w:val="22"/>
                      <w:szCs w:val="22"/>
                    </w:rPr>
                    <w:t>s</w:t>
                  </w:r>
                  <w:r>
                    <w:rPr>
                      <w:rFonts w:asciiTheme="minorHAnsi" w:hAnsiTheme="minorHAnsi" w:cstheme="minorHAnsi"/>
                      <w:spacing w:val="-1"/>
                      <w:sz w:val="22"/>
                      <w:szCs w:val="22"/>
                    </w:rPr>
                    <w:t>e</w:t>
                  </w:r>
                  <w:r>
                    <w:rPr>
                      <w:rFonts w:asciiTheme="minorHAnsi" w:hAnsiTheme="minorHAnsi" w:cstheme="minorHAnsi"/>
                      <w:spacing w:val="1"/>
                      <w:sz w:val="22"/>
                      <w:szCs w:val="22"/>
                    </w:rPr>
                    <w:t>pt</w:t>
                  </w:r>
                  <w:r>
                    <w:rPr>
                      <w:rFonts w:asciiTheme="minorHAnsi" w:hAnsiTheme="minorHAnsi" w:cstheme="minorHAnsi"/>
                      <w:spacing w:val="-1"/>
                      <w:sz w:val="22"/>
                      <w:szCs w:val="22"/>
                    </w:rPr>
                    <w:t>e</w:t>
                  </w:r>
                  <w:r>
                    <w:rPr>
                      <w:rFonts w:asciiTheme="minorHAnsi" w:hAnsiTheme="minorHAnsi" w:cstheme="minorHAnsi"/>
                      <w:spacing w:val="-3"/>
                      <w:sz w:val="22"/>
                      <w:szCs w:val="22"/>
                    </w:rPr>
                    <w:t>m</w:t>
                  </w:r>
                  <w:r>
                    <w:rPr>
                      <w:rFonts w:asciiTheme="minorHAnsi" w:hAnsiTheme="minorHAnsi" w:cstheme="minorHAnsi"/>
                      <w:spacing w:val="1"/>
                      <w:sz w:val="22"/>
                      <w:szCs w:val="22"/>
                    </w:rPr>
                    <w:t>br</w:t>
                  </w:r>
                  <w:r>
                    <w:rPr>
                      <w:rFonts w:asciiTheme="minorHAnsi" w:hAnsiTheme="minorHAnsi" w:cstheme="minorHAnsi"/>
                      <w:spacing w:val="-1"/>
                      <w:sz w:val="22"/>
                      <w:szCs w:val="22"/>
                    </w:rPr>
                    <w:t>e</w:t>
                  </w:r>
                  <w:r>
                    <w:rPr>
                      <w:rFonts w:asciiTheme="minorHAnsi" w:hAnsiTheme="minorHAnsi" w:cstheme="minorHAnsi"/>
                      <w:sz w:val="22"/>
                      <w:szCs w:val="22"/>
                    </w:rPr>
                    <w:t>,</w:t>
                  </w:r>
                  <w:r>
                    <w:rPr>
                      <w:rFonts w:asciiTheme="minorHAnsi" w:hAnsiTheme="minorHAnsi" w:cstheme="minorHAnsi"/>
                      <w:spacing w:val="15"/>
                      <w:sz w:val="22"/>
                      <w:szCs w:val="22"/>
                    </w:rPr>
                    <w:t xml:space="preserve"> </w:t>
                  </w:r>
                  <w:r>
                    <w:rPr>
                      <w:rFonts w:asciiTheme="minorHAnsi" w:hAnsiTheme="minorHAnsi" w:cstheme="minorHAnsi"/>
                      <w:sz w:val="22"/>
                      <w:szCs w:val="22"/>
                    </w:rPr>
                    <w:t>m</w:t>
                  </w:r>
                  <w:r>
                    <w:rPr>
                      <w:rFonts w:asciiTheme="minorHAnsi" w:hAnsiTheme="minorHAnsi" w:cstheme="minorHAnsi"/>
                      <w:spacing w:val="-1"/>
                      <w:sz w:val="22"/>
                      <w:szCs w:val="22"/>
                    </w:rPr>
                    <w:t>ê</w:t>
                  </w:r>
                  <w:r>
                    <w:rPr>
                      <w:rFonts w:asciiTheme="minorHAnsi" w:hAnsiTheme="minorHAnsi" w:cstheme="minorHAnsi"/>
                      <w:sz w:val="22"/>
                      <w:szCs w:val="22"/>
                    </w:rPr>
                    <w:t>me</w:t>
                  </w:r>
                  <w:r>
                    <w:rPr>
                      <w:rFonts w:asciiTheme="minorHAnsi" w:hAnsiTheme="minorHAnsi" w:cstheme="minorHAnsi"/>
                      <w:spacing w:val="14"/>
                      <w:sz w:val="22"/>
                      <w:szCs w:val="22"/>
                    </w:rPr>
                    <w:t xml:space="preserve"> </w:t>
                  </w:r>
                  <w:r>
                    <w:rPr>
                      <w:rFonts w:asciiTheme="minorHAnsi" w:hAnsiTheme="minorHAnsi" w:cstheme="minorHAnsi"/>
                      <w:spacing w:val="1"/>
                      <w:sz w:val="22"/>
                      <w:szCs w:val="22"/>
                    </w:rPr>
                    <w:t>s</w:t>
                  </w:r>
                  <w:r>
                    <w:rPr>
                      <w:rFonts w:asciiTheme="minorHAnsi" w:hAnsiTheme="minorHAnsi" w:cstheme="minorHAnsi"/>
                      <w:sz w:val="22"/>
                      <w:szCs w:val="22"/>
                    </w:rPr>
                    <w:t>’il</w:t>
                  </w:r>
                  <w:r>
                    <w:rPr>
                      <w:rFonts w:asciiTheme="minorHAnsi" w:hAnsiTheme="minorHAnsi" w:cstheme="minorHAnsi"/>
                      <w:spacing w:val="14"/>
                      <w:sz w:val="22"/>
                      <w:szCs w:val="22"/>
                    </w:rPr>
                    <w:t xml:space="preserve"> </w:t>
                  </w:r>
                  <w:r>
                    <w:rPr>
                      <w:rFonts w:asciiTheme="minorHAnsi" w:hAnsiTheme="minorHAnsi" w:cstheme="minorHAnsi"/>
                      <w:spacing w:val="-1"/>
                      <w:sz w:val="22"/>
                      <w:szCs w:val="22"/>
                    </w:rPr>
                    <w:t>n</w:t>
                  </w:r>
                  <w:r>
                    <w:rPr>
                      <w:rFonts w:asciiTheme="minorHAnsi" w:hAnsiTheme="minorHAnsi" w:cstheme="minorHAnsi"/>
                      <w:sz w:val="22"/>
                      <w:szCs w:val="22"/>
                    </w:rPr>
                    <w:t>’</w:t>
                  </w:r>
                  <w:r>
                    <w:rPr>
                      <w:rFonts w:asciiTheme="minorHAnsi" w:hAnsiTheme="minorHAnsi" w:cstheme="minorHAnsi"/>
                      <w:spacing w:val="-1"/>
                      <w:sz w:val="22"/>
                      <w:szCs w:val="22"/>
                    </w:rPr>
                    <w:t>e</w:t>
                  </w:r>
                  <w:r>
                    <w:rPr>
                      <w:rFonts w:asciiTheme="minorHAnsi" w:hAnsiTheme="minorHAnsi" w:cstheme="minorHAnsi"/>
                      <w:spacing w:val="1"/>
                      <w:sz w:val="22"/>
                      <w:szCs w:val="22"/>
                    </w:rPr>
                    <w:t>s</w:t>
                  </w:r>
                  <w:r>
                    <w:rPr>
                      <w:rFonts w:asciiTheme="minorHAnsi" w:hAnsiTheme="minorHAnsi" w:cstheme="minorHAnsi"/>
                      <w:sz w:val="22"/>
                      <w:szCs w:val="22"/>
                    </w:rPr>
                    <w:t>t</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p</w:t>
                  </w:r>
                  <w:r>
                    <w:rPr>
                      <w:rFonts w:asciiTheme="minorHAnsi" w:hAnsiTheme="minorHAnsi" w:cstheme="minorHAnsi"/>
                      <w:spacing w:val="-1"/>
                      <w:sz w:val="22"/>
                      <w:szCs w:val="22"/>
                    </w:rPr>
                    <w:t>l</w:t>
                  </w:r>
                  <w:r>
                    <w:rPr>
                      <w:rFonts w:asciiTheme="minorHAnsi" w:hAnsiTheme="minorHAnsi" w:cstheme="minorHAnsi"/>
                      <w:sz w:val="22"/>
                      <w:szCs w:val="22"/>
                    </w:rPr>
                    <w:t>us</w:t>
                  </w:r>
                  <w:r>
                    <w:rPr>
                      <w:rFonts w:asciiTheme="minorHAnsi" w:hAnsiTheme="minorHAnsi" w:cstheme="minorHAnsi"/>
                      <w:spacing w:val="16"/>
                      <w:sz w:val="22"/>
                      <w:szCs w:val="22"/>
                    </w:rPr>
                    <w:t xml:space="preserve"> </w:t>
                  </w:r>
                  <w:r>
                    <w:rPr>
                      <w:rFonts w:asciiTheme="minorHAnsi" w:hAnsiTheme="minorHAnsi" w:cstheme="minorHAnsi"/>
                      <w:sz w:val="22"/>
                      <w:szCs w:val="22"/>
                    </w:rPr>
                    <w:t>i</w:t>
                  </w:r>
                  <w:r>
                    <w:rPr>
                      <w:rFonts w:asciiTheme="minorHAnsi" w:hAnsiTheme="minorHAnsi" w:cstheme="minorHAnsi"/>
                      <w:spacing w:val="-1"/>
                      <w:sz w:val="22"/>
                      <w:szCs w:val="22"/>
                    </w:rPr>
                    <w:t>n</w:t>
                  </w:r>
                  <w:r>
                    <w:rPr>
                      <w:rFonts w:asciiTheme="minorHAnsi" w:hAnsiTheme="minorHAnsi" w:cstheme="minorHAnsi"/>
                      <w:spacing w:val="1"/>
                      <w:sz w:val="22"/>
                      <w:szCs w:val="22"/>
                    </w:rPr>
                    <w:t>s</w:t>
                  </w:r>
                  <w:r>
                    <w:rPr>
                      <w:rFonts w:asciiTheme="minorHAnsi" w:hAnsiTheme="minorHAnsi" w:cstheme="minorHAnsi"/>
                      <w:spacing w:val="-2"/>
                      <w:sz w:val="22"/>
                      <w:szCs w:val="22"/>
                    </w:rPr>
                    <w:t>c</w:t>
                  </w:r>
                  <w:r>
                    <w:rPr>
                      <w:rFonts w:asciiTheme="minorHAnsi" w:hAnsiTheme="minorHAnsi" w:cstheme="minorHAnsi"/>
                      <w:spacing w:val="1"/>
                      <w:sz w:val="22"/>
                      <w:szCs w:val="22"/>
                    </w:rPr>
                    <w:t>r</w:t>
                  </w:r>
                  <w:r>
                    <w:rPr>
                      <w:rFonts w:asciiTheme="minorHAnsi" w:hAnsiTheme="minorHAnsi" w:cstheme="minorHAnsi"/>
                      <w:spacing w:val="-2"/>
                      <w:sz w:val="22"/>
                      <w:szCs w:val="22"/>
                    </w:rPr>
                    <w:t>i</w:t>
                  </w:r>
                  <w:r>
                    <w:rPr>
                      <w:rFonts w:asciiTheme="minorHAnsi" w:hAnsiTheme="minorHAnsi" w:cstheme="minorHAnsi"/>
                      <w:sz w:val="22"/>
                      <w:szCs w:val="22"/>
                    </w:rPr>
                    <w:t>t d</w:t>
                  </w:r>
                  <w:r>
                    <w:rPr>
                      <w:rFonts w:asciiTheme="minorHAnsi" w:hAnsiTheme="minorHAnsi" w:cstheme="minorHAnsi"/>
                      <w:spacing w:val="-1"/>
                      <w:sz w:val="22"/>
                      <w:szCs w:val="22"/>
                    </w:rPr>
                    <w:t>an</w:t>
                  </w:r>
                  <w:r>
                    <w:rPr>
                      <w:rFonts w:asciiTheme="minorHAnsi" w:hAnsiTheme="minorHAnsi" w:cstheme="minorHAnsi"/>
                      <w:sz w:val="22"/>
                      <w:szCs w:val="22"/>
                    </w:rPr>
                    <w:t xml:space="preserve">s </w:t>
                  </w:r>
                  <w:r>
                    <w:rPr>
                      <w:rFonts w:asciiTheme="minorHAnsi" w:hAnsiTheme="minorHAnsi" w:cstheme="minorHAnsi"/>
                      <w:spacing w:val="-1"/>
                      <w:sz w:val="22"/>
                      <w:szCs w:val="22"/>
                    </w:rPr>
                    <w:t>l</w:t>
                  </w:r>
                  <w:r>
                    <w:rPr>
                      <w:rFonts w:asciiTheme="minorHAnsi" w:hAnsiTheme="minorHAnsi" w:cstheme="minorHAnsi"/>
                      <w:sz w:val="22"/>
                      <w:szCs w:val="22"/>
                    </w:rPr>
                    <w:t>’</w:t>
                  </w:r>
                  <w:r>
                    <w:rPr>
                      <w:rFonts w:asciiTheme="minorHAnsi" w:hAnsiTheme="minorHAnsi" w:cstheme="minorHAnsi"/>
                      <w:spacing w:val="-1"/>
                      <w:sz w:val="22"/>
                      <w:szCs w:val="22"/>
                    </w:rPr>
                    <w:t>é</w:t>
                  </w:r>
                  <w:r>
                    <w:rPr>
                      <w:rFonts w:asciiTheme="minorHAnsi" w:hAnsiTheme="minorHAnsi" w:cstheme="minorHAnsi"/>
                      <w:spacing w:val="1"/>
                      <w:sz w:val="22"/>
                      <w:szCs w:val="22"/>
                    </w:rPr>
                    <w:t>t</w:t>
                  </w:r>
                  <w:r>
                    <w:rPr>
                      <w:rFonts w:asciiTheme="minorHAnsi" w:hAnsiTheme="minorHAnsi" w:cstheme="minorHAnsi"/>
                      <w:spacing w:val="-1"/>
                      <w:sz w:val="22"/>
                      <w:szCs w:val="22"/>
                    </w:rPr>
                    <w:t>a</w:t>
                  </w:r>
                  <w:r>
                    <w:rPr>
                      <w:rFonts w:asciiTheme="minorHAnsi" w:hAnsiTheme="minorHAnsi" w:cstheme="minorHAnsi"/>
                      <w:spacing w:val="1"/>
                      <w:sz w:val="22"/>
                      <w:szCs w:val="22"/>
                    </w:rPr>
                    <w:t>b</w:t>
                  </w:r>
                  <w:r>
                    <w:rPr>
                      <w:rFonts w:asciiTheme="minorHAnsi" w:hAnsiTheme="minorHAnsi" w:cstheme="minorHAnsi"/>
                      <w:spacing w:val="-1"/>
                      <w:sz w:val="22"/>
                      <w:szCs w:val="22"/>
                    </w:rPr>
                    <w:t>l</w:t>
                  </w:r>
                  <w:r>
                    <w:rPr>
                      <w:rFonts w:asciiTheme="minorHAnsi" w:hAnsiTheme="minorHAnsi" w:cstheme="minorHAnsi"/>
                      <w:sz w:val="22"/>
                      <w:szCs w:val="22"/>
                    </w:rPr>
                    <w:t>i</w:t>
                  </w:r>
                  <w:r>
                    <w:rPr>
                      <w:rFonts w:asciiTheme="minorHAnsi" w:hAnsiTheme="minorHAnsi" w:cstheme="minorHAnsi"/>
                      <w:spacing w:val="1"/>
                      <w:sz w:val="22"/>
                      <w:szCs w:val="22"/>
                    </w:rPr>
                    <w:t>ss</w:t>
                  </w:r>
                  <w:r>
                    <w:rPr>
                      <w:rFonts w:asciiTheme="minorHAnsi" w:hAnsiTheme="minorHAnsi" w:cstheme="minorHAnsi"/>
                      <w:spacing w:val="-1"/>
                      <w:sz w:val="22"/>
                      <w:szCs w:val="22"/>
                    </w:rPr>
                    <w:t>e</w:t>
                  </w:r>
                  <w:r>
                    <w:rPr>
                      <w:rFonts w:asciiTheme="minorHAnsi" w:hAnsiTheme="minorHAnsi" w:cstheme="minorHAnsi"/>
                      <w:sz w:val="22"/>
                      <w:szCs w:val="22"/>
                    </w:rPr>
                    <w:t>m</w:t>
                  </w:r>
                  <w:r>
                    <w:rPr>
                      <w:rFonts w:asciiTheme="minorHAnsi" w:hAnsiTheme="minorHAnsi" w:cstheme="minorHAnsi"/>
                      <w:spacing w:val="-1"/>
                      <w:sz w:val="22"/>
                      <w:szCs w:val="22"/>
                    </w:rPr>
                    <w:t>en</w:t>
                  </w:r>
                  <w:r>
                    <w:rPr>
                      <w:rFonts w:asciiTheme="minorHAnsi" w:hAnsiTheme="minorHAnsi" w:cstheme="minorHAnsi"/>
                      <w:sz w:val="22"/>
                      <w:szCs w:val="22"/>
                    </w:rPr>
                    <w:t xml:space="preserve">t </w:t>
                  </w:r>
                  <w:r>
                    <w:rPr>
                      <w:rFonts w:asciiTheme="minorHAnsi" w:hAnsiTheme="minorHAnsi" w:cstheme="minorHAnsi"/>
                      <w:spacing w:val="-1"/>
                      <w:sz w:val="22"/>
                      <w:szCs w:val="22"/>
                    </w:rPr>
                    <w:t>a</w:t>
                  </w:r>
                  <w:r>
                    <w:rPr>
                      <w:rFonts w:asciiTheme="minorHAnsi" w:hAnsiTheme="minorHAnsi" w:cstheme="minorHAnsi"/>
                      <w:sz w:val="22"/>
                      <w:szCs w:val="22"/>
                    </w:rPr>
                    <w:t>u</w:t>
                  </w:r>
                  <w:r>
                    <w:rPr>
                      <w:rFonts w:asciiTheme="minorHAnsi" w:hAnsiTheme="minorHAnsi" w:cstheme="minorHAnsi"/>
                      <w:spacing w:val="-2"/>
                      <w:sz w:val="22"/>
                      <w:szCs w:val="22"/>
                    </w:rPr>
                    <w:t xml:space="preserve"> </w:t>
                  </w:r>
                  <w:r>
                    <w:rPr>
                      <w:rFonts w:asciiTheme="minorHAnsi" w:hAnsiTheme="minorHAnsi" w:cstheme="minorHAnsi"/>
                      <w:spacing w:val="-1"/>
                      <w:sz w:val="22"/>
                      <w:szCs w:val="22"/>
                    </w:rPr>
                    <w:t>1</w:t>
                  </w:r>
                  <w:r>
                    <w:rPr>
                      <w:rFonts w:asciiTheme="minorHAnsi" w:hAnsiTheme="minorHAnsi" w:cstheme="minorHAnsi"/>
                      <w:position w:val="6"/>
                      <w:sz w:val="22"/>
                      <w:szCs w:val="22"/>
                    </w:rPr>
                    <w:t>er</w:t>
                  </w:r>
                  <w:r>
                    <w:rPr>
                      <w:rFonts w:asciiTheme="minorHAnsi" w:hAnsiTheme="minorHAnsi" w:cstheme="minorHAnsi"/>
                      <w:spacing w:val="18"/>
                      <w:position w:val="6"/>
                      <w:sz w:val="22"/>
                      <w:szCs w:val="22"/>
                    </w:rPr>
                    <w:t xml:space="preserve"> </w:t>
                  </w:r>
                  <w:r>
                    <w:rPr>
                      <w:rFonts w:asciiTheme="minorHAnsi" w:hAnsiTheme="minorHAnsi" w:cstheme="minorHAnsi"/>
                      <w:spacing w:val="1"/>
                      <w:sz w:val="22"/>
                      <w:szCs w:val="22"/>
                    </w:rPr>
                    <w:t>s</w:t>
                  </w:r>
                  <w:r>
                    <w:rPr>
                      <w:rFonts w:asciiTheme="minorHAnsi" w:hAnsiTheme="minorHAnsi" w:cstheme="minorHAnsi"/>
                      <w:spacing w:val="-1"/>
                      <w:sz w:val="22"/>
                      <w:szCs w:val="22"/>
                    </w:rPr>
                    <w:t>e</w:t>
                  </w:r>
                  <w:r>
                    <w:rPr>
                      <w:rFonts w:asciiTheme="minorHAnsi" w:hAnsiTheme="minorHAnsi" w:cstheme="minorHAnsi"/>
                      <w:spacing w:val="1"/>
                      <w:sz w:val="22"/>
                      <w:szCs w:val="22"/>
                    </w:rPr>
                    <w:t>pt</w:t>
                  </w:r>
                  <w:r>
                    <w:rPr>
                      <w:rFonts w:asciiTheme="minorHAnsi" w:hAnsiTheme="minorHAnsi" w:cstheme="minorHAnsi"/>
                      <w:spacing w:val="-1"/>
                      <w:sz w:val="22"/>
                      <w:szCs w:val="22"/>
                    </w:rPr>
                    <w:t>e</w:t>
                  </w:r>
                  <w:r>
                    <w:rPr>
                      <w:rFonts w:asciiTheme="minorHAnsi" w:hAnsiTheme="minorHAnsi" w:cstheme="minorHAnsi"/>
                      <w:sz w:val="22"/>
                      <w:szCs w:val="22"/>
                    </w:rPr>
                    <w:t>m</w:t>
                  </w:r>
                  <w:r>
                    <w:rPr>
                      <w:rFonts w:asciiTheme="minorHAnsi" w:hAnsiTheme="minorHAnsi" w:cstheme="minorHAnsi"/>
                      <w:spacing w:val="-1"/>
                      <w:sz w:val="22"/>
                      <w:szCs w:val="22"/>
                    </w:rPr>
                    <w:t>b</w:t>
                  </w:r>
                  <w:r>
                    <w:rPr>
                      <w:rFonts w:asciiTheme="minorHAnsi" w:hAnsiTheme="minorHAnsi" w:cstheme="minorHAnsi"/>
                      <w:spacing w:val="1"/>
                      <w:sz w:val="22"/>
                      <w:szCs w:val="22"/>
                    </w:rPr>
                    <w:t>r</w:t>
                  </w:r>
                  <w:r>
                    <w:rPr>
                      <w:rFonts w:asciiTheme="minorHAnsi" w:hAnsiTheme="minorHAnsi" w:cstheme="minorHAnsi"/>
                      <w:spacing w:val="-1"/>
                      <w:sz w:val="22"/>
                      <w:szCs w:val="22"/>
                    </w:rPr>
                    <w:t>e.  Dans ce cas, cet élève ne fera toutefois plus l’objet du comptage du 30 septembre.</w:t>
                  </w:r>
                </w:p>
                <w:p w:rsidR="00F04EEF" w:rsidRDefault="0099351E">
                  <w:pPr>
                    <w:pStyle w:val="Paragraphedeliste"/>
                    <w:numPr>
                      <w:ilvl w:val="0"/>
                      <w:numId w:val="316"/>
                    </w:numPr>
                    <w:jc w:val="both"/>
                    <w:rPr>
                      <w:rFonts w:asciiTheme="minorHAnsi" w:hAnsiTheme="minorHAnsi" w:cstheme="minorHAnsi"/>
                      <w:sz w:val="22"/>
                      <w:szCs w:val="22"/>
                    </w:rPr>
                  </w:pPr>
                  <w:r>
                    <w:rPr>
                      <w:rFonts w:asciiTheme="minorHAnsi" w:hAnsiTheme="minorHAnsi" w:cstheme="minorHAnsi"/>
                      <w:sz w:val="22"/>
                      <w:szCs w:val="22"/>
                    </w:rPr>
                    <w:t>Un</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élè</w:t>
                  </w:r>
                  <w:r>
                    <w:rPr>
                      <w:rFonts w:asciiTheme="minorHAnsi" w:hAnsiTheme="minorHAnsi" w:cstheme="minorHAnsi"/>
                      <w:spacing w:val="1"/>
                      <w:sz w:val="22"/>
                      <w:szCs w:val="22"/>
                    </w:rPr>
                    <w:t>v</w:t>
                  </w:r>
                  <w:r>
                    <w:rPr>
                      <w:rFonts w:asciiTheme="minorHAnsi" w:hAnsiTheme="minorHAnsi" w:cstheme="minorHAnsi"/>
                      <w:sz w:val="22"/>
                      <w:szCs w:val="22"/>
                    </w:rPr>
                    <w:t>e</w:t>
                  </w:r>
                  <w:r>
                    <w:rPr>
                      <w:rFonts w:asciiTheme="minorHAnsi" w:hAnsiTheme="minorHAnsi" w:cstheme="minorHAnsi"/>
                      <w:spacing w:val="18"/>
                      <w:sz w:val="22"/>
                      <w:szCs w:val="22"/>
                    </w:rPr>
                    <w:t xml:space="preserve"> </w:t>
                  </w:r>
                  <w:r>
                    <w:rPr>
                      <w:rFonts w:asciiTheme="minorHAnsi" w:hAnsiTheme="minorHAnsi" w:cstheme="minorHAnsi"/>
                      <w:spacing w:val="-1"/>
                      <w:sz w:val="22"/>
                      <w:szCs w:val="22"/>
                    </w:rPr>
                    <w:t>q</w:t>
                  </w:r>
                  <w:r>
                    <w:rPr>
                      <w:rFonts w:asciiTheme="minorHAnsi" w:hAnsiTheme="minorHAnsi" w:cstheme="minorHAnsi"/>
                      <w:sz w:val="22"/>
                      <w:szCs w:val="22"/>
                    </w:rPr>
                    <w:t>ui</w:t>
                  </w:r>
                  <w:r>
                    <w:rPr>
                      <w:rFonts w:asciiTheme="minorHAnsi" w:hAnsiTheme="minorHAnsi" w:cstheme="minorHAnsi"/>
                      <w:spacing w:val="17"/>
                      <w:sz w:val="22"/>
                      <w:szCs w:val="22"/>
                    </w:rPr>
                    <w:t xml:space="preserve"> </w:t>
                  </w:r>
                  <w:r>
                    <w:rPr>
                      <w:rFonts w:asciiTheme="minorHAnsi" w:hAnsiTheme="minorHAnsi" w:cstheme="minorHAnsi"/>
                      <w:sz w:val="22"/>
                      <w:szCs w:val="22"/>
                    </w:rPr>
                    <w:t>d</w:t>
                  </w:r>
                  <w:r>
                    <w:rPr>
                      <w:rFonts w:asciiTheme="minorHAnsi" w:hAnsiTheme="minorHAnsi" w:cstheme="minorHAnsi"/>
                      <w:spacing w:val="-1"/>
                      <w:sz w:val="22"/>
                      <w:szCs w:val="22"/>
                    </w:rPr>
                    <w:t>é</w:t>
                  </w:r>
                  <w:r>
                    <w:rPr>
                      <w:rFonts w:asciiTheme="minorHAnsi" w:hAnsiTheme="minorHAnsi" w:cstheme="minorHAnsi"/>
                      <w:spacing w:val="1"/>
                      <w:sz w:val="22"/>
                      <w:szCs w:val="22"/>
                    </w:rPr>
                    <w:t>b</w:t>
                  </w:r>
                  <w:r>
                    <w:rPr>
                      <w:rFonts w:asciiTheme="minorHAnsi" w:hAnsiTheme="minorHAnsi" w:cstheme="minorHAnsi"/>
                      <w:sz w:val="22"/>
                      <w:szCs w:val="22"/>
                    </w:rPr>
                    <w:t>u</w:t>
                  </w:r>
                  <w:r>
                    <w:rPr>
                      <w:rFonts w:asciiTheme="minorHAnsi" w:hAnsiTheme="minorHAnsi" w:cstheme="minorHAnsi"/>
                      <w:spacing w:val="1"/>
                      <w:sz w:val="22"/>
                      <w:szCs w:val="22"/>
                    </w:rPr>
                    <w:t>t</w:t>
                  </w:r>
                  <w:r>
                    <w:rPr>
                      <w:rFonts w:asciiTheme="minorHAnsi" w:hAnsiTheme="minorHAnsi" w:cstheme="minorHAnsi"/>
                      <w:sz w:val="22"/>
                      <w:szCs w:val="22"/>
                    </w:rPr>
                    <w:t>e</w:t>
                  </w:r>
                  <w:r>
                    <w:rPr>
                      <w:rFonts w:asciiTheme="minorHAnsi" w:hAnsiTheme="minorHAnsi" w:cstheme="minorHAnsi"/>
                      <w:spacing w:val="15"/>
                      <w:sz w:val="22"/>
                      <w:szCs w:val="22"/>
                    </w:rPr>
                    <w:t xml:space="preserve"> </w:t>
                  </w:r>
                  <w:r>
                    <w:rPr>
                      <w:rFonts w:asciiTheme="minorHAnsi" w:hAnsiTheme="minorHAnsi" w:cstheme="minorHAnsi"/>
                      <w:spacing w:val="1"/>
                      <w:sz w:val="22"/>
                      <w:szCs w:val="22"/>
                    </w:rPr>
                    <w:t>so</w:t>
                  </w:r>
                  <w:r>
                    <w:rPr>
                      <w:rFonts w:asciiTheme="minorHAnsi" w:hAnsiTheme="minorHAnsi" w:cstheme="minorHAnsi"/>
                      <w:sz w:val="22"/>
                      <w:szCs w:val="22"/>
                    </w:rPr>
                    <w:t>n</w:t>
                  </w:r>
                  <w:r>
                    <w:rPr>
                      <w:rFonts w:asciiTheme="minorHAnsi" w:hAnsiTheme="minorHAnsi" w:cstheme="minorHAnsi"/>
                      <w:spacing w:val="16"/>
                      <w:sz w:val="22"/>
                      <w:szCs w:val="22"/>
                    </w:rPr>
                    <w:t xml:space="preserve"> </w:t>
                  </w:r>
                  <w:r>
                    <w:rPr>
                      <w:rFonts w:asciiTheme="minorHAnsi" w:hAnsiTheme="minorHAnsi" w:cstheme="minorHAnsi"/>
                      <w:sz w:val="22"/>
                      <w:szCs w:val="22"/>
                    </w:rPr>
                    <w:t>i</w:t>
                  </w:r>
                  <w:r>
                    <w:rPr>
                      <w:rFonts w:asciiTheme="minorHAnsi" w:hAnsiTheme="minorHAnsi" w:cstheme="minorHAnsi"/>
                      <w:spacing w:val="-1"/>
                      <w:sz w:val="22"/>
                      <w:szCs w:val="22"/>
                    </w:rPr>
                    <w:t>n</w:t>
                  </w:r>
                  <w:r>
                    <w:rPr>
                      <w:rFonts w:asciiTheme="minorHAnsi" w:hAnsiTheme="minorHAnsi" w:cstheme="minorHAnsi"/>
                      <w:spacing w:val="1"/>
                      <w:sz w:val="22"/>
                      <w:szCs w:val="22"/>
                    </w:rPr>
                    <w:t>t</w:t>
                  </w:r>
                  <w:r>
                    <w:rPr>
                      <w:rFonts w:asciiTheme="minorHAnsi" w:hAnsiTheme="minorHAnsi" w:cstheme="minorHAnsi"/>
                      <w:spacing w:val="-1"/>
                      <w:sz w:val="22"/>
                      <w:szCs w:val="22"/>
                    </w:rPr>
                    <w:t>é</w:t>
                  </w:r>
                  <w:r>
                    <w:rPr>
                      <w:rFonts w:asciiTheme="minorHAnsi" w:hAnsiTheme="minorHAnsi" w:cstheme="minorHAnsi"/>
                      <w:sz w:val="22"/>
                      <w:szCs w:val="22"/>
                    </w:rPr>
                    <w:t>g</w:t>
                  </w:r>
                  <w:r>
                    <w:rPr>
                      <w:rFonts w:asciiTheme="minorHAnsi" w:hAnsiTheme="minorHAnsi" w:cstheme="minorHAnsi"/>
                      <w:spacing w:val="1"/>
                      <w:sz w:val="22"/>
                      <w:szCs w:val="22"/>
                    </w:rPr>
                    <w:t>r</w:t>
                  </w:r>
                  <w:r>
                    <w:rPr>
                      <w:rFonts w:asciiTheme="minorHAnsi" w:hAnsiTheme="minorHAnsi" w:cstheme="minorHAnsi"/>
                      <w:spacing w:val="-1"/>
                      <w:sz w:val="22"/>
                      <w:szCs w:val="22"/>
                    </w:rPr>
                    <w:t>a</w:t>
                  </w:r>
                  <w:r>
                    <w:rPr>
                      <w:rFonts w:asciiTheme="minorHAnsi" w:hAnsiTheme="minorHAnsi" w:cstheme="minorHAnsi"/>
                      <w:spacing w:val="1"/>
                      <w:sz w:val="22"/>
                      <w:szCs w:val="22"/>
                    </w:rPr>
                    <w:t>t</w:t>
                  </w:r>
                  <w:r>
                    <w:rPr>
                      <w:rFonts w:asciiTheme="minorHAnsi" w:hAnsiTheme="minorHAnsi" w:cstheme="minorHAnsi"/>
                      <w:spacing w:val="-2"/>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t</w:t>
                  </w:r>
                  <w:r>
                    <w:rPr>
                      <w:rFonts w:asciiTheme="minorHAnsi" w:hAnsiTheme="minorHAnsi" w:cstheme="minorHAnsi"/>
                      <w:spacing w:val="-1"/>
                      <w:sz w:val="22"/>
                      <w:szCs w:val="22"/>
                    </w:rPr>
                    <w:t>e</w:t>
                  </w:r>
                  <w:r>
                    <w:rPr>
                      <w:rFonts w:asciiTheme="minorHAnsi" w:hAnsiTheme="minorHAnsi" w:cstheme="minorHAnsi"/>
                      <w:sz w:val="22"/>
                      <w:szCs w:val="22"/>
                    </w:rPr>
                    <w:t>m</w:t>
                  </w:r>
                  <w:r>
                    <w:rPr>
                      <w:rFonts w:asciiTheme="minorHAnsi" w:hAnsiTheme="minorHAnsi" w:cstheme="minorHAnsi"/>
                      <w:spacing w:val="-1"/>
                      <w:sz w:val="22"/>
                      <w:szCs w:val="22"/>
                    </w:rPr>
                    <w:t>p</w:t>
                  </w:r>
                  <w:r>
                    <w:rPr>
                      <w:rFonts w:asciiTheme="minorHAnsi" w:hAnsiTheme="minorHAnsi" w:cstheme="minorHAnsi"/>
                      <w:spacing w:val="1"/>
                      <w:sz w:val="22"/>
                      <w:szCs w:val="22"/>
                    </w:rPr>
                    <w:t>or</w:t>
                  </w:r>
                  <w:r>
                    <w:rPr>
                      <w:rFonts w:asciiTheme="minorHAnsi" w:hAnsiTheme="minorHAnsi" w:cstheme="minorHAnsi"/>
                      <w:spacing w:val="-1"/>
                      <w:sz w:val="22"/>
                      <w:szCs w:val="22"/>
                    </w:rPr>
                    <w:t>a</w:t>
                  </w:r>
                  <w:r>
                    <w:rPr>
                      <w:rFonts w:asciiTheme="minorHAnsi" w:hAnsiTheme="minorHAnsi" w:cstheme="minorHAnsi"/>
                      <w:sz w:val="22"/>
                      <w:szCs w:val="22"/>
                    </w:rPr>
                    <w:t>i</w:t>
                  </w:r>
                  <w:r>
                    <w:rPr>
                      <w:rFonts w:asciiTheme="minorHAnsi" w:hAnsiTheme="minorHAnsi" w:cstheme="minorHAnsi"/>
                      <w:spacing w:val="1"/>
                      <w:sz w:val="22"/>
                      <w:szCs w:val="22"/>
                    </w:rPr>
                    <w:t>r</w:t>
                  </w:r>
                  <w:r>
                    <w:rPr>
                      <w:rFonts w:asciiTheme="minorHAnsi" w:hAnsiTheme="minorHAnsi" w:cstheme="minorHAnsi"/>
                      <w:sz w:val="22"/>
                      <w:szCs w:val="22"/>
                    </w:rPr>
                    <w:t>e</w:t>
                  </w:r>
                  <w:r>
                    <w:rPr>
                      <w:rFonts w:asciiTheme="minorHAnsi" w:hAnsiTheme="minorHAnsi" w:cstheme="minorHAnsi"/>
                      <w:spacing w:val="15"/>
                      <w:sz w:val="22"/>
                      <w:szCs w:val="22"/>
                    </w:rPr>
                    <w:t xml:space="preserve"> </w:t>
                  </w:r>
                  <w:r>
                    <w:rPr>
                      <w:rFonts w:asciiTheme="minorHAnsi" w:hAnsiTheme="minorHAnsi" w:cstheme="minorHAnsi"/>
                      <w:spacing w:val="-2"/>
                      <w:sz w:val="22"/>
                      <w:szCs w:val="22"/>
                    </w:rPr>
                    <w:t>t</w:t>
                  </w:r>
                  <w:r>
                    <w:rPr>
                      <w:rFonts w:asciiTheme="minorHAnsi" w:hAnsiTheme="minorHAnsi" w:cstheme="minorHAnsi"/>
                      <w:spacing w:val="1"/>
                      <w:sz w:val="22"/>
                      <w:szCs w:val="22"/>
                    </w:rPr>
                    <w:t>ot</w:t>
                  </w:r>
                  <w:r>
                    <w:rPr>
                      <w:rFonts w:asciiTheme="minorHAnsi" w:hAnsiTheme="minorHAnsi" w:cstheme="minorHAnsi"/>
                      <w:spacing w:val="-1"/>
                      <w:sz w:val="22"/>
                      <w:szCs w:val="22"/>
                    </w:rPr>
                    <w:t>al</w:t>
                  </w:r>
                  <w:r>
                    <w:rPr>
                      <w:rFonts w:asciiTheme="minorHAnsi" w:hAnsiTheme="minorHAnsi" w:cstheme="minorHAnsi"/>
                      <w:sz w:val="22"/>
                      <w:szCs w:val="22"/>
                    </w:rPr>
                    <w:t>e</w:t>
                  </w:r>
                  <w:r>
                    <w:rPr>
                      <w:rFonts w:asciiTheme="minorHAnsi" w:hAnsiTheme="minorHAnsi" w:cstheme="minorHAnsi"/>
                      <w:spacing w:val="15"/>
                      <w:sz w:val="22"/>
                      <w:szCs w:val="22"/>
                    </w:rPr>
                    <w:t xml:space="preserve"> </w:t>
                  </w:r>
                  <w:r>
                    <w:rPr>
                      <w:rFonts w:asciiTheme="minorHAnsi" w:hAnsiTheme="minorHAnsi" w:cstheme="minorHAnsi"/>
                      <w:spacing w:val="-1"/>
                      <w:sz w:val="22"/>
                      <w:szCs w:val="22"/>
                    </w:rPr>
                    <w:t>e</w:t>
                  </w:r>
                  <w:r>
                    <w:rPr>
                      <w:rFonts w:asciiTheme="minorHAnsi" w:hAnsiTheme="minorHAnsi" w:cstheme="minorHAnsi"/>
                      <w:sz w:val="22"/>
                      <w:szCs w:val="22"/>
                    </w:rPr>
                    <w:t>n</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s</w:t>
                  </w:r>
                  <w:r>
                    <w:rPr>
                      <w:rFonts w:asciiTheme="minorHAnsi" w:hAnsiTheme="minorHAnsi" w:cstheme="minorHAnsi"/>
                      <w:spacing w:val="-1"/>
                      <w:sz w:val="22"/>
                      <w:szCs w:val="22"/>
                    </w:rPr>
                    <w:t>e</w:t>
                  </w:r>
                  <w:r>
                    <w:rPr>
                      <w:rFonts w:asciiTheme="minorHAnsi" w:hAnsiTheme="minorHAnsi" w:cstheme="minorHAnsi"/>
                      <w:spacing w:val="1"/>
                      <w:sz w:val="22"/>
                      <w:szCs w:val="22"/>
                    </w:rPr>
                    <w:t>pt</w:t>
                  </w:r>
                  <w:r>
                    <w:rPr>
                      <w:rFonts w:asciiTheme="minorHAnsi" w:hAnsiTheme="minorHAnsi" w:cstheme="minorHAnsi"/>
                      <w:spacing w:val="-1"/>
                      <w:sz w:val="22"/>
                      <w:szCs w:val="22"/>
                    </w:rPr>
                    <w:t>e</w:t>
                  </w:r>
                  <w:r>
                    <w:rPr>
                      <w:rFonts w:asciiTheme="minorHAnsi" w:hAnsiTheme="minorHAnsi" w:cstheme="minorHAnsi"/>
                      <w:sz w:val="22"/>
                      <w:szCs w:val="22"/>
                    </w:rPr>
                    <w:t>m</w:t>
                  </w:r>
                  <w:r>
                    <w:rPr>
                      <w:rFonts w:asciiTheme="minorHAnsi" w:hAnsiTheme="minorHAnsi" w:cstheme="minorHAnsi"/>
                      <w:spacing w:val="1"/>
                      <w:sz w:val="22"/>
                      <w:szCs w:val="22"/>
                    </w:rPr>
                    <w:t>br</w:t>
                  </w:r>
                  <w:r>
                    <w:rPr>
                      <w:rFonts w:asciiTheme="minorHAnsi" w:hAnsiTheme="minorHAnsi" w:cstheme="minorHAnsi"/>
                      <w:sz w:val="22"/>
                      <w:szCs w:val="22"/>
                    </w:rPr>
                    <w:t>e, et qui n’avait pas déjà fait l’objet du comptage du 15 janvier,</w:t>
                  </w:r>
                  <w:r>
                    <w:rPr>
                      <w:rFonts w:asciiTheme="minorHAnsi" w:hAnsiTheme="minorHAnsi" w:cstheme="minorHAnsi"/>
                      <w:spacing w:val="15"/>
                      <w:sz w:val="22"/>
                      <w:szCs w:val="22"/>
                    </w:rPr>
                    <w:t xml:space="preserve"> </w:t>
                  </w:r>
                  <w:r>
                    <w:rPr>
                      <w:rFonts w:asciiTheme="minorHAnsi" w:hAnsiTheme="minorHAnsi" w:cstheme="minorHAnsi"/>
                      <w:spacing w:val="1"/>
                      <w:sz w:val="22"/>
                      <w:szCs w:val="22"/>
                    </w:rPr>
                    <w:t>ser</w:t>
                  </w:r>
                  <w:r>
                    <w:rPr>
                      <w:rFonts w:asciiTheme="minorHAnsi" w:hAnsiTheme="minorHAnsi" w:cstheme="minorHAnsi"/>
                      <w:sz w:val="22"/>
                      <w:szCs w:val="22"/>
                    </w:rPr>
                    <w:t>a</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pr</w:t>
                  </w:r>
                  <w:r>
                    <w:rPr>
                      <w:rFonts w:asciiTheme="minorHAnsi" w:hAnsiTheme="minorHAnsi" w:cstheme="minorHAnsi"/>
                      <w:sz w:val="22"/>
                      <w:szCs w:val="22"/>
                    </w:rPr>
                    <w:t>is</w:t>
                  </w:r>
                  <w:r>
                    <w:rPr>
                      <w:rFonts w:asciiTheme="minorHAnsi" w:hAnsiTheme="minorHAnsi" w:cstheme="minorHAnsi"/>
                      <w:spacing w:val="17"/>
                      <w:sz w:val="22"/>
                      <w:szCs w:val="22"/>
                    </w:rPr>
                    <w:t xml:space="preserve"> </w:t>
                  </w:r>
                  <w:r>
                    <w:rPr>
                      <w:rFonts w:asciiTheme="minorHAnsi" w:hAnsiTheme="minorHAnsi" w:cstheme="minorHAnsi"/>
                      <w:spacing w:val="-1"/>
                      <w:sz w:val="22"/>
                      <w:szCs w:val="22"/>
                    </w:rPr>
                    <w:t>e</w:t>
                  </w:r>
                  <w:r>
                    <w:rPr>
                      <w:rFonts w:asciiTheme="minorHAnsi" w:hAnsiTheme="minorHAnsi" w:cstheme="minorHAnsi"/>
                      <w:sz w:val="22"/>
                      <w:szCs w:val="22"/>
                    </w:rPr>
                    <w:t>n</w:t>
                  </w:r>
                  <w:r>
                    <w:rPr>
                      <w:rFonts w:asciiTheme="minorHAnsi" w:hAnsiTheme="minorHAnsi" w:cstheme="minorHAnsi"/>
                      <w:spacing w:val="16"/>
                      <w:sz w:val="22"/>
                      <w:szCs w:val="22"/>
                    </w:rPr>
                    <w:t xml:space="preserve"> </w:t>
                  </w:r>
                  <w:r>
                    <w:rPr>
                      <w:rFonts w:asciiTheme="minorHAnsi" w:hAnsiTheme="minorHAnsi" w:cstheme="minorHAnsi"/>
                      <w:spacing w:val="1"/>
                      <w:sz w:val="22"/>
                      <w:szCs w:val="22"/>
                    </w:rPr>
                    <w:t>co</w:t>
                  </w:r>
                  <w:r>
                    <w:rPr>
                      <w:rFonts w:asciiTheme="minorHAnsi" w:hAnsiTheme="minorHAnsi" w:cstheme="minorHAnsi"/>
                      <w:spacing w:val="-3"/>
                      <w:sz w:val="22"/>
                      <w:szCs w:val="22"/>
                    </w:rPr>
                    <w:t>m</w:t>
                  </w:r>
                  <w:r>
                    <w:rPr>
                      <w:rFonts w:asciiTheme="minorHAnsi" w:hAnsiTheme="minorHAnsi" w:cstheme="minorHAnsi"/>
                      <w:spacing w:val="1"/>
                      <w:sz w:val="22"/>
                      <w:szCs w:val="22"/>
                    </w:rPr>
                    <w:t>p</w:t>
                  </w:r>
                  <w:r>
                    <w:rPr>
                      <w:rFonts w:asciiTheme="minorHAnsi" w:hAnsiTheme="minorHAnsi" w:cstheme="minorHAnsi"/>
                      <w:spacing w:val="-2"/>
                      <w:sz w:val="22"/>
                      <w:szCs w:val="22"/>
                    </w:rPr>
                    <w:t>t</w:t>
                  </w:r>
                  <w:r>
                    <w:rPr>
                      <w:rFonts w:asciiTheme="minorHAnsi" w:hAnsiTheme="minorHAnsi" w:cstheme="minorHAnsi"/>
                      <w:sz w:val="22"/>
                      <w:szCs w:val="22"/>
                    </w:rPr>
                    <w:t xml:space="preserve">e </w:t>
                  </w:r>
                  <w:r>
                    <w:rPr>
                      <w:rFonts w:asciiTheme="minorHAnsi" w:hAnsiTheme="minorHAnsi" w:cstheme="minorHAnsi"/>
                      <w:spacing w:val="1"/>
                      <w:sz w:val="22"/>
                      <w:szCs w:val="22"/>
                    </w:rPr>
                    <w:t>po</w:t>
                  </w:r>
                  <w:r>
                    <w:rPr>
                      <w:rFonts w:asciiTheme="minorHAnsi" w:hAnsiTheme="minorHAnsi" w:cstheme="minorHAnsi"/>
                      <w:spacing w:val="-2"/>
                      <w:sz w:val="22"/>
                      <w:szCs w:val="22"/>
                    </w:rPr>
                    <w:t>u</w:t>
                  </w:r>
                  <w:r>
                    <w:rPr>
                      <w:rFonts w:asciiTheme="minorHAnsi" w:hAnsiTheme="minorHAnsi" w:cstheme="minorHAnsi"/>
                      <w:sz w:val="22"/>
                      <w:szCs w:val="22"/>
                    </w:rPr>
                    <w:t>r</w:t>
                  </w:r>
                  <w:r>
                    <w:rPr>
                      <w:rFonts w:asciiTheme="minorHAnsi" w:hAnsiTheme="minorHAnsi" w:cstheme="minorHAnsi"/>
                      <w:spacing w:val="3"/>
                      <w:sz w:val="22"/>
                      <w:szCs w:val="22"/>
                    </w:rPr>
                    <w:t xml:space="preserve"> </w:t>
                  </w:r>
                  <w:r>
                    <w:rPr>
                      <w:rFonts w:asciiTheme="minorHAnsi" w:hAnsiTheme="minorHAnsi" w:cstheme="minorHAnsi"/>
                      <w:spacing w:val="-1"/>
                      <w:sz w:val="22"/>
                      <w:szCs w:val="22"/>
                    </w:rPr>
                    <w:t>l</w:t>
                  </w:r>
                  <w:r>
                    <w:rPr>
                      <w:rFonts w:asciiTheme="minorHAnsi" w:hAnsiTheme="minorHAnsi" w:cstheme="minorHAnsi"/>
                      <w:sz w:val="22"/>
                      <w:szCs w:val="22"/>
                    </w:rPr>
                    <w:t>e</w:t>
                  </w:r>
                  <w:r>
                    <w:rPr>
                      <w:rFonts w:asciiTheme="minorHAnsi" w:hAnsiTheme="minorHAnsi" w:cstheme="minorHAnsi"/>
                      <w:spacing w:val="1"/>
                      <w:sz w:val="22"/>
                      <w:szCs w:val="22"/>
                    </w:rPr>
                    <w:t xml:space="preserve"> c</w:t>
                  </w:r>
                  <w:r>
                    <w:rPr>
                      <w:rFonts w:asciiTheme="minorHAnsi" w:hAnsiTheme="minorHAnsi" w:cstheme="minorHAnsi"/>
                      <w:spacing w:val="-1"/>
                      <w:sz w:val="22"/>
                      <w:szCs w:val="22"/>
                    </w:rPr>
                    <w:t>al</w:t>
                  </w:r>
                  <w:r>
                    <w:rPr>
                      <w:rFonts w:asciiTheme="minorHAnsi" w:hAnsiTheme="minorHAnsi" w:cstheme="minorHAnsi"/>
                      <w:spacing w:val="1"/>
                      <w:sz w:val="22"/>
                      <w:szCs w:val="22"/>
                    </w:rPr>
                    <w:t>c</w:t>
                  </w:r>
                  <w:r>
                    <w:rPr>
                      <w:rFonts w:asciiTheme="minorHAnsi" w:hAnsiTheme="minorHAnsi" w:cstheme="minorHAnsi"/>
                      <w:sz w:val="22"/>
                      <w:szCs w:val="22"/>
                    </w:rPr>
                    <w:t>ul</w:t>
                  </w:r>
                  <w:r>
                    <w:rPr>
                      <w:rFonts w:asciiTheme="minorHAnsi" w:hAnsiTheme="minorHAnsi" w:cstheme="minorHAnsi"/>
                      <w:spacing w:val="1"/>
                      <w:sz w:val="22"/>
                      <w:szCs w:val="22"/>
                    </w:rPr>
                    <w:t xml:space="preserve"> </w:t>
                  </w:r>
                  <w:r>
                    <w:rPr>
                      <w:rFonts w:asciiTheme="minorHAnsi" w:hAnsiTheme="minorHAnsi" w:cstheme="minorHAnsi"/>
                      <w:sz w:val="22"/>
                      <w:szCs w:val="22"/>
                    </w:rPr>
                    <w:t>du</w:t>
                  </w:r>
                  <w:r>
                    <w:rPr>
                      <w:rFonts w:asciiTheme="minorHAnsi" w:hAnsiTheme="minorHAnsi" w:cstheme="minorHAnsi"/>
                      <w:spacing w:val="2"/>
                      <w:sz w:val="22"/>
                      <w:szCs w:val="22"/>
                    </w:rPr>
                    <w:t xml:space="preserve"> </w:t>
                  </w:r>
                  <w:r>
                    <w:rPr>
                      <w:rFonts w:asciiTheme="minorHAnsi" w:hAnsiTheme="minorHAnsi" w:cstheme="minorHAnsi"/>
                      <w:sz w:val="22"/>
                      <w:szCs w:val="22"/>
                    </w:rPr>
                    <w:t>C</w:t>
                  </w:r>
                  <w:r>
                    <w:rPr>
                      <w:rFonts w:asciiTheme="minorHAnsi" w:hAnsiTheme="minorHAnsi" w:cstheme="minorHAnsi"/>
                      <w:spacing w:val="-3"/>
                      <w:sz w:val="22"/>
                      <w:szCs w:val="22"/>
                    </w:rPr>
                    <w:t>P</w:t>
                  </w:r>
                  <w:r>
                    <w:rPr>
                      <w:rFonts w:asciiTheme="minorHAnsi" w:hAnsiTheme="minorHAnsi" w:cstheme="minorHAnsi"/>
                      <w:sz w:val="22"/>
                      <w:szCs w:val="22"/>
                    </w:rPr>
                    <w:t>U</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uniquement</w:t>
                  </w:r>
                  <w:r>
                    <w:rPr>
                      <w:rFonts w:asciiTheme="minorHAnsi" w:hAnsiTheme="minorHAnsi" w:cstheme="minorHAnsi"/>
                      <w:spacing w:val="1"/>
                      <w:sz w:val="22"/>
                      <w:szCs w:val="22"/>
                    </w:rPr>
                    <w:t xml:space="preserve"> s</w:t>
                  </w:r>
                  <w:r>
                    <w:rPr>
                      <w:rFonts w:asciiTheme="minorHAnsi" w:hAnsiTheme="minorHAnsi" w:cstheme="minorHAnsi"/>
                      <w:sz w:val="22"/>
                      <w:szCs w:val="22"/>
                    </w:rPr>
                    <w:t>i</w:t>
                  </w:r>
                  <w:r>
                    <w:rPr>
                      <w:rFonts w:asciiTheme="minorHAnsi" w:hAnsiTheme="minorHAnsi" w:cstheme="minorHAnsi"/>
                      <w:spacing w:val="2"/>
                      <w:sz w:val="22"/>
                      <w:szCs w:val="22"/>
                    </w:rPr>
                    <w:t xml:space="preserve"> </w:t>
                  </w:r>
                  <w:r>
                    <w:rPr>
                      <w:rFonts w:asciiTheme="minorHAnsi" w:hAnsiTheme="minorHAnsi" w:cstheme="minorHAnsi"/>
                      <w:spacing w:val="-1"/>
                      <w:sz w:val="22"/>
                      <w:szCs w:val="22"/>
                    </w:rPr>
                    <w:t>l</w:t>
                  </w:r>
                  <w:r>
                    <w:rPr>
                      <w:rFonts w:asciiTheme="minorHAnsi" w:hAnsiTheme="minorHAnsi" w:cstheme="minorHAnsi"/>
                      <w:sz w:val="22"/>
                      <w:szCs w:val="22"/>
                    </w:rPr>
                    <w:t>’</w:t>
                  </w:r>
                  <w:r>
                    <w:rPr>
                      <w:rFonts w:asciiTheme="minorHAnsi" w:hAnsiTheme="minorHAnsi" w:cstheme="minorHAnsi"/>
                      <w:spacing w:val="-1"/>
                      <w:sz w:val="22"/>
                      <w:szCs w:val="22"/>
                    </w:rPr>
                    <w:t>é</w:t>
                  </w:r>
                  <w:r>
                    <w:rPr>
                      <w:rFonts w:asciiTheme="minorHAnsi" w:hAnsiTheme="minorHAnsi" w:cstheme="minorHAnsi"/>
                      <w:spacing w:val="1"/>
                      <w:sz w:val="22"/>
                      <w:szCs w:val="22"/>
                    </w:rPr>
                    <w:t>co</w:t>
                  </w:r>
                  <w:r>
                    <w:rPr>
                      <w:rFonts w:asciiTheme="minorHAnsi" w:hAnsiTheme="minorHAnsi" w:cstheme="minorHAnsi"/>
                      <w:spacing w:val="-1"/>
                      <w:sz w:val="22"/>
                      <w:szCs w:val="22"/>
                    </w:rPr>
                    <w:t>l</w:t>
                  </w:r>
                  <w:r>
                    <w:rPr>
                      <w:rFonts w:asciiTheme="minorHAnsi" w:hAnsiTheme="minorHAnsi" w:cstheme="minorHAnsi"/>
                      <w:sz w:val="22"/>
                      <w:szCs w:val="22"/>
                    </w:rPr>
                    <w:t>e</w:t>
                  </w:r>
                  <w:r>
                    <w:rPr>
                      <w:rFonts w:asciiTheme="minorHAnsi" w:hAnsiTheme="minorHAnsi" w:cstheme="minorHAnsi"/>
                      <w:spacing w:val="1"/>
                      <w:sz w:val="22"/>
                      <w:szCs w:val="22"/>
                    </w:rPr>
                    <w:t xml:space="preserve"> </w:t>
                  </w:r>
                  <w:r>
                    <w:rPr>
                      <w:rFonts w:asciiTheme="minorHAnsi" w:hAnsiTheme="minorHAnsi" w:cstheme="minorHAnsi"/>
                      <w:sz w:val="22"/>
                      <w:szCs w:val="22"/>
                    </w:rPr>
                    <w:t>a</w:t>
                  </w:r>
                  <w:r>
                    <w:rPr>
                      <w:rFonts w:asciiTheme="minorHAnsi" w:hAnsiTheme="minorHAnsi" w:cstheme="minorHAnsi"/>
                      <w:spacing w:val="1"/>
                      <w:sz w:val="22"/>
                      <w:szCs w:val="22"/>
                    </w:rPr>
                    <w:t xml:space="preserve"> </w:t>
                  </w:r>
                  <w:r>
                    <w:rPr>
                      <w:rFonts w:asciiTheme="minorHAnsi" w:hAnsiTheme="minorHAnsi" w:cstheme="minorHAnsi"/>
                      <w:sz w:val="22"/>
                      <w:szCs w:val="22"/>
                    </w:rPr>
                    <w:t>un</w:t>
                  </w:r>
                  <w:r>
                    <w:rPr>
                      <w:rFonts w:asciiTheme="minorHAnsi" w:hAnsiTheme="minorHAnsi" w:cstheme="minorHAnsi"/>
                      <w:spacing w:val="1"/>
                      <w:sz w:val="22"/>
                      <w:szCs w:val="22"/>
                    </w:rPr>
                    <w:t xml:space="preserve"> r</w:t>
                  </w:r>
                  <w:r>
                    <w:rPr>
                      <w:rFonts w:asciiTheme="minorHAnsi" w:hAnsiTheme="minorHAnsi" w:cstheme="minorHAnsi"/>
                      <w:spacing w:val="-1"/>
                      <w:sz w:val="22"/>
                      <w:szCs w:val="22"/>
                    </w:rPr>
                    <w:t>e</w:t>
                  </w:r>
                  <w:r>
                    <w:rPr>
                      <w:rFonts w:asciiTheme="minorHAnsi" w:hAnsiTheme="minorHAnsi" w:cstheme="minorHAnsi"/>
                      <w:spacing w:val="1"/>
                      <w:sz w:val="22"/>
                      <w:szCs w:val="22"/>
                    </w:rPr>
                    <w:t>c</w:t>
                  </w:r>
                  <w:r>
                    <w:rPr>
                      <w:rFonts w:asciiTheme="minorHAnsi" w:hAnsiTheme="minorHAnsi" w:cstheme="minorHAnsi"/>
                      <w:spacing w:val="-1"/>
                      <w:sz w:val="22"/>
                      <w:szCs w:val="22"/>
                    </w:rPr>
                    <w:t>o</w:t>
                  </w:r>
                  <w:r>
                    <w:rPr>
                      <w:rFonts w:asciiTheme="minorHAnsi" w:hAnsiTheme="minorHAnsi" w:cstheme="minorHAnsi"/>
                      <w:sz w:val="22"/>
                      <w:szCs w:val="22"/>
                    </w:rPr>
                    <w:t>m</w:t>
                  </w:r>
                  <w:r>
                    <w:rPr>
                      <w:rFonts w:asciiTheme="minorHAnsi" w:hAnsiTheme="minorHAnsi" w:cstheme="minorHAnsi"/>
                      <w:spacing w:val="1"/>
                      <w:sz w:val="22"/>
                      <w:szCs w:val="22"/>
                    </w:rPr>
                    <w:t>pt</w:t>
                  </w:r>
                  <w:r>
                    <w:rPr>
                      <w:rFonts w:asciiTheme="minorHAnsi" w:hAnsiTheme="minorHAnsi" w:cstheme="minorHAnsi"/>
                      <w:spacing w:val="-1"/>
                      <w:sz w:val="22"/>
                      <w:szCs w:val="22"/>
                    </w:rPr>
                    <w:t>a</w:t>
                  </w:r>
                  <w:r>
                    <w:rPr>
                      <w:rFonts w:asciiTheme="minorHAnsi" w:hAnsiTheme="minorHAnsi" w:cstheme="minorHAnsi"/>
                      <w:sz w:val="22"/>
                      <w:szCs w:val="22"/>
                    </w:rPr>
                    <w:t>ge</w:t>
                  </w:r>
                  <w:r>
                    <w:rPr>
                      <w:rFonts w:asciiTheme="minorHAnsi" w:hAnsiTheme="minorHAnsi" w:cstheme="minorHAnsi"/>
                      <w:spacing w:val="1"/>
                      <w:sz w:val="22"/>
                      <w:szCs w:val="22"/>
                    </w:rPr>
                    <w:t xml:space="preserve"> </w:t>
                  </w:r>
                  <w:r>
                    <w:rPr>
                      <w:rFonts w:asciiTheme="minorHAnsi" w:hAnsiTheme="minorHAnsi" w:cstheme="minorHAnsi"/>
                      <w:spacing w:val="-2"/>
                      <w:sz w:val="22"/>
                      <w:szCs w:val="22"/>
                    </w:rPr>
                    <w:t>s</w:t>
                  </w:r>
                  <w:r>
                    <w:rPr>
                      <w:rFonts w:asciiTheme="minorHAnsi" w:hAnsiTheme="minorHAnsi" w:cstheme="minorHAnsi"/>
                      <w:sz w:val="22"/>
                      <w:szCs w:val="22"/>
                    </w:rPr>
                    <w:t>ui</w:t>
                  </w:r>
                  <w:r>
                    <w:rPr>
                      <w:rFonts w:asciiTheme="minorHAnsi" w:hAnsiTheme="minorHAnsi" w:cstheme="minorHAnsi"/>
                      <w:spacing w:val="1"/>
                      <w:sz w:val="22"/>
                      <w:szCs w:val="22"/>
                    </w:rPr>
                    <w:t>t</w:t>
                  </w:r>
                  <w:r>
                    <w:rPr>
                      <w:rFonts w:asciiTheme="minorHAnsi" w:hAnsiTheme="minorHAnsi" w:cstheme="minorHAnsi"/>
                      <w:sz w:val="22"/>
                      <w:szCs w:val="22"/>
                    </w:rPr>
                    <w:t>e</w:t>
                  </w:r>
                  <w:r>
                    <w:rPr>
                      <w:rFonts w:asciiTheme="minorHAnsi" w:hAnsiTheme="minorHAnsi" w:cstheme="minorHAnsi"/>
                      <w:spacing w:val="1"/>
                      <w:sz w:val="22"/>
                      <w:szCs w:val="22"/>
                    </w:rPr>
                    <w:t xml:space="preserve"> </w:t>
                  </w:r>
                  <w:r>
                    <w:rPr>
                      <w:rFonts w:asciiTheme="minorHAnsi" w:hAnsiTheme="minorHAnsi" w:cstheme="minorHAnsi"/>
                      <w:sz w:val="22"/>
                      <w:szCs w:val="22"/>
                    </w:rPr>
                    <w:t>à</w:t>
                  </w:r>
                  <w:r>
                    <w:rPr>
                      <w:rFonts w:asciiTheme="minorHAnsi" w:hAnsiTheme="minorHAnsi" w:cstheme="minorHAnsi"/>
                      <w:spacing w:val="1"/>
                      <w:sz w:val="22"/>
                      <w:szCs w:val="22"/>
                    </w:rPr>
                    <w:t xml:space="preserve"> </w:t>
                  </w:r>
                  <w:r>
                    <w:rPr>
                      <w:rFonts w:asciiTheme="minorHAnsi" w:hAnsiTheme="minorHAnsi" w:cstheme="minorHAnsi"/>
                      <w:sz w:val="22"/>
                      <w:szCs w:val="22"/>
                    </w:rPr>
                    <w:t>u</w:t>
                  </w:r>
                  <w:r>
                    <w:rPr>
                      <w:rFonts w:asciiTheme="minorHAnsi" w:hAnsiTheme="minorHAnsi" w:cstheme="minorHAnsi"/>
                      <w:spacing w:val="-1"/>
                      <w:sz w:val="22"/>
                      <w:szCs w:val="22"/>
                    </w:rPr>
                    <w:t>n</w:t>
                  </w:r>
                  <w:r>
                    <w:rPr>
                      <w:rFonts w:asciiTheme="minorHAnsi" w:hAnsiTheme="minorHAnsi" w:cstheme="minorHAnsi"/>
                      <w:sz w:val="22"/>
                      <w:szCs w:val="22"/>
                    </w:rPr>
                    <w:t>e</w:t>
                  </w:r>
                  <w:r>
                    <w:rPr>
                      <w:rFonts w:asciiTheme="minorHAnsi" w:hAnsiTheme="minorHAnsi" w:cstheme="minorHAnsi"/>
                      <w:spacing w:val="1"/>
                      <w:sz w:val="22"/>
                      <w:szCs w:val="22"/>
                    </w:rPr>
                    <w:t xml:space="preserve"> v</w:t>
                  </w:r>
                  <w:r>
                    <w:rPr>
                      <w:rFonts w:asciiTheme="minorHAnsi" w:hAnsiTheme="minorHAnsi" w:cstheme="minorHAnsi"/>
                      <w:spacing w:val="-1"/>
                      <w:sz w:val="22"/>
                      <w:szCs w:val="22"/>
                    </w:rPr>
                    <w:t>a</w:t>
                  </w:r>
                  <w:r>
                    <w:rPr>
                      <w:rFonts w:asciiTheme="minorHAnsi" w:hAnsiTheme="minorHAnsi" w:cstheme="minorHAnsi"/>
                      <w:spacing w:val="1"/>
                      <w:sz w:val="22"/>
                      <w:szCs w:val="22"/>
                    </w:rPr>
                    <w:t>r</w:t>
                  </w:r>
                  <w:r>
                    <w:rPr>
                      <w:rFonts w:asciiTheme="minorHAnsi" w:hAnsiTheme="minorHAnsi" w:cstheme="minorHAnsi"/>
                      <w:spacing w:val="-2"/>
                      <w:sz w:val="22"/>
                      <w:szCs w:val="22"/>
                    </w:rPr>
                    <w:t>i</w:t>
                  </w:r>
                  <w:r>
                    <w:rPr>
                      <w:rFonts w:asciiTheme="minorHAnsi" w:hAnsiTheme="minorHAnsi" w:cstheme="minorHAnsi"/>
                      <w:spacing w:val="-1"/>
                      <w:sz w:val="22"/>
                      <w:szCs w:val="22"/>
                    </w:rPr>
                    <w:t>a</w:t>
                  </w:r>
                  <w:r>
                    <w:rPr>
                      <w:rFonts w:asciiTheme="minorHAnsi" w:hAnsiTheme="minorHAnsi" w:cstheme="minorHAnsi"/>
                      <w:spacing w:val="1"/>
                      <w:sz w:val="22"/>
                      <w:szCs w:val="22"/>
                    </w:rPr>
                    <w:t>t</w:t>
                  </w:r>
                  <w:r>
                    <w:rPr>
                      <w:rFonts w:asciiTheme="minorHAnsi" w:hAnsiTheme="minorHAnsi" w:cstheme="minorHAnsi"/>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1"/>
                      <w:sz w:val="22"/>
                      <w:szCs w:val="22"/>
                    </w:rPr>
                    <w:t xml:space="preserve"> </w:t>
                  </w:r>
                  <w:r>
                    <w:rPr>
                      <w:rFonts w:asciiTheme="minorHAnsi" w:hAnsiTheme="minorHAnsi" w:cstheme="minorHAnsi"/>
                      <w:sz w:val="22"/>
                      <w:szCs w:val="22"/>
                    </w:rPr>
                    <w:t>de</w:t>
                  </w:r>
                  <w:r>
                    <w:rPr>
                      <w:rFonts w:asciiTheme="minorHAnsi" w:hAnsiTheme="minorHAnsi" w:cstheme="minorHAnsi"/>
                      <w:spacing w:val="1"/>
                      <w:sz w:val="22"/>
                      <w:szCs w:val="22"/>
                    </w:rPr>
                    <w:t xml:space="preserve"> 5</w:t>
                  </w:r>
                  <w:r>
                    <w:rPr>
                      <w:rFonts w:asciiTheme="minorHAnsi" w:hAnsiTheme="minorHAnsi" w:cstheme="minorHAnsi"/>
                      <w:sz w:val="22"/>
                      <w:szCs w:val="22"/>
                    </w:rPr>
                    <w:t>%</w:t>
                  </w:r>
                  <w:r>
                    <w:rPr>
                      <w:rFonts w:asciiTheme="minorHAnsi" w:hAnsiTheme="minorHAnsi" w:cstheme="minorHAnsi"/>
                      <w:spacing w:val="2"/>
                      <w:sz w:val="22"/>
                      <w:szCs w:val="22"/>
                    </w:rPr>
                    <w:t xml:space="preserve"> </w:t>
                  </w:r>
                  <w:r>
                    <w:rPr>
                      <w:rFonts w:asciiTheme="minorHAnsi" w:hAnsiTheme="minorHAnsi" w:cstheme="minorHAnsi"/>
                      <w:spacing w:val="-1"/>
                      <w:sz w:val="22"/>
                      <w:szCs w:val="22"/>
                    </w:rPr>
                    <w:t>a</w:t>
                  </w:r>
                  <w:r>
                    <w:rPr>
                      <w:rFonts w:asciiTheme="minorHAnsi" w:hAnsiTheme="minorHAnsi" w:cstheme="minorHAnsi"/>
                      <w:sz w:val="22"/>
                      <w:szCs w:val="22"/>
                    </w:rPr>
                    <w:t xml:space="preserve">u </w:t>
                  </w:r>
                  <w:r>
                    <w:rPr>
                      <w:rFonts w:asciiTheme="minorHAnsi" w:hAnsiTheme="minorHAnsi" w:cstheme="minorHAnsi"/>
                      <w:spacing w:val="1"/>
                      <w:sz w:val="22"/>
                      <w:szCs w:val="22"/>
                    </w:rPr>
                    <w:t>3</w:t>
                  </w:r>
                  <w:r>
                    <w:rPr>
                      <w:rFonts w:asciiTheme="minorHAnsi" w:hAnsiTheme="minorHAnsi" w:cstheme="minorHAnsi"/>
                      <w:sz w:val="22"/>
                      <w:szCs w:val="22"/>
                    </w:rPr>
                    <w:t xml:space="preserve">0 </w:t>
                  </w:r>
                  <w:r>
                    <w:rPr>
                      <w:rFonts w:asciiTheme="minorHAnsi" w:hAnsiTheme="minorHAnsi" w:cstheme="minorHAnsi"/>
                      <w:spacing w:val="1"/>
                      <w:sz w:val="22"/>
                      <w:szCs w:val="22"/>
                    </w:rPr>
                    <w:t>s</w:t>
                  </w:r>
                  <w:r>
                    <w:rPr>
                      <w:rFonts w:asciiTheme="minorHAnsi" w:hAnsiTheme="minorHAnsi" w:cstheme="minorHAnsi"/>
                      <w:spacing w:val="-1"/>
                      <w:sz w:val="22"/>
                      <w:szCs w:val="22"/>
                    </w:rPr>
                    <w:t>e</w:t>
                  </w:r>
                  <w:r>
                    <w:rPr>
                      <w:rFonts w:asciiTheme="minorHAnsi" w:hAnsiTheme="minorHAnsi" w:cstheme="minorHAnsi"/>
                      <w:spacing w:val="1"/>
                      <w:sz w:val="22"/>
                      <w:szCs w:val="22"/>
                    </w:rPr>
                    <w:t>pt</w:t>
                  </w:r>
                  <w:r>
                    <w:rPr>
                      <w:rFonts w:asciiTheme="minorHAnsi" w:hAnsiTheme="minorHAnsi" w:cstheme="minorHAnsi"/>
                      <w:spacing w:val="-1"/>
                      <w:sz w:val="22"/>
                      <w:szCs w:val="22"/>
                    </w:rPr>
                    <w:t>e</w:t>
                  </w:r>
                  <w:r>
                    <w:rPr>
                      <w:rFonts w:asciiTheme="minorHAnsi" w:hAnsiTheme="minorHAnsi" w:cstheme="minorHAnsi"/>
                      <w:spacing w:val="-3"/>
                      <w:sz w:val="22"/>
                      <w:szCs w:val="22"/>
                    </w:rPr>
                    <w:t>m</w:t>
                  </w:r>
                  <w:r>
                    <w:rPr>
                      <w:rFonts w:asciiTheme="minorHAnsi" w:hAnsiTheme="minorHAnsi" w:cstheme="minorHAnsi"/>
                      <w:spacing w:val="1"/>
                      <w:sz w:val="22"/>
                      <w:szCs w:val="22"/>
                    </w:rPr>
                    <w:t>br</w:t>
                  </w:r>
                  <w:r>
                    <w:rPr>
                      <w:rFonts w:asciiTheme="minorHAnsi" w:hAnsiTheme="minorHAnsi" w:cstheme="minorHAnsi"/>
                      <w:spacing w:val="-1"/>
                      <w:sz w:val="22"/>
                      <w:szCs w:val="22"/>
                    </w:rPr>
                    <w:t xml:space="preserve">e. </w:t>
                  </w:r>
                </w:p>
                <w:p w:rsidR="00F04EEF" w:rsidRDefault="0099351E">
                  <w:pPr>
                    <w:pStyle w:val="Paragraphedeliste"/>
                    <w:numPr>
                      <w:ilvl w:val="0"/>
                      <w:numId w:val="316"/>
                    </w:numPr>
                    <w:jc w:val="both"/>
                    <w:rPr>
                      <w:rFonts w:asciiTheme="minorHAnsi" w:hAnsiTheme="minorHAnsi" w:cstheme="minorHAnsi"/>
                      <w:sz w:val="22"/>
                      <w:szCs w:val="22"/>
                    </w:rPr>
                  </w:pPr>
                  <w:r>
                    <w:rPr>
                      <w:rFonts w:asciiTheme="minorHAnsi" w:hAnsiTheme="minorHAnsi" w:cstheme="minorHAnsi"/>
                      <w:sz w:val="22"/>
                      <w:szCs w:val="22"/>
                    </w:rPr>
                    <w:t>Un</w:t>
                  </w:r>
                  <w:r>
                    <w:rPr>
                      <w:rFonts w:asciiTheme="minorHAnsi" w:hAnsiTheme="minorHAnsi" w:cstheme="minorHAnsi"/>
                      <w:spacing w:val="47"/>
                      <w:sz w:val="22"/>
                      <w:szCs w:val="22"/>
                    </w:rPr>
                    <w:t xml:space="preserve"> </w:t>
                  </w:r>
                  <w:r>
                    <w:rPr>
                      <w:rFonts w:asciiTheme="minorHAnsi" w:hAnsiTheme="minorHAnsi" w:cstheme="minorHAnsi"/>
                      <w:spacing w:val="-1"/>
                      <w:sz w:val="22"/>
                      <w:szCs w:val="22"/>
                    </w:rPr>
                    <w:t>élè</w:t>
                  </w:r>
                  <w:r>
                    <w:rPr>
                      <w:rFonts w:asciiTheme="minorHAnsi" w:hAnsiTheme="minorHAnsi" w:cstheme="minorHAnsi"/>
                      <w:spacing w:val="1"/>
                      <w:sz w:val="22"/>
                      <w:szCs w:val="22"/>
                    </w:rPr>
                    <w:t>v</w:t>
                  </w:r>
                  <w:r>
                    <w:rPr>
                      <w:rFonts w:asciiTheme="minorHAnsi" w:hAnsiTheme="minorHAnsi" w:cstheme="minorHAnsi"/>
                      <w:sz w:val="22"/>
                      <w:szCs w:val="22"/>
                    </w:rPr>
                    <w:t>e</w:t>
                  </w:r>
                  <w:r>
                    <w:rPr>
                      <w:rFonts w:asciiTheme="minorHAnsi" w:hAnsiTheme="minorHAnsi" w:cstheme="minorHAnsi"/>
                      <w:spacing w:val="49"/>
                      <w:sz w:val="22"/>
                      <w:szCs w:val="22"/>
                    </w:rPr>
                    <w:t xml:space="preserve"> </w:t>
                  </w:r>
                  <w:r>
                    <w:rPr>
                      <w:rFonts w:asciiTheme="minorHAnsi" w:hAnsiTheme="minorHAnsi" w:cstheme="minorHAnsi"/>
                      <w:spacing w:val="-1"/>
                      <w:sz w:val="22"/>
                      <w:szCs w:val="22"/>
                    </w:rPr>
                    <w:t>q</w:t>
                  </w:r>
                  <w:r>
                    <w:rPr>
                      <w:rFonts w:asciiTheme="minorHAnsi" w:hAnsiTheme="minorHAnsi" w:cstheme="minorHAnsi"/>
                      <w:sz w:val="22"/>
                      <w:szCs w:val="22"/>
                    </w:rPr>
                    <w:t>ui</w:t>
                  </w:r>
                  <w:r>
                    <w:rPr>
                      <w:rFonts w:asciiTheme="minorHAnsi" w:hAnsiTheme="minorHAnsi" w:cstheme="minorHAnsi"/>
                      <w:spacing w:val="48"/>
                      <w:sz w:val="22"/>
                      <w:szCs w:val="22"/>
                    </w:rPr>
                    <w:t xml:space="preserve"> </w:t>
                  </w:r>
                  <w:r>
                    <w:rPr>
                      <w:rFonts w:asciiTheme="minorHAnsi" w:hAnsiTheme="minorHAnsi" w:cstheme="minorHAnsi"/>
                      <w:sz w:val="22"/>
                      <w:szCs w:val="22"/>
                    </w:rPr>
                    <w:t>d</w:t>
                  </w:r>
                  <w:r>
                    <w:rPr>
                      <w:rFonts w:asciiTheme="minorHAnsi" w:hAnsiTheme="minorHAnsi" w:cstheme="minorHAnsi"/>
                      <w:spacing w:val="-1"/>
                      <w:sz w:val="22"/>
                      <w:szCs w:val="22"/>
                    </w:rPr>
                    <w:t>é</w:t>
                  </w:r>
                  <w:r>
                    <w:rPr>
                      <w:rFonts w:asciiTheme="minorHAnsi" w:hAnsiTheme="minorHAnsi" w:cstheme="minorHAnsi"/>
                      <w:spacing w:val="1"/>
                      <w:sz w:val="22"/>
                      <w:szCs w:val="22"/>
                    </w:rPr>
                    <w:t>b</w:t>
                  </w:r>
                  <w:r>
                    <w:rPr>
                      <w:rFonts w:asciiTheme="minorHAnsi" w:hAnsiTheme="minorHAnsi" w:cstheme="minorHAnsi"/>
                      <w:sz w:val="22"/>
                      <w:szCs w:val="22"/>
                    </w:rPr>
                    <w:t>u</w:t>
                  </w:r>
                  <w:r>
                    <w:rPr>
                      <w:rFonts w:asciiTheme="minorHAnsi" w:hAnsiTheme="minorHAnsi" w:cstheme="minorHAnsi"/>
                      <w:spacing w:val="1"/>
                      <w:sz w:val="22"/>
                      <w:szCs w:val="22"/>
                    </w:rPr>
                    <w:t>t</w:t>
                  </w:r>
                  <w:r>
                    <w:rPr>
                      <w:rFonts w:asciiTheme="minorHAnsi" w:hAnsiTheme="minorHAnsi" w:cstheme="minorHAnsi"/>
                      <w:sz w:val="22"/>
                      <w:szCs w:val="22"/>
                    </w:rPr>
                    <w:t>e</w:t>
                  </w:r>
                  <w:r>
                    <w:rPr>
                      <w:rFonts w:asciiTheme="minorHAnsi" w:hAnsiTheme="minorHAnsi" w:cstheme="minorHAnsi"/>
                      <w:spacing w:val="47"/>
                      <w:sz w:val="22"/>
                      <w:szCs w:val="22"/>
                    </w:rPr>
                    <w:t xml:space="preserve"> </w:t>
                  </w:r>
                  <w:r>
                    <w:rPr>
                      <w:rFonts w:asciiTheme="minorHAnsi" w:hAnsiTheme="minorHAnsi" w:cstheme="minorHAnsi"/>
                      <w:sz w:val="22"/>
                      <w:szCs w:val="22"/>
                    </w:rPr>
                    <w:t>u</w:t>
                  </w:r>
                  <w:r>
                    <w:rPr>
                      <w:rFonts w:asciiTheme="minorHAnsi" w:hAnsiTheme="minorHAnsi" w:cstheme="minorHAnsi"/>
                      <w:spacing w:val="-1"/>
                      <w:sz w:val="22"/>
                      <w:szCs w:val="22"/>
                    </w:rPr>
                    <w:t>n</w:t>
                  </w:r>
                  <w:r>
                    <w:rPr>
                      <w:rFonts w:asciiTheme="minorHAnsi" w:hAnsiTheme="minorHAnsi" w:cstheme="minorHAnsi"/>
                      <w:sz w:val="22"/>
                      <w:szCs w:val="22"/>
                    </w:rPr>
                    <w:t>e</w:t>
                  </w:r>
                  <w:r>
                    <w:rPr>
                      <w:rFonts w:asciiTheme="minorHAnsi" w:hAnsiTheme="minorHAnsi" w:cstheme="minorHAnsi"/>
                      <w:spacing w:val="47"/>
                      <w:sz w:val="22"/>
                      <w:szCs w:val="22"/>
                    </w:rPr>
                    <w:t xml:space="preserve"> </w:t>
                  </w:r>
                  <w:r>
                    <w:rPr>
                      <w:rFonts w:asciiTheme="minorHAnsi" w:hAnsiTheme="minorHAnsi" w:cstheme="minorHAnsi"/>
                      <w:sz w:val="22"/>
                      <w:szCs w:val="22"/>
                    </w:rPr>
                    <w:t>i</w:t>
                  </w:r>
                  <w:r>
                    <w:rPr>
                      <w:rFonts w:asciiTheme="minorHAnsi" w:hAnsiTheme="minorHAnsi" w:cstheme="minorHAnsi"/>
                      <w:spacing w:val="-1"/>
                      <w:sz w:val="22"/>
                      <w:szCs w:val="22"/>
                    </w:rPr>
                    <w:t>n</w:t>
                  </w:r>
                  <w:r>
                    <w:rPr>
                      <w:rFonts w:asciiTheme="minorHAnsi" w:hAnsiTheme="minorHAnsi" w:cstheme="minorHAnsi"/>
                      <w:spacing w:val="1"/>
                      <w:sz w:val="22"/>
                      <w:szCs w:val="22"/>
                    </w:rPr>
                    <w:t>t</w:t>
                  </w:r>
                  <w:r>
                    <w:rPr>
                      <w:rFonts w:asciiTheme="minorHAnsi" w:hAnsiTheme="minorHAnsi" w:cstheme="minorHAnsi"/>
                      <w:spacing w:val="-1"/>
                      <w:sz w:val="22"/>
                      <w:szCs w:val="22"/>
                    </w:rPr>
                    <w:t>é</w:t>
                  </w:r>
                  <w:r>
                    <w:rPr>
                      <w:rFonts w:asciiTheme="minorHAnsi" w:hAnsiTheme="minorHAnsi" w:cstheme="minorHAnsi"/>
                      <w:sz w:val="22"/>
                      <w:szCs w:val="22"/>
                    </w:rPr>
                    <w:t>g</w:t>
                  </w:r>
                  <w:r>
                    <w:rPr>
                      <w:rFonts w:asciiTheme="minorHAnsi" w:hAnsiTheme="minorHAnsi" w:cstheme="minorHAnsi"/>
                      <w:spacing w:val="1"/>
                      <w:sz w:val="22"/>
                      <w:szCs w:val="22"/>
                    </w:rPr>
                    <w:t>r</w:t>
                  </w:r>
                  <w:r>
                    <w:rPr>
                      <w:rFonts w:asciiTheme="minorHAnsi" w:hAnsiTheme="minorHAnsi" w:cstheme="minorHAnsi"/>
                      <w:spacing w:val="-1"/>
                      <w:sz w:val="22"/>
                      <w:szCs w:val="22"/>
                    </w:rPr>
                    <w:t>a</w:t>
                  </w:r>
                  <w:r>
                    <w:rPr>
                      <w:rFonts w:asciiTheme="minorHAnsi" w:hAnsiTheme="minorHAnsi" w:cstheme="minorHAnsi"/>
                      <w:spacing w:val="1"/>
                      <w:sz w:val="22"/>
                      <w:szCs w:val="22"/>
                    </w:rPr>
                    <w:t>t</w:t>
                  </w:r>
                  <w:r>
                    <w:rPr>
                      <w:rFonts w:asciiTheme="minorHAnsi" w:hAnsiTheme="minorHAnsi" w:cstheme="minorHAnsi"/>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47"/>
                      <w:sz w:val="22"/>
                      <w:szCs w:val="22"/>
                    </w:rPr>
                    <w:t xml:space="preserve"> </w:t>
                  </w:r>
                  <w:r>
                    <w:rPr>
                      <w:rFonts w:asciiTheme="minorHAnsi" w:hAnsiTheme="minorHAnsi" w:cstheme="minorHAnsi"/>
                      <w:spacing w:val="1"/>
                      <w:sz w:val="22"/>
                      <w:szCs w:val="22"/>
                    </w:rPr>
                    <w:t>t</w:t>
                  </w:r>
                  <w:r>
                    <w:rPr>
                      <w:rFonts w:asciiTheme="minorHAnsi" w:hAnsiTheme="minorHAnsi" w:cstheme="minorHAnsi"/>
                      <w:spacing w:val="-1"/>
                      <w:sz w:val="22"/>
                      <w:szCs w:val="22"/>
                    </w:rPr>
                    <w:t>e</w:t>
                  </w:r>
                  <w:r>
                    <w:rPr>
                      <w:rFonts w:asciiTheme="minorHAnsi" w:hAnsiTheme="minorHAnsi" w:cstheme="minorHAnsi"/>
                      <w:sz w:val="22"/>
                      <w:szCs w:val="22"/>
                    </w:rPr>
                    <w:t>m</w:t>
                  </w:r>
                  <w:r>
                    <w:rPr>
                      <w:rFonts w:asciiTheme="minorHAnsi" w:hAnsiTheme="minorHAnsi" w:cstheme="minorHAnsi"/>
                      <w:spacing w:val="-1"/>
                      <w:sz w:val="22"/>
                      <w:szCs w:val="22"/>
                    </w:rPr>
                    <w:t>p</w:t>
                  </w:r>
                  <w:r>
                    <w:rPr>
                      <w:rFonts w:asciiTheme="minorHAnsi" w:hAnsiTheme="minorHAnsi" w:cstheme="minorHAnsi"/>
                      <w:spacing w:val="1"/>
                      <w:sz w:val="22"/>
                      <w:szCs w:val="22"/>
                    </w:rPr>
                    <w:t>or</w:t>
                  </w:r>
                  <w:r>
                    <w:rPr>
                      <w:rFonts w:asciiTheme="minorHAnsi" w:hAnsiTheme="minorHAnsi" w:cstheme="minorHAnsi"/>
                      <w:spacing w:val="-1"/>
                      <w:sz w:val="22"/>
                      <w:szCs w:val="22"/>
                    </w:rPr>
                    <w:t>a</w:t>
                  </w:r>
                  <w:r>
                    <w:rPr>
                      <w:rFonts w:asciiTheme="minorHAnsi" w:hAnsiTheme="minorHAnsi" w:cstheme="minorHAnsi"/>
                      <w:spacing w:val="-2"/>
                      <w:sz w:val="22"/>
                      <w:szCs w:val="22"/>
                    </w:rPr>
                    <w:t>ir</w:t>
                  </w:r>
                  <w:r>
                    <w:rPr>
                      <w:rFonts w:asciiTheme="minorHAnsi" w:hAnsiTheme="minorHAnsi" w:cstheme="minorHAnsi"/>
                      <w:sz w:val="22"/>
                      <w:szCs w:val="22"/>
                    </w:rPr>
                    <w:t>e</w:t>
                  </w:r>
                  <w:r>
                    <w:rPr>
                      <w:rFonts w:asciiTheme="minorHAnsi" w:hAnsiTheme="minorHAnsi" w:cstheme="minorHAnsi"/>
                      <w:spacing w:val="47"/>
                      <w:sz w:val="22"/>
                      <w:szCs w:val="22"/>
                    </w:rPr>
                    <w:t xml:space="preserve"> </w:t>
                  </w:r>
                  <w:r>
                    <w:rPr>
                      <w:rFonts w:asciiTheme="minorHAnsi" w:hAnsiTheme="minorHAnsi" w:cstheme="minorHAnsi"/>
                      <w:spacing w:val="1"/>
                      <w:sz w:val="22"/>
                      <w:szCs w:val="22"/>
                    </w:rPr>
                    <w:t>tot</w:t>
                  </w:r>
                  <w:r>
                    <w:rPr>
                      <w:rFonts w:asciiTheme="minorHAnsi" w:hAnsiTheme="minorHAnsi" w:cstheme="minorHAnsi"/>
                      <w:spacing w:val="-1"/>
                      <w:sz w:val="22"/>
                      <w:szCs w:val="22"/>
                    </w:rPr>
                    <w:t>al</w:t>
                  </w:r>
                  <w:r>
                    <w:rPr>
                      <w:rFonts w:asciiTheme="minorHAnsi" w:hAnsiTheme="minorHAnsi" w:cstheme="minorHAnsi"/>
                      <w:sz w:val="22"/>
                      <w:szCs w:val="22"/>
                    </w:rPr>
                    <w:t>e</w:t>
                  </w:r>
                  <w:r>
                    <w:rPr>
                      <w:rFonts w:asciiTheme="minorHAnsi" w:hAnsiTheme="minorHAnsi" w:cstheme="minorHAnsi"/>
                      <w:spacing w:val="47"/>
                      <w:sz w:val="22"/>
                      <w:szCs w:val="22"/>
                    </w:rPr>
                    <w:t xml:space="preserve"> </w:t>
                  </w:r>
                  <w:r>
                    <w:rPr>
                      <w:rFonts w:asciiTheme="minorHAnsi" w:hAnsiTheme="minorHAnsi" w:cstheme="minorHAnsi"/>
                      <w:spacing w:val="-1"/>
                      <w:sz w:val="22"/>
                      <w:szCs w:val="22"/>
                    </w:rPr>
                    <w:t>e</w:t>
                  </w:r>
                  <w:r>
                    <w:rPr>
                      <w:rFonts w:asciiTheme="minorHAnsi" w:hAnsiTheme="minorHAnsi" w:cstheme="minorHAnsi"/>
                      <w:sz w:val="22"/>
                      <w:szCs w:val="22"/>
                    </w:rPr>
                    <w:t>n</w:t>
                  </w:r>
                  <w:r>
                    <w:rPr>
                      <w:rFonts w:asciiTheme="minorHAnsi" w:hAnsiTheme="minorHAnsi" w:cstheme="minorHAnsi"/>
                      <w:spacing w:val="47"/>
                      <w:sz w:val="22"/>
                      <w:szCs w:val="22"/>
                    </w:rPr>
                    <w:t xml:space="preserve"> </w:t>
                  </w:r>
                  <w:r>
                    <w:rPr>
                      <w:rFonts w:asciiTheme="minorHAnsi" w:hAnsiTheme="minorHAnsi" w:cstheme="minorHAnsi"/>
                      <w:spacing w:val="1"/>
                      <w:sz w:val="22"/>
                      <w:szCs w:val="22"/>
                    </w:rPr>
                    <w:t>co</w:t>
                  </w:r>
                  <w:r>
                    <w:rPr>
                      <w:rFonts w:asciiTheme="minorHAnsi" w:hAnsiTheme="minorHAnsi" w:cstheme="minorHAnsi"/>
                      <w:sz w:val="22"/>
                      <w:szCs w:val="22"/>
                    </w:rPr>
                    <w:t>u</w:t>
                  </w:r>
                  <w:r>
                    <w:rPr>
                      <w:rFonts w:asciiTheme="minorHAnsi" w:hAnsiTheme="minorHAnsi" w:cstheme="minorHAnsi"/>
                      <w:spacing w:val="1"/>
                      <w:sz w:val="22"/>
                      <w:szCs w:val="22"/>
                    </w:rPr>
                    <w:t>r</w:t>
                  </w:r>
                  <w:r>
                    <w:rPr>
                      <w:rFonts w:asciiTheme="minorHAnsi" w:hAnsiTheme="minorHAnsi" w:cstheme="minorHAnsi"/>
                      <w:sz w:val="22"/>
                      <w:szCs w:val="22"/>
                    </w:rPr>
                    <w:t>s</w:t>
                  </w:r>
                  <w:r>
                    <w:rPr>
                      <w:rFonts w:asciiTheme="minorHAnsi" w:hAnsiTheme="minorHAnsi" w:cstheme="minorHAnsi"/>
                      <w:spacing w:val="48"/>
                      <w:sz w:val="22"/>
                      <w:szCs w:val="22"/>
                    </w:rPr>
                    <w:t xml:space="preserve"> </w:t>
                  </w:r>
                  <w:r>
                    <w:rPr>
                      <w:rFonts w:asciiTheme="minorHAnsi" w:hAnsiTheme="minorHAnsi" w:cstheme="minorHAnsi"/>
                      <w:sz w:val="22"/>
                      <w:szCs w:val="22"/>
                    </w:rPr>
                    <w:t>d’</w:t>
                  </w:r>
                  <w:r>
                    <w:rPr>
                      <w:rFonts w:asciiTheme="minorHAnsi" w:hAnsiTheme="minorHAnsi" w:cstheme="minorHAnsi"/>
                      <w:spacing w:val="-1"/>
                      <w:sz w:val="22"/>
                      <w:szCs w:val="22"/>
                    </w:rPr>
                    <w:t>an</w:t>
                  </w:r>
                  <w:r>
                    <w:rPr>
                      <w:rFonts w:asciiTheme="minorHAnsi" w:hAnsiTheme="minorHAnsi" w:cstheme="minorHAnsi"/>
                      <w:spacing w:val="-3"/>
                      <w:sz w:val="22"/>
                      <w:szCs w:val="22"/>
                    </w:rPr>
                    <w:t>n</w:t>
                  </w:r>
                  <w:r>
                    <w:rPr>
                      <w:rFonts w:asciiTheme="minorHAnsi" w:hAnsiTheme="minorHAnsi" w:cstheme="minorHAnsi"/>
                      <w:spacing w:val="-1"/>
                      <w:sz w:val="22"/>
                      <w:szCs w:val="22"/>
                    </w:rPr>
                    <w:t>é</w:t>
                  </w:r>
                  <w:r>
                    <w:rPr>
                      <w:rFonts w:asciiTheme="minorHAnsi" w:hAnsiTheme="minorHAnsi" w:cstheme="minorHAnsi"/>
                      <w:sz w:val="22"/>
                      <w:szCs w:val="22"/>
                    </w:rPr>
                    <w:t>e, et qui n’avait pas déjà fait l’objet du comptage du 30 septembre,</w:t>
                  </w:r>
                  <w:r>
                    <w:rPr>
                      <w:rFonts w:asciiTheme="minorHAnsi" w:hAnsiTheme="minorHAnsi" w:cstheme="minorHAnsi"/>
                      <w:spacing w:val="47"/>
                      <w:sz w:val="22"/>
                      <w:szCs w:val="22"/>
                    </w:rPr>
                    <w:t xml:space="preserve"> </w:t>
                  </w:r>
                  <w:r>
                    <w:rPr>
                      <w:rFonts w:asciiTheme="minorHAnsi" w:hAnsiTheme="minorHAnsi" w:cstheme="minorHAnsi"/>
                      <w:spacing w:val="-1"/>
                      <w:sz w:val="22"/>
                      <w:szCs w:val="22"/>
                    </w:rPr>
                    <w:t>n</w:t>
                  </w:r>
                  <w:r>
                    <w:rPr>
                      <w:rFonts w:asciiTheme="minorHAnsi" w:hAnsiTheme="minorHAnsi" w:cstheme="minorHAnsi"/>
                      <w:sz w:val="22"/>
                      <w:szCs w:val="22"/>
                    </w:rPr>
                    <w:t>e</w:t>
                  </w:r>
                  <w:r>
                    <w:rPr>
                      <w:rFonts w:asciiTheme="minorHAnsi" w:hAnsiTheme="minorHAnsi" w:cstheme="minorHAnsi"/>
                      <w:spacing w:val="49"/>
                      <w:sz w:val="22"/>
                      <w:szCs w:val="22"/>
                    </w:rPr>
                    <w:t xml:space="preserve"> </w:t>
                  </w:r>
                  <w:r>
                    <w:rPr>
                      <w:rFonts w:asciiTheme="minorHAnsi" w:hAnsiTheme="minorHAnsi" w:cstheme="minorHAnsi"/>
                      <w:spacing w:val="1"/>
                      <w:sz w:val="22"/>
                      <w:szCs w:val="22"/>
                    </w:rPr>
                    <w:t>s</w:t>
                  </w:r>
                  <w:r>
                    <w:rPr>
                      <w:rFonts w:asciiTheme="minorHAnsi" w:hAnsiTheme="minorHAnsi" w:cstheme="minorHAnsi"/>
                      <w:spacing w:val="-1"/>
                      <w:sz w:val="22"/>
                      <w:szCs w:val="22"/>
                    </w:rPr>
                    <w:t>e</w:t>
                  </w:r>
                  <w:r>
                    <w:rPr>
                      <w:rFonts w:asciiTheme="minorHAnsi" w:hAnsiTheme="minorHAnsi" w:cstheme="minorHAnsi"/>
                      <w:spacing w:val="1"/>
                      <w:sz w:val="22"/>
                      <w:szCs w:val="22"/>
                    </w:rPr>
                    <w:t>r</w:t>
                  </w:r>
                  <w:r>
                    <w:rPr>
                      <w:rFonts w:asciiTheme="minorHAnsi" w:hAnsiTheme="minorHAnsi" w:cstheme="minorHAnsi"/>
                      <w:sz w:val="22"/>
                      <w:szCs w:val="22"/>
                    </w:rPr>
                    <w:t>a</w:t>
                  </w:r>
                  <w:r>
                    <w:rPr>
                      <w:rFonts w:asciiTheme="minorHAnsi" w:hAnsiTheme="minorHAnsi" w:cstheme="minorHAnsi"/>
                      <w:spacing w:val="47"/>
                      <w:sz w:val="22"/>
                      <w:szCs w:val="22"/>
                    </w:rPr>
                    <w:t xml:space="preserve"> </w:t>
                  </w:r>
                  <w:r>
                    <w:rPr>
                      <w:rFonts w:asciiTheme="minorHAnsi" w:hAnsiTheme="minorHAnsi" w:cstheme="minorHAnsi"/>
                      <w:spacing w:val="1"/>
                      <w:sz w:val="22"/>
                      <w:szCs w:val="22"/>
                    </w:rPr>
                    <w:t>pr</w:t>
                  </w:r>
                  <w:r>
                    <w:rPr>
                      <w:rFonts w:asciiTheme="minorHAnsi" w:hAnsiTheme="minorHAnsi" w:cstheme="minorHAnsi"/>
                      <w:sz w:val="22"/>
                      <w:szCs w:val="22"/>
                    </w:rPr>
                    <w:t>is</w:t>
                  </w:r>
                  <w:r>
                    <w:rPr>
                      <w:rFonts w:asciiTheme="minorHAnsi" w:hAnsiTheme="minorHAnsi" w:cstheme="minorHAnsi"/>
                      <w:spacing w:val="48"/>
                      <w:sz w:val="22"/>
                      <w:szCs w:val="22"/>
                    </w:rPr>
                    <w:t xml:space="preserve"> </w:t>
                  </w:r>
                  <w:r>
                    <w:rPr>
                      <w:rFonts w:asciiTheme="minorHAnsi" w:hAnsiTheme="minorHAnsi" w:cstheme="minorHAnsi"/>
                      <w:spacing w:val="-1"/>
                      <w:sz w:val="22"/>
                      <w:szCs w:val="22"/>
                    </w:rPr>
                    <w:t xml:space="preserve">en </w:t>
                  </w:r>
                  <w:r>
                    <w:rPr>
                      <w:rFonts w:asciiTheme="minorHAnsi" w:hAnsiTheme="minorHAnsi" w:cstheme="minorHAnsi"/>
                      <w:spacing w:val="1"/>
                      <w:sz w:val="22"/>
                      <w:szCs w:val="22"/>
                    </w:rPr>
                    <w:t>co</w:t>
                  </w:r>
                  <w:r>
                    <w:rPr>
                      <w:rFonts w:asciiTheme="minorHAnsi" w:hAnsiTheme="minorHAnsi" w:cstheme="minorHAnsi"/>
                      <w:spacing w:val="-3"/>
                      <w:sz w:val="22"/>
                      <w:szCs w:val="22"/>
                    </w:rPr>
                    <w:t>m</w:t>
                  </w:r>
                  <w:r>
                    <w:rPr>
                      <w:rFonts w:asciiTheme="minorHAnsi" w:hAnsiTheme="minorHAnsi" w:cstheme="minorHAnsi"/>
                      <w:spacing w:val="1"/>
                      <w:sz w:val="22"/>
                      <w:szCs w:val="22"/>
                    </w:rPr>
                    <w:t>pt</w:t>
                  </w:r>
                  <w:r>
                    <w:rPr>
                      <w:rFonts w:asciiTheme="minorHAnsi" w:hAnsiTheme="minorHAnsi" w:cstheme="minorHAnsi"/>
                      <w:sz w:val="22"/>
                      <w:szCs w:val="22"/>
                    </w:rPr>
                    <w:t>e</w:t>
                  </w:r>
                  <w:r>
                    <w:rPr>
                      <w:rFonts w:asciiTheme="minorHAnsi" w:hAnsiTheme="minorHAnsi" w:cstheme="minorHAnsi"/>
                      <w:spacing w:val="-1"/>
                      <w:sz w:val="22"/>
                      <w:szCs w:val="22"/>
                    </w:rPr>
                    <w:t xml:space="preserve"> </w:t>
                  </w:r>
                  <w:r>
                    <w:rPr>
                      <w:rFonts w:asciiTheme="minorHAnsi" w:hAnsiTheme="minorHAnsi" w:cstheme="minorHAnsi"/>
                      <w:sz w:val="22"/>
                      <w:szCs w:val="22"/>
                    </w:rPr>
                    <w:t>d</w:t>
                  </w:r>
                  <w:r>
                    <w:rPr>
                      <w:rFonts w:asciiTheme="minorHAnsi" w:hAnsiTheme="minorHAnsi" w:cstheme="minorHAnsi"/>
                      <w:spacing w:val="-1"/>
                      <w:sz w:val="22"/>
                      <w:szCs w:val="22"/>
                    </w:rPr>
                    <w:t>an</w:t>
                  </w:r>
                  <w:r>
                    <w:rPr>
                      <w:rFonts w:asciiTheme="minorHAnsi" w:hAnsiTheme="minorHAnsi" w:cstheme="minorHAnsi"/>
                      <w:sz w:val="22"/>
                      <w:szCs w:val="22"/>
                    </w:rPr>
                    <w:t xml:space="preserve">s </w:t>
                  </w:r>
                  <w:r>
                    <w:rPr>
                      <w:rFonts w:asciiTheme="minorHAnsi" w:hAnsiTheme="minorHAnsi" w:cstheme="minorHAnsi"/>
                      <w:spacing w:val="-1"/>
                      <w:sz w:val="22"/>
                      <w:szCs w:val="22"/>
                    </w:rPr>
                    <w:t>l</w:t>
                  </w:r>
                  <w:r>
                    <w:rPr>
                      <w:rFonts w:asciiTheme="minorHAnsi" w:hAnsiTheme="minorHAnsi" w:cstheme="minorHAnsi"/>
                      <w:sz w:val="22"/>
                      <w:szCs w:val="22"/>
                    </w:rPr>
                    <w:t>e</w:t>
                  </w:r>
                  <w:r>
                    <w:rPr>
                      <w:rFonts w:asciiTheme="minorHAnsi" w:hAnsiTheme="minorHAnsi" w:cstheme="minorHAnsi"/>
                      <w:spacing w:val="-1"/>
                      <w:sz w:val="22"/>
                      <w:szCs w:val="22"/>
                    </w:rPr>
                    <w:t xml:space="preserve"> </w:t>
                  </w:r>
                  <w:r>
                    <w:rPr>
                      <w:rFonts w:asciiTheme="minorHAnsi" w:hAnsiTheme="minorHAnsi" w:cstheme="minorHAnsi"/>
                      <w:sz w:val="22"/>
                      <w:szCs w:val="22"/>
                    </w:rPr>
                    <w:t>CPU</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q</w:t>
                  </w:r>
                  <w:r>
                    <w:rPr>
                      <w:rFonts w:asciiTheme="minorHAnsi" w:hAnsiTheme="minorHAnsi" w:cstheme="minorHAnsi"/>
                      <w:sz w:val="22"/>
                      <w:szCs w:val="22"/>
                    </w:rPr>
                    <w:t>u’</w:t>
                  </w:r>
                  <w:r>
                    <w:rPr>
                      <w:rFonts w:asciiTheme="minorHAnsi" w:hAnsiTheme="minorHAnsi" w:cstheme="minorHAnsi"/>
                      <w:spacing w:val="-3"/>
                      <w:sz w:val="22"/>
                      <w:szCs w:val="22"/>
                    </w:rPr>
                    <w:t>e</w:t>
                  </w:r>
                  <w:r>
                    <w:rPr>
                      <w:rFonts w:asciiTheme="minorHAnsi" w:hAnsiTheme="minorHAnsi" w:cstheme="minorHAnsi"/>
                      <w:sz w:val="22"/>
                      <w:szCs w:val="22"/>
                    </w:rPr>
                    <w:t>n</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c</w:t>
                  </w:r>
                  <w:r>
                    <w:rPr>
                      <w:rFonts w:asciiTheme="minorHAnsi" w:hAnsiTheme="minorHAnsi" w:cstheme="minorHAnsi"/>
                      <w:spacing w:val="-1"/>
                      <w:sz w:val="22"/>
                      <w:szCs w:val="22"/>
                    </w:rPr>
                    <w:t>a</w:t>
                  </w:r>
                  <w:r>
                    <w:rPr>
                      <w:rFonts w:asciiTheme="minorHAnsi" w:hAnsiTheme="minorHAnsi" w:cstheme="minorHAnsi"/>
                      <w:sz w:val="22"/>
                      <w:szCs w:val="22"/>
                    </w:rPr>
                    <w:t>s d’u</w:t>
                  </w:r>
                  <w:r>
                    <w:rPr>
                      <w:rFonts w:asciiTheme="minorHAnsi" w:hAnsiTheme="minorHAnsi" w:cstheme="minorHAnsi"/>
                      <w:spacing w:val="-1"/>
                      <w:sz w:val="22"/>
                      <w:szCs w:val="22"/>
                    </w:rPr>
                    <w:t>n</w:t>
                  </w:r>
                  <w:r>
                    <w:rPr>
                      <w:rFonts w:asciiTheme="minorHAnsi" w:hAnsiTheme="minorHAnsi" w:cstheme="minorHAnsi"/>
                      <w:sz w:val="22"/>
                      <w:szCs w:val="22"/>
                    </w:rPr>
                    <w:t>e</w:t>
                  </w:r>
                  <w:r>
                    <w:rPr>
                      <w:rFonts w:asciiTheme="minorHAnsi" w:hAnsiTheme="minorHAnsi" w:cstheme="minorHAnsi"/>
                      <w:spacing w:val="-1"/>
                      <w:sz w:val="22"/>
                      <w:szCs w:val="22"/>
                    </w:rPr>
                    <w:t xml:space="preserve"> a</w:t>
                  </w:r>
                  <w:r>
                    <w:rPr>
                      <w:rFonts w:asciiTheme="minorHAnsi" w:hAnsiTheme="minorHAnsi" w:cstheme="minorHAnsi"/>
                      <w:sz w:val="22"/>
                      <w:szCs w:val="22"/>
                    </w:rPr>
                    <w:t>ugm</w:t>
                  </w:r>
                  <w:r>
                    <w:rPr>
                      <w:rFonts w:asciiTheme="minorHAnsi" w:hAnsiTheme="minorHAnsi" w:cstheme="minorHAnsi"/>
                      <w:spacing w:val="-1"/>
                      <w:sz w:val="22"/>
                      <w:szCs w:val="22"/>
                    </w:rPr>
                    <w:t>en</w:t>
                  </w:r>
                  <w:r>
                    <w:rPr>
                      <w:rFonts w:asciiTheme="minorHAnsi" w:hAnsiTheme="minorHAnsi" w:cstheme="minorHAnsi"/>
                      <w:spacing w:val="1"/>
                      <w:sz w:val="22"/>
                      <w:szCs w:val="22"/>
                    </w:rPr>
                    <w:t>t</w:t>
                  </w:r>
                  <w:r>
                    <w:rPr>
                      <w:rFonts w:asciiTheme="minorHAnsi" w:hAnsiTheme="minorHAnsi" w:cstheme="minorHAnsi"/>
                      <w:spacing w:val="-1"/>
                      <w:sz w:val="22"/>
                      <w:szCs w:val="22"/>
                    </w:rPr>
                    <w:t>a</w:t>
                  </w:r>
                  <w:r>
                    <w:rPr>
                      <w:rFonts w:asciiTheme="minorHAnsi" w:hAnsiTheme="minorHAnsi" w:cstheme="minorHAnsi"/>
                      <w:spacing w:val="1"/>
                      <w:sz w:val="22"/>
                      <w:szCs w:val="22"/>
                    </w:rPr>
                    <w:t>t</w:t>
                  </w:r>
                  <w:r>
                    <w:rPr>
                      <w:rFonts w:asciiTheme="minorHAnsi" w:hAnsiTheme="minorHAnsi" w:cstheme="minorHAnsi"/>
                      <w:spacing w:val="-2"/>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1"/>
                      <w:sz w:val="22"/>
                      <w:szCs w:val="22"/>
                    </w:rPr>
                    <w:t xml:space="preserve"> </w:t>
                  </w:r>
                  <w:r>
                    <w:rPr>
                      <w:rFonts w:asciiTheme="minorHAnsi" w:hAnsiTheme="minorHAnsi" w:cstheme="minorHAnsi"/>
                      <w:sz w:val="22"/>
                      <w:szCs w:val="22"/>
                    </w:rPr>
                    <w:t>de</w:t>
                  </w:r>
                  <w:r>
                    <w:rPr>
                      <w:rFonts w:asciiTheme="minorHAnsi" w:hAnsiTheme="minorHAnsi" w:cstheme="minorHAnsi"/>
                      <w:spacing w:val="-1"/>
                      <w:sz w:val="22"/>
                      <w:szCs w:val="22"/>
                    </w:rPr>
                    <w:t xml:space="preserve"> l</w:t>
                  </w:r>
                  <w:r>
                    <w:rPr>
                      <w:rFonts w:asciiTheme="minorHAnsi" w:hAnsiTheme="minorHAnsi" w:cstheme="minorHAnsi"/>
                      <w:sz w:val="22"/>
                      <w:szCs w:val="22"/>
                    </w:rPr>
                    <w:t>a</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pop</w:t>
                  </w:r>
                  <w:r>
                    <w:rPr>
                      <w:rFonts w:asciiTheme="minorHAnsi" w:hAnsiTheme="minorHAnsi" w:cstheme="minorHAnsi"/>
                      <w:sz w:val="22"/>
                      <w:szCs w:val="22"/>
                    </w:rPr>
                    <w:t>u</w:t>
                  </w:r>
                  <w:r>
                    <w:rPr>
                      <w:rFonts w:asciiTheme="minorHAnsi" w:hAnsiTheme="minorHAnsi" w:cstheme="minorHAnsi"/>
                      <w:spacing w:val="-1"/>
                      <w:sz w:val="22"/>
                      <w:szCs w:val="22"/>
                    </w:rPr>
                    <w:t>la</w:t>
                  </w:r>
                  <w:r>
                    <w:rPr>
                      <w:rFonts w:asciiTheme="minorHAnsi" w:hAnsiTheme="minorHAnsi" w:cstheme="minorHAnsi"/>
                      <w:spacing w:val="1"/>
                      <w:sz w:val="22"/>
                      <w:szCs w:val="22"/>
                    </w:rPr>
                    <w:t>t</w:t>
                  </w:r>
                  <w:r>
                    <w:rPr>
                      <w:rFonts w:asciiTheme="minorHAnsi" w:hAnsiTheme="minorHAnsi" w:cstheme="minorHAnsi"/>
                      <w:spacing w:val="-2"/>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1"/>
                      <w:sz w:val="22"/>
                      <w:szCs w:val="22"/>
                    </w:rPr>
                    <w:t xml:space="preserve"> </w:t>
                  </w:r>
                  <w:r>
                    <w:rPr>
                      <w:rFonts w:asciiTheme="minorHAnsi" w:hAnsiTheme="minorHAnsi" w:cstheme="minorHAnsi"/>
                      <w:sz w:val="22"/>
                      <w:szCs w:val="22"/>
                    </w:rPr>
                    <w:t>de</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1</w:t>
                  </w:r>
                  <w:r>
                    <w:rPr>
                      <w:rFonts w:asciiTheme="minorHAnsi" w:hAnsiTheme="minorHAnsi" w:cstheme="minorHAnsi"/>
                      <w:spacing w:val="-4"/>
                      <w:sz w:val="22"/>
                      <w:szCs w:val="22"/>
                    </w:rPr>
                    <w:t>0</w:t>
                  </w:r>
                  <w:r>
                    <w:rPr>
                      <w:rFonts w:asciiTheme="minorHAnsi" w:hAnsiTheme="minorHAnsi" w:cstheme="minorHAnsi"/>
                      <w:sz w:val="22"/>
                      <w:szCs w:val="22"/>
                    </w:rPr>
                    <w:t>%.</w:t>
                  </w:r>
                  <w:r>
                    <w:rPr>
                      <w:rFonts w:asciiTheme="minorHAnsi" w:hAnsiTheme="minorHAnsi" w:cstheme="minorHAnsi"/>
                      <w:spacing w:val="-1"/>
                      <w:sz w:val="22"/>
                      <w:szCs w:val="22"/>
                    </w:rPr>
                    <w:t xml:space="preserve"> </w:t>
                  </w:r>
                </w:p>
                <w:p w:rsidR="00F04EEF" w:rsidRDefault="00F04EEF">
                  <w:pPr>
                    <w:pStyle w:val="Paragraphedeliste"/>
                    <w:ind w:left="720"/>
                    <w:rPr>
                      <w:rFonts w:asciiTheme="majorHAnsi" w:hAnsiTheme="majorHAnsi" w:cs="Georgia"/>
                    </w:rPr>
                  </w:pPr>
                </w:p>
                <w:p w:rsidR="00F04EEF" w:rsidRDefault="0099351E">
                  <w:pPr>
                    <w:rPr>
                      <w:rFonts w:asciiTheme="majorHAnsi" w:eastAsia="Times New Roman" w:hAnsiTheme="majorHAnsi" w:cs="Georgia"/>
                      <w:spacing w:val="1"/>
                      <w:lang w:eastAsia="ar-SA"/>
                    </w:rPr>
                  </w:pPr>
                  <w:r>
                    <w:rPr>
                      <w:rFonts w:asciiTheme="majorHAnsi" w:hAnsiTheme="majorHAnsi" w:cs="Georgia"/>
                      <w:spacing w:val="1"/>
                    </w:rPr>
                    <w:br w:type="page"/>
                  </w:r>
                </w:p>
                <w:p w:rsidR="00F04EEF" w:rsidRDefault="0099351E">
                  <w:pPr>
                    <w:pStyle w:val="Paragraphedeliste"/>
                    <w:numPr>
                      <w:ilvl w:val="1"/>
                      <w:numId w:val="197"/>
                    </w:numPr>
                    <w:jc w:val="both"/>
                    <w:rPr>
                      <w:rFonts w:asciiTheme="majorHAnsi" w:hAnsiTheme="majorHAnsi" w:cs="Georgia"/>
                      <w:sz w:val="22"/>
                      <w:szCs w:val="22"/>
                    </w:rPr>
                  </w:pPr>
                  <w:r>
                    <w:rPr>
                      <w:rFonts w:asciiTheme="majorHAnsi" w:hAnsiTheme="majorHAnsi" w:cs="Georgia"/>
                      <w:spacing w:val="1"/>
                      <w:sz w:val="22"/>
                      <w:szCs w:val="22"/>
                    </w:rPr>
                    <w:t>L</w:t>
                  </w:r>
                  <w:r>
                    <w:rPr>
                      <w:rFonts w:asciiTheme="majorHAnsi" w:hAnsiTheme="majorHAnsi" w:cs="Georgia"/>
                      <w:spacing w:val="-1"/>
                      <w:sz w:val="22"/>
                      <w:szCs w:val="22"/>
                    </w:rPr>
                    <w:t>e</w:t>
                  </w:r>
                  <w:r>
                    <w:rPr>
                      <w:rFonts w:asciiTheme="majorHAnsi" w:hAnsiTheme="majorHAnsi" w:cs="Georgia"/>
                      <w:sz w:val="22"/>
                      <w:szCs w:val="22"/>
                    </w:rPr>
                    <w:t xml:space="preserve">s 4 </w:t>
                  </w:r>
                  <w:r>
                    <w:rPr>
                      <w:rFonts w:asciiTheme="majorHAnsi" w:hAnsiTheme="majorHAnsi" w:cs="Georgia"/>
                      <w:spacing w:val="-1"/>
                      <w:sz w:val="22"/>
                      <w:szCs w:val="22"/>
                    </w:rPr>
                    <w:t>o</w:t>
                  </w:r>
                  <w:r>
                    <w:rPr>
                      <w:rFonts w:asciiTheme="majorHAnsi" w:hAnsiTheme="majorHAnsi" w:cs="Georgia"/>
                      <w:sz w:val="22"/>
                      <w:szCs w:val="22"/>
                    </w:rPr>
                    <w:t xml:space="preserve">u 8 </w:t>
                  </w:r>
                  <w:r>
                    <w:rPr>
                      <w:rFonts w:asciiTheme="majorHAnsi" w:hAnsiTheme="majorHAnsi" w:cs="Georgia"/>
                      <w:spacing w:val="1"/>
                      <w:sz w:val="22"/>
                      <w:szCs w:val="22"/>
                    </w:rPr>
                    <w:t>p</w:t>
                  </w:r>
                  <w:r>
                    <w:rPr>
                      <w:rFonts w:asciiTheme="majorHAnsi" w:hAnsiTheme="majorHAnsi" w:cs="Georgia"/>
                      <w:spacing w:val="-1"/>
                      <w:sz w:val="22"/>
                      <w:szCs w:val="22"/>
                    </w:rPr>
                    <w:t>é</w:t>
                  </w:r>
                  <w:r>
                    <w:rPr>
                      <w:rFonts w:asciiTheme="majorHAnsi" w:hAnsiTheme="majorHAnsi" w:cs="Georgia"/>
                      <w:spacing w:val="-2"/>
                      <w:sz w:val="22"/>
                      <w:szCs w:val="22"/>
                    </w:rPr>
                    <w:t>r</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d</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z w:val="22"/>
                      <w:szCs w:val="22"/>
                    </w:rPr>
                    <w:t>ur</w:t>
                  </w:r>
                  <w:r>
                    <w:rPr>
                      <w:rFonts w:asciiTheme="majorHAnsi" w:hAnsiTheme="majorHAnsi" w:cs="Georgia"/>
                      <w:spacing w:val="-2"/>
                      <w:sz w:val="22"/>
                      <w:szCs w:val="22"/>
                    </w:rPr>
                    <w:t xml:space="preserve"> </w:t>
                  </w:r>
                  <w:r>
                    <w:rPr>
                      <w:rFonts w:asciiTheme="majorHAnsi" w:hAnsiTheme="majorHAnsi" w:cs="Georgia"/>
                      <w:spacing w:val="-1"/>
                      <w:sz w:val="22"/>
                      <w:szCs w:val="22"/>
                    </w:rPr>
                    <w:t>le</w:t>
                  </w:r>
                  <w:r>
                    <w:rPr>
                      <w:rFonts w:asciiTheme="majorHAnsi" w:hAnsiTheme="majorHAnsi" w:cs="Georgia"/>
                      <w:sz w:val="22"/>
                      <w:szCs w:val="22"/>
                    </w:rPr>
                    <w:t>s i</w:t>
                  </w:r>
                  <w:r>
                    <w:rPr>
                      <w:rFonts w:asciiTheme="majorHAnsi" w:hAnsiTheme="majorHAnsi" w:cs="Georgia"/>
                      <w:spacing w:val="-1"/>
                      <w:sz w:val="22"/>
                      <w:szCs w:val="22"/>
                    </w:rPr>
                    <w:t>n</w:t>
                  </w:r>
                  <w:r>
                    <w:rPr>
                      <w:rFonts w:asciiTheme="majorHAnsi" w:hAnsiTheme="majorHAnsi" w:cs="Georgia"/>
                      <w:spacing w:val="1"/>
                      <w:sz w:val="22"/>
                      <w:szCs w:val="22"/>
                    </w:rPr>
                    <w:t>t</w:t>
                  </w:r>
                  <w:r>
                    <w:rPr>
                      <w:rFonts w:asciiTheme="majorHAnsi" w:hAnsiTheme="majorHAnsi" w:cs="Georgia"/>
                      <w:spacing w:val="-1"/>
                      <w:sz w:val="22"/>
                      <w:szCs w:val="22"/>
                    </w:rPr>
                    <w:t>é</w:t>
                  </w:r>
                  <w:r>
                    <w:rPr>
                      <w:rFonts w:asciiTheme="majorHAnsi" w:hAnsiTheme="majorHAnsi" w:cs="Georgia"/>
                      <w:sz w:val="22"/>
                      <w:szCs w:val="22"/>
                    </w:rPr>
                    <w:t>g</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pacing w:val="-3"/>
                      <w:sz w:val="22"/>
                      <w:szCs w:val="22"/>
                    </w:rPr>
                    <w:t>n</w:t>
                  </w:r>
                  <w:r>
                    <w:rPr>
                      <w:rFonts w:asciiTheme="majorHAnsi" w:hAnsiTheme="majorHAnsi" w:cs="Georgia"/>
                      <w:sz w:val="22"/>
                      <w:szCs w:val="22"/>
                    </w:rPr>
                    <w:t xml:space="preserve">s </w:t>
                  </w:r>
                  <w:r>
                    <w:rPr>
                      <w:rFonts w:asciiTheme="majorHAnsi" w:hAnsiTheme="majorHAnsi" w:cs="Georgia"/>
                      <w:spacing w:val="1"/>
                      <w:sz w:val="22"/>
                      <w:szCs w:val="22"/>
                    </w:rPr>
                    <w:t>p</w:t>
                  </w:r>
                  <w:r>
                    <w:rPr>
                      <w:rFonts w:asciiTheme="majorHAnsi" w:hAnsiTheme="majorHAnsi" w:cs="Georgia"/>
                      <w:spacing w:val="-1"/>
                      <w:sz w:val="22"/>
                      <w:szCs w:val="22"/>
                    </w:rPr>
                    <w:t>e</w:t>
                  </w:r>
                  <w:r>
                    <w:rPr>
                      <w:rFonts w:asciiTheme="majorHAnsi" w:hAnsiTheme="majorHAnsi" w:cs="Georgia"/>
                      <w:spacing w:val="1"/>
                      <w:sz w:val="22"/>
                      <w:szCs w:val="22"/>
                    </w:rPr>
                    <w:t>r</w:t>
                  </w:r>
                  <w:r>
                    <w:rPr>
                      <w:rFonts w:asciiTheme="majorHAnsi" w:hAnsiTheme="majorHAnsi" w:cs="Georgia"/>
                      <w:sz w:val="22"/>
                      <w:szCs w:val="22"/>
                    </w:rPr>
                    <w:t>m</w:t>
                  </w:r>
                  <w:r>
                    <w:rPr>
                      <w:rFonts w:asciiTheme="majorHAnsi" w:hAnsiTheme="majorHAnsi" w:cs="Georgia"/>
                      <w:spacing w:val="-1"/>
                      <w:sz w:val="22"/>
                      <w:szCs w:val="22"/>
                    </w:rPr>
                    <w:t>an</w:t>
                  </w:r>
                  <w:r>
                    <w:rPr>
                      <w:rFonts w:asciiTheme="majorHAnsi" w:hAnsiTheme="majorHAnsi" w:cs="Georgia"/>
                      <w:spacing w:val="-3"/>
                      <w:sz w:val="22"/>
                      <w:szCs w:val="22"/>
                    </w:rPr>
                    <w:t>e</w:t>
                  </w:r>
                  <w:r>
                    <w:rPr>
                      <w:rFonts w:asciiTheme="majorHAnsi" w:hAnsiTheme="majorHAnsi" w:cs="Georgia"/>
                      <w:spacing w:val="-1"/>
                      <w:sz w:val="22"/>
                      <w:szCs w:val="22"/>
                    </w:rPr>
                    <w:t>n</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tot</w:t>
                  </w:r>
                  <w:r>
                    <w:rPr>
                      <w:rFonts w:asciiTheme="majorHAnsi" w:hAnsiTheme="majorHAnsi" w:cs="Georgia"/>
                      <w:spacing w:val="-1"/>
                      <w:sz w:val="22"/>
                      <w:szCs w:val="22"/>
                    </w:rPr>
                    <w:t>ale</w:t>
                  </w:r>
                  <w:r>
                    <w:rPr>
                      <w:rFonts w:asciiTheme="majorHAnsi" w:hAnsiTheme="majorHAnsi" w:cs="Georgia"/>
                      <w:sz w:val="22"/>
                      <w:szCs w:val="22"/>
                    </w:rPr>
                    <w:t>s :</w:t>
                  </w:r>
                </w:p>
                <w:p w:rsidR="00F04EEF" w:rsidRDefault="00F04EEF">
                  <w:pPr>
                    <w:jc w:val="both"/>
                    <w:rPr>
                      <w:rFonts w:cs="Georgia"/>
                    </w:rPr>
                  </w:pPr>
                </w:p>
                <w:p w:rsidR="00F04EEF" w:rsidRDefault="0099351E">
                  <w:pPr>
                    <w:jc w:val="both"/>
                    <w:rPr>
                      <w:rFonts w:cs="Georgia"/>
                      <w:color w:val="000000"/>
                    </w:rPr>
                  </w:pPr>
                  <w:r>
                    <w:rPr>
                      <w:rFonts w:cs="Georgia"/>
                    </w:rPr>
                    <w:t>C</w:t>
                  </w:r>
                  <w:r>
                    <w:rPr>
                      <w:rFonts w:cs="Georgia"/>
                      <w:spacing w:val="-1"/>
                    </w:rPr>
                    <w:t>e</w:t>
                  </w:r>
                  <w:r>
                    <w:rPr>
                      <w:rFonts w:cs="Georgia"/>
                    </w:rPr>
                    <w:t>s</w:t>
                  </w:r>
                  <w:r>
                    <w:rPr>
                      <w:rFonts w:cs="Georgia"/>
                      <w:spacing w:val="17"/>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15"/>
                    </w:rPr>
                    <w:t xml:space="preserve"> </w:t>
                  </w:r>
                  <w:r>
                    <w:rPr>
                      <w:rFonts w:cs="Georgia"/>
                      <w:spacing w:val="-2"/>
                    </w:rPr>
                    <w:t>s</w:t>
                  </w:r>
                  <w:r>
                    <w:rPr>
                      <w:rFonts w:cs="Georgia"/>
                      <w:spacing w:val="1"/>
                    </w:rPr>
                    <w:t>o</w:t>
                  </w:r>
                  <w:r>
                    <w:rPr>
                      <w:rFonts w:cs="Georgia"/>
                      <w:spacing w:val="-1"/>
                    </w:rPr>
                    <w:t>n</w:t>
                  </w:r>
                  <w:r>
                    <w:rPr>
                      <w:rFonts w:cs="Georgia"/>
                    </w:rPr>
                    <w:t>t</w:t>
                  </w:r>
                  <w:r>
                    <w:rPr>
                      <w:rFonts w:cs="Georgia"/>
                      <w:spacing w:val="17"/>
                    </w:rPr>
                    <w:t xml:space="preserve"> </w:t>
                  </w:r>
                  <w:r>
                    <w:rPr>
                      <w:rFonts w:cs="Georgia"/>
                      <w:spacing w:val="-3"/>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rPr>
                    <w:t>s</w:t>
                  </w:r>
                  <w:r>
                    <w:rPr>
                      <w:rFonts w:cs="Georgia"/>
                      <w:spacing w:val="17"/>
                    </w:rPr>
                    <w:t xml:space="preserve"> </w:t>
                  </w:r>
                  <w:r>
                    <w:rPr>
                      <w:rFonts w:cs="Georgia"/>
                      <w:spacing w:val="-1"/>
                    </w:rPr>
                    <w:t>ann</w:t>
                  </w:r>
                  <w:r>
                    <w:rPr>
                      <w:rFonts w:cs="Georgia"/>
                    </w:rPr>
                    <w:t>u</w:t>
                  </w:r>
                  <w:r>
                    <w:rPr>
                      <w:rFonts w:cs="Georgia"/>
                      <w:spacing w:val="-1"/>
                    </w:rPr>
                    <w:t>elle</w:t>
                  </w:r>
                  <w:r>
                    <w:rPr>
                      <w:rFonts w:cs="Georgia"/>
                    </w:rPr>
                    <w:t>m</w:t>
                  </w:r>
                  <w:r>
                    <w:rPr>
                      <w:rFonts w:cs="Georgia"/>
                      <w:spacing w:val="-1"/>
                    </w:rPr>
                    <w:t>en</w:t>
                  </w:r>
                  <w:r>
                    <w:rPr>
                      <w:rFonts w:cs="Georgia"/>
                    </w:rPr>
                    <w:t>t</w:t>
                  </w:r>
                  <w:r>
                    <w:rPr>
                      <w:rFonts w:cs="Georgia"/>
                      <w:spacing w:val="17"/>
                    </w:rPr>
                    <w:t xml:space="preserve"> </w:t>
                  </w:r>
                  <w:r>
                    <w:rPr>
                      <w:rFonts w:cs="Georgia"/>
                      <w:spacing w:val="1"/>
                    </w:rPr>
                    <w:t>po</w:t>
                  </w:r>
                  <w:r>
                    <w:rPr>
                      <w:rFonts w:cs="Georgia"/>
                    </w:rPr>
                    <w:t>ur</w:t>
                  </w:r>
                  <w:r>
                    <w:rPr>
                      <w:rFonts w:cs="Georgia"/>
                      <w:spacing w:val="12"/>
                    </w:rPr>
                    <w:t xml:space="preserve"> </w:t>
                  </w:r>
                  <w:r>
                    <w:rPr>
                      <w:rFonts w:cs="Georgia"/>
                      <w:spacing w:val="-1"/>
                    </w:rPr>
                    <w:t>le</w:t>
                  </w:r>
                  <w:r>
                    <w:rPr>
                      <w:rFonts w:cs="Georgia"/>
                    </w:rPr>
                    <w:t>s</w:t>
                  </w:r>
                  <w:r>
                    <w:rPr>
                      <w:rFonts w:cs="Georgia"/>
                      <w:spacing w:val="17"/>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7"/>
                    </w:rPr>
                    <w:t xml:space="preserve"> </w:t>
                  </w:r>
                  <w:r>
                    <w:rPr>
                      <w:rFonts w:cs="Georgia"/>
                      <w:spacing w:val="-1"/>
                    </w:rPr>
                    <w:t>e</w:t>
                  </w:r>
                  <w:r>
                    <w:rPr>
                      <w:rFonts w:cs="Georgia"/>
                    </w:rPr>
                    <w:t>n</w:t>
                  </w:r>
                  <w:r>
                    <w:rPr>
                      <w:rFonts w:cs="Georgia"/>
                      <w:spacing w:val="16"/>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3"/>
                    </w:rPr>
                    <w:t xml:space="preserve"> </w:t>
                  </w:r>
                  <w:r>
                    <w:rPr>
                      <w:rFonts w:cs="Georgia"/>
                      <w:spacing w:val="1"/>
                    </w:rPr>
                    <w:t>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15"/>
                    </w:rPr>
                    <w:t xml:space="preserve"> </w:t>
                  </w:r>
                  <w:r>
                    <w:rPr>
                      <w:rFonts w:cs="Georgia"/>
                      <w:spacing w:val="-2"/>
                    </w:rPr>
                    <w:t>t</w:t>
                  </w:r>
                  <w:r>
                    <w:rPr>
                      <w:rFonts w:cs="Georgia"/>
                      <w:spacing w:val="1"/>
                    </w:rPr>
                    <w:t>ot</w:t>
                  </w:r>
                  <w:r>
                    <w:rPr>
                      <w:rFonts w:cs="Georgia"/>
                      <w:spacing w:val="-1"/>
                    </w:rPr>
                    <w:t>al</w:t>
                  </w:r>
                  <w:r>
                    <w:rPr>
                      <w:rFonts w:cs="Georgia"/>
                    </w:rPr>
                    <w:t>e</w:t>
                  </w:r>
                  <w:r>
                    <w:rPr>
                      <w:rFonts w:cs="Georgia"/>
                      <w:spacing w:val="15"/>
                    </w:rPr>
                    <w:t xml:space="preserve"> </w:t>
                  </w:r>
                  <w:r>
                    <w:rPr>
                      <w:rFonts w:cs="Georgia"/>
                    </w:rPr>
                    <w:t>d</w:t>
                  </w:r>
                  <w:r>
                    <w:rPr>
                      <w:rFonts w:cs="Georgia"/>
                      <w:spacing w:val="1"/>
                    </w:rPr>
                    <w:t>o</w:t>
                  </w:r>
                  <w:r>
                    <w:rPr>
                      <w:rFonts w:cs="Georgia"/>
                      <w:spacing w:val="-3"/>
                    </w:rPr>
                    <w:t>n</w:t>
                  </w:r>
                  <w:r>
                    <w:rPr>
                      <w:rFonts w:cs="Georgia"/>
                    </w:rPr>
                    <w:t xml:space="preserve">t </w:t>
                  </w:r>
                  <w:r>
                    <w:rPr>
                      <w:rFonts w:cs="Georgia"/>
                      <w:b/>
                      <w:spacing w:val="-1"/>
                    </w:rPr>
                    <w:t>l</w:t>
                  </w:r>
                  <w:r>
                    <w:rPr>
                      <w:rFonts w:cs="Georgia"/>
                      <w:b/>
                    </w:rPr>
                    <w:t>e</w:t>
                  </w:r>
                  <w:r>
                    <w:rPr>
                      <w:rFonts w:cs="Georgia"/>
                      <w:b/>
                      <w:spacing w:val="23"/>
                    </w:rPr>
                    <w:t xml:space="preserve"> </w:t>
                  </w:r>
                  <w:r>
                    <w:rPr>
                      <w:rFonts w:cs="Georgia"/>
                      <w:b/>
                    </w:rPr>
                    <w:t>d</w:t>
                  </w:r>
                  <w:r>
                    <w:rPr>
                      <w:rFonts w:cs="Georgia"/>
                      <w:b/>
                      <w:spacing w:val="1"/>
                    </w:rPr>
                    <w:t>oss</w:t>
                  </w:r>
                  <w:r>
                    <w:rPr>
                      <w:rFonts w:cs="Georgia"/>
                      <w:b/>
                    </w:rPr>
                    <w:t>i</w:t>
                  </w:r>
                  <w:r>
                    <w:rPr>
                      <w:rFonts w:cs="Georgia"/>
                      <w:b/>
                      <w:spacing w:val="-1"/>
                    </w:rPr>
                    <w:t>e</w:t>
                  </w:r>
                  <w:r>
                    <w:rPr>
                      <w:rFonts w:cs="Georgia"/>
                      <w:b/>
                    </w:rPr>
                    <w:t>r</w:t>
                  </w:r>
                  <w:r>
                    <w:rPr>
                      <w:rFonts w:cs="Georgia"/>
                      <w:b/>
                      <w:spacing w:val="25"/>
                    </w:rPr>
                    <w:t xml:space="preserve"> </w:t>
                  </w:r>
                  <w:r>
                    <w:rPr>
                      <w:rFonts w:cs="Georgia"/>
                      <w:b/>
                      <w:spacing w:val="-1"/>
                    </w:rPr>
                    <w:t>e</w:t>
                  </w:r>
                  <w:r>
                    <w:rPr>
                      <w:rFonts w:cs="Georgia"/>
                      <w:b/>
                      <w:spacing w:val="1"/>
                    </w:rPr>
                    <w:t>s</w:t>
                  </w:r>
                  <w:r>
                    <w:rPr>
                      <w:rFonts w:cs="Georgia"/>
                      <w:b/>
                    </w:rPr>
                    <w:t>t</w:t>
                  </w:r>
                  <w:r>
                    <w:rPr>
                      <w:rFonts w:cs="Georgia"/>
                      <w:b/>
                      <w:spacing w:val="24"/>
                    </w:rPr>
                    <w:t xml:space="preserve"> </w:t>
                  </w:r>
                  <w:r>
                    <w:rPr>
                      <w:rFonts w:cs="Georgia"/>
                      <w:b/>
                      <w:spacing w:val="-1"/>
                    </w:rPr>
                    <w:t>e</w:t>
                  </w:r>
                  <w:r>
                    <w:rPr>
                      <w:rFonts w:cs="Georgia"/>
                      <w:b/>
                    </w:rPr>
                    <w:t>n</w:t>
                  </w:r>
                  <w:r>
                    <w:rPr>
                      <w:rFonts w:cs="Georgia"/>
                      <w:b/>
                      <w:spacing w:val="23"/>
                    </w:rPr>
                    <w:t xml:space="preserve"> </w:t>
                  </w:r>
                  <w:r>
                    <w:rPr>
                      <w:rFonts w:cs="Georgia"/>
                      <w:b/>
                      <w:spacing w:val="1"/>
                    </w:rPr>
                    <w:t>o</w:t>
                  </w:r>
                  <w:r>
                    <w:rPr>
                      <w:rFonts w:cs="Georgia"/>
                      <w:b/>
                      <w:spacing w:val="-2"/>
                    </w:rPr>
                    <w:t>r</w:t>
                  </w:r>
                  <w:r>
                    <w:rPr>
                      <w:rFonts w:cs="Georgia"/>
                      <w:b/>
                    </w:rPr>
                    <w:t>d</w:t>
                  </w:r>
                  <w:r>
                    <w:rPr>
                      <w:rFonts w:cs="Georgia"/>
                      <w:b/>
                      <w:spacing w:val="1"/>
                    </w:rPr>
                    <w:t>r</w:t>
                  </w:r>
                  <w:r>
                    <w:rPr>
                      <w:rFonts w:cs="Georgia"/>
                      <w:b/>
                      <w:spacing w:val="-1"/>
                    </w:rPr>
                    <w:t>e</w:t>
                  </w:r>
                  <w:r>
                    <w:rPr>
                      <w:rFonts w:cs="Georgia"/>
                    </w:rPr>
                    <w:t>.</w:t>
                  </w:r>
                  <w:r>
                    <w:rPr>
                      <w:rFonts w:cs="Georgia"/>
                      <w:spacing w:val="22"/>
                    </w:rPr>
                    <w:t xml:space="preserve">  </w:t>
                  </w:r>
                  <w:r>
                    <w:rPr>
                      <w:rFonts w:cs="Georgia"/>
                    </w:rPr>
                    <w:t>Ce</w:t>
                  </w:r>
                  <w:r>
                    <w:rPr>
                      <w:rFonts w:cs="Georgia"/>
                      <w:spacing w:val="23"/>
                    </w:rPr>
                    <w:t xml:space="preserve"> </w:t>
                  </w:r>
                  <w:r>
                    <w:rPr>
                      <w:rFonts w:cs="Georgia"/>
                      <w:spacing w:val="-1"/>
                    </w:rPr>
                    <w:t>n</w:t>
                  </w:r>
                  <w:r>
                    <w:rPr>
                      <w:rFonts w:cs="Georgia"/>
                      <w:spacing w:val="1"/>
                    </w:rPr>
                    <w:t>o</w:t>
                  </w:r>
                  <w:r>
                    <w:rPr>
                      <w:rFonts w:cs="Georgia"/>
                    </w:rPr>
                    <w:t>m</w:t>
                  </w:r>
                  <w:r>
                    <w:rPr>
                      <w:rFonts w:cs="Georgia"/>
                      <w:spacing w:val="1"/>
                    </w:rPr>
                    <w:t>br</w:t>
                  </w:r>
                  <w:r>
                    <w:rPr>
                      <w:rFonts w:cs="Georgia"/>
                    </w:rPr>
                    <w:t>e</w:t>
                  </w:r>
                  <w:r>
                    <w:rPr>
                      <w:rFonts w:cs="Georgia"/>
                      <w:spacing w:val="23"/>
                    </w:rPr>
                    <w:t xml:space="preserve"> </w:t>
                  </w:r>
                  <w:r>
                    <w:rPr>
                      <w:rFonts w:cs="Georgia"/>
                    </w:rPr>
                    <w:t>de</w:t>
                  </w:r>
                  <w:r>
                    <w:rPr>
                      <w:rFonts w:cs="Georgia"/>
                      <w:spacing w:val="23"/>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22"/>
                    </w:rPr>
                    <w:t xml:space="preserve"> </w:t>
                  </w:r>
                  <w:r>
                    <w:rPr>
                      <w:rFonts w:cs="Georgia"/>
                      <w:spacing w:val="-1"/>
                    </w:rPr>
                    <w:t>e</w:t>
                  </w:r>
                  <w:r>
                    <w:rPr>
                      <w:rFonts w:cs="Georgia"/>
                      <w:spacing w:val="1"/>
                    </w:rPr>
                    <w:t>s</w:t>
                  </w:r>
                  <w:r>
                    <w:rPr>
                      <w:rFonts w:cs="Georgia"/>
                    </w:rPr>
                    <w:t>t</w:t>
                  </w:r>
                  <w:r>
                    <w:rPr>
                      <w:rFonts w:cs="Georgia"/>
                      <w:spacing w:val="24"/>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w:t>
                  </w:r>
                  <w:r>
                    <w:rPr>
                      <w:rFonts w:cs="Georgia"/>
                      <w:color w:val="000000"/>
                      <w:spacing w:val="-1"/>
                    </w:rPr>
                    <w:t>l</w:t>
                  </w:r>
                  <w:r>
                    <w:rPr>
                      <w:rFonts w:cs="Georgia"/>
                      <w:color w:val="000000"/>
                    </w:rPr>
                    <w:t>é</w:t>
                  </w:r>
                  <w:r>
                    <w:rPr>
                      <w:rFonts w:cs="Georgia"/>
                      <w:color w:val="000000"/>
                      <w:spacing w:val="23"/>
                    </w:rPr>
                    <w:t xml:space="preserve"> </w:t>
                  </w:r>
                  <w:r>
                    <w:rPr>
                      <w:rFonts w:cs="Georgia"/>
                      <w:color w:val="000000"/>
                      <w:spacing w:val="-1"/>
                    </w:rPr>
                    <w:t>e</w:t>
                  </w:r>
                  <w:r>
                    <w:rPr>
                      <w:rFonts w:cs="Georgia"/>
                      <w:color w:val="000000"/>
                    </w:rPr>
                    <w:t>n</w:t>
                  </w:r>
                  <w:r>
                    <w:rPr>
                      <w:rFonts w:cs="Georgia"/>
                      <w:color w:val="000000"/>
                      <w:spacing w:val="23"/>
                    </w:rPr>
                    <w:t xml:space="preserve"> </w:t>
                  </w:r>
                  <w:r>
                    <w:rPr>
                      <w:rFonts w:cs="Georgia"/>
                      <w:color w:val="000000"/>
                    </w:rPr>
                    <w:t>d</w:t>
                  </w:r>
                  <w:r>
                    <w:rPr>
                      <w:rFonts w:cs="Georgia"/>
                      <w:color w:val="000000"/>
                      <w:spacing w:val="-1"/>
                    </w:rPr>
                    <w:t>é</w:t>
                  </w:r>
                  <w:r>
                    <w:rPr>
                      <w:rFonts w:cs="Georgia"/>
                      <w:color w:val="000000"/>
                      <w:spacing w:val="1"/>
                    </w:rPr>
                    <w:t>b</w:t>
                  </w:r>
                  <w:r>
                    <w:rPr>
                      <w:rFonts w:cs="Georgia"/>
                      <w:color w:val="000000"/>
                    </w:rPr>
                    <w:t>ut</w:t>
                  </w:r>
                  <w:r>
                    <w:rPr>
                      <w:rFonts w:cs="Georgia"/>
                      <w:color w:val="000000"/>
                      <w:spacing w:val="24"/>
                    </w:rPr>
                    <w:t xml:space="preserve"> </w:t>
                  </w:r>
                  <w:r>
                    <w:rPr>
                      <w:rFonts w:cs="Georgia"/>
                      <w:color w:val="000000"/>
                      <w:spacing w:val="-2"/>
                    </w:rPr>
                    <w:t>d</w:t>
                  </w:r>
                  <w:r>
                    <w:rPr>
                      <w:rFonts w:cs="Georgia"/>
                      <w:color w:val="000000"/>
                    </w:rPr>
                    <w:t>e</w:t>
                  </w:r>
                  <w:r>
                    <w:rPr>
                      <w:rFonts w:cs="Georgia"/>
                      <w:color w:val="000000"/>
                      <w:spacing w:val="23"/>
                    </w:rPr>
                    <w:t xml:space="preserve"> </w:t>
                  </w:r>
                  <w:r>
                    <w:rPr>
                      <w:rFonts w:cs="Georgia"/>
                      <w:color w:val="000000"/>
                      <w:spacing w:val="1"/>
                    </w:rPr>
                    <w:t>ch</w:t>
                  </w:r>
                  <w:r>
                    <w:rPr>
                      <w:rFonts w:cs="Georgia"/>
                      <w:color w:val="000000"/>
                      <w:spacing w:val="-1"/>
                    </w:rPr>
                    <w:t>aq</w:t>
                  </w:r>
                  <w:r>
                    <w:rPr>
                      <w:rFonts w:cs="Georgia"/>
                      <w:color w:val="000000"/>
                    </w:rPr>
                    <w:t>ue</w:t>
                  </w:r>
                  <w:r>
                    <w:rPr>
                      <w:rFonts w:cs="Georgia"/>
                      <w:color w:val="000000"/>
                      <w:spacing w:val="23"/>
                    </w:rPr>
                    <w:t xml:space="preserve"> </w:t>
                  </w:r>
                  <w:r>
                    <w:rPr>
                      <w:rFonts w:cs="Georgia"/>
                      <w:color w:val="000000"/>
                      <w:spacing w:val="-1"/>
                    </w:rPr>
                    <w:t>anné</w:t>
                  </w:r>
                  <w:r>
                    <w:rPr>
                      <w:rFonts w:cs="Georgia"/>
                      <w:color w:val="000000"/>
                    </w:rPr>
                    <w:t>e</w:t>
                  </w:r>
                  <w:r>
                    <w:rPr>
                      <w:rFonts w:cs="Georgia"/>
                      <w:color w:val="000000"/>
                      <w:spacing w:val="25"/>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 xml:space="preserve">e, </w:t>
                  </w:r>
                  <w:r>
                    <w:rPr>
                      <w:rFonts w:cs="Georgia"/>
                      <w:color w:val="000000"/>
                      <w:spacing w:val="1"/>
                    </w:rPr>
                    <w:t>s</w:t>
                  </w:r>
                  <w:r>
                    <w:rPr>
                      <w:rFonts w:cs="Georgia"/>
                      <w:color w:val="000000"/>
                      <w:spacing w:val="-1"/>
                    </w:rPr>
                    <w:t>an</w:t>
                  </w:r>
                  <w:r>
                    <w:rPr>
                      <w:rFonts w:cs="Georgia"/>
                      <w:color w:val="000000"/>
                    </w:rPr>
                    <w:t xml:space="preserve">s </w:t>
                  </w:r>
                  <w:r>
                    <w:rPr>
                      <w:rFonts w:cs="Georgia"/>
                      <w:color w:val="000000"/>
                      <w:spacing w:val="1"/>
                    </w:rPr>
                    <w:t>pr</w:t>
                  </w:r>
                  <w:r>
                    <w:rPr>
                      <w:rFonts w:cs="Georgia"/>
                      <w:color w:val="000000"/>
                      <w:spacing w:val="-1"/>
                    </w:rPr>
                    <w:t>en</w:t>
                  </w:r>
                  <w:r>
                    <w:rPr>
                      <w:rFonts w:cs="Georgia"/>
                      <w:color w:val="000000"/>
                      <w:spacing w:val="-2"/>
                    </w:rPr>
                    <w:t>d</w:t>
                  </w:r>
                  <w:r>
                    <w:rPr>
                      <w:rFonts w:cs="Georgia"/>
                      <w:color w:val="000000"/>
                      <w:spacing w:val="1"/>
                    </w:rPr>
                    <w:t>r</w:t>
                  </w:r>
                  <w:r>
                    <w:rPr>
                      <w:rFonts w:cs="Georgia"/>
                      <w:color w:val="000000"/>
                    </w:rPr>
                    <w:t>e</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rPr>
                    <w:t>’IPT 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p>
                <w:p w:rsidR="00F04EEF" w:rsidRDefault="00F04EEF">
                  <w:pPr>
                    <w:widowControl w:val="0"/>
                    <w:autoSpaceDE w:val="0"/>
                    <w:autoSpaceDN w:val="0"/>
                    <w:adjustRightInd w:val="0"/>
                    <w:spacing w:before="7" w:line="240" w:lineRule="exact"/>
                    <w:jc w:val="both"/>
                    <w:rPr>
                      <w:rFonts w:cs="Georgia"/>
                      <w:color w:val="000000"/>
                    </w:rPr>
                  </w:pPr>
                </w:p>
                <w:p w:rsidR="00F04EEF" w:rsidRDefault="0099351E">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rsidR="00F04EEF" w:rsidRDefault="00F04EEF">
                  <w:pPr>
                    <w:widowControl w:val="0"/>
                    <w:autoSpaceDE w:val="0"/>
                    <w:autoSpaceDN w:val="0"/>
                    <w:adjustRightInd w:val="0"/>
                    <w:jc w:val="both"/>
                    <w:rPr>
                      <w:rFonts w:cs="Georgia"/>
                      <w:color w:val="000000"/>
                      <w:u w:val="single"/>
                    </w:rPr>
                  </w:pPr>
                </w:p>
                <w:p w:rsidR="00F04EEF" w:rsidRDefault="0099351E">
                  <w:pPr>
                    <w:widowControl w:val="0"/>
                    <w:numPr>
                      <w:ilvl w:val="1"/>
                      <w:numId w:val="62"/>
                    </w:numPr>
                    <w:tabs>
                      <w:tab w:val="left" w:pos="660"/>
                    </w:tabs>
                    <w:suppressAutoHyphens/>
                    <w:autoSpaceDE w:val="0"/>
                    <w:autoSpaceDN w:val="0"/>
                    <w:adjustRightInd w:val="0"/>
                    <w:spacing w:before="26" w:line="221" w:lineRule="auto"/>
                    <w:ind w:left="397" w:hanging="397"/>
                    <w:jc w:val="both"/>
                    <w:rPr>
                      <w:rFonts w:cs="Georgia"/>
                      <w:color w:val="000000"/>
                    </w:rPr>
                  </w:pPr>
                  <w:r>
                    <w:rPr>
                      <w:rFonts w:cs="Georgia"/>
                      <w:color w:val="000000"/>
                    </w:rPr>
                    <w:t>Un</w:t>
                  </w:r>
                  <w:r>
                    <w:rPr>
                      <w:rFonts w:cs="Georgia"/>
                      <w:color w:val="000000"/>
                      <w:spacing w:val="4"/>
                    </w:rPr>
                    <w:t xml:space="preserve"> </w:t>
                  </w:r>
                  <w:r>
                    <w:rPr>
                      <w:rFonts w:cs="Georgia"/>
                      <w:color w:val="000000"/>
                      <w:spacing w:val="-1"/>
                    </w:rPr>
                    <w:t>élè</w:t>
                  </w:r>
                  <w:r>
                    <w:rPr>
                      <w:rFonts w:cs="Georgia"/>
                      <w:color w:val="000000"/>
                      <w:spacing w:val="1"/>
                    </w:rPr>
                    <w:t>v</w:t>
                  </w:r>
                  <w:r>
                    <w:rPr>
                      <w:rFonts w:cs="Georgia"/>
                      <w:color w:val="000000"/>
                    </w:rPr>
                    <w:t>e</w:t>
                  </w:r>
                  <w:r>
                    <w:rPr>
                      <w:rFonts w:cs="Georgia"/>
                      <w:color w:val="000000"/>
                      <w:spacing w:val="4"/>
                    </w:rPr>
                    <w:t xml:space="preserve"> </w:t>
                  </w:r>
                  <w:r>
                    <w:rPr>
                      <w:rFonts w:cs="Georgia"/>
                      <w:color w:val="000000"/>
                      <w:spacing w:val="-1"/>
                    </w:rPr>
                    <w:t>e</w:t>
                  </w:r>
                  <w:r>
                    <w:rPr>
                      <w:rFonts w:cs="Georgia"/>
                      <w:color w:val="000000"/>
                    </w:rPr>
                    <w:t>n</w:t>
                  </w:r>
                  <w:r>
                    <w:rPr>
                      <w:rFonts w:cs="Georgia"/>
                      <w:color w:val="000000"/>
                      <w:spacing w:val="4"/>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pe</w:t>
                  </w:r>
                  <w:r>
                    <w:rPr>
                      <w:rFonts w:cs="Georgia"/>
                      <w:color w:val="000000"/>
                      <w:spacing w:val="1"/>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4"/>
                    </w:rPr>
                    <w:t xml:space="preserve"> </w:t>
                  </w:r>
                  <w:r>
                    <w:rPr>
                      <w:rFonts w:cs="Georgia"/>
                      <w:color w:val="000000"/>
                      <w:spacing w:val="1"/>
                    </w:rPr>
                    <w:t>tot</w:t>
                  </w:r>
                  <w:r>
                    <w:rPr>
                      <w:rFonts w:cs="Georgia"/>
                      <w:color w:val="000000"/>
                      <w:spacing w:val="-1"/>
                    </w:rPr>
                    <w:t>al</w:t>
                  </w:r>
                  <w:r>
                    <w:rPr>
                      <w:rFonts w:cs="Georgia"/>
                      <w:color w:val="000000"/>
                    </w:rPr>
                    <w:t>e</w:t>
                  </w:r>
                  <w:r>
                    <w:rPr>
                      <w:rFonts w:cs="Georgia"/>
                      <w:color w:val="000000"/>
                      <w:spacing w:val="4"/>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3"/>
                    </w:rPr>
                    <w:t>a</w:t>
                  </w:r>
                  <w:r>
                    <w:rPr>
                      <w:rFonts w:cs="Georgia"/>
                      <w:color w:val="000000"/>
                      <w:spacing w:val="-1"/>
                    </w:rPr>
                    <w:t>n</w:t>
                  </w:r>
                  <w:r>
                    <w:rPr>
                      <w:rFonts w:cs="Georgia"/>
                      <w:color w:val="000000"/>
                      <w:spacing w:val="1"/>
                    </w:rPr>
                    <w:t>v</w:t>
                  </w:r>
                  <w:r>
                    <w:rPr>
                      <w:rFonts w:cs="Georgia"/>
                      <w:color w:val="000000"/>
                    </w:rPr>
                    <w:t>i</w:t>
                  </w:r>
                  <w:r>
                    <w:rPr>
                      <w:rFonts w:cs="Georgia"/>
                      <w:color w:val="000000"/>
                      <w:spacing w:val="-1"/>
                    </w:rPr>
                    <w:t>e</w:t>
                  </w:r>
                  <w:r>
                    <w:rPr>
                      <w:rFonts w:cs="Georgia"/>
                      <w:color w:val="000000"/>
                    </w:rPr>
                    <w:t>r</w:t>
                  </w:r>
                  <w:r>
                    <w:rPr>
                      <w:rFonts w:cs="Georgia"/>
                      <w:color w:val="000000"/>
                      <w:spacing w:val="5"/>
                    </w:rPr>
                    <w:t xml:space="preserve"> </w:t>
                  </w:r>
                  <w:r>
                    <w:rPr>
                      <w:rFonts w:cs="Georgia"/>
                      <w:color w:val="000000"/>
                      <w:spacing w:val="-1"/>
                    </w:rPr>
                    <w:t>n</w:t>
                  </w:r>
                  <w:r>
                    <w:rPr>
                      <w:rFonts w:cs="Georgia"/>
                      <w:color w:val="000000"/>
                    </w:rPr>
                    <w:t>e</w:t>
                  </w:r>
                  <w:r>
                    <w:rPr>
                      <w:rFonts w:cs="Georgia"/>
                      <w:color w:val="000000"/>
                      <w:spacing w:val="4"/>
                    </w:rPr>
                    <w:t xml:space="preserve"> </w:t>
                  </w:r>
                  <w:r>
                    <w:rPr>
                      <w:rFonts w:cs="Georgia"/>
                      <w:color w:val="000000"/>
                    </w:rPr>
                    <w:t>g</w:t>
                  </w:r>
                  <w:r>
                    <w:rPr>
                      <w:rFonts w:cs="Georgia"/>
                      <w:color w:val="000000"/>
                      <w:spacing w:val="-1"/>
                    </w:rPr>
                    <w:t>énè</w:t>
                  </w:r>
                  <w:r>
                    <w:rPr>
                      <w:rFonts w:cs="Georgia"/>
                      <w:color w:val="000000"/>
                      <w:spacing w:val="1"/>
                    </w:rPr>
                    <w:t>r</w:t>
                  </w:r>
                  <w:r>
                    <w:rPr>
                      <w:rFonts w:cs="Georgia"/>
                      <w:color w:val="000000"/>
                    </w:rPr>
                    <w:t>e</w:t>
                  </w:r>
                  <w:r>
                    <w:rPr>
                      <w:rFonts w:cs="Georgia"/>
                      <w:color w:val="000000"/>
                      <w:spacing w:val="4"/>
                    </w:rPr>
                    <w:t xml:space="preserve"> </w:t>
                  </w:r>
                  <w:r>
                    <w:rPr>
                      <w:rFonts w:cs="Georgia"/>
                      <w:color w:val="000000"/>
                      <w:spacing w:val="1"/>
                    </w:rPr>
                    <w:t>p</w:t>
                  </w:r>
                  <w:r>
                    <w:rPr>
                      <w:rFonts w:cs="Georgia"/>
                      <w:color w:val="000000"/>
                      <w:spacing w:val="-3"/>
                    </w:rPr>
                    <w:t>a</w:t>
                  </w:r>
                  <w:r>
                    <w:rPr>
                      <w:rFonts w:cs="Georgia"/>
                      <w:color w:val="000000"/>
                    </w:rPr>
                    <w:t>s</w:t>
                  </w:r>
                  <w:r>
                    <w:rPr>
                      <w:rFonts w:cs="Georgia"/>
                      <w:color w:val="000000"/>
                      <w:spacing w:val="5"/>
                    </w:rPr>
                    <w:t xml:space="preserve"> </w:t>
                  </w:r>
                  <w:r>
                    <w:rPr>
                      <w:rFonts w:cs="Georgia"/>
                      <w:color w:val="000000"/>
                    </w:rPr>
                    <w:t>4</w:t>
                  </w:r>
                  <w:r>
                    <w:rPr>
                      <w:rFonts w:cs="Georgia"/>
                      <w:color w:val="000000"/>
                      <w:spacing w:val="2"/>
                    </w:rPr>
                    <w:t xml:space="preserve"> </w:t>
                  </w:r>
                  <w:r>
                    <w:rPr>
                      <w:rFonts w:cs="Georgia"/>
                      <w:color w:val="000000"/>
                      <w:spacing w:val="-1"/>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8)</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s</w:t>
                  </w:r>
                  <w:r>
                    <w:rPr>
                      <w:rFonts w:cs="Georgia"/>
                      <w:color w:val="000000"/>
                      <w:spacing w:val="5"/>
                    </w:rPr>
                    <w:t xml:space="preserve">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1"/>
                    </w:rPr>
                    <w:t>t</w:t>
                  </w:r>
                  <w:r>
                    <w:rPr>
                      <w:rFonts w:cs="Georgia"/>
                      <w:color w:val="000000"/>
                      <w:spacing w:val="-1"/>
                    </w:rPr>
                    <w:t>e</w:t>
                  </w:r>
                  <w:r>
                    <w:rPr>
                      <w:rFonts w:cs="Georgia"/>
                      <w:color w:val="000000"/>
                    </w:rPr>
                    <w:t>.</w:t>
                  </w:r>
                </w:p>
                <w:p w:rsidR="00F04EEF" w:rsidRDefault="0099351E">
                  <w:pPr>
                    <w:widowControl w:val="0"/>
                    <w:numPr>
                      <w:ilvl w:val="1"/>
                      <w:numId w:val="62"/>
                    </w:numPr>
                    <w:tabs>
                      <w:tab w:val="left" w:pos="660"/>
                    </w:tabs>
                    <w:suppressAutoHyphens/>
                    <w:autoSpaceDE w:val="0"/>
                    <w:autoSpaceDN w:val="0"/>
                    <w:adjustRightInd w:val="0"/>
                    <w:spacing w:before="29" w:line="221" w:lineRule="auto"/>
                    <w:ind w:left="397" w:hanging="397"/>
                    <w:jc w:val="both"/>
                    <w:rPr>
                      <w:rFonts w:cs="Georgia"/>
                      <w:color w:val="000000"/>
                    </w:rPr>
                  </w:pPr>
                  <w:r>
                    <w:rPr>
                      <w:rFonts w:cs="Georgia"/>
                      <w:color w:val="000000"/>
                    </w:rPr>
                    <w:t>Un</w:t>
                  </w:r>
                  <w:r>
                    <w:rPr>
                      <w:rFonts w:cs="Georgia"/>
                      <w:color w:val="000000"/>
                      <w:spacing w:val="42"/>
                    </w:rPr>
                    <w:t xml:space="preserve"> </w:t>
                  </w:r>
                  <w:r>
                    <w:rPr>
                      <w:rFonts w:cs="Georgia"/>
                      <w:color w:val="000000"/>
                      <w:spacing w:val="-1"/>
                    </w:rPr>
                    <w:t>élè</w:t>
                  </w:r>
                  <w:r>
                    <w:rPr>
                      <w:rFonts w:cs="Georgia"/>
                      <w:color w:val="000000"/>
                      <w:spacing w:val="1"/>
                    </w:rPr>
                    <w:t>v</w:t>
                  </w:r>
                  <w:r>
                    <w:rPr>
                      <w:rFonts w:cs="Georgia"/>
                      <w:color w:val="000000"/>
                    </w:rPr>
                    <w:t>e</w:t>
                  </w:r>
                  <w:r>
                    <w:rPr>
                      <w:rFonts w:cs="Georgia"/>
                      <w:color w:val="000000"/>
                      <w:spacing w:val="42"/>
                    </w:rPr>
                    <w:t xml:space="preserve"> </w:t>
                  </w:r>
                  <w:r>
                    <w:rPr>
                      <w:rFonts w:cs="Georgia"/>
                      <w:color w:val="000000"/>
                      <w:spacing w:val="-1"/>
                    </w:rPr>
                    <w:t>q</w:t>
                  </w:r>
                  <w:r>
                    <w:rPr>
                      <w:rFonts w:cs="Georgia"/>
                      <w:color w:val="000000"/>
                    </w:rPr>
                    <w:t>ui</w:t>
                  </w:r>
                  <w:r>
                    <w:rPr>
                      <w:rFonts w:cs="Georgia"/>
                      <w:color w:val="000000"/>
                      <w:spacing w:val="43"/>
                    </w:rPr>
                    <w:t xml:space="preserve"> </w:t>
                  </w:r>
                  <w:r>
                    <w:rPr>
                      <w:rFonts w:cs="Georgia"/>
                      <w:color w:val="000000"/>
                    </w:rPr>
                    <w:t>d</w:t>
                  </w:r>
                  <w:r>
                    <w:rPr>
                      <w:rFonts w:cs="Georgia"/>
                      <w:color w:val="000000"/>
                      <w:spacing w:val="-1"/>
                    </w:rPr>
                    <w:t>é</w:t>
                  </w:r>
                  <w:r>
                    <w:rPr>
                      <w:rFonts w:cs="Georgia"/>
                      <w:color w:val="000000"/>
                      <w:spacing w:val="1"/>
                    </w:rPr>
                    <w:t>b</w:t>
                  </w:r>
                  <w:r>
                    <w:rPr>
                      <w:rFonts w:cs="Georgia"/>
                      <w:color w:val="000000"/>
                      <w:spacing w:val="-2"/>
                    </w:rPr>
                    <w:t>u</w:t>
                  </w:r>
                  <w:r>
                    <w:rPr>
                      <w:rFonts w:cs="Georgia"/>
                      <w:color w:val="000000"/>
                      <w:spacing w:val="1"/>
                    </w:rPr>
                    <w:t>t</w:t>
                  </w:r>
                  <w:r>
                    <w:rPr>
                      <w:rFonts w:cs="Georgia"/>
                      <w:color w:val="000000"/>
                    </w:rPr>
                    <w:t>e</w:t>
                  </w:r>
                  <w:r>
                    <w:rPr>
                      <w:rFonts w:cs="Georgia"/>
                      <w:color w:val="000000"/>
                      <w:spacing w:val="42"/>
                    </w:rPr>
                    <w:t xml:space="preserve"> </w:t>
                  </w:r>
                  <w:r>
                    <w:rPr>
                      <w:rFonts w:cs="Georgia"/>
                      <w:color w:val="000000"/>
                    </w:rPr>
                    <w:t>u</w:t>
                  </w:r>
                  <w:r>
                    <w:rPr>
                      <w:rFonts w:cs="Georgia"/>
                      <w:color w:val="000000"/>
                      <w:spacing w:val="-3"/>
                    </w:rPr>
                    <w:t>n</w:t>
                  </w:r>
                  <w:r>
                    <w:rPr>
                      <w:rFonts w:cs="Georgia"/>
                      <w:color w:val="000000"/>
                    </w:rPr>
                    <w:t>e</w:t>
                  </w:r>
                  <w:r>
                    <w:rPr>
                      <w:rFonts w:cs="Georgia"/>
                      <w:color w:val="000000"/>
                      <w:spacing w:val="42"/>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4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42"/>
                    </w:rPr>
                    <w:t xml:space="preserve"> </w:t>
                  </w:r>
                  <w:r>
                    <w:rPr>
                      <w:rFonts w:cs="Georgia"/>
                      <w:color w:val="000000"/>
                      <w:spacing w:val="1"/>
                    </w:rPr>
                    <w:t>tot</w:t>
                  </w:r>
                  <w:r>
                    <w:rPr>
                      <w:rFonts w:cs="Georgia"/>
                      <w:color w:val="000000"/>
                      <w:spacing w:val="-1"/>
                    </w:rPr>
                    <w:t>al</w:t>
                  </w:r>
                  <w:r>
                    <w:rPr>
                      <w:rFonts w:cs="Georgia"/>
                      <w:color w:val="000000"/>
                    </w:rPr>
                    <w:t>e</w:t>
                  </w:r>
                  <w:r>
                    <w:rPr>
                      <w:rFonts w:cs="Georgia"/>
                      <w:color w:val="000000"/>
                      <w:spacing w:val="42"/>
                    </w:rPr>
                    <w:t xml:space="preserve"> </w:t>
                  </w:r>
                  <w:r>
                    <w:rPr>
                      <w:rFonts w:cs="Georgia"/>
                      <w:color w:val="000000"/>
                      <w:spacing w:val="-1"/>
                    </w:rPr>
                    <w:t>e</w:t>
                  </w:r>
                  <w:r>
                    <w:rPr>
                      <w:rFonts w:cs="Georgia"/>
                      <w:color w:val="000000"/>
                    </w:rPr>
                    <w:t>n</w:t>
                  </w:r>
                  <w:r>
                    <w:rPr>
                      <w:rFonts w:cs="Georgia"/>
                      <w:color w:val="000000"/>
                      <w:spacing w:val="42"/>
                    </w:rPr>
                    <w:t xml:space="preserve">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42"/>
                    </w:rPr>
                    <w:t xml:space="preserve"> </w:t>
                  </w:r>
                  <w:r>
                    <w:rPr>
                      <w:rFonts w:cs="Georgia"/>
                      <w:color w:val="000000"/>
                      <w:spacing w:val="-2"/>
                    </w:rPr>
                    <w:t>g</w:t>
                  </w:r>
                  <w:r>
                    <w:rPr>
                      <w:rFonts w:cs="Georgia"/>
                      <w:color w:val="000000"/>
                      <w:spacing w:val="-1"/>
                    </w:rPr>
                    <w:t>énè</w:t>
                  </w:r>
                  <w:r>
                    <w:rPr>
                      <w:rFonts w:cs="Georgia"/>
                      <w:color w:val="000000"/>
                      <w:spacing w:val="1"/>
                    </w:rPr>
                    <w:t>r</w:t>
                  </w:r>
                  <w:r>
                    <w:rPr>
                      <w:rFonts w:cs="Georgia"/>
                      <w:color w:val="000000"/>
                    </w:rPr>
                    <w:t>e</w:t>
                  </w:r>
                  <w:r>
                    <w:rPr>
                      <w:rFonts w:cs="Georgia"/>
                      <w:color w:val="000000"/>
                      <w:spacing w:val="42"/>
                    </w:rPr>
                    <w:t xml:space="preserve"> </w:t>
                  </w:r>
                  <w:r>
                    <w:rPr>
                      <w:rFonts w:cs="Georgia"/>
                      <w:color w:val="000000"/>
                      <w:spacing w:val="-1"/>
                    </w:rPr>
                    <w:t>le</w:t>
                  </w:r>
                  <w:r>
                    <w:rPr>
                      <w:rFonts w:cs="Georgia"/>
                      <w:color w:val="000000"/>
                    </w:rPr>
                    <w:t>s</w:t>
                  </w:r>
                  <w:r>
                    <w:rPr>
                      <w:rFonts w:cs="Georgia"/>
                      <w:color w:val="000000"/>
                      <w:spacing w:val="34"/>
                    </w:rPr>
                    <w:t xml:space="preserve"> </w:t>
                  </w:r>
                  <w:r>
                    <w:rPr>
                      <w:rFonts w:cs="Georgia"/>
                      <w:color w:val="000000"/>
                    </w:rPr>
                    <w:t>4</w:t>
                  </w:r>
                  <w:r>
                    <w:rPr>
                      <w:rFonts w:cs="Georgia"/>
                      <w:color w:val="000000"/>
                      <w:spacing w:val="43"/>
                    </w:rPr>
                    <w:t xml:space="preserve"> </w:t>
                  </w:r>
                  <w:r>
                    <w:rPr>
                      <w:rFonts w:cs="Georgia"/>
                      <w:color w:val="000000"/>
                      <w:spacing w:val="1"/>
                    </w:rPr>
                    <w:t>o</w:t>
                  </w:r>
                  <w:r>
                    <w:rPr>
                      <w:rFonts w:cs="Georgia"/>
                      <w:color w:val="000000"/>
                    </w:rPr>
                    <w:t>u</w:t>
                  </w:r>
                  <w:r>
                    <w:rPr>
                      <w:rFonts w:cs="Georgia"/>
                      <w:color w:val="000000"/>
                      <w:spacing w:val="41"/>
                    </w:rPr>
                    <w:t xml:space="preserve"> </w:t>
                  </w:r>
                  <w:r>
                    <w:rPr>
                      <w:rFonts w:cs="Georgia"/>
                      <w:color w:val="000000"/>
                    </w:rPr>
                    <w:t xml:space="preserve">8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co</w:t>
                  </w:r>
                  <w:r>
                    <w:rPr>
                      <w:rFonts w:cs="Georgia"/>
                      <w:color w:val="000000"/>
                    </w:rPr>
                    <w:t>u</w:t>
                  </w:r>
                  <w:r>
                    <w:rPr>
                      <w:rFonts w:cs="Georgia"/>
                      <w:color w:val="000000"/>
                      <w:spacing w:val="-2"/>
                    </w:rPr>
                    <w:t>r</w:t>
                  </w:r>
                  <w:r>
                    <w:rPr>
                      <w:rFonts w:cs="Georgia"/>
                      <w:color w:val="000000"/>
                      <w:spacing w:val="1"/>
                    </w:rPr>
                    <w:t>s</w:t>
                  </w:r>
                  <w:r>
                    <w:rPr>
                      <w:rFonts w:cs="Georgia"/>
                      <w:color w:val="000000"/>
                    </w:rPr>
                    <w:t>.</w:t>
                  </w:r>
                </w:p>
                <w:p w:rsidR="00F04EEF" w:rsidRDefault="00F04EEF">
                  <w:pPr>
                    <w:widowControl w:val="0"/>
                    <w:autoSpaceDE w:val="0"/>
                    <w:autoSpaceDN w:val="0"/>
                    <w:adjustRightInd w:val="0"/>
                    <w:spacing w:before="14" w:line="240" w:lineRule="exact"/>
                    <w:jc w:val="both"/>
                    <w:rPr>
                      <w:rFonts w:cs="Georgia"/>
                      <w:color w:val="000000"/>
                    </w:rPr>
                  </w:pPr>
                </w:p>
                <w:p w:rsidR="00F04EEF" w:rsidRDefault="0099351E">
                  <w:pPr>
                    <w:pStyle w:val="Paragraphedeliste"/>
                    <w:numPr>
                      <w:ilvl w:val="1"/>
                      <w:numId w:val="197"/>
                    </w:numPr>
                    <w:jc w:val="both"/>
                    <w:rPr>
                      <w:rFonts w:asciiTheme="majorHAnsi" w:hAnsiTheme="majorHAnsi" w:cs="Georgia"/>
                      <w:spacing w:val="1"/>
                      <w:sz w:val="22"/>
                      <w:szCs w:val="22"/>
                    </w:rPr>
                  </w:pPr>
                  <w:r>
                    <w:rPr>
                      <w:rFonts w:asciiTheme="majorHAnsi" w:hAnsiTheme="majorHAnsi" w:cs="Georgia"/>
                      <w:spacing w:val="1"/>
                      <w:sz w:val="22"/>
                      <w:szCs w:val="22"/>
                    </w:rPr>
                    <w:t>Les périodes complémentaires (article 148, alinéas 6 et 7):</w:t>
                  </w:r>
                </w:p>
                <w:p w:rsidR="00F04EEF" w:rsidRDefault="00F04EEF">
                  <w:pPr>
                    <w:widowControl w:val="0"/>
                    <w:autoSpaceDE w:val="0"/>
                    <w:autoSpaceDN w:val="0"/>
                    <w:adjustRightInd w:val="0"/>
                    <w:spacing w:before="9" w:line="240" w:lineRule="exact"/>
                    <w:rPr>
                      <w:rFonts w:cs="Georgia"/>
                      <w:color w:val="000000"/>
                    </w:rPr>
                  </w:pPr>
                </w:p>
                <w:p w:rsidR="00F04EEF" w:rsidRDefault="0099351E">
                  <w:pPr>
                    <w:widowControl w:val="0"/>
                    <w:autoSpaceDE w:val="0"/>
                    <w:autoSpaceDN w:val="0"/>
                    <w:adjustRightInd w:val="0"/>
                    <w:jc w:val="both"/>
                    <w:rPr>
                      <w:rFonts w:cs="Georgia"/>
                      <w:color w:val="000000"/>
                      <w:spacing w:val="-1"/>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w:t>
                  </w:r>
                  <w:r>
                    <w:rPr>
                      <w:rFonts w:cs="Georgia"/>
                      <w:color w:val="000000"/>
                      <w:spacing w:val="15"/>
                    </w:rPr>
                    <w:t xml:space="preserve"> </w:t>
                  </w:r>
                  <w:r>
                    <w:rPr>
                      <w:rFonts w:cs="Georgia"/>
                      <w:color w:val="000000"/>
                      <w:spacing w:val="-1"/>
                    </w:rPr>
                    <w:t>En cas de recomptage à la hausse du CPU des enseignants (variation de la population scolaire supérieure à 5%) le 30 septembre, l’établissement perd le bénéfice des périodes complémentaires déjà octroyées.</w:t>
                  </w:r>
                </w:p>
                <w:p w:rsidR="00F04EEF" w:rsidRDefault="00F04EEF">
                  <w:pPr>
                    <w:widowControl w:val="0"/>
                    <w:autoSpaceDE w:val="0"/>
                    <w:autoSpaceDN w:val="0"/>
                    <w:adjustRightInd w:val="0"/>
                    <w:ind w:right="47"/>
                    <w:jc w:val="both"/>
                    <w:rPr>
                      <w:rFonts w:cs="Georgia"/>
                      <w:color w:val="000000"/>
                      <w:spacing w:val="-1"/>
                    </w:rPr>
                  </w:pPr>
                </w:p>
                <w:p w:rsidR="00F04EEF" w:rsidRDefault="0099351E">
                  <w:pPr>
                    <w:pStyle w:val="Paragraphedeliste"/>
                    <w:numPr>
                      <w:ilvl w:val="1"/>
                      <w:numId w:val="197"/>
                    </w:numPr>
                    <w:jc w:val="both"/>
                    <w:rPr>
                      <w:rFonts w:asciiTheme="majorHAnsi" w:hAnsiTheme="majorHAnsi" w:cs="Georgia"/>
                      <w:spacing w:val="1"/>
                      <w:sz w:val="22"/>
                      <w:szCs w:val="22"/>
                    </w:rPr>
                  </w:pPr>
                  <w:r>
                    <w:rPr>
                      <w:rFonts w:asciiTheme="majorHAnsi" w:hAnsiTheme="majorHAnsi" w:cs="Georgia"/>
                      <w:spacing w:val="1"/>
                      <w:sz w:val="22"/>
                      <w:szCs w:val="22"/>
                    </w:rPr>
                    <w:t>Les périodes dérogatoires afférentes aux grandes distances (article 148, alinéa 8):</w:t>
                  </w:r>
                </w:p>
                <w:p w:rsidR="00F04EEF" w:rsidRDefault="00F04EEF">
                  <w:pPr>
                    <w:widowControl w:val="0"/>
                    <w:tabs>
                      <w:tab w:val="left" w:pos="840"/>
                    </w:tabs>
                    <w:autoSpaceDE w:val="0"/>
                    <w:autoSpaceDN w:val="0"/>
                    <w:adjustRightInd w:val="0"/>
                    <w:ind w:right="-20"/>
                    <w:rPr>
                      <w:rFonts w:cs="Georgia"/>
                      <w:color w:val="000000"/>
                    </w:rPr>
                  </w:pPr>
                </w:p>
                <w:p w:rsidR="00F04EEF" w:rsidRDefault="0099351E">
                  <w:pPr>
                    <w:widowControl w:val="0"/>
                    <w:autoSpaceDE w:val="0"/>
                    <w:autoSpaceDN w:val="0"/>
                    <w:adjustRightInd w:val="0"/>
                    <w:jc w:val="both"/>
                    <w:rPr>
                      <w:rFonts w:cs="Georgia"/>
                      <w:color w:val="000000"/>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 en raison de la distance importante qui sépare les deux établissements partenaires de l’intégration</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 Ces périodes restent acquises en cas de recomptage.</w:t>
                  </w:r>
                </w:p>
                <w:p w:rsidR="00F04EEF" w:rsidRDefault="00F04EEF">
                  <w:pPr>
                    <w:widowControl w:val="0"/>
                    <w:autoSpaceDE w:val="0"/>
                    <w:autoSpaceDN w:val="0"/>
                    <w:adjustRightInd w:val="0"/>
                    <w:spacing w:before="10" w:line="240" w:lineRule="exact"/>
                    <w:rPr>
                      <w:rFonts w:cs="Georgia"/>
                      <w:color w:val="000000"/>
                    </w:rPr>
                  </w:pPr>
                </w:p>
                <w:p w:rsidR="00F04EEF" w:rsidRDefault="0099351E">
                  <w:pPr>
                    <w:pStyle w:val="Titre3"/>
                  </w:pPr>
                  <w:bookmarkStart w:id="1941" w:name="_3._Enseignement_secondaire"/>
                  <w:bookmarkStart w:id="1942" w:name="_3.1._Capital-périodes"/>
                  <w:bookmarkStart w:id="1943" w:name="_Toc453314325"/>
                  <w:bookmarkStart w:id="1944" w:name="_Toc454980360"/>
                  <w:bookmarkStart w:id="1945" w:name="_Toc47708502"/>
                  <w:bookmarkEnd w:id="1941"/>
                  <w:bookmarkEnd w:id="1942"/>
                  <w:r>
                    <w:t>2. Capital-périodes</w:t>
                  </w:r>
                  <w:bookmarkEnd w:id="1943"/>
                  <w:bookmarkEnd w:id="1944"/>
                  <w:bookmarkEnd w:id="1945"/>
                </w:p>
                <w:p w:rsidR="00F04EEF" w:rsidRDefault="00F04EEF">
                  <w:pPr>
                    <w:widowControl w:val="0"/>
                    <w:autoSpaceDE w:val="0"/>
                    <w:autoSpaceDN w:val="0"/>
                    <w:adjustRightInd w:val="0"/>
                    <w:spacing w:line="250" w:lineRule="exact"/>
                    <w:jc w:val="both"/>
                    <w:rPr>
                      <w:rFonts w:cs="Georgia"/>
                      <w:color w:val="000000"/>
                    </w:rPr>
                  </w:pPr>
                </w:p>
                <w:p w:rsidR="00F04EEF" w:rsidRDefault="0099351E">
                  <w:pPr>
                    <w:pStyle w:val="Titre4"/>
                  </w:pPr>
                  <w:r>
                    <w:t>2.1. Sont imputées au capital-périodes</w:t>
                  </w:r>
                </w:p>
                <w:p w:rsidR="00F04EEF" w:rsidRDefault="00F04EEF">
                  <w:pPr>
                    <w:widowControl w:val="0"/>
                    <w:autoSpaceDE w:val="0"/>
                    <w:autoSpaceDN w:val="0"/>
                    <w:adjustRightInd w:val="0"/>
                    <w:spacing w:before="37"/>
                    <w:rPr>
                      <w:rFonts w:cs="Georgia"/>
                      <w:color w:val="000000"/>
                    </w:rPr>
                  </w:pPr>
                </w:p>
                <w:p w:rsidR="00F04EEF" w:rsidRDefault="0099351E">
                  <w:pPr>
                    <w:widowControl w:val="0"/>
                    <w:autoSpaceDE w:val="0"/>
                    <w:autoSpaceDN w:val="0"/>
                    <w:adjustRightInd w:val="0"/>
                    <w:spacing w:line="252" w:lineRule="exact"/>
                    <w:rPr>
                      <w:rFonts w:cs="Georgia"/>
                      <w:color w:val="000000"/>
                    </w:rPr>
                  </w:pPr>
                  <w:r>
                    <w:rPr>
                      <w:rFonts w:cs="Georgia"/>
                      <w:b/>
                      <w:bCs/>
                      <w:color w:val="000000"/>
                    </w:rPr>
                    <w:t>a)</w:t>
                  </w:r>
                  <w:r>
                    <w:rPr>
                      <w:rFonts w:cs="Georgia"/>
                      <w:b/>
                      <w:bCs/>
                      <w:color w:val="000000"/>
                      <w:spacing w:val="37"/>
                    </w:rPr>
                    <w:t xml:space="preserve"> </w:t>
                  </w:r>
                  <w:r>
                    <w:rPr>
                      <w:rFonts w:cs="Georgia"/>
                      <w:color w:val="000000"/>
                      <w:spacing w:val="-1"/>
                    </w:rPr>
                    <w:t>le</w:t>
                  </w:r>
                  <w:r>
                    <w:rPr>
                      <w:rFonts w:cs="Georgia"/>
                      <w:color w:val="000000"/>
                    </w:rPr>
                    <w:t>s</w:t>
                  </w:r>
                  <w:r>
                    <w:rPr>
                      <w:rFonts w:cs="Georgia"/>
                      <w:color w:val="000000"/>
                      <w:spacing w:val="41"/>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41"/>
                    </w:rPr>
                    <w:t xml:space="preserve">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rPr>
                    <w:t>u</w:t>
                  </w:r>
                  <w:r>
                    <w:rPr>
                      <w:rFonts w:cs="Georgia"/>
                      <w:color w:val="000000"/>
                      <w:spacing w:val="-3"/>
                    </w:rPr>
                    <w:t>é</w:t>
                  </w:r>
                  <w:r>
                    <w:rPr>
                      <w:rFonts w:cs="Georgia"/>
                      <w:color w:val="000000"/>
                      <w:spacing w:val="-1"/>
                    </w:rPr>
                    <w:t>e</w:t>
                  </w:r>
                  <w:r>
                    <w:rPr>
                      <w:rFonts w:cs="Georgia"/>
                      <w:color w:val="000000"/>
                    </w:rPr>
                    <w:t>s</w:t>
                  </w:r>
                  <w:r>
                    <w:rPr>
                      <w:rFonts w:cs="Georgia"/>
                      <w:color w:val="000000"/>
                      <w:spacing w:val="41"/>
                    </w:rPr>
                    <w:t xml:space="preserve"> </w:t>
                  </w:r>
                  <w:r>
                    <w:rPr>
                      <w:rFonts w:cs="Georgia"/>
                      <w:color w:val="000000"/>
                      <w:spacing w:val="-1"/>
                    </w:rPr>
                    <w:t>a</w:t>
                  </w:r>
                  <w:r>
                    <w:rPr>
                      <w:rFonts w:cs="Georgia"/>
                      <w:color w:val="000000"/>
                    </w:rPr>
                    <w:t>ux</w:t>
                  </w:r>
                  <w:r>
                    <w:rPr>
                      <w:rFonts w:cs="Georgia"/>
                      <w:color w:val="000000"/>
                      <w:spacing w:val="39"/>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br</w:t>
                  </w:r>
                  <w:r>
                    <w:rPr>
                      <w:rFonts w:cs="Georgia"/>
                      <w:color w:val="000000"/>
                      <w:spacing w:val="-1"/>
                    </w:rPr>
                    <w:t>e</w:t>
                  </w:r>
                  <w:r>
                    <w:rPr>
                      <w:rFonts w:cs="Georgia"/>
                      <w:color w:val="000000"/>
                    </w:rPr>
                    <w:t>s</w:t>
                  </w:r>
                  <w:r>
                    <w:rPr>
                      <w:rFonts w:cs="Georgia"/>
                      <w:color w:val="000000"/>
                      <w:spacing w:val="41"/>
                    </w:rPr>
                    <w:t xml:space="preserve"> </w:t>
                  </w:r>
                  <w:r>
                    <w:rPr>
                      <w:rFonts w:cs="Georgia"/>
                      <w:color w:val="000000"/>
                    </w:rPr>
                    <w:t>du</w:t>
                  </w:r>
                  <w:r>
                    <w:rPr>
                      <w:rFonts w:cs="Georgia"/>
                      <w:color w:val="000000"/>
                      <w:spacing w:val="41"/>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spacing w:val="1"/>
                    </w:rPr>
                    <w:t>so</w:t>
                  </w:r>
                  <w:r>
                    <w:rPr>
                      <w:rFonts w:cs="Georgia"/>
                      <w:color w:val="000000"/>
                      <w:spacing w:val="-1"/>
                    </w:rPr>
                    <w:t>nne</w:t>
                  </w:r>
                  <w:r>
                    <w:rPr>
                      <w:rFonts w:cs="Georgia"/>
                      <w:color w:val="000000"/>
                    </w:rPr>
                    <w:t>l</w:t>
                  </w:r>
                  <w:r>
                    <w:rPr>
                      <w:rFonts w:cs="Georgia"/>
                      <w:color w:val="000000"/>
                      <w:spacing w:val="40"/>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w:t>
                  </w:r>
                  <w:r>
                    <w:rPr>
                      <w:rFonts w:cs="Georgia"/>
                      <w:color w:val="000000"/>
                      <w:spacing w:val="41"/>
                    </w:rPr>
                    <w:t xml:space="preserve"> </w:t>
                  </w:r>
                  <w:r>
                    <w:rPr>
                      <w:rFonts w:cs="Georgia"/>
                      <w:color w:val="000000"/>
                      <w:spacing w:val="-1"/>
                    </w:rPr>
                    <w:t>e</w:t>
                  </w:r>
                  <w:r>
                    <w:rPr>
                      <w:rFonts w:cs="Georgia"/>
                      <w:color w:val="000000"/>
                    </w:rPr>
                    <w:t>t</w:t>
                  </w:r>
                  <w:r>
                    <w:rPr>
                      <w:rFonts w:cs="Georgia"/>
                      <w:color w:val="000000"/>
                      <w:spacing w:val="41"/>
                    </w:rPr>
                    <w:t xml:space="preserve">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w:t>
                  </w:r>
                  <w:r>
                    <w:rPr>
                      <w:rFonts w:cs="Georgia"/>
                      <w:color w:val="000000"/>
                      <w:spacing w:val="41"/>
                    </w:rPr>
                    <w:t xml:space="preserve"> </w:t>
                  </w:r>
                  <w:r>
                    <w:rPr>
                      <w:rFonts w:cs="Georgia"/>
                      <w:color w:val="000000"/>
                      <w:spacing w:val="1"/>
                    </w:rPr>
                    <w:t>t</w:t>
                  </w:r>
                  <w:r>
                    <w:rPr>
                      <w:rFonts w:cs="Georgia"/>
                      <w:color w:val="000000"/>
                    </w:rPr>
                    <w:t>i</w:t>
                  </w:r>
                  <w:r>
                    <w:rPr>
                      <w:rFonts w:cs="Georgia"/>
                      <w:color w:val="000000"/>
                      <w:spacing w:val="1"/>
                    </w:rPr>
                    <w:t>t</w:t>
                  </w:r>
                  <w:r>
                    <w:rPr>
                      <w:rFonts w:cs="Georgia"/>
                      <w:color w:val="000000"/>
                    </w:rPr>
                    <w:t>u</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r>
                    <w:rPr>
                      <w:rFonts w:cs="Georgia"/>
                      <w:color w:val="000000"/>
                    </w:rPr>
                    <w:t>s d'u</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r</w:t>
                  </w:r>
                  <w:r>
                    <w:rPr>
                      <w:rFonts w:cs="Georgia"/>
                      <w:color w:val="000000"/>
                      <w:spacing w:val="-3"/>
                    </w:rPr>
                    <w:t>e</w:t>
                  </w:r>
                  <w:r>
                    <w:rPr>
                      <w:rFonts w:cs="Georgia"/>
                      <w:color w:val="000000"/>
                    </w:rPr>
                    <w:t>c</w:t>
                  </w:r>
                  <w:r>
                    <w:rPr>
                      <w:rFonts w:cs="Georgia"/>
                      <w:color w:val="000000"/>
                      <w:spacing w:val="1"/>
                    </w:rPr>
                    <w:t>r</w:t>
                  </w:r>
                  <w:r>
                    <w:rPr>
                      <w:rFonts w:cs="Georgia"/>
                      <w:color w:val="000000"/>
                      <w:spacing w:val="-2"/>
                    </w:rPr>
                    <w:t>u</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 c'</w:t>
                  </w:r>
                  <w:r>
                    <w:rPr>
                      <w:rFonts w:cs="Georgia"/>
                      <w:color w:val="000000"/>
                      <w:spacing w:val="-1"/>
                    </w:rPr>
                    <w:t>e</w:t>
                  </w:r>
                  <w:r>
                    <w:rPr>
                      <w:rFonts w:cs="Georgia"/>
                      <w:color w:val="000000"/>
                      <w:spacing w:val="1"/>
                    </w:rPr>
                    <w:t>st</w:t>
                  </w:r>
                  <w:r>
                    <w:rPr>
                      <w:rFonts w:cs="Georgia"/>
                      <w:color w:val="000000"/>
                      <w:spacing w:val="-1"/>
                    </w:rPr>
                    <w:t>-à-</w:t>
                  </w:r>
                  <w:r>
                    <w:rPr>
                      <w:rFonts w:cs="Georgia"/>
                      <w:color w:val="000000"/>
                    </w:rPr>
                    <w:t>d</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w:t>
                  </w:r>
                </w:p>
                <w:p w:rsidR="00F04EEF" w:rsidRDefault="00F04EEF">
                  <w:pPr>
                    <w:widowControl w:val="0"/>
                    <w:autoSpaceDE w:val="0"/>
                    <w:autoSpaceDN w:val="0"/>
                    <w:adjustRightInd w:val="0"/>
                    <w:spacing w:line="252" w:lineRule="exact"/>
                    <w:rPr>
                      <w:rFonts w:cs="Georgia"/>
                      <w:color w:val="000000"/>
                    </w:rPr>
                  </w:pPr>
                </w:p>
                <w:p w:rsidR="00F04EEF" w:rsidRDefault="0099351E">
                  <w:pPr>
                    <w:pStyle w:val="Paragraphedeliste"/>
                    <w:widowControl w:val="0"/>
                    <w:numPr>
                      <w:ilvl w:val="0"/>
                      <w:numId w:val="69"/>
                    </w:numPr>
                    <w:tabs>
                      <w:tab w:val="left" w:pos="1560"/>
                    </w:tabs>
                    <w:autoSpaceDE w:val="0"/>
                    <w:autoSpaceDN w:val="0"/>
                    <w:adjustRightInd w:val="0"/>
                    <w:spacing w:line="247"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pr</w:t>
                  </w:r>
                  <w:r>
                    <w:rPr>
                      <w:rFonts w:asciiTheme="majorHAnsi" w:hAnsiTheme="majorHAnsi" w:cs="Georgia"/>
                      <w:spacing w:val="-1"/>
                      <w:sz w:val="22"/>
                      <w:szCs w:val="22"/>
                    </w:rPr>
                    <w:t>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1"/>
                      <w:sz w:val="22"/>
                      <w:szCs w:val="22"/>
                    </w:rPr>
                    <w:t>ss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z w:val="22"/>
                      <w:szCs w:val="22"/>
                    </w:rPr>
                    <w:t>g</w:t>
                  </w:r>
                  <w:r>
                    <w:rPr>
                      <w:rFonts w:asciiTheme="majorHAnsi" w:hAnsiTheme="majorHAnsi" w:cs="Georgia"/>
                      <w:spacing w:val="-1"/>
                      <w:sz w:val="22"/>
                      <w:szCs w:val="22"/>
                    </w:rPr>
                    <w:t>éné</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u</w:t>
                  </w:r>
                  <w:r>
                    <w:rPr>
                      <w:rFonts w:asciiTheme="majorHAnsi" w:hAnsiTheme="majorHAnsi" w:cs="Georgia"/>
                      <w:spacing w:val="-1"/>
                      <w:sz w:val="22"/>
                      <w:szCs w:val="22"/>
                    </w:rPr>
                    <w:t>x,</w:t>
                  </w:r>
                </w:p>
                <w:p w:rsidR="00F04EEF" w:rsidRDefault="0099351E">
                  <w:pPr>
                    <w:pStyle w:val="Paragraphedeliste"/>
                    <w:widowControl w:val="0"/>
                    <w:numPr>
                      <w:ilvl w:val="0"/>
                      <w:numId w:val="69"/>
                    </w:numPr>
                    <w:tabs>
                      <w:tab w:val="left" w:pos="1560"/>
                    </w:tabs>
                    <w:autoSpaceDE w:val="0"/>
                    <w:autoSpaceDN w:val="0"/>
                    <w:adjustRightInd w:val="0"/>
                    <w:spacing w:line="250"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pr</w:t>
                  </w:r>
                  <w:r>
                    <w:rPr>
                      <w:rFonts w:asciiTheme="majorHAnsi" w:hAnsiTheme="majorHAnsi" w:cs="Georgia"/>
                      <w:spacing w:val="-1"/>
                      <w:sz w:val="22"/>
                      <w:szCs w:val="22"/>
                    </w:rPr>
                    <w:t>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1"/>
                      <w:sz w:val="22"/>
                      <w:szCs w:val="22"/>
                    </w:rPr>
                    <w:t>ss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z w:val="22"/>
                      <w:szCs w:val="22"/>
                    </w:rPr>
                    <w:t>g</w:t>
                  </w:r>
                  <w:r>
                    <w:rPr>
                      <w:rFonts w:asciiTheme="majorHAnsi" w:hAnsiTheme="majorHAnsi" w:cs="Georgia"/>
                      <w:spacing w:val="-1"/>
                      <w:sz w:val="22"/>
                      <w:szCs w:val="22"/>
                    </w:rPr>
                    <w:t>éné</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ch</w:t>
                  </w:r>
                  <w:r>
                    <w:rPr>
                      <w:rFonts w:asciiTheme="majorHAnsi" w:hAnsiTheme="majorHAnsi" w:cs="Georgia"/>
                      <w:spacing w:val="-1"/>
                      <w:sz w:val="22"/>
                      <w:szCs w:val="22"/>
                    </w:rPr>
                    <w:t>a</w:t>
                  </w:r>
                  <w:r>
                    <w:rPr>
                      <w:rFonts w:asciiTheme="majorHAnsi" w:hAnsiTheme="majorHAnsi" w:cs="Georgia"/>
                      <w:spacing w:val="1"/>
                      <w:sz w:val="22"/>
                      <w:szCs w:val="22"/>
                    </w:rPr>
                    <w:t>r</w:t>
                  </w:r>
                  <w:r>
                    <w:rPr>
                      <w:rFonts w:asciiTheme="majorHAnsi" w:hAnsiTheme="majorHAnsi" w:cs="Georgia"/>
                      <w:sz w:val="22"/>
                      <w:szCs w:val="22"/>
                    </w:rPr>
                    <w:t>g</w:t>
                  </w:r>
                  <w:r>
                    <w:rPr>
                      <w:rFonts w:asciiTheme="majorHAnsi" w:hAnsiTheme="majorHAnsi" w:cs="Georgia"/>
                      <w:spacing w:val="-1"/>
                      <w:sz w:val="22"/>
                      <w:szCs w:val="22"/>
                    </w:rPr>
                    <w:t>é</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1"/>
                      <w:sz w:val="22"/>
                      <w:szCs w:val="22"/>
                    </w:rPr>
                    <w:t>r</w:t>
                  </w:r>
                  <w:r>
                    <w:rPr>
                      <w:rFonts w:asciiTheme="majorHAnsi" w:hAnsiTheme="majorHAnsi" w:cs="Georgia"/>
                      <w:sz w:val="22"/>
                      <w:szCs w:val="22"/>
                    </w:rPr>
                    <w:t xml:space="preserve">s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imm</w:t>
                  </w:r>
                  <w:r>
                    <w:rPr>
                      <w:rFonts w:asciiTheme="majorHAnsi" w:hAnsiTheme="majorHAnsi" w:cs="Georgia"/>
                      <w:spacing w:val="-1"/>
                      <w:sz w:val="22"/>
                      <w:szCs w:val="22"/>
                    </w:rPr>
                    <w:t>e</w:t>
                  </w:r>
                  <w:r>
                    <w:rPr>
                      <w:rFonts w:asciiTheme="majorHAnsi" w:hAnsiTheme="majorHAnsi" w:cs="Georgia"/>
                      <w:spacing w:val="-2"/>
                      <w:sz w:val="22"/>
                      <w:szCs w:val="22"/>
                    </w:rPr>
                    <w:t>r</w:t>
                  </w:r>
                  <w:r>
                    <w:rPr>
                      <w:rFonts w:asciiTheme="majorHAnsi" w:hAnsiTheme="majorHAnsi" w:cs="Georgia"/>
                      <w:spacing w:val="1"/>
                      <w:sz w:val="22"/>
                      <w:szCs w:val="22"/>
                    </w:rPr>
                    <w:t>s</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pacing w:val="-1"/>
                      <w:sz w:val="22"/>
                      <w:szCs w:val="22"/>
                    </w:rPr>
                    <w:t>n</w:t>
                  </w:r>
                  <w:r>
                    <w:rPr>
                      <w:rFonts w:asciiTheme="majorHAnsi" w:hAnsiTheme="majorHAnsi" w:cs="Georgia"/>
                      <w:sz w:val="22"/>
                      <w:szCs w:val="22"/>
                    </w:rPr>
                    <w:t>,</w:t>
                  </w:r>
                </w:p>
                <w:p w:rsidR="00F04EEF" w:rsidRDefault="0099351E">
                  <w:pPr>
                    <w:pStyle w:val="Paragraphedeliste"/>
                    <w:widowControl w:val="0"/>
                    <w:numPr>
                      <w:ilvl w:val="0"/>
                      <w:numId w:val="69"/>
                    </w:numPr>
                    <w:tabs>
                      <w:tab w:val="left" w:pos="1560"/>
                    </w:tabs>
                    <w:autoSpaceDE w:val="0"/>
                    <w:autoSpaceDN w:val="0"/>
                    <w:adjustRightInd w:val="0"/>
                    <w:spacing w:before="1" w:line="250"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 xml:space="preserve">ux </w:t>
                  </w:r>
                  <w:r>
                    <w:rPr>
                      <w:rFonts w:asciiTheme="majorHAnsi" w:hAnsiTheme="majorHAnsi" w:cs="Georgia"/>
                      <w:spacing w:val="1"/>
                      <w:sz w:val="22"/>
                      <w:szCs w:val="22"/>
                    </w:rPr>
                    <w:t>pro</w:t>
                  </w:r>
                  <w:r>
                    <w:rPr>
                      <w:rFonts w:asciiTheme="majorHAnsi" w:hAnsiTheme="majorHAnsi" w:cs="Georgia"/>
                      <w:sz w:val="22"/>
                      <w:szCs w:val="22"/>
                    </w:rPr>
                    <w:t>f</w:t>
                  </w:r>
                  <w:r>
                    <w:rPr>
                      <w:rFonts w:asciiTheme="majorHAnsi" w:hAnsiTheme="majorHAnsi" w:cs="Georgia"/>
                      <w:spacing w:val="-3"/>
                      <w:sz w:val="22"/>
                      <w:szCs w:val="22"/>
                    </w:rPr>
                    <w:t>e</w:t>
                  </w:r>
                  <w:r>
                    <w:rPr>
                      <w:rFonts w:asciiTheme="majorHAnsi" w:hAnsiTheme="majorHAnsi" w:cs="Georgia"/>
                      <w:spacing w:val="1"/>
                      <w:sz w:val="22"/>
                      <w:szCs w:val="22"/>
                    </w:rPr>
                    <w:t>ss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9"/>
                      <w:sz w:val="22"/>
                      <w:szCs w:val="22"/>
                    </w:rPr>
                    <w:t xml:space="preserve"> </w:t>
                  </w:r>
                  <w:r>
                    <w:rPr>
                      <w:rFonts w:asciiTheme="majorHAnsi" w:hAnsiTheme="majorHAnsi" w:cs="Georgia"/>
                      <w:sz w:val="22"/>
                      <w:szCs w:val="22"/>
                    </w:rPr>
                    <w:t>de</w:t>
                  </w:r>
                  <w:r>
                    <w:rPr>
                      <w:rFonts w:asciiTheme="majorHAnsi" w:hAnsiTheme="majorHAnsi" w:cs="Georgia"/>
                      <w:spacing w:val="27"/>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 xml:space="preserve">s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pacing w:val="-2"/>
                      <w:sz w:val="22"/>
                      <w:szCs w:val="22"/>
                    </w:rPr>
                    <w:t>c</w:t>
                  </w:r>
                  <w:r>
                    <w:rPr>
                      <w:rFonts w:asciiTheme="majorHAnsi" w:hAnsiTheme="majorHAnsi" w:cs="Georgia"/>
                      <w:spacing w:val="1"/>
                      <w:sz w:val="22"/>
                      <w:szCs w:val="22"/>
                    </w:rPr>
                    <w:t>h</w:t>
                  </w:r>
                  <w:r>
                    <w:rPr>
                      <w:rFonts w:asciiTheme="majorHAnsi" w:hAnsiTheme="majorHAnsi" w:cs="Georgia"/>
                      <w:spacing w:val="-1"/>
                      <w:sz w:val="22"/>
                      <w:szCs w:val="22"/>
                    </w:rPr>
                    <w:t>n</w:t>
                  </w:r>
                  <w:r>
                    <w:rPr>
                      <w:rFonts w:asciiTheme="majorHAnsi" w:hAnsiTheme="majorHAnsi" w:cs="Georgia"/>
                      <w:sz w:val="22"/>
                      <w:szCs w:val="22"/>
                    </w:rPr>
                    <w:t>i</w:t>
                  </w:r>
                  <w:r>
                    <w:rPr>
                      <w:rFonts w:asciiTheme="majorHAnsi" w:hAnsiTheme="majorHAnsi" w:cs="Georgia"/>
                      <w:spacing w:val="-1"/>
                      <w:sz w:val="22"/>
                      <w:szCs w:val="22"/>
                    </w:rPr>
                    <w:t>q</w:t>
                  </w:r>
                  <w:r>
                    <w:rPr>
                      <w:rFonts w:asciiTheme="majorHAnsi" w:hAnsiTheme="majorHAnsi" w:cs="Georgia"/>
                      <w:sz w:val="22"/>
                      <w:szCs w:val="22"/>
                    </w:rPr>
                    <w:t>u</w:t>
                  </w:r>
                  <w:r>
                    <w:rPr>
                      <w:rFonts w:asciiTheme="majorHAnsi" w:hAnsiTheme="majorHAnsi" w:cs="Georgia"/>
                      <w:spacing w:val="-1"/>
                      <w:sz w:val="22"/>
                      <w:szCs w:val="22"/>
                    </w:rPr>
                    <w:t>e</w:t>
                  </w:r>
                  <w:r>
                    <w:rPr>
                      <w:rFonts w:asciiTheme="majorHAnsi" w:hAnsiTheme="majorHAnsi" w:cs="Georgia"/>
                      <w:spacing w:val="1"/>
                      <w:sz w:val="22"/>
                      <w:szCs w:val="22"/>
                    </w:rPr>
                    <w:t xml:space="preserve">s </w:t>
                  </w:r>
                  <w:r>
                    <w:rPr>
                      <w:rFonts w:asciiTheme="majorHAnsi" w:hAnsiTheme="majorHAnsi" w:cs="Georgia"/>
                      <w:sz w:val="22"/>
                      <w:szCs w:val="22"/>
                    </w:rPr>
                    <w:t>et de</w:t>
                  </w:r>
                  <w:r>
                    <w:rPr>
                      <w:rFonts w:asciiTheme="majorHAnsi" w:hAnsiTheme="majorHAnsi" w:cs="Georgia"/>
                      <w:spacing w:val="-1"/>
                      <w:sz w:val="22"/>
                      <w:szCs w:val="22"/>
                    </w:rPr>
                    <w:t xml:space="preserve"> </w:t>
                  </w:r>
                  <w:r>
                    <w:rPr>
                      <w:rFonts w:asciiTheme="majorHAnsi" w:hAnsiTheme="majorHAnsi" w:cs="Georgia"/>
                      <w:spacing w:val="1"/>
                      <w:sz w:val="22"/>
                      <w:szCs w:val="22"/>
                    </w:rPr>
                    <w:t>pr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pacing w:val="-2"/>
                      <w:sz w:val="22"/>
                      <w:szCs w:val="22"/>
                    </w:rPr>
                    <w:t>i</w:t>
                  </w: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w:t>
                  </w:r>
                  <w:r>
                    <w:rPr>
                      <w:rFonts w:asciiTheme="majorHAnsi" w:hAnsiTheme="majorHAnsi" w:cs="Georgia"/>
                      <w:spacing w:val="1"/>
                      <w:sz w:val="22"/>
                      <w:szCs w:val="22"/>
                    </w:rPr>
                    <w:t>pro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2"/>
                      <w:sz w:val="22"/>
                      <w:szCs w:val="22"/>
                    </w:rPr>
                    <w:t>s</w:t>
                  </w:r>
                  <w:r>
                    <w:rPr>
                      <w:rFonts w:asciiTheme="majorHAnsi" w:hAnsiTheme="majorHAnsi" w:cs="Georgia"/>
                      <w:spacing w:val="1"/>
                      <w:sz w:val="22"/>
                      <w:szCs w:val="22"/>
                    </w:rPr>
                    <w:t>s</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pacing w:val="-1"/>
                      <w:sz w:val="22"/>
                      <w:szCs w:val="22"/>
                    </w:rPr>
                    <w:t>nnelle,</w:t>
                  </w:r>
                </w:p>
                <w:p w:rsidR="00F04EEF" w:rsidRDefault="0099351E">
                  <w:pPr>
                    <w:pStyle w:val="Paragraphedeliste"/>
                    <w:widowControl w:val="0"/>
                    <w:numPr>
                      <w:ilvl w:val="0"/>
                      <w:numId w:val="69"/>
                    </w:numPr>
                    <w:tabs>
                      <w:tab w:val="left" w:pos="1560"/>
                    </w:tabs>
                    <w:autoSpaceDE w:val="0"/>
                    <w:autoSpaceDN w:val="0"/>
                    <w:adjustRightInd w:val="0"/>
                    <w:spacing w:line="248" w:lineRule="exact"/>
                    <w:ind w:left="924" w:hanging="357"/>
                    <w:rPr>
                      <w:rFonts w:asciiTheme="majorHAnsi" w:hAnsiTheme="majorHAnsi" w:cs="Georgia"/>
                      <w:sz w:val="22"/>
                      <w:szCs w:val="22"/>
                    </w:rPr>
                  </w:pPr>
                  <w:r>
                    <w:rPr>
                      <w:rFonts w:asciiTheme="majorHAnsi" w:hAnsiTheme="majorHAnsi" w:cs="Georgia"/>
                      <w:spacing w:val="-1"/>
                      <w:sz w:val="22"/>
                      <w:szCs w:val="22"/>
                    </w:rPr>
                    <w:t>a</w:t>
                  </w:r>
                  <w:r>
                    <w:rPr>
                      <w:rFonts w:asciiTheme="majorHAnsi" w:hAnsiTheme="majorHAnsi" w:cs="Georgia"/>
                      <w:sz w:val="22"/>
                      <w:szCs w:val="22"/>
                    </w:rPr>
                    <w:t>ux</w:t>
                  </w:r>
                  <w:r>
                    <w:rPr>
                      <w:rFonts w:asciiTheme="majorHAnsi" w:hAnsiTheme="majorHAnsi" w:cs="Georgia"/>
                      <w:spacing w:val="-1"/>
                      <w:sz w:val="22"/>
                      <w:szCs w:val="22"/>
                    </w:rPr>
                    <w:t xml:space="preserve"> </w:t>
                  </w:r>
                  <w:r>
                    <w:rPr>
                      <w:rFonts w:asciiTheme="majorHAnsi" w:hAnsiTheme="majorHAnsi" w:cs="Georgia"/>
                      <w:spacing w:val="1"/>
                      <w:sz w:val="22"/>
                      <w:szCs w:val="22"/>
                    </w:rPr>
                    <w:t>pro</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2"/>
                      <w:sz w:val="22"/>
                      <w:szCs w:val="22"/>
                    </w:rPr>
                    <w:t>s</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z w:val="22"/>
                      <w:szCs w:val="22"/>
                    </w:rPr>
                    <w:t>u</w:t>
                  </w:r>
                  <w:r>
                    <w:rPr>
                      <w:rFonts w:asciiTheme="majorHAnsi" w:hAnsiTheme="majorHAnsi" w:cs="Georgia"/>
                      <w:spacing w:val="1"/>
                      <w:sz w:val="22"/>
                      <w:szCs w:val="22"/>
                    </w:rPr>
                    <w:t>r</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1"/>
                      <w:sz w:val="22"/>
                      <w:szCs w:val="22"/>
                    </w:rPr>
                    <w:t>r</w:t>
                  </w:r>
                  <w:r>
                    <w:rPr>
                      <w:rFonts w:asciiTheme="majorHAnsi" w:hAnsiTheme="majorHAnsi" w:cs="Georgia"/>
                      <w:spacing w:val="-1"/>
                      <w:sz w:val="22"/>
                      <w:szCs w:val="22"/>
                    </w:rPr>
                    <w:t>el</w:t>
                  </w:r>
                  <w:r>
                    <w:rPr>
                      <w:rFonts w:asciiTheme="majorHAnsi" w:hAnsiTheme="majorHAnsi" w:cs="Georgia"/>
                      <w:sz w:val="22"/>
                      <w:szCs w:val="22"/>
                    </w:rPr>
                    <w:t>ig</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e</w:t>
                  </w:r>
                  <w:r>
                    <w:rPr>
                      <w:rFonts w:asciiTheme="majorHAnsi" w:hAnsiTheme="majorHAnsi" w:cs="Georgia"/>
                      <w:sz w:val="22"/>
                      <w:szCs w:val="22"/>
                    </w:rPr>
                    <w:t>t de</w:t>
                  </w:r>
                  <w:r>
                    <w:rPr>
                      <w:rFonts w:asciiTheme="majorHAnsi" w:hAnsiTheme="majorHAnsi" w:cs="Georgia"/>
                      <w:spacing w:val="-1"/>
                      <w:sz w:val="22"/>
                      <w:szCs w:val="22"/>
                    </w:rPr>
                    <w:t xml:space="preserve"> </w:t>
                  </w:r>
                  <w:r>
                    <w:rPr>
                      <w:rFonts w:asciiTheme="majorHAnsi" w:hAnsiTheme="majorHAnsi" w:cs="Georgia"/>
                      <w:sz w:val="22"/>
                      <w:szCs w:val="22"/>
                    </w:rPr>
                    <w:t>m</w:t>
                  </w:r>
                  <w:r>
                    <w:rPr>
                      <w:rFonts w:asciiTheme="majorHAnsi" w:hAnsiTheme="majorHAnsi" w:cs="Georgia"/>
                      <w:spacing w:val="1"/>
                      <w:sz w:val="22"/>
                      <w:szCs w:val="22"/>
                    </w:rPr>
                    <w:t>or</w:t>
                  </w:r>
                  <w:r>
                    <w:rPr>
                      <w:rFonts w:asciiTheme="majorHAnsi" w:hAnsiTheme="majorHAnsi" w:cs="Georgia"/>
                      <w:spacing w:val="-1"/>
                      <w:sz w:val="22"/>
                      <w:szCs w:val="22"/>
                    </w:rPr>
                    <w:t>al</w:t>
                  </w:r>
                  <w:r>
                    <w:rPr>
                      <w:rFonts w:asciiTheme="majorHAnsi" w:hAnsiTheme="majorHAnsi" w:cs="Georgia"/>
                      <w:sz w:val="22"/>
                      <w:szCs w:val="22"/>
                    </w:rPr>
                    <w:t>e</w:t>
                  </w:r>
                  <w:r>
                    <w:rPr>
                      <w:rFonts w:asciiTheme="majorHAnsi" w:hAnsiTheme="majorHAnsi" w:cs="Georgia"/>
                      <w:spacing w:val="-1"/>
                      <w:sz w:val="22"/>
                      <w:szCs w:val="22"/>
                    </w:rPr>
                    <w:t xml:space="preserve"> n</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pacing w:val="1"/>
                      <w:sz w:val="22"/>
                      <w:szCs w:val="22"/>
                    </w:rPr>
                    <w:t>co</w:t>
                  </w:r>
                  <w:r>
                    <w:rPr>
                      <w:rFonts w:asciiTheme="majorHAnsi" w:hAnsiTheme="majorHAnsi" w:cs="Georgia"/>
                      <w:spacing w:val="-1"/>
                      <w:sz w:val="22"/>
                      <w:szCs w:val="22"/>
                    </w:rPr>
                    <w:t>n</w:t>
                  </w:r>
                  <w:r>
                    <w:rPr>
                      <w:rFonts w:asciiTheme="majorHAnsi" w:hAnsiTheme="majorHAnsi" w:cs="Georgia"/>
                      <w:sz w:val="22"/>
                      <w:szCs w:val="22"/>
                    </w:rPr>
                    <w:t>f</w:t>
                  </w:r>
                  <w:r>
                    <w:rPr>
                      <w:rFonts w:asciiTheme="majorHAnsi" w:hAnsiTheme="majorHAnsi" w:cs="Georgia"/>
                      <w:spacing w:val="-1"/>
                      <w:sz w:val="22"/>
                      <w:szCs w:val="22"/>
                    </w:rPr>
                    <w:t>e</w:t>
                  </w:r>
                  <w:r>
                    <w:rPr>
                      <w:rFonts w:asciiTheme="majorHAnsi" w:hAnsiTheme="majorHAnsi" w:cs="Georgia"/>
                      <w:spacing w:val="1"/>
                      <w:sz w:val="22"/>
                      <w:szCs w:val="22"/>
                    </w:rPr>
                    <w:t>ss</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pacing w:val="-1"/>
                      <w:sz w:val="22"/>
                      <w:szCs w:val="22"/>
                    </w:rPr>
                    <w:t xml:space="preserve">nnelle et </w:t>
                  </w:r>
                  <w:r>
                    <w:rPr>
                      <w:rFonts w:asciiTheme="majorHAnsi" w:hAnsiTheme="majorHAnsi" w:cs="Georgia"/>
                      <w:sz w:val="22"/>
                      <w:szCs w:val="22"/>
                    </w:rPr>
                    <w:t xml:space="preserve">de cours de philosophie et de citoyenneté, </w:t>
                  </w:r>
                  <w:r>
                    <w:rPr>
                      <w:rFonts w:asciiTheme="majorHAnsi" w:hAnsiTheme="majorHAnsi" w:cs="Georgia"/>
                      <w:spacing w:val="-1"/>
                      <w:sz w:val="22"/>
                      <w:szCs w:val="22"/>
                    </w:rPr>
                    <w:t>l</w:t>
                  </w:r>
                  <w:r>
                    <w:rPr>
                      <w:rFonts w:asciiTheme="majorHAnsi" w:hAnsiTheme="majorHAnsi" w:cs="Georgia"/>
                      <w:spacing w:val="1"/>
                      <w:sz w:val="22"/>
                      <w:szCs w:val="22"/>
                    </w:rPr>
                    <w:t>ors</w:t>
                  </w: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co</w:t>
                  </w:r>
                  <w:r>
                    <w:rPr>
                      <w:rFonts w:asciiTheme="majorHAnsi" w:hAnsiTheme="majorHAnsi" w:cs="Georgia"/>
                      <w:sz w:val="22"/>
                      <w:szCs w:val="22"/>
                    </w:rPr>
                    <w:t>u</w:t>
                  </w:r>
                  <w:r>
                    <w:rPr>
                      <w:rFonts w:asciiTheme="majorHAnsi" w:hAnsiTheme="majorHAnsi" w:cs="Georgia"/>
                      <w:spacing w:val="1"/>
                      <w:sz w:val="22"/>
                      <w:szCs w:val="22"/>
                    </w:rPr>
                    <w:t>r</w:t>
                  </w:r>
                  <w:r>
                    <w:rPr>
                      <w:rFonts w:asciiTheme="majorHAnsi" w:hAnsiTheme="majorHAnsi" w:cs="Georgia"/>
                      <w:sz w:val="22"/>
                      <w:szCs w:val="22"/>
                    </w:rPr>
                    <w:t xml:space="preserve">s </w:t>
                  </w:r>
                  <w:r>
                    <w:rPr>
                      <w:rFonts w:asciiTheme="majorHAnsi" w:hAnsiTheme="majorHAnsi" w:cs="Georgia"/>
                      <w:spacing w:val="-2"/>
                      <w:sz w:val="22"/>
                      <w:szCs w:val="22"/>
                    </w:rPr>
                    <w:t>d</w:t>
                  </w:r>
                  <w:r>
                    <w:rPr>
                      <w:rFonts w:asciiTheme="majorHAnsi" w:hAnsiTheme="majorHAnsi" w:cs="Georgia"/>
                      <w:spacing w:val="1"/>
                      <w:sz w:val="22"/>
                      <w:szCs w:val="22"/>
                    </w:rPr>
                    <w:t>o</w:t>
                  </w:r>
                  <w:r>
                    <w:rPr>
                      <w:rFonts w:asciiTheme="majorHAnsi" w:hAnsiTheme="majorHAnsi" w:cs="Georgia"/>
                      <w:spacing w:val="-1"/>
                      <w:sz w:val="22"/>
                      <w:szCs w:val="22"/>
                    </w:rPr>
                    <w:t>n</w:t>
                  </w:r>
                  <w:r>
                    <w:rPr>
                      <w:rFonts w:asciiTheme="majorHAnsi" w:hAnsiTheme="majorHAnsi" w:cs="Georgia"/>
                      <w:sz w:val="22"/>
                      <w:szCs w:val="22"/>
                    </w:rPr>
                    <w:t>t i</w:t>
                  </w:r>
                  <w:r>
                    <w:rPr>
                      <w:rFonts w:asciiTheme="majorHAnsi" w:hAnsiTheme="majorHAnsi" w:cs="Georgia"/>
                      <w:spacing w:val="-1"/>
                      <w:sz w:val="22"/>
                      <w:szCs w:val="22"/>
                    </w:rPr>
                    <w:t>l</w:t>
                  </w:r>
                  <w:r>
                    <w:rPr>
                      <w:rFonts w:asciiTheme="majorHAnsi" w:hAnsiTheme="majorHAnsi" w:cs="Georgia"/>
                      <w:sz w:val="22"/>
                      <w:szCs w:val="22"/>
                    </w:rPr>
                    <w:t xml:space="preserve">s </w:t>
                  </w:r>
                  <w:r>
                    <w:rPr>
                      <w:rFonts w:asciiTheme="majorHAnsi" w:hAnsiTheme="majorHAnsi" w:cs="Georgia"/>
                      <w:spacing w:val="1"/>
                      <w:sz w:val="22"/>
                      <w:szCs w:val="22"/>
                    </w:rPr>
                    <w:t>so</w:t>
                  </w:r>
                  <w:r>
                    <w:rPr>
                      <w:rFonts w:asciiTheme="majorHAnsi" w:hAnsiTheme="majorHAnsi" w:cs="Georgia"/>
                      <w:spacing w:val="-1"/>
                      <w:sz w:val="22"/>
                      <w:szCs w:val="22"/>
                    </w:rPr>
                    <w:t>n</w:t>
                  </w:r>
                  <w:r>
                    <w:rPr>
                      <w:rFonts w:asciiTheme="majorHAnsi" w:hAnsiTheme="majorHAnsi" w:cs="Georgia"/>
                      <w:sz w:val="22"/>
                      <w:szCs w:val="22"/>
                    </w:rPr>
                    <w:t xml:space="preserve">t </w:t>
                  </w:r>
                  <w:r>
                    <w:rPr>
                      <w:rFonts w:asciiTheme="majorHAnsi" w:hAnsiTheme="majorHAnsi" w:cs="Georgia"/>
                      <w:spacing w:val="-2"/>
                      <w:sz w:val="22"/>
                      <w:szCs w:val="22"/>
                    </w:rPr>
                    <w:t>c</w:t>
                  </w:r>
                  <w:r>
                    <w:rPr>
                      <w:rFonts w:asciiTheme="majorHAnsi" w:hAnsiTheme="majorHAnsi" w:cs="Georgia"/>
                      <w:spacing w:val="1"/>
                      <w:sz w:val="22"/>
                      <w:szCs w:val="22"/>
                    </w:rPr>
                    <w:t>h</w:t>
                  </w:r>
                  <w:r>
                    <w:rPr>
                      <w:rFonts w:asciiTheme="majorHAnsi" w:hAnsiTheme="majorHAnsi" w:cs="Georgia"/>
                      <w:spacing w:val="-1"/>
                      <w:sz w:val="22"/>
                      <w:szCs w:val="22"/>
                    </w:rPr>
                    <w:t>a</w:t>
                  </w:r>
                  <w:r>
                    <w:rPr>
                      <w:rFonts w:asciiTheme="majorHAnsi" w:hAnsiTheme="majorHAnsi" w:cs="Georgia"/>
                      <w:spacing w:val="-2"/>
                      <w:sz w:val="22"/>
                      <w:szCs w:val="22"/>
                    </w:rPr>
                    <w:t>r</w:t>
                  </w:r>
                  <w:r>
                    <w:rPr>
                      <w:rFonts w:asciiTheme="majorHAnsi" w:hAnsiTheme="majorHAnsi" w:cs="Georgia"/>
                      <w:sz w:val="22"/>
                      <w:szCs w:val="22"/>
                    </w:rPr>
                    <w:t>g</w:t>
                  </w:r>
                  <w:r>
                    <w:rPr>
                      <w:rFonts w:asciiTheme="majorHAnsi" w:hAnsiTheme="majorHAnsi" w:cs="Georgia"/>
                      <w:spacing w:val="-1"/>
                      <w:sz w:val="22"/>
                      <w:szCs w:val="22"/>
                    </w:rPr>
                    <w:t>é</w:t>
                  </w:r>
                  <w:r>
                    <w:rPr>
                      <w:rFonts w:asciiTheme="majorHAnsi" w:hAnsiTheme="majorHAnsi" w:cs="Georgia"/>
                      <w:sz w:val="22"/>
                      <w:szCs w:val="22"/>
                    </w:rPr>
                    <w:t xml:space="preserve">s </w:t>
                  </w:r>
                  <w:r>
                    <w:rPr>
                      <w:rFonts w:asciiTheme="majorHAnsi" w:hAnsiTheme="majorHAnsi" w:cs="Georgia"/>
                      <w:spacing w:val="-1"/>
                      <w:sz w:val="22"/>
                      <w:szCs w:val="22"/>
                    </w:rPr>
                    <w:t>e</w:t>
                  </w:r>
                  <w:r>
                    <w:rPr>
                      <w:rFonts w:asciiTheme="majorHAnsi" w:hAnsiTheme="majorHAnsi" w:cs="Georgia"/>
                      <w:spacing w:val="1"/>
                      <w:sz w:val="22"/>
                      <w:szCs w:val="22"/>
                    </w:rPr>
                    <w:t>s</w:t>
                  </w:r>
                  <w:r>
                    <w:rPr>
                      <w:rFonts w:asciiTheme="majorHAnsi" w:hAnsiTheme="majorHAnsi" w:cs="Georgia"/>
                      <w:sz w:val="22"/>
                      <w:szCs w:val="22"/>
                    </w:rPr>
                    <w:t>t "</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c</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2"/>
                      <w:sz w:val="22"/>
                      <w:szCs w:val="22"/>
                    </w:rPr>
                    <w:t>r</w:t>
                  </w:r>
                  <w:r>
                    <w:rPr>
                      <w:rFonts w:asciiTheme="majorHAnsi" w:hAnsiTheme="majorHAnsi" w:cs="Georgia"/>
                      <w:sz w:val="22"/>
                      <w:szCs w:val="22"/>
                    </w:rPr>
                    <w:t>s</w:t>
                  </w:r>
                  <w:r>
                    <w:rPr>
                      <w:rFonts w:asciiTheme="majorHAnsi" w:hAnsiTheme="majorHAnsi" w:cs="Georgia"/>
                      <w:spacing w:val="-2"/>
                      <w:sz w:val="22"/>
                      <w:szCs w:val="22"/>
                    </w:rPr>
                    <w:t xml:space="preserve"> </w:t>
                  </w:r>
                  <w:r>
                    <w:rPr>
                      <w:rFonts w:asciiTheme="majorHAnsi" w:hAnsiTheme="majorHAnsi" w:cs="Georgia"/>
                      <w:spacing w:val="1"/>
                      <w:sz w:val="22"/>
                      <w:szCs w:val="22"/>
                    </w:rPr>
                    <w:t>ph</w:t>
                  </w:r>
                  <w:r>
                    <w:rPr>
                      <w:rFonts w:asciiTheme="majorHAnsi" w:hAnsiTheme="majorHAnsi" w:cs="Georgia"/>
                      <w:sz w:val="22"/>
                      <w:szCs w:val="22"/>
                    </w:rPr>
                    <w:t>i</w:t>
                  </w:r>
                  <w:r>
                    <w:rPr>
                      <w:rFonts w:asciiTheme="majorHAnsi" w:hAnsiTheme="majorHAnsi" w:cs="Georgia"/>
                      <w:spacing w:val="-3"/>
                      <w:sz w:val="22"/>
                      <w:szCs w:val="22"/>
                    </w:rPr>
                    <w:t>l</w:t>
                  </w:r>
                  <w:r>
                    <w:rPr>
                      <w:rFonts w:asciiTheme="majorHAnsi" w:hAnsiTheme="majorHAnsi" w:cs="Georgia"/>
                      <w:spacing w:val="1"/>
                      <w:sz w:val="22"/>
                      <w:szCs w:val="22"/>
                    </w:rPr>
                    <w:t>o</w:t>
                  </w:r>
                  <w:r>
                    <w:rPr>
                      <w:rFonts w:asciiTheme="majorHAnsi" w:hAnsiTheme="majorHAnsi" w:cs="Georgia"/>
                      <w:spacing w:val="-2"/>
                      <w:sz w:val="22"/>
                      <w:szCs w:val="22"/>
                    </w:rPr>
                    <w:t>s</w:t>
                  </w:r>
                  <w:r>
                    <w:rPr>
                      <w:rFonts w:asciiTheme="majorHAnsi" w:hAnsiTheme="majorHAnsi" w:cs="Georgia"/>
                      <w:spacing w:val="1"/>
                      <w:sz w:val="22"/>
                      <w:szCs w:val="22"/>
                    </w:rPr>
                    <w:t>o</w:t>
                  </w:r>
                  <w:r>
                    <w:rPr>
                      <w:rFonts w:asciiTheme="majorHAnsi" w:hAnsiTheme="majorHAnsi" w:cs="Georgia"/>
                      <w:spacing w:val="-1"/>
                      <w:sz w:val="22"/>
                      <w:szCs w:val="22"/>
                    </w:rPr>
                    <w:t>p</w:t>
                  </w:r>
                  <w:r>
                    <w:rPr>
                      <w:rFonts w:asciiTheme="majorHAnsi" w:hAnsiTheme="majorHAnsi" w:cs="Georgia"/>
                      <w:spacing w:val="1"/>
                      <w:sz w:val="22"/>
                      <w:szCs w:val="22"/>
                    </w:rPr>
                    <w:t>h</w:t>
                  </w:r>
                  <w:r>
                    <w:rPr>
                      <w:rFonts w:asciiTheme="majorHAnsi" w:hAnsiTheme="majorHAnsi" w:cs="Georgia"/>
                      <w:sz w:val="22"/>
                      <w:szCs w:val="22"/>
                    </w:rPr>
                    <w:t>i</w:t>
                  </w: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p</w:t>
                  </w:r>
                  <w:r>
                    <w:rPr>
                      <w:rFonts w:asciiTheme="majorHAnsi" w:hAnsiTheme="majorHAnsi" w:cs="Georgia"/>
                      <w:spacing w:val="-1"/>
                      <w:sz w:val="22"/>
                      <w:szCs w:val="22"/>
                    </w:rPr>
                    <w:t>l</w:t>
                  </w:r>
                  <w:r>
                    <w:rPr>
                      <w:rFonts w:asciiTheme="majorHAnsi" w:hAnsiTheme="majorHAnsi" w:cs="Georgia"/>
                      <w:sz w:val="22"/>
                      <w:szCs w:val="22"/>
                    </w:rPr>
                    <w:t xml:space="preserve">us </w:t>
                  </w:r>
                  <w:r>
                    <w:rPr>
                      <w:rFonts w:asciiTheme="majorHAnsi" w:hAnsiTheme="majorHAnsi" w:cs="Georgia"/>
                      <w:spacing w:val="-2"/>
                      <w:sz w:val="22"/>
                      <w:szCs w:val="22"/>
                    </w:rPr>
                    <w:t>su</w:t>
                  </w:r>
                  <w:r>
                    <w:rPr>
                      <w:rFonts w:asciiTheme="majorHAnsi" w:hAnsiTheme="majorHAnsi" w:cs="Georgia"/>
                      <w:sz w:val="22"/>
                      <w:szCs w:val="22"/>
                    </w:rPr>
                    <w:t>i</w:t>
                  </w:r>
                  <w:r>
                    <w:rPr>
                      <w:rFonts w:asciiTheme="majorHAnsi" w:hAnsiTheme="majorHAnsi" w:cs="Georgia"/>
                      <w:spacing w:val="1"/>
                      <w:sz w:val="22"/>
                      <w:szCs w:val="22"/>
                    </w:rPr>
                    <w:t>v</w:t>
                  </w:r>
                  <w:r>
                    <w:rPr>
                      <w:rFonts w:asciiTheme="majorHAnsi" w:hAnsiTheme="majorHAnsi" w:cs="Georgia"/>
                      <w:sz w:val="22"/>
                      <w:szCs w:val="22"/>
                    </w:rPr>
                    <w:t>i".</w:t>
                  </w:r>
                </w:p>
                <w:p w:rsidR="00F04EEF" w:rsidRDefault="00F04EEF">
                  <w:pPr>
                    <w:pStyle w:val="Paragraphedeliste"/>
                    <w:widowControl w:val="0"/>
                    <w:tabs>
                      <w:tab w:val="left" w:pos="1560"/>
                    </w:tabs>
                    <w:autoSpaceDE w:val="0"/>
                    <w:autoSpaceDN w:val="0"/>
                    <w:adjustRightInd w:val="0"/>
                    <w:spacing w:line="248" w:lineRule="exact"/>
                    <w:ind w:left="0"/>
                    <w:rPr>
                      <w:rFonts w:asciiTheme="majorHAnsi" w:hAnsiTheme="majorHAnsi" w:cs="Georgia"/>
                      <w:color w:val="000000"/>
                      <w:sz w:val="22"/>
                      <w:szCs w:val="22"/>
                    </w:rPr>
                  </w:pPr>
                </w:p>
                <w:p w:rsidR="00F04EEF" w:rsidRDefault="0099351E">
                  <w:pPr>
                    <w:widowControl w:val="0"/>
                    <w:autoSpaceDE w:val="0"/>
                    <w:autoSpaceDN w:val="0"/>
                    <w:adjustRightInd w:val="0"/>
                    <w:spacing w:line="250" w:lineRule="exact"/>
                    <w:rPr>
                      <w:rFonts w:cs="Georgia"/>
                      <w:color w:val="000000"/>
                    </w:rPr>
                  </w:pPr>
                  <w:r>
                    <w:rPr>
                      <w:rFonts w:cs="Georgia"/>
                      <w:b/>
                      <w:bCs/>
                      <w:color w:val="000000"/>
                      <w:spacing w:val="-1"/>
                    </w:rPr>
                    <w:t>b</w:t>
                  </w:r>
                  <w:r>
                    <w:rPr>
                      <w:rFonts w:cs="Georgia"/>
                      <w:b/>
                      <w:bCs/>
                      <w:color w:val="000000"/>
                    </w:rPr>
                    <w:t>)</w:t>
                  </w:r>
                  <w:r>
                    <w:rPr>
                      <w:rFonts w:cs="Georgia"/>
                      <w:b/>
                      <w:bCs/>
                      <w:color w:val="000000"/>
                      <w:spacing w:val="1"/>
                    </w:rPr>
                    <w:t xml:space="preserve"> </w:t>
                  </w:r>
                  <w:r>
                    <w:rPr>
                      <w:rFonts w:cs="Georgia"/>
                      <w:color w:val="000000"/>
                      <w:spacing w:val="-1"/>
                    </w:rPr>
                    <w:t>l</w:t>
                  </w:r>
                  <w:r>
                    <w:rPr>
                      <w:rFonts w:cs="Georgia"/>
                      <w:color w:val="000000"/>
                    </w:rPr>
                    <w:t>a</w:t>
                  </w:r>
                  <w:r>
                    <w:rPr>
                      <w:rFonts w:cs="Georgia"/>
                      <w:color w:val="000000"/>
                      <w:spacing w:val="4"/>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4"/>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spacing w:val="-3"/>
                    </w:rPr>
                    <w:t>m</w:t>
                  </w:r>
                  <w:r>
                    <w:rPr>
                      <w:rFonts w:cs="Georgia"/>
                      <w:color w:val="000000"/>
                      <w:spacing w:val="-1"/>
                    </w:rPr>
                    <w:t>en</w:t>
                  </w:r>
                  <w:r>
                    <w:rPr>
                      <w:rFonts w:cs="Georgia"/>
                      <w:color w:val="000000"/>
                    </w:rPr>
                    <w:t>t</w:t>
                  </w:r>
                  <w:r>
                    <w:rPr>
                      <w:rFonts w:cs="Georgia"/>
                      <w:color w:val="000000"/>
                      <w:spacing w:val="5"/>
                    </w:rPr>
                    <w:t xml:space="preserve"> </w:t>
                  </w:r>
                  <w:r>
                    <w:rPr>
                      <w:rFonts w:cs="Georgia"/>
                      <w:color w:val="000000"/>
                      <w:spacing w:val="-1"/>
                    </w:rPr>
                    <w:t>q</w:t>
                  </w:r>
                  <w:r>
                    <w:rPr>
                      <w:rFonts w:cs="Georgia"/>
                      <w:color w:val="000000"/>
                    </w:rPr>
                    <w:t>ue</w:t>
                  </w:r>
                  <w:r>
                    <w:rPr>
                      <w:rFonts w:cs="Georgia"/>
                      <w:color w:val="000000"/>
                      <w:spacing w:val="4"/>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5"/>
                    </w:rPr>
                    <w:t xml:space="preserve"> </w:t>
                  </w:r>
                  <w:r>
                    <w:rPr>
                      <w:rFonts w:cs="Georgia"/>
                      <w:color w:val="000000"/>
                      <w:spacing w:val="-1"/>
                    </w:rPr>
                    <w:t>exe</w:t>
                  </w:r>
                  <w:r>
                    <w:rPr>
                      <w:rFonts w:cs="Georgia"/>
                      <w:color w:val="000000"/>
                      <w:spacing w:val="1"/>
                    </w:rPr>
                    <w:t>rc</w:t>
                  </w:r>
                  <w:r>
                    <w:rPr>
                      <w:rFonts w:cs="Georgia"/>
                      <w:color w:val="000000"/>
                      <w:spacing w:val="-1"/>
                    </w:rPr>
                    <w:t>e</w:t>
                  </w:r>
                  <w:r>
                    <w:rPr>
                      <w:rFonts w:cs="Georgia"/>
                      <w:color w:val="000000"/>
                    </w:rPr>
                    <w:t>r</w:t>
                  </w:r>
                  <w:r>
                    <w:rPr>
                      <w:rFonts w:cs="Georgia"/>
                      <w:color w:val="000000"/>
                      <w:spacing w:val="5"/>
                    </w:rPr>
                    <w:t xml:space="preserve"> </w:t>
                  </w:r>
                  <w:r>
                    <w:rPr>
                      <w:rFonts w:cs="Georgia"/>
                      <w:color w:val="000000"/>
                      <w:spacing w:val="-1"/>
                    </w:rPr>
                    <w:t>l</w:t>
                  </w:r>
                  <w:r>
                    <w:rPr>
                      <w:rFonts w:cs="Georgia"/>
                      <w:color w:val="000000"/>
                    </w:rPr>
                    <w:t>e</w:t>
                  </w:r>
                  <w:r>
                    <w:rPr>
                      <w:rFonts w:cs="Georgia"/>
                      <w:color w:val="000000"/>
                      <w:spacing w:val="4"/>
                    </w:rPr>
                    <w:t xml:space="preserve"> </w:t>
                  </w:r>
                  <w:r>
                    <w:rPr>
                      <w:rFonts w:cs="Georgia"/>
                      <w:color w:val="000000"/>
                      <w:spacing w:val="-2"/>
                    </w:rPr>
                    <w:t>directeur</w:t>
                  </w:r>
                  <w:r>
                    <w:rPr>
                      <w:rFonts w:cs="Georgia"/>
                      <w:color w:val="000000"/>
                      <w:spacing w:val="3"/>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5"/>
                    </w:rPr>
                    <w:t xml:space="preserve"> </w:t>
                  </w:r>
                  <w:r>
                    <w:rPr>
                      <w:rFonts w:cs="Georgia"/>
                      <w:color w:val="000000"/>
                      <w:spacing w:val="-1"/>
                    </w:rPr>
                    <w:t>l</w:t>
                  </w:r>
                  <w:r>
                    <w:rPr>
                      <w:rFonts w:cs="Georgia"/>
                      <w:color w:val="000000"/>
                    </w:rPr>
                    <w:t>e</w:t>
                  </w:r>
                  <w:r>
                    <w:rPr>
                      <w:rFonts w:cs="Georgia"/>
                      <w:color w:val="000000"/>
                      <w:spacing w:val="4"/>
                    </w:rPr>
                    <w:t xml:space="preserve"> </w:t>
                  </w:r>
                  <w:r>
                    <w:rPr>
                      <w:rFonts w:cs="Georgia"/>
                      <w:color w:val="000000"/>
                      <w:spacing w:val="1"/>
                    </w:rPr>
                    <w:t>c</w:t>
                  </w:r>
                  <w:r>
                    <w:rPr>
                      <w:rFonts w:cs="Georgia"/>
                      <w:color w:val="000000"/>
                      <w:spacing w:val="-3"/>
                    </w:rPr>
                    <w:t>a</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1"/>
                    </w:rPr>
                    <w:t>é</w:t>
                  </w:r>
                  <w:r>
                    <w:rPr>
                      <w:rFonts w:cs="Georgia"/>
                      <w:color w:val="000000"/>
                      <w:spacing w:val="1"/>
                    </w:rPr>
                    <w:t>v</w:t>
                  </w:r>
                  <w:r>
                    <w:rPr>
                      <w:rFonts w:cs="Georgia"/>
                      <w:color w:val="000000"/>
                    </w:rPr>
                    <w:t>u</w:t>
                  </w:r>
                  <w:r>
                    <w:rPr>
                      <w:rFonts w:cs="Georgia"/>
                      <w:color w:val="000000"/>
                      <w:spacing w:val="2"/>
                    </w:rPr>
                    <w:t xml:space="preserve"> </w:t>
                  </w:r>
                  <w:r>
                    <w:rPr>
                      <w:rFonts w:cs="Georgia"/>
                      <w:spacing w:val="1"/>
                    </w:rPr>
                    <w:t>(</w:t>
                  </w:r>
                  <w:r>
                    <w:rPr>
                      <w:rFonts w:cs="Georgia"/>
                      <w:spacing w:val="-1"/>
                    </w:rPr>
                    <w:t>vo</w:t>
                  </w:r>
                  <w:r>
                    <w:rPr>
                      <w:rFonts w:cs="Georgia"/>
                    </w:rPr>
                    <w:t>ir</w:t>
                  </w:r>
                  <w:r>
                    <w:rPr>
                      <w:rFonts w:cs="Georgia"/>
                      <w:spacing w:val="3"/>
                      <w:u w:val="single"/>
                    </w:rPr>
                    <w:t xml:space="preserve"> </w:t>
                  </w:r>
                  <w:hyperlink w:anchor="_2.4.2.3._Directeur" w:history="1">
                    <w:r>
                      <w:rPr>
                        <w:rStyle w:val="Lienhypertexte"/>
                        <w:rFonts w:cs="Georgia"/>
                        <w:spacing w:val="-1"/>
                      </w:rPr>
                      <w:t>p</w:t>
                    </w:r>
                    <w:r>
                      <w:rPr>
                        <w:rStyle w:val="Lienhypertexte"/>
                        <w:rFonts w:cs="Georgia"/>
                        <w:spacing w:val="1"/>
                      </w:rPr>
                      <w:t>o</w:t>
                    </w:r>
                    <w:r>
                      <w:rPr>
                        <w:rStyle w:val="Lienhypertexte"/>
                        <w:rFonts w:cs="Georgia"/>
                      </w:rPr>
                      <w:t>i</w:t>
                    </w:r>
                    <w:r>
                      <w:rPr>
                        <w:rStyle w:val="Lienhypertexte"/>
                        <w:rFonts w:cs="Georgia"/>
                        <w:spacing w:val="-1"/>
                      </w:rPr>
                      <w:t>n</w:t>
                    </w:r>
                    <w:r>
                      <w:rPr>
                        <w:rStyle w:val="Lienhypertexte"/>
                        <w:rFonts w:cs="Georgia"/>
                      </w:rPr>
                      <w:t>t</w:t>
                    </w:r>
                    <w:r>
                      <w:rPr>
                        <w:rStyle w:val="Lienhypertexte"/>
                        <w:rFonts w:cs="Georgia"/>
                        <w:spacing w:val="3"/>
                      </w:rPr>
                      <w:t xml:space="preserve"> </w:t>
                    </w:r>
                    <w:r>
                      <w:rPr>
                        <w:rStyle w:val="Lienhypertexte"/>
                        <w:rFonts w:cs="Georgia"/>
                        <w:spacing w:val="1"/>
                      </w:rPr>
                      <w:t>2.4.2.3.</w:t>
                    </w:r>
                    <w:r>
                      <w:rPr>
                        <w:rStyle w:val="Lienhypertexte"/>
                        <w:rFonts w:cs="Georgia"/>
                        <w:spacing w:val="-1"/>
                      </w:rPr>
                      <w:t>)</w:t>
                    </w:r>
                    <w:r>
                      <w:rPr>
                        <w:rStyle w:val="Lienhypertexte"/>
                        <w:rFonts w:cs="Georgia"/>
                      </w:rPr>
                      <w:t>.</w:t>
                    </w:r>
                  </w:hyperlink>
                </w:p>
                <w:p w:rsidR="00F04EEF" w:rsidRDefault="00F04EEF">
                  <w:pPr>
                    <w:widowControl w:val="0"/>
                    <w:autoSpaceDE w:val="0"/>
                    <w:autoSpaceDN w:val="0"/>
                    <w:adjustRightInd w:val="0"/>
                    <w:rPr>
                      <w:rFonts w:cs="Georgia"/>
                      <w:color w:val="000000"/>
                    </w:rPr>
                  </w:pPr>
                </w:p>
                <w:p w:rsidR="00F04EEF" w:rsidRDefault="0099351E">
                  <w:pPr>
                    <w:widowControl w:val="0"/>
                    <w:autoSpaceDE w:val="0"/>
                    <w:autoSpaceDN w:val="0"/>
                    <w:adjustRightInd w:val="0"/>
                    <w:spacing w:line="250" w:lineRule="exact"/>
                    <w:rPr>
                      <w:rFonts w:cs="Georgia"/>
                      <w:color w:val="000000"/>
                    </w:rPr>
                  </w:pPr>
                  <w:r>
                    <w:rPr>
                      <w:rFonts w:cs="Georgia"/>
                      <w:b/>
                      <w:bCs/>
                      <w:color w:val="000000"/>
                    </w:rPr>
                    <w:t>c)</w:t>
                  </w:r>
                  <w:r>
                    <w:rPr>
                      <w:rFonts w:cs="Georgia"/>
                      <w:b/>
                      <w:bCs/>
                      <w:color w:val="000000"/>
                      <w:spacing w:val="13"/>
                    </w:rPr>
                    <w:t xml:space="preserve"> </w:t>
                  </w:r>
                  <w:r>
                    <w:rPr>
                      <w:rFonts w:cs="Georgia"/>
                      <w:color w:val="000000"/>
                      <w:spacing w:val="-1"/>
                    </w:rPr>
                    <w:t>le</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16"/>
                    </w:rPr>
                    <w:t xml:space="preserve"> </w:t>
                  </w:r>
                  <w:r>
                    <w:rPr>
                      <w:rFonts w:cs="Georgia"/>
                      <w:color w:val="000000"/>
                    </w:rPr>
                    <w:t>de</w:t>
                  </w:r>
                  <w:r>
                    <w:rPr>
                      <w:rFonts w:cs="Georgia"/>
                      <w:color w:val="000000"/>
                      <w:spacing w:val="15"/>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15"/>
                    </w:rPr>
                    <w:t xml:space="preserve"> </w:t>
                  </w:r>
                  <w:r>
                    <w:rPr>
                      <w:rFonts w:cs="Georgia"/>
                      <w:color w:val="000000"/>
                      <w:spacing w:val="-1"/>
                    </w:rPr>
                    <w:t>q</w:t>
                  </w:r>
                  <w:r>
                    <w:rPr>
                      <w:rFonts w:cs="Georgia"/>
                      <w:color w:val="000000"/>
                    </w:rPr>
                    <w:t>ui</w:t>
                  </w:r>
                  <w:r>
                    <w:rPr>
                      <w:rFonts w:cs="Georgia"/>
                      <w:color w:val="000000"/>
                      <w:spacing w:val="17"/>
                    </w:rPr>
                    <w:t xml:space="preserve"> </w:t>
                  </w:r>
                  <w:r>
                    <w:rPr>
                      <w:rFonts w:cs="Georgia"/>
                      <w:color w:val="000000"/>
                      <w:spacing w:val="-1"/>
                    </w:rPr>
                    <w:t>n</w:t>
                  </w:r>
                  <w:r>
                    <w:rPr>
                      <w:rFonts w:cs="Georgia"/>
                      <w:color w:val="000000"/>
                    </w:rPr>
                    <w:t>e</w:t>
                  </w:r>
                  <w:r>
                    <w:rPr>
                      <w:rFonts w:cs="Georgia"/>
                      <w:color w:val="000000"/>
                      <w:spacing w:val="15"/>
                    </w:rPr>
                    <w:t xml:space="preserve">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17"/>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5"/>
                    </w:rPr>
                    <w:t xml:space="preserve"> </w:t>
                  </w:r>
                  <w:r>
                    <w:rPr>
                      <w:rFonts w:cs="Georgia"/>
                      <w:color w:val="000000"/>
                      <w:spacing w:val="-1"/>
                    </w:rPr>
                    <w:t>a</w:t>
                  </w:r>
                  <w:r>
                    <w:rPr>
                      <w:rFonts w:cs="Georgia"/>
                      <w:color w:val="000000"/>
                      <w:spacing w:val="1"/>
                    </w:rPr>
                    <w:t>ttr</w:t>
                  </w:r>
                  <w:r>
                    <w:rPr>
                      <w:rFonts w:cs="Georgia"/>
                      <w:color w:val="000000"/>
                    </w:rPr>
                    <w:t>i</w:t>
                  </w:r>
                  <w:r>
                    <w:rPr>
                      <w:rFonts w:cs="Georgia"/>
                      <w:color w:val="000000"/>
                      <w:spacing w:val="1"/>
                    </w:rPr>
                    <w:t>b</w:t>
                  </w:r>
                  <w:r>
                    <w:rPr>
                      <w:rFonts w:cs="Georgia"/>
                      <w:color w:val="000000"/>
                    </w:rPr>
                    <w:t>u</w:t>
                  </w:r>
                  <w:r>
                    <w:rPr>
                      <w:rFonts w:cs="Georgia"/>
                      <w:color w:val="000000"/>
                      <w:spacing w:val="-1"/>
                    </w:rPr>
                    <w:t>ée</w:t>
                  </w:r>
                  <w:r>
                    <w:rPr>
                      <w:rFonts w:cs="Georgia"/>
                      <w:color w:val="000000"/>
                    </w:rPr>
                    <w:t>s</w:t>
                  </w:r>
                  <w:r>
                    <w:rPr>
                      <w:rFonts w:cs="Georgia"/>
                      <w:color w:val="000000"/>
                      <w:spacing w:val="15"/>
                    </w:rPr>
                    <w:t xml:space="preserve"> </w:t>
                  </w:r>
                  <w:r>
                    <w:rPr>
                      <w:rFonts w:cs="Georgia"/>
                      <w:color w:val="000000"/>
                      <w:spacing w:val="1"/>
                    </w:rPr>
                    <w:t>h</w:t>
                  </w:r>
                  <w:r>
                    <w:rPr>
                      <w:rFonts w:cs="Georgia"/>
                      <w:color w:val="000000"/>
                      <w:spacing w:val="-1"/>
                    </w:rPr>
                    <w:t>o</w:t>
                  </w:r>
                  <w:r>
                    <w:rPr>
                      <w:rFonts w:cs="Georgia"/>
                      <w:color w:val="000000"/>
                      <w:spacing w:val="1"/>
                    </w:rPr>
                    <w:t>r</w:t>
                  </w:r>
                  <w:r>
                    <w:rPr>
                      <w:rFonts w:cs="Georgia"/>
                      <w:color w:val="000000"/>
                    </w:rPr>
                    <w:t>s</w:t>
                  </w:r>
                  <w:r>
                    <w:rPr>
                      <w:rFonts w:cs="Georgia"/>
                      <w:color w:val="000000"/>
                      <w:spacing w:val="15"/>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4"/>
                    </w:rPr>
                    <w:t>es</w:t>
                  </w:r>
                  <w:r>
                    <w:rPr>
                      <w:rFonts w:cs="Georgia"/>
                      <w:color w:val="000000"/>
                    </w:rPr>
                    <w:t xml:space="preserve"> </w:t>
                  </w:r>
                  <w:r>
                    <w:rPr>
                      <w:rFonts w:cs="Georgia"/>
                      <w:spacing w:val="1"/>
                      <w:position w:val="-1"/>
                    </w:rPr>
                    <w:t>(</w:t>
                  </w:r>
                  <w:r>
                    <w:rPr>
                      <w:rFonts w:cs="Georgia"/>
                      <w:spacing w:val="-1"/>
                      <w:position w:val="-1"/>
                    </w:rPr>
                    <w:t>V</w:t>
                  </w:r>
                  <w:r>
                    <w:rPr>
                      <w:rFonts w:cs="Georgia"/>
                      <w:spacing w:val="1"/>
                      <w:position w:val="-1"/>
                    </w:rPr>
                    <w:t>o</w:t>
                  </w:r>
                  <w:r>
                    <w:rPr>
                      <w:rFonts w:cs="Georgia"/>
                      <w:spacing w:val="-2"/>
                      <w:position w:val="-1"/>
                    </w:rPr>
                    <w:t>i</w:t>
                  </w:r>
                  <w:r>
                    <w:rPr>
                      <w:rFonts w:cs="Georgia"/>
                      <w:position w:val="-1"/>
                    </w:rPr>
                    <w:t>r</w:t>
                  </w:r>
                  <w:r>
                    <w:rPr>
                      <w:rFonts w:cs="Georgia"/>
                      <w:position w:val="-1"/>
                      <w:u w:val="single"/>
                    </w:rPr>
                    <w:t xml:space="preserve"> </w:t>
                  </w:r>
                  <w:hyperlink w:anchor="_2.3.2_Direction_de" w:history="1">
                    <w:r>
                      <w:rPr>
                        <w:rStyle w:val="Lienhypertexte"/>
                        <w:rFonts w:cs="Georgia"/>
                        <w:spacing w:val="-1"/>
                        <w:position w:val="-1"/>
                      </w:rPr>
                      <w:t>p</w:t>
                    </w:r>
                    <w:r>
                      <w:rPr>
                        <w:rStyle w:val="Lienhypertexte"/>
                        <w:rFonts w:cs="Georgia"/>
                        <w:spacing w:val="1"/>
                        <w:position w:val="-1"/>
                      </w:rPr>
                      <w:t>o</w:t>
                    </w:r>
                    <w:r>
                      <w:rPr>
                        <w:rStyle w:val="Lienhypertexte"/>
                        <w:rFonts w:cs="Georgia"/>
                        <w:position w:val="-1"/>
                      </w:rPr>
                      <w:t>i</w:t>
                    </w:r>
                    <w:r>
                      <w:rPr>
                        <w:rStyle w:val="Lienhypertexte"/>
                        <w:rFonts w:cs="Georgia"/>
                        <w:spacing w:val="-1"/>
                        <w:position w:val="-1"/>
                      </w:rPr>
                      <w:t>n</w:t>
                    </w:r>
                    <w:r>
                      <w:rPr>
                        <w:rStyle w:val="Lienhypertexte"/>
                        <w:rFonts w:cs="Georgia"/>
                        <w:position w:val="-1"/>
                      </w:rPr>
                      <w:t xml:space="preserve">t </w:t>
                    </w:r>
                    <w:r>
                      <w:rPr>
                        <w:rStyle w:val="Lienhypertexte"/>
                        <w:rFonts w:cs="Georgia"/>
                        <w:spacing w:val="-2"/>
                        <w:position w:val="-1"/>
                      </w:rPr>
                      <w:t>2</w:t>
                    </w:r>
                    <w:r>
                      <w:rPr>
                        <w:rStyle w:val="Lienhypertexte"/>
                        <w:rFonts w:cs="Georgia"/>
                        <w:position w:val="-1"/>
                      </w:rPr>
                      <w:t>.3.2.</w:t>
                    </w:r>
                    <w:r>
                      <w:rPr>
                        <w:rStyle w:val="Lienhypertexte"/>
                        <w:rFonts w:cs="Georgia"/>
                        <w:spacing w:val="1"/>
                        <w:position w:val="-1"/>
                      </w:rPr>
                      <w:t>)</w:t>
                    </w:r>
                  </w:hyperlink>
                </w:p>
                <w:p w:rsidR="00F04EEF" w:rsidRDefault="00F04EEF">
                  <w:pPr>
                    <w:widowControl w:val="0"/>
                    <w:autoSpaceDE w:val="0"/>
                    <w:autoSpaceDN w:val="0"/>
                    <w:adjustRightInd w:val="0"/>
                    <w:spacing w:before="37"/>
                    <w:rPr>
                      <w:rFonts w:cs="Georgia"/>
                      <w:color w:val="000000"/>
                    </w:rPr>
                  </w:pPr>
                </w:p>
                <w:p w:rsidR="00F04EEF" w:rsidRDefault="0099351E">
                  <w:pPr>
                    <w:pStyle w:val="Titre4"/>
                  </w:pPr>
                  <w:r>
                    <w:t xml:space="preserve">2.1.2 Ne sont pas imputées au capital-périodes </w:t>
                  </w:r>
                </w:p>
                <w:p w:rsidR="00F04EEF" w:rsidRDefault="00F04EEF">
                  <w:pPr>
                    <w:widowControl w:val="0"/>
                    <w:autoSpaceDE w:val="0"/>
                    <w:autoSpaceDN w:val="0"/>
                    <w:adjustRightInd w:val="0"/>
                    <w:spacing w:before="37"/>
                    <w:ind w:hanging="426"/>
                    <w:rPr>
                      <w:rFonts w:cs="Georgia"/>
                      <w:color w:val="000000"/>
                    </w:rPr>
                  </w:pPr>
                </w:p>
                <w:p w:rsidR="00F04EEF" w:rsidRDefault="0099351E">
                  <w:pPr>
                    <w:pStyle w:val="Paragraphedeliste"/>
                    <w:widowControl w:val="0"/>
                    <w:numPr>
                      <w:ilvl w:val="0"/>
                      <w:numId w:val="70"/>
                    </w:numPr>
                    <w:tabs>
                      <w:tab w:val="left" w:pos="1520"/>
                    </w:tabs>
                    <w:autoSpaceDE w:val="0"/>
                    <w:autoSpaceDN w:val="0"/>
                    <w:adjustRightInd w:val="0"/>
                    <w:spacing w:before="1" w:line="250" w:lineRule="exact"/>
                    <w:ind w:left="357" w:hanging="357"/>
                    <w:jc w:val="both"/>
                    <w:rPr>
                      <w:rFonts w:asciiTheme="majorHAnsi" w:hAnsiTheme="majorHAnsi" w:cs="Georgia"/>
                      <w:color w:val="000000"/>
                      <w:sz w:val="22"/>
                      <w:szCs w:val="22"/>
                    </w:rPr>
                  </w:pPr>
                  <w:r>
                    <w:rPr>
                      <w:rFonts w:asciiTheme="majorHAnsi" w:hAnsiTheme="majorHAnsi" w:cs="Georgia"/>
                      <w:color w:val="000000"/>
                      <w:spacing w:val="-1"/>
                      <w:sz w:val="22"/>
                      <w:szCs w:val="22"/>
                    </w:rPr>
                    <w:t>le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pr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br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du</w:t>
                  </w:r>
                  <w:r>
                    <w:rPr>
                      <w:rFonts w:asciiTheme="majorHAnsi" w:hAnsiTheme="majorHAnsi" w:cs="Georgia"/>
                      <w:color w:val="000000"/>
                      <w:spacing w:val="22"/>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nne</w:t>
                  </w:r>
                  <w:r>
                    <w:rPr>
                      <w:rFonts w:asciiTheme="majorHAnsi" w:hAnsiTheme="majorHAnsi" w:cs="Georgia"/>
                      <w:color w:val="000000"/>
                      <w:sz w:val="22"/>
                      <w:szCs w:val="22"/>
                    </w:rPr>
                    <w:t>l</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ur</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en</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e</w:t>
                  </w:r>
                  <w:r>
                    <w:rPr>
                      <w:rFonts w:asciiTheme="majorHAnsi" w:hAnsiTheme="majorHAnsi" w:cs="Georgia"/>
                      <w:color w:val="000000"/>
                      <w:sz w:val="22"/>
                      <w:szCs w:val="22"/>
                    </w:rPr>
                    <w:t>ig</w:t>
                  </w:r>
                  <w:r>
                    <w:rPr>
                      <w:rFonts w:asciiTheme="majorHAnsi" w:hAnsiTheme="majorHAnsi" w:cs="Georgia"/>
                      <w:color w:val="000000"/>
                      <w:spacing w:val="-1"/>
                      <w:sz w:val="22"/>
                      <w:szCs w:val="22"/>
                    </w:rPr>
                    <w:t>nan</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 f</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éle</w:t>
                  </w:r>
                  <w:r>
                    <w:rPr>
                      <w:rFonts w:asciiTheme="majorHAnsi" w:hAnsiTheme="majorHAnsi" w:cs="Georgia"/>
                      <w:color w:val="000000"/>
                      <w:spacing w:val="1"/>
                      <w:sz w:val="22"/>
                      <w:szCs w:val="22"/>
                    </w:rPr>
                    <w:t>ct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 c'</w:t>
                  </w:r>
                  <w:r>
                    <w:rPr>
                      <w:rFonts w:asciiTheme="majorHAnsi" w:hAnsiTheme="majorHAnsi" w:cs="Georgia"/>
                      <w:color w:val="000000"/>
                      <w:spacing w:val="-3"/>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-à-</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ch</w:t>
                  </w:r>
                  <w:r>
                    <w:rPr>
                      <w:rFonts w:asciiTheme="majorHAnsi" w:hAnsiTheme="majorHAnsi" w:cs="Georgia"/>
                      <w:color w:val="000000"/>
                      <w:spacing w:val="-1"/>
                      <w:sz w:val="22"/>
                      <w:szCs w:val="22"/>
                    </w:rPr>
                    <w:t>e</w:t>
                  </w:r>
                  <w:r>
                    <w:rPr>
                      <w:rFonts w:asciiTheme="majorHAnsi" w:hAnsiTheme="majorHAnsi" w:cs="Georgia"/>
                      <w:color w:val="000000"/>
                      <w:sz w:val="22"/>
                      <w:szCs w:val="22"/>
                    </w:rPr>
                    <w:t>fs</w:t>
                  </w:r>
                  <w:r>
                    <w:rPr>
                      <w:rFonts w:asciiTheme="majorHAnsi" w:hAnsiTheme="majorHAnsi" w:cs="Georgia"/>
                      <w:color w:val="000000"/>
                      <w:spacing w:val="-2"/>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el</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r </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so</w:t>
                  </w:r>
                  <w:r>
                    <w:rPr>
                      <w:rFonts w:asciiTheme="majorHAnsi" w:hAnsiTheme="majorHAnsi" w:cs="Georgia"/>
                      <w:color w:val="000000"/>
                      <w:sz w:val="22"/>
                      <w:szCs w:val="22"/>
                    </w:rPr>
                    <w:t>u</w:t>
                  </w:r>
                  <w:r>
                    <w:rPr>
                      <w:rFonts w:asciiTheme="majorHAnsi" w:hAnsiTheme="majorHAnsi" w:cs="Georgia"/>
                      <w:color w:val="000000"/>
                      <w:spacing w:val="1"/>
                      <w:sz w:val="22"/>
                      <w:szCs w:val="22"/>
                    </w:rPr>
                    <w:t>s</w:t>
                  </w:r>
                  <w:r>
                    <w:rPr>
                      <w:rFonts w:asciiTheme="majorHAnsi" w:hAnsiTheme="majorHAnsi" w:cs="Georgia"/>
                      <w:color w:val="000000"/>
                      <w:sz w:val="22"/>
                      <w:szCs w:val="22"/>
                    </w:rPr>
                    <w:t>-</w:t>
                  </w:r>
                  <w:r>
                    <w:rPr>
                      <w:rFonts w:asciiTheme="majorHAnsi" w:hAnsiTheme="majorHAnsi" w:cs="Georgia"/>
                      <w:color w:val="000000"/>
                      <w:spacing w:val="-2"/>
                      <w:sz w:val="22"/>
                      <w:szCs w:val="22"/>
                    </w:rPr>
                    <w:t>d</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ct</w:t>
                  </w:r>
                  <w:r>
                    <w:rPr>
                      <w:rFonts w:asciiTheme="majorHAnsi" w:hAnsiTheme="majorHAnsi" w:cs="Georgia"/>
                      <w:color w:val="000000"/>
                      <w:spacing w:val="-1"/>
                      <w:sz w:val="22"/>
                      <w:szCs w:val="22"/>
                    </w:rPr>
                    <w:t>e</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r</w:t>
                  </w:r>
                  <w:r>
                    <w:rPr>
                      <w:rFonts w:asciiTheme="majorHAnsi" w:hAnsiTheme="majorHAnsi" w:cs="Georgia"/>
                      <w:color w:val="000000"/>
                      <w:sz w:val="22"/>
                      <w:szCs w:val="22"/>
                    </w:rPr>
                    <w:t>s;</w:t>
                  </w:r>
                </w:p>
                <w:p w:rsidR="00F04EEF" w:rsidRDefault="0099351E">
                  <w:pPr>
                    <w:pStyle w:val="Paragraphedeliste"/>
                    <w:widowControl w:val="0"/>
                    <w:numPr>
                      <w:ilvl w:val="0"/>
                      <w:numId w:val="70"/>
                    </w:numPr>
                    <w:tabs>
                      <w:tab w:val="left" w:pos="1520"/>
                    </w:tabs>
                    <w:autoSpaceDE w:val="0"/>
                    <w:autoSpaceDN w:val="0"/>
                    <w:adjustRightInd w:val="0"/>
                    <w:spacing w:line="250" w:lineRule="exact"/>
                    <w:ind w:left="357" w:hanging="357"/>
                    <w:jc w:val="both"/>
                    <w:rPr>
                      <w:rFonts w:asciiTheme="majorHAnsi" w:hAnsiTheme="majorHAnsi" w:cs="Georgia"/>
                      <w:color w:val="000000"/>
                      <w:sz w:val="22"/>
                      <w:szCs w:val="22"/>
                    </w:rPr>
                  </w:pPr>
                  <w:r>
                    <w:rPr>
                      <w:rFonts w:asciiTheme="majorHAnsi" w:hAnsiTheme="majorHAnsi" w:cs="Georgia"/>
                      <w:color w:val="000000"/>
                      <w:spacing w:val="-1"/>
                      <w:sz w:val="22"/>
                      <w:szCs w:val="22"/>
                    </w:rPr>
                    <w:t>le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pr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br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du</w:t>
                  </w:r>
                  <w:r>
                    <w:rPr>
                      <w:rFonts w:asciiTheme="majorHAnsi" w:hAnsiTheme="majorHAnsi" w:cs="Georgia"/>
                      <w:color w:val="000000"/>
                      <w:spacing w:val="22"/>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nne</w:t>
                  </w:r>
                  <w:r>
                    <w:rPr>
                      <w:rFonts w:asciiTheme="majorHAnsi" w:hAnsiTheme="majorHAnsi" w:cs="Georgia"/>
                      <w:color w:val="000000"/>
                      <w:sz w:val="22"/>
                      <w:szCs w:val="22"/>
                    </w:rPr>
                    <w:t>l</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ur</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en</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e</w:t>
                  </w:r>
                  <w:r>
                    <w:rPr>
                      <w:rFonts w:asciiTheme="majorHAnsi" w:hAnsiTheme="majorHAnsi" w:cs="Georgia"/>
                      <w:color w:val="000000"/>
                      <w:sz w:val="22"/>
                      <w:szCs w:val="22"/>
                    </w:rPr>
                    <w:t>ig</w:t>
                  </w:r>
                  <w:r>
                    <w:rPr>
                      <w:rFonts w:asciiTheme="majorHAnsi" w:hAnsiTheme="majorHAnsi" w:cs="Georgia"/>
                      <w:color w:val="000000"/>
                      <w:spacing w:val="-1"/>
                      <w:sz w:val="22"/>
                      <w:szCs w:val="22"/>
                    </w:rPr>
                    <w:t>nan</w:t>
                  </w:r>
                  <w:r>
                    <w:rPr>
                      <w:rFonts w:asciiTheme="majorHAnsi" w:hAnsiTheme="majorHAnsi" w:cs="Georgia"/>
                      <w:color w:val="000000"/>
                      <w:sz w:val="22"/>
                      <w:szCs w:val="22"/>
                    </w:rPr>
                    <w:t>t</w:t>
                  </w:r>
                  <w:r>
                    <w:rPr>
                      <w:rFonts w:asciiTheme="majorHAnsi" w:hAnsiTheme="majorHAnsi" w:cs="Georgia"/>
                      <w:color w:val="000000"/>
                      <w:spacing w:val="24"/>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24"/>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 f</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1"/>
                      <w:sz w:val="22"/>
                      <w:szCs w:val="22"/>
                    </w:rPr>
                    <w:t xml:space="preserve"> p</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o</w:t>
                  </w:r>
                  <w:r>
                    <w:rPr>
                      <w:rFonts w:asciiTheme="majorHAnsi" w:hAnsiTheme="majorHAnsi" w:cs="Georgia"/>
                      <w:color w:val="000000"/>
                      <w:sz w:val="22"/>
                      <w:szCs w:val="22"/>
                    </w:rPr>
                    <w:t>m</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z w:val="22"/>
                      <w:szCs w:val="22"/>
                    </w:rPr>
                    <w:t>,</w:t>
                  </w:r>
                  <w:r>
                    <w:rPr>
                      <w:rFonts w:asciiTheme="majorHAnsi" w:hAnsiTheme="majorHAnsi" w:cs="Georgia"/>
                      <w:color w:val="000000"/>
                      <w:spacing w:val="-2"/>
                      <w:sz w:val="22"/>
                      <w:szCs w:val="22"/>
                    </w:rPr>
                    <w:t xml:space="preserve"> </w:t>
                  </w:r>
                  <w:r>
                    <w:rPr>
                      <w:rFonts w:asciiTheme="majorHAnsi" w:hAnsiTheme="majorHAnsi" w:cs="Georgia"/>
                      <w:color w:val="000000"/>
                      <w:sz w:val="22"/>
                      <w:szCs w:val="22"/>
                    </w:rPr>
                    <w:t>c</w:t>
                  </w:r>
                  <w:r>
                    <w:rPr>
                      <w:rFonts w:asciiTheme="majorHAnsi" w:hAnsiTheme="majorHAnsi" w:cs="Georgia"/>
                      <w:color w:val="000000"/>
                      <w:spacing w:val="-2"/>
                      <w:sz w:val="22"/>
                      <w:szCs w:val="22"/>
                    </w:rPr>
                    <w:t>'</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-à-</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le</w:t>
                  </w:r>
                  <w:r>
                    <w:rPr>
                      <w:rFonts w:asciiTheme="majorHAnsi" w:hAnsiTheme="majorHAnsi" w:cs="Georgia"/>
                      <w:color w:val="000000"/>
                      <w:sz w:val="22"/>
                      <w:szCs w:val="22"/>
                    </w:rPr>
                    <w:t xml:space="preserve">s </w:t>
                  </w:r>
                  <w:r>
                    <w:rPr>
                      <w:rFonts w:asciiTheme="majorHAnsi" w:hAnsiTheme="majorHAnsi" w:cs="Georgia"/>
                      <w:color w:val="000000"/>
                      <w:spacing w:val="1"/>
                      <w:sz w:val="22"/>
                      <w:szCs w:val="22"/>
                    </w:rPr>
                    <w:t>ch</w:t>
                  </w:r>
                  <w:r>
                    <w:rPr>
                      <w:rFonts w:asciiTheme="majorHAnsi" w:hAnsiTheme="majorHAnsi" w:cs="Georgia"/>
                      <w:color w:val="000000"/>
                      <w:spacing w:val="-1"/>
                      <w:sz w:val="22"/>
                      <w:szCs w:val="22"/>
                    </w:rPr>
                    <w:t>e</w:t>
                  </w:r>
                  <w:r>
                    <w:rPr>
                      <w:rFonts w:asciiTheme="majorHAnsi" w:hAnsiTheme="majorHAnsi" w:cs="Georgia"/>
                      <w:color w:val="000000"/>
                      <w:sz w:val="22"/>
                      <w:szCs w:val="22"/>
                    </w:rPr>
                    <w:t>fs de</w:t>
                  </w:r>
                  <w:r>
                    <w:rPr>
                      <w:rFonts w:asciiTheme="majorHAnsi" w:hAnsiTheme="majorHAnsi" w:cs="Georgia"/>
                      <w:color w:val="000000"/>
                      <w:spacing w:val="-1"/>
                      <w:sz w:val="22"/>
                      <w:szCs w:val="22"/>
                    </w:rPr>
                    <w:t xml:space="preserve"> </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r</w:t>
                  </w:r>
                  <w:r>
                    <w:rPr>
                      <w:rFonts w:asciiTheme="majorHAnsi" w:hAnsiTheme="majorHAnsi" w:cs="Georgia"/>
                      <w:color w:val="000000"/>
                      <w:spacing w:val="-3"/>
                      <w:sz w:val="22"/>
                      <w:szCs w:val="22"/>
                    </w:rPr>
                    <w:t>a</w:t>
                  </w:r>
                  <w:r>
                    <w:rPr>
                      <w:rFonts w:asciiTheme="majorHAnsi" w:hAnsiTheme="majorHAnsi" w:cs="Georgia"/>
                      <w:color w:val="000000"/>
                      <w:spacing w:val="1"/>
                      <w:sz w:val="22"/>
                      <w:szCs w:val="22"/>
                    </w:rPr>
                    <w:t>v</w:t>
                  </w:r>
                  <w:r>
                    <w:rPr>
                      <w:rFonts w:asciiTheme="majorHAnsi" w:hAnsiTheme="majorHAnsi" w:cs="Georgia"/>
                      <w:color w:val="000000"/>
                      <w:spacing w:val="-1"/>
                      <w:sz w:val="22"/>
                      <w:szCs w:val="22"/>
                    </w:rPr>
                    <w:t>a</w:t>
                  </w:r>
                  <w:r>
                    <w:rPr>
                      <w:rFonts w:asciiTheme="majorHAnsi" w:hAnsiTheme="majorHAnsi" w:cs="Georgia"/>
                      <w:color w:val="000000"/>
                      <w:sz w:val="22"/>
                      <w:szCs w:val="22"/>
                    </w:rPr>
                    <w:t>ux</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el</w:t>
                  </w:r>
                  <w:r>
                    <w:rPr>
                      <w:rFonts w:asciiTheme="majorHAnsi" w:hAnsiTheme="majorHAnsi" w:cs="Georgia"/>
                      <w:color w:val="000000"/>
                      <w:sz w:val="22"/>
                      <w:szCs w:val="22"/>
                    </w:rPr>
                    <w:t>i</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r </w:t>
                  </w:r>
                  <w:r>
                    <w:rPr>
                      <w:rFonts w:asciiTheme="majorHAnsi" w:hAnsiTheme="majorHAnsi" w:cs="Georgia"/>
                      <w:color w:val="000000"/>
                      <w:spacing w:val="-1"/>
                      <w:sz w:val="22"/>
                      <w:szCs w:val="22"/>
                    </w:rPr>
                    <w:t>e</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le</w:t>
                  </w:r>
                  <w:r>
                    <w:rPr>
                      <w:rFonts w:asciiTheme="majorHAnsi" w:hAnsiTheme="majorHAnsi" w:cs="Georgia"/>
                      <w:color w:val="000000"/>
                      <w:sz w:val="22"/>
                      <w:szCs w:val="22"/>
                    </w:rPr>
                    <w:t>s 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w:t>
                  </w:r>
                  <w:r>
                    <w:rPr>
                      <w:rFonts w:asciiTheme="majorHAnsi" w:hAnsiTheme="majorHAnsi" w:cs="Georgia"/>
                      <w:color w:val="000000"/>
                      <w:spacing w:val="1"/>
                      <w:sz w:val="22"/>
                      <w:szCs w:val="22"/>
                    </w:rPr>
                    <w:t>r</w:t>
                  </w:r>
                  <w:r>
                    <w:rPr>
                      <w:rFonts w:asciiTheme="majorHAnsi" w:hAnsiTheme="majorHAnsi" w:cs="Georgia"/>
                      <w:color w:val="000000"/>
                      <w:sz w:val="22"/>
                      <w:szCs w:val="22"/>
                    </w:rPr>
                    <w:t>s ;</w:t>
                  </w:r>
                </w:p>
                <w:p w:rsidR="00F04EEF" w:rsidRDefault="0099351E">
                  <w:pPr>
                    <w:widowControl w:val="0"/>
                    <w:numPr>
                      <w:ilvl w:val="0"/>
                      <w:numId w:val="70"/>
                    </w:numPr>
                    <w:suppressAutoHyphens/>
                    <w:autoSpaceDE w:val="0"/>
                    <w:autoSpaceDN w:val="0"/>
                    <w:adjustRightInd w:val="0"/>
                    <w:spacing w:line="250" w:lineRule="exact"/>
                    <w:ind w:left="357" w:hanging="357"/>
                    <w:jc w:val="both"/>
                    <w:rPr>
                      <w:rFonts w:cs="Georgia"/>
                      <w:color w:val="000000"/>
                    </w:rPr>
                  </w:pPr>
                  <w:r>
                    <w:rPr>
                      <w:rFonts w:cs="Georgia"/>
                      <w:color w:val="000000"/>
                      <w:spacing w:val="-1"/>
                    </w:rPr>
                    <w:t>le</w:t>
                  </w:r>
                  <w:r>
                    <w:rPr>
                      <w:rFonts w:cs="Georgia"/>
                      <w:color w:val="000000"/>
                    </w:rPr>
                    <w:t>s</w:t>
                  </w:r>
                  <w:r>
                    <w:rPr>
                      <w:rFonts w:cs="Georgia"/>
                      <w:color w:val="000000"/>
                      <w:spacing w:val="5"/>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5"/>
                    </w:rPr>
                    <w:t xml:space="preserve"> </w:t>
                  </w:r>
                  <w:r>
                    <w:rPr>
                      <w:rFonts w:cs="Georgia"/>
                      <w:color w:val="000000"/>
                      <w:spacing w:val="-3"/>
                    </w:rPr>
                    <w:t>a</w:t>
                  </w:r>
                  <w:r>
                    <w:rPr>
                      <w:rFonts w:cs="Georgia"/>
                      <w:color w:val="000000"/>
                      <w:spacing w:val="1"/>
                    </w:rPr>
                    <w:t>tt</w:t>
                  </w:r>
                  <w:r>
                    <w:rPr>
                      <w:rFonts w:cs="Georgia"/>
                      <w:color w:val="000000"/>
                      <w:spacing w:val="-2"/>
                    </w:rPr>
                    <w:t>r</w:t>
                  </w:r>
                  <w:r>
                    <w:rPr>
                      <w:rFonts w:cs="Georgia"/>
                      <w:color w:val="000000"/>
                    </w:rPr>
                    <w:t>i</w:t>
                  </w:r>
                  <w:r>
                    <w:rPr>
                      <w:rFonts w:cs="Georgia"/>
                      <w:color w:val="000000"/>
                      <w:spacing w:val="1"/>
                    </w:rPr>
                    <w:t>b</w:t>
                  </w:r>
                  <w:r>
                    <w:rPr>
                      <w:rFonts w:cs="Georgia"/>
                      <w:color w:val="000000"/>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4"/>
                    </w:rPr>
                    <w:t xml:space="preserve">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2"/>
                    </w:rPr>
                    <w:t>s</w:t>
                  </w:r>
                  <w:r>
                    <w:rPr>
                      <w:rFonts w:cs="Georgia"/>
                      <w:color w:val="000000"/>
                      <w:spacing w:val="1"/>
                    </w:rPr>
                    <w:t>s</w:t>
                  </w:r>
                  <w:r>
                    <w:rPr>
                      <w:rFonts w:cs="Georgia"/>
                      <w:color w:val="000000"/>
                      <w:spacing w:val="-1"/>
                    </w:rPr>
                    <w:t>e</w:t>
                  </w:r>
                  <w:r>
                    <w:rPr>
                      <w:rFonts w:cs="Georgia"/>
                      <w:color w:val="000000"/>
                    </w:rPr>
                    <w:t>u</w:t>
                  </w:r>
                  <w:r>
                    <w:rPr>
                      <w:rFonts w:cs="Georgia"/>
                      <w:color w:val="000000"/>
                      <w:spacing w:val="1"/>
                    </w:rPr>
                    <w:t>r</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r</w:t>
                  </w:r>
                  <w:r>
                    <w:rPr>
                      <w:rFonts w:cs="Georgia"/>
                      <w:color w:val="000000"/>
                      <w:spacing w:val="-1"/>
                    </w:rPr>
                    <w:t>el</w:t>
                  </w:r>
                  <w:r>
                    <w:rPr>
                      <w:rFonts w:cs="Georgia"/>
                      <w:color w:val="000000"/>
                    </w:rPr>
                    <w:t>igi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e</w:t>
                  </w:r>
                  <w:r>
                    <w:rPr>
                      <w:rFonts w:cs="Georgia"/>
                      <w:color w:val="000000"/>
                    </w:rPr>
                    <w:t>t</w:t>
                  </w:r>
                  <w:r>
                    <w:rPr>
                      <w:rFonts w:cs="Georgia"/>
                      <w:color w:val="000000"/>
                      <w:spacing w:val="5"/>
                    </w:rPr>
                    <w:t xml:space="preserve"> </w:t>
                  </w:r>
                  <w:r>
                    <w:rPr>
                      <w:rFonts w:cs="Georgia"/>
                      <w:color w:val="000000"/>
                    </w:rPr>
                    <w:t>de</w:t>
                  </w:r>
                  <w:r>
                    <w:rPr>
                      <w:rFonts w:cs="Georgia"/>
                      <w:color w:val="000000"/>
                      <w:spacing w:val="4"/>
                    </w:rPr>
                    <w:t xml:space="preserve"> </w:t>
                  </w:r>
                  <w:r>
                    <w:rPr>
                      <w:rFonts w:cs="Georgia"/>
                      <w:color w:val="000000"/>
                      <w:spacing w:val="-3"/>
                    </w:rPr>
                    <w:t>m</w:t>
                  </w:r>
                  <w:r>
                    <w:rPr>
                      <w:rFonts w:cs="Georgia"/>
                      <w:color w:val="000000"/>
                      <w:spacing w:val="1"/>
                    </w:rPr>
                    <w:t>or</w:t>
                  </w:r>
                  <w:r>
                    <w:rPr>
                      <w:rFonts w:cs="Georgia"/>
                      <w:color w:val="000000"/>
                      <w:spacing w:val="-1"/>
                    </w:rPr>
                    <w:t>al</w:t>
                  </w:r>
                  <w:r>
                    <w:rPr>
                      <w:rFonts w:cs="Georgia"/>
                      <w:color w:val="000000"/>
                    </w:rPr>
                    <w:t>e</w:t>
                  </w:r>
                  <w:r>
                    <w:rPr>
                      <w:rFonts w:cs="Georgia"/>
                      <w:color w:val="000000"/>
                      <w:spacing w:val="4"/>
                    </w:rPr>
                    <w:t xml:space="preserve"> </w:t>
                  </w:r>
                  <w:r>
                    <w:rPr>
                      <w:rFonts w:cs="Georgia"/>
                      <w:color w:val="000000"/>
                      <w:spacing w:val="-1"/>
                    </w:rPr>
                    <w:t>n</w:t>
                  </w:r>
                  <w:r>
                    <w:rPr>
                      <w:rFonts w:cs="Georgia"/>
                      <w:color w:val="000000"/>
                      <w:spacing w:val="1"/>
                    </w:rPr>
                    <w:t>o</w:t>
                  </w:r>
                  <w:r>
                    <w:rPr>
                      <w:rFonts w:cs="Georgia"/>
                      <w:color w:val="000000"/>
                    </w:rPr>
                    <w:t xml:space="preserve">n </w:t>
                  </w:r>
                  <w:r>
                    <w:rPr>
                      <w:rFonts w:cs="Georgia"/>
                      <w:color w:val="000000"/>
                      <w:spacing w:val="1"/>
                    </w:rPr>
                    <w:t>co</w:t>
                  </w:r>
                  <w:r>
                    <w:rPr>
                      <w:rFonts w:cs="Georgia"/>
                      <w:color w:val="000000"/>
                      <w:spacing w:val="-1"/>
                    </w:rPr>
                    <w:t>n</w:t>
                  </w:r>
                  <w:r>
                    <w:rPr>
                      <w:rFonts w:cs="Georgia"/>
                      <w:color w:val="000000"/>
                    </w:rPr>
                    <w:t>f</w:t>
                  </w:r>
                  <w:r>
                    <w:rPr>
                      <w:rFonts w:cs="Georgia"/>
                      <w:color w:val="000000"/>
                      <w:spacing w:val="-3"/>
                    </w:rPr>
                    <w:t>e</w:t>
                  </w:r>
                  <w:r>
                    <w:rPr>
                      <w:rFonts w:cs="Georgia"/>
                      <w:color w:val="000000"/>
                      <w:spacing w:val="1"/>
                    </w:rPr>
                    <w:t>ss</w:t>
                  </w:r>
                  <w:r>
                    <w:rPr>
                      <w:rFonts w:cs="Georgia"/>
                      <w:color w:val="000000"/>
                    </w:rPr>
                    <w:t>i</w:t>
                  </w:r>
                  <w:r>
                    <w:rPr>
                      <w:rFonts w:cs="Georgia"/>
                      <w:color w:val="000000"/>
                      <w:spacing w:val="1"/>
                    </w:rPr>
                    <w:t>o</w:t>
                  </w:r>
                  <w:r>
                    <w:rPr>
                      <w:rFonts w:cs="Georgia"/>
                      <w:color w:val="000000"/>
                      <w:spacing w:val="-1"/>
                    </w:rPr>
                    <w:t>nnell</w:t>
                  </w:r>
                  <w:r>
                    <w:rPr>
                      <w:rFonts w:cs="Georgia"/>
                      <w:color w:val="000000"/>
                    </w:rPr>
                    <w:t xml:space="preserve">e </w:t>
                  </w:r>
                  <w:r>
                    <w:rPr>
                      <w:rFonts w:cs="Georgia"/>
                      <w:color w:val="000000"/>
                      <w:spacing w:val="-1"/>
                    </w:rPr>
                    <w:t>l</w:t>
                  </w:r>
                  <w:r>
                    <w:rPr>
                      <w:rFonts w:cs="Georgia"/>
                      <w:color w:val="000000"/>
                      <w:spacing w:val="1"/>
                    </w:rPr>
                    <w:t>ors</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co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2"/>
                    </w:rPr>
                    <w:t>d</w:t>
                  </w:r>
                  <w:r>
                    <w:rPr>
                      <w:rFonts w:cs="Georgia"/>
                      <w:color w:val="000000"/>
                      <w:spacing w:val="1"/>
                    </w:rPr>
                    <w:t>o</w:t>
                  </w:r>
                  <w:r>
                    <w:rPr>
                      <w:rFonts w:cs="Georgia"/>
                      <w:color w:val="000000"/>
                      <w:spacing w:val="-1"/>
                    </w:rPr>
                    <w:t>n</w:t>
                  </w:r>
                  <w:r>
                    <w:rPr>
                      <w:rFonts w:cs="Georgia"/>
                      <w:color w:val="000000"/>
                    </w:rPr>
                    <w:t>t i</w:t>
                  </w:r>
                  <w:r>
                    <w:rPr>
                      <w:rFonts w:cs="Georgia"/>
                      <w:color w:val="000000"/>
                      <w:spacing w:val="-1"/>
                    </w:rPr>
                    <w:t>l</w:t>
                  </w:r>
                  <w:r>
                    <w:rPr>
                      <w:rFonts w:cs="Georgia"/>
                      <w:color w:val="000000"/>
                    </w:rPr>
                    <w:t>s</w:t>
                  </w:r>
                  <w:r>
                    <w:rPr>
                      <w:rFonts w:cs="Georgia"/>
                      <w:color w:val="000000"/>
                      <w:spacing w:val="-2"/>
                    </w:rPr>
                    <w:t xml:space="preserve"> 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w:t>
                  </w:r>
                  <w:r>
                    <w:rPr>
                      <w:rFonts w:cs="Georgia"/>
                      <w:color w:val="000000"/>
                      <w:spacing w:val="-1"/>
                    </w:rPr>
                    <w:t>é</w:t>
                  </w:r>
                  <w:r>
                    <w:rPr>
                      <w:rFonts w:cs="Georgia"/>
                      <w:color w:val="000000"/>
                    </w:rPr>
                    <w:t xml:space="preserve">s </w:t>
                  </w:r>
                  <w:r>
                    <w:rPr>
                      <w:rFonts w:cs="Georgia"/>
                      <w:color w:val="000000"/>
                      <w:spacing w:val="-1"/>
                    </w:rPr>
                    <w:t>n</w:t>
                  </w:r>
                  <w:r>
                    <w:rPr>
                      <w:rFonts w:cs="Georgia"/>
                      <w:color w:val="000000"/>
                      <w:spacing w:val="1"/>
                    </w:rPr>
                    <w:t>'</w:t>
                  </w:r>
                  <w:r>
                    <w:rPr>
                      <w:rFonts w:cs="Georgia"/>
                      <w:color w:val="000000"/>
                      <w:spacing w:val="-1"/>
                    </w:rPr>
                    <w:t>e</w:t>
                  </w:r>
                  <w:r>
                    <w:rPr>
                      <w:rFonts w:cs="Georgia"/>
                      <w:color w:val="000000"/>
                      <w:spacing w:val="-2"/>
                    </w:rPr>
                    <w:t>s</w:t>
                  </w:r>
                  <w:r>
                    <w:rPr>
                      <w:rFonts w:cs="Georgia"/>
                      <w:color w:val="000000"/>
                    </w:rPr>
                    <w:t xml:space="preserve">t </w:t>
                  </w:r>
                  <w:r>
                    <w:rPr>
                      <w:rFonts w:cs="Georgia"/>
                      <w:color w:val="000000"/>
                      <w:spacing w:val="1"/>
                    </w:rPr>
                    <w:t>p</w:t>
                  </w:r>
                  <w:r>
                    <w:rPr>
                      <w:rFonts w:cs="Georgia"/>
                      <w:color w:val="000000"/>
                      <w:spacing w:val="-1"/>
                    </w:rPr>
                    <w:t>a</w:t>
                  </w:r>
                  <w:r>
                    <w:rPr>
                      <w:rFonts w:cs="Georgia"/>
                      <w:color w:val="000000"/>
                    </w:rPr>
                    <w:t>s</w:t>
                  </w:r>
                  <w:r>
                    <w:rPr>
                      <w:rFonts w:cs="Georgia"/>
                      <w:color w:val="000000"/>
                      <w:spacing w:val="-2"/>
                    </w:rPr>
                    <w:t xml:space="preserve"> </w:t>
                  </w:r>
                  <w:r>
                    <w:rPr>
                      <w:rFonts w:cs="Georgia"/>
                      <w:color w:val="000000"/>
                    </w:rPr>
                    <w:t>"</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co</w:t>
                  </w:r>
                  <w:r>
                    <w:rPr>
                      <w:rFonts w:cs="Georgia"/>
                      <w:color w:val="000000"/>
                      <w:spacing w:val="-2"/>
                    </w:rPr>
                    <w:t>u</w:t>
                  </w:r>
                  <w:r>
                    <w:rPr>
                      <w:rFonts w:cs="Georgia"/>
                      <w:color w:val="000000"/>
                      <w:spacing w:val="1"/>
                    </w:rPr>
                    <w:t>r</w:t>
                  </w:r>
                  <w:r>
                    <w:rPr>
                      <w:rFonts w:cs="Georgia"/>
                      <w:color w:val="000000"/>
                    </w:rPr>
                    <w:t>s</w:t>
                  </w:r>
                  <w:r>
                    <w:rPr>
                      <w:rFonts w:cs="Georgia"/>
                      <w:color w:val="000000"/>
                      <w:spacing w:val="-2"/>
                    </w:rPr>
                    <w:t xml:space="preserve"> </w:t>
                  </w:r>
                  <w:r>
                    <w:rPr>
                      <w:rFonts w:cs="Georgia"/>
                      <w:color w:val="000000"/>
                      <w:spacing w:val="1"/>
                    </w:rPr>
                    <w:t>ph</w:t>
                  </w:r>
                  <w:r>
                    <w:rPr>
                      <w:rFonts w:cs="Georgia"/>
                      <w:color w:val="000000"/>
                    </w:rPr>
                    <w:t>i</w:t>
                  </w:r>
                  <w:r>
                    <w:rPr>
                      <w:rFonts w:cs="Georgia"/>
                      <w:color w:val="000000"/>
                      <w:spacing w:val="-3"/>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l</w:t>
                  </w:r>
                  <w:r>
                    <w:rPr>
                      <w:rFonts w:cs="Georgia"/>
                      <w:color w:val="000000"/>
                    </w:rPr>
                    <w:t xml:space="preserve">us </w:t>
                  </w:r>
                  <w:r>
                    <w:rPr>
                      <w:rFonts w:cs="Georgia"/>
                      <w:color w:val="000000"/>
                      <w:spacing w:val="1"/>
                    </w:rPr>
                    <w:t>s</w:t>
                  </w:r>
                  <w:r>
                    <w:rPr>
                      <w:rFonts w:cs="Georgia"/>
                      <w:color w:val="000000"/>
                    </w:rPr>
                    <w:t>u</w:t>
                  </w:r>
                  <w:r>
                    <w:rPr>
                      <w:rFonts w:cs="Georgia"/>
                      <w:color w:val="000000"/>
                      <w:spacing w:val="-2"/>
                    </w:rPr>
                    <w:t>i</w:t>
                  </w:r>
                  <w:r>
                    <w:rPr>
                      <w:rFonts w:cs="Georgia"/>
                      <w:color w:val="000000"/>
                      <w:spacing w:val="1"/>
                    </w:rPr>
                    <w:t>v</w:t>
                  </w:r>
                  <w:r>
                    <w:rPr>
                      <w:rFonts w:cs="Georgia"/>
                      <w:color w:val="000000"/>
                    </w:rPr>
                    <w:t>i ;</w:t>
                  </w:r>
                </w:p>
                <w:p w:rsidR="00F04EEF" w:rsidRDefault="0099351E">
                  <w:pPr>
                    <w:pStyle w:val="Paragraphedeliste"/>
                    <w:widowControl w:val="0"/>
                    <w:numPr>
                      <w:ilvl w:val="0"/>
                      <w:numId w:val="70"/>
                    </w:numPr>
                    <w:suppressAutoHyphens w:val="0"/>
                    <w:autoSpaceDE w:val="0"/>
                    <w:autoSpaceDN w:val="0"/>
                    <w:adjustRightInd w:val="0"/>
                    <w:spacing w:before="9" w:line="240" w:lineRule="exact"/>
                    <w:ind w:left="357" w:hanging="357"/>
                    <w:contextualSpacing/>
                    <w:jc w:val="both"/>
                    <w:rPr>
                      <w:rFonts w:cs="Georgia"/>
                      <w:color w:val="000000"/>
                    </w:rPr>
                  </w:pPr>
                  <w:r>
                    <w:rPr>
                      <w:rFonts w:asciiTheme="majorHAnsi" w:hAnsiTheme="majorHAnsi" w:cs="Georgia"/>
                      <w:color w:val="000000"/>
                      <w:spacing w:val="3"/>
                      <w:sz w:val="22"/>
                      <w:szCs w:val="22"/>
                    </w:rPr>
                    <w:t>les périodes de travail collaboratif.</w:t>
                  </w:r>
                  <w:r>
                    <w:rPr>
                      <w:rFonts w:cs="Georgia"/>
                      <w:b/>
                      <w:spacing w:val="-1"/>
                    </w:rPr>
                    <w:t xml:space="preserve"> </w:t>
                  </w:r>
                </w:p>
                <w:p w:rsidR="00F04EEF" w:rsidRDefault="0099351E">
                  <w:pPr>
                    <w:rPr>
                      <w:b/>
                      <w:u w:val="single"/>
                    </w:rPr>
                  </w:pPr>
                  <w:bookmarkStart w:id="1946" w:name="_3.2._Calcul_du"/>
                  <w:bookmarkStart w:id="1947" w:name="_Toc453314326"/>
                  <w:bookmarkStart w:id="1948" w:name="_Toc454980361"/>
                  <w:bookmarkEnd w:id="1946"/>
                  <w:r>
                    <w:br w:type="page"/>
                  </w:r>
                </w:p>
                <w:p w:rsidR="00F04EEF" w:rsidRDefault="0099351E">
                  <w:pPr>
                    <w:pStyle w:val="Titre4"/>
                  </w:pPr>
                  <w:r>
                    <w:t>2.2. Calcul du capital-périodes</w:t>
                  </w:r>
                  <w:bookmarkEnd w:id="1947"/>
                  <w:bookmarkEnd w:id="1948"/>
                </w:p>
                <w:p w:rsidR="00F04EEF" w:rsidRDefault="0099351E">
                  <w:pPr>
                    <w:widowControl w:val="0"/>
                    <w:tabs>
                      <w:tab w:val="left" w:pos="9214"/>
                      <w:tab w:val="left" w:pos="9498"/>
                    </w:tabs>
                    <w:autoSpaceDE w:val="0"/>
                    <w:autoSpaceDN w:val="0"/>
                    <w:adjustRightInd w:val="0"/>
                    <w:spacing w:before="85"/>
                    <w:jc w:val="both"/>
                    <w:rPr>
                      <w:rFonts w:cs="Georgia"/>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s</w:t>
                  </w:r>
                  <w:r>
                    <w:rPr>
                      <w:rFonts w:cs="Georgia"/>
                    </w:rPr>
                    <w:t>e</w:t>
                  </w:r>
                  <w:r>
                    <w:rPr>
                      <w:rFonts w:cs="Georgia"/>
                      <w:spacing w:val="-1"/>
                    </w:rPr>
                    <w:t xml:space="preserve"> </w:t>
                  </w:r>
                  <w:r>
                    <w:rPr>
                      <w:rFonts w:cs="Georgia"/>
                      <w:spacing w:val="1"/>
                    </w:rPr>
                    <w:t>c</w:t>
                  </w:r>
                  <w:r>
                    <w:rPr>
                      <w:rFonts w:cs="Georgia"/>
                      <w:spacing w:val="-1"/>
                    </w:rPr>
                    <w:t>a</w:t>
                  </w:r>
                  <w:r>
                    <w:rPr>
                      <w:rFonts w:cs="Georgia"/>
                      <w:spacing w:val="-3"/>
                    </w:rPr>
                    <w:t>l</w:t>
                  </w:r>
                  <w:r>
                    <w:rPr>
                      <w:rFonts w:cs="Georgia"/>
                      <w:spacing w:val="1"/>
                    </w:rPr>
                    <w:t>c</w:t>
                  </w:r>
                  <w:r>
                    <w:rPr>
                      <w:rFonts w:cs="Georgia"/>
                    </w:rPr>
                    <w:t>u</w:t>
                  </w:r>
                  <w:r>
                    <w:rPr>
                      <w:rFonts w:cs="Georgia"/>
                      <w:spacing w:val="-1"/>
                    </w:rPr>
                    <w:t>l</w:t>
                  </w:r>
                  <w:r>
                    <w:rPr>
                      <w:rFonts w:cs="Georgia"/>
                    </w:rPr>
                    <w:t>e</w:t>
                  </w:r>
                  <w:r>
                    <w:rPr>
                      <w:rFonts w:cs="Georgia"/>
                      <w:spacing w:val="-1"/>
                    </w:rPr>
                    <w:t xml:space="preserve"> </w:t>
                  </w:r>
                  <w:r>
                    <w:rPr>
                      <w:rFonts w:cs="Georgia"/>
                      <w:spacing w:val="1"/>
                    </w:rPr>
                    <w:t>p</w:t>
                  </w:r>
                  <w:r>
                    <w:rPr>
                      <w:rFonts w:cs="Georgia"/>
                      <w:spacing w:val="-1"/>
                    </w:rPr>
                    <w:t>a</w:t>
                  </w:r>
                  <w:r>
                    <w:rPr>
                      <w:rFonts w:cs="Georgia"/>
                    </w:rPr>
                    <w:t xml:space="preserve">r </w:t>
                  </w:r>
                  <w:r>
                    <w:rPr>
                      <w:rFonts w:cs="Georgia"/>
                      <w:spacing w:val="1"/>
                    </w:rPr>
                    <w:t>t</w:t>
                  </w:r>
                  <w:r>
                    <w:rPr>
                      <w:rFonts w:cs="Georgia"/>
                      <w:spacing w:val="-3"/>
                    </w:rPr>
                    <w:t>y</w:t>
                  </w:r>
                  <w:r>
                    <w:rPr>
                      <w:rFonts w:cs="Georgia"/>
                      <w:spacing w:val="1"/>
                    </w:rPr>
                    <w:t>p</w:t>
                  </w:r>
                  <w:r>
                    <w:rPr>
                      <w:rFonts w:cs="Georgia"/>
                    </w:rPr>
                    <w:t>e</w:t>
                  </w:r>
                  <w:r>
                    <w:rPr>
                      <w:rFonts w:cs="Georgia"/>
                      <w:spacing w:val="-1"/>
                    </w:rPr>
                    <w:t xml:space="preserve"> e</w:t>
                  </w:r>
                  <w:r>
                    <w:rPr>
                      <w:rFonts w:cs="Georgia"/>
                    </w:rPr>
                    <w:t xml:space="preserve">t </w:t>
                  </w:r>
                  <w:r>
                    <w:rPr>
                      <w:rFonts w:cs="Georgia"/>
                      <w:spacing w:val="1"/>
                    </w:rPr>
                    <w:t>p</w:t>
                  </w:r>
                  <w:r>
                    <w:rPr>
                      <w:rFonts w:cs="Georgia"/>
                      <w:spacing w:val="-1"/>
                    </w:rPr>
                    <w:t>a</w:t>
                  </w:r>
                  <w:r>
                    <w:rPr>
                      <w:rFonts w:cs="Georgia"/>
                    </w:rPr>
                    <w:t xml:space="preserve">r </w:t>
                  </w:r>
                  <w:r>
                    <w:rPr>
                      <w:rFonts w:cs="Georgia"/>
                      <w:spacing w:val="-2"/>
                    </w:rPr>
                    <w:t>f</w:t>
                  </w:r>
                  <w:r>
                    <w:rPr>
                      <w:rFonts w:cs="Georgia"/>
                      <w:spacing w:val="1"/>
                    </w:rPr>
                    <w:t>or</w:t>
                  </w:r>
                  <w:r>
                    <w:rPr>
                      <w:rFonts w:cs="Georgia"/>
                      <w:spacing w:val="-3"/>
                    </w:rPr>
                    <w:t>m</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w:t>
                  </w:r>
                </w:p>
                <w:p w:rsidR="00F04EEF" w:rsidRDefault="00F04EEF">
                  <w:pPr>
                    <w:widowControl w:val="0"/>
                    <w:autoSpaceDE w:val="0"/>
                    <w:autoSpaceDN w:val="0"/>
                    <w:adjustRightInd w:val="0"/>
                    <w:spacing w:before="13" w:line="240" w:lineRule="exact"/>
                    <w:rPr>
                      <w:rFonts w:cs="Georgia"/>
                    </w:rPr>
                  </w:pPr>
                </w:p>
                <w:p w:rsidR="00F04EEF" w:rsidRDefault="0099351E">
                  <w:pPr>
                    <w:widowControl w:val="0"/>
                    <w:autoSpaceDE w:val="0"/>
                    <w:autoSpaceDN w:val="0"/>
                    <w:adjustRightInd w:val="0"/>
                    <w:spacing w:line="250" w:lineRule="exact"/>
                    <w:rPr>
                      <w:rFonts w:cs="Georgia"/>
                    </w:rPr>
                  </w:pPr>
                  <w:r>
                    <w:rPr>
                      <w:rFonts w:cs="Georgia"/>
                    </w:rPr>
                    <w:t>T</w:t>
                  </w:r>
                  <w:r>
                    <w:rPr>
                      <w:rFonts w:cs="Georgia"/>
                      <w:spacing w:val="1"/>
                    </w:rPr>
                    <w:t>o</w:t>
                  </w:r>
                  <w:r>
                    <w:rPr>
                      <w:rFonts w:cs="Georgia"/>
                    </w:rPr>
                    <w:t>u</w:t>
                  </w:r>
                  <w:r>
                    <w:rPr>
                      <w:rFonts w:cs="Georgia"/>
                      <w:spacing w:val="1"/>
                    </w:rPr>
                    <w:t>t</w:t>
                  </w:r>
                  <w:r>
                    <w:rPr>
                      <w:rFonts w:cs="Georgia"/>
                      <w:spacing w:val="-1"/>
                    </w:rPr>
                    <w:t>e</w:t>
                  </w:r>
                  <w:r>
                    <w:rPr>
                      <w:rFonts w:cs="Georgia"/>
                      <w:spacing w:val="-2"/>
                    </w:rPr>
                    <w:t>f</w:t>
                  </w:r>
                  <w:r>
                    <w:rPr>
                      <w:rFonts w:cs="Georgia"/>
                      <w:spacing w:val="1"/>
                    </w:rPr>
                    <w:t>o</w:t>
                  </w:r>
                  <w:r>
                    <w:rPr>
                      <w:rFonts w:cs="Georgia"/>
                    </w:rPr>
                    <w:t>i</w:t>
                  </w:r>
                  <w:r>
                    <w:rPr>
                      <w:rFonts w:cs="Georgia"/>
                      <w:spacing w:val="-2"/>
                    </w:rPr>
                    <w:t>s</w:t>
                  </w:r>
                  <w:r>
                    <w:rPr>
                      <w:rFonts w:cs="Georgia"/>
                    </w:rPr>
                    <w:t xml:space="preserve">, </w:t>
                  </w:r>
                  <w:r>
                    <w:rPr>
                      <w:rFonts w:cs="Georgia"/>
                      <w:spacing w:val="1"/>
                    </w:rPr>
                    <w:t>s</w:t>
                  </w:r>
                  <w:r>
                    <w:rPr>
                      <w:rFonts w:cs="Georgia"/>
                    </w:rPr>
                    <w:t>i</w:t>
                  </w:r>
                  <w:r>
                    <w:rPr>
                      <w:rFonts w:cs="Georgia"/>
                      <w:spacing w:val="2"/>
                    </w:rPr>
                    <w:t xml:space="preserve"> </w:t>
                  </w:r>
                  <w:r>
                    <w:rPr>
                      <w:rFonts w:cs="Georgia"/>
                      <w:spacing w:val="-1"/>
                    </w:rPr>
                    <w:t>l</w:t>
                  </w:r>
                  <w:r>
                    <w:rPr>
                      <w:rFonts w:cs="Georgia"/>
                    </w:rPr>
                    <w:t>e</w:t>
                  </w:r>
                  <w:r>
                    <w:rPr>
                      <w:rFonts w:cs="Georgia"/>
                      <w:spacing w:val="1"/>
                    </w:rPr>
                    <w:t xml:space="preserve"> </w:t>
                  </w:r>
                  <w:r>
                    <w:rPr>
                      <w:rFonts w:cs="Georgia"/>
                      <w:spacing w:val="-3"/>
                    </w:rPr>
                    <w:t>n</w:t>
                  </w:r>
                  <w:r>
                    <w:rPr>
                      <w:rFonts w:cs="Georgia"/>
                      <w:spacing w:val="1"/>
                    </w:rPr>
                    <w:t>o</w:t>
                  </w:r>
                  <w:r>
                    <w:rPr>
                      <w:rFonts w:cs="Georgia"/>
                      <w:spacing w:val="-3"/>
                    </w:rPr>
                    <w:t>m</w:t>
                  </w:r>
                  <w:r>
                    <w:rPr>
                      <w:rFonts w:cs="Georgia"/>
                      <w:spacing w:val="1"/>
                    </w:rPr>
                    <w:t>br</w:t>
                  </w:r>
                  <w:r>
                    <w:rPr>
                      <w:rFonts w:cs="Georgia"/>
                    </w:rPr>
                    <w:t>e</w:t>
                  </w:r>
                  <w:r>
                    <w:rPr>
                      <w:rFonts w:cs="Georgia"/>
                      <w:spacing w:val="1"/>
                    </w:rPr>
                    <w:t xml:space="preserve"> </w:t>
                  </w:r>
                  <w:r>
                    <w:rPr>
                      <w:rFonts w:cs="Georgia"/>
                      <w:spacing w:val="-2"/>
                    </w:rPr>
                    <w:t>d</w:t>
                  </w:r>
                  <w:r>
                    <w:rPr>
                      <w:rFonts w:cs="Georgia"/>
                    </w:rPr>
                    <w:t>e</w:t>
                  </w:r>
                  <w:r>
                    <w:rPr>
                      <w:rFonts w:cs="Georgia"/>
                      <w:spacing w:val="1"/>
                    </w:rPr>
                    <w:t xml:space="preserve"> 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 de</w:t>
                  </w:r>
                  <w:r>
                    <w:rPr>
                      <w:rFonts w:cs="Georgia"/>
                      <w:spacing w:val="1"/>
                    </w:rPr>
                    <w:t xml:space="preserve"> </w:t>
                  </w:r>
                  <w:r>
                    <w:rPr>
                      <w:rFonts w:cs="Georgia"/>
                      <w:spacing w:val="-2"/>
                    </w:rPr>
                    <w:t>c</w:t>
                  </w:r>
                  <w:r>
                    <w:rPr>
                      <w:rFonts w:cs="Georgia"/>
                      <w:spacing w:val="1"/>
                    </w:rPr>
                    <w:t>o</w:t>
                  </w:r>
                  <w:r>
                    <w:rPr>
                      <w:rFonts w:cs="Georgia"/>
                      <w:spacing w:val="-2"/>
                    </w:rPr>
                    <w:t>u</w:t>
                  </w:r>
                  <w:r>
                    <w:rPr>
                      <w:rFonts w:cs="Georgia"/>
                      <w:spacing w:val="1"/>
                    </w:rPr>
                    <w:t>r</w:t>
                  </w:r>
                  <w:r>
                    <w:rPr>
                      <w:rFonts w:cs="Georgia"/>
                    </w:rPr>
                    <w:t xml:space="preserve">s </w:t>
                  </w:r>
                  <w:r>
                    <w:rPr>
                      <w:rFonts w:cs="Georgia"/>
                      <w:spacing w:val="1"/>
                    </w:rPr>
                    <w:t>h</w:t>
                  </w:r>
                  <w:r>
                    <w:rPr>
                      <w:rFonts w:cs="Georgia"/>
                      <w:spacing w:val="-3"/>
                    </w:rPr>
                    <w:t>e</w:t>
                  </w:r>
                  <w:r>
                    <w:rPr>
                      <w:rFonts w:cs="Georgia"/>
                      <w:spacing w:val="1"/>
                    </w:rPr>
                    <w:t>b</w:t>
                  </w:r>
                  <w:r>
                    <w:rPr>
                      <w:rFonts w:cs="Georgia"/>
                      <w:spacing w:val="-2"/>
                    </w:rPr>
                    <w:t>d</w:t>
                  </w:r>
                  <w:r>
                    <w:rPr>
                      <w:rFonts w:cs="Georgia"/>
                      <w:spacing w:val="1"/>
                    </w:rPr>
                    <w:t>o</w:t>
                  </w:r>
                  <w:r>
                    <w:rPr>
                      <w:rFonts w:cs="Georgia"/>
                    </w:rPr>
                    <w:t>m</w:t>
                  </w:r>
                  <w:r>
                    <w:rPr>
                      <w:rFonts w:cs="Georgia"/>
                      <w:spacing w:val="-1"/>
                    </w:rPr>
                    <w:t>a</w:t>
                  </w:r>
                  <w:r>
                    <w:rPr>
                      <w:rFonts w:cs="Georgia"/>
                    </w:rPr>
                    <w:t>d</w:t>
                  </w:r>
                  <w:r>
                    <w:rPr>
                      <w:rFonts w:cs="Georgia"/>
                      <w:spacing w:val="-1"/>
                    </w:rPr>
                    <w:t>a</w:t>
                  </w:r>
                  <w:r>
                    <w:rPr>
                      <w:rFonts w:cs="Georgia"/>
                    </w:rPr>
                    <w:t>i</w:t>
                  </w:r>
                  <w:r>
                    <w:rPr>
                      <w:rFonts w:cs="Georgia"/>
                      <w:spacing w:val="1"/>
                    </w:rPr>
                    <w:t>r</w:t>
                  </w:r>
                  <w:r>
                    <w:rPr>
                      <w:rFonts w:cs="Georgia"/>
                      <w:spacing w:val="-1"/>
                    </w:rPr>
                    <w:t>e</w:t>
                  </w:r>
                  <w:r>
                    <w:rPr>
                      <w:rFonts w:cs="Georgia"/>
                    </w:rPr>
                    <w:t>s</w:t>
                  </w:r>
                  <w:r>
                    <w:rPr>
                      <w:rFonts w:cs="Georgia"/>
                      <w:spacing w:val="-2"/>
                    </w:rPr>
                    <w:t xml:space="preserve"> </w:t>
                  </w:r>
                  <w:r>
                    <w:rPr>
                      <w:rFonts w:cs="Georgia"/>
                      <w:spacing w:val="1"/>
                    </w:rPr>
                    <w:t>or</w:t>
                  </w:r>
                  <w:r>
                    <w:rPr>
                      <w:rFonts w:cs="Georgia"/>
                    </w:rPr>
                    <w:t>g</w:t>
                  </w:r>
                  <w:r>
                    <w:rPr>
                      <w:rFonts w:cs="Georgia"/>
                      <w:spacing w:val="-1"/>
                    </w:rPr>
                    <w:t>an</w:t>
                  </w:r>
                  <w:r>
                    <w:rPr>
                      <w:rFonts w:cs="Georgia"/>
                    </w:rPr>
                    <w:t>i</w:t>
                  </w:r>
                  <w:r>
                    <w:rPr>
                      <w:rFonts w:cs="Georgia"/>
                      <w:spacing w:val="1"/>
                    </w:rPr>
                    <w:t>s</w:t>
                  </w:r>
                  <w:r>
                    <w:rPr>
                      <w:rFonts w:cs="Georgia"/>
                      <w:spacing w:val="-1"/>
                    </w:rPr>
                    <w:t>ées</w:t>
                  </w:r>
                  <w:r>
                    <w:rPr>
                      <w:rFonts w:cs="Georgia"/>
                    </w:rPr>
                    <w:t xml:space="preserve"> di</w:t>
                  </w:r>
                  <w:r>
                    <w:rPr>
                      <w:rFonts w:cs="Georgia"/>
                      <w:spacing w:val="-2"/>
                    </w:rPr>
                    <w:t>f</w:t>
                  </w:r>
                  <w:r>
                    <w:rPr>
                      <w:rFonts w:cs="Georgia"/>
                    </w:rPr>
                    <w:t>f</w:t>
                  </w:r>
                  <w:r>
                    <w:rPr>
                      <w:rFonts w:cs="Georgia"/>
                      <w:spacing w:val="-1"/>
                    </w:rPr>
                    <w:t>è</w:t>
                  </w:r>
                  <w:r>
                    <w:rPr>
                      <w:rFonts w:cs="Georgia"/>
                      <w:spacing w:val="1"/>
                    </w:rPr>
                    <w:t>r</w:t>
                  </w:r>
                  <w:r>
                    <w:rPr>
                      <w:rFonts w:cs="Georgia"/>
                    </w:rPr>
                    <w:t>e</w:t>
                  </w:r>
                  <w:r>
                    <w:rPr>
                      <w:rFonts w:cs="Georgia"/>
                      <w:spacing w:val="1"/>
                    </w:rPr>
                    <w:t xml:space="preserve"> p</w:t>
                  </w:r>
                  <w:r>
                    <w:rPr>
                      <w:rFonts w:cs="Georgia"/>
                      <w:spacing w:val="-1"/>
                    </w:rPr>
                    <w:t>a</w:t>
                  </w:r>
                  <w:r>
                    <w:rPr>
                      <w:rFonts w:cs="Georgia"/>
                    </w:rPr>
                    <w:t xml:space="preserve">r </w:t>
                  </w:r>
                  <w:r>
                    <w:rPr>
                      <w:rFonts w:cs="Georgia"/>
                      <w:spacing w:val="-1"/>
                    </w:rPr>
                    <w:t>anné</w:t>
                  </w:r>
                  <w:r>
                    <w:rPr>
                      <w:rFonts w:cs="Georgia"/>
                    </w:rPr>
                    <w:t>e</w:t>
                  </w:r>
                  <w:r>
                    <w:rPr>
                      <w:rFonts w:cs="Georgia"/>
                      <w:spacing w:val="1"/>
                    </w:rPr>
                    <w:t xml:space="preserve"> </w:t>
                  </w:r>
                  <w:r>
                    <w:rPr>
                      <w:rFonts w:cs="Georgia"/>
                    </w:rPr>
                    <w:t>d</w:t>
                  </w:r>
                  <w:r>
                    <w:rPr>
                      <w:rFonts w:cs="Georgia"/>
                      <w:spacing w:val="1"/>
                    </w:rPr>
                    <w:t>'</w:t>
                  </w:r>
                  <w:r>
                    <w:rPr>
                      <w:rFonts w:cs="Georgia"/>
                      <w:spacing w:val="-1"/>
                    </w:rPr>
                    <w:t>é</w:t>
                  </w:r>
                  <w:r>
                    <w:rPr>
                      <w:rFonts w:cs="Georgia"/>
                      <w:spacing w:val="1"/>
                    </w:rPr>
                    <w:t>t</w:t>
                  </w:r>
                  <w:r>
                    <w:rPr>
                      <w:rFonts w:cs="Georgia"/>
                    </w:rPr>
                    <w:t>ud</w:t>
                  </w:r>
                  <w:r>
                    <w:rPr>
                      <w:rFonts w:cs="Georgia"/>
                      <w:spacing w:val="-3"/>
                    </w:rPr>
                    <w:t>e</w:t>
                  </w:r>
                  <w:r>
                    <w:rPr>
                      <w:rFonts w:cs="Georgia"/>
                      <w:spacing w:val="-2"/>
                    </w:rPr>
                    <w:t>s</w:t>
                  </w:r>
                  <w:r>
                    <w:rPr>
                      <w:rFonts w:cs="Georgia"/>
                    </w:rPr>
                    <w:t xml:space="preserve">,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al</w:t>
                  </w:r>
                  <w:r>
                    <w:rPr>
                      <w:rFonts w:cs="Georgia"/>
                      <w:spacing w:val="1"/>
                    </w:rPr>
                    <w:t>c</w:t>
                  </w:r>
                  <w:r>
                    <w:rPr>
                      <w:rFonts w:cs="Georgia"/>
                    </w:rPr>
                    <w:t>ul</w:t>
                  </w:r>
                  <w:r>
                    <w:rPr>
                      <w:rFonts w:cs="Georgia"/>
                      <w:spacing w:val="-1"/>
                    </w:rPr>
                    <w:t xml:space="preserve"> </w:t>
                  </w:r>
                  <w:r>
                    <w:rPr>
                      <w:rFonts w:cs="Georgia"/>
                      <w:spacing w:val="1"/>
                    </w:rPr>
                    <w:t>s'</w:t>
                  </w:r>
                  <w:r>
                    <w:rPr>
                      <w:rFonts w:cs="Georgia"/>
                      <w:spacing w:val="-1"/>
                    </w:rPr>
                    <w:t>e</w:t>
                  </w:r>
                  <w:r>
                    <w:rPr>
                      <w:rFonts w:cs="Georgia"/>
                    </w:rPr>
                    <w:t>ff</w:t>
                  </w:r>
                  <w:r>
                    <w:rPr>
                      <w:rFonts w:cs="Georgia"/>
                      <w:spacing w:val="-1"/>
                    </w:rPr>
                    <w:t>e</w:t>
                  </w:r>
                  <w:r>
                    <w:rPr>
                      <w:rFonts w:cs="Georgia"/>
                      <w:spacing w:val="1"/>
                    </w:rPr>
                    <w:t>ct</w:t>
                  </w:r>
                  <w:r>
                    <w:rPr>
                      <w:rFonts w:cs="Georgia"/>
                    </w:rPr>
                    <w:t>ue</w:t>
                  </w:r>
                  <w:r>
                    <w:rPr>
                      <w:rFonts w:cs="Georgia"/>
                      <w:spacing w:val="-1"/>
                    </w:rPr>
                    <w:t xml:space="preserve"> </w:t>
                  </w:r>
                  <w:r>
                    <w:rPr>
                      <w:rFonts w:cs="Georgia"/>
                      <w:spacing w:val="1"/>
                    </w:rPr>
                    <w:t>p</w:t>
                  </w:r>
                  <w:r>
                    <w:rPr>
                      <w:rFonts w:cs="Georgia"/>
                      <w:spacing w:val="-1"/>
                    </w:rPr>
                    <w:t>a</w:t>
                  </w:r>
                  <w:r>
                    <w:rPr>
                      <w:rFonts w:cs="Georgia"/>
                    </w:rPr>
                    <w:t xml:space="preserve">r </w:t>
                  </w:r>
                  <w:r>
                    <w:rPr>
                      <w:rFonts w:cs="Georgia"/>
                      <w:spacing w:val="-1"/>
                    </w:rPr>
                    <w:t>a</w:t>
                  </w:r>
                  <w:r>
                    <w:rPr>
                      <w:rFonts w:cs="Georgia"/>
                      <w:spacing w:val="-3"/>
                    </w:rPr>
                    <w:t>n</w:t>
                  </w:r>
                  <w:r>
                    <w:rPr>
                      <w:rFonts w:cs="Georgia"/>
                      <w:spacing w:val="-1"/>
                    </w:rPr>
                    <w:t>né</w:t>
                  </w:r>
                  <w:r>
                    <w:rPr>
                      <w:rFonts w:cs="Georgia"/>
                    </w:rPr>
                    <w:t>e</w:t>
                  </w:r>
                  <w:r>
                    <w:rPr>
                      <w:rFonts w:cs="Georgia"/>
                      <w:spacing w:val="-1"/>
                    </w:rPr>
                    <w:t xml:space="preserve"> </w:t>
                  </w:r>
                  <w:r>
                    <w:rPr>
                      <w:rFonts w:cs="Georgia"/>
                    </w:rPr>
                    <w:t>d</w:t>
                  </w:r>
                  <w:r>
                    <w:rPr>
                      <w:rFonts w:cs="Georgia"/>
                      <w:spacing w:val="1"/>
                    </w:rPr>
                    <w:t>'</w:t>
                  </w:r>
                  <w:r>
                    <w:rPr>
                      <w:rFonts w:cs="Georgia"/>
                      <w:spacing w:val="-1"/>
                    </w:rPr>
                    <w:t>é</w:t>
                  </w:r>
                  <w:r>
                    <w:rPr>
                      <w:rFonts w:cs="Georgia"/>
                      <w:spacing w:val="1"/>
                    </w:rPr>
                    <w:t>t</w:t>
                  </w:r>
                  <w:r>
                    <w:rPr>
                      <w:rFonts w:cs="Georgia"/>
                    </w:rPr>
                    <w:t>ud</w:t>
                  </w:r>
                  <w:r>
                    <w:rPr>
                      <w:rFonts w:cs="Georgia"/>
                      <w:spacing w:val="-1"/>
                    </w:rPr>
                    <w:t>e</w:t>
                  </w:r>
                  <w:r>
                    <w:rPr>
                      <w:rFonts w:cs="Georgia"/>
                      <w:spacing w:val="1"/>
                    </w:rPr>
                    <w:t>s</w:t>
                  </w:r>
                  <w:r>
                    <w:rPr>
                      <w:rFonts w:cs="Georgia"/>
                    </w:rPr>
                    <w:t>.</w:t>
                  </w:r>
                </w:p>
                <w:p w:rsidR="00F04EEF" w:rsidRDefault="00F04EEF">
                  <w:pPr>
                    <w:widowControl w:val="0"/>
                    <w:autoSpaceDE w:val="0"/>
                    <w:autoSpaceDN w:val="0"/>
                    <w:adjustRightInd w:val="0"/>
                    <w:spacing w:before="12" w:line="240" w:lineRule="exact"/>
                    <w:rPr>
                      <w:rFonts w:cs="Georgia"/>
                    </w:rPr>
                  </w:pPr>
                </w:p>
                <w:p w:rsidR="00F04EEF" w:rsidRDefault="0099351E">
                  <w:pPr>
                    <w:widowControl w:val="0"/>
                    <w:autoSpaceDE w:val="0"/>
                    <w:autoSpaceDN w:val="0"/>
                    <w:adjustRightInd w:val="0"/>
                    <w:jc w:val="both"/>
                    <w:rPr>
                      <w:rFonts w:cs="Georgia"/>
                    </w:rPr>
                  </w:pPr>
                  <w:r>
                    <w:rPr>
                      <w:rFonts w:cs="Georgia"/>
                      <w:spacing w:val="1"/>
                      <w:u w:val="single"/>
                    </w:rPr>
                    <w:t>Formule</w:t>
                  </w:r>
                  <w:r>
                    <w:rPr>
                      <w:rFonts w:cs="Georgia"/>
                      <w:u w:val="single"/>
                    </w:rPr>
                    <w:t xml:space="preserve"> :</w:t>
                  </w:r>
                </w:p>
                <w:p w:rsidR="00F04EEF" w:rsidRDefault="0099351E">
                  <w:pPr>
                    <w:widowControl w:val="0"/>
                    <w:autoSpaceDE w:val="0"/>
                    <w:autoSpaceDN w:val="0"/>
                    <w:adjustRightInd w:val="0"/>
                    <w:jc w:val="center"/>
                    <w:rPr>
                      <w:rFonts w:cs="Georgia"/>
                      <w:b/>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w:t>
                  </w:r>
                  <w:r>
                    <w:rPr>
                      <w:rFonts w:cs="Georgia"/>
                      <w:b/>
                      <w:spacing w:val="1"/>
                      <w:u w:val="single"/>
                    </w:rPr>
                    <w:t>No</w:t>
                  </w:r>
                  <w:r>
                    <w:rPr>
                      <w:rFonts w:cs="Georgia"/>
                      <w:b/>
                      <w:spacing w:val="-3"/>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de</w:t>
                  </w:r>
                  <w:r>
                    <w:rPr>
                      <w:rFonts w:cs="Georgia"/>
                      <w:b/>
                      <w:spacing w:val="-2"/>
                      <w:u w:val="single"/>
                    </w:rPr>
                    <w:t xml:space="preserve"> </w:t>
                  </w:r>
                  <w:r>
                    <w:rPr>
                      <w:rFonts w:cs="Georgia"/>
                      <w:b/>
                      <w:spacing w:val="1"/>
                      <w:u w:val="single"/>
                    </w:rPr>
                    <w:t>p</w:t>
                  </w:r>
                  <w:r>
                    <w:rPr>
                      <w:rFonts w:cs="Georgia"/>
                      <w:b/>
                      <w:spacing w:val="-1"/>
                      <w:u w:val="single"/>
                    </w:rPr>
                    <w:t>é</w:t>
                  </w:r>
                  <w:r>
                    <w:rPr>
                      <w:rFonts w:cs="Georgia"/>
                      <w:b/>
                      <w:spacing w:val="1"/>
                      <w:u w:val="single"/>
                    </w:rPr>
                    <w:t>r</w:t>
                  </w:r>
                  <w:r>
                    <w:rPr>
                      <w:rFonts w:cs="Georgia"/>
                      <w:b/>
                      <w:u w:val="single"/>
                    </w:rPr>
                    <w:t>i</w:t>
                  </w:r>
                  <w:r>
                    <w:rPr>
                      <w:rFonts w:cs="Georgia"/>
                      <w:b/>
                      <w:spacing w:val="-1"/>
                      <w:u w:val="single"/>
                    </w:rPr>
                    <w:t>o</w:t>
                  </w:r>
                  <w:r>
                    <w:rPr>
                      <w:rFonts w:cs="Georgia"/>
                      <w:b/>
                      <w:u w:val="single"/>
                    </w:rPr>
                    <w:t>d</w:t>
                  </w:r>
                  <w:r>
                    <w:rPr>
                      <w:rFonts w:cs="Georgia"/>
                      <w:b/>
                      <w:spacing w:val="-1"/>
                      <w:u w:val="single"/>
                    </w:rPr>
                    <w:t>es</w:t>
                  </w:r>
                  <w:r>
                    <w:rPr>
                      <w:rFonts w:cs="Georgia"/>
                      <w:b/>
                      <w:spacing w:val="1"/>
                      <w:u w:val="single"/>
                    </w:rPr>
                    <w:t xml:space="preserve"> h</w:t>
                  </w:r>
                  <w:r>
                    <w:rPr>
                      <w:rFonts w:cs="Georgia"/>
                      <w:b/>
                      <w:spacing w:val="-3"/>
                      <w:u w:val="single"/>
                    </w:rPr>
                    <w:t>e</w:t>
                  </w:r>
                  <w:r>
                    <w:rPr>
                      <w:rFonts w:cs="Georgia"/>
                      <w:b/>
                      <w:spacing w:val="1"/>
                      <w:u w:val="single"/>
                    </w:rPr>
                    <w:t>b</w:t>
                  </w:r>
                  <w:r>
                    <w:rPr>
                      <w:rFonts w:cs="Georgia"/>
                      <w:b/>
                      <w:spacing w:val="-2"/>
                      <w:u w:val="single"/>
                    </w:rPr>
                    <w:t>d</w:t>
                  </w:r>
                  <w:r>
                    <w:rPr>
                      <w:rFonts w:cs="Georgia"/>
                      <w:b/>
                      <w:spacing w:val="1"/>
                      <w:u w:val="single"/>
                    </w:rPr>
                    <w:t>o</w:t>
                  </w:r>
                  <w:r>
                    <w:rPr>
                      <w:rFonts w:cs="Georgia"/>
                      <w:b/>
                      <w:u w:val="single"/>
                    </w:rPr>
                    <w:t>m</w:t>
                  </w:r>
                  <w:r>
                    <w:rPr>
                      <w:rFonts w:cs="Georgia"/>
                      <w:b/>
                      <w:spacing w:val="-1"/>
                      <w:u w:val="single"/>
                    </w:rPr>
                    <w:t>a</w:t>
                  </w:r>
                  <w:r>
                    <w:rPr>
                      <w:rFonts w:cs="Georgia"/>
                      <w:b/>
                      <w:spacing w:val="-2"/>
                      <w:u w:val="single"/>
                    </w:rPr>
                    <w:t>d</w:t>
                  </w:r>
                  <w:r>
                    <w:rPr>
                      <w:rFonts w:cs="Georgia"/>
                      <w:b/>
                      <w:spacing w:val="-1"/>
                      <w:u w:val="single"/>
                    </w:rPr>
                    <w:t>a</w:t>
                  </w:r>
                  <w:r>
                    <w:rPr>
                      <w:rFonts w:cs="Georgia"/>
                      <w:b/>
                      <w:u w:val="single"/>
                    </w:rPr>
                    <w:t>i</w:t>
                  </w:r>
                  <w:r>
                    <w:rPr>
                      <w:rFonts w:cs="Georgia"/>
                      <w:b/>
                      <w:spacing w:val="1"/>
                      <w:u w:val="single"/>
                    </w:rPr>
                    <w:t>r</w:t>
                  </w:r>
                  <w:r>
                    <w:rPr>
                      <w:rFonts w:cs="Georgia"/>
                      <w:b/>
                      <w:spacing w:val="-1"/>
                      <w:u w:val="single"/>
                    </w:rPr>
                    <w:t>es</w:t>
                  </w:r>
                </w:p>
                <w:p w:rsidR="00F04EEF" w:rsidRDefault="0099351E">
                  <w:pPr>
                    <w:widowControl w:val="0"/>
                    <w:autoSpaceDE w:val="0"/>
                    <w:autoSpaceDN w:val="0"/>
                    <w:adjustRightInd w:val="0"/>
                    <w:spacing w:line="250" w:lineRule="exact"/>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guide</w:t>
                  </w:r>
                </w:p>
                <w:p w:rsidR="00F04EEF" w:rsidRDefault="00F04EEF">
                  <w:pPr>
                    <w:widowControl w:val="0"/>
                    <w:autoSpaceDE w:val="0"/>
                    <w:autoSpaceDN w:val="0"/>
                    <w:adjustRightInd w:val="0"/>
                    <w:spacing w:before="11" w:line="240" w:lineRule="exact"/>
                    <w:rPr>
                      <w:rFonts w:cs="Georgia"/>
                    </w:rPr>
                  </w:pPr>
                </w:p>
                <w:p w:rsidR="00F04EEF" w:rsidRDefault="0099351E">
                  <w:pPr>
                    <w:widowControl w:val="0"/>
                    <w:autoSpaceDE w:val="0"/>
                    <w:autoSpaceDN w:val="0"/>
                    <w:adjustRightInd w:val="0"/>
                    <w:spacing w:line="250" w:lineRule="exact"/>
                    <w:rPr>
                      <w:rFonts w:cs="Georgia"/>
                    </w:rPr>
                  </w:pPr>
                  <w:r>
                    <w:rPr>
                      <w:rFonts w:cs="Georgia"/>
                      <w:spacing w:val="1"/>
                    </w:rPr>
                    <w:t>L</w:t>
                  </w:r>
                  <w:r>
                    <w:rPr>
                      <w:rFonts w:cs="Georgia"/>
                    </w:rPr>
                    <w:t>e</w:t>
                  </w:r>
                  <w:r>
                    <w:rPr>
                      <w:rFonts w:cs="Georgia"/>
                      <w:spacing w:val="32"/>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2"/>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34"/>
                    </w:rPr>
                    <w:t xml:space="preserve"> </w:t>
                  </w:r>
                  <w:r>
                    <w:rPr>
                      <w:rFonts w:cs="Georgia"/>
                      <w:spacing w:val="-1"/>
                    </w:rPr>
                    <w:t>a</w:t>
                  </w:r>
                  <w:r>
                    <w:rPr>
                      <w:rFonts w:cs="Georgia"/>
                      <w:spacing w:val="1"/>
                    </w:rPr>
                    <w:t>tt</w:t>
                  </w:r>
                  <w:r>
                    <w:rPr>
                      <w:rFonts w:cs="Georgia"/>
                      <w:spacing w:val="-2"/>
                    </w:rPr>
                    <w:t>ri</w:t>
                  </w:r>
                  <w:r>
                    <w:rPr>
                      <w:rFonts w:cs="Georgia"/>
                      <w:spacing w:val="1"/>
                    </w:rPr>
                    <w:t>b</w:t>
                  </w:r>
                  <w:r>
                    <w:rPr>
                      <w:rFonts w:cs="Georgia"/>
                    </w:rPr>
                    <w:t>ué</w:t>
                  </w:r>
                  <w:r>
                    <w:rPr>
                      <w:rFonts w:cs="Georgia"/>
                      <w:spacing w:val="32"/>
                    </w:rPr>
                    <w:t xml:space="preserve"> </w:t>
                  </w:r>
                  <w:r>
                    <w:rPr>
                      <w:rFonts w:cs="Georgia"/>
                    </w:rPr>
                    <w:t>à</w:t>
                  </w:r>
                  <w:r>
                    <w:rPr>
                      <w:rFonts w:cs="Georgia"/>
                      <w:spacing w:val="32"/>
                    </w:rPr>
                    <w:t xml:space="preserve"> </w:t>
                  </w:r>
                  <w:r>
                    <w:rPr>
                      <w:rFonts w:cs="Georgia"/>
                      <w:spacing w:val="-1"/>
                    </w:rPr>
                    <w:t>l</w:t>
                  </w:r>
                  <w:r>
                    <w:rPr>
                      <w:rFonts w:cs="Georgia"/>
                      <w:spacing w:val="1"/>
                    </w:rPr>
                    <w:t>'</w:t>
                  </w:r>
                  <w:r>
                    <w:rPr>
                      <w:rFonts w:cs="Georgia"/>
                      <w:spacing w:val="-1"/>
                    </w:rPr>
                    <w:t>é</w:t>
                  </w:r>
                  <w:r>
                    <w:rPr>
                      <w:rFonts w:cs="Georgia"/>
                      <w:spacing w:val="1"/>
                    </w:rPr>
                    <w:t>co</w:t>
                  </w:r>
                  <w:r>
                    <w:rPr>
                      <w:rFonts w:cs="Georgia"/>
                      <w:spacing w:val="-1"/>
                    </w:rPr>
                    <w:t>l</w:t>
                  </w:r>
                  <w:r>
                    <w:rPr>
                      <w:rFonts w:cs="Georgia"/>
                    </w:rPr>
                    <w:t>e</w:t>
                  </w:r>
                  <w:r>
                    <w:rPr>
                      <w:rFonts w:cs="Georgia"/>
                      <w:spacing w:val="32"/>
                    </w:rPr>
                    <w:t xml:space="preserve"> </w:t>
                  </w:r>
                  <w:r>
                    <w:rPr>
                      <w:rFonts w:cs="Georgia"/>
                      <w:spacing w:val="-1"/>
                    </w:rPr>
                    <w:t>e</w:t>
                  </w:r>
                  <w:r>
                    <w:rPr>
                      <w:rFonts w:cs="Georgia"/>
                      <w:spacing w:val="1"/>
                    </w:rPr>
                    <w:t>s</w:t>
                  </w:r>
                  <w:r>
                    <w:rPr>
                      <w:rFonts w:cs="Georgia"/>
                    </w:rPr>
                    <w:t>t</w:t>
                  </w:r>
                  <w:r>
                    <w:rPr>
                      <w:rFonts w:cs="Georgia"/>
                      <w:spacing w:val="34"/>
                    </w:rPr>
                    <w:t xml:space="preserve"> </w:t>
                  </w:r>
                  <w:r>
                    <w:rPr>
                      <w:rFonts w:cs="Georgia"/>
                      <w:spacing w:val="-1"/>
                    </w:rPr>
                    <w:t>é</w:t>
                  </w:r>
                  <w:r>
                    <w:rPr>
                      <w:rFonts w:cs="Georgia"/>
                    </w:rPr>
                    <w:t>g</w:t>
                  </w:r>
                  <w:r>
                    <w:rPr>
                      <w:rFonts w:cs="Georgia"/>
                      <w:spacing w:val="-1"/>
                    </w:rPr>
                    <w:t>a</w:t>
                  </w:r>
                  <w:r>
                    <w:rPr>
                      <w:rFonts w:cs="Georgia"/>
                    </w:rPr>
                    <w:t>l</w:t>
                  </w:r>
                  <w:r>
                    <w:rPr>
                      <w:rFonts w:cs="Georgia"/>
                      <w:spacing w:val="33"/>
                    </w:rPr>
                    <w:t xml:space="preserve"> </w:t>
                  </w:r>
                  <w:r>
                    <w:rPr>
                      <w:rFonts w:cs="Georgia"/>
                    </w:rPr>
                    <w:t>à</w:t>
                  </w:r>
                  <w:r>
                    <w:rPr>
                      <w:rFonts w:cs="Georgia"/>
                      <w:spacing w:val="32"/>
                    </w:rPr>
                    <w:t xml:space="preserve"> </w:t>
                  </w:r>
                  <w:r>
                    <w:rPr>
                      <w:rFonts w:cs="Georgia"/>
                      <w:spacing w:val="2"/>
                    </w:rPr>
                    <w:t>l</w:t>
                  </w:r>
                  <w:r>
                    <w:rPr>
                      <w:rFonts w:cs="Georgia"/>
                    </w:rPr>
                    <w:t>a</w:t>
                  </w:r>
                  <w:r>
                    <w:rPr>
                      <w:rFonts w:cs="Georgia"/>
                      <w:spacing w:val="32"/>
                    </w:rPr>
                    <w:t xml:space="preserve"> </w:t>
                  </w:r>
                  <w:r>
                    <w:rPr>
                      <w:rFonts w:cs="Georgia"/>
                      <w:spacing w:val="1"/>
                    </w:rPr>
                    <w:t>so</w:t>
                  </w:r>
                  <w:r>
                    <w:rPr>
                      <w:rFonts w:cs="Georgia"/>
                    </w:rPr>
                    <w:t>mme</w:t>
                  </w:r>
                  <w:r>
                    <w:rPr>
                      <w:rFonts w:cs="Georgia"/>
                      <w:spacing w:val="32"/>
                    </w:rPr>
                    <w:t xml:space="preserve"> </w:t>
                  </w:r>
                  <w:r>
                    <w:rPr>
                      <w:rFonts w:cs="Georgia"/>
                    </w:rPr>
                    <w:t>d</w:t>
                  </w:r>
                  <w:r>
                    <w:rPr>
                      <w:rFonts w:cs="Georgia"/>
                      <w:spacing w:val="-1"/>
                    </w:rPr>
                    <w:t>e</w:t>
                  </w:r>
                  <w:r>
                    <w:rPr>
                      <w:rFonts w:cs="Georgia"/>
                    </w:rPr>
                    <w:t>s</w:t>
                  </w:r>
                  <w:r>
                    <w:rPr>
                      <w:rFonts w:cs="Georgia"/>
                      <w:spacing w:val="34"/>
                    </w:rPr>
                    <w:t xml:space="preserve"> </w:t>
                  </w:r>
                  <w:r>
                    <w:rPr>
                      <w:rFonts w:cs="Georgia"/>
                      <w:spacing w:val="1"/>
                    </w:rPr>
                    <w:t>r</w:t>
                  </w:r>
                  <w:r>
                    <w:rPr>
                      <w:rFonts w:cs="Georgia"/>
                      <w:spacing w:val="-1"/>
                    </w:rPr>
                    <w:t>é</w:t>
                  </w:r>
                  <w:r>
                    <w:rPr>
                      <w:rFonts w:cs="Georgia"/>
                      <w:spacing w:val="-2"/>
                    </w:rPr>
                    <w:t>s</w:t>
                  </w:r>
                  <w:r>
                    <w:rPr>
                      <w:rFonts w:cs="Georgia"/>
                    </w:rPr>
                    <w:t>u</w:t>
                  </w:r>
                  <w:r>
                    <w:rPr>
                      <w:rFonts w:cs="Georgia"/>
                      <w:spacing w:val="-1"/>
                    </w:rPr>
                    <w:t>l</w:t>
                  </w:r>
                  <w:r>
                    <w:rPr>
                      <w:rFonts w:cs="Georgia"/>
                      <w:spacing w:val="1"/>
                    </w:rPr>
                    <w:t>t</w:t>
                  </w:r>
                  <w:r>
                    <w:rPr>
                      <w:rFonts w:cs="Georgia"/>
                      <w:spacing w:val="-1"/>
                    </w:rPr>
                    <w:t>a</w:t>
                  </w:r>
                  <w:r>
                    <w:rPr>
                      <w:rFonts w:cs="Georgia"/>
                      <w:spacing w:val="1"/>
                    </w:rPr>
                    <w:t>t</w:t>
                  </w:r>
                  <w:r>
                    <w:rPr>
                      <w:rFonts w:cs="Georgia"/>
                    </w:rPr>
                    <w:t>s</w:t>
                  </w:r>
                  <w:r>
                    <w:rPr>
                      <w:rFonts w:cs="Georgia"/>
                      <w:spacing w:val="32"/>
                    </w:rPr>
                    <w:t xml:space="preserve"> </w:t>
                  </w:r>
                  <w:r>
                    <w:rPr>
                      <w:rFonts w:cs="Georgia"/>
                      <w:spacing w:val="-1"/>
                    </w:rPr>
                    <w:t>o</w:t>
                  </w:r>
                  <w:r>
                    <w:rPr>
                      <w:rFonts w:cs="Georgia"/>
                      <w:spacing w:val="1"/>
                    </w:rPr>
                    <w:t>bt</w:t>
                  </w:r>
                  <w:r>
                    <w:rPr>
                      <w:rFonts w:cs="Georgia"/>
                      <w:spacing w:val="-1"/>
                    </w:rPr>
                    <w:t>en</w:t>
                  </w:r>
                  <w:r>
                    <w:rPr>
                      <w:rFonts w:cs="Georgia"/>
                    </w:rPr>
                    <w:t>us</w:t>
                  </w:r>
                  <w:r>
                    <w:rPr>
                      <w:rFonts w:cs="Georgia"/>
                      <w:spacing w:val="32"/>
                    </w:rPr>
                    <w:t xml:space="preserve"> </w:t>
                  </w:r>
                  <w:r>
                    <w:rPr>
                      <w:rFonts w:cs="Georgia"/>
                      <w:spacing w:val="1"/>
                    </w:rPr>
                    <w:t>p</w:t>
                  </w:r>
                  <w:r>
                    <w:rPr>
                      <w:rFonts w:cs="Georgia"/>
                      <w:spacing w:val="-1"/>
                    </w:rPr>
                    <w:t>a</w:t>
                  </w:r>
                  <w:r>
                    <w:rPr>
                      <w:rFonts w:cs="Georgia"/>
                    </w:rPr>
                    <w:t>r</w:t>
                  </w:r>
                  <w:r>
                    <w:rPr>
                      <w:rFonts w:cs="Georgia"/>
                      <w:spacing w:val="34"/>
                    </w:rPr>
                    <w:t xml:space="preserve"> </w:t>
                  </w:r>
                  <w:r>
                    <w:rPr>
                      <w:rFonts w:cs="Georgia"/>
                      <w:spacing w:val="1"/>
                    </w:rPr>
                    <w:t>t</w:t>
                  </w:r>
                  <w:r>
                    <w:rPr>
                      <w:rFonts w:cs="Georgia"/>
                      <w:spacing w:val="-3"/>
                    </w:rPr>
                    <w:t>y</w:t>
                  </w:r>
                  <w:r>
                    <w:rPr>
                      <w:rFonts w:cs="Georgia"/>
                      <w:spacing w:val="1"/>
                    </w:rPr>
                    <w:t>p</w:t>
                  </w:r>
                  <w:r>
                    <w:rPr>
                      <w:rFonts w:cs="Georgia"/>
                    </w:rPr>
                    <w:t>e</w:t>
                  </w:r>
                  <w:r>
                    <w:rPr>
                      <w:rFonts w:cs="Georgia"/>
                      <w:spacing w:val="32"/>
                    </w:rPr>
                    <w:t xml:space="preserve"> </w:t>
                  </w:r>
                  <w:r>
                    <w:rPr>
                      <w:rFonts w:cs="Georgia"/>
                      <w:spacing w:val="-1"/>
                    </w:rPr>
                    <w:t>e</w:t>
                  </w:r>
                  <w:r>
                    <w:rPr>
                      <w:rFonts w:cs="Georgia"/>
                    </w:rPr>
                    <w:t>t</w:t>
                  </w:r>
                  <w:r>
                    <w:rPr>
                      <w:rFonts w:cs="Georgia"/>
                      <w:spacing w:val="34"/>
                    </w:rPr>
                    <w:t xml:space="preserve"> </w:t>
                  </w:r>
                  <w:r>
                    <w:rPr>
                      <w:rFonts w:cs="Georgia"/>
                      <w:spacing w:val="1"/>
                    </w:rPr>
                    <w:t>p</w:t>
                  </w:r>
                  <w:r>
                    <w:rPr>
                      <w:rFonts w:cs="Georgia"/>
                      <w:spacing w:val="-1"/>
                    </w:rPr>
                    <w:t>a</w:t>
                  </w:r>
                  <w:r>
                    <w:rPr>
                      <w:rFonts w:cs="Georgia"/>
                    </w:rPr>
                    <w:t>r f</w:t>
                  </w:r>
                  <w:r>
                    <w:rPr>
                      <w:rFonts w:cs="Georgia"/>
                      <w:spacing w:val="1"/>
                    </w:rPr>
                    <w:t>or</w:t>
                  </w:r>
                  <w:r>
                    <w:rPr>
                      <w:rFonts w:cs="Georgia"/>
                    </w:rPr>
                    <w:t>me</w:t>
                  </w:r>
                  <w:r>
                    <w:rPr>
                      <w:rFonts w:cs="Georgia"/>
                      <w:spacing w:val="-1"/>
                    </w:rPr>
                    <w:t xml:space="preserve"> </w:t>
                  </w:r>
                  <w:r>
                    <w:rPr>
                      <w:rFonts w:cs="Georgia"/>
                      <w:spacing w:val="-2"/>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 xml:space="preserve">. </w:t>
                  </w:r>
                  <w:r>
                    <w:rPr>
                      <w:rFonts w:cs="Georgia"/>
                      <w:spacing w:val="-1"/>
                    </w:rPr>
                    <w:t>Se</w:t>
                  </w:r>
                  <w:r>
                    <w:rPr>
                      <w:rFonts w:cs="Georgia"/>
                    </w:rPr>
                    <w:t>u</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e</w:t>
                  </w:r>
                  <w:r>
                    <w:rPr>
                      <w:rFonts w:cs="Georgia"/>
                      <w:spacing w:val="1"/>
                    </w:rPr>
                    <w:t>tt</w:t>
                  </w:r>
                  <w:r>
                    <w:rPr>
                      <w:rFonts w:cs="Georgia"/>
                    </w:rPr>
                    <w:t>e</w:t>
                  </w:r>
                  <w:r>
                    <w:rPr>
                      <w:rFonts w:cs="Georgia"/>
                      <w:spacing w:val="-1"/>
                    </w:rPr>
                    <w:t xml:space="preserve"> </w:t>
                  </w:r>
                  <w:r>
                    <w:rPr>
                      <w:rFonts w:cs="Georgia"/>
                      <w:spacing w:val="1"/>
                    </w:rPr>
                    <w:t>so</w:t>
                  </w:r>
                  <w:r>
                    <w:rPr>
                      <w:rFonts w:cs="Georgia"/>
                    </w:rPr>
                    <w:t>mme</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2"/>
                    </w:rPr>
                    <w:t>rr</w:t>
                  </w:r>
                  <w:r>
                    <w:rPr>
                      <w:rFonts w:cs="Georgia"/>
                      <w:spacing w:val="1"/>
                    </w:rPr>
                    <w:t>o</w:t>
                  </w:r>
                  <w:r>
                    <w:rPr>
                      <w:rFonts w:cs="Georgia"/>
                      <w:spacing w:val="-1"/>
                    </w:rPr>
                    <w:t>n</w:t>
                  </w:r>
                  <w:r>
                    <w:rPr>
                      <w:rFonts w:cs="Georgia"/>
                    </w:rPr>
                    <w:t>die</w:t>
                  </w:r>
                  <w:r>
                    <w:rPr>
                      <w:rFonts w:cs="Georgia"/>
                      <w:spacing w:val="-1"/>
                    </w:rPr>
                    <w:t xml:space="preserve"> </w:t>
                  </w:r>
                  <w:r>
                    <w:rPr>
                      <w:rFonts w:cs="Georgia"/>
                    </w:rPr>
                    <w:t>à</w:t>
                  </w:r>
                  <w:r>
                    <w:rPr>
                      <w:rFonts w:cs="Georgia"/>
                      <w:spacing w:val="-1"/>
                    </w:rPr>
                    <w:t xml:space="preserve"> l</w:t>
                  </w:r>
                  <w:r>
                    <w:rPr>
                      <w:rFonts w:cs="Georgia"/>
                      <w:spacing w:val="1"/>
                    </w:rPr>
                    <w:t>'</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spacing w:val="-2"/>
                    </w:rPr>
                    <w:t>u</w:t>
                  </w:r>
                  <w:r>
                    <w:rPr>
                      <w:rFonts w:cs="Georgia"/>
                      <w:spacing w:val="1"/>
                    </w:rPr>
                    <w:t>p</w:t>
                  </w:r>
                  <w:r>
                    <w:rPr>
                      <w:rFonts w:cs="Georgia"/>
                      <w:spacing w:val="-1"/>
                    </w:rPr>
                    <w:t>é</w:t>
                  </w:r>
                  <w:r>
                    <w:rPr>
                      <w:rFonts w:cs="Georgia"/>
                      <w:spacing w:val="1"/>
                    </w:rPr>
                    <w:t>r</w:t>
                  </w:r>
                  <w:r>
                    <w:rPr>
                      <w:rFonts w:cs="Georgia"/>
                    </w:rPr>
                    <w:t>i</w:t>
                  </w:r>
                  <w:r>
                    <w:rPr>
                      <w:rFonts w:cs="Georgia"/>
                      <w:spacing w:val="-1"/>
                    </w:rPr>
                    <w:t>e</w:t>
                  </w:r>
                  <w:r>
                    <w:rPr>
                      <w:rFonts w:cs="Georgia"/>
                    </w:rPr>
                    <w:t>u</w:t>
                  </w:r>
                  <w:r>
                    <w:rPr>
                      <w:rFonts w:cs="Georgia"/>
                      <w:spacing w:val="-2"/>
                    </w:rPr>
                    <w:t>r</w:t>
                  </w:r>
                  <w:r>
                    <w:rPr>
                      <w:rFonts w:cs="Georgia"/>
                      <w:spacing w:val="-1"/>
                    </w:rPr>
                    <w:t>e.</w:t>
                  </w:r>
                </w:p>
                <w:p w:rsidR="00F04EEF" w:rsidRDefault="00F04EEF">
                  <w:pPr>
                    <w:widowControl w:val="0"/>
                    <w:autoSpaceDE w:val="0"/>
                    <w:autoSpaceDN w:val="0"/>
                    <w:adjustRightInd w:val="0"/>
                    <w:spacing w:before="7" w:line="240" w:lineRule="exact"/>
                    <w:rPr>
                      <w:rFonts w:cs="Georgia"/>
                    </w:rPr>
                  </w:pPr>
                </w:p>
                <w:p w:rsidR="00F04EEF" w:rsidRDefault="0099351E">
                  <w:pPr>
                    <w:widowControl w:val="0"/>
                    <w:autoSpaceDE w:val="0"/>
                    <w:autoSpaceDN w:val="0"/>
                    <w:adjustRightInd w:val="0"/>
                    <w:jc w:val="both"/>
                    <w:rPr>
                      <w:rFonts w:cs="Georgia"/>
                    </w:rPr>
                  </w:pPr>
                  <w:r>
                    <w:rPr>
                      <w:rFonts w:cs="Georgia"/>
                    </w:rPr>
                    <w:t>Ce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n</w:t>
                  </w:r>
                  <w:r>
                    <w:rPr>
                      <w:rFonts w:cs="Georgia"/>
                    </w:rPr>
                    <w:t>e</w:t>
                  </w:r>
                  <w:r>
                    <w:rPr>
                      <w:rFonts w:cs="Georgia"/>
                      <w:spacing w:val="-1"/>
                    </w:rPr>
                    <w:t xml:space="preserve"> </w:t>
                  </w:r>
                  <w:r>
                    <w:rPr>
                      <w:rFonts w:cs="Georgia"/>
                      <w:spacing w:val="1"/>
                    </w:rPr>
                    <w:t>p</w:t>
                  </w:r>
                  <w:r>
                    <w:rPr>
                      <w:rFonts w:cs="Georgia"/>
                      <w:spacing w:val="-3"/>
                    </w:rPr>
                    <w:t>e</w:t>
                  </w:r>
                  <w:r>
                    <w:rPr>
                      <w:rFonts w:cs="Georgia"/>
                    </w:rPr>
                    <w:t xml:space="preserve">ut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spacing w:val="-2"/>
                    </w:rPr>
                    <w:t>i</w:t>
                  </w:r>
                  <w:r>
                    <w:rPr>
                      <w:rFonts w:cs="Georgia"/>
                      <w:spacing w:val="1"/>
                    </w:rPr>
                    <w:t>s</w:t>
                  </w:r>
                  <w:r>
                    <w:rPr>
                      <w:rFonts w:cs="Georgia"/>
                    </w:rPr>
                    <w:t>é</w:t>
                  </w:r>
                  <w:r>
                    <w:rPr>
                      <w:rFonts w:cs="Georgia"/>
                      <w:spacing w:val="-1"/>
                    </w:rPr>
                    <w:t xml:space="preserve"> q</w:t>
                  </w:r>
                  <w:r>
                    <w:rPr>
                      <w:rFonts w:cs="Georgia"/>
                    </w:rPr>
                    <w:t>u</w:t>
                  </w:r>
                  <w:r>
                    <w:rPr>
                      <w:rFonts w:cs="Georgia"/>
                      <w:spacing w:val="1"/>
                    </w:rPr>
                    <w:t>'</w:t>
                  </w:r>
                  <w:r>
                    <w:rPr>
                      <w:rFonts w:cs="Georgia"/>
                    </w:rPr>
                    <w:t>à</w:t>
                  </w:r>
                  <w:r>
                    <w:rPr>
                      <w:rFonts w:cs="Georgia"/>
                      <w:spacing w:val="-1"/>
                    </w:rPr>
                    <w:t xml:space="preserve"> </w:t>
                  </w:r>
                  <w:r>
                    <w:rPr>
                      <w:rFonts w:cs="Georgia"/>
                      <w:spacing w:val="1"/>
                    </w:rPr>
                    <w:t>co</w:t>
                  </w:r>
                  <w:r>
                    <w:rPr>
                      <w:rFonts w:cs="Georgia"/>
                      <w:spacing w:val="-1"/>
                    </w:rPr>
                    <w:t>n</w:t>
                  </w:r>
                  <w:r>
                    <w:rPr>
                      <w:rFonts w:cs="Georgia"/>
                      <w:spacing w:val="-2"/>
                    </w:rPr>
                    <w:t>cu</w:t>
                  </w:r>
                  <w:r>
                    <w:rPr>
                      <w:rFonts w:cs="Georgia"/>
                      <w:spacing w:val="1"/>
                    </w:rPr>
                    <w:t>rr</w:t>
                  </w:r>
                  <w:r>
                    <w:rPr>
                      <w:rFonts w:cs="Georgia"/>
                      <w:spacing w:val="-1"/>
                    </w:rPr>
                    <w:t>en</w:t>
                  </w:r>
                  <w:r>
                    <w:rPr>
                      <w:rFonts w:cs="Georgia"/>
                      <w:spacing w:val="1"/>
                    </w:rPr>
                    <w:t>c</w:t>
                  </w:r>
                  <w:r>
                    <w:rPr>
                      <w:rFonts w:cs="Georgia"/>
                    </w:rPr>
                    <w:t>e</w:t>
                  </w:r>
                  <w:r>
                    <w:rPr>
                      <w:rFonts w:cs="Georgia"/>
                      <w:spacing w:val="-1"/>
                    </w:rPr>
                    <w:t xml:space="preserve"> </w:t>
                  </w:r>
                  <w:r>
                    <w:rPr>
                      <w:rFonts w:cs="Georgia"/>
                    </w:rPr>
                    <w:t>de</w:t>
                  </w:r>
                  <w:r>
                    <w:rPr>
                      <w:rFonts w:cs="Georgia"/>
                      <w:spacing w:val="-1"/>
                    </w:rPr>
                    <w:t xml:space="preserve"> </w:t>
                  </w:r>
                  <w:r>
                    <w:rPr>
                      <w:rFonts w:cs="Georgia"/>
                    </w:rPr>
                    <w:t>97</w:t>
                  </w:r>
                  <w:r>
                    <w:rPr>
                      <w:rFonts w:cs="Georgia"/>
                      <w:spacing w:val="-1"/>
                    </w:rPr>
                    <w:t xml:space="preserve"> </w:t>
                  </w:r>
                  <w:r>
                    <w:rPr>
                      <w:rFonts w:cs="Georgia"/>
                    </w:rPr>
                    <w:t xml:space="preserve">%. </w:t>
                  </w:r>
                </w:p>
                <w:p w:rsidR="00F04EEF" w:rsidRDefault="00F04EEF">
                  <w:pPr>
                    <w:widowControl w:val="0"/>
                    <w:autoSpaceDE w:val="0"/>
                    <w:autoSpaceDN w:val="0"/>
                    <w:adjustRightInd w:val="0"/>
                    <w:jc w:val="both"/>
                    <w:rPr>
                      <w:rFonts w:cs="Georgia"/>
                    </w:rPr>
                  </w:pPr>
                </w:p>
                <w:p w:rsidR="00F04EEF" w:rsidRDefault="00F04EEF">
                  <w:pPr>
                    <w:widowControl w:val="0"/>
                    <w:autoSpaceDE w:val="0"/>
                    <w:autoSpaceDN w:val="0"/>
                    <w:adjustRightInd w:val="0"/>
                    <w:spacing w:before="11" w:line="240" w:lineRule="exact"/>
                    <w:rPr>
                      <w:rFonts w:cs="Georgia"/>
                    </w:rPr>
                  </w:pPr>
                </w:p>
                <w:p w:rsidR="00F04EEF" w:rsidRDefault="0099351E">
                  <w:pPr>
                    <w:pStyle w:val="Titre4"/>
                  </w:pPr>
                  <w:bookmarkStart w:id="1949" w:name="_3.3._Fonctions_de"/>
                  <w:bookmarkStart w:id="1950" w:name="_2.3._Fonctions_de"/>
                  <w:bookmarkStart w:id="1951" w:name="_Toc453314327"/>
                  <w:bookmarkStart w:id="1952" w:name="_Toc454980362"/>
                  <w:bookmarkEnd w:id="1949"/>
                  <w:bookmarkEnd w:id="1950"/>
                  <w:r>
                    <w:t>2.3. Fonctions de recrutement</w:t>
                  </w:r>
                  <w:bookmarkEnd w:id="1951"/>
                  <w:bookmarkEnd w:id="1952"/>
                  <w:r>
                    <w:rPr>
                      <w:rStyle w:val="Appelnotedebasdep"/>
                    </w:rPr>
                    <w:footnoteReference w:id="126"/>
                  </w:r>
                </w:p>
                <w:p w:rsidR="00F04EEF" w:rsidRDefault="00F04EEF">
                  <w:pPr>
                    <w:widowControl w:val="0"/>
                    <w:autoSpaceDE w:val="0"/>
                    <w:autoSpaceDN w:val="0"/>
                    <w:adjustRightInd w:val="0"/>
                    <w:spacing w:before="10" w:line="240" w:lineRule="exact"/>
                    <w:rPr>
                      <w:rFonts w:cs="Georgia"/>
                    </w:rPr>
                  </w:pPr>
                </w:p>
                <w:p w:rsidR="00F04EEF" w:rsidRDefault="0099351E">
                  <w:pPr>
                    <w:widowControl w:val="0"/>
                    <w:autoSpaceDE w:val="0"/>
                    <w:autoSpaceDN w:val="0"/>
                    <w:adjustRightInd w:val="0"/>
                    <w:jc w:val="both"/>
                    <w:rPr>
                      <w:rFonts w:cs="Georgia"/>
                      <w:spacing w:val="3"/>
                    </w:rPr>
                  </w:pPr>
                  <w:r>
                    <w:rPr>
                      <w:rFonts w:cs="Georgia"/>
                      <w:spacing w:val="1"/>
                    </w:rPr>
                    <w:t>L</w:t>
                  </w:r>
                  <w:r>
                    <w:rPr>
                      <w:rFonts w:cs="Georgia"/>
                      <w:spacing w:val="-1"/>
                    </w:rPr>
                    <w:t>e</w:t>
                  </w:r>
                  <w:r>
                    <w:rPr>
                      <w:rFonts w:cs="Georgia"/>
                    </w:rPr>
                    <w:t>s</w:t>
                  </w:r>
                  <w:r>
                    <w:rPr>
                      <w:rFonts w:cs="Georgia"/>
                      <w:spacing w:val="4"/>
                    </w:rPr>
                    <w:t xml:space="preserve"> </w:t>
                  </w:r>
                  <w:r>
                    <w:rPr>
                      <w:rFonts w:cs="Georgia"/>
                      <w:spacing w:val="-2"/>
                    </w:rPr>
                    <w:t>f</w:t>
                  </w:r>
                  <w:r>
                    <w:rPr>
                      <w:rFonts w:cs="Georgia"/>
                      <w:spacing w:val="1"/>
                    </w:rPr>
                    <w:t>o</w:t>
                  </w:r>
                  <w:r>
                    <w:rPr>
                      <w:rFonts w:cs="Georgia"/>
                      <w:spacing w:val="-1"/>
                    </w:rPr>
                    <w:t>n</w:t>
                  </w:r>
                  <w:r>
                    <w:rPr>
                      <w:rFonts w:cs="Georgia"/>
                      <w:spacing w:val="1"/>
                    </w:rPr>
                    <w:t>c</w:t>
                  </w:r>
                  <w:r>
                    <w:rPr>
                      <w:rFonts w:cs="Georgia"/>
                      <w:spacing w:val="-2"/>
                    </w:rPr>
                    <w:t>t</w:t>
                  </w:r>
                  <w:r>
                    <w:rPr>
                      <w:rFonts w:cs="Georgia"/>
                    </w:rPr>
                    <w:t>i</w:t>
                  </w:r>
                  <w:r>
                    <w:rPr>
                      <w:rFonts w:cs="Georgia"/>
                      <w:spacing w:val="1"/>
                    </w:rPr>
                    <w:t>o</w:t>
                  </w:r>
                  <w:r>
                    <w:rPr>
                      <w:rFonts w:cs="Georgia"/>
                      <w:spacing w:val="-1"/>
                    </w:rPr>
                    <w:t>n</w:t>
                  </w:r>
                  <w:r>
                    <w:rPr>
                      <w:rFonts w:cs="Georgia"/>
                    </w:rPr>
                    <w:t>s</w:t>
                  </w:r>
                  <w:r>
                    <w:rPr>
                      <w:rFonts w:cs="Georgia"/>
                      <w:spacing w:val="2"/>
                    </w:rPr>
                    <w:t xml:space="preserve"> </w:t>
                  </w:r>
                  <w:r>
                    <w:rPr>
                      <w:rFonts w:cs="Georgia"/>
                    </w:rPr>
                    <w:t>de</w:t>
                  </w:r>
                  <w:r>
                    <w:rPr>
                      <w:rFonts w:cs="Georgia"/>
                      <w:spacing w:val="2"/>
                    </w:rPr>
                    <w:t xml:space="preserve"> </w:t>
                  </w:r>
                  <w:r>
                    <w:rPr>
                      <w:rFonts w:cs="Georgia"/>
                      <w:spacing w:val="1"/>
                    </w:rPr>
                    <w:t>r</w:t>
                  </w:r>
                  <w:r>
                    <w:rPr>
                      <w:rFonts w:cs="Georgia"/>
                      <w:spacing w:val="-1"/>
                    </w:rPr>
                    <w:t>e</w:t>
                  </w:r>
                  <w:r>
                    <w:rPr>
                      <w:rFonts w:cs="Georgia"/>
                      <w:spacing w:val="-2"/>
                    </w:rPr>
                    <w:t>c</w:t>
                  </w:r>
                  <w:r>
                    <w:rPr>
                      <w:rFonts w:cs="Georgia"/>
                      <w:spacing w:val="1"/>
                    </w:rPr>
                    <w:t>r</w:t>
                  </w:r>
                  <w:r>
                    <w:rPr>
                      <w:rFonts w:cs="Georgia"/>
                      <w:spacing w:val="-2"/>
                    </w:rPr>
                    <w:t>u</w:t>
                  </w:r>
                  <w:r>
                    <w:rPr>
                      <w:rFonts w:cs="Georgia"/>
                      <w:spacing w:val="1"/>
                    </w:rPr>
                    <w:t>t</w:t>
                  </w:r>
                  <w:r>
                    <w:rPr>
                      <w:rFonts w:cs="Georgia"/>
                      <w:spacing w:val="-1"/>
                    </w:rPr>
                    <w:t>e</w:t>
                  </w:r>
                  <w:r>
                    <w:rPr>
                      <w:rFonts w:cs="Georgia"/>
                    </w:rPr>
                    <w:t>m</w:t>
                  </w:r>
                  <w:r>
                    <w:rPr>
                      <w:rFonts w:cs="Georgia"/>
                      <w:spacing w:val="-1"/>
                    </w:rPr>
                    <w:t>en</w:t>
                  </w:r>
                  <w:r>
                    <w:rPr>
                      <w:rFonts w:cs="Georgia"/>
                    </w:rPr>
                    <w:t>t</w:t>
                  </w:r>
                  <w:r>
                    <w:rPr>
                      <w:rFonts w:cs="Georgia"/>
                      <w:spacing w:val="4"/>
                    </w:rPr>
                    <w:t xml:space="preserve"> </w:t>
                  </w:r>
                  <w:r>
                    <w:rPr>
                      <w:rFonts w:cs="Georgia"/>
                      <w:spacing w:val="1"/>
                    </w:rPr>
                    <w:t>s</w:t>
                  </w:r>
                  <w:r>
                    <w:rPr>
                      <w:rFonts w:cs="Georgia"/>
                    </w:rPr>
                    <w:t>u</w:t>
                  </w:r>
                  <w:r>
                    <w:rPr>
                      <w:rFonts w:cs="Georgia"/>
                      <w:spacing w:val="-2"/>
                    </w:rPr>
                    <w:t>i</w:t>
                  </w:r>
                  <w:r>
                    <w:rPr>
                      <w:rFonts w:cs="Georgia"/>
                      <w:spacing w:val="1"/>
                    </w:rPr>
                    <w:t>v</w:t>
                  </w:r>
                  <w:r>
                    <w:rPr>
                      <w:rFonts w:cs="Georgia"/>
                      <w:spacing w:val="-1"/>
                    </w:rPr>
                    <w:t>an</w:t>
                  </w:r>
                  <w:r>
                    <w:rPr>
                      <w:rFonts w:cs="Georgia"/>
                      <w:spacing w:val="1"/>
                    </w:rPr>
                    <w:t>t</w:t>
                  </w:r>
                  <w:r>
                    <w:rPr>
                      <w:rFonts w:cs="Georgia"/>
                      <w:spacing w:val="-1"/>
                    </w:rPr>
                    <w:t>e</w:t>
                  </w:r>
                  <w:r>
                    <w:rPr>
                      <w:rFonts w:cs="Georgia"/>
                    </w:rPr>
                    <w:t>s</w:t>
                  </w:r>
                  <w:r>
                    <w:rPr>
                      <w:rFonts w:cs="Georgia"/>
                      <w:spacing w:val="2"/>
                    </w:rPr>
                    <w:t xml:space="preserve"> </w:t>
                  </w:r>
                  <w:r>
                    <w:rPr>
                      <w:rFonts w:cs="Georgia"/>
                      <w:spacing w:val="1"/>
                    </w:rPr>
                    <w:t>p</w:t>
                  </w:r>
                  <w:r>
                    <w:rPr>
                      <w:rFonts w:cs="Georgia"/>
                      <w:spacing w:val="-1"/>
                    </w:rPr>
                    <w:t>e</w:t>
                  </w:r>
                  <w:r>
                    <w:rPr>
                      <w:rFonts w:cs="Georgia"/>
                    </w:rPr>
                    <w:t>u</w:t>
                  </w:r>
                  <w:r>
                    <w:rPr>
                      <w:rFonts w:cs="Georgia"/>
                      <w:spacing w:val="1"/>
                    </w:rPr>
                    <w:t>v</w:t>
                  </w:r>
                  <w:r>
                    <w:rPr>
                      <w:rFonts w:cs="Georgia"/>
                      <w:spacing w:val="-1"/>
                    </w:rPr>
                    <w:t>en</w:t>
                  </w:r>
                  <w:r>
                    <w:rPr>
                      <w:rFonts w:cs="Georgia"/>
                    </w:rPr>
                    <w:t>t</w:t>
                  </w:r>
                  <w:r>
                    <w:rPr>
                      <w:rFonts w:cs="Georgia"/>
                      <w:spacing w:val="2"/>
                    </w:rPr>
                    <w:t xml:space="preserve"> </w:t>
                  </w:r>
                  <w:r>
                    <w:rPr>
                      <w:rFonts w:cs="Georgia"/>
                      <w:spacing w:val="-1"/>
                    </w:rPr>
                    <w:t>ê</w:t>
                  </w:r>
                  <w:r>
                    <w:rPr>
                      <w:rFonts w:cs="Georgia"/>
                      <w:spacing w:val="1"/>
                    </w:rPr>
                    <w:t>tr</w:t>
                  </w:r>
                  <w:r>
                    <w:rPr>
                      <w:rFonts w:cs="Georgia"/>
                    </w:rPr>
                    <w:t>e</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spacing w:val="-1"/>
                    </w:rPr>
                    <w:t>ée</w:t>
                  </w:r>
                  <w:r>
                    <w:rPr>
                      <w:rFonts w:cs="Georgia"/>
                    </w:rPr>
                    <w:t>s</w:t>
                  </w:r>
                  <w:r>
                    <w:rPr>
                      <w:rFonts w:cs="Georgia"/>
                      <w:spacing w:val="2"/>
                    </w:rPr>
                    <w:t xml:space="preserve"> </w:t>
                  </w:r>
                  <w:r>
                    <w:rPr>
                      <w:rFonts w:cs="Georgia"/>
                    </w:rPr>
                    <w:t>d</w:t>
                  </w:r>
                  <w:r>
                    <w:rPr>
                      <w:rFonts w:cs="Georgia"/>
                      <w:spacing w:val="-1"/>
                    </w:rPr>
                    <w:t>an</w:t>
                  </w:r>
                  <w:r>
                    <w:rPr>
                      <w:rFonts w:cs="Georgia"/>
                    </w:rPr>
                    <w:t>s</w:t>
                  </w:r>
                  <w:r>
                    <w:rPr>
                      <w:rFonts w:cs="Georgia"/>
                      <w:spacing w:val="4"/>
                    </w:rPr>
                    <w:t xml:space="preserve"> </w:t>
                  </w:r>
                  <w:r>
                    <w:rPr>
                      <w:rFonts w:cs="Georgia"/>
                      <w:spacing w:val="-1"/>
                    </w:rPr>
                    <w:t>l</w:t>
                  </w:r>
                  <w:r>
                    <w:rPr>
                      <w:rFonts w:cs="Georgia"/>
                    </w:rPr>
                    <w:t xml:space="preserve">a </w:t>
                  </w:r>
                  <w:r>
                    <w:rPr>
                      <w:rFonts w:cs="Georgia"/>
                      <w:spacing w:val="1"/>
                    </w:rPr>
                    <w:t>c</w:t>
                  </w:r>
                  <w:r>
                    <w:rPr>
                      <w:rFonts w:cs="Georgia"/>
                      <w:spacing w:val="-1"/>
                    </w:rPr>
                    <w:t>a</w:t>
                  </w:r>
                  <w:r>
                    <w:rPr>
                      <w:rFonts w:cs="Georgia"/>
                      <w:spacing w:val="1"/>
                    </w:rPr>
                    <w:t>t</w:t>
                  </w:r>
                  <w:r>
                    <w:rPr>
                      <w:rFonts w:cs="Georgia"/>
                      <w:spacing w:val="-1"/>
                    </w:rPr>
                    <w:t>é</w:t>
                  </w:r>
                  <w:r>
                    <w:rPr>
                      <w:rFonts w:cs="Georgia"/>
                    </w:rPr>
                    <w:t>g</w:t>
                  </w:r>
                  <w:r>
                    <w:rPr>
                      <w:rFonts w:cs="Georgia"/>
                      <w:spacing w:val="-1"/>
                    </w:rPr>
                    <w:t>o</w:t>
                  </w:r>
                  <w:r>
                    <w:rPr>
                      <w:rFonts w:cs="Georgia"/>
                      <w:spacing w:val="1"/>
                    </w:rPr>
                    <w:t>r</w:t>
                  </w:r>
                  <w:r>
                    <w:rPr>
                      <w:rFonts w:cs="Georgia"/>
                    </w:rPr>
                    <w:t>ie</w:t>
                  </w:r>
                  <w:r>
                    <w:rPr>
                      <w:rFonts w:cs="Georgia"/>
                      <w:spacing w:val="2"/>
                    </w:rPr>
                    <w:t xml:space="preserve"> </w:t>
                  </w:r>
                  <w:r>
                    <w:rPr>
                      <w:rFonts w:cs="Georgia"/>
                      <w:spacing w:val="-2"/>
                    </w:rPr>
                    <w:t>d</w:t>
                  </w:r>
                  <w:r>
                    <w:rPr>
                      <w:rFonts w:cs="Georgia"/>
                    </w:rPr>
                    <w:t>u</w:t>
                  </w:r>
                  <w:r>
                    <w:rPr>
                      <w:rFonts w:cs="Georgia"/>
                      <w:spacing w:val="1"/>
                    </w:rPr>
                    <w:t xml:space="preserve"> p</w:t>
                  </w:r>
                  <w:r>
                    <w:rPr>
                      <w:rFonts w:cs="Georgia"/>
                      <w:spacing w:val="-1"/>
                    </w:rPr>
                    <w:t>e</w:t>
                  </w:r>
                  <w:r>
                    <w:rPr>
                      <w:rFonts w:cs="Georgia"/>
                      <w:spacing w:val="1"/>
                    </w:rPr>
                    <w:t>r</w:t>
                  </w:r>
                  <w:r>
                    <w:rPr>
                      <w:rFonts w:cs="Georgia"/>
                      <w:spacing w:val="-2"/>
                    </w:rPr>
                    <w:t>s</w:t>
                  </w:r>
                  <w:r>
                    <w:rPr>
                      <w:rFonts w:cs="Georgia"/>
                      <w:spacing w:val="1"/>
                    </w:rPr>
                    <w:t>o</w:t>
                  </w:r>
                  <w:r>
                    <w:rPr>
                      <w:rFonts w:cs="Georgia"/>
                      <w:spacing w:val="-1"/>
                    </w:rPr>
                    <w:t>nne</w:t>
                  </w:r>
                  <w:r>
                    <w:rPr>
                      <w:rFonts w:cs="Georgia"/>
                    </w:rPr>
                    <w:t>l di</w:t>
                  </w:r>
                  <w:r>
                    <w:rPr>
                      <w:rFonts w:cs="Georgia"/>
                      <w:spacing w:val="1"/>
                    </w:rPr>
                    <w:t>r</w:t>
                  </w:r>
                  <w:r>
                    <w:rPr>
                      <w:rFonts w:cs="Georgia"/>
                      <w:spacing w:val="-1"/>
                    </w:rPr>
                    <w:t>e</w:t>
                  </w:r>
                  <w:r>
                    <w:rPr>
                      <w:rFonts w:cs="Georgia"/>
                      <w:spacing w:val="1"/>
                    </w:rPr>
                    <w:t>ct</w:t>
                  </w:r>
                  <w:r>
                    <w:rPr>
                      <w:rFonts w:cs="Georgia"/>
                      <w:spacing w:val="-1"/>
                    </w:rPr>
                    <w:t>e</w:t>
                  </w:r>
                  <w:r>
                    <w:rPr>
                      <w:rFonts w:cs="Georgia"/>
                      <w:spacing w:val="-2"/>
                    </w:rPr>
                    <w:t>u</w:t>
                  </w:r>
                  <w:r>
                    <w:rPr>
                      <w:rFonts w:cs="Georgia"/>
                    </w:rPr>
                    <w:t>r</w:t>
                  </w:r>
                  <w:r>
                    <w:rPr>
                      <w:rFonts w:cs="Georgia"/>
                      <w:spacing w:val="4"/>
                    </w:rPr>
                    <w:t xml:space="preserve"> </w:t>
                  </w:r>
                  <w:r>
                    <w:rPr>
                      <w:rFonts w:cs="Georgia"/>
                      <w:spacing w:val="-1"/>
                    </w:rPr>
                    <w:t>e</w:t>
                  </w:r>
                  <w:r>
                    <w:rPr>
                      <w:rFonts w:cs="Georgia"/>
                    </w:rPr>
                    <w:t>t</w:t>
                  </w:r>
                  <w:r>
                    <w:rPr>
                      <w:rFonts w:cs="Georgia"/>
                      <w:spacing w:val="4"/>
                    </w:rPr>
                    <w:t xml:space="preserve"> </w:t>
                  </w:r>
                  <w:r>
                    <w:rPr>
                      <w:rFonts w:cs="Georgia"/>
                      <w:spacing w:val="-1"/>
                    </w:rPr>
                    <w:t>en</w:t>
                  </w:r>
                  <w:r>
                    <w:rPr>
                      <w:rFonts w:cs="Georgia"/>
                      <w:spacing w:val="1"/>
                    </w:rPr>
                    <w:t>s</w:t>
                  </w:r>
                  <w:r>
                    <w:rPr>
                      <w:rFonts w:cs="Georgia"/>
                      <w:spacing w:val="-1"/>
                    </w:rPr>
                    <w:t>e</w:t>
                  </w:r>
                  <w:r>
                    <w:rPr>
                      <w:rFonts w:cs="Georgia"/>
                    </w:rPr>
                    <w:t>ig</w:t>
                  </w:r>
                  <w:r>
                    <w:rPr>
                      <w:rFonts w:cs="Georgia"/>
                      <w:spacing w:val="-1"/>
                    </w:rPr>
                    <w:t>nan</w:t>
                  </w:r>
                  <w:r>
                    <w:rPr>
                      <w:rFonts w:cs="Georgia"/>
                    </w:rPr>
                    <w:t>t</w:t>
                  </w:r>
                  <w:r>
                    <w:rPr>
                      <w:rFonts w:cs="Georgia"/>
                      <w:spacing w:val="4"/>
                    </w:rPr>
                    <w:t> </w:t>
                  </w:r>
                  <w:r>
                    <w:rPr>
                      <w:rFonts w:cs="Georgia"/>
                    </w:rPr>
                    <w:t>:</w:t>
                  </w:r>
                  <w:r>
                    <w:rPr>
                      <w:rFonts w:cs="Georgia"/>
                      <w:spacing w:val="3"/>
                    </w:rPr>
                    <w:t xml:space="preserve"> </w:t>
                  </w:r>
                </w:p>
                <w:p w:rsidR="00F04EEF" w:rsidRDefault="00F04EEF">
                  <w:pPr>
                    <w:widowControl w:val="0"/>
                    <w:autoSpaceDE w:val="0"/>
                    <w:autoSpaceDN w:val="0"/>
                    <w:adjustRightInd w:val="0"/>
                    <w:jc w:val="both"/>
                    <w:rPr>
                      <w:rFonts w:cs="Georgia"/>
                      <w:spacing w:val="3"/>
                    </w:rPr>
                  </w:pPr>
                </w:p>
                <w:p w:rsidR="00F04EEF" w:rsidRDefault="0099351E">
                  <w:pPr>
                    <w:pStyle w:val="Paragraphedeliste"/>
                    <w:widowControl w:val="0"/>
                    <w:numPr>
                      <w:ilvl w:val="0"/>
                      <w:numId w:val="337"/>
                    </w:numPr>
                    <w:autoSpaceDE w:val="0"/>
                    <w:autoSpaceDN w:val="0"/>
                    <w:adjustRightInd w:val="0"/>
                    <w:jc w:val="both"/>
                    <w:rPr>
                      <w:rFonts w:asciiTheme="majorHAnsi" w:hAnsiTheme="majorHAnsi" w:cs="Georgia"/>
                      <w:b/>
                      <w:sz w:val="22"/>
                    </w:rPr>
                  </w:pPr>
                  <w:r>
                    <w:rPr>
                      <w:rFonts w:asciiTheme="majorHAnsi" w:hAnsiTheme="majorHAnsi" w:cs="Georgia"/>
                      <w:b/>
                      <w:sz w:val="22"/>
                    </w:rPr>
                    <w:t xml:space="preserve">Travail en classe </w:t>
                  </w:r>
                </w:p>
                <w:p w:rsidR="00F04EEF" w:rsidRDefault="00F04EEF">
                  <w:pPr>
                    <w:pStyle w:val="Paragraphedeliste"/>
                    <w:widowControl w:val="0"/>
                    <w:autoSpaceDE w:val="0"/>
                    <w:autoSpaceDN w:val="0"/>
                    <w:adjustRightInd w:val="0"/>
                    <w:ind w:left="720"/>
                    <w:jc w:val="both"/>
                    <w:rPr>
                      <w:rFonts w:asciiTheme="majorHAnsi" w:hAnsiTheme="majorHAnsi" w:cs="Georgia"/>
                      <w:b/>
                      <w:sz w:val="22"/>
                    </w:rPr>
                  </w:pPr>
                </w:p>
                <w:p w:rsidR="00F04EEF" w:rsidRDefault="0099351E">
                  <w:pPr>
                    <w:widowControl w:val="0"/>
                    <w:autoSpaceDE w:val="0"/>
                    <w:autoSpaceDN w:val="0"/>
                    <w:adjustRightInd w:val="0"/>
                    <w:spacing w:before="38" w:line="241" w:lineRule="auto"/>
                    <w:jc w:val="center"/>
                    <w:rPr>
                      <w:rFonts w:cs="Georgia"/>
                      <w:b/>
                      <w:bCs/>
                      <w:sz w:val="24"/>
                    </w:rPr>
                  </w:pPr>
                  <w:r>
                    <w:rPr>
                      <w:b/>
                      <w:color w:val="000000"/>
                      <w:sz w:val="24"/>
                    </w:rPr>
                    <w:t>Périodes hebdomadaires de travail en classe pour atteindre une charge complète</w:t>
                  </w:r>
                </w:p>
                <w:p w:rsidR="00F04EEF" w:rsidRDefault="00F04EEF">
                  <w:pPr>
                    <w:widowControl w:val="0"/>
                    <w:autoSpaceDE w:val="0"/>
                    <w:autoSpaceDN w:val="0"/>
                    <w:adjustRightInd w:val="0"/>
                    <w:spacing w:before="38" w:line="241" w:lineRule="auto"/>
                    <w:jc w:val="center"/>
                    <w:rPr>
                      <w:rFonts w:cs="Georgia"/>
                      <w:b/>
                      <w:bCs/>
                    </w:rPr>
                  </w:pPr>
                </w:p>
                <w:tbl>
                  <w:tblPr>
                    <w:tblW w:w="9493" w:type="dxa"/>
                    <w:jc w:val="center"/>
                    <w:tblLayout w:type="fixed"/>
                    <w:tblCellMar>
                      <w:left w:w="0" w:type="dxa"/>
                      <w:right w:w="0" w:type="dxa"/>
                    </w:tblCellMar>
                    <w:tblLook w:val="0000" w:firstRow="0" w:lastRow="0" w:firstColumn="0" w:lastColumn="0" w:noHBand="0" w:noVBand="0"/>
                  </w:tblPr>
                  <w:tblGrid>
                    <w:gridCol w:w="5199"/>
                    <w:gridCol w:w="1371"/>
                    <w:gridCol w:w="937"/>
                    <w:gridCol w:w="710"/>
                    <w:gridCol w:w="1276"/>
                  </w:tblGrid>
                  <w:tr w:rsidR="00F04EEF">
                    <w:trPr>
                      <w:trHeight w:hRule="exact" w:val="1092"/>
                      <w:jc w:val="center"/>
                    </w:trPr>
                    <w:tc>
                      <w:tcPr>
                        <w:tcW w:w="5199"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37" w:lineRule="exact"/>
                          <w:jc w:val="center"/>
                          <w:rPr>
                            <w:rFonts w:cs="Georgia"/>
                            <w:b/>
                            <w:bCs/>
                          </w:rPr>
                        </w:pPr>
                        <w:r>
                          <w:rPr>
                            <w:rFonts w:cs="Georgia"/>
                            <w:b/>
                            <w:bCs/>
                          </w:rPr>
                          <w:t>FON</w:t>
                        </w:r>
                        <w:r>
                          <w:rPr>
                            <w:rFonts w:cs="Georgia"/>
                            <w:b/>
                            <w:bCs/>
                            <w:spacing w:val="-2"/>
                          </w:rPr>
                          <w:t>C</w:t>
                        </w:r>
                        <w:r>
                          <w:rPr>
                            <w:rFonts w:cs="Georgia"/>
                            <w:b/>
                            <w:bCs/>
                          </w:rPr>
                          <w:t>T</w:t>
                        </w:r>
                        <w:r>
                          <w:rPr>
                            <w:rFonts w:cs="Georgia"/>
                            <w:b/>
                            <w:bCs/>
                            <w:spacing w:val="-1"/>
                          </w:rPr>
                          <w:t>I</w:t>
                        </w:r>
                        <w:r>
                          <w:rPr>
                            <w:rFonts w:cs="Georgia"/>
                            <w:b/>
                            <w:bCs/>
                          </w:rPr>
                          <w:t>O</w:t>
                        </w:r>
                        <w:r>
                          <w:rPr>
                            <w:rFonts w:cs="Georgia"/>
                            <w:b/>
                            <w:bCs/>
                            <w:spacing w:val="-2"/>
                          </w:rPr>
                          <w:t>N</w:t>
                        </w:r>
                        <w:r>
                          <w:rPr>
                            <w:rFonts w:cs="Georgia"/>
                            <w:b/>
                            <w:bCs/>
                          </w:rPr>
                          <w:t>S</w:t>
                        </w:r>
                        <w:r>
                          <w:rPr>
                            <w:rFonts w:cs="Georgia"/>
                            <w:b/>
                            <w:bCs/>
                            <w:spacing w:val="-1"/>
                          </w:rPr>
                          <w:t xml:space="preserve"> D</w:t>
                        </w:r>
                        <w:r>
                          <w:rPr>
                            <w:rFonts w:cs="Georgia"/>
                            <w:b/>
                            <w:bCs/>
                          </w:rPr>
                          <w:t>E</w:t>
                        </w:r>
                        <w:r>
                          <w:rPr>
                            <w:rFonts w:cs="Georgia"/>
                            <w:b/>
                            <w:bCs/>
                            <w:spacing w:val="-2"/>
                          </w:rPr>
                          <w:t xml:space="preserve"> </w:t>
                        </w:r>
                        <w:r>
                          <w:rPr>
                            <w:rFonts w:cs="Georgia"/>
                            <w:b/>
                            <w:bCs/>
                          </w:rPr>
                          <w:t>R</w:t>
                        </w:r>
                        <w:r>
                          <w:rPr>
                            <w:rFonts w:cs="Georgia"/>
                            <w:b/>
                            <w:bCs/>
                            <w:spacing w:val="-1"/>
                          </w:rPr>
                          <w:t>E</w:t>
                        </w:r>
                        <w:r>
                          <w:rPr>
                            <w:rFonts w:cs="Georgia"/>
                            <w:b/>
                            <w:bCs/>
                          </w:rPr>
                          <w:t>C</w:t>
                        </w:r>
                        <w:r>
                          <w:rPr>
                            <w:rFonts w:cs="Georgia"/>
                            <w:b/>
                            <w:bCs/>
                            <w:spacing w:val="-3"/>
                          </w:rPr>
                          <w:t>R</w:t>
                        </w:r>
                        <w:r>
                          <w:rPr>
                            <w:rFonts w:cs="Georgia"/>
                            <w:b/>
                            <w:bCs/>
                            <w:spacing w:val="-1"/>
                          </w:rPr>
                          <w:t>U</w:t>
                        </w:r>
                        <w:r>
                          <w:rPr>
                            <w:rFonts w:cs="Georgia"/>
                            <w:b/>
                            <w:bCs/>
                          </w:rPr>
                          <w:t>T</w:t>
                        </w:r>
                        <w:r>
                          <w:rPr>
                            <w:rFonts w:cs="Georgia"/>
                            <w:b/>
                            <w:bCs/>
                            <w:spacing w:val="-1"/>
                          </w:rPr>
                          <w:t>E</w:t>
                        </w:r>
                        <w:r>
                          <w:rPr>
                            <w:rFonts w:cs="Georgia"/>
                            <w:b/>
                            <w:bCs/>
                          </w:rPr>
                          <w:t>M</w:t>
                        </w:r>
                        <w:r>
                          <w:rPr>
                            <w:rFonts w:cs="Georgia"/>
                            <w:b/>
                            <w:bCs/>
                            <w:spacing w:val="-1"/>
                          </w:rPr>
                          <w:t>E</w:t>
                        </w:r>
                        <w:r>
                          <w:rPr>
                            <w:rFonts w:cs="Georgia"/>
                            <w:b/>
                            <w:bCs/>
                          </w:rPr>
                          <w:t>NT</w:t>
                        </w:r>
                      </w:p>
                      <w:p w:rsidR="00F04EEF" w:rsidRDefault="00F04EEF">
                        <w:pPr>
                          <w:widowControl w:val="0"/>
                          <w:autoSpaceDE w:val="0"/>
                          <w:autoSpaceDN w:val="0"/>
                          <w:adjustRightInd w:val="0"/>
                          <w:spacing w:line="237" w:lineRule="exact"/>
                          <w:jc w:val="center"/>
                          <w:rPr>
                            <w:rFonts w:cs="Georgia"/>
                            <w:b/>
                            <w:bCs/>
                          </w:rPr>
                        </w:pPr>
                      </w:p>
                      <w:p w:rsidR="00F04EEF" w:rsidRDefault="00F04EEF">
                        <w:pPr>
                          <w:widowControl w:val="0"/>
                          <w:autoSpaceDE w:val="0"/>
                          <w:autoSpaceDN w:val="0"/>
                          <w:adjustRightInd w:val="0"/>
                          <w:spacing w:line="237" w:lineRule="exact"/>
                          <w:jc w:val="center"/>
                          <w:rPr>
                            <w:rFonts w:cs="Georgia"/>
                            <w:b/>
                            <w:bCs/>
                          </w:rPr>
                        </w:pPr>
                      </w:p>
                      <w:p w:rsidR="00F04EEF" w:rsidRDefault="00F04EEF">
                        <w:pPr>
                          <w:widowControl w:val="0"/>
                          <w:autoSpaceDE w:val="0"/>
                          <w:autoSpaceDN w:val="0"/>
                          <w:adjustRightInd w:val="0"/>
                          <w:spacing w:line="237" w:lineRule="exact"/>
                          <w:jc w:val="center"/>
                          <w:rPr>
                            <w:rFonts w:cs="Georgia"/>
                            <w:b/>
                            <w:bCs/>
                          </w:rPr>
                        </w:pPr>
                      </w:p>
                      <w:p w:rsidR="00F04EEF" w:rsidRDefault="00F04EEF">
                        <w:pPr>
                          <w:widowControl w:val="0"/>
                          <w:autoSpaceDE w:val="0"/>
                          <w:autoSpaceDN w:val="0"/>
                          <w:adjustRightInd w:val="0"/>
                          <w:spacing w:line="237" w:lineRule="exact"/>
                          <w:jc w:val="center"/>
                        </w:pPr>
                      </w:p>
                    </w:tc>
                    <w:tc>
                      <w:tcPr>
                        <w:tcW w:w="1371"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jc w:val="center"/>
                        </w:pPr>
                        <w:r>
                          <w:rPr>
                            <w:rFonts w:cs="Georgia"/>
                            <w:b/>
                            <w:bCs/>
                            <w:spacing w:val="1"/>
                          </w:rPr>
                          <w:t>Fo</w:t>
                        </w:r>
                        <w:r>
                          <w:rPr>
                            <w:rFonts w:cs="Georgia"/>
                            <w:b/>
                            <w:bCs/>
                          </w:rPr>
                          <w:t>r</w:t>
                        </w:r>
                        <w:r>
                          <w:rPr>
                            <w:rFonts w:cs="Georgia"/>
                            <w:b/>
                            <w:bCs/>
                            <w:spacing w:val="2"/>
                          </w:rPr>
                          <w:t>m</w:t>
                        </w:r>
                        <w:r>
                          <w:rPr>
                            <w:rFonts w:cs="Georgia"/>
                            <w:b/>
                            <w:bCs/>
                            <w:spacing w:val="-1"/>
                          </w:rPr>
                          <w:t>e</w:t>
                        </w:r>
                        <w:r>
                          <w:rPr>
                            <w:rFonts w:cs="Georgia"/>
                            <w:b/>
                            <w:bCs/>
                          </w:rPr>
                          <w:t>s</w:t>
                        </w:r>
                        <w:r>
                          <w:rPr>
                            <w:rFonts w:cs="Georgia"/>
                            <w:b/>
                            <w:bCs/>
                            <w:spacing w:val="-7"/>
                          </w:rPr>
                          <w:t xml:space="preserve"> </w:t>
                        </w:r>
                        <w:r>
                          <w:rPr>
                            <w:rFonts w:cs="Georgia"/>
                            <w:b/>
                            <w:bCs/>
                            <w:spacing w:val="1"/>
                          </w:rPr>
                          <w:t>1</w:t>
                        </w:r>
                        <w:r>
                          <w:rPr>
                            <w:rFonts w:cs="Georgia"/>
                            <w:b/>
                            <w:bCs/>
                          </w:rPr>
                          <w:t>,</w:t>
                        </w:r>
                        <w:r>
                          <w:rPr>
                            <w:rFonts w:cs="Georgia"/>
                            <w:b/>
                            <w:bCs/>
                            <w:spacing w:val="-3"/>
                          </w:rPr>
                          <w:t xml:space="preserve"> </w:t>
                        </w:r>
                        <w:r>
                          <w:rPr>
                            <w:rFonts w:cs="Georgia"/>
                            <w:b/>
                            <w:bCs/>
                          </w:rPr>
                          <w:t>2</w:t>
                        </w:r>
                        <w:r>
                          <w:rPr>
                            <w:rFonts w:cs="Georgia"/>
                            <w:b/>
                            <w:bCs/>
                            <w:spacing w:val="1"/>
                          </w:rPr>
                          <w:t xml:space="preserve"> </w:t>
                        </w:r>
                        <w:r>
                          <w:rPr>
                            <w:rFonts w:cs="Georgia"/>
                            <w:b/>
                            <w:bCs/>
                            <w:spacing w:val="-1"/>
                          </w:rPr>
                          <w:t>e</w:t>
                        </w:r>
                        <w:r>
                          <w:rPr>
                            <w:rFonts w:cs="Georgia"/>
                            <w:b/>
                            <w:bCs/>
                          </w:rPr>
                          <w:t>t</w:t>
                        </w:r>
                        <w:r>
                          <w:rPr>
                            <w:rFonts w:cs="Georgia"/>
                            <w:b/>
                            <w:bCs/>
                            <w:spacing w:val="-2"/>
                          </w:rPr>
                          <w:t xml:space="preserve"> </w:t>
                        </w:r>
                        <w:r>
                          <w:rPr>
                            <w:rFonts w:cs="Georgia"/>
                            <w:b/>
                            <w:bCs/>
                          </w:rPr>
                          <w:t>3 (degré inférieur)</w:t>
                        </w:r>
                      </w:p>
                    </w:tc>
                    <w:tc>
                      <w:tcPr>
                        <w:tcW w:w="1647" w:type="dxa"/>
                        <w:gridSpan w:val="2"/>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20" w:lineRule="exact"/>
                          <w:jc w:val="center"/>
                          <w:rPr>
                            <w:rFonts w:cs="Georgia"/>
                          </w:rPr>
                        </w:pPr>
                        <w:r>
                          <w:rPr>
                            <w:rFonts w:cs="Georgia"/>
                            <w:b/>
                            <w:bCs/>
                            <w:spacing w:val="1"/>
                          </w:rPr>
                          <w:t>F</w:t>
                        </w:r>
                        <w:r>
                          <w:rPr>
                            <w:rFonts w:cs="Georgia"/>
                            <w:b/>
                            <w:bCs/>
                          </w:rPr>
                          <w:t>or</w:t>
                        </w:r>
                        <w:r>
                          <w:rPr>
                            <w:rFonts w:cs="Georgia"/>
                            <w:b/>
                            <w:bCs/>
                            <w:spacing w:val="2"/>
                          </w:rPr>
                          <w:t>m</w:t>
                        </w:r>
                        <w:r>
                          <w:rPr>
                            <w:rFonts w:cs="Georgia"/>
                            <w:b/>
                            <w:bCs/>
                          </w:rPr>
                          <w:t>e</w:t>
                        </w:r>
                        <w:r>
                          <w:rPr>
                            <w:rFonts w:cs="Georgia"/>
                            <w:b/>
                            <w:bCs/>
                            <w:spacing w:val="-9"/>
                          </w:rPr>
                          <w:t xml:space="preserve"> </w:t>
                        </w:r>
                        <w:r>
                          <w:rPr>
                            <w:rFonts w:cs="Georgia"/>
                            <w:b/>
                            <w:bCs/>
                          </w:rPr>
                          <w:t>4</w:t>
                        </w:r>
                      </w:p>
                      <w:p w:rsidR="00F04EEF" w:rsidRDefault="0099351E">
                        <w:pPr>
                          <w:widowControl w:val="0"/>
                          <w:autoSpaceDE w:val="0"/>
                          <w:autoSpaceDN w:val="0"/>
                          <w:adjustRightInd w:val="0"/>
                          <w:jc w:val="center"/>
                        </w:pPr>
                        <w:r>
                          <w:rPr>
                            <w:rFonts w:cs="Georgia"/>
                            <w:b/>
                            <w:bCs/>
                            <w:i/>
                            <w:iCs/>
                            <w:spacing w:val="-1"/>
                          </w:rPr>
                          <w:t>(degré in</w:t>
                        </w:r>
                        <w:r>
                          <w:rPr>
                            <w:rFonts w:cs="Georgia"/>
                            <w:b/>
                            <w:bCs/>
                            <w:i/>
                            <w:iCs/>
                            <w:spacing w:val="1"/>
                          </w:rPr>
                          <w:t>f</w:t>
                        </w:r>
                        <w:r>
                          <w:rPr>
                            <w:rFonts w:cs="Georgia"/>
                            <w:b/>
                            <w:bCs/>
                            <w:i/>
                            <w:iCs/>
                            <w:spacing w:val="2"/>
                          </w:rPr>
                          <w:t>é</w:t>
                        </w:r>
                        <w:r>
                          <w:rPr>
                            <w:rFonts w:cs="Georgia"/>
                            <w:b/>
                            <w:bCs/>
                            <w:i/>
                            <w:iCs/>
                            <w:spacing w:val="-1"/>
                          </w:rPr>
                          <w:t>r</w:t>
                        </w:r>
                        <w:r>
                          <w:rPr>
                            <w:rFonts w:cs="Georgia"/>
                            <w:b/>
                            <w:bCs/>
                            <w:i/>
                            <w:iCs/>
                            <w:spacing w:val="1"/>
                          </w:rPr>
                          <w:t>i</w:t>
                        </w:r>
                        <w:r>
                          <w:rPr>
                            <w:rFonts w:cs="Georgia"/>
                            <w:b/>
                            <w:bCs/>
                            <w:i/>
                            <w:iCs/>
                            <w:spacing w:val="-1"/>
                          </w:rPr>
                          <w:t>eu</w:t>
                        </w:r>
                        <w:r>
                          <w:rPr>
                            <w:rFonts w:cs="Georgia"/>
                            <w:b/>
                            <w:bCs/>
                            <w:i/>
                            <w:iCs/>
                          </w:rPr>
                          <w:t>r)</w:t>
                        </w:r>
                      </w:p>
                    </w:tc>
                    <w:tc>
                      <w:tcPr>
                        <w:tcW w:w="1276"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20" w:lineRule="exact"/>
                          <w:jc w:val="center"/>
                          <w:rPr>
                            <w:rFonts w:cs="Georgia"/>
                          </w:rPr>
                        </w:pPr>
                        <w:r>
                          <w:rPr>
                            <w:rFonts w:cs="Georgia"/>
                            <w:b/>
                            <w:bCs/>
                            <w:spacing w:val="1"/>
                          </w:rPr>
                          <w:t>F</w:t>
                        </w:r>
                        <w:r>
                          <w:rPr>
                            <w:rFonts w:cs="Georgia"/>
                            <w:b/>
                            <w:bCs/>
                          </w:rPr>
                          <w:t>or</w:t>
                        </w:r>
                        <w:r>
                          <w:rPr>
                            <w:rFonts w:cs="Georgia"/>
                            <w:b/>
                            <w:bCs/>
                            <w:spacing w:val="2"/>
                          </w:rPr>
                          <w:t>m</w:t>
                        </w:r>
                        <w:r>
                          <w:rPr>
                            <w:rFonts w:cs="Georgia"/>
                            <w:b/>
                            <w:bCs/>
                          </w:rPr>
                          <w:t>e</w:t>
                        </w:r>
                        <w:r>
                          <w:rPr>
                            <w:rFonts w:cs="Georgia"/>
                            <w:b/>
                            <w:bCs/>
                            <w:spacing w:val="-9"/>
                          </w:rPr>
                          <w:t xml:space="preserve"> </w:t>
                        </w:r>
                        <w:r>
                          <w:rPr>
                            <w:rFonts w:cs="Georgia"/>
                            <w:b/>
                            <w:bCs/>
                          </w:rPr>
                          <w:t>4</w:t>
                        </w:r>
                      </w:p>
                      <w:p w:rsidR="00F04EEF" w:rsidRDefault="0099351E">
                        <w:pPr>
                          <w:widowControl w:val="0"/>
                          <w:autoSpaceDE w:val="0"/>
                          <w:autoSpaceDN w:val="0"/>
                          <w:adjustRightInd w:val="0"/>
                          <w:jc w:val="center"/>
                        </w:pPr>
                        <w:r>
                          <w:rPr>
                            <w:rFonts w:cs="Georgia"/>
                            <w:b/>
                            <w:bCs/>
                            <w:i/>
                            <w:iCs/>
                          </w:rPr>
                          <w:t>(degré sup</w:t>
                        </w:r>
                        <w:r>
                          <w:rPr>
                            <w:rFonts w:cs="Georgia"/>
                            <w:b/>
                            <w:bCs/>
                            <w:i/>
                            <w:iCs/>
                            <w:spacing w:val="-1"/>
                          </w:rPr>
                          <w:t>é</w:t>
                        </w:r>
                        <w:r>
                          <w:rPr>
                            <w:rFonts w:cs="Georgia"/>
                            <w:b/>
                            <w:bCs/>
                            <w:i/>
                            <w:iCs/>
                            <w:spacing w:val="2"/>
                          </w:rPr>
                          <w:t>r</w:t>
                        </w:r>
                        <w:r>
                          <w:rPr>
                            <w:rFonts w:cs="Georgia"/>
                            <w:b/>
                            <w:bCs/>
                            <w:i/>
                            <w:iCs/>
                            <w:spacing w:val="-1"/>
                          </w:rPr>
                          <w:t>ie</w:t>
                        </w:r>
                        <w:r>
                          <w:rPr>
                            <w:rFonts w:cs="Georgia"/>
                            <w:b/>
                            <w:bCs/>
                            <w:i/>
                            <w:iCs/>
                            <w:spacing w:val="3"/>
                          </w:rPr>
                          <w:t>u</w:t>
                        </w:r>
                        <w:r>
                          <w:rPr>
                            <w:rFonts w:cs="Georgia"/>
                            <w:b/>
                            <w:bCs/>
                            <w:i/>
                            <w:iCs/>
                          </w:rPr>
                          <w:t>r)</w:t>
                        </w:r>
                      </w:p>
                    </w:tc>
                  </w:tr>
                  <w:tr w:rsidR="00F04EEF">
                    <w:trPr>
                      <w:trHeight w:hRule="exact" w:val="304"/>
                      <w:jc w:val="center"/>
                    </w:trPr>
                    <w:tc>
                      <w:tcPr>
                        <w:tcW w:w="5199"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34" w:lineRule="exact"/>
                          <w:rPr>
                            <w:rFonts w:cs="Georgia"/>
                          </w:rPr>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r</w:t>
                        </w:r>
                        <w:r>
                          <w:rPr>
                            <w:rFonts w:cs="Georgia"/>
                            <w:spacing w:val="-3"/>
                          </w:rPr>
                          <w:t xml:space="preserve"> </w:t>
                        </w:r>
                        <w:r>
                          <w:rPr>
                            <w:rFonts w:cs="Georgia"/>
                            <w:spacing w:val="1"/>
                          </w:rPr>
                          <w:t>d</w:t>
                        </w:r>
                        <w:r>
                          <w:rPr>
                            <w:rFonts w:cs="Georgia"/>
                          </w:rPr>
                          <w:t>e</w:t>
                        </w:r>
                        <w:r>
                          <w:rPr>
                            <w:rFonts w:cs="Georgia"/>
                            <w:spacing w:val="-1"/>
                          </w:rPr>
                          <w:t xml:space="preserve"> </w:t>
                        </w:r>
                        <w:r>
                          <w:rPr>
                            <w:rFonts w:cs="Georgia"/>
                          </w:rPr>
                          <w:t>c</w:t>
                        </w:r>
                        <w:r>
                          <w:rPr>
                            <w:rFonts w:cs="Georgia"/>
                            <w:spacing w:val="-1"/>
                          </w:rPr>
                          <w:t>o</w:t>
                        </w:r>
                        <w:r>
                          <w:rPr>
                            <w:rFonts w:cs="Georgia"/>
                            <w:spacing w:val="1"/>
                          </w:rPr>
                          <w:t>u</w:t>
                        </w:r>
                        <w:r>
                          <w:rPr>
                            <w:rFonts w:cs="Georgia"/>
                          </w:rPr>
                          <w:t>rs</w:t>
                        </w:r>
                        <w:r>
                          <w:rPr>
                            <w:rFonts w:cs="Georgia"/>
                            <w:spacing w:val="-3"/>
                          </w:rPr>
                          <w:t xml:space="preserve"> </w:t>
                        </w:r>
                        <w:r>
                          <w:rPr>
                            <w:rFonts w:cs="Georgia"/>
                            <w:spacing w:val="1"/>
                          </w:rPr>
                          <w:t>g</w:t>
                        </w:r>
                        <w:r>
                          <w:rPr>
                            <w:rFonts w:cs="Georgia"/>
                            <w:spacing w:val="-1"/>
                          </w:rPr>
                          <w:t>é</w:t>
                        </w:r>
                        <w:r>
                          <w:rPr>
                            <w:rFonts w:cs="Georgia"/>
                          </w:rPr>
                          <w:t>n</w:t>
                        </w:r>
                        <w:r>
                          <w:rPr>
                            <w:rFonts w:cs="Georgia"/>
                            <w:spacing w:val="-1"/>
                          </w:rPr>
                          <w:t>é</w:t>
                        </w:r>
                        <w:r>
                          <w:rPr>
                            <w:rFonts w:cs="Georgia"/>
                            <w:spacing w:val="-3"/>
                          </w:rPr>
                          <w:t>r</w:t>
                        </w:r>
                        <w:r>
                          <w:rPr>
                            <w:rFonts w:cs="Georgia"/>
                            <w:spacing w:val="-1"/>
                          </w:rPr>
                          <w:t>a</w:t>
                        </w:r>
                        <w:r>
                          <w:rPr>
                            <w:rFonts w:cs="Georgia"/>
                            <w:spacing w:val="1"/>
                          </w:rPr>
                          <w:t>u</w:t>
                        </w:r>
                        <w:r>
                          <w:rPr>
                            <w:rFonts w:cs="Georgia"/>
                          </w:rPr>
                          <w:t>x</w:t>
                        </w:r>
                      </w:p>
                      <w:p w:rsidR="00F04EEF" w:rsidRDefault="00F04EEF">
                        <w:pPr>
                          <w:widowControl w:val="0"/>
                          <w:autoSpaceDE w:val="0"/>
                          <w:autoSpaceDN w:val="0"/>
                          <w:adjustRightInd w:val="0"/>
                          <w:spacing w:line="234" w:lineRule="exact"/>
                        </w:pPr>
                      </w:p>
                    </w:tc>
                    <w:tc>
                      <w:tcPr>
                        <w:tcW w:w="1371"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5" w:lineRule="exact"/>
                          <w:jc w:val="center"/>
                        </w:pPr>
                        <w:r>
                          <w:rPr>
                            <w:rFonts w:cs="Georgia"/>
                            <w:spacing w:val="-1"/>
                          </w:rPr>
                          <w:t>20</w:t>
                        </w:r>
                      </w:p>
                    </w:tc>
                    <w:tc>
                      <w:tcPr>
                        <w:tcW w:w="1647" w:type="dxa"/>
                        <w:gridSpan w:val="2"/>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5" w:lineRule="exact"/>
                          <w:jc w:val="center"/>
                        </w:pPr>
                        <w:r>
                          <w:rPr>
                            <w:rFonts w:cs="Georgia"/>
                            <w:spacing w:val="-1"/>
                          </w:rPr>
                          <w:t>2</w:t>
                        </w:r>
                        <w:r>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5" w:lineRule="exact"/>
                          <w:jc w:val="center"/>
                        </w:pPr>
                        <w:r>
                          <w:rPr>
                            <w:rFonts w:cs="Georgia"/>
                            <w:spacing w:val="-1"/>
                          </w:rPr>
                          <w:t>18</w:t>
                        </w:r>
                      </w:p>
                    </w:tc>
                  </w:tr>
                  <w:tr w:rsidR="00F04EEF">
                    <w:trPr>
                      <w:trHeight w:hRule="exact" w:val="547"/>
                      <w:jc w:val="center"/>
                    </w:trPr>
                    <w:tc>
                      <w:tcPr>
                        <w:tcW w:w="5199"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 xml:space="preserve">r </w:t>
                        </w:r>
                        <w:r>
                          <w:rPr>
                            <w:rFonts w:cs="Georgia"/>
                            <w:spacing w:val="1"/>
                          </w:rPr>
                          <w:t>d</w:t>
                        </w:r>
                        <w:r>
                          <w:rPr>
                            <w:rFonts w:cs="Georgia"/>
                          </w:rPr>
                          <w:t>e</w:t>
                        </w:r>
                        <w:r>
                          <w:rPr>
                            <w:rFonts w:cs="Georgia"/>
                            <w:spacing w:val="1"/>
                          </w:rPr>
                          <w:t xml:space="preserve"> </w:t>
                        </w:r>
                        <w:r>
                          <w:rPr>
                            <w:rFonts w:cs="Georgia"/>
                          </w:rPr>
                          <w:t>c</w:t>
                        </w:r>
                        <w:r>
                          <w:rPr>
                            <w:rFonts w:cs="Georgia"/>
                            <w:spacing w:val="-1"/>
                          </w:rPr>
                          <w:t>o</w:t>
                        </w:r>
                        <w:r>
                          <w:rPr>
                            <w:rFonts w:cs="Georgia"/>
                            <w:spacing w:val="1"/>
                          </w:rPr>
                          <w:t>u</w:t>
                        </w:r>
                        <w:r>
                          <w:rPr>
                            <w:rFonts w:cs="Georgia"/>
                          </w:rPr>
                          <w:t xml:space="preserve">rs </w:t>
                        </w:r>
                        <w:r>
                          <w:rPr>
                            <w:rFonts w:cs="Georgia"/>
                            <w:spacing w:val="1"/>
                          </w:rPr>
                          <w:t>g</w:t>
                        </w:r>
                        <w:r>
                          <w:rPr>
                            <w:rFonts w:cs="Georgia"/>
                            <w:spacing w:val="-1"/>
                          </w:rPr>
                          <w:t>é</w:t>
                        </w:r>
                        <w:r>
                          <w:rPr>
                            <w:rFonts w:cs="Georgia"/>
                          </w:rPr>
                          <w:t>n</w:t>
                        </w:r>
                        <w:r>
                          <w:rPr>
                            <w:rFonts w:cs="Georgia"/>
                            <w:spacing w:val="-1"/>
                          </w:rPr>
                          <w:t>é</w:t>
                        </w:r>
                        <w:r>
                          <w:rPr>
                            <w:rFonts w:cs="Georgia"/>
                            <w:spacing w:val="-3"/>
                          </w:rPr>
                          <w:t>r</w:t>
                        </w:r>
                        <w:r>
                          <w:rPr>
                            <w:rFonts w:cs="Georgia"/>
                            <w:spacing w:val="-1"/>
                          </w:rPr>
                          <w:t>a</w:t>
                        </w:r>
                        <w:r>
                          <w:rPr>
                            <w:rFonts w:cs="Georgia"/>
                            <w:spacing w:val="1"/>
                          </w:rPr>
                          <w:t>u</w:t>
                        </w:r>
                        <w:r>
                          <w:rPr>
                            <w:rFonts w:cs="Georgia"/>
                          </w:rPr>
                          <w:t>x</w:t>
                        </w:r>
                        <w:r>
                          <w:rPr>
                            <w:rFonts w:cs="Georgia"/>
                            <w:spacing w:val="1"/>
                          </w:rPr>
                          <w:t xml:space="preserve"> </w:t>
                        </w:r>
                        <w:r>
                          <w:rPr>
                            <w:rFonts w:cs="Georgia"/>
                          </w:rPr>
                          <w:t>c</w:t>
                        </w:r>
                        <w:r>
                          <w:rPr>
                            <w:rFonts w:cs="Georgia"/>
                            <w:spacing w:val="-1"/>
                          </w:rPr>
                          <w:t>ha</w:t>
                        </w:r>
                        <w:r>
                          <w:rPr>
                            <w:rFonts w:cs="Georgia"/>
                          </w:rPr>
                          <w:t>r</w:t>
                        </w:r>
                        <w:r>
                          <w:rPr>
                            <w:rFonts w:cs="Georgia"/>
                            <w:spacing w:val="-2"/>
                          </w:rPr>
                          <w:t>g</w:t>
                        </w:r>
                        <w:r>
                          <w:rPr>
                            <w:rFonts w:cs="Georgia"/>
                          </w:rPr>
                          <w:t>é</w:t>
                        </w:r>
                        <w:r>
                          <w:rPr>
                            <w:rFonts w:cs="Georgia"/>
                            <w:spacing w:val="3"/>
                          </w:rPr>
                          <w:t xml:space="preserve"> </w:t>
                        </w:r>
                        <w:r>
                          <w:rPr>
                            <w:rFonts w:cs="Georgia"/>
                            <w:spacing w:val="-1"/>
                          </w:rPr>
                          <w:t>d</w:t>
                        </w:r>
                        <w:r>
                          <w:rPr>
                            <w:rFonts w:cs="Georgia"/>
                            <w:spacing w:val="1"/>
                          </w:rPr>
                          <w:t>e</w:t>
                        </w:r>
                        <w:r>
                          <w:rPr>
                            <w:rFonts w:cs="Georgia"/>
                          </w:rPr>
                          <w:t>s</w:t>
                        </w:r>
                        <w:r>
                          <w:rPr>
                            <w:rFonts w:cs="Georgia"/>
                            <w:spacing w:val="2"/>
                          </w:rPr>
                          <w:t xml:space="preserve"> </w:t>
                        </w:r>
                        <w:r>
                          <w:rPr>
                            <w:rFonts w:cs="Georgia"/>
                          </w:rPr>
                          <w:t>c</w:t>
                        </w:r>
                        <w:r>
                          <w:rPr>
                            <w:rFonts w:cs="Georgia"/>
                            <w:spacing w:val="-3"/>
                          </w:rPr>
                          <w:t>o</w:t>
                        </w:r>
                        <w:r>
                          <w:rPr>
                            <w:rFonts w:cs="Georgia"/>
                            <w:spacing w:val="1"/>
                          </w:rPr>
                          <w:t>u</w:t>
                        </w:r>
                        <w:r>
                          <w:rPr>
                            <w:rFonts w:cs="Georgia"/>
                          </w:rPr>
                          <w:t xml:space="preserve">rs </w:t>
                        </w:r>
                        <w:r>
                          <w:rPr>
                            <w:rFonts w:cs="Georgia"/>
                            <w:spacing w:val="1"/>
                          </w:rPr>
                          <w:t>e</w:t>
                        </w:r>
                        <w:r>
                          <w:rPr>
                            <w:rFonts w:cs="Georgia"/>
                          </w:rPr>
                          <w:t xml:space="preserve">n </w:t>
                        </w:r>
                        <w:r>
                          <w:rPr>
                            <w:rFonts w:cs="Georgia"/>
                            <w:spacing w:val="-2"/>
                          </w:rPr>
                          <w:t>i</w:t>
                        </w:r>
                        <w:r>
                          <w:rPr>
                            <w:rFonts w:cs="Georgia"/>
                            <w:spacing w:val="-1"/>
                          </w:rPr>
                          <w:t>mm</w:t>
                        </w:r>
                        <w:r>
                          <w:rPr>
                            <w:rFonts w:cs="Georgia"/>
                            <w:spacing w:val="1"/>
                          </w:rPr>
                          <w:t>e</w:t>
                        </w:r>
                        <w:r>
                          <w:rPr>
                            <w:rFonts w:cs="Georgia"/>
                          </w:rPr>
                          <w:t>rs</w:t>
                        </w:r>
                        <w:r>
                          <w:rPr>
                            <w:rFonts w:cs="Georgia"/>
                            <w:spacing w:val="1"/>
                          </w:rPr>
                          <w:t>i</w:t>
                        </w:r>
                        <w:r>
                          <w:rPr>
                            <w:rFonts w:cs="Georgia"/>
                            <w:spacing w:val="-3"/>
                          </w:rPr>
                          <w:t>o</w:t>
                        </w:r>
                        <w:r>
                          <w:rPr>
                            <w:rFonts w:cs="Georgia"/>
                          </w:rPr>
                          <w:t>n</w:t>
                        </w:r>
                      </w:p>
                    </w:tc>
                    <w:tc>
                      <w:tcPr>
                        <w:tcW w:w="1371"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2</w:t>
                        </w:r>
                        <w:r>
                          <w:rPr>
                            <w:rFonts w:cs="Georgia"/>
                          </w:rPr>
                          <w:t>0</w:t>
                        </w:r>
                      </w:p>
                    </w:tc>
                    <w:tc>
                      <w:tcPr>
                        <w:tcW w:w="1647" w:type="dxa"/>
                        <w:gridSpan w:val="2"/>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 xml:space="preserve">20 </w:t>
                        </w:r>
                      </w:p>
                    </w:tc>
                    <w:tc>
                      <w:tcPr>
                        <w:tcW w:w="1276"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18</w:t>
                        </w:r>
                      </w:p>
                    </w:tc>
                  </w:tr>
                  <w:tr w:rsidR="00F04EEF">
                    <w:trPr>
                      <w:trHeight w:hRule="exact" w:val="555"/>
                      <w:jc w:val="center"/>
                    </w:trPr>
                    <w:tc>
                      <w:tcPr>
                        <w:tcW w:w="5199"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 xml:space="preserve">r </w:t>
                        </w:r>
                        <w:r>
                          <w:rPr>
                            <w:rFonts w:cs="Georgia"/>
                            <w:spacing w:val="-1"/>
                          </w:rPr>
                          <w:t>d</w:t>
                        </w:r>
                        <w:r>
                          <w:rPr>
                            <w:rFonts w:cs="Georgia"/>
                          </w:rPr>
                          <w:t xml:space="preserve">e cours de </w:t>
                        </w:r>
                        <w:r>
                          <w:rPr>
                            <w:rFonts w:cs="Georgia"/>
                            <w:spacing w:val="-3"/>
                          </w:rPr>
                          <w:t>r</w:t>
                        </w:r>
                        <w:r>
                          <w:rPr>
                            <w:rFonts w:cs="Georgia"/>
                            <w:spacing w:val="1"/>
                          </w:rPr>
                          <w:t>e</w:t>
                        </w:r>
                        <w:r>
                          <w:rPr>
                            <w:rFonts w:cs="Georgia"/>
                          </w:rPr>
                          <w:t>l</w:t>
                        </w:r>
                        <w:r>
                          <w:rPr>
                            <w:rFonts w:cs="Georgia"/>
                            <w:spacing w:val="-2"/>
                          </w:rPr>
                          <w:t>i</w:t>
                        </w:r>
                        <w:r>
                          <w:rPr>
                            <w:rFonts w:cs="Georgia"/>
                            <w:spacing w:val="1"/>
                          </w:rPr>
                          <w:t>gi</w:t>
                        </w:r>
                        <w:r>
                          <w:rPr>
                            <w:rFonts w:cs="Georgia"/>
                            <w:spacing w:val="-1"/>
                          </w:rPr>
                          <w:t>o</w:t>
                        </w:r>
                        <w:r>
                          <w:rPr>
                            <w:rFonts w:cs="Georgia"/>
                          </w:rPr>
                          <w:t xml:space="preserve">n, </w:t>
                        </w:r>
                        <w:r>
                          <w:rPr>
                            <w:rFonts w:cs="Georgia"/>
                            <w:spacing w:val="-1"/>
                          </w:rPr>
                          <w:t>d</w:t>
                        </w:r>
                        <w:r>
                          <w:rPr>
                            <w:rFonts w:cs="Georgia"/>
                          </w:rPr>
                          <w:t xml:space="preserve">e </w:t>
                        </w:r>
                        <w:r>
                          <w:rPr>
                            <w:rFonts w:cs="Georgia"/>
                            <w:spacing w:val="1"/>
                          </w:rPr>
                          <w:t>m</w:t>
                        </w:r>
                        <w:r>
                          <w:rPr>
                            <w:rFonts w:cs="Georgia"/>
                            <w:spacing w:val="-1"/>
                          </w:rPr>
                          <w:t>o</w:t>
                        </w:r>
                        <w:r>
                          <w:rPr>
                            <w:rFonts w:cs="Georgia"/>
                          </w:rPr>
                          <w:t>r</w:t>
                        </w:r>
                        <w:r>
                          <w:rPr>
                            <w:rFonts w:cs="Georgia"/>
                            <w:spacing w:val="-1"/>
                          </w:rPr>
                          <w:t>a</w:t>
                        </w:r>
                        <w:r>
                          <w:rPr>
                            <w:rFonts w:cs="Georgia"/>
                            <w:spacing w:val="-3"/>
                          </w:rPr>
                          <w:t>l</w:t>
                        </w:r>
                        <w:r>
                          <w:rPr>
                            <w:rFonts w:cs="Georgia"/>
                          </w:rPr>
                          <w:t>e n</w:t>
                        </w:r>
                        <w:r>
                          <w:rPr>
                            <w:rFonts w:cs="Georgia"/>
                            <w:spacing w:val="-3"/>
                          </w:rPr>
                          <w:t>o</w:t>
                        </w:r>
                        <w:r>
                          <w:rPr>
                            <w:rFonts w:cs="Georgia"/>
                          </w:rPr>
                          <w:t>n c</w:t>
                        </w:r>
                        <w:r>
                          <w:rPr>
                            <w:rFonts w:cs="Georgia"/>
                            <w:spacing w:val="-1"/>
                          </w:rPr>
                          <w:t>o</w:t>
                        </w:r>
                        <w:r>
                          <w:rPr>
                            <w:rFonts w:cs="Georgia"/>
                          </w:rPr>
                          <w:t>n</w:t>
                        </w:r>
                        <w:r>
                          <w:rPr>
                            <w:rFonts w:cs="Georgia"/>
                            <w:spacing w:val="-1"/>
                          </w:rPr>
                          <w:t>f</w:t>
                        </w:r>
                        <w:r>
                          <w:rPr>
                            <w:rFonts w:cs="Georgia"/>
                            <w:spacing w:val="1"/>
                          </w:rPr>
                          <w:t>e</w:t>
                        </w:r>
                        <w:r>
                          <w:rPr>
                            <w:rFonts w:cs="Georgia"/>
                          </w:rPr>
                          <w:t>ss</w:t>
                        </w:r>
                        <w:r>
                          <w:rPr>
                            <w:rFonts w:cs="Georgia"/>
                            <w:spacing w:val="1"/>
                          </w:rPr>
                          <w:t>i</w:t>
                        </w:r>
                        <w:r>
                          <w:rPr>
                            <w:rFonts w:cs="Georgia"/>
                            <w:spacing w:val="-1"/>
                          </w:rPr>
                          <w:t>o</w:t>
                        </w:r>
                        <w:r>
                          <w:rPr>
                            <w:rFonts w:cs="Georgia"/>
                            <w:spacing w:val="-2"/>
                          </w:rPr>
                          <w:t>n</w:t>
                        </w:r>
                        <w:r>
                          <w:rPr>
                            <w:rFonts w:cs="Georgia"/>
                          </w:rPr>
                          <w:t>n</w:t>
                        </w:r>
                        <w:r>
                          <w:rPr>
                            <w:rFonts w:cs="Georgia"/>
                            <w:spacing w:val="1"/>
                          </w:rPr>
                          <w:t>e</w:t>
                        </w:r>
                        <w:r>
                          <w:rPr>
                            <w:rFonts w:cs="Georgia"/>
                          </w:rPr>
                          <w:t>l</w:t>
                        </w:r>
                        <w:r>
                          <w:rPr>
                            <w:rFonts w:cs="Georgia"/>
                            <w:spacing w:val="-3"/>
                          </w:rPr>
                          <w:t>l</w:t>
                        </w:r>
                        <w:r>
                          <w:rPr>
                            <w:rFonts w:cs="Georgia"/>
                          </w:rPr>
                          <w:t>e et de philosophie et citoyenneté</w:t>
                        </w:r>
                      </w:p>
                    </w:tc>
                    <w:tc>
                      <w:tcPr>
                        <w:tcW w:w="1371"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2</w:t>
                        </w:r>
                        <w:r>
                          <w:rPr>
                            <w:rFonts w:cs="Georgia"/>
                          </w:rPr>
                          <w:t>0</w:t>
                        </w:r>
                      </w:p>
                    </w:tc>
                    <w:tc>
                      <w:tcPr>
                        <w:tcW w:w="1647" w:type="dxa"/>
                        <w:gridSpan w:val="2"/>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2</w:t>
                        </w:r>
                        <w:r>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18</w:t>
                        </w:r>
                      </w:p>
                    </w:tc>
                  </w:tr>
                  <w:tr w:rsidR="00F04EEF">
                    <w:trPr>
                      <w:trHeight w:hRule="exact" w:val="541"/>
                      <w:jc w:val="center"/>
                    </w:trPr>
                    <w:tc>
                      <w:tcPr>
                        <w:tcW w:w="5199" w:type="dxa"/>
                        <w:tcBorders>
                          <w:top w:val="single" w:sz="4" w:space="0" w:color="000000"/>
                          <w:left w:val="single" w:sz="4" w:space="0" w:color="000000"/>
                          <w:bottom w:val="single" w:sz="4" w:space="0" w:color="000000"/>
                          <w:right w:val="single" w:sz="4" w:space="0" w:color="000000"/>
                        </w:tcBorders>
                      </w:tcPr>
                      <w:p w:rsidR="00F04EEF" w:rsidRDefault="0099351E">
                        <w:pPr>
                          <w:widowControl w:val="0"/>
                          <w:tabs>
                            <w:tab w:val="left" w:pos="1280"/>
                            <w:tab w:val="left" w:pos="1740"/>
                            <w:tab w:val="left" w:pos="2480"/>
                            <w:tab w:val="left" w:pos="3720"/>
                          </w:tabs>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 xml:space="preserve">r </w:t>
                        </w:r>
                        <w:r>
                          <w:rPr>
                            <w:rFonts w:cs="Georgia"/>
                            <w:spacing w:val="-1"/>
                          </w:rPr>
                          <w:t>d</w:t>
                        </w:r>
                        <w:r>
                          <w:rPr>
                            <w:rFonts w:cs="Georgia"/>
                          </w:rPr>
                          <w:t>e c</w:t>
                        </w:r>
                        <w:r>
                          <w:rPr>
                            <w:rFonts w:cs="Georgia"/>
                            <w:spacing w:val="-1"/>
                          </w:rPr>
                          <w:t>ou</w:t>
                        </w:r>
                        <w:r>
                          <w:rPr>
                            <w:rFonts w:cs="Georgia"/>
                          </w:rPr>
                          <w:t xml:space="preserve">rs </w:t>
                        </w:r>
                        <w:r>
                          <w:rPr>
                            <w:rFonts w:cs="Georgia"/>
                            <w:spacing w:val="-1"/>
                          </w:rPr>
                          <w:t>t</w:t>
                        </w:r>
                        <w:r>
                          <w:rPr>
                            <w:rFonts w:cs="Georgia"/>
                            <w:spacing w:val="1"/>
                          </w:rPr>
                          <w:t>e</w:t>
                        </w:r>
                        <w:r>
                          <w:rPr>
                            <w:rFonts w:cs="Georgia"/>
                          </w:rPr>
                          <w:t>c</w:t>
                        </w:r>
                        <w:r>
                          <w:rPr>
                            <w:rFonts w:cs="Georgia"/>
                            <w:spacing w:val="-1"/>
                          </w:rPr>
                          <w:t>h</w:t>
                        </w:r>
                        <w:r>
                          <w:rPr>
                            <w:rFonts w:cs="Georgia"/>
                          </w:rPr>
                          <w:t>n</w:t>
                        </w:r>
                        <w:r>
                          <w:rPr>
                            <w:rFonts w:cs="Georgia"/>
                            <w:spacing w:val="-2"/>
                          </w:rPr>
                          <w:t>i</w:t>
                        </w:r>
                        <w:r>
                          <w:rPr>
                            <w:rFonts w:cs="Georgia"/>
                            <w:spacing w:val="-1"/>
                          </w:rPr>
                          <w:t>qu</w:t>
                        </w:r>
                        <w:r>
                          <w:rPr>
                            <w:rFonts w:cs="Georgia"/>
                            <w:spacing w:val="1"/>
                          </w:rPr>
                          <w:t>es</w:t>
                        </w:r>
                      </w:p>
                    </w:tc>
                    <w:tc>
                      <w:tcPr>
                        <w:tcW w:w="1371"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2</w:t>
                        </w:r>
                        <w:r>
                          <w:rPr>
                            <w:rFonts w:cs="Georgia"/>
                          </w:rPr>
                          <w:t>2</w:t>
                        </w:r>
                      </w:p>
                    </w:tc>
                    <w:tc>
                      <w:tcPr>
                        <w:tcW w:w="1647" w:type="dxa"/>
                        <w:gridSpan w:val="2"/>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2</w:t>
                        </w:r>
                        <w:r>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6" w:lineRule="exact"/>
                          <w:jc w:val="center"/>
                        </w:pPr>
                        <w:r>
                          <w:rPr>
                            <w:rFonts w:cs="Georgia"/>
                            <w:spacing w:val="-1"/>
                          </w:rPr>
                          <w:t>18</w:t>
                        </w:r>
                      </w:p>
                    </w:tc>
                  </w:tr>
                  <w:tr w:rsidR="00F04EEF">
                    <w:trPr>
                      <w:trHeight w:hRule="exact" w:val="1073"/>
                      <w:jc w:val="center"/>
                    </w:trPr>
                    <w:tc>
                      <w:tcPr>
                        <w:tcW w:w="5199"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34" w:lineRule="exact"/>
                        </w:pPr>
                        <w:r>
                          <w:rPr>
                            <w:rFonts w:cs="Georgia"/>
                            <w:spacing w:val="-1"/>
                          </w:rPr>
                          <w:t>p</w:t>
                        </w:r>
                        <w:r>
                          <w:rPr>
                            <w:rFonts w:cs="Georgia"/>
                          </w:rPr>
                          <w:t>r</w:t>
                        </w:r>
                        <w:r>
                          <w:rPr>
                            <w:rFonts w:cs="Georgia"/>
                            <w:spacing w:val="-1"/>
                          </w:rPr>
                          <w:t>o</w:t>
                        </w:r>
                        <w:r>
                          <w:rPr>
                            <w:rFonts w:cs="Georgia"/>
                            <w:spacing w:val="1"/>
                          </w:rPr>
                          <w:t>fe</w:t>
                        </w:r>
                        <w:r>
                          <w:rPr>
                            <w:rFonts w:cs="Georgia"/>
                            <w:spacing w:val="-2"/>
                          </w:rPr>
                          <w:t>s</w:t>
                        </w:r>
                        <w:r>
                          <w:rPr>
                            <w:rFonts w:cs="Georgia"/>
                          </w:rPr>
                          <w:t>s</w:t>
                        </w:r>
                        <w:r>
                          <w:rPr>
                            <w:rFonts w:cs="Georgia"/>
                            <w:spacing w:val="-1"/>
                          </w:rPr>
                          <w:t>e</w:t>
                        </w:r>
                        <w:r>
                          <w:rPr>
                            <w:rFonts w:cs="Georgia"/>
                            <w:spacing w:val="1"/>
                          </w:rPr>
                          <w:t>u</w:t>
                        </w:r>
                        <w:r>
                          <w:rPr>
                            <w:rFonts w:cs="Georgia"/>
                          </w:rPr>
                          <w:t>r</w:t>
                        </w:r>
                        <w:r>
                          <w:rPr>
                            <w:rFonts w:cs="Georgia"/>
                            <w:spacing w:val="12"/>
                          </w:rPr>
                          <w:t xml:space="preserve"> </w:t>
                        </w:r>
                        <w:r>
                          <w:rPr>
                            <w:rFonts w:cs="Georgia"/>
                            <w:spacing w:val="1"/>
                          </w:rPr>
                          <w:t>d</w:t>
                        </w:r>
                        <w:r>
                          <w:rPr>
                            <w:rFonts w:cs="Georgia"/>
                          </w:rPr>
                          <w:t>e</w:t>
                        </w:r>
                        <w:r>
                          <w:rPr>
                            <w:rFonts w:cs="Georgia"/>
                            <w:spacing w:val="15"/>
                          </w:rPr>
                          <w:t xml:space="preserve"> </w:t>
                        </w:r>
                        <w:r>
                          <w:rPr>
                            <w:rFonts w:cs="Georgia"/>
                            <w:spacing w:val="-1"/>
                          </w:rPr>
                          <w:t>p</w:t>
                        </w:r>
                        <w:r>
                          <w:rPr>
                            <w:rFonts w:cs="Georgia"/>
                          </w:rPr>
                          <w:t>r</w:t>
                        </w:r>
                        <w:r>
                          <w:rPr>
                            <w:rFonts w:cs="Georgia"/>
                            <w:spacing w:val="-1"/>
                          </w:rPr>
                          <w:t>at</w:t>
                        </w:r>
                        <w:r>
                          <w:rPr>
                            <w:rFonts w:cs="Georgia"/>
                            <w:spacing w:val="1"/>
                          </w:rPr>
                          <w:t>i</w:t>
                        </w:r>
                        <w:r>
                          <w:rPr>
                            <w:rFonts w:cs="Georgia"/>
                            <w:spacing w:val="-3"/>
                          </w:rPr>
                          <w:t>q</w:t>
                        </w:r>
                        <w:r>
                          <w:rPr>
                            <w:rFonts w:cs="Georgia"/>
                            <w:spacing w:val="-1"/>
                          </w:rPr>
                          <w:t>u</w:t>
                        </w:r>
                        <w:r>
                          <w:rPr>
                            <w:rFonts w:cs="Georgia"/>
                          </w:rPr>
                          <w:t>e</w:t>
                        </w:r>
                        <w:r>
                          <w:rPr>
                            <w:rFonts w:cs="Georgia"/>
                            <w:spacing w:val="15"/>
                          </w:rPr>
                          <w:t xml:space="preserve"> </w:t>
                        </w:r>
                        <w:r>
                          <w:rPr>
                            <w:rFonts w:cs="Georgia"/>
                            <w:spacing w:val="-1"/>
                          </w:rPr>
                          <w:t>p</w:t>
                        </w:r>
                        <w:r>
                          <w:rPr>
                            <w:rFonts w:cs="Georgia"/>
                            <w:spacing w:val="-3"/>
                          </w:rPr>
                          <w:t>r</w:t>
                        </w:r>
                        <w:r>
                          <w:rPr>
                            <w:rFonts w:cs="Georgia"/>
                            <w:spacing w:val="-1"/>
                          </w:rPr>
                          <w:t>o</w:t>
                        </w:r>
                        <w:r>
                          <w:rPr>
                            <w:rFonts w:cs="Georgia"/>
                            <w:spacing w:val="1"/>
                          </w:rPr>
                          <w:t>fe</w:t>
                        </w:r>
                        <w:r>
                          <w:rPr>
                            <w:rFonts w:cs="Georgia"/>
                          </w:rPr>
                          <w:t>s</w:t>
                        </w:r>
                        <w:r>
                          <w:rPr>
                            <w:rFonts w:cs="Georgia"/>
                            <w:spacing w:val="-2"/>
                          </w:rPr>
                          <w:t>s</w:t>
                        </w:r>
                        <w:r>
                          <w:rPr>
                            <w:rFonts w:cs="Georgia"/>
                            <w:spacing w:val="1"/>
                          </w:rPr>
                          <w:t>i</w:t>
                        </w:r>
                        <w:r>
                          <w:rPr>
                            <w:rFonts w:cs="Georgia"/>
                            <w:spacing w:val="-1"/>
                          </w:rPr>
                          <w:t>o</w:t>
                        </w:r>
                        <w:r>
                          <w:rPr>
                            <w:rFonts w:cs="Georgia"/>
                          </w:rPr>
                          <w:t>n</w:t>
                        </w:r>
                        <w:r>
                          <w:rPr>
                            <w:rFonts w:cs="Georgia"/>
                            <w:spacing w:val="-2"/>
                          </w:rPr>
                          <w:t>n</w:t>
                        </w:r>
                        <w:r>
                          <w:rPr>
                            <w:rFonts w:cs="Georgia"/>
                            <w:spacing w:val="1"/>
                          </w:rPr>
                          <w:t>e</w:t>
                        </w:r>
                        <w:r>
                          <w:rPr>
                            <w:rFonts w:cs="Georgia"/>
                          </w:rPr>
                          <w:t>l</w:t>
                        </w:r>
                        <w:r>
                          <w:rPr>
                            <w:rFonts w:cs="Georgia"/>
                            <w:spacing w:val="-3"/>
                          </w:rPr>
                          <w:t>l</w:t>
                        </w:r>
                        <w:r>
                          <w:rPr>
                            <w:rFonts w:cs="Georgia"/>
                          </w:rPr>
                          <w:t>e</w:t>
                        </w:r>
                        <w:r>
                          <w:rPr>
                            <w:rFonts w:cs="Georgia"/>
                            <w:spacing w:val="15"/>
                          </w:rPr>
                          <w:t xml:space="preserve"> </w:t>
                        </w:r>
                      </w:p>
                    </w:tc>
                    <w:tc>
                      <w:tcPr>
                        <w:tcW w:w="1371" w:type="dxa"/>
                        <w:tcBorders>
                          <w:top w:val="single" w:sz="4" w:space="0" w:color="000000"/>
                          <w:left w:val="single" w:sz="4" w:space="0" w:color="000000"/>
                          <w:bottom w:val="single" w:sz="4" w:space="0" w:color="000000"/>
                          <w:right w:val="single" w:sz="4" w:space="0" w:color="000000"/>
                        </w:tcBorders>
                      </w:tcPr>
                      <w:p w:rsidR="00F04EEF" w:rsidRDefault="00F04EEF">
                        <w:pPr>
                          <w:widowControl w:val="0"/>
                          <w:autoSpaceDE w:val="0"/>
                          <w:autoSpaceDN w:val="0"/>
                          <w:adjustRightInd w:val="0"/>
                          <w:spacing w:before="1" w:line="110" w:lineRule="exact"/>
                          <w:jc w:val="center"/>
                        </w:pPr>
                      </w:p>
                      <w:p w:rsidR="00F04EEF" w:rsidRDefault="0099351E">
                        <w:pPr>
                          <w:widowControl w:val="0"/>
                          <w:autoSpaceDE w:val="0"/>
                          <w:autoSpaceDN w:val="0"/>
                          <w:adjustRightInd w:val="0"/>
                          <w:jc w:val="center"/>
                        </w:pPr>
                        <w:r>
                          <w:rPr>
                            <w:rFonts w:cs="Georgia"/>
                            <w:spacing w:val="-1"/>
                          </w:rPr>
                          <w:t>2</w:t>
                        </w:r>
                        <w:r>
                          <w:rPr>
                            <w:rFonts w:cs="Georgia"/>
                          </w:rPr>
                          <w:t>2</w:t>
                        </w:r>
                      </w:p>
                    </w:tc>
                    <w:tc>
                      <w:tcPr>
                        <w:tcW w:w="937" w:type="dxa"/>
                        <w:tcBorders>
                          <w:top w:val="single" w:sz="4" w:space="0" w:color="000000"/>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before="8"/>
                          <w:jc w:val="center"/>
                          <w:rPr>
                            <w:rFonts w:cs="Georgia"/>
                          </w:rPr>
                        </w:pPr>
                        <w:r>
                          <w:rPr>
                            <w:rFonts w:cs="Georgia"/>
                            <w:spacing w:val="-1"/>
                          </w:rPr>
                          <w:t>2</w:t>
                        </w:r>
                        <w:r>
                          <w:rPr>
                            <w:rFonts w:cs="Georgia"/>
                          </w:rPr>
                          <w:t>0</w:t>
                        </w:r>
                      </w:p>
                      <w:p w:rsidR="00F04EEF" w:rsidRDefault="0099351E">
                        <w:pPr>
                          <w:widowControl w:val="0"/>
                          <w:autoSpaceDE w:val="0"/>
                          <w:autoSpaceDN w:val="0"/>
                          <w:adjustRightInd w:val="0"/>
                          <w:spacing w:line="202" w:lineRule="exact"/>
                          <w:jc w:val="center"/>
                        </w:pPr>
                        <w:r>
                          <w:rPr>
                            <w:rFonts w:cs="Georgia"/>
                            <w:b/>
                            <w:bCs/>
                            <w:i/>
                            <w:iCs/>
                            <w:spacing w:val="1"/>
                          </w:rPr>
                          <w:t>1</w:t>
                        </w:r>
                        <w:r>
                          <w:rPr>
                            <w:rFonts w:cs="Georgia"/>
                            <w:b/>
                            <w:bCs/>
                            <w:i/>
                            <w:iCs/>
                            <w:position w:val="5"/>
                          </w:rPr>
                          <w:t>er</w:t>
                        </w:r>
                        <w:r>
                          <w:rPr>
                            <w:rFonts w:cs="Georgia"/>
                            <w:b/>
                            <w:bCs/>
                            <w:i/>
                            <w:iCs/>
                            <w:spacing w:val="15"/>
                            <w:position w:val="5"/>
                          </w:rPr>
                          <w:t xml:space="preserve"> </w:t>
                        </w:r>
                        <w:r>
                          <w:rPr>
                            <w:rFonts w:cs="Georgia"/>
                            <w:b/>
                            <w:bCs/>
                            <w:i/>
                            <w:iCs/>
                            <w:spacing w:val="1"/>
                          </w:rPr>
                          <w:t>deg</w:t>
                        </w:r>
                        <w:r>
                          <w:rPr>
                            <w:rFonts w:cs="Georgia"/>
                            <w:b/>
                            <w:bCs/>
                            <w:i/>
                            <w:iCs/>
                            <w:spacing w:val="-3"/>
                          </w:rPr>
                          <w:t>r</w:t>
                        </w:r>
                        <w:r>
                          <w:rPr>
                            <w:rFonts w:cs="Georgia"/>
                            <w:b/>
                            <w:bCs/>
                            <w:i/>
                            <w:iCs/>
                          </w:rPr>
                          <w:t>é</w:t>
                        </w:r>
                      </w:p>
                    </w:tc>
                    <w:tc>
                      <w:tcPr>
                        <w:tcW w:w="710" w:type="dxa"/>
                        <w:tcBorders>
                          <w:top w:val="single" w:sz="4" w:space="0" w:color="000000"/>
                          <w:left w:val="single" w:sz="4" w:space="0" w:color="000000"/>
                          <w:bottom w:val="single" w:sz="4" w:space="0" w:color="000000"/>
                          <w:right w:val="single" w:sz="4" w:space="0" w:color="000000"/>
                        </w:tcBorders>
                      </w:tcPr>
                      <w:p w:rsidR="00F04EEF" w:rsidRDefault="00F04EEF">
                        <w:pPr>
                          <w:widowControl w:val="0"/>
                          <w:autoSpaceDE w:val="0"/>
                          <w:autoSpaceDN w:val="0"/>
                          <w:adjustRightInd w:val="0"/>
                          <w:spacing w:before="1" w:line="110" w:lineRule="exact"/>
                          <w:jc w:val="center"/>
                        </w:pPr>
                      </w:p>
                      <w:p w:rsidR="00F04EEF" w:rsidRDefault="0099351E">
                        <w:pPr>
                          <w:widowControl w:val="0"/>
                          <w:autoSpaceDE w:val="0"/>
                          <w:autoSpaceDN w:val="0"/>
                          <w:adjustRightInd w:val="0"/>
                          <w:jc w:val="center"/>
                          <w:rPr>
                            <w:rFonts w:cs="Georgia"/>
                            <w:spacing w:val="1"/>
                          </w:rPr>
                        </w:pPr>
                        <w:r>
                          <w:rPr>
                            <w:rFonts w:cs="Georgia"/>
                            <w:spacing w:val="1"/>
                          </w:rPr>
                          <w:t>26</w:t>
                        </w:r>
                      </w:p>
                      <w:p w:rsidR="00F04EEF" w:rsidRDefault="0099351E">
                        <w:pPr>
                          <w:widowControl w:val="0"/>
                          <w:autoSpaceDE w:val="0"/>
                          <w:autoSpaceDN w:val="0"/>
                          <w:adjustRightInd w:val="0"/>
                          <w:jc w:val="center"/>
                        </w:pPr>
                        <w:r>
                          <w:rPr>
                            <w:rFonts w:cs="Georgia"/>
                            <w:b/>
                            <w:bCs/>
                            <w:i/>
                            <w:iCs/>
                            <w:spacing w:val="1"/>
                          </w:rPr>
                          <w:t>2eme degré</w:t>
                        </w:r>
                      </w:p>
                    </w:tc>
                    <w:tc>
                      <w:tcPr>
                        <w:tcW w:w="1276" w:type="dxa"/>
                        <w:tcBorders>
                          <w:top w:val="single" w:sz="4" w:space="0" w:color="000000"/>
                          <w:left w:val="single" w:sz="4" w:space="0" w:color="000000"/>
                          <w:bottom w:val="single" w:sz="4" w:space="0" w:color="000000"/>
                          <w:right w:val="single" w:sz="4" w:space="0" w:color="000000"/>
                        </w:tcBorders>
                      </w:tcPr>
                      <w:p w:rsidR="00F04EEF" w:rsidRDefault="00F04EEF">
                        <w:pPr>
                          <w:widowControl w:val="0"/>
                          <w:autoSpaceDE w:val="0"/>
                          <w:autoSpaceDN w:val="0"/>
                          <w:adjustRightInd w:val="0"/>
                          <w:spacing w:before="1" w:line="110" w:lineRule="exact"/>
                          <w:jc w:val="center"/>
                        </w:pPr>
                      </w:p>
                      <w:p w:rsidR="00F04EEF" w:rsidRDefault="0099351E">
                        <w:pPr>
                          <w:widowControl w:val="0"/>
                          <w:autoSpaceDE w:val="0"/>
                          <w:autoSpaceDN w:val="0"/>
                          <w:adjustRightInd w:val="0"/>
                          <w:jc w:val="center"/>
                        </w:pPr>
                        <w:r>
                          <w:rPr>
                            <w:rFonts w:cs="Georgia"/>
                            <w:spacing w:val="1"/>
                          </w:rPr>
                          <w:t>26</w:t>
                        </w:r>
                      </w:p>
                    </w:tc>
                  </w:tr>
                </w:tbl>
                <w:p w:rsidR="00F04EEF" w:rsidRDefault="00F04EEF">
                  <w:pPr>
                    <w:widowControl w:val="0"/>
                    <w:autoSpaceDE w:val="0"/>
                    <w:autoSpaceDN w:val="0"/>
                    <w:adjustRightInd w:val="0"/>
                    <w:spacing w:before="9" w:line="190" w:lineRule="exact"/>
                  </w:pPr>
                </w:p>
                <w:p w:rsidR="00F04EEF" w:rsidRDefault="00F04EEF">
                  <w:pPr>
                    <w:widowControl w:val="0"/>
                    <w:autoSpaceDE w:val="0"/>
                    <w:autoSpaceDN w:val="0"/>
                    <w:adjustRightInd w:val="0"/>
                    <w:spacing w:before="9" w:line="190" w:lineRule="exact"/>
                  </w:pPr>
                </w:p>
                <w:p w:rsidR="00F04EEF" w:rsidRDefault="00F04EEF">
                  <w:pPr>
                    <w:widowControl w:val="0"/>
                    <w:autoSpaceDE w:val="0"/>
                    <w:autoSpaceDN w:val="0"/>
                    <w:adjustRightInd w:val="0"/>
                    <w:spacing w:before="9" w:line="190" w:lineRule="exact"/>
                  </w:pPr>
                </w:p>
                <w:p w:rsidR="00F04EEF" w:rsidRDefault="0099351E">
                  <w:pPr>
                    <w:pStyle w:val="Paragraphedeliste"/>
                    <w:numPr>
                      <w:ilvl w:val="0"/>
                      <w:numId w:val="329"/>
                    </w:numPr>
                    <w:jc w:val="both"/>
                    <w:rPr>
                      <w:rFonts w:asciiTheme="majorHAnsi" w:hAnsiTheme="majorHAnsi"/>
                      <w:b/>
                      <w:sz w:val="22"/>
                    </w:rPr>
                  </w:pPr>
                  <w:r>
                    <w:rPr>
                      <w:rFonts w:asciiTheme="majorHAnsi" w:hAnsiTheme="majorHAnsi"/>
                      <w:b/>
                      <w:sz w:val="22"/>
                    </w:rPr>
                    <w:t>Service à l’école et aux élèves</w:t>
                  </w:r>
                </w:p>
                <w:p w:rsidR="00F04EEF" w:rsidRDefault="00F04EEF">
                  <w:pPr>
                    <w:pStyle w:val="Paragraphedeliste"/>
                    <w:ind w:left="720"/>
                    <w:jc w:val="both"/>
                    <w:rPr>
                      <w:rFonts w:asciiTheme="majorHAnsi" w:hAnsiTheme="majorHAnsi"/>
                      <w:b/>
                      <w:sz w:val="22"/>
                    </w:rPr>
                  </w:pPr>
                </w:p>
                <w:p w:rsidR="00F04EEF" w:rsidRDefault="0099351E">
                  <w:pPr>
                    <w:pStyle w:val="Paragraphedeliste"/>
                    <w:numPr>
                      <w:ilvl w:val="0"/>
                      <w:numId w:val="68"/>
                    </w:numPr>
                    <w:jc w:val="both"/>
                    <w:rPr>
                      <w:rFonts w:asciiTheme="minorHAnsi" w:hAnsiTheme="minorHAnsi" w:cstheme="minorHAnsi"/>
                      <w:sz w:val="22"/>
                    </w:rPr>
                  </w:pPr>
                  <w:r>
                    <w:rPr>
                      <w:rFonts w:asciiTheme="minorHAnsi" w:hAnsiTheme="minorHAnsi" w:cstheme="minorHAnsi"/>
                      <w:sz w:val="22"/>
                    </w:rPr>
                    <w:t xml:space="preserve">Dans le cadre du service à l’école et aux élèves (S.E.E.), tous les membres du personnel sont tenus de participer aux réunions du Conseil de classe fixées anticipativement dans un calendrier annuel ou trimestriel. </w:t>
                  </w:r>
                </w:p>
                <w:p w:rsidR="00F04EEF" w:rsidRDefault="0099351E">
                  <w:pPr>
                    <w:pStyle w:val="Paragraphedeliste"/>
                    <w:numPr>
                      <w:ilvl w:val="0"/>
                      <w:numId w:val="68"/>
                    </w:numPr>
                    <w:jc w:val="both"/>
                    <w:rPr>
                      <w:rFonts w:asciiTheme="minorHAnsi" w:hAnsiTheme="minorHAnsi" w:cstheme="minorHAnsi"/>
                      <w:sz w:val="22"/>
                    </w:rPr>
                  </w:pPr>
                  <w:r>
                    <w:rPr>
                      <w:rFonts w:asciiTheme="minorHAnsi" w:hAnsiTheme="minorHAnsi" w:cstheme="minorHAnsi"/>
                      <w:sz w:val="22"/>
                    </w:rPr>
                    <w:t xml:space="preserve">Des moyens supplémentaires pour l’exercice des missions collectives dans le cadre du service à l’école et aux élèves sont octroyés au bénéfice des enseignants expérimentés. </w:t>
                  </w:r>
                </w:p>
                <w:p w:rsidR="00F04EEF" w:rsidRDefault="0099351E">
                  <w:pPr>
                    <w:pStyle w:val="Paragraphedeliste"/>
                    <w:ind w:left="360"/>
                    <w:jc w:val="both"/>
                    <w:rPr>
                      <w:rFonts w:asciiTheme="minorHAnsi" w:hAnsiTheme="minorHAnsi" w:cstheme="minorHAnsi"/>
                      <w:sz w:val="22"/>
                    </w:rPr>
                  </w:pPr>
                  <w:r>
                    <w:rPr>
                      <w:rFonts w:asciiTheme="minorHAnsi" w:hAnsiTheme="minorHAnsi" w:cstheme="minorHAnsi"/>
                      <w:noProof/>
                      <w:sz w:val="22"/>
                      <w:lang w:eastAsia="fr-BE"/>
                    </w:rPr>
                    <mc:AlternateContent>
                      <mc:Choice Requires="wps">
                        <w:drawing>
                          <wp:anchor distT="0" distB="0" distL="114300" distR="114300" simplePos="0" relativeHeight="252233728" behindDoc="0" locked="0" layoutInCell="1" allowOverlap="1">
                            <wp:simplePos x="0" y="0"/>
                            <wp:positionH relativeFrom="column">
                              <wp:posOffset>6252845</wp:posOffset>
                            </wp:positionH>
                            <wp:positionV relativeFrom="paragraph">
                              <wp:posOffset>14605</wp:posOffset>
                            </wp:positionV>
                            <wp:extent cx="0" cy="200025"/>
                            <wp:effectExtent l="0" t="0" r="19050" b="28575"/>
                            <wp:wrapNone/>
                            <wp:docPr id="524" name="Connecteur droit 524"/>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2A656B4" id="Connecteur droit 524" o:spid="_x0000_s1026" style="position:absolute;z-index:252233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35pt,1.15pt" to="492.3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" strokecolor="black [3213]"/>
                        </w:pict>
                      </mc:Fallback>
                    </mc:AlternateContent>
                  </w:r>
                  <w:r>
                    <w:rPr>
                      <w:rFonts w:asciiTheme="minorHAnsi" w:hAnsiTheme="minorHAnsi" w:cstheme="minorHAnsi"/>
                      <w:sz w:val="22"/>
                    </w:rPr>
                    <w:t>Ainsi, à partir du 1</w:t>
                  </w:r>
                  <w:r>
                    <w:rPr>
                      <w:rFonts w:asciiTheme="minorHAnsi" w:hAnsiTheme="minorHAnsi" w:cstheme="minorHAnsi"/>
                      <w:sz w:val="22"/>
                      <w:vertAlign w:val="superscript"/>
                    </w:rPr>
                    <w:t>er</w:t>
                  </w:r>
                  <w:r>
                    <w:rPr>
                      <w:rFonts w:asciiTheme="minorHAnsi" w:hAnsiTheme="minorHAnsi" w:cstheme="minorHAnsi"/>
                      <w:sz w:val="22"/>
                    </w:rPr>
                    <w:t xml:space="preserve"> septembre 2020, ces moyens supplémentaires s’élèvent à 0,66 % du capital-périodes. </w:t>
                  </w:r>
                </w:p>
                <w:p w:rsidR="00F04EEF" w:rsidRDefault="0099351E">
                  <w:pPr>
                    <w:pStyle w:val="Paragraphedeliste"/>
                    <w:numPr>
                      <w:ilvl w:val="0"/>
                      <w:numId w:val="68"/>
                    </w:numPr>
                    <w:jc w:val="both"/>
                    <w:rPr>
                      <w:rFonts w:asciiTheme="minorHAnsi" w:hAnsiTheme="minorHAnsi" w:cstheme="minorHAnsi"/>
                      <w:sz w:val="22"/>
                    </w:rPr>
                  </w:pPr>
                  <w:r>
                    <w:rPr>
                      <w:rFonts w:asciiTheme="minorHAnsi" w:hAnsiTheme="minorHAnsi" w:cstheme="minorHAnsi"/>
                      <w:sz w:val="22"/>
                    </w:rPr>
                    <w:t xml:space="preserve">les autres services rentrant dans les prestations nécessaires à la bonne marche de l’établissement, telles que concertées au sein de l’organe de concertation sociale. </w:t>
                  </w:r>
                </w:p>
                <w:p w:rsidR="00F04EEF" w:rsidRDefault="00F04EEF">
                  <w:pPr>
                    <w:pStyle w:val="Paragraphedeliste"/>
                    <w:ind w:left="360"/>
                    <w:jc w:val="both"/>
                    <w:rPr>
                      <w:rFonts w:asciiTheme="minorHAnsi" w:hAnsiTheme="minorHAnsi" w:cstheme="minorHAnsi"/>
                      <w:sz w:val="22"/>
                    </w:rPr>
                  </w:pPr>
                </w:p>
                <w:p w:rsidR="00F04EEF" w:rsidRDefault="0099351E">
                  <w:pPr>
                    <w:pStyle w:val="Paragraphedeliste"/>
                    <w:ind w:left="360"/>
                    <w:jc w:val="both"/>
                    <w:rPr>
                      <w:rFonts w:asciiTheme="minorHAnsi" w:hAnsiTheme="minorHAnsi" w:cstheme="minorHAnsi"/>
                      <w:sz w:val="22"/>
                    </w:rPr>
                  </w:pPr>
                  <w:r>
                    <w:rPr>
                      <w:rFonts w:asciiTheme="minorHAnsi" w:hAnsiTheme="minorHAnsi" w:cstheme="minorHAnsi"/>
                      <w:sz w:val="22"/>
                    </w:rPr>
                    <w:t xml:space="preserve">Les modalités pratiques de ces missions, en ce compris les modalités d’accompagnement des voyages scolaires, sont concertées annuellement au sein de l’organe de concertation sociale. </w:t>
                  </w:r>
                </w:p>
                <w:p w:rsidR="00F04EEF" w:rsidRDefault="00F04EEF">
                  <w:pPr>
                    <w:pStyle w:val="Paragraphedeliste"/>
                    <w:ind w:left="360"/>
                    <w:rPr>
                      <w:rFonts w:asciiTheme="minorHAnsi" w:hAnsiTheme="minorHAnsi" w:cstheme="minorHAnsi"/>
                      <w:sz w:val="22"/>
                    </w:rPr>
                  </w:pPr>
                </w:p>
                <w:p w:rsidR="00F04EEF" w:rsidRDefault="0099351E">
                  <w:pPr>
                    <w:pStyle w:val="Paragraphedeliste"/>
                    <w:numPr>
                      <w:ilvl w:val="0"/>
                      <w:numId w:val="329"/>
                    </w:numPr>
                    <w:jc w:val="both"/>
                    <w:rPr>
                      <w:rFonts w:asciiTheme="minorHAnsi" w:hAnsiTheme="minorHAnsi" w:cstheme="minorHAnsi"/>
                      <w:b/>
                      <w:sz w:val="22"/>
                    </w:rPr>
                  </w:pPr>
                  <w:r>
                    <w:rPr>
                      <w:rFonts w:asciiTheme="minorHAnsi" w:hAnsiTheme="minorHAnsi" w:cstheme="minorHAnsi"/>
                      <w:b/>
                      <w:sz w:val="22"/>
                    </w:rPr>
                    <w:t xml:space="preserve">Travail collaboratif </w:t>
                  </w:r>
                </w:p>
                <w:p w:rsidR="00F04EEF" w:rsidRDefault="00F04EEF">
                  <w:pPr>
                    <w:pStyle w:val="Paragraphedeliste"/>
                    <w:ind w:left="720"/>
                    <w:rPr>
                      <w:rFonts w:asciiTheme="minorHAnsi" w:hAnsiTheme="minorHAnsi" w:cstheme="minorHAnsi"/>
                      <w:b/>
                      <w:sz w:val="22"/>
                    </w:rPr>
                  </w:pPr>
                </w:p>
                <w:p w:rsidR="00F04EEF" w:rsidRDefault="0099351E">
                  <w:pPr>
                    <w:jc w:val="both"/>
                    <w:rPr>
                      <w:rFonts w:cstheme="minorHAnsi"/>
                    </w:rPr>
                  </w:pPr>
                  <w:r>
                    <w:rPr>
                      <w:rFonts w:cstheme="minorHAnsi"/>
                    </w:rPr>
                    <w:t xml:space="preserve">Le travail collaboratif est quantifié de la manière suivante : </w:t>
                  </w:r>
                </w:p>
                <w:p w:rsidR="00F04EEF" w:rsidRDefault="0099351E">
                  <w:pPr>
                    <w:pStyle w:val="Paragraphedeliste"/>
                    <w:numPr>
                      <w:ilvl w:val="0"/>
                      <w:numId w:val="6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Les enseignants sont tenus d’accomplir en supplément de leur travail en classe </w:t>
                  </w:r>
                </w:p>
                <w:p w:rsidR="00F04EEF" w:rsidRDefault="0099351E">
                  <w:pPr>
                    <w:pStyle w:val="Paragraphedeliste"/>
                    <w:numPr>
                      <w:ilvl w:val="2"/>
                      <w:numId w:val="6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2 périodes par semaine si leurs prestations sont comprises entre 11 et 22 périodes (au sein du même P.O.) </w:t>
                  </w:r>
                </w:p>
                <w:p w:rsidR="00F04EEF" w:rsidRDefault="0099351E">
                  <w:pPr>
                    <w:pStyle w:val="Paragraphedeliste"/>
                    <w:numPr>
                      <w:ilvl w:val="2"/>
                      <w:numId w:val="6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1 période par semaine si leurs prestations sont comprises entre 7 et 10 périodes (au sein du même P.O.). </w:t>
                  </w:r>
                </w:p>
                <w:p w:rsidR="00F04EEF" w:rsidRDefault="0099351E">
                  <w:pPr>
                    <w:pStyle w:val="Paragraphedeliste"/>
                    <w:numPr>
                      <w:ilvl w:val="2"/>
                      <w:numId w:val="6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En deçà de 7 périodes par semaine au sein du même P.O., le membre du personnel est tenu de transmettre et de prendre connaissance des informations utiles à la bonne organisation des activités pédagogiques.  </w:t>
                  </w:r>
                </w:p>
                <w:p w:rsidR="00F04EEF" w:rsidRDefault="00F04EEF">
                  <w:pPr>
                    <w:pStyle w:val="Paragraphedeliste"/>
                    <w:ind w:left="1080"/>
                    <w:jc w:val="both"/>
                    <w:rPr>
                      <w:rFonts w:asciiTheme="majorHAnsi" w:eastAsiaTheme="minorHAnsi" w:hAnsiTheme="majorHAnsi" w:cstheme="minorBidi"/>
                      <w:sz w:val="22"/>
                      <w:szCs w:val="22"/>
                      <w:lang w:eastAsia="en-US"/>
                    </w:rPr>
                  </w:pPr>
                </w:p>
                <w:p w:rsidR="00F04EEF" w:rsidRDefault="0099351E">
                  <w:r>
                    <w:t xml:space="preserve">Les périodes de travail collaboratif ne sont pas comptabilisées dans le capital-périodes de l’établissement. </w:t>
                  </w:r>
                </w:p>
                <w:p w:rsidR="00F04EEF" w:rsidRDefault="0099351E">
                  <w:r>
                    <w:rPr>
                      <w:noProof/>
                      <w:lang w:eastAsia="fr-BE"/>
                    </w:rPr>
                    <mc:AlternateContent>
                      <mc:Choice Requires="wps">
                        <w:drawing>
                          <wp:anchor distT="0" distB="0" distL="114300" distR="114300" simplePos="0" relativeHeight="252234752" behindDoc="0" locked="0" layoutInCell="1" allowOverlap="1">
                            <wp:simplePos x="0" y="0"/>
                            <wp:positionH relativeFrom="column">
                              <wp:posOffset>6252845</wp:posOffset>
                            </wp:positionH>
                            <wp:positionV relativeFrom="paragraph">
                              <wp:posOffset>153670</wp:posOffset>
                            </wp:positionV>
                            <wp:extent cx="0" cy="733425"/>
                            <wp:effectExtent l="0" t="0" r="19050" b="28575"/>
                            <wp:wrapNone/>
                            <wp:docPr id="525" name="Connecteur droit 525"/>
                            <wp:cNvGraphicFramePr/>
                            <a:graphic xmlns:a="http://schemas.openxmlformats.org/drawingml/2006/main">
                              <a:graphicData uri="http://schemas.microsoft.com/office/word/2010/wordprocessingShape">
                                <wps:wsp>
                                  <wps:cNvCnPr/>
                                  <wps:spPr>
                                    <a:xfrm>
                                      <a:off x="0" y="0"/>
                                      <a:ext cx="0" cy="733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AEA806" id="Connecteur droit 525" o:spid="_x0000_s1026" style="position:absolute;z-index:252234752;visibility:visible;mso-wrap-style:square;mso-wrap-distance-left:9pt;mso-wrap-distance-top:0;mso-wrap-distance-right:9pt;mso-wrap-distance-bottom:0;mso-position-horizontal:absolute;mso-position-horizontal-relative:text;mso-position-vertical:absolute;mso-position-vertical-relative:text" from="492.35pt,12.1pt" to="492.3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" strokecolor="black [3213]"/>
                        </w:pict>
                      </mc:Fallback>
                    </mc:AlternateContent>
                  </w:r>
                </w:p>
                <w:p w:rsidR="00F04EEF" w:rsidRDefault="0099351E">
                  <w:pPr>
                    <w:jc w:val="both"/>
                  </w:pPr>
                  <w:r>
                    <w:t>L’essentiel consiste à ce que le nombre total de périodes de travail collaboratif soit respecté sur l’ensemble de l’année scolaire.</w:t>
                  </w:r>
                </w:p>
                <w:p w:rsidR="00F04EEF" w:rsidRDefault="0099351E">
                  <w:pPr>
                    <w:jc w:val="both"/>
                  </w:pPr>
                  <w:r>
                    <w:t>Ainsi, ces périodes hébdomadaires pourraient être organisées différemment tout en respectant le nombre total de 60 périodes annuelles.</w:t>
                  </w:r>
                </w:p>
                <w:p w:rsidR="00F04EEF" w:rsidRDefault="00F04EEF"/>
                <w:p w:rsidR="00F04EEF" w:rsidRDefault="00F04EEF">
                  <w:pPr>
                    <w:widowControl w:val="0"/>
                    <w:tabs>
                      <w:tab w:val="left" w:pos="5643"/>
                    </w:tabs>
                    <w:autoSpaceDE w:val="0"/>
                    <w:autoSpaceDN w:val="0"/>
                    <w:adjustRightInd w:val="0"/>
                    <w:spacing w:before="9" w:line="190" w:lineRule="exact"/>
                  </w:pPr>
                </w:p>
                <w:p w:rsidR="00F04EEF" w:rsidRDefault="00F04EEF">
                  <w:pPr>
                    <w:widowControl w:val="0"/>
                    <w:autoSpaceDE w:val="0"/>
                    <w:autoSpaceDN w:val="0"/>
                    <w:adjustRightInd w:val="0"/>
                    <w:spacing w:before="9" w:line="190" w:lineRule="exact"/>
                  </w:pPr>
                </w:p>
                <w:p w:rsidR="00F04EEF" w:rsidRDefault="0099351E">
                  <w:pPr>
                    <w:pStyle w:val="Titre5"/>
                  </w:pPr>
                  <w:r>
                    <w:t>2.3.1 Cours de religion, de morale non confessionnelle et de philosophie et citoyenneté</w:t>
                  </w:r>
                </w:p>
                <w:p w:rsidR="00F04EEF" w:rsidRDefault="00F04EEF">
                  <w:pPr>
                    <w:widowControl w:val="0"/>
                    <w:autoSpaceDE w:val="0"/>
                    <w:autoSpaceDN w:val="0"/>
                    <w:adjustRightInd w:val="0"/>
                    <w:spacing w:line="250" w:lineRule="exact"/>
                    <w:jc w:val="both"/>
                    <w:rPr>
                      <w:b/>
                      <w:color w:val="000000"/>
                      <w:u w:val="single"/>
                    </w:rPr>
                  </w:pPr>
                </w:p>
                <w:p w:rsidR="00F04EEF" w:rsidRDefault="00F42422">
                  <w:pPr>
                    <w:jc w:val="both"/>
                  </w:pPr>
                  <w:hyperlink r:id="rId155" w:history="1">
                    <w:r w:rsidR="0099351E">
                      <w:rPr>
                        <w:rStyle w:val="Lienhypertexte"/>
                        <w:rFonts w:cstheme="minorBidi"/>
                      </w:rPr>
                      <w:t>Circulaire n°6279 du 12 juillet 2017 relative à  l’encadrement des cours de religion, de morale non confessionnelle et de philosophie et de citoyenneté pour les élèves dispensés et du cours de philosophie et de citoyenneté commun dans l’enseignement spécialisé primaire et secondaire</w:t>
                    </w:r>
                  </w:hyperlink>
                  <w:r w:rsidR="0099351E">
                    <w:t xml:space="preserve"> </w:t>
                  </w:r>
                </w:p>
                <w:p w:rsidR="00F04EEF" w:rsidRDefault="00F04EEF">
                  <w:pPr>
                    <w:jc w:val="both"/>
                    <w:rPr>
                      <w:rFonts w:cs="Georgia"/>
                    </w:rPr>
                  </w:pPr>
                </w:p>
                <w:p w:rsidR="00F04EEF" w:rsidRDefault="0099351E">
                  <w:pPr>
                    <w:jc w:val="both"/>
                    <w:rPr>
                      <w:rFonts w:cs="Georgia"/>
                    </w:rPr>
                  </w:pPr>
                  <w:r>
                    <w:rPr>
                      <w:rFonts w:cs="Georgia"/>
                      <w:spacing w:val="1"/>
                      <w:position w:val="-1"/>
                      <w:u w:val="single"/>
                    </w:rPr>
                    <w:t>Détermination du n</w:t>
                  </w:r>
                  <w:r>
                    <w:rPr>
                      <w:rFonts w:cs="Georgia"/>
                      <w:spacing w:val="-1"/>
                      <w:position w:val="-1"/>
                      <w:u w:val="single"/>
                    </w:rPr>
                    <w:t>o</w:t>
                  </w:r>
                  <w:r>
                    <w:rPr>
                      <w:rFonts w:cs="Georgia"/>
                      <w:position w:val="-1"/>
                      <w:u w:val="single"/>
                    </w:rPr>
                    <w:t>m</w:t>
                  </w:r>
                  <w:r>
                    <w:rPr>
                      <w:rFonts w:cs="Georgia"/>
                      <w:spacing w:val="-1"/>
                      <w:position w:val="-1"/>
                      <w:u w:val="single"/>
                    </w:rPr>
                    <w:t>b</w:t>
                  </w:r>
                  <w:r>
                    <w:rPr>
                      <w:rFonts w:cs="Georgia"/>
                      <w:spacing w:val="1"/>
                      <w:position w:val="-1"/>
                      <w:u w:val="single"/>
                    </w:rPr>
                    <w:t>r</w:t>
                  </w:r>
                  <w:r>
                    <w:rPr>
                      <w:rFonts w:cs="Georgia"/>
                      <w:position w:val="-1"/>
                      <w:u w:val="single"/>
                    </w:rPr>
                    <w:t>e</w:t>
                  </w:r>
                  <w:r>
                    <w:rPr>
                      <w:rFonts w:cs="Georgia"/>
                      <w:spacing w:val="-1"/>
                      <w:position w:val="-1"/>
                      <w:u w:val="single"/>
                    </w:rPr>
                    <w:t xml:space="preserve"> </w:t>
                  </w:r>
                  <w:r>
                    <w:rPr>
                      <w:rFonts w:cs="Georgia"/>
                      <w:position w:val="-1"/>
                      <w:u w:val="single"/>
                    </w:rPr>
                    <w:t>de</w:t>
                  </w:r>
                  <w:r>
                    <w:rPr>
                      <w:rFonts w:cs="Georgia"/>
                      <w:spacing w:val="-1"/>
                      <w:position w:val="-1"/>
                      <w:u w:val="single"/>
                    </w:rPr>
                    <w:t xml:space="preserve"> </w:t>
                  </w:r>
                  <w:r>
                    <w:rPr>
                      <w:rFonts w:cs="Georgia"/>
                      <w:position w:val="-1"/>
                      <w:u w:val="single"/>
                    </w:rPr>
                    <w:t>g</w:t>
                  </w:r>
                  <w:r>
                    <w:rPr>
                      <w:rFonts w:cs="Georgia"/>
                      <w:spacing w:val="1"/>
                      <w:position w:val="-1"/>
                      <w:u w:val="single"/>
                    </w:rPr>
                    <w:t>r</w:t>
                  </w:r>
                  <w:r>
                    <w:rPr>
                      <w:rFonts w:cs="Georgia"/>
                      <w:spacing w:val="-1"/>
                      <w:position w:val="-1"/>
                      <w:u w:val="single"/>
                    </w:rPr>
                    <w:t>o</w:t>
                  </w:r>
                  <w:r>
                    <w:rPr>
                      <w:rFonts w:cs="Georgia"/>
                      <w:position w:val="-1"/>
                      <w:u w:val="single"/>
                    </w:rPr>
                    <w:t>u</w:t>
                  </w:r>
                  <w:r>
                    <w:rPr>
                      <w:rFonts w:cs="Georgia"/>
                      <w:spacing w:val="1"/>
                      <w:position w:val="-1"/>
                      <w:u w:val="single"/>
                    </w:rPr>
                    <w:t>p</w:t>
                  </w:r>
                  <w:r>
                    <w:rPr>
                      <w:rFonts w:cs="Georgia"/>
                      <w:spacing w:val="-1"/>
                      <w:position w:val="-1"/>
                      <w:u w:val="single"/>
                    </w:rPr>
                    <w:t>e</w:t>
                  </w:r>
                  <w:r>
                    <w:rPr>
                      <w:rFonts w:cs="Georgia"/>
                      <w:position w:val="-1"/>
                      <w:u w:val="single"/>
                    </w:rPr>
                    <w:t>s</w:t>
                  </w:r>
                  <w:r>
                    <w:rPr>
                      <w:rFonts w:cs="Georgia"/>
                      <w:spacing w:val="-2"/>
                      <w:position w:val="-1"/>
                      <w:u w:val="single"/>
                    </w:rPr>
                    <w:t xml:space="preserve"> </w:t>
                  </w:r>
                  <w:r>
                    <w:rPr>
                      <w:rFonts w:cs="Georgia"/>
                      <w:position w:val="-1"/>
                      <w:u w:val="single"/>
                    </w:rPr>
                    <w:t>:</w:t>
                  </w:r>
                </w:p>
                <w:p w:rsidR="00F04EEF" w:rsidRDefault="00F04EEF">
                  <w:pPr>
                    <w:jc w:val="both"/>
                    <w:rPr>
                      <w:rFonts w:cs="Georgia"/>
                    </w:rPr>
                  </w:pPr>
                </w:p>
                <w:p w:rsidR="00F04EEF" w:rsidRDefault="0099351E">
                  <w:pPr>
                    <w:jc w:val="both"/>
                    <w:rPr>
                      <w:rFonts w:cs="Georgia"/>
                    </w:rPr>
                  </w:pPr>
                  <w:r>
                    <w:rPr>
                      <w:rFonts w:cs="Georgia"/>
                      <w:spacing w:val="1"/>
                    </w:rPr>
                    <w:t>Pour le cours philosophique le plus suivi (religion, morale ou CPC dispense), l</w:t>
                  </w:r>
                  <w:r>
                    <w:rPr>
                      <w:rFonts w:cs="Georgia"/>
                    </w:rPr>
                    <w:t>e</w:t>
                  </w:r>
                  <w:r>
                    <w:rPr>
                      <w:rFonts w:cs="Georgia"/>
                      <w:spacing w:val="1"/>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w:t>
                  </w:r>
                  <w:r>
                    <w:rPr>
                      <w:rFonts w:cs="Georgia"/>
                    </w:rPr>
                    <w:t>g</w:t>
                  </w:r>
                  <w:r>
                    <w:rPr>
                      <w:rFonts w:cs="Georgia"/>
                      <w:spacing w:val="1"/>
                    </w:rPr>
                    <w:t>r</w:t>
                  </w:r>
                  <w:r>
                    <w:rPr>
                      <w:rFonts w:cs="Georgia"/>
                      <w:spacing w:val="-1"/>
                    </w:rPr>
                    <w:t>o</w:t>
                  </w:r>
                  <w:r>
                    <w:rPr>
                      <w:rFonts w:cs="Georgia"/>
                    </w:rPr>
                    <w:t>u</w:t>
                  </w:r>
                  <w:r>
                    <w:rPr>
                      <w:rFonts w:cs="Georgia"/>
                      <w:spacing w:val="1"/>
                    </w:rPr>
                    <w:t>p</w:t>
                  </w:r>
                  <w:r>
                    <w:rPr>
                      <w:rFonts w:cs="Georgia"/>
                      <w:spacing w:val="-1"/>
                    </w:rPr>
                    <w:t>e</w:t>
                  </w:r>
                  <w:r>
                    <w:rPr>
                      <w:rFonts w:cs="Georgia"/>
                    </w:rPr>
                    <w:t xml:space="preserve">s </w:t>
                  </w:r>
                  <w:r>
                    <w:rPr>
                      <w:rFonts w:cs="Georgia"/>
                      <w:spacing w:val="1"/>
                    </w:rPr>
                    <w:t>co</w:t>
                  </w:r>
                  <w:r>
                    <w:rPr>
                      <w:rFonts w:cs="Georgia"/>
                      <w:spacing w:val="-1"/>
                    </w:rPr>
                    <w:t>n</w:t>
                  </w:r>
                  <w:r>
                    <w:rPr>
                      <w:rFonts w:cs="Georgia"/>
                      <w:spacing w:val="1"/>
                    </w:rPr>
                    <w:t>st</w:t>
                  </w:r>
                  <w:r>
                    <w:rPr>
                      <w:rFonts w:cs="Georgia"/>
                      <w:spacing w:val="-2"/>
                    </w:rPr>
                    <w:t>i</w:t>
                  </w:r>
                  <w:r>
                    <w:rPr>
                      <w:rFonts w:cs="Georgia"/>
                      <w:spacing w:val="1"/>
                    </w:rPr>
                    <w:t>t</w:t>
                  </w:r>
                  <w:r>
                    <w:rPr>
                      <w:rFonts w:cs="Georgia"/>
                    </w:rPr>
                    <w:t>u</w:t>
                  </w:r>
                  <w:r>
                    <w:rPr>
                      <w:rFonts w:cs="Georgia"/>
                      <w:spacing w:val="-1"/>
                    </w:rPr>
                    <w:t>é</w:t>
                  </w:r>
                  <w:r>
                    <w:rPr>
                      <w:rFonts w:cs="Georgia"/>
                    </w:rPr>
                    <w:t>s</w:t>
                  </w:r>
                  <w:r>
                    <w:rPr>
                      <w:rFonts w:cs="Georgia"/>
                      <w:spacing w:val="3"/>
                    </w:rPr>
                    <w:t xml:space="preserve"> </w:t>
                  </w:r>
                  <w:r>
                    <w:rPr>
                      <w:rFonts w:cs="Georgia"/>
                      <w:spacing w:val="-1"/>
                    </w:rPr>
                    <w:t>e</w:t>
                  </w:r>
                  <w:r>
                    <w:rPr>
                      <w:rFonts w:cs="Georgia"/>
                      <w:spacing w:val="1"/>
                    </w:rPr>
                    <w:t>s</w:t>
                  </w:r>
                  <w:r>
                    <w:rPr>
                      <w:rFonts w:cs="Georgia"/>
                    </w:rPr>
                    <w:t>t</w:t>
                  </w:r>
                  <w:r>
                    <w:rPr>
                      <w:rFonts w:cs="Georgia"/>
                      <w:spacing w:val="3"/>
                    </w:rPr>
                    <w:t xml:space="preserve">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w:t>
                  </w:r>
                  <w:r>
                    <w:rPr>
                      <w:rFonts w:cs="Georgia"/>
                      <w:spacing w:val="2"/>
                    </w:rPr>
                    <w:t>l</w:t>
                  </w:r>
                  <w:r>
                    <w:rPr>
                      <w:rFonts w:cs="Georgia"/>
                    </w:rPr>
                    <w:t>a</w:t>
                  </w:r>
                  <w:r>
                    <w:rPr>
                      <w:rFonts w:cs="Georgia"/>
                      <w:spacing w:val="1"/>
                    </w:rPr>
                    <w:t xml:space="preserve"> so</w:t>
                  </w:r>
                  <w:r>
                    <w:rPr>
                      <w:rFonts w:cs="Georgia"/>
                    </w:rPr>
                    <w:t>mme</w:t>
                  </w:r>
                  <w:r>
                    <w:rPr>
                      <w:rFonts w:cs="Georgia"/>
                      <w:spacing w:val="1"/>
                    </w:rPr>
                    <w:t xml:space="preserve"> </w:t>
                  </w:r>
                  <w:r>
                    <w:rPr>
                      <w:rFonts w:cs="Georgia"/>
                      <w:spacing w:val="-2"/>
                    </w:rPr>
                    <w:t>d</w:t>
                  </w:r>
                  <w:r>
                    <w:rPr>
                      <w:rFonts w:cs="Georgia"/>
                      <w:spacing w:val="-1"/>
                    </w:rPr>
                    <w:t>e</w:t>
                  </w:r>
                  <w:r>
                    <w:rPr>
                      <w:rFonts w:cs="Georgia"/>
                    </w:rPr>
                    <w:t>s</w:t>
                  </w:r>
                  <w:r>
                    <w:rPr>
                      <w:rFonts w:cs="Georgia"/>
                      <w:spacing w:val="3"/>
                    </w:rPr>
                    <w:t xml:space="preserve"> </w:t>
                  </w:r>
                  <w:r>
                    <w:rPr>
                      <w:rFonts w:cs="Georgia"/>
                      <w:spacing w:val="-1"/>
                    </w:rPr>
                    <w:t>q</w:t>
                  </w:r>
                  <w:r>
                    <w:rPr>
                      <w:rFonts w:cs="Georgia"/>
                    </w:rPr>
                    <w:t>u</w:t>
                  </w:r>
                  <w:r>
                    <w:rPr>
                      <w:rFonts w:cs="Georgia"/>
                      <w:spacing w:val="1"/>
                    </w:rPr>
                    <w:t>ot</w:t>
                  </w:r>
                  <w:r>
                    <w:rPr>
                      <w:rFonts w:cs="Georgia"/>
                    </w:rPr>
                    <w:t>i</w:t>
                  </w:r>
                  <w:r>
                    <w:rPr>
                      <w:rFonts w:cs="Georgia"/>
                      <w:spacing w:val="-1"/>
                    </w:rPr>
                    <w:t>en</w:t>
                  </w:r>
                  <w:r>
                    <w:rPr>
                      <w:rFonts w:cs="Georgia"/>
                      <w:spacing w:val="1"/>
                    </w:rPr>
                    <w:t>t</w:t>
                  </w:r>
                  <w:r>
                    <w:rPr>
                      <w:rFonts w:cs="Georgia"/>
                    </w:rPr>
                    <w:t xml:space="preserve">s </w:t>
                  </w:r>
                  <w:r>
                    <w:rPr>
                      <w:rFonts w:cs="Georgia"/>
                      <w:spacing w:val="1"/>
                    </w:rPr>
                    <w:t>o</w:t>
                  </w:r>
                  <w:r>
                    <w:rPr>
                      <w:rFonts w:cs="Georgia"/>
                      <w:spacing w:val="-1"/>
                    </w:rPr>
                    <w:t>b</w:t>
                  </w:r>
                  <w:r>
                    <w:rPr>
                      <w:rFonts w:cs="Georgia"/>
                      <w:spacing w:val="1"/>
                    </w:rPr>
                    <w:t>t</w:t>
                  </w:r>
                  <w:r>
                    <w:rPr>
                      <w:rFonts w:cs="Georgia"/>
                      <w:spacing w:val="-1"/>
                    </w:rPr>
                    <w:t>en</w:t>
                  </w:r>
                  <w:r>
                    <w:rPr>
                      <w:rFonts w:cs="Georgia"/>
                    </w:rPr>
                    <w:t>us</w:t>
                  </w:r>
                  <w:r>
                    <w:rPr>
                      <w:rFonts w:cs="Georgia"/>
                      <w:spacing w:val="3"/>
                    </w:rPr>
                    <w:t xml:space="preserve"> </w:t>
                  </w:r>
                  <w:r>
                    <w:rPr>
                      <w:rFonts w:cs="Georgia"/>
                      <w:spacing w:val="-1"/>
                    </w:rPr>
                    <w:t>e</w:t>
                  </w:r>
                  <w:r>
                    <w:rPr>
                      <w:rFonts w:cs="Georgia"/>
                    </w:rPr>
                    <w:t>n di</w:t>
                  </w:r>
                  <w:r>
                    <w:rPr>
                      <w:rFonts w:cs="Georgia"/>
                      <w:spacing w:val="1"/>
                    </w:rPr>
                    <w:t>v</w:t>
                  </w:r>
                  <w:r>
                    <w:rPr>
                      <w:rFonts w:cs="Georgia"/>
                      <w:spacing w:val="-2"/>
                    </w:rPr>
                    <w:t>i</w:t>
                  </w:r>
                  <w:r>
                    <w:rPr>
                      <w:rFonts w:cs="Georgia"/>
                      <w:spacing w:val="1"/>
                    </w:rPr>
                    <w:t>s</w:t>
                  </w:r>
                  <w:r>
                    <w:rPr>
                      <w:rFonts w:cs="Georgia"/>
                      <w:spacing w:val="-1"/>
                    </w:rPr>
                    <w:t>an</w:t>
                  </w:r>
                  <w:r>
                    <w:rPr>
                      <w:rFonts w:cs="Georgia"/>
                      <w:spacing w:val="1"/>
                    </w:rPr>
                    <w:t>t</w:t>
                  </w:r>
                  <w:r>
                    <w:rPr>
                      <w:rFonts w:cs="Georgia"/>
                    </w:rPr>
                    <w:t xml:space="preserve">, </w:t>
                  </w:r>
                  <w:r>
                    <w:rPr>
                      <w:rFonts w:cs="Georgia"/>
                      <w:spacing w:val="1"/>
                    </w:rPr>
                    <w:t>p</w:t>
                  </w:r>
                  <w:r>
                    <w:rPr>
                      <w:rFonts w:cs="Georgia"/>
                      <w:spacing w:val="-1"/>
                    </w:rPr>
                    <w:t>o</w:t>
                  </w:r>
                  <w:r>
                    <w:rPr>
                      <w:rFonts w:cs="Georgia"/>
                    </w:rPr>
                    <w:t xml:space="preserve">ur </w:t>
                  </w:r>
                  <w:r>
                    <w:rPr>
                      <w:rFonts w:cs="Georgia"/>
                      <w:spacing w:val="-2"/>
                    </w:rPr>
                    <w:t>c</w:t>
                  </w:r>
                  <w:r>
                    <w:rPr>
                      <w:rFonts w:cs="Georgia"/>
                      <w:spacing w:val="1"/>
                    </w:rPr>
                    <w:t>h</w:t>
                  </w:r>
                  <w:r>
                    <w:rPr>
                      <w:rFonts w:cs="Georgia"/>
                      <w:spacing w:val="-1"/>
                    </w:rPr>
                    <w:t>aq</w:t>
                  </w:r>
                  <w:r>
                    <w:rPr>
                      <w:rFonts w:cs="Georgia"/>
                    </w:rPr>
                    <w:t>ue</w:t>
                  </w:r>
                  <w:r>
                    <w:rPr>
                      <w:rFonts w:cs="Georgia"/>
                      <w:spacing w:val="1"/>
                    </w:rPr>
                    <w:t xml:space="preserve"> t</w:t>
                  </w:r>
                  <w:r>
                    <w:rPr>
                      <w:rFonts w:cs="Georgia"/>
                      <w:spacing w:val="-3"/>
                    </w:rPr>
                    <w:t>y</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 xml:space="preserve">, </w:t>
                  </w:r>
                  <w:r>
                    <w:rPr>
                      <w:rFonts w:cs="Georgia"/>
                      <w:spacing w:val="-1"/>
                    </w:rPr>
                    <w:t>l</w:t>
                  </w:r>
                  <w:r>
                    <w:rPr>
                      <w:rFonts w:cs="Georgia"/>
                    </w:rPr>
                    <w:t>e</w:t>
                  </w:r>
                  <w:r>
                    <w:rPr>
                      <w:rFonts w:cs="Georgia"/>
                      <w:spacing w:val="1"/>
                    </w:rPr>
                    <w:t xml:space="preserve"> </w:t>
                  </w:r>
                  <w:r>
                    <w:rPr>
                      <w:rFonts w:cs="Georgia"/>
                      <w:spacing w:val="-3"/>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spacing w:val="-2"/>
                    </w:rPr>
                    <w:t>d</w:t>
                  </w:r>
                  <w:r>
                    <w:rPr>
                      <w:rFonts w:cs="Georgia"/>
                      <w:spacing w:val="1"/>
                    </w:rPr>
                    <w:t>'</w:t>
                  </w:r>
                  <w:r>
                    <w:rPr>
                      <w:rFonts w:cs="Georgia"/>
                      <w:spacing w:val="-1"/>
                    </w:rPr>
                    <w:t>élè</w:t>
                  </w:r>
                  <w:r>
                    <w:rPr>
                      <w:rFonts w:cs="Georgia"/>
                      <w:spacing w:val="1"/>
                    </w:rPr>
                    <w:t>v</w:t>
                  </w:r>
                  <w:r>
                    <w:rPr>
                      <w:rFonts w:cs="Georgia"/>
                      <w:spacing w:val="-1"/>
                    </w:rPr>
                    <w:t>e</w:t>
                  </w:r>
                  <w:r>
                    <w:rPr>
                      <w:rFonts w:cs="Georgia"/>
                    </w:rPr>
                    <w:t>s</w:t>
                  </w:r>
                  <w:r>
                    <w:rPr>
                      <w:rFonts w:cs="Georgia"/>
                      <w:spacing w:val="3"/>
                    </w:rPr>
                    <w:t xml:space="preserve"> </w:t>
                  </w:r>
                  <w:r>
                    <w:rPr>
                      <w:rFonts w:cs="Georgia"/>
                      <w:spacing w:val="-2"/>
                    </w:rPr>
                    <w:t>c</w:t>
                  </w:r>
                  <w:r>
                    <w:rPr>
                      <w:rFonts w:cs="Georgia"/>
                      <w:spacing w:val="1"/>
                    </w:rPr>
                    <w:t>o</w:t>
                  </w:r>
                  <w:r>
                    <w:rPr>
                      <w:rFonts w:cs="Georgia"/>
                      <w:spacing w:val="-1"/>
                    </w:rPr>
                    <w:t>n</w:t>
                  </w:r>
                  <w:r>
                    <w:rPr>
                      <w:rFonts w:cs="Georgia"/>
                      <w:spacing w:val="1"/>
                    </w:rPr>
                    <w:t>c</w:t>
                  </w:r>
                  <w:r>
                    <w:rPr>
                      <w:rFonts w:cs="Georgia"/>
                      <w:spacing w:val="-1"/>
                    </w:rPr>
                    <w:t>e</w:t>
                  </w:r>
                  <w:r>
                    <w:rPr>
                      <w:rFonts w:cs="Georgia"/>
                      <w:spacing w:val="1"/>
                    </w:rPr>
                    <w:t>r</w:t>
                  </w:r>
                  <w:r>
                    <w:rPr>
                      <w:rFonts w:cs="Georgia"/>
                      <w:spacing w:val="-1"/>
                    </w:rPr>
                    <w:t>n</w:t>
                  </w:r>
                  <w:r>
                    <w:rPr>
                      <w:rFonts w:cs="Georgia"/>
                      <w:spacing w:val="-3"/>
                    </w:rPr>
                    <w:t>é</w:t>
                  </w:r>
                  <w:r>
                    <w:rPr>
                      <w:rFonts w:cs="Georgia"/>
                    </w:rPr>
                    <w:t>s</w:t>
                  </w:r>
                  <w:r>
                    <w:rPr>
                      <w:rFonts w:cs="Georgia"/>
                      <w:spacing w:val="3"/>
                    </w:rPr>
                    <w:t xml:space="preserve"> </w:t>
                  </w:r>
                  <w:r>
                    <w:rPr>
                      <w:rFonts w:cs="Georgia"/>
                      <w:spacing w:val="1"/>
                    </w:rPr>
                    <w:t>p</w:t>
                  </w:r>
                  <w:r>
                    <w:rPr>
                      <w:rFonts w:cs="Georgia"/>
                      <w:spacing w:val="-3"/>
                    </w:rPr>
                    <w:t>a</w:t>
                  </w:r>
                  <w:r>
                    <w:rPr>
                      <w:rFonts w:cs="Georgia"/>
                    </w:rPr>
                    <w:t>r</w:t>
                  </w:r>
                  <w:r>
                    <w:rPr>
                      <w:rFonts w:cs="Georgia"/>
                      <w:spacing w:val="3"/>
                    </w:rPr>
                    <w:t xml:space="preserve"> </w:t>
                  </w:r>
                  <w:r>
                    <w:rPr>
                      <w:rFonts w:cs="Georgia"/>
                      <w:spacing w:val="-1"/>
                    </w:rPr>
                    <w:t>l</w:t>
                  </w:r>
                  <w:r>
                    <w:rPr>
                      <w:rFonts w:cs="Georgia"/>
                    </w:rPr>
                    <w:t>e</w:t>
                  </w:r>
                  <w:r>
                    <w:rPr>
                      <w:rFonts w:cs="Georgia"/>
                      <w:spacing w:val="1"/>
                    </w:rPr>
                    <w:t xml:space="preserve"> </w:t>
                  </w:r>
                  <w:r>
                    <w:rPr>
                      <w:rFonts w:cs="Georgia"/>
                      <w:spacing w:val="-1"/>
                    </w:rPr>
                    <w:t>no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spacing w:val="-2"/>
                    </w:rPr>
                    <w:t>g</w:t>
                  </w:r>
                  <w:r>
                    <w:rPr>
                      <w:rFonts w:cs="Georgia"/>
                    </w:rPr>
                    <w:t xml:space="preserve">uide </w:t>
                  </w:r>
                  <w:r>
                    <w:rPr>
                      <w:rFonts w:cs="Georgia"/>
                      <w:spacing w:val="1"/>
                    </w:rPr>
                    <w:t>co</w:t>
                  </w:r>
                  <w:r>
                    <w:rPr>
                      <w:rFonts w:cs="Georgia"/>
                      <w:spacing w:val="-2"/>
                    </w:rPr>
                    <w:t>r</w:t>
                  </w:r>
                  <w:r>
                    <w:rPr>
                      <w:rFonts w:cs="Georgia"/>
                      <w:spacing w:val="1"/>
                    </w:rPr>
                    <w:t>r</w:t>
                  </w:r>
                  <w:r>
                    <w:rPr>
                      <w:rFonts w:cs="Georgia"/>
                      <w:spacing w:val="-1"/>
                    </w:rPr>
                    <w:t>e</w:t>
                  </w:r>
                  <w:r>
                    <w:rPr>
                      <w:rFonts w:cs="Georgia"/>
                      <w:spacing w:val="-2"/>
                    </w:rPr>
                    <w:t>s</w:t>
                  </w:r>
                  <w:r>
                    <w:rPr>
                      <w:rFonts w:cs="Georgia"/>
                      <w:spacing w:val="1"/>
                    </w:rPr>
                    <w:t>po</w:t>
                  </w:r>
                  <w:r>
                    <w:rPr>
                      <w:rFonts w:cs="Georgia"/>
                      <w:spacing w:val="-1"/>
                    </w:rPr>
                    <w:t>n</w:t>
                  </w:r>
                  <w:r>
                    <w:rPr>
                      <w:rFonts w:cs="Georgia"/>
                    </w:rPr>
                    <w:t>d</w:t>
                  </w:r>
                  <w:r>
                    <w:rPr>
                      <w:rFonts w:cs="Georgia"/>
                      <w:spacing w:val="-1"/>
                    </w:rPr>
                    <w:t>an</w:t>
                  </w:r>
                  <w:r>
                    <w:rPr>
                      <w:rFonts w:cs="Georgia"/>
                      <w:spacing w:val="-2"/>
                    </w:rPr>
                    <w:t>t</w:t>
                  </w:r>
                  <w:r>
                    <w:rPr>
                      <w:rFonts w:cs="Georgia"/>
                    </w:rPr>
                    <w:t>.</w:t>
                  </w:r>
                </w:p>
                <w:p w:rsidR="00F04EEF" w:rsidRDefault="00F04EEF">
                  <w:pPr>
                    <w:rPr>
                      <w:rFonts w:cs="Georgia"/>
                      <w:spacing w:val="1"/>
                      <w:u w:val="single"/>
                    </w:rPr>
                  </w:pPr>
                </w:p>
                <w:p w:rsidR="00F04EEF" w:rsidRDefault="0099351E">
                  <w:pPr>
                    <w:rPr>
                      <w:rFonts w:cs="Georgia"/>
                      <w:spacing w:val="-1"/>
                      <w:u w:val="single"/>
                    </w:rPr>
                  </w:pPr>
                  <w:r>
                    <w:rPr>
                      <w:rFonts w:cs="Georgia"/>
                      <w:spacing w:val="1"/>
                      <w:u w:val="single"/>
                    </w:rPr>
                    <w:t>So</w:t>
                  </w:r>
                  <w:r>
                    <w:rPr>
                      <w:rFonts w:cs="Georgia"/>
                      <w:spacing w:val="-2"/>
                      <w:u w:val="single"/>
                    </w:rPr>
                    <w:t>i</w:t>
                  </w:r>
                  <w:r>
                    <w:rPr>
                      <w:rFonts w:cs="Georgia"/>
                      <w:u w:val="single"/>
                    </w:rPr>
                    <w:t xml:space="preserve">t </w:t>
                  </w:r>
                  <w:r>
                    <w:rPr>
                      <w:rFonts w:cs="Georgia"/>
                      <w:spacing w:val="-1"/>
                      <w:u w:val="single"/>
                    </w:rPr>
                    <w:t>l</w:t>
                  </w:r>
                  <w:r>
                    <w:rPr>
                      <w:rFonts w:cs="Georgia"/>
                      <w:u w:val="single"/>
                    </w:rPr>
                    <w:t>a</w:t>
                  </w:r>
                  <w:r>
                    <w:rPr>
                      <w:rFonts w:cs="Georgia"/>
                      <w:spacing w:val="-1"/>
                      <w:u w:val="single"/>
                    </w:rPr>
                    <w:t xml:space="preserve"> </w:t>
                  </w:r>
                  <w:r>
                    <w:rPr>
                      <w:rFonts w:cs="Georgia"/>
                      <w:u w:val="single"/>
                    </w:rPr>
                    <w:t>f</w:t>
                  </w:r>
                  <w:r>
                    <w:rPr>
                      <w:rFonts w:cs="Georgia"/>
                      <w:spacing w:val="1"/>
                      <w:u w:val="single"/>
                    </w:rPr>
                    <w:t>or</w:t>
                  </w:r>
                  <w:r>
                    <w:rPr>
                      <w:rFonts w:cs="Georgia"/>
                      <w:spacing w:val="-3"/>
                      <w:u w:val="single"/>
                    </w:rPr>
                    <w:t>m</w:t>
                  </w:r>
                  <w:r>
                    <w:rPr>
                      <w:rFonts w:cs="Georgia"/>
                      <w:u w:val="single"/>
                    </w:rPr>
                    <w:t>u</w:t>
                  </w:r>
                  <w:r>
                    <w:rPr>
                      <w:rFonts w:cs="Georgia"/>
                      <w:spacing w:val="-1"/>
                      <w:u w:val="single"/>
                    </w:rPr>
                    <w:t>l</w:t>
                  </w:r>
                  <w:r>
                    <w:rPr>
                      <w:rFonts w:cs="Georgia"/>
                      <w:u w:val="single"/>
                    </w:rPr>
                    <w:t>e</w:t>
                  </w:r>
                  <w:r>
                    <w:rPr>
                      <w:rFonts w:cs="Georgia"/>
                      <w:spacing w:val="-1"/>
                      <w:u w:val="single"/>
                    </w:rPr>
                    <w:t> :</w:t>
                  </w:r>
                </w:p>
                <w:p w:rsidR="00F04EEF" w:rsidRDefault="0099351E">
                  <w:pPr>
                    <w:jc w:val="center"/>
                    <w:rPr>
                      <w:rFonts w:cs="Georgia"/>
                      <w:b/>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co</w:t>
                  </w:r>
                  <w:r>
                    <w:rPr>
                      <w:rFonts w:cs="Georgia"/>
                      <w:b/>
                      <w:spacing w:val="-3"/>
                      <w:u w:val="single"/>
                    </w:rPr>
                    <w:t>n</w:t>
                  </w:r>
                  <w:r>
                    <w:rPr>
                      <w:rFonts w:cs="Georgia"/>
                      <w:b/>
                      <w:spacing w:val="1"/>
                      <w:u w:val="single"/>
                    </w:rPr>
                    <w:t>c</w:t>
                  </w:r>
                  <w:r>
                    <w:rPr>
                      <w:rFonts w:cs="Georgia"/>
                      <w:b/>
                      <w:spacing w:val="-1"/>
                      <w:u w:val="single"/>
                    </w:rPr>
                    <w:t>e</w:t>
                  </w:r>
                  <w:r>
                    <w:rPr>
                      <w:rFonts w:cs="Georgia"/>
                      <w:b/>
                      <w:spacing w:val="1"/>
                      <w:u w:val="single"/>
                    </w:rPr>
                    <w:t>r</w:t>
                  </w:r>
                  <w:r>
                    <w:rPr>
                      <w:rFonts w:cs="Georgia"/>
                      <w:b/>
                      <w:spacing w:val="-3"/>
                      <w:u w:val="single"/>
                    </w:rPr>
                    <w:t>n</w:t>
                  </w:r>
                  <w:r>
                    <w:rPr>
                      <w:rFonts w:cs="Georgia"/>
                      <w:b/>
                      <w:spacing w:val="-1"/>
                      <w:u w:val="single"/>
                    </w:rPr>
                    <w:t>és</w:t>
                  </w:r>
                </w:p>
                <w:p w:rsidR="00F04EEF" w:rsidRDefault="0099351E">
                  <w:pPr>
                    <w:jc w:val="center"/>
                    <w:rPr>
                      <w:rFonts w:cs="Georgia"/>
                    </w:rPr>
                  </w:pPr>
                  <w:r>
                    <w:rPr>
                      <w:rFonts w:cs="Georgia"/>
                      <w:b/>
                      <w:spacing w:val="1"/>
                      <w:position w:val="-1"/>
                    </w:rPr>
                    <w:t>No</w:t>
                  </w:r>
                  <w:r>
                    <w:rPr>
                      <w:rFonts w:cs="Georgia"/>
                      <w:b/>
                      <w:position w:val="-1"/>
                    </w:rPr>
                    <w:t>m</w:t>
                  </w:r>
                  <w:r>
                    <w:rPr>
                      <w:rFonts w:cs="Georgia"/>
                      <w:b/>
                      <w:spacing w:val="1"/>
                      <w:position w:val="-1"/>
                    </w:rPr>
                    <w:t>br</w:t>
                  </w:r>
                  <w:r>
                    <w:rPr>
                      <w:rFonts w:cs="Georgia"/>
                      <w:b/>
                      <w:position w:val="-1"/>
                    </w:rPr>
                    <w:t>e</w:t>
                  </w:r>
                  <w:r>
                    <w:rPr>
                      <w:rFonts w:cs="Georgia"/>
                      <w:b/>
                      <w:spacing w:val="-1"/>
                      <w:position w:val="-1"/>
                    </w:rPr>
                    <w:t xml:space="preserve"> </w:t>
                  </w:r>
                  <w:r>
                    <w:rPr>
                      <w:rFonts w:cs="Georgia"/>
                      <w:b/>
                      <w:position w:val="-1"/>
                    </w:rPr>
                    <w:t>gu</w:t>
                  </w:r>
                  <w:r>
                    <w:rPr>
                      <w:rFonts w:cs="Georgia"/>
                      <w:b/>
                      <w:spacing w:val="-2"/>
                      <w:position w:val="-1"/>
                    </w:rPr>
                    <w:t>i</w:t>
                  </w:r>
                  <w:r>
                    <w:rPr>
                      <w:rFonts w:cs="Georgia"/>
                      <w:b/>
                      <w:position w:val="-1"/>
                    </w:rPr>
                    <w:t>de</w:t>
                  </w:r>
                  <w:r>
                    <w:rPr>
                      <w:rFonts w:cs="Georgia"/>
                      <w:spacing w:val="-1"/>
                      <w:position w:val="-1"/>
                    </w:rPr>
                    <w:t xml:space="preserve"> </w:t>
                  </w:r>
                  <w:r>
                    <w:rPr>
                      <w:rFonts w:cs="Georgia"/>
                      <w:spacing w:val="2"/>
                      <w:position w:val="-1"/>
                    </w:rPr>
                    <w:t>(</w:t>
                  </w:r>
                  <w:hyperlink w:anchor="_2.2._Calcul_du" w:history="1">
                    <w:r>
                      <w:rPr>
                        <w:rStyle w:val="Lienhypertexte"/>
                        <w:rFonts w:cs="Georgia"/>
                        <w:color w:val="auto"/>
                        <w:spacing w:val="-1"/>
                        <w:position w:val="-1"/>
                      </w:rPr>
                      <w:t>Vo</w:t>
                    </w:r>
                    <w:r>
                      <w:rPr>
                        <w:rStyle w:val="Lienhypertexte"/>
                        <w:rFonts w:cs="Georgia"/>
                        <w:color w:val="auto"/>
                        <w:position w:val="-1"/>
                      </w:rPr>
                      <w:t>ir</w:t>
                    </w:r>
                    <w:r>
                      <w:rPr>
                        <w:rStyle w:val="Lienhypertexte"/>
                        <w:rFonts w:cs="Georgia"/>
                        <w:color w:val="auto"/>
                        <w:spacing w:val="-2"/>
                        <w:position w:val="-1"/>
                      </w:rPr>
                      <w:t xml:space="preserve"> </w:t>
                    </w:r>
                    <w:r>
                      <w:rPr>
                        <w:rStyle w:val="Lienhypertexte"/>
                        <w:rFonts w:cs="Georgia"/>
                        <w:color w:val="auto"/>
                        <w:spacing w:val="1"/>
                        <w:position w:val="-1"/>
                      </w:rPr>
                      <w:t>po</w:t>
                    </w:r>
                    <w:r>
                      <w:rPr>
                        <w:rStyle w:val="Lienhypertexte"/>
                        <w:rFonts w:cs="Georgia"/>
                        <w:color w:val="auto"/>
                        <w:position w:val="-1"/>
                      </w:rPr>
                      <w:t>i</w:t>
                    </w:r>
                    <w:r>
                      <w:rPr>
                        <w:rStyle w:val="Lienhypertexte"/>
                        <w:rFonts w:cs="Georgia"/>
                        <w:color w:val="auto"/>
                        <w:spacing w:val="-1"/>
                        <w:position w:val="-1"/>
                      </w:rPr>
                      <w:t>nt</w:t>
                    </w:r>
                    <w:r>
                      <w:rPr>
                        <w:rStyle w:val="Lienhypertexte"/>
                        <w:rFonts w:cs="Georgia"/>
                        <w:color w:val="auto"/>
                        <w:spacing w:val="1"/>
                        <w:position w:val="-1"/>
                      </w:rPr>
                      <w:t xml:space="preserve"> 3</w:t>
                    </w:r>
                    <w:r>
                      <w:rPr>
                        <w:rStyle w:val="Lienhypertexte"/>
                        <w:rFonts w:cs="Georgia"/>
                        <w:color w:val="auto"/>
                        <w:position w:val="-1"/>
                      </w:rPr>
                      <w:t>.</w:t>
                    </w:r>
                    <w:r>
                      <w:rPr>
                        <w:rStyle w:val="Lienhypertexte"/>
                        <w:rFonts w:cs="Georgia"/>
                        <w:color w:val="auto"/>
                        <w:spacing w:val="-3"/>
                        <w:position w:val="-1"/>
                      </w:rPr>
                      <w:t>2.1</w:t>
                    </w:r>
                  </w:hyperlink>
                  <w:r>
                    <w:rPr>
                      <w:rFonts w:cs="Georgia"/>
                      <w:spacing w:val="-2"/>
                      <w:position w:val="-1"/>
                    </w:rPr>
                    <w:t>)</w:t>
                  </w:r>
                </w:p>
                <w:p w:rsidR="00F04EEF" w:rsidRDefault="00F04EEF">
                  <w:pPr>
                    <w:jc w:val="both"/>
                    <w:rPr>
                      <w:rFonts w:cs="Georgia"/>
                      <w:spacing w:val="1"/>
                    </w:rPr>
                  </w:pPr>
                </w:p>
                <w:p w:rsidR="00F04EEF" w:rsidRDefault="0099351E">
                  <w:pPr>
                    <w:jc w:val="both"/>
                    <w:rPr>
                      <w:rFonts w:cs="Georgia"/>
                    </w:rPr>
                  </w:pPr>
                  <w:r>
                    <w:rPr>
                      <w:rFonts w:cs="Georgia"/>
                      <w:spacing w:val="1"/>
                    </w:rPr>
                    <w:t>S</w:t>
                  </w:r>
                  <w:r>
                    <w:rPr>
                      <w:rFonts w:cs="Georgia"/>
                      <w:spacing w:val="-1"/>
                    </w:rPr>
                    <w:t>e</w:t>
                  </w:r>
                  <w:r>
                    <w:rPr>
                      <w:rFonts w:cs="Georgia"/>
                    </w:rPr>
                    <w:t>ul</w:t>
                  </w:r>
                  <w:r>
                    <w:rPr>
                      <w:rFonts w:cs="Georgia"/>
                      <w:spacing w:val="-1"/>
                    </w:rPr>
                    <w:t xml:space="preserve"> l</w:t>
                  </w:r>
                  <w:r>
                    <w:rPr>
                      <w:rFonts w:cs="Georgia"/>
                    </w:rPr>
                    <w:t>e</w:t>
                  </w:r>
                  <w:r>
                    <w:rPr>
                      <w:rFonts w:cs="Georgia"/>
                      <w:spacing w:val="-1"/>
                    </w:rPr>
                    <w:t xml:space="preserve"> </w:t>
                  </w:r>
                  <w:r>
                    <w:rPr>
                      <w:rFonts w:cs="Georgia"/>
                      <w:spacing w:val="1"/>
                    </w:rPr>
                    <w:t>tot</w:t>
                  </w:r>
                  <w:r>
                    <w:rPr>
                      <w:rFonts w:cs="Georgia"/>
                      <w:spacing w:val="-1"/>
                    </w:rPr>
                    <w:t>a</w:t>
                  </w:r>
                  <w:r>
                    <w:rPr>
                      <w:rFonts w:cs="Georgia"/>
                    </w:rPr>
                    <w:t>l</w:t>
                  </w:r>
                  <w:r>
                    <w:rPr>
                      <w:rFonts w:cs="Georgia"/>
                      <w:spacing w:val="-1"/>
                    </w:rPr>
                    <w:t xml:space="preserve"> </w:t>
                  </w:r>
                  <w:r>
                    <w:rPr>
                      <w:rFonts w:cs="Georgia"/>
                    </w:rPr>
                    <w:t>de</w:t>
                  </w:r>
                  <w:r>
                    <w:rPr>
                      <w:rFonts w:cs="Georgia"/>
                      <w:spacing w:val="-1"/>
                    </w:rPr>
                    <w:t xml:space="preserve"> l</w:t>
                  </w:r>
                  <w:r>
                    <w:rPr>
                      <w:rFonts w:cs="Georgia"/>
                      <w:spacing w:val="1"/>
                    </w:rPr>
                    <w:t>'</w:t>
                  </w:r>
                  <w:r>
                    <w:rPr>
                      <w:rFonts w:cs="Georgia"/>
                      <w:spacing w:val="-1"/>
                    </w:rPr>
                    <w:t>a</w:t>
                  </w:r>
                  <w:r>
                    <w:rPr>
                      <w:rFonts w:cs="Georgia"/>
                    </w:rPr>
                    <w:t>ddi</w:t>
                  </w:r>
                  <w:r>
                    <w:rPr>
                      <w:rFonts w:cs="Georgia"/>
                      <w:spacing w:val="1"/>
                    </w:rPr>
                    <w:t>t</w:t>
                  </w:r>
                  <w:r>
                    <w:rPr>
                      <w:rFonts w:cs="Georgia"/>
                      <w:spacing w:val="-2"/>
                    </w:rPr>
                    <w:t>i</w:t>
                  </w:r>
                  <w:r>
                    <w:rPr>
                      <w:rFonts w:cs="Georgia"/>
                      <w:spacing w:val="1"/>
                    </w:rPr>
                    <w:t>o</w:t>
                  </w:r>
                  <w:r>
                    <w:rPr>
                      <w:rFonts w:cs="Georgia"/>
                    </w:rPr>
                    <w:t>n</w:t>
                  </w:r>
                  <w:r>
                    <w:rPr>
                      <w:rFonts w:cs="Georgia"/>
                      <w:spacing w:val="-4"/>
                    </w:rPr>
                    <w:t xml:space="preserve"> </w:t>
                  </w:r>
                  <w:r>
                    <w:rPr>
                      <w:rFonts w:cs="Georgia"/>
                      <w:spacing w:val="-1"/>
                    </w:rPr>
                    <w:t>e</w:t>
                  </w:r>
                  <w:r>
                    <w:rPr>
                      <w:rFonts w:cs="Georgia"/>
                      <w:spacing w:val="1"/>
                    </w:rPr>
                    <w:t>s</w:t>
                  </w:r>
                  <w:r>
                    <w:rPr>
                      <w:rFonts w:cs="Georgia"/>
                    </w:rPr>
                    <w:t xml:space="preserve">t </w:t>
                  </w:r>
                  <w:r>
                    <w:rPr>
                      <w:rFonts w:cs="Georgia"/>
                      <w:spacing w:val="-1"/>
                    </w:rPr>
                    <w:t>a</w:t>
                  </w:r>
                  <w:r>
                    <w:rPr>
                      <w:rFonts w:cs="Georgia"/>
                      <w:spacing w:val="1"/>
                    </w:rPr>
                    <w:t>rro</w:t>
                  </w:r>
                  <w:r>
                    <w:rPr>
                      <w:rFonts w:cs="Georgia"/>
                      <w:spacing w:val="-3"/>
                    </w:rPr>
                    <w:t>n</w:t>
                  </w:r>
                  <w:r>
                    <w:rPr>
                      <w:rFonts w:cs="Georgia"/>
                    </w:rPr>
                    <w:t>di à</w:t>
                  </w:r>
                  <w:r>
                    <w:rPr>
                      <w:rFonts w:cs="Georgia"/>
                      <w:spacing w:val="-1"/>
                    </w:rPr>
                    <w:t xml:space="preserve"> l</w:t>
                  </w:r>
                  <w:r>
                    <w:rPr>
                      <w:rFonts w:cs="Georgia"/>
                      <w:spacing w:val="1"/>
                    </w:rPr>
                    <w:t>'</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spacing w:val="-2"/>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rsidR="00F04EEF" w:rsidRDefault="00F04EEF">
                  <w:pPr>
                    <w:jc w:val="both"/>
                    <w:rPr>
                      <w:rFonts w:cs="Georgia"/>
                    </w:rPr>
                  </w:pPr>
                </w:p>
                <w:p w:rsidR="00F04EEF" w:rsidRDefault="00F04EEF">
                  <w:pPr>
                    <w:widowControl w:val="0"/>
                    <w:autoSpaceDE w:val="0"/>
                    <w:autoSpaceDN w:val="0"/>
                    <w:adjustRightInd w:val="0"/>
                    <w:spacing w:before="18" w:line="200" w:lineRule="exact"/>
                    <w:rPr>
                      <w:rFonts w:cs="Georgia"/>
                    </w:rPr>
                  </w:pPr>
                </w:p>
                <w:p w:rsidR="00F04EEF" w:rsidRDefault="0099351E">
                  <w:pPr>
                    <w:pStyle w:val="Titre5"/>
                  </w:pPr>
                  <w:bookmarkStart w:id="1953" w:name="_2.3.2_Direction_de"/>
                  <w:bookmarkStart w:id="1954" w:name="_2.3.2._Direction_de"/>
                  <w:bookmarkEnd w:id="1953"/>
                  <w:bookmarkEnd w:id="1954"/>
                  <w:r>
                    <w:t>2.3.2. Di</w:t>
                  </w:r>
                  <w:r>
                    <w:rPr>
                      <w:spacing w:val="1"/>
                    </w:rPr>
                    <w:t>r</w:t>
                  </w:r>
                  <w:r>
                    <w:rPr>
                      <w:spacing w:val="-1"/>
                    </w:rPr>
                    <w:t>e</w:t>
                  </w:r>
                  <w:r>
                    <w:t>c</w:t>
                  </w:r>
                  <w:r>
                    <w:rPr>
                      <w:spacing w:val="1"/>
                    </w:rPr>
                    <w:t>t</w:t>
                  </w:r>
                  <w:r>
                    <w:rPr>
                      <w:spacing w:val="-2"/>
                    </w:rPr>
                    <w:t>i</w:t>
                  </w:r>
                  <w:r>
                    <w:rPr>
                      <w:spacing w:val="1"/>
                    </w:rPr>
                    <w:t>o</w:t>
                  </w:r>
                  <w:r>
                    <w:t>n</w:t>
                  </w:r>
                  <w:r>
                    <w:rPr>
                      <w:spacing w:val="-1"/>
                    </w:rPr>
                    <w:t xml:space="preserve"> </w:t>
                  </w:r>
                  <w:r>
                    <w:t>de</w:t>
                  </w:r>
                  <w:r>
                    <w:rPr>
                      <w:spacing w:val="-2"/>
                    </w:rPr>
                    <w:t xml:space="preserve"> </w:t>
                  </w:r>
                  <w:r>
                    <w:t>c</w:t>
                  </w:r>
                  <w:r>
                    <w:rPr>
                      <w:spacing w:val="-1"/>
                    </w:rPr>
                    <w:t>la</w:t>
                  </w:r>
                  <w:r>
                    <w:rPr>
                      <w:spacing w:val="1"/>
                    </w:rPr>
                    <w:t>ss</w:t>
                  </w:r>
                  <w:r>
                    <w:rPr>
                      <w:spacing w:val="-1"/>
                    </w:rPr>
                    <w:t>e</w:t>
                  </w:r>
                  <w:r>
                    <w:t>, guid</w:t>
                  </w:r>
                  <w:r>
                    <w:rPr>
                      <w:spacing w:val="-1"/>
                    </w:rPr>
                    <w:t>an</w:t>
                  </w:r>
                  <w:r>
                    <w:t>ce</w:t>
                  </w:r>
                  <w:r>
                    <w:rPr>
                      <w:spacing w:val="-2"/>
                    </w:rPr>
                    <w:t xml:space="preserve"> </w:t>
                  </w:r>
                  <w:r>
                    <w:rPr>
                      <w:spacing w:val="-1"/>
                    </w:rPr>
                    <w:t>e</w:t>
                  </w:r>
                  <w:r>
                    <w:t>t</w:t>
                  </w:r>
                  <w:r>
                    <w:rPr>
                      <w:spacing w:val="-2"/>
                    </w:rPr>
                    <w:t xml:space="preserve"> </w:t>
                  </w:r>
                  <w:r>
                    <w:rPr>
                      <w:spacing w:val="1"/>
                    </w:rPr>
                    <w:t>r</w:t>
                  </w:r>
                  <w:r>
                    <w:rPr>
                      <w:spacing w:val="-1"/>
                    </w:rPr>
                    <w:t>e</w:t>
                  </w:r>
                  <w:r>
                    <w:t>c</w:t>
                  </w:r>
                  <w:r>
                    <w:rPr>
                      <w:spacing w:val="-1"/>
                    </w:rPr>
                    <w:t>y</w:t>
                  </w:r>
                  <w:r>
                    <w:rPr>
                      <w:spacing w:val="1"/>
                    </w:rPr>
                    <w:t>c</w:t>
                  </w:r>
                  <w:r>
                    <w:rPr>
                      <w:spacing w:val="-1"/>
                    </w:rPr>
                    <w:t>la</w:t>
                  </w:r>
                  <w:r>
                    <w:t>ge</w:t>
                  </w:r>
                </w:p>
                <w:p w:rsidR="00F04EEF" w:rsidRDefault="00F04EEF">
                  <w:pPr>
                    <w:widowControl w:val="0"/>
                    <w:autoSpaceDE w:val="0"/>
                    <w:autoSpaceDN w:val="0"/>
                    <w:adjustRightInd w:val="0"/>
                    <w:spacing w:line="250" w:lineRule="exact"/>
                    <w:jc w:val="both"/>
                    <w:rPr>
                      <w:rFonts w:cs="Georgia"/>
                      <w:b/>
                    </w:rPr>
                  </w:pPr>
                </w:p>
                <w:p w:rsidR="00F04EEF" w:rsidRDefault="0099351E">
                  <w:pPr>
                    <w:pStyle w:val="Paragraphedeliste"/>
                    <w:widowControl w:val="0"/>
                    <w:numPr>
                      <w:ilvl w:val="0"/>
                      <w:numId w:val="60"/>
                    </w:numPr>
                    <w:suppressAutoHyphens w:val="0"/>
                    <w:autoSpaceDE w:val="0"/>
                    <w:autoSpaceDN w:val="0"/>
                    <w:adjustRightInd w:val="0"/>
                    <w:spacing w:before="85"/>
                    <w:ind w:left="0" w:firstLine="0"/>
                    <w:contextualSpacing/>
                    <w:jc w:val="both"/>
                    <w:rPr>
                      <w:rFonts w:asciiTheme="majorHAnsi" w:hAnsiTheme="majorHAnsi" w:cs="Georgia"/>
                      <w:sz w:val="22"/>
                      <w:szCs w:val="22"/>
                      <w:u w:val="single"/>
                    </w:rPr>
                  </w:pPr>
                  <w:r>
                    <w:rPr>
                      <w:rFonts w:asciiTheme="majorHAnsi" w:hAnsiTheme="majorHAnsi" w:cs="Georgia"/>
                      <w:b/>
                      <w:bCs/>
                      <w:spacing w:val="1"/>
                      <w:sz w:val="22"/>
                      <w:szCs w:val="22"/>
                      <w:u w:val="single"/>
                    </w:rPr>
                    <w:t>Di</w:t>
                  </w:r>
                  <w:r>
                    <w:rPr>
                      <w:rFonts w:asciiTheme="majorHAnsi" w:hAnsiTheme="majorHAnsi" w:cs="Georgia"/>
                      <w:b/>
                      <w:bCs/>
                      <w:spacing w:val="-2"/>
                      <w:sz w:val="22"/>
                      <w:szCs w:val="22"/>
                      <w:u w:val="single"/>
                    </w:rPr>
                    <w:t>r</w:t>
                  </w:r>
                  <w:r>
                    <w:rPr>
                      <w:rFonts w:asciiTheme="majorHAnsi" w:hAnsiTheme="majorHAnsi" w:cs="Georgia"/>
                      <w:b/>
                      <w:bCs/>
                      <w:spacing w:val="1"/>
                      <w:sz w:val="22"/>
                      <w:szCs w:val="22"/>
                      <w:u w:val="single"/>
                    </w:rPr>
                    <w:t>e</w:t>
                  </w:r>
                  <w:r>
                    <w:rPr>
                      <w:rFonts w:asciiTheme="majorHAnsi" w:hAnsiTheme="majorHAnsi" w:cs="Georgia"/>
                      <w:b/>
                      <w:bCs/>
                      <w:spacing w:val="-2"/>
                      <w:sz w:val="22"/>
                      <w:szCs w:val="22"/>
                      <w:u w:val="single"/>
                    </w:rPr>
                    <w:t>c</w:t>
                  </w:r>
                  <w:r>
                    <w:rPr>
                      <w:rFonts w:asciiTheme="majorHAnsi" w:hAnsiTheme="majorHAnsi" w:cs="Georgia"/>
                      <w:b/>
                      <w:bCs/>
                      <w:spacing w:val="-1"/>
                      <w:sz w:val="22"/>
                      <w:szCs w:val="22"/>
                      <w:u w:val="single"/>
                    </w:rPr>
                    <w:t>t</w:t>
                  </w:r>
                  <w:r>
                    <w:rPr>
                      <w:rFonts w:asciiTheme="majorHAnsi" w:hAnsiTheme="majorHAnsi" w:cs="Georgia"/>
                      <w:b/>
                      <w:bCs/>
                      <w:spacing w:val="1"/>
                      <w:sz w:val="22"/>
                      <w:szCs w:val="22"/>
                      <w:u w:val="single"/>
                    </w:rPr>
                    <w:t>i</w:t>
                  </w:r>
                  <w:r>
                    <w:rPr>
                      <w:rFonts w:asciiTheme="majorHAnsi" w:hAnsiTheme="majorHAnsi" w:cs="Georgia"/>
                      <w:b/>
                      <w:bCs/>
                      <w:spacing w:val="-1"/>
                      <w:sz w:val="22"/>
                      <w:szCs w:val="22"/>
                      <w:u w:val="single"/>
                    </w:rPr>
                    <w:t>o</w:t>
                  </w:r>
                  <w:r>
                    <w:rPr>
                      <w:rFonts w:asciiTheme="majorHAnsi" w:hAnsiTheme="majorHAnsi" w:cs="Georgia"/>
                      <w:b/>
                      <w:bCs/>
                      <w:sz w:val="22"/>
                      <w:szCs w:val="22"/>
                      <w:u w:val="single"/>
                    </w:rPr>
                    <w:t>n</w:t>
                  </w:r>
                  <w:r>
                    <w:rPr>
                      <w:rFonts w:asciiTheme="majorHAnsi" w:hAnsiTheme="majorHAnsi" w:cs="Georgia"/>
                      <w:b/>
                      <w:bCs/>
                      <w:spacing w:val="-2"/>
                      <w:sz w:val="22"/>
                      <w:szCs w:val="22"/>
                      <w:u w:val="single"/>
                    </w:rPr>
                    <w:t xml:space="preserve"> </w:t>
                  </w:r>
                  <w:r>
                    <w:rPr>
                      <w:rFonts w:asciiTheme="majorHAnsi" w:hAnsiTheme="majorHAnsi" w:cs="Georgia"/>
                      <w:b/>
                      <w:bCs/>
                      <w:sz w:val="22"/>
                      <w:szCs w:val="22"/>
                      <w:u w:val="single"/>
                    </w:rPr>
                    <w:t>de c</w:t>
                  </w:r>
                  <w:r>
                    <w:rPr>
                      <w:rFonts w:asciiTheme="majorHAnsi" w:hAnsiTheme="majorHAnsi" w:cs="Georgia"/>
                      <w:b/>
                      <w:bCs/>
                      <w:spacing w:val="1"/>
                      <w:sz w:val="22"/>
                      <w:szCs w:val="22"/>
                      <w:u w:val="single"/>
                    </w:rPr>
                    <w:t>l</w:t>
                  </w:r>
                  <w:r>
                    <w:rPr>
                      <w:rFonts w:asciiTheme="majorHAnsi" w:hAnsiTheme="majorHAnsi" w:cs="Georgia"/>
                      <w:b/>
                      <w:bCs/>
                      <w:sz w:val="22"/>
                      <w:szCs w:val="22"/>
                      <w:u w:val="single"/>
                    </w:rPr>
                    <w:t>as</w:t>
                  </w:r>
                  <w:r>
                    <w:rPr>
                      <w:rFonts w:asciiTheme="majorHAnsi" w:hAnsiTheme="majorHAnsi" w:cs="Georgia"/>
                      <w:b/>
                      <w:bCs/>
                      <w:spacing w:val="-3"/>
                      <w:sz w:val="22"/>
                      <w:szCs w:val="22"/>
                      <w:u w:val="single"/>
                    </w:rPr>
                    <w:t>s</w:t>
                  </w:r>
                  <w:r>
                    <w:rPr>
                      <w:rFonts w:asciiTheme="majorHAnsi" w:hAnsiTheme="majorHAnsi" w:cs="Georgia"/>
                      <w:b/>
                      <w:bCs/>
                      <w:sz w:val="22"/>
                      <w:szCs w:val="22"/>
                      <w:u w:val="single"/>
                    </w:rPr>
                    <w:t>e</w:t>
                  </w:r>
                </w:p>
                <w:p w:rsidR="00F04EEF" w:rsidRDefault="00F04EEF">
                  <w:pPr>
                    <w:widowControl w:val="0"/>
                    <w:autoSpaceDE w:val="0"/>
                    <w:autoSpaceDN w:val="0"/>
                    <w:adjustRightInd w:val="0"/>
                    <w:spacing w:before="13" w:line="240" w:lineRule="exact"/>
                    <w:rPr>
                      <w:rFonts w:cs="Georgia"/>
                    </w:rPr>
                  </w:pPr>
                </w:p>
                <w:p w:rsidR="00F04EEF" w:rsidRDefault="0099351E">
                  <w:pPr>
                    <w:widowControl w:val="0"/>
                    <w:autoSpaceDE w:val="0"/>
                    <w:autoSpaceDN w:val="0"/>
                    <w:adjustRightInd w:val="0"/>
                    <w:spacing w:line="250" w:lineRule="exact"/>
                    <w:jc w:val="both"/>
                    <w:rPr>
                      <w:rFonts w:cs="Georgia"/>
                      <w:spacing w:val="-1"/>
                    </w:rPr>
                  </w:pPr>
                  <w:r>
                    <w:rPr>
                      <w:rFonts w:cs="Georgia"/>
                      <w:spacing w:val="1"/>
                    </w:rPr>
                    <w:t>L</w:t>
                  </w:r>
                  <w:r>
                    <w:rPr>
                      <w:rFonts w:cs="Georgia"/>
                    </w:rPr>
                    <w:t>e</w:t>
                  </w:r>
                  <w:r>
                    <w:rPr>
                      <w:rFonts w:cs="Georgia"/>
                      <w:spacing w:val="1"/>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spacing w:val="1"/>
                    </w:rPr>
                    <w:t>s</w:t>
                  </w:r>
                  <w:r>
                    <w:rPr>
                      <w:rFonts w:cs="Georgia"/>
                    </w:rPr>
                    <w:t>,</w:t>
                  </w:r>
                  <w:r>
                    <w:rPr>
                      <w:rFonts w:cs="Georgia"/>
                      <w:spacing w:val="2"/>
                    </w:rPr>
                    <w:t xml:space="preserve"> </w:t>
                  </w:r>
                  <w:r>
                    <w:rPr>
                      <w:rFonts w:cs="Georgia"/>
                      <w:spacing w:val="-1"/>
                    </w:rPr>
                    <w:t>e</w:t>
                  </w:r>
                  <w:r>
                    <w:rPr>
                      <w:rFonts w:cs="Georgia"/>
                    </w:rPr>
                    <w:t>n</w:t>
                  </w:r>
                  <w:r>
                    <w:rPr>
                      <w:rFonts w:cs="Georgia"/>
                      <w:spacing w:val="1"/>
                    </w:rPr>
                    <w:t xml:space="preserve"> </w:t>
                  </w:r>
                  <w:r>
                    <w:rPr>
                      <w:rFonts w:cs="Georgia"/>
                    </w:rPr>
                    <w:t>d</w:t>
                  </w:r>
                  <w:r>
                    <w:rPr>
                      <w:rFonts w:cs="Georgia"/>
                      <w:spacing w:val="-1"/>
                    </w:rPr>
                    <w:t>e</w:t>
                  </w:r>
                  <w:r>
                    <w:rPr>
                      <w:rFonts w:cs="Georgia"/>
                      <w:spacing w:val="1"/>
                    </w:rPr>
                    <w:t>h</w:t>
                  </w:r>
                  <w:r>
                    <w:rPr>
                      <w:rFonts w:cs="Georgia"/>
                      <w:spacing w:val="-1"/>
                    </w:rPr>
                    <w:t>o</w:t>
                  </w:r>
                  <w:r>
                    <w:rPr>
                      <w:rFonts w:cs="Georgia"/>
                      <w:spacing w:val="1"/>
                    </w:rPr>
                    <w:t>r</w:t>
                  </w:r>
                  <w:r>
                    <w:rPr>
                      <w:rFonts w:cs="Georgia"/>
                    </w:rPr>
                    <w:t>s</w:t>
                  </w:r>
                  <w:r>
                    <w:rPr>
                      <w:rFonts w:cs="Georgia"/>
                      <w:spacing w:val="2"/>
                    </w:rPr>
                    <w:t xml:space="preserve"> </w:t>
                  </w:r>
                  <w:r>
                    <w:rPr>
                      <w:rFonts w:cs="Georgia"/>
                      <w:spacing w:val="-2"/>
                    </w:rPr>
                    <w:t>d</w:t>
                  </w:r>
                  <w:r>
                    <w:rPr>
                      <w:rFonts w:cs="Georgia"/>
                    </w:rPr>
                    <w:t xml:space="preserve">u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1"/>
                    </w:rPr>
                    <w:t>o</w:t>
                  </w:r>
                  <w:r>
                    <w:rPr>
                      <w:rFonts w:cs="Georgia"/>
                    </w:rPr>
                    <w:t>ur</w:t>
                  </w:r>
                  <w:r>
                    <w:rPr>
                      <w:rFonts w:cs="Georgia"/>
                      <w:spacing w:val="2"/>
                    </w:rPr>
                    <w:t xml:space="preserve"> </w:t>
                  </w:r>
                  <w:r>
                    <w:rPr>
                      <w:rFonts w:cs="Georgia"/>
                      <w:spacing w:val="-3"/>
                    </w:rPr>
                    <w:t>l</w:t>
                  </w:r>
                  <w:r>
                    <w:rPr>
                      <w:rFonts w:cs="Georgia"/>
                      <w:spacing w:val="-1"/>
                    </w:rPr>
                    <w:t>e</w:t>
                  </w:r>
                  <w:r>
                    <w:rPr>
                      <w:rFonts w:cs="Georgia"/>
                    </w:rPr>
                    <w:t>s</w:t>
                  </w:r>
                  <w:r>
                    <w:rPr>
                      <w:rFonts w:cs="Georgia"/>
                      <w:spacing w:val="2"/>
                    </w:rPr>
                    <w:t xml:space="preserve"> </w:t>
                  </w:r>
                  <w:r>
                    <w:rPr>
                      <w:rFonts w:cs="Georgia"/>
                    </w:rPr>
                    <w:t>di</w:t>
                  </w:r>
                  <w:r>
                    <w:rPr>
                      <w:rFonts w:cs="Georgia"/>
                      <w:spacing w:val="1"/>
                    </w:rPr>
                    <w:t>r</w:t>
                  </w:r>
                  <w:r>
                    <w:rPr>
                      <w:rFonts w:cs="Georgia"/>
                      <w:spacing w:val="-1"/>
                    </w:rPr>
                    <w:t>e</w:t>
                  </w:r>
                  <w:r>
                    <w:rPr>
                      <w:rFonts w:cs="Georgia"/>
                      <w:spacing w:val="1"/>
                    </w:rPr>
                    <w:t>ct</w:t>
                  </w:r>
                  <w:r>
                    <w:rPr>
                      <w:rFonts w:cs="Georgia"/>
                      <w:spacing w:val="-2"/>
                    </w:rPr>
                    <w:t>i</w:t>
                  </w:r>
                  <w:r>
                    <w:rPr>
                      <w:rFonts w:cs="Georgia"/>
                      <w:spacing w:val="1"/>
                    </w:rPr>
                    <w:t>o</w:t>
                  </w:r>
                  <w:r>
                    <w:rPr>
                      <w:rFonts w:cs="Georgia"/>
                      <w:spacing w:val="-1"/>
                    </w:rPr>
                    <w:t>n</w:t>
                  </w:r>
                  <w:r>
                    <w:rPr>
                      <w:rFonts w:cs="Georgia"/>
                    </w:rPr>
                    <w:t>s</w:t>
                  </w:r>
                  <w:r>
                    <w:rPr>
                      <w:rFonts w:cs="Georgia"/>
                      <w:spacing w:val="2"/>
                    </w:rPr>
                    <w:t xml:space="preserve"> </w:t>
                  </w:r>
                  <w:r>
                    <w:rPr>
                      <w:rFonts w:cs="Georgia"/>
                    </w:rPr>
                    <w:t>de</w:t>
                  </w:r>
                  <w:r>
                    <w:rPr>
                      <w:rFonts w:cs="Georgia"/>
                      <w:spacing w:val="1"/>
                    </w:rPr>
                    <w:t xml:space="preserve"> c</w:t>
                  </w:r>
                  <w:r>
                    <w:rPr>
                      <w:rFonts w:cs="Georgia"/>
                      <w:spacing w:val="-1"/>
                    </w:rPr>
                    <w:t>la</w:t>
                  </w:r>
                  <w:r>
                    <w:rPr>
                      <w:rFonts w:cs="Georgia"/>
                      <w:spacing w:val="-2"/>
                    </w:rPr>
                    <w:t>s</w:t>
                  </w:r>
                  <w:r>
                    <w:rPr>
                      <w:rFonts w:cs="Georgia"/>
                      <w:spacing w:val="1"/>
                    </w:rPr>
                    <w:t>s</w:t>
                  </w:r>
                  <w:r>
                    <w:rPr>
                      <w:rFonts w:cs="Georgia"/>
                      <w:spacing w:val="-1"/>
                    </w:rPr>
                    <w:t>e</w:t>
                  </w:r>
                  <w:r>
                    <w:rPr>
                      <w:rFonts w:cs="Georgia"/>
                    </w:rPr>
                    <w:t xml:space="preserve"> </w:t>
                  </w:r>
                  <w:r>
                    <w:rPr>
                      <w:rFonts w:cs="Georgia"/>
                      <w:spacing w:val="1"/>
                    </w:rPr>
                    <w:t>s'</w:t>
                  </w:r>
                  <w:r>
                    <w:rPr>
                      <w:rFonts w:cs="Georgia"/>
                      <w:spacing w:val="-1"/>
                    </w:rPr>
                    <w:t>o</w:t>
                  </w:r>
                  <w:r>
                    <w:rPr>
                      <w:rFonts w:cs="Georgia"/>
                      <w:spacing w:val="1"/>
                    </w:rPr>
                    <w:t>bt</w:t>
                  </w:r>
                  <w:r>
                    <w:rPr>
                      <w:rFonts w:cs="Georgia"/>
                    </w:rPr>
                    <w:t>i</w:t>
                  </w:r>
                  <w:r>
                    <w:rPr>
                      <w:rFonts w:cs="Georgia"/>
                      <w:spacing w:val="-1"/>
                    </w:rPr>
                    <w:t>en</w:t>
                  </w:r>
                  <w:r>
                    <w:rPr>
                      <w:rFonts w:cs="Georgia"/>
                    </w:rPr>
                    <w:t>t</w:t>
                  </w:r>
                  <w:r>
                    <w:rPr>
                      <w:rFonts w:cs="Georgia"/>
                      <w:spacing w:val="2"/>
                    </w:rPr>
                    <w:t xml:space="preserve"> </w:t>
                  </w:r>
                  <w:r>
                    <w:rPr>
                      <w:rFonts w:cs="Georgia"/>
                      <w:spacing w:val="-1"/>
                    </w:rPr>
                    <w:t>e</w:t>
                  </w:r>
                  <w:r>
                    <w:rPr>
                      <w:rFonts w:cs="Georgia"/>
                    </w:rPr>
                    <w:t>n d</w:t>
                  </w:r>
                  <w:r>
                    <w:rPr>
                      <w:rFonts w:cs="Georgia"/>
                      <w:spacing w:val="-2"/>
                    </w:rPr>
                    <w:t>i</w:t>
                  </w:r>
                  <w:r>
                    <w:rPr>
                      <w:rFonts w:cs="Georgia"/>
                      <w:spacing w:val="1"/>
                    </w:rPr>
                    <w:t>v</w:t>
                  </w:r>
                  <w:r>
                    <w:rPr>
                      <w:rFonts w:cs="Georgia"/>
                    </w:rPr>
                    <w:t>i</w:t>
                  </w:r>
                  <w:r>
                    <w:rPr>
                      <w:rFonts w:cs="Georgia"/>
                      <w:spacing w:val="1"/>
                    </w:rPr>
                    <w:t>s</w:t>
                  </w:r>
                  <w:r>
                    <w:rPr>
                      <w:rFonts w:cs="Georgia"/>
                      <w:spacing w:val="-1"/>
                    </w:rPr>
                    <w:t>an</w:t>
                  </w:r>
                  <w:r>
                    <w:rPr>
                      <w:rFonts w:cs="Georgia"/>
                    </w:rPr>
                    <w:t xml:space="preserve">t </w:t>
                  </w:r>
                  <w:r>
                    <w:rPr>
                      <w:rFonts w:cs="Georgia"/>
                      <w:spacing w:val="1"/>
                    </w:rPr>
                    <w:t>p</w:t>
                  </w:r>
                  <w:r>
                    <w:rPr>
                      <w:rFonts w:cs="Georgia"/>
                      <w:spacing w:val="-3"/>
                    </w:rPr>
                    <w:t>a</w:t>
                  </w:r>
                  <w:r>
                    <w:rPr>
                      <w:rFonts w:cs="Georgia"/>
                    </w:rPr>
                    <w:t>r</w:t>
                  </w:r>
                  <w:r>
                    <w:rPr>
                      <w:rFonts w:cs="Georgia"/>
                      <w:spacing w:val="2"/>
                    </w:rPr>
                    <w:t xml:space="preserve"> </w:t>
                  </w:r>
                  <w:r>
                    <w:rPr>
                      <w:rFonts w:cs="Georgia"/>
                      <w:spacing w:val="1"/>
                    </w:rPr>
                    <w:t>1</w:t>
                  </w:r>
                  <w:r>
                    <w:rPr>
                      <w:rFonts w:cs="Georgia"/>
                    </w:rPr>
                    <w:t xml:space="preserve">2 </w:t>
                  </w:r>
                  <w:r>
                    <w:rPr>
                      <w:rFonts w:cs="Georgia"/>
                      <w:spacing w:val="-1"/>
                    </w:rPr>
                    <w:t>l</w:t>
                  </w:r>
                  <w:r>
                    <w:rPr>
                      <w:rFonts w:cs="Georgia"/>
                    </w:rPr>
                    <w:t xml:space="preserve">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 xml:space="preserve">e </w:t>
                  </w:r>
                  <w:r>
                    <w:rPr>
                      <w:rFonts w:cs="Georgia"/>
                      <w:spacing w:val="-2"/>
                    </w:rPr>
                    <w:t>t</w:t>
                  </w:r>
                  <w:r>
                    <w:rPr>
                      <w:rFonts w:cs="Georgia"/>
                      <w:spacing w:val="1"/>
                    </w:rPr>
                    <w:t>ot</w:t>
                  </w:r>
                  <w:r>
                    <w:rPr>
                      <w:rFonts w:cs="Georgia"/>
                      <w:spacing w:val="-1"/>
                    </w:rPr>
                    <w:t>a</w:t>
                  </w:r>
                  <w:r>
                    <w:rPr>
                      <w:rFonts w:cs="Georgia"/>
                    </w:rPr>
                    <w:t>l</w:t>
                  </w:r>
                  <w:r>
                    <w:rPr>
                      <w:rFonts w:cs="Georgia"/>
                      <w:spacing w:val="1"/>
                    </w:rPr>
                    <w:t xml:space="preserve"> </w:t>
                  </w:r>
                  <w:r>
                    <w:rPr>
                      <w:rFonts w:cs="Georgia"/>
                      <w:spacing w:val="-2"/>
                    </w:rPr>
                    <w:t>d</w:t>
                  </w:r>
                  <w:r>
                    <w:rPr>
                      <w:rFonts w:cs="Georgia"/>
                      <w:spacing w:val="-1"/>
                    </w:rPr>
                    <w:t>e</w:t>
                  </w:r>
                  <w:r>
                    <w:rPr>
                      <w:rFonts w:cs="Georgia"/>
                    </w:rPr>
                    <w:t xml:space="preserve">s </w:t>
                  </w:r>
                  <w:r>
                    <w:rPr>
                      <w:rFonts w:cs="Georgia"/>
                      <w:spacing w:val="-1"/>
                    </w:rPr>
                    <w:t>élè</w:t>
                  </w:r>
                  <w:r>
                    <w:rPr>
                      <w:rFonts w:cs="Georgia"/>
                      <w:spacing w:val="1"/>
                    </w:rPr>
                    <w:t>v</w:t>
                  </w:r>
                  <w:r>
                    <w:rPr>
                      <w:rFonts w:cs="Georgia"/>
                      <w:spacing w:val="-1"/>
                    </w:rPr>
                    <w:t>e</w:t>
                  </w:r>
                  <w:r>
                    <w:rPr>
                      <w:rFonts w:cs="Georgia"/>
                    </w:rPr>
                    <w:t xml:space="preserve">s </w:t>
                  </w:r>
                  <w:r>
                    <w:rPr>
                      <w:rFonts w:cs="Georgia"/>
                      <w:spacing w:val="1"/>
                    </w:rPr>
                    <w:t>r</w:t>
                  </w:r>
                  <w:r>
                    <w:rPr>
                      <w:rFonts w:cs="Georgia"/>
                      <w:spacing w:val="-1"/>
                    </w:rPr>
                    <w:t>é</w:t>
                  </w:r>
                  <w:r>
                    <w:rPr>
                      <w:rFonts w:cs="Georgia"/>
                      <w:spacing w:val="1"/>
                    </w:rPr>
                    <w:t>g</w:t>
                  </w:r>
                  <w:r>
                    <w:rPr>
                      <w:rFonts w:cs="Georgia"/>
                    </w:rPr>
                    <w:t>u</w:t>
                  </w:r>
                  <w:r>
                    <w:rPr>
                      <w:rFonts w:cs="Georgia"/>
                      <w:spacing w:val="-1"/>
                    </w:rPr>
                    <w:t>l</w:t>
                  </w:r>
                  <w:r>
                    <w:rPr>
                      <w:rFonts w:cs="Georgia"/>
                    </w:rPr>
                    <w:t>i</w:t>
                  </w:r>
                  <w:r>
                    <w:rPr>
                      <w:rFonts w:cs="Georgia"/>
                      <w:spacing w:val="-1"/>
                    </w:rPr>
                    <w:t>è</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2"/>
                    </w:rPr>
                    <w:t xml:space="preserve"> </w:t>
                  </w:r>
                  <w:r>
                    <w:rPr>
                      <w:rFonts w:cs="Georgia"/>
                    </w:rPr>
                    <w:t>i</w:t>
                  </w:r>
                  <w:r>
                    <w:rPr>
                      <w:rFonts w:cs="Georgia"/>
                      <w:spacing w:val="-1"/>
                    </w:rPr>
                    <w:t>n</w:t>
                  </w:r>
                  <w:r>
                    <w:rPr>
                      <w:rFonts w:cs="Georgia"/>
                      <w:spacing w:val="1"/>
                    </w:rPr>
                    <w:t>scr</w:t>
                  </w:r>
                  <w:r>
                    <w:rPr>
                      <w:rFonts w:cs="Georgia"/>
                      <w:spacing w:val="-2"/>
                    </w:rPr>
                    <w:t>i</w:t>
                  </w:r>
                  <w:r>
                    <w:rPr>
                      <w:rFonts w:cs="Georgia"/>
                      <w:spacing w:val="1"/>
                    </w:rPr>
                    <w:t>t</w:t>
                  </w:r>
                  <w:r>
                    <w:rPr>
                      <w:rFonts w:cs="Georgia"/>
                    </w:rPr>
                    <w:t>s</w:t>
                  </w:r>
                  <w:r>
                    <w:rPr>
                      <w:rFonts w:cs="Georgia"/>
                      <w:spacing w:val="2"/>
                    </w:rPr>
                    <w:t xml:space="preserve"> </w:t>
                  </w:r>
                  <w:r>
                    <w:rPr>
                      <w:rFonts w:cs="Georgia"/>
                      <w:spacing w:val="-1"/>
                    </w:rPr>
                    <w:t>l</w:t>
                  </w:r>
                  <w:r>
                    <w:rPr>
                      <w:rFonts w:cs="Georgia"/>
                    </w:rPr>
                    <w:t xml:space="preserve">e </w:t>
                  </w:r>
                  <w:r>
                    <w:rPr>
                      <w:rFonts w:cs="Georgia"/>
                      <w:spacing w:val="-1"/>
                    </w:rPr>
                    <w:t>1</w:t>
                  </w:r>
                  <w:r>
                    <w:rPr>
                      <w:rFonts w:cs="Georgia"/>
                    </w:rPr>
                    <w:t>5</w:t>
                  </w:r>
                  <w:r>
                    <w:rPr>
                      <w:rFonts w:cs="Georgia"/>
                      <w:spacing w:val="2"/>
                    </w:rPr>
                    <w:t xml:space="preserve"> </w:t>
                  </w:r>
                  <w:r>
                    <w:rPr>
                      <w:rFonts w:cs="Georgia"/>
                    </w:rPr>
                    <w:t>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pr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rPr>
                    <w:t xml:space="preserve">t </w:t>
                  </w:r>
                  <w:r>
                    <w:rPr>
                      <w:rFonts w:cs="Georgia"/>
                      <w:spacing w:val="-1"/>
                    </w:rPr>
                    <w:t>l</w:t>
                  </w:r>
                  <w:r>
                    <w:rPr>
                      <w:rFonts w:cs="Georgia"/>
                    </w:rPr>
                    <w:t>’</w:t>
                  </w:r>
                  <w:r>
                    <w:rPr>
                      <w:rFonts w:cs="Georgia"/>
                      <w:spacing w:val="-1"/>
                    </w:rPr>
                    <w:t>anné</w:t>
                  </w:r>
                  <w:r>
                    <w:rPr>
                      <w:rFonts w:cs="Georgia"/>
                    </w:rPr>
                    <w:t>e</w:t>
                  </w:r>
                  <w:r>
                    <w:rPr>
                      <w:rFonts w:cs="Georgia"/>
                      <w:spacing w:val="-1"/>
                    </w:rPr>
                    <w:t xml:space="preserve"> </w:t>
                  </w:r>
                  <w:r>
                    <w:rPr>
                      <w:rFonts w:cs="Georgia"/>
                      <w:spacing w:val="1"/>
                    </w:rPr>
                    <w:t>sco</w:t>
                  </w:r>
                  <w:r>
                    <w:rPr>
                      <w:rFonts w:cs="Georgia"/>
                      <w:spacing w:val="-1"/>
                    </w:rPr>
                    <w:t>la</w:t>
                  </w:r>
                  <w:r>
                    <w:rPr>
                      <w:rFonts w:cs="Georgia"/>
                    </w:rPr>
                    <w:t>i</w:t>
                  </w:r>
                  <w:r>
                    <w:rPr>
                      <w:rFonts w:cs="Georgia"/>
                      <w:spacing w:val="-2"/>
                    </w:rPr>
                    <w:t>r</w:t>
                  </w:r>
                  <w:r>
                    <w:rPr>
                      <w:rFonts w:cs="Georgia"/>
                    </w:rPr>
                    <w:t>e</w:t>
                  </w:r>
                  <w:r>
                    <w:rPr>
                      <w:rFonts w:cs="Georgia"/>
                      <w:spacing w:val="-1"/>
                    </w:rPr>
                    <w:t xml:space="preserve"> e</w:t>
                  </w:r>
                  <w:r>
                    <w:rPr>
                      <w:rFonts w:cs="Georgia"/>
                    </w:rPr>
                    <w:t>n</w:t>
                  </w:r>
                  <w:r>
                    <w:rPr>
                      <w:rFonts w:cs="Georgia"/>
                      <w:spacing w:val="1"/>
                    </w:rPr>
                    <w:t xml:space="preserve"> </w:t>
                  </w:r>
                  <w:r>
                    <w:rPr>
                      <w:rFonts w:cs="Georgia"/>
                      <w:spacing w:val="-1"/>
                    </w:rPr>
                    <w:t>q</w:t>
                  </w:r>
                  <w:r>
                    <w:rPr>
                      <w:rFonts w:cs="Georgia"/>
                    </w:rPr>
                    <w:t>u</w:t>
                  </w:r>
                  <w:r>
                    <w:rPr>
                      <w:rFonts w:cs="Georgia"/>
                      <w:spacing w:val="-1"/>
                    </w:rPr>
                    <w:t>e</w:t>
                  </w:r>
                  <w:r>
                    <w:rPr>
                      <w:rFonts w:cs="Georgia"/>
                      <w:spacing w:val="1"/>
                    </w:rPr>
                    <w:t>st</w:t>
                  </w:r>
                  <w:r>
                    <w:rPr>
                      <w:rFonts w:cs="Georgia"/>
                    </w:rPr>
                    <w:t>i</w:t>
                  </w:r>
                  <w:r>
                    <w:rPr>
                      <w:rFonts w:cs="Georgia"/>
                      <w:spacing w:val="1"/>
                    </w:rPr>
                    <w:t>o</w:t>
                  </w:r>
                  <w:r>
                    <w:rPr>
                      <w:rFonts w:cs="Georgia"/>
                      <w:spacing w:val="-1"/>
                    </w:rPr>
                    <w:t>n</w:t>
                  </w:r>
                  <w:r>
                    <w:rPr>
                      <w:rFonts w:cs="Georgia"/>
                    </w:rPr>
                    <w:t>. Il</w:t>
                  </w:r>
                  <w:r>
                    <w:rPr>
                      <w:rFonts w:cs="Georgia"/>
                      <w:spacing w:val="-1"/>
                    </w:rPr>
                    <w:t xml:space="preserve"> </w:t>
                  </w:r>
                  <w:r>
                    <w:rPr>
                      <w:rFonts w:cs="Georgia"/>
                      <w:spacing w:val="1"/>
                    </w:rPr>
                    <w:t>p</w:t>
                  </w:r>
                  <w:r>
                    <w:rPr>
                      <w:rFonts w:cs="Georgia"/>
                      <w:spacing w:val="-1"/>
                    </w:rPr>
                    <w:t>e</w:t>
                  </w:r>
                  <w:r>
                    <w:rPr>
                      <w:rFonts w:cs="Georgia"/>
                    </w:rPr>
                    <w:t xml:space="preserve">ut </w:t>
                  </w:r>
                  <w:r>
                    <w:rPr>
                      <w:rFonts w:cs="Georgia"/>
                      <w:spacing w:val="-1"/>
                    </w:rPr>
                    <w:t>ê</w:t>
                  </w:r>
                  <w:r>
                    <w:rPr>
                      <w:rFonts w:cs="Georgia"/>
                      <w:spacing w:val="1"/>
                    </w:rPr>
                    <w:t>t</w:t>
                  </w:r>
                  <w:r>
                    <w:rPr>
                      <w:rFonts w:cs="Georgia"/>
                      <w:spacing w:val="-2"/>
                    </w:rPr>
                    <w:t>r</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c</w:t>
                  </w:r>
                  <w:r>
                    <w:rPr>
                      <w:rFonts w:cs="Georgia"/>
                      <w:spacing w:val="-1"/>
                    </w:rPr>
                    <w:t>al</w:t>
                  </w:r>
                  <w:r>
                    <w:rPr>
                      <w:rFonts w:cs="Georgia"/>
                      <w:spacing w:val="1"/>
                    </w:rPr>
                    <w:t>c</w:t>
                  </w:r>
                  <w:r>
                    <w:rPr>
                      <w:rFonts w:cs="Georgia"/>
                    </w:rPr>
                    <w:t>u</w:t>
                  </w:r>
                  <w:r>
                    <w:rPr>
                      <w:rFonts w:cs="Georgia"/>
                      <w:spacing w:val="-1"/>
                    </w:rPr>
                    <w:t>l</w:t>
                  </w:r>
                  <w:r>
                    <w:rPr>
                      <w:rFonts w:cs="Georgia"/>
                    </w:rPr>
                    <w:t>é</w:t>
                  </w:r>
                  <w:r>
                    <w:rPr>
                      <w:rFonts w:cs="Georgia"/>
                      <w:spacing w:val="-1"/>
                    </w:rPr>
                    <w:t xml:space="preserve"> </w:t>
                  </w:r>
                  <w:r>
                    <w:rPr>
                      <w:rFonts w:cs="Georgia"/>
                      <w:spacing w:val="1"/>
                    </w:rPr>
                    <w:t>ch</w:t>
                  </w:r>
                  <w:r>
                    <w:rPr>
                      <w:rFonts w:cs="Georgia"/>
                      <w:spacing w:val="-1"/>
                    </w:rPr>
                    <w:t>aq</w:t>
                  </w:r>
                  <w:r>
                    <w:rPr>
                      <w:rFonts w:cs="Georgia"/>
                    </w:rPr>
                    <w:t>ue</w:t>
                  </w:r>
                  <w:r>
                    <w:rPr>
                      <w:rFonts w:cs="Georgia"/>
                      <w:spacing w:val="-1"/>
                    </w:rPr>
                    <w:t xml:space="preserve"> </w:t>
                  </w:r>
                  <w:r>
                    <w:rPr>
                      <w:rFonts w:cs="Georgia"/>
                    </w:rPr>
                    <w:t>f</w:t>
                  </w:r>
                  <w:r>
                    <w:rPr>
                      <w:rFonts w:cs="Georgia"/>
                      <w:spacing w:val="1"/>
                    </w:rPr>
                    <w:t>o</w:t>
                  </w:r>
                  <w:r>
                    <w:rPr>
                      <w:rFonts w:cs="Georgia"/>
                    </w:rPr>
                    <w:t xml:space="preserve">is </w:t>
                  </w:r>
                  <w:r>
                    <w:rPr>
                      <w:rFonts w:cs="Georgia"/>
                      <w:spacing w:val="-1"/>
                    </w:rPr>
                    <w:t>q</w:t>
                  </w:r>
                  <w:r>
                    <w:rPr>
                      <w:rFonts w:cs="Georgia"/>
                    </w:rPr>
                    <w:t>ue</w:t>
                  </w:r>
                  <w:r>
                    <w:rPr>
                      <w:rFonts w:cs="Georgia"/>
                      <w:spacing w:val="-1"/>
                    </w:rPr>
                    <w:t xml:space="preserve"> 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w:t>
                  </w:r>
                  <w:r>
                    <w:rPr>
                      <w:rFonts w:cs="Georgia"/>
                    </w:rPr>
                    <w:t>l</w:t>
                  </w:r>
                  <w:r>
                    <w:rPr>
                      <w:rFonts w:cs="Georgia"/>
                      <w:spacing w:val="-1"/>
                    </w:rPr>
                    <w:t>-</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e</w:t>
                  </w:r>
                  <w:r>
                    <w:rPr>
                      <w:rFonts w:cs="Georgia"/>
                      <w:spacing w:val="1"/>
                    </w:rPr>
                    <w:t>s</w:t>
                  </w:r>
                  <w:r>
                    <w:rPr>
                      <w:rFonts w:cs="Georgia"/>
                    </w:rPr>
                    <w:t xml:space="preserve">t </w:t>
                  </w:r>
                  <w:r>
                    <w:rPr>
                      <w:rFonts w:cs="Georgia"/>
                      <w:spacing w:val="1"/>
                    </w:rPr>
                    <w:t>r</w:t>
                  </w:r>
                  <w:r>
                    <w:rPr>
                      <w:rFonts w:cs="Georgia"/>
                      <w:spacing w:val="-1"/>
                    </w:rPr>
                    <w:t>e</w:t>
                  </w:r>
                  <w:r>
                    <w:rPr>
                      <w:rFonts w:cs="Georgia"/>
                      <w:spacing w:val="1"/>
                    </w:rPr>
                    <w:t>c</w:t>
                  </w:r>
                  <w:r>
                    <w:rPr>
                      <w:rFonts w:cs="Georgia"/>
                      <w:spacing w:val="-1"/>
                    </w:rPr>
                    <w:t>al</w:t>
                  </w:r>
                  <w:r>
                    <w:rPr>
                      <w:rFonts w:cs="Georgia"/>
                      <w:spacing w:val="1"/>
                    </w:rPr>
                    <w:t>c</w:t>
                  </w:r>
                  <w:r>
                    <w:rPr>
                      <w:rFonts w:cs="Georgia"/>
                    </w:rPr>
                    <w:t>u</w:t>
                  </w:r>
                  <w:r>
                    <w:rPr>
                      <w:rFonts w:cs="Georgia"/>
                      <w:spacing w:val="-1"/>
                    </w:rPr>
                    <w:t>lé.</w:t>
                  </w:r>
                </w:p>
                <w:p w:rsidR="00F04EEF" w:rsidRDefault="00F04EEF">
                  <w:pPr>
                    <w:widowControl w:val="0"/>
                    <w:autoSpaceDE w:val="0"/>
                    <w:autoSpaceDN w:val="0"/>
                    <w:adjustRightInd w:val="0"/>
                    <w:spacing w:line="250" w:lineRule="exact"/>
                    <w:jc w:val="both"/>
                    <w:rPr>
                      <w:rFonts w:cs="Georgia"/>
                    </w:rPr>
                  </w:pPr>
                </w:p>
                <w:p w:rsidR="00F04EEF" w:rsidRDefault="0099351E">
                  <w:pPr>
                    <w:widowControl w:val="0"/>
                    <w:autoSpaceDE w:val="0"/>
                    <w:autoSpaceDN w:val="0"/>
                    <w:adjustRightInd w:val="0"/>
                    <w:spacing w:line="248" w:lineRule="exact"/>
                    <w:jc w:val="both"/>
                    <w:rPr>
                      <w:rFonts w:cs="Georgia"/>
                    </w:rPr>
                  </w:pPr>
                  <w:r>
                    <w:rPr>
                      <w:rFonts w:cs="Georgia"/>
                      <w:spacing w:val="1"/>
                    </w:rPr>
                    <w:t>Seul l</w:t>
                  </w:r>
                  <w:r>
                    <w:rPr>
                      <w:rFonts w:cs="Georgia"/>
                    </w:rPr>
                    <w:t>e</w:t>
                  </w:r>
                  <w:r>
                    <w:rPr>
                      <w:rFonts w:cs="Georgia"/>
                      <w:spacing w:val="-1"/>
                    </w:rPr>
                    <w:t xml:space="preserve"> </w:t>
                  </w:r>
                  <w:r>
                    <w:rPr>
                      <w:rFonts w:cs="Georgia"/>
                      <w:spacing w:val="1"/>
                    </w:rPr>
                    <w:t>r</w:t>
                  </w:r>
                  <w:r>
                    <w:rPr>
                      <w:rFonts w:cs="Georgia"/>
                      <w:spacing w:val="-1"/>
                    </w:rPr>
                    <w:t>é</w:t>
                  </w:r>
                  <w:r>
                    <w:rPr>
                      <w:rFonts w:cs="Georgia"/>
                      <w:spacing w:val="1"/>
                    </w:rPr>
                    <w:t>s</w:t>
                  </w:r>
                  <w:r>
                    <w:rPr>
                      <w:rFonts w:cs="Georgia"/>
                    </w:rPr>
                    <w:t>u</w:t>
                  </w:r>
                  <w:r>
                    <w:rPr>
                      <w:rFonts w:cs="Georgia"/>
                      <w:spacing w:val="-1"/>
                    </w:rPr>
                    <w:t>l</w:t>
                  </w:r>
                  <w:r>
                    <w:rPr>
                      <w:rFonts w:cs="Georgia"/>
                      <w:spacing w:val="1"/>
                    </w:rPr>
                    <w:t>t</w:t>
                  </w:r>
                  <w:r>
                    <w:rPr>
                      <w:rFonts w:cs="Georgia"/>
                      <w:spacing w:val="-1"/>
                    </w:rPr>
                    <w:t>a</w:t>
                  </w:r>
                  <w:r>
                    <w:rPr>
                      <w:rFonts w:cs="Georgia"/>
                    </w:rPr>
                    <w:t>t</w:t>
                  </w:r>
                  <w:r>
                    <w:rPr>
                      <w:rFonts w:cs="Georgia"/>
                      <w:spacing w:val="-2"/>
                    </w:rPr>
                    <w:t xml:space="preserve"> </w:t>
                  </w:r>
                  <w:r>
                    <w:rPr>
                      <w:rFonts w:cs="Georgia"/>
                    </w:rPr>
                    <w:t>de</w:t>
                  </w:r>
                  <w:r>
                    <w:rPr>
                      <w:rFonts w:cs="Georgia"/>
                      <w:spacing w:val="-1"/>
                    </w:rPr>
                    <w:t xml:space="preserve"> </w:t>
                  </w:r>
                  <w:r>
                    <w:rPr>
                      <w:rFonts w:cs="Georgia"/>
                      <w:spacing w:val="1"/>
                    </w:rPr>
                    <w:t>c</w:t>
                  </w:r>
                  <w:r>
                    <w:rPr>
                      <w:rFonts w:cs="Georgia"/>
                      <w:spacing w:val="-1"/>
                    </w:rPr>
                    <w:t>e</w:t>
                  </w:r>
                  <w:r>
                    <w:rPr>
                      <w:rFonts w:cs="Georgia"/>
                      <w:spacing w:val="1"/>
                    </w:rPr>
                    <w:t>tt</w:t>
                  </w:r>
                  <w:r>
                    <w:rPr>
                      <w:rFonts w:cs="Georgia"/>
                    </w:rPr>
                    <w:t>e</w:t>
                  </w:r>
                  <w:r>
                    <w:rPr>
                      <w:rFonts w:cs="Georgia"/>
                      <w:spacing w:val="-1"/>
                    </w:rPr>
                    <w:t xml:space="preserve"> </w:t>
                  </w:r>
                  <w:r>
                    <w:rPr>
                      <w:rFonts w:cs="Georgia"/>
                    </w:rPr>
                    <w:t>di</w:t>
                  </w:r>
                  <w:r>
                    <w:rPr>
                      <w:rFonts w:cs="Georgia"/>
                      <w:spacing w:val="-2"/>
                    </w:rPr>
                    <w:t>v</w:t>
                  </w:r>
                  <w:r>
                    <w:rPr>
                      <w:rFonts w:cs="Georgia"/>
                    </w:rPr>
                    <w:t>i</w:t>
                  </w:r>
                  <w:r>
                    <w:rPr>
                      <w:rFonts w:cs="Georgia"/>
                      <w:spacing w:val="1"/>
                    </w:rPr>
                    <w:t>s</w:t>
                  </w:r>
                  <w:r>
                    <w:rPr>
                      <w:rFonts w:cs="Georgia"/>
                      <w:spacing w:val="-2"/>
                    </w:rPr>
                    <w:t>i</w:t>
                  </w:r>
                  <w:r>
                    <w:rPr>
                      <w:rFonts w:cs="Georgia"/>
                      <w:spacing w:val="1"/>
                    </w:rPr>
                    <w:t>o</w:t>
                  </w:r>
                  <w:r>
                    <w:rPr>
                      <w:rFonts w:cs="Georgia"/>
                    </w:rPr>
                    <w:t>n</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1"/>
                    </w:rPr>
                    <w:t>r</w:t>
                  </w:r>
                  <w:r>
                    <w:rPr>
                      <w:rFonts w:cs="Georgia"/>
                      <w:spacing w:val="-2"/>
                    </w:rPr>
                    <w:t>r</w:t>
                  </w:r>
                  <w:r>
                    <w:rPr>
                      <w:rFonts w:cs="Georgia"/>
                      <w:spacing w:val="1"/>
                    </w:rPr>
                    <w:t>o</w:t>
                  </w:r>
                  <w:r>
                    <w:rPr>
                      <w:rFonts w:cs="Georgia"/>
                      <w:spacing w:val="-1"/>
                    </w:rPr>
                    <w:t>n</w:t>
                  </w:r>
                  <w:r>
                    <w:rPr>
                      <w:rFonts w:cs="Georgia"/>
                    </w:rPr>
                    <w:t>di à</w:t>
                  </w:r>
                  <w:r>
                    <w:rPr>
                      <w:rFonts w:cs="Georgia"/>
                      <w:spacing w:val="-1"/>
                    </w:rPr>
                    <w:t xml:space="preserve"> l</w:t>
                  </w:r>
                  <w:r>
                    <w:rPr>
                      <w:rFonts w:cs="Georgia"/>
                      <w:spacing w:val="1"/>
                    </w:rPr>
                    <w:t>'</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2"/>
                    </w:rPr>
                    <w:t>s</w:t>
                  </w:r>
                  <w:r>
                    <w:rPr>
                      <w:rFonts w:cs="Georgia"/>
                    </w:rPr>
                    <w:t>u</w:t>
                  </w:r>
                  <w:r>
                    <w:rPr>
                      <w:rFonts w:cs="Georgia"/>
                      <w:spacing w:val="1"/>
                    </w:rPr>
                    <w:t>p</w:t>
                  </w:r>
                  <w:r>
                    <w:rPr>
                      <w:rFonts w:cs="Georgia"/>
                      <w:spacing w:val="-1"/>
                    </w:rPr>
                    <w:t>é</w:t>
                  </w:r>
                  <w:r>
                    <w:rPr>
                      <w:rFonts w:cs="Georgia"/>
                      <w:spacing w:val="1"/>
                    </w:rPr>
                    <w:t>r</w:t>
                  </w:r>
                  <w:r>
                    <w:rPr>
                      <w:rFonts w:cs="Georgia"/>
                    </w:rPr>
                    <w:t>i</w:t>
                  </w:r>
                  <w:r>
                    <w:rPr>
                      <w:rFonts w:cs="Georgia"/>
                      <w:spacing w:val="-1"/>
                    </w:rPr>
                    <w:t>e</w:t>
                  </w:r>
                  <w:r>
                    <w:rPr>
                      <w:rFonts w:cs="Georgia"/>
                      <w:spacing w:val="-2"/>
                    </w:rPr>
                    <w:t>u</w:t>
                  </w:r>
                  <w:r>
                    <w:rPr>
                      <w:rFonts w:cs="Georgia"/>
                      <w:spacing w:val="1"/>
                    </w:rPr>
                    <w:t>r</w:t>
                  </w:r>
                  <w:r>
                    <w:rPr>
                      <w:rFonts w:cs="Georgia"/>
                      <w:spacing w:val="-1"/>
                    </w:rPr>
                    <w:t>e</w:t>
                  </w:r>
                  <w:r>
                    <w:rPr>
                      <w:rFonts w:cs="Georgia"/>
                    </w:rPr>
                    <w:t>.</w:t>
                  </w:r>
                </w:p>
                <w:p w:rsidR="00F04EEF" w:rsidRDefault="00F04EEF">
                  <w:pPr>
                    <w:widowControl w:val="0"/>
                    <w:autoSpaceDE w:val="0"/>
                    <w:autoSpaceDN w:val="0"/>
                    <w:adjustRightInd w:val="0"/>
                    <w:spacing w:line="248" w:lineRule="exact"/>
                    <w:jc w:val="both"/>
                    <w:rPr>
                      <w:rFonts w:cs="Georgia"/>
                    </w:rPr>
                  </w:pPr>
                </w:p>
                <w:p w:rsidR="00F04EEF" w:rsidRDefault="0099351E">
                  <w:pPr>
                    <w:widowControl w:val="0"/>
                    <w:autoSpaceDE w:val="0"/>
                    <w:autoSpaceDN w:val="0"/>
                    <w:adjustRightInd w:val="0"/>
                    <w:spacing w:before="2"/>
                    <w:jc w:val="both"/>
                    <w:rPr>
                      <w:rFonts w:cs="Georgia"/>
                    </w:rPr>
                  </w:pPr>
                  <w:r>
                    <w:rPr>
                      <w:rFonts w:cs="Georgia"/>
                      <w:spacing w:val="1"/>
                    </w:rPr>
                    <w:t>L</w:t>
                  </w:r>
                  <w:r>
                    <w:rPr>
                      <w:rFonts w:cs="Georgia"/>
                      <w:spacing w:val="-1"/>
                    </w:rPr>
                    <w:t>e</w:t>
                  </w:r>
                  <w:r>
                    <w:rPr>
                      <w:rFonts w:cs="Georgia"/>
                    </w:rPr>
                    <w:t xml:space="preserve">s </w:t>
                  </w:r>
                  <w:r>
                    <w:rPr>
                      <w:rFonts w:cs="Georgia"/>
                      <w:spacing w:val="1"/>
                    </w:rPr>
                    <w:t>p</w:t>
                  </w:r>
                  <w:r>
                    <w:rPr>
                      <w:rFonts w:cs="Georgia"/>
                      <w:spacing w:val="-1"/>
                    </w:rPr>
                    <w:t>é</w:t>
                  </w:r>
                  <w:r>
                    <w:rPr>
                      <w:rFonts w:cs="Georgia"/>
                      <w:spacing w:val="-2"/>
                    </w:rPr>
                    <w:t>r</w:t>
                  </w:r>
                  <w:r>
                    <w:rPr>
                      <w:rFonts w:cs="Georgia"/>
                    </w:rPr>
                    <w:t>i</w:t>
                  </w:r>
                  <w:r>
                    <w:rPr>
                      <w:rFonts w:cs="Georgia"/>
                      <w:spacing w:val="1"/>
                    </w:rPr>
                    <w:t>o</w:t>
                  </w:r>
                  <w:r>
                    <w:rPr>
                      <w:rFonts w:cs="Georgia"/>
                    </w:rPr>
                    <w:t>d</w:t>
                  </w:r>
                  <w:r>
                    <w:rPr>
                      <w:rFonts w:cs="Georgia"/>
                      <w:spacing w:val="-3"/>
                    </w:rPr>
                    <w:t>e</w:t>
                  </w:r>
                  <w:r>
                    <w:rPr>
                      <w:rFonts w:cs="Georgia"/>
                    </w:rPr>
                    <w:t xml:space="preserve">s </w:t>
                  </w:r>
                  <w:r>
                    <w:rPr>
                      <w:rFonts w:cs="Georgia"/>
                      <w:spacing w:val="1"/>
                    </w:rPr>
                    <w:t>s</w:t>
                  </w:r>
                  <w:r>
                    <w:rPr>
                      <w:rFonts w:cs="Georgia"/>
                      <w:spacing w:val="-2"/>
                    </w:rPr>
                    <w:t>u</w:t>
                  </w:r>
                  <w:r>
                    <w:rPr>
                      <w:rFonts w:cs="Georgia"/>
                      <w:spacing w:val="1"/>
                    </w:rPr>
                    <w:t>pp</w:t>
                  </w:r>
                  <w:r>
                    <w:rPr>
                      <w:rFonts w:cs="Georgia"/>
                      <w:spacing w:val="-1"/>
                    </w:rPr>
                    <w:t>lé</w:t>
                  </w:r>
                  <w:r>
                    <w:rPr>
                      <w:rFonts w:cs="Georgia"/>
                    </w:rPr>
                    <w:t>m</w:t>
                  </w:r>
                  <w:r>
                    <w:rPr>
                      <w:rFonts w:cs="Georgia"/>
                      <w:spacing w:val="-1"/>
                    </w:rPr>
                    <w:t>en</w:t>
                  </w:r>
                  <w:r>
                    <w:rPr>
                      <w:rFonts w:cs="Georgia"/>
                      <w:spacing w:val="-2"/>
                    </w:rPr>
                    <w:t>t</w:t>
                  </w:r>
                  <w:r>
                    <w:rPr>
                      <w:rFonts w:cs="Georgia"/>
                      <w:spacing w:val="-1"/>
                    </w:rPr>
                    <w:t>a</w:t>
                  </w:r>
                  <w:r>
                    <w:rPr>
                      <w:rFonts w:cs="Georgia"/>
                    </w:rPr>
                    <w:t>i</w:t>
                  </w:r>
                  <w:r>
                    <w:rPr>
                      <w:rFonts w:cs="Georgia"/>
                      <w:spacing w:val="1"/>
                    </w:rPr>
                    <w:t>r</w:t>
                  </w:r>
                  <w:r>
                    <w:rPr>
                      <w:rFonts w:cs="Georgia"/>
                      <w:spacing w:val="-1"/>
                    </w:rPr>
                    <w:t>e</w:t>
                  </w:r>
                  <w:r>
                    <w:rPr>
                      <w:rFonts w:cs="Georgia"/>
                    </w:rPr>
                    <w:t>s de</w:t>
                  </w:r>
                  <w:r>
                    <w:rPr>
                      <w:rFonts w:cs="Georgia"/>
                      <w:spacing w:val="-1"/>
                    </w:rPr>
                    <w:t xml:space="preserve"> </w:t>
                  </w:r>
                  <w:r>
                    <w:rPr>
                      <w:rFonts w:cs="Georgia"/>
                    </w:rPr>
                    <w:t>di</w:t>
                  </w:r>
                  <w:r>
                    <w:rPr>
                      <w:rFonts w:cs="Georgia"/>
                      <w:spacing w:val="1"/>
                    </w:rPr>
                    <w:t>r</w:t>
                  </w:r>
                  <w:r>
                    <w:rPr>
                      <w:rFonts w:cs="Georgia"/>
                      <w:spacing w:val="-1"/>
                    </w:rPr>
                    <w:t>e</w:t>
                  </w:r>
                  <w:r>
                    <w:rPr>
                      <w:rFonts w:cs="Georgia"/>
                      <w:spacing w:val="-2"/>
                    </w:rPr>
                    <w:t>c</w:t>
                  </w:r>
                  <w:r>
                    <w:rPr>
                      <w:rFonts w:cs="Georgia"/>
                      <w:spacing w:val="1"/>
                    </w:rPr>
                    <w:t>t</w:t>
                  </w:r>
                  <w:r>
                    <w:rPr>
                      <w:rFonts w:cs="Georgia"/>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c</w:t>
                  </w:r>
                  <w:r>
                    <w:rPr>
                      <w:rFonts w:cs="Georgia"/>
                      <w:spacing w:val="-1"/>
                    </w:rPr>
                    <w:t>la</w:t>
                  </w:r>
                  <w:r>
                    <w:rPr>
                      <w:rFonts w:cs="Georgia"/>
                      <w:spacing w:val="-2"/>
                    </w:rPr>
                    <w:t>s</w:t>
                  </w:r>
                  <w:r>
                    <w:rPr>
                      <w:rFonts w:cs="Georgia"/>
                      <w:spacing w:val="1"/>
                    </w:rPr>
                    <w:t>s</w:t>
                  </w:r>
                  <w:r>
                    <w:rPr>
                      <w:rFonts w:cs="Georgia"/>
                    </w:rPr>
                    <w:t>e</w:t>
                  </w:r>
                  <w:r>
                    <w:rPr>
                      <w:rFonts w:cs="Georgia"/>
                      <w:spacing w:val="-1"/>
                    </w:rPr>
                    <w:t xml:space="preserve"> </w:t>
                  </w:r>
                  <w:r>
                    <w:rPr>
                      <w:rFonts w:cs="Georgia"/>
                    </w:rPr>
                    <w:t>d</w:t>
                  </w:r>
                  <w:r>
                    <w:rPr>
                      <w:rFonts w:cs="Georgia"/>
                      <w:spacing w:val="1"/>
                    </w:rPr>
                    <w:t>o</w:t>
                  </w:r>
                  <w:r>
                    <w:rPr>
                      <w:rFonts w:cs="Georgia"/>
                      <w:spacing w:val="-2"/>
                    </w:rPr>
                    <w:t>i</w:t>
                  </w:r>
                  <w:r>
                    <w:rPr>
                      <w:rFonts w:cs="Georgia"/>
                      <w:spacing w:val="1"/>
                    </w:rPr>
                    <w:t>v</w:t>
                  </w:r>
                  <w:r>
                    <w:rPr>
                      <w:rFonts w:cs="Georgia"/>
                      <w:spacing w:val="-1"/>
                    </w:rPr>
                    <w:t>en</w:t>
                  </w:r>
                  <w:r>
                    <w:rPr>
                      <w:rFonts w:cs="Georgia"/>
                    </w:rPr>
                    <w:t xml:space="preserve">t </w:t>
                  </w:r>
                  <w:r>
                    <w:rPr>
                      <w:rFonts w:cs="Georgia"/>
                      <w:spacing w:val="-1"/>
                    </w:rPr>
                    <w:t>ê</w:t>
                  </w:r>
                  <w:r>
                    <w:rPr>
                      <w:rFonts w:cs="Georgia"/>
                      <w:spacing w:val="1"/>
                    </w:rPr>
                    <w:t>tr</w:t>
                  </w:r>
                  <w:r>
                    <w:rPr>
                      <w:rFonts w:cs="Georgia"/>
                    </w:rPr>
                    <w:t>e</w:t>
                  </w:r>
                  <w:r>
                    <w:rPr>
                      <w:rFonts w:cs="Georgia"/>
                      <w:spacing w:val="-1"/>
                    </w:rPr>
                    <w:t xml:space="preserve"> </w:t>
                  </w:r>
                  <w:r>
                    <w:rPr>
                      <w:rFonts w:cs="Georgia"/>
                      <w:spacing w:val="1"/>
                    </w:rPr>
                    <w:t>pr</w:t>
                  </w:r>
                  <w:r>
                    <w:rPr>
                      <w:rFonts w:cs="Georgia"/>
                      <w:spacing w:val="-1"/>
                    </w:rPr>
                    <w:t>éle</w:t>
                  </w:r>
                  <w:r>
                    <w:rPr>
                      <w:rFonts w:cs="Georgia"/>
                      <w:spacing w:val="1"/>
                    </w:rPr>
                    <w:t>v</w:t>
                  </w:r>
                  <w:r>
                    <w:rPr>
                      <w:rFonts w:cs="Georgia"/>
                      <w:spacing w:val="-1"/>
                    </w:rPr>
                    <w:t>ée</w:t>
                  </w:r>
                  <w:r>
                    <w:rPr>
                      <w:rFonts w:cs="Georgia"/>
                    </w:rPr>
                    <w:t>s</w:t>
                  </w:r>
                  <w:r>
                    <w:rPr>
                      <w:rFonts w:cs="Georgia"/>
                      <w:spacing w:val="-2"/>
                    </w:rPr>
                    <w:t xml:space="preserve"> </w:t>
                  </w:r>
                  <w:r>
                    <w:rPr>
                      <w:rFonts w:cs="Georgia"/>
                      <w:spacing w:val="1"/>
                    </w:rPr>
                    <w:t>s</w:t>
                  </w:r>
                  <w:r>
                    <w:rPr>
                      <w:rFonts w:cs="Georgia"/>
                    </w:rPr>
                    <w:t xml:space="preserve">ur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spacing w:val="1"/>
                    </w:rPr>
                    <w:t>s</w:t>
                  </w:r>
                  <w:r>
                    <w:rPr>
                      <w:rFonts w:cs="Georgia"/>
                    </w:rPr>
                    <w:t>.</w:t>
                  </w:r>
                </w:p>
                <w:p w:rsidR="00F04EEF" w:rsidRDefault="00F04EEF">
                  <w:pPr>
                    <w:widowControl w:val="0"/>
                    <w:autoSpaceDE w:val="0"/>
                    <w:autoSpaceDN w:val="0"/>
                    <w:adjustRightInd w:val="0"/>
                    <w:spacing w:before="18" w:line="260" w:lineRule="exact"/>
                    <w:rPr>
                      <w:rFonts w:cs="Georgia"/>
                    </w:rPr>
                  </w:pPr>
                </w:p>
                <w:p w:rsidR="00F04EEF" w:rsidRDefault="0099351E">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both"/>
                    <w:rPr>
                      <w:rFonts w:cs="Georgia"/>
                      <w:b/>
                      <w:bCs/>
                      <w:spacing w:val="1"/>
                    </w:rPr>
                  </w:pPr>
                  <w:r>
                    <w:rPr>
                      <w:rFonts w:cs="Georgia"/>
                      <w:b/>
                      <w:bCs/>
                      <w:spacing w:val="-1"/>
                      <w:u w:val="single"/>
                    </w:rPr>
                    <w:t>R</w:t>
                  </w:r>
                  <w:r>
                    <w:rPr>
                      <w:rFonts w:cs="Georgia"/>
                      <w:b/>
                      <w:bCs/>
                      <w:spacing w:val="1"/>
                      <w:u w:val="single"/>
                    </w:rPr>
                    <w:t>e</w:t>
                  </w:r>
                  <w:r>
                    <w:rPr>
                      <w:rFonts w:cs="Georgia"/>
                      <w:b/>
                      <w:bCs/>
                      <w:spacing w:val="-1"/>
                      <w:u w:val="single"/>
                    </w:rPr>
                    <w:t>m</w:t>
                  </w:r>
                  <w:r>
                    <w:rPr>
                      <w:rFonts w:cs="Georgia"/>
                      <w:b/>
                      <w:bCs/>
                      <w:u w:val="single"/>
                    </w:rPr>
                    <w:t>a</w:t>
                  </w:r>
                  <w:r>
                    <w:rPr>
                      <w:rFonts w:cs="Georgia"/>
                      <w:b/>
                      <w:bCs/>
                      <w:spacing w:val="-2"/>
                      <w:u w:val="single"/>
                    </w:rPr>
                    <w:t>r</w:t>
                  </w:r>
                  <w:r>
                    <w:rPr>
                      <w:rFonts w:cs="Georgia"/>
                      <w:b/>
                      <w:bCs/>
                      <w:spacing w:val="1"/>
                      <w:u w:val="single"/>
                    </w:rPr>
                    <w:t>q</w:t>
                  </w:r>
                  <w:r>
                    <w:rPr>
                      <w:rFonts w:cs="Georgia"/>
                      <w:b/>
                      <w:bCs/>
                      <w:spacing w:val="-1"/>
                      <w:u w:val="single"/>
                    </w:rPr>
                    <w:t>u</w:t>
                  </w:r>
                  <w:r>
                    <w:rPr>
                      <w:rFonts w:cs="Georgia"/>
                      <w:b/>
                      <w:bCs/>
                      <w:u w:val="single"/>
                    </w:rPr>
                    <w:t xml:space="preserve">e </w:t>
                  </w:r>
                  <w:r>
                    <w:rPr>
                      <w:rFonts w:cs="Georgia"/>
                      <w:b/>
                      <w:bCs/>
                    </w:rPr>
                    <w:t xml:space="preserve">: </w:t>
                  </w:r>
                  <w:r>
                    <w:rPr>
                      <w:rFonts w:cs="Georgia"/>
                      <w:bCs/>
                      <w:spacing w:val="1"/>
                    </w:rPr>
                    <w:t>l</w:t>
                  </w:r>
                  <w:r>
                    <w:rPr>
                      <w:rFonts w:cs="Georgia"/>
                      <w:bCs/>
                    </w:rPr>
                    <w:t xml:space="preserve">e </w:t>
                  </w:r>
                  <w:r>
                    <w:rPr>
                      <w:rFonts w:cs="Georgia"/>
                      <w:bCs/>
                      <w:spacing w:val="-1"/>
                    </w:rPr>
                    <w:t>m</w:t>
                  </w:r>
                  <w:r>
                    <w:rPr>
                      <w:rFonts w:cs="Georgia"/>
                      <w:bCs/>
                      <w:spacing w:val="1"/>
                    </w:rPr>
                    <w:t>e</w:t>
                  </w:r>
                  <w:r>
                    <w:rPr>
                      <w:rFonts w:cs="Georgia"/>
                      <w:bCs/>
                      <w:spacing w:val="-1"/>
                    </w:rPr>
                    <w:t>m</w:t>
                  </w:r>
                  <w:r>
                    <w:rPr>
                      <w:rFonts w:cs="Georgia"/>
                      <w:bCs/>
                      <w:spacing w:val="-3"/>
                    </w:rPr>
                    <w:t>b</w:t>
                  </w:r>
                  <w:r>
                    <w:rPr>
                      <w:rFonts w:cs="Georgia"/>
                      <w:bCs/>
                    </w:rPr>
                    <w:t>re</w:t>
                  </w:r>
                  <w:r>
                    <w:rPr>
                      <w:rFonts w:cs="Georgia"/>
                      <w:bCs/>
                      <w:spacing w:val="3"/>
                    </w:rPr>
                    <w:t xml:space="preserve"> </w:t>
                  </w:r>
                  <w:r>
                    <w:rPr>
                      <w:rFonts w:cs="Georgia"/>
                      <w:bCs/>
                    </w:rPr>
                    <w:t>du</w:t>
                  </w:r>
                  <w:r>
                    <w:rPr>
                      <w:rFonts w:cs="Georgia"/>
                      <w:bCs/>
                      <w:spacing w:val="-1"/>
                    </w:rPr>
                    <w:t xml:space="preserve"> p</w:t>
                  </w:r>
                  <w:r>
                    <w:rPr>
                      <w:rFonts w:cs="Georgia"/>
                      <w:bCs/>
                      <w:spacing w:val="1"/>
                    </w:rPr>
                    <w:t>e</w:t>
                  </w:r>
                  <w:r>
                    <w:rPr>
                      <w:rFonts w:cs="Georgia"/>
                      <w:bCs/>
                    </w:rPr>
                    <w:t>rs</w:t>
                  </w:r>
                  <w:r>
                    <w:rPr>
                      <w:rFonts w:cs="Georgia"/>
                      <w:bCs/>
                      <w:spacing w:val="-1"/>
                    </w:rPr>
                    <w:t>onn</w:t>
                  </w:r>
                  <w:r>
                    <w:rPr>
                      <w:rFonts w:cs="Georgia"/>
                      <w:bCs/>
                      <w:spacing w:val="1"/>
                    </w:rPr>
                    <w:t>e</w:t>
                  </w:r>
                  <w:r>
                    <w:rPr>
                      <w:rFonts w:cs="Georgia"/>
                      <w:bCs/>
                    </w:rPr>
                    <w:t xml:space="preserve">l </w:t>
                  </w:r>
                  <w:r>
                    <w:rPr>
                      <w:rFonts w:cs="Georgia"/>
                      <w:bCs/>
                      <w:spacing w:val="1"/>
                    </w:rPr>
                    <w:t>e</w:t>
                  </w:r>
                  <w:r>
                    <w:rPr>
                      <w:rFonts w:cs="Georgia"/>
                      <w:bCs/>
                      <w:spacing w:val="-1"/>
                    </w:rPr>
                    <w:t>n</w:t>
                  </w:r>
                  <w:r>
                    <w:rPr>
                      <w:rFonts w:cs="Georgia"/>
                      <w:bCs/>
                    </w:rPr>
                    <w:t>s</w:t>
                  </w:r>
                  <w:r>
                    <w:rPr>
                      <w:rFonts w:cs="Georgia"/>
                      <w:bCs/>
                      <w:spacing w:val="-2"/>
                    </w:rPr>
                    <w:t>e</w:t>
                  </w:r>
                  <w:r>
                    <w:rPr>
                      <w:rFonts w:cs="Georgia"/>
                      <w:bCs/>
                      <w:spacing w:val="-1"/>
                    </w:rPr>
                    <w:t>i</w:t>
                  </w:r>
                  <w:r>
                    <w:rPr>
                      <w:rFonts w:cs="Georgia"/>
                      <w:bCs/>
                    </w:rPr>
                    <w:t>g</w:t>
                  </w:r>
                  <w:r>
                    <w:rPr>
                      <w:rFonts w:cs="Georgia"/>
                      <w:bCs/>
                      <w:spacing w:val="-1"/>
                    </w:rPr>
                    <w:t>n</w:t>
                  </w:r>
                  <w:r>
                    <w:rPr>
                      <w:rFonts w:cs="Georgia"/>
                      <w:bCs/>
                    </w:rPr>
                    <w:t>a</w:t>
                  </w:r>
                  <w:r>
                    <w:rPr>
                      <w:rFonts w:cs="Georgia"/>
                      <w:bCs/>
                      <w:spacing w:val="-1"/>
                    </w:rPr>
                    <w:t>n</w:t>
                  </w:r>
                  <w:r>
                    <w:rPr>
                      <w:rFonts w:cs="Georgia"/>
                      <w:bCs/>
                    </w:rPr>
                    <w:t>t</w:t>
                  </w:r>
                  <w:r>
                    <w:rPr>
                      <w:rFonts w:cs="Georgia"/>
                      <w:bCs/>
                      <w:spacing w:val="3"/>
                    </w:rPr>
                    <w:t xml:space="preserve"> </w:t>
                  </w:r>
                  <w:r>
                    <w:rPr>
                      <w:rFonts w:cs="Georgia"/>
                      <w:bCs/>
                      <w:spacing w:val="1"/>
                    </w:rPr>
                    <w:t>q</w:t>
                  </w:r>
                  <w:r>
                    <w:rPr>
                      <w:rFonts w:cs="Georgia"/>
                      <w:bCs/>
                      <w:spacing w:val="-3"/>
                    </w:rPr>
                    <w:t>u</w:t>
                  </w:r>
                  <w:r>
                    <w:rPr>
                      <w:rFonts w:cs="Georgia"/>
                      <w:bCs/>
                    </w:rPr>
                    <w:t>i</w:t>
                  </w:r>
                  <w:r>
                    <w:rPr>
                      <w:rFonts w:cs="Georgia"/>
                      <w:bCs/>
                      <w:spacing w:val="3"/>
                    </w:rPr>
                    <w:t xml:space="preserve"> </w:t>
                  </w:r>
                  <w:r>
                    <w:rPr>
                      <w:rFonts w:cs="Georgia"/>
                      <w:bCs/>
                      <w:spacing w:val="-2"/>
                    </w:rPr>
                    <w:t>r</w:t>
                  </w:r>
                  <w:r>
                    <w:rPr>
                      <w:rFonts w:cs="Georgia"/>
                      <w:bCs/>
                      <w:spacing w:val="1"/>
                    </w:rPr>
                    <w:t>e</w:t>
                  </w:r>
                  <w:r>
                    <w:rPr>
                      <w:rFonts w:cs="Georgia"/>
                      <w:bCs/>
                    </w:rPr>
                    <w:t>ç</w:t>
                  </w:r>
                  <w:r>
                    <w:rPr>
                      <w:rFonts w:cs="Georgia"/>
                      <w:bCs/>
                      <w:spacing w:val="-4"/>
                    </w:rPr>
                    <w:t>o</w:t>
                  </w:r>
                  <w:r>
                    <w:rPr>
                      <w:rFonts w:cs="Georgia"/>
                      <w:bCs/>
                      <w:spacing w:val="1"/>
                    </w:rPr>
                    <w:t>i</w:t>
                  </w:r>
                  <w:r>
                    <w:rPr>
                      <w:rFonts w:cs="Georgia"/>
                      <w:bCs/>
                    </w:rPr>
                    <w:t xml:space="preserve">t </w:t>
                  </w:r>
                  <w:r>
                    <w:rPr>
                      <w:rFonts w:cs="Georgia"/>
                      <w:bCs/>
                      <w:spacing w:val="1"/>
                    </w:rPr>
                    <w:t>une</w:t>
                  </w:r>
                  <w:r>
                    <w:rPr>
                      <w:rFonts w:cs="Georgia"/>
                      <w:bCs/>
                    </w:rPr>
                    <w:t xml:space="preserve"> </w:t>
                  </w:r>
                  <w:r>
                    <w:rPr>
                      <w:rFonts w:cs="Georgia"/>
                      <w:bCs/>
                      <w:spacing w:val="-1"/>
                    </w:rPr>
                    <w:t>p</w:t>
                  </w:r>
                  <w:r>
                    <w:rPr>
                      <w:rFonts w:cs="Georgia"/>
                      <w:bCs/>
                      <w:spacing w:val="-2"/>
                    </w:rPr>
                    <w:t>é</w:t>
                  </w:r>
                  <w:r>
                    <w:rPr>
                      <w:rFonts w:cs="Georgia"/>
                      <w:bCs/>
                    </w:rPr>
                    <w:t>r</w:t>
                  </w:r>
                  <w:r>
                    <w:rPr>
                      <w:rFonts w:cs="Georgia"/>
                      <w:bCs/>
                      <w:spacing w:val="1"/>
                    </w:rPr>
                    <w:t>i</w:t>
                  </w:r>
                  <w:r>
                    <w:rPr>
                      <w:rFonts w:cs="Georgia"/>
                      <w:bCs/>
                      <w:spacing w:val="-1"/>
                    </w:rPr>
                    <w:t>o</w:t>
                  </w:r>
                  <w:r>
                    <w:rPr>
                      <w:rFonts w:cs="Georgia"/>
                      <w:bCs/>
                    </w:rPr>
                    <w:t>de de d</w:t>
                  </w:r>
                  <w:r>
                    <w:rPr>
                      <w:rFonts w:cs="Georgia"/>
                      <w:bCs/>
                      <w:spacing w:val="-1"/>
                    </w:rPr>
                    <w:t>i</w:t>
                  </w:r>
                  <w:r>
                    <w:rPr>
                      <w:rFonts w:cs="Georgia"/>
                      <w:bCs/>
                    </w:rPr>
                    <w:t>r</w:t>
                  </w:r>
                  <w:r>
                    <w:rPr>
                      <w:rFonts w:cs="Georgia"/>
                      <w:bCs/>
                      <w:spacing w:val="-2"/>
                    </w:rPr>
                    <w:t>e</w:t>
                  </w:r>
                  <w:r>
                    <w:rPr>
                      <w:rFonts w:cs="Georgia"/>
                      <w:bCs/>
                    </w:rPr>
                    <w:t>c</w:t>
                  </w:r>
                  <w:r>
                    <w:rPr>
                      <w:rFonts w:cs="Georgia"/>
                      <w:bCs/>
                      <w:spacing w:val="-1"/>
                    </w:rPr>
                    <w:t>t</w:t>
                  </w:r>
                  <w:r>
                    <w:rPr>
                      <w:rFonts w:cs="Georgia"/>
                      <w:bCs/>
                      <w:spacing w:val="1"/>
                    </w:rPr>
                    <w:t>i</w:t>
                  </w:r>
                  <w:r>
                    <w:rPr>
                      <w:rFonts w:cs="Georgia"/>
                      <w:bCs/>
                      <w:spacing w:val="-1"/>
                    </w:rPr>
                    <w:t>o</w:t>
                  </w:r>
                  <w:r>
                    <w:rPr>
                      <w:rFonts w:cs="Georgia"/>
                      <w:bCs/>
                    </w:rPr>
                    <w:t>n</w:t>
                  </w:r>
                  <w:r>
                    <w:rPr>
                      <w:rFonts w:cs="Georgia"/>
                      <w:bCs/>
                      <w:spacing w:val="1"/>
                    </w:rPr>
                    <w:t xml:space="preserve"> </w:t>
                  </w:r>
                  <w:r>
                    <w:rPr>
                      <w:rFonts w:cs="Georgia"/>
                      <w:bCs/>
                    </w:rPr>
                    <w:t>de c</w:t>
                  </w:r>
                  <w:r>
                    <w:rPr>
                      <w:rFonts w:cs="Georgia"/>
                      <w:bCs/>
                      <w:spacing w:val="1"/>
                    </w:rPr>
                    <w:t>l</w:t>
                  </w:r>
                  <w:r>
                    <w:rPr>
                      <w:rFonts w:cs="Georgia"/>
                      <w:bCs/>
                    </w:rPr>
                    <w:t>as</w:t>
                  </w:r>
                  <w:r>
                    <w:rPr>
                      <w:rFonts w:cs="Georgia"/>
                      <w:bCs/>
                      <w:spacing w:val="-3"/>
                    </w:rPr>
                    <w:t>s</w:t>
                  </w:r>
                  <w:r>
                    <w:rPr>
                      <w:rFonts w:cs="Georgia"/>
                      <w:bCs/>
                    </w:rPr>
                    <w:t>e</w:t>
                  </w:r>
                  <w:r>
                    <w:rPr>
                      <w:rFonts w:cs="Georgia"/>
                      <w:bCs/>
                      <w:spacing w:val="34"/>
                    </w:rPr>
                    <w:t xml:space="preserve"> </w:t>
                  </w:r>
                  <w:r>
                    <w:rPr>
                      <w:rFonts w:cs="Georgia"/>
                      <w:bCs/>
                    </w:rPr>
                    <w:t>d</w:t>
                  </w:r>
                  <w:r>
                    <w:rPr>
                      <w:rFonts w:cs="Georgia"/>
                      <w:bCs/>
                      <w:spacing w:val="-4"/>
                    </w:rPr>
                    <w:t>o</w:t>
                  </w:r>
                  <w:r>
                    <w:rPr>
                      <w:rFonts w:cs="Georgia"/>
                      <w:bCs/>
                      <w:spacing w:val="1"/>
                    </w:rPr>
                    <w:t>i</w:t>
                  </w:r>
                  <w:r>
                    <w:rPr>
                      <w:rFonts w:cs="Georgia"/>
                      <w:bCs/>
                    </w:rPr>
                    <w:t>t</w:t>
                  </w:r>
                  <w:r>
                    <w:rPr>
                      <w:rFonts w:cs="Georgia"/>
                      <w:bCs/>
                      <w:spacing w:val="32"/>
                    </w:rPr>
                    <w:t xml:space="preserve"> </w:t>
                  </w:r>
                  <w:r>
                    <w:rPr>
                      <w:rFonts w:cs="Georgia"/>
                      <w:b/>
                      <w:bCs/>
                      <w:spacing w:val="-1"/>
                      <w:u w:val="single"/>
                    </w:rPr>
                    <w:t>O</w:t>
                  </w:r>
                  <w:r>
                    <w:rPr>
                      <w:rFonts w:cs="Georgia"/>
                      <w:b/>
                      <w:bCs/>
                      <w:spacing w:val="1"/>
                      <w:u w:val="single"/>
                    </w:rPr>
                    <w:t>B</w:t>
                  </w:r>
                  <w:r>
                    <w:rPr>
                      <w:rFonts w:cs="Georgia"/>
                      <w:b/>
                      <w:bCs/>
                      <w:u w:val="single"/>
                    </w:rPr>
                    <w:t>LI</w:t>
                  </w:r>
                  <w:r>
                    <w:rPr>
                      <w:rFonts w:cs="Georgia"/>
                      <w:b/>
                      <w:bCs/>
                      <w:spacing w:val="-3"/>
                      <w:u w:val="single"/>
                    </w:rPr>
                    <w:t>G</w:t>
                  </w:r>
                  <w:r>
                    <w:rPr>
                      <w:rFonts w:cs="Georgia"/>
                      <w:b/>
                      <w:bCs/>
                      <w:spacing w:val="1"/>
                      <w:u w:val="single"/>
                    </w:rPr>
                    <w:t>A</w:t>
                  </w:r>
                  <w:r>
                    <w:rPr>
                      <w:rFonts w:cs="Georgia"/>
                      <w:b/>
                      <w:bCs/>
                      <w:spacing w:val="-2"/>
                      <w:u w:val="single"/>
                    </w:rPr>
                    <w:t>T</w:t>
                  </w:r>
                  <w:r>
                    <w:rPr>
                      <w:rFonts w:cs="Georgia"/>
                      <w:b/>
                      <w:bCs/>
                      <w:spacing w:val="-1"/>
                      <w:u w:val="single"/>
                    </w:rPr>
                    <w:t>O</w:t>
                  </w:r>
                  <w:r>
                    <w:rPr>
                      <w:rFonts w:cs="Georgia"/>
                      <w:b/>
                      <w:bCs/>
                      <w:u w:val="single"/>
                    </w:rPr>
                    <w:t>I</w:t>
                  </w:r>
                  <w:r>
                    <w:rPr>
                      <w:rFonts w:cs="Georgia"/>
                      <w:b/>
                      <w:bCs/>
                      <w:spacing w:val="-1"/>
                      <w:u w:val="single"/>
                    </w:rPr>
                    <w:t>RE</w:t>
                  </w:r>
                  <w:r>
                    <w:rPr>
                      <w:rFonts w:cs="Georgia"/>
                      <w:b/>
                      <w:bCs/>
                      <w:u w:val="single"/>
                    </w:rPr>
                    <w:t>M</w:t>
                  </w:r>
                  <w:r>
                    <w:rPr>
                      <w:rFonts w:cs="Georgia"/>
                      <w:b/>
                      <w:bCs/>
                      <w:spacing w:val="-1"/>
                      <w:u w:val="single"/>
                    </w:rPr>
                    <w:t>E</w:t>
                  </w:r>
                  <w:r>
                    <w:rPr>
                      <w:rFonts w:cs="Georgia"/>
                      <w:b/>
                      <w:bCs/>
                      <w:u w:val="single"/>
                    </w:rPr>
                    <w:t>NT</w:t>
                  </w:r>
                  <w:r>
                    <w:rPr>
                      <w:rFonts w:cs="Georgia"/>
                      <w:bCs/>
                      <w:spacing w:val="34"/>
                    </w:rPr>
                    <w:t xml:space="preserve"> </w:t>
                  </w:r>
                  <w:r>
                    <w:rPr>
                      <w:rFonts w:cs="Georgia"/>
                      <w:bCs/>
                    </w:rPr>
                    <w:t>d</w:t>
                  </w:r>
                  <w:r>
                    <w:rPr>
                      <w:rFonts w:cs="Georgia"/>
                      <w:bCs/>
                      <w:spacing w:val="1"/>
                    </w:rPr>
                    <w:t>i</w:t>
                  </w:r>
                  <w:r>
                    <w:rPr>
                      <w:rFonts w:cs="Georgia"/>
                      <w:bCs/>
                      <w:spacing w:val="-3"/>
                    </w:rPr>
                    <w:t>s</w:t>
                  </w:r>
                  <w:r>
                    <w:rPr>
                      <w:rFonts w:cs="Georgia"/>
                      <w:bCs/>
                      <w:spacing w:val="-1"/>
                    </w:rPr>
                    <w:t>p</w:t>
                  </w:r>
                  <w:r>
                    <w:rPr>
                      <w:rFonts w:cs="Georgia"/>
                      <w:bCs/>
                      <w:spacing w:val="1"/>
                    </w:rPr>
                    <w:t>e</w:t>
                  </w:r>
                  <w:r>
                    <w:rPr>
                      <w:rFonts w:cs="Georgia"/>
                      <w:bCs/>
                      <w:spacing w:val="-1"/>
                    </w:rPr>
                    <w:t>n</w:t>
                  </w:r>
                  <w:r>
                    <w:rPr>
                      <w:rFonts w:cs="Georgia"/>
                      <w:bCs/>
                    </w:rPr>
                    <w:t>s</w:t>
                  </w:r>
                  <w:r>
                    <w:rPr>
                      <w:rFonts w:cs="Georgia"/>
                      <w:bCs/>
                      <w:spacing w:val="-2"/>
                    </w:rPr>
                    <w:t>e</w:t>
                  </w:r>
                  <w:r>
                    <w:rPr>
                      <w:rFonts w:cs="Georgia"/>
                      <w:bCs/>
                    </w:rPr>
                    <w:t>r</w:t>
                  </w:r>
                  <w:r>
                    <w:rPr>
                      <w:rFonts w:cs="Georgia"/>
                      <w:bCs/>
                      <w:spacing w:val="33"/>
                    </w:rPr>
                    <w:t xml:space="preserve"> </w:t>
                  </w:r>
                  <w:r>
                    <w:rPr>
                      <w:rFonts w:cs="Georgia"/>
                      <w:bCs/>
                    </w:rPr>
                    <w:t>au</w:t>
                  </w:r>
                  <w:r>
                    <w:rPr>
                      <w:rFonts w:cs="Georgia"/>
                      <w:bCs/>
                      <w:spacing w:val="32"/>
                    </w:rPr>
                    <w:t xml:space="preserve"> </w:t>
                  </w:r>
                  <w:r>
                    <w:rPr>
                      <w:rFonts w:cs="Georgia"/>
                      <w:bCs/>
                      <w:spacing w:val="-4"/>
                    </w:rPr>
                    <w:t>m</w:t>
                  </w:r>
                  <w:r>
                    <w:rPr>
                      <w:rFonts w:cs="Georgia"/>
                      <w:bCs/>
                      <w:spacing w:val="1"/>
                    </w:rPr>
                    <w:t>i</w:t>
                  </w:r>
                  <w:r>
                    <w:rPr>
                      <w:rFonts w:cs="Georgia"/>
                      <w:bCs/>
                      <w:spacing w:val="-1"/>
                    </w:rPr>
                    <w:t>n</w:t>
                  </w:r>
                  <w:r>
                    <w:rPr>
                      <w:rFonts w:cs="Georgia"/>
                      <w:bCs/>
                      <w:spacing w:val="1"/>
                    </w:rPr>
                    <w:t>i</w:t>
                  </w:r>
                  <w:r>
                    <w:rPr>
                      <w:rFonts w:cs="Georgia"/>
                      <w:bCs/>
                      <w:spacing w:val="-1"/>
                    </w:rPr>
                    <w:t>mu</w:t>
                  </w:r>
                  <w:r>
                    <w:rPr>
                      <w:rFonts w:cs="Georgia"/>
                      <w:bCs/>
                    </w:rPr>
                    <w:t>m</w:t>
                  </w:r>
                  <w:r>
                    <w:rPr>
                      <w:rFonts w:cs="Georgia"/>
                      <w:bCs/>
                      <w:spacing w:val="32"/>
                    </w:rPr>
                    <w:t xml:space="preserve"> </w:t>
                  </w:r>
                  <w:r>
                    <w:rPr>
                      <w:rFonts w:cs="Georgia"/>
                      <w:bCs/>
                    </w:rPr>
                    <w:t>1</w:t>
                  </w:r>
                  <w:r>
                    <w:rPr>
                      <w:rFonts w:cs="Georgia"/>
                      <w:bCs/>
                      <w:spacing w:val="28"/>
                    </w:rPr>
                    <w:t xml:space="preserve"> </w:t>
                  </w:r>
                  <w:r>
                    <w:rPr>
                      <w:rFonts w:cs="Georgia"/>
                      <w:bCs/>
                      <w:spacing w:val="1"/>
                    </w:rPr>
                    <w:t>pé</w:t>
                  </w:r>
                  <w:r>
                    <w:rPr>
                      <w:rFonts w:cs="Georgia"/>
                      <w:bCs/>
                      <w:spacing w:val="-2"/>
                    </w:rPr>
                    <w:t>r</w:t>
                  </w:r>
                  <w:r>
                    <w:rPr>
                      <w:rFonts w:cs="Georgia"/>
                      <w:bCs/>
                      <w:spacing w:val="-1"/>
                    </w:rPr>
                    <w:t>io</w:t>
                  </w:r>
                  <w:r>
                    <w:rPr>
                      <w:rFonts w:cs="Georgia"/>
                      <w:bCs/>
                    </w:rPr>
                    <w:t>de</w:t>
                  </w:r>
                  <w:r>
                    <w:rPr>
                      <w:rFonts w:cs="Georgia"/>
                      <w:bCs/>
                      <w:spacing w:val="34"/>
                    </w:rPr>
                    <w:t xml:space="preserve"> </w:t>
                  </w:r>
                  <w:r>
                    <w:rPr>
                      <w:rFonts w:cs="Georgia"/>
                      <w:bCs/>
                      <w:spacing w:val="-2"/>
                    </w:rPr>
                    <w:t>d</w:t>
                  </w:r>
                  <w:r>
                    <w:rPr>
                      <w:rFonts w:cs="Georgia"/>
                      <w:bCs/>
                    </w:rPr>
                    <w:t>e</w:t>
                  </w:r>
                  <w:r>
                    <w:rPr>
                      <w:rFonts w:cs="Georgia"/>
                      <w:bCs/>
                      <w:spacing w:val="34"/>
                    </w:rPr>
                    <w:t xml:space="preserve"> </w:t>
                  </w:r>
                  <w:r>
                    <w:rPr>
                      <w:rFonts w:cs="Georgia"/>
                      <w:bCs/>
                    </w:rPr>
                    <w:t>c</w:t>
                  </w:r>
                  <w:r>
                    <w:rPr>
                      <w:rFonts w:cs="Georgia"/>
                      <w:bCs/>
                      <w:spacing w:val="-1"/>
                    </w:rPr>
                    <w:t>ou</w:t>
                  </w:r>
                  <w:r>
                    <w:rPr>
                      <w:rFonts w:cs="Georgia"/>
                      <w:bCs/>
                    </w:rPr>
                    <w:t>rs</w:t>
                  </w:r>
                  <w:r>
                    <w:rPr>
                      <w:rFonts w:cs="Georgia"/>
                      <w:bCs/>
                      <w:spacing w:val="30"/>
                    </w:rPr>
                    <w:t xml:space="preserve"> </w:t>
                  </w:r>
                  <w:r>
                    <w:rPr>
                      <w:rFonts w:cs="Georgia"/>
                      <w:bCs/>
                    </w:rPr>
                    <w:t>à</w:t>
                  </w:r>
                  <w:r>
                    <w:rPr>
                      <w:rFonts w:cs="Georgia"/>
                      <w:bCs/>
                      <w:spacing w:val="31"/>
                    </w:rPr>
                    <w:t xml:space="preserve"> </w:t>
                  </w:r>
                  <w:r>
                    <w:rPr>
                      <w:rFonts w:cs="Georgia"/>
                      <w:bCs/>
                      <w:spacing w:val="1"/>
                    </w:rPr>
                    <w:t>t</w:t>
                  </w:r>
                  <w:r>
                    <w:rPr>
                      <w:rFonts w:cs="Georgia"/>
                      <w:bCs/>
                      <w:spacing w:val="-1"/>
                    </w:rPr>
                    <w:t>ou</w:t>
                  </w:r>
                  <w:r>
                    <w:rPr>
                      <w:rFonts w:cs="Georgia"/>
                      <w:bCs/>
                    </w:rPr>
                    <w:t xml:space="preserve">s </w:t>
                  </w:r>
                  <w:r>
                    <w:rPr>
                      <w:rFonts w:cs="Georgia"/>
                      <w:bCs/>
                      <w:spacing w:val="1"/>
                    </w:rPr>
                    <w:t>le</w:t>
                  </w:r>
                  <w:r>
                    <w:rPr>
                      <w:rFonts w:cs="Georgia"/>
                      <w:bCs/>
                    </w:rPr>
                    <w:t>s</w:t>
                  </w:r>
                  <w:r>
                    <w:rPr>
                      <w:rFonts w:cs="Georgia"/>
                      <w:bCs/>
                      <w:spacing w:val="-1"/>
                    </w:rPr>
                    <w:t xml:space="preserve"> </w:t>
                  </w:r>
                  <w:r>
                    <w:rPr>
                      <w:rFonts w:cs="Georgia"/>
                      <w:bCs/>
                      <w:spacing w:val="-2"/>
                    </w:rPr>
                    <w:t>é</w:t>
                  </w:r>
                  <w:r>
                    <w:rPr>
                      <w:rFonts w:cs="Georgia"/>
                      <w:bCs/>
                      <w:spacing w:val="1"/>
                    </w:rPr>
                    <w:t>lè</w:t>
                  </w:r>
                  <w:r>
                    <w:rPr>
                      <w:rFonts w:cs="Georgia"/>
                      <w:bCs/>
                      <w:spacing w:val="-3"/>
                    </w:rPr>
                    <w:t>v</w:t>
                  </w:r>
                  <w:r>
                    <w:rPr>
                      <w:rFonts w:cs="Georgia"/>
                      <w:bCs/>
                      <w:spacing w:val="1"/>
                    </w:rPr>
                    <w:t>e</w:t>
                  </w:r>
                  <w:r>
                    <w:rPr>
                      <w:rFonts w:cs="Georgia"/>
                      <w:bCs/>
                    </w:rPr>
                    <w:t>s</w:t>
                  </w:r>
                  <w:r>
                    <w:rPr>
                      <w:rFonts w:cs="Georgia"/>
                      <w:bCs/>
                      <w:spacing w:val="-1"/>
                    </w:rPr>
                    <w:t xml:space="preserve"> </w:t>
                  </w:r>
                  <w:r>
                    <w:rPr>
                      <w:rFonts w:cs="Georgia"/>
                      <w:bCs/>
                    </w:rPr>
                    <w:t>de</w:t>
                  </w:r>
                  <w:r>
                    <w:rPr>
                      <w:rFonts w:cs="Georgia"/>
                      <w:bCs/>
                      <w:spacing w:val="-2"/>
                    </w:rPr>
                    <w:t xml:space="preserve"> </w:t>
                  </w:r>
                  <w:r>
                    <w:rPr>
                      <w:rFonts w:cs="Georgia"/>
                      <w:bCs/>
                      <w:spacing w:val="1"/>
                    </w:rPr>
                    <w:t>l</w:t>
                  </w:r>
                  <w:r>
                    <w:rPr>
                      <w:rFonts w:cs="Georgia"/>
                      <w:bCs/>
                    </w:rPr>
                    <w:t xml:space="preserve">a </w:t>
                  </w:r>
                  <w:r>
                    <w:rPr>
                      <w:rFonts w:cs="Georgia"/>
                      <w:bCs/>
                      <w:spacing w:val="-2"/>
                    </w:rPr>
                    <w:t>c</w:t>
                  </w:r>
                  <w:r>
                    <w:rPr>
                      <w:rFonts w:cs="Georgia"/>
                      <w:bCs/>
                      <w:spacing w:val="1"/>
                    </w:rPr>
                    <w:t>l</w:t>
                  </w:r>
                  <w:r>
                    <w:rPr>
                      <w:rFonts w:cs="Georgia"/>
                      <w:bCs/>
                    </w:rPr>
                    <w:t>asse</w:t>
                  </w:r>
                  <w:r>
                    <w:rPr>
                      <w:rFonts w:cs="Georgia"/>
                      <w:bCs/>
                      <w:spacing w:val="-2"/>
                    </w:rPr>
                    <w:t xml:space="preserve"> </w:t>
                  </w:r>
                  <w:r>
                    <w:rPr>
                      <w:rFonts w:cs="Georgia"/>
                      <w:bCs/>
                    </w:rPr>
                    <w:t>c</w:t>
                  </w:r>
                  <w:r>
                    <w:rPr>
                      <w:rFonts w:cs="Georgia"/>
                      <w:bCs/>
                      <w:spacing w:val="-1"/>
                    </w:rPr>
                    <w:t>on</w:t>
                  </w:r>
                  <w:r>
                    <w:rPr>
                      <w:rFonts w:cs="Georgia"/>
                      <w:bCs/>
                    </w:rPr>
                    <w:t>c</w:t>
                  </w:r>
                  <w:r>
                    <w:rPr>
                      <w:rFonts w:cs="Georgia"/>
                      <w:bCs/>
                      <w:spacing w:val="1"/>
                    </w:rPr>
                    <w:t>e</w:t>
                  </w:r>
                  <w:r>
                    <w:rPr>
                      <w:rFonts w:cs="Georgia"/>
                      <w:bCs/>
                    </w:rPr>
                    <w:t>r</w:t>
                  </w:r>
                  <w:r>
                    <w:rPr>
                      <w:rFonts w:cs="Georgia"/>
                      <w:bCs/>
                      <w:spacing w:val="-1"/>
                    </w:rPr>
                    <w:t>n</w:t>
                  </w:r>
                  <w:r>
                    <w:rPr>
                      <w:rFonts w:cs="Georgia"/>
                      <w:bCs/>
                      <w:spacing w:val="-2"/>
                    </w:rPr>
                    <w:t>é</w:t>
                  </w:r>
                  <w:r>
                    <w:rPr>
                      <w:rFonts w:cs="Georgia"/>
                      <w:bCs/>
                      <w:spacing w:val="1"/>
                    </w:rPr>
                    <w:t>e.</w:t>
                  </w:r>
                </w:p>
                <w:p w:rsidR="00F04EEF" w:rsidRDefault="00F04EEF">
                  <w:pPr>
                    <w:widowControl w:val="0"/>
                    <w:autoSpaceDE w:val="0"/>
                    <w:autoSpaceDN w:val="0"/>
                    <w:adjustRightInd w:val="0"/>
                    <w:spacing w:line="240" w:lineRule="exact"/>
                    <w:rPr>
                      <w:rFonts w:cs="Georgia"/>
                    </w:rPr>
                  </w:pPr>
                </w:p>
                <w:p w:rsidR="00F04EEF" w:rsidRDefault="0099351E">
                  <w:pPr>
                    <w:pStyle w:val="Paragraphedeliste"/>
                    <w:widowControl w:val="0"/>
                    <w:numPr>
                      <w:ilvl w:val="0"/>
                      <w:numId w:val="60"/>
                    </w:numPr>
                    <w:suppressAutoHyphens w:val="0"/>
                    <w:autoSpaceDE w:val="0"/>
                    <w:autoSpaceDN w:val="0"/>
                    <w:adjustRightInd w:val="0"/>
                    <w:spacing w:before="36" w:line="244" w:lineRule="exact"/>
                    <w:ind w:left="0" w:firstLine="0"/>
                    <w:contextualSpacing/>
                    <w:rPr>
                      <w:rFonts w:asciiTheme="majorHAnsi" w:hAnsiTheme="majorHAnsi" w:cs="Georgia"/>
                      <w:color w:val="000000"/>
                      <w:sz w:val="22"/>
                      <w:szCs w:val="22"/>
                    </w:rPr>
                  </w:pPr>
                  <w:r>
                    <w:rPr>
                      <w:rFonts w:asciiTheme="majorHAnsi" w:hAnsiTheme="majorHAnsi" w:cs="Georgia"/>
                      <w:b/>
                      <w:bCs/>
                      <w:spacing w:val="1"/>
                      <w:position w:val="-1"/>
                      <w:sz w:val="22"/>
                      <w:szCs w:val="22"/>
                      <w:u w:val="single"/>
                    </w:rPr>
                    <w:t>Conseils de classe et travail par équipe</w:t>
                  </w:r>
                </w:p>
                <w:p w:rsidR="00F04EEF" w:rsidRDefault="00F04EEF">
                  <w:pPr>
                    <w:widowControl w:val="0"/>
                    <w:autoSpaceDE w:val="0"/>
                    <w:autoSpaceDN w:val="0"/>
                    <w:adjustRightInd w:val="0"/>
                    <w:spacing w:before="1" w:line="220" w:lineRule="exact"/>
                    <w:rPr>
                      <w:rFonts w:cs="Georgia"/>
                      <w:color w:val="000000"/>
                    </w:rPr>
                  </w:pPr>
                </w:p>
                <w:p w:rsidR="00F04EEF" w:rsidRDefault="0099351E">
                  <w:pPr>
                    <w:widowControl w:val="0"/>
                    <w:autoSpaceDE w:val="0"/>
                    <w:autoSpaceDN w:val="0"/>
                    <w:adjustRightInd w:val="0"/>
                    <w:spacing w:before="11" w:line="240" w:lineRule="exact"/>
                    <w:rPr>
                      <w:rFonts w:cs="Georgia"/>
                      <w:color w:val="000000"/>
                      <w:spacing w:val="1"/>
                    </w:rPr>
                  </w:pPr>
                  <w:r>
                    <w:rPr>
                      <w:rFonts w:cs="Georgia"/>
                      <w:color w:val="000000"/>
                      <w:spacing w:val="1"/>
                    </w:rPr>
                    <w:t xml:space="preserve">Les professeurs sont tenus de participer aux conseils de classe et de travailler par équipe. </w:t>
                  </w:r>
                </w:p>
                <w:p w:rsidR="00F04EEF" w:rsidRDefault="00F04EEF">
                  <w:pPr>
                    <w:widowControl w:val="0"/>
                    <w:autoSpaceDE w:val="0"/>
                    <w:autoSpaceDN w:val="0"/>
                    <w:adjustRightInd w:val="0"/>
                    <w:spacing w:before="11" w:line="240" w:lineRule="exact"/>
                    <w:rPr>
                      <w:rFonts w:cs="Georgia"/>
                      <w:color w:val="000000"/>
                      <w:spacing w:val="1"/>
                    </w:rPr>
                  </w:pPr>
                </w:p>
                <w:p w:rsidR="00F04EEF" w:rsidRDefault="0099351E">
                  <w:pPr>
                    <w:pStyle w:val="Paragraphedeliste"/>
                    <w:widowControl w:val="0"/>
                    <w:numPr>
                      <w:ilvl w:val="0"/>
                      <w:numId w:val="60"/>
                    </w:numPr>
                    <w:suppressAutoHyphens w:val="0"/>
                    <w:autoSpaceDE w:val="0"/>
                    <w:autoSpaceDN w:val="0"/>
                    <w:adjustRightInd w:val="0"/>
                    <w:spacing w:line="244" w:lineRule="exact"/>
                    <w:ind w:left="0" w:firstLine="0"/>
                    <w:contextualSpacing/>
                    <w:jc w:val="both"/>
                    <w:rPr>
                      <w:rFonts w:asciiTheme="majorHAnsi" w:hAnsiTheme="majorHAnsi" w:cs="Georgia"/>
                      <w:color w:val="000000"/>
                      <w:sz w:val="22"/>
                      <w:szCs w:val="22"/>
                    </w:rPr>
                  </w:pPr>
                  <w:r>
                    <w:rPr>
                      <w:rFonts w:asciiTheme="majorHAnsi" w:hAnsiTheme="majorHAnsi" w:cs="Georgia"/>
                      <w:b/>
                      <w:bCs/>
                      <w:color w:val="000000"/>
                      <w:spacing w:val="-1"/>
                      <w:position w:val="-1"/>
                      <w:sz w:val="22"/>
                      <w:szCs w:val="22"/>
                      <w:u w:val="single"/>
                    </w:rPr>
                    <w:t>Gu</w:t>
                  </w:r>
                  <w:r>
                    <w:rPr>
                      <w:rFonts w:asciiTheme="majorHAnsi" w:hAnsiTheme="majorHAnsi" w:cs="Georgia"/>
                      <w:b/>
                      <w:bCs/>
                      <w:color w:val="000000"/>
                      <w:spacing w:val="1"/>
                      <w:position w:val="-1"/>
                      <w:sz w:val="22"/>
                      <w:szCs w:val="22"/>
                      <w:u w:val="single"/>
                    </w:rPr>
                    <w:t>i</w:t>
                  </w:r>
                  <w:r>
                    <w:rPr>
                      <w:rFonts w:asciiTheme="majorHAnsi" w:hAnsiTheme="majorHAnsi" w:cs="Georgia"/>
                      <w:b/>
                      <w:bCs/>
                      <w:color w:val="000000"/>
                      <w:position w:val="-1"/>
                      <w:sz w:val="22"/>
                      <w:szCs w:val="22"/>
                      <w:u w:val="single"/>
                    </w:rPr>
                    <w:t>da</w:t>
                  </w:r>
                  <w:r>
                    <w:rPr>
                      <w:rFonts w:asciiTheme="majorHAnsi" w:hAnsiTheme="majorHAnsi" w:cs="Georgia"/>
                      <w:b/>
                      <w:bCs/>
                      <w:color w:val="000000"/>
                      <w:spacing w:val="-1"/>
                      <w:position w:val="-1"/>
                      <w:sz w:val="22"/>
                      <w:szCs w:val="22"/>
                      <w:u w:val="single"/>
                    </w:rPr>
                    <w:t>n</w:t>
                  </w:r>
                  <w:r>
                    <w:rPr>
                      <w:rFonts w:asciiTheme="majorHAnsi" w:hAnsiTheme="majorHAnsi" w:cs="Georgia"/>
                      <w:b/>
                      <w:bCs/>
                      <w:color w:val="000000"/>
                      <w:spacing w:val="-2"/>
                      <w:position w:val="-1"/>
                      <w:sz w:val="22"/>
                      <w:szCs w:val="22"/>
                      <w:u w:val="single"/>
                    </w:rPr>
                    <w:t>c</w:t>
                  </w:r>
                  <w:r>
                    <w:rPr>
                      <w:rFonts w:asciiTheme="majorHAnsi" w:hAnsiTheme="majorHAnsi" w:cs="Georgia"/>
                      <w:b/>
                      <w:bCs/>
                      <w:color w:val="000000"/>
                      <w:position w:val="-1"/>
                      <w:sz w:val="22"/>
                      <w:szCs w:val="22"/>
                      <w:u w:val="single"/>
                    </w:rPr>
                    <w:t xml:space="preserve">e </w:t>
                  </w:r>
                  <w:r>
                    <w:rPr>
                      <w:rFonts w:asciiTheme="majorHAnsi" w:hAnsiTheme="majorHAnsi" w:cs="Georgia"/>
                      <w:b/>
                      <w:bCs/>
                      <w:color w:val="000000"/>
                      <w:spacing w:val="-1"/>
                      <w:position w:val="-1"/>
                      <w:sz w:val="22"/>
                      <w:szCs w:val="22"/>
                      <w:u w:val="single"/>
                    </w:rPr>
                    <w:t>o</w:t>
                  </w:r>
                  <w:r>
                    <w:rPr>
                      <w:rFonts w:asciiTheme="majorHAnsi" w:hAnsiTheme="majorHAnsi" w:cs="Georgia"/>
                      <w:b/>
                      <w:bCs/>
                      <w:color w:val="000000"/>
                      <w:position w:val="-1"/>
                      <w:sz w:val="22"/>
                      <w:szCs w:val="22"/>
                      <w:u w:val="single"/>
                    </w:rPr>
                    <w:t>u</w:t>
                  </w:r>
                  <w:r>
                    <w:rPr>
                      <w:rFonts w:asciiTheme="majorHAnsi" w:hAnsiTheme="majorHAnsi" w:cs="Georgia"/>
                      <w:b/>
                      <w:bCs/>
                      <w:color w:val="000000"/>
                      <w:spacing w:val="-2"/>
                      <w:position w:val="-1"/>
                      <w:sz w:val="22"/>
                      <w:szCs w:val="22"/>
                      <w:u w:val="single"/>
                    </w:rPr>
                    <w:t xml:space="preserve"> </w:t>
                  </w:r>
                  <w:r>
                    <w:rPr>
                      <w:rFonts w:asciiTheme="majorHAnsi" w:hAnsiTheme="majorHAnsi" w:cs="Georgia"/>
                      <w:b/>
                      <w:bCs/>
                      <w:color w:val="000000"/>
                      <w:position w:val="-1"/>
                      <w:sz w:val="22"/>
                      <w:szCs w:val="22"/>
                      <w:u w:val="single"/>
                    </w:rPr>
                    <w:t>r</w:t>
                  </w:r>
                  <w:r>
                    <w:rPr>
                      <w:rFonts w:asciiTheme="majorHAnsi" w:hAnsiTheme="majorHAnsi" w:cs="Georgia"/>
                      <w:b/>
                      <w:bCs/>
                      <w:color w:val="000000"/>
                      <w:spacing w:val="1"/>
                      <w:position w:val="-1"/>
                      <w:sz w:val="22"/>
                      <w:szCs w:val="22"/>
                      <w:u w:val="single"/>
                    </w:rPr>
                    <w:t>e</w:t>
                  </w:r>
                  <w:r>
                    <w:rPr>
                      <w:rFonts w:asciiTheme="majorHAnsi" w:hAnsiTheme="majorHAnsi" w:cs="Georgia"/>
                      <w:b/>
                      <w:bCs/>
                      <w:color w:val="000000"/>
                      <w:spacing w:val="-2"/>
                      <w:position w:val="-1"/>
                      <w:sz w:val="22"/>
                      <w:szCs w:val="22"/>
                      <w:u w:val="single"/>
                    </w:rPr>
                    <w:t>c</w:t>
                  </w:r>
                  <w:r>
                    <w:rPr>
                      <w:rFonts w:asciiTheme="majorHAnsi" w:hAnsiTheme="majorHAnsi" w:cs="Georgia"/>
                      <w:b/>
                      <w:bCs/>
                      <w:color w:val="000000"/>
                      <w:spacing w:val="1"/>
                      <w:position w:val="-1"/>
                      <w:sz w:val="22"/>
                      <w:szCs w:val="22"/>
                      <w:u w:val="single"/>
                    </w:rPr>
                    <w:t>y</w:t>
                  </w:r>
                  <w:r>
                    <w:rPr>
                      <w:rFonts w:asciiTheme="majorHAnsi" w:hAnsiTheme="majorHAnsi" w:cs="Georgia"/>
                      <w:b/>
                      <w:bCs/>
                      <w:color w:val="000000"/>
                      <w:position w:val="-1"/>
                      <w:sz w:val="22"/>
                      <w:szCs w:val="22"/>
                      <w:u w:val="single"/>
                    </w:rPr>
                    <w:t>c</w:t>
                  </w:r>
                  <w:r>
                    <w:rPr>
                      <w:rFonts w:asciiTheme="majorHAnsi" w:hAnsiTheme="majorHAnsi" w:cs="Georgia"/>
                      <w:b/>
                      <w:bCs/>
                      <w:color w:val="000000"/>
                      <w:spacing w:val="-2"/>
                      <w:position w:val="-1"/>
                      <w:sz w:val="22"/>
                      <w:szCs w:val="22"/>
                      <w:u w:val="single"/>
                    </w:rPr>
                    <w:t>l</w:t>
                  </w:r>
                  <w:r>
                    <w:rPr>
                      <w:rFonts w:asciiTheme="majorHAnsi" w:hAnsiTheme="majorHAnsi" w:cs="Georgia"/>
                      <w:b/>
                      <w:bCs/>
                      <w:color w:val="000000"/>
                      <w:position w:val="-1"/>
                      <w:sz w:val="22"/>
                      <w:szCs w:val="22"/>
                      <w:u w:val="single"/>
                    </w:rPr>
                    <w:t>a</w:t>
                  </w:r>
                  <w:r>
                    <w:rPr>
                      <w:rFonts w:asciiTheme="majorHAnsi" w:hAnsiTheme="majorHAnsi" w:cs="Georgia"/>
                      <w:b/>
                      <w:bCs/>
                      <w:color w:val="000000"/>
                      <w:spacing w:val="-3"/>
                      <w:position w:val="-1"/>
                      <w:sz w:val="22"/>
                      <w:szCs w:val="22"/>
                      <w:u w:val="single"/>
                    </w:rPr>
                    <w:t>g</w:t>
                  </w:r>
                  <w:r>
                    <w:rPr>
                      <w:rFonts w:asciiTheme="majorHAnsi" w:hAnsiTheme="majorHAnsi" w:cs="Georgia"/>
                      <w:b/>
                      <w:bCs/>
                      <w:color w:val="000000"/>
                      <w:position w:val="-1"/>
                      <w:sz w:val="22"/>
                      <w:szCs w:val="22"/>
                      <w:u w:val="single"/>
                    </w:rPr>
                    <w:t>e</w:t>
                  </w:r>
                </w:p>
                <w:p w:rsidR="00F04EEF" w:rsidRDefault="00F04EEF">
                  <w:pPr>
                    <w:widowControl w:val="0"/>
                    <w:autoSpaceDE w:val="0"/>
                    <w:autoSpaceDN w:val="0"/>
                    <w:adjustRightInd w:val="0"/>
                    <w:spacing w:before="38" w:line="250" w:lineRule="exact"/>
                    <w:jc w:val="both"/>
                    <w:rPr>
                      <w:rFonts w:cs="Georgia"/>
                      <w:color w:val="000000"/>
                    </w:rPr>
                  </w:pPr>
                </w:p>
                <w:p w:rsidR="00F04EEF" w:rsidRDefault="0099351E">
                  <w:pPr>
                    <w:widowControl w:val="0"/>
                    <w:autoSpaceDE w:val="0"/>
                    <w:autoSpaceDN w:val="0"/>
                    <w:adjustRightInd w:val="0"/>
                    <w:spacing w:before="38" w:line="250" w:lineRule="exact"/>
                    <w:jc w:val="both"/>
                    <w:rPr>
                      <w:rFonts w:cs="Georgia"/>
                      <w:color w:val="000000"/>
                    </w:rPr>
                  </w:pPr>
                  <w:r>
                    <w:rPr>
                      <w:rFonts w:cs="Georgia"/>
                      <w:color w:val="000000"/>
                      <w:spacing w:val="-1"/>
                    </w:rPr>
                    <w:t>Ceux-ci doivent,</w:t>
                  </w:r>
                  <w:r>
                    <w:rPr>
                      <w:rFonts w:cs="Georgia"/>
                      <w:color w:val="000000"/>
                    </w:rPr>
                    <w:t xml:space="preserve"> d’une part,  </w:t>
                  </w:r>
                  <w:r>
                    <w:rPr>
                      <w:rFonts w:cs="Georgia"/>
                      <w:color w:val="000000"/>
                      <w:spacing w:val="1"/>
                    </w:rPr>
                    <w:t>pr</w:t>
                  </w:r>
                  <w:r>
                    <w:rPr>
                      <w:rFonts w:cs="Georgia"/>
                      <w:color w:val="000000"/>
                      <w:spacing w:val="-3"/>
                    </w:rPr>
                    <w:t>e</w:t>
                  </w:r>
                  <w:r>
                    <w:rPr>
                      <w:rFonts w:cs="Georgia"/>
                      <w:color w:val="000000"/>
                      <w:spacing w:val="1"/>
                    </w:rPr>
                    <w:t>st</w:t>
                  </w:r>
                  <w:r>
                    <w:rPr>
                      <w:rFonts w:cs="Georgia"/>
                      <w:color w:val="000000"/>
                      <w:spacing w:val="-1"/>
                    </w:rPr>
                    <w:t>e</w:t>
                  </w:r>
                  <w:r>
                    <w:rPr>
                      <w:rFonts w:cs="Georgia"/>
                      <w:color w:val="000000"/>
                    </w:rPr>
                    <w:t>r un</w:t>
                  </w:r>
                  <w:r>
                    <w:rPr>
                      <w:rFonts w:cs="Georgia"/>
                      <w:color w:val="000000"/>
                      <w:spacing w:val="-4"/>
                    </w:rPr>
                    <w:t xml:space="preserve"> </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le</w:t>
                  </w:r>
                  <w:r>
                    <w:rPr>
                      <w:rFonts w:cs="Georgia"/>
                      <w:color w:val="000000"/>
                    </w:rPr>
                    <w:t>t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 xml:space="preserve">t et, d’autre part, leur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ge</w:t>
                  </w:r>
                  <w:r>
                    <w:rPr>
                      <w:rFonts w:cs="Georgia"/>
                      <w:color w:val="000000"/>
                      <w:spacing w:val="6"/>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8"/>
                    </w:rPr>
                    <w:t xml:space="preserve"> </w:t>
                  </w:r>
                  <w:r>
                    <w:rPr>
                      <w:rFonts w:cs="Georgia"/>
                      <w:color w:val="000000"/>
                      <w:spacing w:val="-1"/>
                    </w:rPr>
                    <w:t>l</w:t>
                  </w:r>
                  <w:r>
                    <w:rPr>
                      <w:rFonts w:cs="Georgia"/>
                      <w:color w:val="000000"/>
                      <w:spacing w:val="-2"/>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8"/>
                    </w:rPr>
                    <w:t xml:space="preserve">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1"/>
                    </w:rPr>
                    <w:t>n</w:t>
                  </w:r>
                  <w:r>
                    <w:rPr>
                      <w:rFonts w:cs="Georgia"/>
                      <w:color w:val="000000"/>
                    </w:rPr>
                    <w:t>d</w:t>
                  </w:r>
                  <w:r>
                    <w:rPr>
                      <w:rFonts w:cs="Georgia"/>
                      <w:color w:val="000000"/>
                      <w:spacing w:val="-1"/>
                    </w:rPr>
                    <w:t>a</w:t>
                  </w:r>
                  <w:r>
                    <w:rPr>
                      <w:rFonts w:cs="Georgia"/>
                      <w:color w:val="000000"/>
                    </w:rPr>
                    <w:t>i</w:t>
                  </w:r>
                  <w:r>
                    <w:rPr>
                      <w:rFonts w:cs="Georgia"/>
                      <w:color w:val="000000"/>
                      <w:spacing w:val="-2"/>
                    </w:rPr>
                    <w:t>r</w:t>
                  </w:r>
                  <w:r>
                    <w:rPr>
                      <w:rFonts w:cs="Georgia"/>
                      <w:color w:val="000000"/>
                    </w:rPr>
                    <w:t>e</w:t>
                  </w:r>
                  <w:r>
                    <w:rPr>
                      <w:rFonts w:cs="Georgia"/>
                      <w:color w:val="000000"/>
                      <w:spacing w:val="6"/>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6"/>
                    </w:rPr>
                    <w:t xml:space="preserve"> doit être </w:t>
                  </w:r>
                  <w:r>
                    <w:rPr>
                      <w:rFonts w:cs="Georgia"/>
                      <w:color w:val="000000"/>
                      <w:spacing w:val="-1"/>
                    </w:rPr>
                    <w:t>a</w:t>
                  </w:r>
                  <w:r>
                    <w:rPr>
                      <w:rFonts w:cs="Georgia"/>
                      <w:color w:val="000000"/>
                    </w:rPr>
                    <w:t>u</w:t>
                  </w:r>
                  <w:r>
                    <w:rPr>
                      <w:rFonts w:cs="Georgia"/>
                      <w:color w:val="000000"/>
                      <w:spacing w:val="7"/>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1"/>
                    </w:rPr>
                    <w:t>n</w:t>
                  </w:r>
                  <w:r>
                    <w:rPr>
                      <w:rFonts w:cs="Georgia"/>
                      <w:color w:val="000000"/>
                    </w:rPr>
                    <w:t>s</w:t>
                  </w:r>
                  <w:r>
                    <w:rPr>
                      <w:rFonts w:cs="Georgia"/>
                      <w:color w:val="000000"/>
                      <w:spacing w:val="8"/>
                    </w:rPr>
                    <w:t xml:space="preserve"> </w:t>
                  </w:r>
                  <w:r>
                    <w:rPr>
                      <w:rFonts w:cs="Georgia"/>
                      <w:color w:val="000000"/>
                      <w:spacing w:val="-1"/>
                    </w:rPr>
                    <w:t>é</w:t>
                  </w:r>
                  <w:r>
                    <w:rPr>
                      <w:rFonts w:cs="Georgia"/>
                      <w:color w:val="000000"/>
                    </w:rPr>
                    <w:t>g</w:t>
                  </w:r>
                  <w:r>
                    <w:rPr>
                      <w:rFonts w:cs="Georgia"/>
                      <w:color w:val="000000"/>
                      <w:spacing w:val="-3"/>
                    </w:rPr>
                    <w:t>a</w:t>
                  </w:r>
                  <w:r>
                    <w:rPr>
                      <w:rFonts w:cs="Georgia"/>
                      <w:color w:val="000000"/>
                      <w:spacing w:val="-1"/>
                    </w:rPr>
                    <w:t>l</w:t>
                  </w:r>
                  <w:r>
                    <w:rPr>
                      <w:rFonts w:cs="Georgia"/>
                      <w:color w:val="000000"/>
                    </w:rPr>
                    <w:t>e</w:t>
                  </w:r>
                  <w:r>
                    <w:rPr>
                      <w:rFonts w:cs="Georgia"/>
                      <w:color w:val="000000"/>
                      <w:spacing w:val="6"/>
                    </w:rPr>
                    <w:t xml:space="preserve"> </w:t>
                  </w:r>
                  <w:r>
                    <w:rPr>
                      <w:rFonts w:cs="Georgia"/>
                      <w:color w:val="000000"/>
                    </w:rPr>
                    <w:t>à</w:t>
                  </w:r>
                  <w:r>
                    <w:rPr>
                      <w:rFonts w:cs="Georgia"/>
                      <w:color w:val="000000"/>
                      <w:spacing w:val="6"/>
                    </w:rPr>
                    <w:t xml:space="preserve"> </w:t>
                  </w:r>
                  <w:r>
                    <w:rPr>
                      <w:rFonts w:cs="Georgia"/>
                      <w:color w:val="000000"/>
                    </w:rPr>
                    <w:t>60</w:t>
                  </w:r>
                  <w:r>
                    <w:rPr>
                      <w:rFonts w:cs="Georgia"/>
                      <w:color w:val="000000"/>
                      <w:spacing w:val="8"/>
                    </w:rPr>
                    <w:t xml:space="preserve"> </w:t>
                  </w:r>
                  <w:r>
                    <w:rPr>
                      <w:rFonts w:cs="Georgia"/>
                      <w:color w:val="000000"/>
                    </w:rPr>
                    <w:t>% d'un</w:t>
                  </w:r>
                  <w:r>
                    <w:rPr>
                      <w:rFonts w:cs="Georgia"/>
                      <w:color w:val="000000"/>
                      <w:spacing w:val="-1"/>
                    </w:rPr>
                    <w:t xml:space="preserve"> h</w:t>
                  </w:r>
                  <w:r>
                    <w:rPr>
                      <w:rFonts w:cs="Georgia"/>
                      <w:color w:val="000000"/>
                      <w:spacing w:val="1"/>
                    </w:rPr>
                    <w:t>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le</w:t>
                  </w:r>
                  <w:r>
                    <w:rPr>
                      <w:rFonts w:cs="Georgia"/>
                      <w:color w:val="000000"/>
                      <w:spacing w:val="1"/>
                    </w:rPr>
                    <w:t>t</w:t>
                  </w:r>
                  <w:r>
                    <w:rPr>
                      <w:rFonts w:cs="Georgia"/>
                      <w:color w:val="000000"/>
                    </w:rPr>
                    <w:t>.</w:t>
                  </w:r>
                  <w:r>
                    <w:rPr>
                      <w:rFonts w:cs="Georgia"/>
                      <w:color w:val="000000"/>
                      <w:spacing w:val="1"/>
                    </w:rPr>
                    <w:t xml:space="preserve"> (</w:t>
                  </w:r>
                  <w:hyperlink r:id="rId156" w:history="1">
                    <w:r>
                      <w:rPr>
                        <w:rFonts w:cs="Georgia"/>
                        <w:color w:val="0000FF"/>
                        <w:spacing w:val="-2"/>
                        <w:u w:val="single"/>
                      </w:rPr>
                      <w:t>A</w:t>
                    </w:r>
                    <w:r>
                      <w:rPr>
                        <w:rFonts w:cs="Georgia"/>
                        <w:color w:val="0000FF"/>
                        <w:spacing w:val="1"/>
                        <w:u w:val="single"/>
                      </w:rPr>
                      <w:t>rr</w:t>
                    </w:r>
                    <w:r>
                      <w:rPr>
                        <w:rFonts w:cs="Georgia"/>
                        <w:color w:val="0000FF"/>
                        <w:spacing w:val="-1"/>
                        <w:u w:val="single"/>
                      </w:rPr>
                      <w:t>ê</w:t>
                    </w:r>
                    <w:r>
                      <w:rPr>
                        <w:rFonts w:cs="Georgia"/>
                        <w:color w:val="0000FF"/>
                        <w:spacing w:val="1"/>
                        <w:u w:val="single"/>
                      </w:rPr>
                      <w:t>té</w:t>
                    </w:r>
                    <w:r>
                      <w:rPr>
                        <w:rFonts w:cs="Georgia"/>
                        <w:color w:val="0000FF"/>
                        <w:spacing w:val="-2"/>
                        <w:u w:val="single"/>
                      </w:rPr>
                      <w:t xml:space="preserve"> r</w:t>
                    </w:r>
                    <w:r>
                      <w:rPr>
                        <w:rFonts w:cs="Georgia"/>
                        <w:color w:val="0000FF"/>
                        <w:spacing w:val="1"/>
                        <w:u w:val="single"/>
                      </w:rPr>
                      <w:t>o</w:t>
                    </w:r>
                    <w:r>
                      <w:rPr>
                        <w:rFonts w:cs="Georgia"/>
                        <w:color w:val="0000FF"/>
                        <w:spacing w:val="-1"/>
                        <w:u w:val="single"/>
                      </w:rPr>
                      <w:t>ya</w:t>
                    </w:r>
                    <w:r>
                      <w:rPr>
                        <w:rFonts w:cs="Georgia"/>
                        <w:color w:val="0000FF"/>
                        <w:u w:val="single"/>
                      </w:rPr>
                      <w:t>l</w:t>
                    </w:r>
                    <w:r>
                      <w:rPr>
                        <w:rFonts w:cs="Georgia"/>
                        <w:color w:val="0000FF"/>
                        <w:spacing w:val="-1"/>
                        <w:u w:val="single"/>
                      </w:rPr>
                      <w:t xml:space="preserve"> n</w:t>
                    </w:r>
                    <w:r>
                      <w:rPr>
                        <w:rFonts w:cs="Georgia"/>
                        <w:color w:val="0000FF"/>
                        <w:spacing w:val="1"/>
                        <w:u w:val="single"/>
                      </w:rPr>
                      <w:t>°</w:t>
                    </w:r>
                    <w:r>
                      <w:rPr>
                        <w:rFonts w:cs="Georgia"/>
                        <w:color w:val="0000FF"/>
                        <w:spacing w:val="-1"/>
                        <w:u w:val="single"/>
                      </w:rPr>
                      <w:t>2</w:t>
                    </w:r>
                    <w:r>
                      <w:rPr>
                        <w:rFonts w:cs="Georgia"/>
                        <w:color w:val="0000FF"/>
                        <w:u w:val="single"/>
                      </w:rPr>
                      <w:t>97</w:t>
                    </w:r>
                    <w:r>
                      <w:rPr>
                        <w:rFonts w:cs="Georgia"/>
                        <w:color w:val="0000FF"/>
                        <w:spacing w:val="-1"/>
                        <w:u w:val="single"/>
                      </w:rPr>
                      <w:t xml:space="preserve"> </w:t>
                    </w:r>
                    <w:r>
                      <w:rPr>
                        <w:rFonts w:cs="Georgia"/>
                        <w:color w:val="0000FF"/>
                        <w:u w:val="single"/>
                      </w:rPr>
                      <w:t xml:space="preserve">du </w:t>
                    </w:r>
                    <w:r>
                      <w:rPr>
                        <w:rFonts w:cs="Georgia"/>
                        <w:color w:val="0000FF"/>
                        <w:spacing w:val="-2"/>
                        <w:u w:val="single"/>
                      </w:rPr>
                      <w:t>3</w:t>
                    </w:r>
                    <w:r>
                      <w:rPr>
                        <w:rFonts w:cs="Georgia"/>
                        <w:color w:val="0000FF"/>
                        <w:u w:val="single"/>
                      </w:rPr>
                      <w:t>1</w:t>
                    </w:r>
                    <w:r>
                      <w:rPr>
                        <w:rFonts w:cs="Georgia"/>
                        <w:color w:val="0000FF"/>
                        <w:spacing w:val="-2"/>
                        <w:u w:val="single"/>
                      </w:rPr>
                      <w:t xml:space="preserve"> </w:t>
                    </w:r>
                    <w:r>
                      <w:rPr>
                        <w:rFonts w:cs="Georgia"/>
                        <w:color w:val="0000FF"/>
                        <w:u w:val="single"/>
                      </w:rPr>
                      <w:t>m</w:t>
                    </w:r>
                    <w:r>
                      <w:rPr>
                        <w:rFonts w:cs="Georgia"/>
                        <w:color w:val="0000FF"/>
                        <w:spacing w:val="-1"/>
                        <w:u w:val="single"/>
                      </w:rPr>
                      <w:t>a</w:t>
                    </w:r>
                    <w:r>
                      <w:rPr>
                        <w:rFonts w:cs="Georgia"/>
                        <w:color w:val="0000FF"/>
                        <w:spacing w:val="1"/>
                        <w:u w:val="single"/>
                      </w:rPr>
                      <w:t>rs</w:t>
                    </w:r>
                    <w:r>
                      <w:rPr>
                        <w:rFonts w:cs="Georgia"/>
                        <w:color w:val="0000FF"/>
                        <w:u w:val="single"/>
                      </w:rPr>
                      <w:t xml:space="preserve"> </w:t>
                    </w:r>
                    <w:r>
                      <w:rPr>
                        <w:rFonts w:cs="Georgia"/>
                        <w:color w:val="0000FF"/>
                        <w:spacing w:val="1"/>
                        <w:u w:val="single"/>
                      </w:rPr>
                      <w:t>1</w:t>
                    </w:r>
                    <w:r>
                      <w:rPr>
                        <w:rFonts w:cs="Georgia"/>
                        <w:color w:val="0000FF"/>
                        <w:spacing w:val="-3"/>
                        <w:u w:val="single"/>
                      </w:rPr>
                      <w:t>9</w:t>
                    </w:r>
                    <w:r>
                      <w:rPr>
                        <w:rFonts w:cs="Georgia"/>
                        <w:color w:val="0000FF"/>
                        <w:u w:val="single"/>
                      </w:rPr>
                      <w:t>8</w:t>
                    </w:r>
                    <w:r>
                      <w:rPr>
                        <w:rFonts w:cs="Georgia"/>
                        <w:color w:val="0000FF"/>
                        <w:spacing w:val="-2"/>
                        <w:u w:val="single"/>
                      </w:rPr>
                      <w:t>4</w:t>
                    </w:r>
                  </w:hyperlink>
                  <w:r>
                    <w:rPr>
                      <w:rFonts w:cs="Georgia"/>
                      <w:color w:val="000000"/>
                    </w:rPr>
                    <w:t>).</w:t>
                  </w:r>
                </w:p>
                <w:p w:rsidR="00F04EEF" w:rsidRDefault="00F04EEF">
                  <w:pPr>
                    <w:widowControl w:val="0"/>
                    <w:autoSpaceDE w:val="0"/>
                    <w:autoSpaceDN w:val="0"/>
                    <w:adjustRightInd w:val="0"/>
                    <w:spacing w:before="11"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w:t>
                  </w:r>
                  <w:r>
                    <w:rPr>
                      <w:rFonts w:cs="Georgia"/>
                      <w:color w:val="000000"/>
                    </w:rPr>
                    <w:t>e</w:t>
                  </w:r>
                  <w:r>
                    <w:rPr>
                      <w:rFonts w:cs="Georgia"/>
                      <w:color w:val="000000"/>
                      <w:spacing w:val="1"/>
                    </w:rPr>
                    <w:t xml:space="preserve"> c</w:t>
                  </w:r>
                  <w:r>
                    <w:rPr>
                      <w:rFonts w:cs="Georgia"/>
                      <w:color w:val="000000"/>
                      <w:spacing w:val="-1"/>
                    </w:rPr>
                    <w:t>a</w:t>
                  </w:r>
                  <w:r>
                    <w:rPr>
                      <w:rFonts w:cs="Georgia"/>
                      <w:color w:val="000000"/>
                    </w:rPr>
                    <w:t>d</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u</w:t>
                  </w:r>
                  <w:r>
                    <w:rPr>
                      <w:rFonts w:cs="Georgia"/>
                      <w:color w:val="000000"/>
                      <w:spacing w:val="-1"/>
                    </w:rPr>
                    <w:t>a</w:t>
                  </w:r>
                  <w:r>
                    <w:rPr>
                      <w:rFonts w:cs="Georgia"/>
                      <w:color w:val="000000"/>
                      <w:spacing w:val="1"/>
                    </w:rPr>
                    <w:t>tr</w:t>
                  </w:r>
                  <w:r>
                    <w:rPr>
                      <w:rFonts w:cs="Georgia"/>
                      <w:color w:val="000000"/>
                    </w:rPr>
                    <w:t>e</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rPr>
                    <w:t>d</w:t>
                  </w:r>
                  <w:r>
                    <w:rPr>
                      <w:rFonts w:cs="Georgia"/>
                      <w:color w:val="000000"/>
                      <w:spacing w:val="-1"/>
                    </w:rPr>
                    <w:t>a</w:t>
                  </w:r>
                  <w:r>
                    <w:rPr>
                      <w:rFonts w:cs="Georgia"/>
                      <w:color w:val="000000"/>
                    </w:rPr>
                    <w:t>g</w:t>
                  </w:r>
                  <w:r>
                    <w:rPr>
                      <w:rFonts w:cs="Georgia"/>
                      <w:color w:val="000000"/>
                      <w:spacing w:val="-1"/>
                    </w:rPr>
                    <w:t>o</w:t>
                  </w:r>
                  <w:r>
                    <w:rPr>
                      <w:rFonts w:cs="Georgia"/>
                      <w:color w:val="000000"/>
                    </w:rPr>
                    <w:t>gi</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a</w:t>
                  </w:r>
                  <w:r>
                    <w:rPr>
                      <w:rFonts w:cs="Georgia"/>
                      <w:color w:val="000000"/>
                    </w:rPr>
                    <w:t>d</w:t>
                  </w:r>
                  <w:r>
                    <w:rPr>
                      <w:rFonts w:cs="Georgia"/>
                      <w:color w:val="000000"/>
                      <w:spacing w:val="-1"/>
                    </w:rPr>
                    <w:t>a</w:t>
                  </w:r>
                  <w:r>
                    <w:rPr>
                      <w:rFonts w:cs="Georgia"/>
                      <w:color w:val="000000"/>
                      <w:spacing w:val="1"/>
                    </w:rPr>
                    <w:t>pt</w:t>
                  </w:r>
                  <w:r>
                    <w:rPr>
                      <w:rFonts w:cs="Georgia"/>
                      <w:color w:val="000000"/>
                      <w:spacing w:val="-1"/>
                    </w:rPr>
                    <w:t>ée</w:t>
                  </w:r>
                  <w:r>
                    <w:rPr>
                      <w:rFonts w:cs="Georgia"/>
                      <w:color w:val="000000"/>
                      <w:spacing w:val="1"/>
                    </w:rPr>
                    <w:t>s</w:t>
                  </w:r>
                  <w:r>
                    <w:rPr>
                      <w:rFonts w:cs="Georgia"/>
                      <w:color w:val="000000"/>
                    </w:rPr>
                    <w:t xml:space="preserve">, </w:t>
                  </w:r>
                  <w:r>
                    <w:rPr>
                      <w:rFonts w:cs="Georgia"/>
                      <w:color w:val="000000"/>
                      <w:spacing w:val="1"/>
                    </w:rPr>
                    <w:t>p</w:t>
                  </w:r>
                  <w:r>
                    <w:rPr>
                      <w:rFonts w:cs="Georgia"/>
                      <w:color w:val="000000"/>
                      <w:spacing w:val="-1"/>
                    </w:rPr>
                    <w:t>a</w:t>
                  </w:r>
                  <w:r>
                    <w:rPr>
                      <w:rFonts w:cs="Georgia"/>
                      <w:color w:val="000000"/>
                    </w:rPr>
                    <w:t>r d</w:t>
                  </w:r>
                  <w:r>
                    <w:rPr>
                      <w:rFonts w:cs="Georgia"/>
                      <w:color w:val="000000"/>
                      <w:spacing w:val="-1"/>
                    </w:rPr>
                    <w:t>é</w:t>
                  </w:r>
                  <w:r>
                    <w:rPr>
                      <w:rFonts w:cs="Georgia"/>
                      <w:color w:val="000000"/>
                      <w:spacing w:val="1"/>
                    </w:rPr>
                    <w:t>ro</w:t>
                  </w:r>
                  <w:r>
                    <w:rPr>
                      <w:rFonts w:cs="Georgia"/>
                      <w:color w:val="000000"/>
                    </w:rPr>
                    <w:t>g</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spacing w:val="-1"/>
                    </w:rPr>
                    <w:t>l</w:t>
                  </w:r>
                  <w:r>
                    <w:rPr>
                      <w:rFonts w:cs="Georgia"/>
                      <w:color w:val="000000"/>
                    </w:rPr>
                    <w:t>a</w:t>
                  </w:r>
                  <w:r>
                    <w:rPr>
                      <w:rFonts w:cs="Georgia"/>
                      <w:color w:val="000000"/>
                      <w:spacing w:val="4"/>
                    </w:rPr>
                    <w:t xml:space="preserve"> </w:t>
                  </w:r>
                  <w:r>
                    <w:rPr>
                      <w:rFonts w:cs="Georgia"/>
                      <w:color w:val="000000"/>
                      <w:spacing w:val="1"/>
                    </w:rPr>
                    <w:t>r</w:t>
                  </w:r>
                  <w:r>
                    <w:rPr>
                      <w:rFonts w:cs="Georgia"/>
                      <w:color w:val="000000"/>
                      <w:spacing w:val="-1"/>
                    </w:rPr>
                    <w:t>è</w:t>
                  </w:r>
                  <w:r>
                    <w:rPr>
                      <w:rFonts w:cs="Georgia"/>
                      <w:color w:val="000000"/>
                    </w:rPr>
                    <w:t>g</w:t>
                  </w:r>
                  <w:r>
                    <w:rPr>
                      <w:rFonts w:cs="Georgia"/>
                      <w:color w:val="000000"/>
                      <w:spacing w:val="-1"/>
                    </w:rPr>
                    <w:t>l</w:t>
                  </w:r>
                  <w:r>
                    <w:rPr>
                      <w:rFonts w:cs="Georgia"/>
                      <w:color w:val="000000"/>
                    </w:rPr>
                    <w:t>e</w:t>
                  </w:r>
                  <w:r>
                    <w:rPr>
                      <w:rFonts w:cs="Georgia"/>
                      <w:color w:val="000000"/>
                      <w:spacing w:val="1"/>
                    </w:rPr>
                    <w:t xml:space="preserve"> s</w:t>
                  </w:r>
                  <w:r>
                    <w:rPr>
                      <w:rFonts w:cs="Georgia"/>
                      <w:color w:val="000000"/>
                    </w:rPr>
                    <w:t>u</w:t>
                  </w:r>
                  <w:r>
                    <w:rPr>
                      <w:rFonts w:cs="Georgia"/>
                      <w:color w:val="000000"/>
                      <w:spacing w:val="1"/>
                    </w:rPr>
                    <w:t>s</w:t>
                  </w:r>
                  <w:r>
                    <w:rPr>
                      <w:rFonts w:cs="Georgia"/>
                      <w:color w:val="000000"/>
                    </w:rPr>
                    <w:t>m</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nnée</w:t>
                  </w:r>
                  <w:r>
                    <w:rPr>
                      <w:rFonts w:cs="Georgia"/>
                      <w:color w:val="000000"/>
                    </w:rPr>
                    <w:t>,</w:t>
                  </w:r>
                  <w:r>
                    <w:rPr>
                      <w:rFonts w:cs="Georgia"/>
                      <w:color w:val="000000"/>
                      <w:spacing w:val="3"/>
                    </w:rPr>
                    <w:t xml:space="preserve"> </w:t>
                  </w:r>
                  <w:r>
                    <w:rPr>
                      <w:rFonts w:cs="Georgia"/>
                      <w:color w:val="000000"/>
                      <w:spacing w:val="-1"/>
                    </w:rPr>
                    <w:t>l</w:t>
                  </w:r>
                  <w:r>
                    <w:rPr>
                      <w:rFonts w:cs="Georgia"/>
                      <w:color w:val="000000"/>
                    </w:rPr>
                    <w:t>a</w:t>
                  </w:r>
                  <w:r>
                    <w:rPr>
                      <w:rFonts w:cs="Georgia"/>
                      <w:color w:val="000000"/>
                      <w:spacing w:val="1"/>
                    </w:rPr>
                    <w:t xml:space="preserve"> 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de c</w:t>
                  </w:r>
                  <w:r>
                    <w:rPr>
                      <w:rFonts w:cs="Georgia"/>
                      <w:color w:val="000000"/>
                      <w:spacing w:val="1"/>
                    </w:rPr>
                    <w:t>o</w:t>
                  </w:r>
                  <w:r>
                    <w:rPr>
                      <w:rFonts w:cs="Georgia"/>
                      <w:color w:val="000000"/>
                      <w:spacing w:val="-1"/>
                    </w:rPr>
                    <w:t>n</w:t>
                  </w:r>
                  <w:r>
                    <w:rPr>
                      <w:rFonts w:cs="Georgia"/>
                      <w:color w:val="000000"/>
                      <w:spacing w:val="1"/>
                    </w:rPr>
                    <w:t>s</w:t>
                  </w:r>
                  <w:r>
                    <w:rPr>
                      <w:rFonts w:cs="Georgia"/>
                      <w:color w:val="000000"/>
                      <w:spacing w:val="-1"/>
                    </w:rPr>
                    <w:t>a</w:t>
                  </w:r>
                  <w:r>
                    <w:rPr>
                      <w:rFonts w:cs="Georgia"/>
                      <w:color w:val="000000"/>
                      <w:spacing w:val="-2"/>
                    </w:rPr>
                    <w:t>c</w:t>
                  </w:r>
                  <w:r>
                    <w:rPr>
                      <w:rFonts w:cs="Georgia"/>
                      <w:color w:val="000000"/>
                      <w:spacing w:val="1"/>
                    </w:rPr>
                    <w:t>r</w:t>
                  </w:r>
                  <w:r>
                    <w:rPr>
                      <w:rFonts w:cs="Georgia"/>
                      <w:color w:val="000000"/>
                      <w:spacing w:val="-1"/>
                    </w:rPr>
                    <w:t>é</w:t>
                  </w:r>
                  <w:r>
                    <w:rPr>
                      <w:rFonts w:cs="Georgia"/>
                      <w:color w:val="000000"/>
                    </w:rPr>
                    <w:t>e</w:t>
                  </w:r>
                  <w:r>
                    <w:rPr>
                      <w:rFonts w:cs="Georgia"/>
                      <w:color w:val="000000"/>
                      <w:spacing w:val="3"/>
                    </w:rPr>
                    <w:t xml:space="preserve"> </w:t>
                  </w:r>
                  <w:r>
                    <w:rPr>
                      <w:rFonts w:cs="Georgia"/>
                      <w:color w:val="000000"/>
                    </w:rPr>
                    <w:t>à</w:t>
                  </w:r>
                  <w:r>
                    <w:rPr>
                      <w:rFonts w:cs="Georgia"/>
                      <w:color w:val="000000"/>
                      <w:spacing w:val="3"/>
                    </w:rPr>
                    <w:t xml:space="preserve"> </w:t>
                  </w:r>
                  <w:r>
                    <w:rPr>
                      <w:rFonts w:cs="Georgia"/>
                      <w:color w:val="000000"/>
                      <w:spacing w:val="-1"/>
                    </w:rPr>
                    <w:t>l</w:t>
                  </w:r>
                  <w:r>
                    <w:rPr>
                      <w:rFonts w:cs="Georgia"/>
                      <w:color w:val="000000"/>
                    </w:rPr>
                    <w:t>a</w:t>
                  </w:r>
                  <w:r>
                    <w:rPr>
                      <w:rFonts w:cs="Georgia"/>
                      <w:color w:val="000000"/>
                      <w:spacing w:val="3"/>
                    </w:rPr>
                    <w:t xml:space="preserve"> </w:t>
                  </w:r>
                  <w:r>
                    <w:rPr>
                      <w:rFonts w:cs="Georgia"/>
                      <w:color w:val="000000"/>
                    </w:rPr>
                    <w:t>guid</w:t>
                  </w:r>
                  <w:r>
                    <w:rPr>
                      <w:rFonts w:cs="Georgia"/>
                      <w:color w:val="000000"/>
                      <w:spacing w:val="-1"/>
                    </w:rPr>
                    <w:t>an</w:t>
                  </w:r>
                  <w:r>
                    <w:rPr>
                      <w:rFonts w:cs="Georgia"/>
                      <w:color w:val="000000"/>
                      <w:spacing w:val="1"/>
                    </w:rPr>
                    <w:t>c</w:t>
                  </w:r>
                  <w:r>
                    <w:rPr>
                      <w:rFonts w:cs="Georgia"/>
                      <w:color w:val="000000"/>
                    </w:rPr>
                    <w:t xml:space="preserve">e </w:t>
                  </w:r>
                  <w:r>
                    <w:rPr>
                      <w:rFonts w:cs="Georgia"/>
                      <w:color w:val="000000"/>
                      <w:spacing w:val="1"/>
                    </w:rPr>
                    <w:t>o</w:t>
                  </w:r>
                  <w:r>
                    <w:rPr>
                      <w:rFonts w:cs="Georgia"/>
                      <w:color w:val="000000"/>
                    </w:rPr>
                    <w:t>u</w:t>
                  </w:r>
                  <w:r>
                    <w:rPr>
                      <w:rFonts w:cs="Georgia"/>
                      <w:color w:val="000000"/>
                      <w:spacing w:val="4"/>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y</w:t>
                  </w:r>
                  <w:r>
                    <w:rPr>
                      <w:rFonts w:cs="Georgia"/>
                      <w:color w:val="000000"/>
                      <w:spacing w:val="1"/>
                    </w:rPr>
                    <w:t>c</w:t>
                  </w:r>
                  <w:r>
                    <w:rPr>
                      <w:rFonts w:cs="Georgia"/>
                      <w:color w:val="000000"/>
                      <w:spacing w:val="-1"/>
                    </w:rPr>
                    <w:t>la</w:t>
                  </w:r>
                  <w:r>
                    <w:rPr>
                      <w:rFonts w:cs="Georgia"/>
                      <w:color w:val="000000"/>
                    </w:rPr>
                    <w:t>ge</w:t>
                  </w:r>
                  <w:r>
                    <w:rPr>
                      <w:rFonts w:cs="Georgia"/>
                      <w:color w:val="000000"/>
                      <w:spacing w:val="3"/>
                    </w:rPr>
                    <w:t xml:space="preserve"> </w:t>
                  </w:r>
                  <w:r>
                    <w:rPr>
                      <w:rFonts w:cs="Georgia"/>
                      <w:color w:val="000000"/>
                      <w:spacing w:val="1"/>
                    </w:rPr>
                    <w:t>p</w:t>
                  </w:r>
                  <w:r>
                    <w:rPr>
                      <w:rFonts w:cs="Georgia"/>
                      <w:color w:val="000000"/>
                      <w:spacing w:val="-1"/>
                    </w:rPr>
                    <w:t>e</w:t>
                  </w:r>
                  <w:r>
                    <w:rPr>
                      <w:rFonts w:cs="Georgia"/>
                      <w:color w:val="000000"/>
                      <w:spacing w:val="-2"/>
                    </w:rPr>
                    <w:t>u</w:t>
                  </w:r>
                  <w:r>
                    <w:rPr>
                      <w:rFonts w:cs="Georgia"/>
                      <w:color w:val="000000"/>
                    </w:rPr>
                    <w:t>t</w:t>
                  </w:r>
                  <w:r>
                    <w:rPr>
                      <w:rFonts w:cs="Georgia"/>
                      <w:color w:val="000000"/>
                      <w:spacing w:val="5"/>
                    </w:rPr>
                    <w:t xml:space="preserve"> </w:t>
                  </w:r>
                  <w:r>
                    <w:rPr>
                      <w:rFonts w:cs="Georgia"/>
                      <w:color w:val="000000"/>
                      <w:spacing w:val="-1"/>
                    </w:rPr>
                    <w:t>ê</w:t>
                  </w:r>
                  <w:r>
                    <w:rPr>
                      <w:rFonts w:cs="Georgia"/>
                      <w:color w:val="000000"/>
                      <w:spacing w:val="1"/>
                    </w:rPr>
                    <w:t>t</w:t>
                  </w:r>
                  <w:r>
                    <w:rPr>
                      <w:rFonts w:cs="Georgia"/>
                      <w:color w:val="000000"/>
                      <w:spacing w:val="-2"/>
                    </w:rPr>
                    <w:t>r</w:t>
                  </w:r>
                  <w:r>
                    <w:rPr>
                      <w:rFonts w:cs="Georgia"/>
                      <w:color w:val="000000"/>
                    </w:rPr>
                    <w:t>e</w:t>
                  </w:r>
                  <w:r>
                    <w:rPr>
                      <w:rFonts w:cs="Georgia"/>
                      <w:color w:val="000000"/>
                      <w:spacing w:val="3"/>
                    </w:rPr>
                    <w:t xml:space="preserve"> </w:t>
                  </w:r>
                  <w:r>
                    <w:rPr>
                      <w:rFonts w:cs="Georgia"/>
                      <w:color w:val="000000"/>
                      <w:spacing w:val="-1"/>
                    </w:rPr>
                    <w:t>a</w:t>
                  </w:r>
                  <w:r>
                    <w:rPr>
                      <w:rFonts w:cs="Georgia"/>
                      <w:color w:val="000000"/>
                      <w:spacing w:val="1"/>
                    </w:rPr>
                    <w:t>ttr</w:t>
                  </w:r>
                  <w:r>
                    <w:rPr>
                      <w:rFonts w:cs="Georgia"/>
                      <w:color w:val="000000"/>
                      <w:spacing w:val="-2"/>
                    </w:rPr>
                    <w:t>i</w:t>
                  </w:r>
                  <w:r>
                    <w:rPr>
                      <w:rFonts w:cs="Georgia"/>
                      <w:color w:val="000000"/>
                      <w:spacing w:val="1"/>
                    </w:rPr>
                    <w:t>b</w:t>
                  </w:r>
                  <w:r>
                    <w:rPr>
                      <w:rFonts w:cs="Georgia"/>
                      <w:color w:val="000000"/>
                    </w:rPr>
                    <w:t>u</w:t>
                  </w:r>
                  <w:r>
                    <w:rPr>
                      <w:rFonts w:cs="Georgia"/>
                      <w:color w:val="000000"/>
                      <w:spacing w:val="-1"/>
                    </w:rPr>
                    <w:t>é</w:t>
                  </w:r>
                  <w:r>
                    <w:rPr>
                      <w:rFonts w:cs="Georgia"/>
                      <w:color w:val="000000"/>
                    </w:rPr>
                    <w:t>e</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3"/>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s</w:t>
                  </w:r>
                  <w:r>
                    <w:rPr>
                      <w:rFonts w:cs="Georgia"/>
                      <w:color w:val="000000"/>
                      <w:spacing w:val="5"/>
                    </w:rPr>
                    <w:t xml:space="preserve"> </w:t>
                  </w:r>
                  <w:r>
                    <w:rPr>
                      <w:rFonts w:cs="Georgia"/>
                      <w:color w:val="000000"/>
                    </w:rPr>
                    <w:t>du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spacing w:val="1"/>
                    </w:rPr>
                    <w:t>so</w:t>
                  </w:r>
                  <w:r>
                    <w:rPr>
                      <w:rFonts w:cs="Georgia"/>
                      <w:color w:val="000000"/>
                      <w:spacing w:val="-1"/>
                    </w:rPr>
                    <w:t>nne</w:t>
                  </w:r>
                  <w:r>
                    <w:rPr>
                      <w:rFonts w:cs="Georgia"/>
                      <w:color w:val="000000"/>
                    </w:rPr>
                    <w:t>l</w:t>
                  </w:r>
                  <w:r>
                    <w:rPr>
                      <w:rFonts w:cs="Georgia"/>
                      <w:color w:val="000000"/>
                      <w:spacing w:val="3"/>
                    </w:rPr>
                    <w:t xml:space="preserve"> </w:t>
                  </w:r>
                  <w:r>
                    <w:rPr>
                      <w:rFonts w:cs="Georgia"/>
                      <w:color w:val="000000"/>
                      <w:spacing w:val="1"/>
                    </w:rPr>
                    <w:t>t</w:t>
                  </w:r>
                  <w:r>
                    <w:rPr>
                      <w:rFonts w:cs="Georgia"/>
                      <w:color w:val="000000"/>
                    </w:rPr>
                    <w:t>i</w:t>
                  </w:r>
                  <w:r>
                    <w:rPr>
                      <w:rFonts w:cs="Georgia"/>
                      <w:color w:val="000000"/>
                      <w:spacing w:val="-2"/>
                    </w:rPr>
                    <w:t>t</w:t>
                  </w:r>
                  <w:r>
                    <w:rPr>
                      <w:rFonts w:cs="Georgia"/>
                      <w:color w:val="000000"/>
                    </w:rPr>
                    <w:t>u</w:t>
                  </w:r>
                  <w:r>
                    <w:rPr>
                      <w:rFonts w:cs="Georgia"/>
                      <w:color w:val="000000"/>
                      <w:spacing w:val="-1"/>
                    </w:rPr>
                    <w:t>la</w:t>
                  </w:r>
                  <w:r>
                    <w:rPr>
                      <w:rFonts w:cs="Georgia"/>
                      <w:color w:val="000000"/>
                    </w:rPr>
                    <w:t>i</w:t>
                  </w:r>
                  <w:r>
                    <w:rPr>
                      <w:rFonts w:cs="Georgia"/>
                      <w:color w:val="000000"/>
                      <w:spacing w:val="1"/>
                    </w:rPr>
                    <w:t>r</w:t>
                  </w:r>
                  <w:r>
                    <w:rPr>
                      <w:rFonts w:cs="Georgia"/>
                      <w:color w:val="000000"/>
                      <w:spacing w:val="-3"/>
                    </w:rPr>
                    <w:t>e</w:t>
                  </w:r>
                  <w:r>
                    <w:rPr>
                      <w:rFonts w:cs="Georgia"/>
                      <w:color w:val="000000"/>
                    </w:rPr>
                    <w:t>s d’u</w:t>
                  </w:r>
                  <w:r>
                    <w:rPr>
                      <w:rFonts w:cs="Georgia"/>
                      <w:color w:val="000000"/>
                      <w:spacing w:val="-1"/>
                    </w:rPr>
                    <w:t>n</w:t>
                  </w:r>
                  <w:r>
                    <w:rPr>
                      <w:rFonts w:cs="Georgia"/>
                      <w:color w:val="000000"/>
                    </w:rPr>
                    <w:t>e 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3"/>
                    </w:rPr>
                    <w:t>C</w:t>
                  </w:r>
                  <w:r>
                    <w:rPr>
                      <w:rFonts w:cs="Georgia"/>
                      <w:color w:val="000000"/>
                    </w:rPr>
                    <w:t>T,</w:t>
                  </w:r>
                  <w:r>
                    <w:rPr>
                      <w:rFonts w:cs="Georgia"/>
                      <w:color w:val="000000"/>
                      <w:spacing w:val="2"/>
                    </w:rPr>
                    <w:t xml:space="preserve"> </w:t>
                  </w:r>
                  <w:r>
                    <w:rPr>
                      <w:rFonts w:cs="Georgia"/>
                      <w:color w:val="000000"/>
                    </w:rPr>
                    <w:t>PP à</w:t>
                  </w:r>
                  <w:r>
                    <w:rPr>
                      <w:rFonts w:cs="Georgia"/>
                      <w:color w:val="000000"/>
                      <w:spacing w:val="1"/>
                    </w:rPr>
                    <w:t xml:space="preserve"> pr</w:t>
                  </w:r>
                  <w:r>
                    <w:rPr>
                      <w:rFonts w:cs="Georgia"/>
                      <w:color w:val="000000"/>
                      <w:spacing w:val="-1"/>
                    </w:rPr>
                    <w:t>e</w:t>
                  </w:r>
                  <w:r>
                    <w:rPr>
                      <w:rFonts w:cs="Georgia"/>
                      <w:color w:val="000000"/>
                      <w:spacing w:val="-2"/>
                    </w:rPr>
                    <w:t>s</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q</w:t>
                  </w:r>
                  <w:r>
                    <w:rPr>
                      <w:rFonts w:cs="Georgia"/>
                      <w:color w:val="000000"/>
                    </w:rPr>
                    <w:t>ui</w:t>
                  </w:r>
                  <w:r>
                    <w:rPr>
                      <w:rFonts w:cs="Georgia"/>
                      <w:color w:val="000000"/>
                      <w:spacing w:val="2"/>
                    </w:rPr>
                    <w:t xml:space="preserve"> </w:t>
                  </w:r>
                  <w:r>
                    <w:rPr>
                      <w:rFonts w:cs="Georgia"/>
                      <w:color w:val="000000"/>
                      <w:spacing w:val="-1"/>
                    </w:rPr>
                    <w:t>exe</w:t>
                  </w:r>
                  <w:r>
                    <w:rPr>
                      <w:rFonts w:cs="Georgia"/>
                      <w:color w:val="000000"/>
                      <w:spacing w:val="1"/>
                    </w:rPr>
                    <w:t>rc</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spacing w:val="-2"/>
                    </w:rPr>
                    <w:t>i</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60 %</w:t>
                  </w:r>
                  <w:r>
                    <w:rPr>
                      <w:rFonts w:cs="Georgia"/>
                      <w:color w:val="000000"/>
                      <w:spacing w:val="1"/>
                    </w:rPr>
                    <w:t xml:space="preserve"> </w:t>
                  </w:r>
                  <w:r>
                    <w:rPr>
                      <w:rFonts w:cs="Georgia"/>
                      <w:color w:val="000000"/>
                    </w:rPr>
                    <w:t xml:space="preserve">de </w:t>
                  </w:r>
                  <w:r>
                    <w:rPr>
                      <w:rFonts w:cs="Georgia"/>
                      <w:color w:val="000000"/>
                      <w:spacing w:val="-1"/>
                    </w:rPr>
                    <w:t>le</w:t>
                  </w:r>
                  <w:r>
                    <w:rPr>
                      <w:rFonts w:cs="Georgia"/>
                      <w:color w:val="000000"/>
                    </w:rPr>
                    <w:t>ur</w:t>
                  </w:r>
                  <w:r>
                    <w:rPr>
                      <w:rFonts w:cs="Georgia"/>
                      <w:color w:val="000000"/>
                      <w:spacing w:val="2"/>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1"/>
                    </w:rPr>
                    <w:t>n</w:t>
                  </w:r>
                  <w:r>
                    <w:rPr>
                      <w:rFonts w:cs="Georgia"/>
                      <w:color w:val="000000"/>
                    </w:rPr>
                    <w:t>d</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2"/>
                    </w:rPr>
                    <w:t>s</w:t>
                  </w:r>
                  <w:r>
                    <w:rPr>
                      <w:rFonts w:cs="Georgia"/>
                      <w:color w:val="000000"/>
                      <w:spacing w:val="1"/>
                    </w:rPr>
                    <w:t>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e</w:t>
                  </w:r>
                  <w:r>
                    <w:rPr>
                      <w:rFonts w:cs="Georgia"/>
                      <w:color w:val="000000"/>
                    </w:rPr>
                    <w:t xml:space="preserve">t </w:t>
                  </w:r>
                  <w:r>
                    <w:rPr>
                      <w:rFonts w:cs="Georgia"/>
                      <w:color w:val="000000"/>
                      <w:spacing w:val="-1"/>
                    </w:rPr>
                    <w:t>q</w:t>
                  </w:r>
                  <w:r>
                    <w:rPr>
                      <w:rFonts w:cs="Georgia"/>
                      <w:color w:val="000000"/>
                    </w:rPr>
                    <w:t>ui</w:t>
                  </w:r>
                  <w:r>
                    <w:rPr>
                      <w:rFonts w:cs="Georgia"/>
                      <w:color w:val="000000"/>
                      <w:spacing w:val="-3"/>
                    </w:rPr>
                    <w:t xml:space="preserve">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c</w:t>
                  </w:r>
                  <w:r>
                    <w:rPr>
                      <w:rFonts w:cs="Georgia"/>
                      <w:color w:val="000000"/>
                      <w:spacing w:val="-1"/>
                    </w:rPr>
                    <w:t>la</w:t>
                  </w:r>
                  <w:r>
                    <w:rPr>
                      <w:rFonts w:cs="Georgia"/>
                      <w:color w:val="000000"/>
                      <w:spacing w:val="-2"/>
                    </w:rPr>
                    <w:t>s</w:t>
                  </w:r>
                  <w:r>
                    <w:rPr>
                      <w:rFonts w:cs="Georgia"/>
                      <w:color w:val="000000"/>
                      <w:spacing w:val="1"/>
                    </w:rPr>
                    <w:t>s</w:t>
                  </w:r>
                  <w:r>
                    <w:rPr>
                      <w:rFonts w:cs="Georgia"/>
                      <w:color w:val="000000"/>
                      <w:spacing w:val="-1"/>
                    </w:rPr>
                    <w:t>e</w:t>
                  </w:r>
                  <w:r>
                    <w:rPr>
                      <w:rFonts w:cs="Georgia"/>
                      <w:color w:val="000000"/>
                      <w:spacing w:val="1"/>
                    </w:rPr>
                    <w:t>s.</w:t>
                  </w:r>
                </w:p>
                <w:p w:rsidR="00F04EEF" w:rsidRDefault="00F04EEF">
                  <w:pPr>
                    <w:widowControl w:val="0"/>
                    <w:autoSpaceDE w:val="0"/>
                    <w:autoSpaceDN w:val="0"/>
                    <w:adjustRightInd w:val="0"/>
                    <w:spacing w:before="11"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spacing w:val="1"/>
                    </w:rPr>
                    <w:t>L</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de di</w:t>
                  </w:r>
                  <w:r>
                    <w:rPr>
                      <w:rFonts w:cs="Georgia"/>
                      <w:color w:val="000000"/>
                      <w:spacing w:val="1"/>
                    </w:rPr>
                    <w:t>r</w:t>
                  </w:r>
                  <w:r>
                    <w:rPr>
                      <w:rFonts w:cs="Georgia"/>
                      <w:color w:val="000000"/>
                      <w:spacing w:val="-1"/>
                    </w:rPr>
                    <w:t>e</w:t>
                  </w:r>
                  <w:r>
                    <w:rPr>
                      <w:rFonts w:cs="Georgia"/>
                      <w:color w:val="000000"/>
                      <w:spacing w:val="-2"/>
                    </w:rPr>
                    <w:t>c</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de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 xml:space="preserve">e </w:t>
                  </w:r>
                  <w:r>
                    <w:rPr>
                      <w:rFonts w:cs="Georgia"/>
                      <w:color w:val="000000"/>
                      <w:spacing w:val="1"/>
                    </w:rPr>
                    <w:t>(</w:t>
                  </w:r>
                  <w:r>
                    <w:rPr>
                      <w:rFonts w:cs="Georgia"/>
                      <w:color w:val="000000"/>
                      <w:spacing w:val="-1"/>
                    </w:rPr>
                    <w:t>a</w:t>
                  </w:r>
                  <w:r>
                    <w:rPr>
                      <w:rFonts w:cs="Georgia"/>
                      <w:color w:val="000000"/>
                    </w:rPr>
                    <w:t>u</w:t>
                  </w:r>
                  <w:r>
                    <w:rPr>
                      <w:rFonts w:cs="Georgia"/>
                      <w:color w:val="000000"/>
                      <w:spacing w:val="-2"/>
                    </w:rPr>
                    <w:t>t</w:t>
                  </w:r>
                  <w:r>
                    <w:rPr>
                      <w:rFonts w:cs="Georgia"/>
                      <w:color w:val="000000"/>
                      <w:spacing w:val="1"/>
                    </w:rPr>
                    <w:t>r</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q</w:t>
                  </w:r>
                  <w:r>
                    <w:rPr>
                      <w:rFonts w:cs="Georgia"/>
                      <w:color w:val="000000"/>
                    </w:rPr>
                    <w:t xml:space="preserve">ue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ex</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w:t>
                  </w:r>
                  <w:r>
                    <w:rPr>
                      <w:rFonts w:cs="Georgia"/>
                      <w:color w:val="000000"/>
                    </w:rPr>
                    <w:t>,</w:t>
                  </w:r>
                  <w:r>
                    <w:rPr>
                      <w:rFonts w:cs="Georgia"/>
                      <w:color w:val="000000"/>
                      <w:spacing w:val="1"/>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s</w:t>
                  </w:r>
                  <w:r>
                    <w:rPr>
                      <w:rFonts w:cs="Georgia"/>
                      <w:color w:val="000000"/>
                      <w:spacing w:val="2"/>
                    </w:rPr>
                    <w:t xml:space="preserve"> </w:t>
                  </w:r>
                  <w:r>
                    <w:rPr>
                      <w:rFonts w:cs="Georgia"/>
                      <w:color w:val="000000"/>
                    </w:rPr>
                    <w:t xml:space="preserve">de </w:t>
                  </w:r>
                  <w:r>
                    <w:rPr>
                      <w:rFonts w:cs="Georgia"/>
                      <w:color w:val="000000"/>
                      <w:spacing w:val="1"/>
                    </w:rPr>
                    <w:t>co</w:t>
                  </w:r>
                  <w:r>
                    <w:rPr>
                      <w:rFonts w:cs="Georgia"/>
                      <w:color w:val="000000"/>
                      <w:spacing w:val="-3"/>
                    </w:rPr>
                    <w:t>n</w:t>
                  </w:r>
                  <w:r>
                    <w:rPr>
                      <w:rFonts w:cs="Georgia"/>
                      <w:color w:val="000000"/>
                      <w:spacing w:val="1"/>
                    </w:rPr>
                    <w:t>s</w:t>
                  </w:r>
                  <w:r>
                    <w:rPr>
                      <w:rFonts w:cs="Georgia"/>
                      <w:color w:val="000000"/>
                      <w:spacing w:val="-1"/>
                    </w:rPr>
                    <w:t>e</w:t>
                  </w:r>
                  <w:r>
                    <w:rPr>
                      <w:rFonts w:cs="Georgia"/>
                      <w:color w:val="000000"/>
                    </w:rPr>
                    <w:t>il de</w:t>
                  </w:r>
                  <w:r>
                    <w:rPr>
                      <w:rFonts w:cs="Georgia"/>
                      <w:color w:val="000000"/>
                      <w:spacing w:val="1"/>
                    </w:rPr>
                    <w:t xml:space="preserve"> c</w:t>
                  </w:r>
                  <w:r>
                    <w:rPr>
                      <w:rFonts w:cs="Georgia"/>
                      <w:color w:val="000000"/>
                      <w:spacing w:val="-1"/>
                    </w:rPr>
                    <w:t>la</w:t>
                  </w:r>
                  <w:r>
                    <w:rPr>
                      <w:rFonts w:cs="Georgia"/>
                      <w:color w:val="000000"/>
                      <w:spacing w:val="1"/>
                    </w:rPr>
                    <w:t>ss</w:t>
                  </w:r>
                  <w:r>
                    <w:rPr>
                      <w:rFonts w:cs="Georgia"/>
                      <w:color w:val="000000"/>
                    </w:rPr>
                    <w:t>e,</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2"/>
                    </w:rPr>
                    <w:t>d</w:t>
                  </w:r>
                  <w:r>
                    <w:rPr>
                      <w:rFonts w:cs="Georgia"/>
                      <w:color w:val="000000"/>
                    </w:rPr>
                    <w:t>e</w:t>
                  </w:r>
                  <w:r>
                    <w:rPr>
                      <w:rFonts w:cs="Georgia"/>
                      <w:color w:val="000000"/>
                      <w:spacing w:val="1"/>
                    </w:rPr>
                    <w:t xml:space="preserve"> </w:t>
                  </w:r>
                  <w:r>
                    <w:rPr>
                      <w:rFonts w:cs="Georgia"/>
                      <w:color w:val="000000"/>
                    </w:rPr>
                    <w:t>guid</w:t>
                  </w:r>
                  <w:r>
                    <w:rPr>
                      <w:rFonts w:cs="Georgia"/>
                      <w:color w:val="000000"/>
                      <w:spacing w:val="-1"/>
                    </w:rPr>
                    <w:t>an</w:t>
                  </w:r>
                  <w:r>
                    <w:rPr>
                      <w:rFonts w:cs="Georgia"/>
                      <w:color w:val="000000"/>
                    </w:rPr>
                    <w:t>ce</w:t>
                  </w:r>
                  <w:r>
                    <w:rPr>
                      <w:rFonts w:cs="Georgia"/>
                      <w:color w:val="000000"/>
                      <w:spacing w:val="1"/>
                    </w:rPr>
                    <w:t xml:space="preserve"> o</w:t>
                  </w:r>
                  <w:r>
                    <w:rPr>
                      <w:rFonts w:cs="Georgia"/>
                      <w:color w:val="000000"/>
                    </w:rPr>
                    <w:t>u de</w:t>
                  </w:r>
                  <w:r>
                    <w:rPr>
                      <w:rFonts w:cs="Georgia"/>
                      <w:color w:val="000000"/>
                      <w:spacing w:val="1"/>
                    </w:rPr>
                    <w:t xml:space="preserve"> r</w:t>
                  </w:r>
                  <w:r>
                    <w:rPr>
                      <w:rFonts w:cs="Georgia"/>
                      <w:color w:val="000000"/>
                      <w:spacing w:val="-1"/>
                    </w:rPr>
                    <w:t>e</w:t>
                  </w:r>
                  <w:r>
                    <w:rPr>
                      <w:rFonts w:cs="Georgia"/>
                      <w:color w:val="000000"/>
                    </w:rPr>
                    <w:t>c</w:t>
                  </w:r>
                  <w:r>
                    <w:rPr>
                      <w:rFonts w:cs="Georgia"/>
                      <w:color w:val="000000"/>
                      <w:spacing w:val="-1"/>
                    </w:rPr>
                    <w:t>y</w:t>
                  </w:r>
                  <w:r>
                    <w:rPr>
                      <w:rFonts w:cs="Georgia"/>
                      <w:color w:val="000000"/>
                    </w:rPr>
                    <w:t>c</w:t>
                  </w:r>
                  <w:r>
                    <w:rPr>
                      <w:rFonts w:cs="Georgia"/>
                      <w:color w:val="000000"/>
                      <w:spacing w:val="-3"/>
                    </w:rPr>
                    <w:t>l</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2"/>
                    </w:rPr>
                    <w:t>v</w:t>
                  </w:r>
                  <w:r>
                    <w:rPr>
                      <w:rFonts w:cs="Georgia"/>
                      <w:color w:val="000000"/>
                    </w:rPr>
                    <w:t>i</w:t>
                  </w:r>
                  <w:r>
                    <w:rPr>
                      <w:rFonts w:cs="Georgia"/>
                      <w:color w:val="000000"/>
                      <w:spacing w:val="1"/>
                    </w:rPr>
                    <w:t>s</w:t>
                  </w:r>
                  <w:r>
                    <w:rPr>
                      <w:rFonts w:cs="Georgia"/>
                      <w:color w:val="000000"/>
                      <w:spacing w:val="-1"/>
                    </w:rPr>
                    <w:t>ée</w:t>
                  </w:r>
                  <w:r>
                    <w:rPr>
                      <w:rFonts w:cs="Georgia"/>
                      <w:color w:val="000000"/>
                    </w:rPr>
                    <w:t>s</w:t>
                  </w:r>
                  <w:r>
                    <w:rPr>
                      <w:rFonts w:cs="Georgia"/>
                      <w:color w:val="000000"/>
                      <w:spacing w:val="2"/>
                    </w:rPr>
                    <w:t xml:space="preserve"> </w:t>
                  </w:r>
                  <w:r>
                    <w:rPr>
                      <w:rFonts w:cs="Georgia"/>
                      <w:color w:val="000000"/>
                      <w:spacing w:val="-1"/>
                    </w:rPr>
                    <w:t>a</w:t>
                  </w:r>
                  <w:r>
                    <w:rPr>
                      <w:rFonts w:cs="Georgia"/>
                      <w:color w:val="000000"/>
                    </w:rPr>
                    <w:t xml:space="preserve">u </w:t>
                  </w:r>
                  <w:r>
                    <w:rPr>
                      <w:rFonts w:cs="Georgia"/>
                      <w:color w:val="000000"/>
                      <w:spacing w:val="1"/>
                    </w:rPr>
                    <w:t>p</w:t>
                  </w:r>
                  <w:r>
                    <w:rPr>
                      <w:rFonts w:cs="Georgia"/>
                      <w:color w:val="000000"/>
                      <w:spacing w:val="-1"/>
                    </w:rPr>
                    <w:t>o</w:t>
                  </w:r>
                  <w:r>
                    <w:rPr>
                      <w:rFonts w:cs="Georgia"/>
                      <w:color w:val="000000"/>
                    </w:rPr>
                    <w:t>i</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c</w:t>
                  </w:r>
                  <w:r>
                    <w:rPr>
                      <w:rFonts w:cs="Georgia"/>
                      <w:color w:val="000000"/>
                    </w:rPr>
                    <w:t>i- d</w:t>
                  </w:r>
                  <w:r>
                    <w:rPr>
                      <w:rFonts w:cs="Georgia"/>
                      <w:color w:val="000000"/>
                      <w:spacing w:val="-1"/>
                    </w:rPr>
                    <w:t>e</w:t>
                  </w:r>
                  <w:r>
                    <w:rPr>
                      <w:rFonts w:cs="Georgia"/>
                      <w:color w:val="000000"/>
                      <w:spacing w:val="1"/>
                    </w:rPr>
                    <w:t>ss</w:t>
                  </w:r>
                  <w:r>
                    <w:rPr>
                      <w:rFonts w:cs="Georgia"/>
                      <w:color w:val="000000"/>
                    </w:rPr>
                    <w:t>u</w:t>
                  </w:r>
                  <w:r>
                    <w:rPr>
                      <w:rFonts w:cs="Georgia"/>
                      <w:color w:val="000000"/>
                      <w:spacing w:val="-2"/>
                    </w:rPr>
                    <w:t>s</w:t>
                  </w:r>
                  <w:r>
                    <w:rPr>
                      <w:rFonts w:cs="Georgia"/>
                      <w:color w:val="000000"/>
                    </w:rPr>
                    <w:t>)</w:t>
                  </w:r>
                  <w:r>
                    <w:rPr>
                      <w:rFonts w:cs="Georgia"/>
                      <w:color w:val="000000"/>
                      <w:spacing w:val="1"/>
                    </w:rPr>
                    <w:t xml:space="preserve"> </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spacing w:val="1"/>
                    </w:rPr>
                    <w:t>rt</w:t>
                  </w:r>
                  <w:r>
                    <w:rPr>
                      <w:rFonts w:cs="Georgia"/>
                      <w:color w:val="000000"/>
                      <w:spacing w:val="-2"/>
                    </w:rPr>
                    <w:t>i</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s</w:t>
                  </w:r>
                  <w:r>
                    <w:rPr>
                      <w:rFonts w:cs="Georgia"/>
                      <w:color w:val="000000"/>
                    </w:rPr>
                    <w:t>.</w:t>
                  </w:r>
                </w:p>
                <w:p w:rsidR="00F04EEF" w:rsidRDefault="00F04EEF">
                  <w:pPr>
                    <w:widowControl w:val="0"/>
                    <w:autoSpaceDE w:val="0"/>
                    <w:autoSpaceDN w:val="0"/>
                    <w:adjustRightInd w:val="0"/>
                    <w:spacing w:line="250" w:lineRule="exact"/>
                    <w:jc w:val="both"/>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spacing w:val="1"/>
                    </w:rPr>
                    <w:t>L</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de di</w:t>
                  </w:r>
                  <w:r>
                    <w:rPr>
                      <w:rFonts w:cs="Georgia"/>
                      <w:color w:val="000000"/>
                      <w:spacing w:val="1"/>
                    </w:rPr>
                    <w:t>r</w:t>
                  </w:r>
                  <w:r>
                    <w:rPr>
                      <w:rFonts w:cs="Georgia"/>
                      <w:color w:val="000000"/>
                      <w:spacing w:val="-1"/>
                    </w:rPr>
                    <w:t>e</w:t>
                  </w:r>
                  <w:r>
                    <w:rPr>
                      <w:rFonts w:cs="Georgia"/>
                      <w:color w:val="000000"/>
                    </w:rPr>
                    <w:t>c</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 de c</w:t>
                  </w:r>
                  <w:r>
                    <w:rPr>
                      <w:rFonts w:cs="Georgia"/>
                      <w:color w:val="000000"/>
                      <w:spacing w:val="-1"/>
                    </w:rPr>
                    <w:t>la</w:t>
                  </w:r>
                  <w:r>
                    <w:rPr>
                      <w:rFonts w:cs="Georgia"/>
                      <w:color w:val="000000"/>
                      <w:spacing w:val="1"/>
                    </w:rPr>
                    <w:t>ss</w:t>
                  </w:r>
                  <w:r>
                    <w:rPr>
                      <w:rFonts w:cs="Georgia"/>
                      <w:color w:val="000000"/>
                      <w:spacing w:val="-1"/>
                    </w:rPr>
                    <w:t>e</w:t>
                  </w:r>
                  <w:r>
                    <w:rPr>
                      <w:rFonts w:cs="Georgia"/>
                      <w:color w:val="000000"/>
                    </w:rPr>
                    <w:t>,</w:t>
                  </w:r>
                  <w:r>
                    <w:rPr>
                      <w:rFonts w:cs="Georgia"/>
                      <w:color w:val="000000"/>
                      <w:spacing w:val="1"/>
                    </w:rPr>
                    <w:t xml:space="preserve"> </w:t>
                  </w:r>
                  <w:r>
                    <w:rPr>
                      <w:rFonts w:cs="Georgia"/>
                      <w:color w:val="000000"/>
                    </w:rPr>
                    <w:t>gu</w:t>
                  </w:r>
                  <w:r>
                    <w:rPr>
                      <w:rFonts w:cs="Georgia"/>
                      <w:color w:val="000000"/>
                      <w:spacing w:val="-2"/>
                    </w:rPr>
                    <w:t>i</w:t>
                  </w:r>
                  <w:r>
                    <w:rPr>
                      <w:rFonts w:cs="Georgia"/>
                      <w:color w:val="000000"/>
                    </w:rPr>
                    <w:t>d</w:t>
                  </w:r>
                  <w:r>
                    <w:rPr>
                      <w:rFonts w:cs="Georgia"/>
                      <w:color w:val="000000"/>
                      <w:spacing w:val="-1"/>
                    </w:rPr>
                    <w:t>an</w:t>
                  </w:r>
                  <w:r>
                    <w:rPr>
                      <w:rFonts w:cs="Georgia"/>
                      <w:color w:val="000000"/>
                    </w:rPr>
                    <w:t xml:space="preserve">ce </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rPr>
                    <w:t>c</w:t>
                  </w:r>
                  <w:r>
                    <w:rPr>
                      <w:rFonts w:cs="Georgia"/>
                      <w:color w:val="000000"/>
                      <w:spacing w:val="-1"/>
                    </w:rPr>
                    <w:t>y</w:t>
                  </w:r>
                  <w:r>
                    <w:rPr>
                      <w:rFonts w:cs="Georgia"/>
                      <w:color w:val="000000"/>
                    </w:rPr>
                    <w:t>c</w:t>
                  </w:r>
                  <w:r>
                    <w:rPr>
                      <w:rFonts w:cs="Georgia"/>
                      <w:color w:val="000000"/>
                      <w:spacing w:val="-1"/>
                    </w:rPr>
                    <w:t>la</w:t>
                  </w:r>
                  <w:r>
                    <w:rPr>
                      <w:rFonts w:cs="Georgia"/>
                      <w:color w:val="000000"/>
                    </w:rPr>
                    <w:t xml:space="preserve">ge </w:t>
                  </w:r>
                  <w:r>
                    <w:rPr>
                      <w:rFonts w:cs="Georgia"/>
                      <w:color w:val="000000"/>
                      <w:spacing w:val="1"/>
                    </w:rPr>
                    <w:t>so</w:t>
                  </w:r>
                  <w:r>
                    <w:rPr>
                      <w:rFonts w:cs="Georgia"/>
                      <w:color w:val="000000"/>
                      <w:spacing w:val="-1"/>
                    </w:rPr>
                    <w:t>n</w:t>
                  </w:r>
                  <w:r>
                    <w:rPr>
                      <w:rFonts w:cs="Georgia"/>
                      <w:color w:val="000000"/>
                    </w:rPr>
                    <w:t xml:space="preserve">t </w:t>
                  </w:r>
                  <w:r>
                    <w:rPr>
                      <w:rFonts w:cs="Georgia"/>
                      <w:color w:val="000000"/>
                      <w:spacing w:val="1"/>
                    </w:rPr>
                    <w:t>co</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1"/>
                    </w:rPr>
                    <w:t>t</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de</w:t>
                  </w:r>
                  <w:r>
                    <w:rPr>
                      <w:rFonts w:cs="Georgia"/>
                      <w:color w:val="000000"/>
                      <w:spacing w:val="-1"/>
                    </w:rPr>
                    <w:t xml:space="preserve"> l</w:t>
                  </w:r>
                  <w:r>
                    <w:rPr>
                      <w:rFonts w:cs="Georgia"/>
                      <w:color w:val="000000"/>
                    </w:rPr>
                    <w:t>a</w:t>
                  </w:r>
                  <w:r>
                    <w:rPr>
                      <w:rFonts w:cs="Georgia"/>
                      <w:color w:val="000000"/>
                      <w:spacing w:val="-1"/>
                    </w:rPr>
                    <w:t xml:space="preserve"> </w:t>
                  </w:r>
                  <w:r>
                    <w:rPr>
                      <w:rFonts w:cs="Georgia"/>
                      <w:color w:val="000000"/>
                      <w:spacing w:val="1"/>
                    </w:rPr>
                    <w:t>ch</w:t>
                  </w:r>
                  <w:r>
                    <w:rPr>
                      <w:rFonts w:cs="Georgia"/>
                      <w:color w:val="000000"/>
                      <w:spacing w:val="-1"/>
                    </w:rPr>
                    <w:t>a</w:t>
                  </w:r>
                  <w:r>
                    <w:rPr>
                      <w:rFonts w:cs="Georgia"/>
                      <w:color w:val="000000"/>
                      <w:spacing w:val="1"/>
                    </w:rPr>
                    <w:t>r</w:t>
                  </w:r>
                  <w:r>
                    <w:rPr>
                      <w:rFonts w:cs="Georgia"/>
                      <w:color w:val="000000"/>
                    </w:rPr>
                    <w:t>ge</w:t>
                  </w:r>
                  <w:r>
                    <w:rPr>
                      <w:rFonts w:cs="Georgia"/>
                      <w:color w:val="000000"/>
                      <w:spacing w:val="-4"/>
                    </w:rPr>
                    <w:t xml:space="preserve"> </w:t>
                  </w:r>
                  <w:r>
                    <w:rPr>
                      <w:rFonts w:cs="Georgia"/>
                      <w:color w:val="000000"/>
                    </w:rPr>
                    <w:t>du</w:t>
                  </w:r>
                  <w:r>
                    <w:rPr>
                      <w:rFonts w:cs="Georgia"/>
                      <w:color w:val="000000"/>
                      <w:spacing w:val="-1"/>
                    </w:rPr>
                    <w:t xml:space="preserve"> </w:t>
                  </w:r>
                  <w:r>
                    <w:rPr>
                      <w:rFonts w:cs="Georgia"/>
                      <w:color w:val="000000"/>
                      <w:spacing w:val="1"/>
                    </w:rPr>
                    <w:t>pr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spacing w:val="-2"/>
                    </w:rPr>
                    <w:t>u</w:t>
                  </w:r>
                  <w:r>
                    <w:rPr>
                      <w:rFonts w:cs="Georgia"/>
                      <w:color w:val="000000"/>
                    </w:rPr>
                    <w:t xml:space="preserve">r </w:t>
                  </w:r>
                  <w:r>
                    <w:rPr>
                      <w:rFonts w:cs="Georgia"/>
                      <w:color w:val="000000"/>
                      <w:spacing w:val="-1"/>
                    </w:rPr>
                    <w:t>a</w:t>
                  </w:r>
                  <w:r>
                    <w:rPr>
                      <w:rFonts w:cs="Georgia"/>
                      <w:color w:val="000000"/>
                    </w:rPr>
                    <w:t>u m</w:t>
                  </w:r>
                  <w:r>
                    <w:rPr>
                      <w:rFonts w:cs="Georgia"/>
                      <w:color w:val="000000"/>
                      <w:spacing w:val="-1"/>
                    </w:rPr>
                    <w:t>ê</w:t>
                  </w:r>
                  <w:r>
                    <w:rPr>
                      <w:rFonts w:cs="Georgia"/>
                      <w:color w:val="000000"/>
                    </w:rPr>
                    <w:t>me</w:t>
                  </w:r>
                  <w:r>
                    <w:rPr>
                      <w:rFonts w:cs="Georgia"/>
                      <w:color w:val="000000"/>
                      <w:spacing w:val="-1"/>
                    </w:rPr>
                    <w:t xml:space="preserve"> </w:t>
                  </w:r>
                  <w:r>
                    <w:rPr>
                      <w:rFonts w:cs="Georgia"/>
                      <w:color w:val="000000"/>
                      <w:spacing w:val="1"/>
                    </w:rPr>
                    <w:t>t</w:t>
                  </w:r>
                  <w:r>
                    <w:rPr>
                      <w:rFonts w:cs="Georgia"/>
                      <w:color w:val="000000"/>
                    </w:rPr>
                    <w:t>i</w:t>
                  </w:r>
                  <w:r>
                    <w:rPr>
                      <w:rFonts w:cs="Georgia"/>
                      <w:color w:val="000000"/>
                      <w:spacing w:val="1"/>
                    </w:rPr>
                    <w:t>tr</w:t>
                  </w:r>
                  <w:r>
                    <w:rPr>
                      <w:rFonts w:cs="Georgia"/>
                      <w:color w:val="000000"/>
                    </w:rPr>
                    <w:t>e</w:t>
                  </w:r>
                  <w:r>
                    <w:rPr>
                      <w:rFonts w:cs="Georgia"/>
                      <w:color w:val="000000"/>
                      <w:spacing w:val="-1"/>
                    </w:rPr>
                    <w:t xml:space="preserve"> q</w:t>
                  </w:r>
                  <w:r>
                    <w:rPr>
                      <w:rFonts w:cs="Georgia"/>
                      <w:color w:val="000000"/>
                    </w:rPr>
                    <w:t>ue</w:t>
                  </w:r>
                  <w:r>
                    <w:rPr>
                      <w:rFonts w:cs="Georgia"/>
                      <w:color w:val="000000"/>
                      <w:spacing w:val="-1"/>
                    </w:rPr>
                    <w:t xml:space="preserve"> se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 de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u</w:t>
                  </w:r>
                  <w:r>
                    <w:rPr>
                      <w:rFonts w:cs="Georgia"/>
                      <w:color w:val="000000"/>
                      <w:spacing w:val="-2"/>
                    </w:rPr>
                    <w:t>r</w:t>
                  </w:r>
                  <w:r>
                    <w:rPr>
                      <w:rFonts w:cs="Georgia"/>
                      <w:color w:val="000000"/>
                      <w:spacing w:val="1"/>
                    </w:rPr>
                    <w:t>s</w:t>
                  </w:r>
                  <w:r>
                    <w:rPr>
                      <w:rFonts w:cs="Georgia"/>
                      <w:color w:val="000000"/>
                    </w:rPr>
                    <w:t>.</w:t>
                  </w:r>
                </w:p>
                <w:p w:rsidR="00F04EEF" w:rsidRDefault="00F04EEF">
                  <w:pPr>
                    <w:widowControl w:val="0"/>
                    <w:autoSpaceDE w:val="0"/>
                    <w:autoSpaceDN w:val="0"/>
                    <w:adjustRightInd w:val="0"/>
                    <w:spacing w:line="250" w:lineRule="exact"/>
                    <w:jc w:val="both"/>
                    <w:rPr>
                      <w:rFonts w:cs="Georgia"/>
                      <w:color w:val="000000"/>
                    </w:rPr>
                  </w:pPr>
                </w:p>
                <w:p w:rsidR="00F04EEF" w:rsidRDefault="0099351E">
                  <w:pPr>
                    <w:widowControl w:val="0"/>
                    <w:autoSpaceDE w:val="0"/>
                    <w:autoSpaceDN w:val="0"/>
                    <w:adjustRightInd w:val="0"/>
                    <w:spacing w:line="250" w:lineRule="exact"/>
                    <w:jc w:val="both"/>
                    <w:rPr>
                      <w:rFonts w:cs="Georgia"/>
                      <w:color w:val="000000"/>
                      <w:spacing w:val="-1"/>
                    </w:rPr>
                  </w:pP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c</w:t>
                  </w:r>
                  <w:r>
                    <w:rPr>
                      <w:rFonts w:cs="Georgia"/>
                      <w:color w:val="000000"/>
                      <w:spacing w:val="-1"/>
                    </w:rPr>
                    <w:t>a</w:t>
                  </w:r>
                  <w:r>
                    <w:rPr>
                      <w:rFonts w:cs="Georgia"/>
                      <w:color w:val="000000"/>
                    </w:rPr>
                    <w:t>s</w:t>
                  </w:r>
                  <w:r>
                    <w:rPr>
                      <w:rFonts w:cs="Georgia"/>
                      <w:color w:val="000000"/>
                      <w:spacing w:val="2"/>
                    </w:rPr>
                    <w:t xml:space="preserve"> </w:t>
                  </w:r>
                  <w:r>
                    <w:rPr>
                      <w:rFonts w:cs="Georgia"/>
                      <w:color w:val="000000"/>
                      <w:spacing w:val="-1"/>
                    </w:rPr>
                    <w:t>é</w:t>
                  </w:r>
                  <w:r>
                    <w:rPr>
                      <w:rFonts w:cs="Georgia"/>
                      <w:color w:val="000000"/>
                      <w:spacing w:val="-2"/>
                    </w:rPr>
                    <w:t>c</w:t>
                  </w:r>
                  <w:r>
                    <w:rPr>
                      <w:rFonts w:cs="Georgia"/>
                      <w:color w:val="000000"/>
                      <w:spacing w:val="1"/>
                    </w:rPr>
                    <w:t>h</w:t>
                  </w:r>
                  <w:r>
                    <w:rPr>
                      <w:rFonts w:cs="Georgia"/>
                      <w:color w:val="000000"/>
                      <w:spacing w:val="-1"/>
                    </w:rPr>
                    <w:t>éan</w:t>
                  </w:r>
                  <w:r>
                    <w:rPr>
                      <w:rFonts w:cs="Georgia"/>
                      <w:color w:val="000000"/>
                      <w:spacing w:val="1"/>
                    </w:rPr>
                    <w:t>t</w:t>
                  </w:r>
                  <w:r>
                    <w:rPr>
                      <w:rFonts w:cs="Georgia"/>
                      <w:color w:val="000000"/>
                    </w:rPr>
                    <w:t>,</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h</w:t>
                  </w:r>
                  <w:r>
                    <w:rPr>
                      <w:rFonts w:cs="Georgia"/>
                      <w:color w:val="000000"/>
                      <w:spacing w:val="-1"/>
                    </w:rPr>
                    <w:t>e</w:t>
                  </w:r>
                  <w:r>
                    <w:rPr>
                      <w:rFonts w:cs="Georgia"/>
                      <w:color w:val="000000"/>
                    </w:rPr>
                    <w:t>u</w:t>
                  </w:r>
                  <w:r>
                    <w:rPr>
                      <w:rFonts w:cs="Georgia"/>
                      <w:color w:val="000000"/>
                      <w:spacing w:val="1"/>
                    </w:rPr>
                    <w:t>r</w:t>
                  </w:r>
                  <w:r>
                    <w:rPr>
                      <w:rFonts w:cs="Georgia"/>
                      <w:color w:val="000000"/>
                    </w:rPr>
                    <w:t>e de</w:t>
                  </w:r>
                  <w:r>
                    <w:rPr>
                      <w:rFonts w:cs="Georgia"/>
                      <w:color w:val="000000"/>
                      <w:spacing w:val="2"/>
                    </w:rPr>
                    <w:t xml:space="preserve"> </w:t>
                  </w:r>
                  <w:r>
                    <w:rPr>
                      <w:rFonts w:cs="Georgia"/>
                      <w:color w:val="000000"/>
                    </w:rPr>
                    <w:t>gu</w:t>
                  </w:r>
                  <w:r>
                    <w:rPr>
                      <w:rFonts w:cs="Georgia"/>
                      <w:color w:val="000000"/>
                      <w:spacing w:val="-2"/>
                    </w:rPr>
                    <w:t>i</w:t>
                  </w:r>
                  <w:r>
                    <w:rPr>
                      <w:rFonts w:cs="Georgia"/>
                      <w:color w:val="000000"/>
                    </w:rPr>
                    <w:t>d</w:t>
                  </w:r>
                  <w:r>
                    <w:rPr>
                      <w:rFonts w:cs="Georgia"/>
                      <w:color w:val="000000"/>
                      <w:spacing w:val="-1"/>
                    </w:rPr>
                    <w:t>an</w:t>
                  </w:r>
                  <w:r>
                    <w:rPr>
                      <w:rFonts w:cs="Georgia"/>
                      <w:color w:val="000000"/>
                      <w:spacing w:val="1"/>
                    </w:rPr>
                    <w:t>c</w:t>
                  </w:r>
                  <w:r>
                    <w:rPr>
                      <w:rFonts w:cs="Georgia"/>
                      <w:color w:val="000000"/>
                    </w:rPr>
                    <w:t>e</w:t>
                  </w:r>
                  <w:r>
                    <w:rPr>
                      <w:rFonts w:cs="Georgia"/>
                      <w:color w:val="000000"/>
                      <w:spacing w:val="2"/>
                    </w:rPr>
                    <w:t xml:space="preserve"> </w:t>
                  </w:r>
                  <w:r>
                    <w:rPr>
                      <w:rFonts w:cs="Georgia"/>
                      <w:color w:val="000000"/>
                      <w:spacing w:val="-1"/>
                    </w:rPr>
                    <w:t>o</w:t>
                  </w:r>
                  <w:r>
                    <w:rPr>
                      <w:rFonts w:cs="Georgia"/>
                      <w:color w:val="000000"/>
                    </w:rPr>
                    <w:t>u</w:t>
                  </w:r>
                  <w:r>
                    <w:rPr>
                      <w:rFonts w:cs="Georgia"/>
                      <w:color w:val="000000"/>
                      <w:spacing w:val="1"/>
                    </w:rPr>
                    <w:t xml:space="preserve"> </w:t>
                  </w:r>
                  <w:r>
                    <w:rPr>
                      <w:rFonts w:cs="Georgia"/>
                      <w:color w:val="000000"/>
                    </w:rPr>
                    <w:t>de</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y</w:t>
                  </w:r>
                  <w:r>
                    <w:rPr>
                      <w:rFonts w:cs="Georgia"/>
                      <w:color w:val="000000"/>
                      <w:spacing w:val="-2"/>
                    </w:rPr>
                    <w:t>c</w:t>
                  </w:r>
                  <w:r>
                    <w:rPr>
                      <w:rFonts w:cs="Georgia"/>
                      <w:color w:val="000000"/>
                      <w:spacing w:val="-1"/>
                    </w:rPr>
                    <w:t>la</w:t>
                  </w:r>
                  <w:r>
                    <w:rPr>
                      <w:rFonts w:cs="Georgia"/>
                      <w:color w:val="000000"/>
                    </w:rPr>
                    <w:t>ge</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rPr>
                    <w:t>m</w:t>
                  </w:r>
                  <w:r>
                    <w:rPr>
                      <w:rFonts w:cs="Georgia"/>
                      <w:color w:val="000000"/>
                      <w:spacing w:val="-1"/>
                    </w:rPr>
                    <w:t>e</w:t>
                  </w:r>
                  <w:r>
                    <w:rPr>
                      <w:rFonts w:cs="Georgia"/>
                      <w:color w:val="000000"/>
                      <w:spacing w:val="1"/>
                    </w:rPr>
                    <w:t>ttr</w:t>
                  </w:r>
                  <w:r>
                    <w:rPr>
                      <w:rFonts w:cs="Georgia"/>
                      <w:color w:val="000000"/>
                    </w:rPr>
                    <w:t>e d</w:t>
                  </w:r>
                  <w:r>
                    <w:rPr>
                      <w:rFonts w:cs="Georgia"/>
                      <w:color w:val="000000"/>
                      <w:spacing w:val="1"/>
                    </w:rPr>
                    <w:t>'</w:t>
                  </w:r>
                  <w:r>
                    <w:rPr>
                      <w:rFonts w:cs="Georgia"/>
                      <w:color w:val="000000"/>
                      <w:spacing w:val="-1"/>
                    </w:rPr>
                    <w:t>a</w:t>
                  </w:r>
                  <w:r>
                    <w:rPr>
                      <w:rFonts w:cs="Georgia"/>
                      <w:color w:val="000000"/>
                      <w:spacing w:val="-2"/>
                    </w:rPr>
                    <w:t>t</w:t>
                  </w:r>
                  <w:r>
                    <w:rPr>
                      <w:rFonts w:cs="Georgia"/>
                      <w:color w:val="000000"/>
                      <w:spacing w:val="1"/>
                    </w:rPr>
                    <w:t>t</w:t>
                  </w:r>
                  <w:r>
                    <w:rPr>
                      <w:rFonts w:cs="Georgia"/>
                      <w:color w:val="000000"/>
                      <w:spacing w:val="-1"/>
                    </w:rPr>
                    <w:t>e</w:t>
                  </w:r>
                  <w:r>
                    <w:rPr>
                      <w:rFonts w:cs="Georgia"/>
                      <w:color w:val="000000"/>
                    </w:rPr>
                    <w:t>i</w:t>
                  </w:r>
                  <w:r>
                    <w:rPr>
                      <w:rFonts w:cs="Georgia"/>
                      <w:color w:val="000000"/>
                      <w:spacing w:val="-1"/>
                    </w:rPr>
                    <w:t>n</w:t>
                  </w:r>
                  <w:r>
                    <w:rPr>
                      <w:rFonts w:cs="Georgia"/>
                      <w:color w:val="000000"/>
                    </w:rPr>
                    <w:t>d</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rPr>
                    <w:t>mi</w:t>
                  </w:r>
                  <w:r>
                    <w:rPr>
                      <w:rFonts w:cs="Georgia"/>
                      <w:color w:val="000000"/>
                      <w:spacing w:val="-1"/>
                    </w:rPr>
                    <w:t>n</w:t>
                  </w:r>
                  <w:r>
                    <w:rPr>
                      <w:rFonts w:cs="Georgia"/>
                      <w:color w:val="000000"/>
                      <w:spacing w:val="-2"/>
                    </w:rPr>
                    <w:t>i</w:t>
                  </w:r>
                  <w:r>
                    <w:rPr>
                      <w:rFonts w:cs="Georgia"/>
                      <w:color w:val="000000"/>
                    </w:rPr>
                    <w:t>mum</w:t>
                  </w:r>
                  <w:r>
                    <w:rPr>
                      <w:rFonts w:cs="Georgia"/>
                      <w:color w:val="000000"/>
                      <w:spacing w:val="1"/>
                    </w:rPr>
                    <w:t xml:space="preserve"> </w:t>
                  </w:r>
                  <w:r>
                    <w:rPr>
                      <w:rFonts w:cs="Georgia"/>
                      <w:color w:val="000000"/>
                      <w:spacing w:val="-2"/>
                    </w:rPr>
                    <w:t>d</w:t>
                  </w:r>
                  <w:r>
                    <w:rPr>
                      <w:rFonts w:cs="Georgia"/>
                      <w:color w:val="000000"/>
                    </w:rPr>
                    <w:t xml:space="preserve">e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 xml:space="preserve">s </w:t>
                  </w:r>
                  <w:r>
                    <w:rPr>
                      <w:rFonts w:cs="Georgia"/>
                      <w:color w:val="000000"/>
                      <w:spacing w:val="-1"/>
                    </w:rPr>
                    <w:t>ex</w:t>
                  </w:r>
                  <w:r>
                    <w:rPr>
                      <w:rFonts w:cs="Georgia"/>
                      <w:color w:val="000000"/>
                    </w:rPr>
                    <w:t>igé</w:t>
                  </w:r>
                  <w:r>
                    <w:rPr>
                      <w:rFonts w:cs="Georgia"/>
                      <w:color w:val="000000"/>
                      <w:spacing w:val="-1"/>
                    </w:rPr>
                    <w:t xml:space="preserve">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2"/>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ch</w:t>
                  </w:r>
                  <w:r>
                    <w:rPr>
                      <w:rFonts w:cs="Georgia"/>
                      <w:color w:val="000000"/>
                      <w:spacing w:val="-1"/>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spacing w:val="-1"/>
                    </w:rPr>
                    <w:t>e.</w:t>
                  </w:r>
                </w:p>
                <w:p w:rsidR="00F04EEF" w:rsidRDefault="00F04EEF">
                  <w:pPr>
                    <w:widowControl w:val="0"/>
                    <w:autoSpaceDE w:val="0"/>
                    <w:autoSpaceDN w:val="0"/>
                    <w:adjustRightInd w:val="0"/>
                    <w:spacing w:line="250" w:lineRule="exact"/>
                    <w:jc w:val="both"/>
                    <w:rPr>
                      <w:rFonts w:cs="Georgia"/>
                      <w:color w:val="000000"/>
                      <w:spacing w:val="-1"/>
                    </w:rPr>
                  </w:pPr>
                </w:p>
                <w:p w:rsidR="00F04EEF" w:rsidRDefault="0099351E">
                  <w:pPr>
                    <w:pStyle w:val="Titre5"/>
                  </w:pPr>
                  <w:bookmarkStart w:id="1955" w:name="_2.3.3._Maximum_de"/>
                  <w:bookmarkEnd w:id="1955"/>
                  <w:r>
                    <w:t xml:space="preserve">2.3.3. Maximum de périodes attribuables à un même professeur </w:t>
                  </w:r>
                </w:p>
                <w:p w:rsidR="00F04EEF" w:rsidRDefault="00F04EEF">
                  <w:pPr>
                    <w:widowControl w:val="0"/>
                    <w:autoSpaceDE w:val="0"/>
                    <w:autoSpaceDN w:val="0"/>
                    <w:adjustRightInd w:val="0"/>
                    <w:spacing w:before="15"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spacing w:val="-1"/>
                    </w:rPr>
                    <w:t>Mê</w:t>
                  </w:r>
                  <w:r>
                    <w:rPr>
                      <w:rFonts w:cs="Georgia"/>
                      <w:color w:val="000000"/>
                    </w:rPr>
                    <w:t xml:space="preserve">me </w:t>
                  </w:r>
                  <w:r>
                    <w:rPr>
                      <w:rFonts w:cs="Georgia"/>
                      <w:color w:val="000000"/>
                      <w:spacing w:val="1"/>
                    </w:rPr>
                    <w:t>s'</w:t>
                  </w:r>
                  <w:r>
                    <w:rPr>
                      <w:rFonts w:cs="Georgia"/>
                      <w:color w:val="000000"/>
                    </w:rPr>
                    <w:t xml:space="preserve">il </w:t>
                  </w:r>
                  <w:r>
                    <w:rPr>
                      <w:rFonts w:cs="Georgia"/>
                      <w:color w:val="000000"/>
                      <w:spacing w:val="-1"/>
                    </w:rPr>
                    <w:t>exe</w:t>
                  </w:r>
                  <w:r>
                    <w:rPr>
                      <w:rFonts w:cs="Georgia"/>
                      <w:color w:val="000000"/>
                      <w:spacing w:val="1"/>
                    </w:rPr>
                    <w:t>rc</w:t>
                  </w:r>
                  <w:r>
                    <w:rPr>
                      <w:rFonts w:cs="Georgia"/>
                      <w:color w:val="000000"/>
                    </w:rPr>
                    <w:t>e d</w:t>
                  </w:r>
                  <w:r>
                    <w:rPr>
                      <w:rFonts w:cs="Georgia"/>
                      <w:color w:val="000000"/>
                      <w:spacing w:val="-1"/>
                    </w:rPr>
                    <w:t>e</w:t>
                  </w:r>
                  <w:r>
                    <w:rPr>
                      <w:rFonts w:cs="Georgia"/>
                      <w:color w:val="000000"/>
                    </w:rPr>
                    <w:t>s</w:t>
                  </w:r>
                  <w:r>
                    <w:rPr>
                      <w:rFonts w:cs="Georgia"/>
                      <w:color w:val="000000"/>
                      <w:spacing w:val="1"/>
                    </w:rPr>
                    <w:t xml:space="preserve"> ch</w:t>
                  </w:r>
                  <w:r>
                    <w:rPr>
                      <w:rFonts w:cs="Georgia"/>
                      <w:color w:val="000000"/>
                      <w:spacing w:val="-1"/>
                    </w:rPr>
                    <w:t>a</w:t>
                  </w:r>
                  <w:r>
                    <w:rPr>
                      <w:rFonts w:cs="Georgia"/>
                      <w:color w:val="000000"/>
                      <w:spacing w:val="1"/>
                    </w:rPr>
                    <w:t>r</w:t>
                  </w:r>
                  <w:r>
                    <w:rPr>
                      <w:rFonts w:cs="Georgia"/>
                      <w:color w:val="000000"/>
                    </w:rPr>
                    <w:t>g</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1"/>
                    </w:rPr>
                    <w:t xml:space="preserve"> p</w:t>
                  </w:r>
                  <w:r>
                    <w:rPr>
                      <w:rFonts w:cs="Georgia"/>
                      <w:color w:val="000000"/>
                      <w:spacing w:val="-1"/>
                    </w:rPr>
                    <w:t>l</w:t>
                  </w:r>
                  <w:r>
                    <w:rPr>
                      <w:rFonts w:cs="Georgia"/>
                      <w:color w:val="000000"/>
                      <w:spacing w:val="-2"/>
                    </w:rPr>
                    <w:t>u</w:t>
                  </w:r>
                  <w:r>
                    <w:rPr>
                      <w:rFonts w:cs="Georgia"/>
                      <w:color w:val="000000"/>
                      <w:spacing w:val="1"/>
                    </w:rPr>
                    <w:t>s</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rPr>
                    <w:t>s</w:t>
                  </w:r>
                  <w:r>
                    <w:rPr>
                      <w:rFonts w:cs="Georgia"/>
                      <w:color w:val="000000"/>
                      <w:spacing w:val="1"/>
                    </w:rPr>
                    <w:t xml:space="preserve"> </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ts</w:t>
                  </w:r>
                  <w:r>
                    <w:rPr>
                      <w:rFonts w:cs="Georgia"/>
                      <w:color w:val="000000"/>
                    </w:rPr>
                    <w:t>,</w:t>
                  </w:r>
                  <w:r>
                    <w:rPr>
                      <w:rFonts w:cs="Georgia"/>
                      <w:color w:val="000000"/>
                      <w:spacing w:val="1"/>
                    </w:rPr>
                    <w:t xml:space="preserve"> </w:t>
                  </w:r>
                  <w:r>
                    <w:rPr>
                      <w:rFonts w:cs="Georgia"/>
                      <w:color w:val="000000"/>
                    </w:rPr>
                    <w:t>un m</w:t>
                  </w:r>
                  <w:r>
                    <w:rPr>
                      <w:rFonts w:cs="Georgia"/>
                      <w:color w:val="000000"/>
                      <w:spacing w:val="-1"/>
                    </w:rPr>
                    <w:t>ê</w:t>
                  </w:r>
                  <w:r>
                    <w:rPr>
                      <w:rFonts w:cs="Georgia"/>
                      <w:color w:val="000000"/>
                    </w:rPr>
                    <w:t xml:space="preserve">me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rPr>
                    <w:t>ur</w:t>
                  </w:r>
                  <w:r>
                    <w:rPr>
                      <w:rFonts w:cs="Georgia"/>
                      <w:color w:val="000000"/>
                      <w:spacing w:val="1"/>
                    </w:rPr>
                    <w:t xml:space="preserve"> </w:t>
                  </w:r>
                  <w:r>
                    <w:rPr>
                      <w:rFonts w:cs="Georgia"/>
                      <w:color w:val="000000"/>
                      <w:spacing w:val="-1"/>
                    </w:rPr>
                    <w:t>n</w:t>
                  </w:r>
                  <w:r>
                    <w:rPr>
                      <w:rFonts w:cs="Georgia"/>
                      <w:color w:val="000000"/>
                    </w:rPr>
                    <w:t xml:space="preserve">e </w:t>
                  </w:r>
                  <w:r>
                    <w:rPr>
                      <w:rFonts w:cs="Georgia"/>
                      <w:color w:val="000000"/>
                      <w:spacing w:val="1"/>
                    </w:rPr>
                    <w:t>p</w:t>
                  </w:r>
                  <w:r>
                    <w:rPr>
                      <w:rFonts w:cs="Georgia"/>
                      <w:color w:val="000000"/>
                      <w:spacing w:val="-1"/>
                    </w:rPr>
                    <w:t>e</w:t>
                  </w:r>
                  <w:r>
                    <w:rPr>
                      <w:rFonts w:cs="Georgia"/>
                      <w:color w:val="000000"/>
                    </w:rPr>
                    <w:t>ut</w:t>
                  </w:r>
                  <w:r>
                    <w:rPr>
                      <w:rFonts w:cs="Georgia"/>
                      <w:color w:val="000000"/>
                      <w:spacing w:val="1"/>
                    </w:rPr>
                    <w:t xml:space="preserve"> t</w:t>
                  </w:r>
                  <w:r>
                    <w:rPr>
                      <w:rFonts w:cs="Georgia"/>
                      <w:color w:val="000000"/>
                      <w:spacing w:val="-1"/>
                    </w:rPr>
                    <w:t>o</w:t>
                  </w:r>
                  <w:r>
                    <w:rPr>
                      <w:rFonts w:cs="Georgia"/>
                      <w:color w:val="000000"/>
                      <w:spacing w:val="1"/>
                    </w:rPr>
                    <w:t>t</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e</w:t>
                  </w:r>
                  <w:r>
                    <w:rPr>
                      <w:rFonts w:cs="Georgia"/>
                      <w:color w:val="000000"/>
                    </w:rPr>
                    <w:t xml:space="preserve">r </w:t>
                  </w:r>
                  <w:r>
                    <w:rPr>
                      <w:rFonts w:cs="Georgia"/>
                      <w:color w:val="000000"/>
                      <w:spacing w:val="-1"/>
                    </w:rPr>
                    <w:t>a</w:t>
                  </w:r>
                  <w:r>
                    <w:rPr>
                      <w:rFonts w:cs="Georgia"/>
                      <w:color w:val="000000"/>
                    </w:rPr>
                    <w:t>u</w:t>
                  </w:r>
                  <w:r>
                    <w:rPr>
                      <w:rFonts w:cs="Georgia"/>
                      <w:color w:val="000000"/>
                      <w:spacing w:val="2"/>
                    </w:rPr>
                    <w:t xml:space="preserve"> </w:t>
                  </w:r>
                  <w:r>
                    <w:rPr>
                      <w:rFonts w:cs="Georgia"/>
                      <w:b/>
                      <w:color w:val="000000"/>
                    </w:rPr>
                    <w:t>m</w:t>
                  </w:r>
                  <w:r>
                    <w:rPr>
                      <w:rFonts w:cs="Georgia"/>
                      <w:b/>
                      <w:color w:val="000000"/>
                      <w:spacing w:val="-1"/>
                    </w:rPr>
                    <w:t>ax</w:t>
                  </w:r>
                  <w:r>
                    <w:rPr>
                      <w:rFonts w:cs="Georgia"/>
                      <w:b/>
                      <w:color w:val="000000"/>
                    </w:rPr>
                    <w:t>imum</w:t>
                  </w:r>
                  <w:r>
                    <w:rPr>
                      <w:rFonts w:cs="Georgia"/>
                      <w:b/>
                      <w:color w:val="000000"/>
                      <w:spacing w:val="2"/>
                    </w:rPr>
                    <w:t xml:space="preserve"> </w:t>
                  </w:r>
                  <w:r>
                    <w:rPr>
                      <w:rFonts w:cs="Georgia"/>
                      <w:b/>
                      <w:color w:val="000000"/>
                      <w:spacing w:val="-1"/>
                    </w:rPr>
                    <w:t>q</w:t>
                  </w:r>
                  <w:r>
                    <w:rPr>
                      <w:rFonts w:cs="Georgia"/>
                      <w:b/>
                      <w:color w:val="000000"/>
                    </w:rPr>
                    <w:t>u</w:t>
                  </w:r>
                  <w:r>
                    <w:rPr>
                      <w:rFonts w:cs="Georgia"/>
                      <w:b/>
                      <w:color w:val="000000"/>
                      <w:spacing w:val="1"/>
                    </w:rPr>
                    <w:t>'</w:t>
                  </w:r>
                  <w:r>
                    <w:rPr>
                      <w:rFonts w:cs="Georgia"/>
                      <w:b/>
                      <w:color w:val="000000"/>
                    </w:rPr>
                    <w:t>u</w:t>
                  </w:r>
                  <w:r>
                    <w:rPr>
                      <w:rFonts w:cs="Georgia"/>
                      <w:b/>
                      <w:color w:val="000000"/>
                      <w:spacing w:val="-1"/>
                    </w:rPr>
                    <w:t>n</w:t>
                  </w:r>
                  <w:r>
                    <w:rPr>
                      <w:rFonts w:cs="Georgia"/>
                      <w:b/>
                      <w:color w:val="000000"/>
                    </w:rPr>
                    <w:t>e</w:t>
                  </w:r>
                  <w:r>
                    <w:rPr>
                      <w:rFonts w:cs="Georgia"/>
                      <w:b/>
                      <w:color w:val="000000"/>
                      <w:spacing w:val="-1"/>
                    </w:rPr>
                    <w:t xml:space="preserve"> </w:t>
                  </w:r>
                  <w:r>
                    <w:rPr>
                      <w:rFonts w:cs="Georgia"/>
                      <w:b/>
                      <w:color w:val="000000"/>
                      <w:spacing w:val="1"/>
                    </w:rPr>
                    <w:t>p</w:t>
                  </w:r>
                  <w:r>
                    <w:rPr>
                      <w:rFonts w:cs="Georgia"/>
                      <w:b/>
                      <w:color w:val="000000"/>
                      <w:spacing w:val="-1"/>
                    </w:rPr>
                    <w:t>é</w:t>
                  </w:r>
                  <w:r>
                    <w:rPr>
                      <w:rFonts w:cs="Georgia"/>
                      <w:b/>
                      <w:color w:val="000000"/>
                      <w:spacing w:val="1"/>
                    </w:rPr>
                    <w:t>r</w:t>
                  </w:r>
                  <w:r>
                    <w:rPr>
                      <w:rFonts w:cs="Georgia"/>
                      <w:b/>
                      <w:color w:val="000000"/>
                      <w:spacing w:val="-2"/>
                    </w:rPr>
                    <w:t>i</w:t>
                  </w:r>
                  <w:r>
                    <w:rPr>
                      <w:rFonts w:cs="Georgia"/>
                      <w:b/>
                      <w:color w:val="000000"/>
                      <w:spacing w:val="1"/>
                    </w:rPr>
                    <w:t>o</w:t>
                  </w:r>
                  <w:r>
                    <w:rPr>
                      <w:rFonts w:cs="Georgia"/>
                      <w:b/>
                      <w:color w:val="000000"/>
                    </w:rPr>
                    <w:t>de</w:t>
                  </w:r>
                  <w:r>
                    <w:rPr>
                      <w:rFonts w:cs="Georgia"/>
                      <w:b/>
                      <w:color w:val="000000"/>
                      <w:spacing w:val="1"/>
                    </w:rPr>
                    <w:t xml:space="preserve"> </w:t>
                  </w:r>
                  <w:r>
                    <w:rPr>
                      <w:rFonts w:cs="Georgia"/>
                      <w:b/>
                      <w:color w:val="000000"/>
                    </w:rPr>
                    <w:t>de</w:t>
                  </w:r>
                  <w:r>
                    <w:rPr>
                      <w:rFonts w:cs="Georgia"/>
                      <w:b/>
                      <w:color w:val="000000"/>
                      <w:spacing w:val="1"/>
                    </w:rPr>
                    <w:t xml:space="preserve"> </w:t>
                  </w:r>
                  <w:r>
                    <w:rPr>
                      <w:rFonts w:cs="Georgia"/>
                      <w:b/>
                      <w:color w:val="000000"/>
                    </w:rPr>
                    <w:t>d</w:t>
                  </w:r>
                  <w:r>
                    <w:rPr>
                      <w:rFonts w:cs="Georgia"/>
                      <w:b/>
                      <w:color w:val="000000"/>
                      <w:spacing w:val="-2"/>
                    </w:rPr>
                    <w:t>i</w:t>
                  </w:r>
                  <w:r>
                    <w:rPr>
                      <w:rFonts w:cs="Georgia"/>
                      <w:b/>
                      <w:color w:val="000000"/>
                      <w:spacing w:val="1"/>
                    </w:rPr>
                    <w:t>r</w:t>
                  </w:r>
                  <w:r>
                    <w:rPr>
                      <w:rFonts w:cs="Georgia"/>
                      <w:b/>
                      <w:color w:val="000000"/>
                      <w:spacing w:val="-1"/>
                    </w:rPr>
                    <w:t>e</w:t>
                  </w:r>
                  <w:r>
                    <w:rPr>
                      <w:rFonts w:cs="Georgia"/>
                      <w:b/>
                      <w:color w:val="000000"/>
                      <w:spacing w:val="1"/>
                    </w:rPr>
                    <w:t>ct</w:t>
                  </w:r>
                  <w:r>
                    <w:rPr>
                      <w:rFonts w:cs="Georgia"/>
                      <w:b/>
                      <w:color w:val="000000"/>
                      <w:spacing w:val="-2"/>
                    </w:rPr>
                    <w:t>i</w:t>
                  </w:r>
                  <w:r>
                    <w:rPr>
                      <w:rFonts w:cs="Georgia"/>
                      <w:b/>
                      <w:color w:val="000000"/>
                      <w:spacing w:val="1"/>
                    </w:rPr>
                    <w:t>o</w:t>
                  </w:r>
                  <w:r>
                    <w:rPr>
                      <w:rFonts w:cs="Georgia"/>
                      <w:b/>
                      <w:color w:val="000000"/>
                    </w:rPr>
                    <w:t>n</w:t>
                  </w:r>
                  <w:r>
                    <w:rPr>
                      <w:rFonts w:cs="Georgia"/>
                      <w:b/>
                      <w:color w:val="000000"/>
                      <w:spacing w:val="1"/>
                    </w:rPr>
                    <w:t xml:space="preserve"> </w:t>
                  </w:r>
                  <w:r>
                    <w:rPr>
                      <w:rFonts w:cs="Georgia"/>
                      <w:b/>
                      <w:color w:val="000000"/>
                    </w:rPr>
                    <w:t>de</w:t>
                  </w:r>
                  <w:r>
                    <w:rPr>
                      <w:rFonts w:cs="Georgia"/>
                      <w:b/>
                      <w:color w:val="000000"/>
                      <w:spacing w:val="1"/>
                    </w:rPr>
                    <w:t xml:space="preserve"> c</w:t>
                  </w:r>
                  <w:r>
                    <w:rPr>
                      <w:rFonts w:cs="Georgia"/>
                      <w:b/>
                      <w:color w:val="000000"/>
                      <w:spacing w:val="-1"/>
                    </w:rPr>
                    <w:t>la</w:t>
                  </w:r>
                  <w:r>
                    <w:rPr>
                      <w:rFonts w:cs="Georgia"/>
                      <w:b/>
                      <w:color w:val="000000"/>
                      <w:spacing w:val="-2"/>
                    </w:rPr>
                    <w:t>ss</w:t>
                  </w:r>
                  <w:r>
                    <w:rPr>
                      <w:rFonts w:cs="Georgia"/>
                      <w:b/>
                      <w:color w:val="000000"/>
                      <w:spacing w:val="-1"/>
                    </w:rPr>
                    <w:t>e</w:t>
                  </w:r>
                  <w:r>
                    <w:rPr>
                      <w:rFonts w:cs="Georgia"/>
                      <w:b/>
                      <w:color w:val="000000"/>
                    </w:rPr>
                    <w:t>,</w:t>
                  </w:r>
                  <w:r>
                    <w:rPr>
                      <w:rFonts w:cs="Georgia"/>
                      <w:b/>
                      <w:color w:val="000000"/>
                      <w:spacing w:val="3"/>
                    </w:rPr>
                    <w:t xml:space="preserve"> </w:t>
                  </w:r>
                  <w:r>
                    <w:rPr>
                      <w:rFonts w:cs="Georgia"/>
                      <w:b/>
                      <w:color w:val="000000"/>
                      <w:spacing w:val="-1"/>
                    </w:rPr>
                    <w:t>e</w:t>
                  </w:r>
                  <w:r>
                    <w:rPr>
                      <w:rFonts w:cs="Georgia"/>
                      <w:b/>
                      <w:color w:val="000000"/>
                    </w:rPr>
                    <w:t>t u</w:t>
                  </w:r>
                  <w:r>
                    <w:rPr>
                      <w:rFonts w:cs="Georgia"/>
                      <w:b/>
                      <w:color w:val="000000"/>
                      <w:spacing w:val="-1"/>
                    </w:rPr>
                    <w:t>n</w:t>
                  </w:r>
                  <w:r>
                    <w:rPr>
                      <w:rFonts w:cs="Georgia"/>
                      <w:b/>
                      <w:color w:val="000000"/>
                    </w:rPr>
                    <w:t>e</w:t>
                  </w:r>
                  <w:r>
                    <w:rPr>
                      <w:rFonts w:cs="Georgia"/>
                      <w:b/>
                      <w:color w:val="000000"/>
                      <w:spacing w:val="-1"/>
                    </w:rPr>
                    <w:t xml:space="preserve"> </w:t>
                  </w:r>
                  <w:r>
                    <w:rPr>
                      <w:rFonts w:cs="Georgia"/>
                      <w:b/>
                      <w:color w:val="000000"/>
                      <w:spacing w:val="1"/>
                    </w:rPr>
                    <w:t>p</w:t>
                  </w:r>
                  <w:r>
                    <w:rPr>
                      <w:rFonts w:cs="Georgia"/>
                      <w:b/>
                      <w:color w:val="000000"/>
                      <w:spacing w:val="-1"/>
                    </w:rPr>
                    <w:t>é</w:t>
                  </w:r>
                  <w:r>
                    <w:rPr>
                      <w:rFonts w:cs="Georgia"/>
                      <w:b/>
                      <w:color w:val="000000"/>
                      <w:spacing w:val="1"/>
                    </w:rPr>
                    <w:t>r</w:t>
                  </w:r>
                  <w:r>
                    <w:rPr>
                      <w:rFonts w:cs="Georgia"/>
                      <w:b/>
                      <w:color w:val="000000"/>
                    </w:rPr>
                    <w:t>i</w:t>
                  </w:r>
                  <w:r>
                    <w:rPr>
                      <w:rFonts w:cs="Georgia"/>
                      <w:b/>
                      <w:color w:val="000000"/>
                      <w:spacing w:val="1"/>
                    </w:rPr>
                    <w:t>o</w:t>
                  </w:r>
                  <w:r>
                    <w:rPr>
                      <w:rFonts w:cs="Georgia"/>
                      <w:b/>
                      <w:color w:val="000000"/>
                    </w:rPr>
                    <w:t>de</w:t>
                  </w:r>
                  <w:r>
                    <w:rPr>
                      <w:rFonts w:cs="Georgia"/>
                      <w:b/>
                      <w:color w:val="000000"/>
                      <w:spacing w:val="-1"/>
                    </w:rPr>
                    <w:t xml:space="preserve"> </w:t>
                  </w:r>
                  <w:r>
                    <w:rPr>
                      <w:rFonts w:cs="Georgia"/>
                      <w:b/>
                      <w:color w:val="000000"/>
                    </w:rPr>
                    <w:t>de</w:t>
                  </w:r>
                  <w:r>
                    <w:rPr>
                      <w:rFonts w:cs="Georgia"/>
                      <w:b/>
                      <w:color w:val="000000"/>
                      <w:spacing w:val="-4"/>
                    </w:rPr>
                    <w:t xml:space="preserve"> </w:t>
                  </w:r>
                  <w:r>
                    <w:rPr>
                      <w:rFonts w:cs="Georgia"/>
                      <w:b/>
                      <w:color w:val="000000"/>
                    </w:rPr>
                    <w:t>guid</w:t>
                  </w:r>
                  <w:r>
                    <w:rPr>
                      <w:rFonts w:cs="Georgia"/>
                      <w:b/>
                      <w:color w:val="000000"/>
                      <w:spacing w:val="-1"/>
                    </w:rPr>
                    <w:t>an</w:t>
                  </w:r>
                  <w:r>
                    <w:rPr>
                      <w:rFonts w:cs="Georgia"/>
                      <w:b/>
                      <w:color w:val="000000"/>
                      <w:spacing w:val="1"/>
                    </w:rPr>
                    <w:t>c</w:t>
                  </w:r>
                  <w:r>
                    <w:rPr>
                      <w:rFonts w:cs="Georgia"/>
                      <w:b/>
                      <w:color w:val="000000"/>
                      <w:spacing w:val="-1"/>
                    </w:rPr>
                    <w:t>e</w:t>
                  </w:r>
                  <w:r>
                    <w:rPr>
                      <w:rFonts w:cs="Georgia"/>
                      <w:b/>
                      <w:color w:val="000000"/>
                    </w:rPr>
                    <w:t>/</w:t>
                  </w:r>
                  <w:r>
                    <w:rPr>
                      <w:rFonts w:cs="Georgia"/>
                      <w:b/>
                      <w:color w:val="000000"/>
                      <w:spacing w:val="1"/>
                    </w:rPr>
                    <w:t>r</w:t>
                  </w:r>
                  <w:r>
                    <w:rPr>
                      <w:rFonts w:cs="Georgia"/>
                      <w:b/>
                      <w:color w:val="000000"/>
                      <w:spacing w:val="-1"/>
                    </w:rPr>
                    <w:t>e</w:t>
                  </w:r>
                  <w:r>
                    <w:rPr>
                      <w:rFonts w:cs="Georgia"/>
                      <w:b/>
                      <w:color w:val="000000"/>
                      <w:spacing w:val="1"/>
                    </w:rPr>
                    <w:t>c</w:t>
                  </w:r>
                  <w:r>
                    <w:rPr>
                      <w:rFonts w:cs="Georgia"/>
                      <w:b/>
                      <w:color w:val="000000"/>
                      <w:spacing w:val="-3"/>
                    </w:rPr>
                    <w:t>y</w:t>
                  </w:r>
                  <w:r>
                    <w:rPr>
                      <w:rFonts w:cs="Georgia"/>
                      <w:b/>
                      <w:color w:val="000000"/>
                      <w:spacing w:val="1"/>
                    </w:rPr>
                    <w:t>c</w:t>
                  </w:r>
                  <w:r>
                    <w:rPr>
                      <w:rFonts w:cs="Georgia"/>
                      <w:b/>
                      <w:color w:val="000000"/>
                      <w:spacing w:val="-1"/>
                    </w:rPr>
                    <w:t>la</w:t>
                  </w:r>
                  <w:r>
                    <w:rPr>
                      <w:rFonts w:cs="Georgia"/>
                      <w:b/>
                      <w:color w:val="000000"/>
                    </w:rPr>
                    <w:t>g</w:t>
                  </w:r>
                  <w:r>
                    <w:rPr>
                      <w:rFonts w:cs="Georgia"/>
                      <w:b/>
                      <w:color w:val="000000"/>
                      <w:spacing w:val="-1"/>
                    </w:rPr>
                    <w:t>e</w:t>
                  </w:r>
                  <w:r>
                    <w:rPr>
                      <w:rFonts w:cs="Georgia"/>
                      <w:color w:val="000000"/>
                      <w:spacing w:val="-1"/>
                    </w:rPr>
                    <w:t>.</w:t>
                  </w:r>
                </w:p>
                <w:p w:rsidR="00F04EEF" w:rsidRDefault="00F04EEF">
                  <w:pPr>
                    <w:widowControl w:val="0"/>
                    <w:autoSpaceDE w:val="0"/>
                    <w:autoSpaceDN w:val="0"/>
                    <w:adjustRightInd w:val="0"/>
                    <w:spacing w:before="9"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2"/>
                    </w:rPr>
                    <w:t xml:space="preserve"> </w:t>
                  </w:r>
                  <w:r>
                    <w:rPr>
                      <w:rFonts w:cs="Georgia"/>
                      <w:color w:val="000000"/>
                    </w:rPr>
                    <w:t>de</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y</w:t>
                  </w:r>
                  <w:r>
                    <w:rPr>
                      <w:rFonts w:cs="Georgia"/>
                      <w:color w:val="000000"/>
                      <w:spacing w:val="1"/>
                    </w:rPr>
                    <w:t>c</w:t>
                  </w:r>
                  <w:r>
                    <w:rPr>
                      <w:rFonts w:cs="Georgia"/>
                      <w:color w:val="000000"/>
                      <w:spacing w:val="-1"/>
                    </w:rPr>
                    <w:t>la</w:t>
                  </w:r>
                  <w:r>
                    <w:rPr>
                      <w:rFonts w:cs="Georgia"/>
                      <w:color w:val="000000"/>
                    </w:rPr>
                    <w:t>ge</w:t>
                  </w:r>
                  <w:r>
                    <w:rPr>
                      <w:rFonts w:cs="Georgia"/>
                      <w:color w:val="000000"/>
                      <w:spacing w:val="2"/>
                    </w:rPr>
                    <w:t xml:space="preserve"> </w:t>
                  </w:r>
                  <w:r>
                    <w:rPr>
                      <w:rFonts w:cs="Georgia"/>
                      <w:color w:val="000000"/>
                      <w:spacing w:val="1"/>
                    </w:rPr>
                    <w:t>o</w:t>
                  </w:r>
                  <w:r>
                    <w:rPr>
                      <w:rFonts w:cs="Georgia"/>
                      <w:color w:val="000000"/>
                    </w:rPr>
                    <w:t>u</w:t>
                  </w:r>
                  <w:r>
                    <w:rPr>
                      <w:rFonts w:cs="Georgia"/>
                      <w:color w:val="000000"/>
                      <w:spacing w:val="3"/>
                    </w:rPr>
                    <w:t xml:space="preserve"> </w:t>
                  </w:r>
                  <w:r>
                    <w:rPr>
                      <w:rFonts w:cs="Georgia"/>
                      <w:color w:val="000000"/>
                    </w:rPr>
                    <w:t>de</w:t>
                  </w:r>
                  <w:r>
                    <w:rPr>
                      <w:rFonts w:cs="Georgia"/>
                      <w:color w:val="000000"/>
                      <w:spacing w:val="2"/>
                    </w:rPr>
                    <w:t xml:space="preserve"> </w:t>
                  </w:r>
                  <w:r>
                    <w:rPr>
                      <w:rFonts w:cs="Georgia"/>
                      <w:color w:val="000000"/>
                    </w:rPr>
                    <w:t>guid</w:t>
                  </w:r>
                  <w:r>
                    <w:rPr>
                      <w:rFonts w:cs="Georgia"/>
                      <w:color w:val="000000"/>
                      <w:spacing w:val="-1"/>
                    </w:rPr>
                    <w:t>an</w:t>
                  </w:r>
                  <w:r>
                    <w:rPr>
                      <w:rFonts w:cs="Georgia"/>
                      <w:color w:val="000000"/>
                      <w:spacing w:val="1"/>
                    </w:rPr>
                    <w:t>c</w:t>
                  </w:r>
                  <w:r>
                    <w:rPr>
                      <w:rFonts w:cs="Georgia"/>
                      <w:color w:val="000000"/>
                    </w:rPr>
                    <w:t>e</w:t>
                  </w:r>
                  <w:r>
                    <w:rPr>
                      <w:rFonts w:cs="Georgia"/>
                      <w:color w:val="000000"/>
                      <w:spacing w:val="2"/>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4"/>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2"/>
                    </w:rPr>
                    <w:t xml:space="preserve"> </w:t>
                  </w:r>
                  <w:r>
                    <w:rPr>
                      <w:rFonts w:cs="Georgia"/>
                      <w:color w:val="000000"/>
                      <w:spacing w:val="-1"/>
                    </w:rPr>
                    <w:t>e</w:t>
                  </w:r>
                  <w:r>
                    <w:rPr>
                      <w:rFonts w:cs="Georgia"/>
                      <w:color w:val="000000"/>
                    </w:rPr>
                    <w:t>ff</w:t>
                  </w:r>
                  <w:r>
                    <w:rPr>
                      <w:rFonts w:cs="Georgia"/>
                      <w:color w:val="000000"/>
                      <w:spacing w:val="-1"/>
                    </w:rPr>
                    <w:t>e</w:t>
                  </w:r>
                  <w:r>
                    <w:rPr>
                      <w:rFonts w:cs="Georgia"/>
                      <w:color w:val="000000"/>
                      <w:spacing w:val="1"/>
                    </w:rPr>
                    <w:t>ct</w:t>
                  </w:r>
                  <w:r>
                    <w:rPr>
                      <w:rFonts w:cs="Georgia"/>
                      <w:color w:val="000000"/>
                    </w:rPr>
                    <w:t>i</w:t>
                  </w:r>
                  <w:r>
                    <w:rPr>
                      <w:rFonts w:cs="Georgia"/>
                      <w:color w:val="000000"/>
                      <w:spacing w:val="1"/>
                    </w:rPr>
                    <w:t>v</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p</w:t>
                  </w:r>
                  <w:r>
                    <w:rPr>
                      <w:rFonts w:cs="Georgia"/>
                      <w:color w:val="000000"/>
                      <w:spacing w:val="1"/>
                    </w:rPr>
                    <w:t>r</w:t>
                  </w:r>
                  <w:r>
                    <w:rPr>
                      <w:rFonts w:cs="Georgia"/>
                      <w:color w:val="000000"/>
                      <w:spacing w:val="-1"/>
                    </w:rPr>
                    <w:t>e</w:t>
                  </w:r>
                  <w:r>
                    <w:rPr>
                      <w:rFonts w:cs="Georgia"/>
                      <w:color w:val="000000"/>
                      <w:spacing w:val="1"/>
                    </w:rPr>
                    <w:t>st</w:t>
                  </w:r>
                  <w:r>
                    <w:rPr>
                      <w:rFonts w:cs="Georgia"/>
                      <w:color w:val="000000"/>
                      <w:spacing w:val="-1"/>
                    </w:rPr>
                    <w:t>é</w:t>
                  </w:r>
                  <w:r>
                    <w:rPr>
                      <w:rFonts w:cs="Georgia"/>
                      <w:color w:val="000000"/>
                    </w:rPr>
                    <w:t>e à</w:t>
                  </w:r>
                  <w:r>
                    <w:rPr>
                      <w:rFonts w:cs="Georgia"/>
                      <w:color w:val="000000"/>
                      <w:spacing w:val="2"/>
                    </w:rPr>
                    <w:t xml:space="preserve"> </w:t>
                  </w:r>
                  <w:r>
                    <w:rPr>
                      <w:rFonts w:cs="Georgia"/>
                      <w:color w:val="000000"/>
                      <w:spacing w:val="-1"/>
                    </w:rPr>
                    <w:t>l</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s</w:t>
                  </w:r>
                  <w:r>
                    <w:rPr>
                      <w:rFonts w:cs="Georgia"/>
                      <w:color w:val="000000"/>
                      <w:spacing w:val="-1"/>
                    </w:rPr>
                    <w:t>el</w:t>
                  </w:r>
                  <w:r>
                    <w:rPr>
                      <w:rFonts w:cs="Georgia"/>
                      <w:color w:val="000000"/>
                      <w:spacing w:val="1"/>
                    </w:rPr>
                    <w:t>o</w:t>
                  </w:r>
                  <w:r>
                    <w:rPr>
                      <w:rFonts w:cs="Georgia"/>
                      <w:color w:val="000000"/>
                    </w:rPr>
                    <w:t>n 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fi</w:t>
                  </w:r>
                  <w:r>
                    <w:rPr>
                      <w:rFonts w:cs="Georgia"/>
                      <w:color w:val="000000"/>
                      <w:spacing w:val="-1"/>
                    </w:rPr>
                    <w:t>xé</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3"/>
                    </w:rPr>
                    <w:t>a</w:t>
                  </w:r>
                  <w:r>
                    <w:rPr>
                      <w:rFonts w:cs="Georgia"/>
                      <w:color w:val="000000"/>
                    </w:rPr>
                    <w:t xml:space="preserve">r </w:t>
                  </w:r>
                  <w:r>
                    <w:rPr>
                      <w:rFonts w:cs="Georgia"/>
                      <w:color w:val="000000"/>
                      <w:spacing w:val="-1"/>
                    </w:rPr>
                    <w:t>le chef</w:t>
                  </w:r>
                  <w:r>
                    <w:rPr>
                      <w:rFonts w:cs="Georgia"/>
                      <w:color w:val="000000"/>
                    </w:rPr>
                    <w:t xml:space="preserve"> d</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2"/>
                    </w:rPr>
                    <w:t>t</w:t>
                  </w:r>
                  <w:r>
                    <w:rPr>
                      <w:rFonts w:cs="Georgia"/>
                      <w:color w:val="000000"/>
                    </w:rPr>
                    <w:t>.</w:t>
                  </w:r>
                </w:p>
                <w:p w:rsidR="00F04EEF" w:rsidRDefault="00F04EEF">
                  <w:pPr>
                    <w:widowControl w:val="0"/>
                    <w:autoSpaceDE w:val="0"/>
                    <w:autoSpaceDN w:val="0"/>
                    <w:adjustRightInd w:val="0"/>
                    <w:spacing w:line="250" w:lineRule="exact"/>
                    <w:jc w:val="both"/>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Il peut s'agir d'une prestation hebdomadaire ou d'un travail selon une autre fréquence (regroupement de périodes). En fonction des activités retenues, elle peut rassembler l'ensemble des membres du personnel concernés, l'ensemble des membres du personnel responsables d'une discipline ou d'un groupe de disciplines.</w:t>
                  </w:r>
                </w:p>
                <w:p w:rsidR="00F04EEF" w:rsidRDefault="00F04EEF">
                  <w:pPr>
                    <w:widowControl w:val="0"/>
                    <w:autoSpaceDE w:val="0"/>
                    <w:autoSpaceDN w:val="0"/>
                    <w:adjustRightInd w:val="0"/>
                    <w:spacing w:before="11"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s</w:t>
                  </w:r>
                  <w:r>
                    <w:rPr>
                      <w:rFonts w:cs="Georgia"/>
                      <w:color w:val="000000"/>
                      <w:spacing w:val="-1"/>
                    </w:rPr>
                    <w:t>éan</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il</w:t>
                  </w:r>
                  <w:r>
                    <w:rPr>
                      <w:rFonts w:cs="Georgia"/>
                      <w:color w:val="000000"/>
                      <w:spacing w:val="4"/>
                    </w:rPr>
                    <w:t xml:space="preserve"> </w:t>
                  </w:r>
                  <w:r>
                    <w:rPr>
                      <w:rFonts w:cs="Georgia"/>
                      <w:color w:val="000000"/>
                    </w:rPr>
                    <w:t>f</w:t>
                  </w:r>
                  <w:r>
                    <w:rPr>
                      <w:rFonts w:cs="Georgia"/>
                      <w:color w:val="000000"/>
                      <w:spacing w:val="-1"/>
                    </w:rPr>
                    <w:t>e</w:t>
                  </w:r>
                  <w:r>
                    <w:rPr>
                      <w:rFonts w:cs="Georgia"/>
                      <w:color w:val="000000"/>
                      <w:spacing w:val="1"/>
                    </w:rPr>
                    <w:t>r</w:t>
                  </w:r>
                  <w:r>
                    <w:rPr>
                      <w:rFonts w:cs="Georgia"/>
                      <w:color w:val="000000"/>
                    </w:rPr>
                    <w:t>a</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ob</w:t>
                  </w:r>
                  <w:r>
                    <w:rPr>
                      <w:rFonts w:cs="Georgia"/>
                      <w:color w:val="000000"/>
                    </w:rPr>
                    <w:t>j</w:t>
                  </w:r>
                  <w:r>
                    <w:rPr>
                      <w:rFonts w:cs="Georgia"/>
                      <w:color w:val="000000"/>
                      <w:spacing w:val="-1"/>
                    </w:rPr>
                    <w:t>e</w:t>
                  </w:r>
                  <w:r>
                    <w:rPr>
                      <w:rFonts w:cs="Georgia"/>
                      <w:color w:val="000000"/>
                    </w:rPr>
                    <w:t>t</w:t>
                  </w:r>
                  <w:r>
                    <w:rPr>
                      <w:rFonts w:cs="Georgia"/>
                      <w:color w:val="000000"/>
                      <w:spacing w:val="3"/>
                    </w:rPr>
                    <w:t xml:space="preserve"> </w:t>
                  </w:r>
                  <w:r>
                    <w:rPr>
                      <w:rFonts w:cs="Georgia"/>
                      <w:color w:val="000000"/>
                    </w:rPr>
                    <w:t>d’un</w:t>
                  </w:r>
                  <w:r>
                    <w:rPr>
                      <w:rFonts w:cs="Georgia"/>
                      <w:color w:val="000000"/>
                      <w:spacing w:val="1"/>
                    </w:rPr>
                    <w:t xml:space="preserve"> r</w:t>
                  </w:r>
                  <w:r>
                    <w:rPr>
                      <w:rFonts w:cs="Georgia"/>
                      <w:color w:val="000000"/>
                      <w:spacing w:val="-1"/>
                    </w:rPr>
                    <w:t>ap</w:t>
                  </w:r>
                  <w:r>
                    <w:rPr>
                      <w:rFonts w:cs="Georgia"/>
                      <w:color w:val="000000"/>
                      <w:spacing w:val="1"/>
                    </w:rPr>
                    <w:t>p</w:t>
                  </w:r>
                  <w:r>
                    <w:rPr>
                      <w:rFonts w:cs="Georgia"/>
                      <w:color w:val="000000"/>
                      <w:spacing w:val="-1"/>
                    </w:rPr>
                    <w:t>o</w:t>
                  </w:r>
                  <w:r>
                    <w:rPr>
                      <w:rFonts w:cs="Georgia"/>
                      <w:color w:val="000000"/>
                      <w:spacing w:val="1"/>
                    </w:rPr>
                    <w:t>r</w:t>
                  </w:r>
                  <w:r>
                    <w:rPr>
                      <w:rFonts w:cs="Georgia"/>
                      <w:color w:val="000000"/>
                    </w:rPr>
                    <w:t xml:space="preserve">t </w:t>
                  </w:r>
                  <w:r>
                    <w:rPr>
                      <w:rFonts w:cs="Georgia"/>
                      <w:color w:val="000000"/>
                      <w:spacing w:val="1"/>
                    </w:rPr>
                    <w:t>s</w:t>
                  </w:r>
                  <w:r>
                    <w:rPr>
                      <w:rFonts w:cs="Georgia"/>
                      <w:color w:val="000000"/>
                    </w:rPr>
                    <w:t>uff</w:t>
                  </w:r>
                  <w:r>
                    <w:rPr>
                      <w:rFonts w:cs="Georgia"/>
                      <w:color w:val="000000"/>
                      <w:spacing w:val="-2"/>
                    </w:rPr>
                    <w:t>i</w:t>
                  </w:r>
                  <w:r>
                    <w:rPr>
                      <w:rFonts w:cs="Georgia"/>
                      <w:color w:val="000000"/>
                      <w:spacing w:val="1"/>
                    </w:rPr>
                    <w:t>s</w:t>
                  </w:r>
                  <w:r>
                    <w:rPr>
                      <w:rFonts w:cs="Georgia"/>
                      <w:color w:val="000000"/>
                      <w:spacing w:val="-1"/>
                    </w:rPr>
                    <w:t>a</w:t>
                  </w:r>
                  <w:r>
                    <w:rPr>
                      <w:rFonts w:cs="Georgia"/>
                      <w:color w:val="000000"/>
                    </w:rPr>
                    <w:t>mm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ex</w:t>
                  </w:r>
                  <w:r>
                    <w:rPr>
                      <w:rFonts w:cs="Georgia"/>
                      <w:color w:val="000000"/>
                      <w:spacing w:val="1"/>
                    </w:rPr>
                    <w:t>p</w:t>
                  </w:r>
                  <w:r>
                    <w:rPr>
                      <w:rFonts w:cs="Georgia"/>
                      <w:color w:val="000000"/>
                      <w:spacing w:val="-1"/>
                    </w:rPr>
                    <w:t>l</w:t>
                  </w:r>
                  <w:r>
                    <w:rPr>
                      <w:rFonts w:cs="Georgia"/>
                      <w:color w:val="000000"/>
                    </w:rPr>
                    <w:t>i</w:t>
                  </w:r>
                  <w:r>
                    <w:rPr>
                      <w:rFonts w:cs="Georgia"/>
                      <w:color w:val="000000"/>
                      <w:spacing w:val="1"/>
                    </w:rPr>
                    <w:t>c</w:t>
                  </w:r>
                  <w:r>
                    <w:rPr>
                      <w:rFonts w:cs="Georgia"/>
                      <w:color w:val="000000"/>
                    </w:rPr>
                    <w:t>i</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o</w:t>
                  </w:r>
                  <w:r>
                    <w:rPr>
                      <w:rFonts w:cs="Georgia"/>
                      <w:color w:val="000000"/>
                    </w:rPr>
                    <w:t>ur</w:t>
                  </w:r>
                  <w:r>
                    <w:rPr>
                      <w:rFonts w:cs="Georgia"/>
                      <w:color w:val="000000"/>
                      <w:spacing w:val="3"/>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rPr>
                    <w:t>m</w:t>
                  </w:r>
                  <w:r>
                    <w:rPr>
                      <w:rFonts w:cs="Georgia"/>
                      <w:color w:val="000000"/>
                      <w:spacing w:val="-1"/>
                    </w:rPr>
                    <w:t>e</w:t>
                  </w:r>
                  <w:r>
                    <w:rPr>
                      <w:rFonts w:cs="Georgia"/>
                      <w:color w:val="000000"/>
                      <w:spacing w:val="1"/>
                    </w:rPr>
                    <w:t>t</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é</w:t>
                  </w:r>
                  <w:r>
                    <w:rPr>
                      <w:rFonts w:cs="Georgia"/>
                      <w:color w:val="000000"/>
                      <w:spacing w:val="1"/>
                    </w:rPr>
                    <w:t>v</w:t>
                  </w:r>
                  <w:r>
                    <w:rPr>
                      <w:rFonts w:cs="Georgia"/>
                      <w:color w:val="000000"/>
                      <w:spacing w:val="-1"/>
                    </w:rPr>
                    <w:t>al</w:t>
                  </w:r>
                  <w:r>
                    <w:rPr>
                      <w:rFonts w:cs="Georgia"/>
                      <w:color w:val="000000"/>
                    </w:rPr>
                    <w:t>u</w:t>
                  </w:r>
                  <w:r>
                    <w:rPr>
                      <w:rFonts w:cs="Georgia"/>
                      <w:color w:val="000000"/>
                      <w:spacing w:val="-1"/>
                    </w:rPr>
                    <w:t>er l</w:t>
                  </w:r>
                  <w:r>
                    <w:rPr>
                      <w:rFonts w:cs="Georgia"/>
                      <w:color w:val="000000"/>
                    </w:rPr>
                    <w:t>’</w:t>
                  </w:r>
                  <w:r>
                    <w:rPr>
                      <w:rFonts w:cs="Georgia"/>
                      <w:color w:val="000000"/>
                      <w:spacing w:val="-1"/>
                    </w:rPr>
                    <w:t>é</w:t>
                  </w:r>
                  <w:r>
                    <w:rPr>
                      <w:rFonts w:cs="Georgia"/>
                      <w:color w:val="000000"/>
                      <w:spacing w:val="1"/>
                    </w:rPr>
                    <w:t>vo</w:t>
                  </w:r>
                  <w:r>
                    <w:rPr>
                      <w:rFonts w:cs="Georgia"/>
                      <w:color w:val="000000"/>
                      <w:spacing w:val="-1"/>
                    </w:rPr>
                    <w:t>l</w:t>
                  </w:r>
                  <w:r>
                    <w:rPr>
                      <w:rFonts w:cs="Georgia"/>
                      <w:color w:val="000000"/>
                    </w:rPr>
                    <w:t>u</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l</w:t>
                  </w:r>
                  <w:r>
                    <w:rPr>
                      <w:rFonts w:cs="Georgia"/>
                      <w:color w:val="000000"/>
                    </w:rPr>
                    <w:t>a</w:t>
                  </w:r>
                  <w:r>
                    <w:rPr>
                      <w:rFonts w:cs="Georgia"/>
                      <w:color w:val="000000"/>
                      <w:spacing w:val="-1"/>
                    </w:rPr>
                    <w:t xml:space="preserve"> p</w:t>
                  </w:r>
                  <w:r>
                    <w:rPr>
                      <w:rFonts w:cs="Georgia"/>
                      <w:color w:val="000000"/>
                      <w:spacing w:val="1"/>
                    </w:rPr>
                    <w:t>r</w:t>
                  </w:r>
                  <w:r>
                    <w:rPr>
                      <w:rFonts w:cs="Georgia"/>
                      <w:color w:val="000000"/>
                      <w:spacing w:val="-1"/>
                    </w:rPr>
                    <w:t>o</w:t>
                  </w:r>
                  <w:r>
                    <w:rPr>
                      <w:rFonts w:cs="Georgia"/>
                      <w:color w:val="000000"/>
                    </w:rPr>
                    <w:t>g</w:t>
                  </w:r>
                  <w:r>
                    <w:rPr>
                      <w:rFonts w:cs="Georgia"/>
                      <w:color w:val="000000"/>
                      <w:spacing w:val="1"/>
                    </w:rPr>
                    <w:t>r</w:t>
                  </w:r>
                  <w:r>
                    <w:rPr>
                      <w:rFonts w:cs="Georgia"/>
                      <w:color w:val="000000"/>
                      <w:spacing w:val="-1"/>
                    </w:rPr>
                    <w:t>e</w:t>
                  </w:r>
                  <w:r>
                    <w:rPr>
                      <w:rFonts w:cs="Georgia"/>
                      <w:color w:val="000000"/>
                      <w:spacing w:val="-2"/>
                    </w:rPr>
                    <w:t>ss</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 xml:space="preserve">du </w:t>
                  </w:r>
                  <w:r>
                    <w:rPr>
                      <w:rFonts w:cs="Georgia"/>
                      <w:color w:val="000000"/>
                      <w:spacing w:val="-2"/>
                    </w:rPr>
                    <w:t>t</w:t>
                  </w:r>
                  <w:r>
                    <w:rPr>
                      <w:rFonts w:cs="Georgia"/>
                      <w:color w:val="000000"/>
                      <w:spacing w:val="1"/>
                    </w:rPr>
                    <w: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il</w:t>
                  </w:r>
                  <w:r>
                    <w:rPr>
                      <w:rFonts w:cs="Georgia"/>
                      <w:color w:val="000000"/>
                      <w:spacing w:val="-1"/>
                    </w:rPr>
                    <w:t xml:space="preserve"> (</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1"/>
                    </w:rPr>
                    <w:t>c</w:t>
                  </w:r>
                  <w:r>
                    <w:rPr>
                      <w:rFonts w:cs="Georgia"/>
                      <w:color w:val="000000"/>
                    </w:rPr>
                    <w:t>u</w:t>
                  </w:r>
                  <w:r>
                    <w:rPr>
                      <w:rFonts w:cs="Georgia"/>
                      <w:color w:val="000000"/>
                      <w:spacing w:val="-3"/>
                    </w:rPr>
                    <w:t>m</w:t>
                  </w:r>
                  <w:r>
                    <w:rPr>
                      <w:rFonts w:cs="Georgia"/>
                      <w:color w:val="000000"/>
                      <w:spacing w:val="-1"/>
                    </w:rPr>
                    <w:t>en</w:t>
                  </w:r>
                  <w:r>
                    <w:rPr>
                      <w:rFonts w:cs="Georgia"/>
                      <w:color w:val="000000"/>
                    </w:rPr>
                    <w:t xml:space="preserve">t </w:t>
                  </w:r>
                  <w:r>
                    <w:rPr>
                      <w:rFonts w:cs="Georgia"/>
                      <w:color w:val="000000"/>
                      <w:spacing w:val="1"/>
                    </w:rPr>
                    <w:t>s</w:t>
                  </w:r>
                  <w:r>
                    <w:rPr>
                      <w:rFonts w:cs="Georgia"/>
                      <w:color w:val="000000"/>
                      <w:spacing w:val="-1"/>
                    </w:rPr>
                    <w:t>e</w:t>
                  </w:r>
                  <w:r>
                    <w:rPr>
                      <w:rFonts w:cs="Georgia"/>
                      <w:color w:val="000000"/>
                      <w:spacing w:val="1"/>
                    </w:rPr>
                    <w:t>r</w:t>
                  </w:r>
                  <w:r>
                    <w:rPr>
                      <w:rFonts w:cs="Georgia"/>
                      <w:color w:val="000000"/>
                    </w:rPr>
                    <w:t>a</w:t>
                  </w:r>
                  <w:r>
                    <w:rPr>
                      <w:rFonts w:cs="Georgia"/>
                      <w:color w:val="000000"/>
                      <w:spacing w:val="-1"/>
                    </w:rPr>
                    <w:t xml:space="preserve"> </w:t>
                  </w:r>
                  <w:r>
                    <w:rPr>
                      <w:rFonts w:cs="Georgia"/>
                      <w:color w:val="000000"/>
                      <w:spacing w:val="1"/>
                    </w:rPr>
                    <w:t>t</w:t>
                  </w:r>
                  <w:r>
                    <w:rPr>
                      <w:rFonts w:cs="Georgia"/>
                      <w:color w:val="000000"/>
                      <w:spacing w:val="-1"/>
                    </w:rPr>
                    <w:t>en</w:t>
                  </w:r>
                  <w:r>
                    <w:rPr>
                      <w:rFonts w:cs="Georgia"/>
                      <w:color w:val="000000"/>
                    </w:rPr>
                    <w:t>u à</w:t>
                  </w:r>
                  <w:r>
                    <w:rPr>
                      <w:rFonts w:cs="Georgia"/>
                      <w:color w:val="000000"/>
                      <w:spacing w:val="-1"/>
                    </w:rPr>
                    <w:t xml:space="preserve"> l</w:t>
                  </w:r>
                  <w:r>
                    <w:rPr>
                      <w:rFonts w:cs="Georgia"/>
                      <w:color w:val="000000"/>
                    </w:rPr>
                    <w:t>a</w:t>
                  </w:r>
                  <w:r>
                    <w:rPr>
                      <w:rFonts w:cs="Georgia"/>
                      <w:color w:val="000000"/>
                      <w:spacing w:val="-1"/>
                    </w:rPr>
                    <w:t xml:space="preserve"> </w:t>
                  </w:r>
                  <w:r>
                    <w:rPr>
                      <w:rFonts w:cs="Georgia"/>
                      <w:color w:val="000000"/>
                    </w:rPr>
                    <w:t>di</w:t>
                  </w:r>
                  <w:r>
                    <w:rPr>
                      <w:rFonts w:cs="Georgia"/>
                      <w:color w:val="000000"/>
                      <w:spacing w:val="1"/>
                    </w:rPr>
                    <w:t>sp</w:t>
                  </w:r>
                  <w:r>
                    <w:rPr>
                      <w:rFonts w:cs="Georgia"/>
                      <w:color w:val="000000"/>
                      <w:spacing w:val="-1"/>
                    </w:rPr>
                    <w:t>o</w:t>
                  </w:r>
                  <w:r>
                    <w:rPr>
                      <w:rFonts w:cs="Georgia"/>
                      <w:color w:val="000000"/>
                      <w:spacing w:val="1"/>
                    </w:rPr>
                    <w:t>s</w:t>
                  </w:r>
                  <w:r>
                    <w:rPr>
                      <w:rFonts w:cs="Georgia"/>
                      <w:color w:val="000000"/>
                      <w:spacing w:val="-2"/>
                    </w:rPr>
                    <w:t>i</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p>
                <w:p w:rsidR="00F04EEF" w:rsidRDefault="00F04EEF">
                  <w:pPr>
                    <w:widowControl w:val="0"/>
                    <w:autoSpaceDE w:val="0"/>
                    <w:autoSpaceDN w:val="0"/>
                    <w:adjustRightInd w:val="0"/>
                    <w:spacing w:line="250" w:lineRule="exact"/>
                    <w:jc w:val="both"/>
                    <w:rPr>
                      <w:rFonts w:cs="Georgia"/>
                      <w:color w:val="000000"/>
                    </w:rPr>
                  </w:pPr>
                </w:p>
                <w:p w:rsidR="00F04EEF" w:rsidRDefault="0099351E">
                  <w:pPr>
                    <w:widowControl w:val="0"/>
                    <w:autoSpaceDE w:val="0"/>
                    <w:autoSpaceDN w:val="0"/>
                    <w:adjustRightInd w:val="0"/>
                    <w:jc w:val="both"/>
                    <w:rPr>
                      <w:rFonts w:cs="Georgia"/>
                      <w:color w:val="000000"/>
                    </w:rPr>
                  </w:pPr>
                  <w:r>
                    <w:rPr>
                      <w:rFonts w:cs="Georgia"/>
                      <w:color w:val="000000"/>
                      <w:spacing w:val="1"/>
                    </w:rPr>
                    <w:t>L</w:t>
                  </w:r>
                  <w:r>
                    <w:rPr>
                      <w:rFonts w:cs="Georgia"/>
                      <w:color w:val="000000"/>
                    </w:rPr>
                    <w:t xml:space="preserve">e </w:t>
                  </w:r>
                  <w:r>
                    <w:rPr>
                      <w:rFonts w:cs="Georgia"/>
                      <w:color w:val="000000"/>
                      <w:spacing w:val="1"/>
                    </w:rPr>
                    <w:t>chef</w:t>
                  </w:r>
                  <w:r>
                    <w:rPr>
                      <w:rFonts w:cs="Georgia"/>
                      <w:color w:val="000000"/>
                      <w:spacing w:val="22"/>
                    </w:rPr>
                    <w:t xml:space="preserve"> </w:t>
                  </w:r>
                  <w:r>
                    <w:rPr>
                      <w:rFonts w:cs="Georgia"/>
                      <w:color w:val="000000"/>
                    </w:rPr>
                    <w:t>d</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0"/>
                    </w:rPr>
                    <w:t xml:space="preserve"> </w:t>
                  </w:r>
                  <w:r>
                    <w:rPr>
                      <w:rFonts w:cs="Georgia"/>
                      <w:color w:val="000000"/>
                      <w:spacing w:val="1"/>
                    </w:rPr>
                    <w:t>co</w:t>
                  </w:r>
                  <w:r>
                    <w:rPr>
                      <w:rFonts w:cs="Georgia"/>
                      <w:color w:val="000000"/>
                    </w:rPr>
                    <w:t>m</w:t>
                  </w:r>
                  <w:r>
                    <w:rPr>
                      <w:rFonts w:cs="Georgia"/>
                      <w:color w:val="000000"/>
                      <w:spacing w:val="-3"/>
                    </w:rPr>
                    <w:t>m</w:t>
                  </w:r>
                  <w:r>
                    <w:rPr>
                      <w:rFonts w:cs="Georgia"/>
                      <w:color w:val="000000"/>
                    </w:rPr>
                    <w:t>u</w:t>
                  </w:r>
                  <w:r>
                    <w:rPr>
                      <w:rFonts w:cs="Georgia"/>
                      <w:color w:val="000000"/>
                      <w:spacing w:val="-1"/>
                    </w:rPr>
                    <w:t>n</w:t>
                  </w:r>
                  <w:r>
                    <w:rPr>
                      <w:rFonts w:cs="Georgia"/>
                      <w:color w:val="000000"/>
                    </w:rPr>
                    <w:t>i</w:t>
                  </w:r>
                  <w:r>
                    <w:rPr>
                      <w:rFonts w:cs="Georgia"/>
                      <w:color w:val="000000"/>
                      <w:spacing w:val="-1"/>
                    </w:rPr>
                    <w:t>q</w:t>
                  </w:r>
                  <w:r>
                    <w:rPr>
                      <w:rFonts w:cs="Georgia"/>
                      <w:color w:val="000000"/>
                    </w:rPr>
                    <w:t>ue</w:t>
                  </w:r>
                  <w:r>
                    <w:rPr>
                      <w:rFonts w:cs="Georgia"/>
                      <w:color w:val="000000"/>
                      <w:spacing w:val="20"/>
                    </w:rPr>
                    <w:t xml:space="preserve"> </w:t>
                  </w:r>
                  <w:r>
                    <w:rPr>
                      <w:rFonts w:cs="Georgia"/>
                      <w:color w:val="000000"/>
                      <w:spacing w:val="-1"/>
                    </w:rPr>
                    <w:t>a</w:t>
                  </w:r>
                  <w:r>
                    <w:rPr>
                      <w:rFonts w:cs="Georgia"/>
                      <w:color w:val="000000"/>
                    </w:rPr>
                    <w:t>u</w:t>
                  </w:r>
                  <w:r>
                    <w:rPr>
                      <w:rFonts w:cs="Georgia"/>
                      <w:color w:val="000000"/>
                      <w:spacing w:val="22"/>
                    </w:rPr>
                    <w:t xml:space="preserve"> </w:t>
                  </w:r>
                  <w:r>
                    <w:rPr>
                      <w:rFonts w:cs="Georgia"/>
                      <w:color w:val="000000"/>
                      <w:spacing w:val="1"/>
                    </w:rPr>
                    <w:t>s</w:t>
                  </w:r>
                  <w:r>
                    <w:rPr>
                      <w:rFonts w:cs="Georgia"/>
                      <w:color w:val="000000"/>
                      <w:spacing w:val="-1"/>
                    </w:rPr>
                    <w:t>e</w:t>
                  </w:r>
                  <w:r>
                    <w:rPr>
                      <w:rFonts w:cs="Georgia"/>
                      <w:color w:val="000000"/>
                      <w:spacing w:val="1"/>
                    </w:rPr>
                    <w:t>rv</w:t>
                  </w:r>
                  <w:r>
                    <w:rPr>
                      <w:rFonts w:cs="Georgia"/>
                      <w:color w:val="000000"/>
                    </w:rPr>
                    <w:t>i</w:t>
                  </w:r>
                  <w:r>
                    <w:rPr>
                      <w:rFonts w:cs="Georgia"/>
                      <w:color w:val="000000"/>
                      <w:spacing w:val="1"/>
                    </w:rPr>
                    <w:t>c</w:t>
                  </w:r>
                  <w:r>
                    <w:rPr>
                      <w:rFonts w:cs="Georgia"/>
                      <w:color w:val="000000"/>
                    </w:rPr>
                    <w:t>e</w:t>
                  </w:r>
                  <w:r>
                    <w:rPr>
                      <w:rFonts w:cs="Georgia"/>
                      <w:color w:val="000000"/>
                      <w:spacing w:val="18"/>
                    </w:rPr>
                    <w:t xml:space="preserve"> </w:t>
                  </w:r>
                  <w:r>
                    <w:rPr>
                      <w:rFonts w:cs="Georgia"/>
                      <w:color w:val="000000"/>
                    </w:rPr>
                    <w:t>de l</w:t>
                  </w:r>
                  <w:r>
                    <w:rPr>
                      <w:rFonts w:cs="Georgia"/>
                      <w:color w:val="000000"/>
                      <w:spacing w:val="1"/>
                    </w:rPr>
                    <w:t>'</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21"/>
                    </w:rPr>
                    <w:t xml:space="preserve"> </w:t>
                  </w:r>
                  <w:r>
                    <w:rPr>
                      <w:rFonts w:cs="Georgia"/>
                      <w:color w:val="000000"/>
                      <w:spacing w:val="-1"/>
                    </w:rPr>
                    <w:t>l</w:t>
                  </w:r>
                  <w:r>
                    <w:rPr>
                      <w:rFonts w:cs="Georgia"/>
                      <w:color w:val="000000"/>
                    </w:rPr>
                    <w:t>e</w:t>
                  </w:r>
                  <w:r>
                    <w:rPr>
                      <w:rFonts w:cs="Georgia"/>
                      <w:color w:val="000000"/>
                      <w:spacing w:val="20"/>
                    </w:rPr>
                    <w:t xml:space="preserve"> </w:t>
                  </w:r>
                  <w:r>
                    <w:rPr>
                      <w:rFonts w:cs="Georgia"/>
                      <w:color w:val="000000"/>
                    </w:rPr>
                    <w:t>di</w:t>
                  </w:r>
                  <w:r>
                    <w:rPr>
                      <w:rFonts w:cs="Georgia"/>
                      <w:color w:val="000000"/>
                      <w:spacing w:val="1"/>
                    </w:rPr>
                    <w:t>s</w:t>
                  </w:r>
                  <w:r>
                    <w:rPr>
                      <w:rFonts w:cs="Georgia"/>
                      <w:color w:val="000000"/>
                      <w:spacing w:val="-1"/>
                    </w:rPr>
                    <w:t>p</w:t>
                  </w:r>
                  <w:r>
                    <w:rPr>
                      <w:rFonts w:cs="Georgia"/>
                      <w:color w:val="000000"/>
                      <w:spacing w:val="1"/>
                    </w:rPr>
                    <w:t>os</w:t>
                  </w:r>
                  <w:r>
                    <w:rPr>
                      <w:rFonts w:cs="Georgia"/>
                      <w:color w:val="000000"/>
                    </w:rPr>
                    <w:t>i</w:t>
                  </w:r>
                  <w:r>
                    <w:rPr>
                      <w:rFonts w:cs="Georgia"/>
                      <w:color w:val="000000"/>
                      <w:spacing w:val="-2"/>
                    </w:rPr>
                    <w:t>ti</w:t>
                  </w:r>
                  <w:r>
                    <w:rPr>
                      <w:rFonts w:cs="Georgia"/>
                      <w:color w:val="000000"/>
                    </w:rPr>
                    <w:t>f</w:t>
                  </w:r>
                  <w:r>
                    <w:rPr>
                      <w:rFonts w:cs="Georgia"/>
                      <w:color w:val="000000"/>
                      <w:spacing w:val="22"/>
                    </w:rPr>
                    <w:t xml:space="preserve"> </w:t>
                  </w:r>
                  <w:r>
                    <w:rPr>
                      <w:rFonts w:cs="Georgia"/>
                      <w:color w:val="000000"/>
                      <w:spacing w:val="-1"/>
                    </w:rPr>
                    <w:t>a</w:t>
                  </w:r>
                  <w:r>
                    <w:rPr>
                      <w:rFonts w:cs="Georgia"/>
                      <w:color w:val="000000"/>
                    </w:rPr>
                    <w:t>d</w:t>
                  </w:r>
                  <w:r>
                    <w:rPr>
                      <w:rFonts w:cs="Georgia"/>
                      <w:color w:val="000000"/>
                      <w:spacing w:val="1"/>
                    </w:rPr>
                    <w:t>o</w:t>
                  </w:r>
                  <w:r>
                    <w:rPr>
                      <w:rFonts w:cs="Georgia"/>
                      <w:color w:val="000000"/>
                      <w:spacing w:val="-1"/>
                    </w:rPr>
                    <w:t>p</w:t>
                  </w:r>
                  <w:r>
                    <w:rPr>
                      <w:rFonts w:cs="Georgia"/>
                      <w:color w:val="000000"/>
                      <w:spacing w:val="1"/>
                    </w:rPr>
                    <w:t>t</w:t>
                  </w:r>
                  <w:r>
                    <w:rPr>
                      <w:rFonts w:cs="Georgia"/>
                      <w:color w:val="000000"/>
                    </w:rPr>
                    <w:t>é</w:t>
                  </w:r>
                  <w:r>
                    <w:rPr>
                      <w:rFonts w:cs="Georgia"/>
                      <w:color w:val="000000"/>
                      <w:spacing w:val="20"/>
                    </w:rPr>
                    <w:t xml:space="preserve"> </w:t>
                  </w:r>
                  <w:r>
                    <w:rPr>
                      <w:rFonts w:cs="Georgia"/>
                      <w:color w:val="000000"/>
                      <w:spacing w:val="-1"/>
                    </w:rPr>
                    <w:t>a</w:t>
                  </w:r>
                  <w:r>
                    <w:rPr>
                      <w:rFonts w:cs="Georgia"/>
                      <w:color w:val="000000"/>
                    </w:rPr>
                    <w:t>i</w:t>
                  </w:r>
                  <w:r>
                    <w:rPr>
                      <w:rFonts w:cs="Georgia"/>
                      <w:color w:val="000000"/>
                      <w:spacing w:val="-1"/>
                    </w:rPr>
                    <w:t>n</w:t>
                  </w:r>
                  <w:r>
                    <w:rPr>
                      <w:rFonts w:cs="Georgia"/>
                      <w:color w:val="000000"/>
                      <w:spacing w:val="1"/>
                    </w:rPr>
                    <w:t>s</w:t>
                  </w:r>
                  <w:r>
                    <w:rPr>
                      <w:rFonts w:cs="Georgia"/>
                      <w:color w:val="000000"/>
                    </w:rPr>
                    <w:t>i</w:t>
                  </w:r>
                  <w:r>
                    <w:rPr>
                      <w:rFonts w:cs="Georgia"/>
                      <w:color w:val="000000"/>
                      <w:spacing w:val="21"/>
                    </w:rPr>
                    <w:t xml:space="preserve"> </w:t>
                  </w:r>
                  <w:r>
                    <w:rPr>
                      <w:rFonts w:cs="Georgia"/>
                      <w:color w:val="000000"/>
                      <w:spacing w:val="-1"/>
                    </w:rPr>
                    <w:t>q</w:t>
                  </w:r>
                  <w:r>
                    <w:rPr>
                      <w:rFonts w:cs="Georgia"/>
                      <w:color w:val="000000"/>
                    </w:rPr>
                    <w:t>ue</w:t>
                  </w:r>
                  <w:r>
                    <w:rPr>
                      <w:rFonts w:cs="Georgia"/>
                      <w:color w:val="000000"/>
                      <w:spacing w:val="20"/>
                    </w:rPr>
                    <w:t xml:space="preserve"> </w:t>
                  </w:r>
                  <w:r>
                    <w:rPr>
                      <w:rFonts w:cs="Georgia"/>
                      <w:color w:val="000000"/>
                      <w:spacing w:val="-1"/>
                    </w:rPr>
                    <w:t>le</w:t>
                  </w:r>
                  <w:r>
                    <w:rPr>
                      <w:rFonts w:cs="Georgia"/>
                      <w:color w:val="000000"/>
                      <w:spacing w:val="1"/>
                    </w:rPr>
                    <w:t>(s</w:t>
                  </w:r>
                  <w:r>
                    <w:rPr>
                      <w:rFonts w:cs="Georgia"/>
                      <w:color w:val="000000"/>
                    </w:rPr>
                    <w:t>)</w:t>
                  </w:r>
                  <w:r>
                    <w:rPr>
                      <w:rFonts w:cs="Georgia"/>
                      <w:color w:val="000000"/>
                      <w:spacing w:val="1"/>
                    </w:rPr>
                    <w:t>th</w:t>
                  </w:r>
                  <w:r>
                    <w:rPr>
                      <w:rFonts w:cs="Georgia"/>
                      <w:color w:val="000000"/>
                      <w:spacing w:val="-1"/>
                    </w:rPr>
                    <w:t>è</w:t>
                  </w:r>
                  <w:r>
                    <w:rPr>
                      <w:rFonts w:cs="Georgia"/>
                      <w:color w:val="000000"/>
                    </w:rPr>
                    <w:t>m</w:t>
                  </w:r>
                  <w:r>
                    <w:rPr>
                      <w:rFonts w:cs="Georgia"/>
                      <w:color w:val="000000"/>
                      <w:spacing w:val="-1"/>
                    </w:rPr>
                    <w:t>e(</w:t>
                  </w:r>
                  <w:r>
                    <w:rPr>
                      <w:rFonts w:cs="Georgia"/>
                      <w:color w:val="000000"/>
                      <w:spacing w:val="1"/>
                    </w:rPr>
                    <w:t>s</w:t>
                  </w:r>
                  <w:r>
                    <w:rPr>
                      <w:rFonts w:cs="Georgia"/>
                      <w:color w:val="000000"/>
                    </w:rPr>
                    <w:t>)</w:t>
                  </w:r>
                  <w:r>
                    <w:rPr>
                      <w:rFonts w:cs="Georgia"/>
                      <w:color w:val="000000"/>
                      <w:spacing w:val="-1"/>
                    </w:rPr>
                    <w:t xml:space="preserve"> </w:t>
                  </w:r>
                  <w:r>
                    <w:rPr>
                      <w:rFonts w:cs="Georgia"/>
                      <w:color w:val="000000"/>
                      <w:spacing w:val="1"/>
                    </w:rPr>
                    <w:t>r</w:t>
                  </w:r>
                  <w:r>
                    <w:rPr>
                      <w:rFonts w:cs="Georgia"/>
                      <w:color w:val="000000"/>
                      <w:spacing w:val="-1"/>
                    </w:rPr>
                    <w:t>e</w:t>
                  </w:r>
                  <w:r>
                    <w:rPr>
                      <w:rFonts w:cs="Georgia"/>
                      <w:color w:val="000000"/>
                      <w:spacing w:val="1"/>
                    </w:rPr>
                    <w:t>t</w:t>
                  </w:r>
                  <w:r>
                    <w:rPr>
                      <w:rFonts w:cs="Georgia"/>
                      <w:color w:val="000000"/>
                      <w:spacing w:val="-1"/>
                    </w:rPr>
                    <w:t>en</w:t>
                  </w:r>
                  <w:r>
                    <w:rPr>
                      <w:rFonts w:cs="Georgia"/>
                      <w:color w:val="000000"/>
                    </w:rPr>
                    <w:t>u</w:t>
                  </w:r>
                  <w:r>
                    <w:rPr>
                      <w:rFonts w:cs="Georgia"/>
                      <w:color w:val="000000"/>
                      <w:spacing w:val="1"/>
                    </w:rPr>
                    <w:t>(</w:t>
                  </w:r>
                  <w:r>
                    <w:rPr>
                      <w:rFonts w:cs="Georgia"/>
                      <w:color w:val="000000"/>
                      <w:spacing w:val="-2"/>
                    </w:rPr>
                    <w:t>s</w:t>
                  </w:r>
                  <w:r>
                    <w:rPr>
                      <w:rFonts w:cs="Georgia"/>
                      <w:color w:val="000000"/>
                    </w:rPr>
                    <w:t>)</w:t>
                  </w:r>
                  <w:r>
                    <w:rPr>
                      <w:rFonts w:cs="Georgia"/>
                      <w:color w:val="000000"/>
                      <w:spacing w:val="-1"/>
                    </w:rPr>
                    <w:t xml:space="preserve">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l</w:t>
                  </w:r>
                  <w:r>
                    <w:rPr>
                      <w:rFonts w:cs="Georgia"/>
                      <w:color w:val="000000"/>
                      <w:spacing w:val="-2"/>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p>
                <w:p w:rsidR="00F04EEF" w:rsidRDefault="00F04EEF">
                  <w:pPr>
                    <w:widowControl w:val="0"/>
                    <w:autoSpaceDE w:val="0"/>
                    <w:autoSpaceDN w:val="0"/>
                    <w:adjustRightInd w:val="0"/>
                    <w:spacing w:before="9" w:line="240" w:lineRule="exact"/>
                    <w:rPr>
                      <w:rFonts w:cs="Georgia"/>
                      <w:color w:val="000000"/>
                    </w:rPr>
                  </w:pPr>
                </w:p>
                <w:p w:rsidR="00F04EEF" w:rsidRDefault="0099351E">
                  <w:pPr>
                    <w:pStyle w:val="Titre5"/>
                    <w:rPr>
                      <w:color w:val="000000"/>
                    </w:rPr>
                  </w:pPr>
                  <w:r>
                    <w:t>2.3.4. Regroupements d'élèves</w:t>
                  </w:r>
                  <w:r>
                    <w:rPr>
                      <w:color w:val="000000"/>
                      <w:spacing w:val="-1"/>
                    </w:rPr>
                    <w:t xml:space="preserve"> </w:t>
                  </w:r>
                </w:p>
                <w:p w:rsidR="00F04EEF" w:rsidRDefault="00F04EEF">
                  <w:pPr>
                    <w:widowControl w:val="0"/>
                    <w:autoSpaceDE w:val="0"/>
                    <w:autoSpaceDN w:val="0"/>
                    <w:adjustRightInd w:val="0"/>
                    <w:spacing w:before="10" w:line="240" w:lineRule="exact"/>
                    <w:rPr>
                      <w:rFonts w:cs="Georgia"/>
                      <w:color w:val="000000"/>
                    </w:rPr>
                  </w:pPr>
                </w:p>
                <w:p w:rsidR="00F04EEF" w:rsidRDefault="0099351E">
                  <w:pPr>
                    <w:widowControl w:val="0"/>
                    <w:autoSpaceDE w:val="0"/>
                    <w:autoSpaceDN w:val="0"/>
                    <w:adjustRightInd w:val="0"/>
                    <w:jc w:val="both"/>
                    <w:rPr>
                      <w:rFonts w:cs="Georgia"/>
                      <w:color w:val="000000"/>
                    </w:rPr>
                  </w:pPr>
                  <w:r>
                    <w:rPr>
                      <w:rFonts w:cs="Georgia"/>
                      <w:color w:val="000000"/>
                      <w:spacing w:val="1"/>
                    </w:rPr>
                    <w:t>L</w:t>
                  </w:r>
                  <w:r>
                    <w:rPr>
                      <w:rFonts w:cs="Georgia"/>
                      <w:color w:val="000000"/>
                    </w:rPr>
                    <w:t>e</w:t>
                  </w:r>
                  <w:r>
                    <w:rPr>
                      <w:rFonts w:cs="Georgia"/>
                      <w:color w:val="000000"/>
                      <w:spacing w:val="1"/>
                    </w:rPr>
                    <w:t xml:space="preserve"> r</w:t>
                  </w:r>
                  <w:r>
                    <w:rPr>
                      <w:rFonts w:cs="Georgia"/>
                      <w:color w:val="000000"/>
                      <w:spacing w:val="-1"/>
                    </w:rPr>
                    <w:t>e</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rPr>
                    <w:t>m</w:t>
                  </w:r>
                  <w:r>
                    <w:rPr>
                      <w:rFonts w:cs="Georgia"/>
                      <w:color w:val="000000"/>
                      <w:spacing w:val="-1"/>
                    </w:rPr>
                    <w:t>en</w:t>
                  </w:r>
                  <w:r>
                    <w:rPr>
                      <w:rFonts w:cs="Georgia"/>
                      <w:color w:val="000000"/>
                    </w:rPr>
                    <w:t>t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rPr>
                    <w:t>ut d</w:t>
                  </w:r>
                  <w:r>
                    <w:rPr>
                      <w:rFonts w:cs="Georgia"/>
                      <w:color w:val="000000"/>
                      <w:spacing w:val="1"/>
                    </w:rPr>
                    <w:t>o</w:t>
                  </w:r>
                  <w:r>
                    <w:rPr>
                      <w:rFonts w:cs="Georgia"/>
                      <w:color w:val="000000"/>
                      <w:spacing w:val="-1"/>
                    </w:rPr>
                    <w:t>nne</w:t>
                  </w:r>
                  <w:r>
                    <w:rPr>
                      <w:rFonts w:cs="Georgia"/>
                      <w:color w:val="000000"/>
                    </w:rPr>
                    <w:t xml:space="preserve">r </w:t>
                  </w:r>
                  <w:r>
                    <w:rPr>
                      <w:rFonts w:cs="Georgia"/>
                      <w:color w:val="000000"/>
                      <w:spacing w:val="-1"/>
                    </w:rPr>
                    <w:t>l</w:t>
                  </w:r>
                  <w:r>
                    <w:rPr>
                      <w:rFonts w:cs="Georgia"/>
                      <w:color w:val="000000"/>
                    </w:rPr>
                    <w:t>i</w:t>
                  </w:r>
                  <w:r>
                    <w:rPr>
                      <w:rFonts w:cs="Georgia"/>
                      <w:color w:val="000000"/>
                      <w:spacing w:val="-1"/>
                    </w:rPr>
                    <w:t>e</w:t>
                  </w:r>
                  <w:r>
                    <w:rPr>
                      <w:rFonts w:cs="Georgia"/>
                      <w:color w:val="000000"/>
                    </w:rPr>
                    <w:t>u</w:t>
                  </w:r>
                  <w:r>
                    <w:rPr>
                      <w:rFonts w:cs="Georgia"/>
                      <w:color w:val="000000"/>
                      <w:spacing w:val="2"/>
                    </w:rPr>
                    <w:t xml:space="preserve"> </w:t>
                  </w:r>
                  <w:r>
                    <w:rPr>
                      <w:rFonts w:cs="Georgia"/>
                      <w:color w:val="000000"/>
                    </w:rPr>
                    <w:t>à</w:t>
                  </w:r>
                  <w:r>
                    <w:rPr>
                      <w:rFonts w:cs="Georgia"/>
                      <w:color w:val="000000"/>
                      <w:spacing w:val="1"/>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co</w:t>
                  </w:r>
                  <w:r>
                    <w:rPr>
                      <w:rFonts w:cs="Georgia"/>
                      <w:color w:val="000000"/>
                      <w:spacing w:val="-3"/>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rPr>
                    <w:t>"</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spacing w:val="-2"/>
                    </w:rPr>
                    <w:t>s</w:t>
                  </w:r>
                  <w:r>
                    <w:rPr>
                      <w:rFonts w:cs="Georgia"/>
                      <w:color w:val="000000"/>
                    </w:rPr>
                    <w:t>"</w:t>
                  </w:r>
                  <w:r>
                    <w:rPr>
                      <w:rFonts w:cs="Georgia"/>
                      <w:color w:val="000000"/>
                      <w:spacing w:val="2"/>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2"/>
                    </w:rPr>
                    <w:t>"</w:t>
                  </w:r>
                  <w:r>
                    <w:rPr>
                      <w:rFonts w:cs="Georgia"/>
                      <w:color w:val="000000"/>
                      <w:spacing w:val="1"/>
                    </w:rPr>
                    <w:t>c</w:t>
                  </w:r>
                  <w:r>
                    <w:rPr>
                      <w:rFonts w:cs="Georgia"/>
                      <w:color w:val="000000"/>
                      <w:spacing w:val="-1"/>
                    </w:rPr>
                    <w:t>la</w:t>
                  </w:r>
                  <w:r>
                    <w:rPr>
                      <w:rFonts w:cs="Georgia"/>
                      <w:color w:val="000000"/>
                      <w:spacing w:val="1"/>
                    </w:rPr>
                    <w:t>ss</w:t>
                  </w:r>
                  <w:r>
                    <w:rPr>
                      <w:rFonts w:cs="Georgia"/>
                      <w:color w:val="000000"/>
                      <w:spacing w:val="-1"/>
                    </w:rPr>
                    <w:t>e</w:t>
                  </w:r>
                  <w:r>
                    <w:rPr>
                      <w:rFonts w:cs="Georgia"/>
                      <w:color w:val="000000"/>
                      <w:spacing w:val="1"/>
                    </w:rPr>
                    <w:t>s</w:t>
                  </w:r>
                  <w:r>
                    <w:rPr>
                      <w:rFonts w:cs="Georgia"/>
                      <w:color w:val="000000"/>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a</w:t>
                  </w:r>
                  <w:r>
                    <w:rPr>
                      <w:rFonts w:cs="Georgia"/>
                      <w:color w:val="000000"/>
                      <w:spacing w:val="-3"/>
                    </w:rPr>
                    <w:t>n</w:t>
                  </w:r>
                  <w:r>
                    <w:rPr>
                      <w:rFonts w:cs="Georgia"/>
                      <w:color w:val="000000"/>
                    </w:rPr>
                    <w:t xml:space="preserve">t </w:t>
                  </w:r>
                  <w:r>
                    <w:rPr>
                      <w:rFonts w:cs="Georgia"/>
                      <w:color w:val="000000"/>
                      <w:spacing w:val="1"/>
                    </w:rPr>
                    <w:t>p</w:t>
                  </w:r>
                  <w:r>
                    <w:rPr>
                      <w:rFonts w:cs="Georgia"/>
                      <w:color w:val="000000"/>
                      <w:spacing w:val="-1"/>
                    </w:rPr>
                    <w:t>l</w:t>
                  </w:r>
                  <w:r>
                    <w:rPr>
                      <w:rFonts w:cs="Georgia"/>
                      <w:color w:val="000000"/>
                    </w:rPr>
                    <w:t>us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ue</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o</w:t>
                  </w:r>
                  <w:r>
                    <w:rPr>
                      <w:rFonts w:cs="Georgia"/>
                      <w:color w:val="000000"/>
                      <w:spacing w:val="-2"/>
                    </w:rPr>
                    <w:t>u</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spacing w:val="-3"/>
                    </w:rPr>
                    <w:t>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w:t>
                  </w:r>
                  <w:r>
                    <w:rPr>
                      <w:rFonts w:cs="Georgia"/>
                      <w:color w:val="000000"/>
                      <w:spacing w:val="-2"/>
                    </w:rPr>
                    <w:t>u</w:t>
                  </w:r>
                  <w:r>
                    <w:rPr>
                      <w:rFonts w:cs="Georgia"/>
                      <w:color w:val="000000"/>
                    </w:rPr>
                    <w:t>i</w:t>
                  </w:r>
                  <w:r>
                    <w:rPr>
                      <w:rFonts w:cs="Georgia"/>
                      <w:color w:val="000000"/>
                      <w:spacing w:val="-2"/>
                    </w:rPr>
                    <w:t>d</w:t>
                  </w:r>
                  <w:r>
                    <w:rPr>
                      <w:rFonts w:cs="Georgia"/>
                      <w:color w:val="000000"/>
                      <w:spacing w:val="-1"/>
                    </w:rPr>
                    <w:t>e</w:t>
                  </w:r>
                  <w:r>
                    <w:rPr>
                      <w:rFonts w:cs="Georgia"/>
                      <w:color w:val="000000"/>
                    </w:rPr>
                    <w:t>.</w:t>
                  </w:r>
                  <w:r>
                    <w:rPr>
                      <w:rFonts w:cs="Georgia"/>
                      <w:color w:val="000000"/>
                      <w:spacing w:val="2"/>
                    </w:rPr>
                    <w:t xml:space="preserve"> </w:t>
                  </w:r>
                  <w:r>
                    <w:rPr>
                      <w:rFonts w:cs="Georgia"/>
                      <w:color w:val="000000"/>
                      <w:spacing w:val="1"/>
                    </w:rPr>
                    <w:t>S</w:t>
                  </w:r>
                  <w:r>
                    <w:rPr>
                      <w:rFonts w:cs="Georgia"/>
                      <w:color w:val="000000"/>
                    </w:rPr>
                    <w:t>i 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rPr>
                    <w:t>s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2"/>
                    </w:rPr>
                    <w:t>d</w:t>
                  </w:r>
                  <w:r>
                    <w:rPr>
                      <w:rFonts w:cs="Georgia"/>
                      <w:color w:val="000000"/>
                    </w:rPr>
                    <w:t>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t</w:t>
                  </w:r>
                  <w:r>
                    <w:rPr>
                      <w:rFonts w:cs="Georgia"/>
                      <w:color w:val="000000"/>
                      <w:spacing w:val="-3"/>
                    </w:rPr>
                    <w:t>y</w:t>
                  </w:r>
                  <w:r>
                    <w:rPr>
                      <w:rFonts w:cs="Georgia"/>
                      <w:color w:val="000000"/>
                      <w:spacing w:val="1"/>
                    </w:rPr>
                    <w:t>p</w:t>
                  </w:r>
                  <w:r>
                    <w:rPr>
                      <w:rFonts w:cs="Georgia"/>
                      <w:color w:val="000000"/>
                      <w:spacing w:val="-1"/>
                    </w:rPr>
                    <w:t xml:space="preserve">es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é</w:t>
                  </w:r>
                  <w:r>
                    <w:rPr>
                      <w:rFonts w:cs="Georgia"/>
                      <w:color w:val="000000"/>
                      <w:spacing w:val="-2"/>
                    </w:rPr>
                    <w:t>u</w:t>
                  </w:r>
                  <w:r>
                    <w:rPr>
                      <w:rFonts w:cs="Georgia"/>
                      <w:color w:val="000000"/>
                      <w:spacing w:val="-1"/>
                    </w:rPr>
                    <w:t>n</w:t>
                  </w:r>
                  <w:r>
                    <w:rPr>
                      <w:rFonts w:cs="Georgia"/>
                      <w:color w:val="000000"/>
                    </w:rPr>
                    <w:t>i</w:t>
                  </w:r>
                  <w:r>
                    <w:rPr>
                      <w:rFonts w:cs="Georgia"/>
                      <w:color w:val="000000"/>
                      <w:spacing w:val="1"/>
                    </w:rPr>
                    <w:t>s</w:t>
                  </w:r>
                  <w:r>
                    <w:rPr>
                      <w:rFonts w:cs="Georgia"/>
                      <w:color w:val="000000"/>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3"/>
                    </w:rPr>
                    <w:t>l</w:t>
                  </w:r>
                  <w:r>
                    <w:rPr>
                      <w:rFonts w:cs="Georgia"/>
                      <w:color w:val="000000"/>
                    </w:rPr>
                    <w:t xml:space="preserve">us </w:t>
                  </w:r>
                  <w:r>
                    <w:rPr>
                      <w:rFonts w:cs="Georgia"/>
                      <w:color w:val="000000"/>
                      <w:spacing w:val="-1"/>
                    </w:rPr>
                    <w:t>éle</w:t>
                  </w:r>
                  <w:r>
                    <w:rPr>
                      <w:rFonts w:cs="Georgia"/>
                      <w:color w:val="000000"/>
                      <w:spacing w:val="1"/>
                    </w:rPr>
                    <w:t>v</w:t>
                  </w:r>
                  <w:r>
                    <w:rPr>
                      <w:rFonts w:cs="Georgia"/>
                      <w:color w:val="000000"/>
                    </w:rPr>
                    <w:t>é</w:t>
                  </w:r>
                  <w:r>
                    <w:rPr>
                      <w:rFonts w:cs="Georgia"/>
                      <w:color w:val="000000"/>
                      <w:spacing w:val="-1"/>
                    </w:rPr>
                    <w:t xml:space="preserve"> e</w:t>
                  </w:r>
                  <w:r>
                    <w:rPr>
                      <w:rFonts w:cs="Georgia"/>
                      <w:color w:val="000000"/>
                      <w:spacing w:val="1"/>
                    </w:rPr>
                    <w:t>s</w:t>
                  </w:r>
                  <w:r>
                    <w:rPr>
                      <w:rFonts w:cs="Georgia"/>
                      <w:color w:val="000000"/>
                    </w:rPr>
                    <w:t xml:space="preserve">t </w:t>
                  </w:r>
                  <w:r>
                    <w:rPr>
                      <w:rFonts w:cs="Georgia"/>
                      <w:color w:val="000000"/>
                      <w:spacing w:val="1"/>
                    </w:rPr>
                    <w:t>pr</w:t>
                  </w:r>
                  <w:r>
                    <w:rPr>
                      <w:rFonts w:cs="Georgia"/>
                      <w:color w:val="000000"/>
                      <w:spacing w:val="-2"/>
                    </w:rPr>
                    <w:t>i</w:t>
                  </w:r>
                  <w:r>
                    <w:rPr>
                      <w:rFonts w:cs="Georgia"/>
                      <w:color w:val="000000"/>
                    </w:rPr>
                    <w:t xml:space="preserve">s </w:t>
                  </w:r>
                  <w:r>
                    <w:rPr>
                      <w:rFonts w:cs="Georgia"/>
                      <w:color w:val="000000"/>
                      <w:spacing w:val="-1"/>
                    </w:rPr>
                    <w:t>e</w:t>
                  </w:r>
                  <w:r>
                    <w:rPr>
                      <w:rFonts w:cs="Georgia"/>
                      <w:color w:val="000000"/>
                    </w:rPr>
                    <w:t>n</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s</w:t>
                  </w:r>
                  <w:r>
                    <w:rPr>
                      <w:rFonts w:cs="Georgia"/>
                      <w:color w:val="000000"/>
                      <w:spacing w:val="-2"/>
                    </w:rPr>
                    <w:t>i</w:t>
                  </w:r>
                  <w:r>
                    <w:rPr>
                      <w:rFonts w:cs="Georgia"/>
                      <w:color w:val="000000"/>
                    </w:rPr>
                    <w:t>d</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 (voir point 3.2.1)</w:t>
                  </w:r>
                  <w:r>
                    <w:rPr>
                      <w:rFonts w:cs="Georgia"/>
                      <w:color w:val="000000"/>
                    </w:rPr>
                    <w:t>.</w:t>
                  </w:r>
                </w:p>
                <w:p w:rsidR="00F04EEF" w:rsidRDefault="00F04EEF">
                  <w:pPr>
                    <w:widowControl w:val="0"/>
                    <w:autoSpaceDE w:val="0"/>
                    <w:autoSpaceDN w:val="0"/>
                    <w:adjustRightInd w:val="0"/>
                    <w:spacing w:before="10"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b/>
                      <w:color w:val="000000"/>
                    </w:rPr>
                    <w:t>P</w:t>
                  </w:r>
                  <w:r>
                    <w:rPr>
                      <w:rFonts w:cs="Georgia"/>
                      <w:b/>
                      <w:color w:val="000000"/>
                      <w:spacing w:val="-1"/>
                    </w:rPr>
                    <w:t>a</w:t>
                  </w:r>
                  <w:r>
                    <w:rPr>
                      <w:rFonts w:cs="Georgia"/>
                      <w:b/>
                      <w:color w:val="000000"/>
                    </w:rPr>
                    <w:t>r</w:t>
                  </w:r>
                  <w:r>
                    <w:rPr>
                      <w:rFonts w:cs="Georgia"/>
                      <w:b/>
                      <w:color w:val="000000"/>
                      <w:spacing w:val="5"/>
                    </w:rPr>
                    <w:t xml:space="preserve"> </w:t>
                  </w:r>
                  <w:r>
                    <w:rPr>
                      <w:rFonts w:cs="Georgia"/>
                      <w:b/>
                      <w:color w:val="000000"/>
                      <w:spacing w:val="-2"/>
                    </w:rPr>
                    <w:t>c</w:t>
                  </w:r>
                  <w:r>
                    <w:rPr>
                      <w:rFonts w:cs="Georgia"/>
                      <w:b/>
                      <w:color w:val="000000"/>
                      <w:spacing w:val="1"/>
                    </w:rPr>
                    <w:t>o</w:t>
                  </w:r>
                  <w:r>
                    <w:rPr>
                      <w:rFonts w:cs="Georgia"/>
                      <w:b/>
                      <w:color w:val="000000"/>
                      <w:spacing w:val="-1"/>
                    </w:rPr>
                    <w:t>n</w:t>
                  </w:r>
                  <w:r>
                    <w:rPr>
                      <w:rFonts w:cs="Georgia"/>
                      <w:b/>
                      <w:color w:val="000000"/>
                      <w:spacing w:val="1"/>
                    </w:rPr>
                    <w:t>tr</w:t>
                  </w:r>
                  <w:r>
                    <w:rPr>
                      <w:rFonts w:cs="Georgia"/>
                      <w:b/>
                      <w:color w:val="000000"/>
                      <w:spacing w:val="-1"/>
                    </w:rPr>
                    <w:t>e</w:t>
                  </w:r>
                  <w:r>
                    <w:rPr>
                      <w:rFonts w:cs="Georgia"/>
                      <w:b/>
                      <w:color w:val="000000"/>
                    </w:rPr>
                    <w:t>,</w:t>
                  </w:r>
                  <w:r>
                    <w:rPr>
                      <w:rFonts w:cs="Georgia"/>
                      <w:b/>
                      <w:color w:val="000000"/>
                      <w:spacing w:val="2"/>
                    </w:rPr>
                    <w:t xml:space="preserve"> </w:t>
                  </w:r>
                  <w:r>
                    <w:rPr>
                      <w:rFonts w:cs="Georgia"/>
                      <w:b/>
                      <w:color w:val="000000"/>
                      <w:spacing w:val="-1"/>
                    </w:rPr>
                    <w:t>p</w:t>
                  </w:r>
                  <w:r>
                    <w:rPr>
                      <w:rFonts w:cs="Georgia"/>
                      <w:b/>
                      <w:color w:val="000000"/>
                      <w:spacing w:val="1"/>
                    </w:rPr>
                    <w:t>o</w:t>
                  </w:r>
                  <w:r>
                    <w:rPr>
                      <w:rFonts w:cs="Georgia"/>
                      <w:b/>
                      <w:color w:val="000000"/>
                      <w:spacing w:val="-2"/>
                    </w:rPr>
                    <w:t>u</w:t>
                  </w:r>
                  <w:r>
                    <w:rPr>
                      <w:rFonts w:cs="Georgia"/>
                      <w:b/>
                      <w:color w:val="000000"/>
                    </w:rPr>
                    <w:t>r</w:t>
                  </w:r>
                  <w:r>
                    <w:rPr>
                      <w:rFonts w:cs="Georgia"/>
                      <w:b/>
                      <w:color w:val="000000"/>
                      <w:spacing w:val="5"/>
                    </w:rPr>
                    <w:t xml:space="preserve"> </w:t>
                  </w:r>
                  <w:r>
                    <w:rPr>
                      <w:rFonts w:cs="Georgia"/>
                      <w:b/>
                      <w:color w:val="000000"/>
                      <w:spacing w:val="-1"/>
                    </w:rPr>
                    <w:t>le</w:t>
                  </w:r>
                  <w:r>
                    <w:rPr>
                      <w:rFonts w:cs="Georgia"/>
                      <w:b/>
                      <w:color w:val="000000"/>
                    </w:rPr>
                    <w:t>s</w:t>
                  </w:r>
                  <w:r>
                    <w:rPr>
                      <w:rFonts w:cs="Georgia"/>
                      <w:b/>
                      <w:color w:val="000000"/>
                      <w:spacing w:val="2"/>
                    </w:rPr>
                    <w:t xml:space="preserve"> </w:t>
                  </w:r>
                  <w:r>
                    <w:rPr>
                      <w:rFonts w:cs="Georgia"/>
                      <w:b/>
                      <w:color w:val="000000"/>
                      <w:spacing w:val="1"/>
                    </w:rPr>
                    <w:t>r</w:t>
                  </w:r>
                  <w:r>
                    <w:rPr>
                      <w:rFonts w:cs="Georgia"/>
                      <w:b/>
                      <w:color w:val="000000"/>
                      <w:spacing w:val="-1"/>
                    </w:rPr>
                    <w:t>e</w:t>
                  </w:r>
                  <w:r>
                    <w:rPr>
                      <w:rFonts w:cs="Georgia"/>
                      <w:b/>
                      <w:color w:val="000000"/>
                    </w:rPr>
                    <w:t>g</w:t>
                  </w:r>
                  <w:r>
                    <w:rPr>
                      <w:rFonts w:cs="Georgia"/>
                      <w:b/>
                      <w:color w:val="000000"/>
                      <w:spacing w:val="-2"/>
                    </w:rPr>
                    <w:t>r</w:t>
                  </w:r>
                  <w:r>
                    <w:rPr>
                      <w:rFonts w:cs="Georgia"/>
                      <w:b/>
                      <w:color w:val="000000"/>
                      <w:spacing w:val="1"/>
                    </w:rPr>
                    <w:t>o</w:t>
                  </w:r>
                  <w:r>
                    <w:rPr>
                      <w:rFonts w:cs="Georgia"/>
                      <w:b/>
                      <w:color w:val="000000"/>
                    </w:rPr>
                    <w:t>u</w:t>
                  </w:r>
                  <w:r>
                    <w:rPr>
                      <w:rFonts w:cs="Georgia"/>
                      <w:b/>
                      <w:color w:val="000000"/>
                      <w:spacing w:val="1"/>
                    </w:rPr>
                    <w:t>p</w:t>
                  </w:r>
                  <w:r>
                    <w:rPr>
                      <w:rFonts w:cs="Georgia"/>
                      <w:b/>
                      <w:color w:val="000000"/>
                      <w:spacing w:val="-1"/>
                    </w:rPr>
                    <w:t>e</w:t>
                  </w:r>
                  <w:r>
                    <w:rPr>
                      <w:rFonts w:cs="Georgia"/>
                      <w:b/>
                      <w:color w:val="000000"/>
                    </w:rPr>
                    <w:t>m</w:t>
                  </w:r>
                  <w:r>
                    <w:rPr>
                      <w:rFonts w:cs="Georgia"/>
                      <w:b/>
                      <w:color w:val="000000"/>
                      <w:spacing w:val="-1"/>
                    </w:rPr>
                    <w:t>en</w:t>
                  </w:r>
                  <w:r>
                    <w:rPr>
                      <w:rFonts w:cs="Georgia"/>
                      <w:b/>
                      <w:color w:val="000000"/>
                      <w:spacing w:val="-2"/>
                    </w:rPr>
                    <w:t>t</w:t>
                  </w:r>
                  <w:r>
                    <w:rPr>
                      <w:rFonts w:cs="Georgia"/>
                      <w:b/>
                      <w:color w:val="000000"/>
                    </w:rPr>
                    <w:t>s</w:t>
                  </w:r>
                  <w:r>
                    <w:rPr>
                      <w:rFonts w:cs="Georgia"/>
                      <w:b/>
                      <w:color w:val="000000"/>
                      <w:spacing w:val="5"/>
                    </w:rPr>
                    <w:t xml:space="preserve"> </w:t>
                  </w:r>
                  <w:r>
                    <w:rPr>
                      <w:rFonts w:cs="Georgia"/>
                      <w:b/>
                      <w:color w:val="000000"/>
                      <w:spacing w:val="-2"/>
                    </w:rPr>
                    <w:t>d</w:t>
                  </w:r>
                  <w:r>
                    <w:rPr>
                      <w:rFonts w:cs="Georgia"/>
                      <w:b/>
                      <w:color w:val="000000"/>
                    </w:rPr>
                    <w:t>’</w:t>
                  </w:r>
                  <w:r>
                    <w:rPr>
                      <w:rFonts w:cs="Georgia"/>
                      <w:b/>
                      <w:color w:val="000000"/>
                      <w:spacing w:val="-1"/>
                    </w:rPr>
                    <w:t>élè</w:t>
                  </w:r>
                  <w:r>
                    <w:rPr>
                      <w:rFonts w:cs="Georgia"/>
                      <w:b/>
                      <w:color w:val="000000"/>
                      <w:spacing w:val="1"/>
                    </w:rPr>
                    <w:t>v</w:t>
                  </w:r>
                  <w:r>
                    <w:rPr>
                      <w:rFonts w:cs="Georgia"/>
                      <w:b/>
                      <w:color w:val="000000"/>
                      <w:spacing w:val="-1"/>
                    </w:rPr>
                    <w:t>e</w:t>
                  </w:r>
                  <w:r>
                    <w:rPr>
                      <w:rFonts w:cs="Georgia"/>
                      <w:b/>
                      <w:color w:val="000000"/>
                    </w:rPr>
                    <w:t>s</w:t>
                  </w:r>
                  <w:r>
                    <w:rPr>
                      <w:rFonts w:cs="Georgia"/>
                      <w:b/>
                      <w:color w:val="000000"/>
                      <w:spacing w:val="5"/>
                    </w:rPr>
                    <w:t xml:space="preserve"> </w:t>
                  </w:r>
                  <w:r>
                    <w:rPr>
                      <w:rFonts w:cs="Georgia"/>
                      <w:b/>
                      <w:color w:val="000000"/>
                    </w:rPr>
                    <w:t>de</w:t>
                  </w:r>
                  <w:r>
                    <w:rPr>
                      <w:rFonts w:cs="Georgia"/>
                      <w:b/>
                      <w:color w:val="000000"/>
                      <w:spacing w:val="3"/>
                    </w:rPr>
                    <w:t xml:space="preserve"> </w:t>
                  </w:r>
                  <w:r>
                    <w:rPr>
                      <w:rFonts w:cs="Georgia"/>
                      <w:b/>
                      <w:color w:val="000000"/>
                      <w:spacing w:val="-2"/>
                    </w:rPr>
                    <w:t>f</w:t>
                  </w:r>
                  <w:r>
                    <w:rPr>
                      <w:rFonts w:cs="Georgia"/>
                      <w:b/>
                      <w:color w:val="000000"/>
                      <w:spacing w:val="1"/>
                    </w:rPr>
                    <w:t>or</w:t>
                  </w:r>
                  <w:r>
                    <w:rPr>
                      <w:rFonts w:cs="Georgia"/>
                      <w:b/>
                      <w:color w:val="000000"/>
                    </w:rPr>
                    <w:t>me 3</w:t>
                  </w:r>
                  <w:r>
                    <w:rPr>
                      <w:rFonts w:cs="Georgia"/>
                      <w:b/>
                      <w:color w:val="000000"/>
                      <w:spacing w:val="4"/>
                    </w:rPr>
                    <w:t xml:space="preserve"> </w:t>
                  </w:r>
                  <w:r>
                    <w:rPr>
                      <w:rFonts w:cs="Georgia"/>
                      <w:b/>
                      <w:color w:val="000000"/>
                      <w:spacing w:val="-1"/>
                    </w:rPr>
                    <w:t>e</w:t>
                  </w:r>
                  <w:r>
                    <w:rPr>
                      <w:rFonts w:cs="Georgia"/>
                      <w:b/>
                      <w:color w:val="000000"/>
                    </w:rPr>
                    <w:t>t</w:t>
                  </w:r>
                  <w:r>
                    <w:rPr>
                      <w:rFonts w:cs="Georgia"/>
                      <w:b/>
                      <w:color w:val="000000"/>
                      <w:spacing w:val="2"/>
                    </w:rPr>
                    <w:t xml:space="preserve"> </w:t>
                  </w:r>
                  <w:r>
                    <w:rPr>
                      <w:rFonts w:cs="Georgia"/>
                      <w:b/>
                      <w:color w:val="000000"/>
                    </w:rPr>
                    <w:t>de</w:t>
                  </w:r>
                  <w:r>
                    <w:rPr>
                      <w:rFonts w:cs="Georgia"/>
                      <w:b/>
                      <w:color w:val="000000"/>
                      <w:spacing w:val="3"/>
                    </w:rPr>
                    <w:t xml:space="preserve"> </w:t>
                  </w:r>
                  <w:r>
                    <w:rPr>
                      <w:rFonts w:cs="Georgia"/>
                      <w:b/>
                      <w:color w:val="000000"/>
                      <w:spacing w:val="-2"/>
                    </w:rPr>
                    <w:t>f</w:t>
                  </w:r>
                  <w:r>
                    <w:rPr>
                      <w:rFonts w:cs="Georgia"/>
                      <w:b/>
                      <w:color w:val="000000"/>
                      <w:spacing w:val="1"/>
                    </w:rPr>
                    <w:t>or</w:t>
                  </w:r>
                  <w:r>
                    <w:rPr>
                      <w:rFonts w:cs="Georgia"/>
                      <w:b/>
                      <w:color w:val="000000"/>
                    </w:rPr>
                    <w:t>me</w:t>
                  </w:r>
                  <w:r>
                    <w:rPr>
                      <w:rFonts w:cs="Georgia"/>
                      <w:b/>
                      <w:color w:val="000000"/>
                      <w:spacing w:val="1"/>
                    </w:rPr>
                    <w:t xml:space="preserve"> </w:t>
                  </w:r>
                  <w:r>
                    <w:rPr>
                      <w:rFonts w:cs="Georgia"/>
                      <w:b/>
                      <w:color w:val="000000"/>
                    </w:rPr>
                    <w:t>4,</w:t>
                  </w:r>
                  <w:r>
                    <w:rPr>
                      <w:rFonts w:cs="Georgia"/>
                      <w:b/>
                      <w:color w:val="000000"/>
                      <w:spacing w:val="4"/>
                    </w:rPr>
                    <w:t xml:space="preserve"> </w:t>
                  </w:r>
                  <w:r>
                    <w:rPr>
                      <w:rFonts w:cs="Georgia"/>
                      <w:b/>
                      <w:color w:val="000000"/>
                      <w:spacing w:val="-1"/>
                    </w:rPr>
                    <w:t>l</w:t>
                  </w:r>
                  <w:r>
                    <w:rPr>
                      <w:rFonts w:cs="Georgia"/>
                      <w:b/>
                      <w:color w:val="000000"/>
                    </w:rPr>
                    <w:t>e</w:t>
                  </w:r>
                  <w:r>
                    <w:rPr>
                      <w:rFonts w:cs="Georgia"/>
                      <w:b/>
                      <w:color w:val="000000"/>
                      <w:spacing w:val="1"/>
                    </w:rPr>
                    <w:t xml:space="preserve"> </w:t>
                  </w:r>
                  <w:r>
                    <w:rPr>
                      <w:rFonts w:cs="Georgia"/>
                      <w:b/>
                      <w:color w:val="000000"/>
                      <w:spacing w:val="-1"/>
                    </w:rPr>
                    <w:t>n</w:t>
                  </w:r>
                  <w:r>
                    <w:rPr>
                      <w:rFonts w:cs="Georgia"/>
                      <w:b/>
                      <w:color w:val="000000"/>
                      <w:spacing w:val="1"/>
                    </w:rPr>
                    <w:t>o</w:t>
                  </w:r>
                  <w:r>
                    <w:rPr>
                      <w:rFonts w:cs="Georgia"/>
                      <w:b/>
                      <w:color w:val="000000"/>
                      <w:spacing w:val="-3"/>
                    </w:rPr>
                    <w:t>m</w:t>
                  </w:r>
                  <w:r>
                    <w:rPr>
                      <w:rFonts w:cs="Georgia"/>
                      <w:b/>
                      <w:color w:val="000000"/>
                      <w:spacing w:val="1"/>
                    </w:rPr>
                    <w:t>br</w:t>
                  </w:r>
                  <w:r>
                    <w:rPr>
                      <w:rFonts w:cs="Georgia"/>
                      <w:b/>
                      <w:color w:val="000000"/>
                    </w:rPr>
                    <w:t>e guide</w:t>
                  </w:r>
                  <w:r>
                    <w:rPr>
                      <w:rFonts w:cs="Georgia"/>
                      <w:b/>
                      <w:color w:val="000000"/>
                      <w:spacing w:val="3"/>
                    </w:rPr>
                    <w:t xml:space="preserve"> </w:t>
                  </w:r>
                  <w:r>
                    <w:rPr>
                      <w:rFonts w:cs="Georgia"/>
                      <w:b/>
                      <w:color w:val="000000"/>
                      <w:spacing w:val="-1"/>
                    </w:rPr>
                    <w:t>l</w:t>
                  </w:r>
                  <w:r>
                    <w:rPr>
                      <w:rFonts w:cs="Georgia"/>
                      <w:b/>
                      <w:color w:val="000000"/>
                    </w:rPr>
                    <w:t>e</w:t>
                  </w:r>
                  <w:r>
                    <w:rPr>
                      <w:rFonts w:cs="Georgia"/>
                      <w:b/>
                      <w:color w:val="000000"/>
                      <w:spacing w:val="3"/>
                    </w:rPr>
                    <w:t xml:space="preserve"> </w:t>
                  </w:r>
                  <w:r>
                    <w:rPr>
                      <w:rFonts w:cs="Georgia"/>
                      <w:b/>
                      <w:color w:val="000000"/>
                      <w:spacing w:val="-3"/>
                    </w:rPr>
                    <w:t>m</w:t>
                  </w:r>
                  <w:r>
                    <w:rPr>
                      <w:rFonts w:cs="Georgia"/>
                      <w:b/>
                      <w:color w:val="000000"/>
                      <w:spacing w:val="1"/>
                    </w:rPr>
                    <w:t>o</w:t>
                  </w:r>
                  <w:r>
                    <w:rPr>
                      <w:rFonts w:cs="Georgia"/>
                      <w:b/>
                      <w:color w:val="000000"/>
                    </w:rPr>
                    <w:t>i</w:t>
                  </w:r>
                  <w:r>
                    <w:rPr>
                      <w:rFonts w:cs="Georgia"/>
                      <w:b/>
                      <w:color w:val="000000"/>
                      <w:spacing w:val="-3"/>
                    </w:rPr>
                    <w:t>n</w:t>
                  </w:r>
                  <w:r>
                    <w:rPr>
                      <w:rFonts w:cs="Georgia"/>
                      <w:b/>
                      <w:color w:val="000000"/>
                    </w:rPr>
                    <w:t xml:space="preserve">s </w:t>
                  </w:r>
                  <w:r>
                    <w:rPr>
                      <w:rFonts w:cs="Georgia"/>
                      <w:b/>
                      <w:color w:val="000000"/>
                      <w:spacing w:val="-1"/>
                    </w:rPr>
                    <w:t>éle</w:t>
                  </w:r>
                  <w:r>
                    <w:rPr>
                      <w:rFonts w:cs="Georgia"/>
                      <w:b/>
                      <w:color w:val="000000"/>
                      <w:spacing w:val="1"/>
                    </w:rPr>
                    <w:t>v</w:t>
                  </w:r>
                  <w:r>
                    <w:rPr>
                      <w:rFonts w:cs="Georgia"/>
                      <w:b/>
                      <w:color w:val="000000"/>
                    </w:rPr>
                    <w:t>é</w:t>
                  </w:r>
                  <w:r>
                    <w:rPr>
                      <w:rFonts w:cs="Georgia"/>
                      <w:b/>
                      <w:color w:val="000000"/>
                      <w:spacing w:val="-1"/>
                    </w:rPr>
                    <w:t xml:space="preserve"> e</w:t>
                  </w:r>
                  <w:r>
                    <w:rPr>
                      <w:rFonts w:cs="Georgia"/>
                      <w:b/>
                      <w:color w:val="000000"/>
                      <w:spacing w:val="1"/>
                    </w:rPr>
                    <w:t>s</w:t>
                  </w:r>
                  <w:r>
                    <w:rPr>
                      <w:rFonts w:cs="Georgia"/>
                      <w:b/>
                      <w:color w:val="000000"/>
                    </w:rPr>
                    <w:t xml:space="preserve">t </w:t>
                  </w:r>
                  <w:r>
                    <w:rPr>
                      <w:rFonts w:cs="Georgia"/>
                      <w:b/>
                      <w:color w:val="000000"/>
                      <w:spacing w:val="1"/>
                    </w:rPr>
                    <w:t>pr</w:t>
                  </w:r>
                  <w:r>
                    <w:rPr>
                      <w:rFonts w:cs="Georgia"/>
                      <w:b/>
                      <w:color w:val="000000"/>
                    </w:rPr>
                    <w:t xml:space="preserve">is </w:t>
                  </w:r>
                  <w:r>
                    <w:rPr>
                      <w:rFonts w:cs="Georgia"/>
                      <w:b/>
                      <w:color w:val="000000"/>
                      <w:spacing w:val="-1"/>
                    </w:rPr>
                    <w:t>e</w:t>
                  </w:r>
                  <w:r>
                    <w:rPr>
                      <w:rFonts w:cs="Georgia"/>
                      <w:b/>
                      <w:color w:val="000000"/>
                    </w:rPr>
                    <w:t>n</w:t>
                  </w:r>
                  <w:r>
                    <w:rPr>
                      <w:rFonts w:cs="Georgia"/>
                      <w:b/>
                      <w:color w:val="000000"/>
                      <w:spacing w:val="-1"/>
                    </w:rPr>
                    <w:t xml:space="preserve"> </w:t>
                  </w:r>
                  <w:r>
                    <w:rPr>
                      <w:rFonts w:cs="Georgia"/>
                      <w:b/>
                      <w:color w:val="000000"/>
                      <w:spacing w:val="1"/>
                    </w:rPr>
                    <w:t>co</w:t>
                  </w:r>
                  <w:r>
                    <w:rPr>
                      <w:rFonts w:cs="Georgia"/>
                      <w:b/>
                      <w:color w:val="000000"/>
                      <w:spacing w:val="-3"/>
                    </w:rPr>
                    <w:t>n</w:t>
                  </w:r>
                  <w:r>
                    <w:rPr>
                      <w:rFonts w:cs="Georgia"/>
                      <w:b/>
                      <w:color w:val="000000"/>
                      <w:spacing w:val="1"/>
                    </w:rPr>
                    <w:t>s</w:t>
                  </w:r>
                  <w:r>
                    <w:rPr>
                      <w:rFonts w:cs="Georgia"/>
                      <w:b/>
                      <w:color w:val="000000"/>
                    </w:rPr>
                    <w:t>id</w:t>
                  </w:r>
                  <w:r>
                    <w:rPr>
                      <w:rFonts w:cs="Georgia"/>
                      <w:b/>
                      <w:color w:val="000000"/>
                      <w:spacing w:val="-1"/>
                    </w:rPr>
                    <w:t>é</w:t>
                  </w:r>
                  <w:r>
                    <w:rPr>
                      <w:rFonts w:cs="Georgia"/>
                      <w:b/>
                      <w:color w:val="000000"/>
                      <w:spacing w:val="-2"/>
                    </w:rPr>
                    <w:t>r</w:t>
                  </w:r>
                  <w:r>
                    <w:rPr>
                      <w:rFonts w:cs="Georgia"/>
                      <w:b/>
                      <w:color w:val="000000"/>
                      <w:spacing w:val="-1"/>
                    </w:rPr>
                    <w:t>a</w:t>
                  </w:r>
                  <w:r>
                    <w:rPr>
                      <w:rFonts w:cs="Georgia"/>
                      <w:b/>
                      <w:color w:val="000000"/>
                      <w:spacing w:val="1"/>
                    </w:rPr>
                    <w:t>t</w:t>
                  </w:r>
                  <w:r>
                    <w:rPr>
                      <w:rFonts w:cs="Georgia"/>
                      <w:b/>
                      <w:color w:val="000000"/>
                    </w:rPr>
                    <w:t>i</w:t>
                  </w:r>
                  <w:r>
                    <w:rPr>
                      <w:rFonts w:cs="Georgia"/>
                      <w:b/>
                      <w:color w:val="000000"/>
                      <w:spacing w:val="1"/>
                    </w:rPr>
                    <w:t>o</w:t>
                  </w:r>
                  <w:r>
                    <w:rPr>
                      <w:rFonts w:cs="Georgia"/>
                      <w:b/>
                      <w:color w:val="000000"/>
                      <w:spacing w:val="-1"/>
                    </w:rPr>
                    <w:t>n</w:t>
                  </w:r>
                  <w:r>
                    <w:rPr>
                      <w:rFonts w:cs="Georgia"/>
                      <w:color w:val="000000"/>
                    </w:rPr>
                    <w:t>.</w:t>
                  </w:r>
                </w:p>
                <w:p w:rsidR="00F04EEF" w:rsidRDefault="00F04EEF">
                  <w:pPr>
                    <w:widowControl w:val="0"/>
                    <w:autoSpaceDE w:val="0"/>
                    <w:autoSpaceDN w:val="0"/>
                    <w:adjustRightInd w:val="0"/>
                    <w:spacing w:before="7" w:line="240" w:lineRule="exact"/>
                    <w:rPr>
                      <w:rFonts w:cs="Georgia"/>
                      <w:color w:val="000000"/>
                    </w:rPr>
                  </w:pPr>
                </w:p>
                <w:p w:rsidR="00F04EEF" w:rsidRDefault="0099351E">
                  <w:pPr>
                    <w:widowControl w:val="0"/>
                    <w:autoSpaceDE w:val="0"/>
                    <w:autoSpaceDN w:val="0"/>
                    <w:adjustRightInd w:val="0"/>
                    <w:jc w:val="both"/>
                    <w:rPr>
                      <w:rFonts w:cs="Georgia"/>
                      <w:color w:val="000000"/>
                    </w:rPr>
                  </w:pPr>
                  <w:r>
                    <w:rPr>
                      <w:rFonts w:cs="Georgia"/>
                      <w:color w:val="000000"/>
                      <w:spacing w:val="1"/>
                    </w:rPr>
                    <w:t>L</w:t>
                  </w:r>
                  <w:r>
                    <w:rPr>
                      <w:rFonts w:cs="Georgia"/>
                      <w:color w:val="000000"/>
                      <w:spacing w:val="-1"/>
                    </w:rPr>
                    <w:t>o</w:t>
                  </w:r>
                  <w:r>
                    <w:rPr>
                      <w:rFonts w:cs="Georgia"/>
                      <w:color w:val="000000"/>
                      <w:spacing w:val="1"/>
                    </w:rPr>
                    <w:t>rs</w:t>
                  </w:r>
                  <w:r>
                    <w:rPr>
                      <w:rFonts w:cs="Georgia"/>
                      <w:color w:val="000000"/>
                      <w:spacing w:val="-1"/>
                    </w:rPr>
                    <w:t>q</w:t>
                  </w:r>
                  <w:r>
                    <w:rPr>
                      <w:rFonts w:cs="Georgia"/>
                      <w:color w:val="000000"/>
                    </w:rPr>
                    <w:t xml:space="preserve">ue </w:t>
                  </w:r>
                  <w:r>
                    <w:rPr>
                      <w:rFonts w:cs="Georgia"/>
                      <w:color w:val="000000"/>
                      <w:spacing w:val="-1"/>
                    </w:rPr>
                    <w:t>le</w:t>
                  </w:r>
                  <w:r>
                    <w:rPr>
                      <w:rFonts w:cs="Georgia"/>
                      <w:color w:val="000000"/>
                    </w:rPr>
                    <w:t xml:space="preserve">s </w:t>
                  </w:r>
                  <w:r>
                    <w:rPr>
                      <w:rFonts w:cs="Georgia"/>
                      <w:color w:val="000000"/>
                      <w:spacing w:val="1"/>
                    </w:rPr>
                    <w:t>co</w:t>
                  </w:r>
                  <w:r>
                    <w:rPr>
                      <w:rFonts w:cs="Georgia"/>
                      <w:color w:val="000000"/>
                      <w:spacing w:val="-3"/>
                    </w:rPr>
                    <w:t>n</w:t>
                  </w:r>
                  <w:r>
                    <w:rPr>
                      <w:rFonts w:cs="Georgia"/>
                      <w:color w:val="000000"/>
                      <w:spacing w:val="1"/>
                    </w:rPr>
                    <w:t>t</w:t>
                  </w:r>
                  <w:r>
                    <w:rPr>
                      <w:rFonts w:cs="Georgia"/>
                      <w:color w:val="000000"/>
                      <w:spacing w:val="-1"/>
                    </w:rPr>
                    <w:t>en</w:t>
                  </w:r>
                  <w:r>
                    <w:rPr>
                      <w:rFonts w:cs="Georgia"/>
                      <w:color w:val="000000"/>
                    </w:rPr>
                    <w:t>us</w:t>
                  </w:r>
                  <w:r>
                    <w:rPr>
                      <w:rFonts w:cs="Georgia"/>
                      <w:color w:val="000000"/>
                      <w:spacing w:val="1"/>
                    </w:rPr>
                    <w:t xml:space="preserve"> </w:t>
                  </w:r>
                  <w:r>
                    <w:rPr>
                      <w:rFonts w:cs="Georgia"/>
                      <w:color w:val="000000"/>
                      <w:spacing w:val="-2"/>
                    </w:rPr>
                    <w:t>d</w:t>
                  </w:r>
                  <w:r>
                    <w:rPr>
                      <w:rFonts w:cs="Georgia"/>
                      <w:color w:val="000000"/>
                      <w:spacing w:val="-1"/>
                    </w:rPr>
                    <w:t>e</w:t>
                  </w:r>
                  <w:r>
                    <w:rPr>
                      <w:rFonts w:cs="Georgia"/>
                      <w:color w:val="000000"/>
                    </w:rPr>
                    <w:t xml:space="preserve">s </w:t>
                  </w:r>
                  <w:r>
                    <w:rPr>
                      <w:rFonts w:cs="Georgia"/>
                      <w:color w:val="000000"/>
                      <w:spacing w:val="3"/>
                    </w:rPr>
                    <w:t xml:space="preserve"> </w:t>
                  </w:r>
                  <w:r>
                    <w:rPr>
                      <w:rFonts w:cs="Georgia"/>
                      <w:color w:val="000000"/>
                      <w:spacing w:val="-1"/>
                    </w:rPr>
                    <w:t>p</w:t>
                  </w:r>
                  <w:r>
                    <w:rPr>
                      <w:rFonts w:cs="Georgia"/>
                      <w:color w:val="000000"/>
                      <w:spacing w:val="1"/>
                    </w:rPr>
                    <w:t>ro</w:t>
                  </w:r>
                  <w:r>
                    <w:rPr>
                      <w:rFonts w:cs="Georgia"/>
                      <w:color w:val="000000"/>
                      <w:spacing w:val="-2"/>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e</w:t>
                  </w:r>
                  <w:r>
                    <w:rPr>
                      <w:rFonts w:cs="Georgia"/>
                      <w:color w:val="000000"/>
                    </w:rPr>
                    <w:t xml:space="preserve">s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2"/>
                    </w:rPr>
                    <w:t>id</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 xml:space="preserve">s </w:t>
                  </w:r>
                  <w:r>
                    <w:rPr>
                      <w:rFonts w:cs="Georgia"/>
                      <w:color w:val="000000"/>
                      <w:spacing w:val="1"/>
                    </w:rPr>
                    <w:t>o</w:t>
                  </w:r>
                  <w:r>
                    <w:rPr>
                      <w:rFonts w:cs="Georgia"/>
                      <w:color w:val="000000"/>
                    </w:rPr>
                    <w:t xml:space="preserve">u </w:t>
                  </w:r>
                  <w:r>
                    <w:rPr>
                      <w:rFonts w:cs="Georgia"/>
                      <w:color w:val="000000"/>
                      <w:spacing w:val="-1"/>
                    </w:rPr>
                    <w:t>éq</w:t>
                  </w:r>
                  <w:r>
                    <w:rPr>
                      <w:rFonts w:cs="Georgia"/>
                      <w:color w:val="000000"/>
                    </w:rPr>
                    <w:t>ui</w:t>
                  </w:r>
                  <w:r>
                    <w:rPr>
                      <w:rFonts w:cs="Georgia"/>
                      <w:color w:val="000000"/>
                      <w:spacing w:val="1"/>
                    </w:rPr>
                    <w:t>v</w:t>
                  </w:r>
                  <w:r>
                    <w:rPr>
                      <w:rFonts w:cs="Georgia"/>
                      <w:color w:val="000000"/>
                      <w:spacing w:val="-1"/>
                    </w:rPr>
                    <w:t>alen</w:t>
                  </w:r>
                  <w:r>
                    <w:rPr>
                      <w:rFonts w:cs="Georgia"/>
                      <w:color w:val="000000"/>
                      <w:spacing w:val="1"/>
                    </w:rPr>
                    <w:t>t</w:t>
                  </w:r>
                  <w:r>
                    <w:rPr>
                      <w:rFonts w:cs="Georgia"/>
                      <w:color w:val="000000"/>
                      <w:spacing w:val="-2"/>
                    </w:rPr>
                    <w:t>s</w:t>
                  </w:r>
                  <w:r>
                    <w:rPr>
                      <w:rFonts w:cs="Georgia"/>
                      <w:color w:val="000000"/>
                    </w:rPr>
                    <w:t>, d</w:t>
                  </w:r>
                  <w:r>
                    <w:rPr>
                      <w:rFonts w:cs="Georgia"/>
                      <w:color w:val="000000"/>
                      <w:spacing w:val="-1"/>
                    </w:rPr>
                    <w:t>e</w:t>
                  </w:r>
                  <w:r>
                    <w:rPr>
                      <w:rFonts w:cs="Georgia"/>
                      <w:color w:val="000000"/>
                    </w:rPr>
                    <w:t>s</w:t>
                  </w:r>
                  <w:r>
                    <w:rPr>
                      <w:rFonts w:cs="Georgia"/>
                      <w:color w:val="000000"/>
                      <w:spacing w:val="1"/>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année</w:t>
                  </w:r>
                  <w:r>
                    <w:rPr>
                      <w:rFonts w:cs="Georgia"/>
                      <w:color w:val="000000"/>
                    </w:rPr>
                    <w:t>s d’</w:t>
                  </w:r>
                  <w:r>
                    <w:rPr>
                      <w:rFonts w:cs="Georgia"/>
                      <w:color w:val="000000"/>
                      <w:spacing w:val="-1"/>
                    </w:rPr>
                    <w:t>é</w:t>
                  </w:r>
                  <w:r>
                    <w:rPr>
                      <w:rFonts w:cs="Georgia"/>
                      <w:color w:val="000000"/>
                      <w:spacing w:val="1"/>
                    </w:rPr>
                    <w:t>t</w:t>
                  </w:r>
                  <w:r>
                    <w:rPr>
                      <w:rFonts w:cs="Georgia"/>
                      <w:color w:val="000000"/>
                    </w:rPr>
                    <w:t>ud</w:t>
                  </w:r>
                  <w:r>
                    <w:rPr>
                      <w:rFonts w:cs="Georgia"/>
                      <w:color w:val="000000"/>
                      <w:spacing w:val="-1"/>
                    </w:rPr>
                    <w:t>e</w:t>
                  </w:r>
                  <w:r>
                    <w:rPr>
                      <w:rFonts w:cs="Georgia"/>
                      <w:color w:val="000000"/>
                    </w:rPr>
                    <w:t xml:space="preserve">s </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2"/>
                    </w:rPr>
                    <w:t>r</w:t>
                  </w:r>
                  <w:r>
                    <w:rPr>
                      <w:rFonts w:cs="Georgia"/>
                      <w:color w:val="000000"/>
                    </w:rPr>
                    <w:t>m</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on</w:t>
                  </w:r>
                  <w:r>
                    <w:rPr>
                      <w:rFonts w:cs="Georgia"/>
                      <w:color w:val="000000"/>
                    </w:rPr>
                    <w:t>s</w:t>
                  </w:r>
                  <w:r>
                    <w:rPr>
                      <w:rFonts w:cs="Georgia"/>
                      <w:color w:val="000000"/>
                      <w:spacing w:val="2"/>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w:t>
                  </w:r>
                  <w:r>
                    <w:rPr>
                      <w:rFonts w:cs="Georgia"/>
                      <w:color w:val="000000"/>
                    </w:rPr>
                    <w:t>g</w:t>
                  </w:r>
                  <w:r>
                    <w:rPr>
                      <w:rFonts w:cs="Georgia"/>
                      <w:color w:val="000000"/>
                      <w:spacing w:val="1"/>
                    </w:rPr>
                    <w:t>ro</w:t>
                  </w:r>
                  <w:r>
                    <w:rPr>
                      <w:rFonts w:cs="Georgia"/>
                      <w:color w:val="000000"/>
                      <w:spacing w:val="-2"/>
                    </w:rPr>
                    <w:t>u</w:t>
                  </w:r>
                  <w:r>
                    <w:rPr>
                      <w:rFonts w:cs="Georgia"/>
                      <w:color w:val="000000"/>
                      <w:spacing w:val="1"/>
                    </w:rPr>
                    <w:t>p</w:t>
                  </w:r>
                  <w:r>
                    <w:rPr>
                      <w:rFonts w:cs="Georgia"/>
                      <w:color w:val="000000"/>
                      <w:spacing w:val="-1"/>
                    </w:rPr>
                    <w:t>é</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s</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e</w:t>
                  </w:r>
                  <w:r>
                    <w:rPr>
                      <w:rFonts w:cs="Georgia"/>
                      <w:color w:val="000000"/>
                    </w:rPr>
                    <w:t>ff</w:t>
                  </w:r>
                  <w:r>
                    <w:rPr>
                      <w:rFonts w:cs="Georgia"/>
                      <w:color w:val="000000"/>
                      <w:spacing w:val="-1"/>
                    </w:rPr>
                    <w:t>e</w:t>
                  </w:r>
                  <w:r>
                    <w:rPr>
                      <w:rFonts w:cs="Georgia"/>
                      <w:color w:val="000000"/>
                      <w:spacing w:val="1"/>
                    </w:rPr>
                    <w:t>ct</w:t>
                  </w:r>
                  <w:r>
                    <w:rPr>
                      <w:rFonts w:cs="Georgia"/>
                      <w:color w:val="000000"/>
                    </w:rPr>
                    <w:t>u</w:t>
                  </w:r>
                  <w:r>
                    <w:rPr>
                      <w:rFonts w:cs="Georgia"/>
                      <w:color w:val="000000"/>
                      <w:spacing w:val="-3"/>
                    </w:rPr>
                    <w:t>é</w:t>
                  </w:r>
                  <w:r>
                    <w:rPr>
                      <w:rFonts w:cs="Georgia"/>
                      <w:color w:val="000000"/>
                    </w:rPr>
                    <w:t xml:space="preserve">s </w:t>
                  </w:r>
                  <w:r>
                    <w:rPr>
                      <w:rFonts w:cs="Georgia"/>
                      <w:color w:val="000000"/>
                      <w:spacing w:val="-1"/>
                    </w:rPr>
                    <w:t>a</w:t>
                  </w:r>
                  <w:r>
                    <w:rPr>
                      <w:rFonts w:cs="Georgia"/>
                      <w:color w:val="000000"/>
                      <w:spacing w:val="1"/>
                    </w:rPr>
                    <w:t>pr</w:t>
                  </w:r>
                  <w:r>
                    <w:rPr>
                      <w:rFonts w:cs="Georgia"/>
                      <w:color w:val="000000"/>
                      <w:spacing w:val="-1"/>
                    </w:rPr>
                    <w:t>è</w:t>
                  </w:r>
                  <w:r>
                    <w:rPr>
                      <w:rFonts w:cs="Georgia"/>
                      <w:color w:val="000000"/>
                    </w:rPr>
                    <w:t xml:space="preserve">s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w:t>
                  </w:r>
                  <w:r>
                    <w:rPr>
                      <w:rFonts w:cs="Georgia"/>
                      <w:color w:val="000000"/>
                    </w:rPr>
                    <w:t>u</w:t>
                  </w:r>
                  <w:r>
                    <w:rPr>
                      <w:rFonts w:cs="Georgia"/>
                      <w:color w:val="000000"/>
                      <w:spacing w:val="-1"/>
                    </w:rPr>
                    <w:t>l</w:t>
                  </w:r>
                  <w:r>
                    <w:rPr>
                      <w:rFonts w:cs="Georgia"/>
                      <w:color w:val="000000"/>
                      <w:spacing w:val="1"/>
                    </w:rPr>
                    <w:t>t</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 i</w:t>
                  </w:r>
                  <w:r>
                    <w:rPr>
                      <w:rFonts w:cs="Georgia"/>
                      <w:color w:val="000000"/>
                      <w:spacing w:val="-3"/>
                    </w:rPr>
                    <w:t>n</w:t>
                  </w:r>
                  <w:r>
                    <w:rPr>
                      <w:rFonts w:cs="Georgia"/>
                      <w:color w:val="000000"/>
                      <w:spacing w:val="1"/>
                    </w:rPr>
                    <w:t>st</w:t>
                  </w:r>
                  <w:r>
                    <w:rPr>
                      <w:rFonts w:cs="Georgia"/>
                      <w:color w:val="000000"/>
                      <w:spacing w:val="-1"/>
                    </w:rPr>
                    <w:t>an</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lé</w:t>
                  </w:r>
                  <w:r>
                    <w:rPr>
                      <w:rFonts w:cs="Georgia"/>
                      <w:color w:val="000000"/>
                    </w:rPr>
                    <w:t>g</w:t>
                  </w:r>
                  <w:r>
                    <w:rPr>
                      <w:rFonts w:cs="Georgia"/>
                      <w:color w:val="000000"/>
                      <w:spacing w:val="-1"/>
                    </w:rPr>
                    <w:t>ale</w:t>
                  </w:r>
                  <w:r>
                    <w:rPr>
                      <w:rFonts w:cs="Georgia"/>
                      <w:color w:val="000000"/>
                    </w:rPr>
                    <w:t>s de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2"/>
                    </w:rPr>
                    <w:t>r</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rPr>
                    <w:t>.</w:t>
                  </w:r>
                </w:p>
                <w:p w:rsidR="00F04EEF" w:rsidRDefault="00F04EEF">
                  <w:pPr>
                    <w:widowControl w:val="0"/>
                    <w:autoSpaceDE w:val="0"/>
                    <w:autoSpaceDN w:val="0"/>
                    <w:adjustRightInd w:val="0"/>
                    <w:jc w:val="both"/>
                    <w:rPr>
                      <w:rFonts w:cs="Georgia"/>
                      <w:color w:val="000000"/>
                    </w:rPr>
                  </w:pPr>
                </w:p>
                <w:p w:rsidR="00F04EEF" w:rsidRDefault="0099351E">
                  <w:pPr>
                    <w:pStyle w:val="Titre5"/>
                  </w:pPr>
                  <w:r>
                    <w:t xml:space="preserve">2.3.5 Professeurs de pratique professionnelle </w:t>
                  </w:r>
                </w:p>
                <w:p w:rsidR="00F04EEF" w:rsidRDefault="00F04EEF">
                  <w:pPr>
                    <w:widowControl w:val="0"/>
                    <w:autoSpaceDE w:val="0"/>
                    <w:autoSpaceDN w:val="0"/>
                    <w:adjustRightInd w:val="0"/>
                    <w:spacing w:before="19" w:line="200" w:lineRule="exact"/>
                    <w:rPr>
                      <w:rFonts w:cs="Georgia"/>
                      <w:color w:val="000000"/>
                    </w:rPr>
                  </w:pPr>
                </w:p>
                <w:p w:rsidR="00F04EEF" w:rsidRDefault="0099351E">
                  <w:pPr>
                    <w:widowControl w:val="0"/>
                    <w:autoSpaceDE w:val="0"/>
                    <w:autoSpaceDN w:val="0"/>
                    <w:adjustRightInd w:val="0"/>
                    <w:spacing w:before="36"/>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spacing w:val="-2"/>
                    </w:rPr>
                    <w:t>u</w:t>
                  </w:r>
                  <w:r>
                    <w:rPr>
                      <w:rFonts w:cs="Georgia"/>
                      <w:color w:val="000000"/>
                      <w:spacing w:val="1"/>
                    </w:rPr>
                    <w:t>r</w:t>
                  </w:r>
                  <w:r>
                    <w:rPr>
                      <w:rFonts w:cs="Georgia"/>
                      <w:color w:val="000000"/>
                    </w:rPr>
                    <w:t xml:space="preserve">s de </w:t>
                  </w:r>
                  <w:r>
                    <w:rPr>
                      <w:rFonts w:cs="Georgia"/>
                      <w:color w:val="000000"/>
                      <w:spacing w:val="-1"/>
                    </w:rPr>
                    <w:t>p</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q</w:t>
                  </w:r>
                  <w:r>
                    <w:rPr>
                      <w:rFonts w:cs="Georgia"/>
                      <w:color w:val="000000"/>
                    </w:rPr>
                    <w:t xml:space="preserve">ue </w:t>
                  </w:r>
                  <w:r>
                    <w:rPr>
                      <w:rFonts w:cs="Georgia"/>
                      <w:color w:val="000000"/>
                      <w:spacing w:val="1"/>
                    </w:rPr>
                    <w:t>p</w:t>
                  </w:r>
                  <w:r>
                    <w:rPr>
                      <w:rFonts w:cs="Georgia"/>
                      <w:color w:val="000000"/>
                      <w:spacing w:val="-2"/>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2"/>
                    </w:rPr>
                    <w:t>s</w:t>
                  </w:r>
                  <w:r>
                    <w:rPr>
                      <w:rFonts w:cs="Georgia"/>
                      <w:color w:val="000000"/>
                      <w:spacing w:val="1"/>
                    </w:rPr>
                    <w:t>s</w:t>
                  </w:r>
                  <w:r>
                    <w:rPr>
                      <w:rFonts w:cs="Georgia"/>
                      <w:color w:val="000000"/>
                    </w:rPr>
                    <w:t>i</w:t>
                  </w:r>
                  <w:r>
                    <w:rPr>
                      <w:rFonts w:cs="Georgia"/>
                      <w:color w:val="000000"/>
                      <w:spacing w:val="1"/>
                    </w:rPr>
                    <w:t>o</w:t>
                  </w:r>
                  <w:r>
                    <w:rPr>
                      <w:rFonts w:cs="Georgia"/>
                      <w:color w:val="000000"/>
                      <w:spacing w:val="-1"/>
                    </w:rPr>
                    <w:t>nnell</w:t>
                  </w:r>
                  <w:r>
                    <w:rPr>
                      <w:rFonts w:cs="Georgia"/>
                      <w:color w:val="000000"/>
                    </w:rPr>
                    <w:t xml:space="preserve">e </w:t>
                  </w:r>
                  <w:r>
                    <w:rPr>
                      <w:rFonts w:cs="Georgia"/>
                      <w:color w:val="000000"/>
                      <w:spacing w:val="1"/>
                    </w:rPr>
                    <w:t>s</w:t>
                  </w:r>
                  <w:r>
                    <w:rPr>
                      <w:rFonts w:cs="Georgia"/>
                      <w:color w:val="000000"/>
                      <w:spacing w:val="-1"/>
                    </w:rPr>
                    <w:t>on</w:t>
                  </w:r>
                  <w:r>
                    <w:rPr>
                      <w:rFonts w:cs="Georgia"/>
                      <w:color w:val="000000"/>
                    </w:rPr>
                    <w:t xml:space="preserve">t </w:t>
                  </w:r>
                  <w:r>
                    <w:rPr>
                      <w:rFonts w:cs="Georgia"/>
                      <w:color w:val="000000"/>
                      <w:spacing w:val="1"/>
                    </w:rPr>
                    <w:t>h</w:t>
                  </w:r>
                  <w:r>
                    <w:rPr>
                      <w:rFonts w:cs="Georgia"/>
                      <w:color w:val="000000"/>
                      <w:spacing w:val="-3"/>
                    </w:rPr>
                    <w:t>a</w:t>
                  </w:r>
                  <w:r>
                    <w:rPr>
                      <w:rFonts w:cs="Georgia"/>
                      <w:color w:val="000000"/>
                      <w:spacing w:val="1"/>
                    </w:rPr>
                    <w:t>b</w:t>
                  </w:r>
                  <w:r>
                    <w:rPr>
                      <w:rFonts w:cs="Georgia"/>
                      <w:color w:val="000000"/>
                    </w:rPr>
                    <w:t>i</w:t>
                  </w:r>
                  <w:r>
                    <w:rPr>
                      <w:rFonts w:cs="Georgia"/>
                      <w:color w:val="000000"/>
                      <w:spacing w:val="-1"/>
                    </w:rPr>
                    <w:t>l</w:t>
                  </w:r>
                  <w:r>
                    <w:rPr>
                      <w:rFonts w:cs="Georgia"/>
                      <w:color w:val="000000"/>
                    </w:rPr>
                    <w:t>i</w:t>
                  </w:r>
                  <w:r>
                    <w:rPr>
                      <w:rFonts w:cs="Georgia"/>
                      <w:color w:val="000000"/>
                      <w:spacing w:val="1"/>
                    </w:rPr>
                    <w:t>t</w:t>
                  </w:r>
                  <w:r>
                    <w:rPr>
                      <w:rFonts w:cs="Georgia"/>
                      <w:color w:val="000000"/>
                      <w:spacing w:val="-1"/>
                    </w:rPr>
                    <w:t>é</w:t>
                  </w:r>
                  <w:r>
                    <w:rPr>
                      <w:rFonts w:cs="Georgia"/>
                      <w:color w:val="000000"/>
                    </w:rPr>
                    <w:t xml:space="preserve">s à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2"/>
                    </w:rPr>
                    <w:t>c</w:t>
                  </w:r>
                  <w:r>
                    <w:rPr>
                      <w:rFonts w:cs="Georgia"/>
                      <w:color w:val="000000"/>
                      <w:spacing w:val="1"/>
                    </w:rPr>
                    <w:t>o</w:t>
                  </w:r>
                  <w:r>
                    <w:rPr>
                      <w:rFonts w:cs="Georgia"/>
                      <w:color w:val="000000"/>
                    </w:rPr>
                    <w:t>u</w:t>
                  </w:r>
                  <w:r>
                    <w:rPr>
                      <w:rFonts w:cs="Georgia"/>
                      <w:color w:val="000000"/>
                      <w:spacing w:val="-2"/>
                    </w:rPr>
                    <w:t>r</w:t>
                  </w:r>
                  <w:r>
                    <w:rPr>
                      <w:rFonts w:cs="Georgia"/>
                      <w:color w:val="000000"/>
                    </w:rPr>
                    <w:t xml:space="preserve">s </w:t>
                  </w:r>
                  <w:r>
                    <w:rPr>
                      <w:rFonts w:cs="Georgia"/>
                      <w:color w:val="000000"/>
                      <w:spacing w:val="1"/>
                    </w:rPr>
                    <w:t>t</w:t>
                  </w:r>
                  <w:r>
                    <w:rPr>
                      <w:rFonts w:cs="Georgia"/>
                      <w:color w:val="000000"/>
                      <w:spacing w:val="-1"/>
                    </w:rPr>
                    <w:t>e</w:t>
                  </w:r>
                  <w:r>
                    <w:rPr>
                      <w:rFonts w:cs="Georgia"/>
                      <w:color w:val="000000"/>
                      <w:spacing w:val="-2"/>
                    </w:rPr>
                    <w:t>c</w:t>
                  </w:r>
                  <w:r>
                    <w:rPr>
                      <w:rFonts w:cs="Georgia"/>
                      <w:color w:val="000000"/>
                      <w:spacing w:val="1"/>
                    </w:rPr>
                    <w:t>h</w:t>
                  </w:r>
                  <w:r>
                    <w:rPr>
                      <w:rFonts w:cs="Georgia"/>
                      <w:color w:val="000000"/>
                      <w:spacing w:val="-1"/>
                    </w:rPr>
                    <w:t>n</w:t>
                  </w:r>
                  <w:r>
                    <w:rPr>
                      <w:rFonts w:cs="Georgia"/>
                      <w:color w:val="000000"/>
                    </w:rPr>
                    <w:t>i</w:t>
                  </w:r>
                  <w:r>
                    <w:rPr>
                      <w:rFonts w:cs="Georgia"/>
                      <w:color w:val="000000"/>
                      <w:spacing w:val="-1"/>
                    </w:rPr>
                    <w:t>q</w:t>
                  </w:r>
                  <w:r>
                    <w:rPr>
                      <w:rFonts w:cs="Georgia"/>
                      <w:color w:val="000000"/>
                    </w:rPr>
                    <w:t>u</w:t>
                  </w:r>
                  <w:r>
                    <w:rPr>
                      <w:rFonts w:cs="Georgia"/>
                      <w:color w:val="000000"/>
                      <w:spacing w:val="-3"/>
                    </w:rPr>
                    <w:t>e</w:t>
                  </w:r>
                  <w:r>
                    <w:rPr>
                      <w:rFonts w:cs="Georgia"/>
                      <w:color w:val="000000"/>
                    </w:rPr>
                    <w:t xml:space="preserve">s </w:t>
                  </w:r>
                  <w:r>
                    <w:rPr>
                      <w:rFonts w:cs="Georgia"/>
                      <w:color w:val="000000"/>
                      <w:spacing w:val="-1"/>
                    </w:rPr>
                    <w:t>a</w:t>
                  </w:r>
                  <w:r>
                    <w:rPr>
                      <w:rFonts w:cs="Georgia"/>
                      <w:color w:val="000000"/>
                    </w:rPr>
                    <w:t>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2"/>
                    </w:rPr>
                    <w:t xml:space="preserve"> </w:t>
                  </w:r>
                  <w:r>
                    <w:rPr>
                      <w:rFonts w:cs="Georgia"/>
                      <w:color w:val="000000"/>
                    </w:rPr>
                    <w:t>à</w:t>
                  </w:r>
                  <w:r>
                    <w:rPr>
                      <w:rFonts w:cs="Georgia"/>
                      <w:color w:val="000000"/>
                      <w:spacing w:val="1"/>
                    </w:rPr>
                    <w:t xml:space="preserve"> </w:t>
                  </w:r>
                  <w:r>
                    <w:rPr>
                      <w:rFonts w:cs="Georgia"/>
                      <w:color w:val="000000"/>
                      <w:spacing w:val="-1"/>
                    </w:rPr>
                    <w:t>le</w:t>
                  </w:r>
                  <w:r>
                    <w:rPr>
                      <w:rFonts w:cs="Georgia"/>
                      <w:color w:val="000000"/>
                    </w:rPr>
                    <w:t>ur</w:t>
                  </w:r>
                  <w:r>
                    <w:rPr>
                      <w:rFonts w:cs="Georgia"/>
                      <w:color w:val="000000"/>
                      <w:spacing w:val="2"/>
                    </w:rPr>
                    <w:t xml:space="preserve"> </w:t>
                  </w:r>
                  <w:r>
                    <w:rPr>
                      <w:rFonts w:cs="Georgia"/>
                      <w:color w:val="000000"/>
                      <w:spacing w:val="-2"/>
                    </w:rPr>
                    <w:t>d</w:t>
                  </w:r>
                  <w:r>
                    <w:rPr>
                      <w:rFonts w:cs="Georgia"/>
                      <w:color w:val="000000"/>
                    </w:rPr>
                    <w:t>i</w:t>
                  </w:r>
                  <w:r>
                    <w:rPr>
                      <w:rFonts w:cs="Georgia"/>
                      <w:color w:val="000000"/>
                      <w:spacing w:val="1"/>
                    </w:rPr>
                    <w:t>sc</w:t>
                  </w:r>
                  <w:r>
                    <w:rPr>
                      <w:rFonts w:cs="Georgia"/>
                      <w:color w:val="000000"/>
                      <w:spacing w:val="-2"/>
                    </w:rPr>
                    <w:t>i</w:t>
                  </w:r>
                  <w:r>
                    <w:rPr>
                      <w:rFonts w:cs="Georgia"/>
                      <w:color w:val="000000"/>
                      <w:spacing w:val="1"/>
                    </w:rPr>
                    <w:t>p</w:t>
                  </w:r>
                  <w:r>
                    <w:rPr>
                      <w:rFonts w:cs="Georgia"/>
                      <w:color w:val="000000"/>
                      <w:spacing w:val="-1"/>
                    </w:rPr>
                    <w:t>l</w:t>
                  </w:r>
                  <w:r>
                    <w:rPr>
                      <w:rFonts w:cs="Georgia"/>
                      <w:color w:val="000000"/>
                      <w:spacing w:val="-2"/>
                    </w:rPr>
                    <w:t>i</w:t>
                  </w:r>
                  <w:r>
                    <w:rPr>
                      <w:rFonts w:cs="Georgia"/>
                      <w:color w:val="000000"/>
                      <w:spacing w:val="-1"/>
                    </w:rPr>
                    <w:t>ne</w:t>
                  </w:r>
                  <w:r>
                    <w:rPr>
                      <w:rFonts w:cs="Georgia"/>
                      <w:color w:val="000000"/>
                    </w:rPr>
                    <w:t>,</w:t>
                  </w:r>
                  <w:r>
                    <w:rPr>
                      <w:rFonts w:cs="Georgia"/>
                      <w:color w:val="000000"/>
                      <w:spacing w:val="2"/>
                    </w:rPr>
                    <w:t xml:space="preserve"> </w:t>
                  </w:r>
                  <w:r>
                    <w:rPr>
                      <w:rFonts w:cs="Georgia"/>
                      <w:color w:val="000000"/>
                      <w:spacing w:val="1"/>
                    </w:rPr>
                    <w:t>po</w:t>
                  </w:r>
                  <w:r>
                    <w:rPr>
                      <w:rFonts w:cs="Georgia"/>
                      <w:color w:val="000000"/>
                      <w:spacing w:val="-2"/>
                    </w:rPr>
                    <w:t>u</w:t>
                  </w:r>
                  <w:r>
                    <w:rPr>
                      <w:rFonts w:cs="Georgia"/>
                      <w:color w:val="000000"/>
                    </w:rPr>
                    <w:t>r</w:t>
                  </w:r>
                  <w:r>
                    <w:rPr>
                      <w:rFonts w:cs="Georgia"/>
                      <w:color w:val="000000"/>
                      <w:spacing w:val="2"/>
                    </w:rPr>
                    <w:t xml:space="preserve"> </w:t>
                  </w:r>
                  <w:r>
                    <w:rPr>
                      <w:rFonts w:cs="Georgia"/>
                      <w:color w:val="000000"/>
                      <w:spacing w:val="-1"/>
                    </w:rPr>
                    <w:t>a</w:t>
                  </w:r>
                  <w:r>
                    <w:rPr>
                      <w:rFonts w:cs="Georgia"/>
                      <w:color w:val="000000"/>
                    </w:rPr>
                    <w:t>u</w:t>
                  </w:r>
                  <w:r>
                    <w:rPr>
                      <w:rFonts w:cs="Georgia"/>
                      <w:color w:val="000000"/>
                      <w:spacing w:val="1"/>
                    </w:rPr>
                    <w:t>t</w:t>
                  </w:r>
                  <w:r>
                    <w:rPr>
                      <w:rFonts w:cs="Georgia"/>
                      <w:color w:val="000000"/>
                      <w:spacing w:val="-1"/>
                    </w:rPr>
                    <w:t>an</w:t>
                  </w:r>
                  <w:r>
                    <w:rPr>
                      <w:rFonts w:cs="Georgia"/>
                      <w:color w:val="000000"/>
                    </w:rPr>
                    <w:t xml:space="preserve">t </w:t>
                  </w:r>
                  <w:r>
                    <w:rPr>
                      <w:rFonts w:cs="Georgia"/>
                      <w:color w:val="000000"/>
                      <w:spacing w:val="-1"/>
                    </w:rPr>
                    <w:t>q</w:t>
                  </w:r>
                  <w:r>
                    <w:rPr>
                      <w:rFonts w:cs="Georgia"/>
                      <w:color w:val="000000"/>
                    </w:rPr>
                    <w:t>ue</w:t>
                  </w:r>
                  <w:r>
                    <w:rPr>
                      <w:rFonts w:cs="Georgia"/>
                      <w:color w:val="000000"/>
                      <w:spacing w:val="1"/>
                    </w:rPr>
                    <w:t xml:space="preserve"> t</w:t>
                  </w:r>
                  <w:r>
                    <w:rPr>
                      <w:rFonts w:cs="Georgia"/>
                      <w:color w:val="000000"/>
                      <w:spacing w:val="-1"/>
                    </w:rPr>
                    <w:t>o</w:t>
                  </w:r>
                  <w:r>
                    <w:rPr>
                      <w:rFonts w:cs="Georgia"/>
                      <w:color w:val="000000"/>
                    </w:rPr>
                    <w:t>u</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rPr>
                    <w:t>d</w:t>
                  </w:r>
                  <w:r>
                    <w:rPr>
                      <w:rFonts w:cs="Georgia"/>
                      <w:color w:val="000000"/>
                      <w:spacing w:val="-2"/>
                    </w:rPr>
                    <w:t>i</w:t>
                  </w:r>
                  <w:r>
                    <w:rPr>
                      <w:rFonts w:cs="Georgia"/>
                      <w:color w:val="000000"/>
                      <w:spacing w:val="1"/>
                    </w:rPr>
                    <w:t>s</w:t>
                  </w:r>
                  <w:r>
                    <w:rPr>
                      <w:rFonts w:cs="Georgia"/>
                      <w:color w:val="000000"/>
                      <w:spacing w:val="-1"/>
                    </w:rPr>
                    <w:t>p</w:t>
                  </w:r>
                  <w:r>
                    <w:rPr>
                      <w:rFonts w:cs="Georgia"/>
                      <w:color w:val="000000"/>
                      <w:spacing w:val="1"/>
                    </w:rPr>
                    <w:t>os</w:t>
                  </w:r>
                  <w:r>
                    <w:rPr>
                      <w:rFonts w:cs="Georgia"/>
                      <w:color w:val="000000"/>
                      <w:spacing w:val="-2"/>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spacing w:val="-2"/>
                    </w:rPr>
                    <w:t>st</w:t>
                  </w:r>
                  <w:r>
                    <w:rPr>
                      <w:rFonts w:cs="Georgia"/>
                      <w:color w:val="000000"/>
                      <w:spacing w:val="-1"/>
                    </w:rPr>
                    <w:t>a</w:t>
                  </w:r>
                  <w:r>
                    <w:rPr>
                      <w:rFonts w:cs="Georgia"/>
                      <w:color w:val="000000"/>
                      <w:spacing w:val="1"/>
                    </w:rPr>
                    <w:t>t</w:t>
                  </w:r>
                  <w:r>
                    <w:rPr>
                      <w:rFonts w:cs="Georgia"/>
                      <w:color w:val="000000"/>
                    </w:rPr>
                    <w:t>u</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w:t>
                  </w:r>
                  <w:r>
                    <w:rPr>
                      <w:rFonts w:cs="Georgia"/>
                      <w:color w:val="000000"/>
                    </w:rPr>
                    <w:t>y</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pr</w:t>
                  </w:r>
                  <w:r>
                    <w:rPr>
                      <w:rFonts w:cs="Georgia"/>
                      <w:color w:val="000000"/>
                      <w:spacing w:val="-2"/>
                    </w:rPr>
                    <w:t>i</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 xml:space="preserve">a </w:t>
                  </w:r>
                  <w:r>
                    <w:rPr>
                      <w:rFonts w:cs="Georgia"/>
                      <w:color w:val="000000"/>
                      <w:spacing w:val="1"/>
                    </w:rPr>
                    <w:t>r</w:t>
                  </w:r>
                  <w:r>
                    <w:rPr>
                      <w:rFonts w:cs="Georgia"/>
                      <w:color w:val="000000"/>
                      <w:spacing w:val="-1"/>
                    </w:rPr>
                    <w:t>é</w:t>
                  </w:r>
                  <w:r>
                    <w:rPr>
                      <w:rFonts w:cs="Georgia"/>
                      <w:color w:val="000000"/>
                    </w:rPr>
                    <w:t>g</w:t>
                  </w:r>
                  <w:r>
                    <w:rPr>
                      <w:rFonts w:cs="Georgia"/>
                      <w:color w:val="000000"/>
                      <w:spacing w:val="-1"/>
                    </w:rPr>
                    <w:t>le</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s</w:t>
                  </w:r>
                  <w:r>
                    <w:rPr>
                      <w:rFonts w:cs="Georgia"/>
                      <w:color w:val="000000"/>
                    </w:rPr>
                    <w:t>ur</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4"/>
                    </w:rPr>
                    <w:t xml:space="preserve"> </w:t>
                  </w:r>
                  <w:r>
                    <w:rPr>
                      <w:rFonts w:cs="Georgia"/>
                      <w:color w:val="000000"/>
                      <w:spacing w:val="1"/>
                    </w:rPr>
                    <w:t>t</w:t>
                  </w:r>
                  <w:r>
                    <w:rPr>
                      <w:rFonts w:cs="Georgia"/>
                      <w:color w:val="000000"/>
                    </w:rPr>
                    <w:t>i</w:t>
                  </w:r>
                  <w:r>
                    <w:rPr>
                      <w:rFonts w:cs="Georgia"/>
                      <w:color w:val="000000"/>
                      <w:spacing w:val="-2"/>
                    </w:rPr>
                    <w:t>t</w:t>
                  </w:r>
                  <w:r>
                    <w:rPr>
                      <w:rFonts w:cs="Georgia"/>
                      <w:color w:val="000000"/>
                      <w:spacing w:val="1"/>
                    </w:rPr>
                    <w:t>r</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rPr>
                    <w:t>i</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1"/>
                    </w:rPr>
                    <w:t>sp</w:t>
                  </w:r>
                  <w:r>
                    <w:rPr>
                      <w:rFonts w:cs="Georgia"/>
                      <w:color w:val="000000"/>
                      <w:spacing w:val="-1"/>
                    </w:rPr>
                    <w:t>e</w:t>
                  </w:r>
                  <w:r>
                    <w:rPr>
                      <w:rFonts w:cs="Georgia"/>
                      <w:color w:val="000000"/>
                      <w:spacing w:val="-2"/>
                    </w:rPr>
                    <w:t>c</w:t>
                  </w:r>
                  <w:r>
                    <w:rPr>
                      <w:rFonts w:cs="Georgia"/>
                      <w:color w:val="000000"/>
                      <w:spacing w:val="1"/>
                    </w:rPr>
                    <w:t>t</w:t>
                  </w:r>
                  <w:r>
                    <w:rPr>
                      <w:rFonts w:cs="Georgia"/>
                      <w:color w:val="000000"/>
                      <w:spacing w:val="-1"/>
                    </w:rPr>
                    <w:t>ée</w:t>
                  </w:r>
                  <w:r>
                    <w:rPr>
                      <w:rFonts w:cs="Georgia"/>
                      <w:color w:val="000000"/>
                    </w:rPr>
                    <w:t>s</w:t>
                  </w:r>
                  <w:r>
                    <w:rPr>
                      <w:rFonts w:cs="Georgia"/>
                      <w:color w:val="000000"/>
                      <w:spacing w:val="4"/>
                    </w:rPr>
                    <w:t xml:space="preserve"> </w:t>
                  </w:r>
                  <w:r>
                    <w:rPr>
                      <w:rFonts w:cs="Georgia"/>
                      <w:color w:val="000000"/>
                      <w:spacing w:val="-1"/>
                    </w:rPr>
                    <w:t>e</w:t>
                  </w:r>
                  <w:r>
                    <w:rPr>
                      <w:rFonts w:cs="Georgia"/>
                      <w:color w:val="000000"/>
                    </w:rPr>
                    <w:t>t</w:t>
                  </w:r>
                  <w:r>
                    <w:rPr>
                      <w:rFonts w:cs="Georgia"/>
                      <w:color w:val="000000"/>
                      <w:spacing w:val="4"/>
                    </w:rPr>
                    <w:t xml:space="preserve"> </w:t>
                  </w:r>
                  <w:r>
                    <w:rPr>
                      <w:rFonts w:cs="Georgia"/>
                      <w:color w:val="000000"/>
                      <w:spacing w:val="-1"/>
                    </w:rPr>
                    <w:t>q</w:t>
                  </w:r>
                  <w:r>
                    <w:rPr>
                      <w:rFonts w:cs="Georgia"/>
                      <w:color w:val="000000"/>
                    </w:rPr>
                    <w:t>ue</w:t>
                  </w:r>
                  <w:r>
                    <w:rPr>
                      <w:rFonts w:cs="Georgia"/>
                      <w:color w:val="000000"/>
                      <w:spacing w:val="2"/>
                    </w:rPr>
                    <w:t xml:space="preserve"> </w:t>
                  </w:r>
                  <w:r>
                    <w:rPr>
                      <w:rFonts w:cs="Georgia"/>
                      <w:color w:val="000000"/>
                      <w:spacing w:val="1"/>
                    </w:rPr>
                    <w:t>c</w:t>
                  </w:r>
                  <w:r>
                    <w:rPr>
                      <w:rFonts w:cs="Georgia"/>
                      <w:color w:val="000000"/>
                      <w:spacing w:val="-1"/>
                    </w:rPr>
                    <w:t>el</w:t>
                  </w:r>
                  <w:r>
                    <w:rPr>
                      <w:rFonts w:cs="Georgia"/>
                      <w:color w:val="000000"/>
                    </w:rPr>
                    <w:t>a</w:t>
                  </w:r>
                  <w:r>
                    <w:rPr>
                      <w:rFonts w:cs="Georgia"/>
                      <w:color w:val="000000"/>
                      <w:spacing w:val="3"/>
                    </w:rPr>
                    <w:t xml:space="preserve"> </w:t>
                  </w:r>
                  <w:r>
                    <w:rPr>
                      <w:rFonts w:cs="Georgia"/>
                      <w:color w:val="000000"/>
                      <w:spacing w:val="-1"/>
                    </w:rPr>
                    <w:t>n</w:t>
                  </w:r>
                  <w:r>
                    <w:rPr>
                      <w:rFonts w:cs="Georgia"/>
                      <w:color w:val="000000"/>
                      <w:spacing w:val="1"/>
                    </w:rPr>
                    <w:t>'</w:t>
                  </w:r>
                  <w:r>
                    <w:rPr>
                      <w:rFonts w:cs="Georgia"/>
                      <w:color w:val="000000"/>
                      <w:spacing w:val="-1"/>
                    </w:rPr>
                    <w:t>en</w:t>
                  </w:r>
                  <w:r>
                    <w:rPr>
                      <w:rFonts w:cs="Georgia"/>
                      <w:color w:val="000000"/>
                      <w:spacing w:val="1"/>
                    </w:rPr>
                    <w:t>tr</w:t>
                  </w:r>
                  <w:r>
                    <w:rPr>
                      <w:rFonts w:cs="Georgia"/>
                      <w:color w:val="000000"/>
                      <w:spacing w:val="-3"/>
                    </w:rPr>
                    <w:t>a</w:t>
                  </w:r>
                  <w:r>
                    <w:rPr>
                      <w:rFonts w:cs="Georgia"/>
                      <w:color w:val="000000"/>
                    </w:rPr>
                    <w:t>î</w:t>
                  </w:r>
                  <w:r>
                    <w:rPr>
                      <w:rFonts w:cs="Georgia"/>
                      <w:color w:val="000000"/>
                      <w:spacing w:val="-1"/>
                    </w:rPr>
                    <w:t>n</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4"/>
                    </w:rPr>
                    <w:t xml:space="preserve"> </w:t>
                  </w:r>
                  <w:r>
                    <w:rPr>
                      <w:rFonts w:cs="Georgia"/>
                      <w:color w:val="000000"/>
                    </w:rPr>
                    <w:t>d</w:t>
                  </w:r>
                  <w:r>
                    <w:rPr>
                      <w:rFonts w:cs="Georgia"/>
                      <w:color w:val="000000"/>
                      <w:spacing w:val="-3"/>
                    </w:rPr>
                    <w:t>é</w:t>
                  </w:r>
                  <w:r>
                    <w:rPr>
                      <w:rFonts w:cs="Georgia"/>
                      <w:color w:val="000000"/>
                      <w:spacing w:val="1"/>
                    </w:rPr>
                    <w:t>p</w:t>
                  </w:r>
                  <w:r>
                    <w:rPr>
                      <w:rFonts w:cs="Georgia"/>
                      <w:color w:val="000000"/>
                      <w:spacing w:val="-1"/>
                    </w:rPr>
                    <w:t>en</w:t>
                  </w:r>
                  <w:r>
                    <w:rPr>
                      <w:rFonts w:cs="Georgia"/>
                      <w:color w:val="000000"/>
                      <w:spacing w:val="1"/>
                    </w:rPr>
                    <w:t>s</w:t>
                  </w:r>
                  <w:r>
                    <w:rPr>
                      <w:rFonts w:cs="Georgia"/>
                      <w:color w:val="000000"/>
                      <w:spacing w:val="-3"/>
                    </w:rPr>
                    <w:t>e</w:t>
                  </w:r>
                  <w:r>
                    <w:rPr>
                      <w:rFonts w:cs="Georgia"/>
                      <w:color w:val="000000"/>
                    </w:rPr>
                    <w:t xml:space="preserve">s </w:t>
                  </w:r>
                  <w:r>
                    <w:rPr>
                      <w:rFonts w:cs="Georgia"/>
                      <w:color w:val="000000"/>
                      <w:spacing w:val="1"/>
                    </w:rPr>
                    <w:t>s</w:t>
                  </w:r>
                  <w:r>
                    <w:rPr>
                      <w:rFonts w:cs="Georgia"/>
                      <w:color w:val="000000"/>
                    </w:rPr>
                    <w:t>u</w:t>
                  </w:r>
                  <w:r>
                    <w:rPr>
                      <w:rFonts w:cs="Georgia"/>
                      <w:color w:val="000000"/>
                      <w:spacing w:val="-1"/>
                    </w:rPr>
                    <w:t>p</w:t>
                  </w:r>
                  <w:r>
                    <w:rPr>
                      <w:rFonts w:cs="Georgia"/>
                      <w:color w:val="000000"/>
                      <w:spacing w:val="1"/>
                    </w:rPr>
                    <w:t>p</w:t>
                  </w:r>
                  <w:r>
                    <w:rPr>
                      <w:rFonts w:cs="Georgia"/>
                      <w:color w:val="000000"/>
                      <w:spacing w:val="-1"/>
                    </w:rPr>
                    <w:t>lé</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b</w:t>
                  </w:r>
                  <w:r>
                    <w:rPr>
                      <w:rFonts w:cs="Georgia"/>
                      <w:color w:val="000000"/>
                    </w:rPr>
                    <w:t>u</w:t>
                  </w:r>
                  <w:r>
                    <w:rPr>
                      <w:rFonts w:cs="Georgia"/>
                      <w:color w:val="000000"/>
                      <w:spacing w:val="-2"/>
                    </w:rPr>
                    <w:t>d</w:t>
                  </w:r>
                  <w:r>
                    <w:rPr>
                      <w:rFonts w:cs="Georgia"/>
                      <w:color w:val="000000"/>
                    </w:rPr>
                    <w:t>g</w:t>
                  </w:r>
                  <w:r>
                    <w:rPr>
                      <w:rFonts w:cs="Georgia"/>
                      <w:color w:val="000000"/>
                      <w:spacing w:val="-1"/>
                    </w:rPr>
                    <w:t>e</w:t>
                  </w:r>
                  <w:r>
                    <w:rPr>
                      <w:rFonts w:cs="Georgia"/>
                      <w:color w:val="000000"/>
                    </w:rPr>
                    <w:t>t de</w:t>
                  </w:r>
                  <w:r>
                    <w:rPr>
                      <w:rFonts w:cs="Georgia"/>
                      <w:color w:val="000000"/>
                      <w:spacing w:val="-1"/>
                    </w:rPr>
                    <w:t xml:space="preserve"> l</w:t>
                  </w:r>
                  <w:r>
                    <w:rPr>
                      <w:rFonts w:cs="Georgia"/>
                      <w:color w:val="000000"/>
                    </w:rPr>
                    <w:t>a</w:t>
                  </w:r>
                  <w:r>
                    <w:rPr>
                      <w:rFonts w:cs="Georgia"/>
                      <w:color w:val="000000"/>
                      <w:spacing w:val="-1"/>
                    </w:rPr>
                    <w:t xml:space="preserve"> </w:t>
                  </w:r>
                  <w:r>
                    <w:rPr>
                      <w:rFonts w:cs="Georgia"/>
                      <w:color w:val="000000"/>
                    </w:rPr>
                    <w:t>F</w:t>
                  </w:r>
                  <w:r>
                    <w:rPr>
                      <w:rFonts w:cs="Georgia"/>
                      <w:color w:val="000000"/>
                      <w:spacing w:val="-1"/>
                    </w:rPr>
                    <w:t>é</w:t>
                  </w:r>
                  <w:r>
                    <w:rPr>
                      <w:rFonts w:cs="Georgia"/>
                      <w:color w:val="000000"/>
                    </w:rPr>
                    <w:t>d</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rPr>
                    <w:t>.</w:t>
                  </w:r>
                </w:p>
                <w:p w:rsidR="00F04EEF" w:rsidRDefault="00F04EEF">
                  <w:pPr>
                    <w:widowControl w:val="0"/>
                    <w:autoSpaceDE w:val="0"/>
                    <w:autoSpaceDN w:val="0"/>
                    <w:adjustRightInd w:val="0"/>
                    <w:spacing w:before="9" w:line="240" w:lineRule="exact"/>
                    <w:rPr>
                      <w:rFonts w:cs="Georgia"/>
                      <w:color w:val="000000"/>
                    </w:rPr>
                  </w:pPr>
                </w:p>
                <w:p w:rsidR="00F04EEF" w:rsidRDefault="0099351E">
                  <w:pPr>
                    <w:pStyle w:val="Titre5"/>
                  </w:pPr>
                  <w:r>
                    <w:t xml:space="preserve">2.3.6. Professeur de pratique professionnelle sans élèves (forme 4) </w:t>
                  </w:r>
                </w:p>
                <w:p w:rsidR="00F04EEF" w:rsidRDefault="00F04EEF">
                  <w:pPr>
                    <w:widowControl w:val="0"/>
                    <w:autoSpaceDE w:val="0"/>
                    <w:autoSpaceDN w:val="0"/>
                    <w:adjustRightInd w:val="0"/>
                    <w:spacing w:before="10" w:line="240" w:lineRule="exact"/>
                    <w:rPr>
                      <w:rFonts w:cs="Georgia"/>
                      <w:color w:val="000000"/>
                    </w:rPr>
                  </w:pPr>
                </w:p>
                <w:p w:rsidR="00F04EEF" w:rsidRDefault="0099351E">
                  <w:pPr>
                    <w:widowControl w:val="0"/>
                    <w:autoSpaceDE w:val="0"/>
                    <w:autoSpaceDN w:val="0"/>
                    <w:adjustRightInd w:val="0"/>
                    <w:jc w:val="both"/>
                    <w:rPr>
                      <w:rFonts w:cs="Georgia"/>
                      <w:color w:val="000000"/>
                      <w:spacing w:val="-1"/>
                    </w:rPr>
                  </w:pPr>
                  <w:r>
                    <w:rPr>
                      <w:rFonts w:cs="Georgia"/>
                      <w:color w:val="000000"/>
                      <w:spacing w:val="1"/>
                    </w:rPr>
                    <w:t>L</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2"/>
                    </w:rPr>
                    <w:t>i</w:t>
                  </w:r>
                  <w:r>
                    <w:rPr>
                      <w:rFonts w:cs="Georgia"/>
                      <w:color w:val="000000"/>
                      <w:spacing w:val="1"/>
                    </w:rPr>
                    <w:t>s</w:t>
                  </w:r>
                  <w:r>
                    <w:rPr>
                      <w:rFonts w:cs="Georgia"/>
                      <w:color w:val="000000"/>
                      <w:spacing w:val="-1"/>
                    </w:rPr>
                    <w:t>p</w:t>
                  </w:r>
                  <w:r>
                    <w:rPr>
                      <w:rFonts w:cs="Georgia"/>
                      <w:color w:val="000000"/>
                      <w:spacing w:val="1"/>
                    </w:rPr>
                    <w:t>os</w:t>
                  </w:r>
                  <w:r>
                    <w:rPr>
                      <w:rFonts w:cs="Georgia"/>
                      <w:color w:val="000000"/>
                      <w:spacing w:val="-2"/>
                    </w:rPr>
                    <w:t>i</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s</w:t>
                  </w:r>
                  <w:r>
                    <w:rPr>
                      <w:rFonts w:cs="Georgia"/>
                      <w:color w:val="000000"/>
                      <w:spacing w:val="2"/>
                    </w:rPr>
                    <w:t xml:space="preserve"> </w:t>
                  </w:r>
                  <w:r>
                    <w:rPr>
                      <w:rFonts w:cs="Georgia"/>
                      <w:color w:val="000000"/>
                      <w:spacing w:val="1"/>
                    </w:rPr>
                    <w:t>co</w:t>
                  </w:r>
                  <w:r>
                    <w:rPr>
                      <w:rFonts w:cs="Georgia"/>
                      <w:color w:val="000000"/>
                      <w:spacing w:val="-3"/>
                    </w:rPr>
                    <w:t>n</w:t>
                  </w:r>
                  <w:r>
                    <w:rPr>
                      <w:rFonts w:cs="Georgia"/>
                      <w:color w:val="000000"/>
                      <w:spacing w:val="1"/>
                    </w:rPr>
                    <w:t>c</w:t>
                  </w:r>
                  <w:r>
                    <w:rPr>
                      <w:rFonts w:cs="Georgia"/>
                      <w:color w:val="000000"/>
                      <w:spacing w:val="-1"/>
                    </w:rPr>
                    <w:t>e</w:t>
                  </w:r>
                  <w:r>
                    <w:rPr>
                      <w:rFonts w:cs="Georgia"/>
                      <w:color w:val="000000"/>
                      <w:spacing w:val="-2"/>
                    </w:rPr>
                    <w:t>r</w:t>
                  </w:r>
                  <w:r>
                    <w:rPr>
                      <w:rFonts w:cs="Georgia"/>
                      <w:color w:val="000000"/>
                      <w:spacing w:val="-1"/>
                    </w:rPr>
                    <w:t>nan</w:t>
                  </w:r>
                  <w:r>
                    <w:rPr>
                      <w:rFonts w:cs="Georgia"/>
                      <w:color w:val="000000"/>
                    </w:rPr>
                    <w:t>t</w:t>
                  </w:r>
                  <w:r>
                    <w:rPr>
                      <w:rFonts w:cs="Georgia"/>
                      <w:color w:val="000000"/>
                      <w:spacing w:val="2"/>
                    </w:rPr>
                    <w:t xml:space="preserve"> </w:t>
                  </w:r>
                  <w:r>
                    <w:rPr>
                      <w:rFonts w:cs="Georgia"/>
                      <w:color w:val="000000"/>
                      <w:spacing w:val="1"/>
                    </w:rPr>
                    <w:t>c</w:t>
                  </w:r>
                  <w:r>
                    <w:rPr>
                      <w:rFonts w:cs="Georgia"/>
                      <w:color w:val="000000"/>
                    </w:rPr>
                    <w:t>e</w:t>
                  </w:r>
                  <w:r>
                    <w:rPr>
                      <w:rFonts w:cs="Georgia"/>
                      <w:color w:val="000000"/>
                      <w:spacing w:val="1"/>
                    </w:rPr>
                    <w:t xml:space="preserve"> po</w:t>
                  </w:r>
                  <w:r>
                    <w:rPr>
                      <w:rFonts w:cs="Georgia"/>
                      <w:color w:val="000000"/>
                    </w:rPr>
                    <w:t>i</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r</w:t>
                  </w:r>
                  <w:r>
                    <w:rPr>
                      <w:rFonts w:cs="Georgia"/>
                      <w:color w:val="000000"/>
                      <w:spacing w:val="-1"/>
                    </w:rPr>
                    <w:t>e</w:t>
                  </w:r>
                  <w:r>
                    <w:rPr>
                      <w:rFonts w:cs="Georgia"/>
                      <w:color w:val="000000"/>
                      <w:spacing w:val="1"/>
                    </w:rPr>
                    <w:t>pr</w:t>
                  </w:r>
                  <w:r>
                    <w:rPr>
                      <w:rFonts w:cs="Georgia"/>
                      <w:color w:val="000000"/>
                      <w:spacing w:val="-2"/>
                    </w:rPr>
                    <w:t>i</w:t>
                  </w:r>
                  <w:r>
                    <w:rPr>
                      <w:rFonts w:cs="Georgia"/>
                      <w:color w:val="000000"/>
                      <w:spacing w:val="1"/>
                    </w:rPr>
                    <w:t>s</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a</w:t>
                  </w:r>
                  <w:r>
                    <w:rPr>
                      <w:rFonts w:cs="Georgia"/>
                      <w:color w:val="000000"/>
                      <w:spacing w:val="19"/>
                    </w:rPr>
                    <w:t xml:space="preserve"> </w:t>
                  </w:r>
                  <w:hyperlink r:id="rId157" w:history="1">
                    <w:r>
                      <w:rPr>
                        <w:rFonts w:cs="Georgia"/>
                        <w:color w:val="0000FF"/>
                        <w:spacing w:val="1"/>
                        <w:u w:val="single"/>
                      </w:rPr>
                      <w:t>c</w:t>
                    </w:r>
                    <w:r>
                      <w:rPr>
                        <w:rFonts w:cs="Georgia"/>
                        <w:color w:val="0000FF"/>
                        <w:u w:val="single"/>
                      </w:rPr>
                      <w:t>i</w:t>
                    </w:r>
                    <w:r>
                      <w:rPr>
                        <w:rFonts w:cs="Georgia"/>
                        <w:color w:val="0000FF"/>
                        <w:spacing w:val="1"/>
                        <w:u w:val="single"/>
                      </w:rPr>
                      <w:t>r</w:t>
                    </w:r>
                    <w:r>
                      <w:rPr>
                        <w:rFonts w:cs="Georgia"/>
                        <w:color w:val="0000FF"/>
                        <w:spacing w:val="-2"/>
                        <w:u w:val="single"/>
                      </w:rPr>
                      <w:t>c</w:t>
                    </w:r>
                    <w:r>
                      <w:rPr>
                        <w:rFonts w:cs="Georgia"/>
                        <w:color w:val="0000FF"/>
                        <w:u w:val="single"/>
                      </w:rPr>
                      <w:t>u</w:t>
                    </w:r>
                    <w:r>
                      <w:rPr>
                        <w:rFonts w:cs="Georgia"/>
                        <w:color w:val="0000FF"/>
                        <w:spacing w:val="-1"/>
                        <w:u w:val="single"/>
                      </w:rPr>
                      <w:t>la</w:t>
                    </w:r>
                    <w:r>
                      <w:rPr>
                        <w:rFonts w:cs="Georgia"/>
                        <w:color w:val="0000FF"/>
                        <w:u w:val="single"/>
                      </w:rPr>
                      <w:t>i</w:t>
                    </w:r>
                    <w:r>
                      <w:rPr>
                        <w:rFonts w:cs="Georgia"/>
                        <w:color w:val="0000FF"/>
                        <w:spacing w:val="1"/>
                        <w:u w:val="single"/>
                      </w:rPr>
                      <w:t>r</w:t>
                    </w:r>
                    <w:r>
                      <w:rPr>
                        <w:rFonts w:cs="Georgia"/>
                        <w:color w:val="0000FF"/>
                        <w:u w:val="single"/>
                      </w:rPr>
                      <w:t xml:space="preserve">e </w:t>
                    </w:r>
                    <w:r>
                      <w:rPr>
                        <w:rFonts w:cs="Georgia"/>
                        <w:color w:val="0000FF"/>
                        <w:spacing w:val="-1"/>
                        <w:u w:val="single"/>
                      </w:rPr>
                      <w:t>n°</w:t>
                    </w:r>
                    <w:r>
                      <w:rPr>
                        <w:rFonts w:cs="Georgia"/>
                        <w:color w:val="0000FF"/>
                        <w:spacing w:val="1"/>
                        <w:u w:val="single"/>
                      </w:rPr>
                      <w:t>1</w:t>
                    </w:r>
                    <w:r>
                      <w:rPr>
                        <w:rFonts w:cs="Georgia"/>
                        <w:color w:val="0000FF"/>
                        <w:u w:val="single"/>
                      </w:rPr>
                      <w:t>4</w:t>
                    </w:r>
                    <w:r>
                      <w:rPr>
                        <w:rFonts w:cs="Georgia"/>
                        <w:color w:val="0000FF"/>
                        <w:spacing w:val="-1"/>
                        <w:u w:val="single"/>
                      </w:rPr>
                      <w:t>2</w:t>
                    </w:r>
                    <w:r>
                      <w:rPr>
                        <w:rFonts w:cs="Georgia"/>
                        <w:color w:val="0000FF"/>
                        <w:u w:val="single"/>
                      </w:rPr>
                      <w:t>2</w:t>
                    </w:r>
                    <w:r>
                      <w:rPr>
                        <w:rFonts w:cs="Georgia"/>
                        <w:color w:val="0000FF"/>
                        <w:spacing w:val="1"/>
                        <w:u w:val="single"/>
                      </w:rPr>
                      <w:t xml:space="preserve"> </w:t>
                    </w:r>
                    <w:r>
                      <w:rPr>
                        <w:rFonts w:cs="Georgia"/>
                        <w:color w:val="0000FF"/>
                        <w:u w:val="single"/>
                      </w:rPr>
                      <w:t>du</w:t>
                    </w:r>
                    <w:r>
                      <w:rPr>
                        <w:rFonts w:cs="Georgia"/>
                        <w:color w:val="0000FF"/>
                        <w:spacing w:val="2"/>
                        <w:u w:val="single"/>
                      </w:rPr>
                      <w:t xml:space="preserve"> </w:t>
                    </w:r>
                    <w:r>
                      <w:rPr>
                        <w:rFonts w:cs="Georgia"/>
                        <w:color w:val="0000FF"/>
                        <w:u w:val="single"/>
                      </w:rPr>
                      <w:t>5</w:t>
                    </w:r>
                    <w:r>
                      <w:rPr>
                        <w:rFonts w:cs="Georgia"/>
                        <w:color w:val="0000FF"/>
                        <w:spacing w:val="3"/>
                        <w:u w:val="single"/>
                      </w:rPr>
                      <w:t xml:space="preserve"> </w:t>
                    </w:r>
                    <w:r>
                      <w:rPr>
                        <w:rFonts w:cs="Georgia"/>
                        <w:color w:val="0000FF"/>
                        <w:spacing w:val="-3"/>
                        <w:u w:val="single"/>
                      </w:rPr>
                      <w:t>a</w:t>
                    </w:r>
                    <w:r>
                      <w:rPr>
                        <w:rFonts w:cs="Georgia"/>
                        <w:color w:val="0000FF"/>
                        <w:spacing w:val="1"/>
                        <w:u w:val="single"/>
                      </w:rPr>
                      <w:t>vr</w:t>
                    </w:r>
                    <w:r>
                      <w:rPr>
                        <w:rFonts w:cs="Georgia"/>
                        <w:color w:val="0000FF"/>
                        <w:u w:val="single"/>
                      </w:rPr>
                      <w:t>il</w:t>
                    </w:r>
                    <w:r>
                      <w:rPr>
                        <w:rFonts w:cs="Georgia"/>
                        <w:color w:val="0000FF"/>
                        <w:spacing w:val="1"/>
                        <w:u w:val="single"/>
                      </w:rPr>
                      <w:t xml:space="preserve"> </w:t>
                    </w:r>
                    <w:r>
                      <w:rPr>
                        <w:rFonts w:cs="Georgia"/>
                        <w:color w:val="0000FF"/>
                        <w:spacing w:val="-1"/>
                        <w:u w:val="single"/>
                      </w:rPr>
                      <w:t>200</w:t>
                    </w:r>
                    <w:r>
                      <w:rPr>
                        <w:rFonts w:cs="Georgia"/>
                        <w:color w:val="0000FF"/>
                        <w:u w:val="single"/>
                      </w:rPr>
                      <w:t>6</w:t>
                    </w:r>
                    <w:r>
                      <w:rPr>
                        <w:rFonts w:cs="Georgia"/>
                        <w:color w:val="0000FF"/>
                        <w:spacing w:val="2"/>
                      </w:rPr>
                      <w:t xml:space="preserve"> </w:t>
                    </w:r>
                  </w:hyperlink>
                  <w:r>
                    <w:rPr>
                      <w:rFonts w:cs="Georgia"/>
                      <w:color w:val="000000"/>
                    </w:rPr>
                    <w:t xml:space="preserve"> « Em</w:t>
                  </w:r>
                  <w:r>
                    <w:rPr>
                      <w:rFonts w:cs="Georgia"/>
                      <w:color w:val="000000"/>
                      <w:spacing w:val="1"/>
                    </w:rPr>
                    <w:t>p</w:t>
                  </w:r>
                  <w:r>
                    <w:rPr>
                      <w:rFonts w:cs="Georgia"/>
                      <w:color w:val="000000"/>
                      <w:spacing w:val="-1"/>
                    </w:rPr>
                    <w:t>l</w:t>
                  </w:r>
                  <w:r>
                    <w:rPr>
                      <w:rFonts w:cs="Georgia"/>
                      <w:color w:val="000000"/>
                      <w:spacing w:val="1"/>
                    </w:rPr>
                    <w:t>o</w:t>
                  </w:r>
                  <w:r>
                    <w:rPr>
                      <w:rFonts w:cs="Georgia"/>
                      <w:color w:val="000000"/>
                      <w:spacing w:val="-2"/>
                    </w:rPr>
                    <w:t>i</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f</w:t>
                  </w:r>
                  <w:r>
                    <w:rPr>
                      <w:rFonts w:cs="Georgia"/>
                      <w:color w:val="000000"/>
                      <w:spacing w:val="-1"/>
                    </w:rPr>
                    <w:t>e</w:t>
                  </w:r>
                  <w:r>
                    <w:rPr>
                      <w:rFonts w:cs="Georgia"/>
                      <w:color w:val="000000"/>
                      <w:spacing w:val="1"/>
                    </w:rPr>
                    <w:t>ss</w:t>
                  </w:r>
                  <w:r>
                    <w:rPr>
                      <w:rFonts w:cs="Georgia"/>
                      <w:color w:val="000000"/>
                      <w:spacing w:val="-1"/>
                    </w:rPr>
                    <w:t>e</w:t>
                  </w:r>
                  <w:r>
                    <w:rPr>
                      <w:rFonts w:cs="Georgia"/>
                      <w:color w:val="000000"/>
                    </w:rPr>
                    <w:t xml:space="preserve">ur </w:t>
                  </w:r>
                  <w:r>
                    <w:rPr>
                      <w:rFonts w:cs="Georgia"/>
                      <w:color w:val="000000"/>
                      <w:spacing w:val="-2"/>
                    </w:rPr>
                    <w:t>d</w:t>
                  </w:r>
                  <w:r>
                    <w:rPr>
                      <w:rFonts w:cs="Georgia"/>
                      <w:color w:val="000000"/>
                    </w:rPr>
                    <w:t>e</w:t>
                  </w:r>
                  <w:r>
                    <w:rPr>
                      <w:rFonts w:cs="Georgia"/>
                      <w:color w:val="000000"/>
                      <w:spacing w:val="1"/>
                    </w:rPr>
                    <w:t xml:space="preserve"> pr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q</w:t>
                  </w:r>
                  <w:r>
                    <w:rPr>
                      <w:rFonts w:cs="Georgia"/>
                      <w:color w:val="000000"/>
                    </w:rPr>
                    <w:t>ue</w:t>
                  </w:r>
                  <w:r>
                    <w:rPr>
                      <w:rFonts w:cs="Georgia"/>
                      <w:color w:val="000000"/>
                      <w:spacing w:val="1"/>
                    </w:rPr>
                    <w:t xml:space="preserve"> </w:t>
                  </w:r>
                  <w:r>
                    <w:rPr>
                      <w:rFonts w:cs="Georgia"/>
                      <w:color w:val="000000"/>
                      <w:spacing w:val="-1"/>
                    </w:rPr>
                    <w:t>p</w:t>
                  </w:r>
                  <w:r>
                    <w:rPr>
                      <w:rFonts w:cs="Georgia"/>
                      <w:color w:val="000000"/>
                      <w:spacing w:val="1"/>
                    </w:rPr>
                    <w:t>ro</w:t>
                  </w:r>
                  <w:r>
                    <w:rPr>
                      <w:rFonts w:cs="Georgia"/>
                      <w:color w:val="000000"/>
                    </w:rPr>
                    <w:t>f</w:t>
                  </w:r>
                  <w:r>
                    <w:rPr>
                      <w:rFonts w:cs="Georgia"/>
                      <w:color w:val="000000"/>
                      <w:spacing w:val="-1"/>
                    </w:rPr>
                    <w:t>e</w:t>
                  </w:r>
                  <w:r>
                    <w:rPr>
                      <w:rFonts w:cs="Georgia"/>
                      <w:color w:val="000000"/>
                      <w:spacing w:val="-2"/>
                    </w:rPr>
                    <w:t>s</w:t>
                  </w:r>
                  <w:r>
                    <w:rPr>
                      <w:rFonts w:cs="Georgia"/>
                      <w:color w:val="000000"/>
                      <w:spacing w:val="1"/>
                    </w:rPr>
                    <w:t>s</w:t>
                  </w:r>
                  <w:r>
                    <w:rPr>
                      <w:rFonts w:cs="Georgia"/>
                      <w:color w:val="000000"/>
                      <w:spacing w:val="-2"/>
                    </w:rPr>
                    <w:t>i</w:t>
                  </w:r>
                  <w:r>
                    <w:rPr>
                      <w:rFonts w:cs="Georgia"/>
                      <w:color w:val="000000"/>
                      <w:spacing w:val="1"/>
                    </w:rPr>
                    <w:t>o</w:t>
                  </w:r>
                  <w:r>
                    <w:rPr>
                      <w:rFonts w:cs="Georgia"/>
                      <w:color w:val="000000"/>
                      <w:spacing w:val="-1"/>
                    </w:rPr>
                    <w:t>nnel</w:t>
                  </w:r>
                  <w:r>
                    <w:rPr>
                      <w:rFonts w:cs="Georgia"/>
                      <w:color w:val="000000"/>
                      <w:spacing w:val="2"/>
                    </w:rPr>
                    <w:t>l</w:t>
                  </w:r>
                  <w:r>
                    <w:rPr>
                      <w:rFonts w:cs="Georgia"/>
                      <w:color w:val="000000"/>
                    </w:rPr>
                    <w:t>e</w:t>
                  </w:r>
                  <w:r>
                    <w:rPr>
                      <w:rFonts w:cs="Georgia"/>
                      <w:color w:val="000000"/>
                      <w:spacing w:val="1"/>
                    </w:rPr>
                    <w:t xml:space="preserve"> s</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é</w:t>
                  </w:r>
                  <w:r>
                    <w:rPr>
                      <w:rFonts w:cs="Georgia"/>
                      <w:color w:val="000000"/>
                      <w:spacing w:val="1"/>
                    </w:rPr>
                    <w:t>t</w:t>
                  </w:r>
                  <w:r>
                    <w:rPr>
                      <w:rFonts w:cs="Georgia"/>
                      <w:color w:val="000000"/>
                      <w:spacing w:val="2"/>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spacing w:val="1"/>
                    </w:rPr>
                    <w:t>s</w:t>
                  </w:r>
                  <w:r>
                    <w:rPr>
                      <w:rFonts w:cs="Georgia"/>
                      <w:color w:val="000000"/>
                      <w:spacing w:val="-1"/>
                    </w:rPr>
                    <w:t>e</w:t>
                  </w:r>
                  <w:r>
                    <w:rPr>
                      <w:rFonts w:cs="Georgia"/>
                      <w:color w:val="000000"/>
                      <w:spacing w:val="1"/>
                    </w:rPr>
                    <w:t>co</w:t>
                  </w:r>
                  <w:r>
                    <w:rPr>
                      <w:rFonts w:cs="Georgia"/>
                      <w:color w:val="000000"/>
                      <w:spacing w:val="-3"/>
                    </w:rPr>
                    <w:t>n</w:t>
                  </w:r>
                  <w:r>
                    <w:rPr>
                      <w:rFonts w:cs="Georgia"/>
                      <w:color w:val="000000"/>
                    </w:rPr>
                    <w:t>d</w:t>
                  </w:r>
                  <w:r>
                    <w:rPr>
                      <w:rFonts w:cs="Georgia"/>
                      <w:color w:val="000000"/>
                      <w:spacing w:val="-1"/>
                    </w:rPr>
                    <w:t>a</w:t>
                  </w:r>
                  <w:r>
                    <w:rPr>
                      <w:rFonts w:cs="Georgia"/>
                      <w:color w:val="000000"/>
                    </w:rPr>
                    <w:t>i</w:t>
                  </w:r>
                  <w:r>
                    <w:rPr>
                      <w:rFonts w:cs="Georgia"/>
                      <w:color w:val="000000"/>
                      <w:spacing w:val="1"/>
                    </w:rPr>
                    <w:t>r</w:t>
                  </w:r>
                  <w:r>
                    <w:rPr>
                      <w:rFonts w:cs="Georgia"/>
                      <w:color w:val="000000"/>
                      <w:spacing w:val="-3"/>
                    </w:rPr>
                    <w:t>e</w:t>
                  </w:r>
                  <w:r>
                    <w:rPr>
                      <w:rFonts w:cs="Georgia"/>
                      <w:color w:val="000000"/>
                    </w:rPr>
                    <w:t xml:space="preserve">s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é</w:t>
                  </w:r>
                  <w:r>
                    <w:rPr>
                      <w:rFonts w:cs="Georgia"/>
                      <w:color w:val="000000"/>
                    </w:rPr>
                    <w:t>s</w:t>
                  </w:r>
                  <w:r>
                    <w:rPr>
                      <w:rFonts w:cs="Georgia"/>
                      <w:color w:val="000000"/>
                      <w:spacing w:val="15"/>
                    </w:rPr>
                    <w:t xml:space="preserve"> </w:t>
                  </w:r>
                  <w:r>
                    <w:rPr>
                      <w:rFonts w:cs="Georgia"/>
                      <w:color w:val="000000"/>
                      <w:spacing w:val="1"/>
                    </w:rPr>
                    <w:t>o</w:t>
                  </w:r>
                  <w:r>
                    <w:rPr>
                      <w:rFonts w:cs="Georgia"/>
                      <w:color w:val="000000"/>
                    </w:rPr>
                    <w:t>u</w:t>
                  </w:r>
                  <w:r>
                    <w:rPr>
                      <w:rFonts w:cs="Georgia"/>
                      <w:color w:val="000000"/>
                      <w:spacing w:val="14"/>
                    </w:rPr>
                    <w:t xml:space="preserve"> </w:t>
                  </w:r>
                  <w:r>
                    <w:rPr>
                      <w:rFonts w:cs="Georgia"/>
                      <w:color w:val="000000"/>
                      <w:spacing w:val="1"/>
                    </w:rPr>
                    <w:t>s</w:t>
                  </w:r>
                  <w:r>
                    <w:rPr>
                      <w:rFonts w:cs="Georgia"/>
                      <w:color w:val="000000"/>
                      <w:spacing w:val="-2"/>
                    </w:rPr>
                    <w:t>u</w:t>
                  </w:r>
                  <w:r>
                    <w:rPr>
                      <w:rFonts w:cs="Georgia"/>
                      <w:color w:val="000000"/>
                      <w:spacing w:val="1"/>
                    </w:rPr>
                    <w:t>bv</w:t>
                  </w:r>
                  <w:r>
                    <w:rPr>
                      <w:rFonts w:cs="Georgia"/>
                      <w:color w:val="000000"/>
                      <w:spacing w:val="-1"/>
                    </w:rPr>
                    <w:t>en</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3"/>
                    </w:rPr>
                    <w:t>n</w:t>
                  </w:r>
                  <w:r>
                    <w:rPr>
                      <w:rFonts w:cs="Georgia"/>
                      <w:color w:val="000000"/>
                      <w:spacing w:val="-1"/>
                    </w:rPr>
                    <w:t>né</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a</w:t>
                  </w:r>
                  <w:r>
                    <w:rPr>
                      <w:rFonts w:cs="Georgia"/>
                      <w:color w:val="000000"/>
                    </w:rPr>
                    <w:t>r</w:t>
                  </w:r>
                  <w:r>
                    <w:rPr>
                      <w:rFonts w:cs="Georgia"/>
                      <w:color w:val="000000"/>
                      <w:spacing w:val="15"/>
                    </w:rPr>
                    <w:t xml:space="preserve"> </w:t>
                  </w:r>
                  <w:r>
                    <w:rPr>
                      <w:rFonts w:cs="Georgia"/>
                      <w:color w:val="000000"/>
                      <w:spacing w:val="-1"/>
                    </w:rPr>
                    <w:t>l</w:t>
                  </w:r>
                  <w:r>
                    <w:rPr>
                      <w:rFonts w:cs="Georgia"/>
                      <w:color w:val="000000"/>
                    </w:rPr>
                    <w:t>a Fédération Wallonie-Bruxelles,</w:t>
                  </w:r>
                  <w:r>
                    <w:rPr>
                      <w:rFonts w:cs="Georgia"/>
                      <w:color w:val="000000"/>
                      <w:spacing w:val="17"/>
                    </w:rPr>
                    <w:t xml:space="preserve"> </w:t>
                  </w:r>
                  <w:r>
                    <w:rPr>
                      <w:rFonts w:cs="Georgia"/>
                      <w:color w:val="000000"/>
                      <w:spacing w:val="-1"/>
                    </w:rPr>
                    <w:t>q</w:t>
                  </w:r>
                  <w:r>
                    <w:rPr>
                      <w:rFonts w:cs="Georgia"/>
                      <w:color w:val="000000"/>
                    </w:rPr>
                    <w:t>ui</w:t>
                  </w:r>
                  <w:r>
                    <w:rPr>
                      <w:rFonts w:cs="Georgia"/>
                      <w:color w:val="000000"/>
                      <w:spacing w:val="14"/>
                    </w:rPr>
                    <w:t xml:space="preserve"> </w:t>
                  </w:r>
                  <w:r>
                    <w:rPr>
                      <w:rFonts w:cs="Georgia"/>
                      <w:color w:val="000000"/>
                    </w:rPr>
                    <w:t>d</w:t>
                  </w:r>
                  <w:r>
                    <w:rPr>
                      <w:rFonts w:cs="Georgia"/>
                      <w:color w:val="000000"/>
                      <w:spacing w:val="-2"/>
                    </w:rPr>
                    <w:t>i</w:t>
                  </w:r>
                  <w:r>
                    <w:rPr>
                      <w:rFonts w:cs="Georgia"/>
                      <w:color w:val="000000"/>
                      <w:spacing w:val="1"/>
                    </w:rPr>
                    <w:t>sp</w:t>
                  </w:r>
                  <w:r>
                    <w:rPr>
                      <w:rFonts w:cs="Georgia"/>
                      <w:color w:val="000000"/>
                      <w:spacing w:val="-1"/>
                    </w:rPr>
                    <w:t>en</w:t>
                  </w:r>
                  <w:r>
                    <w:rPr>
                      <w:rFonts w:cs="Georgia"/>
                      <w:color w:val="000000"/>
                      <w:spacing w:val="1"/>
                    </w:rPr>
                    <w:t>s</w:t>
                  </w:r>
                  <w:r>
                    <w:rPr>
                      <w:rFonts w:cs="Georgia"/>
                      <w:color w:val="000000"/>
                      <w:spacing w:val="-1"/>
                    </w:rPr>
                    <w:t>en</w:t>
                  </w:r>
                  <w:r>
                    <w:rPr>
                      <w:rFonts w:cs="Georgia"/>
                      <w:color w:val="000000"/>
                    </w:rPr>
                    <w:t>t</w:t>
                  </w:r>
                  <w:r>
                    <w:rPr>
                      <w:rFonts w:cs="Georgia"/>
                      <w:color w:val="000000"/>
                      <w:spacing w:val="15"/>
                    </w:rPr>
                    <w:t xml:space="preserve"> </w:t>
                  </w:r>
                  <w:r>
                    <w:rPr>
                      <w:rFonts w:cs="Georgia"/>
                      <w:color w:val="000000"/>
                    </w:rPr>
                    <w:t>un</w:t>
                  </w:r>
                  <w:r>
                    <w:rPr>
                      <w:rFonts w:cs="Georgia"/>
                      <w:color w:val="000000"/>
                      <w:spacing w:val="16"/>
                    </w:rPr>
                    <w:t xml:space="preserve">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7"/>
                    </w:rPr>
                    <w:t xml:space="preserve"> </w:t>
                  </w:r>
                  <w:r>
                    <w:rPr>
                      <w:rFonts w:cs="Georgia"/>
                      <w:color w:val="000000"/>
                    </w:rPr>
                    <w:t>d</w:t>
                  </w:r>
                  <w:r>
                    <w:rPr>
                      <w:rFonts w:cs="Georgia"/>
                      <w:color w:val="000000"/>
                      <w:spacing w:val="-1"/>
                    </w:rPr>
                    <w:t>a</w:t>
                  </w:r>
                  <w:r>
                    <w:rPr>
                      <w:rFonts w:cs="Georgia"/>
                      <w:color w:val="000000"/>
                      <w:spacing w:val="-3"/>
                    </w:rPr>
                    <w:t>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s</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 de</w:t>
                  </w:r>
                  <w:r>
                    <w:rPr>
                      <w:rFonts w:cs="Georgia"/>
                      <w:color w:val="000000"/>
                      <w:spacing w:val="-1"/>
                    </w:rPr>
                    <w:t xml:space="preserve"> l</w:t>
                  </w:r>
                  <w:r>
                    <w:rPr>
                      <w:rFonts w:cs="Georgia"/>
                      <w:color w:val="000000"/>
                    </w:rPr>
                    <w:t>’</w:t>
                  </w:r>
                  <w:r>
                    <w:rPr>
                      <w:rFonts w:cs="Georgia"/>
                      <w:color w:val="000000"/>
                      <w:spacing w:val="-1"/>
                    </w:rPr>
                    <w:t>a</w:t>
                  </w:r>
                  <w:r>
                    <w:rPr>
                      <w:rFonts w:cs="Georgia"/>
                      <w:color w:val="000000"/>
                    </w:rPr>
                    <w:t>g</w:t>
                  </w:r>
                  <w:r>
                    <w:rPr>
                      <w:rFonts w:cs="Georgia"/>
                      <w:color w:val="000000"/>
                      <w:spacing w:val="1"/>
                    </w:rPr>
                    <w:t>ro</w:t>
                  </w:r>
                  <w:r>
                    <w:rPr>
                      <w:rFonts w:cs="Georgia"/>
                      <w:color w:val="000000"/>
                      <w:spacing w:val="-3"/>
                    </w:rPr>
                    <w:t>n</w:t>
                  </w:r>
                  <w:r>
                    <w:rPr>
                      <w:rFonts w:cs="Georgia"/>
                      <w:color w:val="000000"/>
                      <w:spacing w:val="1"/>
                    </w:rPr>
                    <w:t>o</w:t>
                  </w:r>
                  <w:r>
                    <w:rPr>
                      <w:rFonts w:cs="Georgia"/>
                      <w:color w:val="000000"/>
                    </w:rPr>
                    <w:t>mie</w:t>
                  </w:r>
                  <w:r>
                    <w:rPr>
                      <w:rFonts w:cs="Georgia"/>
                      <w:color w:val="000000"/>
                      <w:spacing w:val="-4"/>
                    </w:rPr>
                    <w:t xml:space="preserve"> </w:t>
                  </w:r>
                  <w:r>
                    <w:rPr>
                      <w:rFonts w:cs="Georgia"/>
                      <w:color w:val="000000"/>
                      <w:spacing w:val="-1"/>
                    </w:rPr>
                    <w:t>».</w:t>
                  </w:r>
                </w:p>
                <w:p w:rsidR="00F04EEF" w:rsidRDefault="00F04EEF">
                  <w:pPr>
                    <w:rPr>
                      <w:b/>
                      <w:u w:val="single"/>
                    </w:rPr>
                  </w:pPr>
                  <w:bookmarkStart w:id="1956" w:name="_3.4._Fonctions_de"/>
                  <w:bookmarkStart w:id="1957" w:name="_Toc453314328"/>
                  <w:bookmarkStart w:id="1958" w:name="_Toc454980363"/>
                  <w:bookmarkEnd w:id="1956"/>
                </w:p>
                <w:p w:rsidR="00F04EEF" w:rsidRDefault="0099351E">
                  <w:pPr>
                    <w:pStyle w:val="Titre4"/>
                  </w:pPr>
                  <w:bookmarkStart w:id="1959" w:name="_2.4._Fonction_de"/>
                  <w:bookmarkStart w:id="1960" w:name="_Toc4144812"/>
                  <w:bookmarkEnd w:id="1959"/>
                  <w:r>
                    <w:t>2.4. Fonction de sélection et de promotion</w:t>
                  </w:r>
                  <w:bookmarkEnd w:id="1960"/>
                  <w:r>
                    <w:t xml:space="preserve"> à l’exception des directeurs</w:t>
                  </w:r>
                </w:p>
                <w:p w:rsidR="00F04EEF" w:rsidRDefault="00F04EEF"/>
                <w:p w:rsidR="00F04EEF" w:rsidRDefault="0099351E">
                  <w:r>
                    <w:t xml:space="preserve">Les membres du personnel exerçant une fonction de sélection et de promotion à prestation complète, à l’exception des directeurs, sont tenus d’accomplir au moins 60 périodes de travail collaboratif par année scolaire. </w:t>
                  </w:r>
                </w:p>
                <w:p w:rsidR="00F04EEF" w:rsidRDefault="00F04EEF">
                  <w:pPr>
                    <w:rPr>
                      <w:b/>
                      <w:u w:val="single"/>
                    </w:rPr>
                  </w:pPr>
                </w:p>
                <w:p w:rsidR="00F04EEF" w:rsidRDefault="0099351E">
                  <w:pPr>
                    <w:pStyle w:val="Titre5"/>
                  </w:pPr>
                  <w:r>
                    <w:t>2.4.1. Fonctions de sélection</w:t>
                  </w:r>
                  <w:bookmarkEnd w:id="1957"/>
                  <w:bookmarkEnd w:id="1958"/>
                </w:p>
                <w:p w:rsidR="00F04EEF" w:rsidRDefault="00F04EEF">
                  <w:pPr>
                    <w:widowControl w:val="0"/>
                    <w:autoSpaceDE w:val="0"/>
                    <w:autoSpaceDN w:val="0"/>
                    <w:adjustRightInd w:val="0"/>
                    <w:spacing w:before="10" w:line="240" w:lineRule="exact"/>
                    <w:rPr>
                      <w:rFonts w:cs="Georgia"/>
                      <w:color w:val="000000"/>
                    </w:rPr>
                  </w:pPr>
                </w:p>
                <w:p w:rsidR="00F04EEF" w:rsidRDefault="0099351E">
                  <w:pPr>
                    <w:widowControl w:val="0"/>
                    <w:autoSpaceDE w:val="0"/>
                    <w:autoSpaceDN w:val="0"/>
                    <w:adjustRightInd w:val="0"/>
                    <w:spacing w:line="241" w:lineRule="auto"/>
                    <w:jc w:val="both"/>
                    <w:rPr>
                      <w:rFonts w:cs="Georgia"/>
                      <w:color w:val="000000"/>
                    </w:rPr>
                  </w:pPr>
                  <w:r>
                    <w:rPr>
                      <w:rFonts w:cs="Georgia"/>
                      <w:color w:val="000000"/>
                      <w:spacing w:val="1"/>
                    </w:rPr>
                    <w:t>L</w:t>
                  </w:r>
                  <w:r>
                    <w:rPr>
                      <w:rFonts w:cs="Georgia"/>
                      <w:color w:val="000000"/>
                      <w:spacing w:val="-1"/>
                    </w:rPr>
                    <w:t>e</w:t>
                  </w:r>
                  <w:r>
                    <w:rPr>
                      <w:rFonts w:cs="Georgia"/>
                      <w:color w:val="000000"/>
                    </w:rPr>
                    <w:t>s</w:t>
                  </w:r>
                  <w:r>
                    <w:rPr>
                      <w:rFonts w:cs="Georgia"/>
                      <w:color w:val="000000"/>
                      <w:spacing w:val="5"/>
                    </w:rPr>
                    <w:t xml:space="preserve"> </w:t>
                  </w:r>
                  <w:r>
                    <w:rPr>
                      <w:rFonts w:cs="Georgia"/>
                      <w:color w:val="000000"/>
                      <w:spacing w:val="-2"/>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de</w:t>
                  </w:r>
                  <w:r>
                    <w:rPr>
                      <w:rFonts w:cs="Georgia"/>
                      <w:color w:val="000000"/>
                      <w:spacing w:val="1"/>
                    </w:rPr>
                    <w:t xml:space="preserve"> s</w:t>
                  </w:r>
                  <w:r>
                    <w:rPr>
                      <w:rFonts w:cs="Georgia"/>
                      <w:color w:val="000000"/>
                      <w:spacing w:val="-1"/>
                    </w:rPr>
                    <w:t>éle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3"/>
                    </w:rPr>
                    <w:t xml:space="preserve"> </w:t>
                  </w:r>
                  <w:r>
                    <w:rPr>
                      <w:rFonts w:cs="Georgia"/>
                      <w:color w:val="000000"/>
                      <w:spacing w:val="-2"/>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5"/>
                    </w:rPr>
                    <w:t xml:space="preserve"> </w:t>
                  </w:r>
                  <w:r>
                    <w:rPr>
                      <w:rFonts w:cs="Georgia"/>
                      <w:color w:val="000000"/>
                      <w:spacing w:val="-3"/>
                    </w:rPr>
                    <w:t>ê</w:t>
                  </w:r>
                  <w:r>
                    <w:rPr>
                      <w:rFonts w:cs="Georgia"/>
                      <w:color w:val="000000"/>
                      <w:spacing w:val="1"/>
                    </w:rPr>
                    <w:t>tr</w:t>
                  </w:r>
                  <w:r>
                    <w:rPr>
                      <w:rFonts w:cs="Georgia"/>
                      <w:color w:val="000000"/>
                    </w:rPr>
                    <w:t>e</w:t>
                  </w:r>
                  <w:r>
                    <w:rPr>
                      <w:rFonts w:cs="Georgia"/>
                      <w:color w:val="000000"/>
                      <w:spacing w:val="1"/>
                    </w:rPr>
                    <w:t xml:space="preserve"> 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ée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5"/>
                    </w:rPr>
                    <w:t xml:space="preserve"> </w:t>
                  </w:r>
                  <w:r>
                    <w:rPr>
                      <w:rFonts w:cs="Georgia"/>
                      <w:color w:val="000000"/>
                      <w:spacing w:val="-1"/>
                    </w:rPr>
                    <w:t>l</w:t>
                  </w:r>
                  <w:r>
                    <w:rPr>
                      <w:rFonts w:cs="Georgia"/>
                      <w:color w:val="000000"/>
                    </w:rPr>
                    <w:t>a</w:t>
                  </w:r>
                  <w:r>
                    <w:rPr>
                      <w:rFonts w:cs="Georgia"/>
                      <w:color w:val="000000"/>
                      <w:spacing w:val="1"/>
                    </w:rPr>
                    <w:t xml:space="preserve"> c</w:t>
                  </w:r>
                  <w:r>
                    <w:rPr>
                      <w:rFonts w:cs="Georgia"/>
                      <w:color w:val="000000"/>
                      <w:spacing w:val="-1"/>
                    </w:rPr>
                    <w:t>a</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o</w:t>
                  </w:r>
                  <w:r>
                    <w:rPr>
                      <w:rFonts w:cs="Georgia"/>
                      <w:color w:val="000000"/>
                      <w:spacing w:val="1"/>
                    </w:rPr>
                    <w:t>r</w:t>
                  </w:r>
                  <w:r>
                    <w:rPr>
                      <w:rFonts w:cs="Georgia"/>
                      <w:color w:val="000000"/>
                    </w:rPr>
                    <w:t>ie</w:t>
                  </w:r>
                  <w:r>
                    <w:rPr>
                      <w:rFonts w:cs="Georgia"/>
                      <w:color w:val="000000"/>
                      <w:spacing w:val="3"/>
                    </w:rPr>
                    <w:t xml:space="preserve"> </w:t>
                  </w:r>
                  <w:r>
                    <w:rPr>
                      <w:rFonts w:cs="Georgia"/>
                      <w:color w:val="000000"/>
                    </w:rPr>
                    <w:t xml:space="preserve">du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 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spacing w:val="-2"/>
                    </w:rPr>
                    <w:t>u</w:t>
                  </w:r>
                  <w:r>
                    <w:rPr>
                      <w:rFonts w:cs="Georgia"/>
                      <w:color w:val="000000"/>
                    </w:rPr>
                    <w:t xml:space="preserve">r </w:t>
                  </w:r>
                  <w:r>
                    <w:rPr>
                      <w:rFonts w:cs="Georgia"/>
                      <w:color w:val="000000"/>
                      <w:spacing w:val="-1"/>
                    </w:rPr>
                    <w:t>e</w:t>
                  </w:r>
                  <w:r>
                    <w:rPr>
                      <w:rFonts w:cs="Georgia"/>
                      <w:color w:val="000000"/>
                    </w:rPr>
                    <w:t xml:space="preserve">t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 :</w:t>
                  </w:r>
                </w:p>
                <w:p w:rsidR="00F04EEF" w:rsidRDefault="0099351E">
                  <w:pPr>
                    <w:pStyle w:val="Paragraphedeliste"/>
                    <w:widowControl w:val="0"/>
                    <w:numPr>
                      <w:ilvl w:val="0"/>
                      <w:numId w:val="71"/>
                    </w:numPr>
                    <w:tabs>
                      <w:tab w:val="left" w:pos="1418"/>
                    </w:tabs>
                    <w:autoSpaceDE w:val="0"/>
                    <w:autoSpaceDN w:val="0"/>
                    <w:adjustRightInd w:val="0"/>
                    <w:spacing w:line="248" w:lineRule="exact"/>
                    <w:ind w:left="927"/>
                    <w:rPr>
                      <w:rFonts w:asciiTheme="majorHAnsi" w:hAnsiTheme="majorHAnsi" w:cs="Georgia"/>
                      <w:color w:val="000000"/>
                      <w:sz w:val="22"/>
                      <w:szCs w:val="22"/>
                    </w:rPr>
                  </w:pPr>
                  <w:r>
                    <w:rPr>
                      <w:rFonts w:asciiTheme="majorHAnsi" w:hAnsiTheme="majorHAnsi" w:cs="Georgia"/>
                      <w:color w:val="000000"/>
                      <w:spacing w:val="1"/>
                      <w:sz w:val="22"/>
                      <w:szCs w:val="22"/>
                    </w:rPr>
                    <w:t>Ch</w:t>
                  </w:r>
                  <w:r>
                    <w:rPr>
                      <w:rFonts w:asciiTheme="majorHAnsi" w:hAnsiTheme="majorHAnsi" w:cs="Georgia"/>
                      <w:color w:val="000000"/>
                      <w:spacing w:val="-1"/>
                      <w:sz w:val="22"/>
                      <w:szCs w:val="22"/>
                    </w:rPr>
                    <w:t>e</w:t>
                  </w:r>
                  <w:r>
                    <w:rPr>
                      <w:rFonts w:asciiTheme="majorHAnsi" w:hAnsiTheme="majorHAnsi" w:cs="Georgia"/>
                      <w:color w:val="000000"/>
                      <w:sz w:val="22"/>
                      <w:szCs w:val="22"/>
                    </w:rPr>
                    <w:t>f d</w:t>
                  </w:r>
                  <w:r>
                    <w:rPr>
                      <w:rFonts w:asciiTheme="majorHAnsi" w:hAnsiTheme="majorHAnsi" w:cs="Georgia"/>
                      <w:color w:val="000000"/>
                      <w:spacing w:val="1"/>
                      <w:sz w:val="22"/>
                      <w:szCs w:val="22"/>
                    </w:rPr>
                    <w:t>'</w:t>
                  </w:r>
                  <w:r>
                    <w:rPr>
                      <w:rFonts w:asciiTheme="majorHAnsi" w:hAnsiTheme="majorHAnsi" w:cs="Georgia"/>
                      <w:color w:val="000000"/>
                      <w:spacing w:val="-3"/>
                      <w:sz w:val="22"/>
                      <w:szCs w:val="22"/>
                    </w:rPr>
                    <w:t>a</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el</w:t>
                  </w:r>
                  <w:r>
                    <w:rPr>
                      <w:rFonts w:asciiTheme="majorHAnsi" w:hAnsiTheme="majorHAnsi" w:cs="Georgia"/>
                      <w:color w:val="000000"/>
                      <w:sz w:val="22"/>
                      <w:szCs w:val="22"/>
                    </w:rPr>
                    <w:t>i</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z w:val="22"/>
                      <w:szCs w:val="22"/>
                    </w:rPr>
                    <w:t>,</w:t>
                  </w:r>
                </w:p>
                <w:p w:rsidR="00F04EEF" w:rsidRDefault="0099351E">
                  <w:pPr>
                    <w:pStyle w:val="Paragraphedeliste"/>
                    <w:widowControl w:val="0"/>
                    <w:numPr>
                      <w:ilvl w:val="0"/>
                      <w:numId w:val="71"/>
                    </w:numPr>
                    <w:tabs>
                      <w:tab w:val="left" w:pos="1418"/>
                    </w:tabs>
                    <w:autoSpaceDE w:val="0"/>
                    <w:autoSpaceDN w:val="0"/>
                    <w:adjustRightInd w:val="0"/>
                    <w:spacing w:line="250" w:lineRule="exact"/>
                    <w:ind w:left="927"/>
                    <w:rPr>
                      <w:rFonts w:asciiTheme="majorHAnsi" w:hAnsiTheme="majorHAnsi" w:cs="Georgia"/>
                      <w:color w:val="000000"/>
                      <w:spacing w:val="1"/>
                      <w:sz w:val="22"/>
                      <w:szCs w:val="22"/>
                    </w:rPr>
                  </w:pPr>
                  <w:r>
                    <w:rPr>
                      <w:rFonts w:asciiTheme="majorHAnsi" w:hAnsiTheme="majorHAnsi" w:cs="Georgia"/>
                      <w:color w:val="000000"/>
                      <w:spacing w:val="1"/>
                      <w:sz w:val="22"/>
                      <w:szCs w:val="22"/>
                    </w:rPr>
                    <w:t>so</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u</w:t>
                  </w:r>
                  <w:r>
                    <w:rPr>
                      <w:rFonts w:asciiTheme="majorHAnsi" w:hAnsiTheme="majorHAnsi" w:cs="Georgia"/>
                      <w:color w:val="000000"/>
                      <w:spacing w:val="1"/>
                      <w:sz w:val="22"/>
                      <w:szCs w:val="22"/>
                    </w:rPr>
                    <w:t>r.</w:t>
                  </w:r>
                </w:p>
                <w:p w:rsidR="00F04EEF" w:rsidRDefault="00F04EEF">
                  <w:pPr>
                    <w:widowControl w:val="0"/>
                    <w:tabs>
                      <w:tab w:val="left" w:pos="840"/>
                    </w:tabs>
                    <w:autoSpaceDE w:val="0"/>
                    <w:autoSpaceDN w:val="0"/>
                    <w:adjustRightInd w:val="0"/>
                    <w:spacing w:line="250" w:lineRule="exact"/>
                    <w:rPr>
                      <w:rFonts w:cs="Georgia"/>
                      <w:color w:val="000000"/>
                    </w:rPr>
                  </w:pPr>
                </w:p>
                <w:p w:rsidR="00F04EEF" w:rsidRDefault="0099351E">
                  <w:pPr>
                    <w:pStyle w:val="Titre6"/>
                  </w:pPr>
                  <w:r>
                    <w:t>2.4.1.1. Sous-directeur</w:t>
                  </w:r>
                </w:p>
                <w:p w:rsidR="00F04EEF" w:rsidRDefault="00F04EEF">
                  <w:pPr>
                    <w:widowControl w:val="0"/>
                    <w:autoSpaceDE w:val="0"/>
                    <w:autoSpaceDN w:val="0"/>
                    <w:adjustRightInd w:val="0"/>
                    <w:spacing w:before="1" w:line="250" w:lineRule="exact"/>
                    <w:jc w:val="both"/>
                    <w:rPr>
                      <w:rFonts w:cs="Georgia"/>
                      <w:color w:val="000000"/>
                      <w:spacing w:val="1"/>
                    </w:rPr>
                  </w:pPr>
                </w:p>
                <w:p w:rsidR="00F04EEF" w:rsidRDefault="0099351E">
                  <w:pPr>
                    <w:widowControl w:val="0"/>
                    <w:autoSpaceDE w:val="0"/>
                    <w:autoSpaceDN w:val="0"/>
                    <w:adjustRightInd w:val="0"/>
                    <w:spacing w:line="250" w:lineRule="exact"/>
                    <w:jc w:val="both"/>
                    <w:rPr>
                      <w:rFonts w:cs="Georgia"/>
                      <w:color w:val="000000"/>
                      <w:spacing w:val="1"/>
                    </w:rPr>
                  </w:pPr>
                  <w:r>
                    <w:rPr>
                      <w:rFonts w:cs="Georgia"/>
                      <w:color w:val="000000"/>
                      <w:spacing w:val="1"/>
                    </w:rPr>
                    <w:t>Si le nombre d’élèves réguliers inscrits le 15 janvier précédant l’année scolaire est au moins égal à 300, un emploi de sous-directeur peut être organisé ou subventionné.</w:t>
                  </w:r>
                </w:p>
                <w:p w:rsidR="00F04EEF" w:rsidRDefault="00F04EEF">
                  <w:pPr>
                    <w:widowControl w:val="0"/>
                    <w:autoSpaceDE w:val="0"/>
                    <w:autoSpaceDN w:val="0"/>
                    <w:adjustRightInd w:val="0"/>
                    <w:spacing w:line="250" w:lineRule="exact"/>
                    <w:jc w:val="both"/>
                    <w:rPr>
                      <w:rFonts w:cs="Georgia"/>
                      <w:color w:val="000000"/>
                      <w:spacing w:val="1"/>
                    </w:rPr>
                  </w:pPr>
                </w:p>
                <w:p w:rsidR="00F04EEF" w:rsidRDefault="0099351E">
                  <w:pPr>
                    <w:widowControl w:val="0"/>
                    <w:autoSpaceDE w:val="0"/>
                    <w:autoSpaceDN w:val="0"/>
                    <w:adjustRightInd w:val="0"/>
                    <w:spacing w:line="250" w:lineRule="exact"/>
                    <w:jc w:val="both"/>
                    <w:rPr>
                      <w:rFonts w:cs="Georgia"/>
                      <w:color w:val="000000"/>
                      <w:spacing w:val="1"/>
                    </w:rPr>
                  </w:pPr>
                  <w:r>
                    <w:rPr>
                      <w:rFonts w:cs="Georgia"/>
                      <w:color w:val="000000"/>
                      <w:spacing w:val="1"/>
                    </w:rPr>
                    <w:t>L’organisation ou le subventionnement des emplois de sous-directeur peut être modifié chaque fois que le capital-périodes est recalculé :</w:t>
                  </w:r>
                </w:p>
                <w:p w:rsidR="00F04EEF" w:rsidRDefault="00F04EEF">
                  <w:pPr>
                    <w:widowControl w:val="0"/>
                    <w:autoSpaceDE w:val="0"/>
                    <w:autoSpaceDN w:val="0"/>
                    <w:adjustRightInd w:val="0"/>
                    <w:spacing w:line="250" w:lineRule="exact"/>
                    <w:jc w:val="both"/>
                    <w:rPr>
                      <w:rFonts w:cs="Georgia"/>
                      <w:color w:val="000000"/>
                      <w:spacing w:val="1"/>
                    </w:rPr>
                  </w:pPr>
                </w:p>
                <w:p w:rsidR="00F04EEF" w:rsidRDefault="0099351E">
                  <w:pPr>
                    <w:pStyle w:val="Paragraphedeliste"/>
                    <w:widowControl w:val="0"/>
                    <w:numPr>
                      <w:ilvl w:val="0"/>
                      <w:numId w:val="61"/>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Pr>
                      <w:rFonts w:asciiTheme="majorHAnsi" w:hAnsiTheme="majorHAnsi" w:cs="Georgia"/>
                      <w:color w:val="000000"/>
                      <w:spacing w:val="1"/>
                      <w:sz w:val="22"/>
                      <w:szCs w:val="22"/>
                    </w:rPr>
                    <w:t>un nouveau calcul de l’encadrement est réalisé le 1er octobre, si la population au 30 septembre a varié d’au moins 5 % par rapport à celle du 15 janvier précédent ;</w:t>
                  </w:r>
                </w:p>
                <w:p w:rsidR="00F04EEF" w:rsidRDefault="0099351E">
                  <w:pPr>
                    <w:pStyle w:val="Paragraphedeliste"/>
                    <w:widowControl w:val="0"/>
                    <w:numPr>
                      <w:ilvl w:val="0"/>
                      <w:numId w:val="61"/>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Pr>
                      <w:rFonts w:asciiTheme="majorHAnsi" w:hAnsiTheme="majorHAnsi" w:cs="Georgia"/>
                      <w:color w:val="000000"/>
                      <w:spacing w:val="1"/>
                      <w:sz w:val="22"/>
                      <w:szCs w:val="22"/>
                    </w:rPr>
                    <w:t>après le 30 septembre, l’organisation ou le subventionnement des emplois de sous-directeur peut être modifié en fonction de l’augmentation de 10 % de la population ayant servi au dernier calcul du capital-périodes ;</w:t>
                  </w:r>
                </w:p>
                <w:p w:rsidR="00F04EEF" w:rsidRDefault="0099351E">
                  <w:pPr>
                    <w:pStyle w:val="Paragraphedeliste"/>
                    <w:widowControl w:val="0"/>
                    <w:numPr>
                      <w:ilvl w:val="0"/>
                      <w:numId w:val="61"/>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Pr>
                      <w:rFonts w:asciiTheme="majorHAnsi" w:hAnsiTheme="majorHAnsi" w:cs="Georgia"/>
                      <w:color w:val="000000"/>
                      <w:spacing w:val="1"/>
                      <w:sz w:val="22"/>
                      <w:szCs w:val="22"/>
                    </w:rPr>
                    <w:t>lors d’une exclusion postérieure au 15 janvier.</w:t>
                  </w:r>
                </w:p>
                <w:p w:rsidR="00F04EEF" w:rsidRDefault="00F04EEF">
                  <w:pPr>
                    <w:widowControl w:val="0"/>
                    <w:autoSpaceDE w:val="0"/>
                    <w:autoSpaceDN w:val="0"/>
                    <w:adjustRightInd w:val="0"/>
                    <w:spacing w:line="250" w:lineRule="exact"/>
                    <w:jc w:val="both"/>
                    <w:rPr>
                      <w:rFonts w:cs="Georgia"/>
                      <w:b/>
                      <w:u w:val="single"/>
                    </w:rPr>
                  </w:pPr>
                </w:p>
                <w:p w:rsidR="00F04EEF" w:rsidRDefault="0099351E">
                  <w:pPr>
                    <w:pStyle w:val="Titre6"/>
                  </w:pPr>
                  <w:r>
                    <w:t>2.4.1.2. Chef d’atelier</w:t>
                  </w:r>
                </w:p>
                <w:p w:rsidR="00F04EEF" w:rsidRDefault="00F04EEF">
                  <w:pPr>
                    <w:widowControl w:val="0"/>
                    <w:autoSpaceDE w:val="0"/>
                    <w:autoSpaceDN w:val="0"/>
                    <w:adjustRightInd w:val="0"/>
                    <w:spacing w:before="11"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spacing w:val="1"/>
                    </w:rPr>
                    <w:t>U</w:t>
                  </w:r>
                  <w:r>
                    <w:rPr>
                      <w:rFonts w:cs="Georgia"/>
                      <w:color w:val="000000"/>
                    </w:rPr>
                    <w:t>n</w:t>
                  </w:r>
                  <w:r>
                    <w:rPr>
                      <w:rFonts w:cs="Georgia"/>
                      <w:color w:val="000000"/>
                      <w:spacing w:val="1"/>
                    </w:rPr>
                    <w:t xml:space="preserve"> </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l</w:t>
                  </w:r>
                  <w:r>
                    <w:rPr>
                      <w:rFonts w:cs="Georgia"/>
                      <w:color w:val="000000"/>
                      <w:spacing w:val="1"/>
                    </w:rPr>
                    <w:t>o</w:t>
                  </w:r>
                  <w:r>
                    <w:rPr>
                      <w:rFonts w:cs="Georgia"/>
                      <w:color w:val="000000"/>
                    </w:rPr>
                    <w:t>i</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f</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spacing w:val="1"/>
                    </w:rPr>
                    <w:t>t</w:t>
                  </w:r>
                  <w:r>
                    <w:rPr>
                      <w:rFonts w:cs="Georgia"/>
                      <w:color w:val="000000"/>
                      <w:spacing w:val="-1"/>
                    </w:rPr>
                    <w:t>el</w:t>
                  </w:r>
                  <w:r>
                    <w:rPr>
                      <w:rFonts w:cs="Georgia"/>
                      <w:color w:val="000000"/>
                      <w:spacing w:val="-2"/>
                    </w:rPr>
                    <w:t>i</w:t>
                  </w:r>
                  <w:r>
                    <w:rPr>
                      <w:rFonts w:cs="Georgia"/>
                      <w:color w:val="000000"/>
                      <w:spacing w:val="-1"/>
                    </w:rPr>
                    <w:t>e</w:t>
                  </w:r>
                  <w:r>
                    <w:rPr>
                      <w:rFonts w:cs="Georgia"/>
                      <w:color w:val="000000"/>
                    </w:rPr>
                    <w:t>r</w:t>
                  </w:r>
                  <w:r>
                    <w:rPr>
                      <w:rFonts w:cs="Georgia"/>
                      <w:color w:val="000000"/>
                      <w:spacing w:val="3"/>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3"/>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rPr>
                    <w:t>é</w:t>
                  </w:r>
                  <w:r>
                    <w:rPr>
                      <w:rFonts w:cs="Georgia"/>
                      <w:color w:val="000000"/>
                      <w:spacing w:val="1"/>
                    </w:rPr>
                    <w:t xml:space="preserve"> o</w:t>
                  </w:r>
                  <w:r>
                    <w:rPr>
                      <w:rFonts w:cs="Georgia"/>
                      <w:color w:val="000000"/>
                    </w:rPr>
                    <w:t xml:space="preserve">u </w:t>
                  </w:r>
                  <w:r>
                    <w:rPr>
                      <w:rFonts w:cs="Georgia"/>
                      <w:color w:val="000000"/>
                      <w:spacing w:val="1"/>
                    </w:rPr>
                    <w:t>s</w:t>
                  </w:r>
                  <w:r>
                    <w:rPr>
                      <w:rFonts w:cs="Georgia"/>
                      <w:color w:val="000000"/>
                    </w:rPr>
                    <w:t>u</w:t>
                  </w:r>
                  <w:r>
                    <w:rPr>
                      <w:rFonts w:cs="Georgia"/>
                      <w:color w:val="000000"/>
                      <w:spacing w:val="-1"/>
                    </w:rPr>
                    <w:t>b</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nn</w:t>
                  </w:r>
                  <w:r>
                    <w:rPr>
                      <w:rFonts w:cs="Georgia"/>
                      <w:color w:val="000000"/>
                    </w:rPr>
                    <w:t>é</w:t>
                  </w:r>
                  <w:r>
                    <w:rPr>
                      <w:rFonts w:cs="Georgia"/>
                      <w:color w:val="000000"/>
                      <w:spacing w:val="3"/>
                    </w:rPr>
                    <w:t xml:space="preserve"> </w:t>
                  </w:r>
                  <w:r>
                    <w:rPr>
                      <w:rFonts w:cs="Georgia"/>
                      <w:color w:val="000000"/>
                      <w:spacing w:val="-2"/>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3"/>
                    </w:rPr>
                    <w:t xml:space="preserve"> </w:t>
                  </w:r>
                  <w:r>
                    <w:rPr>
                      <w:rFonts w:cs="Georgia"/>
                      <w:color w:val="000000"/>
                    </w:rPr>
                    <w:t>f</w:t>
                  </w:r>
                  <w:r>
                    <w:rPr>
                      <w:rFonts w:cs="Georgia"/>
                      <w:color w:val="000000"/>
                      <w:spacing w:val="-1"/>
                    </w:rPr>
                    <w:t>o</w:t>
                  </w:r>
                  <w:r>
                    <w:rPr>
                      <w:rFonts w:cs="Georgia"/>
                      <w:color w:val="000000"/>
                    </w:rPr>
                    <w:t>is</w:t>
                  </w:r>
                  <w:r>
                    <w:rPr>
                      <w:rFonts w:cs="Georgia"/>
                      <w:color w:val="000000"/>
                      <w:spacing w:val="5"/>
                    </w:rPr>
                    <w:t xml:space="preserve"> </w:t>
                  </w:r>
                  <w:r>
                    <w:rPr>
                      <w:rFonts w:cs="Georgia"/>
                      <w:color w:val="000000"/>
                      <w:spacing w:val="-1"/>
                    </w:rPr>
                    <w:t>q</w:t>
                  </w:r>
                  <w:r>
                    <w:rPr>
                      <w:rFonts w:cs="Georgia"/>
                      <w:color w:val="000000"/>
                    </w:rPr>
                    <w:t>ue</w:t>
                  </w:r>
                  <w:r>
                    <w:rPr>
                      <w:rFonts w:cs="Georgia"/>
                      <w:color w:val="000000"/>
                      <w:spacing w:val="3"/>
                    </w:rPr>
                    <w:t xml:space="preserve"> </w:t>
                  </w:r>
                  <w:r>
                    <w:rPr>
                      <w:rFonts w:cs="Georgia"/>
                      <w:color w:val="000000"/>
                      <w:spacing w:val="-1"/>
                    </w:rPr>
                    <w:t>l</w:t>
                  </w:r>
                  <w:r>
                    <w:rPr>
                      <w:rFonts w:cs="Georgia"/>
                      <w:color w:val="000000"/>
                    </w:rPr>
                    <w:t>e</w:t>
                  </w:r>
                  <w:r>
                    <w:rPr>
                      <w:rFonts w:cs="Georgia"/>
                      <w:color w:val="000000"/>
                      <w:spacing w:val="3"/>
                    </w:rPr>
                    <w:t xml:space="preserve"> </w:t>
                  </w:r>
                  <w:r>
                    <w:rPr>
                      <w:rFonts w:cs="Georgia"/>
                      <w:color w:val="000000"/>
                      <w:spacing w:val="-1"/>
                    </w:rPr>
                    <w:t>n</w:t>
                  </w:r>
                  <w:r>
                    <w:rPr>
                      <w:rFonts w:cs="Georgia"/>
                      <w:color w:val="000000"/>
                      <w:spacing w:val="1"/>
                    </w:rPr>
                    <w:t>o</w:t>
                  </w:r>
                  <w:r>
                    <w:rPr>
                      <w:rFonts w:cs="Georgia"/>
                      <w:color w:val="000000"/>
                    </w:rPr>
                    <w:t>m</w:t>
                  </w:r>
                  <w:r>
                    <w:rPr>
                      <w:rFonts w:cs="Georgia"/>
                      <w:color w:val="000000"/>
                      <w:spacing w:val="1"/>
                    </w:rPr>
                    <w:t>br</w:t>
                  </w:r>
                  <w:r>
                    <w:rPr>
                      <w:rFonts w:cs="Georgia"/>
                      <w:color w:val="000000"/>
                    </w:rPr>
                    <w:t>e de</w:t>
                  </w:r>
                  <w:r>
                    <w:rPr>
                      <w:rFonts w:cs="Georgia"/>
                      <w:color w:val="000000"/>
                      <w:spacing w:val="3"/>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5"/>
                    </w:rPr>
                    <w:t xml:space="preserve"> </w:t>
                  </w:r>
                  <w:r>
                    <w:rPr>
                      <w:rFonts w:cs="Georgia"/>
                      <w:color w:val="000000"/>
                    </w:rPr>
                    <w:t>de</w:t>
                  </w:r>
                  <w:r>
                    <w:rPr>
                      <w:rFonts w:cs="Georgia"/>
                      <w:color w:val="000000"/>
                      <w:spacing w:val="3"/>
                    </w:rPr>
                    <w:t xml:space="preserve"> </w:t>
                  </w:r>
                  <w:r>
                    <w:rPr>
                      <w:rFonts w:cs="Georgia"/>
                      <w:color w:val="000000"/>
                      <w:spacing w:val="-1"/>
                    </w:rPr>
                    <w:t>p</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q</w:t>
                  </w:r>
                  <w:r>
                    <w:rPr>
                      <w:rFonts w:cs="Georgia"/>
                      <w:color w:val="000000"/>
                    </w:rPr>
                    <w:t>ue</w:t>
                  </w:r>
                  <w:r>
                    <w:rPr>
                      <w:rFonts w:cs="Georgia"/>
                      <w:color w:val="000000"/>
                      <w:spacing w:val="3"/>
                    </w:rPr>
                    <w:t xml:space="preserve"> </w:t>
                  </w:r>
                  <w:r>
                    <w:rPr>
                      <w:rFonts w:cs="Georgia"/>
                      <w:color w:val="000000"/>
                    </w:rPr>
                    <w:t>p</w:t>
                  </w:r>
                  <w:r>
                    <w:rPr>
                      <w:rFonts w:cs="Georgia"/>
                      <w:color w:val="000000"/>
                      <w:spacing w:val="1"/>
                    </w:rPr>
                    <w:t>r</w:t>
                  </w:r>
                  <w:r>
                    <w:rPr>
                      <w:rFonts w:cs="Georgia"/>
                      <w:color w:val="000000"/>
                      <w:spacing w:val="-1"/>
                    </w:rPr>
                    <w:t>o</w:t>
                  </w:r>
                  <w:r>
                    <w:rPr>
                      <w:rFonts w:cs="Georgia"/>
                      <w:color w:val="000000"/>
                      <w:spacing w:val="-2"/>
                    </w:rPr>
                    <w:t>f</w:t>
                  </w:r>
                  <w:r>
                    <w:rPr>
                      <w:rFonts w:cs="Georgia"/>
                      <w:color w:val="000000"/>
                      <w:spacing w:val="-1"/>
                    </w:rPr>
                    <w:t>e</w:t>
                  </w:r>
                  <w:r>
                    <w:rPr>
                      <w:rFonts w:cs="Georgia"/>
                      <w:color w:val="000000"/>
                      <w:spacing w:val="1"/>
                    </w:rPr>
                    <w:t>ss</w:t>
                  </w:r>
                  <w:r>
                    <w:rPr>
                      <w:rFonts w:cs="Georgia"/>
                      <w:color w:val="000000"/>
                    </w:rPr>
                    <w:t>i</w:t>
                  </w:r>
                  <w:r>
                    <w:rPr>
                      <w:rFonts w:cs="Georgia"/>
                      <w:color w:val="000000"/>
                      <w:spacing w:val="1"/>
                    </w:rPr>
                    <w:t>o</w:t>
                  </w:r>
                  <w:r>
                    <w:rPr>
                      <w:rFonts w:cs="Georgia"/>
                      <w:color w:val="000000"/>
                      <w:spacing w:val="-1"/>
                    </w:rPr>
                    <w:t>nnell</w:t>
                  </w:r>
                  <w:r>
                    <w:rPr>
                      <w:rFonts w:cs="Georgia"/>
                      <w:color w:val="000000"/>
                    </w:rPr>
                    <w:t>e organisées</w:t>
                  </w:r>
                  <w:r>
                    <w:rPr>
                      <w:rFonts w:cs="Georgia"/>
                      <w:color w:val="000000"/>
                      <w:spacing w:val="3"/>
                    </w:rPr>
                    <w:t xml:space="preserve"> </w:t>
                  </w:r>
                  <w:r>
                    <w:rPr>
                      <w:rFonts w:cs="Georgia"/>
                      <w:color w:val="000000"/>
                      <w:spacing w:val="-1"/>
                    </w:rPr>
                    <w:t>a</w:t>
                  </w:r>
                  <w:r>
                    <w:rPr>
                      <w:rFonts w:cs="Georgia"/>
                      <w:color w:val="000000"/>
                      <w:spacing w:val="1"/>
                    </w:rPr>
                    <w:t>tt</w:t>
                  </w:r>
                  <w:r>
                    <w:rPr>
                      <w:rFonts w:cs="Georgia"/>
                      <w:color w:val="000000"/>
                      <w:spacing w:val="-1"/>
                    </w:rPr>
                    <w:t>e</w:t>
                  </w:r>
                  <w:r>
                    <w:rPr>
                      <w:rFonts w:cs="Georgia"/>
                      <w:color w:val="000000"/>
                    </w:rPr>
                    <w:t>i</w:t>
                  </w:r>
                  <w:r>
                    <w:rPr>
                      <w:rFonts w:cs="Georgia"/>
                      <w:color w:val="000000"/>
                      <w:spacing w:val="-1"/>
                    </w:rPr>
                    <w:t>n</w:t>
                  </w:r>
                  <w:r>
                    <w:rPr>
                      <w:rFonts w:cs="Georgia"/>
                      <w:color w:val="000000"/>
                    </w:rPr>
                    <w:t>t</w:t>
                  </w:r>
                  <w:r>
                    <w:rPr>
                      <w:rFonts w:cs="Georgia"/>
                      <w:color w:val="000000"/>
                      <w:spacing w:val="5"/>
                    </w:rPr>
                    <w:t xml:space="preserve"> </w:t>
                  </w:r>
                  <w:r>
                    <w:rPr>
                      <w:rFonts w:cs="Georgia"/>
                      <w:color w:val="000000"/>
                      <w:spacing w:val="-1"/>
                    </w:rPr>
                    <w:t>2</w:t>
                  </w:r>
                  <w:r>
                    <w:rPr>
                      <w:rFonts w:cs="Georgia"/>
                      <w:color w:val="000000"/>
                      <w:spacing w:val="1"/>
                    </w:rPr>
                    <w:t>1</w:t>
                  </w:r>
                  <w:r>
                    <w:rPr>
                      <w:rFonts w:cs="Georgia"/>
                      <w:color w:val="000000"/>
                    </w:rPr>
                    <w:t xml:space="preserve">0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s</w:t>
                  </w:r>
                  <w:r>
                    <w:rPr>
                      <w:rFonts w:cs="Georgia"/>
                      <w:color w:val="000000"/>
                    </w:rPr>
                    <w:t>.</w:t>
                  </w:r>
                </w:p>
                <w:p w:rsidR="00F04EEF" w:rsidRDefault="00F04EEF">
                  <w:pPr>
                    <w:widowControl w:val="0"/>
                    <w:autoSpaceDE w:val="0"/>
                    <w:autoSpaceDN w:val="0"/>
                    <w:adjustRightInd w:val="0"/>
                    <w:spacing w:before="9" w:line="240" w:lineRule="exact"/>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T</w:t>
                  </w:r>
                  <w:r>
                    <w:rPr>
                      <w:rFonts w:cs="Georgia"/>
                      <w:color w:val="000000"/>
                      <w:spacing w:val="1"/>
                    </w:rPr>
                    <w:t>o</w:t>
                  </w:r>
                  <w:r>
                    <w:rPr>
                      <w:rFonts w:cs="Georgia"/>
                      <w:color w:val="000000"/>
                    </w:rPr>
                    <w:t>u</w:t>
                  </w:r>
                  <w:r>
                    <w:rPr>
                      <w:rFonts w:cs="Georgia"/>
                      <w:color w:val="000000"/>
                      <w:spacing w:val="1"/>
                    </w:rPr>
                    <w:t>t</w:t>
                  </w:r>
                  <w:r>
                    <w:rPr>
                      <w:rFonts w:cs="Georgia"/>
                      <w:color w:val="000000"/>
                      <w:spacing w:val="-1"/>
                    </w:rPr>
                    <w:t>e</w:t>
                  </w:r>
                  <w:r>
                    <w:rPr>
                      <w:rFonts w:cs="Georgia"/>
                      <w:color w:val="000000"/>
                      <w:spacing w:val="-2"/>
                    </w:rPr>
                    <w:t>f</w:t>
                  </w:r>
                  <w:r>
                    <w:rPr>
                      <w:rFonts w:cs="Georgia"/>
                      <w:color w:val="000000"/>
                      <w:spacing w:val="1"/>
                    </w:rPr>
                    <w:t>o</w:t>
                  </w:r>
                  <w:r>
                    <w:rPr>
                      <w:rFonts w:cs="Georgia"/>
                      <w:color w:val="000000"/>
                    </w:rPr>
                    <w:t>is</w:t>
                  </w:r>
                  <w:r>
                    <w:rPr>
                      <w:rFonts w:cs="Georgia"/>
                      <w:color w:val="000000"/>
                      <w:spacing w:val="32"/>
                    </w:rPr>
                    <w:t xml:space="preserve"> </w:t>
                  </w:r>
                  <w:r>
                    <w:rPr>
                      <w:rFonts w:cs="Georgia"/>
                      <w:color w:val="000000"/>
                      <w:spacing w:val="-1"/>
                    </w:rPr>
                    <w:t>l</w:t>
                  </w:r>
                  <w:r>
                    <w:rPr>
                      <w:rFonts w:cs="Georgia"/>
                      <w:color w:val="000000"/>
                      <w:spacing w:val="1"/>
                    </w:rPr>
                    <w:t>'</w:t>
                  </w:r>
                  <w:r>
                    <w:rPr>
                      <w:rFonts w:cs="Georgia"/>
                      <w:color w:val="000000"/>
                      <w:spacing w:val="-1"/>
                    </w:rPr>
                    <w:t>e</w:t>
                  </w:r>
                  <w:r>
                    <w:rPr>
                      <w:rFonts w:cs="Georgia"/>
                      <w:color w:val="000000"/>
                      <w:spacing w:val="-3"/>
                    </w:rPr>
                    <w:t>m</w:t>
                  </w:r>
                  <w:r>
                    <w:rPr>
                      <w:rFonts w:cs="Georgia"/>
                      <w:color w:val="000000"/>
                      <w:spacing w:val="1"/>
                    </w:rPr>
                    <w:t>p</w:t>
                  </w:r>
                  <w:r>
                    <w:rPr>
                      <w:rFonts w:cs="Georgia"/>
                      <w:color w:val="000000"/>
                      <w:spacing w:val="-1"/>
                    </w:rPr>
                    <w:t>l</w:t>
                  </w:r>
                  <w:r>
                    <w:rPr>
                      <w:rFonts w:cs="Georgia"/>
                      <w:color w:val="000000"/>
                      <w:spacing w:val="1"/>
                    </w:rPr>
                    <w:t>o</w:t>
                  </w:r>
                  <w:r>
                    <w:rPr>
                      <w:rFonts w:cs="Georgia"/>
                      <w:color w:val="000000"/>
                    </w:rPr>
                    <w:t>i</w:t>
                  </w:r>
                  <w:r>
                    <w:rPr>
                      <w:rFonts w:cs="Georgia"/>
                      <w:color w:val="000000"/>
                      <w:spacing w:val="31"/>
                    </w:rPr>
                    <w:t xml:space="preserve"> </w:t>
                  </w:r>
                  <w:r>
                    <w:rPr>
                      <w:rFonts w:cs="Georgia"/>
                      <w:color w:val="000000"/>
                      <w:spacing w:val="-1"/>
                    </w:rPr>
                    <w:t>n</w:t>
                  </w:r>
                  <w:r>
                    <w:rPr>
                      <w:rFonts w:cs="Georgia"/>
                      <w:color w:val="000000"/>
                    </w:rPr>
                    <w:t>e</w:t>
                  </w:r>
                  <w:r>
                    <w:rPr>
                      <w:rFonts w:cs="Georgia"/>
                      <w:color w:val="000000"/>
                      <w:spacing w:val="30"/>
                    </w:rPr>
                    <w:t xml:space="preserve"> </w:t>
                  </w:r>
                  <w:r>
                    <w:rPr>
                      <w:rFonts w:cs="Georgia"/>
                      <w:color w:val="000000"/>
                      <w:spacing w:val="1"/>
                    </w:rPr>
                    <w:t>s</w:t>
                  </w:r>
                  <w:r>
                    <w:rPr>
                      <w:rFonts w:cs="Georgia"/>
                      <w:color w:val="000000"/>
                      <w:spacing w:val="-1"/>
                    </w:rPr>
                    <w:t>e</w:t>
                  </w:r>
                  <w:r>
                    <w:rPr>
                      <w:rFonts w:cs="Georgia"/>
                      <w:color w:val="000000"/>
                      <w:spacing w:val="1"/>
                    </w:rPr>
                    <w:t>r</w:t>
                  </w:r>
                  <w:r>
                    <w:rPr>
                      <w:rFonts w:cs="Georgia"/>
                      <w:color w:val="000000"/>
                    </w:rPr>
                    <w:t>a</w:t>
                  </w:r>
                  <w:r>
                    <w:rPr>
                      <w:rFonts w:cs="Georgia"/>
                      <w:color w:val="000000"/>
                      <w:spacing w:val="30"/>
                    </w:rPr>
                    <w:t xml:space="preserve"> </w:t>
                  </w:r>
                  <w:r>
                    <w:rPr>
                      <w:rFonts w:cs="Georgia"/>
                      <w:color w:val="000000"/>
                      <w:spacing w:val="1"/>
                    </w:rPr>
                    <w:t>cr</w:t>
                  </w:r>
                  <w:r>
                    <w:rPr>
                      <w:rFonts w:cs="Georgia"/>
                      <w:color w:val="000000"/>
                      <w:spacing w:val="-1"/>
                    </w:rPr>
                    <w:t>é</w:t>
                  </w:r>
                  <w:r>
                    <w:rPr>
                      <w:rFonts w:cs="Georgia"/>
                      <w:color w:val="000000"/>
                    </w:rPr>
                    <w:t>é</w:t>
                  </w:r>
                  <w:r>
                    <w:rPr>
                      <w:rFonts w:cs="Georgia"/>
                      <w:color w:val="000000"/>
                      <w:spacing w:val="30"/>
                    </w:rPr>
                    <w:t xml:space="preserve"> </w:t>
                  </w:r>
                  <w:r>
                    <w:rPr>
                      <w:rFonts w:cs="Georgia"/>
                      <w:color w:val="000000"/>
                    </w:rPr>
                    <w:t>d</w:t>
                  </w:r>
                  <w:r>
                    <w:rPr>
                      <w:rFonts w:cs="Georgia"/>
                      <w:color w:val="000000"/>
                      <w:spacing w:val="-1"/>
                    </w:rPr>
                    <w:t>é</w:t>
                  </w:r>
                  <w:r>
                    <w:rPr>
                      <w:rFonts w:cs="Georgia"/>
                      <w:color w:val="000000"/>
                    </w:rPr>
                    <w:t>fi</w:t>
                  </w:r>
                  <w:r>
                    <w:rPr>
                      <w:rFonts w:cs="Georgia"/>
                      <w:color w:val="000000"/>
                      <w:spacing w:val="-1"/>
                    </w:rPr>
                    <w:t>n</w:t>
                  </w:r>
                  <w:r>
                    <w:rPr>
                      <w:rFonts w:cs="Georgia"/>
                      <w:color w:val="000000"/>
                    </w:rPr>
                    <w:t>i</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1"/>
                    </w:rPr>
                    <w:t xml:space="preserve"> </w:t>
                  </w:r>
                  <w:r>
                    <w:rPr>
                      <w:rFonts w:cs="Georgia"/>
                      <w:color w:val="000000"/>
                      <w:spacing w:val="-1"/>
                    </w:rPr>
                    <w:t>q</w:t>
                  </w:r>
                  <w:r>
                    <w:rPr>
                      <w:rFonts w:cs="Georgia"/>
                      <w:color w:val="000000"/>
                    </w:rPr>
                    <w:t>ue</w:t>
                  </w:r>
                  <w:r>
                    <w:rPr>
                      <w:rFonts w:cs="Georgia"/>
                      <w:color w:val="000000"/>
                      <w:spacing w:val="30"/>
                    </w:rPr>
                    <w:t xml:space="preserve"> </w:t>
                  </w:r>
                  <w:r>
                    <w:rPr>
                      <w:rFonts w:cs="Georgia"/>
                      <w:color w:val="000000"/>
                      <w:spacing w:val="1"/>
                    </w:rPr>
                    <w:t>s</w:t>
                  </w:r>
                  <w:r>
                    <w:rPr>
                      <w:rFonts w:cs="Georgia"/>
                      <w:color w:val="000000"/>
                    </w:rPr>
                    <w:t>i</w:t>
                  </w:r>
                  <w:r>
                    <w:rPr>
                      <w:rFonts w:cs="Georgia"/>
                      <w:color w:val="000000"/>
                      <w:spacing w:val="31"/>
                    </w:rPr>
                    <w:t xml:space="preserve"> </w:t>
                  </w:r>
                  <w:r>
                    <w:rPr>
                      <w:rFonts w:cs="Georgia"/>
                      <w:color w:val="000000"/>
                      <w:spacing w:val="-1"/>
                    </w:rPr>
                    <w:t>l</w:t>
                  </w:r>
                  <w:r>
                    <w:rPr>
                      <w:rFonts w:cs="Georgia"/>
                      <w:color w:val="000000"/>
                    </w:rPr>
                    <w:t>a</w:t>
                  </w:r>
                  <w:r>
                    <w:rPr>
                      <w:rFonts w:cs="Georgia"/>
                      <w:color w:val="000000"/>
                      <w:spacing w:val="32"/>
                    </w:rPr>
                    <w:t xml:space="preserve"> </w:t>
                  </w:r>
                  <w:r>
                    <w:rPr>
                      <w:rFonts w:cs="Georgia"/>
                      <w:color w:val="000000"/>
                      <w:spacing w:val="-1"/>
                    </w:rPr>
                    <w:t>n</w:t>
                  </w:r>
                  <w:r>
                    <w:rPr>
                      <w:rFonts w:cs="Georgia"/>
                      <w:color w:val="000000"/>
                      <w:spacing w:val="1"/>
                    </w:rPr>
                    <w:t>or</w:t>
                  </w:r>
                  <w:r>
                    <w:rPr>
                      <w:rFonts w:cs="Georgia"/>
                      <w:color w:val="000000"/>
                    </w:rPr>
                    <w:t>me</w:t>
                  </w:r>
                  <w:r>
                    <w:rPr>
                      <w:rFonts w:cs="Georgia"/>
                      <w:color w:val="000000"/>
                      <w:spacing w:val="30"/>
                    </w:rPr>
                    <w:t xml:space="preserve"> </w:t>
                  </w:r>
                  <w:r>
                    <w:rPr>
                      <w:rFonts w:cs="Georgia"/>
                      <w:color w:val="000000"/>
                    </w:rPr>
                    <w:t>de</w:t>
                  </w:r>
                  <w:r>
                    <w:rPr>
                      <w:rFonts w:cs="Georgia"/>
                      <w:color w:val="000000"/>
                      <w:spacing w:val="30"/>
                    </w:rPr>
                    <w:t xml:space="preserve"> </w:t>
                  </w:r>
                  <w:r>
                    <w:rPr>
                      <w:rFonts w:cs="Georgia"/>
                      <w:color w:val="000000"/>
                      <w:spacing w:val="1"/>
                    </w:rPr>
                    <w:t>cr</w:t>
                  </w:r>
                  <w:r>
                    <w:rPr>
                      <w:rFonts w:cs="Georgia"/>
                      <w:color w:val="000000"/>
                      <w:spacing w:val="-1"/>
                    </w:rPr>
                    <w:t>éa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30"/>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32"/>
                    </w:rPr>
                    <w:t xml:space="preserve"> </w:t>
                  </w:r>
                  <w:r>
                    <w:rPr>
                      <w:rFonts w:cs="Georgia"/>
                      <w:color w:val="000000"/>
                      <w:spacing w:val="-1"/>
                    </w:rPr>
                    <w:t>a</w:t>
                  </w:r>
                  <w:r>
                    <w:rPr>
                      <w:rFonts w:cs="Georgia"/>
                      <w:color w:val="000000"/>
                      <w:spacing w:val="1"/>
                    </w:rPr>
                    <w:t>tt</w:t>
                  </w:r>
                  <w:r>
                    <w:rPr>
                      <w:rFonts w:cs="Georgia"/>
                      <w:color w:val="000000"/>
                      <w:spacing w:val="-1"/>
                    </w:rPr>
                    <w:t>e</w:t>
                  </w:r>
                  <w:r>
                    <w:rPr>
                      <w:rFonts w:cs="Georgia"/>
                      <w:color w:val="000000"/>
                    </w:rPr>
                    <w:t>i</w:t>
                  </w:r>
                  <w:r>
                    <w:rPr>
                      <w:rFonts w:cs="Georgia"/>
                      <w:color w:val="000000"/>
                      <w:spacing w:val="-1"/>
                    </w:rPr>
                    <w:t>n</w:t>
                  </w:r>
                  <w:r>
                    <w:rPr>
                      <w:rFonts w:cs="Georgia"/>
                      <w:color w:val="000000"/>
                      <w:spacing w:val="1"/>
                    </w:rPr>
                    <w:t>t</w:t>
                  </w:r>
                  <w:r>
                    <w:rPr>
                      <w:rFonts w:cs="Georgia"/>
                      <w:color w:val="000000"/>
                    </w:rPr>
                    <w:t>e</w:t>
                  </w:r>
                  <w:r>
                    <w:rPr>
                      <w:rFonts w:cs="Georgia"/>
                      <w:color w:val="000000"/>
                      <w:spacing w:val="30"/>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d</w:t>
                  </w:r>
                  <w:r>
                    <w:rPr>
                      <w:rFonts w:cs="Georgia"/>
                      <w:color w:val="000000"/>
                      <w:spacing w:val="-1"/>
                    </w:rPr>
                    <w:t>e</w:t>
                  </w:r>
                  <w:r>
                    <w:rPr>
                      <w:rFonts w:cs="Georgia"/>
                      <w:color w:val="000000"/>
                    </w:rPr>
                    <w:t>ux</w:t>
                  </w:r>
                  <w:r>
                    <w:rPr>
                      <w:rFonts w:cs="Georgia"/>
                      <w:color w:val="000000"/>
                      <w:spacing w:val="1"/>
                    </w:rPr>
                    <w:t xml:space="preserve"> </w:t>
                  </w:r>
                  <w:r>
                    <w:rPr>
                      <w:rFonts w:cs="Georgia"/>
                      <w:color w:val="000000"/>
                      <w:spacing w:val="-1"/>
                    </w:rPr>
                    <w:t>année</w:t>
                  </w:r>
                  <w:r>
                    <w:rPr>
                      <w:rFonts w:cs="Georgia"/>
                      <w:color w:val="000000"/>
                    </w:rPr>
                    <w:t>s</w:t>
                  </w:r>
                  <w:r>
                    <w:rPr>
                      <w:rFonts w:cs="Georgia"/>
                      <w:color w:val="000000"/>
                      <w:spacing w:val="2"/>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s</w:t>
                  </w:r>
                  <w:r>
                    <w:rPr>
                      <w:rFonts w:cs="Georgia"/>
                      <w:color w:val="000000"/>
                      <w:spacing w:val="-1"/>
                    </w:rPr>
                    <w:t>é</w:t>
                  </w:r>
                  <w:r>
                    <w:rPr>
                      <w:rFonts w:cs="Georgia"/>
                      <w:color w:val="000000"/>
                      <w:spacing w:val="1"/>
                    </w:rPr>
                    <w:t>c</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w:t>
                  </w:r>
                  <w:r>
                    <w:rPr>
                      <w:rFonts w:cs="Georgia"/>
                      <w:color w:val="000000"/>
                      <w:spacing w:val="-1"/>
                    </w:rPr>
                    <w:t>a</w:t>
                  </w:r>
                  <w:r>
                    <w:rPr>
                      <w:rFonts w:cs="Georgia"/>
                      <w:color w:val="000000"/>
                      <w:spacing w:val="1"/>
                    </w:rPr>
                    <w:t>r</w:t>
                  </w:r>
                  <w:r>
                    <w:rPr>
                      <w:rFonts w:cs="Georgia"/>
                      <w:color w:val="000000"/>
                      <w:spacing w:val="-2"/>
                    </w:rPr>
                    <w:t>t</w:t>
                  </w:r>
                  <w:r>
                    <w:rPr>
                      <w:rFonts w:cs="Georgia"/>
                      <w:color w:val="000000"/>
                    </w:rPr>
                    <w:t>i</w:t>
                  </w:r>
                  <w:r>
                    <w:rPr>
                      <w:rFonts w:cs="Georgia"/>
                      <w:color w:val="000000"/>
                      <w:spacing w:val="1"/>
                    </w:rPr>
                    <w:t>c</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72</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cr</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du 3</w:t>
                  </w:r>
                  <w:r>
                    <w:rPr>
                      <w:rFonts w:cs="Georgia"/>
                      <w:color w:val="000000"/>
                      <w:spacing w:val="2"/>
                    </w:rPr>
                    <w:t xml:space="preserve"> </w:t>
                  </w:r>
                  <w:r>
                    <w:rPr>
                      <w:rFonts w:cs="Georgia"/>
                      <w:color w:val="000000"/>
                    </w:rPr>
                    <w:t>m</w:t>
                  </w:r>
                  <w:r>
                    <w:rPr>
                      <w:rFonts w:cs="Georgia"/>
                      <w:color w:val="000000"/>
                      <w:spacing w:val="-1"/>
                    </w:rPr>
                    <w:t>a</w:t>
                  </w:r>
                  <w:r>
                    <w:rPr>
                      <w:rFonts w:cs="Georgia"/>
                      <w:color w:val="000000"/>
                      <w:spacing w:val="1"/>
                    </w:rPr>
                    <w:t>r</w:t>
                  </w:r>
                  <w:r>
                    <w:rPr>
                      <w:rFonts w:cs="Georgia"/>
                      <w:color w:val="000000"/>
                    </w:rPr>
                    <w:t>s</w:t>
                  </w:r>
                  <w:r>
                    <w:rPr>
                      <w:rFonts w:cs="Georgia"/>
                      <w:color w:val="000000"/>
                      <w:spacing w:val="2"/>
                    </w:rPr>
                    <w:t xml:space="preserve"> </w:t>
                  </w:r>
                  <w:r>
                    <w:rPr>
                      <w:rFonts w:cs="Georgia"/>
                      <w:color w:val="000000"/>
                      <w:spacing w:val="-1"/>
                    </w:rPr>
                    <w:t>200</w:t>
                  </w:r>
                  <w:r>
                    <w:rPr>
                      <w:rFonts w:cs="Georgia"/>
                      <w:color w:val="000000"/>
                    </w:rPr>
                    <w:t>4</w:t>
                  </w:r>
                  <w:r>
                    <w:rPr>
                      <w:rFonts w:cs="Georgia"/>
                      <w:color w:val="000000"/>
                      <w:spacing w:val="2"/>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a</w:t>
                  </w:r>
                  <w:r>
                    <w:rPr>
                      <w:rFonts w:cs="Georgia"/>
                      <w:color w:val="000000"/>
                      <w:spacing w:val="-3"/>
                    </w:rPr>
                    <w:t>n</w:t>
                  </w:r>
                  <w:r>
                    <w:rPr>
                      <w:rFonts w:cs="Georgia"/>
                      <w:color w:val="000000"/>
                    </w:rPr>
                    <w:t xml:space="preserve">t </w:t>
                  </w:r>
                  <w:r>
                    <w:rPr>
                      <w:rFonts w:cs="Georgia"/>
                      <w:color w:val="000000"/>
                      <w:spacing w:val="-1"/>
                    </w:rPr>
                    <w:t>l</w:t>
                  </w:r>
                  <w:r>
                    <w:rPr>
                      <w:rFonts w:cs="Georgia"/>
                      <w:color w:val="000000"/>
                      <w:spacing w:val="1"/>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2"/>
                    </w:rPr>
                    <w:t>s</w:t>
                  </w:r>
                  <w:r>
                    <w:rPr>
                      <w:rFonts w:cs="Georgia"/>
                      <w:color w:val="000000"/>
                      <w:spacing w:val="-1"/>
                    </w:rPr>
                    <w:t>é</w:t>
                  </w:r>
                  <w:r>
                    <w:rPr>
                      <w:rFonts w:cs="Georgia"/>
                      <w:color w:val="000000"/>
                      <w:spacing w:val="1"/>
                    </w:rPr>
                    <w:t>)</w:t>
                  </w:r>
                  <w:r>
                    <w:rPr>
                      <w:rFonts w:cs="Georgia"/>
                      <w:color w:val="000000"/>
                    </w:rPr>
                    <w:t>.</w:t>
                  </w:r>
                </w:p>
                <w:p w:rsidR="00F04EEF" w:rsidRDefault="00F04EEF">
                  <w:pPr>
                    <w:widowControl w:val="0"/>
                    <w:autoSpaceDE w:val="0"/>
                    <w:autoSpaceDN w:val="0"/>
                    <w:adjustRightInd w:val="0"/>
                    <w:spacing w:before="11" w:line="240" w:lineRule="exact"/>
                    <w:jc w:val="both"/>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spacing w:val="1"/>
                    </w:rPr>
                    <w:t>U</w:t>
                  </w:r>
                  <w:r>
                    <w:rPr>
                      <w:rFonts w:cs="Georgia"/>
                      <w:color w:val="000000"/>
                    </w:rPr>
                    <w:t xml:space="preserve">n </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lo</w:t>
                  </w:r>
                  <w:r>
                    <w:rPr>
                      <w:rFonts w:cs="Georgia"/>
                      <w:color w:val="000000"/>
                    </w:rPr>
                    <w:t>i</w:t>
                  </w:r>
                  <w:r>
                    <w:rPr>
                      <w:rFonts w:cs="Georgia"/>
                      <w:color w:val="000000"/>
                      <w:spacing w:val="2"/>
                    </w:rPr>
                    <w:t xml:space="preserve"> </w:t>
                  </w:r>
                  <w:r>
                    <w:rPr>
                      <w:rFonts w:cs="Georgia"/>
                      <w:color w:val="000000"/>
                    </w:rPr>
                    <w:t xml:space="preserve">de </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f</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spacing w:val="1"/>
                    </w:rPr>
                    <w:t>t</w:t>
                  </w:r>
                  <w:r>
                    <w:rPr>
                      <w:rFonts w:cs="Georgia"/>
                      <w:color w:val="000000"/>
                      <w:spacing w:val="-1"/>
                    </w:rPr>
                    <w:t>el</w:t>
                  </w:r>
                  <w:r>
                    <w:rPr>
                      <w:rFonts w:cs="Georgia"/>
                      <w:color w:val="000000"/>
                      <w:spacing w:val="-2"/>
                    </w:rPr>
                    <w:t>i</w:t>
                  </w:r>
                  <w:r>
                    <w:rPr>
                      <w:rFonts w:cs="Georgia"/>
                      <w:color w:val="000000"/>
                      <w:spacing w:val="-1"/>
                    </w:rPr>
                    <w:t>e</w:t>
                  </w:r>
                  <w:r>
                    <w:rPr>
                      <w:rFonts w:cs="Georgia"/>
                      <w:color w:val="000000"/>
                    </w:rPr>
                    <w:t>r</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e m</w:t>
                  </w:r>
                  <w:r>
                    <w:rPr>
                      <w:rFonts w:cs="Georgia"/>
                      <w:color w:val="000000"/>
                      <w:spacing w:val="-1"/>
                    </w:rPr>
                    <w:t>a</w:t>
                  </w:r>
                  <w:r>
                    <w:rPr>
                      <w:rFonts w:cs="Georgia"/>
                      <w:color w:val="000000"/>
                    </w:rPr>
                    <w:t>i</w:t>
                  </w:r>
                  <w:r>
                    <w:rPr>
                      <w:rFonts w:cs="Georgia"/>
                      <w:color w:val="000000"/>
                      <w:spacing w:val="-3"/>
                    </w:rPr>
                    <w:t>n</w:t>
                  </w:r>
                  <w:r>
                    <w:rPr>
                      <w:rFonts w:cs="Georgia"/>
                      <w:color w:val="000000"/>
                      <w:spacing w:val="1"/>
                    </w:rPr>
                    <w:t>t</w:t>
                  </w:r>
                  <w:r>
                    <w:rPr>
                      <w:rFonts w:cs="Georgia"/>
                      <w:color w:val="000000"/>
                      <w:spacing w:val="-1"/>
                    </w:rPr>
                    <w:t>en</w:t>
                  </w:r>
                  <w:r>
                    <w:rPr>
                      <w:rFonts w:cs="Georgia"/>
                      <w:color w:val="000000"/>
                    </w:rPr>
                    <w:t xml:space="preserve">u si le nombre total de période atteint </w:t>
                  </w:r>
                  <w:r>
                    <w:rPr>
                      <w:rFonts w:cs="Georgia"/>
                      <w:color w:val="000000"/>
                      <w:spacing w:val="-1"/>
                    </w:rPr>
                    <w:t>a</w:t>
                  </w:r>
                  <w:r>
                    <w:rPr>
                      <w:rFonts w:cs="Georgia"/>
                      <w:color w:val="000000"/>
                    </w:rPr>
                    <w:t>u m</w:t>
                  </w:r>
                  <w:r>
                    <w:rPr>
                      <w:rFonts w:cs="Georgia"/>
                      <w:color w:val="000000"/>
                      <w:spacing w:val="1"/>
                    </w:rPr>
                    <w:t>o</w:t>
                  </w:r>
                  <w:r>
                    <w:rPr>
                      <w:rFonts w:cs="Georgia"/>
                      <w:color w:val="000000"/>
                    </w:rPr>
                    <w:t>i</w:t>
                  </w:r>
                  <w:r>
                    <w:rPr>
                      <w:rFonts w:cs="Georgia"/>
                      <w:color w:val="000000"/>
                      <w:spacing w:val="-1"/>
                    </w:rPr>
                    <w:t>n</w:t>
                  </w:r>
                  <w:r>
                    <w:rPr>
                      <w:rFonts w:cs="Georgia"/>
                      <w:color w:val="000000"/>
                    </w:rPr>
                    <w:t>s</w:t>
                  </w:r>
                  <w:r>
                    <w:rPr>
                      <w:rFonts w:cs="Georgia"/>
                      <w:color w:val="000000"/>
                      <w:spacing w:val="-2"/>
                    </w:rPr>
                    <w:t xml:space="preserve"> </w:t>
                  </w:r>
                  <w:r>
                    <w:rPr>
                      <w:rFonts w:cs="Georgia"/>
                      <w:color w:val="000000"/>
                      <w:spacing w:val="1"/>
                    </w:rPr>
                    <w:t>1</w:t>
                  </w:r>
                  <w:r>
                    <w:rPr>
                      <w:rFonts w:cs="Georgia"/>
                      <w:color w:val="000000"/>
                    </w:rPr>
                    <w:t>80</w:t>
                  </w:r>
                  <w:r>
                    <w:rPr>
                      <w:rFonts w:cs="Georgia"/>
                      <w:color w:val="000000"/>
                      <w:spacing w:val="-1"/>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s.</w:t>
                  </w:r>
                </w:p>
                <w:p w:rsidR="00F04EEF" w:rsidRDefault="00F04EEF">
                  <w:pPr>
                    <w:widowControl w:val="0"/>
                    <w:autoSpaceDE w:val="0"/>
                    <w:autoSpaceDN w:val="0"/>
                    <w:adjustRightInd w:val="0"/>
                    <w:spacing w:before="1" w:line="240" w:lineRule="exact"/>
                    <w:jc w:val="both"/>
                    <w:rPr>
                      <w:rFonts w:cs="Georgia"/>
                      <w:color w:val="000000"/>
                    </w:rPr>
                  </w:pPr>
                </w:p>
                <w:p w:rsidR="00F04EEF" w:rsidRDefault="00F04EEF">
                  <w:pPr>
                    <w:widowControl w:val="0"/>
                    <w:autoSpaceDE w:val="0"/>
                    <w:autoSpaceDN w:val="0"/>
                    <w:adjustRightInd w:val="0"/>
                    <w:spacing w:before="1" w:line="240" w:lineRule="exact"/>
                    <w:jc w:val="both"/>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spacing w:val="1"/>
                    </w:rPr>
                    <w:t>S</w:t>
                  </w:r>
                  <w:r>
                    <w:rPr>
                      <w:rFonts w:cs="Georgia"/>
                      <w:color w:val="000000"/>
                    </w:rPr>
                    <w:t>i</w:t>
                  </w:r>
                  <w:r>
                    <w:rPr>
                      <w:rFonts w:cs="Georgia"/>
                      <w:color w:val="000000"/>
                      <w:spacing w:val="4"/>
                    </w:rPr>
                    <w:t xml:space="preserve"> </w:t>
                  </w:r>
                  <w:r>
                    <w:rPr>
                      <w:rFonts w:cs="Georgia"/>
                      <w:color w:val="000000"/>
                      <w:spacing w:val="1"/>
                    </w:rPr>
                    <w:t>c</w:t>
                  </w:r>
                  <w:r>
                    <w:rPr>
                      <w:rFonts w:cs="Georgia"/>
                      <w:color w:val="000000"/>
                      <w:spacing w:val="-1"/>
                    </w:rPr>
                    <w:t>e</w:t>
                  </w:r>
                  <w:r>
                    <w:rPr>
                      <w:rFonts w:cs="Georgia"/>
                      <w:color w:val="000000"/>
                      <w:spacing w:val="2"/>
                    </w:rPr>
                    <w:t xml:space="preserve"> </w:t>
                  </w:r>
                  <w:r>
                    <w:rPr>
                      <w:rFonts w:cs="Georgia"/>
                      <w:color w:val="000000"/>
                    </w:rPr>
                    <w:t>mi</w:t>
                  </w:r>
                  <w:r>
                    <w:rPr>
                      <w:rFonts w:cs="Georgia"/>
                      <w:color w:val="000000"/>
                      <w:spacing w:val="-1"/>
                    </w:rPr>
                    <w:t>n</w:t>
                  </w:r>
                  <w:r>
                    <w:rPr>
                      <w:rFonts w:cs="Georgia"/>
                      <w:color w:val="000000"/>
                    </w:rPr>
                    <w:t xml:space="preserve">imum n’est pas atteint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w:t>
                  </w:r>
                  <w:r>
                    <w:rPr>
                      <w:rFonts w:cs="Georgia"/>
                      <w:color w:val="000000"/>
                      <w:spacing w:val="4"/>
                    </w:rPr>
                    <w:t xml:space="preserve"> </w:t>
                  </w:r>
                  <w:r>
                    <w:rPr>
                      <w:rFonts w:cs="Georgia"/>
                      <w:color w:val="000000"/>
                    </w:rPr>
                    <w:t>d</w:t>
                  </w:r>
                  <w:r>
                    <w:rPr>
                      <w:rFonts w:cs="Georgia"/>
                      <w:color w:val="000000"/>
                      <w:spacing w:val="-1"/>
                    </w:rPr>
                    <w:t>e</w:t>
                  </w:r>
                  <w:r>
                    <w:rPr>
                      <w:rFonts w:cs="Georgia"/>
                      <w:color w:val="000000"/>
                    </w:rPr>
                    <w:t xml:space="preserve">ux </w:t>
                  </w:r>
                  <w:r>
                    <w:rPr>
                      <w:rFonts w:cs="Georgia"/>
                      <w:color w:val="000000"/>
                      <w:spacing w:val="-1"/>
                    </w:rPr>
                    <w:t>année</w:t>
                  </w:r>
                  <w:r>
                    <w:rPr>
                      <w:rFonts w:cs="Georgia"/>
                      <w:color w:val="000000"/>
                    </w:rPr>
                    <w:t>s</w:t>
                  </w:r>
                  <w:r>
                    <w:rPr>
                      <w:rFonts w:cs="Georgia"/>
                      <w:color w:val="000000"/>
                      <w:spacing w:val="4"/>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s</w:t>
                  </w:r>
                  <w:r>
                    <w:rPr>
                      <w:rFonts w:cs="Georgia"/>
                      <w:color w:val="000000"/>
                      <w:spacing w:val="-1"/>
                    </w:rPr>
                    <w:t>é</w:t>
                  </w:r>
                  <w:r>
                    <w:rPr>
                      <w:rFonts w:cs="Georgia"/>
                      <w:color w:val="000000"/>
                      <w:spacing w:val="-2"/>
                    </w:rPr>
                    <w:t>c</w:t>
                  </w:r>
                  <w:r>
                    <w:rPr>
                      <w:rFonts w:cs="Georgia"/>
                      <w:color w:val="000000"/>
                    </w:rPr>
                    <w:t>u</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2"/>
                    </w:rPr>
                    <w:t>s</w:t>
                  </w:r>
                  <w:r>
                    <w:rPr>
                      <w:rFonts w:cs="Georgia"/>
                      <w:color w:val="000000"/>
                    </w:rPr>
                    <w:t>,</w:t>
                  </w:r>
                  <w:r>
                    <w:rPr>
                      <w:rFonts w:cs="Georgia"/>
                      <w:color w:val="000000"/>
                      <w:spacing w:val="4"/>
                    </w:rPr>
                    <w:t xml:space="preserve"> </w:t>
                  </w:r>
                  <w:r>
                    <w:rPr>
                      <w:rFonts w:cs="Georgia"/>
                      <w:color w:val="000000"/>
                      <w:spacing w:val="-1"/>
                    </w:rPr>
                    <w:t>le</w:t>
                  </w:r>
                  <w:r>
                    <w:rPr>
                      <w:rFonts w:cs="Georgia"/>
                      <w:color w:val="000000"/>
                    </w:rPr>
                    <w:t>s</w:t>
                  </w:r>
                  <w:r>
                    <w:rPr>
                      <w:rFonts w:cs="Georgia"/>
                      <w:color w:val="000000"/>
                      <w:spacing w:val="4"/>
                    </w:rPr>
                    <w:t xml:space="preserve"> </w:t>
                  </w:r>
                  <w:r>
                    <w:rPr>
                      <w:rFonts w:cs="Georgia"/>
                      <w:color w:val="000000"/>
                      <w:spacing w:val="-1"/>
                    </w:rPr>
                    <w:t>e</w:t>
                  </w:r>
                  <w:r>
                    <w:rPr>
                      <w:rFonts w:cs="Georgia"/>
                      <w:color w:val="000000"/>
                    </w:rPr>
                    <w:t>m</w:t>
                  </w:r>
                  <w:r>
                    <w:rPr>
                      <w:rFonts w:cs="Georgia"/>
                      <w:color w:val="000000"/>
                      <w:spacing w:val="1"/>
                    </w:rPr>
                    <w:t>p</w:t>
                  </w:r>
                  <w:r>
                    <w:rPr>
                      <w:rFonts w:cs="Georgia"/>
                      <w:color w:val="000000"/>
                      <w:spacing w:val="-3"/>
                    </w:rPr>
                    <w:t>l</w:t>
                  </w:r>
                  <w:r>
                    <w:rPr>
                      <w:rFonts w:cs="Georgia"/>
                      <w:color w:val="000000"/>
                      <w:spacing w:val="1"/>
                    </w:rPr>
                    <w:t>o</w:t>
                  </w:r>
                  <w:r>
                    <w:rPr>
                      <w:rFonts w:cs="Georgia"/>
                      <w:color w:val="000000"/>
                    </w:rPr>
                    <w:t>is</w:t>
                  </w:r>
                  <w:r>
                    <w:rPr>
                      <w:rFonts w:cs="Georgia"/>
                      <w:color w:val="000000"/>
                      <w:spacing w:val="2"/>
                    </w:rPr>
                    <w:t xml:space="preserve"> </w:t>
                  </w:r>
                  <w:r>
                    <w:rPr>
                      <w:rFonts w:cs="Georgia"/>
                      <w:color w:val="000000"/>
                      <w:spacing w:val="1"/>
                    </w:rPr>
                    <w:t>so</w:t>
                  </w:r>
                  <w:r>
                    <w:rPr>
                      <w:rFonts w:cs="Georgia"/>
                      <w:color w:val="000000"/>
                      <w:spacing w:val="-3"/>
                    </w:rPr>
                    <w:t>n</w:t>
                  </w:r>
                  <w:r>
                    <w:rPr>
                      <w:rFonts w:cs="Georgia"/>
                      <w:color w:val="000000"/>
                    </w:rPr>
                    <w:t xml:space="preserve">t </w:t>
                  </w:r>
                  <w:r>
                    <w:rPr>
                      <w:rFonts w:cs="Georgia"/>
                      <w:color w:val="000000"/>
                      <w:spacing w:val="1"/>
                    </w:rPr>
                    <w:t>s</w:t>
                  </w:r>
                  <w:r>
                    <w:rPr>
                      <w:rFonts w:cs="Georgia"/>
                      <w:color w:val="000000"/>
                    </w:rPr>
                    <w:t>u</w:t>
                  </w:r>
                  <w:r>
                    <w:rPr>
                      <w:rFonts w:cs="Georgia"/>
                      <w:color w:val="000000"/>
                      <w:spacing w:val="-1"/>
                    </w:rPr>
                    <w:t>p</w:t>
                  </w:r>
                  <w:r>
                    <w:rPr>
                      <w:rFonts w:cs="Georgia"/>
                      <w:color w:val="000000"/>
                      <w:spacing w:val="1"/>
                    </w:rPr>
                    <w:t>pr</w:t>
                  </w:r>
                  <w:r>
                    <w:rPr>
                      <w:rFonts w:cs="Georgia"/>
                      <w:color w:val="000000"/>
                      <w:spacing w:val="-2"/>
                    </w:rPr>
                    <w:t>i</w:t>
                  </w:r>
                  <w:r>
                    <w:rPr>
                      <w:rFonts w:cs="Georgia"/>
                      <w:color w:val="000000"/>
                    </w:rPr>
                    <w:t>m</w:t>
                  </w:r>
                  <w:r>
                    <w:rPr>
                      <w:rFonts w:cs="Georgia"/>
                      <w:color w:val="000000"/>
                      <w:spacing w:val="-1"/>
                    </w:rPr>
                    <w:t>é</w:t>
                  </w:r>
                  <w:r>
                    <w:rPr>
                      <w:rFonts w:cs="Georgia"/>
                      <w:color w:val="000000"/>
                    </w:rPr>
                    <w:t xml:space="preserve">s </w:t>
                  </w:r>
                  <w:r>
                    <w:rPr>
                      <w:rFonts w:cs="Georgia"/>
                      <w:color w:val="000000"/>
                      <w:spacing w:val="-1"/>
                    </w:rPr>
                    <w:t>a</w:t>
                  </w:r>
                  <w:r>
                    <w:rPr>
                      <w:rFonts w:cs="Georgia"/>
                      <w:color w:val="000000"/>
                    </w:rPr>
                    <w:t xml:space="preserve">u </w:t>
                  </w:r>
                  <w:r>
                    <w:rPr>
                      <w:rFonts w:cs="Georgia"/>
                      <w:color w:val="000000"/>
                      <w:spacing w:val="1"/>
                    </w:rPr>
                    <w:t>1</w:t>
                  </w:r>
                  <w:r>
                    <w:rPr>
                      <w:rFonts w:cs="Georgia"/>
                      <w:color w:val="000000"/>
                      <w:position w:val="6"/>
                    </w:rPr>
                    <w:t>er</w:t>
                  </w:r>
                  <w:r>
                    <w:rPr>
                      <w:rFonts w:cs="Georgia"/>
                      <w:color w:val="000000"/>
                      <w:spacing w:val="18"/>
                      <w:position w:val="6"/>
                    </w:rPr>
                    <w:t xml:space="preserve"> </w:t>
                  </w:r>
                  <w:r>
                    <w:rPr>
                      <w:rFonts w:cs="Georgia"/>
                      <w:color w:val="000000"/>
                      <w:spacing w:val="1"/>
                    </w:rPr>
                    <w:t>s</w:t>
                  </w:r>
                  <w:r>
                    <w:rPr>
                      <w:rFonts w:cs="Georgia"/>
                      <w:color w:val="000000"/>
                      <w:spacing w:val="-4"/>
                    </w:rPr>
                    <w:t>e</w:t>
                  </w:r>
                  <w:r>
                    <w:rPr>
                      <w:rFonts w:cs="Georgia"/>
                      <w:color w:val="000000"/>
                      <w:spacing w:val="1"/>
                    </w:rPr>
                    <w:t>pt</w:t>
                  </w:r>
                  <w:r>
                    <w:rPr>
                      <w:rFonts w:cs="Georgia"/>
                      <w:color w:val="000000"/>
                      <w:spacing w:val="-1"/>
                    </w:rPr>
                    <w:t>e</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spacing w:val="1"/>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q</w:t>
                  </w:r>
                  <w:r>
                    <w:rPr>
                      <w:rFonts w:cs="Georgia"/>
                      <w:color w:val="000000"/>
                    </w:rPr>
                    <w:t xml:space="preserve">ui </w:t>
                  </w:r>
                  <w:r>
                    <w:rPr>
                      <w:rFonts w:cs="Georgia"/>
                      <w:color w:val="000000"/>
                      <w:spacing w:val="1"/>
                    </w:rPr>
                    <w:t>s</w:t>
                  </w:r>
                  <w:r>
                    <w:rPr>
                      <w:rFonts w:cs="Georgia"/>
                      <w:color w:val="000000"/>
                    </w:rPr>
                    <w:t xml:space="preserve">uit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u</w:t>
                  </w:r>
                  <w:r>
                    <w:rPr>
                      <w:rFonts w:cs="Georgia"/>
                      <w:color w:val="000000"/>
                      <w:spacing w:val="-1"/>
                    </w:rPr>
                    <w:t>x</w:t>
                  </w:r>
                  <w:r>
                    <w:rPr>
                      <w:rFonts w:cs="Georgia"/>
                      <w:color w:val="000000"/>
                    </w:rPr>
                    <w:t>i</w:t>
                  </w:r>
                  <w:r>
                    <w:rPr>
                      <w:rFonts w:cs="Georgia"/>
                      <w:color w:val="000000"/>
                      <w:spacing w:val="-1"/>
                    </w:rPr>
                    <w:t>è</w:t>
                  </w:r>
                  <w:r>
                    <w:rPr>
                      <w:rFonts w:cs="Georgia"/>
                      <w:color w:val="000000"/>
                    </w:rPr>
                    <w:t>me</w:t>
                  </w:r>
                  <w:r>
                    <w:rPr>
                      <w:rFonts w:cs="Georgia"/>
                      <w:color w:val="000000"/>
                      <w:spacing w:val="-1"/>
                    </w:rPr>
                    <w:t xml:space="preserve"> anné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s</w:t>
                  </w:r>
                  <w:r>
                    <w:rPr>
                      <w:rFonts w:cs="Georgia"/>
                      <w:color w:val="000000"/>
                    </w:rPr>
                    <w:t>u</w:t>
                  </w:r>
                  <w:r>
                    <w:rPr>
                      <w:rFonts w:cs="Georgia"/>
                      <w:color w:val="000000"/>
                      <w:spacing w:val="1"/>
                    </w:rPr>
                    <w:t>rs</w:t>
                  </w:r>
                  <w:r>
                    <w:rPr>
                      <w:rFonts w:cs="Georgia"/>
                      <w:color w:val="000000"/>
                      <w:spacing w:val="-2"/>
                    </w:rPr>
                    <w:t>i</w:t>
                  </w:r>
                  <w:r>
                    <w:rPr>
                      <w:rFonts w:cs="Georgia"/>
                      <w:color w:val="000000"/>
                      <w:spacing w:val="1"/>
                    </w:rPr>
                    <w:t>s</w:t>
                  </w:r>
                  <w:r>
                    <w:rPr>
                      <w:rFonts w:cs="Georgia"/>
                      <w:color w:val="000000"/>
                    </w:rPr>
                    <w:t>.</w:t>
                  </w:r>
                </w:p>
                <w:p w:rsidR="00F04EEF" w:rsidRDefault="00F04EEF">
                  <w:pPr>
                    <w:widowControl w:val="0"/>
                    <w:autoSpaceDE w:val="0"/>
                    <w:autoSpaceDN w:val="0"/>
                    <w:adjustRightInd w:val="0"/>
                    <w:spacing w:before="79" w:line="250" w:lineRule="exact"/>
                    <w:jc w:val="both"/>
                    <w:rPr>
                      <w:rFonts w:cs="Georgia"/>
                      <w:color w:val="000000"/>
                      <w:spacing w:val="1"/>
                    </w:rPr>
                  </w:pPr>
                </w:p>
                <w:p w:rsidR="00F04EEF" w:rsidRDefault="0099351E">
                  <w:pPr>
                    <w:widowControl w:val="0"/>
                    <w:autoSpaceDE w:val="0"/>
                    <w:autoSpaceDN w:val="0"/>
                    <w:adjustRightInd w:val="0"/>
                    <w:spacing w:before="79" w:line="250" w:lineRule="exact"/>
                    <w:jc w:val="both"/>
                    <w:rPr>
                      <w:rFonts w:cs="Georgia"/>
                      <w:color w:val="000000"/>
                      <w:spacing w:val="1"/>
                    </w:rPr>
                  </w:pPr>
                  <w:r>
                    <w:rPr>
                      <w:rFonts w:cs="Georgia"/>
                      <w:color w:val="000000"/>
                      <w:spacing w:val="1"/>
                    </w:rPr>
                    <w:t>U</w:t>
                  </w:r>
                  <w:r>
                    <w:rPr>
                      <w:rFonts w:cs="Georgia"/>
                      <w:color w:val="000000"/>
                    </w:rPr>
                    <w:t xml:space="preserve">n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ea</w:t>
                  </w:r>
                  <w:r>
                    <w:rPr>
                      <w:rFonts w:cs="Georgia"/>
                      <w:color w:val="000000"/>
                    </w:rPr>
                    <w:t>u</w:t>
                  </w:r>
                  <w:r>
                    <w:rPr>
                      <w:rFonts w:cs="Georgia"/>
                      <w:color w:val="000000"/>
                      <w:spacing w:val="1"/>
                    </w:rPr>
                    <w:t xml:space="preserve"> c</w:t>
                  </w:r>
                  <w:r>
                    <w:rPr>
                      <w:rFonts w:cs="Georgia"/>
                      <w:color w:val="000000"/>
                      <w:spacing w:val="-1"/>
                    </w:rPr>
                    <w:t>al</w:t>
                  </w:r>
                  <w:r>
                    <w:rPr>
                      <w:rFonts w:cs="Georgia"/>
                      <w:color w:val="000000"/>
                      <w:spacing w:val="-2"/>
                    </w:rPr>
                    <w:t>c</w:t>
                  </w:r>
                  <w:r>
                    <w:rPr>
                      <w:rFonts w:cs="Georgia"/>
                      <w:color w:val="000000"/>
                    </w:rPr>
                    <w:t xml:space="preserve">ul de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c</w:t>
                  </w:r>
                  <w:r>
                    <w:rPr>
                      <w:rFonts w:cs="Georgia"/>
                      <w:color w:val="000000"/>
                      <w:spacing w:val="-1"/>
                    </w:rPr>
                    <w:t>a</w:t>
                  </w:r>
                  <w:r>
                    <w:rPr>
                      <w:rFonts w:cs="Georgia"/>
                      <w:color w:val="000000"/>
                    </w:rPr>
                    <w:t>d</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1"/>
                    </w:rPr>
                    <w:t xml:space="preserve"> r</w:t>
                  </w:r>
                  <w:r>
                    <w:rPr>
                      <w:rFonts w:cs="Georgia"/>
                      <w:color w:val="000000"/>
                      <w:spacing w:val="-1"/>
                    </w:rPr>
                    <w:t>éal</w:t>
                  </w:r>
                  <w:r>
                    <w:rPr>
                      <w:rFonts w:cs="Georgia"/>
                      <w:color w:val="000000"/>
                    </w:rPr>
                    <w:t>i</w:t>
                  </w:r>
                  <w:r>
                    <w:rPr>
                      <w:rFonts w:cs="Georgia"/>
                      <w:color w:val="000000"/>
                      <w:spacing w:val="1"/>
                    </w:rPr>
                    <w:t>s</w:t>
                  </w:r>
                  <w:r>
                    <w:rPr>
                      <w:rFonts w:cs="Georgia"/>
                      <w:color w:val="000000"/>
                    </w:rPr>
                    <w:t xml:space="preserve">é </w:t>
                  </w:r>
                  <w:r>
                    <w:rPr>
                      <w:rFonts w:cs="Georgia"/>
                      <w:color w:val="000000"/>
                      <w:spacing w:val="-1"/>
                    </w:rPr>
                    <w:t>l</w:t>
                  </w:r>
                  <w:r>
                    <w:rPr>
                      <w:rFonts w:cs="Georgia"/>
                      <w:color w:val="000000"/>
                    </w:rPr>
                    <w:t xml:space="preserve">e </w:t>
                  </w:r>
                  <w:r>
                    <w:rPr>
                      <w:rFonts w:cs="Georgia"/>
                      <w:color w:val="000000"/>
                      <w:spacing w:val="1"/>
                    </w:rPr>
                    <w:t>1</w:t>
                  </w:r>
                  <w:r>
                    <w:rPr>
                      <w:rFonts w:cs="Georgia"/>
                      <w:color w:val="000000"/>
                      <w:spacing w:val="-1"/>
                    </w:rPr>
                    <w:t>e</w:t>
                  </w:r>
                  <w:r>
                    <w:rPr>
                      <w:rFonts w:cs="Georgia"/>
                      <w:color w:val="000000"/>
                    </w:rPr>
                    <w:t>r</w:t>
                  </w:r>
                  <w:r>
                    <w:rPr>
                      <w:rFonts w:cs="Georgia"/>
                      <w:color w:val="000000"/>
                      <w:spacing w:val="1"/>
                    </w:rPr>
                    <w:t xml:space="preserve"> o</w:t>
                  </w:r>
                  <w:r>
                    <w:rPr>
                      <w:rFonts w:cs="Georgia"/>
                      <w:color w:val="000000"/>
                      <w:spacing w:val="-2"/>
                    </w:rPr>
                    <w:t>c</w:t>
                  </w:r>
                  <w:r>
                    <w:rPr>
                      <w:rFonts w:cs="Georgia"/>
                      <w:color w:val="000000"/>
                      <w:spacing w:val="1"/>
                    </w:rPr>
                    <w:t>t</w:t>
                  </w:r>
                  <w:r>
                    <w:rPr>
                      <w:rFonts w:cs="Georgia"/>
                      <w:color w:val="000000"/>
                      <w:spacing w:val="-1"/>
                    </w:rPr>
                    <w:t>o</w:t>
                  </w:r>
                  <w:r>
                    <w:rPr>
                      <w:rFonts w:cs="Georgia"/>
                      <w:color w:val="000000"/>
                      <w:spacing w:val="1"/>
                    </w:rPr>
                    <w:t>br</w:t>
                  </w:r>
                  <w:r>
                    <w:rPr>
                      <w:rFonts w:cs="Georgia"/>
                      <w:color w:val="000000"/>
                      <w:spacing w:val="-1"/>
                    </w:rPr>
                    <w:t>e</w:t>
                  </w:r>
                  <w:r>
                    <w:rPr>
                      <w:rFonts w:cs="Georgia"/>
                      <w:color w:val="000000"/>
                    </w:rPr>
                    <w:t>,</w:t>
                  </w:r>
                  <w:r>
                    <w:rPr>
                      <w:rFonts w:cs="Georgia"/>
                      <w:color w:val="000000"/>
                      <w:spacing w:val="1"/>
                    </w:rPr>
                    <w:t xml:space="preserve"> </w:t>
                  </w:r>
                  <w:r>
                    <w:rPr>
                      <w:rFonts w:cs="Georgia"/>
                      <w:color w:val="000000"/>
                      <w:spacing w:val="-2"/>
                    </w:rPr>
                    <w:t>s</w:t>
                  </w:r>
                  <w:r>
                    <w:rPr>
                      <w:rFonts w:cs="Georgia"/>
                      <w:color w:val="000000"/>
                    </w:rPr>
                    <w:t>i</w:t>
                  </w:r>
                  <w:r>
                    <w:rPr>
                      <w:rFonts w:cs="Georgia"/>
                      <w:color w:val="000000"/>
                      <w:spacing w:val="1"/>
                    </w:rPr>
                    <w:t xml:space="preserve"> </w:t>
                  </w:r>
                  <w:r>
                    <w:rPr>
                      <w:rFonts w:cs="Georgia"/>
                      <w:color w:val="000000"/>
                      <w:spacing w:val="-1"/>
                    </w:rPr>
                    <w:t>l</w:t>
                  </w:r>
                  <w:r>
                    <w:rPr>
                      <w:rFonts w:cs="Georgia"/>
                      <w:color w:val="000000"/>
                    </w:rPr>
                    <w:t xml:space="preserve">a </w:t>
                  </w:r>
                  <w:r>
                    <w:rPr>
                      <w:rFonts w:cs="Georgia"/>
                      <w:color w:val="000000"/>
                      <w:spacing w:val="1"/>
                    </w:rPr>
                    <w:t>p</w:t>
                  </w:r>
                  <w:r>
                    <w:rPr>
                      <w:rFonts w:cs="Georgia"/>
                      <w:color w:val="000000"/>
                      <w:spacing w:val="-1"/>
                    </w:rPr>
                    <w:t>o</w:t>
                  </w:r>
                  <w:r>
                    <w:rPr>
                      <w:rFonts w:cs="Georgia"/>
                      <w:color w:val="000000"/>
                      <w:spacing w:val="1"/>
                    </w:rPr>
                    <w:t>p</w:t>
                  </w:r>
                  <w:r>
                    <w:rPr>
                      <w:rFonts w:cs="Georgia"/>
                      <w:color w:val="000000"/>
                    </w:rPr>
                    <w:t>u</w:t>
                  </w:r>
                  <w:r>
                    <w:rPr>
                      <w:rFonts w:cs="Georgia"/>
                      <w:color w:val="000000"/>
                      <w:spacing w:val="-1"/>
                    </w:rPr>
                    <w:t>la</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a</w:t>
                  </w:r>
                  <w:r>
                    <w:rPr>
                      <w:rFonts w:cs="Georgia"/>
                      <w:color w:val="000000"/>
                    </w:rPr>
                    <w:t>u</w:t>
                  </w:r>
                  <w:r>
                    <w:rPr>
                      <w:rFonts w:cs="Georgia"/>
                      <w:color w:val="000000"/>
                      <w:spacing w:val="1"/>
                    </w:rPr>
                    <w:t xml:space="preserve"> 3</w:t>
                  </w:r>
                  <w:r>
                    <w:rPr>
                      <w:rFonts w:cs="Georgia"/>
                      <w:color w:val="000000"/>
                    </w:rPr>
                    <w:t xml:space="preserve">0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rPr>
                    <w:t xml:space="preserve">e a </w:t>
                  </w:r>
                  <w:r>
                    <w:rPr>
                      <w:rFonts w:cs="Georgia"/>
                      <w:color w:val="000000"/>
                      <w:spacing w:val="1"/>
                    </w:rPr>
                    <w:t>v</w:t>
                  </w:r>
                  <w:r>
                    <w:rPr>
                      <w:rFonts w:cs="Georgia"/>
                      <w:color w:val="000000"/>
                      <w:spacing w:val="-1"/>
                    </w:rPr>
                    <w:t>a</w:t>
                  </w:r>
                  <w:r>
                    <w:rPr>
                      <w:rFonts w:cs="Georgia"/>
                      <w:color w:val="000000"/>
                      <w:spacing w:val="1"/>
                    </w:rPr>
                    <w:t>r</w:t>
                  </w:r>
                  <w:r>
                    <w:rPr>
                      <w:rFonts w:cs="Georgia"/>
                      <w:color w:val="000000"/>
                    </w:rPr>
                    <w:t>ié</w:t>
                  </w:r>
                  <w:r>
                    <w:rPr>
                      <w:rFonts w:cs="Georgia"/>
                      <w:color w:val="000000"/>
                      <w:spacing w:val="-1"/>
                    </w:rPr>
                    <w:t xml:space="preserve"> </w:t>
                  </w:r>
                  <w:r>
                    <w:rPr>
                      <w:rFonts w:cs="Georgia"/>
                      <w:color w:val="000000"/>
                    </w:rPr>
                    <w:t>d’</w:t>
                  </w:r>
                  <w:r>
                    <w:rPr>
                      <w:rFonts w:cs="Georgia"/>
                      <w:color w:val="000000"/>
                      <w:spacing w:val="-1"/>
                    </w:rPr>
                    <w:t>a</w:t>
                  </w:r>
                  <w:r>
                    <w:rPr>
                      <w:rFonts w:cs="Georgia"/>
                      <w:color w:val="000000"/>
                    </w:rPr>
                    <w:t xml:space="preserve">u </w:t>
                  </w:r>
                  <w:r>
                    <w:rPr>
                      <w:rFonts w:cs="Georgia"/>
                      <w:color w:val="000000"/>
                      <w:spacing w:val="-3"/>
                    </w:rPr>
                    <w:t>m</w:t>
                  </w:r>
                  <w:r>
                    <w:rPr>
                      <w:rFonts w:cs="Georgia"/>
                      <w:color w:val="000000"/>
                      <w:spacing w:val="1"/>
                    </w:rPr>
                    <w:t>o</w:t>
                  </w:r>
                  <w:r>
                    <w:rPr>
                      <w:rFonts w:cs="Georgia"/>
                      <w:color w:val="000000"/>
                    </w:rPr>
                    <w:t>i</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5</w:t>
                  </w:r>
                  <w:r>
                    <w:rPr>
                      <w:rFonts w:cs="Georgia"/>
                      <w:color w:val="000000"/>
                      <w:spacing w:val="1"/>
                    </w:rPr>
                    <w:t xml:space="preserve"> </w:t>
                  </w:r>
                  <w:r>
                    <w:rPr>
                      <w:rFonts w:cs="Georgia"/>
                      <w:color w:val="000000"/>
                    </w:rPr>
                    <w:t>%</w:t>
                  </w:r>
                  <w:r>
                    <w:rPr>
                      <w:rFonts w:cs="Georgia"/>
                      <w:color w:val="000000"/>
                      <w:spacing w:val="-1"/>
                    </w:rPr>
                    <w:t xml:space="preserve"> </w:t>
                  </w:r>
                  <w:r>
                    <w:rPr>
                      <w:rFonts w:cs="Georgia"/>
                      <w:color w:val="000000"/>
                      <w:spacing w:val="1"/>
                    </w:rPr>
                    <w:t>p</w:t>
                  </w:r>
                  <w:r>
                    <w:rPr>
                      <w:rFonts w:cs="Georgia"/>
                      <w:color w:val="000000"/>
                      <w:spacing w:val="-1"/>
                    </w:rPr>
                    <w:t>a</w:t>
                  </w:r>
                  <w:r>
                    <w:rPr>
                      <w:rFonts w:cs="Georgia"/>
                      <w:color w:val="000000"/>
                    </w:rPr>
                    <w:t>r</w:t>
                  </w:r>
                  <w:r>
                    <w:rPr>
                      <w:rFonts w:cs="Georgia"/>
                      <w:color w:val="000000"/>
                      <w:spacing w:val="-2"/>
                    </w:rPr>
                    <w:t xml:space="preserve"> </w:t>
                  </w:r>
                  <w:r>
                    <w:rPr>
                      <w:rFonts w:cs="Georgia"/>
                      <w:color w:val="000000"/>
                      <w:spacing w:val="1"/>
                    </w:rPr>
                    <w:t>r</w:t>
                  </w:r>
                  <w:r>
                    <w:rPr>
                      <w:rFonts w:cs="Georgia"/>
                      <w:color w:val="000000"/>
                      <w:spacing w:val="-1"/>
                    </w:rPr>
                    <w:t>ap</w:t>
                  </w:r>
                  <w:r>
                    <w:rPr>
                      <w:rFonts w:cs="Georgia"/>
                      <w:color w:val="000000"/>
                      <w:spacing w:val="1"/>
                    </w:rPr>
                    <w:t>p</w:t>
                  </w:r>
                  <w:r>
                    <w:rPr>
                      <w:rFonts w:cs="Georgia"/>
                      <w:color w:val="000000"/>
                      <w:spacing w:val="-1"/>
                    </w:rPr>
                    <w:t>o</w:t>
                  </w:r>
                  <w:r>
                    <w:rPr>
                      <w:rFonts w:cs="Georgia"/>
                      <w:color w:val="000000"/>
                      <w:spacing w:val="1"/>
                    </w:rPr>
                    <w:t>r</w:t>
                  </w:r>
                  <w:r>
                    <w:rPr>
                      <w:rFonts w:cs="Georgia"/>
                      <w:color w:val="000000"/>
                    </w:rPr>
                    <w:t>t à</w:t>
                  </w:r>
                  <w:r>
                    <w:rPr>
                      <w:rFonts w:cs="Georgia"/>
                      <w:color w:val="000000"/>
                      <w:spacing w:val="-1"/>
                    </w:rPr>
                    <w:t xml:space="preserve"> </w:t>
                  </w:r>
                  <w:r>
                    <w:rPr>
                      <w:rFonts w:cs="Georgia"/>
                      <w:color w:val="000000"/>
                      <w:spacing w:val="1"/>
                    </w:rPr>
                    <w:t>c</w:t>
                  </w:r>
                  <w:r>
                    <w:rPr>
                      <w:rFonts w:cs="Georgia"/>
                      <w:color w:val="000000"/>
                      <w:spacing w:val="-1"/>
                    </w:rPr>
                    <w:t>ell</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1"/>
                    </w:rPr>
                    <w:t>1</w:t>
                  </w:r>
                  <w:r>
                    <w:rPr>
                      <w:rFonts w:cs="Georgia"/>
                      <w:color w:val="000000"/>
                    </w:rPr>
                    <w:t>5</w:t>
                  </w:r>
                  <w:r>
                    <w:rPr>
                      <w:rFonts w:cs="Georgia"/>
                      <w:color w:val="000000"/>
                      <w:spacing w:val="1"/>
                    </w:rPr>
                    <w:t xml:space="preserve"> </w:t>
                  </w:r>
                  <w:r>
                    <w:rPr>
                      <w:rFonts w:cs="Georgia"/>
                      <w:color w:val="000000"/>
                    </w:rPr>
                    <w:t>j</w:t>
                  </w:r>
                  <w:r>
                    <w:rPr>
                      <w:rFonts w:cs="Georgia"/>
                      <w:color w:val="000000"/>
                      <w:spacing w:val="-1"/>
                    </w:rPr>
                    <w:t>a</w:t>
                  </w:r>
                  <w:r>
                    <w:rPr>
                      <w:rFonts w:cs="Georgia"/>
                      <w:color w:val="000000"/>
                      <w:spacing w:val="-3"/>
                    </w:rPr>
                    <w:t>n</w:t>
                  </w:r>
                  <w:r>
                    <w:rPr>
                      <w:rFonts w:cs="Georgia"/>
                      <w:color w:val="000000"/>
                      <w:spacing w:val="-2"/>
                    </w:rPr>
                    <w:t>v</w:t>
                  </w:r>
                  <w:r>
                    <w:rPr>
                      <w:rFonts w:cs="Georgia"/>
                      <w:color w:val="000000"/>
                    </w:rPr>
                    <w:t>i</w:t>
                  </w:r>
                  <w:r>
                    <w:rPr>
                      <w:rFonts w:cs="Georgia"/>
                      <w:color w:val="000000"/>
                      <w:spacing w:val="-1"/>
                    </w:rPr>
                    <w:t>e</w:t>
                  </w:r>
                  <w:r>
                    <w:rPr>
                      <w:rFonts w:cs="Georgia"/>
                      <w:color w:val="000000"/>
                    </w:rPr>
                    <w:t xml:space="preserve">r </w:t>
                  </w:r>
                  <w:r>
                    <w:rPr>
                      <w:rFonts w:cs="Georgia"/>
                      <w:color w:val="000000"/>
                      <w:spacing w:val="1"/>
                    </w:rPr>
                    <w:t>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p>
                <w:p w:rsidR="00F04EEF" w:rsidRDefault="00F04EEF">
                  <w:pPr>
                    <w:widowControl w:val="0"/>
                    <w:autoSpaceDE w:val="0"/>
                    <w:autoSpaceDN w:val="0"/>
                    <w:adjustRightInd w:val="0"/>
                    <w:spacing w:before="79" w:line="250" w:lineRule="exact"/>
                    <w:jc w:val="both"/>
                    <w:rPr>
                      <w:rFonts w:cs="Georgia"/>
                      <w:color w:val="000000"/>
                    </w:rPr>
                  </w:pPr>
                </w:p>
                <w:p w:rsidR="00F04EEF" w:rsidRDefault="0099351E">
                  <w:pPr>
                    <w:widowControl w:val="0"/>
                    <w:autoSpaceDE w:val="0"/>
                    <w:autoSpaceDN w:val="0"/>
                    <w:adjustRightInd w:val="0"/>
                    <w:spacing w:line="250" w:lineRule="exact"/>
                    <w:jc w:val="both"/>
                    <w:rPr>
                      <w:rFonts w:cs="Georgia"/>
                      <w:color w:val="000000"/>
                    </w:rPr>
                  </w:pPr>
                  <w:r>
                    <w:rPr>
                      <w:rFonts w:cs="Georgia"/>
                      <w:color w:val="000000"/>
                      <w:spacing w:val="1"/>
                    </w:rPr>
                    <w:t>A</w:t>
                  </w:r>
                  <w:r>
                    <w:rPr>
                      <w:rFonts w:cs="Georgia"/>
                      <w:color w:val="000000"/>
                      <w:spacing w:val="-1"/>
                    </w:rPr>
                    <w:t>p</w:t>
                  </w:r>
                  <w:r>
                    <w:rPr>
                      <w:rFonts w:cs="Georgia"/>
                      <w:color w:val="000000"/>
                      <w:spacing w:val="1"/>
                    </w:rPr>
                    <w:t>r</w:t>
                  </w:r>
                  <w:r>
                    <w:rPr>
                      <w:rFonts w:cs="Georgia"/>
                      <w:color w:val="000000"/>
                      <w:spacing w:val="-1"/>
                    </w:rPr>
                    <w:t>è</w:t>
                  </w:r>
                  <w:r>
                    <w:rPr>
                      <w:rFonts w:cs="Georgia"/>
                      <w:color w:val="000000"/>
                    </w:rPr>
                    <w:t>s</w:t>
                  </w:r>
                  <w:r>
                    <w:rPr>
                      <w:rFonts w:cs="Georgia"/>
                      <w:color w:val="000000"/>
                      <w:spacing w:val="4"/>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3</w:t>
                  </w:r>
                  <w:r>
                    <w:rPr>
                      <w:rFonts w:cs="Georgia"/>
                      <w:color w:val="000000"/>
                    </w:rPr>
                    <w:t xml:space="preserve">0 </w:t>
                  </w:r>
                  <w:r>
                    <w:rPr>
                      <w:rFonts w:cs="Georgia"/>
                      <w:color w:val="000000"/>
                      <w:spacing w:val="1"/>
                    </w:rPr>
                    <w:t>s</w:t>
                  </w:r>
                  <w:r>
                    <w:rPr>
                      <w:rFonts w:cs="Georgia"/>
                      <w:color w:val="000000"/>
                      <w:spacing w:val="-1"/>
                    </w:rPr>
                    <w:t>e</w:t>
                  </w:r>
                  <w:r>
                    <w:rPr>
                      <w:rFonts w:cs="Georgia"/>
                      <w:color w:val="000000"/>
                      <w:spacing w:val="1"/>
                    </w:rPr>
                    <w:t>pt</w:t>
                  </w:r>
                  <w:r>
                    <w:rPr>
                      <w:rFonts w:cs="Georgia"/>
                      <w:color w:val="000000"/>
                      <w:spacing w:val="-1"/>
                    </w:rPr>
                    <w:t>e</w:t>
                  </w:r>
                  <w:r>
                    <w:rPr>
                      <w:rFonts w:cs="Georgia"/>
                      <w:color w:val="000000"/>
                      <w:spacing w:val="-3"/>
                    </w:rPr>
                    <w:t>m</w:t>
                  </w:r>
                  <w:r>
                    <w:rPr>
                      <w:rFonts w:cs="Georgia"/>
                      <w:color w:val="000000"/>
                      <w:spacing w:val="1"/>
                    </w:rPr>
                    <w:t>br</w:t>
                  </w:r>
                  <w:r>
                    <w:rPr>
                      <w:rFonts w:cs="Georgia"/>
                      <w:color w:val="000000"/>
                    </w:rPr>
                    <w:t>e,</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or</w:t>
                  </w:r>
                  <w:r>
                    <w:rPr>
                      <w:rFonts w:cs="Georgia"/>
                      <w:color w:val="000000"/>
                    </w:rPr>
                    <w:t>g</w:t>
                  </w:r>
                  <w:r>
                    <w:rPr>
                      <w:rFonts w:cs="Georgia"/>
                      <w:color w:val="000000"/>
                      <w:spacing w:val="-3"/>
                    </w:rPr>
                    <w:t>a</w:t>
                  </w:r>
                  <w:r>
                    <w:rPr>
                      <w:rFonts w:cs="Georgia"/>
                      <w:color w:val="000000"/>
                      <w:spacing w:val="-1"/>
                    </w:rPr>
                    <w:t>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u</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s</w:t>
                  </w:r>
                  <w:r>
                    <w:rPr>
                      <w:rFonts w:cs="Georgia"/>
                      <w:color w:val="000000"/>
                      <w:spacing w:val="-2"/>
                    </w:rPr>
                    <w:t>u</w:t>
                  </w:r>
                  <w:r>
                    <w:rPr>
                      <w:rFonts w:cs="Georgia"/>
                      <w:color w:val="000000"/>
                      <w:spacing w:val="1"/>
                    </w:rPr>
                    <w:t>bv</w:t>
                  </w:r>
                  <w:r>
                    <w:rPr>
                      <w:rFonts w:cs="Georgia"/>
                      <w:color w:val="000000"/>
                      <w:spacing w:val="-1"/>
                    </w:rPr>
                    <w:t>en</w:t>
                  </w:r>
                  <w:r>
                    <w:rPr>
                      <w:rFonts w:cs="Georgia"/>
                      <w:color w:val="000000"/>
                      <w:spacing w:val="1"/>
                    </w:rPr>
                    <w:t>t</w:t>
                  </w:r>
                  <w:r>
                    <w:rPr>
                      <w:rFonts w:cs="Georgia"/>
                      <w:color w:val="000000"/>
                      <w:spacing w:val="-2"/>
                    </w:rPr>
                    <w:t>i</w:t>
                  </w:r>
                  <w:r>
                    <w:rPr>
                      <w:rFonts w:cs="Georgia"/>
                      <w:color w:val="000000"/>
                      <w:spacing w:val="-1"/>
                    </w:rPr>
                    <w:t>onne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des </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lo</w:t>
                  </w:r>
                  <w:r>
                    <w:rPr>
                      <w:rFonts w:cs="Georgia"/>
                      <w:color w:val="000000"/>
                    </w:rPr>
                    <w:t>is</w:t>
                  </w:r>
                  <w:r>
                    <w:rPr>
                      <w:rFonts w:cs="Georgia"/>
                      <w:color w:val="000000"/>
                      <w:spacing w:val="2"/>
                    </w:rPr>
                    <w:t xml:space="preserve"> </w:t>
                  </w:r>
                  <w:r>
                    <w:rPr>
                      <w:rFonts w:cs="Georgia"/>
                      <w:color w:val="000000"/>
                    </w:rPr>
                    <w:t xml:space="preserve">de </w:t>
                  </w:r>
                  <w:r>
                    <w:rPr>
                      <w:rFonts w:cs="Georgia"/>
                      <w:color w:val="000000"/>
                      <w:spacing w:val="1"/>
                    </w:rPr>
                    <w:t>ch</w:t>
                  </w:r>
                  <w:r>
                    <w:rPr>
                      <w:rFonts w:cs="Georgia"/>
                      <w:color w:val="000000"/>
                      <w:spacing w:val="-1"/>
                    </w:rPr>
                    <w:t>e</w:t>
                  </w:r>
                  <w:r>
                    <w:rPr>
                      <w:rFonts w:cs="Georgia"/>
                      <w:color w:val="000000"/>
                    </w:rPr>
                    <w:t>f</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spacing w:val="1"/>
                    </w:rPr>
                    <w:t>t</w:t>
                  </w:r>
                  <w:r>
                    <w:rPr>
                      <w:rFonts w:cs="Georgia"/>
                      <w:color w:val="000000"/>
                      <w:spacing w:val="-1"/>
                    </w:rPr>
                    <w:t>el</w:t>
                  </w:r>
                  <w:r>
                    <w:rPr>
                      <w:rFonts w:cs="Georgia"/>
                      <w:color w:val="000000"/>
                    </w:rPr>
                    <w:t>i</w:t>
                  </w:r>
                  <w:r>
                    <w:rPr>
                      <w:rFonts w:cs="Georgia"/>
                      <w:color w:val="000000"/>
                      <w:spacing w:val="-1"/>
                    </w:rPr>
                    <w:t>e</w:t>
                  </w:r>
                  <w:r>
                    <w:rPr>
                      <w:rFonts w:cs="Georgia"/>
                      <w:color w:val="000000"/>
                    </w:rPr>
                    <w:t>r</w:t>
                  </w:r>
                  <w:r>
                    <w:rPr>
                      <w:rFonts w:cs="Georgia"/>
                      <w:color w:val="000000"/>
                      <w:spacing w:val="4"/>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rPr>
                    <w:t>d</w:t>
                  </w:r>
                  <w:r>
                    <w:rPr>
                      <w:rFonts w:cs="Georgia"/>
                      <w:color w:val="000000"/>
                      <w:spacing w:val="-2"/>
                    </w:rPr>
                    <w:t>i</w:t>
                  </w:r>
                  <w:r>
                    <w:rPr>
                      <w:rFonts w:cs="Georgia"/>
                      <w:color w:val="000000"/>
                    </w:rPr>
                    <w:t>fié</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2"/>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 de</w:t>
                  </w:r>
                  <w:r>
                    <w:rPr>
                      <w:rFonts w:cs="Georgia"/>
                      <w:color w:val="000000"/>
                      <w:spacing w:val="2"/>
                    </w:rPr>
                    <w:t xml:space="preserve"> </w:t>
                  </w:r>
                  <w:r>
                    <w:rPr>
                      <w:rFonts w:cs="Georgia"/>
                      <w:color w:val="000000"/>
                      <w:spacing w:val="-1"/>
                    </w:rPr>
                    <w:t>l</w:t>
                  </w:r>
                  <w:r>
                    <w:rPr>
                      <w:rFonts w:cs="Georgia"/>
                      <w:color w:val="000000"/>
                      <w:spacing w:val="1"/>
                    </w:rPr>
                    <w:t>'</w:t>
                  </w:r>
                  <w:r>
                    <w:rPr>
                      <w:rFonts w:cs="Georgia"/>
                      <w:color w:val="000000"/>
                      <w:spacing w:val="-1"/>
                    </w:rPr>
                    <w:t>a</w:t>
                  </w:r>
                  <w:r>
                    <w:rPr>
                      <w:rFonts w:cs="Georgia"/>
                      <w:color w:val="000000"/>
                      <w:spacing w:val="-2"/>
                    </w:rPr>
                    <w:t>ug</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 de</w:t>
                  </w:r>
                  <w:r>
                    <w:rPr>
                      <w:rFonts w:cs="Georgia"/>
                      <w:color w:val="000000"/>
                      <w:spacing w:val="2"/>
                    </w:rPr>
                    <w:t xml:space="preserve"> </w:t>
                  </w:r>
                  <w:r>
                    <w:rPr>
                      <w:rFonts w:cs="Georgia"/>
                      <w:color w:val="000000"/>
                      <w:spacing w:val="1"/>
                    </w:rPr>
                    <w:t>1</w:t>
                  </w:r>
                  <w:r>
                    <w:rPr>
                      <w:rFonts w:cs="Georgia"/>
                      <w:color w:val="000000"/>
                    </w:rPr>
                    <w:t>0 %</w:t>
                  </w:r>
                  <w:r>
                    <w:rPr>
                      <w:rFonts w:cs="Georgia"/>
                      <w:color w:val="000000"/>
                      <w:spacing w:val="3"/>
                    </w:rPr>
                    <w:t xml:space="preserve"> </w:t>
                  </w:r>
                  <w:r>
                    <w:rPr>
                      <w:rFonts w:cs="Georgia"/>
                      <w:color w:val="000000"/>
                    </w:rPr>
                    <w:t>de</w:t>
                  </w:r>
                  <w:r>
                    <w:rPr>
                      <w:rFonts w:cs="Georgia"/>
                      <w:color w:val="000000"/>
                      <w:spacing w:val="2"/>
                    </w:rPr>
                    <w:t xml:space="preserve"> </w:t>
                  </w:r>
                  <w:r>
                    <w:rPr>
                      <w:rFonts w:cs="Georgia"/>
                      <w:color w:val="000000"/>
                      <w:spacing w:val="-1"/>
                    </w:rPr>
                    <w:t>l</w:t>
                  </w:r>
                  <w:r>
                    <w:rPr>
                      <w:rFonts w:cs="Georgia"/>
                      <w:color w:val="000000"/>
                    </w:rPr>
                    <w:t xml:space="preserve">a </w:t>
                  </w:r>
                  <w:r>
                    <w:rPr>
                      <w:rFonts w:cs="Georgia"/>
                      <w:color w:val="000000"/>
                      <w:spacing w:val="1"/>
                    </w:rPr>
                    <w:t>p</w:t>
                  </w:r>
                  <w:r>
                    <w:rPr>
                      <w:rFonts w:cs="Georgia"/>
                      <w:color w:val="000000"/>
                      <w:spacing w:val="-1"/>
                    </w:rPr>
                    <w:t>o</w:t>
                  </w:r>
                  <w:r>
                    <w:rPr>
                      <w:rFonts w:cs="Georgia"/>
                      <w:color w:val="000000"/>
                      <w:spacing w:val="1"/>
                    </w:rPr>
                    <w:t>p</w:t>
                  </w:r>
                  <w:r>
                    <w:rPr>
                      <w:rFonts w:cs="Georgia"/>
                      <w:color w:val="000000"/>
                    </w:rPr>
                    <w:t>u</w:t>
                  </w:r>
                  <w:r>
                    <w:rPr>
                      <w:rFonts w:cs="Georgia"/>
                      <w:color w:val="000000"/>
                      <w:spacing w:val="-1"/>
                    </w:rPr>
                    <w:t>la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ayan</w:t>
                  </w:r>
                  <w:r>
                    <w:rPr>
                      <w:rFonts w:cs="Georgia"/>
                      <w:color w:val="000000"/>
                    </w:rPr>
                    <w:t xml:space="preserve">t </w:t>
                  </w:r>
                  <w:r>
                    <w:rPr>
                      <w:rFonts w:cs="Georgia"/>
                      <w:color w:val="000000"/>
                      <w:spacing w:val="1"/>
                    </w:rPr>
                    <w:t>s</w:t>
                  </w:r>
                  <w:r>
                    <w:rPr>
                      <w:rFonts w:cs="Georgia"/>
                      <w:color w:val="000000"/>
                      <w:spacing w:val="-1"/>
                    </w:rPr>
                    <w:t>e</w:t>
                  </w:r>
                  <w:r>
                    <w:rPr>
                      <w:rFonts w:cs="Georgia"/>
                      <w:color w:val="000000"/>
                      <w:spacing w:val="1"/>
                    </w:rPr>
                    <w:t>rv</w:t>
                  </w:r>
                  <w:r>
                    <w:rPr>
                      <w:rFonts w:cs="Georgia"/>
                      <w:color w:val="000000"/>
                    </w:rPr>
                    <w:t xml:space="preserve">i </w:t>
                  </w:r>
                  <w:r>
                    <w:rPr>
                      <w:rFonts w:cs="Georgia"/>
                      <w:color w:val="000000"/>
                      <w:spacing w:val="-3"/>
                    </w:rPr>
                    <w:t>a</w:t>
                  </w:r>
                  <w:r>
                    <w:rPr>
                      <w:rFonts w:cs="Georgia"/>
                      <w:color w:val="000000"/>
                    </w:rPr>
                    <w:t>u d</w:t>
                  </w:r>
                  <w:r>
                    <w:rPr>
                      <w:rFonts w:cs="Georgia"/>
                      <w:color w:val="000000"/>
                      <w:spacing w:val="-1"/>
                    </w:rPr>
                    <w:t>e</w:t>
                  </w:r>
                  <w:r>
                    <w:rPr>
                      <w:rFonts w:cs="Georgia"/>
                      <w:color w:val="000000"/>
                      <w:spacing w:val="1"/>
                    </w:rPr>
                    <w:t>r</w:t>
                  </w:r>
                  <w:r>
                    <w:rPr>
                      <w:rFonts w:cs="Georgia"/>
                      <w:color w:val="000000"/>
                      <w:spacing w:val="-1"/>
                    </w:rPr>
                    <w:t>n</w:t>
                  </w:r>
                  <w:r>
                    <w:rPr>
                      <w:rFonts w:cs="Georgia"/>
                      <w:color w:val="000000"/>
                    </w:rPr>
                    <w:t>i</w:t>
                  </w:r>
                  <w:r>
                    <w:rPr>
                      <w:rFonts w:cs="Georgia"/>
                      <w:color w:val="000000"/>
                      <w:spacing w:val="-1"/>
                    </w:rPr>
                    <w:t>e</w:t>
                  </w:r>
                  <w:r>
                    <w:rPr>
                      <w:rFonts w:cs="Georgia"/>
                      <w:color w:val="000000"/>
                    </w:rPr>
                    <w:t xml:space="preserve">r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spacing w:val="-2"/>
                    </w:rPr>
                    <w:t>d</w:t>
                  </w:r>
                  <w:r>
                    <w:rPr>
                      <w:rFonts w:cs="Georgia"/>
                      <w:color w:val="000000"/>
                    </w:rPr>
                    <w:t xml:space="preserve">u </w:t>
                  </w:r>
                  <w:r>
                    <w:rPr>
                      <w:rFonts w:cs="Georgia"/>
                      <w:color w:val="000000"/>
                      <w:spacing w:val="1"/>
                    </w:rPr>
                    <w:t>c</w:t>
                  </w:r>
                  <w:r>
                    <w:rPr>
                      <w:rFonts w:cs="Georgia"/>
                      <w:color w:val="000000"/>
                      <w:spacing w:val="-1"/>
                    </w:rPr>
                    <w:t>a</w:t>
                  </w:r>
                  <w:r>
                    <w:rPr>
                      <w:rFonts w:cs="Georgia"/>
                      <w:color w:val="000000"/>
                      <w:spacing w:val="1"/>
                    </w:rPr>
                    <w:t>p</w:t>
                  </w:r>
                  <w:r>
                    <w:rPr>
                      <w:rFonts w:cs="Georgia"/>
                      <w:color w:val="000000"/>
                      <w:spacing w:val="-2"/>
                    </w:rPr>
                    <w:t>i</w:t>
                  </w:r>
                  <w:r>
                    <w:rPr>
                      <w:rFonts w:cs="Georgia"/>
                      <w:color w:val="000000"/>
                      <w:spacing w:val="1"/>
                    </w:rPr>
                    <w:t>t</w:t>
                  </w:r>
                  <w:r>
                    <w:rPr>
                      <w:rFonts w:cs="Georgia"/>
                      <w:color w:val="000000"/>
                      <w:spacing w:val="-3"/>
                    </w:rPr>
                    <w:t>a</w:t>
                  </w:r>
                  <w:r>
                    <w:rPr>
                      <w:rFonts w:cs="Georgia"/>
                      <w:color w:val="000000"/>
                    </w:rPr>
                    <w:t>l</w:t>
                  </w:r>
                  <w:r>
                    <w:rPr>
                      <w:rFonts w:cs="Georgia"/>
                      <w:color w:val="000000"/>
                      <w:spacing w:val="-1"/>
                    </w:rPr>
                    <w:t>-</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2"/>
                    </w:rPr>
                    <w:t>s</w:t>
                  </w:r>
                  <w:r>
                    <w:rPr>
                      <w:rFonts w:cs="Georgia"/>
                      <w:color w:val="000000"/>
                    </w:rPr>
                    <w:t>.</w:t>
                  </w:r>
                </w:p>
                <w:p w:rsidR="00F04EEF" w:rsidRDefault="00F04EEF">
                  <w:pPr>
                    <w:widowControl w:val="0"/>
                    <w:autoSpaceDE w:val="0"/>
                    <w:autoSpaceDN w:val="0"/>
                    <w:adjustRightInd w:val="0"/>
                    <w:spacing w:before="10" w:line="240" w:lineRule="exact"/>
                    <w:jc w:val="both"/>
                    <w:rPr>
                      <w:rFonts w:cs="Georgia"/>
                      <w:color w:val="000000"/>
                    </w:rPr>
                  </w:pPr>
                </w:p>
                <w:p w:rsidR="00F04EEF" w:rsidRDefault="0099351E">
                  <w:pPr>
                    <w:widowControl w:val="0"/>
                    <w:autoSpaceDE w:val="0"/>
                    <w:autoSpaceDN w:val="0"/>
                    <w:adjustRightInd w:val="0"/>
                    <w:spacing w:line="244" w:lineRule="exact"/>
                    <w:jc w:val="both"/>
                    <w:rPr>
                      <w:rFonts w:cs="Georgia"/>
                      <w:color w:val="000000"/>
                    </w:rPr>
                  </w:pPr>
                  <w:r>
                    <w:rPr>
                      <w:rFonts w:cs="Georgia"/>
                      <w:color w:val="000000"/>
                      <w:position w:val="-1"/>
                    </w:rPr>
                    <w:t>T</w:t>
                  </w:r>
                  <w:r>
                    <w:rPr>
                      <w:rFonts w:cs="Georgia"/>
                      <w:color w:val="000000"/>
                      <w:spacing w:val="-1"/>
                      <w:position w:val="-1"/>
                    </w:rPr>
                    <w:t>a</w:t>
                  </w:r>
                  <w:r>
                    <w:rPr>
                      <w:rFonts w:cs="Georgia"/>
                      <w:color w:val="000000"/>
                      <w:spacing w:val="1"/>
                      <w:position w:val="-1"/>
                    </w:rPr>
                    <w:t>b</w:t>
                  </w:r>
                  <w:r>
                    <w:rPr>
                      <w:rFonts w:cs="Georgia"/>
                      <w:color w:val="000000"/>
                      <w:spacing w:val="-1"/>
                      <w:position w:val="-1"/>
                    </w:rPr>
                    <w:t>lea</w:t>
                  </w:r>
                  <w:r>
                    <w:rPr>
                      <w:rFonts w:cs="Georgia"/>
                      <w:color w:val="000000"/>
                      <w:position w:val="-1"/>
                    </w:rPr>
                    <w:t xml:space="preserve">u </w:t>
                  </w:r>
                  <w:r>
                    <w:rPr>
                      <w:rFonts w:cs="Georgia"/>
                      <w:color w:val="000000"/>
                      <w:spacing w:val="1"/>
                      <w:position w:val="-1"/>
                    </w:rPr>
                    <w:t>r</w:t>
                  </w:r>
                  <w:r>
                    <w:rPr>
                      <w:rFonts w:cs="Georgia"/>
                      <w:color w:val="000000"/>
                      <w:spacing w:val="-1"/>
                      <w:position w:val="-1"/>
                    </w:rPr>
                    <w:t>é</w:t>
                  </w:r>
                  <w:r>
                    <w:rPr>
                      <w:rFonts w:cs="Georgia"/>
                      <w:color w:val="000000"/>
                      <w:spacing w:val="1"/>
                      <w:position w:val="-1"/>
                    </w:rPr>
                    <w:t>c</w:t>
                  </w:r>
                  <w:r>
                    <w:rPr>
                      <w:rFonts w:cs="Georgia"/>
                      <w:color w:val="000000"/>
                      <w:spacing w:val="-1"/>
                      <w:position w:val="-1"/>
                    </w:rPr>
                    <w:t>a</w:t>
                  </w:r>
                  <w:r>
                    <w:rPr>
                      <w:rFonts w:cs="Georgia"/>
                      <w:color w:val="000000"/>
                      <w:spacing w:val="1"/>
                      <w:position w:val="-1"/>
                    </w:rPr>
                    <w:t>p</w:t>
                  </w:r>
                  <w:r>
                    <w:rPr>
                      <w:rFonts w:cs="Georgia"/>
                      <w:color w:val="000000"/>
                      <w:spacing w:val="-2"/>
                      <w:position w:val="-1"/>
                    </w:rPr>
                    <w:t>i</w:t>
                  </w:r>
                  <w:r>
                    <w:rPr>
                      <w:rFonts w:cs="Georgia"/>
                      <w:color w:val="000000"/>
                      <w:spacing w:val="1"/>
                      <w:position w:val="-1"/>
                    </w:rPr>
                    <w:t>t</w:t>
                  </w:r>
                  <w:r>
                    <w:rPr>
                      <w:rFonts w:cs="Georgia"/>
                      <w:color w:val="000000"/>
                      <w:position w:val="-1"/>
                    </w:rPr>
                    <w:t>u</w:t>
                  </w:r>
                  <w:r>
                    <w:rPr>
                      <w:rFonts w:cs="Georgia"/>
                      <w:color w:val="000000"/>
                      <w:spacing w:val="-1"/>
                      <w:position w:val="-1"/>
                    </w:rPr>
                    <w:t>la</w:t>
                  </w:r>
                  <w:r>
                    <w:rPr>
                      <w:rFonts w:cs="Georgia"/>
                      <w:color w:val="000000"/>
                      <w:spacing w:val="1"/>
                      <w:position w:val="-1"/>
                    </w:rPr>
                    <w:t>t</w:t>
                  </w:r>
                  <w:r>
                    <w:rPr>
                      <w:rFonts w:cs="Georgia"/>
                      <w:color w:val="000000"/>
                      <w:position w:val="-1"/>
                    </w:rPr>
                    <w:t>if :</w:t>
                  </w:r>
                </w:p>
                <w:p w:rsidR="00F04EEF" w:rsidRDefault="00F04EEF">
                  <w:pPr>
                    <w:widowControl w:val="0"/>
                    <w:autoSpaceDE w:val="0"/>
                    <w:autoSpaceDN w:val="0"/>
                    <w:adjustRightInd w:val="0"/>
                    <w:spacing w:before="3" w:line="240" w:lineRule="exact"/>
                    <w:rPr>
                      <w:rFonts w:cs="Georgia"/>
                      <w:color w:val="000000"/>
                    </w:rPr>
                  </w:pPr>
                </w:p>
                <w:tbl>
                  <w:tblPr>
                    <w:tblW w:w="9828" w:type="dxa"/>
                    <w:jc w:val="center"/>
                    <w:tblLayout w:type="fixed"/>
                    <w:tblCellMar>
                      <w:left w:w="0" w:type="dxa"/>
                      <w:right w:w="0" w:type="dxa"/>
                    </w:tblCellMar>
                    <w:tblLook w:val="0000" w:firstRow="0" w:lastRow="0" w:firstColumn="0" w:lastColumn="0" w:noHBand="0" w:noVBand="0"/>
                  </w:tblPr>
                  <w:tblGrid>
                    <w:gridCol w:w="4788"/>
                    <w:gridCol w:w="2520"/>
                    <w:gridCol w:w="2520"/>
                  </w:tblGrid>
                  <w:tr w:rsidR="00F04EEF">
                    <w:trPr>
                      <w:trHeight w:hRule="exact" w:val="262"/>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pPr>
                        <w:r>
                          <w:rPr>
                            <w:rFonts w:cs="Georgia"/>
                            <w:b/>
                            <w:bCs/>
                            <w:spacing w:val="-1"/>
                          </w:rPr>
                          <w:t>Em</w:t>
                        </w:r>
                        <w:r>
                          <w:rPr>
                            <w:rFonts w:cs="Georgia"/>
                            <w:b/>
                            <w:bCs/>
                            <w:spacing w:val="1"/>
                          </w:rPr>
                          <w:t>pl</w:t>
                        </w:r>
                        <w:r>
                          <w:rPr>
                            <w:rFonts w:cs="Georgia"/>
                            <w:b/>
                            <w:bCs/>
                            <w:spacing w:val="-1"/>
                          </w:rPr>
                          <w:t>o</w:t>
                        </w:r>
                        <w:r>
                          <w:rPr>
                            <w:rFonts w:cs="Georgia"/>
                            <w:b/>
                            <w:bCs/>
                            <w:spacing w:val="1"/>
                          </w:rPr>
                          <w:t>i</w:t>
                        </w:r>
                        <w:r>
                          <w:rPr>
                            <w:rFonts w:cs="Georgia"/>
                            <w:b/>
                            <w:bCs/>
                          </w:rPr>
                          <w:t>s</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pPr>
                        <w:r>
                          <w:rPr>
                            <w:rFonts w:cs="Georgia"/>
                            <w:b/>
                            <w:bCs/>
                          </w:rPr>
                          <w:t>N</w:t>
                        </w:r>
                        <w:r>
                          <w:rPr>
                            <w:rFonts w:cs="Georgia"/>
                            <w:b/>
                            <w:bCs/>
                            <w:spacing w:val="-1"/>
                          </w:rPr>
                          <w:t>o</w:t>
                        </w:r>
                        <w:r>
                          <w:rPr>
                            <w:rFonts w:cs="Georgia"/>
                            <w:b/>
                            <w:bCs/>
                          </w:rPr>
                          <w:t>r</w:t>
                        </w:r>
                        <w:r>
                          <w:rPr>
                            <w:rFonts w:cs="Georgia"/>
                            <w:b/>
                            <w:bCs/>
                            <w:spacing w:val="-1"/>
                          </w:rPr>
                          <w:t>m</w:t>
                        </w:r>
                        <w:r>
                          <w:rPr>
                            <w:rFonts w:cs="Georgia"/>
                            <w:b/>
                            <w:bCs/>
                          </w:rPr>
                          <w:t>e de c</w:t>
                        </w:r>
                        <w:r>
                          <w:rPr>
                            <w:rFonts w:cs="Georgia"/>
                            <w:b/>
                            <w:bCs/>
                            <w:spacing w:val="-2"/>
                          </w:rPr>
                          <w:t>r</w:t>
                        </w:r>
                        <w:r>
                          <w:rPr>
                            <w:rFonts w:cs="Georgia"/>
                            <w:b/>
                            <w:bCs/>
                            <w:spacing w:val="1"/>
                          </w:rPr>
                          <w:t>é</w:t>
                        </w:r>
                        <w:r>
                          <w:rPr>
                            <w:rFonts w:cs="Georgia"/>
                            <w:b/>
                            <w:bCs/>
                            <w:spacing w:val="-2"/>
                          </w:rPr>
                          <w:t>a</w:t>
                        </w:r>
                        <w:r>
                          <w:rPr>
                            <w:rFonts w:cs="Georgia"/>
                            <w:b/>
                            <w:bCs/>
                            <w:spacing w:val="-1"/>
                          </w:rPr>
                          <w:t>t</w:t>
                        </w:r>
                        <w:r>
                          <w:rPr>
                            <w:rFonts w:cs="Georgia"/>
                            <w:b/>
                            <w:bCs/>
                            <w:spacing w:val="1"/>
                          </w:rPr>
                          <w:t>i</w:t>
                        </w:r>
                        <w:r>
                          <w:rPr>
                            <w:rFonts w:cs="Georgia"/>
                            <w:b/>
                            <w:bCs/>
                            <w:spacing w:val="-1"/>
                          </w:rPr>
                          <w:t>o</w:t>
                        </w:r>
                        <w:r>
                          <w:rPr>
                            <w:rFonts w:cs="Georgia"/>
                            <w:b/>
                            <w:bCs/>
                          </w:rPr>
                          <w:t>n</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pPr>
                        <w:r>
                          <w:rPr>
                            <w:rFonts w:cs="Georgia"/>
                            <w:b/>
                            <w:bCs/>
                          </w:rPr>
                          <w:t>N</w:t>
                        </w:r>
                        <w:r>
                          <w:rPr>
                            <w:rFonts w:cs="Georgia"/>
                            <w:b/>
                            <w:bCs/>
                            <w:spacing w:val="-1"/>
                          </w:rPr>
                          <w:t>o</w:t>
                        </w:r>
                        <w:r>
                          <w:rPr>
                            <w:rFonts w:cs="Georgia"/>
                            <w:b/>
                            <w:bCs/>
                          </w:rPr>
                          <w:t>r</w:t>
                        </w:r>
                        <w:r>
                          <w:rPr>
                            <w:rFonts w:cs="Georgia"/>
                            <w:b/>
                            <w:bCs/>
                            <w:spacing w:val="-1"/>
                          </w:rPr>
                          <w:t>m</w:t>
                        </w:r>
                        <w:r>
                          <w:rPr>
                            <w:rFonts w:cs="Georgia"/>
                            <w:b/>
                            <w:bCs/>
                          </w:rPr>
                          <w:t xml:space="preserve">e de </w:t>
                        </w:r>
                        <w:r>
                          <w:rPr>
                            <w:rFonts w:cs="Georgia"/>
                            <w:b/>
                            <w:bCs/>
                            <w:spacing w:val="-1"/>
                          </w:rPr>
                          <w:t>m</w:t>
                        </w:r>
                        <w:r>
                          <w:rPr>
                            <w:rFonts w:cs="Georgia"/>
                            <w:b/>
                            <w:bCs/>
                            <w:spacing w:val="-2"/>
                          </w:rPr>
                          <w:t>a</w:t>
                        </w:r>
                        <w:r>
                          <w:rPr>
                            <w:rFonts w:cs="Georgia"/>
                            <w:b/>
                            <w:bCs/>
                            <w:spacing w:val="1"/>
                          </w:rPr>
                          <w:t>i</w:t>
                        </w:r>
                        <w:r>
                          <w:rPr>
                            <w:rFonts w:cs="Georgia"/>
                            <w:b/>
                            <w:bCs/>
                            <w:spacing w:val="-1"/>
                          </w:rPr>
                          <w:t>nt</w:t>
                        </w:r>
                        <w:r>
                          <w:rPr>
                            <w:rFonts w:cs="Georgia"/>
                            <w:b/>
                            <w:bCs/>
                            <w:spacing w:val="1"/>
                          </w:rPr>
                          <w:t>ie</w:t>
                        </w:r>
                        <w:r>
                          <w:rPr>
                            <w:rFonts w:cs="Georgia"/>
                            <w:b/>
                            <w:bCs/>
                          </w:rPr>
                          <w:t>n</w:t>
                        </w:r>
                      </w:p>
                    </w:tc>
                  </w:tr>
                  <w:tr w:rsidR="00F04EEF">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jc w:val="center"/>
                        </w:pPr>
                        <w:r>
                          <w:rPr>
                            <w:rFonts w:cs="Georgia"/>
                            <w:spacing w:val="1"/>
                          </w:rPr>
                          <w:t>U</w:t>
                        </w:r>
                        <w:r>
                          <w:rPr>
                            <w:rFonts w:cs="Georgia"/>
                          </w:rPr>
                          <w:t>n</w:t>
                        </w:r>
                        <w:r>
                          <w:rPr>
                            <w:rFonts w:cs="Georgia"/>
                            <w:spacing w:val="-1"/>
                          </w:rPr>
                          <w:t xml:space="preserve"> </w:t>
                        </w:r>
                        <w:r>
                          <w:rPr>
                            <w:rFonts w:cs="Georgia"/>
                            <w:spacing w:val="1"/>
                          </w:rPr>
                          <w:t>ch</w:t>
                        </w:r>
                        <w:r>
                          <w:rPr>
                            <w:rFonts w:cs="Georgia"/>
                            <w:spacing w:val="-1"/>
                          </w:rPr>
                          <w:t>e</w:t>
                        </w:r>
                        <w:r>
                          <w:rPr>
                            <w:rFonts w:cs="Georgia"/>
                          </w:rPr>
                          <w:t>f</w:t>
                        </w:r>
                        <w:r>
                          <w:rPr>
                            <w:rFonts w:cs="Georgia"/>
                            <w:spacing w:val="-2"/>
                          </w:rPr>
                          <w:t xml:space="preserve"> </w:t>
                        </w:r>
                        <w:r>
                          <w:rPr>
                            <w:rFonts w:cs="Georgia"/>
                          </w:rPr>
                          <w:t>d’</w:t>
                        </w:r>
                        <w:r>
                          <w:rPr>
                            <w:rFonts w:cs="Georgia"/>
                            <w:spacing w:val="-1"/>
                          </w:rPr>
                          <w:t>a</w:t>
                        </w:r>
                        <w:r>
                          <w:rPr>
                            <w:rFonts w:cs="Georgia"/>
                            <w:spacing w:val="1"/>
                          </w:rPr>
                          <w:t>t</w:t>
                        </w:r>
                        <w:r>
                          <w:rPr>
                            <w:rFonts w:cs="Georgia"/>
                            <w:spacing w:val="-1"/>
                          </w:rPr>
                          <w:t>el</w:t>
                        </w:r>
                        <w:r>
                          <w:rPr>
                            <w:rFonts w:cs="Georgia"/>
                          </w:rPr>
                          <w:t>i</w:t>
                        </w:r>
                        <w:r>
                          <w:rPr>
                            <w:rFonts w:cs="Georgia"/>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jc w:val="center"/>
                        </w:pPr>
                        <w:r>
                          <w:rPr>
                            <w:rFonts w:cs="Georgia"/>
                            <w:spacing w:val="-1"/>
                          </w:rPr>
                          <w:t>2</w:t>
                        </w:r>
                        <w:r>
                          <w:rPr>
                            <w:rFonts w:cs="Georgia"/>
                            <w:spacing w:val="1"/>
                          </w:rPr>
                          <w:t>1</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jc w:val="center"/>
                        </w:pPr>
                        <w:r>
                          <w:rPr>
                            <w:rFonts w:cs="Georgia"/>
                            <w:spacing w:val="1"/>
                          </w:rPr>
                          <w:t>1</w:t>
                        </w:r>
                        <w:r>
                          <w:rPr>
                            <w:rFonts w:cs="Georgia"/>
                          </w:rPr>
                          <w:t>80</w:t>
                        </w:r>
                      </w:p>
                    </w:tc>
                  </w:tr>
                  <w:tr w:rsidR="00F04EEF">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jc w:val="center"/>
                        </w:pPr>
                        <w:r>
                          <w:rPr>
                            <w:rFonts w:cs="Georgia"/>
                          </w:rPr>
                          <w:t>D</w:t>
                        </w:r>
                        <w:r>
                          <w:rPr>
                            <w:rFonts w:cs="Georgia"/>
                            <w:spacing w:val="-1"/>
                          </w:rPr>
                          <w:t>e</w:t>
                        </w:r>
                        <w:r>
                          <w:rPr>
                            <w:rFonts w:cs="Georgia"/>
                          </w:rPr>
                          <w:t>ux</w:t>
                        </w:r>
                        <w:r>
                          <w:rPr>
                            <w:rFonts w:cs="Georgia"/>
                            <w:spacing w:val="-1"/>
                          </w:rPr>
                          <w:t xml:space="preserve"> </w:t>
                        </w:r>
                        <w:r>
                          <w:rPr>
                            <w:rFonts w:cs="Georgia"/>
                            <w:spacing w:val="1"/>
                          </w:rPr>
                          <w:t>ch</w:t>
                        </w:r>
                        <w:r>
                          <w:rPr>
                            <w:rFonts w:cs="Georgia"/>
                            <w:spacing w:val="-1"/>
                          </w:rPr>
                          <w:t>e</w:t>
                        </w:r>
                        <w:r>
                          <w:rPr>
                            <w:rFonts w:cs="Georgia"/>
                          </w:rPr>
                          <w:t xml:space="preserve">fs </w:t>
                        </w:r>
                        <w:r>
                          <w:rPr>
                            <w:rFonts w:cs="Georgia"/>
                            <w:spacing w:val="-2"/>
                          </w:rPr>
                          <w:t>d</w:t>
                        </w:r>
                        <w:r>
                          <w:rPr>
                            <w:rFonts w:cs="Georgia"/>
                          </w:rPr>
                          <w:t>’</w:t>
                        </w:r>
                        <w:r>
                          <w:rPr>
                            <w:rFonts w:cs="Georgia"/>
                            <w:spacing w:val="-1"/>
                          </w:rPr>
                          <w:t>a</w:t>
                        </w:r>
                        <w:r>
                          <w:rPr>
                            <w:rFonts w:cs="Georgia"/>
                            <w:spacing w:val="1"/>
                          </w:rPr>
                          <w:t>t</w:t>
                        </w:r>
                        <w:r>
                          <w:rPr>
                            <w:rFonts w:cs="Georgia"/>
                            <w:spacing w:val="-1"/>
                          </w:rPr>
                          <w:t>el</w:t>
                        </w:r>
                        <w:r>
                          <w:rPr>
                            <w:rFonts w:cs="Georgia"/>
                          </w:rPr>
                          <w:t>i</w:t>
                        </w:r>
                        <w:r>
                          <w:rPr>
                            <w:rFonts w:cs="Georgia"/>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jc w:val="center"/>
                        </w:pPr>
                        <w:r>
                          <w:rPr>
                            <w:rFonts w:cs="Georgia"/>
                          </w:rPr>
                          <w:t>4</w:t>
                        </w:r>
                        <w:r>
                          <w:rPr>
                            <w:rFonts w:cs="Georgia"/>
                            <w:spacing w:val="-1"/>
                          </w:rPr>
                          <w:t>2</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8" w:lineRule="exact"/>
                          <w:jc w:val="center"/>
                        </w:pPr>
                        <w:r>
                          <w:rPr>
                            <w:rFonts w:cs="Georgia"/>
                            <w:spacing w:val="1"/>
                          </w:rPr>
                          <w:t>3</w:t>
                        </w:r>
                        <w:r>
                          <w:rPr>
                            <w:rFonts w:cs="Georgia"/>
                          </w:rPr>
                          <w:t>60</w:t>
                        </w:r>
                      </w:p>
                    </w:tc>
                  </w:tr>
                  <w:tr w:rsidR="00F04EEF">
                    <w:trPr>
                      <w:trHeight w:hRule="exact" w:val="511"/>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rPr>
                            <w:rFonts w:cs="Georgia"/>
                          </w:rPr>
                        </w:pPr>
                        <w:r>
                          <w:rPr>
                            <w:rFonts w:cs="Georgia"/>
                          </w:rPr>
                          <w:t>T</w:t>
                        </w:r>
                        <w:r>
                          <w:rPr>
                            <w:rFonts w:cs="Georgia"/>
                            <w:spacing w:val="1"/>
                          </w:rPr>
                          <w:t>ro</w:t>
                        </w:r>
                        <w:r>
                          <w:rPr>
                            <w:rFonts w:cs="Georgia"/>
                            <w:spacing w:val="-2"/>
                          </w:rPr>
                          <w:t>i</w:t>
                        </w:r>
                        <w:r>
                          <w:rPr>
                            <w:rFonts w:cs="Georgia"/>
                          </w:rPr>
                          <w:t>s</w:t>
                        </w:r>
                        <w:r>
                          <w:rPr>
                            <w:rFonts w:cs="Georgia"/>
                            <w:spacing w:val="36"/>
                          </w:rPr>
                          <w:t xml:space="preserve"> </w:t>
                        </w:r>
                        <w:r>
                          <w:rPr>
                            <w:rFonts w:cs="Georgia"/>
                            <w:spacing w:val="-2"/>
                          </w:rPr>
                          <w:t>c</w:t>
                        </w:r>
                        <w:r>
                          <w:rPr>
                            <w:rFonts w:cs="Georgia"/>
                            <w:spacing w:val="1"/>
                          </w:rPr>
                          <w:t>h</w:t>
                        </w:r>
                        <w:r>
                          <w:rPr>
                            <w:rFonts w:cs="Georgia"/>
                            <w:spacing w:val="-1"/>
                          </w:rPr>
                          <w:t>e</w:t>
                        </w:r>
                        <w:r>
                          <w:rPr>
                            <w:rFonts w:cs="Georgia"/>
                          </w:rPr>
                          <w:t>fs</w:t>
                        </w:r>
                        <w:r>
                          <w:rPr>
                            <w:rFonts w:cs="Georgia"/>
                            <w:spacing w:val="34"/>
                          </w:rPr>
                          <w:t xml:space="preserve"> </w:t>
                        </w:r>
                        <w:r>
                          <w:rPr>
                            <w:rFonts w:cs="Georgia"/>
                          </w:rPr>
                          <w:t>d’</w:t>
                        </w:r>
                        <w:r>
                          <w:rPr>
                            <w:rFonts w:cs="Georgia"/>
                            <w:spacing w:val="-1"/>
                          </w:rPr>
                          <w:t>a</w:t>
                        </w:r>
                        <w:r>
                          <w:rPr>
                            <w:rFonts w:cs="Georgia"/>
                            <w:spacing w:val="1"/>
                          </w:rPr>
                          <w:t>t</w:t>
                        </w:r>
                        <w:r>
                          <w:rPr>
                            <w:rFonts w:cs="Georgia"/>
                            <w:spacing w:val="-1"/>
                          </w:rPr>
                          <w:t>el</w:t>
                        </w:r>
                        <w:r>
                          <w:rPr>
                            <w:rFonts w:cs="Georgia"/>
                          </w:rPr>
                          <w:t>i</w:t>
                        </w:r>
                        <w:r>
                          <w:rPr>
                            <w:rFonts w:cs="Georgia"/>
                            <w:spacing w:val="-1"/>
                          </w:rPr>
                          <w:t>e</w:t>
                        </w:r>
                        <w:r>
                          <w:rPr>
                            <w:rFonts w:cs="Georgia"/>
                          </w:rPr>
                          <w:t>r</w:t>
                        </w:r>
                        <w:r>
                          <w:rPr>
                            <w:rFonts w:cs="Georgia"/>
                            <w:spacing w:val="36"/>
                          </w:rPr>
                          <w:t xml:space="preserve"> </w:t>
                        </w:r>
                        <w:r>
                          <w:rPr>
                            <w:rFonts w:cs="Georgia"/>
                            <w:spacing w:val="1"/>
                          </w:rPr>
                          <w:t>(</w:t>
                        </w:r>
                        <w:r>
                          <w:rPr>
                            <w:rFonts w:cs="Georgia"/>
                            <w:spacing w:val="-1"/>
                          </w:rPr>
                          <w:t>e</w:t>
                        </w:r>
                        <w:r>
                          <w:rPr>
                            <w:rFonts w:cs="Georgia"/>
                          </w:rPr>
                          <w:t>t</w:t>
                        </w:r>
                        <w:r>
                          <w:rPr>
                            <w:rFonts w:cs="Georgia"/>
                            <w:spacing w:val="34"/>
                          </w:rPr>
                          <w:t xml:space="preserve"> </w:t>
                        </w:r>
                        <w:r>
                          <w:rPr>
                            <w:rFonts w:cs="Georgia"/>
                          </w:rPr>
                          <w:t>un</w:t>
                        </w:r>
                        <w:r>
                          <w:rPr>
                            <w:rFonts w:cs="Georgia"/>
                            <w:spacing w:val="35"/>
                          </w:rPr>
                          <w:t xml:space="preserve"> </w:t>
                        </w:r>
                        <w:r>
                          <w:rPr>
                            <w:rFonts w:cs="Georgia"/>
                            <w:spacing w:val="-1"/>
                          </w:rPr>
                          <w:t>e</w:t>
                        </w:r>
                        <w:r>
                          <w:rPr>
                            <w:rFonts w:cs="Georgia"/>
                          </w:rPr>
                          <w:t>m</w:t>
                        </w:r>
                        <w:r>
                          <w:rPr>
                            <w:rFonts w:cs="Georgia"/>
                            <w:spacing w:val="1"/>
                          </w:rPr>
                          <w:t>p</w:t>
                        </w:r>
                        <w:r>
                          <w:rPr>
                            <w:rFonts w:cs="Georgia"/>
                            <w:spacing w:val="-1"/>
                          </w:rPr>
                          <w:t>l</w:t>
                        </w:r>
                        <w:r>
                          <w:rPr>
                            <w:rFonts w:cs="Georgia"/>
                            <w:spacing w:val="1"/>
                          </w:rPr>
                          <w:t>o</w:t>
                        </w:r>
                        <w:r>
                          <w:rPr>
                            <w:rFonts w:cs="Georgia"/>
                          </w:rPr>
                          <w:t>i</w:t>
                        </w:r>
                        <w:r>
                          <w:rPr>
                            <w:rFonts w:cs="Georgia"/>
                            <w:spacing w:val="33"/>
                          </w:rPr>
                          <w:t xml:space="preserve"> </w:t>
                        </w:r>
                        <w:r>
                          <w:rPr>
                            <w:rFonts w:cs="Georgia"/>
                          </w:rPr>
                          <w:t>de</w:t>
                        </w:r>
                        <w:r>
                          <w:rPr>
                            <w:rFonts w:cs="Georgia"/>
                            <w:spacing w:val="35"/>
                          </w:rPr>
                          <w:t xml:space="preserve"> </w:t>
                        </w:r>
                        <w:r>
                          <w:rPr>
                            <w:rFonts w:cs="Georgia"/>
                            <w:spacing w:val="1"/>
                          </w:rPr>
                          <w:t>ch</w:t>
                        </w:r>
                        <w:r>
                          <w:rPr>
                            <w:rFonts w:cs="Georgia"/>
                            <w:spacing w:val="-1"/>
                          </w:rPr>
                          <w:t>e</w:t>
                        </w:r>
                        <w:r>
                          <w:rPr>
                            <w:rFonts w:cs="Georgia"/>
                          </w:rPr>
                          <w:t>f</w:t>
                        </w:r>
                        <w:r>
                          <w:rPr>
                            <w:rFonts w:cs="Georgia"/>
                            <w:spacing w:val="34"/>
                          </w:rPr>
                          <w:t xml:space="preserve"> </w:t>
                        </w:r>
                        <w:r>
                          <w:rPr>
                            <w:rFonts w:cs="Georgia"/>
                          </w:rPr>
                          <w:t>de</w:t>
                        </w:r>
                      </w:p>
                      <w:p w:rsidR="00F04EEF" w:rsidRDefault="0099351E">
                        <w:pPr>
                          <w:widowControl w:val="0"/>
                          <w:autoSpaceDE w:val="0"/>
                          <w:autoSpaceDN w:val="0"/>
                          <w:adjustRightInd w:val="0"/>
                          <w:spacing w:before="2" w:line="249" w:lineRule="exact"/>
                          <w:jc w:val="center"/>
                        </w:pPr>
                        <w:r>
                          <w:rPr>
                            <w:rFonts w:cs="Georgia"/>
                            <w:spacing w:val="1"/>
                          </w:rPr>
                          <w:t>tr</w:t>
                        </w:r>
                        <w:r>
                          <w:rPr>
                            <w:rFonts w:cs="Georgia"/>
                            <w:spacing w:val="-1"/>
                          </w:rPr>
                          <w:t>a</w:t>
                        </w:r>
                        <w:r>
                          <w:rPr>
                            <w:rFonts w:cs="Georgia"/>
                            <w:spacing w:val="1"/>
                          </w:rPr>
                          <w:t>v</w:t>
                        </w:r>
                        <w:r>
                          <w:rPr>
                            <w:rFonts w:cs="Georgia"/>
                            <w:spacing w:val="-1"/>
                          </w:rPr>
                          <w:t>a</w:t>
                        </w:r>
                        <w:r>
                          <w:rPr>
                            <w:rFonts w:cs="Georgia"/>
                          </w:rPr>
                          <w:t>ux</w:t>
                        </w:r>
                        <w:r>
                          <w:rPr>
                            <w:rFonts w:cs="Georgia"/>
                            <w:spacing w:val="-1"/>
                          </w:rPr>
                          <w:t xml:space="preserve"> </w:t>
                        </w:r>
                        <w:r>
                          <w:rPr>
                            <w:rFonts w:cs="Georgia"/>
                          </w:rPr>
                          <w:t>d’</w:t>
                        </w:r>
                        <w:r>
                          <w:rPr>
                            <w:rFonts w:cs="Georgia"/>
                            <w:spacing w:val="-3"/>
                          </w:rPr>
                          <w:t>a</w:t>
                        </w:r>
                        <w:r>
                          <w:rPr>
                            <w:rFonts w:cs="Georgia"/>
                            <w:spacing w:val="1"/>
                          </w:rPr>
                          <w:t>t</w:t>
                        </w:r>
                        <w:r>
                          <w:rPr>
                            <w:rFonts w:cs="Georgia"/>
                            <w:spacing w:val="-1"/>
                          </w:rPr>
                          <w:t>el</w:t>
                        </w:r>
                        <w:r>
                          <w:rPr>
                            <w:rFonts w:cs="Georgia"/>
                          </w:rPr>
                          <w:t>i</w:t>
                        </w:r>
                        <w:r>
                          <w:rPr>
                            <w:rFonts w:cs="Georgia"/>
                            <w:spacing w:val="-1"/>
                          </w:rPr>
                          <w:t>e</w:t>
                        </w:r>
                        <w:r>
                          <w:rPr>
                            <w:rFonts w:cs="Georgia"/>
                            <w:spacing w:val="1"/>
                          </w:rPr>
                          <w:t>r)</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pPr>
                        <w:r>
                          <w:rPr>
                            <w:rFonts w:cs="Georgia"/>
                          </w:rPr>
                          <w:t>6</w:t>
                        </w:r>
                        <w:r>
                          <w:rPr>
                            <w:rFonts w:cs="Georgia"/>
                            <w:spacing w:val="1"/>
                          </w:rPr>
                          <w:t>3</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pPr>
                        <w:r>
                          <w:rPr>
                            <w:rFonts w:cs="Georgia"/>
                            <w:spacing w:val="1"/>
                          </w:rPr>
                          <w:t>5</w:t>
                        </w:r>
                        <w:r>
                          <w:rPr>
                            <w:rFonts w:cs="Georgia"/>
                          </w:rPr>
                          <w:t>40</w:t>
                        </w:r>
                      </w:p>
                    </w:tc>
                  </w:tr>
                  <w:tr w:rsidR="00F04EEF">
                    <w:trPr>
                      <w:trHeight w:hRule="exact" w:val="509"/>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50" w:lineRule="exact"/>
                          <w:jc w:val="center"/>
                        </w:pPr>
                        <w:r>
                          <w:rPr>
                            <w:rFonts w:cs="Georgia"/>
                            <w:spacing w:val="1"/>
                          </w:rPr>
                          <w:t>A</w:t>
                        </w:r>
                        <w:r>
                          <w:rPr>
                            <w:rFonts w:cs="Georgia"/>
                          </w:rPr>
                          <w:t>u</w:t>
                        </w:r>
                        <w:r>
                          <w:rPr>
                            <w:rFonts w:cs="Georgia"/>
                            <w:spacing w:val="-1"/>
                          </w:rPr>
                          <w:t>-</w:t>
                        </w:r>
                        <w:r>
                          <w:rPr>
                            <w:rFonts w:cs="Georgia"/>
                          </w:rPr>
                          <w:t>d</w:t>
                        </w:r>
                        <w:r>
                          <w:rPr>
                            <w:rFonts w:cs="Georgia"/>
                            <w:spacing w:val="-1"/>
                          </w:rPr>
                          <w:t>elà</w:t>
                        </w:r>
                        <w:r>
                          <w:rPr>
                            <w:rFonts w:cs="Georgia"/>
                          </w:rPr>
                          <w:t>,</w:t>
                        </w:r>
                        <w:r>
                          <w:rPr>
                            <w:rFonts w:cs="Georgia"/>
                            <w:spacing w:val="36"/>
                          </w:rPr>
                          <w:t xml:space="preserve"> </w:t>
                        </w:r>
                        <w:r>
                          <w:rPr>
                            <w:rFonts w:cs="Georgia"/>
                          </w:rPr>
                          <w:t>un</w:t>
                        </w:r>
                        <w:r>
                          <w:rPr>
                            <w:rFonts w:cs="Georgia"/>
                            <w:spacing w:val="35"/>
                          </w:rPr>
                          <w:t xml:space="preserve"> </w:t>
                        </w:r>
                        <w:r>
                          <w:rPr>
                            <w:rFonts w:cs="Georgia"/>
                            <w:spacing w:val="1"/>
                          </w:rPr>
                          <w:t>ch</w:t>
                        </w:r>
                        <w:r>
                          <w:rPr>
                            <w:rFonts w:cs="Georgia"/>
                            <w:spacing w:val="-1"/>
                          </w:rPr>
                          <w:t>e</w:t>
                        </w:r>
                        <w:r>
                          <w:rPr>
                            <w:rFonts w:cs="Georgia"/>
                          </w:rPr>
                          <w:t>f</w:t>
                        </w:r>
                        <w:r>
                          <w:rPr>
                            <w:rFonts w:cs="Georgia"/>
                            <w:spacing w:val="36"/>
                          </w:rPr>
                          <w:t xml:space="preserve"> </w:t>
                        </w:r>
                        <w:r>
                          <w:rPr>
                            <w:rFonts w:cs="Georgia"/>
                          </w:rPr>
                          <w:t>d’</w:t>
                        </w:r>
                        <w:r>
                          <w:rPr>
                            <w:rFonts w:cs="Georgia"/>
                            <w:spacing w:val="-1"/>
                          </w:rPr>
                          <w:t>a</w:t>
                        </w:r>
                        <w:r>
                          <w:rPr>
                            <w:rFonts w:cs="Georgia"/>
                            <w:spacing w:val="1"/>
                          </w:rPr>
                          <w:t>t</w:t>
                        </w:r>
                        <w:r>
                          <w:rPr>
                            <w:rFonts w:cs="Georgia"/>
                            <w:spacing w:val="-1"/>
                          </w:rPr>
                          <w:t>el</w:t>
                        </w:r>
                        <w:r>
                          <w:rPr>
                            <w:rFonts w:cs="Georgia"/>
                          </w:rPr>
                          <w:t>i</w:t>
                        </w:r>
                        <w:r>
                          <w:rPr>
                            <w:rFonts w:cs="Georgia"/>
                            <w:spacing w:val="-3"/>
                          </w:rPr>
                          <w:t>e</w:t>
                        </w:r>
                        <w:r>
                          <w:rPr>
                            <w:rFonts w:cs="Georgia"/>
                          </w:rPr>
                          <w:t>r</w:t>
                        </w:r>
                        <w:r>
                          <w:rPr>
                            <w:rFonts w:cs="Georgia"/>
                            <w:spacing w:val="36"/>
                          </w:rPr>
                          <w:t xml:space="preserve"> </w:t>
                        </w:r>
                        <w:r>
                          <w:rPr>
                            <w:rFonts w:cs="Georgia"/>
                            <w:spacing w:val="1"/>
                          </w:rPr>
                          <w:t>s</w:t>
                        </w:r>
                        <w:r>
                          <w:rPr>
                            <w:rFonts w:cs="Georgia"/>
                          </w:rPr>
                          <w:t>u</w:t>
                        </w:r>
                        <w:r>
                          <w:rPr>
                            <w:rFonts w:cs="Georgia"/>
                            <w:spacing w:val="-1"/>
                          </w:rPr>
                          <w:t>p</w:t>
                        </w:r>
                        <w:r>
                          <w:rPr>
                            <w:rFonts w:cs="Georgia"/>
                            <w:spacing w:val="1"/>
                          </w:rPr>
                          <w:t>p</w:t>
                        </w:r>
                        <w:r>
                          <w:rPr>
                            <w:rFonts w:cs="Georgia"/>
                            <w:spacing w:val="-1"/>
                          </w:rPr>
                          <w:t>lé</w:t>
                        </w:r>
                        <w:r>
                          <w:rPr>
                            <w:rFonts w:cs="Georgia"/>
                          </w:rPr>
                          <w:t>m</w:t>
                        </w:r>
                        <w:r>
                          <w:rPr>
                            <w:rFonts w:cs="Georgia"/>
                            <w:spacing w:val="-1"/>
                          </w:rPr>
                          <w:t>en</w:t>
                        </w:r>
                        <w:r>
                          <w:rPr>
                            <w:rFonts w:cs="Georgia"/>
                            <w:spacing w:val="1"/>
                          </w:rPr>
                          <w:t>t</w:t>
                        </w:r>
                        <w:r>
                          <w:rPr>
                            <w:rFonts w:cs="Georgia"/>
                            <w:spacing w:val="-1"/>
                          </w:rPr>
                          <w:t>a</w:t>
                        </w:r>
                        <w:r>
                          <w:rPr>
                            <w:rFonts w:cs="Georgia"/>
                          </w:rPr>
                          <w:t>i</w:t>
                        </w:r>
                        <w:r>
                          <w:rPr>
                            <w:rFonts w:cs="Georgia"/>
                            <w:spacing w:val="1"/>
                          </w:rPr>
                          <w:t>r</w:t>
                        </w:r>
                        <w:r>
                          <w:rPr>
                            <w:rFonts w:cs="Georgia"/>
                          </w:rPr>
                          <w:t>e</w:t>
                        </w:r>
                        <w:r>
                          <w:rPr>
                            <w:rFonts w:cs="Georgia"/>
                            <w:spacing w:val="35"/>
                          </w:rPr>
                          <w:t xml:space="preserve"> </w:t>
                        </w:r>
                        <w:r>
                          <w:rPr>
                            <w:rFonts w:cs="Georgia"/>
                            <w:spacing w:val="1"/>
                          </w:rPr>
                          <w:t>p</w:t>
                        </w:r>
                        <w:r>
                          <w:rPr>
                            <w:rFonts w:cs="Georgia"/>
                            <w:spacing w:val="-1"/>
                          </w:rPr>
                          <w:t>a</w:t>
                        </w:r>
                        <w:r>
                          <w:rPr>
                            <w:rFonts w:cs="Georgia"/>
                          </w:rPr>
                          <w:t xml:space="preserve">r </w:t>
                        </w:r>
                        <w:r>
                          <w:rPr>
                            <w:rFonts w:cs="Georgia"/>
                            <w:spacing w:val="1"/>
                          </w:rPr>
                          <w:t>tr</w:t>
                        </w:r>
                        <w:r>
                          <w:rPr>
                            <w:rFonts w:cs="Georgia"/>
                            <w:spacing w:val="-1"/>
                          </w:rPr>
                          <w:t>an</w:t>
                        </w:r>
                        <w:r>
                          <w:rPr>
                            <w:rFonts w:cs="Georgia"/>
                            <w:spacing w:val="1"/>
                          </w:rPr>
                          <w:t>ch</w:t>
                        </w:r>
                        <w:r>
                          <w:rPr>
                            <w:rFonts w:cs="Georgia"/>
                          </w:rPr>
                          <w:t>e</w:t>
                        </w:r>
                        <w:r>
                          <w:rPr>
                            <w:rFonts w:cs="Georgia"/>
                            <w:spacing w:val="-1"/>
                          </w:rPr>
                          <w:t xml:space="preserve"> </w:t>
                        </w:r>
                        <w:r>
                          <w:rPr>
                            <w:rFonts w:cs="Georgia"/>
                            <w:spacing w:val="-2"/>
                          </w:rPr>
                          <w:t>c</w:t>
                        </w:r>
                        <w:r>
                          <w:rPr>
                            <w:rFonts w:cs="Georgia"/>
                            <w:spacing w:val="1"/>
                          </w:rPr>
                          <w:t>o</w:t>
                        </w:r>
                        <w:r>
                          <w:rPr>
                            <w:rFonts w:cs="Georgia"/>
                            <w:spacing w:val="-3"/>
                          </w:rPr>
                          <w:t>m</w:t>
                        </w:r>
                        <w:r>
                          <w:rPr>
                            <w:rFonts w:cs="Georgia"/>
                            <w:spacing w:val="1"/>
                          </w:rPr>
                          <w:t>p</w:t>
                        </w:r>
                        <w:r>
                          <w:rPr>
                            <w:rFonts w:cs="Georgia"/>
                            <w:spacing w:val="-1"/>
                          </w:rPr>
                          <w:t>lè</w:t>
                        </w:r>
                        <w:r>
                          <w:rPr>
                            <w:rFonts w:cs="Georgia"/>
                            <w:spacing w:val="1"/>
                          </w:rPr>
                          <w:t>t</w:t>
                        </w:r>
                        <w:r>
                          <w:rPr>
                            <w:rFonts w:cs="Georgia"/>
                          </w:rPr>
                          <w:t>e</w:t>
                        </w:r>
                        <w:r>
                          <w:rPr>
                            <w:rFonts w:cs="Georgia"/>
                            <w:spacing w:val="-1"/>
                          </w:rPr>
                          <w:t xml:space="preserve"> </w:t>
                        </w:r>
                        <w:r>
                          <w:rPr>
                            <w:rFonts w:cs="Georgia"/>
                          </w:rPr>
                          <w:t>de</w:t>
                        </w:r>
                        <w:r>
                          <w:rPr>
                            <w:rFonts w:cs="Georgia"/>
                            <w:spacing w:val="-1"/>
                          </w:rPr>
                          <w:t xml:space="preserve"> </w:t>
                        </w:r>
                        <w:r>
                          <w:rPr>
                            <w:rFonts w:cs="Georgia"/>
                          </w:rPr>
                          <w:t>:</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pPr>
                        <w:r>
                          <w:rPr>
                            <w:rFonts w:cs="Georgia"/>
                            <w:spacing w:val="-1"/>
                          </w:rPr>
                          <w:t>2</w:t>
                        </w:r>
                        <w:r>
                          <w:rPr>
                            <w:rFonts w:cs="Georgia"/>
                            <w:spacing w:val="1"/>
                          </w:rPr>
                          <w:t>1</w:t>
                        </w:r>
                        <w:r>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autoSpaceDE w:val="0"/>
                          <w:autoSpaceDN w:val="0"/>
                          <w:adjustRightInd w:val="0"/>
                          <w:spacing w:line="249" w:lineRule="exact"/>
                          <w:jc w:val="center"/>
                        </w:pPr>
                        <w:r>
                          <w:rPr>
                            <w:rFonts w:cs="Georgia"/>
                            <w:spacing w:val="-1"/>
                          </w:rPr>
                          <w:t>2</w:t>
                        </w:r>
                        <w:r>
                          <w:rPr>
                            <w:rFonts w:cs="Georgia"/>
                            <w:spacing w:val="1"/>
                          </w:rPr>
                          <w:t>1</w:t>
                        </w:r>
                        <w:r>
                          <w:rPr>
                            <w:rFonts w:cs="Georgia"/>
                          </w:rPr>
                          <w:t>0</w:t>
                        </w:r>
                      </w:p>
                    </w:tc>
                  </w:tr>
                </w:tbl>
                <w:p w:rsidR="00F04EEF" w:rsidRDefault="00F04EEF">
                  <w:pPr>
                    <w:rPr>
                      <w:b/>
                      <w:u w:val="single"/>
                    </w:rPr>
                  </w:pPr>
                  <w:bookmarkStart w:id="1961" w:name="_Toc453314329"/>
                  <w:bookmarkStart w:id="1962" w:name="_Toc454980364"/>
                </w:p>
                <w:p w:rsidR="00F04EEF" w:rsidRDefault="0099351E">
                  <w:pPr>
                    <w:pStyle w:val="Titre5"/>
                  </w:pPr>
                  <w:bookmarkStart w:id="1963" w:name="_3.5._Fonctions_de"/>
                  <w:bookmarkEnd w:id="1963"/>
                  <w:r>
                    <w:t>2.4.2. Fonctions de promotion</w:t>
                  </w:r>
                  <w:bookmarkEnd w:id="1961"/>
                  <w:bookmarkEnd w:id="1962"/>
                </w:p>
                <w:p w:rsidR="00F04EEF" w:rsidRDefault="00F04EEF">
                  <w:pPr>
                    <w:widowControl w:val="0"/>
                    <w:autoSpaceDE w:val="0"/>
                    <w:autoSpaceDN w:val="0"/>
                    <w:adjustRightInd w:val="0"/>
                    <w:spacing w:before="38" w:line="250" w:lineRule="exact"/>
                    <w:jc w:val="both"/>
                    <w:rPr>
                      <w:rFonts w:cs="Georgia"/>
                      <w:spacing w:val="1"/>
                    </w:rPr>
                  </w:pPr>
                </w:p>
                <w:p w:rsidR="00F04EEF" w:rsidRDefault="0099351E">
                  <w:pPr>
                    <w:widowControl w:val="0"/>
                    <w:autoSpaceDE w:val="0"/>
                    <w:autoSpaceDN w:val="0"/>
                    <w:adjustRightInd w:val="0"/>
                    <w:spacing w:before="38" w:line="250" w:lineRule="exact"/>
                    <w:jc w:val="both"/>
                    <w:rPr>
                      <w:rFonts w:cs="Georgia"/>
                    </w:rPr>
                  </w:pPr>
                  <w:r>
                    <w:rPr>
                      <w:rFonts w:cs="Georgia"/>
                      <w:spacing w:val="1"/>
                    </w:rPr>
                    <w:t>L</w:t>
                  </w:r>
                  <w:r>
                    <w:rPr>
                      <w:rFonts w:cs="Georgia"/>
                      <w:spacing w:val="-1"/>
                    </w:rPr>
                    <w:t>e</w:t>
                  </w:r>
                  <w:r>
                    <w:rPr>
                      <w:rFonts w:cs="Georgia"/>
                    </w:rPr>
                    <w:t>s</w:t>
                  </w:r>
                  <w:r>
                    <w:rPr>
                      <w:rFonts w:cs="Georgia"/>
                      <w:spacing w:val="2"/>
                    </w:rPr>
                    <w:t xml:space="preserve"> </w:t>
                  </w:r>
                  <w:r>
                    <w:rPr>
                      <w:rFonts w:cs="Georgia"/>
                    </w:rPr>
                    <w:t>f</w:t>
                  </w:r>
                  <w:r>
                    <w:rPr>
                      <w:rFonts w:cs="Georgia"/>
                      <w:spacing w:val="1"/>
                    </w:rPr>
                    <w:t>o</w:t>
                  </w:r>
                  <w:r>
                    <w:rPr>
                      <w:rFonts w:cs="Georgia"/>
                      <w:spacing w:val="-1"/>
                    </w:rPr>
                    <w:t>n</w:t>
                  </w:r>
                  <w:r>
                    <w:rPr>
                      <w:rFonts w:cs="Georgia"/>
                      <w:spacing w:val="-2"/>
                    </w:rPr>
                    <w:t>c</w:t>
                  </w:r>
                  <w:r>
                    <w:rPr>
                      <w:rFonts w:cs="Georgia"/>
                      <w:spacing w:val="1"/>
                    </w:rPr>
                    <w:t>t</w:t>
                  </w:r>
                  <w:r>
                    <w:rPr>
                      <w:rFonts w:cs="Georgia"/>
                    </w:rPr>
                    <w:t>i</w:t>
                  </w:r>
                  <w:r>
                    <w:rPr>
                      <w:rFonts w:cs="Georgia"/>
                      <w:spacing w:val="1"/>
                    </w:rPr>
                    <w:t>o</w:t>
                  </w:r>
                  <w:r>
                    <w:rPr>
                      <w:rFonts w:cs="Georgia"/>
                      <w:spacing w:val="-3"/>
                    </w:rPr>
                    <w:t>n</w:t>
                  </w:r>
                  <w:r>
                    <w:rPr>
                      <w:rFonts w:cs="Georgia"/>
                    </w:rPr>
                    <w:t>s</w:t>
                  </w:r>
                  <w:r>
                    <w:rPr>
                      <w:rFonts w:cs="Georgia"/>
                      <w:spacing w:val="2"/>
                    </w:rPr>
                    <w:t xml:space="preserve"> </w:t>
                  </w:r>
                  <w:r>
                    <w:rPr>
                      <w:rFonts w:cs="Georgia"/>
                    </w:rPr>
                    <w:t xml:space="preserve">de </w:t>
                  </w:r>
                  <w:r>
                    <w:rPr>
                      <w:rFonts w:cs="Georgia"/>
                      <w:spacing w:val="1"/>
                    </w:rPr>
                    <w:t>pr</w:t>
                  </w:r>
                  <w:r>
                    <w:rPr>
                      <w:rFonts w:cs="Georgia"/>
                      <w:spacing w:val="-1"/>
                    </w:rPr>
                    <w:t>o</w:t>
                  </w:r>
                  <w:r>
                    <w:rPr>
                      <w:rFonts w:cs="Georgia"/>
                    </w:rPr>
                    <w:t>m</w:t>
                  </w:r>
                  <w:r>
                    <w:rPr>
                      <w:rFonts w:cs="Georgia"/>
                      <w:spacing w:val="-1"/>
                    </w:rPr>
                    <w:t>o</w:t>
                  </w:r>
                  <w:r>
                    <w:rPr>
                      <w:rFonts w:cs="Georgia"/>
                      <w:spacing w:val="1"/>
                    </w:rPr>
                    <w:t>t</w:t>
                  </w:r>
                  <w:r>
                    <w:rPr>
                      <w:rFonts w:cs="Georgia"/>
                    </w:rPr>
                    <w:t>i</w:t>
                  </w:r>
                  <w:r>
                    <w:rPr>
                      <w:rFonts w:cs="Georgia"/>
                      <w:spacing w:val="1"/>
                    </w:rPr>
                    <w:t>o</w:t>
                  </w:r>
                  <w:r>
                    <w:rPr>
                      <w:rFonts w:cs="Georgia"/>
                    </w:rPr>
                    <w:t xml:space="preserve">n </w:t>
                  </w:r>
                  <w:r>
                    <w:rPr>
                      <w:rFonts w:cs="Georgia"/>
                      <w:spacing w:val="1"/>
                    </w:rPr>
                    <w:t>s</w:t>
                  </w:r>
                  <w:r>
                    <w:rPr>
                      <w:rFonts w:cs="Georgia"/>
                    </w:rPr>
                    <w:t>u</w:t>
                  </w:r>
                  <w:r>
                    <w:rPr>
                      <w:rFonts w:cs="Georgia"/>
                      <w:spacing w:val="-2"/>
                    </w:rPr>
                    <w:t>i</w:t>
                  </w:r>
                  <w:r>
                    <w:rPr>
                      <w:rFonts w:cs="Georgia"/>
                      <w:spacing w:val="1"/>
                    </w:rPr>
                    <w:t>v</w:t>
                  </w:r>
                  <w:r>
                    <w:rPr>
                      <w:rFonts w:cs="Georgia"/>
                      <w:spacing w:val="-1"/>
                    </w:rPr>
                    <w:t>an</w:t>
                  </w:r>
                  <w:r>
                    <w:rPr>
                      <w:rFonts w:cs="Georgia"/>
                      <w:spacing w:val="1"/>
                    </w:rPr>
                    <w:t>t</w:t>
                  </w:r>
                  <w:r>
                    <w:rPr>
                      <w:rFonts w:cs="Georgia"/>
                      <w:spacing w:val="-1"/>
                    </w:rPr>
                    <w:t>e</w:t>
                  </w:r>
                  <w:r>
                    <w:rPr>
                      <w:rFonts w:cs="Georgia"/>
                    </w:rPr>
                    <w:t>s</w:t>
                  </w:r>
                  <w:r>
                    <w:rPr>
                      <w:rFonts w:cs="Georgia"/>
                      <w:spacing w:val="2"/>
                    </w:rPr>
                    <w:t xml:space="preserve"> </w:t>
                  </w:r>
                  <w:r>
                    <w:rPr>
                      <w:rFonts w:cs="Georgia"/>
                      <w:spacing w:val="1"/>
                    </w:rPr>
                    <w:t>p</w:t>
                  </w:r>
                  <w:r>
                    <w:rPr>
                      <w:rFonts w:cs="Georgia"/>
                      <w:spacing w:val="-1"/>
                    </w:rPr>
                    <w:t>e</w:t>
                  </w:r>
                  <w:r>
                    <w:rPr>
                      <w:rFonts w:cs="Georgia"/>
                    </w:rPr>
                    <w:t>u</w:t>
                  </w:r>
                  <w:r>
                    <w:rPr>
                      <w:rFonts w:cs="Georgia"/>
                      <w:spacing w:val="1"/>
                    </w:rPr>
                    <w:t>v</w:t>
                  </w:r>
                  <w:r>
                    <w:rPr>
                      <w:rFonts w:cs="Georgia"/>
                      <w:spacing w:val="-1"/>
                    </w:rPr>
                    <w:t>en</w:t>
                  </w:r>
                  <w:r>
                    <w:rPr>
                      <w:rFonts w:cs="Georgia"/>
                    </w:rPr>
                    <w:t xml:space="preserve">t </w:t>
                  </w:r>
                  <w:r>
                    <w:rPr>
                      <w:rFonts w:cs="Georgia"/>
                      <w:spacing w:val="-1"/>
                    </w:rPr>
                    <w:t>ê</w:t>
                  </w:r>
                  <w:r>
                    <w:rPr>
                      <w:rFonts w:cs="Georgia"/>
                      <w:spacing w:val="1"/>
                    </w:rPr>
                    <w:t>tr</w:t>
                  </w:r>
                  <w:r>
                    <w:rPr>
                      <w:rFonts w:cs="Georgia"/>
                    </w:rPr>
                    <w:t xml:space="preserve">e </w:t>
                  </w:r>
                  <w:r>
                    <w:rPr>
                      <w:rFonts w:cs="Georgia"/>
                      <w:spacing w:val="1"/>
                    </w:rPr>
                    <w:t>or</w:t>
                  </w:r>
                  <w:r>
                    <w:rPr>
                      <w:rFonts w:cs="Georgia"/>
                    </w:rPr>
                    <w:t>g</w:t>
                  </w:r>
                  <w:r>
                    <w:rPr>
                      <w:rFonts w:cs="Georgia"/>
                      <w:spacing w:val="-1"/>
                    </w:rPr>
                    <w:t>an</w:t>
                  </w:r>
                  <w:r>
                    <w:rPr>
                      <w:rFonts w:cs="Georgia"/>
                    </w:rPr>
                    <w:t>i</w:t>
                  </w:r>
                  <w:r>
                    <w:rPr>
                      <w:rFonts w:cs="Georgia"/>
                      <w:spacing w:val="1"/>
                    </w:rPr>
                    <w:t>s</w:t>
                  </w:r>
                  <w:r>
                    <w:rPr>
                      <w:rFonts w:cs="Georgia"/>
                      <w:spacing w:val="-1"/>
                    </w:rPr>
                    <w:t>ée</w:t>
                  </w:r>
                  <w:r>
                    <w:rPr>
                      <w:rFonts w:cs="Georgia"/>
                    </w:rPr>
                    <w:t>s</w:t>
                  </w:r>
                  <w:r>
                    <w:rPr>
                      <w:rFonts w:cs="Georgia"/>
                      <w:spacing w:val="2"/>
                    </w:rPr>
                    <w:t xml:space="preserve"> </w:t>
                  </w:r>
                  <w:r>
                    <w:rPr>
                      <w:rFonts w:cs="Georgia"/>
                    </w:rPr>
                    <w:t>d</w:t>
                  </w:r>
                  <w:r>
                    <w:rPr>
                      <w:rFonts w:cs="Georgia"/>
                      <w:spacing w:val="-1"/>
                    </w:rPr>
                    <w:t>an</w:t>
                  </w:r>
                  <w:r>
                    <w:rPr>
                      <w:rFonts w:cs="Georgia"/>
                    </w:rPr>
                    <w:t>s</w:t>
                  </w:r>
                  <w:r>
                    <w:rPr>
                      <w:rFonts w:cs="Georgia"/>
                      <w:spacing w:val="2"/>
                    </w:rPr>
                    <w:t xml:space="preserve"> </w:t>
                  </w:r>
                  <w:r>
                    <w:rPr>
                      <w:rFonts w:cs="Georgia"/>
                      <w:spacing w:val="-1"/>
                    </w:rPr>
                    <w:t>l</w:t>
                  </w:r>
                  <w:r>
                    <w:rPr>
                      <w:rFonts w:cs="Georgia"/>
                    </w:rPr>
                    <w:t xml:space="preserve">a </w:t>
                  </w:r>
                  <w:r>
                    <w:rPr>
                      <w:rFonts w:cs="Georgia"/>
                      <w:spacing w:val="1"/>
                    </w:rPr>
                    <w:t>c</w:t>
                  </w:r>
                  <w:r>
                    <w:rPr>
                      <w:rFonts w:cs="Georgia"/>
                      <w:spacing w:val="-1"/>
                    </w:rPr>
                    <w:t>a</w:t>
                  </w:r>
                  <w:r>
                    <w:rPr>
                      <w:rFonts w:cs="Georgia"/>
                      <w:spacing w:val="1"/>
                    </w:rPr>
                    <w:t>t</w:t>
                  </w:r>
                  <w:r>
                    <w:rPr>
                      <w:rFonts w:cs="Georgia"/>
                      <w:spacing w:val="-1"/>
                    </w:rPr>
                    <w:t>é</w:t>
                  </w:r>
                  <w:r>
                    <w:rPr>
                      <w:rFonts w:cs="Georgia"/>
                    </w:rPr>
                    <w:t>g</w:t>
                  </w:r>
                  <w:r>
                    <w:rPr>
                      <w:rFonts w:cs="Georgia"/>
                      <w:spacing w:val="-1"/>
                    </w:rPr>
                    <w:t>o</w:t>
                  </w:r>
                  <w:r>
                    <w:rPr>
                      <w:rFonts w:cs="Georgia"/>
                      <w:spacing w:val="1"/>
                    </w:rPr>
                    <w:t>r</w:t>
                  </w:r>
                  <w:r>
                    <w:rPr>
                      <w:rFonts w:cs="Georgia"/>
                    </w:rPr>
                    <w:t>ie du</w:t>
                  </w:r>
                  <w:r>
                    <w:rPr>
                      <w:rFonts w:cs="Georgia"/>
                      <w:spacing w:val="2"/>
                    </w:rPr>
                    <w:t xml:space="preserve"> </w:t>
                  </w:r>
                  <w:r>
                    <w:rPr>
                      <w:rFonts w:cs="Georgia"/>
                      <w:spacing w:val="1"/>
                    </w:rPr>
                    <w:t>p</w:t>
                  </w:r>
                  <w:r>
                    <w:rPr>
                      <w:rFonts w:cs="Georgia"/>
                      <w:spacing w:val="-1"/>
                    </w:rPr>
                    <w:t>e</w:t>
                  </w:r>
                  <w:r>
                    <w:rPr>
                      <w:rFonts w:cs="Georgia"/>
                      <w:spacing w:val="1"/>
                    </w:rPr>
                    <w:t>r</w:t>
                  </w:r>
                  <w:r>
                    <w:rPr>
                      <w:rFonts w:cs="Georgia"/>
                      <w:spacing w:val="-2"/>
                    </w:rPr>
                    <w:t>s</w:t>
                  </w:r>
                  <w:r>
                    <w:rPr>
                      <w:rFonts w:cs="Georgia"/>
                      <w:spacing w:val="1"/>
                    </w:rPr>
                    <w:t>o</w:t>
                  </w:r>
                  <w:r>
                    <w:rPr>
                      <w:rFonts w:cs="Georgia"/>
                      <w:spacing w:val="-1"/>
                    </w:rPr>
                    <w:t>nne</w:t>
                  </w:r>
                  <w:r>
                    <w:rPr>
                      <w:rFonts w:cs="Georgia"/>
                    </w:rPr>
                    <w:t>l di</w:t>
                  </w:r>
                  <w:r>
                    <w:rPr>
                      <w:rFonts w:cs="Georgia"/>
                      <w:spacing w:val="1"/>
                    </w:rPr>
                    <w:t>r</w:t>
                  </w:r>
                  <w:r>
                    <w:rPr>
                      <w:rFonts w:cs="Georgia"/>
                      <w:spacing w:val="-1"/>
                    </w:rPr>
                    <w:t>e</w:t>
                  </w:r>
                  <w:r>
                    <w:rPr>
                      <w:rFonts w:cs="Georgia"/>
                      <w:spacing w:val="1"/>
                    </w:rPr>
                    <w:t>ct</w:t>
                  </w:r>
                  <w:r>
                    <w:rPr>
                      <w:rFonts w:cs="Georgia"/>
                      <w:spacing w:val="-1"/>
                    </w:rPr>
                    <w:t>e</w:t>
                  </w:r>
                  <w:r>
                    <w:rPr>
                      <w:rFonts w:cs="Georgia"/>
                      <w:spacing w:val="-2"/>
                    </w:rPr>
                    <w:t>u</w:t>
                  </w:r>
                  <w:r>
                    <w:rPr>
                      <w:rFonts w:cs="Georgia"/>
                    </w:rPr>
                    <w:t xml:space="preserve">r </w:t>
                  </w:r>
                  <w:r>
                    <w:rPr>
                      <w:rFonts w:cs="Georgia"/>
                      <w:spacing w:val="-1"/>
                    </w:rPr>
                    <w:t>e</w:t>
                  </w:r>
                  <w:r>
                    <w:rPr>
                      <w:rFonts w:cs="Georgia"/>
                    </w:rPr>
                    <w:t xml:space="preserve">t </w:t>
                  </w:r>
                  <w:r>
                    <w:rPr>
                      <w:rFonts w:cs="Georgia"/>
                      <w:spacing w:val="-1"/>
                    </w:rPr>
                    <w:t>en</w:t>
                  </w:r>
                  <w:r>
                    <w:rPr>
                      <w:rFonts w:cs="Georgia"/>
                      <w:spacing w:val="1"/>
                    </w:rPr>
                    <w:t>s</w:t>
                  </w:r>
                  <w:r>
                    <w:rPr>
                      <w:rFonts w:cs="Georgia"/>
                      <w:spacing w:val="-1"/>
                    </w:rPr>
                    <w:t>e</w:t>
                  </w:r>
                  <w:r>
                    <w:rPr>
                      <w:rFonts w:cs="Georgia"/>
                    </w:rPr>
                    <w:t>ig</w:t>
                  </w:r>
                  <w:r>
                    <w:rPr>
                      <w:rFonts w:cs="Georgia"/>
                      <w:spacing w:val="-1"/>
                    </w:rPr>
                    <w:t>nan</w:t>
                  </w:r>
                  <w:r>
                    <w:rPr>
                      <w:rFonts w:cs="Georgia"/>
                    </w:rPr>
                    <w:t>t :</w:t>
                  </w:r>
                </w:p>
                <w:p w:rsidR="00F04EEF" w:rsidRDefault="00F04EEF">
                  <w:pPr>
                    <w:widowControl w:val="0"/>
                    <w:autoSpaceDE w:val="0"/>
                    <w:autoSpaceDN w:val="0"/>
                    <w:adjustRightInd w:val="0"/>
                    <w:spacing w:before="38" w:line="250" w:lineRule="exact"/>
                    <w:jc w:val="both"/>
                    <w:rPr>
                      <w:rFonts w:cs="Georgia"/>
                    </w:rPr>
                  </w:pPr>
                </w:p>
                <w:p w:rsidR="00F04EEF" w:rsidRDefault="0099351E">
                  <w:pPr>
                    <w:pStyle w:val="Titre6"/>
                  </w:pPr>
                  <w:r>
                    <w:t xml:space="preserve">2.4.2.2 Chef de travaux d'atelier </w:t>
                  </w:r>
                </w:p>
                <w:p w:rsidR="00F04EEF" w:rsidRDefault="00F04EEF">
                  <w:pPr>
                    <w:widowControl w:val="0"/>
                    <w:autoSpaceDE w:val="0"/>
                    <w:autoSpaceDN w:val="0"/>
                    <w:adjustRightInd w:val="0"/>
                    <w:spacing w:before="11" w:line="240" w:lineRule="exact"/>
                    <w:rPr>
                      <w:rFonts w:cs="Georgia"/>
                    </w:rPr>
                  </w:pPr>
                </w:p>
                <w:p w:rsidR="00F04EEF" w:rsidRDefault="0099351E">
                  <w:pPr>
                    <w:widowControl w:val="0"/>
                    <w:autoSpaceDE w:val="0"/>
                    <w:autoSpaceDN w:val="0"/>
                    <w:adjustRightInd w:val="0"/>
                    <w:spacing w:line="250" w:lineRule="exact"/>
                    <w:jc w:val="both"/>
                    <w:rPr>
                      <w:rFonts w:cs="Georgia"/>
                    </w:rPr>
                  </w:pPr>
                  <w:r>
                    <w:rPr>
                      <w:rFonts w:cs="Georgia"/>
                      <w:spacing w:val="1"/>
                    </w:rPr>
                    <w:t>U</w:t>
                  </w:r>
                  <w:r>
                    <w:rPr>
                      <w:rFonts w:cs="Georgia"/>
                    </w:rPr>
                    <w:t>n</w:t>
                  </w:r>
                  <w:r>
                    <w:rPr>
                      <w:rFonts w:cs="Georgia"/>
                      <w:spacing w:val="2"/>
                    </w:rPr>
                    <w:t xml:space="preserve"> </w:t>
                  </w:r>
                  <w:r>
                    <w:rPr>
                      <w:rFonts w:cs="Georgia"/>
                      <w:spacing w:val="-1"/>
                    </w:rPr>
                    <w:t>e</w:t>
                  </w:r>
                  <w:r>
                    <w:rPr>
                      <w:rFonts w:cs="Georgia"/>
                    </w:rPr>
                    <w:t>m</w:t>
                  </w:r>
                  <w:r>
                    <w:rPr>
                      <w:rFonts w:cs="Georgia"/>
                      <w:spacing w:val="1"/>
                    </w:rPr>
                    <w:t>p</w:t>
                  </w:r>
                  <w:r>
                    <w:rPr>
                      <w:rFonts w:cs="Georgia"/>
                      <w:spacing w:val="-3"/>
                    </w:rPr>
                    <w:t>l</w:t>
                  </w:r>
                  <w:r>
                    <w:rPr>
                      <w:rFonts w:cs="Georgia"/>
                      <w:spacing w:val="1"/>
                    </w:rPr>
                    <w:t>o</w:t>
                  </w:r>
                  <w:r>
                    <w:rPr>
                      <w:rFonts w:cs="Georgia"/>
                    </w:rPr>
                    <w:t>i</w:t>
                  </w:r>
                  <w:r>
                    <w:rPr>
                      <w:rFonts w:cs="Georgia"/>
                      <w:spacing w:val="3"/>
                    </w:rPr>
                    <w:t xml:space="preserve"> </w:t>
                  </w:r>
                  <w:r>
                    <w:rPr>
                      <w:rFonts w:cs="Georgia"/>
                    </w:rPr>
                    <w:t xml:space="preserve">de </w:t>
                  </w:r>
                  <w:r>
                    <w:rPr>
                      <w:rFonts w:cs="Georgia"/>
                      <w:spacing w:val="1"/>
                    </w:rPr>
                    <w:t>ch</w:t>
                  </w:r>
                  <w:r>
                    <w:rPr>
                      <w:rFonts w:cs="Georgia"/>
                      <w:spacing w:val="-1"/>
                    </w:rPr>
                    <w:t>e</w:t>
                  </w:r>
                  <w:r>
                    <w:rPr>
                      <w:rFonts w:cs="Georgia"/>
                    </w:rPr>
                    <w:t>f</w:t>
                  </w:r>
                  <w:r>
                    <w:rPr>
                      <w:rFonts w:cs="Georgia"/>
                      <w:spacing w:val="1"/>
                    </w:rPr>
                    <w:t xml:space="preserve"> </w:t>
                  </w:r>
                  <w:r>
                    <w:rPr>
                      <w:rFonts w:cs="Georgia"/>
                    </w:rPr>
                    <w:t>de</w:t>
                  </w:r>
                  <w:r>
                    <w:rPr>
                      <w:rFonts w:cs="Georgia"/>
                      <w:spacing w:val="2"/>
                    </w:rPr>
                    <w:t xml:space="preserve"> </w:t>
                  </w:r>
                  <w:r>
                    <w:rPr>
                      <w:rFonts w:cs="Georgia"/>
                      <w:spacing w:val="1"/>
                    </w:rPr>
                    <w:t>tr</w:t>
                  </w:r>
                  <w:r>
                    <w:rPr>
                      <w:rFonts w:cs="Georgia"/>
                      <w:spacing w:val="-3"/>
                    </w:rPr>
                    <w:t>a</w:t>
                  </w:r>
                  <w:r>
                    <w:rPr>
                      <w:rFonts w:cs="Georgia"/>
                      <w:spacing w:val="1"/>
                    </w:rPr>
                    <w:t>v</w:t>
                  </w:r>
                  <w:r>
                    <w:rPr>
                      <w:rFonts w:cs="Georgia"/>
                      <w:spacing w:val="-1"/>
                    </w:rPr>
                    <w:t>a</w:t>
                  </w:r>
                  <w:r>
                    <w:rPr>
                      <w:rFonts w:cs="Georgia"/>
                    </w:rPr>
                    <w:t>ux</w:t>
                  </w:r>
                  <w:r>
                    <w:rPr>
                      <w:rFonts w:cs="Georgia"/>
                      <w:spacing w:val="2"/>
                    </w:rPr>
                    <w:t xml:space="preserve"> </w:t>
                  </w:r>
                  <w:r>
                    <w:rPr>
                      <w:rFonts w:cs="Georgia"/>
                    </w:rPr>
                    <w:t>d</w:t>
                  </w:r>
                  <w:r>
                    <w:rPr>
                      <w:rFonts w:cs="Georgia"/>
                      <w:spacing w:val="1"/>
                    </w:rPr>
                    <w:t>'</w:t>
                  </w:r>
                  <w:r>
                    <w:rPr>
                      <w:rFonts w:cs="Georgia"/>
                      <w:spacing w:val="-1"/>
                    </w:rPr>
                    <w:t>a</w:t>
                  </w:r>
                  <w:r>
                    <w:rPr>
                      <w:rFonts w:cs="Georgia"/>
                      <w:spacing w:val="1"/>
                    </w:rPr>
                    <w:t>t</w:t>
                  </w:r>
                  <w:r>
                    <w:rPr>
                      <w:rFonts w:cs="Georgia"/>
                      <w:spacing w:val="-1"/>
                    </w:rPr>
                    <w:t>el</w:t>
                  </w:r>
                  <w:r>
                    <w:rPr>
                      <w:rFonts w:cs="Georgia"/>
                    </w:rPr>
                    <w:t>i</w:t>
                  </w:r>
                  <w:r>
                    <w:rPr>
                      <w:rFonts w:cs="Georgia"/>
                      <w:spacing w:val="-1"/>
                    </w:rPr>
                    <w:t>e</w:t>
                  </w:r>
                  <w:r>
                    <w:rPr>
                      <w:rFonts w:cs="Georgia"/>
                    </w:rPr>
                    <w:t>r</w:t>
                  </w:r>
                  <w:r>
                    <w:rPr>
                      <w:rFonts w:cs="Georgia"/>
                      <w:spacing w:val="2"/>
                    </w:rPr>
                    <w:t xml:space="preserve"> </w:t>
                  </w:r>
                  <w:r>
                    <w:rPr>
                      <w:rFonts w:cs="Georgia"/>
                      <w:spacing w:val="1"/>
                    </w:rPr>
                    <w:t>p</w:t>
                  </w:r>
                  <w:r>
                    <w:rPr>
                      <w:rFonts w:cs="Georgia"/>
                      <w:spacing w:val="-1"/>
                    </w:rPr>
                    <w:t>e</w:t>
                  </w:r>
                  <w:r>
                    <w:rPr>
                      <w:rFonts w:cs="Georgia"/>
                    </w:rPr>
                    <w:t>ut</w:t>
                  </w:r>
                  <w:r>
                    <w:rPr>
                      <w:rFonts w:cs="Georgia"/>
                      <w:spacing w:val="4"/>
                    </w:rPr>
                    <w:t xml:space="preserve"> </w:t>
                  </w:r>
                  <w:r>
                    <w:rPr>
                      <w:rFonts w:cs="Georgia"/>
                      <w:spacing w:val="-1"/>
                    </w:rPr>
                    <w:t>ê</w:t>
                  </w:r>
                  <w:r>
                    <w:rPr>
                      <w:rFonts w:cs="Georgia"/>
                      <w:spacing w:val="-2"/>
                    </w:rPr>
                    <w:t>t</w:t>
                  </w:r>
                  <w:r>
                    <w:rPr>
                      <w:rFonts w:cs="Georgia"/>
                      <w:spacing w:val="1"/>
                    </w:rPr>
                    <w:t>r</w:t>
                  </w:r>
                  <w:r>
                    <w:rPr>
                      <w:rFonts w:cs="Georgia"/>
                    </w:rPr>
                    <w:t>e</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rPr>
                    <w:t>é</w:t>
                  </w:r>
                  <w:r>
                    <w:rPr>
                      <w:rFonts w:cs="Georgia"/>
                      <w:spacing w:val="2"/>
                    </w:rPr>
                    <w:t xml:space="preserve"> </w:t>
                  </w:r>
                  <w:r>
                    <w:rPr>
                      <w:rFonts w:cs="Georgia"/>
                      <w:spacing w:val="-1"/>
                    </w:rPr>
                    <w:t>o</w:t>
                  </w:r>
                  <w:r>
                    <w:rPr>
                      <w:rFonts w:cs="Georgia"/>
                    </w:rPr>
                    <w:t>u</w:t>
                  </w:r>
                  <w:r>
                    <w:rPr>
                      <w:rFonts w:cs="Georgia"/>
                      <w:spacing w:val="4"/>
                    </w:rPr>
                    <w:t xml:space="preserve"> </w:t>
                  </w:r>
                  <w:r>
                    <w:rPr>
                      <w:rFonts w:cs="Georgia"/>
                      <w:spacing w:val="-2"/>
                    </w:rPr>
                    <w:t>s</w:t>
                  </w:r>
                  <w:r>
                    <w:rPr>
                      <w:rFonts w:cs="Georgia"/>
                    </w:rPr>
                    <w:t>u</w:t>
                  </w:r>
                  <w:r>
                    <w:rPr>
                      <w:rFonts w:cs="Georgia"/>
                      <w:spacing w:val="-1"/>
                    </w:rPr>
                    <w:t>b</w:t>
                  </w:r>
                  <w:r>
                    <w:rPr>
                      <w:rFonts w:cs="Georgia"/>
                      <w:spacing w:val="1"/>
                    </w:rPr>
                    <w:t>v</w:t>
                  </w:r>
                  <w:r>
                    <w:rPr>
                      <w:rFonts w:cs="Georgia"/>
                      <w:spacing w:val="-1"/>
                    </w:rPr>
                    <w:t>en</w:t>
                  </w:r>
                  <w:r>
                    <w:rPr>
                      <w:rFonts w:cs="Georgia"/>
                      <w:spacing w:val="1"/>
                    </w:rPr>
                    <w:t>t</w:t>
                  </w:r>
                  <w:r>
                    <w:rPr>
                      <w:rFonts w:cs="Georgia"/>
                    </w:rPr>
                    <w:t>i</w:t>
                  </w:r>
                  <w:r>
                    <w:rPr>
                      <w:rFonts w:cs="Georgia"/>
                      <w:spacing w:val="1"/>
                    </w:rPr>
                    <w:t>o</w:t>
                  </w:r>
                  <w:r>
                    <w:rPr>
                      <w:rFonts w:cs="Georgia"/>
                      <w:spacing w:val="-1"/>
                    </w:rPr>
                    <w:t>nn</w:t>
                  </w:r>
                  <w:r>
                    <w:rPr>
                      <w:rFonts w:cs="Georgia"/>
                    </w:rPr>
                    <w:t xml:space="preserve">é </w:t>
                  </w:r>
                  <w:r>
                    <w:rPr>
                      <w:rFonts w:cs="Georgia"/>
                      <w:spacing w:val="1"/>
                    </w:rPr>
                    <w:t>ch</w:t>
                  </w:r>
                  <w:r>
                    <w:rPr>
                      <w:rFonts w:cs="Georgia"/>
                      <w:spacing w:val="-1"/>
                    </w:rPr>
                    <w:t>aq</w:t>
                  </w:r>
                  <w:r>
                    <w:rPr>
                      <w:rFonts w:cs="Georgia"/>
                    </w:rPr>
                    <w:t>ue</w:t>
                  </w:r>
                  <w:r>
                    <w:rPr>
                      <w:rFonts w:cs="Georgia"/>
                      <w:spacing w:val="2"/>
                    </w:rPr>
                    <w:t xml:space="preserve"> </w:t>
                  </w:r>
                  <w:r>
                    <w:rPr>
                      <w:rFonts w:cs="Georgia"/>
                    </w:rPr>
                    <w:t>f</w:t>
                  </w:r>
                  <w:r>
                    <w:rPr>
                      <w:rFonts w:cs="Georgia"/>
                      <w:spacing w:val="-1"/>
                    </w:rPr>
                    <w:t>o</w:t>
                  </w:r>
                  <w:r>
                    <w:rPr>
                      <w:rFonts w:cs="Georgia"/>
                    </w:rPr>
                    <w:t>is</w:t>
                  </w:r>
                  <w:r>
                    <w:rPr>
                      <w:rFonts w:cs="Georgia"/>
                      <w:spacing w:val="4"/>
                    </w:rPr>
                    <w:t xml:space="preserve"> </w:t>
                  </w:r>
                  <w:r>
                    <w:rPr>
                      <w:rFonts w:cs="Georgia"/>
                      <w:spacing w:val="-1"/>
                    </w:rPr>
                    <w:t>q</w:t>
                  </w:r>
                  <w:r>
                    <w:rPr>
                      <w:rFonts w:cs="Georgia"/>
                    </w:rPr>
                    <w:t>u</w:t>
                  </w:r>
                  <w:r>
                    <w:rPr>
                      <w:rFonts w:cs="Georgia"/>
                      <w:spacing w:val="1"/>
                    </w:rPr>
                    <w:t>'</w:t>
                  </w:r>
                  <w:r>
                    <w:rPr>
                      <w:rFonts w:cs="Georgia"/>
                      <w:spacing w:val="-1"/>
                    </w:rPr>
                    <w:t>ex</w:t>
                  </w:r>
                  <w:r>
                    <w:rPr>
                      <w:rFonts w:cs="Georgia"/>
                    </w:rPr>
                    <w:t>i</w:t>
                  </w:r>
                  <w:r>
                    <w:rPr>
                      <w:rFonts w:cs="Georgia"/>
                      <w:spacing w:val="-2"/>
                    </w:rPr>
                    <w:t>s</w:t>
                  </w:r>
                  <w:r>
                    <w:rPr>
                      <w:rFonts w:cs="Georgia"/>
                      <w:spacing w:val="1"/>
                    </w:rPr>
                    <w:t>t</w:t>
                  </w:r>
                  <w:r>
                    <w:rPr>
                      <w:rFonts w:cs="Georgia"/>
                      <w:spacing w:val="-1"/>
                    </w:rPr>
                    <w:t>en</w:t>
                  </w:r>
                  <w:r>
                    <w:rPr>
                      <w:rFonts w:cs="Georgia"/>
                    </w:rPr>
                    <w:t xml:space="preserve">t </w:t>
                  </w:r>
                  <w:r>
                    <w:rPr>
                      <w:rFonts w:cs="Georgia"/>
                      <w:spacing w:val="1"/>
                    </w:rPr>
                    <w:t>tr</w:t>
                  </w:r>
                  <w:r>
                    <w:rPr>
                      <w:rFonts w:cs="Georgia"/>
                      <w:spacing w:val="-1"/>
                    </w:rPr>
                    <w:t>o</w:t>
                  </w:r>
                  <w:r>
                    <w:rPr>
                      <w:rFonts w:cs="Georgia"/>
                    </w:rPr>
                    <w:t xml:space="preserve">is </w:t>
                  </w:r>
                  <w:r>
                    <w:rPr>
                      <w:rFonts w:cs="Georgia"/>
                      <w:spacing w:val="-1"/>
                    </w:rPr>
                    <w:t>e</w:t>
                  </w:r>
                  <w:r>
                    <w:rPr>
                      <w:rFonts w:cs="Georgia"/>
                    </w:rPr>
                    <w:t>m</w:t>
                  </w:r>
                  <w:r>
                    <w:rPr>
                      <w:rFonts w:cs="Georgia"/>
                      <w:spacing w:val="1"/>
                    </w:rPr>
                    <w:t>p</w:t>
                  </w:r>
                  <w:r>
                    <w:rPr>
                      <w:rFonts w:cs="Georgia"/>
                      <w:spacing w:val="-3"/>
                    </w:rPr>
                    <w:t>l</w:t>
                  </w:r>
                  <w:r>
                    <w:rPr>
                      <w:rFonts w:cs="Georgia"/>
                      <w:spacing w:val="1"/>
                    </w:rPr>
                    <w:t>o</w:t>
                  </w:r>
                  <w:r>
                    <w:rPr>
                      <w:rFonts w:cs="Georgia"/>
                    </w:rPr>
                    <w:t>is de</w:t>
                  </w:r>
                  <w:r>
                    <w:rPr>
                      <w:rFonts w:cs="Georgia"/>
                      <w:spacing w:val="-1"/>
                    </w:rPr>
                    <w:t xml:space="preserve"> </w:t>
                  </w:r>
                  <w:r>
                    <w:rPr>
                      <w:rFonts w:cs="Georgia"/>
                      <w:spacing w:val="-2"/>
                    </w:rPr>
                    <w:t>c</w:t>
                  </w:r>
                  <w:r>
                    <w:rPr>
                      <w:rFonts w:cs="Georgia"/>
                      <w:spacing w:val="1"/>
                    </w:rPr>
                    <w:t>h</w:t>
                  </w:r>
                  <w:r>
                    <w:rPr>
                      <w:rFonts w:cs="Georgia"/>
                      <w:spacing w:val="-1"/>
                    </w:rPr>
                    <w:t>e</w:t>
                  </w:r>
                  <w:r>
                    <w:rPr>
                      <w:rFonts w:cs="Georgia"/>
                    </w:rPr>
                    <w:t>f d</w:t>
                  </w:r>
                  <w:r>
                    <w:rPr>
                      <w:rFonts w:cs="Georgia"/>
                      <w:spacing w:val="1"/>
                    </w:rPr>
                    <w:t>'</w:t>
                  </w:r>
                  <w:r>
                    <w:rPr>
                      <w:rFonts w:cs="Georgia"/>
                      <w:spacing w:val="-3"/>
                    </w:rPr>
                    <w:t>a</w:t>
                  </w:r>
                  <w:r>
                    <w:rPr>
                      <w:rFonts w:cs="Georgia"/>
                      <w:spacing w:val="-2"/>
                    </w:rPr>
                    <w:t>t</w:t>
                  </w:r>
                  <w:r>
                    <w:rPr>
                      <w:rFonts w:cs="Georgia"/>
                      <w:spacing w:val="-1"/>
                    </w:rPr>
                    <w:t>el</w:t>
                  </w:r>
                  <w:r>
                    <w:rPr>
                      <w:rFonts w:cs="Georgia"/>
                    </w:rPr>
                    <w:t>i</w:t>
                  </w:r>
                  <w:r>
                    <w:rPr>
                      <w:rFonts w:cs="Georgia"/>
                      <w:spacing w:val="-1"/>
                    </w:rPr>
                    <w:t>e</w:t>
                  </w:r>
                  <w:r>
                    <w:rPr>
                      <w:rFonts w:cs="Georgia"/>
                      <w:spacing w:val="1"/>
                    </w:rPr>
                    <w:t>r</w:t>
                  </w:r>
                  <w:r>
                    <w:rPr>
                      <w:rFonts w:cs="Georgia"/>
                    </w:rPr>
                    <w:t>.</w:t>
                  </w:r>
                </w:p>
                <w:p w:rsidR="00F04EEF" w:rsidRDefault="00F04EEF">
                  <w:pPr>
                    <w:widowControl w:val="0"/>
                    <w:autoSpaceDE w:val="0"/>
                    <w:autoSpaceDN w:val="0"/>
                    <w:adjustRightInd w:val="0"/>
                    <w:spacing w:line="250" w:lineRule="exact"/>
                    <w:jc w:val="both"/>
                    <w:rPr>
                      <w:rFonts w:cs="Georgia"/>
                    </w:rPr>
                  </w:pPr>
                </w:p>
                <w:p w:rsidR="00F04EEF" w:rsidRDefault="0099351E">
                  <w:pPr>
                    <w:jc w:val="both"/>
                    <w:rPr>
                      <w:rFonts w:cs="Georgia"/>
                    </w:rPr>
                  </w:pPr>
                  <w:r>
                    <w:rPr>
                      <w:rFonts w:cs="Georgia"/>
                    </w:rPr>
                    <w:t>En conséquence, lorsqu’un établissement scolaire compte 3 emplois de chef d’atelier, elle peut recruter un chef de travaux d’atelier qui viendra s’ajouter aux 3 emplois de chef d’atelier.</w:t>
                  </w:r>
                </w:p>
                <w:p w:rsidR="00F04EEF" w:rsidRDefault="00F04EEF">
                  <w:pPr>
                    <w:widowControl w:val="0"/>
                    <w:autoSpaceDE w:val="0"/>
                    <w:autoSpaceDN w:val="0"/>
                    <w:adjustRightInd w:val="0"/>
                    <w:spacing w:before="7" w:line="240" w:lineRule="exact"/>
                    <w:rPr>
                      <w:rFonts w:cs="Georgia"/>
                      <w:i/>
                    </w:rPr>
                  </w:pPr>
                </w:p>
                <w:p w:rsidR="00F04EEF" w:rsidRDefault="0099351E">
                  <w:pPr>
                    <w:widowControl w:val="0"/>
                    <w:autoSpaceDE w:val="0"/>
                    <w:autoSpaceDN w:val="0"/>
                    <w:adjustRightInd w:val="0"/>
                    <w:spacing w:line="241" w:lineRule="auto"/>
                    <w:jc w:val="both"/>
                    <w:rPr>
                      <w:rFonts w:cs="Georgia"/>
                    </w:rPr>
                  </w:pPr>
                  <w:r>
                    <w:rPr>
                      <w:rFonts w:cs="Georgia"/>
                      <w:spacing w:val="1"/>
                    </w:rPr>
                    <w:t>U</w:t>
                  </w:r>
                  <w:r>
                    <w:rPr>
                      <w:rFonts w:cs="Georgia"/>
                    </w:rPr>
                    <w:t>n</w:t>
                  </w:r>
                  <w:r>
                    <w:rPr>
                      <w:rFonts w:cs="Georgia"/>
                      <w:spacing w:val="3"/>
                    </w:rPr>
                    <w:t xml:space="preserve"> </w:t>
                  </w:r>
                  <w:r>
                    <w:rPr>
                      <w:rFonts w:cs="Georgia"/>
                      <w:spacing w:val="-1"/>
                    </w:rPr>
                    <w:t>n</w:t>
                  </w:r>
                  <w:r>
                    <w:rPr>
                      <w:rFonts w:cs="Georgia"/>
                      <w:spacing w:val="1"/>
                    </w:rPr>
                    <w:t>o</w:t>
                  </w:r>
                  <w:r>
                    <w:rPr>
                      <w:rFonts w:cs="Georgia"/>
                      <w:spacing w:val="-2"/>
                    </w:rPr>
                    <w:t>u</w:t>
                  </w:r>
                  <w:r>
                    <w:rPr>
                      <w:rFonts w:cs="Georgia"/>
                      <w:spacing w:val="1"/>
                    </w:rPr>
                    <w:t>v</w:t>
                  </w:r>
                  <w:r>
                    <w:rPr>
                      <w:rFonts w:cs="Georgia"/>
                      <w:spacing w:val="-1"/>
                    </w:rPr>
                    <w:t>ea</w:t>
                  </w:r>
                  <w:r>
                    <w:rPr>
                      <w:rFonts w:cs="Georgia"/>
                    </w:rPr>
                    <w:t>u</w:t>
                  </w:r>
                  <w:r>
                    <w:rPr>
                      <w:rFonts w:cs="Georgia"/>
                      <w:spacing w:val="4"/>
                    </w:rPr>
                    <w:t xml:space="preserve"> </w:t>
                  </w:r>
                  <w:r>
                    <w:rPr>
                      <w:rFonts w:cs="Georgia"/>
                      <w:spacing w:val="1"/>
                    </w:rPr>
                    <w:t>c</w:t>
                  </w:r>
                  <w:r>
                    <w:rPr>
                      <w:rFonts w:cs="Georgia"/>
                      <w:spacing w:val="-1"/>
                    </w:rPr>
                    <w:t>al</w:t>
                  </w:r>
                  <w:r>
                    <w:rPr>
                      <w:rFonts w:cs="Georgia"/>
                      <w:spacing w:val="1"/>
                    </w:rPr>
                    <w:t>c</w:t>
                  </w:r>
                  <w:r>
                    <w:rPr>
                      <w:rFonts w:cs="Georgia"/>
                    </w:rPr>
                    <w:t>ul de</w:t>
                  </w:r>
                  <w:r>
                    <w:rPr>
                      <w:rFonts w:cs="Georgia"/>
                      <w:spacing w:val="2"/>
                    </w:rPr>
                    <w:t xml:space="preserve"> </w:t>
                  </w:r>
                  <w:r>
                    <w:rPr>
                      <w:rFonts w:cs="Georgia"/>
                      <w:spacing w:val="-1"/>
                    </w:rPr>
                    <w:t>l</w:t>
                  </w:r>
                  <w:r>
                    <w:rPr>
                      <w:rFonts w:cs="Georgia"/>
                    </w:rPr>
                    <w:t>’</w:t>
                  </w:r>
                  <w:r>
                    <w:rPr>
                      <w:rFonts w:cs="Georgia"/>
                      <w:spacing w:val="-1"/>
                    </w:rPr>
                    <w:t>en</w:t>
                  </w:r>
                  <w:r>
                    <w:rPr>
                      <w:rFonts w:cs="Georgia"/>
                      <w:spacing w:val="1"/>
                    </w:rPr>
                    <w:t>c</w:t>
                  </w:r>
                  <w:r>
                    <w:rPr>
                      <w:rFonts w:cs="Georgia"/>
                      <w:spacing w:val="-1"/>
                    </w:rPr>
                    <w:t>a</w:t>
                  </w:r>
                  <w:r>
                    <w:rPr>
                      <w:rFonts w:cs="Georgia"/>
                    </w:rPr>
                    <w:t>d</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4"/>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spacing w:val="1"/>
                    </w:rPr>
                    <w:t>r</w:t>
                  </w:r>
                  <w:r>
                    <w:rPr>
                      <w:rFonts w:cs="Georgia"/>
                      <w:spacing w:val="-1"/>
                    </w:rPr>
                    <w:t>éal</w:t>
                  </w:r>
                  <w:r>
                    <w:rPr>
                      <w:rFonts w:cs="Georgia"/>
                    </w:rPr>
                    <w:t>i</w:t>
                  </w:r>
                  <w:r>
                    <w:rPr>
                      <w:rFonts w:cs="Georgia"/>
                      <w:spacing w:val="1"/>
                    </w:rPr>
                    <w:t>s</w:t>
                  </w:r>
                  <w:r>
                    <w:rPr>
                      <w:rFonts w:cs="Georgia"/>
                    </w:rPr>
                    <w:t>é</w:t>
                  </w:r>
                  <w:r>
                    <w:rPr>
                      <w:rFonts w:cs="Georgia"/>
                      <w:spacing w:val="2"/>
                    </w:rPr>
                    <w:t xml:space="preserve"> </w:t>
                  </w:r>
                  <w:r>
                    <w:rPr>
                      <w:rFonts w:cs="Georgia"/>
                      <w:spacing w:val="-1"/>
                    </w:rPr>
                    <w:t>l</w:t>
                  </w:r>
                  <w:r>
                    <w:rPr>
                      <w:rFonts w:cs="Georgia"/>
                    </w:rPr>
                    <w:t>e</w:t>
                  </w:r>
                  <w:r>
                    <w:rPr>
                      <w:rFonts w:cs="Georgia"/>
                      <w:spacing w:val="2"/>
                    </w:rPr>
                    <w:t xml:space="preserve"> </w:t>
                  </w:r>
                  <w:r>
                    <w:rPr>
                      <w:rFonts w:cs="Georgia"/>
                      <w:spacing w:val="1"/>
                    </w:rPr>
                    <w:t>1</w:t>
                  </w:r>
                  <w:r>
                    <w:rPr>
                      <w:rFonts w:cs="Georgia"/>
                      <w:spacing w:val="-1"/>
                    </w:rPr>
                    <w:t>e</w:t>
                  </w:r>
                  <w:r>
                    <w:rPr>
                      <w:rFonts w:cs="Georgia"/>
                    </w:rPr>
                    <w:t>r</w:t>
                  </w:r>
                  <w:r>
                    <w:rPr>
                      <w:rFonts w:cs="Georgia"/>
                      <w:spacing w:val="4"/>
                    </w:rPr>
                    <w:t xml:space="preserve"> </w:t>
                  </w:r>
                  <w:r>
                    <w:rPr>
                      <w:rFonts w:cs="Georgia"/>
                      <w:spacing w:val="-1"/>
                    </w:rPr>
                    <w:t>o</w:t>
                  </w:r>
                  <w:r>
                    <w:rPr>
                      <w:rFonts w:cs="Georgia"/>
                      <w:spacing w:val="1"/>
                    </w:rPr>
                    <w:t>c</w:t>
                  </w:r>
                  <w:r>
                    <w:rPr>
                      <w:rFonts w:cs="Georgia"/>
                      <w:spacing w:val="-2"/>
                    </w:rPr>
                    <w:t>t</w:t>
                  </w:r>
                  <w:r>
                    <w:rPr>
                      <w:rFonts w:cs="Georgia"/>
                      <w:spacing w:val="1"/>
                    </w:rPr>
                    <w:t>o</w:t>
                  </w:r>
                  <w:r>
                    <w:rPr>
                      <w:rFonts w:cs="Georgia"/>
                      <w:spacing w:val="-1"/>
                    </w:rPr>
                    <w:t>b</w:t>
                  </w:r>
                  <w:r>
                    <w:rPr>
                      <w:rFonts w:cs="Georgia"/>
                      <w:spacing w:val="1"/>
                    </w:rPr>
                    <w:t>r</w:t>
                  </w:r>
                  <w:r>
                    <w:rPr>
                      <w:rFonts w:cs="Georgia"/>
                    </w:rPr>
                    <w:t>e</w:t>
                  </w:r>
                  <w:r>
                    <w:rPr>
                      <w:rFonts w:cs="Georgia"/>
                      <w:spacing w:val="2"/>
                    </w:rPr>
                    <w:t xml:space="preserve"> </w:t>
                  </w:r>
                  <w:r>
                    <w:rPr>
                      <w:rFonts w:cs="Georgia"/>
                      <w:spacing w:val="1"/>
                    </w:rPr>
                    <w:t>s</w:t>
                  </w:r>
                  <w:r>
                    <w:rPr>
                      <w:rFonts w:cs="Georgia"/>
                    </w:rPr>
                    <w:t>i</w:t>
                  </w:r>
                  <w:r>
                    <w:rPr>
                      <w:rFonts w:cs="Georgia"/>
                      <w:spacing w:val="1"/>
                    </w:rPr>
                    <w:t xml:space="preserve"> </w:t>
                  </w:r>
                  <w:r>
                    <w:rPr>
                      <w:rFonts w:cs="Georgia"/>
                      <w:spacing w:val="-1"/>
                    </w:rPr>
                    <w:t>l</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3"/>
                    </w:rPr>
                    <w:t xml:space="preserve"> </w:t>
                  </w:r>
                  <w:r>
                    <w:rPr>
                      <w:rFonts w:cs="Georgia"/>
                      <w:spacing w:val="-1"/>
                    </w:rPr>
                    <w:t>a</w:t>
                  </w:r>
                  <w:r>
                    <w:rPr>
                      <w:rFonts w:cs="Georgia"/>
                    </w:rPr>
                    <w:t>u</w:t>
                  </w:r>
                  <w:r>
                    <w:rPr>
                      <w:rFonts w:cs="Georgia"/>
                      <w:spacing w:val="1"/>
                    </w:rPr>
                    <w:t xml:space="preserve"> 3</w:t>
                  </w:r>
                  <w:r>
                    <w:rPr>
                      <w:rFonts w:cs="Georgia"/>
                    </w:rPr>
                    <w:t>0</w:t>
                  </w:r>
                  <w:r>
                    <w:rPr>
                      <w:rFonts w:cs="Georgia"/>
                      <w:spacing w:val="2"/>
                    </w:rPr>
                    <w:t xml:space="preserve"> </w:t>
                  </w:r>
                  <w:r>
                    <w:rPr>
                      <w:rFonts w:cs="Georgia"/>
                      <w:spacing w:val="1"/>
                    </w:rPr>
                    <w:t>s</w:t>
                  </w:r>
                  <w:r>
                    <w:rPr>
                      <w:rFonts w:cs="Georgia"/>
                      <w:spacing w:val="-1"/>
                    </w:rPr>
                    <w:t>ep</w:t>
                  </w:r>
                  <w:r>
                    <w:rPr>
                      <w:rFonts w:cs="Georgia"/>
                      <w:spacing w:val="1"/>
                    </w:rPr>
                    <w:t>t</w:t>
                  </w:r>
                  <w:r>
                    <w:rPr>
                      <w:rFonts w:cs="Georgia"/>
                      <w:spacing w:val="-1"/>
                    </w:rPr>
                    <w:t>e</w:t>
                  </w:r>
                  <w:r>
                    <w:rPr>
                      <w:rFonts w:cs="Georgia"/>
                    </w:rPr>
                    <w:t>m</w:t>
                  </w:r>
                  <w:r>
                    <w:rPr>
                      <w:rFonts w:cs="Georgia"/>
                      <w:spacing w:val="-1"/>
                    </w:rPr>
                    <w:t>b</w:t>
                  </w:r>
                  <w:r>
                    <w:rPr>
                      <w:rFonts w:cs="Georgia"/>
                      <w:spacing w:val="1"/>
                    </w:rPr>
                    <w:t>r</w:t>
                  </w:r>
                  <w:r>
                    <w:rPr>
                      <w:rFonts w:cs="Georgia"/>
                    </w:rPr>
                    <w:t xml:space="preserve">e a </w:t>
                  </w:r>
                  <w:r>
                    <w:rPr>
                      <w:rFonts w:cs="Georgia"/>
                      <w:spacing w:val="1"/>
                    </w:rPr>
                    <w:t>v</w:t>
                  </w:r>
                  <w:r>
                    <w:rPr>
                      <w:rFonts w:cs="Georgia"/>
                      <w:spacing w:val="-1"/>
                    </w:rPr>
                    <w:t>a</w:t>
                  </w:r>
                  <w:r>
                    <w:rPr>
                      <w:rFonts w:cs="Georgia"/>
                      <w:spacing w:val="1"/>
                    </w:rPr>
                    <w:t>r</w:t>
                  </w:r>
                  <w:r>
                    <w:rPr>
                      <w:rFonts w:cs="Georgia"/>
                    </w:rPr>
                    <w:t>ié</w:t>
                  </w:r>
                  <w:r>
                    <w:rPr>
                      <w:rFonts w:cs="Georgia"/>
                      <w:spacing w:val="-1"/>
                    </w:rPr>
                    <w:t xml:space="preserve"> </w:t>
                  </w:r>
                  <w:r>
                    <w:rPr>
                      <w:rFonts w:cs="Georgia"/>
                    </w:rPr>
                    <w:t>d’</w:t>
                  </w:r>
                  <w:r>
                    <w:rPr>
                      <w:rFonts w:cs="Georgia"/>
                      <w:spacing w:val="-1"/>
                    </w:rPr>
                    <w:t>a</w:t>
                  </w:r>
                  <w:r>
                    <w:rPr>
                      <w:rFonts w:cs="Georgia"/>
                    </w:rPr>
                    <w:t xml:space="preserve">u </w:t>
                  </w:r>
                  <w:r>
                    <w:rPr>
                      <w:rFonts w:cs="Georgia"/>
                      <w:spacing w:val="-3"/>
                    </w:rPr>
                    <w:t>m</w:t>
                  </w:r>
                  <w:r>
                    <w:rPr>
                      <w:rFonts w:cs="Georgia"/>
                      <w:spacing w:val="1"/>
                    </w:rPr>
                    <w:t>o</w:t>
                  </w:r>
                  <w:r>
                    <w:rPr>
                      <w:rFonts w:cs="Georgia"/>
                    </w:rPr>
                    <w:t>i</w:t>
                  </w:r>
                  <w:r>
                    <w:rPr>
                      <w:rFonts w:cs="Georgia"/>
                      <w:spacing w:val="-1"/>
                    </w:rPr>
                    <w:t>n</w:t>
                  </w:r>
                  <w:r>
                    <w:rPr>
                      <w:rFonts w:cs="Georgia"/>
                    </w:rPr>
                    <w:t>s</w:t>
                  </w:r>
                  <w:r>
                    <w:rPr>
                      <w:rFonts w:cs="Georgia"/>
                      <w:spacing w:val="-2"/>
                    </w:rPr>
                    <w:t xml:space="preserve"> </w:t>
                  </w:r>
                  <w:r>
                    <w:rPr>
                      <w:rFonts w:cs="Georgia"/>
                    </w:rPr>
                    <w:t>5</w:t>
                  </w:r>
                  <w:r>
                    <w:rPr>
                      <w:rFonts w:cs="Georgia"/>
                      <w:spacing w:val="1"/>
                    </w:rPr>
                    <w:t xml:space="preserve"> </w:t>
                  </w:r>
                  <w:r>
                    <w:rPr>
                      <w:rFonts w:cs="Georgia"/>
                    </w:rPr>
                    <w:t>%</w:t>
                  </w:r>
                  <w:r>
                    <w:rPr>
                      <w:rFonts w:cs="Georgia"/>
                      <w:spacing w:val="-1"/>
                    </w:rPr>
                    <w:t xml:space="preserve"> </w:t>
                  </w:r>
                  <w:r>
                    <w:rPr>
                      <w:rFonts w:cs="Georgia"/>
                      <w:spacing w:val="1"/>
                    </w:rPr>
                    <w:t>p</w:t>
                  </w:r>
                  <w:r>
                    <w:rPr>
                      <w:rFonts w:cs="Georgia"/>
                      <w:spacing w:val="-1"/>
                    </w:rPr>
                    <w:t>a</w:t>
                  </w:r>
                  <w:r>
                    <w:rPr>
                      <w:rFonts w:cs="Georgia"/>
                    </w:rPr>
                    <w:t>r</w:t>
                  </w:r>
                  <w:r>
                    <w:rPr>
                      <w:rFonts w:cs="Georgia"/>
                      <w:spacing w:val="-2"/>
                    </w:rPr>
                    <w:t xml:space="preserve"> </w:t>
                  </w:r>
                  <w:r>
                    <w:rPr>
                      <w:rFonts w:cs="Georgia"/>
                      <w:spacing w:val="1"/>
                    </w:rPr>
                    <w:t>r</w:t>
                  </w:r>
                  <w:r>
                    <w:rPr>
                      <w:rFonts w:cs="Georgia"/>
                      <w:spacing w:val="-1"/>
                    </w:rPr>
                    <w:t>ap</w:t>
                  </w:r>
                  <w:r>
                    <w:rPr>
                      <w:rFonts w:cs="Georgia"/>
                      <w:spacing w:val="1"/>
                    </w:rPr>
                    <w:t>p</w:t>
                  </w:r>
                  <w:r>
                    <w:rPr>
                      <w:rFonts w:cs="Georgia"/>
                      <w:spacing w:val="-1"/>
                    </w:rPr>
                    <w:t>o</w:t>
                  </w:r>
                  <w:r>
                    <w:rPr>
                      <w:rFonts w:cs="Georgia"/>
                      <w:spacing w:val="1"/>
                    </w:rPr>
                    <w:t>r</w:t>
                  </w:r>
                  <w:r>
                    <w:rPr>
                      <w:rFonts w:cs="Georgia"/>
                    </w:rPr>
                    <w:t>t à</w:t>
                  </w:r>
                  <w:r>
                    <w:rPr>
                      <w:rFonts w:cs="Georgia"/>
                      <w:spacing w:val="-1"/>
                    </w:rPr>
                    <w:t xml:space="preserve"> </w:t>
                  </w:r>
                  <w:r>
                    <w:rPr>
                      <w:rFonts w:cs="Georgia"/>
                      <w:spacing w:val="1"/>
                    </w:rPr>
                    <w:t>c</w:t>
                  </w:r>
                  <w:r>
                    <w:rPr>
                      <w:rFonts w:cs="Georgia"/>
                      <w:spacing w:val="-1"/>
                    </w:rPr>
                    <w:t>ell</w:t>
                  </w:r>
                  <w:r>
                    <w:rPr>
                      <w:rFonts w:cs="Georgia"/>
                    </w:rPr>
                    <w:t>e</w:t>
                  </w:r>
                  <w:r>
                    <w:rPr>
                      <w:rFonts w:cs="Georgia"/>
                      <w:spacing w:val="-1"/>
                    </w:rPr>
                    <w:t xml:space="preserve"> </w:t>
                  </w:r>
                  <w:r>
                    <w:rPr>
                      <w:rFonts w:cs="Georgia"/>
                    </w:rPr>
                    <w:t xml:space="preserve">du </w:t>
                  </w:r>
                  <w:r>
                    <w:rPr>
                      <w:rFonts w:cs="Georgia"/>
                      <w:spacing w:val="1"/>
                    </w:rPr>
                    <w:t>1</w:t>
                  </w:r>
                  <w:r>
                    <w:rPr>
                      <w:rFonts w:cs="Georgia"/>
                    </w:rPr>
                    <w:t>5</w:t>
                  </w:r>
                  <w:r>
                    <w:rPr>
                      <w:rFonts w:cs="Georgia"/>
                      <w:spacing w:val="1"/>
                    </w:rPr>
                    <w:t xml:space="preserve"> </w:t>
                  </w:r>
                  <w:r>
                    <w:rPr>
                      <w:rFonts w:cs="Georgia"/>
                    </w:rPr>
                    <w:t>j</w:t>
                  </w:r>
                  <w:r>
                    <w:rPr>
                      <w:rFonts w:cs="Georgia"/>
                      <w:spacing w:val="-1"/>
                    </w:rPr>
                    <w:t>a</w:t>
                  </w:r>
                  <w:r>
                    <w:rPr>
                      <w:rFonts w:cs="Georgia"/>
                      <w:spacing w:val="-3"/>
                    </w:rPr>
                    <w:t>n</w:t>
                  </w:r>
                  <w:r>
                    <w:rPr>
                      <w:rFonts w:cs="Georgia"/>
                      <w:spacing w:val="-2"/>
                    </w:rPr>
                    <w:t>v</w:t>
                  </w:r>
                  <w:r>
                    <w:rPr>
                      <w:rFonts w:cs="Georgia"/>
                    </w:rPr>
                    <w:t>i</w:t>
                  </w:r>
                  <w:r>
                    <w:rPr>
                      <w:rFonts w:cs="Georgia"/>
                      <w:spacing w:val="-1"/>
                    </w:rPr>
                    <w:t>e</w:t>
                  </w:r>
                  <w:r>
                    <w:rPr>
                      <w:rFonts w:cs="Georgia"/>
                    </w:rPr>
                    <w:t xml:space="preserve">r </w:t>
                  </w:r>
                  <w:r>
                    <w:rPr>
                      <w:rFonts w:cs="Georgia"/>
                      <w:spacing w:val="1"/>
                    </w:rPr>
                    <w:t>pr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spacing w:val="1"/>
                    </w:rPr>
                    <w:t>t.</w:t>
                  </w:r>
                </w:p>
                <w:p w:rsidR="00F04EEF" w:rsidRDefault="00F04EEF">
                  <w:pPr>
                    <w:widowControl w:val="0"/>
                    <w:autoSpaceDE w:val="0"/>
                    <w:autoSpaceDN w:val="0"/>
                    <w:adjustRightInd w:val="0"/>
                    <w:spacing w:before="9" w:line="240" w:lineRule="exact"/>
                    <w:rPr>
                      <w:rFonts w:cs="Georgia"/>
                    </w:rPr>
                  </w:pPr>
                </w:p>
                <w:p w:rsidR="00F04EEF" w:rsidRDefault="0099351E">
                  <w:pPr>
                    <w:widowControl w:val="0"/>
                    <w:autoSpaceDE w:val="0"/>
                    <w:autoSpaceDN w:val="0"/>
                    <w:adjustRightInd w:val="0"/>
                    <w:spacing w:line="250" w:lineRule="exact"/>
                    <w:jc w:val="both"/>
                    <w:rPr>
                      <w:rFonts w:cs="Georgia"/>
                    </w:rPr>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4"/>
                    </w:rPr>
                    <w:t xml:space="preserve"> </w:t>
                  </w:r>
                  <w:r>
                    <w:rPr>
                      <w:rFonts w:cs="Georgia"/>
                      <w:spacing w:val="-1"/>
                    </w:rPr>
                    <w:t>l</w:t>
                  </w:r>
                  <w:r>
                    <w:rPr>
                      <w:rFonts w:cs="Georgia"/>
                    </w:rPr>
                    <w:t>e</w:t>
                  </w:r>
                  <w:r>
                    <w:rPr>
                      <w:rFonts w:cs="Georgia"/>
                      <w:spacing w:val="2"/>
                    </w:rPr>
                    <w:t xml:space="preserve"> </w:t>
                  </w:r>
                  <w:r>
                    <w:rPr>
                      <w:rFonts w:cs="Georgia"/>
                      <w:spacing w:val="1"/>
                    </w:rPr>
                    <w:t>3</w:t>
                  </w:r>
                  <w:r>
                    <w:rPr>
                      <w:rFonts w:cs="Georgia"/>
                    </w:rPr>
                    <w:t xml:space="preserve">0 </w:t>
                  </w:r>
                  <w:r>
                    <w:rPr>
                      <w:rFonts w:cs="Georgia"/>
                      <w:spacing w:val="1"/>
                    </w:rPr>
                    <w:t>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 xml:space="preserve">e </w:t>
                  </w:r>
                  <w:r>
                    <w:rPr>
                      <w:rFonts w:cs="Georgia"/>
                      <w:spacing w:val="-2"/>
                    </w:rPr>
                    <w:t>d</w:t>
                  </w:r>
                  <w:r>
                    <w:rPr>
                      <w:rFonts w:cs="Georgia"/>
                    </w:rPr>
                    <w:t>e</w:t>
                  </w:r>
                  <w:r>
                    <w:rPr>
                      <w:rFonts w:cs="Georgia"/>
                      <w:spacing w:val="2"/>
                    </w:rPr>
                    <w:t xml:space="preserve"> </w:t>
                  </w:r>
                  <w:r>
                    <w:rPr>
                      <w:rFonts w:cs="Georgia"/>
                      <w:spacing w:val="-1"/>
                    </w:rPr>
                    <w:t>l</w:t>
                  </w:r>
                  <w:r>
                    <w:rPr>
                      <w:rFonts w:cs="Georgia"/>
                    </w:rPr>
                    <w:t>’</w:t>
                  </w:r>
                  <w:r>
                    <w:rPr>
                      <w:rFonts w:cs="Georgia"/>
                      <w:spacing w:val="-1"/>
                    </w:rPr>
                    <w:t>anné</w:t>
                  </w:r>
                  <w:r>
                    <w:rPr>
                      <w:rFonts w:cs="Georgia"/>
                    </w:rPr>
                    <w:t>e</w:t>
                  </w:r>
                  <w:r>
                    <w:rPr>
                      <w:rFonts w:cs="Georgia"/>
                      <w:spacing w:val="2"/>
                    </w:rPr>
                    <w:t xml:space="preserve"> </w:t>
                  </w:r>
                  <w:r>
                    <w:rPr>
                      <w:rFonts w:cs="Georgia"/>
                      <w:spacing w:val="1"/>
                    </w:rPr>
                    <w:t>sco</w:t>
                  </w:r>
                  <w:r>
                    <w:rPr>
                      <w:rFonts w:cs="Georgia"/>
                      <w:spacing w:val="-1"/>
                    </w:rPr>
                    <w:t>la</w:t>
                  </w:r>
                  <w:r>
                    <w:rPr>
                      <w:rFonts w:cs="Georgia"/>
                    </w:rPr>
                    <w:t>i</w:t>
                  </w:r>
                  <w:r>
                    <w:rPr>
                      <w:rFonts w:cs="Georgia"/>
                      <w:spacing w:val="1"/>
                    </w:rPr>
                    <w:t>r</w:t>
                  </w:r>
                  <w:r>
                    <w:rPr>
                      <w:rFonts w:cs="Georgia"/>
                      <w:spacing w:val="-1"/>
                    </w:rPr>
                    <w:t>e</w:t>
                  </w:r>
                  <w:r>
                    <w:rPr>
                      <w:rFonts w:cs="Georgia"/>
                    </w:rPr>
                    <w:t>,</w:t>
                  </w:r>
                  <w:r>
                    <w:rPr>
                      <w:rFonts w:cs="Georgia"/>
                      <w:spacing w:val="4"/>
                    </w:rPr>
                    <w:t xml:space="preserve"> </w:t>
                  </w:r>
                  <w:r>
                    <w:rPr>
                      <w:rFonts w:cs="Georgia"/>
                      <w:spacing w:val="-1"/>
                    </w:rPr>
                    <w:t>l</w:t>
                  </w:r>
                  <w:r>
                    <w:rPr>
                      <w:rFonts w:cs="Georgia"/>
                      <w:spacing w:val="-2"/>
                    </w:rPr>
                    <w:t>'</w:t>
                  </w:r>
                  <w:r>
                    <w:rPr>
                      <w:rFonts w:cs="Georgia"/>
                      <w:spacing w:val="1"/>
                    </w:rPr>
                    <w:t>or</w:t>
                  </w:r>
                  <w:r>
                    <w:rPr>
                      <w:rFonts w:cs="Georgia"/>
                    </w:rPr>
                    <w:t>g</w:t>
                  </w:r>
                  <w:r>
                    <w:rPr>
                      <w:rFonts w:cs="Georgia"/>
                      <w:spacing w:val="-3"/>
                    </w:rPr>
                    <w:t>a</w:t>
                  </w:r>
                  <w:r>
                    <w:rPr>
                      <w:rFonts w:cs="Georgia"/>
                      <w:spacing w:val="-1"/>
                    </w:rPr>
                    <w:t>n</w:t>
                  </w:r>
                  <w:r>
                    <w:rPr>
                      <w:rFonts w:cs="Georgia"/>
                    </w:rPr>
                    <w:t>i</w:t>
                  </w:r>
                  <w:r>
                    <w:rPr>
                      <w:rFonts w:cs="Georgia"/>
                      <w:spacing w:val="1"/>
                    </w:rPr>
                    <w:t>s</w:t>
                  </w:r>
                  <w:r>
                    <w:rPr>
                      <w:rFonts w:cs="Georgia"/>
                      <w:spacing w:val="-1"/>
                    </w:rPr>
                    <w:t>a</w:t>
                  </w:r>
                  <w:r>
                    <w:rPr>
                      <w:rFonts w:cs="Georgia"/>
                      <w:spacing w:val="1"/>
                    </w:rPr>
                    <w:t>t</w:t>
                  </w:r>
                  <w:r>
                    <w:rPr>
                      <w:rFonts w:cs="Georgia"/>
                    </w:rPr>
                    <w:t>i</w:t>
                  </w:r>
                  <w:r>
                    <w:rPr>
                      <w:rFonts w:cs="Georgia"/>
                      <w:spacing w:val="1"/>
                    </w:rPr>
                    <w:t>o</w:t>
                  </w:r>
                  <w:r>
                    <w:rPr>
                      <w:rFonts w:cs="Georgia"/>
                    </w:rPr>
                    <w:t xml:space="preserve">n </w:t>
                  </w:r>
                  <w:r>
                    <w:rPr>
                      <w:rFonts w:cs="Georgia"/>
                      <w:spacing w:val="1"/>
                    </w:rPr>
                    <w:t>o</w:t>
                  </w:r>
                  <w:r>
                    <w:rPr>
                      <w:rFonts w:cs="Georgia"/>
                    </w:rPr>
                    <w:t>u</w:t>
                  </w:r>
                  <w:r>
                    <w:rPr>
                      <w:rFonts w:cs="Georgia"/>
                      <w:spacing w:val="1"/>
                    </w:rPr>
                    <w:t xml:space="preserve"> </w:t>
                  </w:r>
                  <w:r>
                    <w:rPr>
                      <w:rFonts w:cs="Georgia"/>
                      <w:spacing w:val="-1"/>
                    </w:rPr>
                    <w:t>l</w:t>
                  </w:r>
                  <w:r>
                    <w:rPr>
                      <w:rFonts w:cs="Georgia"/>
                    </w:rPr>
                    <w:t>e</w:t>
                  </w:r>
                  <w:r>
                    <w:rPr>
                      <w:rFonts w:cs="Georgia"/>
                      <w:spacing w:val="2"/>
                    </w:rPr>
                    <w:t xml:space="preserve"> </w:t>
                  </w:r>
                  <w:r>
                    <w:rPr>
                      <w:rFonts w:cs="Georgia"/>
                      <w:spacing w:val="1"/>
                    </w:rPr>
                    <w:t>s</w:t>
                  </w:r>
                  <w:r>
                    <w:rPr>
                      <w:rFonts w:cs="Georgia"/>
                      <w:spacing w:val="-2"/>
                    </w:rPr>
                    <w:t>u</w:t>
                  </w:r>
                  <w:r>
                    <w:rPr>
                      <w:rFonts w:cs="Georgia"/>
                      <w:spacing w:val="1"/>
                    </w:rPr>
                    <w:t>bv</w:t>
                  </w:r>
                  <w:r>
                    <w:rPr>
                      <w:rFonts w:cs="Georgia"/>
                      <w:spacing w:val="-1"/>
                    </w:rPr>
                    <w:t>en</w:t>
                  </w:r>
                  <w:r>
                    <w:rPr>
                      <w:rFonts w:cs="Georgia"/>
                      <w:spacing w:val="1"/>
                    </w:rPr>
                    <w:t>t</w:t>
                  </w:r>
                  <w:r>
                    <w:rPr>
                      <w:rFonts w:cs="Georgia"/>
                      <w:spacing w:val="-2"/>
                    </w:rPr>
                    <w:t>i</w:t>
                  </w:r>
                  <w:r>
                    <w:rPr>
                      <w:rFonts w:cs="Georgia"/>
                      <w:spacing w:val="-1"/>
                    </w:rPr>
                    <w:t>onne</w:t>
                  </w:r>
                  <w:r>
                    <w:rPr>
                      <w:rFonts w:cs="Georgia"/>
                    </w:rPr>
                    <w:t>m</w:t>
                  </w:r>
                  <w:r>
                    <w:rPr>
                      <w:rFonts w:cs="Georgia"/>
                      <w:spacing w:val="-1"/>
                    </w:rPr>
                    <w:t>en</w:t>
                  </w:r>
                  <w:r>
                    <w:rPr>
                      <w:rFonts w:cs="Georgia"/>
                    </w:rPr>
                    <w:t>t</w:t>
                  </w:r>
                  <w:r>
                    <w:rPr>
                      <w:rFonts w:cs="Georgia"/>
                      <w:spacing w:val="4"/>
                    </w:rPr>
                    <w:t xml:space="preserve"> </w:t>
                  </w:r>
                  <w:r>
                    <w:rPr>
                      <w:rFonts w:cs="Georgia"/>
                    </w:rPr>
                    <w:t>d</w:t>
                  </w:r>
                  <w:r>
                    <w:rPr>
                      <w:rFonts w:cs="Georgia"/>
                      <w:spacing w:val="-1"/>
                    </w:rPr>
                    <w:t>e</w:t>
                  </w:r>
                  <w:r>
                    <w:rPr>
                      <w:rFonts w:cs="Georgia"/>
                    </w:rPr>
                    <w:t>s</w:t>
                  </w:r>
                  <w:r>
                    <w:rPr>
                      <w:rFonts w:cs="Georgia"/>
                      <w:spacing w:val="4"/>
                    </w:rPr>
                    <w:t xml:space="preserve"> </w:t>
                  </w:r>
                  <w:r>
                    <w:rPr>
                      <w:rFonts w:cs="Georgia"/>
                      <w:spacing w:val="-1"/>
                    </w:rPr>
                    <w:t>e</w:t>
                  </w:r>
                  <w:r>
                    <w:rPr>
                      <w:rFonts w:cs="Georgia"/>
                    </w:rPr>
                    <w:t>m</w:t>
                  </w:r>
                  <w:r>
                    <w:rPr>
                      <w:rFonts w:cs="Georgia"/>
                      <w:spacing w:val="1"/>
                    </w:rPr>
                    <w:t>p</w:t>
                  </w:r>
                  <w:r>
                    <w:rPr>
                      <w:rFonts w:cs="Georgia"/>
                      <w:spacing w:val="-1"/>
                    </w:rPr>
                    <w:t>lo</w:t>
                  </w:r>
                  <w:r>
                    <w:rPr>
                      <w:rFonts w:cs="Georgia"/>
                    </w:rPr>
                    <w:t>is</w:t>
                  </w:r>
                  <w:r>
                    <w:rPr>
                      <w:rFonts w:cs="Georgia"/>
                      <w:spacing w:val="2"/>
                    </w:rPr>
                    <w:t xml:space="preserve"> </w:t>
                  </w:r>
                  <w:r>
                    <w:rPr>
                      <w:rFonts w:cs="Georgia"/>
                    </w:rPr>
                    <w:t xml:space="preserve">de </w:t>
                  </w:r>
                  <w:r>
                    <w:rPr>
                      <w:rFonts w:cs="Georgia"/>
                      <w:spacing w:val="1"/>
                    </w:rPr>
                    <w:t>ch</w:t>
                  </w:r>
                  <w:r>
                    <w:rPr>
                      <w:rFonts w:cs="Georgia"/>
                      <w:spacing w:val="-1"/>
                    </w:rPr>
                    <w:t>e</w:t>
                  </w:r>
                  <w:r>
                    <w:rPr>
                      <w:rFonts w:cs="Georgia"/>
                    </w:rPr>
                    <w:t>f</w:t>
                  </w:r>
                  <w:r>
                    <w:rPr>
                      <w:rFonts w:cs="Georgia"/>
                      <w:spacing w:val="3"/>
                    </w:rPr>
                    <w:t xml:space="preserve"> </w:t>
                  </w:r>
                  <w:r>
                    <w:rPr>
                      <w:rFonts w:cs="Georgia"/>
                    </w:rPr>
                    <w:t>de</w:t>
                  </w:r>
                  <w:r>
                    <w:rPr>
                      <w:rFonts w:cs="Georgia"/>
                      <w:spacing w:val="2"/>
                    </w:rPr>
                    <w:t xml:space="preserve"> </w:t>
                  </w:r>
                  <w:r>
                    <w:rPr>
                      <w:rFonts w:cs="Georgia"/>
                      <w:spacing w:val="1"/>
                    </w:rPr>
                    <w:t>tr</w:t>
                  </w:r>
                  <w:r>
                    <w:rPr>
                      <w:rFonts w:cs="Georgia"/>
                      <w:spacing w:val="-3"/>
                    </w:rPr>
                    <w:t>a</w:t>
                  </w:r>
                  <w:r>
                    <w:rPr>
                      <w:rFonts w:cs="Georgia"/>
                      <w:spacing w:val="1"/>
                    </w:rPr>
                    <w:t>v</w:t>
                  </w:r>
                  <w:r>
                    <w:rPr>
                      <w:rFonts w:cs="Georgia"/>
                      <w:spacing w:val="-1"/>
                    </w:rPr>
                    <w:t>a</w:t>
                  </w:r>
                  <w:r>
                    <w:rPr>
                      <w:rFonts w:cs="Georgia"/>
                    </w:rPr>
                    <w:t>ux</w:t>
                  </w:r>
                  <w:r>
                    <w:rPr>
                      <w:rFonts w:cs="Georgia"/>
                      <w:spacing w:val="2"/>
                    </w:rPr>
                    <w:t xml:space="preserve"> </w:t>
                  </w:r>
                  <w:r>
                    <w:rPr>
                      <w:rFonts w:cs="Georgia"/>
                    </w:rPr>
                    <w:t>d</w:t>
                  </w:r>
                  <w:r>
                    <w:rPr>
                      <w:rFonts w:cs="Georgia"/>
                      <w:spacing w:val="1"/>
                    </w:rPr>
                    <w:t>'</w:t>
                  </w:r>
                  <w:r>
                    <w:rPr>
                      <w:rFonts w:cs="Georgia"/>
                      <w:spacing w:val="-1"/>
                    </w:rPr>
                    <w:t>a</w:t>
                  </w:r>
                  <w:r>
                    <w:rPr>
                      <w:rFonts w:cs="Georgia"/>
                      <w:spacing w:val="1"/>
                    </w:rPr>
                    <w:t>t</w:t>
                  </w:r>
                  <w:r>
                    <w:rPr>
                      <w:rFonts w:cs="Georgia"/>
                      <w:spacing w:val="-1"/>
                    </w:rPr>
                    <w:t>el</w:t>
                  </w:r>
                  <w:r>
                    <w:rPr>
                      <w:rFonts w:cs="Georgia"/>
                    </w:rPr>
                    <w:t>i</w:t>
                  </w:r>
                  <w:r>
                    <w:rPr>
                      <w:rFonts w:cs="Georgia"/>
                      <w:spacing w:val="-1"/>
                    </w:rPr>
                    <w:t>e</w:t>
                  </w:r>
                  <w:r>
                    <w:rPr>
                      <w:rFonts w:cs="Georgia"/>
                    </w:rPr>
                    <w:t>r</w:t>
                  </w:r>
                  <w:r>
                    <w:rPr>
                      <w:rFonts w:cs="Georgia"/>
                      <w:spacing w:val="1"/>
                    </w:rPr>
                    <w:t xml:space="preserve"> p</w:t>
                  </w:r>
                  <w:r>
                    <w:rPr>
                      <w:rFonts w:cs="Georgia"/>
                      <w:spacing w:val="-1"/>
                    </w:rPr>
                    <w:t>e</w:t>
                  </w:r>
                  <w:r>
                    <w:rPr>
                      <w:rFonts w:cs="Georgia"/>
                    </w:rPr>
                    <w:t>ut</w:t>
                  </w:r>
                  <w:r>
                    <w:rPr>
                      <w:rFonts w:cs="Georgia"/>
                      <w:spacing w:val="4"/>
                    </w:rPr>
                    <w:t xml:space="preserve"> </w:t>
                  </w:r>
                  <w:r>
                    <w:rPr>
                      <w:rFonts w:cs="Georgia"/>
                      <w:spacing w:val="-1"/>
                    </w:rPr>
                    <w:t>ê</w:t>
                  </w:r>
                  <w:r>
                    <w:rPr>
                      <w:rFonts w:cs="Georgia"/>
                      <w:spacing w:val="1"/>
                    </w:rPr>
                    <w:t>tr</w:t>
                  </w:r>
                  <w:r>
                    <w:rPr>
                      <w:rFonts w:cs="Georgia"/>
                    </w:rPr>
                    <w:t>e</w:t>
                  </w:r>
                  <w:r>
                    <w:rPr>
                      <w:rFonts w:cs="Georgia"/>
                      <w:spacing w:val="2"/>
                    </w:rPr>
                    <w:t xml:space="preserve"> </w:t>
                  </w:r>
                  <w:r>
                    <w:rPr>
                      <w:rFonts w:cs="Georgia"/>
                      <w:spacing w:val="-3"/>
                    </w:rPr>
                    <w:t>m</w:t>
                  </w:r>
                  <w:r>
                    <w:rPr>
                      <w:rFonts w:cs="Georgia"/>
                      <w:spacing w:val="1"/>
                    </w:rPr>
                    <w:t>o</w:t>
                  </w:r>
                  <w:r>
                    <w:rPr>
                      <w:rFonts w:cs="Georgia"/>
                    </w:rPr>
                    <w:t>difié</w:t>
                  </w:r>
                  <w:r>
                    <w:rPr>
                      <w:rFonts w:cs="Georgia"/>
                      <w:spacing w:val="2"/>
                    </w:rPr>
                    <w:t xml:space="preserve"> </w:t>
                  </w:r>
                  <w:r>
                    <w:rPr>
                      <w:rFonts w:cs="Georgia"/>
                      <w:spacing w:val="-1"/>
                    </w:rPr>
                    <w:t>e</w:t>
                  </w:r>
                  <w:r>
                    <w:rPr>
                      <w:rFonts w:cs="Georgia"/>
                    </w:rPr>
                    <w:t>n</w:t>
                  </w:r>
                  <w:r>
                    <w:rPr>
                      <w:rFonts w:cs="Georgia"/>
                      <w:spacing w:val="2"/>
                    </w:rPr>
                    <w:t xml:space="preserve"> </w:t>
                  </w:r>
                  <w:r>
                    <w:rPr>
                      <w:rFonts w:cs="Georgia"/>
                    </w:rPr>
                    <w:t>f</w:t>
                  </w:r>
                  <w:r>
                    <w:rPr>
                      <w:rFonts w:cs="Georgia"/>
                      <w:spacing w:val="1"/>
                    </w:rPr>
                    <w:t>o</w:t>
                  </w:r>
                  <w:r>
                    <w:rPr>
                      <w:rFonts w:cs="Georgia"/>
                      <w:spacing w:val="-3"/>
                    </w:rPr>
                    <w:t>n</w:t>
                  </w:r>
                  <w:r>
                    <w:rPr>
                      <w:rFonts w:cs="Georgia"/>
                      <w:spacing w:val="1"/>
                    </w:rPr>
                    <w:t>ct</w:t>
                  </w:r>
                  <w:r>
                    <w:rPr>
                      <w:rFonts w:cs="Georgia"/>
                    </w:rPr>
                    <w:t>i</w:t>
                  </w:r>
                  <w:r>
                    <w:rPr>
                      <w:rFonts w:cs="Georgia"/>
                      <w:spacing w:val="1"/>
                    </w:rPr>
                    <w:t>o</w:t>
                  </w:r>
                  <w:r>
                    <w:rPr>
                      <w:rFonts w:cs="Georgia"/>
                    </w:rPr>
                    <w:t>n</w:t>
                  </w:r>
                  <w:r>
                    <w:rPr>
                      <w:rFonts w:cs="Georgia"/>
                      <w:spacing w:val="2"/>
                    </w:rPr>
                    <w:t xml:space="preserve"> </w:t>
                  </w:r>
                  <w:r>
                    <w:rPr>
                      <w:rFonts w:cs="Georgia"/>
                    </w:rPr>
                    <w:t>de</w:t>
                  </w:r>
                  <w:r>
                    <w:rPr>
                      <w:rFonts w:cs="Georgia"/>
                      <w:spacing w:val="2"/>
                    </w:rPr>
                    <w:t xml:space="preserve"> </w:t>
                  </w:r>
                  <w:r>
                    <w:rPr>
                      <w:rFonts w:cs="Georgia"/>
                      <w:spacing w:val="-1"/>
                    </w:rPr>
                    <w:t>l</w:t>
                  </w:r>
                  <w:r>
                    <w:rPr>
                      <w:rFonts w:cs="Georgia"/>
                      <w:spacing w:val="1"/>
                    </w:rPr>
                    <w:t>'</w:t>
                  </w:r>
                  <w:r>
                    <w:rPr>
                      <w:rFonts w:cs="Georgia"/>
                      <w:spacing w:val="-1"/>
                    </w:rPr>
                    <w:t>a</w:t>
                  </w:r>
                  <w:r>
                    <w:rPr>
                      <w:rFonts w:cs="Georgia"/>
                    </w:rPr>
                    <w:t>u</w:t>
                  </w:r>
                  <w:r>
                    <w:rPr>
                      <w:rFonts w:cs="Georgia"/>
                      <w:spacing w:val="-2"/>
                    </w:rPr>
                    <w:t>g</w:t>
                  </w:r>
                  <w:r>
                    <w:rPr>
                      <w:rFonts w:cs="Georgia"/>
                    </w:rPr>
                    <w:t>m</w:t>
                  </w:r>
                  <w:r>
                    <w:rPr>
                      <w:rFonts w:cs="Georgia"/>
                      <w:spacing w:val="-1"/>
                    </w:rPr>
                    <w:t>en</w:t>
                  </w:r>
                  <w:r>
                    <w:rPr>
                      <w:rFonts w:cs="Georgia"/>
                      <w:spacing w:val="1"/>
                    </w:rPr>
                    <w:t>t</w:t>
                  </w:r>
                  <w:r>
                    <w:rPr>
                      <w:rFonts w:cs="Georgia"/>
                      <w:spacing w:val="-1"/>
                    </w:rPr>
                    <w:t>a</w:t>
                  </w:r>
                  <w:r>
                    <w:rPr>
                      <w:rFonts w:cs="Georgia"/>
                      <w:spacing w:val="1"/>
                    </w:rPr>
                    <w:t>t</w:t>
                  </w:r>
                  <w:r>
                    <w:rPr>
                      <w:rFonts w:cs="Georgia"/>
                    </w:rPr>
                    <w:t>i</w:t>
                  </w:r>
                  <w:r>
                    <w:rPr>
                      <w:rFonts w:cs="Georgia"/>
                      <w:spacing w:val="1"/>
                    </w:rPr>
                    <w:t>o</w:t>
                  </w:r>
                  <w:r>
                    <w:rPr>
                      <w:rFonts w:cs="Georgia"/>
                    </w:rPr>
                    <w:t>n de</w:t>
                  </w:r>
                  <w:r>
                    <w:rPr>
                      <w:rFonts w:cs="Georgia"/>
                      <w:spacing w:val="2"/>
                    </w:rPr>
                    <w:t xml:space="preserve"> </w:t>
                  </w:r>
                  <w:r>
                    <w:rPr>
                      <w:rFonts w:cs="Georgia"/>
                      <w:spacing w:val="1"/>
                    </w:rPr>
                    <w:t>1</w:t>
                  </w:r>
                  <w:r>
                    <w:rPr>
                      <w:rFonts w:cs="Georgia"/>
                    </w:rPr>
                    <w:t>0</w:t>
                  </w:r>
                  <w:r>
                    <w:rPr>
                      <w:rFonts w:cs="Georgia"/>
                      <w:spacing w:val="2"/>
                    </w:rPr>
                    <w:t xml:space="preserve"> </w:t>
                  </w:r>
                  <w:r>
                    <w:rPr>
                      <w:rFonts w:cs="Georgia"/>
                    </w:rPr>
                    <w:t>%</w:t>
                  </w:r>
                  <w:r>
                    <w:rPr>
                      <w:rFonts w:cs="Georgia"/>
                      <w:spacing w:val="3"/>
                    </w:rPr>
                    <w:t xml:space="preserve"> </w:t>
                  </w:r>
                  <w:r>
                    <w:rPr>
                      <w:rFonts w:cs="Georgia"/>
                    </w:rPr>
                    <w:t>de</w:t>
                  </w:r>
                  <w:r>
                    <w:rPr>
                      <w:rFonts w:cs="Georgia"/>
                      <w:spacing w:val="2"/>
                    </w:rPr>
                    <w:t xml:space="preserve"> </w:t>
                  </w:r>
                  <w:r>
                    <w:rPr>
                      <w:rFonts w:cs="Georgia"/>
                      <w:spacing w:val="-1"/>
                    </w:rPr>
                    <w:t>l</w:t>
                  </w:r>
                  <w:r>
                    <w:rPr>
                      <w:rFonts w:cs="Georgia"/>
                    </w:rPr>
                    <w:t>a</w:t>
                  </w:r>
                  <w:r>
                    <w:rPr>
                      <w:rFonts w:cs="Georgia"/>
                      <w:spacing w:val="2"/>
                    </w:rPr>
                    <w:t xml:space="preserve"> </w:t>
                  </w:r>
                  <w:r>
                    <w:rPr>
                      <w:rFonts w:cs="Georgia"/>
                      <w:spacing w:val="1"/>
                    </w:rPr>
                    <w:t>pop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ayan</w:t>
                  </w:r>
                  <w:r>
                    <w:rPr>
                      <w:rFonts w:cs="Georgia"/>
                    </w:rPr>
                    <w:t xml:space="preserve">t </w:t>
                  </w:r>
                  <w:r>
                    <w:rPr>
                      <w:rFonts w:cs="Georgia"/>
                      <w:spacing w:val="1"/>
                    </w:rPr>
                    <w:t>s</w:t>
                  </w:r>
                  <w:r>
                    <w:rPr>
                      <w:rFonts w:cs="Georgia"/>
                      <w:spacing w:val="-1"/>
                    </w:rPr>
                    <w:t>e</w:t>
                  </w:r>
                  <w:r>
                    <w:rPr>
                      <w:rFonts w:cs="Georgia"/>
                      <w:spacing w:val="1"/>
                    </w:rPr>
                    <w:t>rv</w:t>
                  </w:r>
                  <w:r>
                    <w:rPr>
                      <w:rFonts w:cs="Georgia"/>
                    </w:rPr>
                    <w:t xml:space="preserve">i </w:t>
                  </w:r>
                  <w:r>
                    <w:rPr>
                      <w:rFonts w:cs="Georgia"/>
                      <w:spacing w:val="-1"/>
                    </w:rPr>
                    <w:t>a</w:t>
                  </w:r>
                  <w:r>
                    <w:rPr>
                      <w:rFonts w:cs="Georgia"/>
                    </w:rPr>
                    <w:t>u d</w:t>
                  </w:r>
                  <w:r>
                    <w:rPr>
                      <w:rFonts w:cs="Georgia"/>
                      <w:spacing w:val="-1"/>
                    </w:rPr>
                    <w:t>e</w:t>
                  </w:r>
                  <w:r>
                    <w:rPr>
                      <w:rFonts w:cs="Georgia"/>
                      <w:spacing w:val="1"/>
                    </w:rPr>
                    <w:t>r</w:t>
                  </w:r>
                  <w:r>
                    <w:rPr>
                      <w:rFonts w:cs="Georgia"/>
                      <w:spacing w:val="-1"/>
                    </w:rPr>
                    <w:t>n</w:t>
                  </w:r>
                  <w:r>
                    <w:rPr>
                      <w:rFonts w:cs="Georgia"/>
                    </w:rPr>
                    <w:t>i</w:t>
                  </w:r>
                  <w:r>
                    <w:rPr>
                      <w:rFonts w:cs="Georgia"/>
                      <w:spacing w:val="-1"/>
                    </w:rPr>
                    <w:t>e</w:t>
                  </w:r>
                  <w:r>
                    <w:rPr>
                      <w:rFonts w:cs="Georgia"/>
                    </w:rPr>
                    <w:t xml:space="preserve">r </w:t>
                  </w:r>
                  <w:r>
                    <w:rPr>
                      <w:rFonts w:cs="Georgia"/>
                      <w:spacing w:val="1"/>
                    </w:rPr>
                    <w:t>c</w:t>
                  </w:r>
                  <w:r>
                    <w:rPr>
                      <w:rFonts w:cs="Georgia"/>
                      <w:spacing w:val="-1"/>
                    </w:rPr>
                    <w:t>a</w:t>
                  </w:r>
                  <w:r>
                    <w:rPr>
                      <w:rFonts w:cs="Georgia"/>
                      <w:spacing w:val="-3"/>
                    </w:rPr>
                    <w:t>l</w:t>
                  </w:r>
                  <w:r>
                    <w:rPr>
                      <w:rFonts w:cs="Georgia"/>
                      <w:spacing w:val="1"/>
                    </w:rPr>
                    <w:t>c</w:t>
                  </w:r>
                  <w:r>
                    <w:rPr>
                      <w:rFonts w:cs="Georgia"/>
                    </w:rPr>
                    <w:t>ul</w:t>
                  </w:r>
                  <w:r>
                    <w:rPr>
                      <w:rFonts w:cs="Georgia"/>
                      <w:spacing w:val="-1"/>
                    </w:rPr>
                    <w:t xml:space="preserve"> </w:t>
                  </w:r>
                  <w:r>
                    <w:rPr>
                      <w:rFonts w:cs="Georgia"/>
                    </w:rPr>
                    <w:t xml:space="preserve">du </w:t>
                  </w:r>
                  <w:r>
                    <w:rPr>
                      <w:rFonts w:cs="Georgia"/>
                      <w:spacing w:val="1"/>
                    </w:rPr>
                    <w:t>c</w:t>
                  </w:r>
                  <w:r>
                    <w:rPr>
                      <w:rFonts w:cs="Georgia"/>
                      <w:spacing w:val="-3"/>
                    </w:rPr>
                    <w:t>a</w:t>
                  </w:r>
                  <w:r>
                    <w:rPr>
                      <w:rFonts w:cs="Georgia"/>
                      <w:spacing w:val="1"/>
                    </w:rPr>
                    <w:t>p</w:t>
                  </w:r>
                  <w:r>
                    <w:rPr>
                      <w:rFonts w:cs="Georgia"/>
                    </w:rPr>
                    <w:t>i</w:t>
                  </w:r>
                  <w:r>
                    <w:rPr>
                      <w:rFonts w:cs="Georgia"/>
                      <w:spacing w:val="1"/>
                    </w:rPr>
                    <w:t>t</w:t>
                  </w:r>
                  <w:r>
                    <w:rPr>
                      <w:rFonts w:cs="Georgia"/>
                      <w:spacing w:val="-1"/>
                    </w:rPr>
                    <w:t>a</w:t>
                  </w:r>
                  <w:r>
                    <w:rPr>
                      <w:rFonts w:cs="Georgia"/>
                    </w:rPr>
                    <w:t>l</w:t>
                  </w:r>
                  <w:r>
                    <w:rPr>
                      <w:rFonts w:cs="Georgia"/>
                      <w:spacing w:val="-1"/>
                    </w:rPr>
                    <w:t>-</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spacing w:val="-2"/>
                    </w:rPr>
                    <w:t>s</w:t>
                  </w:r>
                  <w:r>
                    <w:rPr>
                      <w:rFonts w:cs="Georgia"/>
                    </w:rPr>
                    <w:t>.</w:t>
                  </w:r>
                </w:p>
                <w:p w:rsidR="00F04EEF" w:rsidRDefault="00F04EEF">
                  <w:pPr>
                    <w:widowControl w:val="0"/>
                    <w:autoSpaceDE w:val="0"/>
                    <w:autoSpaceDN w:val="0"/>
                    <w:adjustRightInd w:val="0"/>
                    <w:spacing w:before="5" w:line="260" w:lineRule="exact"/>
                    <w:rPr>
                      <w:rFonts w:cs="Georgia"/>
                    </w:rPr>
                  </w:pPr>
                </w:p>
                <w:p w:rsidR="00F04EEF" w:rsidRDefault="0099351E">
                  <w:pPr>
                    <w:pStyle w:val="Titre6"/>
                  </w:pPr>
                  <w:bookmarkStart w:id="1964" w:name="_2.4.2.3._Directeur"/>
                  <w:bookmarkEnd w:id="1964"/>
                  <w:r>
                    <w:t>2.4.2.3. Directeur</w:t>
                  </w:r>
                </w:p>
                <w:p w:rsidR="00F04EEF" w:rsidRDefault="00F04EEF">
                  <w:pPr>
                    <w:widowControl w:val="0"/>
                    <w:tabs>
                      <w:tab w:val="left" w:pos="940"/>
                    </w:tabs>
                    <w:autoSpaceDE w:val="0"/>
                    <w:autoSpaceDN w:val="0"/>
                    <w:adjustRightInd w:val="0"/>
                    <w:spacing w:line="248" w:lineRule="exact"/>
                    <w:rPr>
                      <w:rFonts w:cs="Georgia"/>
                    </w:rPr>
                  </w:pPr>
                </w:p>
                <w:p w:rsidR="00F04EEF" w:rsidRDefault="0099351E">
                  <w:pPr>
                    <w:widowControl w:val="0"/>
                    <w:autoSpaceDE w:val="0"/>
                    <w:autoSpaceDN w:val="0"/>
                    <w:adjustRightInd w:val="0"/>
                    <w:spacing w:before="38" w:line="250" w:lineRule="exact"/>
                    <w:jc w:val="both"/>
                    <w:rPr>
                      <w:rFonts w:cs="Georgia"/>
                    </w:rPr>
                  </w:pPr>
                  <w:r>
                    <w:rPr>
                      <w:rFonts w:cs="Georgia"/>
                      <w:spacing w:val="1"/>
                    </w:rPr>
                    <w:t>L</w:t>
                  </w:r>
                  <w:r>
                    <w:rPr>
                      <w:rFonts w:cs="Georgia"/>
                    </w:rPr>
                    <w:t xml:space="preserve">e directeur </w:t>
                  </w:r>
                  <w:r>
                    <w:rPr>
                      <w:rFonts w:cs="Georgia"/>
                      <w:spacing w:val="-1"/>
                    </w:rPr>
                    <w:t>e</w:t>
                  </w:r>
                  <w:r>
                    <w:rPr>
                      <w:rFonts w:cs="Georgia"/>
                      <w:spacing w:val="1"/>
                    </w:rPr>
                    <w:t>s</w:t>
                  </w:r>
                  <w:r>
                    <w:rPr>
                      <w:rFonts w:cs="Georgia"/>
                    </w:rPr>
                    <w:t>t d</w:t>
                  </w:r>
                  <w:r>
                    <w:rPr>
                      <w:rFonts w:cs="Georgia"/>
                      <w:spacing w:val="-1"/>
                    </w:rPr>
                    <w:t>é</w:t>
                  </w:r>
                  <w:r>
                    <w:rPr>
                      <w:rFonts w:cs="Georgia"/>
                      <w:spacing w:val="1"/>
                    </w:rPr>
                    <w:t>ch</w:t>
                  </w:r>
                  <w:r>
                    <w:rPr>
                      <w:rFonts w:cs="Georgia"/>
                      <w:spacing w:val="-3"/>
                    </w:rPr>
                    <w:t>a</w:t>
                  </w:r>
                  <w:r>
                    <w:rPr>
                      <w:rFonts w:cs="Georgia"/>
                      <w:spacing w:val="-2"/>
                    </w:rPr>
                    <w:t>r</w:t>
                  </w:r>
                  <w:r>
                    <w:rPr>
                      <w:rFonts w:cs="Georgia"/>
                    </w:rPr>
                    <w:t>gé</w:t>
                  </w:r>
                  <w:r>
                    <w:rPr>
                      <w:rFonts w:cs="Georgia"/>
                      <w:spacing w:val="1"/>
                    </w:rPr>
                    <w:t xml:space="preserve"> </w:t>
                  </w:r>
                  <w:r>
                    <w:rPr>
                      <w:rFonts w:cs="Georgia"/>
                    </w:rPr>
                    <w:t>de</w:t>
                  </w:r>
                  <w:r>
                    <w:rPr>
                      <w:rFonts w:cs="Georgia"/>
                      <w:spacing w:val="1"/>
                    </w:rPr>
                    <w:t xml:space="preserve"> c</w:t>
                  </w:r>
                  <w:r>
                    <w:rPr>
                      <w:rFonts w:cs="Georgia"/>
                      <w:spacing w:val="-1"/>
                    </w:rPr>
                    <w:t>o</w:t>
                  </w:r>
                  <w:r>
                    <w:rPr>
                      <w:rFonts w:cs="Georgia"/>
                    </w:rPr>
                    <w:t>u</w:t>
                  </w:r>
                  <w:r>
                    <w:rPr>
                      <w:rFonts w:cs="Georgia"/>
                      <w:spacing w:val="-2"/>
                    </w:rPr>
                    <w:t>r</w:t>
                  </w:r>
                  <w:r>
                    <w:rPr>
                      <w:rFonts w:cs="Georgia"/>
                    </w:rPr>
                    <w:t>s</w:t>
                  </w:r>
                  <w:r>
                    <w:rPr>
                      <w:rFonts w:cs="Georgia"/>
                      <w:spacing w:val="3"/>
                    </w:rPr>
                    <w:t xml:space="preserve"> </w:t>
                  </w:r>
                  <w:r>
                    <w:rPr>
                      <w:rFonts w:cs="Georgia"/>
                      <w:spacing w:val="1"/>
                    </w:rPr>
                    <w:t>s</w:t>
                  </w:r>
                  <w:r>
                    <w:rPr>
                      <w:rFonts w:cs="Georgia"/>
                      <w:spacing w:val="-2"/>
                    </w:rPr>
                    <w:t>i</w:t>
                  </w:r>
                  <w:r>
                    <w:rPr>
                      <w:rFonts w:cs="Georgia"/>
                    </w:rPr>
                    <w:t>,</w:t>
                  </w:r>
                  <w:r>
                    <w:rPr>
                      <w:rFonts w:cs="Georgia"/>
                      <w:spacing w:val="2"/>
                    </w:rPr>
                    <w:t xml:space="preserve"> </w:t>
                  </w:r>
                  <w:r>
                    <w:rPr>
                      <w:rFonts w:cs="Georgia"/>
                      <w:spacing w:val="-1"/>
                    </w:rPr>
                    <w:t>a</w:t>
                  </w:r>
                  <w:r>
                    <w:rPr>
                      <w:rFonts w:cs="Georgia"/>
                    </w:rPr>
                    <w:t xml:space="preserve">u </w:t>
                  </w:r>
                  <w:r>
                    <w:rPr>
                      <w:rFonts w:cs="Georgia"/>
                      <w:spacing w:val="1"/>
                    </w:rPr>
                    <w:t>1</w:t>
                  </w:r>
                  <w:r>
                    <w:rPr>
                      <w:rFonts w:cs="Georgia"/>
                    </w:rPr>
                    <w:t>5</w:t>
                  </w:r>
                  <w:r>
                    <w:rPr>
                      <w:rFonts w:cs="Georgia"/>
                      <w:spacing w:val="1"/>
                    </w:rPr>
                    <w:t xml:space="preserve"> </w:t>
                  </w:r>
                  <w:r>
                    <w:rPr>
                      <w:rFonts w:cs="Georgia"/>
                    </w:rPr>
                    <w:t>j</w:t>
                  </w:r>
                  <w:r>
                    <w:rPr>
                      <w:rFonts w:cs="Georgia"/>
                      <w:spacing w:val="-3"/>
                    </w:rPr>
                    <w:t>a</w:t>
                  </w:r>
                  <w:r>
                    <w:rPr>
                      <w:rFonts w:cs="Georgia"/>
                      <w:spacing w:val="-1"/>
                    </w:rPr>
                    <w:t>n</w:t>
                  </w:r>
                  <w:r>
                    <w:rPr>
                      <w:rFonts w:cs="Georgia"/>
                      <w:spacing w:val="1"/>
                    </w:rPr>
                    <w:t>v</w:t>
                  </w:r>
                  <w:r>
                    <w:rPr>
                      <w:rFonts w:cs="Georgia"/>
                    </w:rPr>
                    <w:t>i</w:t>
                  </w:r>
                  <w:r>
                    <w:rPr>
                      <w:rFonts w:cs="Georgia"/>
                      <w:spacing w:val="-1"/>
                    </w:rPr>
                    <w:t>e</w:t>
                  </w:r>
                  <w:r>
                    <w:rPr>
                      <w:rFonts w:cs="Georgia"/>
                    </w:rPr>
                    <w:t>r</w:t>
                  </w:r>
                  <w:r>
                    <w:rPr>
                      <w:rFonts w:cs="Georgia"/>
                      <w:spacing w:val="3"/>
                    </w:rPr>
                    <w:t xml:space="preserve"> </w:t>
                  </w:r>
                  <w:r>
                    <w:rPr>
                      <w:rFonts w:cs="Georgia"/>
                      <w:spacing w:val="-1"/>
                    </w:rPr>
                    <w:t>p</w:t>
                  </w:r>
                  <w:r>
                    <w:rPr>
                      <w:rFonts w:cs="Georgia"/>
                      <w:spacing w:val="1"/>
                    </w:rPr>
                    <w:t>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rPr>
                    <w:t>t</w:t>
                  </w:r>
                  <w:r>
                    <w:rPr>
                      <w:rFonts w:cs="Georgia"/>
                      <w:spacing w:val="3"/>
                    </w:rPr>
                    <w:t xml:space="preserve"> </w:t>
                  </w:r>
                  <w:r>
                    <w:rPr>
                      <w:rFonts w:cs="Georgia"/>
                      <w:spacing w:val="-1"/>
                    </w:rPr>
                    <w:t>l</w:t>
                  </w:r>
                  <w:r>
                    <w:rPr>
                      <w:rFonts w:cs="Georgia"/>
                    </w:rPr>
                    <w:t>’</w:t>
                  </w:r>
                  <w:r>
                    <w:rPr>
                      <w:rFonts w:cs="Georgia"/>
                      <w:spacing w:val="-1"/>
                    </w:rPr>
                    <w:t>anné</w:t>
                  </w:r>
                  <w:r>
                    <w:rPr>
                      <w:rFonts w:cs="Georgia"/>
                    </w:rPr>
                    <w:t>e</w:t>
                  </w:r>
                  <w:r>
                    <w:rPr>
                      <w:rFonts w:cs="Georgia"/>
                      <w:spacing w:val="1"/>
                    </w:rPr>
                    <w:t xml:space="preserve"> sco</w:t>
                  </w:r>
                  <w:r>
                    <w:rPr>
                      <w:rFonts w:cs="Georgia"/>
                      <w:spacing w:val="-1"/>
                    </w:rPr>
                    <w:t>la</w:t>
                  </w:r>
                  <w:r>
                    <w:rPr>
                      <w:rFonts w:cs="Georgia"/>
                    </w:rPr>
                    <w:t>i</w:t>
                  </w:r>
                  <w:r>
                    <w:rPr>
                      <w:rFonts w:cs="Georgia"/>
                      <w:spacing w:val="1"/>
                    </w:rPr>
                    <w:t>r</w:t>
                  </w:r>
                  <w:r>
                    <w:rPr>
                      <w:rFonts w:cs="Georgia"/>
                    </w:rPr>
                    <w:t>e</w:t>
                  </w:r>
                  <w:r>
                    <w:rPr>
                      <w:rFonts w:cs="Georgia"/>
                      <w:spacing w:val="1"/>
                    </w:rPr>
                    <w:t xml:space="preserve"> </w:t>
                  </w:r>
                  <w:r>
                    <w:rPr>
                      <w:rFonts w:cs="Georgia"/>
                      <w:spacing w:val="-1"/>
                    </w:rPr>
                    <w:t>e</w:t>
                  </w:r>
                  <w:r>
                    <w:rPr>
                      <w:rFonts w:cs="Georgia"/>
                    </w:rPr>
                    <w:t>n</w:t>
                  </w:r>
                  <w:r>
                    <w:rPr>
                      <w:rFonts w:cs="Georgia"/>
                      <w:spacing w:val="1"/>
                    </w:rPr>
                    <w:t xml:space="preserve"> </w:t>
                  </w:r>
                  <w:r>
                    <w:rPr>
                      <w:rFonts w:cs="Georgia"/>
                      <w:spacing w:val="-1"/>
                    </w:rPr>
                    <w:t>q</w:t>
                  </w:r>
                  <w:r>
                    <w:rPr>
                      <w:rFonts w:cs="Georgia"/>
                    </w:rPr>
                    <w:t>u</w:t>
                  </w:r>
                  <w:r>
                    <w:rPr>
                      <w:rFonts w:cs="Georgia"/>
                      <w:spacing w:val="-1"/>
                    </w:rPr>
                    <w:t>e</w:t>
                  </w:r>
                  <w:r>
                    <w:rPr>
                      <w:rFonts w:cs="Georgia"/>
                      <w:spacing w:val="-2"/>
                    </w:rPr>
                    <w:t>s</w:t>
                  </w:r>
                  <w:r>
                    <w:rPr>
                      <w:rFonts w:cs="Georgia"/>
                      <w:spacing w:val="1"/>
                    </w:rPr>
                    <w:t>t</w:t>
                  </w:r>
                  <w:r>
                    <w:rPr>
                      <w:rFonts w:cs="Georgia"/>
                    </w:rPr>
                    <w:t>i</w:t>
                  </w:r>
                  <w:r>
                    <w:rPr>
                      <w:rFonts w:cs="Georgia"/>
                      <w:spacing w:val="1"/>
                    </w:rPr>
                    <w:t>o</w:t>
                  </w:r>
                  <w:r>
                    <w:rPr>
                      <w:rFonts w:cs="Georgia"/>
                      <w:spacing w:val="-1"/>
                    </w:rPr>
                    <w:t>n</w:t>
                  </w:r>
                  <w:r>
                    <w:rPr>
                      <w:rFonts w:cs="Georgia"/>
                    </w:rPr>
                    <w:t xml:space="preserve">, </w:t>
                  </w:r>
                  <w:r>
                    <w:rPr>
                      <w:rFonts w:cs="Georgia"/>
                      <w:spacing w:val="-1"/>
                    </w:rPr>
                    <w:t>l</w:t>
                  </w:r>
                  <w:r>
                    <w:rPr>
                      <w:rFonts w:cs="Georgia"/>
                    </w:rPr>
                    <w:t xml:space="preserve">a </w:t>
                  </w:r>
                  <w:r>
                    <w:rPr>
                      <w:rFonts w:cs="Georgia"/>
                      <w:spacing w:val="1"/>
                    </w:rPr>
                    <w:t>so</w:t>
                  </w:r>
                  <w:r>
                    <w:rPr>
                      <w:rFonts w:cs="Georgia"/>
                    </w:rPr>
                    <w:t>mme d</w:t>
                  </w:r>
                  <w:r>
                    <w:rPr>
                      <w:rFonts w:cs="Georgia"/>
                      <w:spacing w:val="-1"/>
                    </w:rPr>
                    <w:t>e</w:t>
                  </w:r>
                  <w:r>
                    <w:rPr>
                      <w:rFonts w:cs="Georgia"/>
                    </w:rPr>
                    <w:t>s</w:t>
                  </w:r>
                  <w:r>
                    <w:rPr>
                      <w:rFonts w:cs="Georgia"/>
                      <w:spacing w:val="4"/>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r</w:t>
                  </w:r>
                  <w:r>
                    <w:rPr>
                      <w:rFonts w:cs="Georgia"/>
                      <w:spacing w:val="-1"/>
                    </w:rPr>
                    <w:t>é</w:t>
                  </w:r>
                  <w:r>
                    <w:rPr>
                      <w:rFonts w:cs="Georgia"/>
                      <w:spacing w:val="-2"/>
                    </w:rPr>
                    <w:t>g</w:t>
                  </w:r>
                  <w:r>
                    <w:rPr>
                      <w:rFonts w:cs="Georgia"/>
                    </w:rPr>
                    <w:t>u</w:t>
                  </w:r>
                  <w:r>
                    <w:rPr>
                      <w:rFonts w:cs="Georgia"/>
                      <w:spacing w:val="-1"/>
                    </w:rPr>
                    <w:t>l</w:t>
                  </w:r>
                  <w:r>
                    <w:rPr>
                      <w:rFonts w:cs="Georgia"/>
                    </w:rPr>
                    <w:t>i</w:t>
                  </w:r>
                  <w:r>
                    <w:rPr>
                      <w:rFonts w:cs="Georgia"/>
                      <w:spacing w:val="-1"/>
                    </w:rPr>
                    <w:t>è</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4"/>
                    </w:rPr>
                    <w:t xml:space="preserve"> </w:t>
                  </w:r>
                  <w:r>
                    <w:rPr>
                      <w:rFonts w:cs="Georgia"/>
                    </w:rPr>
                    <w:t>i</w:t>
                  </w:r>
                  <w:r>
                    <w:rPr>
                      <w:rFonts w:cs="Georgia"/>
                      <w:spacing w:val="-1"/>
                    </w:rPr>
                    <w:t>n</w:t>
                  </w:r>
                  <w:r>
                    <w:rPr>
                      <w:rFonts w:cs="Georgia"/>
                      <w:spacing w:val="1"/>
                    </w:rPr>
                    <w:t>sc</w:t>
                  </w:r>
                  <w:r>
                    <w:rPr>
                      <w:rFonts w:cs="Georgia"/>
                      <w:spacing w:val="-2"/>
                    </w:rPr>
                    <w:t>r</w:t>
                  </w:r>
                  <w:r>
                    <w:rPr>
                      <w:rFonts w:cs="Georgia"/>
                    </w:rPr>
                    <w:t>i</w:t>
                  </w:r>
                  <w:r>
                    <w:rPr>
                      <w:rFonts w:cs="Georgia"/>
                      <w:spacing w:val="1"/>
                    </w:rPr>
                    <w:t>t</w:t>
                  </w:r>
                  <w:r>
                    <w:rPr>
                      <w:rFonts w:cs="Georgia"/>
                    </w:rPr>
                    <w:t>s</w:t>
                  </w:r>
                  <w:r>
                    <w:rPr>
                      <w:rFonts w:cs="Georgia"/>
                      <w:spacing w:val="1"/>
                    </w:rPr>
                    <w:t xml:space="preserve"> </w:t>
                  </w:r>
                  <w:r>
                    <w:rPr>
                      <w:rFonts w:cs="Georgia"/>
                      <w:spacing w:val="-1"/>
                    </w:rPr>
                    <w:t>e</w:t>
                  </w:r>
                  <w:r>
                    <w:rPr>
                      <w:rFonts w:cs="Georgia"/>
                    </w:rPr>
                    <w:t>t</w:t>
                  </w:r>
                  <w:r>
                    <w:rPr>
                      <w:rFonts w:cs="Georgia"/>
                      <w:spacing w:val="4"/>
                    </w:rPr>
                    <w:t xml:space="preserve"> </w:t>
                  </w:r>
                  <w:r>
                    <w:rPr>
                      <w:rFonts w:cs="Georgia"/>
                    </w:rPr>
                    <w:t>d</w:t>
                  </w:r>
                  <w:r>
                    <w:rPr>
                      <w:rFonts w:cs="Georgia"/>
                      <w:spacing w:val="-1"/>
                    </w:rPr>
                    <w:t>e</w:t>
                  </w:r>
                  <w:r>
                    <w:rPr>
                      <w:rFonts w:cs="Georgia"/>
                    </w:rPr>
                    <w:t>s</w:t>
                  </w:r>
                  <w:r>
                    <w:rPr>
                      <w:rFonts w:cs="Georgia"/>
                      <w:spacing w:val="1"/>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e</w:t>
                  </w:r>
                  <w:r>
                    <w:rPr>
                      <w:rFonts w:cs="Georgia"/>
                    </w:rPr>
                    <w:t>n</w:t>
                  </w:r>
                  <w:r>
                    <w:rPr>
                      <w:rFonts w:cs="Georgia"/>
                      <w:spacing w:val="3"/>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rPr>
                    <w:t>i</w:t>
                  </w:r>
                  <w:r>
                    <w:rPr>
                      <w:rFonts w:cs="Georgia"/>
                      <w:spacing w:val="1"/>
                    </w:rPr>
                    <w:t>o</w:t>
                  </w:r>
                  <w:r>
                    <w:rPr>
                      <w:rFonts w:cs="Georgia"/>
                    </w:rPr>
                    <w:t xml:space="preserve">n </w:t>
                  </w:r>
                  <w:r>
                    <w:rPr>
                      <w:rFonts w:cs="Georgia"/>
                      <w:spacing w:val="-1"/>
                    </w:rPr>
                    <w:t>pe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2"/>
                    </w:rPr>
                    <w:t xml:space="preserve"> </w:t>
                  </w:r>
                  <w:r>
                    <w:rPr>
                      <w:rFonts w:cs="Georgia"/>
                      <w:spacing w:val="1"/>
                    </w:rPr>
                    <w:t>tot</w:t>
                  </w:r>
                  <w:r>
                    <w:rPr>
                      <w:rFonts w:cs="Georgia"/>
                      <w:spacing w:val="-1"/>
                    </w:rPr>
                    <w:t>al</w:t>
                  </w:r>
                  <w:r>
                    <w:rPr>
                      <w:rFonts w:cs="Georgia"/>
                    </w:rPr>
                    <w:t>e</w:t>
                  </w:r>
                  <w:r>
                    <w:rPr>
                      <w:rFonts w:cs="Georgia"/>
                      <w:spacing w:val="2"/>
                    </w:rPr>
                    <w:t xml:space="preserve"> </w:t>
                  </w:r>
                  <w:r>
                    <w:rPr>
                      <w:rFonts w:cs="Georgia"/>
                      <w:spacing w:val="-1"/>
                    </w:rPr>
                    <w:t>e</w:t>
                  </w:r>
                  <w:r>
                    <w:rPr>
                      <w:rFonts w:cs="Georgia"/>
                      <w:spacing w:val="1"/>
                    </w:rPr>
                    <w:t>s</w:t>
                  </w:r>
                  <w:r>
                    <w:rPr>
                      <w:rFonts w:cs="Georgia"/>
                    </w:rPr>
                    <w:t>t</w:t>
                  </w:r>
                  <w:r>
                    <w:rPr>
                      <w:rFonts w:cs="Georgia"/>
                      <w:spacing w:val="4"/>
                    </w:rPr>
                    <w:t xml:space="preserve"> </w:t>
                  </w:r>
                  <w:r>
                    <w:rPr>
                      <w:rFonts w:cs="Georgia"/>
                      <w:spacing w:val="-3"/>
                    </w:rPr>
                    <w:t>a</w:t>
                  </w:r>
                  <w:r>
                    <w:rPr>
                      <w:rFonts w:cs="Georgia"/>
                    </w:rPr>
                    <w:t>u m</w:t>
                  </w:r>
                  <w:r>
                    <w:rPr>
                      <w:rFonts w:cs="Georgia"/>
                      <w:spacing w:val="1"/>
                    </w:rPr>
                    <w:t>o</w:t>
                  </w:r>
                  <w:r>
                    <w:rPr>
                      <w:rFonts w:cs="Georgia"/>
                    </w:rPr>
                    <w:t>i</w:t>
                  </w:r>
                  <w:r>
                    <w:rPr>
                      <w:rFonts w:cs="Georgia"/>
                      <w:spacing w:val="-1"/>
                    </w:rPr>
                    <w:t>n</w:t>
                  </w:r>
                  <w:r>
                    <w:rPr>
                      <w:rFonts w:cs="Georgia"/>
                    </w:rPr>
                    <w:t xml:space="preserve">s </w:t>
                  </w:r>
                  <w:r>
                    <w:rPr>
                      <w:rFonts w:cs="Georgia"/>
                      <w:spacing w:val="-1"/>
                    </w:rPr>
                    <w:t>é</w:t>
                  </w:r>
                  <w:r>
                    <w:rPr>
                      <w:rFonts w:cs="Georgia"/>
                    </w:rPr>
                    <w:t>g</w:t>
                  </w:r>
                  <w:r>
                    <w:rPr>
                      <w:rFonts w:cs="Georgia"/>
                      <w:spacing w:val="-1"/>
                    </w:rPr>
                    <w:t>al</w:t>
                  </w:r>
                  <w:r>
                    <w:rPr>
                      <w:rFonts w:cs="Georgia"/>
                    </w:rPr>
                    <w:t>e</w:t>
                  </w:r>
                  <w:r>
                    <w:rPr>
                      <w:rFonts w:cs="Georgia"/>
                      <w:spacing w:val="-1"/>
                    </w:rPr>
                    <w:t xml:space="preserve"> </w:t>
                  </w:r>
                  <w:r>
                    <w:rPr>
                      <w:rFonts w:cs="Georgia"/>
                    </w:rPr>
                    <w:t>à</w:t>
                  </w:r>
                  <w:r>
                    <w:rPr>
                      <w:rFonts w:cs="Georgia"/>
                      <w:spacing w:val="-1"/>
                    </w:rPr>
                    <w:t xml:space="preserve"> </w:t>
                  </w:r>
                  <w:r>
                    <w:rPr>
                      <w:rFonts w:cs="Georgia"/>
                    </w:rPr>
                    <w:t>9</w:t>
                  </w:r>
                  <w:r>
                    <w:rPr>
                      <w:rFonts w:cs="Georgia"/>
                      <w:spacing w:val="-1"/>
                    </w:rPr>
                    <w:t>0.</w:t>
                  </w:r>
                </w:p>
                <w:p w:rsidR="00F04EEF" w:rsidRDefault="00F04EEF">
                  <w:pPr>
                    <w:widowControl w:val="0"/>
                    <w:autoSpaceDE w:val="0"/>
                    <w:autoSpaceDN w:val="0"/>
                    <w:adjustRightInd w:val="0"/>
                    <w:spacing w:before="11" w:line="240" w:lineRule="exact"/>
                    <w:rPr>
                      <w:rFonts w:cs="Georgia"/>
                    </w:rPr>
                  </w:pPr>
                </w:p>
                <w:p w:rsidR="00F04EEF" w:rsidRDefault="0099351E">
                  <w:pPr>
                    <w:widowControl w:val="0"/>
                    <w:autoSpaceDE w:val="0"/>
                    <w:autoSpaceDN w:val="0"/>
                    <w:adjustRightInd w:val="0"/>
                    <w:spacing w:line="250" w:lineRule="exact"/>
                    <w:jc w:val="both"/>
                    <w:rPr>
                      <w:rFonts w:cs="Georgia"/>
                    </w:rPr>
                  </w:pPr>
                  <w:r>
                    <w:rPr>
                      <w:rFonts w:cs="Georgia"/>
                    </w:rPr>
                    <w:t>P</w:t>
                  </w:r>
                  <w:r>
                    <w:rPr>
                      <w:rFonts w:cs="Georgia"/>
                      <w:spacing w:val="1"/>
                    </w:rPr>
                    <w:t>o</w:t>
                  </w:r>
                  <w:r>
                    <w:rPr>
                      <w:rFonts w:cs="Georgia"/>
                    </w:rPr>
                    <w:t>ur</w:t>
                  </w:r>
                  <w:r>
                    <w:rPr>
                      <w:rFonts w:cs="Georgia"/>
                      <w:spacing w:val="1"/>
                    </w:rPr>
                    <w:t xml:space="preserve"> c</w:t>
                  </w:r>
                  <w:r>
                    <w:rPr>
                      <w:rFonts w:cs="Georgia"/>
                    </w:rPr>
                    <w:t xml:space="preserve">e </w:t>
                  </w:r>
                  <w:r>
                    <w:rPr>
                      <w:rFonts w:cs="Georgia"/>
                      <w:spacing w:val="1"/>
                    </w:rPr>
                    <w:t>c</w:t>
                  </w:r>
                  <w:r>
                    <w:rPr>
                      <w:rFonts w:cs="Georgia"/>
                      <w:spacing w:val="-1"/>
                    </w:rPr>
                    <w:t>al</w:t>
                  </w:r>
                  <w:r>
                    <w:rPr>
                      <w:rFonts w:cs="Georgia"/>
                      <w:spacing w:val="1"/>
                    </w:rPr>
                    <w:t>c</w:t>
                  </w:r>
                  <w:r>
                    <w:rPr>
                      <w:rFonts w:cs="Georgia"/>
                    </w:rPr>
                    <w:t>u</w:t>
                  </w:r>
                  <w:r>
                    <w:rPr>
                      <w:rFonts w:cs="Georgia"/>
                      <w:spacing w:val="-1"/>
                    </w:rPr>
                    <w:t>l</w:t>
                  </w:r>
                  <w:r>
                    <w:rPr>
                      <w:rFonts w:cs="Georgia"/>
                    </w:rPr>
                    <w:t>,</w:t>
                  </w:r>
                  <w:r>
                    <w:rPr>
                      <w:rFonts w:cs="Georgia"/>
                      <w:spacing w:val="1"/>
                    </w:rPr>
                    <w:t xml:space="preserve"> </w:t>
                  </w:r>
                  <w:r>
                    <w:rPr>
                      <w:rFonts w:cs="Georgia"/>
                      <w:spacing w:val="-1"/>
                    </w:rPr>
                    <w:t>le</w:t>
                  </w:r>
                  <w:r>
                    <w:rPr>
                      <w:rFonts w:cs="Georgia"/>
                    </w:rPr>
                    <w:t>s</w:t>
                  </w:r>
                  <w:r>
                    <w:rPr>
                      <w:rFonts w:cs="Georgia"/>
                      <w:spacing w:val="1"/>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
                    </w:rPr>
                    <w:t xml:space="preserve"> r</w:t>
                  </w:r>
                  <w:r>
                    <w:rPr>
                      <w:rFonts w:cs="Georgia"/>
                      <w:spacing w:val="-1"/>
                    </w:rPr>
                    <w:t>é</w:t>
                  </w:r>
                  <w:r>
                    <w:rPr>
                      <w:rFonts w:cs="Georgia"/>
                    </w:rPr>
                    <w:t>gu</w:t>
                  </w:r>
                  <w:r>
                    <w:rPr>
                      <w:rFonts w:cs="Georgia"/>
                      <w:spacing w:val="-1"/>
                    </w:rPr>
                    <w:t>l</w:t>
                  </w:r>
                  <w:r>
                    <w:rPr>
                      <w:rFonts w:cs="Georgia"/>
                    </w:rPr>
                    <w:t>i</w:t>
                  </w:r>
                  <w:r>
                    <w:rPr>
                      <w:rFonts w:cs="Georgia"/>
                      <w:spacing w:val="-1"/>
                    </w:rPr>
                    <w:t>è</w:t>
                  </w:r>
                  <w:r>
                    <w:rPr>
                      <w:rFonts w:cs="Georgia"/>
                      <w:spacing w:val="1"/>
                    </w:rPr>
                    <w:t>r</w:t>
                  </w:r>
                  <w:r>
                    <w:rPr>
                      <w:rFonts w:cs="Georgia"/>
                      <w:spacing w:val="-1"/>
                    </w:rPr>
                    <w:t>e</w:t>
                  </w:r>
                  <w:r>
                    <w:rPr>
                      <w:rFonts w:cs="Georgia"/>
                    </w:rPr>
                    <w:t>m</w:t>
                  </w:r>
                  <w:r>
                    <w:rPr>
                      <w:rFonts w:cs="Georgia"/>
                      <w:spacing w:val="-1"/>
                    </w:rPr>
                    <w:t>en</w:t>
                  </w:r>
                  <w:r>
                    <w:rPr>
                      <w:rFonts w:cs="Georgia"/>
                    </w:rPr>
                    <w:t>t</w:t>
                  </w:r>
                  <w:r>
                    <w:rPr>
                      <w:rFonts w:cs="Georgia"/>
                      <w:spacing w:val="1"/>
                    </w:rPr>
                    <w:t xml:space="preserve"> </w:t>
                  </w:r>
                  <w:r>
                    <w:rPr>
                      <w:rFonts w:cs="Georgia"/>
                    </w:rPr>
                    <w:t>i</w:t>
                  </w:r>
                  <w:r>
                    <w:rPr>
                      <w:rFonts w:cs="Georgia"/>
                      <w:spacing w:val="-1"/>
                    </w:rPr>
                    <w:t>n</w:t>
                  </w:r>
                  <w:r>
                    <w:rPr>
                      <w:rFonts w:cs="Georgia"/>
                      <w:spacing w:val="1"/>
                    </w:rPr>
                    <w:t>scr</w:t>
                  </w:r>
                  <w:r>
                    <w:rPr>
                      <w:rFonts w:cs="Georgia"/>
                      <w:spacing w:val="-2"/>
                    </w:rPr>
                    <w:t>i</w:t>
                  </w:r>
                  <w:r>
                    <w:rPr>
                      <w:rFonts w:cs="Georgia"/>
                      <w:spacing w:val="1"/>
                    </w:rPr>
                    <w:t>t</w:t>
                  </w:r>
                  <w:r>
                    <w:rPr>
                      <w:rFonts w:cs="Georgia"/>
                    </w:rPr>
                    <w:t>s</w:t>
                  </w:r>
                  <w:r>
                    <w:rPr>
                      <w:rFonts w:cs="Georgia"/>
                      <w:spacing w:val="1"/>
                    </w:rPr>
                    <w:t xml:space="preserve"> </w:t>
                  </w:r>
                  <w:r>
                    <w:rPr>
                      <w:rFonts w:cs="Georgia"/>
                    </w:rPr>
                    <w:t xml:space="preserve">à </w:t>
                  </w:r>
                  <w:r>
                    <w:rPr>
                      <w:rFonts w:cs="Georgia"/>
                      <w:spacing w:val="1"/>
                    </w:rPr>
                    <w:t>pr</w:t>
                  </w:r>
                  <w:r>
                    <w:rPr>
                      <w:rFonts w:cs="Georgia"/>
                      <w:spacing w:val="-1"/>
                    </w:rPr>
                    <w:t>en</w:t>
                  </w:r>
                  <w:r>
                    <w:rPr>
                      <w:rFonts w:cs="Georgia"/>
                    </w:rPr>
                    <w:t>d</w:t>
                  </w:r>
                  <w:r>
                    <w:rPr>
                      <w:rFonts w:cs="Georgia"/>
                      <w:spacing w:val="1"/>
                    </w:rPr>
                    <w:t>r</w:t>
                  </w:r>
                  <w:r>
                    <w:rPr>
                      <w:rFonts w:cs="Georgia"/>
                    </w:rPr>
                    <w:t xml:space="preserve">e </w:t>
                  </w:r>
                  <w:r>
                    <w:rPr>
                      <w:rFonts w:cs="Georgia"/>
                      <w:spacing w:val="-1"/>
                    </w:rPr>
                    <w:t>e</w:t>
                  </w:r>
                  <w:r>
                    <w:rPr>
                      <w:rFonts w:cs="Georgia"/>
                    </w:rPr>
                    <w:t xml:space="preserve">n </w:t>
                  </w:r>
                  <w:r>
                    <w:rPr>
                      <w:rFonts w:cs="Georgia"/>
                      <w:spacing w:val="1"/>
                    </w:rPr>
                    <w:t>co</w:t>
                  </w:r>
                  <w:r>
                    <w:rPr>
                      <w:rFonts w:cs="Georgia"/>
                      <w:spacing w:val="-1"/>
                    </w:rPr>
                    <w:t>n</w:t>
                  </w:r>
                  <w:r>
                    <w:rPr>
                      <w:rFonts w:cs="Georgia"/>
                      <w:spacing w:val="1"/>
                    </w:rPr>
                    <w:t>s</w:t>
                  </w:r>
                  <w:r>
                    <w:rPr>
                      <w:rFonts w:cs="Georgia"/>
                    </w:rPr>
                    <w:t>id</w:t>
                  </w:r>
                  <w:r>
                    <w:rPr>
                      <w:rFonts w:cs="Georgia"/>
                      <w:spacing w:val="-1"/>
                    </w:rPr>
                    <w:t>é</w:t>
                  </w:r>
                  <w:r>
                    <w:rPr>
                      <w:rFonts w:cs="Georgia"/>
                      <w:spacing w:val="1"/>
                    </w:rPr>
                    <w:t>r</w:t>
                  </w:r>
                  <w:r>
                    <w:rPr>
                      <w:rFonts w:cs="Georgia"/>
                      <w:spacing w:val="-3"/>
                    </w:rPr>
                    <w:t>a</w:t>
                  </w:r>
                  <w:r>
                    <w:rPr>
                      <w:rFonts w:cs="Georgia"/>
                      <w:spacing w:val="1"/>
                    </w:rPr>
                    <w:t>t</w:t>
                  </w:r>
                  <w:r>
                    <w:rPr>
                      <w:rFonts w:cs="Georgia"/>
                    </w:rPr>
                    <w:t>i</w:t>
                  </w:r>
                  <w:r>
                    <w:rPr>
                      <w:rFonts w:cs="Georgia"/>
                      <w:spacing w:val="-1"/>
                    </w:rPr>
                    <w:t>o</w:t>
                  </w:r>
                  <w:r>
                    <w:rPr>
                      <w:rFonts w:cs="Georgia"/>
                    </w:rPr>
                    <w:t>n d</w:t>
                  </w:r>
                  <w:r>
                    <w:rPr>
                      <w:rFonts w:cs="Georgia"/>
                      <w:spacing w:val="-1"/>
                    </w:rPr>
                    <w:t>an</w:t>
                  </w:r>
                  <w:r>
                    <w:rPr>
                      <w:rFonts w:cs="Georgia"/>
                    </w:rPr>
                    <w:t>s</w:t>
                  </w:r>
                  <w:r>
                    <w:rPr>
                      <w:rFonts w:cs="Georgia"/>
                      <w:spacing w:val="1"/>
                    </w:rPr>
                    <w:t xml:space="preserve"> </w:t>
                  </w:r>
                  <w:r>
                    <w:rPr>
                      <w:rFonts w:cs="Georgia"/>
                      <w:spacing w:val="-1"/>
                    </w:rPr>
                    <w:t>le</w:t>
                  </w:r>
                  <w:r>
                    <w:rPr>
                      <w:rFonts w:cs="Georgia"/>
                    </w:rPr>
                    <w:t>s</w:t>
                  </w:r>
                  <w:r>
                    <w:rPr>
                      <w:rFonts w:cs="Georgia"/>
                      <w:spacing w:val="1"/>
                    </w:rPr>
                    <w:t xml:space="preserve"> </w:t>
                  </w:r>
                  <w:r>
                    <w:rPr>
                      <w:rFonts w:cs="Georgia"/>
                    </w:rPr>
                    <w:t>f</w:t>
                  </w:r>
                  <w:r>
                    <w:rPr>
                      <w:rFonts w:cs="Georgia"/>
                      <w:spacing w:val="1"/>
                    </w:rPr>
                    <w:t>or</w:t>
                  </w:r>
                  <w:r>
                    <w:rPr>
                      <w:rFonts w:cs="Georgia"/>
                    </w:rPr>
                    <w:t>m</w:t>
                  </w:r>
                  <w:r>
                    <w:rPr>
                      <w:rFonts w:cs="Georgia"/>
                      <w:spacing w:val="-1"/>
                    </w:rPr>
                    <w:t>e</w:t>
                  </w:r>
                  <w:r>
                    <w:rPr>
                      <w:rFonts w:cs="Georgia"/>
                    </w:rPr>
                    <w:t>s</w:t>
                  </w:r>
                  <w:r>
                    <w:rPr>
                      <w:rFonts w:cs="Georgia"/>
                      <w:spacing w:val="1"/>
                    </w:rPr>
                    <w:t xml:space="preserve"> </w:t>
                  </w:r>
                  <w:r>
                    <w:rPr>
                      <w:rFonts w:cs="Georgia"/>
                    </w:rPr>
                    <w:t>1</w:t>
                  </w:r>
                  <w:r>
                    <w:rPr>
                      <w:rFonts w:cs="Georgia"/>
                      <w:spacing w:val="2"/>
                    </w:rPr>
                    <w:t xml:space="preserve"> </w:t>
                  </w:r>
                  <w:r>
                    <w:rPr>
                      <w:rFonts w:cs="Georgia"/>
                      <w:spacing w:val="-1"/>
                    </w:rPr>
                    <w:t>e</w:t>
                  </w:r>
                  <w:r>
                    <w:rPr>
                      <w:rFonts w:cs="Georgia"/>
                    </w:rPr>
                    <w:t>t</w:t>
                  </w:r>
                  <w:r>
                    <w:rPr>
                      <w:rFonts w:cs="Georgia"/>
                      <w:spacing w:val="1"/>
                    </w:rPr>
                    <w:t xml:space="preserve"> </w:t>
                  </w:r>
                  <w:r>
                    <w:rPr>
                      <w:rFonts w:cs="Georgia"/>
                    </w:rPr>
                    <w:t xml:space="preserve">2 </w:t>
                  </w:r>
                  <w:r>
                    <w:rPr>
                      <w:rFonts w:cs="Georgia"/>
                      <w:spacing w:val="1"/>
                    </w:rPr>
                    <w:t>so</w:t>
                  </w:r>
                  <w:r>
                    <w:rPr>
                      <w:rFonts w:cs="Georgia"/>
                      <w:spacing w:val="-1"/>
                    </w:rPr>
                    <w:t>n</w:t>
                  </w:r>
                  <w:r>
                    <w:rPr>
                      <w:rFonts w:cs="Georgia"/>
                    </w:rPr>
                    <w:t>t mu</w:t>
                  </w:r>
                  <w:r>
                    <w:rPr>
                      <w:rFonts w:cs="Georgia"/>
                      <w:spacing w:val="-1"/>
                    </w:rPr>
                    <w:t>l</w:t>
                  </w:r>
                  <w:r>
                    <w:rPr>
                      <w:rFonts w:cs="Georgia"/>
                      <w:spacing w:val="1"/>
                    </w:rPr>
                    <w:t>t</w:t>
                  </w:r>
                  <w:r>
                    <w:rPr>
                      <w:rFonts w:cs="Georgia"/>
                      <w:spacing w:val="-2"/>
                    </w:rPr>
                    <w:t>i</w:t>
                  </w:r>
                  <w:r>
                    <w:rPr>
                      <w:rFonts w:cs="Georgia"/>
                      <w:spacing w:val="1"/>
                    </w:rPr>
                    <w:t>p</w:t>
                  </w:r>
                  <w:r>
                    <w:rPr>
                      <w:rFonts w:cs="Georgia"/>
                      <w:spacing w:val="-1"/>
                    </w:rPr>
                    <w:t>l</w:t>
                  </w:r>
                  <w:r>
                    <w:rPr>
                      <w:rFonts w:cs="Georgia"/>
                    </w:rPr>
                    <w:t>i</w:t>
                  </w:r>
                  <w:r>
                    <w:rPr>
                      <w:rFonts w:cs="Georgia"/>
                      <w:spacing w:val="-1"/>
                    </w:rPr>
                    <w:t>é</w:t>
                  </w:r>
                  <w:r>
                    <w:rPr>
                      <w:rFonts w:cs="Georgia"/>
                    </w:rPr>
                    <w:t xml:space="preserve">s </w:t>
                  </w:r>
                  <w:r>
                    <w:rPr>
                      <w:rFonts w:cs="Georgia"/>
                      <w:spacing w:val="1"/>
                    </w:rPr>
                    <w:t>p</w:t>
                  </w:r>
                  <w:r>
                    <w:rPr>
                      <w:rFonts w:cs="Georgia"/>
                      <w:spacing w:val="-1"/>
                    </w:rPr>
                    <w:t>a</w:t>
                  </w:r>
                  <w:r>
                    <w:rPr>
                      <w:rFonts w:cs="Georgia"/>
                    </w:rPr>
                    <w:t xml:space="preserve">r </w:t>
                  </w:r>
                  <w:r>
                    <w:rPr>
                      <w:rFonts w:cs="Georgia"/>
                      <w:spacing w:val="1"/>
                    </w:rPr>
                    <w:t>1</w:t>
                  </w:r>
                  <w:r>
                    <w:rPr>
                      <w:rFonts w:cs="Georgia"/>
                    </w:rPr>
                    <w:t>,</w:t>
                  </w:r>
                  <w:r>
                    <w:rPr>
                      <w:rFonts w:cs="Georgia"/>
                      <w:spacing w:val="-2"/>
                    </w:rPr>
                    <w:t>3</w:t>
                  </w:r>
                  <w:r>
                    <w:rPr>
                      <w:rFonts w:cs="Georgia"/>
                      <w:spacing w:val="1"/>
                    </w:rPr>
                    <w:t>3</w:t>
                  </w:r>
                  <w:r>
                    <w:rPr>
                      <w:rFonts w:cs="Georgia"/>
                    </w:rPr>
                    <w:t xml:space="preserve">. </w:t>
                  </w:r>
                  <w:r>
                    <w:rPr>
                      <w:rFonts w:cs="Georgia"/>
                      <w:spacing w:val="1"/>
                    </w:rPr>
                    <w:t>L</w:t>
                  </w:r>
                  <w:r>
                    <w:rPr>
                      <w:rFonts w:cs="Georgia"/>
                      <w:spacing w:val="-1"/>
                    </w:rPr>
                    <w:t>e</w:t>
                  </w:r>
                  <w:r>
                    <w:rPr>
                      <w:rFonts w:cs="Georgia"/>
                    </w:rPr>
                    <w:t>s</w:t>
                  </w:r>
                  <w:r>
                    <w:rPr>
                      <w:rFonts w:cs="Georgia"/>
                      <w:spacing w:val="3"/>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3"/>
                    </w:rPr>
                    <w:t xml:space="preserve"> </w:t>
                  </w:r>
                  <w:r>
                    <w:rPr>
                      <w:rFonts w:cs="Georgia"/>
                      <w:spacing w:val="-1"/>
                    </w:rPr>
                    <w:t>e</w:t>
                  </w:r>
                  <w:r>
                    <w:rPr>
                      <w:rFonts w:cs="Georgia"/>
                    </w:rPr>
                    <w:t>n</w:t>
                  </w:r>
                  <w:r>
                    <w:rPr>
                      <w:rFonts w:cs="Georgia"/>
                      <w:spacing w:val="1"/>
                    </w:rPr>
                    <w:t xml:space="preserve"> </w:t>
                  </w:r>
                  <w:r>
                    <w:rPr>
                      <w:rFonts w:cs="Georgia"/>
                    </w:rPr>
                    <w:t>i</w:t>
                  </w:r>
                  <w:r>
                    <w:rPr>
                      <w:rFonts w:cs="Georgia"/>
                      <w:spacing w:val="-1"/>
                    </w:rPr>
                    <w:t>n</w:t>
                  </w:r>
                  <w:r>
                    <w:rPr>
                      <w:rFonts w:cs="Georgia"/>
                      <w:spacing w:val="1"/>
                    </w:rPr>
                    <w:t>t</w:t>
                  </w:r>
                  <w:r>
                    <w:rPr>
                      <w:rFonts w:cs="Georgia"/>
                      <w:spacing w:val="-1"/>
                    </w:rPr>
                    <w:t>é</w:t>
                  </w:r>
                  <w:r>
                    <w:rPr>
                      <w:rFonts w:cs="Georgia"/>
                      <w:spacing w:val="-2"/>
                    </w:rPr>
                    <w:t>g</w:t>
                  </w:r>
                  <w:r>
                    <w:rPr>
                      <w:rFonts w:cs="Georgia"/>
                      <w:spacing w:val="1"/>
                    </w:rPr>
                    <w:t>r</w:t>
                  </w:r>
                  <w:r>
                    <w:rPr>
                      <w:rFonts w:cs="Georgia"/>
                      <w:spacing w:val="-1"/>
                    </w:rPr>
                    <w:t>a</w:t>
                  </w:r>
                  <w:r>
                    <w:rPr>
                      <w:rFonts w:cs="Georgia"/>
                      <w:spacing w:val="1"/>
                    </w:rPr>
                    <w:t>t</w:t>
                  </w:r>
                  <w:r>
                    <w:rPr>
                      <w:rFonts w:cs="Georgia"/>
                    </w:rPr>
                    <w:t>i</w:t>
                  </w:r>
                  <w:r>
                    <w:rPr>
                      <w:rFonts w:cs="Georgia"/>
                      <w:spacing w:val="-1"/>
                    </w:rPr>
                    <w:t>o</w:t>
                  </w:r>
                  <w:r>
                    <w:rPr>
                      <w:rFonts w:cs="Georgia"/>
                    </w:rPr>
                    <w:t>n</w:t>
                  </w:r>
                  <w:r>
                    <w:rPr>
                      <w:rFonts w:cs="Georgia"/>
                      <w:spacing w:val="1"/>
                    </w:rPr>
                    <w:t xml:space="preserve"> 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1"/>
                    </w:rPr>
                    <w:t xml:space="preserve"> t</w:t>
                  </w:r>
                  <w:r>
                    <w:rPr>
                      <w:rFonts w:cs="Georgia"/>
                      <w:spacing w:val="-1"/>
                    </w:rPr>
                    <w:t>o</w:t>
                  </w:r>
                  <w:r>
                    <w:rPr>
                      <w:rFonts w:cs="Georgia"/>
                      <w:spacing w:val="1"/>
                    </w:rPr>
                    <w:t>t</w:t>
                  </w:r>
                  <w:r>
                    <w:rPr>
                      <w:rFonts w:cs="Georgia"/>
                      <w:spacing w:val="-1"/>
                    </w:rPr>
                    <w:t>al</w:t>
                  </w:r>
                  <w:r>
                    <w:rPr>
                      <w:rFonts w:cs="Georgia"/>
                    </w:rPr>
                    <w:t>e</w:t>
                  </w:r>
                  <w:r>
                    <w:rPr>
                      <w:rFonts w:cs="Georgia"/>
                      <w:spacing w:val="1"/>
                    </w:rPr>
                    <w:t xml:space="preserve"> c</w:t>
                  </w:r>
                  <w:r>
                    <w:rPr>
                      <w:rFonts w:cs="Georgia"/>
                      <w:spacing w:val="-1"/>
                    </w:rPr>
                    <w:t>o</w:t>
                  </w:r>
                  <w:r>
                    <w:rPr>
                      <w:rFonts w:cs="Georgia"/>
                    </w:rPr>
                    <w:t>m</w:t>
                  </w:r>
                  <w:r>
                    <w:rPr>
                      <w:rFonts w:cs="Georgia"/>
                      <w:spacing w:val="1"/>
                    </w:rPr>
                    <w:t>pt</w:t>
                  </w:r>
                  <w:r>
                    <w:rPr>
                      <w:rFonts w:cs="Georgia"/>
                      <w:spacing w:val="-1"/>
                    </w:rPr>
                    <w:t>en</w:t>
                  </w:r>
                  <w:r>
                    <w:rPr>
                      <w:rFonts w:cs="Georgia"/>
                    </w:rPr>
                    <w:t xml:space="preserve">t </w:t>
                  </w:r>
                  <w:r>
                    <w:rPr>
                      <w:rFonts w:cs="Georgia"/>
                      <w:spacing w:val="-1"/>
                    </w:rPr>
                    <w:t>p</w:t>
                  </w:r>
                  <w:r>
                    <w:rPr>
                      <w:rFonts w:cs="Georgia"/>
                      <w:spacing w:val="1"/>
                    </w:rPr>
                    <w:t>o</w:t>
                  </w:r>
                  <w:r>
                    <w:rPr>
                      <w:rFonts w:cs="Georgia"/>
                    </w:rPr>
                    <w:t>ur u</w:t>
                  </w:r>
                  <w:r>
                    <w:rPr>
                      <w:rFonts w:cs="Georgia"/>
                      <w:spacing w:val="-1"/>
                    </w:rPr>
                    <w:t>n</w:t>
                  </w:r>
                  <w:r>
                    <w:rPr>
                      <w:rFonts w:cs="Georgia"/>
                    </w:rPr>
                    <w:t>e</w:t>
                  </w:r>
                  <w:r>
                    <w:rPr>
                      <w:rFonts w:cs="Georgia"/>
                      <w:spacing w:val="1"/>
                    </w:rPr>
                    <w:t xml:space="preserve"> </w:t>
                  </w:r>
                  <w:r>
                    <w:rPr>
                      <w:rFonts w:cs="Georgia"/>
                    </w:rPr>
                    <w:t>u</w:t>
                  </w:r>
                  <w:r>
                    <w:rPr>
                      <w:rFonts w:cs="Georgia"/>
                      <w:spacing w:val="-1"/>
                    </w:rPr>
                    <w:t>n</w:t>
                  </w:r>
                  <w:r>
                    <w:rPr>
                      <w:rFonts w:cs="Georgia"/>
                    </w:rPr>
                    <w:t>i</w:t>
                  </w:r>
                  <w:r>
                    <w:rPr>
                      <w:rFonts w:cs="Georgia"/>
                      <w:spacing w:val="1"/>
                    </w:rPr>
                    <w:t>t</w:t>
                  </w:r>
                  <w:r>
                    <w:rPr>
                      <w:rFonts w:cs="Georgia"/>
                      <w:spacing w:val="-3"/>
                    </w:rPr>
                    <w:t>é</w:t>
                  </w:r>
                  <w:r>
                    <w:rPr>
                      <w:rFonts w:cs="Georgia"/>
                    </w:rPr>
                    <w:t xml:space="preserve">, </w:t>
                  </w:r>
                  <w:r>
                    <w:rPr>
                      <w:rFonts w:cs="Georgia"/>
                      <w:spacing w:val="-1"/>
                    </w:rPr>
                    <w:t>q</w:t>
                  </w:r>
                  <w:r>
                    <w:rPr>
                      <w:rFonts w:cs="Georgia"/>
                    </w:rPr>
                    <w:t>u</w:t>
                  </w:r>
                  <w:r>
                    <w:rPr>
                      <w:rFonts w:cs="Georgia"/>
                      <w:spacing w:val="-1"/>
                    </w:rPr>
                    <w:t>el q</w:t>
                  </w:r>
                  <w:r>
                    <w:rPr>
                      <w:rFonts w:cs="Georgia"/>
                    </w:rPr>
                    <w:t>ue</w:t>
                  </w:r>
                  <w:r>
                    <w:rPr>
                      <w:rFonts w:cs="Georgia"/>
                      <w:spacing w:val="-1"/>
                    </w:rPr>
                    <w:t xml:space="preserve"> </w:t>
                  </w:r>
                  <w:r>
                    <w:rPr>
                      <w:rFonts w:cs="Georgia"/>
                      <w:spacing w:val="1"/>
                    </w:rPr>
                    <w:t>so</w:t>
                  </w:r>
                  <w:r>
                    <w:rPr>
                      <w:rFonts w:cs="Georgia"/>
                    </w:rPr>
                    <w:t xml:space="preserve">it </w:t>
                  </w:r>
                  <w:r>
                    <w:rPr>
                      <w:rFonts w:cs="Georgia"/>
                      <w:spacing w:val="-1"/>
                    </w:rPr>
                    <w:t>le</w:t>
                  </w:r>
                  <w:r>
                    <w:rPr>
                      <w:rFonts w:cs="Georgia"/>
                    </w:rPr>
                    <w:t>ur f</w:t>
                  </w:r>
                  <w:r>
                    <w:rPr>
                      <w:rFonts w:cs="Georgia"/>
                      <w:spacing w:val="-1"/>
                    </w:rPr>
                    <w:t>o</w:t>
                  </w:r>
                  <w:r>
                    <w:rPr>
                      <w:rFonts w:cs="Georgia"/>
                      <w:spacing w:val="1"/>
                    </w:rPr>
                    <w:t>r</w:t>
                  </w:r>
                  <w:r>
                    <w:rPr>
                      <w:rFonts w:cs="Georgia"/>
                    </w:rPr>
                    <w:t>me</w:t>
                  </w:r>
                  <w:r>
                    <w:rPr>
                      <w:rFonts w:cs="Georgia"/>
                      <w:spacing w:val="-1"/>
                    </w:rPr>
                    <w:t xml:space="preserve"> </w:t>
                  </w:r>
                  <w:r>
                    <w:rPr>
                      <w:rFonts w:cs="Georgia"/>
                      <w:spacing w:val="-2"/>
                    </w:rPr>
                    <w:t>d</w:t>
                  </w:r>
                  <w:r>
                    <w:rPr>
                      <w:rFonts w:cs="Georgia"/>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spacing w:val="1"/>
                    </w:rPr>
                    <w:t>t</w:t>
                  </w:r>
                  <w:r>
                    <w:rPr>
                      <w:rFonts w:cs="Georgia"/>
                    </w:rPr>
                    <w:t>.</w:t>
                  </w:r>
                </w:p>
                <w:p w:rsidR="00F04EEF" w:rsidRDefault="00F04EEF">
                  <w:pPr>
                    <w:widowControl w:val="0"/>
                    <w:autoSpaceDE w:val="0"/>
                    <w:autoSpaceDN w:val="0"/>
                    <w:adjustRightInd w:val="0"/>
                    <w:spacing w:before="9" w:line="240" w:lineRule="exact"/>
                    <w:rPr>
                      <w:rFonts w:cs="Georgia"/>
                    </w:rPr>
                  </w:pPr>
                </w:p>
                <w:p w:rsidR="00F04EEF" w:rsidRDefault="0099351E">
                  <w:pPr>
                    <w:widowControl w:val="0"/>
                    <w:autoSpaceDE w:val="0"/>
                    <w:autoSpaceDN w:val="0"/>
                    <w:adjustRightInd w:val="0"/>
                    <w:spacing w:line="250" w:lineRule="exact"/>
                    <w:jc w:val="both"/>
                    <w:rPr>
                      <w:rFonts w:cs="Georgia"/>
                    </w:rPr>
                  </w:pPr>
                  <w:r>
                    <w:rPr>
                      <w:rFonts w:cs="Georgia"/>
                    </w:rPr>
                    <w:t>D</w:t>
                  </w:r>
                  <w:r>
                    <w:rPr>
                      <w:rFonts w:cs="Georgia"/>
                      <w:spacing w:val="-1"/>
                    </w:rPr>
                    <w:t>an</w:t>
                  </w:r>
                  <w:r>
                    <w:rPr>
                      <w:rFonts w:cs="Georgia"/>
                    </w:rPr>
                    <w:t>s</w:t>
                  </w:r>
                  <w:r>
                    <w:rPr>
                      <w:rFonts w:cs="Georgia"/>
                      <w:spacing w:val="3"/>
                    </w:rPr>
                    <w:t xml:space="preserve"> </w:t>
                  </w:r>
                  <w:r>
                    <w:rPr>
                      <w:rFonts w:cs="Georgia"/>
                      <w:spacing w:val="-1"/>
                    </w:rPr>
                    <w:t>l</w:t>
                  </w:r>
                  <w:r>
                    <w:rPr>
                      <w:rFonts w:cs="Georgia"/>
                    </w:rPr>
                    <w:t>e</w:t>
                  </w:r>
                  <w:r>
                    <w:rPr>
                      <w:rFonts w:cs="Georgia"/>
                      <w:spacing w:val="2"/>
                    </w:rPr>
                    <w:t xml:space="preserve"> </w:t>
                  </w:r>
                  <w:r>
                    <w:rPr>
                      <w:rFonts w:cs="Georgia"/>
                      <w:spacing w:val="1"/>
                    </w:rPr>
                    <w:t>c</w:t>
                  </w:r>
                  <w:r>
                    <w:rPr>
                      <w:rFonts w:cs="Georgia"/>
                      <w:spacing w:val="-1"/>
                    </w:rPr>
                    <w:t>a</w:t>
                  </w:r>
                  <w:r>
                    <w:rPr>
                      <w:rFonts w:cs="Georgia"/>
                    </w:rPr>
                    <w:t>s</w:t>
                  </w:r>
                  <w:r>
                    <w:rPr>
                      <w:rFonts w:cs="Georgia"/>
                      <w:spacing w:val="4"/>
                    </w:rPr>
                    <w:t xml:space="preserve"> </w:t>
                  </w:r>
                  <w:r>
                    <w:rPr>
                      <w:rFonts w:cs="Georgia"/>
                      <w:spacing w:val="1"/>
                    </w:rPr>
                    <w:t>o</w:t>
                  </w:r>
                  <w:r>
                    <w:rPr>
                      <w:rFonts w:cs="Georgia"/>
                    </w:rPr>
                    <w:t>ù</w:t>
                  </w:r>
                  <w:r>
                    <w:rPr>
                      <w:rFonts w:cs="Georgia"/>
                      <w:spacing w:val="3"/>
                    </w:rPr>
                    <w:t xml:space="preserve"> </w:t>
                  </w:r>
                  <w:r>
                    <w:rPr>
                      <w:rFonts w:cs="Georgia"/>
                      <w:spacing w:val="-1"/>
                    </w:rPr>
                    <w:t>l</w:t>
                  </w:r>
                  <w:r>
                    <w:rPr>
                      <w:rFonts w:cs="Georgia"/>
                    </w:rPr>
                    <w:t>e</w:t>
                  </w:r>
                  <w:r>
                    <w:rPr>
                      <w:rFonts w:cs="Georgia"/>
                      <w:spacing w:val="2"/>
                    </w:rPr>
                    <w:t xml:space="preserve"> </w:t>
                  </w:r>
                  <w:r>
                    <w:rPr>
                      <w:rFonts w:cs="Georgia"/>
                      <w:spacing w:val="1"/>
                    </w:rPr>
                    <w:t>t</w:t>
                  </w:r>
                  <w:r>
                    <w:rPr>
                      <w:rFonts w:cs="Georgia"/>
                      <w:spacing w:val="-1"/>
                    </w:rPr>
                    <w:t>o</w:t>
                  </w:r>
                  <w:r>
                    <w:rPr>
                      <w:rFonts w:cs="Georgia"/>
                      <w:spacing w:val="1"/>
                    </w:rPr>
                    <w:t>t</w:t>
                  </w:r>
                  <w:r>
                    <w:rPr>
                      <w:rFonts w:cs="Georgia"/>
                      <w:spacing w:val="-1"/>
                    </w:rPr>
                    <w:t>a</w:t>
                  </w:r>
                  <w:r>
                    <w:rPr>
                      <w:rFonts w:cs="Georgia"/>
                    </w:rPr>
                    <w:t>l</w:t>
                  </w:r>
                  <w:r>
                    <w:rPr>
                      <w:rFonts w:cs="Georgia"/>
                      <w:spacing w:val="2"/>
                    </w:rPr>
                    <w:t xml:space="preserve"> </w:t>
                  </w:r>
                  <w:r>
                    <w:rPr>
                      <w:rFonts w:cs="Georgia"/>
                    </w:rPr>
                    <w:t>du</w:t>
                  </w:r>
                  <w:r>
                    <w:rPr>
                      <w:rFonts w:cs="Georgia"/>
                      <w:spacing w:val="3"/>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2"/>
                    </w:rPr>
                    <w:t xml:space="preserve"> </w:t>
                  </w:r>
                  <w:r>
                    <w:rPr>
                      <w:rFonts w:cs="Georgia"/>
                      <w:spacing w:val="-2"/>
                    </w:rPr>
                    <w:t>d</w:t>
                  </w:r>
                  <w:r>
                    <w:rPr>
                      <w:rFonts w:cs="Georgia"/>
                      <w:spacing w:val="1"/>
                    </w:rPr>
                    <w:t>'</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r</w:t>
                  </w:r>
                  <w:r>
                    <w:rPr>
                      <w:rFonts w:cs="Georgia"/>
                      <w:spacing w:val="-1"/>
                    </w:rPr>
                    <w:t>é</w:t>
                  </w:r>
                  <w:r>
                    <w:rPr>
                      <w:rFonts w:cs="Georgia"/>
                    </w:rPr>
                    <w:t>gu</w:t>
                  </w:r>
                  <w:r>
                    <w:rPr>
                      <w:rFonts w:cs="Georgia"/>
                      <w:spacing w:val="-1"/>
                    </w:rPr>
                    <w:t>l</w:t>
                  </w:r>
                  <w:r>
                    <w:rPr>
                      <w:rFonts w:cs="Georgia"/>
                    </w:rPr>
                    <w:t>i</w:t>
                  </w:r>
                  <w:r>
                    <w:rPr>
                      <w:rFonts w:cs="Georgia"/>
                      <w:spacing w:val="-1"/>
                    </w:rPr>
                    <w:t>e</w:t>
                  </w:r>
                  <w:r>
                    <w:rPr>
                      <w:rFonts w:cs="Georgia"/>
                      <w:spacing w:val="1"/>
                    </w:rPr>
                    <w:t>r</w:t>
                  </w:r>
                  <w:r>
                    <w:rPr>
                      <w:rFonts w:cs="Georgia"/>
                    </w:rPr>
                    <w:t>s</w:t>
                  </w:r>
                  <w:r>
                    <w:rPr>
                      <w:rFonts w:cs="Georgia"/>
                      <w:spacing w:val="4"/>
                    </w:rPr>
                    <w:t xml:space="preserve"> </w:t>
                  </w:r>
                  <w:r>
                    <w:rPr>
                      <w:rFonts w:cs="Georgia"/>
                      <w:spacing w:val="-1"/>
                    </w:rPr>
                    <w:t>e</w:t>
                  </w:r>
                  <w:r>
                    <w:rPr>
                      <w:rFonts w:cs="Georgia"/>
                    </w:rPr>
                    <w:t>t</w:t>
                  </w:r>
                  <w:r>
                    <w:rPr>
                      <w:rFonts w:cs="Georgia"/>
                      <w:spacing w:val="4"/>
                    </w:rPr>
                    <w:t xml:space="preserve"> </w:t>
                  </w:r>
                  <w:r>
                    <w:rPr>
                      <w:rFonts w:cs="Georgia"/>
                      <w:spacing w:val="-2"/>
                    </w:rPr>
                    <w:t>d</w:t>
                  </w:r>
                  <w:r>
                    <w:rPr>
                      <w:rFonts w:cs="Georgia"/>
                    </w:rPr>
                    <w:t>u</w:t>
                  </w:r>
                  <w:r>
                    <w:rPr>
                      <w:rFonts w:cs="Georgia"/>
                      <w:spacing w:val="3"/>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 d’</w:t>
                  </w:r>
                  <w:r>
                    <w:rPr>
                      <w:rFonts w:cs="Georgia"/>
                      <w:spacing w:val="-1"/>
                    </w:rPr>
                    <w:t>élè</w:t>
                  </w:r>
                  <w:r>
                    <w:rPr>
                      <w:rFonts w:cs="Georgia"/>
                      <w:spacing w:val="1"/>
                    </w:rPr>
                    <w:t>v</w:t>
                  </w:r>
                  <w:r>
                    <w:rPr>
                      <w:rFonts w:cs="Georgia"/>
                      <w:spacing w:val="-1"/>
                    </w:rPr>
                    <w:t>e</w:t>
                  </w:r>
                  <w:r>
                    <w:rPr>
                      <w:rFonts w:cs="Georgia"/>
                    </w:rPr>
                    <w:t>s</w:t>
                  </w:r>
                  <w:r>
                    <w:rPr>
                      <w:rFonts w:cs="Georgia"/>
                      <w:spacing w:val="4"/>
                    </w:rPr>
                    <w:t xml:space="preserve"> </w:t>
                  </w:r>
                  <w:r>
                    <w:rPr>
                      <w:rFonts w:cs="Georgia"/>
                      <w:spacing w:val="-1"/>
                    </w:rPr>
                    <w:t>e</w:t>
                  </w:r>
                  <w:r>
                    <w:rPr>
                      <w:rFonts w:cs="Georgia"/>
                    </w:rPr>
                    <w:t>n</w:t>
                  </w:r>
                  <w:r>
                    <w:rPr>
                      <w:rFonts w:cs="Georgia"/>
                      <w:spacing w:val="2"/>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rPr>
                    <w:t>i</w:t>
                  </w:r>
                  <w:r>
                    <w:rPr>
                      <w:rFonts w:cs="Georgia"/>
                      <w:spacing w:val="-1"/>
                    </w:rPr>
                    <w:t>o</w:t>
                  </w:r>
                  <w:r>
                    <w:rPr>
                      <w:rFonts w:cs="Georgia"/>
                    </w:rPr>
                    <w:t xml:space="preserve">n </w:t>
                  </w:r>
                  <w:r>
                    <w:rPr>
                      <w:rFonts w:cs="Georgia"/>
                      <w:spacing w:val="1"/>
                    </w:rPr>
                    <w:t>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2"/>
                    </w:rPr>
                    <w:t xml:space="preserve"> </w:t>
                  </w:r>
                  <w:r>
                    <w:rPr>
                      <w:rFonts w:cs="Georgia"/>
                      <w:spacing w:val="1"/>
                    </w:rPr>
                    <w:t>t</w:t>
                  </w:r>
                  <w:r>
                    <w:rPr>
                      <w:rFonts w:cs="Georgia"/>
                      <w:spacing w:val="-1"/>
                    </w:rPr>
                    <w:t>o</w:t>
                  </w:r>
                  <w:r>
                    <w:rPr>
                      <w:rFonts w:cs="Georgia"/>
                      <w:spacing w:val="1"/>
                    </w:rPr>
                    <w:t>t</w:t>
                  </w:r>
                  <w:r>
                    <w:rPr>
                      <w:rFonts w:cs="Georgia"/>
                      <w:spacing w:val="-1"/>
                    </w:rPr>
                    <w:t>al</w:t>
                  </w:r>
                  <w:r>
                    <w:rPr>
                      <w:rFonts w:cs="Georgia"/>
                    </w:rPr>
                    <w:t>e</w:t>
                  </w:r>
                  <w:r>
                    <w:rPr>
                      <w:rFonts w:cs="Georgia"/>
                      <w:spacing w:val="2"/>
                    </w:rPr>
                    <w:t xml:space="preserve"> </w:t>
                  </w:r>
                  <w:r>
                    <w:rPr>
                      <w:rFonts w:cs="Georgia"/>
                      <w:spacing w:val="-1"/>
                    </w:rPr>
                    <w:t>n</w:t>
                  </w:r>
                  <w:r>
                    <w:rPr>
                      <w:rFonts w:cs="Georgia"/>
                      <w:spacing w:val="1"/>
                    </w:rPr>
                    <w:t>'</w:t>
                  </w:r>
                  <w:r>
                    <w:rPr>
                      <w:rFonts w:cs="Georgia"/>
                      <w:spacing w:val="-1"/>
                    </w:rPr>
                    <w:t>a</w:t>
                  </w:r>
                  <w:r>
                    <w:rPr>
                      <w:rFonts w:cs="Georgia"/>
                      <w:spacing w:val="1"/>
                    </w:rPr>
                    <w:t>tt</w:t>
                  </w:r>
                  <w:r>
                    <w:rPr>
                      <w:rFonts w:cs="Georgia"/>
                      <w:spacing w:val="-1"/>
                    </w:rPr>
                    <w:t>e</w:t>
                  </w:r>
                  <w:r>
                    <w:rPr>
                      <w:rFonts w:cs="Georgia"/>
                    </w:rPr>
                    <w:t>i</w:t>
                  </w:r>
                  <w:r>
                    <w:rPr>
                      <w:rFonts w:cs="Georgia"/>
                      <w:spacing w:val="-1"/>
                    </w:rPr>
                    <w:t>n</w:t>
                  </w:r>
                  <w:r>
                    <w:rPr>
                      <w:rFonts w:cs="Georgia"/>
                    </w:rPr>
                    <w:t>t</w:t>
                  </w:r>
                  <w:r>
                    <w:rPr>
                      <w:rFonts w:cs="Georgia"/>
                      <w:spacing w:val="4"/>
                    </w:rPr>
                    <w:t xml:space="preserve"> </w:t>
                  </w:r>
                  <w:r>
                    <w:rPr>
                      <w:rFonts w:cs="Georgia"/>
                      <w:spacing w:val="1"/>
                    </w:rPr>
                    <w:t>p</w:t>
                  </w:r>
                  <w:r>
                    <w:rPr>
                      <w:rFonts w:cs="Georgia"/>
                      <w:spacing w:val="-1"/>
                    </w:rPr>
                    <w:t>a</w:t>
                  </w:r>
                  <w:r>
                    <w:rPr>
                      <w:rFonts w:cs="Georgia"/>
                    </w:rPr>
                    <w:t>s</w:t>
                  </w:r>
                  <w:r>
                    <w:rPr>
                      <w:rFonts w:cs="Georgia"/>
                      <w:spacing w:val="1"/>
                    </w:rPr>
                    <w:t xml:space="preserve"> </w:t>
                  </w:r>
                  <w:r>
                    <w:rPr>
                      <w:rFonts w:cs="Georgia"/>
                    </w:rPr>
                    <w:t>9</w:t>
                  </w:r>
                  <w:r>
                    <w:rPr>
                      <w:rFonts w:cs="Georgia"/>
                      <w:spacing w:val="-1"/>
                    </w:rPr>
                    <w:t>0</w:t>
                  </w:r>
                  <w:r>
                    <w:rPr>
                      <w:rFonts w:cs="Georgia"/>
                    </w:rPr>
                    <w:t>,</w:t>
                  </w:r>
                  <w:r>
                    <w:rPr>
                      <w:rFonts w:cs="Georgia"/>
                      <w:spacing w:val="4"/>
                    </w:rPr>
                    <w:t xml:space="preserve"> </w:t>
                  </w:r>
                  <w:r>
                    <w:rPr>
                      <w:rFonts w:cs="Georgia"/>
                      <w:spacing w:val="-1"/>
                    </w:rPr>
                    <w:t>l</w:t>
                  </w:r>
                  <w:r>
                    <w:rPr>
                      <w:rFonts w:cs="Georgia"/>
                    </w:rPr>
                    <w:t>e directeur</w:t>
                  </w:r>
                  <w:r>
                    <w:rPr>
                      <w:rFonts w:cs="Georgia"/>
                      <w:spacing w:val="1"/>
                    </w:rPr>
                    <w:t xml:space="preserve"> </w:t>
                  </w:r>
                  <w:r>
                    <w:rPr>
                      <w:rFonts w:cs="Georgia"/>
                      <w:spacing w:val="-1"/>
                    </w:rPr>
                    <w:t>e</w:t>
                  </w:r>
                  <w:r>
                    <w:rPr>
                      <w:rFonts w:cs="Georgia"/>
                      <w:spacing w:val="1"/>
                    </w:rPr>
                    <w:t>s</w:t>
                  </w:r>
                  <w:r>
                    <w:rPr>
                      <w:rFonts w:cs="Georgia"/>
                    </w:rPr>
                    <w:t>t</w:t>
                  </w:r>
                  <w:r>
                    <w:rPr>
                      <w:rFonts w:cs="Georgia"/>
                      <w:spacing w:val="4"/>
                    </w:rPr>
                    <w:t xml:space="preserve"> </w:t>
                  </w:r>
                  <w:r>
                    <w:rPr>
                      <w:rFonts w:cs="Georgia"/>
                      <w:spacing w:val="-2"/>
                    </w:rPr>
                    <w:t>c</w:t>
                  </w:r>
                  <w:r>
                    <w:rPr>
                      <w:rFonts w:cs="Georgia"/>
                      <w:spacing w:val="1"/>
                    </w:rPr>
                    <w:t>h</w:t>
                  </w:r>
                  <w:r>
                    <w:rPr>
                      <w:rFonts w:cs="Georgia"/>
                      <w:spacing w:val="-1"/>
                    </w:rPr>
                    <w:t>a</w:t>
                  </w:r>
                  <w:r>
                    <w:rPr>
                      <w:rFonts w:cs="Georgia"/>
                      <w:spacing w:val="-2"/>
                    </w:rPr>
                    <w:t>r</w:t>
                  </w:r>
                  <w:r>
                    <w:rPr>
                      <w:rFonts w:cs="Georgia"/>
                    </w:rPr>
                    <w:t>gé</w:t>
                  </w:r>
                  <w:r>
                    <w:rPr>
                      <w:rFonts w:cs="Georgia"/>
                      <w:spacing w:val="2"/>
                    </w:rPr>
                    <w:t xml:space="preserve"> </w:t>
                  </w:r>
                  <w:r>
                    <w:rPr>
                      <w:rFonts w:cs="Georgia"/>
                    </w:rPr>
                    <w:t>de</w:t>
                  </w:r>
                  <w:r>
                    <w:rPr>
                      <w:rFonts w:cs="Georgia"/>
                      <w:spacing w:val="2"/>
                    </w:rPr>
                    <w:t xml:space="preserve"> </w:t>
                  </w:r>
                  <w:r>
                    <w:rPr>
                      <w:rFonts w:cs="Georgia"/>
                    </w:rPr>
                    <w:t>d</w:t>
                  </w:r>
                  <w:r>
                    <w:rPr>
                      <w:rFonts w:cs="Georgia"/>
                      <w:spacing w:val="-1"/>
                    </w:rPr>
                    <w:t>e</w:t>
                  </w:r>
                  <w:r>
                    <w:rPr>
                      <w:rFonts w:cs="Georgia"/>
                    </w:rPr>
                    <w:t xml:space="preserve">ux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spacing w:val="-2"/>
                    </w:rPr>
                    <w:t>d</w:t>
                  </w:r>
                  <w:r>
                    <w:rPr>
                      <w:rFonts w:cs="Georgia"/>
                      <w:spacing w:val="-1"/>
                    </w:rPr>
                    <w:t>e</w:t>
                  </w:r>
                  <w:r>
                    <w:rPr>
                      <w:rFonts w:cs="Georgia"/>
                    </w:rPr>
                    <w:t>s</w:t>
                  </w:r>
                  <w:r>
                    <w:rPr>
                      <w:rFonts w:cs="Georgia"/>
                      <w:spacing w:val="4"/>
                    </w:rPr>
                    <w:t xml:space="preserve"> </w:t>
                  </w:r>
                  <w:r>
                    <w:rPr>
                      <w:rFonts w:cs="Georgia"/>
                    </w:rPr>
                    <w:t>de</w:t>
                  </w:r>
                  <w:r>
                    <w:rPr>
                      <w:rFonts w:cs="Georgia"/>
                      <w:spacing w:val="2"/>
                    </w:rPr>
                    <w:t xml:space="preserve"> </w:t>
                  </w:r>
                  <w:r>
                    <w:rPr>
                      <w:rFonts w:cs="Georgia"/>
                      <w:spacing w:val="-2"/>
                    </w:rPr>
                    <w:t>c</w:t>
                  </w:r>
                  <w:r>
                    <w:rPr>
                      <w:rFonts w:cs="Georgia"/>
                      <w:spacing w:val="1"/>
                    </w:rPr>
                    <w:t>o</w:t>
                  </w:r>
                  <w:r>
                    <w:rPr>
                      <w:rFonts w:cs="Georgia"/>
                    </w:rPr>
                    <w:t>u</w:t>
                  </w:r>
                  <w:r>
                    <w:rPr>
                      <w:rFonts w:cs="Georgia"/>
                      <w:spacing w:val="-2"/>
                    </w:rPr>
                    <w:t>r</w:t>
                  </w:r>
                  <w:r>
                    <w:rPr>
                      <w:rFonts w:cs="Georgia"/>
                    </w:rPr>
                    <w:t>s</w:t>
                  </w:r>
                  <w:r>
                    <w:rPr>
                      <w:rFonts w:cs="Georgia"/>
                      <w:spacing w:val="4"/>
                    </w:rPr>
                    <w:t xml:space="preserve"> </w:t>
                  </w:r>
                  <w:r>
                    <w:rPr>
                      <w:rFonts w:cs="Georgia"/>
                      <w:spacing w:val="1"/>
                    </w:rPr>
                    <w:t>p</w:t>
                  </w:r>
                  <w:r>
                    <w:rPr>
                      <w:rFonts w:cs="Georgia"/>
                      <w:spacing w:val="-3"/>
                    </w:rPr>
                    <w:t>a</w:t>
                  </w:r>
                  <w:r>
                    <w:rPr>
                      <w:rFonts w:cs="Georgia"/>
                    </w:rPr>
                    <w:t>r</w:t>
                  </w:r>
                  <w:r>
                    <w:rPr>
                      <w:rFonts w:cs="Georgia"/>
                      <w:spacing w:val="4"/>
                    </w:rPr>
                    <w:t xml:space="preserve"> </w:t>
                  </w:r>
                  <w:r>
                    <w:rPr>
                      <w:rFonts w:cs="Georgia"/>
                      <w:spacing w:val="-2"/>
                    </w:rPr>
                    <w:t>t</w:t>
                  </w:r>
                  <w:r>
                    <w:rPr>
                      <w:rFonts w:cs="Georgia"/>
                      <w:spacing w:val="1"/>
                    </w:rPr>
                    <w:t>r</w:t>
                  </w:r>
                  <w:r>
                    <w:rPr>
                      <w:rFonts w:cs="Georgia"/>
                      <w:spacing w:val="-1"/>
                    </w:rPr>
                    <w:t>an</w:t>
                  </w:r>
                  <w:r>
                    <w:rPr>
                      <w:rFonts w:cs="Georgia"/>
                      <w:spacing w:val="1"/>
                    </w:rPr>
                    <w:t>c</w:t>
                  </w:r>
                  <w:r>
                    <w:rPr>
                      <w:rFonts w:cs="Georgia"/>
                      <w:spacing w:val="-1"/>
                    </w:rPr>
                    <w:t>h</w:t>
                  </w:r>
                  <w:r>
                    <w:rPr>
                      <w:rFonts w:cs="Georgia"/>
                    </w:rPr>
                    <w:t xml:space="preserve">e </w:t>
                  </w:r>
                  <w:r>
                    <w:rPr>
                      <w:rFonts w:cs="Georgia"/>
                      <w:spacing w:val="1"/>
                    </w:rPr>
                    <w:t>co</w:t>
                  </w:r>
                  <w:r>
                    <w:rPr>
                      <w:rFonts w:cs="Georgia"/>
                      <w:spacing w:val="-3"/>
                    </w:rPr>
                    <w:t>m</w:t>
                  </w:r>
                  <w:r>
                    <w:rPr>
                      <w:rFonts w:cs="Georgia"/>
                      <w:spacing w:val="1"/>
                    </w:rPr>
                    <w:t>p</w:t>
                  </w:r>
                  <w:r>
                    <w:rPr>
                      <w:rFonts w:cs="Georgia"/>
                      <w:spacing w:val="-1"/>
                    </w:rPr>
                    <w:t>lè</w:t>
                  </w:r>
                  <w:r>
                    <w:rPr>
                      <w:rFonts w:cs="Georgia"/>
                      <w:spacing w:val="1"/>
                    </w:rPr>
                    <w:t>t</w:t>
                  </w:r>
                  <w:r>
                    <w:rPr>
                      <w:rFonts w:cs="Georgia"/>
                    </w:rPr>
                    <w:t>e</w:t>
                  </w:r>
                  <w:r>
                    <w:rPr>
                      <w:rFonts w:cs="Georgia"/>
                      <w:spacing w:val="-1"/>
                    </w:rPr>
                    <w:t xml:space="preserve"> </w:t>
                  </w:r>
                  <w:r>
                    <w:rPr>
                      <w:rFonts w:cs="Georgia"/>
                    </w:rPr>
                    <w:t>de</w:t>
                  </w:r>
                  <w:r>
                    <w:rPr>
                      <w:rFonts w:cs="Georgia"/>
                      <w:spacing w:val="-1"/>
                    </w:rPr>
                    <w:t xml:space="preserve"> </w:t>
                  </w:r>
                  <w:r>
                    <w:rPr>
                      <w:rFonts w:cs="Georgia"/>
                    </w:rPr>
                    <w:t xml:space="preserve">9 </w:t>
                  </w:r>
                  <w:r>
                    <w:rPr>
                      <w:rFonts w:cs="Georgia"/>
                      <w:spacing w:val="-1"/>
                    </w:rPr>
                    <w:t>élè</w:t>
                  </w:r>
                  <w:r>
                    <w:rPr>
                      <w:rFonts w:cs="Georgia"/>
                      <w:spacing w:val="1"/>
                    </w:rPr>
                    <w:t>v</w:t>
                  </w:r>
                  <w:r>
                    <w:rPr>
                      <w:rFonts w:cs="Georgia"/>
                      <w:spacing w:val="-1"/>
                    </w:rPr>
                    <w:t>e</w:t>
                  </w:r>
                  <w:r>
                    <w:rPr>
                      <w:rFonts w:cs="Georgia"/>
                    </w:rPr>
                    <w:t xml:space="preserve">s </w:t>
                  </w:r>
                  <w:r>
                    <w:rPr>
                      <w:rFonts w:cs="Georgia"/>
                      <w:spacing w:val="-1"/>
                    </w:rPr>
                    <w:t>e</w:t>
                  </w:r>
                  <w:r>
                    <w:rPr>
                      <w:rFonts w:cs="Georgia"/>
                    </w:rPr>
                    <w:t>n</w:t>
                  </w:r>
                  <w:r>
                    <w:rPr>
                      <w:rFonts w:cs="Georgia"/>
                      <w:spacing w:val="1"/>
                    </w:rPr>
                    <w:t xml:space="preserve"> </w:t>
                  </w:r>
                  <w:r>
                    <w:rPr>
                      <w:rFonts w:cs="Georgia"/>
                    </w:rPr>
                    <w:t>m</w:t>
                  </w:r>
                  <w:r>
                    <w:rPr>
                      <w:rFonts w:cs="Georgia"/>
                      <w:spacing w:val="1"/>
                    </w:rPr>
                    <w:t>o</w:t>
                  </w:r>
                  <w:r>
                    <w:rPr>
                      <w:rFonts w:cs="Georgia"/>
                    </w:rPr>
                    <w:t>i</w:t>
                  </w:r>
                  <w:r>
                    <w:rPr>
                      <w:rFonts w:cs="Georgia"/>
                      <w:spacing w:val="-1"/>
                    </w:rPr>
                    <w:t>n</w:t>
                  </w:r>
                  <w:r>
                    <w:rPr>
                      <w:rFonts w:cs="Georgia"/>
                      <w:spacing w:val="1"/>
                    </w:rPr>
                    <w:t>s</w:t>
                  </w:r>
                  <w:r>
                    <w:rPr>
                      <w:rFonts w:cs="Georgia"/>
                    </w:rPr>
                    <w:t>.</w:t>
                  </w:r>
                </w:p>
                <w:p w:rsidR="00F04EEF" w:rsidRDefault="00F04EEF">
                  <w:pPr>
                    <w:widowControl w:val="0"/>
                    <w:autoSpaceDE w:val="0"/>
                    <w:autoSpaceDN w:val="0"/>
                    <w:adjustRightInd w:val="0"/>
                    <w:jc w:val="both"/>
                    <w:rPr>
                      <w:rFonts w:cs="Georgia"/>
                    </w:rPr>
                  </w:pPr>
                </w:p>
                <w:p w:rsidR="00F04EEF" w:rsidRDefault="0099351E">
                  <w:pPr>
                    <w:widowControl w:val="0"/>
                    <w:tabs>
                      <w:tab w:val="left" w:pos="8789"/>
                    </w:tabs>
                    <w:autoSpaceDE w:val="0"/>
                    <w:autoSpaceDN w:val="0"/>
                    <w:adjustRightInd w:val="0"/>
                    <w:jc w:val="both"/>
                    <w:rPr>
                      <w:rFonts w:cs="Georgia"/>
                      <w:spacing w:val="1"/>
                    </w:rPr>
                  </w:pPr>
                  <w:r>
                    <w:rPr>
                      <w:rFonts w:cs="Georgia"/>
                    </w:rPr>
                    <w:t>C</w:t>
                  </w:r>
                  <w:r>
                    <w:rPr>
                      <w:rFonts w:cs="Georgia"/>
                      <w:spacing w:val="-1"/>
                    </w:rPr>
                    <w:t>e</w:t>
                  </w:r>
                  <w:r>
                    <w:rPr>
                      <w:rFonts w:cs="Georgia"/>
                    </w:rPr>
                    <w:t xml:space="preserve">s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2"/>
                    </w:rPr>
                    <w:t>s</w:t>
                  </w:r>
                  <w:r>
                    <w:rPr>
                      <w:rFonts w:cs="Georgia"/>
                      <w:spacing w:val="1"/>
                    </w:rPr>
                    <w:t>o</w:t>
                  </w:r>
                  <w:r>
                    <w:rPr>
                      <w:rFonts w:cs="Georgia"/>
                      <w:spacing w:val="-1"/>
                    </w:rPr>
                    <w:t>n</w:t>
                  </w:r>
                  <w:r>
                    <w:rPr>
                      <w:rFonts w:cs="Georgia"/>
                    </w:rPr>
                    <w:t>t</w:t>
                  </w:r>
                  <w:r>
                    <w:rPr>
                      <w:rFonts w:cs="Georgia"/>
                      <w:spacing w:val="-2"/>
                    </w:rPr>
                    <w:t xml:space="preserve"> </w:t>
                  </w:r>
                  <w:r>
                    <w:rPr>
                      <w:rFonts w:cs="Georgia"/>
                      <w:spacing w:val="1"/>
                    </w:rPr>
                    <w:t>pr</w:t>
                  </w:r>
                  <w:r>
                    <w:rPr>
                      <w:rFonts w:cs="Georgia"/>
                      <w:spacing w:val="-1"/>
                    </w:rPr>
                    <w:t>éle</w:t>
                  </w:r>
                  <w:r>
                    <w:rPr>
                      <w:rFonts w:cs="Georgia"/>
                      <w:spacing w:val="-2"/>
                    </w:rPr>
                    <w:t>v</w:t>
                  </w:r>
                  <w:r>
                    <w:rPr>
                      <w:rFonts w:cs="Georgia"/>
                      <w:spacing w:val="-1"/>
                    </w:rPr>
                    <w:t>ée</w:t>
                  </w:r>
                  <w:r>
                    <w:rPr>
                      <w:rFonts w:cs="Georgia"/>
                    </w:rPr>
                    <w:t xml:space="preserve">s </w:t>
                  </w:r>
                  <w:r>
                    <w:rPr>
                      <w:rFonts w:cs="Georgia"/>
                      <w:spacing w:val="1"/>
                    </w:rPr>
                    <w:t>s</w:t>
                  </w:r>
                  <w:r>
                    <w:rPr>
                      <w:rFonts w:cs="Georgia"/>
                    </w:rPr>
                    <w:t xml:space="preserve">ur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3"/>
                    </w:rPr>
                    <w:t>e</w:t>
                  </w:r>
                  <w:r>
                    <w:rPr>
                      <w:rFonts w:cs="Georgia"/>
                      <w:spacing w:val="1"/>
                    </w:rPr>
                    <w:t>s.</w:t>
                  </w:r>
                </w:p>
                <w:p w:rsidR="00F04EEF" w:rsidRDefault="00F04EEF">
                  <w:pPr>
                    <w:widowControl w:val="0"/>
                    <w:autoSpaceDE w:val="0"/>
                    <w:autoSpaceDN w:val="0"/>
                    <w:adjustRightInd w:val="0"/>
                    <w:spacing w:before="6" w:line="90" w:lineRule="exact"/>
                    <w:rPr>
                      <w:rFonts w:cs="Georgia"/>
                    </w:rPr>
                  </w:pPr>
                </w:p>
                <w:tbl>
                  <w:tblPr>
                    <w:tblW w:w="9540" w:type="dxa"/>
                    <w:jc w:val="center"/>
                    <w:tblLayout w:type="fixed"/>
                    <w:tblCellMar>
                      <w:left w:w="0" w:type="dxa"/>
                      <w:right w:w="0" w:type="dxa"/>
                    </w:tblCellMar>
                    <w:tblLook w:val="0000" w:firstRow="0" w:lastRow="0" w:firstColumn="0" w:lastColumn="0" w:noHBand="0" w:noVBand="0"/>
                  </w:tblPr>
                  <w:tblGrid>
                    <w:gridCol w:w="4769"/>
                    <w:gridCol w:w="4771"/>
                  </w:tblGrid>
                  <w:tr w:rsidR="00F04EEF">
                    <w:trPr>
                      <w:trHeight w:hRule="exact" w:val="260"/>
                      <w:jc w:val="center"/>
                    </w:trPr>
                    <w:tc>
                      <w:tcPr>
                        <w:tcW w:w="4769" w:type="dxa"/>
                        <w:tcBorders>
                          <w:top w:val="single" w:sz="4" w:space="0" w:color="000000"/>
                          <w:left w:val="single" w:sz="4" w:space="0" w:color="000000"/>
                          <w:bottom w:val="nil"/>
                          <w:right w:val="single" w:sz="4" w:space="0" w:color="000000"/>
                        </w:tcBorders>
                      </w:tcPr>
                      <w:p w:rsidR="00F04EEF" w:rsidRDefault="0099351E">
                        <w:pPr>
                          <w:widowControl w:val="0"/>
                          <w:autoSpaceDE w:val="0"/>
                          <w:autoSpaceDN w:val="0"/>
                          <w:adjustRightInd w:val="0"/>
                          <w:spacing w:before="1"/>
                        </w:pP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w:t>
                        </w:r>
                        <w:r>
                          <w:rPr>
                            <w:rFonts w:cs="Georgia"/>
                            <w:spacing w:val="-1"/>
                            <w:u w:val="single"/>
                          </w:rPr>
                          <w:t>élè</w:t>
                        </w:r>
                        <w:r>
                          <w:rPr>
                            <w:rFonts w:cs="Georgia"/>
                            <w:spacing w:val="1"/>
                            <w:u w:val="single"/>
                          </w:rPr>
                          <w:t>v</w:t>
                        </w:r>
                        <w:r>
                          <w:rPr>
                            <w:rFonts w:cs="Georgia"/>
                            <w:spacing w:val="-1"/>
                            <w:u w:val="single"/>
                          </w:rPr>
                          <w:t>es</w:t>
                        </w:r>
                        <w:r>
                          <w:rPr>
                            <w:rFonts w:cs="Georgia"/>
                            <w:u w:val="single"/>
                          </w:rPr>
                          <w:t xml:space="preserve"> </w:t>
                        </w:r>
                        <w:r>
                          <w:rPr>
                            <w:rFonts w:cs="Georgia"/>
                            <w:spacing w:val="-51"/>
                          </w:rPr>
                          <w:t xml:space="preserve"> </w:t>
                        </w:r>
                        <w:r>
                          <w:rPr>
                            <w:rFonts w:cs="Georgia"/>
                          </w:rPr>
                          <w:t>:</w:t>
                        </w:r>
                      </w:p>
                    </w:tc>
                    <w:tc>
                      <w:tcPr>
                        <w:tcW w:w="4771" w:type="dxa"/>
                        <w:tcBorders>
                          <w:top w:val="single" w:sz="4" w:space="0" w:color="000000"/>
                          <w:left w:val="single" w:sz="4" w:space="0" w:color="000000"/>
                          <w:bottom w:val="nil"/>
                          <w:right w:val="single" w:sz="4" w:space="0" w:color="000000"/>
                        </w:tcBorders>
                      </w:tcPr>
                      <w:p w:rsidR="00F04EEF" w:rsidRDefault="0099351E">
                        <w:pPr>
                          <w:widowControl w:val="0"/>
                          <w:autoSpaceDE w:val="0"/>
                          <w:autoSpaceDN w:val="0"/>
                          <w:adjustRightInd w:val="0"/>
                          <w:spacing w:before="1"/>
                        </w:pP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de</w:t>
                        </w:r>
                        <w:r>
                          <w:rPr>
                            <w:rFonts w:cs="Georgia"/>
                            <w:spacing w:val="-2"/>
                            <w:u w:val="single"/>
                          </w:rPr>
                          <w:t xml:space="preserve"> </w:t>
                        </w:r>
                        <w:r>
                          <w:rPr>
                            <w:rFonts w:cs="Georgia"/>
                            <w:spacing w:val="1"/>
                            <w:u w:val="single"/>
                          </w:rPr>
                          <w:t>p</w:t>
                        </w:r>
                        <w:r>
                          <w:rPr>
                            <w:rFonts w:cs="Georgia"/>
                            <w:spacing w:val="-1"/>
                            <w:u w:val="single"/>
                          </w:rPr>
                          <w:t>é</w:t>
                        </w:r>
                        <w:r>
                          <w:rPr>
                            <w:rFonts w:cs="Georgia"/>
                            <w:spacing w:val="1"/>
                            <w:u w:val="single"/>
                          </w:rPr>
                          <w:t>r</w:t>
                        </w:r>
                        <w:r>
                          <w:rPr>
                            <w:rFonts w:cs="Georgia"/>
                            <w:spacing w:val="-2"/>
                            <w:u w:val="single"/>
                          </w:rPr>
                          <w:t>i</w:t>
                        </w:r>
                        <w:r>
                          <w:rPr>
                            <w:rFonts w:cs="Georgia"/>
                            <w:spacing w:val="1"/>
                            <w:u w:val="single"/>
                          </w:rPr>
                          <w:t>o</w:t>
                        </w:r>
                        <w:r>
                          <w:rPr>
                            <w:rFonts w:cs="Georgia"/>
                            <w:u w:val="single"/>
                          </w:rPr>
                          <w:t>d</w:t>
                        </w:r>
                        <w:r>
                          <w:rPr>
                            <w:rFonts w:cs="Georgia"/>
                            <w:spacing w:val="-1"/>
                            <w:u w:val="single"/>
                          </w:rPr>
                          <w:t>e</w:t>
                        </w:r>
                        <w:r>
                          <w:rPr>
                            <w:rFonts w:cs="Georgia"/>
                            <w:u w:val="single"/>
                          </w:rPr>
                          <w:t>s</w:t>
                        </w:r>
                        <w:r>
                          <w:rPr>
                            <w:rFonts w:cs="Georgia"/>
                            <w:spacing w:val="2"/>
                          </w:rPr>
                          <w:t xml:space="preserve"> </w:t>
                        </w:r>
                        <w:r>
                          <w:rPr>
                            <w:rFonts w:cs="Georgia"/>
                          </w:rPr>
                          <w:t>:</w:t>
                        </w:r>
                      </w:p>
                    </w:tc>
                  </w:tr>
                  <w:tr w:rsidR="00F04EEF">
                    <w:trPr>
                      <w:trHeight w:hRule="exact" w:val="250"/>
                      <w:jc w:val="center"/>
                    </w:trPr>
                    <w:tc>
                      <w:tcPr>
                        <w:tcW w:w="4769"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73 à</w:t>
                        </w:r>
                        <w:r>
                          <w:rPr>
                            <w:rFonts w:cs="Georgia"/>
                            <w:spacing w:val="-1"/>
                          </w:rPr>
                          <w:t xml:space="preserve"> </w:t>
                        </w:r>
                        <w:r>
                          <w:rPr>
                            <w:rFonts w:cs="Georgia"/>
                          </w:rPr>
                          <w:t>81</w:t>
                        </w:r>
                      </w:p>
                    </w:tc>
                    <w:tc>
                      <w:tcPr>
                        <w:tcW w:w="4771"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2</w:t>
                        </w:r>
                      </w:p>
                    </w:tc>
                  </w:tr>
                  <w:tr w:rsidR="00F04EEF">
                    <w:trPr>
                      <w:trHeight w:hRule="exact" w:val="250"/>
                      <w:jc w:val="center"/>
                    </w:trPr>
                    <w:tc>
                      <w:tcPr>
                        <w:tcW w:w="4769"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64 à</w:t>
                        </w:r>
                        <w:r>
                          <w:rPr>
                            <w:rFonts w:cs="Georgia"/>
                            <w:spacing w:val="-1"/>
                          </w:rPr>
                          <w:t xml:space="preserve"> </w:t>
                        </w:r>
                        <w:r>
                          <w:rPr>
                            <w:rFonts w:cs="Georgia"/>
                          </w:rPr>
                          <w:t>72</w:t>
                        </w:r>
                      </w:p>
                    </w:tc>
                    <w:tc>
                      <w:tcPr>
                        <w:tcW w:w="4771"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4</w:t>
                        </w:r>
                      </w:p>
                    </w:tc>
                  </w:tr>
                  <w:tr w:rsidR="00F04EEF">
                    <w:trPr>
                      <w:trHeight w:hRule="exact" w:val="250"/>
                      <w:jc w:val="center"/>
                    </w:trPr>
                    <w:tc>
                      <w:tcPr>
                        <w:tcW w:w="4769"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spacing w:val="1"/>
                          </w:rPr>
                          <w:t>5</w:t>
                        </w:r>
                        <w:r>
                          <w:rPr>
                            <w:rFonts w:cs="Georgia"/>
                          </w:rPr>
                          <w:t>5</w:t>
                        </w:r>
                        <w:r>
                          <w:rPr>
                            <w:rFonts w:cs="Georgia"/>
                            <w:spacing w:val="1"/>
                          </w:rPr>
                          <w:t xml:space="preserve"> </w:t>
                        </w:r>
                        <w:r>
                          <w:rPr>
                            <w:rFonts w:cs="Georgia"/>
                          </w:rPr>
                          <w:t>à</w:t>
                        </w:r>
                        <w:r>
                          <w:rPr>
                            <w:rFonts w:cs="Georgia"/>
                            <w:spacing w:val="-1"/>
                          </w:rPr>
                          <w:t xml:space="preserve"> </w:t>
                        </w:r>
                        <w:r>
                          <w:rPr>
                            <w:rFonts w:cs="Georgia"/>
                          </w:rPr>
                          <w:t>63</w:t>
                        </w:r>
                      </w:p>
                    </w:tc>
                    <w:tc>
                      <w:tcPr>
                        <w:tcW w:w="4771"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6</w:t>
                        </w:r>
                      </w:p>
                    </w:tc>
                  </w:tr>
                  <w:tr w:rsidR="00F04EEF">
                    <w:trPr>
                      <w:trHeight w:hRule="exact" w:val="250"/>
                      <w:jc w:val="center"/>
                    </w:trPr>
                    <w:tc>
                      <w:tcPr>
                        <w:tcW w:w="4769"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46 à</w:t>
                        </w:r>
                        <w:r>
                          <w:rPr>
                            <w:rFonts w:cs="Georgia"/>
                            <w:spacing w:val="-1"/>
                          </w:rPr>
                          <w:t xml:space="preserve"> </w:t>
                        </w:r>
                        <w:r>
                          <w:rPr>
                            <w:rFonts w:cs="Georgia"/>
                            <w:spacing w:val="1"/>
                          </w:rPr>
                          <w:t>5</w:t>
                        </w:r>
                        <w:r>
                          <w:rPr>
                            <w:rFonts w:cs="Georgia"/>
                          </w:rPr>
                          <w:t>4</w:t>
                        </w:r>
                      </w:p>
                    </w:tc>
                    <w:tc>
                      <w:tcPr>
                        <w:tcW w:w="4771"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8</w:t>
                        </w:r>
                      </w:p>
                    </w:tc>
                  </w:tr>
                  <w:tr w:rsidR="00F04EEF">
                    <w:trPr>
                      <w:trHeight w:hRule="exact" w:val="251"/>
                      <w:jc w:val="center"/>
                    </w:trPr>
                    <w:tc>
                      <w:tcPr>
                        <w:tcW w:w="4769"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spacing w:val="1"/>
                          </w:rPr>
                          <w:t>3</w:t>
                        </w:r>
                        <w:r>
                          <w:rPr>
                            <w:rFonts w:cs="Georgia"/>
                          </w:rPr>
                          <w:t>7</w:t>
                        </w:r>
                        <w:r>
                          <w:rPr>
                            <w:rFonts w:cs="Georgia"/>
                            <w:spacing w:val="-1"/>
                          </w:rPr>
                          <w:t xml:space="preserve"> </w:t>
                        </w:r>
                        <w:r>
                          <w:rPr>
                            <w:rFonts w:cs="Georgia"/>
                          </w:rPr>
                          <w:t>à</w:t>
                        </w:r>
                        <w:r>
                          <w:rPr>
                            <w:rFonts w:cs="Georgia"/>
                            <w:spacing w:val="-1"/>
                          </w:rPr>
                          <w:t xml:space="preserve"> </w:t>
                        </w:r>
                        <w:r>
                          <w:rPr>
                            <w:rFonts w:cs="Georgia"/>
                          </w:rPr>
                          <w:t>45</w:t>
                        </w:r>
                      </w:p>
                    </w:tc>
                    <w:tc>
                      <w:tcPr>
                        <w:tcW w:w="4771"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1" w:lineRule="exact"/>
                          <w:jc w:val="center"/>
                        </w:pPr>
                        <w:r>
                          <w:rPr>
                            <w:rFonts w:cs="Georgia"/>
                            <w:spacing w:val="1"/>
                          </w:rPr>
                          <w:t>10</w:t>
                        </w:r>
                      </w:p>
                    </w:tc>
                  </w:tr>
                  <w:tr w:rsidR="00F04EEF">
                    <w:trPr>
                      <w:trHeight w:hRule="exact" w:val="251"/>
                      <w:jc w:val="center"/>
                    </w:trPr>
                    <w:tc>
                      <w:tcPr>
                        <w:tcW w:w="4769"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2" w:lineRule="exact"/>
                          <w:jc w:val="center"/>
                        </w:pPr>
                        <w:r>
                          <w:rPr>
                            <w:rFonts w:cs="Georgia"/>
                          </w:rPr>
                          <w:t>de</w:t>
                        </w:r>
                        <w:r>
                          <w:rPr>
                            <w:rFonts w:cs="Georgia"/>
                            <w:spacing w:val="-1"/>
                          </w:rPr>
                          <w:t xml:space="preserve"> 2</w:t>
                        </w:r>
                        <w:r>
                          <w:rPr>
                            <w:rFonts w:cs="Georgia"/>
                          </w:rPr>
                          <w:t>8 à</w:t>
                        </w:r>
                        <w:r>
                          <w:rPr>
                            <w:rFonts w:cs="Georgia"/>
                            <w:spacing w:val="-1"/>
                          </w:rPr>
                          <w:t xml:space="preserve"> </w:t>
                        </w:r>
                        <w:r>
                          <w:rPr>
                            <w:rFonts w:cs="Georgia"/>
                            <w:spacing w:val="1"/>
                          </w:rPr>
                          <w:t>3</w:t>
                        </w:r>
                        <w:r>
                          <w:rPr>
                            <w:rFonts w:cs="Georgia"/>
                          </w:rPr>
                          <w:t>6</w:t>
                        </w:r>
                      </w:p>
                    </w:tc>
                    <w:tc>
                      <w:tcPr>
                        <w:tcW w:w="4771" w:type="dxa"/>
                        <w:tcBorders>
                          <w:top w:val="nil"/>
                          <w:left w:val="single" w:sz="4" w:space="0" w:color="000000"/>
                          <w:bottom w:val="nil"/>
                          <w:right w:val="single" w:sz="4" w:space="0" w:color="000000"/>
                        </w:tcBorders>
                      </w:tcPr>
                      <w:p w:rsidR="00F04EEF" w:rsidRDefault="0099351E">
                        <w:pPr>
                          <w:widowControl w:val="0"/>
                          <w:autoSpaceDE w:val="0"/>
                          <w:autoSpaceDN w:val="0"/>
                          <w:adjustRightInd w:val="0"/>
                          <w:spacing w:line="242" w:lineRule="exact"/>
                          <w:jc w:val="center"/>
                        </w:pPr>
                        <w:r>
                          <w:rPr>
                            <w:rFonts w:cs="Georgia"/>
                            <w:spacing w:val="1"/>
                          </w:rPr>
                          <w:t>12</w:t>
                        </w:r>
                      </w:p>
                    </w:tc>
                  </w:tr>
                  <w:tr w:rsidR="00F04EEF">
                    <w:trPr>
                      <w:trHeight w:hRule="exact" w:val="251"/>
                      <w:jc w:val="center"/>
                    </w:trPr>
                    <w:tc>
                      <w:tcPr>
                        <w:tcW w:w="4769" w:type="dxa"/>
                        <w:tcBorders>
                          <w:top w:val="nil"/>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0" w:lineRule="exact"/>
                          <w:jc w:val="center"/>
                        </w:pPr>
                        <w:r>
                          <w:rPr>
                            <w:rFonts w:cs="Georgia"/>
                          </w:rPr>
                          <w:t>de</w:t>
                        </w:r>
                        <w:r>
                          <w:rPr>
                            <w:rFonts w:cs="Georgia"/>
                            <w:spacing w:val="-1"/>
                          </w:rPr>
                          <w:t xml:space="preserve"> </w:t>
                        </w:r>
                        <w:r>
                          <w:rPr>
                            <w:rFonts w:cs="Georgia"/>
                            <w:spacing w:val="1"/>
                          </w:rPr>
                          <w:t>1</w:t>
                        </w:r>
                        <w:r>
                          <w:rPr>
                            <w:rFonts w:cs="Georgia"/>
                          </w:rPr>
                          <w:t>9 à</w:t>
                        </w:r>
                        <w:r>
                          <w:rPr>
                            <w:rFonts w:cs="Georgia"/>
                            <w:spacing w:val="-1"/>
                          </w:rPr>
                          <w:t xml:space="preserve"> 2</w:t>
                        </w:r>
                        <w:r>
                          <w:rPr>
                            <w:rFonts w:cs="Georgia"/>
                          </w:rPr>
                          <w:t>7</w:t>
                        </w:r>
                      </w:p>
                    </w:tc>
                    <w:tc>
                      <w:tcPr>
                        <w:tcW w:w="4771" w:type="dxa"/>
                        <w:tcBorders>
                          <w:top w:val="nil"/>
                          <w:left w:val="single" w:sz="4" w:space="0" w:color="000000"/>
                          <w:bottom w:val="single" w:sz="4" w:space="0" w:color="000000"/>
                          <w:right w:val="single" w:sz="4" w:space="0" w:color="000000"/>
                        </w:tcBorders>
                      </w:tcPr>
                      <w:p w:rsidR="00F04EEF" w:rsidRDefault="0099351E">
                        <w:pPr>
                          <w:widowControl w:val="0"/>
                          <w:autoSpaceDE w:val="0"/>
                          <w:autoSpaceDN w:val="0"/>
                          <w:adjustRightInd w:val="0"/>
                          <w:spacing w:line="240" w:lineRule="exact"/>
                          <w:jc w:val="center"/>
                        </w:pPr>
                        <w:r>
                          <w:rPr>
                            <w:rFonts w:cs="Georgia"/>
                            <w:spacing w:val="1"/>
                          </w:rPr>
                          <w:t>14</w:t>
                        </w:r>
                      </w:p>
                    </w:tc>
                  </w:tr>
                </w:tbl>
                <w:p w:rsidR="00F04EEF" w:rsidRDefault="00F04EEF">
                  <w:pPr>
                    <w:widowControl w:val="0"/>
                    <w:autoSpaceDE w:val="0"/>
                    <w:autoSpaceDN w:val="0"/>
                    <w:adjustRightInd w:val="0"/>
                    <w:spacing w:before="38" w:line="250" w:lineRule="exact"/>
                    <w:jc w:val="both"/>
                    <w:rPr>
                      <w:rFonts w:cs="Georgia"/>
                      <w:spacing w:val="1"/>
                    </w:rPr>
                  </w:pPr>
                </w:p>
                <w:p w:rsidR="00F04EEF" w:rsidRDefault="0099351E">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38" w:line="250" w:lineRule="exact"/>
                    <w:jc w:val="both"/>
                    <w:rPr>
                      <w:rFonts w:cs="Georgia"/>
                    </w:rPr>
                  </w:pPr>
                  <w:r>
                    <w:rPr>
                      <w:rFonts w:cs="Georgia"/>
                      <w:b/>
                      <w:spacing w:val="1"/>
                    </w:rPr>
                    <w:t>Remarque</w:t>
                  </w:r>
                  <w:r>
                    <w:rPr>
                      <w:rFonts w:cs="Georgia"/>
                      <w:spacing w:val="1"/>
                    </w:rPr>
                    <w:t> : L</w:t>
                  </w:r>
                  <w:r>
                    <w:rPr>
                      <w:rFonts w:cs="Georgia"/>
                    </w:rPr>
                    <w:t>e directeur</w:t>
                  </w:r>
                  <w:r>
                    <w:rPr>
                      <w:rFonts w:cs="Georgia"/>
                      <w:spacing w:val="29"/>
                    </w:rPr>
                    <w:t xml:space="preserve"> </w:t>
                  </w:r>
                  <w:r>
                    <w:rPr>
                      <w:rFonts w:cs="Georgia"/>
                      <w:spacing w:val="-1"/>
                    </w:rPr>
                    <w:t>n</w:t>
                  </w:r>
                  <w:r>
                    <w:rPr>
                      <w:rFonts w:cs="Georgia"/>
                      <w:spacing w:val="1"/>
                    </w:rPr>
                    <w:t>'</w:t>
                  </w:r>
                  <w:r>
                    <w:rPr>
                      <w:rFonts w:cs="Georgia"/>
                      <w:spacing w:val="-1"/>
                    </w:rPr>
                    <w:t>e</w:t>
                  </w:r>
                  <w:r>
                    <w:rPr>
                      <w:rFonts w:cs="Georgia"/>
                      <w:spacing w:val="-2"/>
                    </w:rPr>
                    <w:t>s</w:t>
                  </w:r>
                  <w:r>
                    <w:rPr>
                      <w:rFonts w:cs="Georgia"/>
                    </w:rPr>
                    <w:t>t</w:t>
                  </w:r>
                  <w:r>
                    <w:rPr>
                      <w:rFonts w:cs="Georgia"/>
                      <w:spacing w:val="29"/>
                    </w:rPr>
                    <w:t xml:space="preserve"> </w:t>
                  </w:r>
                  <w:r>
                    <w:rPr>
                      <w:rFonts w:cs="Georgia"/>
                      <w:spacing w:val="1"/>
                    </w:rPr>
                    <w:t>p</w:t>
                  </w:r>
                  <w:r>
                    <w:rPr>
                      <w:rFonts w:cs="Georgia"/>
                      <w:spacing w:val="-1"/>
                    </w:rPr>
                    <w:t>a</w:t>
                  </w:r>
                  <w:r>
                    <w:rPr>
                      <w:rFonts w:cs="Georgia"/>
                    </w:rPr>
                    <w:t>s</w:t>
                  </w:r>
                  <w:r>
                    <w:rPr>
                      <w:rFonts w:cs="Georgia"/>
                      <w:spacing w:val="27"/>
                    </w:rPr>
                    <w:t xml:space="preserve"> </w:t>
                  </w:r>
                  <w:r>
                    <w:rPr>
                      <w:rFonts w:cs="Georgia"/>
                      <w:spacing w:val="1"/>
                    </w:rPr>
                    <w:t>t</w:t>
                  </w:r>
                  <w:r>
                    <w:rPr>
                      <w:rFonts w:cs="Georgia"/>
                      <w:spacing w:val="-1"/>
                    </w:rPr>
                    <w:t>en</w:t>
                  </w:r>
                  <w:r>
                    <w:rPr>
                      <w:rFonts w:cs="Georgia"/>
                    </w:rPr>
                    <w:t>u</w:t>
                  </w:r>
                  <w:r>
                    <w:rPr>
                      <w:rFonts w:cs="Georgia"/>
                      <w:spacing w:val="29"/>
                    </w:rPr>
                    <w:t xml:space="preserve"> </w:t>
                  </w:r>
                  <w:r>
                    <w:rPr>
                      <w:rFonts w:cs="Georgia"/>
                    </w:rPr>
                    <w:t>d</w:t>
                  </w:r>
                  <w:r>
                    <w:rPr>
                      <w:rFonts w:cs="Georgia"/>
                      <w:spacing w:val="1"/>
                    </w:rPr>
                    <w:t>'</w:t>
                  </w:r>
                  <w:r>
                    <w:rPr>
                      <w:rFonts w:cs="Georgia"/>
                      <w:spacing w:val="-1"/>
                    </w:rPr>
                    <w:t>exe</w:t>
                  </w:r>
                  <w:r>
                    <w:rPr>
                      <w:rFonts w:cs="Georgia"/>
                      <w:spacing w:val="1"/>
                    </w:rPr>
                    <w:t>rc</w:t>
                  </w:r>
                  <w:r>
                    <w:rPr>
                      <w:rFonts w:cs="Georgia"/>
                      <w:spacing w:val="-1"/>
                    </w:rPr>
                    <w:t>e</w:t>
                  </w:r>
                  <w:r>
                    <w:rPr>
                      <w:rFonts w:cs="Georgia"/>
                    </w:rPr>
                    <w:t>r</w:t>
                  </w:r>
                  <w:r>
                    <w:rPr>
                      <w:rFonts w:cs="Georgia"/>
                      <w:spacing w:val="29"/>
                    </w:rPr>
                    <w:t xml:space="preserve"> </w:t>
                  </w:r>
                  <w:r>
                    <w:rPr>
                      <w:rFonts w:cs="Georgia"/>
                    </w:rPr>
                    <w:t>u</w:t>
                  </w:r>
                  <w:r>
                    <w:rPr>
                      <w:rFonts w:cs="Georgia"/>
                      <w:spacing w:val="-1"/>
                    </w:rPr>
                    <w:t>n</w:t>
                  </w:r>
                  <w:r>
                    <w:rPr>
                      <w:rFonts w:cs="Georgia"/>
                    </w:rPr>
                    <w:t>e</w:t>
                  </w:r>
                  <w:r>
                    <w:rPr>
                      <w:rFonts w:cs="Georgia"/>
                      <w:spacing w:val="27"/>
                    </w:rPr>
                    <w:t xml:space="preserve"> </w:t>
                  </w:r>
                  <w:r>
                    <w:rPr>
                      <w:rFonts w:cs="Georgia"/>
                      <w:spacing w:val="1"/>
                    </w:rPr>
                    <w:t>ch</w:t>
                  </w:r>
                  <w:r>
                    <w:rPr>
                      <w:rFonts w:cs="Georgia"/>
                      <w:spacing w:val="-3"/>
                    </w:rPr>
                    <w:t>a</w:t>
                  </w:r>
                  <w:r>
                    <w:rPr>
                      <w:rFonts w:cs="Georgia"/>
                      <w:spacing w:val="1"/>
                    </w:rPr>
                    <w:t>r</w:t>
                  </w:r>
                  <w:r>
                    <w:rPr>
                      <w:rFonts w:cs="Georgia"/>
                    </w:rPr>
                    <w:t>ge</w:t>
                  </w:r>
                  <w:r>
                    <w:rPr>
                      <w:rFonts w:cs="Georgia"/>
                      <w:spacing w:val="25"/>
                    </w:rPr>
                    <w:t xml:space="preserve"> </w:t>
                  </w:r>
                  <w:r>
                    <w:rPr>
                      <w:rFonts w:cs="Georgia"/>
                    </w:rPr>
                    <w:t>de</w:t>
                  </w:r>
                  <w:r>
                    <w:rPr>
                      <w:rFonts w:cs="Georgia"/>
                      <w:spacing w:val="27"/>
                    </w:rPr>
                    <w:t xml:space="preserve"> </w:t>
                  </w:r>
                  <w:r>
                    <w:rPr>
                      <w:rFonts w:cs="Georgia"/>
                      <w:spacing w:val="1"/>
                    </w:rPr>
                    <w:t>co</w:t>
                  </w:r>
                  <w:r>
                    <w:rPr>
                      <w:rFonts w:cs="Georgia"/>
                      <w:spacing w:val="-2"/>
                    </w:rPr>
                    <w:t>u</w:t>
                  </w:r>
                  <w:r>
                    <w:rPr>
                      <w:rFonts w:cs="Georgia"/>
                      <w:spacing w:val="1"/>
                    </w:rPr>
                    <w:t>r</w:t>
                  </w:r>
                  <w:r>
                    <w:rPr>
                      <w:rFonts w:cs="Georgia"/>
                    </w:rPr>
                    <w:t>s</w:t>
                  </w:r>
                  <w:r>
                    <w:rPr>
                      <w:rFonts w:cs="Georgia"/>
                      <w:spacing w:val="27"/>
                    </w:rPr>
                    <w:t xml:space="preserve"> </w:t>
                  </w:r>
                  <w:r>
                    <w:rPr>
                      <w:rFonts w:cs="Georgia"/>
                      <w:spacing w:val="1"/>
                    </w:rPr>
                    <w:t>p</w:t>
                  </w:r>
                  <w:r>
                    <w:rPr>
                      <w:rFonts w:cs="Georgia"/>
                      <w:spacing w:val="-1"/>
                    </w:rPr>
                    <w:t>en</w:t>
                  </w:r>
                  <w:r>
                    <w:rPr>
                      <w:rFonts w:cs="Georgia"/>
                    </w:rPr>
                    <w:t>d</w:t>
                  </w:r>
                  <w:r>
                    <w:rPr>
                      <w:rFonts w:cs="Georgia"/>
                      <w:spacing w:val="-1"/>
                    </w:rPr>
                    <w:t>an</w:t>
                  </w:r>
                  <w:r>
                    <w:rPr>
                      <w:rFonts w:cs="Georgia"/>
                    </w:rPr>
                    <w:t>t</w:t>
                  </w:r>
                  <w:r>
                    <w:rPr>
                      <w:rFonts w:cs="Georgia"/>
                      <w:spacing w:val="29"/>
                    </w:rPr>
                    <w:t xml:space="preserve"> </w:t>
                  </w:r>
                  <w:r>
                    <w:rPr>
                      <w:rFonts w:cs="Georgia"/>
                      <w:spacing w:val="-1"/>
                    </w:rPr>
                    <w:t>le</w:t>
                  </w:r>
                  <w:r>
                    <w:rPr>
                      <w:rFonts w:cs="Georgia"/>
                    </w:rPr>
                    <w:t>s</w:t>
                  </w:r>
                  <w:r>
                    <w:rPr>
                      <w:rFonts w:cs="Georgia"/>
                      <w:spacing w:val="29"/>
                    </w:rPr>
                    <w:t xml:space="preserve"> </w:t>
                  </w:r>
                  <w:r>
                    <w:rPr>
                      <w:rFonts w:cs="Georgia"/>
                      <w:spacing w:val="-2"/>
                    </w:rPr>
                    <w:t>d</w:t>
                  </w:r>
                  <w:r>
                    <w:rPr>
                      <w:rFonts w:cs="Georgia"/>
                      <w:spacing w:val="-1"/>
                    </w:rPr>
                    <w:t>e</w:t>
                  </w:r>
                  <w:r>
                    <w:rPr>
                      <w:rFonts w:cs="Georgia"/>
                    </w:rPr>
                    <w:t>ux</w:t>
                  </w:r>
                  <w:r>
                    <w:rPr>
                      <w:rFonts w:cs="Georgia"/>
                      <w:spacing w:val="27"/>
                    </w:rPr>
                    <w:t xml:space="preserve"> </w:t>
                  </w:r>
                  <w:r>
                    <w:rPr>
                      <w:rFonts w:cs="Georgia"/>
                      <w:spacing w:val="1"/>
                    </w:rPr>
                    <w:t>pr</w:t>
                  </w:r>
                  <w:r>
                    <w:rPr>
                      <w:rFonts w:cs="Georgia"/>
                      <w:spacing w:val="-1"/>
                    </w:rPr>
                    <w:t>e</w:t>
                  </w:r>
                  <w:r>
                    <w:rPr>
                      <w:rFonts w:cs="Georgia"/>
                    </w:rPr>
                    <w:t>mi</w:t>
                  </w:r>
                  <w:r>
                    <w:rPr>
                      <w:rFonts w:cs="Georgia"/>
                      <w:spacing w:val="-1"/>
                    </w:rPr>
                    <w:t>è</w:t>
                  </w:r>
                  <w:r>
                    <w:rPr>
                      <w:rFonts w:cs="Georgia"/>
                      <w:spacing w:val="1"/>
                    </w:rPr>
                    <w:t>r</w:t>
                  </w:r>
                  <w:r>
                    <w:rPr>
                      <w:rFonts w:cs="Georgia"/>
                      <w:spacing w:val="-1"/>
                    </w:rPr>
                    <w:t>e</w:t>
                  </w:r>
                  <w:r>
                    <w:rPr>
                      <w:rFonts w:cs="Georgia"/>
                    </w:rPr>
                    <w:t>s</w:t>
                  </w:r>
                  <w:r>
                    <w:rPr>
                      <w:rFonts w:cs="Georgia"/>
                      <w:spacing w:val="29"/>
                    </w:rPr>
                    <w:t xml:space="preserve"> </w:t>
                  </w:r>
                  <w:r>
                    <w:rPr>
                      <w:rFonts w:cs="Georgia"/>
                      <w:spacing w:val="-1"/>
                    </w:rPr>
                    <w:t>année</w:t>
                  </w:r>
                  <w:r>
                    <w:rPr>
                      <w:rFonts w:cs="Georgia"/>
                    </w:rPr>
                    <w:t>s</w:t>
                  </w:r>
                  <w:r>
                    <w:rPr>
                      <w:rFonts w:cs="Georgia"/>
                      <w:spacing w:val="29"/>
                    </w:rPr>
                    <w:t xml:space="preserve"> </w:t>
                  </w:r>
                  <w:r>
                    <w:rPr>
                      <w:rFonts w:cs="Georgia"/>
                    </w:rPr>
                    <w:t>à d</w:t>
                  </w:r>
                  <w:r>
                    <w:rPr>
                      <w:rFonts w:cs="Georgia"/>
                      <w:spacing w:val="-1"/>
                    </w:rPr>
                    <w:t>a</w:t>
                  </w:r>
                  <w:r>
                    <w:rPr>
                      <w:rFonts w:cs="Georgia"/>
                      <w:spacing w:val="1"/>
                    </w:rPr>
                    <w:t>t</w:t>
                  </w:r>
                  <w:r>
                    <w:rPr>
                      <w:rFonts w:cs="Georgia"/>
                      <w:spacing w:val="-1"/>
                    </w:rPr>
                    <w:t>e</w:t>
                  </w:r>
                  <w:r>
                    <w:rPr>
                      <w:rFonts w:cs="Georgia"/>
                    </w:rPr>
                    <w:t>r</w:t>
                  </w:r>
                  <w:r>
                    <w:rPr>
                      <w:rFonts w:cs="Georgia"/>
                      <w:spacing w:val="2"/>
                    </w:rPr>
                    <w:t xml:space="preserve"> </w:t>
                  </w:r>
                  <w:r>
                    <w:rPr>
                      <w:rFonts w:cs="Georgia"/>
                    </w:rPr>
                    <w:t>de</w:t>
                  </w:r>
                  <w:r>
                    <w:rPr>
                      <w:rFonts w:cs="Georgia"/>
                      <w:spacing w:val="1"/>
                    </w:rPr>
                    <w:t xml:space="preserve"> </w:t>
                  </w:r>
                  <w:r>
                    <w:rPr>
                      <w:rFonts w:cs="Georgia"/>
                      <w:spacing w:val="-1"/>
                    </w:rPr>
                    <w:t>l</w:t>
                  </w:r>
                  <w:r>
                    <w:rPr>
                      <w:rFonts w:cs="Georgia"/>
                      <w:spacing w:val="1"/>
                    </w:rPr>
                    <w:t>'o</w:t>
                  </w:r>
                  <w:r>
                    <w:rPr>
                      <w:rFonts w:cs="Georgia"/>
                      <w:spacing w:val="-2"/>
                    </w:rPr>
                    <w:t>u</w:t>
                  </w:r>
                  <w:r>
                    <w:rPr>
                      <w:rFonts w:cs="Georgia"/>
                      <w:spacing w:val="1"/>
                    </w:rPr>
                    <w:t>v</w:t>
                  </w:r>
                  <w:r>
                    <w:rPr>
                      <w:rFonts w:cs="Georgia"/>
                      <w:spacing w:val="-1"/>
                    </w:rPr>
                    <w:t>e</w:t>
                  </w:r>
                  <w:r>
                    <w:rPr>
                      <w:rFonts w:cs="Georgia"/>
                      <w:spacing w:val="1"/>
                    </w:rPr>
                    <w:t>r</w:t>
                  </w:r>
                  <w:r>
                    <w:rPr>
                      <w:rFonts w:cs="Georgia"/>
                      <w:spacing w:val="-2"/>
                    </w:rPr>
                    <w:t>t</w:t>
                  </w:r>
                  <w:r>
                    <w:rPr>
                      <w:rFonts w:cs="Georgia"/>
                    </w:rPr>
                    <w:t>u</w:t>
                  </w:r>
                  <w:r>
                    <w:rPr>
                      <w:rFonts w:cs="Georgia"/>
                      <w:spacing w:val="1"/>
                    </w:rPr>
                    <w:t>r</w:t>
                  </w:r>
                  <w:r>
                    <w:rPr>
                      <w:rFonts w:cs="Georgia"/>
                    </w:rPr>
                    <w:t>e</w:t>
                  </w:r>
                  <w:r>
                    <w:rPr>
                      <w:rFonts w:cs="Georgia"/>
                      <w:spacing w:val="1"/>
                    </w:rPr>
                    <w:t xml:space="preserve"> </w:t>
                  </w:r>
                  <w:r>
                    <w:rPr>
                      <w:rFonts w:cs="Georgia"/>
                    </w:rPr>
                    <w:t>d</w:t>
                  </w:r>
                  <w:r>
                    <w:rPr>
                      <w:rFonts w:cs="Georgia"/>
                      <w:spacing w:val="-2"/>
                    </w:rPr>
                    <w:t>'u</w:t>
                  </w:r>
                  <w:r>
                    <w:rPr>
                      <w:rFonts w:cs="Georgia"/>
                    </w:rPr>
                    <w:t>n</w:t>
                  </w:r>
                  <w:r>
                    <w:rPr>
                      <w:rFonts w:cs="Georgia"/>
                      <w:spacing w:val="1"/>
                    </w:rPr>
                    <w:t xml:space="preserve"> </w:t>
                  </w:r>
                  <w:r>
                    <w:rPr>
                      <w:rFonts w:cs="Georgia"/>
                      <w:spacing w:val="-1"/>
                    </w:rPr>
                    <w:t>n</w:t>
                  </w:r>
                  <w:r>
                    <w:rPr>
                      <w:rFonts w:cs="Georgia"/>
                      <w:spacing w:val="1"/>
                    </w:rPr>
                    <w:t>o</w:t>
                  </w:r>
                  <w:r>
                    <w:rPr>
                      <w:rFonts w:cs="Georgia"/>
                    </w:rPr>
                    <w:t>u</w:t>
                  </w:r>
                  <w:r>
                    <w:rPr>
                      <w:rFonts w:cs="Georgia"/>
                      <w:spacing w:val="1"/>
                    </w:rPr>
                    <w:t>v</w:t>
                  </w:r>
                  <w:r>
                    <w:rPr>
                      <w:rFonts w:cs="Georgia"/>
                      <w:spacing w:val="-1"/>
                    </w:rPr>
                    <w:t>e</w:t>
                  </w:r>
                  <w:r>
                    <w:rPr>
                      <w:rFonts w:cs="Georgia"/>
                    </w:rPr>
                    <w:t>l</w:t>
                  </w:r>
                  <w:r>
                    <w:rPr>
                      <w:rFonts w:cs="Georgia"/>
                      <w:spacing w:val="1"/>
                    </w:rPr>
                    <w:t xml:space="preserve"> </w:t>
                  </w:r>
                  <w:r>
                    <w:rPr>
                      <w:rFonts w:cs="Georgia"/>
                      <w:spacing w:val="-1"/>
                    </w:rPr>
                    <w:t>é</w:t>
                  </w:r>
                  <w:r>
                    <w:rPr>
                      <w:rFonts w:cs="Georgia"/>
                      <w:spacing w:val="1"/>
                    </w:rPr>
                    <w:t>t</w:t>
                  </w:r>
                  <w:r>
                    <w:rPr>
                      <w:rFonts w:cs="Georgia"/>
                      <w:spacing w:val="-1"/>
                    </w:rPr>
                    <w:t>a</w:t>
                  </w:r>
                  <w:r>
                    <w:rPr>
                      <w:rFonts w:cs="Georgia"/>
                      <w:spacing w:val="1"/>
                    </w:rPr>
                    <w:t>b</w:t>
                  </w:r>
                  <w:r>
                    <w:rPr>
                      <w:rFonts w:cs="Georgia"/>
                      <w:spacing w:val="-1"/>
                    </w:rPr>
                    <w:t>l</w:t>
                  </w:r>
                  <w:r>
                    <w:rPr>
                      <w:rFonts w:cs="Georgia"/>
                    </w:rPr>
                    <w:t>i</w:t>
                  </w:r>
                  <w:r>
                    <w:rPr>
                      <w:rFonts w:cs="Georgia"/>
                      <w:spacing w:val="1"/>
                    </w:rPr>
                    <w:t>ss</w:t>
                  </w:r>
                  <w:r>
                    <w:rPr>
                      <w:rFonts w:cs="Georgia"/>
                      <w:spacing w:val="-1"/>
                    </w:rPr>
                    <w:t>e</w:t>
                  </w:r>
                  <w:r>
                    <w:rPr>
                      <w:rFonts w:cs="Georgia"/>
                    </w:rPr>
                    <w:t>m</w:t>
                  </w:r>
                  <w:r>
                    <w:rPr>
                      <w:rFonts w:cs="Georgia"/>
                      <w:spacing w:val="-1"/>
                    </w:rPr>
                    <w:t>en</w:t>
                  </w:r>
                  <w:r>
                    <w:rPr>
                      <w:rFonts w:cs="Georgia"/>
                    </w:rPr>
                    <w:t xml:space="preserve">t </w:t>
                  </w:r>
                  <w:r>
                    <w:rPr>
                      <w:rFonts w:cs="Georgia"/>
                      <w:spacing w:val="1"/>
                    </w:rPr>
                    <w:t>o</w:t>
                  </w:r>
                  <w:r>
                    <w:rPr>
                      <w:rFonts w:cs="Georgia"/>
                    </w:rPr>
                    <w:t>u</w:t>
                  </w:r>
                  <w:r>
                    <w:rPr>
                      <w:rFonts w:cs="Georgia"/>
                      <w:spacing w:val="2"/>
                    </w:rPr>
                    <w:t xml:space="preserve"> </w:t>
                  </w:r>
                  <w:r>
                    <w:rPr>
                      <w:rFonts w:cs="Georgia"/>
                      <w:spacing w:val="1"/>
                    </w:rPr>
                    <w:t>s</w:t>
                  </w:r>
                  <w:r>
                    <w:rPr>
                      <w:rFonts w:cs="Georgia"/>
                      <w:spacing w:val="-2"/>
                    </w:rPr>
                    <w:t>'</w:t>
                  </w:r>
                  <w:r>
                    <w:rPr>
                      <w:rFonts w:cs="Georgia"/>
                    </w:rPr>
                    <w:t>il</w:t>
                  </w:r>
                  <w:r>
                    <w:rPr>
                      <w:rFonts w:cs="Georgia"/>
                      <w:spacing w:val="1"/>
                    </w:rPr>
                    <w:t xml:space="preserve"> </w:t>
                  </w:r>
                  <w:r>
                    <w:rPr>
                      <w:rFonts w:cs="Georgia"/>
                      <w:spacing w:val="-1"/>
                    </w:rPr>
                    <w:t>a</w:t>
                  </w:r>
                  <w:r>
                    <w:rPr>
                      <w:rFonts w:cs="Georgia"/>
                      <w:spacing w:val="1"/>
                    </w:rPr>
                    <w:t>ss</w:t>
                  </w:r>
                  <w:r>
                    <w:rPr>
                      <w:rFonts w:cs="Georgia"/>
                      <w:spacing w:val="-2"/>
                    </w:rPr>
                    <w:t>u</w:t>
                  </w:r>
                  <w:r>
                    <w:rPr>
                      <w:rFonts w:cs="Georgia"/>
                      <w:spacing w:val="1"/>
                    </w:rPr>
                    <w:t>r</w:t>
                  </w:r>
                  <w:r>
                    <w:rPr>
                      <w:rFonts w:cs="Georgia"/>
                    </w:rPr>
                    <w:t>e</w:t>
                  </w:r>
                  <w:r>
                    <w:rPr>
                      <w:rFonts w:cs="Georgia"/>
                      <w:spacing w:val="1"/>
                    </w:rPr>
                    <w:t xml:space="preserve"> aussi </w:t>
                  </w:r>
                  <w:r>
                    <w:rPr>
                      <w:rFonts w:cs="Georgia"/>
                      <w:spacing w:val="-1"/>
                    </w:rPr>
                    <w:t>l</w:t>
                  </w:r>
                  <w:r>
                    <w:rPr>
                      <w:rFonts w:cs="Georgia"/>
                    </w:rPr>
                    <w:t>a</w:t>
                  </w:r>
                  <w:r>
                    <w:rPr>
                      <w:rFonts w:cs="Georgia"/>
                      <w:spacing w:val="1"/>
                    </w:rPr>
                    <w:t xml:space="preserve"> direction </w:t>
                  </w:r>
                  <w:r>
                    <w:rPr>
                      <w:rFonts w:cs="Georgia"/>
                    </w:rPr>
                    <w:t>d</w:t>
                  </w:r>
                  <w:r>
                    <w:rPr>
                      <w:rFonts w:cs="Georgia"/>
                      <w:spacing w:val="1"/>
                    </w:rPr>
                    <w:t>'</w:t>
                  </w:r>
                  <w:r>
                    <w:rPr>
                      <w:rFonts w:cs="Georgia"/>
                    </w:rPr>
                    <w:t>un</w:t>
                  </w:r>
                  <w:r>
                    <w:rPr>
                      <w:rFonts w:cs="Georgia"/>
                      <w:spacing w:val="-1"/>
                    </w:rPr>
                    <w:t xml:space="preserve"> </w:t>
                  </w:r>
                  <w:r>
                    <w:rPr>
                      <w:rFonts w:cs="Georgia"/>
                    </w:rPr>
                    <w:t>i</w:t>
                  </w:r>
                  <w:r>
                    <w:rPr>
                      <w:rFonts w:cs="Georgia"/>
                      <w:spacing w:val="-1"/>
                    </w:rPr>
                    <w:t>n</w:t>
                  </w:r>
                  <w:r>
                    <w:rPr>
                      <w:rFonts w:cs="Georgia"/>
                      <w:spacing w:val="1"/>
                    </w:rPr>
                    <w:t>t</w:t>
                  </w:r>
                  <w:r>
                    <w:rPr>
                      <w:rFonts w:cs="Georgia"/>
                      <w:spacing w:val="-1"/>
                    </w:rPr>
                    <w:t>e</w:t>
                  </w:r>
                  <w:r>
                    <w:rPr>
                      <w:rFonts w:cs="Georgia"/>
                      <w:spacing w:val="1"/>
                    </w:rPr>
                    <w:t>r</w:t>
                  </w:r>
                  <w:r>
                    <w:rPr>
                      <w:rFonts w:cs="Georgia"/>
                      <w:spacing w:val="-1"/>
                    </w:rPr>
                    <w:t>na</w:t>
                  </w:r>
                  <w:r>
                    <w:rPr>
                      <w:rFonts w:cs="Georgia"/>
                      <w:spacing w:val="1"/>
                    </w:rPr>
                    <w:t>t</w:t>
                  </w:r>
                  <w:r>
                    <w:rPr>
                      <w:rFonts w:cs="Georgia"/>
                    </w:rPr>
                    <w:t>.</w:t>
                  </w:r>
                </w:p>
                <w:p w:rsidR="00F04EEF" w:rsidRDefault="00F04EEF">
                  <w:pPr>
                    <w:widowControl w:val="0"/>
                    <w:autoSpaceDE w:val="0"/>
                    <w:autoSpaceDN w:val="0"/>
                    <w:adjustRightInd w:val="0"/>
                    <w:spacing w:before="11" w:line="240" w:lineRule="exact"/>
                    <w:rPr>
                      <w:rFonts w:cs="Georgia"/>
                    </w:rPr>
                  </w:pPr>
                </w:p>
                <w:p w:rsidR="00F04EEF" w:rsidRDefault="0099351E">
                  <w:pPr>
                    <w:widowControl w:val="0"/>
                    <w:autoSpaceDE w:val="0"/>
                    <w:autoSpaceDN w:val="0"/>
                    <w:adjustRightInd w:val="0"/>
                    <w:spacing w:line="250" w:lineRule="exact"/>
                    <w:jc w:val="both"/>
                    <w:rPr>
                      <w:rFonts w:cs="Georgia"/>
                    </w:rPr>
                  </w:pPr>
                  <w:r>
                    <w:rPr>
                      <w:rFonts w:cs="Georgia"/>
                      <w:spacing w:val="1"/>
                    </w:rPr>
                    <w:t>U</w:t>
                  </w:r>
                  <w:r>
                    <w:rPr>
                      <w:rFonts w:cs="Georgia"/>
                    </w:rPr>
                    <w:t>n</w:t>
                  </w:r>
                  <w:r>
                    <w:rPr>
                      <w:rFonts w:cs="Georgia"/>
                      <w:spacing w:val="3"/>
                    </w:rPr>
                    <w:t xml:space="preserve"> </w:t>
                  </w:r>
                  <w:r>
                    <w:rPr>
                      <w:rFonts w:cs="Georgia"/>
                      <w:spacing w:val="-1"/>
                    </w:rPr>
                    <w:t>n</w:t>
                  </w:r>
                  <w:r>
                    <w:rPr>
                      <w:rFonts w:cs="Georgia"/>
                      <w:spacing w:val="1"/>
                    </w:rPr>
                    <w:t>o</w:t>
                  </w:r>
                  <w:r>
                    <w:rPr>
                      <w:rFonts w:cs="Georgia"/>
                      <w:spacing w:val="-2"/>
                    </w:rPr>
                    <w:t>u</w:t>
                  </w:r>
                  <w:r>
                    <w:rPr>
                      <w:rFonts w:cs="Georgia"/>
                      <w:spacing w:val="1"/>
                    </w:rPr>
                    <w:t>v</w:t>
                  </w:r>
                  <w:r>
                    <w:rPr>
                      <w:rFonts w:cs="Georgia"/>
                      <w:spacing w:val="-1"/>
                    </w:rPr>
                    <w:t>ea</w:t>
                  </w:r>
                  <w:r>
                    <w:rPr>
                      <w:rFonts w:cs="Georgia"/>
                    </w:rPr>
                    <w:t>u</w:t>
                  </w:r>
                  <w:r>
                    <w:rPr>
                      <w:rFonts w:cs="Georgia"/>
                      <w:spacing w:val="4"/>
                    </w:rPr>
                    <w:t xml:space="preserve"> </w:t>
                  </w:r>
                  <w:r>
                    <w:rPr>
                      <w:rFonts w:cs="Georgia"/>
                      <w:spacing w:val="1"/>
                    </w:rPr>
                    <w:t>c</w:t>
                  </w:r>
                  <w:r>
                    <w:rPr>
                      <w:rFonts w:cs="Georgia"/>
                      <w:spacing w:val="-1"/>
                    </w:rPr>
                    <w:t>al</w:t>
                  </w:r>
                  <w:r>
                    <w:rPr>
                      <w:rFonts w:cs="Georgia"/>
                      <w:spacing w:val="1"/>
                    </w:rPr>
                    <w:t>c</w:t>
                  </w:r>
                  <w:r>
                    <w:rPr>
                      <w:rFonts w:cs="Georgia"/>
                    </w:rPr>
                    <w:t>ul de</w:t>
                  </w:r>
                  <w:r>
                    <w:rPr>
                      <w:rFonts w:cs="Georgia"/>
                      <w:spacing w:val="2"/>
                    </w:rPr>
                    <w:t xml:space="preserve"> </w:t>
                  </w:r>
                  <w:r>
                    <w:rPr>
                      <w:rFonts w:cs="Georgia"/>
                      <w:spacing w:val="-1"/>
                    </w:rPr>
                    <w:t>sa charge de cours</w:t>
                  </w:r>
                  <w:r>
                    <w:rPr>
                      <w:rFonts w:cs="Georgia"/>
                      <w:spacing w:val="4"/>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spacing w:val="1"/>
                    </w:rPr>
                    <w:t>r</w:t>
                  </w:r>
                  <w:r>
                    <w:rPr>
                      <w:rFonts w:cs="Georgia"/>
                      <w:spacing w:val="-1"/>
                    </w:rPr>
                    <w:t>éal</w:t>
                  </w:r>
                  <w:r>
                    <w:rPr>
                      <w:rFonts w:cs="Georgia"/>
                    </w:rPr>
                    <w:t>i</w:t>
                  </w:r>
                  <w:r>
                    <w:rPr>
                      <w:rFonts w:cs="Georgia"/>
                      <w:spacing w:val="1"/>
                    </w:rPr>
                    <w:t>s</w:t>
                  </w:r>
                  <w:r>
                    <w:rPr>
                      <w:rFonts w:cs="Georgia"/>
                    </w:rPr>
                    <w:t>é</w:t>
                  </w:r>
                  <w:r>
                    <w:rPr>
                      <w:rFonts w:cs="Georgia"/>
                      <w:spacing w:val="2"/>
                    </w:rPr>
                    <w:t xml:space="preserve"> </w:t>
                  </w:r>
                  <w:r>
                    <w:rPr>
                      <w:rFonts w:cs="Georgia"/>
                      <w:spacing w:val="-1"/>
                    </w:rPr>
                    <w:t>l</w:t>
                  </w:r>
                  <w:r>
                    <w:rPr>
                      <w:rFonts w:cs="Georgia"/>
                    </w:rPr>
                    <w:t>e</w:t>
                  </w:r>
                  <w:r>
                    <w:rPr>
                      <w:rFonts w:cs="Georgia"/>
                      <w:spacing w:val="2"/>
                    </w:rPr>
                    <w:t xml:space="preserve"> </w:t>
                  </w:r>
                  <w:r>
                    <w:rPr>
                      <w:rFonts w:cs="Georgia"/>
                      <w:spacing w:val="1"/>
                    </w:rPr>
                    <w:t>1</w:t>
                  </w:r>
                  <w:r>
                    <w:rPr>
                      <w:rFonts w:cs="Georgia"/>
                      <w:spacing w:val="-1"/>
                    </w:rPr>
                    <w:t>e</w:t>
                  </w:r>
                  <w:r>
                    <w:rPr>
                      <w:rFonts w:cs="Georgia"/>
                    </w:rPr>
                    <w:t>r</w:t>
                  </w:r>
                  <w:r>
                    <w:rPr>
                      <w:rFonts w:cs="Georgia"/>
                      <w:spacing w:val="4"/>
                    </w:rPr>
                    <w:t xml:space="preserve"> </w:t>
                  </w:r>
                  <w:r>
                    <w:rPr>
                      <w:rFonts w:cs="Georgia"/>
                      <w:spacing w:val="-1"/>
                    </w:rPr>
                    <w:t>o</w:t>
                  </w:r>
                  <w:r>
                    <w:rPr>
                      <w:rFonts w:cs="Georgia"/>
                      <w:spacing w:val="1"/>
                    </w:rPr>
                    <w:t>c</w:t>
                  </w:r>
                  <w:r>
                    <w:rPr>
                      <w:rFonts w:cs="Georgia"/>
                      <w:spacing w:val="-2"/>
                    </w:rPr>
                    <w:t>t</w:t>
                  </w:r>
                  <w:r>
                    <w:rPr>
                      <w:rFonts w:cs="Georgia"/>
                      <w:spacing w:val="1"/>
                    </w:rPr>
                    <w:t>o</w:t>
                  </w:r>
                  <w:r>
                    <w:rPr>
                      <w:rFonts w:cs="Georgia"/>
                      <w:spacing w:val="-1"/>
                    </w:rPr>
                    <w:t>b</w:t>
                  </w:r>
                  <w:r>
                    <w:rPr>
                      <w:rFonts w:cs="Georgia"/>
                      <w:spacing w:val="1"/>
                    </w:rPr>
                    <w:t>r</w:t>
                  </w:r>
                  <w:r>
                    <w:rPr>
                      <w:rFonts w:cs="Georgia"/>
                    </w:rPr>
                    <w:t>e</w:t>
                  </w:r>
                  <w:r>
                    <w:rPr>
                      <w:rFonts w:cs="Georgia"/>
                      <w:spacing w:val="2"/>
                    </w:rPr>
                    <w:t xml:space="preserve"> </w:t>
                  </w:r>
                  <w:r>
                    <w:rPr>
                      <w:rFonts w:cs="Georgia"/>
                      <w:spacing w:val="1"/>
                    </w:rPr>
                    <w:t>s</w:t>
                  </w:r>
                  <w:r>
                    <w:rPr>
                      <w:rFonts w:cs="Georgia"/>
                    </w:rPr>
                    <w:t>i</w:t>
                  </w:r>
                  <w:r>
                    <w:rPr>
                      <w:rFonts w:cs="Georgia"/>
                      <w:spacing w:val="1"/>
                    </w:rPr>
                    <w:t xml:space="preserve"> </w:t>
                  </w:r>
                  <w:r>
                    <w:rPr>
                      <w:rFonts w:cs="Georgia"/>
                      <w:spacing w:val="-1"/>
                    </w:rPr>
                    <w:t>l</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3"/>
                    </w:rPr>
                    <w:t xml:space="preserve"> </w:t>
                  </w:r>
                  <w:r>
                    <w:rPr>
                      <w:rFonts w:cs="Georgia"/>
                      <w:spacing w:val="-1"/>
                    </w:rPr>
                    <w:t>a</w:t>
                  </w:r>
                  <w:r>
                    <w:rPr>
                      <w:rFonts w:cs="Georgia"/>
                    </w:rPr>
                    <w:t>u</w:t>
                  </w:r>
                  <w:r>
                    <w:rPr>
                      <w:rFonts w:cs="Georgia"/>
                      <w:spacing w:val="1"/>
                    </w:rPr>
                    <w:t xml:space="preserve"> 3</w:t>
                  </w:r>
                  <w:r>
                    <w:rPr>
                      <w:rFonts w:cs="Georgia"/>
                    </w:rPr>
                    <w:t>0</w:t>
                  </w:r>
                  <w:r>
                    <w:rPr>
                      <w:rFonts w:cs="Georgia"/>
                      <w:spacing w:val="2"/>
                    </w:rPr>
                    <w:t xml:space="preserve"> </w:t>
                  </w:r>
                  <w:r>
                    <w:rPr>
                      <w:rFonts w:cs="Georgia"/>
                      <w:spacing w:val="1"/>
                    </w:rPr>
                    <w:t>s</w:t>
                  </w:r>
                  <w:r>
                    <w:rPr>
                      <w:rFonts w:cs="Georgia"/>
                      <w:spacing w:val="-1"/>
                    </w:rPr>
                    <w:t>ep</w:t>
                  </w:r>
                  <w:r>
                    <w:rPr>
                      <w:rFonts w:cs="Georgia"/>
                      <w:spacing w:val="1"/>
                    </w:rPr>
                    <w:t>t</w:t>
                  </w:r>
                  <w:r>
                    <w:rPr>
                      <w:rFonts w:cs="Georgia"/>
                      <w:spacing w:val="-1"/>
                    </w:rPr>
                    <w:t>e</w:t>
                  </w:r>
                  <w:r>
                    <w:rPr>
                      <w:rFonts w:cs="Georgia"/>
                    </w:rPr>
                    <w:t>m</w:t>
                  </w:r>
                  <w:r>
                    <w:rPr>
                      <w:rFonts w:cs="Georgia"/>
                      <w:spacing w:val="-1"/>
                    </w:rPr>
                    <w:t>b</w:t>
                  </w:r>
                  <w:r>
                    <w:rPr>
                      <w:rFonts w:cs="Georgia"/>
                      <w:spacing w:val="1"/>
                    </w:rPr>
                    <w:t>r</w:t>
                  </w:r>
                  <w:r>
                    <w:rPr>
                      <w:rFonts w:cs="Georgia"/>
                    </w:rPr>
                    <w:t xml:space="preserve">e a </w:t>
                  </w:r>
                  <w:r>
                    <w:rPr>
                      <w:rFonts w:cs="Georgia"/>
                      <w:spacing w:val="1"/>
                    </w:rPr>
                    <w:t>v</w:t>
                  </w:r>
                  <w:r>
                    <w:rPr>
                      <w:rFonts w:cs="Georgia"/>
                      <w:spacing w:val="-1"/>
                    </w:rPr>
                    <w:t>a</w:t>
                  </w:r>
                  <w:r>
                    <w:rPr>
                      <w:rFonts w:cs="Georgia"/>
                      <w:spacing w:val="1"/>
                    </w:rPr>
                    <w:t>r</w:t>
                  </w:r>
                  <w:r>
                    <w:rPr>
                      <w:rFonts w:cs="Georgia"/>
                    </w:rPr>
                    <w:t>ié</w:t>
                  </w:r>
                  <w:r>
                    <w:rPr>
                      <w:rFonts w:cs="Georgia"/>
                      <w:spacing w:val="-1"/>
                    </w:rPr>
                    <w:t xml:space="preserve"> </w:t>
                  </w:r>
                  <w:r>
                    <w:rPr>
                      <w:rFonts w:cs="Georgia"/>
                      <w:spacing w:val="1"/>
                    </w:rPr>
                    <w:t>d</w:t>
                  </w:r>
                  <w:r>
                    <w:rPr>
                      <w:rFonts w:cs="Georgia"/>
                    </w:rPr>
                    <w:t>’</w:t>
                  </w:r>
                  <w:r>
                    <w:rPr>
                      <w:rFonts w:cs="Georgia"/>
                      <w:spacing w:val="-1"/>
                    </w:rPr>
                    <w:t>a</w:t>
                  </w:r>
                  <w:r>
                    <w:rPr>
                      <w:rFonts w:cs="Georgia"/>
                    </w:rPr>
                    <w:t xml:space="preserve">u </w:t>
                  </w:r>
                  <w:r>
                    <w:rPr>
                      <w:rFonts w:cs="Georgia"/>
                      <w:spacing w:val="-3"/>
                    </w:rPr>
                    <w:t>m</w:t>
                  </w:r>
                  <w:r>
                    <w:rPr>
                      <w:rFonts w:cs="Georgia"/>
                      <w:spacing w:val="1"/>
                    </w:rPr>
                    <w:t>o</w:t>
                  </w:r>
                  <w:r>
                    <w:rPr>
                      <w:rFonts w:cs="Georgia"/>
                    </w:rPr>
                    <w:t>i</w:t>
                  </w:r>
                  <w:r>
                    <w:rPr>
                      <w:rFonts w:cs="Georgia"/>
                      <w:spacing w:val="-1"/>
                    </w:rPr>
                    <w:t>n</w:t>
                  </w:r>
                  <w:r>
                    <w:rPr>
                      <w:rFonts w:cs="Georgia"/>
                    </w:rPr>
                    <w:t>s</w:t>
                  </w:r>
                  <w:r>
                    <w:rPr>
                      <w:rFonts w:cs="Georgia"/>
                      <w:spacing w:val="-2"/>
                    </w:rPr>
                    <w:t xml:space="preserve"> </w:t>
                  </w:r>
                  <w:r>
                    <w:rPr>
                      <w:rFonts w:cs="Georgia"/>
                    </w:rPr>
                    <w:t>5</w:t>
                  </w:r>
                  <w:r>
                    <w:rPr>
                      <w:rFonts w:cs="Georgia"/>
                      <w:spacing w:val="1"/>
                    </w:rPr>
                    <w:t xml:space="preserve"> </w:t>
                  </w:r>
                  <w:r>
                    <w:rPr>
                      <w:rFonts w:cs="Georgia"/>
                    </w:rPr>
                    <w:t>%</w:t>
                  </w:r>
                  <w:r>
                    <w:rPr>
                      <w:rFonts w:cs="Georgia"/>
                      <w:spacing w:val="-1"/>
                    </w:rPr>
                    <w:t xml:space="preserve"> </w:t>
                  </w:r>
                  <w:r>
                    <w:rPr>
                      <w:rFonts w:cs="Georgia"/>
                      <w:spacing w:val="1"/>
                    </w:rPr>
                    <w:t>p</w:t>
                  </w:r>
                  <w:r>
                    <w:rPr>
                      <w:rFonts w:cs="Georgia"/>
                      <w:spacing w:val="-1"/>
                    </w:rPr>
                    <w:t>a</w:t>
                  </w:r>
                  <w:r>
                    <w:rPr>
                      <w:rFonts w:cs="Georgia"/>
                    </w:rPr>
                    <w:t>r</w:t>
                  </w:r>
                  <w:r>
                    <w:rPr>
                      <w:rFonts w:cs="Georgia"/>
                      <w:spacing w:val="-2"/>
                    </w:rPr>
                    <w:t xml:space="preserve"> </w:t>
                  </w:r>
                  <w:r>
                    <w:rPr>
                      <w:rFonts w:cs="Georgia"/>
                      <w:spacing w:val="1"/>
                    </w:rPr>
                    <w:t>r</w:t>
                  </w:r>
                  <w:r>
                    <w:rPr>
                      <w:rFonts w:cs="Georgia"/>
                      <w:spacing w:val="-1"/>
                    </w:rPr>
                    <w:t>ap</w:t>
                  </w:r>
                  <w:r>
                    <w:rPr>
                      <w:rFonts w:cs="Georgia"/>
                      <w:spacing w:val="1"/>
                    </w:rPr>
                    <w:t>p</w:t>
                  </w:r>
                  <w:r>
                    <w:rPr>
                      <w:rFonts w:cs="Georgia"/>
                      <w:spacing w:val="-1"/>
                    </w:rPr>
                    <w:t>o</w:t>
                  </w:r>
                  <w:r>
                    <w:rPr>
                      <w:rFonts w:cs="Georgia"/>
                      <w:spacing w:val="1"/>
                    </w:rPr>
                    <w:t>r</w:t>
                  </w:r>
                  <w:r>
                    <w:rPr>
                      <w:rFonts w:cs="Georgia"/>
                    </w:rPr>
                    <w:t>t à</w:t>
                  </w:r>
                  <w:r>
                    <w:rPr>
                      <w:rFonts w:cs="Georgia"/>
                      <w:spacing w:val="-1"/>
                    </w:rPr>
                    <w:t xml:space="preserve"> </w:t>
                  </w:r>
                  <w:r>
                    <w:rPr>
                      <w:rFonts w:cs="Georgia"/>
                      <w:spacing w:val="1"/>
                    </w:rPr>
                    <w:t>c</w:t>
                  </w:r>
                  <w:r>
                    <w:rPr>
                      <w:rFonts w:cs="Georgia"/>
                      <w:spacing w:val="-1"/>
                    </w:rPr>
                    <w:t>ell</w:t>
                  </w:r>
                  <w:r>
                    <w:rPr>
                      <w:rFonts w:cs="Georgia"/>
                    </w:rPr>
                    <w:t>e</w:t>
                  </w:r>
                  <w:r>
                    <w:rPr>
                      <w:rFonts w:cs="Georgia"/>
                      <w:spacing w:val="-1"/>
                    </w:rPr>
                    <w:t xml:space="preserve"> </w:t>
                  </w:r>
                  <w:r>
                    <w:rPr>
                      <w:rFonts w:cs="Georgia"/>
                    </w:rPr>
                    <w:t xml:space="preserve">du </w:t>
                  </w:r>
                  <w:r>
                    <w:rPr>
                      <w:rFonts w:cs="Georgia"/>
                      <w:spacing w:val="1"/>
                    </w:rPr>
                    <w:t>1</w:t>
                  </w:r>
                  <w:r>
                    <w:rPr>
                      <w:rFonts w:cs="Georgia"/>
                    </w:rPr>
                    <w:t>5</w:t>
                  </w:r>
                  <w:r>
                    <w:rPr>
                      <w:rFonts w:cs="Georgia"/>
                      <w:spacing w:val="1"/>
                    </w:rPr>
                    <w:t xml:space="preserve"> </w:t>
                  </w:r>
                  <w:r>
                    <w:rPr>
                      <w:rFonts w:cs="Georgia"/>
                    </w:rPr>
                    <w:t>j</w:t>
                  </w:r>
                  <w:r>
                    <w:rPr>
                      <w:rFonts w:cs="Georgia"/>
                      <w:spacing w:val="-1"/>
                    </w:rPr>
                    <w:t>a</w:t>
                  </w:r>
                  <w:r>
                    <w:rPr>
                      <w:rFonts w:cs="Georgia"/>
                      <w:spacing w:val="-3"/>
                    </w:rPr>
                    <w:t>n</w:t>
                  </w:r>
                  <w:r>
                    <w:rPr>
                      <w:rFonts w:cs="Georgia"/>
                      <w:spacing w:val="-2"/>
                    </w:rPr>
                    <w:t>v</w:t>
                  </w:r>
                  <w:r>
                    <w:rPr>
                      <w:rFonts w:cs="Georgia"/>
                    </w:rPr>
                    <w:t>i</w:t>
                  </w:r>
                  <w:r>
                    <w:rPr>
                      <w:rFonts w:cs="Georgia"/>
                      <w:spacing w:val="-1"/>
                    </w:rPr>
                    <w:t>e</w:t>
                  </w:r>
                  <w:r>
                    <w:rPr>
                      <w:rFonts w:cs="Georgia"/>
                    </w:rPr>
                    <w:t xml:space="preserve">r </w:t>
                  </w:r>
                  <w:r>
                    <w:rPr>
                      <w:rFonts w:cs="Georgia"/>
                      <w:spacing w:val="1"/>
                    </w:rPr>
                    <w:t>pr</w:t>
                  </w:r>
                  <w:r>
                    <w:rPr>
                      <w:rFonts w:cs="Georgia"/>
                      <w:spacing w:val="-1"/>
                    </w:rPr>
                    <w:t>é</w:t>
                  </w:r>
                  <w:r>
                    <w:rPr>
                      <w:rFonts w:cs="Georgia"/>
                      <w:spacing w:val="1"/>
                    </w:rPr>
                    <w:t>c</w:t>
                  </w:r>
                  <w:r>
                    <w:rPr>
                      <w:rFonts w:cs="Georgia"/>
                      <w:spacing w:val="-1"/>
                    </w:rPr>
                    <w:t>é</w:t>
                  </w:r>
                  <w:r>
                    <w:rPr>
                      <w:rFonts w:cs="Georgia"/>
                    </w:rPr>
                    <w:t>d</w:t>
                  </w:r>
                  <w:r>
                    <w:rPr>
                      <w:rFonts w:cs="Georgia"/>
                      <w:spacing w:val="-1"/>
                    </w:rPr>
                    <w:t>en</w:t>
                  </w:r>
                  <w:r>
                    <w:rPr>
                      <w:rFonts w:cs="Georgia"/>
                      <w:spacing w:val="1"/>
                    </w:rPr>
                    <w:t>t.</w:t>
                  </w:r>
                </w:p>
                <w:p w:rsidR="00F04EEF" w:rsidRDefault="00F04EEF">
                  <w:pPr>
                    <w:widowControl w:val="0"/>
                    <w:autoSpaceDE w:val="0"/>
                    <w:autoSpaceDN w:val="0"/>
                    <w:adjustRightInd w:val="0"/>
                    <w:spacing w:before="7" w:line="240" w:lineRule="exact"/>
                    <w:rPr>
                      <w:rFonts w:cs="Georgia"/>
                    </w:rPr>
                  </w:pPr>
                </w:p>
                <w:p w:rsidR="00F04EEF" w:rsidRDefault="0099351E">
                  <w:pPr>
                    <w:widowControl w:val="0"/>
                    <w:autoSpaceDE w:val="0"/>
                    <w:autoSpaceDN w:val="0"/>
                    <w:adjustRightInd w:val="0"/>
                    <w:jc w:val="both"/>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3"/>
                    </w:rPr>
                    <w:t xml:space="preserve"> </w:t>
                  </w:r>
                  <w:r>
                    <w:rPr>
                      <w:rFonts w:cs="Georgia"/>
                      <w:spacing w:val="-1"/>
                    </w:rPr>
                    <w:t>l</w:t>
                  </w:r>
                  <w:r>
                    <w:rPr>
                      <w:rFonts w:cs="Georgia"/>
                    </w:rPr>
                    <w:t>e</w:t>
                  </w:r>
                  <w:r>
                    <w:rPr>
                      <w:rFonts w:cs="Georgia"/>
                      <w:spacing w:val="1"/>
                    </w:rPr>
                    <w:t xml:space="preserve"> 3</w:t>
                  </w:r>
                  <w:r>
                    <w:rPr>
                      <w:rFonts w:cs="Georgia"/>
                    </w:rPr>
                    <w:t>0</w:t>
                  </w:r>
                  <w:r>
                    <w:rPr>
                      <w:rFonts w:cs="Georgia"/>
                      <w:spacing w:val="-1"/>
                    </w:rPr>
                    <w:t xml:space="preserve"> </w:t>
                  </w:r>
                  <w:r>
                    <w:rPr>
                      <w:rFonts w:cs="Georgia"/>
                      <w:spacing w:val="1"/>
                    </w:rPr>
                    <w:t>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1"/>
                    </w:rPr>
                    <w:t xml:space="preserve"> </w:t>
                  </w:r>
                  <w:r>
                    <w:rPr>
                      <w:rFonts w:cs="Georgia"/>
                      <w:spacing w:val="-2"/>
                    </w:rPr>
                    <w:t>d</w:t>
                  </w:r>
                  <w:r>
                    <w:rPr>
                      <w:rFonts w:cs="Georgia"/>
                    </w:rPr>
                    <w:t>e</w:t>
                  </w:r>
                  <w:r>
                    <w:rPr>
                      <w:rFonts w:cs="Georgia"/>
                      <w:spacing w:val="1"/>
                    </w:rPr>
                    <w:t xml:space="preserve"> </w:t>
                  </w:r>
                  <w:r>
                    <w:rPr>
                      <w:rFonts w:cs="Georgia"/>
                      <w:spacing w:val="-1"/>
                    </w:rPr>
                    <w:t>l</w:t>
                  </w:r>
                  <w:r>
                    <w:rPr>
                      <w:rFonts w:cs="Georgia"/>
                    </w:rPr>
                    <w:t>’</w:t>
                  </w:r>
                  <w:r>
                    <w:rPr>
                      <w:rFonts w:cs="Georgia"/>
                      <w:spacing w:val="-1"/>
                    </w:rPr>
                    <w:t>anné</w:t>
                  </w:r>
                  <w:r>
                    <w:rPr>
                      <w:rFonts w:cs="Georgia"/>
                    </w:rPr>
                    <w:t>e</w:t>
                  </w:r>
                  <w:r>
                    <w:rPr>
                      <w:rFonts w:cs="Georgia"/>
                      <w:spacing w:val="1"/>
                    </w:rPr>
                    <w:t xml:space="preserve"> sco</w:t>
                  </w:r>
                  <w:r>
                    <w:rPr>
                      <w:rFonts w:cs="Georgia"/>
                      <w:spacing w:val="-1"/>
                    </w:rPr>
                    <w:t>la</w:t>
                  </w:r>
                  <w:r>
                    <w:rPr>
                      <w:rFonts w:cs="Georgia"/>
                    </w:rPr>
                    <w:t>i</w:t>
                  </w:r>
                  <w:r>
                    <w:rPr>
                      <w:rFonts w:cs="Georgia"/>
                      <w:spacing w:val="1"/>
                    </w:rPr>
                    <w:t>r</w:t>
                  </w:r>
                  <w:r>
                    <w:rPr>
                      <w:rFonts w:cs="Georgia"/>
                      <w:spacing w:val="-1"/>
                    </w:rPr>
                    <w:t>e</w:t>
                  </w:r>
                  <w:r>
                    <w:rPr>
                      <w:rFonts w:cs="Georgia"/>
                    </w:rPr>
                    <w:t xml:space="preserve">, </w:t>
                  </w:r>
                  <w:r>
                    <w:rPr>
                      <w:rFonts w:cs="Georgia"/>
                      <w:spacing w:val="1"/>
                    </w:rPr>
                    <w:t>to</w:t>
                  </w:r>
                  <w:r>
                    <w:rPr>
                      <w:rFonts w:cs="Georgia"/>
                      <w:spacing w:val="-2"/>
                    </w:rPr>
                    <w:t>u</w:t>
                  </w:r>
                  <w:r>
                    <w:rPr>
                      <w:rFonts w:cs="Georgia"/>
                      <w:spacing w:val="1"/>
                    </w:rPr>
                    <w:t>t</w:t>
                  </w:r>
                  <w:r>
                    <w:rPr>
                      <w:rFonts w:cs="Georgia"/>
                    </w:rPr>
                    <w:t>e</w:t>
                  </w:r>
                  <w:r>
                    <w:rPr>
                      <w:rFonts w:cs="Georgia"/>
                      <w:spacing w:val="1"/>
                    </w:rPr>
                    <w:t xml:space="preserve"> </w:t>
                  </w:r>
                  <w:r>
                    <w:rPr>
                      <w:rFonts w:cs="Georgia"/>
                      <w:spacing w:val="-3"/>
                    </w:rPr>
                    <w:t>a</w:t>
                  </w:r>
                  <w:r>
                    <w:rPr>
                      <w:rFonts w:cs="Georgia"/>
                    </w:rPr>
                    <w:t>ugm</w:t>
                  </w:r>
                  <w:r>
                    <w:rPr>
                      <w:rFonts w:cs="Georgia"/>
                      <w:spacing w:val="-1"/>
                    </w:rPr>
                    <w:t>en</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1</w:t>
                  </w:r>
                  <w:r>
                    <w:rPr>
                      <w:rFonts w:cs="Georgia"/>
                    </w:rPr>
                    <w:t>0</w:t>
                  </w:r>
                  <w:r>
                    <w:rPr>
                      <w:rFonts w:cs="Georgia"/>
                      <w:spacing w:val="1"/>
                    </w:rPr>
                    <w:t xml:space="preserve"> </w:t>
                  </w:r>
                  <w:r>
                    <w:rPr>
                      <w:rFonts w:cs="Georgia"/>
                    </w:rPr>
                    <w:t>%</w:t>
                  </w:r>
                  <w:r>
                    <w:rPr>
                      <w:rFonts w:cs="Georgia"/>
                      <w:spacing w:val="-1"/>
                    </w:rPr>
                    <w:t xml:space="preserve"> </w:t>
                  </w:r>
                  <w:r>
                    <w:rPr>
                      <w:rFonts w:cs="Georgia"/>
                    </w:rPr>
                    <w:t>de</w:t>
                  </w:r>
                  <w:r>
                    <w:rPr>
                      <w:rFonts w:cs="Georgia"/>
                      <w:spacing w:val="1"/>
                    </w:rPr>
                    <w:t xml:space="preserve"> </w:t>
                  </w:r>
                  <w:r>
                    <w:rPr>
                      <w:rFonts w:cs="Georgia"/>
                      <w:spacing w:val="-3"/>
                    </w:rPr>
                    <w:t>l</w:t>
                  </w:r>
                  <w:r>
                    <w:rPr>
                      <w:rFonts w:cs="Georgia"/>
                    </w:rPr>
                    <w:t>a</w:t>
                  </w:r>
                  <w:r>
                    <w:rPr>
                      <w:rFonts w:cs="Georgia"/>
                      <w:spacing w:val="1"/>
                    </w:rPr>
                    <w:t xml:space="preserve"> 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spacing w:val="1"/>
                    </w:rPr>
                    <w:t>s</w:t>
                  </w:r>
                  <w:r>
                    <w:rPr>
                      <w:rFonts w:cs="Georgia"/>
                      <w:spacing w:val="-1"/>
                    </w:rPr>
                    <w:t>e</w:t>
                  </w:r>
                  <w:r>
                    <w:rPr>
                      <w:rFonts w:cs="Georgia"/>
                      <w:spacing w:val="1"/>
                    </w:rPr>
                    <w:t>rv</w:t>
                  </w:r>
                  <w:r>
                    <w:rPr>
                      <w:rFonts w:cs="Georgia"/>
                      <w:spacing w:val="-1"/>
                    </w:rPr>
                    <w:t>an</w:t>
                  </w:r>
                  <w:r>
                    <w:rPr>
                      <w:rFonts w:cs="Georgia"/>
                    </w:rPr>
                    <w:t xml:space="preserve">t </w:t>
                  </w:r>
                  <w:r>
                    <w:rPr>
                      <w:rFonts w:cs="Georgia"/>
                      <w:spacing w:val="-1"/>
                    </w:rPr>
                    <w:t>a</w:t>
                  </w:r>
                  <w:r>
                    <w:rPr>
                      <w:rFonts w:cs="Georgia"/>
                    </w:rPr>
                    <w:t>u c</w:t>
                  </w:r>
                  <w:r>
                    <w:rPr>
                      <w:rFonts w:cs="Georgia"/>
                      <w:spacing w:val="-1"/>
                    </w:rPr>
                    <w:t>al</w:t>
                  </w:r>
                  <w:r>
                    <w:rPr>
                      <w:rFonts w:cs="Georgia"/>
                      <w:spacing w:val="1"/>
                    </w:rPr>
                    <w:t>c</w:t>
                  </w:r>
                  <w:r>
                    <w:rPr>
                      <w:rFonts w:cs="Georgia"/>
                    </w:rPr>
                    <w:t>ul</w:t>
                  </w:r>
                  <w:r>
                    <w:rPr>
                      <w:rFonts w:cs="Georgia"/>
                      <w:spacing w:val="1"/>
                    </w:rPr>
                    <w:t xml:space="preserve"> </w:t>
                  </w:r>
                  <w:r>
                    <w:rPr>
                      <w:rFonts w:cs="Georgia"/>
                    </w:rPr>
                    <w:t>du</w:t>
                  </w:r>
                  <w:r>
                    <w:rPr>
                      <w:rFonts w:cs="Georgia"/>
                      <w:spacing w:val="2"/>
                    </w:rPr>
                    <w:t xml:space="preserve"> </w:t>
                  </w:r>
                  <w:r>
                    <w:rPr>
                      <w:rFonts w:cs="Georgia"/>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spacing w:val="-2"/>
                    </w:rPr>
                    <w:t>d</w:t>
                  </w:r>
                  <w:r>
                    <w:rPr>
                      <w:rFonts w:cs="Georgia"/>
                      <w:spacing w:val="-1"/>
                    </w:rPr>
                    <w:t>e</w:t>
                  </w:r>
                  <w:r>
                    <w:rPr>
                      <w:rFonts w:cs="Georgia"/>
                    </w:rPr>
                    <w:t>s</w:t>
                  </w:r>
                  <w:r>
                    <w:rPr>
                      <w:rFonts w:cs="Georgia"/>
                      <w:spacing w:val="3"/>
                    </w:rPr>
                    <w:t xml:space="preserve"> </w:t>
                  </w:r>
                  <w:r>
                    <w:rPr>
                      <w:rFonts w:cs="Georgia"/>
                      <w:spacing w:val="1"/>
                    </w:rPr>
                    <w:t>p</w:t>
                  </w:r>
                  <w:r>
                    <w:rPr>
                      <w:rFonts w:cs="Georgia"/>
                      <w:spacing w:val="-1"/>
                    </w:rPr>
                    <w:t>e</w:t>
                  </w:r>
                  <w:r>
                    <w:rPr>
                      <w:rFonts w:cs="Georgia"/>
                    </w:rPr>
                    <w:t>u</w:t>
                  </w:r>
                  <w:r>
                    <w:rPr>
                      <w:rFonts w:cs="Georgia"/>
                      <w:spacing w:val="1"/>
                    </w:rPr>
                    <w:t>t</w:t>
                  </w:r>
                  <w:r>
                    <w:rPr>
                      <w:rFonts w:cs="Georgia"/>
                    </w:rPr>
                    <w:t>,</w:t>
                  </w:r>
                  <w:r>
                    <w:rPr>
                      <w:rFonts w:cs="Georgia"/>
                      <w:spacing w:val="3"/>
                    </w:rPr>
                    <w:t xml:space="preserve"> </w:t>
                  </w:r>
                  <w:r>
                    <w:rPr>
                      <w:rFonts w:cs="Georgia"/>
                      <w:spacing w:val="-1"/>
                    </w:rPr>
                    <w:t>l</w:t>
                  </w:r>
                  <w:r>
                    <w:rPr>
                      <w:rFonts w:cs="Georgia"/>
                    </w:rPr>
                    <w:t>e</w:t>
                  </w:r>
                  <w:r>
                    <w:rPr>
                      <w:rFonts w:cs="Georgia"/>
                      <w:spacing w:val="1"/>
                    </w:rPr>
                    <w:t xml:space="preserve"> c</w:t>
                  </w:r>
                  <w:r>
                    <w:rPr>
                      <w:rFonts w:cs="Georgia"/>
                      <w:spacing w:val="-1"/>
                    </w:rPr>
                    <w:t>a</w:t>
                  </w:r>
                  <w:r>
                    <w:rPr>
                      <w:rFonts w:cs="Georgia"/>
                    </w:rPr>
                    <w:t>s</w:t>
                  </w:r>
                  <w:r>
                    <w:rPr>
                      <w:rFonts w:cs="Georgia"/>
                      <w:spacing w:val="3"/>
                    </w:rPr>
                    <w:t xml:space="preserve"> </w:t>
                  </w:r>
                  <w:r>
                    <w:rPr>
                      <w:rFonts w:cs="Georgia"/>
                      <w:spacing w:val="-1"/>
                    </w:rPr>
                    <w:t>é</w:t>
                  </w:r>
                  <w:r>
                    <w:rPr>
                      <w:rFonts w:cs="Georgia"/>
                      <w:spacing w:val="1"/>
                    </w:rPr>
                    <w:t>ch</w:t>
                  </w:r>
                  <w:r>
                    <w:rPr>
                      <w:rFonts w:cs="Georgia"/>
                      <w:spacing w:val="-1"/>
                    </w:rPr>
                    <w:t>éan</w:t>
                  </w:r>
                  <w:r>
                    <w:rPr>
                      <w:rFonts w:cs="Georgia"/>
                      <w:spacing w:val="1"/>
                    </w:rPr>
                    <w:t>t</w:t>
                  </w:r>
                  <w:r>
                    <w:rPr>
                      <w:rFonts w:cs="Georgia"/>
                    </w:rPr>
                    <w:t xml:space="preserve">, </w:t>
                  </w:r>
                  <w:r>
                    <w:rPr>
                      <w:rFonts w:cs="Georgia"/>
                      <w:spacing w:val="1"/>
                    </w:rPr>
                    <w:t>p</w:t>
                  </w:r>
                  <w:r>
                    <w:rPr>
                      <w:rFonts w:cs="Georgia"/>
                      <w:spacing w:val="-1"/>
                    </w:rPr>
                    <w:t>e</w:t>
                  </w:r>
                  <w:r>
                    <w:rPr>
                      <w:rFonts w:cs="Georgia"/>
                      <w:spacing w:val="1"/>
                    </w:rPr>
                    <w:t>r</w:t>
                  </w:r>
                  <w:r>
                    <w:rPr>
                      <w:rFonts w:cs="Georgia"/>
                    </w:rPr>
                    <w:t>m</w:t>
                  </w:r>
                  <w:r>
                    <w:rPr>
                      <w:rFonts w:cs="Georgia"/>
                      <w:spacing w:val="-1"/>
                    </w:rPr>
                    <w:t>e</w:t>
                  </w:r>
                  <w:r>
                    <w:rPr>
                      <w:rFonts w:cs="Georgia"/>
                      <w:spacing w:val="1"/>
                    </w:rPr>
                    <w:t>t</w:t>
                  </w:r>
                  <w:r>
                    <w:rPr>
                      <w:rFonts w:cs="Georgia"/>
                      <w:spacing w:val="-2"/>
                    </w:rPr>
                    <w:t>t</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r</w:t>
                  </w:r>
                  <w:r>
                    <w:rPr>
                      <w:rFonts w:cs="Georgia"/>
                      <w:spacing w:val="-1"/>
                    </w:rPr>
                    <w:t>é</w:t>
                  </w:r>
                  <w:r>
                    <w:rPr>
                      <w:rFonts w:cs="Georgia"/>
                    </w:rPr>
                    <w:t>dui</w:t>
                  </w:r>
                  <w:r>
                    <w:rPr>
                      <w:rFonts w:cs="Georgia"/>
                      <w:spacing w:val="1"/>
                    </w:rPr>
                    <w:t>r</w:t>
                  </w:r>
                  <w:r>
                    <w:rPr>
                      <w:rFonts w:cs="Georgia"/>
                    </w:rPr>
                    <w:t>e</w:t>
                  </w:r>
                  <w:r>
                    <w:rPr>
                      <w:rFonts w:cs="Georgia"/>
                      <w:spacing w:val="1"/>
                    </w:rPr>
                    <w:t xml:space="preserve"> </w:t>
                  </w:r>
                  <w:r>
                    <w:rPr>
                      <w:rFonts w:cs="Georgia"/>
                      <w:spacing w:val="-1"/>
                    </w:rPr>
                    <w:t>l</w:t>
                  </w:r>
                  <w:r>
                    <w:rPr>
                      <w:rFonts w:cs="Georgia"/>
                    </w:rPr>
                    <w:t>a</w:t>
                  </w:r>
                  <w:r>
                    <w:rPr>
                      <w:rFonts w:cs="Georgia"/>
                      <w:spacing w:val="1"/>
                    </w:rPr>
                    <w:t xml:space="preserve"> ch</w:t>
                  </w:r>
                  <w:r>
                    <w:rPr>
                      <w:rFonts w:cs="Georgia"/>
                      <w:spacing w:val="-1"/>
                    </w:rPr>
                    <w:t>a</w:t>
                  </w:r>
                  <w:r>
                    <w:rPr>
                      <w:rFonts w:cs="Georgia"/>
                      <w:spacing w:val="1"/>
                    </w:rPr>
                    <w:t>r</w:t>
                  </w:r>
                  <w:r>
                    <w:rPr>
                      <w:rFonts w:cs="Georgia"/>
                    </w:rPr>
                    <w:t>ge</w:t>
                  </w:r>
                  <w:r>
                    <w:rPr>
                      <w:rFonts w:cs="Georgia"/>
                      <w:spacing w:val="1"/>
                    </w:rPr>
                    <w:t xml:space="preserve"> </w:t>
                  </w:r>
                  <w:r>
                    <w:rPr>
                      <w:rFonts w:cs="Georgia"/>
                    </w:rPr>
                    <w:t>de</w:t>
                  </w:r>
                  <w:r>
                    <w:rPr>
                      <w:rFonts w:cs="Georgia"/>
                      <w:spacing w:val="1"/>
                    </w:rPr>
                    <w:t xml:space="preserve"> c</w:t>
                  </w:r>
                  <w:r>
                    <w:rPr>
                      <w:rFonts w:cs="Georgia"/>
                      <w:spacing w:val="-1"/>
                    </w:rPr>
                    <w:t>o</w:t>
                  </w:r>
                  <w:r>
                    <w:rPr>
                      <w:rFonts w:cs="Georgia"/>
                    </w:rPr>
                    <w:t>u</w:t>
                  </w:r>
                  <w:r>
                    <w:rPr>
                      <w:rFonts w:cs="Georgia"/>
                      <w:spacing w:val="1"/>
                    </w:rPr>
                    <w:t>r</w:t>
                  </w:r>
                  <w:r>
                    <w:rPr>
                      <w:rFonts w:cs="Georgia"/>
                    </w:rPr>
                    <w:t>s</w:t>
                  </w:r>
                  <w:r>
                    <w:rPr>
                      <w:rFonts w:cs="Georgia"/>
                      <w:spacing w:val="3"/>
                    </w:rPr>
                    <w:t xml:space="preserve"> </w:t>
                  </w:r>
                  <w:r>
                    <w:rPr>
                      <w:rFonts w:cs="Georgia"/>
                      <w:spacing w:val="-2"/>
                    </w:rPr>
                    <w:t>d</w:t>
                  </w:r>
                  <w:r>
                    <w:rPr>
                      <w:rFonts w:cs="Georgia"/>
                    </w:rPr>
                    <w:t>u directeur.</w:t>
                  </w:r>
                </w:p>
                <w:p w:rsidR="00F04EEF" w:rsidRDefault="00F04EEF">
                  <w:pPr>
                    <w:jc w:val="both"/>
                  </w:pPr>
                </w:p>
                <w:p w:rsidR="00F04EEF" w:rsidRDefault="0099351E">
                  <w:pPr>
                    <w:pStyle w:val="Titre3"/>
                    <w:rPr>
                      <w:sz w:val="22"/>
                      <w:szCs w:val="22"/>
                    </w:rPr>
                  </w:pPr>
                  <w:bookmarkStart w:id="1965" w:name="_4._Modification_du"/>
                  <w:bookmarkStart w:id="1966" w:name="_Toc47708503"/>
                  <w:bookmarkEnd w:id="1965"/>
                  <w:r>
                    <w:rPr>
                      <w:sz w:val="22"/>
                      <w:szCs w:val="22"/>
                    </w:rPr>
                    <w:t xml:space="preserve">3. </w:t>
                  </w:r>
                  <w:bookmarkStart w:id="1967" w:name="_Toc453314330"/>
                  <w:bookmarkStart w:id="1968" w:name="_Toc454980365"/>
                  <w:r>
                    <w:rPr>
                      <w:sz w:val="22"/>
                      <w:szCs w:val="22"/>
                    </w:rPr>
                    <w:t>Modification du numéro de compte bancaire de l’établissement.</w:t>
                  </w:r>
                  <w:bookmarkEnd w:id="1967"/>
                  <w:bookmarkEnd w:id="1968"/>
                  <w:bookmarkEnd w:id="1966"/>
                </w:p>
                <w:p w:rsidR="00F04EEF" w:rsidRDefault="00F04EEF"/>
                <w:p w:rsidR="00F04EEF" w:rsidRDefault="0099351E">
                  <w:pPr>
                    <w:pBdr>
                      <w:top w:val="single" w:sz="4" w:space="1" w:color="auto"/>
                      <w:left w:val="single" w:sz="4" w:space="4" w:color="auto"/>
                      <w:bottom w:val="single" w:sz="4" w:space="0" w:color="auto"/>
                      <w:right w:val="single" w:sz="4" w:space="4" w:color="auto"/>
                    </w:pBdr>
                    <w:tabs>
                      <w:tab w:val="left" w:pos="-1440"/>
                      <w:tab w:val="left" w:pos="-720"/>
                    </w:tabs>
                    <w:jc w:val="center"/>
                    <w:rPr>
                      <w:b/>
                    </w:rPr>
                  </w:pPr>
                  <w:r>
                    <w:rPr>
                      <w:b/>
                    </w:rPr>
                    <w:t>Lors d’une modification du numéro de compte bancaire de l’établissement, le représentant du Pouvoir organisateur doit envoyer un courrier à l’adresse suivante</w:t>
                  </w:r>
                  <w:r>
                    <w:t> :</w:t>
                  </w:r>
                  <w:r>
                    <w:br/>
                    <w:t>Direction générale de l’Enseignement obligatoire</w:t>
                  </w:r>
                </w:p>
                <w:p w:rsidR="00F04EEF" w:rsidRDefault="0099351E">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0" w:color="auto"/>
                      <w:right w:val="single" w:sz="4" w:space="4" w:color="auto"/>
                    </w:pBdr>
                    <w:jc w:val="center"/>
                    <w:rPr>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58" w:history="1">
                    <w:r>
                      <w:rPr>
                        <w:rStyle w:val="Lienhypertexte"/>
                        <w:b w:val="0"/>
                        <w:szCs w:val="22"/>
                      </w:rPr>
                      <w:t>veronique.rombaut@cfwb.be</w:t>
                    </w:r>
                  </w:hyperlink>
                </w:p>
                <w:p w:rsidR="00F04EEF" w:rsidRDefault="00F04EEF">
                  <w:pPr>
                    <w:tabs>
                      <w:tab w:val="left" w:pos="-1440"/>
                      <w:tab w:val="left" w:pos="-720"/>
                    </w:tabs>
                  </w:pPr>
                </w:p>
                <w:p w:rsidR="00F04EEF" w:rsidRDefault="0099351E">
                  <w:pPr>
                    <w:jc w:val="both"/>
                  </w:pPr>
                  <w:r>
                    <w:t>Le courrier doit absolument comprendre le numéro Fase de l’établissement, l’ancien numéro de compte, le nouveau numéro de compte et la dénomination du compte.  Une attestation d’ouverture du compte au nom du Pouvoir organisateur délivrée par l’établissement bancaire est jointe au courrier.</w:t>
                  </w:r>
                </w:p>
                <w:p w:rsidR="00F04EEF" w:rsidRDefault="00F04EEF">
                  <w:pPr>
                    <w:jc w:val="both"/>
                  </w:pPr>
                </w:p>
                <w:p w:rsidR="00F04EEF" w:rsidRDefault="0099351E">
                  <w:pPr>
                    <w:jc w:val="both"/>
                  </w:pPr>
                  <w:r>
                    <w:t>Attention, cette procédure n’est pas valable pour les établissements d’enseignement officiel subventionné (Communes et Provinces) où les subventions sont versées sur le compte de la Commune ou de la Province.</w:t>
                  </w:r>
                </w:p>
                <w:p w:rsidR="00F04EEF" w:rsidRDefault="00F04EEF">
                  <w:pPr>
                    <w:jc w:val="both"/>
                  </w:pPr>
                </w:p>
                <w:p w:rsidR="00F04EEF" w:rsidRDefault="0099351E">
                  <w:pPr>
                    <w:pStyle w:val="Titre3"/>
                  </w:pPr>
                  <w:bookmarkStart w:id="1969" w:name="_5._Annexe"/>
                  <w:bookmarkStart w:id="1970" w:name="_Toc453314331"/>
                  <w:bookmarkStart w:id="1971" w:name="_Toc454980366"/>
                  <w:bookmarkStart w:id="1972" w:name="_Toc47708504"/>
                  <w:bookmarkEnd w:id="1969"/>
                  <w:r>
                    <w:rPr>
                      <w:sz w:val="22"/>
                      <w:szCs w:val="22"/>
                    </w:rPr>
                    <w:t>4. Annexe</w:t>
                  </w:r>
                  <w:bookmarkEnd w:id="1970"/>
                  <w:bookmarkEnd w:id="1971"/>
                  <w:bookmarkEnd w:id="1972"/>
                </w:p>
                <w:p w:rsidR="00F04EEF" w:rsidRDefault="0099351E">
                  <w:pPr>
                    <w:pStyle w:val="Titre4"/>
                  </w:pPr>
                  <w:bookmarkStart w:id="1973" w:name="_Annexe_1_:"/>
                  <w:bookmarkStart w:id="1974" w:name="_Annexe_1_:_7"/>
                  <w:bookmarkEnd w:id="1973"/>
                  <w:bookmarkEnd w:id="1974"/>
                  <w:r>
                    <w:br w:type="page"/>
                  </w:r>
                  <w:bookmarkStart w:id="1975" w:name="_Toc453314332"/>
                  <w:bookmarkStart w:id="1976" w:name="_Toc454980367"/>
                  <w:r>
                    <w:t xml:space="preserve">Annexe 1 : Prise en charge d’élèves de l’enseignement spécialisé de type 4 ou d’une pédagogie adaptée </w:t>
                  </w:r>
                  <w:r>
                    <w:rPr>
                      <w:rStyle w:val="Appelnotedebasdep"/>
                      <w:b w:val="0"/>
                      <w:sz w:val="18"/>
                      <w:u w:val="none"/>
                    </w:rPr>
                    <w:footnoteReference w:id="127"/>
                  </w:r>
                  <w:bookmarkEnd w:id="1975"/>
                  <w:bookmarkEnd w:id="1976"/>
                </w:p>
                <w:p w:rsidR="00F04EEF" w:rsidRDefault="00F04EEF"/>
                <w:p w:rsidR="00F04EEF" w:rsidRDefault="00F04EEF">
                  <w:pPr>
                    <w:autoSpaceDE w:val="0"/>
                    <w:autoSpaceDN w:val="0"/>
                    <w:adjustRightInd w:val="0"/>
                    <w:rPr>
                      <w:color w:val="000000"/>
                      <w:lang w:eastAsia="fr-FR"/>
                    </w:rPr>
                  </w:pPr>
                </w:p>
                <w:p w:rsidR="00F04EEF" w:rsidRDefault="0099351E">
                  <w:pPr>
                    <w:autoSpaceDE w:val="0"/>
                    <w:autoSpaceDN w:val="0"/>
                    <w:adjustRightInd w:val="0"/>
                    <w:ind w:left="5103"/>
                    <w:rPr>
                      <w:color w:val="000000"/>
                      <w:lang w:val="fr-FR" w:eastAsia="fr-FR"/>
                    </w:rPr>
                  </w:pPr>
                  <w:r>
                    <w:rPr>
                      <w:color w:val="000000"/>
                      <w:lang w:val="fr-FR" w:eastAsia="fr-FR"/>
                    </w:rPr>
                    <w:t>Direction générale de l’Enseignement obligatoire</w:t>
                  </w:r>
                </w:p>
                <w:p w:rsidR="00F04EEF" w:rsidRDefault="0099351E">
                  <w:pPr>
                    <w:autoSpaceDE w:val="0"/>
                    <w:autoSpaceDN w:val="0"/>
                    <w:adjustRightInd w:val="0"/>
                    <w:ind w:left="5103"/>
                    <w:rPr>
                      <w:color w:val="000000"/>
                      <w:lang w:val="fr-FR" w:eastAsia="fr-FR"/>
                    </w:rPr>
                  </w:pPr>
                  <w:r>
                    <w:rPr>
                      <w:color w:val="000000"/>
                      <w:lang w:val="fr-FR" w:eastAsia="fr-FR"/>
                    </w:rPr>
                    <w:t>Service de l’enseignement spécialisé</w:t>
                  </w:r>
                </w:p>
                <w:p w:rsidR="00F04EEF" w:rsidRDefault="0099351E">
                  <w:pPr>
                    <w:autoSpaceDE w:val="0"/>
                    <w:autoSpaceDN w:val="0"/>
                    <w:adjustRightInd w:val="0"/>
                    <w:ind w:left="5103"/>
                    <w:rPr>
                      <w:color w:val="000000"/>
                      <w:lang w:val="fr-FR" w:eastAsia="fr-FR"/>
                    </w:rPr>
                  </w:pPr>
                  <w:r>
                    <w:rPr>
                      <w:b/>
                      <w:bCs/>
                      <w:color w:val="000000"/>
                      <w:lang w:val="fr-FR" w:eastAsia="fr-FR"/>
                    </w:rPr>
                    <w:t>Monsieur William FUCHS</w:t>
                  </w:r>
                </w:p>
                <w:p w:rsidR="00F04EEF" w:rsidRDefault="0099351E">
                  <w:pPr>
                    <w:autoSpaceDE w:val="0"/>
                    <w:autoSpaceDN w:val="0"/>
                    <w:adjustRightInd w:val="0"/>
                    <w:ind w:left="5103"/>
                    <w:rPr>
                      <w:color w:val="000000"/>
                      <w:lang w:val="fr-FR" w:eastAsia="fr-FR"/>
                    </w:rPr>
                  </w:pPr>
                  <w:r>
                    <w:rPr>
                      <w:color w:val="000000"/>
                      <w:lang w:val="fr-FR" w:eastAsia="fr-FR"/>
                    </w:rPr>
                    <w:t>Bureau 2F255</w:t>
                  </w:r>
                </w:p>
                <w:p w:rsidR="00F04EEF" w:rsidRDefault="0099351E">
                  <w:pPr>
                    <w:autoSpaceDE w:val="0"/>
                    <w:autoSpaceDN w:val="0"/>
                    <w:adjustRightInd w:val="0"/>
                    <w:ind w:left="5103"/>
                    <w:rPr>
                      <w:color w:val="000000"/>
                      <w:lang w:val="fr-FR" w:eastAsia="fr-FR"/>
                    </w:rPr>
                  </w:pPr>
                  <w:r>
                    <w:rPr>
                      <w:color w:val="000000"/>
                      <w:lang w:val="fr-FR" w:eastAsia="fr-FR"/>
                    </w:rPr>
                    <w:t>Rue Adolphe Lavallée, 1</w:t>
                  </w:r>
                </w:p>
                <w:p w:rsidR="00F04EEF" w:rsidRDefault="0099351E">
                  <w:pPr>
                    <w:autoSpaceDE w:val="0"/>
                    <w:autoSpaceDN w:val="0"/>
                    <w:adjustRightInd w:val="0"/>
                    <w:ind w:left="5103"/>
                    <w:rPr>
                      <w:color w:val="000000"/>
                      <w:lang w:val="fr-FR" w:eastAsia="fr-FR"/>
                    </w:rPr>
                  </w:pPr>
                  <w:r>
                    <w:rPr>
                      <w:color w:val="000000"/>
                      <w:lang w:val="fr-FR" w:eastAsia="fr-FR"/>
                    </w:rPr>
                    <w:t>1080   BRUXELLES</w:t>
                  </w:r>
                </w:p>
                <w:p w:rsidR="00F04EEF" w:rsidRDefault="00F04EEF">
                  <w:pPr>
                    <w:jc w:val="both"/>
                  </w:pPr>
                </w:p>
                <w:p w:rsidR="00F04EEF" w:rsidRDefault="00F04EEF">
                  <w:pPr>
                    <w:jc w:val="both"/>
                  </w:pPr>
                </w:p>
                <w:p w:rsidR="00F04EEF" w:rsidRDefault="0099351E">
                  <w:pPr>
                    <w:jc w:val="both"/>
                    <w:rPr>
                      <w:b/>
                    </w:rPr>
                  </w:pPr>
                  <w:r>
                    <w:rPr>
                      <w:b/>
                      <w:u w:val="single"/>
                    </w:rPr>
                    <w:t>Objet :</w:t>
                  </w:r>
                  <w:r>
                    <w:rPr>
                      <w:b/>
                    </w:rPr>
                    <w:t xml:space="preserve"> prise en charge d’élèves d’enseignement spécialisé durant les deux périodes hebdomadaires d’activités physiques et sportives par du personnel paramédical</w:t>
                  </w:r>
                </w:p>
                <w:p w:rsidR="00F04EEF" w:rsidRDefault="00F04EEF"/>
                <w:p w:rsidR="00F04EEF" w:rsidRDefault="0099351E">
                  <w:r>
                    <w:rPr>
                      <w:b/>
                    </w:rPr>
                    <w:t xml:space="preserve">Année scolaire : </w:t>
                  </w:r>
                </w:p>
                <w:p w:rsidR="00F04EEF" w:rsidRDefault="00F04EEF"/>
                <w:p w:rsidR="00F04EEF" w:rsidRDefault="0099351E">
                  <w:pPr>
                    <w:rPr>
                      <w:b/>
                    </w:rPr>
                  </w:pPr>
                  <w:r>
                    <w:rPr>
                      <w:b/>
                    </w:rPr>
                    <w:t>Etablissement scolaire :</w:t>
                  </w:r>
                </w:p>
                <w:p w:rsidR="00F04EEF" w:rsidRDefault="00F04EEF">
                  <w:pPr>
                    <w:rPr>
                      <w:b/>
                    </w:rPr>
                  </w:pPr>
                </w:p>
                <w:p w:rsidR="00F04EEF" w:rsidRDefault="00F04EEF">
                  <w:pPr>
                    <w:rPr>
                      <w:b/>
                    </w:rPr>
                  </w:pPr>
                </w:p>
                <w:p w:rsidR="00F04EEF" w:rsidRDefault="0099351E">
                  <w:pPr>
                    <w:pBdr>
                      <w:top w:val="single" w:sz="4" w:space="1" w:color="auto"/>
                      <w:left w:val="single" w:sz="4" w:space="4" w:color="auto"/>
                      <w:bottom w:val="single" w:sz="4" w:space="1" w:color="auto"/>
                      <w:right w:val="single" w:sz="4" w:space="4" w:color="auto"/>
                    </w:pBdr>
                  </w:pPr>
                  <w:r>
                    <w:t>Concerne l’élève :</w:t>
                  </w:r>
                </w:p>
                <w:p w:rsidR="00F04EEF" w:rsidRDefault="0099351E">
                  <w:pPr>
                    <w:pBdr>
                      <w:top w:val="single" w:sz="4" w:space="1" w:color="auto"/>
                      <w:left w:val="single" w:sz="4" w:space="4" w:color="auto"/>
                      <w:bottom w:val="single" w:sz="4" w:space="1" w:color="auto"/>
                      <w:right w:val="single" w:sz="4" w:space="4" w:color="auto"/>
                    </w:pBdr>
                  </w:pPr>
                  <w:r>
                    <w:t>NOM:</w:t>
                  </w:r>
                </w:p>
                <w:p w:rsidR="00F04EEF" w:rsidRDefault="0099351E">
                  <w:pPr>
                    <w:pBdr>
                      <w:top w:val="single" w:sz="4" w:space="1" w:color="auto"/>
                      <w:left w:val="single" w:sz="4" w:space="4" w:color="auto"/>
                      <w:bottom w:val="single" w:sz="4" w:space="1" w:color="auto"/>
                      <w:right w:val="single" w:sz="4" w:space="4" w:color="auto"/>
                    </w:pBdr>
                  </w:pPr>
                  <w:r>
                    <w:t xml:space="preserve">Prénom : </w:t>
                  </w:r>
                </w:p>
                <w:p w:rsidR="00F04EEF" w:rsidRDefault="0099351E">
                  <w:pPr>
                    <w:pBdr>
                      <w:top w:val="single" w:sz="4" w:space="1" w:color="auto"/>
                      <w:left w:val="single" w:sz="4" w:space="4" w:color="auto"/>
                      <w:bottom w:val="single" w:sz="4" w:space="1" w:color="auto"/>
                      <w:right w:val="single" w:sz="4" w:space="4" w:color="auto"/>
                    </w:pBdr>
                  </w:pPr>
                  <w:r>
                    <w:t>Date de naissance :</w:t>
                  </w:r>
                </w:p>
                <w:p w:rsidR="00F04EEF" w:rsidRDefault="00F04EEF"/>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both"/>
                    <w:rPr>
                      <w:b/>
                    </w:rPr>
                  </w:pPr>
                  <w:r>
                    <w:rPr>
                      <w:b/>
                    </w:rPr>
                    <w:t>Motivation de la demande de dérogation (exemples en page suivante)</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Nature du handicap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Conséquences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tabs>
                      <w:tab w:val="left" w:pos="6390"/>
                    </w:tabs>
                    <w:jc w:val="both"/>
                  </w:pPr>
                  <w:r>
                    <w:t>Solution proposée :</w:t>
                  </w:r>
                  <w:r>
                    <w:tab/>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Situation dans le groupe ou la classe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jc w:val="both"/>
                  </w:pPr>
                </w:p>
                <w:p w:rsidR="00F04EEF" w:rsidRDefault="0099351E">
                  <w:pPr>
                    <w:jc w:val="both"/>
                  </w:pPr>
                  <w:r>
                    <w:t>Date :</w:t>
                  </w:r>
                  <w:r>
                    <w:tab/>
                  </w:r>
                  <w:r>
                    <w:tab/>
                  </w:r>
                  <w:r>
                    <w:tab/>
                  </w:r>
                  <w:r>
                    <w:tab/>
                  </w:r>
                  <w:r>
                    <w:tab/>
                  </w:r>
                  <w:r>
                    <w:tab/>
                  </w:r>
                  <w:r>
                    <w:tab/>
                  </w:r>
                  <w:r>
                    <w:tab/>
                    <w:t>Signature de la Direction</w:t>
                  </w:r>
                  <w:r>
                    <w:br w:type="page"/>
                  </w:r>
                </w:p>
                <w:p w:rsidR="00F04EEF" w:rsidRDefault="00F04EEF">
                  <w:pPr>
                    <w:jc w:val="both"/>
                  </w:pPr>
                </w:p>
                <w:p w:rsidR="00F04EEF" w:rsidRDefault="00F04EEF">
                  <w:pPr>
                    <w:pStyle w:val="Corpsdetexte"/>
                  </w:pPr>
                </w:p>
                <w:p w:rsidR="00F04EEF" w:rsidRDefault="0099351E">
                  <w:pPr>
                    <w:pStyle w:val="Corpsdetexte"/>
                    <w:pBdr>
                      <w:top w:val="single" w:sz="4" w:space="1" w:color="auto"/>
                      <w:left w:val="single" w:sz="4" w:space="4" w:color="auto"/>
                      <w:bottom w:val="single" w:sz="4" w:space="1" w:color="auto"/>
                      <w:right w:val="single" w:sz="4" w:space="4" w:color="auto"/>
                    </w:pBdr>
                    <w:jc w:val="center"/>
                  </w:pPr>
                  <w:r>
                    <w:t>Exemples de motivation</w:t>
                  </w:r>
                </w:p>
                <w:p w:rsidR="00F04EEF" w:rsidRDefault="00F04EEF">
                  <w:pPr>
                    <w:pStyle w:val="Corpsdetexte"/>
                  </w:pPr>
                </w:p>
                <w:p w:rsidR="00F04EEF" w:rsidRDefault="0099351E">
                  <w:pPr>
                    <w:pStyle w:val="Corpsdetexte"/>
                    <w:jc w:val="both"/>
                  </w:pPr>
                  <w:r>
                    <w:t xml:space="preserve">Nature du handicap : </w:t>
                  </w:r>
                  <w:r>
                    <w:rPr>
                      <w:b w:val="0"/>
                    </w:rPr>
                    <w:t>l’élève …. souffre du syndrome de ……….. caractérisé par des spasmes, d’un important retard neuromoteur et d’épilepsie, …</w:t>
                  </w:r>
                </w:p>
                <w:p w:rsidR="00F04EEF" w:rsidRDefault="00F04EEF">
                  <w:pPr>
                    <w:pStyle w:val="Corpsdetexte"/>
                    <w:jc w:val="both"/>
                  </w:pPr>
                </w:p>
                <w:p w:rsidR="00F04EEF" w:rsidRDefault="0099351E">
                  <w:pPr>
                    <w:pStyle w:val="Corpsdetexte"/>
                    <w:jc w:val="both"/>
                  </w:pPr>
                  <w:r>
                    <w:t xml:space="preserve">Conséquences : </w:t>
                  </w:r>
                  <w:r>
                    <w:rPr>
                      <w:b w:val="0"/>
                    </w:rPr>
                    <w:t>l’élève ….. se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rsidR="00F04EEF" w:rsidRDefault="00F04EEF">
                  <w:pPr>
                    <w:pStyle w:val="Corpsdetexte"/>
                    <w:jc w:val="both"/>
                  </w:pPr>
                </w:p>
                <w:p w:rsidR="00F04EEF" w:rsidRDefault="0099351E">
                  <w:pPr>
                    <w:pStyle w:val="Corpsdetexte"/>
                    <w:jc w:val="both"/>
                  </w:pPr>
                  <w:r>
                    <w:t xml:space="preserve">Solution proposée : </w:t>
                  </w:r>
                  <w:r>
                    <w:rPr>
                      <w:b w:val="0"/>
                    </w:rPr>
                    <w:t>les deux périodes d’éducation physique seront remplacées par deux périodes de stimulations sensorielles réalisées avec l’apport du Snoezelen par un kiné et/ou une puéricultrice.</w:t>
                  </w:r>
                </w:p>
                <w:p w:rsidR="00F04EEF" w:rsidRDefault="00F04EEF">
                  <w:pPr>
                    <w:pStyle w:val="Corpsdetexte"/>
                    <w:jc w:val="both"/>
                  </w:pPr>
                </w:p>
                <w:p w:rsidR="00F04EEF" w:rsidRDefault="0099351E">
                  <w:pPr>
                    <w:pStyle w:val="Corpsdetexte"/>
                    <w:jc w:val="both"/>
                  </w:pPr>
                  <w:r>
                    <w:t xml:space="preserve">Situation dans le groupe ou la classe : </w:t>
                  </w:r>
                  <w:r>
                    <w:rPr>
                      <w:b w:val="0"/>
                    </w:rPr>
                    <w:t>l’élève…….. fait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rsidR="00F04EEF" w:rsidRDefault="00F04EEF">
                  <w:pPr>
                    <w:pStyle w:val="Corpsdetexte"/>
                    <w:jc w:val="both"/>
                  </w:pPr>
                </w:p>
                <w:p w:rsidR="00F04EEF" w:rsidRDefault="0099351E">
                  <w:pPr>
                    <w:pStyle w:val="Corpsdetexte"/>
                    <w:jc w:val="both"/>
                  </w:pPr>
                  <w:r>
                    <w:t xml:space="preserve">Nature du handicap : </w:t>
                  </w:r>
                  <w:r>
                    <w:rPr>
                      <w:b w:val="0"/>
                    </w:rPr>
                    <w:t>l’élève …. souffre d’infirmité motrice cérébrale prédominant au niveau des membres inférieurs, associée à une microcéphalie et une malvoyance, …</w:t>
                  </w:r>
                </w:p>
                <w:p w:rsidR="00F04EEF" w:rsidRDefault="00F04EEF">
                  <w:pPr>
                    <w:pStyle w:val="Corpsdetexte"/>
                    <w:jc w:val="both"/>
                  </w:pPr>
                </w:p>
                <w:p w:rsidR="00F04EEF" w:rsidRDefault="0099351E">
                  <w:pPr>
                    <w:pStyle w:val="Corpsdetexte"/>
                    <w:jc w:val="both"/>
                    <w:rPr>
                      <w:b w:val="0"/>
                    </w:rPr>
                  </w:pPr>
                  <w:r>
                    <w:t xml:space="preserve">Conséquences : </w:t>
                  </w:r>
                  <w:r>
                    <w:rPr>
                      <w:b w:val="0"/>
                    </w:rPr>
                    <w:t>l’élève ….. est totalement dépendant de l’adulte pour les différentes activités de la vie journalière. Il est dans l’incapacité de marcher ; les différents déplacements se font dans une chaise roulante.</w:t>
                  </w:r>
                </w:p>
                <w:p w:rsidR="00F04EEF" w:rsidRDefault="0099351E">
                  <w:pPr>
                    <w:pStyle w:val="Corpsdetexte"/>
                    <w:jc w:val="both"/>
                    <w:rPr>
                      <w:b w:val="0"/>
                    </w:rPr>
                  </w:pPr>
                  <w:r>
                    <w:rPr>
                      <w:b w:val="0"/>
                    </w:rPr>
                    <w:t>Il est dans l’impossibilité de pratiquer une activité sportive.</w:t>
                  </w:r>
                </w:p>
                <w:p w:rsidR="00F04EEF" w:rsidRDefault="00F04EEF">
                  <w:pPr>
                    <w:pStyle w:val="Corpsdetexte"/>
                    <w:jc w:val="both"/>
                  </w:pPr>
                </w:p>
                <w:p w:rsidR="00F04EEF" w:rsidRDefault="0099351E">
                  <w:pPr>
                    <w:pStyle w:val="Corpsdetexte"/>
                    <w:jc w:val="both"/>
                  </w:pPr>
                  <w:r>
                    <w:t xml:space="preserve">Solution proposée : </w:t>
                  </w:r>
                  <w:r>
                    <w:rPr>
                      <w:b w:val="0"/>
                    </w:rPr>
                    <w:t>les deux périodes d’éducation physique seraient remplacées par deux périodes de stimulations sensorielles réalisées soit en classe, soit avec l’apport du Snoezelen et dispensées par un kiné et/ou une puéricultrice.</w:t>
                  </w:r>
                </w:p>
                <w:p w:rsidR="00F04EEF" w:rsidRDefault="0099351E">
                  <w:pPr>
                    <w:pStyle w:val="Corpsdetexte"/>
                    <w:jc w:val="both"/>
                  </w:pPr>
                  <w:r>
                    <w:tab/>
                  </w:r>
                </w:p>
                <w:p w:rsidR="00F04EEF" w:rsidRDefault="0099351E">
                  <w:pPr>
                    <w:pStyle w:val="Corpsdetexte"/>
                    <w:jc w:val="both"/>
                    <w:rPr>
                      <w:b w:val="0"/>
                    </w:rPr>
                  </w:pPr>
                  <w:r>
                    <w:t xml:space="preserve">Situation dans le groupe ou la classe : </w:t>
                  </w:r>
                  <w:r>
                    <w:rPr>
                      <w:b w:val="0"/>
                    </w:rPr>
                    <w:t>l’élève…….. est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rsidR="00F04EEF" w:rsidRDefault="00F04EEF">
                  <w:pPr>
                    <w:pStyle w:val="Notedebasdepage"/>
                  </w:pPr>
                </w:p>
                <w:p w:rsidR="00F04EEF" w:rsidRDefault="00F04EEF">
                  <w:pPr>
                    <w:jc w:val="both"/>
                  </w:pPr>
                </w:p>
                <w:p w:rsidR="00F04EEF" w:rsidRDefault="00F04EEF">
                  <w:pPr>
                    <w:jc w:val="both"/>
                  </w:pPr>
                </w:p>
                <w:p w:rsidR="00F04EEF" w:rsidRDefault="00F04EEF">
                  <w:pPr>
                    <w:jc w:val="both"/>
                  </w:pPr>
                </w:p>
                <w:p w:rsidR="00F04EEF" w:rsidRDefault="0099351E">
                  <w:r>
                    <w:br w:type="page"/>
                  </w:r>
                </w:p>
                <w:sdt>
                  <w:sdtPr>
                    <w:rPr>
                      <w:rFonts w:asciiTheme="majorHAnsi" w:eastAsiaTheme="minorHAnsi" w:hAnsiTheme="majorHAnsi"/>
                      <w:lang w:eastAsia="en-US"/>
                    </w:rPr>
                    <w:id w:val="-402442016"/>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pPr>
                      <w:bookmarkStart w:id="1977" w:name="_chapitre_6_:"/>
                      <w:bookmarkStart w:id="1978" w:name="_Toc477623695"/>
                      <w:bookmarkStart w:id="1979" w:name="_Toc477767489"/>
                      <w:bookmarkStart w:id="1980" w:name="_Toc47708505"/>
                      <w:bookmarkEnd w:id="1977"/>
                      <w:r>
                        <w:t>Chapitre</w:t>
                      </w:r>
                      <w:bookmarkStart w:id="1981" w:name="_Toc477623696"/>
                      <w:bookmarkStart w:id="1982" w:name="_Toc477767490"/>
                      <w:bookmarkEnd w:id="1978"/>
                      <w:bookmarkEnd w:id="1979"/>
                      <w:r>
                        <w:t xml:space="preserve"> 6 : Personnels administratif et auxiliaire d’éducation</w:t>
                      </w:r>
                      <w:bookmarkEnd w:id="1981"/>
                      <w:bookmarkEnd w:id="1982"/>
                      <w:bookmarkEnd w:id="1980"/>
                    </w:p>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rPr>
                      <w:b/>
                      <w:u w:val="single"/>
                    </w:rPr>
                  </w:pPr>
                  <w:r>
                    <w:rPr>
                      <w:b/>
                      <w:u w:val="single"/>
                    </w:rPr>
                    <w:t>Bases légales :</w:t>
                  </w:r>
                </w:p>
                <w:p w:rsidR="00F04EEF" w:rsidRDefault="00F04EEF">
                  <w:pPr>
                    <w:rPr>
                      <w:b/>
                      <w:u w:val="single"/>
                    </w:rPr>
                  </w:pPr>
                </w:p>
                <w:p w:rsidR="00F04EEF" w:rsidRDefault="00F42422">
                  <w:pPr>
                    <w:numPr>
                      <w:ilvl w:val="0"/>
                      <w:numId w:val="48"/>
                    </w:numPr>
                    <w:suppressAutoHyphens/>
                    <w:jc w:val="both"/>
                  </w:pPr>
                  <w:hyperlink r:id="rId159" w:history="1">
                    <w:r w:rsidR="0099351E">
                      <w:rPr>
                        <w:rStyle w:val="Lienhypertexte"/>
                        <w:rFonts w:cs="Arial"/>
                      </w:rPr>
                      <w:t>Décret du 3 mars 2004 organisant l'enseignement spécialisé</w:t>
                    </w:r>
                  </w:hyperlink>
                  <w:r w:rsidR="0099351E">
                    <w:t>.</w:t>
                  </w:r>
                </w:p>
                <w:p w:rsidR="00F04EEF" w:rsidRDefault="00F42422">
                  <w:pPr>
                    <w:numPr>
                      <w:ilvl w:val="0"/>
                      <w:numId w:val="48"/>
                    </w:numPr>
                    <w:suppressAutoHyphens/>
                    <w:jc w:val="both"/>
                  </w:pPr>
                  <w:hyperlink r:id="rId160" w:history="1">
                    <w:r w:rsidR="0099351E">
                      <w:rPr>
                        <w:rStyle w:val="Lienhypertexte"/>
                        <w:rFonts w:cstheme="minorBidi"/>
                      </w:rPr>
                      <w:t>Décret 14 mars 2019 portant diverses dispositions relatives à l’organisation du travail  des membres du personnel de l’enseignement et octroyant plus de souplesse organisationnelle aux Pouvoirs organisateurs.</w:t>
                    </w:r>
                  </w:hyperlink>
                  <w:r w:rsidR="0099351E">
                    <w:t xml:space="preserve"> </w:t>
                  </w:r>
                </w:p>
                <w:p w:rsidR="00F04EEF" w:rsidRDefault="00F42422">
                  <w:pPr>
                    <w:numPr>
                      <w:ilvl w:val="0"/>
                      <w:numId w:val="48"/>
                    </w:numPr>
                    <w:suppressAutoHyphens/>
                    <w:jc w:val="both"/>
                  </w:pPr>
                  <w:hyperlink r:id="rId161" w:history="1">
                    <w:r w:rsidR="0099351E">
                      <w:rPr>
                        <w:rStyle w:val="Lienhypertexte"/>
                        <w:rFonts w:cs="Arial"/>
                      </w:rPr>
                      <w:t>Décret du 30 avril 2009 concernant la comptabilité des écoles et l’accès à certaines fonctions de sélection et de promotion</w:t>
                    </w:r>
                  </w:hyperlink>
                  <w:r w:rsidR="0099351E">
                    <w:t>.</w:t>
                  </w:r>
                </w:p>
                <w:p w:rsidR="00F04EEF" w:rsidRDefault="00F42422">
                  <w:pPr>
                    <w:numPr>
                      <w:ilvl w:val="0"/>
                      <w:numId w:val="48"/>
                    </w:numPr>
                    <w:suppressAutoHyphens/>
                    <w:autoSpaceDE w:val="0"/>
                    <w:jc w:val="both"/>
                    <w:rPr>
                      <w:rFonts w:cs="Arial"/>
                      <w:color w:val="0000FF"/>
                      <w:lang w:val="fr-FR"/>
                    </w:rPr>
                  </w:pPr>
                  <w:hyperlink r:id="rId162" w:history="1">
                    <w:r w:rsidR="0099351E">
                      <w:rPr>
                        <w:rStyle w:val="Lienhypertexte"/>
                        <w:rFonts w:cs="Arial"/>
                        <w:lang w:val="fr-FR"/>
                      </w:rPr>
                      <w:t xml:space="preserve">Circulaire 7167 concernant la </w:t>
                    </w:r>
                    <w:r w:rsidR="0099351E">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F04EEF" w:rsidRDefault="00F04EEF">
                  <w:pPr>
                    <w:suppressAutoHyphens/>
                    <w:ind w:left="360"/>
                    <w:jc w:val="both"/>
                    <w:rPr>
                      <w:lang w:val="fr-FR"/>
                    </w:rPr>
                  </w:pPr>
                </w:p>
                <w:p w:rsidR="00F04EEF" w:rsidRDefault="00F04EEF"/>
                <w:p w:rsidR="00F04EEF" w:rsidRDefault="0099351E">
                  <w:pPr>
                    <w:pStyle w:val="Titre3"/>
                    <w:rPr>
                      <w:sz w:val="22"/>
                      <w:szCs w:val="22"/>
                    </w:rPr>
                  </w:pPr>
                  <w:bookmarkStart w:id="1983" w:name="_1._Capital-périodes_–"/>
                  <w:bookmarkStart w:id="1984" w:name="__RefHeading__157_957262308"/>
                  <w:bookmarkStart w:id="1985" w:name="_Toc291075321"/>
                  <w:bookmarkStart w:id="1986" w:name="_Toc291075745"/>
                  <w:bookmarkStart w:id="1987" w:name="_Toc291076169"/>
                  <w:bookmarkStart w:id="1988" w:name="_Toc291076593"/>
                  <w:bookmarkStart w:id="1989" w:name="_Toc291077017"/>
                  <w:bookmarkStart w:id="1990" w:name="_Toc293651860"/>
                  <w:bookmarkStart w:id="1991" w:name="_Toc293653443"/>
                  <w:bookmarkStart w:id="1992" w:name="_Toc293654054"/>
                  <w:bookmarkStart w:id="1993" w:name="_Toc294004632"/>
                  <w:bookmarkStart w:id="1994" w:name="_Toc294185128"/>
                  <w:bookmarkStart w:id="1995" w:name="_Toc324165944"/>
                  <w:bookmarkStart w:id="1996" w:name="_Toc324766981"/>
                  <w:bookmarkStart w:id="1997" w:name="_Toc453314334"/>
                  <w:bookmarkStart w:id="1998" w:name="_Toc454980369"/>
                  <w:bookmarkStart w:id="1999" w:name="_Toc47708506"/>
                  <w:bookmarkEnd w:id="1983"/>
                  <w:bookmarkEnd w:id="1984"/>
                  <w:r>
                    <w:rPr>
                      <w:sz w:val="22"/>
                      <w:szCs w:val="22"/>
                    </w:rPr>
                    <w:t>1. Capital-périodes – Principes généraux</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r>
                    <w:rPr>
                      <w:sz w:val="22"/>
                      <w:szCs w:val="22"/>
                    </w:rPr>
                    <w:t xml:space="preserve"> </w:t>
                  </w:r>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both"/>
                    <w:rPr>
                      <w:b/>
                    </w:rPr>
                  </w:pPr>
                  <w:r>
                    <w:rPr>
                      <w:b/>
                      <w:u w:val="single"/>
                    </w:rPr>
                    <w:t>Remarques </w:t>
                  </w:r>
                  <w:r>
                    <w:rPr>
                      <w:b/>
                    </w:rPr>
                    <w:t xml:space="preserve">: </w:t>
                  </w:r>
                </w:p>
                <w:p w:rsidR="00F04EEF" w:rsidRDefault="00F04EEF">
                  <w:pPr>
                    <w:pBdr>
                      <w:top w:val="single" w:sz="4" w:space="1" w:color="auto"/>
                      <w:left w:val="single" w:sz="4" w:space="4" w:color="auto"/>
                      <w:bottom w:val="single" w:sz="4" w:space="1" w:color="auto"/>
                      <w:right w:val="single" w:sz="4" w:space="4" w:color="auto"/>
                    </w:pBdr>
                    <w:jc w:val="both"/>
                    <w:rPr>
                      <w:b/>
                    </w:rPr>
                  </w:pPr>
                </w:p>
                <w:p w:rsidR="00F04EEF" w:rsidRDefault="0099351E">
                  <w:pPr>
                    <w:pBdr>
                      <w:top w:val="single" w:sz="4" w:space="1" w:color="auto"/>
                      <w:left w:val="single" w:sz="4" w:space="4" w:color="auto"/>
                      <w:bottom w:val="single" w:sz="4" w:space="1" w:color="auto"/>
                      <w:right w:val="single" w:sz="4" w:space="4" w:color="auto"/>
                    </w:pBdr>
                    <w:jc w:val="both"/>
                  </w:pPr>
                  <w:r>
                    <w:t xml:space="preserve">1) les titres de correspondant-comptable et éducateur-économe  sont appelés à disparaître dans le réseau Fédération Wallonie-Bruxelles et seront remplacés progressivement par le titre de comptable (Décret du 30 avril 2009 concernant la comptabilité des écoles et l’accès à certaines fonctions de sélection et de promotion)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rPr>
                      <w:color w:val="000000"/>
                    </w:rPr>
                  </w:pPr>
                  <w:r>
                    <w:rPr>
                      <w:color w:val="000000"/>
                    </w:rPr>
                    <w:t>2) le terme période mentionné dans le présent chapitre correspond à 60 minutes.</w:t>
                  </w:r>
                </w:p>
                <w:p w:rsidR="00F04EEF" w:rsidRDefault="0099351E">
                  <w:pPr>
                    <w:jc w:val="both"/>
                  </w:pPr>
                  <w:r>
                    <w:rPr>
                      <w:noProof/>
                      <w:lang w:eastAsia="fr-BE"/>
                    </w:rPr>
                    <mc:AlternateContent>
                      <mc:Choice Requires="wps">
                        <w:drawing>
                          <wp:anchor distT="0" distB="0" distL="114300" distR="114300" simplePos="0" relativeHeight="252235776" behindDoc="0" locked="0" layoutInCell="1" allowOverlap="1">
                            <wp:simplePos x="0" y="0"/>
                            <wp:positionH relativeFrom="column">
                              <wp:posOffset>6329045</wp:posOffset>
                            </wp:positionH>
                            <wp:positionV relativeFrom="paragraph">
                              <wp:posOffset>135890</wp:posOffset>
                            </wp:positionV>
                            <wp:extent cx="0" cy="266700"/>
                            <wp:effectExtent l="0" t="0" r="19050" b="19050"/>
                            <wp:wrapNone/>
                            <wp:docPr id="526" name="Connecteur droit 526"/>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6C8352" id="Connecteur droit 526" o:spid="_x0000_s1026" style="position:absolute;z-index:252235776;visibility:visible;mso-wrap-style:square;mso-wrap-distance-left:9pt;mso-wrap-distance-top:0;mso-wrap-distance-right:9pt;mso-wrap-distance-bottom:0;mso-position-horizontal:absolute;mso-position-horizontal-relative:text;mso-position-vertical:absolute;mso-position-vertical-relative:text" from="498.35pt,10.7pt" to="498.35pt,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" strokecolor="black [3213]"/>
                        </w:pict>
                      </mc:Fallback>
                    </mc:AlternateContent>
                  </w:r>
                </w:p>
                <w:p w:rsidR="00F04EEF" w:rsidRDefault="0099351E">
                  <w:pPr>
                    <w:widowControl w:val="0"/>
                    <w:autoSpaceDE w:val="0"/>
                    <w:autoSpaceDN w:val="0"/>
                    <w:adjustRightInd w:val="0"/>
                    <w:spacing w:before="9" w:line="240" w:lineRule="exact"/>
                    <w:jc w:val="both"/>
                    <w:rPr>
                      <w:rFonts w:cs="Georgia"/>
                      <w:color w:val="000000"/>
                    </w:rPr>
                  </w:pPr>
                  <w:r>
                    <w:rPr>
                      <w:rFonts w:cs="Georgia"/>
                      <w:color w:val="000000"/>
                    </w:rPr>
                    <w:t>Pour le calcul du capital périodes relatif à l’enseignement spécialisé de type 5 il y a lieu de se référer au chapitre 12 point 4</w:t>
                  </w:r>
                </w:p>
                <w:p w:rsidR="00F04EEF" w:rsidRDefault="00F04EEF">
                  <w:pPr>
                    <w:jc w:val="both"/>
                  </w:pPr>
                </w:p>
                <w:p w:rsidR="00F04EEF" w:rsidRDefault="0099351E">
                  <w:pPr>
                    <w:pStyle w:val="Titre4"/>
                  </w:pPr>
                  <w:bookmarkStart w:id="2000" w:name="_Toc291075322"/>
                  <w:bookmarkStart w:id="2001" w:name="_Toc291075746"/>
                  <w:bookmarkStart w:id="2002" w:name="_Toc291076170"/>
                  <w:bookmarkStart w:id="2003" w:name="_Toc291076594"/>
                  <w:bookmarkStart w:id="2004" w:name="_Toc291077018"/>
                  <w:bookmarkStart w:id="2005" w:name="_Toc293651861"/>
                  <w:bookmarkStart w:id="2006" w:name="_Toc293653444"/>
                  <w:bookmarkStart w:id="2007" w:name="_Toc293654055"/>
                  <w:bookmarkStart w:id="2008" w:name="_Toc294004633"/>
                  <w:bookmarkStart w:id="2009" w:name="_Toc294185129"/>
                  <w:bookmarkStart w:id="2010" w:name="_Toc324165945"/>
                  <w:bookmarkStart w:id="2011" w:name="_Toc324766982"/>
                  <w:bookmarkStart w:id="2012" w:name="_Toc324767840"/>
                  <w:bookmarkStart w:id="2013" w:name="_Toc453314335"/>
                  <w:bookmarkStart w:id="2014" w:name="_Toc454980370"/>
                  <w:r>
                    <w:t>1.1. Tous les emplois des membres du personnel administratif et du personnel auxiliaire d'éducation ne sont pas attribués sur la base d'un capital-périodes.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rsidR="00F04EEF" w:rsidRDefault="00F04EEF">
                  <w:pPr>
                    <w:jc w:val="both"/>
                  </w:pPr>
                </w:p>
                <w:p w:rsidR="00F04EEF" w:rsidRDefault="0099351E">
                  <w:pPr>
                    <w:jc w:val="both"/>
                  </w:pPr>
                  <w:r>
                    <w:t>Les emplois d'éducateur-économe ou de comptable</w:t>
                  </w:r>
                  <w:r>
                    <w:rPr>
                      <w:rStyle w:val="Caractresdenotedebasdepage"/>
                      <w:rFonts w:cs="Arial"/>
                    </w:rPr>
                    <w:footnoteReference w:id="128"/>
                  </w:r>
                  <w:r>
                    <w:t xml:space="preserve"> (enseignement organisé ou subventionné par la Fédération Wallonie-Bruxelles) sont conférés hors capital-périodes.</w:t>
                  </w:r>
                </w:p>
                <w:p w:rsidR="00F04EEF" w:rsidRDefault="00F04EEF">
                  <w:pPr>
                    <w:jc w:val="both"/>
                  </w:pPr>
                </w:p>
                <w:p w:rsidR="00F04EEF" w:rsidRDefault="0099351E">
                  <w:pPr>
                    <w:pStyle w:val="Titre4"/>
                  </w:pPr>
                  <w:bookmarkStart w:id="2015" w:name="_1.2._Calcul_du"/>
                  <w:bookmarkStart w:id="2016" w:name="_Toc291075323"/>
                  <w:bookmarkStart w:id="2017" w:name="_Toc291075747"/>
                  <w:bookmarkStart w:id="2018" w:name="_Toc291076171"/>
                  <w:bookmarkStart w:id="2019" w:name="_Toc291076595"/>
                  <w:bookmarkStart w:id="2020" w:name="_Toc291077019"/>
                  <w:bookmarkStart w:id="2021" w:name="_Toc293651862"/>
                  <w:bookmarkStart w:id="2022" w:name="_Toc293653445"/>
                  <w:bookmarkStart w:id="2023" w:name="_Toc293654056"/>
                  <w:bookmarkStart w:id="2024" w:name="_Toc294004634"/>
                  <w:bookmarkStart w:id="2025" w:name="_Toc294185130"/>
                  <w:bookmarkStart w:id="2026" w:name="_Toc324165946"/>
                  <w:bookmarkStart w:id="2027" w:name="_Toc324766983"/>
                  <w:bookmarkStart w:id="2028" w:name="_Toc324767841"/>
                  <w:bookmarkStart w:id="2029" w:name="_Toc453314336"/>
                  <w:bookmarkStart w:id="2030" w:name="_Toc454980371"/>
                  <w:bookmarkEnd w:id="2015"/>
                  <w:r>
                    <w:t xml:space="preserve">1.2. Calcul du </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r>
                    <w:t>nombre de charges</w:t>
                  </w:r>
                  <w:bookmarkEnd w:id="2029"/>
                  <w:bookmarkEnd w:id="2030"/>
                  <w:r>
                    <w:t xml:space="preserve"> </w:t>
                  </w:r>
                </w:p>
                <w:p w:rsidR="00F04EEF" w:rsidRDefault="00F04EEF">
                  <w:pPr>
                    <w:jc w:val="both"/>
                    <w:rPr>
                      <w:u w:val="single"/>
                    </w:rPr>
                  </w:pPr>
                </w:p>
                <w:p w:rsidR="00F04EEF" w:rsidRDefault="0099351E">
                  <w:pPr>
                    <w:jc w:val="both"/>
                  </w:pPr>
                  <w:r>
                    <w:t>Le calcul du nombre de charges est égal au produit d'un nombre de périodes (38) par un nombre guide.</w:t>
                  </w:r>
                </w:p>
                <w:p w:rsidR="00F04EEF" w:rsidRDefault="0099351E">
                  <w:pPr>
                    <w:jc w:val="both"/>
                  </w:pPr>
                  <w:r>
                    <w:t>Ce nombre de charges est fixé d'après le nombre d'élèves que compte l'établissement le 15 janvier précédent l'année scolaire. Si la date du 30 septembre la population scolaire a varié de minimum 5% par rapport à celle du 15 janvier précédent, un nouveau calcul de l'encadrement est établi à partir du 1</w:t>
                  </w:r>
                  <w:r>
                    <w:rPr>
                      <w:vertAlign w:val="superscript"/>
                    </w:rPr>
                    <w:t>er</w:t>
                  </w:r>
                  <w:r>
                    <w:t xml:space="preserve"> octobre. </w:t>
                  </w:r>
                </w:p>
                <w:p w:rsidR="00F04EEF" w:rsidRDefault="00F04EEF">
                  <w:pPr>
                    <w:jc w:val="both"/>
                  </w:pPr>
                </w:p>
                <w:p w:rsidR="00F04EEF" w:rsidRDefault="0099351E">
                  <w:pPr>
                    <w:jc w:val="both"/>
                  </w:pPr>
                  <w:r>
                    <w:t>Les élèves à prendre en considération sont ceux qui doivent être considérés comme réguliers conformément aux dispositions du Chapitre III du Décret du 3 mars 2004 organisant l'Enseignement spécialisé.</w:t>
                  </w:r>
                </w:p>
                <w:p w:rsidR="00F04EEF" w:rsidRDefault="00F04EEF">
                  <w:pPr>
                    <w:jc w:val="both"/>
                  </w:pPr>
                </w:p>
                <w:p w:rsidR="00F04EEF" w:rsidRDefault="0099351E">
                  <w:pPr>
                    <w:jc w:val="both"/>
                  </w:pPr>
                  <w:r>
                    <w:t>En cas de programmation le calcul du nombre de charges est modifié (</w:t>
                  </w:r>
                  <w:hyperlink w:anchor="_Chapitre_2_:_1" w:history="1">
                    <w:r>
                      <w:rPr>
                        <w:rStyle w:val="Lienhypertexte"/>
                        <w:rFonts w:cs="Arial"/>
                      </w:rPr>
                      <w:t>Chapitre 2</w:t>
                    </w:r>
                  </w:hyperlink>
                  <w:r>
                    <w:rPr>
                      <w:rFonts w:cs="Arial"/>
                    </w:rPr>
                    <w:t xml:space="preserve">, </w:t>
                  </w:r>
                  <w:hyperlink w:anchor="_8._Calcul_des" w:history="1">
                    <w:r>
                      <w:rPr>
                        <w:rStyle w:val="Lienhypertexte"/>
                        <w:rFonts w:cs="Arial"/>
                      </w:rPr>
                      <w:t>point 6</w:t>
                    </w:r>
                  </w:hyperlink>
                  <w:r>
                    <w:t>).</w:t>
                  </w:r>
                </w:p>
                <w:p w:rsidR="00F04EEF" w:rsidRDefault="00F04EEF">
                  <w:pPr>
                    <w:jc w:val="both"/>
                  </w:pPr>
                </w:p>
                <w:p w:rsidR="00F04EEF" w:rsidRDefault="0099351E">
                  <w:pPr>
                    <w:pStyle w:val="Titre4"/>
                  </w:pPr>
                  <w:bookmarkStart w:id="2031" w:name="_Toc291075324"/>
                  <w:bookmarkStart w:id="2032" w:name="_Toc291075748"/>
                  <w:bookmarkStart w:id="2033" w:name="_Toc291076172"/>
                  <w:bookmarkStart w:id="2034" w:name="_Toc291076596"/>
                  <w:bookmarkStart w:id="2035" w:name="_Toc291077020"/>
                  <w:bookmarkStart w:id="2036" w:name="_Toc293651863"/>
                  <w:bookmarkStart w:id="2037" w:name="_Toc293653446"/>
                  <w:bookmarkStart w:id="2038" w:name="_Toc293654057"/>
                  <w:bookmarkStart w:id="2039" w:name="_Toc294004635"/>
                  <w:bookmarkStart w:id="2040" w:name="_Toc294185131"/>
                  <w:bookmarkStart w:id="2041" w:name="_Toc324165947"/>
                  <w:bookmarkStart w:id="2042" w:name="_Toc324766984"/>
                  <w:bookmarkStart w:id="2043" w:name="_Toc324767842"/>
                  <w:bookmarkStart w:id="2044" w:name="_Toc453314337"/>
                  <w:bookmarkStart w:id="2045" w:name="_Toc454980372"/>
                  <w:r>
                    <w:t>1.3. Capital-périodes utilisable</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rsidR="00F04EEF" w:rsidRDefault="00F04EEF">
                  <w:pPr>
                    <w:jc w:val="both"/>
                  </w:pPr>
                </w:p>
                <w:p w:rsidR="00F04EEF" w:rsidRDefault="0099351E">
                  <w:pPr>
                    <w:jc w:val="both"/>
                  </w:pPr>
                  <w:r>
                    <w:t>Le pourcentage du capital-périodes qui peut être utilisé est fixé à 100 % pour l'année scolaire en cours.</w:t>
                  </w:r>
                </w:p>
                <w:p w:rsidR="00F04EEF" w:rsidRDefault="0099351E">
                  <w:pPr>
                    <w:jc w:val="both"/>
                  </w:pPr>
                  <w:r>
                    <w:t>En aucun cas, le nombre de périodes réellement utilisées ne peut dépasser le capital-périodes utilisable.</w:t>
                  </w:r>
                </w:p>
                <w:p w:rsidR="00F04EEF" w:rsidRDefault="00F04EEF">
                  <w:pPr>
                    <w:jc w:val="both"/>
                  </w:pPr>
                </w:p>
                <w:p w:rsidR="00F04EEF" w:rsidRDefault="0099351E">
                  <w:pPr>
                    <w:pStyle w:val="Titre4"/>
                  </w:pPr>
                  <w:bookmarkStart w:id="2046" w:name="_1.4._Augmentation_du"/>
                  <w:bookmarkStart w:id="2047" w:name="_Toc291075325"/>
                  <w:bookmarkStart w:id="2048" w:name="_Toc291075749"/>
                  <w:bookmarkStart w:id="2049" w:name="_Toc291076173"/>
                  <w:bookmarkStart w:id="2050" w:name="_Toc291076597"/>
                  <w:bookmarkStart w:id="2051" w:name="_Toc291077021"/>
                  <w:bookmarkStart w:id="2052" w:name="_Toc293651864"/>
                  <w:bookmarkStart w:id="2053" w:name="_Toc293653447"/>
                  <w:bookmarkStart w:id="2054" w:name="_Toc293654058"/>
                  <w:bookmarkStart w:id="2055" w:name="_Toc294004636"/>
                  <w:bookmarkStart w:id="2056" w:name="_Toc294185132"/>
                  <w:bookmarkStart w:id="2057" w:name="_Toc324165948"/>
                  <w:bookmarkStart w:id="2058" w:name="_Toc324766985"/>
                  <w:bookmarkStart w:id="2059" w:name="_Toc324767843"/>
                  <w:bookmarkStart w:id="2060" w:name="_Toc453314338"/>
                  <w:bookmarkStart w:id="2061" w:name="_Toc454980373"/>
                  <w:bookmarkEnd w:id="2046"/>
                  <w:r>
                    <w:t>1.4. Augmentation du capital-périodes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rsidR="00F04EEF" w:rsidRDefault="00F04EEF">
                  <w:pPr>
                    <w:jc w:val="both"/>
                  </w:pPr>
                </w:p>
                <w:p w:rsidR="00F04EEF" w:rsidRDefault="0099351E">
                  <w:pPr>
                    <w:jc w:val="both"/>
                  </w:pPr>
                  <w:r>
                    <w:t>Après le 30 septembre, le capital-périodes peut être recalculé chaque fois que la population scolaire augmente d'au moins 10 % pendant 10 jours de classe consécutifs.</w:t>
                  </w:r>
                </w:p>
                <w:p w:rsidR="00F04EEF" w:rsidRDefault="00F04EEF">
                  <w:pPr>
                    <w:jc w:val="both"/>
                  </w:pPr>
                </w:p>
                <w:p w:rsidR="00F04EEF" w:rsidRDefault="0099351E">
                  <w:pPr>
                    <w:widowControl w:val="0"/>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F04EEF" w:rsidRDefault="00F04EEF">
                  <w:pPr>
                    <w:jc w:val="both"/>
                  </w:pPr>
                </w:p>
                <w:p w:rsidR="00F04EEF" w:rsidRDefault="0099351E">
                  <w:pPr>
                    <w:jc w:val="both"/>
                  </w:pPr>
                  <w:r>
                    <w:t>Toute demande de révision du calcul du capital-périodes doit être sollicitée directement auprès du Vérificateur (éventuellement par téléphone).</w:t>
                  </w:r>
                </w:p>
                <w:p w:rsidR="00F04EEF" w:rsidRDefault="00F04EEF">
                  <w:pPr>
                    <w:jc w:val="both"/>
                  </w:pPr>
                </w:p>
                <w:p w:rsidR="00F04EEF" w:rsidRDefault="0099351E">
                  <w:pPr>
                    <w:jc w:val="both"/>
                  </w:pPr>
                  <w:r>
                    <w:t>Aucun engagement de personnel ne peut avoir lieu avant d'obtenir l'accord du Vérificateur sur cette augmentation.</w:t>
                  </w:r>
                </w:p>
                <w:p w:rsidR="00F04EEF" w:rsidRDefault="00F04EEF">
                  <w:pPr>
                    <w:jc w:val="both"/>
                  </w:pPr>
                </w:p>
                <w:p w:rsidR="00F04EEF" w:rsidRDefault="0099351E">
                  <w:pPr>
                    <w:jc w:val="both"/>
                  </w:pPr>
                  <w:r>
                    <w:t>Le nouveau capital-périodes est valable jusqu’au 30 juin de l’année scolaire durant laquelle l’augmentation a été constatée.</w:t>
                  </w:r>
                </w:p>
                <w:p w:rsidR="00F04EEF" w:rsidRDefault="0099351E">
                  <w:pPr>
                    <w:jc w:val="both"/>
                  </w:pPr>
                  <w:r>
                    <w:rPr>
                      <w:noProof/>
                      <w:lang w:eastAsia="fr-BE"/>
                    </w:rPr>
                    <mc:AlternateContent>
                      <mc:Choice Requires="wps">
                        <w:drawing>
                          <wp:anchor distT="0" distB="0" distL="114300" distR="114300" simplePos="0" relativeHeight="252236800" behindDoc="0" locked="0" layoutInCell="1" allowOverlap="1">
                            <wp:simplePos x="0" y="0"/>
                            <wp:positionH relativeFrom="column">
                              <wp:posOffset>6300470</wp:posOffset>
                            </wp:positionH>
                            <wp:positionV relativeFrom="paragraph">
                              <wp:posOffset>183515</wp:posOffset>
                            </wp:positionV>
                            <wp:extent cx="0" cy="342900"/>
                            <wp:effectExtent l="0" t="0" r="19050" b="19050"/>
                            <wp:wrapNone/>
                            <wp:docPr id="527" name="Connecteur droit 527"/>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2C7967" id="Connecteur droit 527" o:spid="_x0000_s1026" style="position:absolute;z-index:252236800;visibility:visible;mso-wrap-style:square;mso-wrap-distance-left:9pt;mso-wrap-distance-top:0;mso-wrap-distance-right:9pt;mso-wrap-distance-bottom:0;mso-position-horizontal:absolute;mso-position-horizontal-relative:text;mso-position-vertical:absolute;mso-position-vertical-relative:text" from="496.1pt,14.45pt" to="496.1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" strokecolor="black [3213]"/>
                        </w:pict>
                      </mc:Fallback>
                    </mc:AlternateContent>
                  </w:r>
                </w:p>
                <w:p w:rsidR="00F04EEF" w:rsidRDefault="0099351E">
                  <w:pPr>
                    <w:widowControl w:val="0"/>
                    <w:autoSpaceDE w:val="0"/>
                    <w:autoSpaceDN w:val="0"/>
                    <w:adjustRightInd w:val="0"/>
                    <w:spacing w:line="250" w:lineRule="exact"/>
                    <w:ind w:right="51"/>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5</w:t>
                  </w:r>
                  <w:r>
                    <w:rPr>
                      <w:rFonts w:cs="Georgia"/>
                      <w:color w:val="000000"/>
                    </w:rPr>
                    <w:t>,</w:t>
                  </w:r>
                  <w:r>
                    <w:rPr>
                      <w:rFonts w:cs="Georgia"/>
                      <w:color w:val="000000"/>
                      <w:spacing w:val="1"/>
                    </w:rPr>
                    <w:t xml:space="preserve"> 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w:t>
                  </w:r>
                  <w:r>
                    <w:rPr>
                      <w:rFonts w:cs="Georgia"/>
                      <w:color w:val="000000"/>
                      <w:spacing w:val="-2"/>
                    </w:rPr>
                    <w:t>c</w:t>
                  </w:r>
                  <w:r>
                    <w:rPr>
                      <w:rFonts w:cs="Georgia"/>
                      <w:color w:val="000000"/>
                      <w:spacing w:val="1"/>
                    </w:rPr>
                    <w:t>ro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4"/>
                    </w:rPr>
                    <w:t xml:space="preserve"> </w:t>
                  </w:r>
                  <w:r>
                    <w:rPr>
                      <w:rFonts w:cs="Georgia"/>
                      <w:color w:val="000000"/>
                    </w:rPr>
                    <w:t xml:space="preserve">de </w:t>
                  </w:r>
                  <w:r>
                    <w:rPr>
                      <w:rFonts w:cs="Georgia"/>
                      <w:color w:val="000000"/>
                      <w:spacing w:val="1"/>
                    </w:rPr>
                    <w:t>1</w:t>
                  </w:r>
                  <w:r>
                    <w:rPr>
                      <w:rFonts w:cs="Georgia"/>
                      <w:color w:val="000000"/>
                    </w:rPr>
                    <w:t>0</w:t>
                  </w:r>
                  <w:r>
                    <w:rPr>
                      <w:rFonts w:cs="Georgia"/>
                      <w:color w:val="000000"/>
                      <w:spacing w:val="2"/>
                    </w:rPr>
                    <w:t xml:space="preserve"> </w:t>
                  </w:r>
                  <w:r>
                    <w:rPr>
                      <w:rFonts w:cs="Georgia"/>
                      <w:color w:val="000000"/>
                    </w:rPr>
                    <w:t>%</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4"/>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t</w:t>
                  </w:r>
                  <w:r>
                    <w:rPr>
                      <w:rFonts w:cs="Georgia"/>
                      <w:color w:val="000000"/>
                      <w:spacing w:val="-3"/>
                    </w:rPr>
                    <w:t>e</w:t>
                  </w:r>
                  <w:r>
                    <w:rPr>
                      <w:rFonts w:cs="Georgia"/>
                      <w:color w:val="000000"/>
                      <w:spacing w:val="1"/>
                    </w:rPr>
                    <w:t>r</w:t>
                  </w:r>
                  <w:r>
                    <w:rPr>
                      <w:rFonts w:cs="Georgia"/>
                      <w:color w:val="000000"/>
                    </w:rPr>
                    <w:t>mi</w:t>
                  </w:r>
                  <w:r>
                    <w:rPr>
                      <w:rFonts w:cs="Georgia"/>
                      <w:color w:val="000000"/>
                      <w:spacing w:val="-1"/>
                    </w:rPr>
                    <w:t>n</w:t>
                  </w:r>
                  <w:r>
                    <w:rPr>
                      <w:rFonts w:cs="Georgia"/>
                      <w:color w:val="000000"/>
                    </w:rPr>
                    <w:t>é</w:t>
                  </w:r>
                  <w:r>
                    <w:rPr>
                      <w:rFonts w:cs="Georgia"/>
                      <w:color w:val="000000"/>
                      <w:spacing w:val="2"/>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 xml:space="preserve">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u</w:t>
                  </w:r>
                  <w:r>
                    <w:rPr>
                      <w:rFonts w:cs="Georgia"/>
                      <w:color w:val="000000"/>
                      <w:spacing w:val="-1"/>
                    </w:rPr>
                    <w:t>n</w:t>
                  </w:r>
                  <w:r>
                    <w:rPr>
                      <w:rFonts w:cs="Georgia"/>
                      <w:color w:val="000000"/>
                    </w:rPr>
                    <w:t>e</w:t>
                  </w:r>
                  <w:r>
                    <w:rPr>
                      <w:rFonts w:cs="Georgia"/>
                      <w:color w:val="000000"/>
                      <w:spacing w:val="-1"/>
                    </w:rPr>
                    <w:t xml:space="preserve"> pé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b/>
                      <w:color w:val="000000"/>
                      <w:spacing w:val="-1"/>
                      <w:u w:val="single"/>
                    </w:rPr>
                    <w:t>2</w:t>
                  </w:r>
                  <w:r>
                    <w:rPr>
                      <w:rFonts w:cs="Georgia"/>
                      <w:b/>
                      <w:color w:val="000000"/>
                      <w:u w:val="single"/>
                    </w:rPr>
                    <w:t>0</w:t>
                  </w:r>
                  <w:r>
                    <w:rPr>
                      <w:rFonts w:cs="Georgia"/>
                      <w:b/>
                      <w:color w:val="000000"/>
                      <w:spacing w:val="-1"/>
                      <w:u w:val="single"/>
                    </w:rPr>
                    <w:t xml:space="preserve"> </w:t>
                  </w:r>
                  <w:r>
                    <w:rPr>
                      <w:rFonts w:cs="Georgia"/>
                      <w:b/>
                      <w:color w:val="000000"/>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c</w:t>
                  </w:r>
                  <w:r>
                    <w:rPr>
                      <w:rFonts w:cs="Georgia"/>
                      <w:b/>
                      <w:color w:val="000000"/>
                      <w:spacing w:val="-1"/>
                      <w:u w:val="single"/>
                    </w:rPr>
                    <w:t>la</w:t>
                  </w:r>
                  <w:r>
                    <w:rPr>
                      <w:rFonts w:cs="Georgia"/>
                      <w:b/>
                      <w:color w:val="000000"/>
                      <w:spacing w:val="1"/>
                      <w:u w:val="single"/>
                    </w:rPr>
                    <w:t>ss</w:t>
                  </w:r>
                  <w:r>
                    <w:rPr>
                      <w:rFonts w:cs="Georgia"/>
                      <w:b/>
                      <w:color w:val="000000"/>
                      <w:u w:val="single"/>
                    </w:rPr>
                    <w:t>e</w:t>
                  </w:r>
                  <w:r>
                    <w:rPr>
                      <w:rFonts w:cs="Georgia"/>
                      <w:b/>
                      <w:color w:val="000000"/>
                      <w:spacing w:val="-1"/>
                      <w:u w:val="single"/>
                    </w:rPr>
                    <w:t xml:space="preserve"> </w:t>
                  </w:r>
                  <w:r>
                    <w:rPr>
                      <w:rFonts w:cs="Georgia"/>
                      <w:b/>
                      <w:color w:val="000000"/>
                      <w:spacing w:val="-2"/>
                      <w:u w:val="single"/>
                    </w:rPr>
                    <w:t>c</w:t>
                  </w:r>
                  <w:r>
                    <w:rPr>
                      <w:rFonts w:cs="Georgia"/>
                      <w:b/>
                      <w:color w:val="000000"/>
                      <w:spacing w:val="1"/>
                      <w:u w:val="single"/>
                    </w:rPr>
                    <w:t>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1"/>
                      <w:u w:val="single"/>
                    </w:rPr>
                    <w:t>c</w:t>
                  </w:r>
                  <w:r>
                    <w:rPr>
                      <w:rFonts w:cs="Georgia"/>
                      <w:b/>
                      <w:color w:val="000000"/>
                      <w:spacing w:val="-2"/>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 à partir du 01 octobre</w:t>
                  </w:r>
                  <w:r>
                    <w:rPr>
                      <w:rFonts w:cs="Georgia"/>
                      <w:color w:val="000000"/>
                      <w:spacing w:val="1"/>
                    </w:rPr>
                    <w:t>.</w:t>
                  </w:r>
                </w:p>
                <w:p w:rsidR="00F04EEF" w:rsidRDefault="00F04EEF">
                  <w:pPr>
                    <w:jc w:val="both"/>
                  </w:pPr>
                </w:p>
                <w:p w:rsidR="00F04EEF" w:rsidRDefault="00F04EEF"/>
                <w:p w:rsidR="00F04EEF" w:rsidRDefault="0099351E">
                  <w:pPr>
                    <w:pStyle w:val="Titre4"/>
                  </w:pPr>
                  <w:bookmarkStart w:id="2062" w:name="_1.5._Utilisation_du_"/>
                  <w:bookmarkStart w:id="2063" w:name="_Toc453314339"/>
                  <w:bookmarkStart w:id="2064" w:name="_Toc454980374"/>
                  <w:bookmarkEnd w:id="2062"/>
                  <w:r>
                    <w:t>1.5. Utilisation du capital-périodes</w:t>
                  </w:r>
                  <w:bookmarkEnd w:id="2063"/>
                  <w:bookmarkEnd w:id="2064"/>
                </w:p>
                <w:p w:rsidR="00F04EEF" w:rsidRDefault="00F04EEF">
                  <w:pPr>
                    <w:jc w:val="both"/>
                  </w:pPr>
                </w:p>
                <w:p w:rsidR="00F04EEF" w:rsidRDefault="0099351E">
                  <w:pPr>
                    <w:jc w:val="both"/>
                  </w:pPr>
                  <w:r>
                    <w:t>Dans chaque établissement d’enseignement spécialisé,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auxiliaire d’éducation dans le respect des règles statutaires.</w:t>
                  </w:r>
                </w:p>
                <w:p w:rsidR="00F04EEF" w:rsidRDefault="00F04EEF">
                  <w:bookmarkStart w:id="2065" w:name="__RefHeading__159_957262308"/>
                  <w:bookmarkStart w:id="2066" w:name="_2._Enseignement_fondamental"/>
                  <w:bookmarkStart w:id="2067" w:name="__RefHeading__161_957262308"/>
                  <w:bookmarkStart w:id="2068" w:name="_Toc291075327"/>
                  <w:bookmarkStart w:id="2069" w:name="_Toc291075751"/>
                  <w:bookmarkStart w:id="2070" w:name="_Toc291076175"/>
                  <w:bookmarkStart w:id="2071" w:name="_Toc291076599"/>
                  <w:bookmarkStart w:id="2072" w:name="_Toc291077023"/>
                  <w:bookmarkStart w:id="2073" w:name="_Toc293651866"/>
                  <w:bookmarkStart w:id="2074" w:name="_Toc293653449"/>
                  <w:bookmarkStart w:id="2075" w:name="_Toc293654060"/>
                  <w:bookmarkStart w:id="2076" w:name="_Toc294004638"/>
                  <w:bookmarkStart w:id="2077" w:name="_Toc294185134"/>
                  <w:bookmarkStart w:id="2078" w:name="_Toc324165950"/>
                  <w:bookmarkStart w:id="2079" w:name="_Toc324766987"/>
                  <w:bookmarkStart w:id="2080" w:name="_Toc453314341"/>
                  <w:bookmarkStart w:id="2081" w:name="_Toc454980376"/>
                  <w:bookmarkEnd w:id="2065"/>
                  <w:bookmarkEnd w:id="2066"/>
                  <w:bookmarkEnd w:id="2067"/>
                </w:p>
                <w:p w:rsidR="00F04EEF" w:rsidRDefault="0099351E">
                  <w:pPr>
                    <w:pStyle w:val="Titre3"/>
                    <w:jc w:val="both"/>
                    <w:rPr>
                      <w:sz w:val="22"/>
                      <w:szCs w:val="22"/>
                    </w:rPr>
                  </w:pPr>
                  <w:bookmarkStart w:id="2082" w:name="_Toc47708507"/>
                  <w:r>
                    <w:rPr>
                      <w:sz w:val="22"/>
                      <w:szCs w:val="22"/>
                    </w:rPr>
                    <w:t xml:space="preserve">2. Enseignement secondaire spécialisé organisé et subventionné par la </w:t>
                  </w:r>
                  <w:bookmarkEnd w:id="2068"/>
                  <w:bookmarkEnd w:id="2069"/>
                  <w:bookmarkEnd w:id="2070"/>
                  <w:bookmarkEnd w:id="2071"/>
                  <w:bookmarkEnd w:id="2072"/>
                  <w:bookmarkEnd w:id="2073"/>
                  <w:bookmarkEnd w:id="2074"/>
                  <w:bookmarkEnd w:id="2075"/>
                  <w:bookmarkEnd w:id="2076"/>
                  <w:bookmarkEnd w:id="2077"/>
                  <w:r>
                    <w:rPr>
                      <w:sz w:val="22"/>
                      <w:szCs w:val="22"/>
                    </w:rPr>
                    <w:t>Fédération Wallonie-Bruxelles</w:t>
                  </w:r>
                  <w:bookmarkEnd w:id="2078"/>
                  <w:bookmarkEnd w:id="2079"/>
                  <w:bookmarkEnd w:id="2080"/>
                  <w:bookmarkEnd w:id="2081"/>
                  <w:bookmarkEnd w:id="2082"/>
                  <w:r>
                    <w:rPr>
                      <w:sz w:val="22"/>
                      <w:szCs w:val="22"/>
                    </w:rPr>
                    <w:t xml:space="preserve"> </w:t>
                  </w:r>
                </w:p>
                <w:p w:rsidR="00F04EEF" w:rsidRDefault="00F04EEF">
                  <w:pPr>
                    <w:tabs>
                      <w:tab w:val="left" w:pos="964"/>
                      <w:tab w:val="left" w:pos="1134"/>
                      <w:tab w:val="left" w:pos="1303"/>
                      <w:tab w:val="left" w:pos="1586"/>
                      <w:tab w:val="left" w:pos="1813"/>
                      <w:tab w:val="left" w:pos="3174"/>
                      <w:tab w:val="left" w:pos="3968"/>
                      <w:tab w:val="left" w:pos="4591"/>
                      <w:tab w:val="left" w:pos="4818"/>
                    </w:tabs>
                    <w:jc w:val="both"/>
                  </w:pPr>
                </w:p>
                <w:p w:rsidR="00F04EEF" w:rsidRDefault="0099351E">
                  <w:pPr>
                    <w:pStyle w:val="Titre4"/>
                  </w:pPr>
                  <w:bookmarkStart w:id="2083" w:name="_3.1._Educateur-économe"/>
                  <w:bookmarkStart w:id="2084" w:name="_2.1._Educateur-économe"/>
                  <w:bookmarkStart w:id="2085" w:name="_Toc291075328"/>
                  <w:bookmarkStart w:id="2086" w:name="_Toc291075752"/>
                  <w:bookmarkStart w:id="2087" w:name="_Toc291076176"/>
                  <w:bookmarkStart w:id="2088" w:name="_Toc291076600"/>
                  <w:bookmarkStart w:id="2089" w:name="_Toc291077024"/>
                  <w:bookmarkStart w:id="2090" w:name="_Toc293651867"/>
                  <w:bookmarkStart w:id="2091" w:name="_Toc293653450"/>
                  <w:bookmarkStart w:id="2092" w:name="_Toc293654061"/>
                  <w:bookmarkStart w:id="2093" w:name="_Toc294004639"/>
                  <w:bookmarkStart w:id="2094" w:name="_Toc294185135"/>
                  <w:bookmarkStart w:id="2095" w:name="_Toc324165951"/>
                  <w:bookmarkStart w:id="2096" w:name="_Toc324766988"/>
                  <w:bookmarkStart w:id="2097" w:name="_Toc324767846"/>
                  <w:bookmarkStart w:id="2098" w:name="_Toc453314342"/>
                  <w:bookmarkStart w:id="2099" w:name="_Toc454980377"/>
                  <w:bookmarkEnd w:id="2083"/>
                  <w:bookmarkEnd w:id="2084"/>
                  <w:r>
                    <w:t>2.1. Educateur-économe</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rsidR="00F04EEF" w:rsidRDefault="00F04EEF">
                  <w:pPr>
                    <w:jc w:val="both"/>
                  </w:pPr>
                </w:p>
                <w:p w:rsidR="00F04EEF" w:rsidRDefault="0099351E">
                  <w:pPr>
                    <w:jc w:val="both"/>
                  </w:pPr>
                  <w:r>
                    <w:t>Un emploi d’éducateur-économe peut être organisé ou subventionné par établissement.</w:t>
                  </w:r>
                </w:p>
                <w:p w:rsidR="00F04EEF" w:rsidRDefault="0099351E">
                  <w:pPr>
                    <w:jc w:val="both"/>
                  </w:pPr>
                  <w:r>
                    <w:t>Cet emploi ne fait pas partie du capital-périodes.</w:t>
                  </w:r>
                </w:p>
                <w:p w:rsidR="00F04EEF" w:rsidRDefault="00F04EEF">
                  <w:pPr>
                    <w:jc w:val="both"/>
                  </w:pPr>
                </w:p>
                <w:p w:rsidR="00F04EEF" w:rsidRDefault="0099351E">
                  <w:pPr>
                    <w:rPr>
                      <w:b/>
                      <w:u w:val="single"/>
                    </w:rPr>
                  </w:pPr>
                  <w:bookmarkStart w:id="2100" w:name="_3.2._Secrétaire_de"/>
                  <w:bookmarkStart w:id="2101" w:name="_Toc453314343"/>
                  <w:bookmarkStart w:id="2102" w:name="_Toc454980378"/>
                  <w:bookmarkStart w:id="2103" w:name="_Toc291075329"/>
                  <w:bookmarkStart w:id="2104" w:name="_Toc291075753"/>
                  <w:bookmarkStart w:id="2105" w:name="_Toc291076177"/>
                  <w:bookmarkStart w:id="2106" w:name="_Toc291076601"/>
                  <w:bookmarkStart w:id="2107" w:name="_Toc291077025"/>
                  <w:bookmarkStart w:id="2108" w:name="_Toc293651868"/>
                  <w:bookmarkStart w:id="2109" w:name="_Toc293653451"/>
                  <w:bookmarkStart w:id="2110" w:name="_Toc293654062"/>
                  <w:bookmarkStart w:id="2111" w:name="_Toc294004640"/>
                  <w:bookmarkStart w:id="2112" w:name="_Toc294185136"/>
                  <w:bookmarkStart w:id="2113" w:name="_Toc324165952"/>
                  <w:bookmarkStart w:id="2114" w:name="_Toc324766989"/>
                  <w:bookmarkStart w:id="2115" w:name="_Toc324767847"/>
                  <w:bookmarkEnd w:id="2100"/>
                  <w:r>
                    <w:br w:type="page"/>
                  </w:r>
                </w:p>
                <w:p w:rsidR="00F04EEF" w:rsidRDefault="0099351E">
                  <w:pPr>
                    <w:pStyle w:val="Titre4"/>
                    <w:rPr>
                      <w:bCs/>
                    </w:rPr>
                  </w:pPr>
                  <w:r>
                    <w:t>2.2. Secrétaire de direction, éducateurs et personnel administratif</w:t>
                  </w:r>
                  <w:bookmarkEnd w:id="2101"/>
                  <w:bookmarkEnd w:id="2102"/>
                </w:p>
                <w:p w:rsidR="00F04EEF" w:rsidRDefault="00F04EEF">
                  <w:pPr>
                    <w:jc w:val="both"/>
                  </w:pPr>
                </w:p>
                <w:p w:rsidR="00F04EEF" w:rsidRDefault="0099351E">
                  <w:pPr>
                    <w:jc w:val="both"/>
                  </w:pPr>
                  <w:r>
                    <w:t xml:space="preserve">En ce qui concerne les emplois de secrétaire de direction, d’éducateur et du personnel administratif, le capital-périodes est égal au produit d’un nombre de périodes (38) par un nombre guide. </w:t>
                  </w:r>
                </w:p>
                <w:p w:rsidR="00F04EEF" w:rsidRDefault="00F04EEF">
                  <w:pPr>
                    <w:jc w:val="both"/>
                  </w:pPr>
                </w:p>
                <w:p w:rsidR="00F04EEF" w:rsidRDefault="0099351E">
                  <w:pPr>
                    <w:pBdr>
                      <w:top w:val="single" w:sz="4" w:space="1" w:color="000000"/>
                      <w:left w:val="single" w:sz="4" w:space="4" w:color="000000"/>
                      <w:bottom w:val="single" w:sz="4" w:space="1" w:color="000000"/>
                      <w:right w:val="single" w:sz="4" w:space="4" w:color="000000"/>
                    </w:pBdr>
                    <w:ind w:right="1557"/>
                    <w:jc w:val="center"/>
                    <w:rPr>
                      <w:u w:val="single"/>
                    </w:rPr>
                  </w:pPr>
                  <w:r>
                    <w:rPr>
                      <w:u w:val="single"/>
                    </w:rPr>
                    <w:t>Nombre guide</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1 pour 80 élèves</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2 pour 160 élèves</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3 pour 240 élèves</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4 pour 320 élèves</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5 pour 400 élèves</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6 pour 500 élèves</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7 pour 600 élèves</w:t>
                  </w:r>
                </w:p>
                <w:p w:rsidR="00F04EEF" w:rsidRDefault="0099351E">
                  <w:pPr>
                    <w:pBdr>
                      <w:top w:val="single" w:sz="4" w:space="1" w:color="000000"/>
                      <w:left w:val="single" w:sz="4" w:space="4" w:color="000000"/>
                      <w:bottom w:val="single" w:sz="4" w:space="1" w:color="000000"/>
                      <w:right w:val="single" w:sz="4" w:space="4" w:color="000000"/>
                    </w:pBdr>
                    <w:ind w:right="1557"/>
                    <w:jc w:val="center"/>
                  </w:pPr>
                  <w:r>
                    <w:t>+ 1 par tranche entière supplémentaire de 160 élèves.</w:t>
                  </w:r>
                </w:p>
                <w:p w:rsidR="00F04EEF" w:rsidRDefault="00F04EEF"/>
                <w:p w:rsidR="00F04EEF" w:rsidRDefault="0099351E">
                  <w:pPr>
                    <w:jc w:val="both"/>
                  </w:pPr>
                  <w:r>
                    <w:t>Depuis 2009</w:t>
                  </w:r>
                  <w:r>
                    <w:rPr>
                      <w:rStyle w:val="Appelnotedebasdep"/>
                    </w:rPr>
                    <w:footnoteReference w:id="129"/>
                  </w:r>
                  <w:r>
                    <w:t xml:space="preserve">, la dévolution des emplois s’organise de deux manières, selon l’ancienne ou la nouvelle dévolution. </w:t>
                  </w:r>
                </w:p>
                <w:p w:rsidR="00F04EEF" w:rsidRDefault="00F04EEF"/>
                <w:p w:rsidR="00F04EEF" w:rsidRDefault="0099351E">
                  <w:pPr>
                    <w:pStyle w:val="Titre5"/>
                  </w:pPr>
                  <w:bookmarkStart w:id="2116" w:name="_3.2.1_Comment_déterminer"/>
                  <w:bookmarkEnd w:id="2116"/>
                  <w:r>
                    <w:t>2.2.1 Comment déterminer si l’établissement est en ancienne ou en nouvelle dévolution ?</w:t>
                  </w:r>
                </w:p>
                <w:p w:rsidR="00F04EEF" w:rsidRDefault="00F04EEF"/>
                <w:p w:rsidR="00F04EEF" w:rsidRDefault="0099351E">
                  <w:r>
                    <w:t>Si un établissement se trouve dans l’un des deux cas de figure suivants, il doit attribuer ses emplois selon la nouvelle dévolution, dans le respect des règles statutaires</w:t>
                  </w:r>
                  <w:r>
                    <w:rPr>
                      <w:rStyle w:val="Appelnotedebasdep"/>
                    </w:rPr>
                    <w:footnoteReference w:id="130"/>
                  </w:r>
                  <w:r>
                    <w:t> :</w:t>
                  </w:r>
                </w:p>
                <w:p w:rsidR="00F04EEF" w:rsidRDefault="00F04EEF"/>
                <w:p w:rsidR="00F04EEF" w:rsidRDefault="0099351E">
                  <w:pPr>
                    <w:numPr>
                      <w:ilvl w:val="0"/>
                      <w:numId w:val="32"/>
                    </w:numPr>
                    <w:suppressAutoHyphens/>
                    <w:ind w:left="927"/>
                    <w:jc w:val="both"/>
                  </w:pPr>
                  <w:r>
                    <w:t>lorsqu’un établissement atteint la norme de 240 élèves pour la première fois ou la retrouve après être descendu sous celle-ci,</w:t>
                  </w:r>
                </w:p>
                <w:p w:rsidR="00F04EEF" w:rsidRDefault="0099351E">
                  <w:pPr>
                    <w:numPr>
                      <w:ilvl w:val="0"/>
                      <w:numId w:val="32"/>
                    </w:numPr>
                    <w:suppressAutoHyphens/>
                    <w:ind w:left="927"/>
                    <w:jc w:val="both"/>
                  </w:pPr>
                  <w:r>
                    <w:t>lorsque l’emploi du membre du personnel exerçant à titre définitif ou à titre temporaire le 30 juin 2009, la fonction de commis (organisée par la transformation du 3</w:t>
                  </w:r>
                  <w:r>
                    <w:rPr>
                      <w:vertAlign w:val="superscript"/>
                    </w:rPr>
                    <w:t>ème</w:t>
                  </w:r>
                  <w:r>
                    <w:t xml:space="preserve"> emploi) devient définitivement vacant à l’issue des opérations statutaires, même en cours d’année scolaire.</w:t>
                  </w:r>
                </w:p>
                <w:p w:rsidR="00F04EEF" w:rsidRDefault="00F04EEF"/>
                <w:p w:rsidR="00F04EEF" w:rsidRDefault="0099351E">
                  <w:pPr>
                    <w:jc w:val="both"/>
                  </w:pPr>
                  <w:r>
                    <w:t>Toutefois, si à la date où l’emploi de commis visé ci-dessus devient définitivement vacant, le commis qui y exerçait à titre temporaire ses fonctions compte au moins un an d’ancienneté, il poursuit sa carrière dans l’emploi de commis et les nouvelles normes ne trouvent à s’appliquer qu’à son départ définitif.</w:t>
                  </w:r>
                </w:p>
                <w:p w:rsidR="00F04EEF" w:rsidRDefault="00F04EEF">
                  <w:pPr>
                    <w:jc w:val="both"/>
                  </w:pPr>
                </w:p>
                <w:p w:rsidR="00F04EEF" w:rsidRDefault="0099351E">
                  <w:pPr>
                    <w:jc w:val="both"/>
                  </w:pPr>
                  <w:r>
                    <w:t>Dans les autres cas, l’ancienne dévolution continue à s’appliquer.</w:t>
                  </w:r>
                </w:p>
                <w:p w:rsidR="00F04EEF" w:rsidRDefault="00F04EEF">
                  <w:pPr>
                    <w:jc w:val="both"/>
                  </w:pPr>
                </w:p>
                <w:bookmarkEnd w:id="2103"/>
                <w:bookmarkEnd w:id="2104"/>
                <w:bookmarkEnd w:id="2105"/>
                <w:bookmarkEnd w:id="2106"/>
                <w:bookmarkEnd w:id="2107"/>
                <w:bookmarkEnd w:id="2108"/>
                <w:bookmarkEnd w:id="2109"/>
                <w:bookmarkEnd w:id="2110"/>
                <w:bookmarkEnd w:id="2111"/>
                <w:bookmarkEnd w:id="2112"/>
                <w:bookmarkEnd w:id="2113"/>
                <w:bookmarkEnd w:id="2114"/>
                <w:bookmarkEnd w:id="2115"/>
                <w:p w:rsidR="00F04EEF" w:rsidRDefault="0099351E">
                  <w:pPr>
                    <w:pStyle w:val="Titre5"/>
                  </w:pPr>
                  <w:r>
                    <w:t>2.2.2. Ancienne dévolution des emplois</w:t>
                  </w:r>
                </w:p>
                <w:p w:rsidR="00F04EEF" w:rsidRDefault="00F04EEF">
                  <w:pPr>
                    <w:rPr>
                      <w:bCs/>
                    </w:rPr>
                  </w:pPr>
                </w:p>
                <w:p w:rsidR="00F04EEF" w:rsidRDefault="0099351E">
                  <w:pPr>
                    <w:jc w:val="both"/>
                  </w:pPr>
                  <w:r>
                    <w:t>Les emplois sont attribués dans l’ordre des nombres guide aux personnes remplissant la fonction de l’éducateur à l’exception du 3</w:t>
                  </w:r>
                  <w:r>
                    <w:rPr>
                      <w:vertAlign w:val="superscript"/>
                    </w:rPr>
                    <w:t>ème</w:t>
                  </w:r>
                  <w:r>
                    <w:t xml:space="preserve"> et/ou du 14</w:t>
                  </w:r>
                  <w:r>
                    <w:rPr>
                      <w:vertAlign w:val="superscript"/>
                    </w:rPr>
                    <w:t>ème</w:t>
                  </w:r>
                  <w:r>
                    <w:t xml:space="preserve"> qui est réservé à la fonction de commis et du 8</w:t>
                  </w:r>
                  <w:r>
                    <w:rPr>
                      <w:vertAlign w:val="superscript"/>
                    </w:rPr>
                    <w:t>ème</w:t>
                  </w:r>
                  <w:r>
                    <w:t xml:space="preserve"> et/ou du 11</w:t>
                  </w:r>
                  <w:r>
                    <w:rPr>
                      <w:vertAlign w:val="superscript"/>
                    </w:rPr>
                    <w:t>ème</w:t>
                  </w:r>
                  <w:r>
                    <w:t xml:space="preserve"> réservé à la fonction de rédacteur.</w:t>
                  </w:r>
                </w:p>
                <w:p w:rsidR="00F04EEF" w:rsidRDefault="0099351E">
                  <w:pPr>
                    <w:jc w:val="both"/>
                  </w:pPr>
                  <w:r>
                    <w:t>Par établissement, après consultation de l’organe légal de concertation, un emploi de secrétaire de direction peut être organisé ou subventionné par la transformation du 4</w:t>
                  </w:r>
                  <w:r>
                    <w:rPr>
                      <w:vertAlign w:val="superscript"/>
                    </w:rPr>
                    <w:t>ème</w:t>
                  </w:r>
                  <w:r>
                    <w:t xml:space="preserve"> emploi à horaire complet organisé. </w:t>
                  </w:r>
                </w:p>
                <w:p w:rsidR="00F04EEF" w:rsidRDefault="0099351E">
                  <w:r>
                    <w:br w:type="page"/>
                  </w:r>
                </w:p>
                <w:p w:rsidR="00F04EEF" w:rsidRDefault="00F04EEF">
                  <w:pPr>
                    <w:jc w:val="both"/>
                  </w:pPr>
                </w:p>
                <w:p w:rsidR="00F04EEF" w:rsidRDefault="0099351E">
                  <w:pPr>
                    <w:pBdr>
                      <w:top w:val="single" w:sz="4" w:space="1" w:color="000000"/>
                      <w:left w:val="single" w:sz="4" w:space="4" w:color="000000"/>
                      <w:bottom w:val="single" w:sz="4" w:space="1" w:color="000000"/>
                      <w:right w:val="single" w:sz="4" w:space="4" w:color="000000"/>
                    </w:pBdr>
                  </w:pPr>
                  <w:r>
                    <w:t>La dévolution des emplois s’organise donc de la manière suivante :</w:t>
                  </w:r>
                </w:p>
                <w:p w:rsidR="00F04EEF" w:rsidRDefault="0099351E">
                  <w:pPr>
                    <w:pBdr>
                      <w:top w:val="single" w:sz="4" w:space="1" w:color="000000"/>
                      <w:left w:val="single" w:sz="4" w:space="4" w:color="000000"/>
                      <w:bottom w:val="single" w:sz="4" w:space="1" w:color="000000"/>
                      <w:right w:val="single" w:sz="4" w:space="4" w:color="000000"/>
                    </w:pBdr>
                  </w:pPr>
                  <w:r>
                    <w:t>1</w:t>
                  </w:r>
                  <w:r>
                    <w:rPr>
                      <w:vertAlign w:val="superscript"/>
                    </w:rPr>
                    <w:t>er</w:t>
                  </w:r>
                  <w:r>
                    <w:t xml:space="preserve"> emploi :</w:t>
                  </w:r>
                  <w:r>
                    <w:tab/>
                    <w:t>éducateur</w:t>
                  </w:r>
                </w:p>
                <w:p w:rsidR="00F04EEF" w:rsidRDefault="0099351E">
                  <w:pPr>
                    <w:pBdr>
                      <w:top w:val="single" w:sz="4" w:space="1" w:color="000000"/>
                      <w:left w:val="single" w:sz="4" w:space="4" w:color="000000"/>
                      <w:bottom w:val="single" w:sz="4" w:space="1" w:color="000000"/>
                      <w:right w:val="single" w:sz="4" w:space="4" w:color="000000"/>
                    </w:pBdr>
                  </w:pPr>
                  <w:r>
                    <w:t>2e emploi :</w:t>
                  </w:r>
                  <w:r>
                    <w:tab/>
                    <w:t>éducateur</w:t>
                  </w:r>
                </w:p>
                <w:p w:rsidR="00F04EEF" w:rsidRDefault="0099351E">
                  <w:pPr>
                    <w:pBdr>
                      <w:top w:val="single" w:sz="4" w:space="1" w:color="000000"/>
                      <w:left w:val="single" w:sz="4" w:space="4" w:color="000000"/>
                      <w:bottom w:val="single" w:sz="4" w:space="1" w:color="000000"/>
                      <w:right w:val="single" w:sz="4" w:space="4" w:color="000000"/>
                    </w:pBdr>
                  </w:pPr>
                  <w:r>
                    <w:t>3e emploi :</w:t>
                  </w:r>
                  <w:r>
                    <w:tab/>
                    <w:t>commis</w:t>
                  </w:r>
                </w:p>
                <w:p w:rsidR="00F04EEF" w:rsidRDefault="0099351E">
                  <w:pPr>
                    <w:pBdr>
                      <w:top w:val="single" w:sz="4" w:space="1" w:color="000000"/>
                      <w:left w:val="single" w:sz="4" w:space="4" w:color="000000"/>
                      <w:bottom w:val="single" w:sz="4" w:space="1" w:color="000000"/>
                      <w:right w:val="single" w:sz="4" w:space="4" w:color="000000"/>
                    </w:pBdr>
                  </w:pPr>
                  <w:r>
                    <w:t>4e emploi :</w:t>
                  </w:r>
                  <w:r>
                    <w:tab/>
                    <w:t xml:space="preserve">éducateur ou secrétaire de direction </w:t>
                  </w:r>
                  <w:r>
                    <w:br/>
                    <w:t xml:space="preserve">                           (après consultation de l’organe légal de concertation)</w:t>
                  </w:r>
                </w:p>
                <w:p w:rsidR="00F04EEF" w:rsidRDefault="0099351E">
                  <w:pPr>
                    <w:pBdr>
                      <w:top w:val="single" w:sz="4" w:space="1" w:color="000000"/>
                      <w:left w:val="single" w:sz="4" w:space="4" w:color="000000"/>
                      <w:bottom w:val="single" w:sz="4" w:space="1" w:color="000000"/>
                      <w:right w:val="single" w:sz="4" w:space="4" w:color="000000"/>
                    </w:pBdr>
                  </w:pPr>
                  <w:r>
                    <w:t>5e emploi :</w:t>
                  </w:r>
                  <w:r>
                    <w:tab/>
                    <w:t>éducateur</w:t>
                  </w:r>
                </w:p>
                <w:p w:rsidR="00F04EEF" w:rsidRDefault="0099351E">
                  <w:pPr>
                    <w:pBdr>
                      <w:top w:val="single" w:sz="4" w:space="1" w:color="000000"/>
                      <w:left w:val="single" w:sz="4" w:space="4" w:color="000000"/>
                      <w:bottom w:val="single" w:sz="4" w:space="1" w:color="000000"/>
                      <w:right w:val="single" w:sz="4" w:space="4" w:color="000000"/>
                    </w:pBdr>
                  </w:pPr>
                  <w:r>
                    <w:t>6e emploi :</w:t>
                  </w:r>
                  <w:r>
                    <w:tab/>
                    <w:t>éducateur</w:t>
                  </w:r>
                </w:p>
                <w:p w:rsidR="00F04EEF" w:rsidRDefault="0099351E">
                  <w:pPr>
                    <w:pBdr>
                      <w:top w:val="single" w:sz="4" w:space="1" w:color="000000"/>
                      <w:left w:val="single" w:sz="4" w:space="4" w:color="000000"/>
                      <w:bottom w:val="single" w:sz="4" w:space="1" w:color="000000"/>
                      <w:right w:val="single" w:sz="4" w:space="4" w:color="000000"/>
                    </w:pBdr>
                  </w:pPr>
                  <w:r>
                    <w:t>7e emploi :</w:t>
                  </w:r>
                  <w:r>
                    <w:tab/>
                    <w:t>éducateur</w:t>
                  </w:r>
                </w:p>
                <w:p w:rsidR="00F04EEF" w:rsidRDefault="0099351E">
                  <w:pPr>
                    <w:pBdr>
                      <w:top w:val="single" w:sz="4" w:space="1" w:color="000000"/>
                      <w:left w:val="single" w:sz="4" w:space="4" w:color="000000"/>
                      <w:bottom w:val="single" w:sz="4" w:space="1" w:color="000000"/>
                      <w:right w:val="single" w:sz="4" w:space="4" w:color="000000"/>
                    </w:pBdr>
                  </w:pPr>
                  <w:r>
                    <w:t>8e emploi :</w:t>
                  </w:r>
                  <w:r>
                    <w:tab/>
                    <w:t>rédacteur</w:t>
                  </w:r>
                </w:p>
                <w:p w:rsidR="00F04EEF" w:rsidRDefault="0099351E">
                  <w:pPr>
                    <w:pBdr>
                      <w:top w:val="single" w:sz="4" w:space="1" w:color="000000"/>
                      <w:left w:val="single" w:sz="4" w:space="4" w:color="000000"/>
                      <w:bottom w:val="single" w:sz="4" w:space="1" w:color="000000"/>
                      <w:right w:val="single" w:sz="4" w:space="4" w:color="000000"/>
                    </w:pBdr>
                    <w:jc w:val="both"/>
                  </w:pPr>
                  <w:r>
                    <w:t>Etc.</w:t>
                  </w:r>
                </w:p>
                <w:p w:rsidR="00F04EEF" w:rsidRDefault="00F04EEF">
                  <w:bookmarkStart w:id="2117" w:name="_Toc291075330"/>
                  <w:bookmarkStart w:id="2118" w:name="_Toc291075754"/>
                  <w:bookmarkStart w:id="2119" w:name="_Toc291076178"/>
                  <w:bookmarkStart w:id="2120" w:name="_Toc291076602"/>
                  <w:bookmarkStart w:id="2121" w:name="_Toc291077026"/>
                  <w:bookmarkStart w:id="2122" w:name="_Toc293651869"/>
                  <w:bookmarkStart w:id="2123" w:name="_Toc293653452"/>
                  <w:bookmarkStart w:id="2124" w:name="_Toc293654063"/>
                  <w:bookmarkStart w:id="2125" w:name="_Toc294004641"/>
                  <w:bookmarkStart w:id="2126" w:name="_Toc294185137"/>
                  <w:bookmarkStart w:id="2127" w:name="_Toc324165953"/>
                  <w:bookmarkStart w:id="2128" w:name="_Toc324766990"/>
                  <w:bookmarkStart w:id="2129" w:name="_Toc324767848"/>
                </w:p>
                <w:p w:rsidR="00F04EEF" w:rsidRDefault="0099351E">
                  <w:pPr>
                    <w:rPr>
                      <w:b/>
                    </w:rPr>
                  </w:pPr>
                  <w:r>
                    <w:rPr>
                      <w:b/>
                    </w:rPr>
                    <w:t>Cette ancienne dévolution des emplois prend fin au 31 août 2019.</w:t>
                  </w:r>
                </w:p>
                <w:p w:rsidR="00F04EEF" w:rsidRDefault="00F04EEF"/>
                <w:p w:rsidR="00F04EEF" w:rsidRDefault="00F04EEF"/>
                <w:p w:rsidR="00F04EEF" w:rsidRDefault="0099351E">
                  <w:pPr>
                    <w:pStyle w:val="Titre5"/>
                  </w:pPr>
                  <w:bookmarkStart w:id="2130" w:name="_3.2.3_Nouvelle_dévolution"/>
                  <w:bookmarkEnd w:id="2130"/>
                  <w:r>
                    <w:t>2.2.3 Nouvelle dévolution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r>
                    <w:t xml:space="preserve"> des emplois</w:t>
                  </w:r>
                </w:p>
                <w:p w:rsidR="00F04EEF" w:rsidRDefault="00F04EEF">
                  <w:pPr>
                    <w:jc w:val="both"/>
                  </w:pPr>
                </w:p>
                <w:p w:rsidR="00F04EEF" w:rsidRDefault="0099351E">
                  <w:pPr>
                    <w:jc w:val="both"/>
                  </w:pPr>
                  <w:r>
                    <w:t xml:space="preserve">Les emplois </w:t>
                  </w:r>
                  <w:r>
                    <w:rPr>
                      <w:u w:val="single"/>
                    </w:rPr>
                    <w:t>doivent</w:t>
                  </w:r>
                  <w:r>
                    <w:t xml:space="preserve"> être attribués, toujours dans le respect des dispositions statutaires :</w:t>
                  </w:r>
                </w:p>
                <w:p w:rsidR="00F04EEF" w:rsidRDefault="00F04EEF">
                  <w:pPr>
                    <w:jc w:val="both"/>
                  </w:pPr>
                </w:p>
                <w:p w:rsidR="00F04EEF" w:rsidRDefault="0099351E">
                  <w:pPr>
                    <w:numPr>
                      <w:ilvl w:val="0"/>
                      <w:numId w:val="14"/>
                    </w:numPr>
                    <w:suppressAutoHyphens/>
                    <w:ind w:left="927"/>
                    <w:jc w:val="both"/>
                  </w:pPr>
                  <w:r>
                    <w:t>à la fonction de secrétaire de direction par la transformation du 3</w:t>
                  </w:r>
                  <w:r>
                    <w:rPr>
                      <w:vertAlign w:val="superscript"/>
                    </w:rPr>
                    <w:t>ème</w:t>
                  </w:r>
                  <w:r>
                    <w:t xml:space="preserve"> emploi ;</w:t>
                  </w:r>
                </w:p>
                <w:p w:rsidR="00F04EEF" w:rsidRDefault="0099351E">
                  <w:pPr>
                    <w:numPr>
                      <w:ilvl w:val="0"/>
                      <w:numId w:val="14"/>
                    </w:numPr>
                    <w:suppressAutoHyphens/>
                    <w:ind w:left="927"/>
                    <w:jc w:val="both"/>
                  </w:pPr>
                  <w:r>
                    <w:t>à la fonction de rédacteur par la transformation du 8</w:t>
                  </w:r>
                  <w:r>
                    <w:rPr>
                      <w:vertAlign w:val="superscript"/>
                    </w:rPr>
                    <w:t>ème</w:t>
                  </w:r>
                  <w:r>
                    <w:t xml:space="preserve"> et/ou du 11</w:t>
                  </w:r>
                  <w:r>
                    <w:rPr>
                      <w:vertAlign w:val="superscript"/>
                    </w:rPr>
                    <w:t>ème</w:t>
                  </w:r>
                  <w:r>
                    <w:t xml:space="preserve"> emploi ;</w:t>
                  </w:r>
                </w:p>
                <w:p w:rsidR="00F04EEF" w:rsidRDefault="0099351E">
                  <w:pPr>
                    <w:numPr>
                      <w:ilvl w:val="0"/>
                      <w:numId w:val="14"/>
                    </w:numPr>
                    <w:suppressAutoHyphens/>
                    <w:ind w:left="927"/>
                    <w:jc w:val="both"/>
                  </w:pPr>
                  <w:r>
                    <w:t>à la fonction de commis par la transformation du 14</w:t>
                  </w:r>
                  <w:r>
                    <w:rPr>
                      <w:vertAlign w:val="superscript"/>
                    </w:rPr>
                    <w:t>ème</w:t>
                  </w:r>
                  <w:r>
                    <w:t xml:space="preserve"> emploi.</w:t>
                  </w:r>
                </w:p>
                <w:p w:rsidR="00F04EEF" w:rsidRDefault="00F04EEF">
                  <w:pPr>
                    <w:jc w:val="both"/>
                  </w:pPr>
                </w:p>
                <w:p w:rsidR="00F04EEF" w:rsidRDefault="0099351E">
                  <w:pPr>
                    <w:pBdr>
                      <w:top w:val="single" w:sz="4" w:space="1" w:color="000000"/>
                      <w:left w:val="single" w:sz="4" w:space="4" w:color="000000"/>
                      <w:bottom w:val="single" w:sz="4" w:space="1" w:color="000000"/>
                      <w:right w:val="single" w:sz="4" w:space="4" w:color="000000"/>
                    </w:pBdr>
                  </w:pPr>
                  <w:r>
                    <w:t>La nouvelle dévolution des emplois s’organisera dès lors de la manière suivante :</w:t>
                  </w:r>
                </w:p>
                <w:p w:rsidR="00F04EEF" w:rsidRDefault="0099351E">
                  <w:pPr>
                    <w:pBdr>
                      <w:top w:val="single" w:sz="4" w:space="1" w:color="000000"/>
                      <w:left w:val="single" w:sz="4" w:space="4" w:color="000000"/>
                      <w:bottom w:val="single" w:sz="4" w:space="1" w:color="000000"/>
                      <w:right w:val="single" w:sz="4" w:space="4" w:color="000000"/>
                    </w:pBdr>
                  </w:pPr>
                  <w:r>
                    <w:t>1</w:t>
                  </w:r>
                  <w:r>
                    <w:rPr>
                      <w:vertAlign w:val="superscript"/>
                    </w:rPr>
                    <w:t>er</w:t>
                  </w:r>
                  <w:r>
                    <w:t xml:space="preserve"> emploi : </w:t>
                  </w:r>
                  <w:r>
                    <w:tab/>
                    <w:t>éducateur</w:t>
                  </w:r>
                </w:p>
                <w:p w:rsidR="00F04EEF" w:rsidRDefault="0099351E">
                  <w:pPr>
                    <w:pBdr>
                      <w:top w:val="single" w:sz="4" w:space="1" w:color="000000"/>
                      <w:left w:val="single" w:sz="4" w:space="4" w:color="000000"/>
                      <w:bottom w:val="single" w:sz="4" w:space="1" w:color="000000"/>
                      <w:right w:val="single" w:sz="4" w:space="4" w:color="000000"/>
                    </w:pBdr>
                  </w:pPr>
                  <w:r>
                    <w:t>2e emploi :</w:t>
                  </w:r>
                  <w:r>
                    <w:tab/>
                    <w:t>éducateur</w:t>
                  </w:r>
                </w:p>
                <w:p w:rsidR="00F04EEF" w:rsidRDefault="0099351E">
                  <w:pPr>
                    <w:pBdr>
                      <w:top w:val="single" w:sz="4" w:space="1" w:color="000000"/>
                      <w:left w:val="single" w:sz="4" w:space="4" w:color="000000"/>
                      <w:bottom w:val="single" w:sz="4" w:space="1" w:color="000000"/>
                      <w:right w:val="single" w:sz="4" w:space="4" w:color="000000"/>
                    </w:pBdr>
                  </w:pPr>
                  <w:r>
                    <w:t xml:space="preserve">3e emploi : </w:t>
                  </w:r>
                  <w:r>
                    <w:tab/>
                    <w:t>secrétaire de direction</w:t>
                  </w:r>
                </w:p>
                <w:p w:rsidR="00F04EEF" w:rsidRDefault="0099351E">
                  <w:pPr>
                    <w:pBdr>
                      <w:top w:val="single" w:sz="4" w:space="1" w:color="000000"/>
                      <w:left w:val="single" w:sz="4" w:space="4" w:color="000000"/>
                      <w:bottom w:val="single" w:sz="4" w:space="1" w:color="000000"/>
                      <w:right w:val="single" w:sz="4" w:space="4" w:color="000000"/>
                    </w:pBdr>
                  </w:pPr>
                  <w:r>
                    <w:t xml:space="preserve">4e emploi : </w:t>
                  </w:r>
                  <w:r>
                    <w:tab/>
                    <w:t xml:space="preserve">éducateur ou rédacteur </w:t>
                  </w:r>
                  <w:r>
                    <w:br/>
                    <w:t xml:space="preserve">                           (après concertation de l’organe légal de concertation)</w:t>
                  </w:r>
                </w:p>
                <w:p w:rsidR="00F04EEF" w:rsidRDefault="0099351E">
                  <w:pPr>
                    <w:pBdr>
                      <w:top w:val="single" w:sz="4" w:space="1" w:color="000000"/>
                      <w:left w:val="single" w:sz="4" w:space="4" w:color="000000"/>
                      <w:bottom w:val="single" w:sz="4" w:space="1" w:color="000000"/>
                      <w:right w:val="single" w:sz="4" w:space="4" w:color="000000"/>
                    </w:pBdr>
                  </w:pPr>
                  <w:r>
                    <w:t xml:space="preserve">5e emploi : </w:t>
                  </w:r>
                  <w:r>
                    <w:tab/>
                    <w:t>éducateur</w:t>
                  </w:r>
                </w:p>
                <w:p w:rsidR="00F04EEF" w:rsidRDefault="0099351E">
                  <w:pPr>
                    <w:pBdr>
                      <w:top w:val="single" w:sz="4" w:space="1" w:color="000000"/>
                      <w:left w:val="single" w:sz="4" w:space="4" w:color="000000"/>
                      <w:bottom w:val="single" w:sz="4" w:space="1" w:color="000000"/>
                      <w:right w:val="single" w:sz="4" w:space="4" w:color="000000"/>
                    </w:pBdr>
                  </w:pPr>
                  <w:r>
                    <w:t xml:space="preserve">6e emploi : </w:t>
                  </w:r>
                  <w:r>
                    <w:tab/>
                    <w:t>éducateur</w:t>
                  </w:r>
                </w:p>
                <w:p w:rsidR="00F04EEF" w:rsidRDefault="0099351E">
                  <w:pPr>
                    <w:pBdr>
                      <w:top w:val="single" w:sz="4" w:space="1" w:color="000000"/>
                      <w:left w:val="single" w:sz="4" w:space="4" w:color="000000"/>
                      <w:bottom w:val="single" w:sz="4" w:space="1" w:color="000000"/>
                      <w:right w:val="single" w:sz="4" w:space="4" w:color="000000"/>
                    </w:pBdr>
                  </w:pPr>
                  <w:r>
                    <w:t xml:space="preserve">7e emploi : </w:t>
                  </w:r>
                  <w:r>
                    <w:tab/>
                    <w:t>éducateur</w:t>
                  </w:r>
                </w:p>
                <w:p w:rsidR="00F04EEF" w:rsidRDefault="0099351E">
                  <w:pPr>
                    <w:pBdr>
                      <w:top w:val="single" w:sz="4" w:space="1" w:color="000000"/>
                      <w:left w:val="single" w:sz="4" w:space="4" w:color="000000"/>
                      <w:bottom w:val="single" w:sz="4" w:space="1" w:color="000000"/>
                      <w:right w:val="single" w:sz="4" w:space="4" w:color="000000"/>
                    </w:pBdr>
                  </w:pPr>
                  <w:r>
                    <w:t xml:space="preserve">8e emploi : </w:t>
                  </w:r>
                  <w:r>
                    <w:tab/>
                    <w:t xml:space="preserve">éducateur ou rédacteur </w:t>
                  </w:r>
                </w:p>
                <w:p w:rsidR="00F04EEF" w:rsidRDefault="0099351E">
                  <w:pPr>
                    <w:pBdr>
                      <w:top w:val="single" w:sz="4" w:space="1" w:color="000000"/>
                      <w:left w:val="single" w:sz="4" w:space="4" w:color="000000"/>
                      <w:bottom w:val="single" w:sz="4" w:space="1" w:color="000000"/>
                      <w:right w:val="single" w:sz="4" w:space="4" w:color="000000"/>
                    </w:pBdr>
                  </w:pPr>
                  <w:r>
                    <w:t xml:space="preserve">9e emploi : </w:t>
                  </w:r>
                  <w:r>
                    <w:tab/>
                    <w:t>éducateur</w:t>
                  </w:r>
                </w:p>
                <w:p w:rsidR="00F04EEF" w:rsidRDefault="0099351E">
                  <w:pPr>
                    <w:pBdr>
                      <w:top w:val="single" w:sz="4" w:space="1" w:color="000000"/>
                      <w:left w:val="single" w:sz="4" w:space="4" w:color="000000"/>
                      <w:bottom w:val="single" w:sz="4" w:space="1" w:color="000000"/>
                      <w:right w:val="single" w:sz="4" w:space="4" w:color="000000"/>
                    </w:pBdr>
                  </w:pPr>
                  <w:r>
                    <w:t xml:space="preserve">10e emploi : </w:t>
                  </w:r>
                  <w:r>
                    <w:tab/>
                    <w:t>éducateur</w:t>
                  </w:r>
                </w:p>
                <w:p w:rsidR="00F04EEF" w:rsidRDefault="0099351E">
                  <w:pPr>
                    <w:pBdr>
                      <w:top w:val="single" w:sz="4" w:space="1" w:color="000000"/>
                      <w:left w:val="single" w:sz="4" w:space="4" w:color="000000"/>
                      <w:bottom w:val="single" w:sz="4" w:space="1" w:color="000000"/>
                      <w:right w:val="single" w:sz="4" w:space="4" w:color="000000"/>
                    </w:pBdr>
                  </w:pPr>
                  <w:r>
                    <w:t>11e emploi :     - si le 8</w:t>
                  </w:r>
                  <w:r>
                    <w:rPr>
                      <w:vertAlign w:val="superscript"/>
                    </w:rPr>
                    <w:t>e</w:t>
                  </w:r>
                  <w:r>
                    <w:t xml:space="preserve"> emploi est éducateur, le 11</w:t>
                  </w:r>
                  <w:r>
                    <w:rPr>
                      <w:vertAlign w:val="superscript"/>
                    </w:rPr>
                    <w:t>e</w:t>
                  </w:r>
                  <w:r>
                    <w:t xml:space="preserve"> sera obligatoirement rédacteur</w:t>
                  </w:r>
                </w:p>
                <w:p w:rsidR="00F04EEF" w:rsidRDefault="0099351E">
                  <w:pPr>
                    <w:pBdr>
                      <w:top w:val="single" w:sz="4" w:space="1" w:color="000000"/>
                      <w:left w:val="single" w:sz="4" w:space="4" w:color="000000"/>
                      <w:bottom w:val="single" w:sz="4" w:space="1" w:color="000000"/>
                      <w:right w:val="single" w:sz="4" w:space="4" w:color="000000"/>
                    </w:pBdr>
                    <w:jc w:val="both"/>
                  </w:pPr>
                  <w:r>
                    <w:t xml:space="preserve">                       - si le 8</w:t>
                  </w:r>
                  <w:r>
                    <w:rPr>
                      <w:vertAlign w:val="superscript"/>
                    </w:rPr>
                    <w:t>e</w:t>
                  </w:r>
                  <w:r>
                    <w:t xml:space="preserve"> emploi est rédacteur, le 11</w:t>
                  </w:r>
                  <w:r>
                    <w:rPr>
                      <w:vertAlign w:val="superscript"/>
                    </w:rPr>
                    <w:t>e</w:t>
                  </w:r>
                  <w:r>
                    <w:t xml:space="preserve"> sera éducateur ou rédacteur </w:t>
                  </w:r>
                </w:p>
                <w:p w:rsidR="00F04EEF" w:rsidRDefault="0099351E">
                  <w:pPr>
                    <w:pBdr>
                      <w:top w:val="single" w:sz="4" w:space="1" w:color="000000"/>
                      <w:left w:val="single" w:sz="4" w:space="4" w:color="000000"/>
                      <w:bottom w:val="single" w:sz="4" w:space="1" w:color="000000"/>
                      <w:right w:val="single" w:sz="4" w:space="4" w:color="000000"/>
                    </w:pBdr>
                    <w:jc w:val="both"/>
                  </w:pPr>
                  <w:r>
                    <w:t xml:space="preserve">12e emploi : </w:t>
                  </w:r>
                  <w:r>
                    <w:tab/>
                    <w:t>éducateur</w:t>
                  </w:r>
                </w:p>
                <w:p w:rsidR="00F04EEF" w:rsidRDefault="0099351E">
                  <w:pPr>
                    <w:pBdr>
                      <w:top w:val="single" w:sz="4" w:space="1" w:color="000000"/>
                      <w:left w:val="single" w:sz="4" w:space="4" w:color="000000"/>
                      <w:bottom w:val="single" w:sz="4" w:space="1" w:color="000000"/>
                      <w:right w:val="single" w:sz="4" w:space="4" w:color="000000"/>
                    </w:pBdr>
                    <w:jc w:val="both"/>
                  </w:pPr>
                  <w:r>
                    <w:t xml:space="preserve">13e emploi : </w:t>
                  </w:r>
                  <w:r>
                    <w:tab/>
                    <w:t>éducateur</w:t>
                  </w:r>
                </w:p>
                <w:p w:rsidR="00F04EEF" w:rsidRDefault="0099351E">
                  <w:pPr>
                    <w:pBdr>
                      <w:top w:val="single" w:sz="4" w:space="1" w:color="000000"/>
                      <w:left w:val="single" w:sz="4" w:space="4" w:color="000000"/>
                      <w:bottom w:val="single" w:sz="4" w:space="1" w:color="000000"/>
                      <w:right w:val="single" w:sz="4" w:space="4" w:color="000000"/>
                    </w:pBdr>
                    <w:jc w:val="both"/>
                  </w:pPr>
                  <w:r>
                    <w:t xml:space="preserve">14e emploi : </w:t>
                  </w:r>
                  <w:r>
                    <w:tab/>
                    <w:t>commis</w:t>
                  </w:r>
                </w:p>
                <w:p w:rsidR="00F04EEF" w:rsidRDefault="0099351E">
                  <w:pPr>
                    <w:pBdr>
                      <w:top w:val="single" w:sz="4" w:space="1" w:color="000000"/>
                      <w:left w:val="single" w:sz="4" w:space="4" w:color="000000"/>
                      <w:bottom w:val="single" w:sz="4" w:space="1" w:color="000000"/>
                      <w:right w:val="single" w:sz="4" w:space="4" w:color="000000"/>
                    </w:pBdr>
                    <w:jc w:val="both"/>
                  </w:pPr>
                  <w:r>
                    <w:t xml:space="preserve">15e emploi : </w:t>
                  </w:r>
                  <w:r>
                    <w:tab/>
                    <w:t>éducateur</w:t>
                  </w:r>
                </w:p>
                <w:p w:rsidR="00F04EEF" w:rsidRDefault="0099351E">
                  <w:pPr>
                    <w:pBdr>
                      <w:top w:val="single" w:sz="4" w:space="1" w:color="000000"/>
                      <w:left w:val="single" w:sz="4" w:space="4" w:color="000000"/>
                      <w:bottom w:val="single" w:sz="4" w:space="1" w:color="000000"/>
                      <w:right w:val="single" w:sz="4" w:space="4" w:color="000000"/>
                    </w:pBdr>
                    <w:jc w:val="both"/>
                  </w:pPr>
                  <w:r>
                    <w:t>Etc.</w:t>
                  </w:r>
                </w:p>
                <w:p w:rsidR="00F04EEF" w:rsidRDefault="00F04EEF">
                  <w:pPr>
                    <w:jc w:val="both"/>
                    <w:rPr>
                      <w:b/>
                    </w:rPr>
                  </w:pPr>
                </w:p>
                <w:p w:rsidR="00F04EEF" w:rsidRDefault="00F04EEF">
                  <w:pPr>
                    <w:jc w:val="both"/>
                    <w:rPr>
                      <w:b/>
                    </w:rPr>
                  </w:pPr>
                </w:p>
                <w:p w:rsidR="00F04EEF" w:rsidRDefault="0099351E">
                  <w:pPr>
                    <w:pStyle w:val="Titre4"/>
                  </w:pPr>
                  <w:bookmarkStart w:id="2131" w:name="_3.3_Renforcement_de"/>
                  <w:bookmarkStart w:id="2132" w:name="_2.3_Renforcement_de"/>
                  <w:bookmarkEnd w:id="2131"/>
                  <w:bookmarkEnd w:id="2132"/>
                  <w:r>
                    <w:t>2.3 Renforcement de l’encadrement en personnel éducatif et administratif</w:t>
                  </w:r>
                </w:p>
                <w:p w:rsidR="00F04EEF" w:rsidRDefault="00F04EEF"/>
                <w:p w:rsidR="00F04EEF" w:rsidRDefault="0099351E">
                  <w:pPr>
                    <w:jc w:val="both"/>
                  </w:pPr>
                  <w:r>
                    <w:t>Les écoles d’enseignement secondaire spécialisé qui entreront dans l’élaboration des plans de pilotage pourront engager un éducateur par mi-temps dès qu’une tranche de 40 élèves sera atteinte au sein de l’une des deux tranches de 80 à 159 élèves ou de 160 à 239 élèves.</w:t>
                  </w:r>
                  <w:r>
                    <w:rPr>
                      <w:rStyle w:val="Appelnotedebasdep"/>
                    </w:rPr>
                    <w:footnoteReference w:id="131"/>
                  </w:r>
                  <w:r>
                    <w:t xml:space="preserve"> </w:t>
                  </w:r>
                </w:p>
                <w:p w:rsidR="00F04EEF" w:rsidRDefault="00F04EEF">
                  <w:pPr>
                    <w:jc w:val="both"/>
                  </w:pPr>
                </w:p>
                <w:p w:rsidR="00F04EEF" w:rsidRDefault="0099351E">
                  <w:pPr>
                    <w:jc w:val="both"/>
                  </w:pPr>
                  <w:r>
                    <w:t xml:space="preserve">Ainsi, si une école secondaire spécialisée atteint le nombre de 120 élèves ou de 200 élèves, elle pourra engager un éducateur supplémentaire à mi-temps, dans le respect du principe de dévolution des emplois prévu au  </w:t>
                  </w:r>
                  <w:hyperlink w:anchor="_Chapitre_7_:_1" w:history="1">
                    <w:r>
                      <w:rPr>
                        <w:rStyle w:val="Lienhypertexte"/>
                        <w:rFonts w:cstheme="minorBidi"/>
                      </w:rPr>
                      <w:t>chapitre 7</w:t>
                    </w:r>
                  </w:hyperlink>
                  <w:r>
                    <w:t xml:space="preserve">. </w:t>
                  </w:r>
                </w:p>
                <w:p w:rsidR="00F04EEF" w:rsidRDefault="00F04EEF">
                  <w:pPr>
                    <w:jc w:val="both"/>
                  </w:pPr>
                </w:p>
                <w:p w:rsidR="00F04EEF" w:rsidRDefault="0099351E">
                  <w:pPr>
                    <w:jc w:val="both"/>
                  </w:pPr>
                  <w:r>
                    <w:t xml:space="preserve">Toujours dans le respect du principe de dévolution des emplois, le pouvoir organisateur d’une école qui accueillerait 120 élèves ne pourra pas engager deux éducateurs à mi-temps et un secrétaire de direction également à mi-temps, au prétexte que ce dernier serait considéré comme un 3ème emploi. </w:t>
                  </w:r>
                </w:p>
                <w:p w:rsidR="00F04EEF" w:rsidRDefault="00F04EEF">
                  <w:pPr>
                    <w:jc w:val="both"/>
                  </w:pPr>
                </w:p>
                <w:p w:rsidR="00F04EEF" w:rsidRDefault="0099351E">
                  <w:pPr>
                    <w:jc w:val="both"/>
                  </w:pPr>
                  <w:r>
                    <w:t xml:space="preserve">De plus, si l’école atteint le nombre de 200 élèves, elle ne pourra pas engager un secrétaire de direction avant d’avoir atteint les 240 élèves. </w:t>
                  </w:r>
                </w:p>
                <w:p w:rsidR="00F04EEF" w:rsidRDefault="00F04EEF">
                  <w:pPr>
                    <w:jc w:val="both"/>
                  </w:pPr>
                </w:p>
                <w:p w:rsidR="00F04EEF" w:rsidRDefault="0099351E">
                  <w:pPr>
                    <w:jc w:val="both"/>
                  </w:pPr>
                  <w:r>
                    <w:t>Seuls les emplois à temps plein sont à prendre en compte dans la dévolution des emplois.</w:t>
                  </w:r>
                </w:p>
                <w:p w:rsidR="00F04EEF" w:rsidRDefault="00F04EEF">
                  <w:pPr>
                    <w:jc w:val="both"/>
                  </w:pPr>
                </w:p>
                <w:p w:rsidR="00F04EEF" w:rsidRDefault="0099351E">
                  <w:pPr>
                    <w:autoSpaceDE w:val="0"/>
                    <w:jc w:val="both"/>
                    <w:rPr>
                      <w:color w:val="000000"/>
                    </w:rPr>
                  </w:pPr>
                  <w:r>
                    <w:rPr>
                      <w:color w:val="000000"/>
                    </w:rPr>
                    <w:t xml:space="preserve">C’est la population scolaire au 15 janvier qui détermine l’octroi de cet encadrement supplémentaire. </w:t>
                  </w:r>
                </w:p>
                <w:p w:rsidR="00F04EEF" w:rsidRDefault="00F04EEF">
                  <w:pPr>
                    <w:jc w:val="both"/>
                  </w:pPr>
                </w:p>
                <w:p w:rsidR="00F04EEF" w:rsidRDefault="00F04EEF">
                  <w:pPr>
                    <w:jc w:val="both"/>
                  </w:pPr>
                </w:p>
                <w:p w:rsidR="00F04EEF" w:rsidRDefault="0099351E">
                  <w:pPr>
                    <w:pStyle w:val="Titre3"/>
                    <w:jc w:val="both"/>
                    <w:rPr>
                      <w:sz w:val="22"/>
                      <w:szCs w:val="22"/>
                    </w:rPr>
                  </w:pPr>
                  <w:bookmarkStart w:id="2133" w:name="_4._Enseignement_fondamental"/>
                  <w:bookmarkStart w:id="2134" w:name="__RefHeading__163_957262308"/>
                  <w:bookmarkStart w:id="2135" w:name="_Toc291075331"/>
                  <w:bookmarkStart w:id="2136" w:name="_Toc291075755"/>
                  <w:bookmarkStart w:id="2137" w:name="_Toc291076179"/>
                  <w:bookmarkStart w:id="2138" w:name="_Toc291076603"/>
                  <w:bookmarkStart w:id="2139" w:name="_Toc291077027"/>
                  <w:bookmarkStart w:id="2140" w:name="_Toc293651870"/>
                  <w:bookmarkStart w:id="2141" w:name="_Toc293653453"/>
                  <w:bookmarkStart w:id="2142" w:name="_Toc293654064"/>
                  <w:bookmarkStart w:id="2143" w:name="_Toc294004642"/>
                  <w:bookmarkStart w:id="2144" w:name="_Toc294185138"/>
                  <w:bookmarkStart w:id="2145" w:name="_Toc324165954"/>
                  <w:bookmarkStart w:id="2146" w:name="_Toc324766991"/>
                  <w:bookmarkStart w:id="2147" w:name="_Toc453314344"/>
                  <w:bookmarkStart w:id="2148" w:name="_Toc454980379"/>
                  <w:bookmarkStart w:id="2149" w:name="_Toc47708508"/>
                  <w:bookmarkEnd w:id="2133"/>
                  <w:bookmarkEnd w:id="2134"/>
                  <w:r>
                    <w:rPr>
                      <w:rStyle w:val="Titre3Car2"/>
                      <w:b/>
                      <w:sz w:val="22"/>
                      <w:szCs w:val="22"/>
                    </w:rPr>
                    <w:t>3. Enseignement secondaire spécialisé organisé et subventionné par la Fédération Wallonie-Bruxelles</w:t>
                  </w:r>
                  <w:r>
                    <w:rPr>
                      <w:sz w:val="22"/>
                      <w:szCs w:val="22"/>
                    </w:rPr>
                    <w:t xml:space="preserve"> (article 116 bis du Décret du 3 mars 2004 organisant l'Enseignement spécialisé)</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rsidR="00F04EEF" w:rsidRDefault="00F04EEF">
                  <w:pPr>
                    <w:autoSpaceDE w:val="0"/>
                    <w:jc w:val="both"/>
                    <w:rPr>
                      <w:color w:val="000000"/>
                    </w:rPr>
                  </w:pPr>
                </w:p>
                <w:p w:rsidR="00F04EEF" w:rsidRDefault="0099351E">
                  <w:pPr>
                    <w:autoSpaceDE w:val="0"/>
                    <w:jc w:val="both"/>
                    <w:rPr>
                      <w:color w:val="000000"/>
                    </w:rPr>
                  </w:pPr>
                  <w:r>
                    <w:rPr>
                      <w:color w:val="000000"/>
                    </w:rPr>
                    <w:t>Sur base du calcul du nombre d’élèves ayant généré le dernier capital-périodes, des heures supplémentaires réservées aux emplois d’éducateurs</w:t>
                  </w:r>
                  <w:r>
                    <w:rPr>
                      <w:rStyle w:val="Caractresdenotedebasdepage"/>
                      <w:rFonts w:cs="Arial"/>
                      <w:color w:val="000000"/>
                    </w:rPr>
                    <w:footnoteReference w:id="132"/>
                  </w:r>
                  <w:r>
                    <w:rPr>
                      <w:color w:val="000000"/>
                    </w:rPr>
                    <w:t xml:space="preserve"> sont attribuées, hors capital-périodes, pour les établissements d'enseignement spécialisé organisant l'enseignement fondamental et secondaire de type 3. </w:t>
                  </w:r>
                </w:p>
                <w:p w:rsidR="00F04EEF" w:rsidRDefault="00F04EEF">
                  <w:pPr>
                    <w:autoSpaceDE w:val="0"/>
                    <w:jc w:val="both"/>
                    <w:rPr>
                      <w:color w:val="000000"/>
                    </w:rPr>
                  </w:pPr>
                </w:p>
                <w:p w:rsidR="00F04EEF" w:rsidRDefault="0099351E">
                  <w:pPr>
                    <w:autoSpaceDE w:val="0"/>
                    <w:jc w:val="both"/>
                    <w:rPr>
                      <w:color w:val="000000"/>
                    </w:rPr>
                  </w:pPr>
                  <w:r>
                    <w:rPr>
                      <w:color w:val="000000"/>
                    </w:rPr>
                    <w:t>Le calcul s’effectue selon le tableau suivant :</w:t>
                  </w:r>
                </w:p>
                <w:p w:rsidR="00F04EEF" w:rsidRDefault="00F04EEF">
                  <w:pPr>
                    <w:autoSpaceDE w:val="0"/>
                    <w:jc w:val="both"/>
                    <w:rPr>
                      <w:color w:val="000000"/>
                    </w:rPr>
                  </w:pPr>
                </w:p>
                <w:tbl>
                  <w:tblPr>
                    <w:tblW w:w="9853" w:type="dxa"/>
                    <w:tblInd w:w="-25" w:type="dxa"/>
                    <w:tblLayout w:type="fixed"/>
                    <w:tblLook w:val="0000" w:firstRow="0" w:lastRow="0" w:firstColumn="0" w:lastColumn="0" w:noHBand="0" w:noVBand="0"/>
                  </w:tblPr>
                  <w:tblGrid>
                    <w:gridCol w:w="4993"/>
                    <w:gridCol w:w="4860"/>
                  </w:tblGrid>
                  <w:tr w:rsidR="00F04EEF">
                    <w:trPr>
                      <w:trHeight w:val="504"/>
                    </w:trPr>
                    <w:tc>
                      <w:tcPr>
                        <w:tcW w:w="4993" w:type="dxa"/>
                        <w:tcBorders>
                          <w:top w:val="single" w:sz="4" w:space="0" w:color="000000"/>
                          <w:left w:val="single" w:sz="4" w:space="0" w:color="000000"/>
                          <w:bottom w:val="single" w:sz="4" w:space="0" w:color="000000"/>
                        </w:tcBorders>
                        <w:vAlign w:val="center"/>
                      </w:tcPr>
                      <w:p w:rsidR="00F04EEF" w:rsidRDefault="0099351E">
                        <w:pPr>
                          <w:autoSpaceDE w:val="0"/>
                          <w:snapToGrid w:val="0"/>
                          <w:rPr>
                            <w:b/>
                            <w:color w:val="000000"/>
                          </w:rPr>
                        </w:pPr>
                        <w:r>
                          <w:rPr>
                            <w:b/>
                            <w:color w:val="000000"/>
                          </w:rPr>
                          <w:t>Pour tous les établissements qui comptabilisent :</w:t>
                        </w:r>
                      </w:p>
                    </w:tc>
                    <w:tc>
                      <w:tcPr>
                        <w:tcW w:w="4860" w:type="dxa"/>
                        <w:tcBorders>
                          <w:top w:val="single" w:sz="4" w:space="0" w:color="000000"/>
                          <w:left w:val="single" w:sz="4" w:space="0" w:color="000000"/>
                          <w:bottom w:val="single" w:sz="4" w:space="0" w:color="000000"/>
                          <w:right w:val="single" w:sz="4" w:space="0" w:color="000000"/>
                        </w:tcBorders>
                        <w:vAlign w:val="center"/>
                      </w:tcPr>
                      <w:p w:rsidR="00F04EEF" w:rsidRDefault="0099351E">
                        <w:pPr>
                          <w:autoSpaceDE w:val="0"/>
                          <w:snapToGrid w:val="0"/>
                          <w:rPr>
                            <w:b/>
                            <w:color w:val="000000"/>
                          </w:rPr>
                        </w:pPr>
                        <w:r>
                          <w:rPr>
                            <w:b/>
                            <w:color w:val="000000"/>
                          </w:rPr>
                          <w:t>Attribution de :</w:t>
                        </w:r>
                      </w:p>
                    </w:tc>
                  </w:tr>
                  <w:tr w:rsidR="00F04EEF">
                    <w:trPr>
                      <w:trHeight w:val="665"/>
                    </w:trPr>
                    <w:tc>
                      <w:tcPr>
                        <w:tcW w:w="4993" w:type="dxa"/>
                        <w:tcBorders>
                          <w:top w:val="single" w:sz="4" w:space="0" w:color="000000"/>
                          <w:left w:val="single" w:sz="4" w:space="0" w:color="000000"/>
                          <w:bottom w:val="single" w:sz="4" w:space="0" w:color="000000"/>
                        </w:tcBorders>
                        <w:vAlign w:val="center"/>
                      </w:tcPr>
                      <w:p w:rsidR="00F04EEF" w:rsidRDefault="0099351E">
                        <w:pPr>
                          <w:autoSpaceDE w:val="0"/>
                          <w:snapToGrid w:val="0"/>
                          <w:rPr>
                            <w:color w:val="000000"/>
                          </w:rPr>
                        </w:pPr>
                        <w:r>
                          <w:rPr>
                            <w:color w:val="000000"/>
                          </w:rPr>
                          <w:t>de 1 à 39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F04EEF" w:rsidRDefault="0099351E">
                        <w:pPr>
                          <w:autoSpaceDE w:val="0"/>
                          <w:snapToGrid w:val="0"/>
                          <w:rPr>
                            <w:color w:val="000000"/>
                          </w:rPr>
                        </w:pPr>
                        <w:r>
                          <w:rPr>
                            <w:color w:val="000000"/>
                          </w:rPr>
                          <w:t xml:space="preserve">9 heures supplémentaires réservées à un emploi d’éducateur </w:t>
                        </w:r>
                      </w:p>
                    </w:tc>
                  </w:tr>
                  <w:tr w:rsidR="00F04EEF">
                    <w:trPr>
                      <w:trHeight w:val="703"/>
                    </w:trPr>
                    <w:tc>
                      <w:tcPr>
                        <w:tcW w:w="4993" w:type="dxa"/>
                        <w:tcBorders>
                          <w:top w:val="single" w:sz="4" w:space="0" w:color="000000"/>
                          <w:left w:val="single" w:sz="4" w:space="0" w:color="000000"/>
                          <w:bottom w:val="single" w:sz="4" w:space="0" w:color="000000"/>
                        </w:tcBorders>
                        <w:vAlign w:val="center"/>
                      </w:tcPr>
                      <w:p w:rsidR="00F04EEF" w:rsidRDefault="0099351E">
                        <w:pPr>
                          <w:autoSpaceDE w:val="0"/>
                          <w:snapToGrid w:val="0"/>
                          <w:rPr>
                            <w:color w:val="000000"/>
                          </w:rPr>
                        </w:pPr>
                        <w:r>
                          <w:rPr>
                            <w:color w:val="000000"/>
                          </w:rPr>
                          <w:t>de 40 à 59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F04EEF" w:rsidRDefault="0099351E">
                        <w:pPr>
                          <w:autoSpaceDE w:val="0"/>
                          <w:snapToGrid w:val="0"/>
                          <w:rPr>
                            <w:color w:val="000000"/>
                          </w:rPr>
                        </w:pPr>
                        <w:r>
                          <w:rPr>
                            <w:color w:val="000000"/>
                          </w:rPr>
                          <w:t xml:space="preserve">18 heures supplémentaires réservées à un emploi d’éducateur </w:t>
                        </w:r>
                      </w:p>
                    </w:tc>
                  </w:tr>
                  <w:tr w:rsidR="00F04EEF">
                    <w:trPr>
                      <w:trHeight w:val="684"/>
                    </w:trPr>
                    <w:tc>
                      <w:tcPr>
                        <w:tcW w:w="4993" w:type="dxa"/>
                        <w:tcBorders>
                          <w:top w:val="single" w:sz="4" w:space="0" w:color="000000"/>
                          <w:left w:val="single" w:sz="4" w:space="0" w:color="000000"/>
                          <w:bottom w:val="single" w:sz="4" w:space="0" w:color="000000"/>
                        </w:tcBorders>
                        <w:vAlign w:val="center"/>
                      </w:tcPr>
                      <w:p w:rsidR="00F04EEF" w:rsidRDefault="0099351E">
                        <w:pPr>
                          <w:autoSpaceDE w:val="0"/>
                          <w:snapToGrid w:val="0"/>
                          <w:rPr>
                            <w:color w:val="000000"/>
                          </w:rPr>
                        </w:pPr>
                        <w:r>
                          <w:rPr>
                            <w:color w:val="000000"/>
                          </w:rPr>
                          <w:t>de 60 à 79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F04EEF" w:rsidRDefault="0099351E">
                        <w:pPr>
                          <w:autoSpaceDE w:val="0"/>
                          <w:snapToGrid w:val="0"/>
                          <w:rPr>
                            <w:color w:val="000000"/>
                          </w:rPr>
                        </w:pPr>
                        <w:r>
                          <w:rPr>
                            <w:color w:val="000000"/>
                          </w:rPr>
                          <w:t xml:space="preserve">27 heures supplémentaires réservées à un emploi d’éducateur </w:t>
                        </w:r>
                      </w:p>
                    </w:tc>
                  </w:tr>
                  <w:tr w:rsidR="00F04EEF">
                    <w:trPr>
                      <w:trHeight w:val="708"/>
                    </w:trPr>
                    <w:tc>
                      <w:tcPr>
                        <w:tcW w:w="4993" w:type="dxa"/>
                        <w:tcBorders>
                          <w:top w:val="single" w:sz="4" w:space="0" w:color="000000"/>
                          <w:left w:val="single" w:sz="4" w:space="0" w:color="000000"/>
                          <w:bottom w:val="single" w:sz="4" w:space="0" w:color="000000"/>
                        </w:tcBorders>
                        <w:vAlign w:val="center"/>
                      </w:tcPr>
                      <w:p w:rsidR="00F04EEF" w:rsidRDefault="0099351E">
                        <w:pPr>
                          <w:autoSpaceDE w:val="0"/>
                          <w:snapToGrid w:val="0"/>
                          <w:rPr>
                            <w:color w:val="000000"/>
                          </w:rPr>
                        </w:pPr>
                        <w:r>
                          <w:rPr>
                            <w:color w:val="000000"/>
                          </w:rPr>
                          <w:t>de 80 à 99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F04EEF" w:rsidRDefault="0099351E">
                        <w:pPr>
                          <w:autoSpaceDE w:val="0"/>
                          <w:snapToGrid w:val="0"/>
                          <w:rPr>
                            <w:color w:val="000000"/>
                          </w:rPr>
                        </w:pPr>
                        <w:r>
                          <w:rPr>
                            <w:color w:val="000000"/>
                          </w:rPr>
                          <w:t xml:space="preserve">36 heures supplémentaires réservées à un emploi d’éducateur </w:t>
                        </w:r>
                      </w:p>
                    </w:tc>
                  </w:tr>
                  <w:tr w:rsidR="00F04EEF">
                    <w:trPr>
                      <w:trHeight w:val="974"/>
                    </w:trPr>
                    <w:tc>
                      <w:tcPr>
                        <w:tcW w:w="4993" w:type="dxa"/>
                        <w:tcBorders>
                          <w:top w:val="single" w:sz="4" w:space="0" w:color="000000"/>
                          <w:left w:val="single" w:sz="4" w:space="0" w:color="000000"/>
                          <w:bottom w:val="single" w:sz="4" w:space="0" w:color="000000"/>
                        </w:tcBorders>
                        <w:vAlign w:val="center"/>
                      </w:tcPr>
                      <w:p w:rsidR="00F04EEF" w:rsidRDefault="0099351E">
                        <w:pPr>
                          <w:autoSpaceDE w:val="0"/>
                          <w:snapToGrid w:val="0"/>
                          <w:rPr>
                            <w:color w:val="000000"/>
                          </w:rPr>
                        </w:pPr>
                        <w:r>
                          <w:rPr>
                            <w:color w:val="000000"/>
                          </w:rPr>
                          <w:t>Pour chaque tranche supplémentaire entamée de 20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F04EEF" w:rsidRDefault="0099351E">
                        <w:pPr>
                          <w:autoSpaceDE w:val="0"/>
                          <w:snapToGrid w:val="0"/>
                          <w:rPr>
                            <w:color w:val="000000"/>
                          </w:rPr>
                        </w:pPr>
                        <w:r>
                          <w:rPr>
                            <w:color w:val="000000"/>
                          </w:rPr>
                          <w:t>9 heures supplémentaires réservées à un emploi d’éducateur sont attribuées</w:t>
                        </w:r>
                      </w:p>
                    </w:tc>
                  </w:tr>
                </w:tbl>
                <w:p w:rsidR="00F04EEF" w:rsidRDefault="00F04EEF">
                  <w:pPr>
                    <w:autoSpaceDE w:val="0"/>
                    <w:jc w:val="both"/>
                    <w:rPr>
                      <w:color w:val="000000"/>
                    </w:rPr>
                  </w:pPr>
                </w:p>
                <w:p w:rsidR="00F04EEF" w:rsidRDefault="0099351E">
                  <w:pPr>
                    <w:autoSpaceDE w:val="0"/>
                    <w:jc w:val="both"/>
                    <w:rPr>
                      <w:color w:val="000000"/>
                    </w:rPr>
                  </w:pPr>
                  <w:r>
                    <w:rPr>
                      <w:color w:val="000000"/>
                    </w:rPr>
                    <w:t xml:space="preserve">L’organisation ou le subventionnement des emplois supplémentaires d’éducateurs peut être modifié </w:t>
                  </w:r>
                  <w:r>
                    <w:t xml:space="preserve">chaque fois que le capital-périodes est recalculé globalement. Les membres du personnel peuvent </w:t>
                  </w:r>
                  <w:r>
                    <w:rPr>
                      <w:color w:val="000000"/>
                    </w:rPr>
                    <w:t>être nommés dans les heures attribuées sur cette base.</w:t>
                  </w:r>
                </w:p>
                <w:p w:rsidR="00F04EEF" w:rsidRDefault="00F04EEF">
                  <w:bookmarkStart w:id="2150" w:name="_5._Détermination_d’une"/>
                  <w:bookmarkStart w:id="2151" w:name="_Toc453314345"/>
                  <w:bookmarkStart w:id="2152" w:name="_Toc454980380"/>
                  <w:bookmarkEnd w:id="2150"/>
                </w:p>
                <w:p w:rsidR="00F04EEF" w:rsidRDefault="0099351E">
                  <w:pPr>
                    <w:rPr>
                      <w:b/>
                      <w:u w:val="single"/>
                    </w:rPr>
                  </w:pPr>
                  <w:bookmarkStart w:id="2153" w:name="_4._Détermination_d’une"/>
                  <w:bookmarkEnd w:id="2153"/>
                  <w:r>
                    <w:br w:type="page"/>
                  </w:r>
                </w:p>
                <w:p w:rsidR="00F04EEF" w:rsidRDefault="0099351E">
                  <w:pPr>
                    <w:pStyle w:val="Titre3"/>
                    <w:rPr>
                      <w:sz w:val="22"/>
                      <w:szCs w:val="22"/>
                    </w:rPr>
                  </w:pPr>
                  <w:bookmarkStart w:id="2154" w:name="_Toc47708509"/>
                  <w:r>
                    <w:rPr>
                      <w:sz w:val="22"/>
                      <w:szCs w:val="22"/>
                    </w:rPr>
                    <w:t>4. Détermination d’une charge complète</w:t>
                  </w:r>
                  <w:bookmarkEnd w:id="2151"/>
                  <w:bookmarkEnd w:id="2152"/>
                  <w:bookmarkEnd w:id="2154"/>
                </w:p>
                <w:p w:rsidR="00F04EEF" w:rsidRDefault="00F04EEF"/>
                <w:p w:rsidR="00F04EEF" w:rsidRDefault="0099351E">
                  <w:pPr>
                    <w:pStyle w:val="Titre4"/>
                  </w:pPr>
                  <w:r>
                    <w:t>4.1. Les nombres de périodes nécessaires pour constituer une charge sont fixés comme suit :</w:t>
                  </w:r>
                </w:p>
                <w:p w:rsidR="00F04EEF" w:rsidRDefault="00F04EEF">
                  <w:pPr>
                    <w:jc w:val="both"/>
                    <w:rPr>
                      <w:color w:val="000000"/>
                    </w:rPr>
                  </w:pPr>
                </w:p>
                <w:tbl>
                  <w:tblPr>
                    <w:tblW w:w="0" w:type="auto"/>
                    <w:tblCellMar>
                      <w:left w:w="0" w:type="dxa"/>
                      <w:right w:w="0" w:type="dxa"/>
                    </w:tblCellMar>
                    <w:tblLook w:val="0000" w:firstRow="0" w:lastRow="0" w:firstColumn="0" w:lastColumn="0" w:noHBand="0" w:noVBand="0"/>
                  </w:tblPr>
                  <w:tblGrid>
                    <w:gridCol w:w="5552"/>
                    <w:gridCol w:w="3802"/>
                  </w:tblGrid>
                  <w:tr w:rsidR="00F04EEF">
                    <w:tc>
                      <w:tcPr>
                        <w:tcW w:w="5778" w:type="dxa"/>
                        <w:tcMar>
                          <w:top w:w="0" w:type="dxa"/>
                          <w:left w:w="108" w:type="dxa"/>
                          <w:bottom w:w="0" w:type="dxa"/>
                          <w:right w:w="108" w:type="dxa"/>
                        </w:tcMar>
                      </w:tcPr>
                      <w:p w:rsidR="00F04EEF" w:rsidRDefault="0099351E">
                        <w:pPr>
                          <w:rPr>
                            <w:color w:val="000000"/>
                            <w:lang w:val="fr-FR" w:eastAsia="fr-FR"/>
                          </w:rPr>
                        </w:pPr>
                        <w:r>
                          <w:rPr>
                            <w:color w:val="000000"/>
                            <w:lang w:val="fr-FR" w:eastAsia="fr-FR"/>
                          </w:rPr>
                          <w:t xml:space="preserve">Educateur </w:t>
                        </w:r>
                      </w:p>
                    </w:tc>
                    <w:tc>
                      <w:tcPr>
                        <w:tcW w:w="3969" w:type="dxa"/>
                        <w:tcMar>
                          <w:top w:w="0" w:type="dxa"/>
                          <w:left w:w="108" w:type="dxa"/>
                          <w:bottom w:w="0" w:type="dxa"/>
                          <w:right w:w="108" w:type="dxa"/>
                        </w:tcMar>
                      </w:tcPr>
                      <w:p w:rsidR="00F04EEF" w:rsidRDefault="0099351E">
                        <w:pPr>
                          <w:jc w:val="center"/>
                          <w:rPr>
                            <w:color w:val="000000"/>
                            <w:lang w:val="fr-FR" w:eastAsia="fr-FR"/>
                          </w:rPr>
                        </w:pPr>
                        <w:r>
                          <w:rPr>
                            <w:color w:val="000000"/>
                            <w:lang w:val="fr-FR" w:eastAsia="fr-FR"/>
                          </w:rPr>
                          <w:t>36 périodes de 60 minutes</w:t>
                        </w:r>
                      </w:p>
                    </w:tc>
                  </w:tr>
                  <w:tr w:rsidR="00F04EEF">
                    <w:tc>
                      <w:tcPr>
                        <w:tcW w:w="5778" w:type="dxa"/>
                        <w:tcMar>
                          <w:top w:w="0" w:type="dxa"/>
                          <w:left w:w="108" w:type="dxa"/>
                          <w:bottom w:w="0" w:type="dxa"/>
                          <w:right w:w="108" w:type="dxa"/>
                        </w:tcMar>
                      </w:tcPr>
                      <w:p w:rsidR="00F04EEF" w:rsidRDefault="0099351E">
                        <w:pPr>
                          <w:rPr>
                            <w:color w:val="000000"/>
                            <w:lang w:val="fr-FR" w:eastAsia="fr-FR"/>
                          </w:rPr>
                        </w:pPr>
                        <w:r>
                          <w:rPr>
                            <w:color w:val="000000"/>
                            <w:lang w:val="fr-FR" w:eastAsia="fr-FR"/>
                          </w:rPr>
                          <w:t>Secrétaire de direction</w:t>
                        </w:r>
                      </w:p>
                    </w:tc>
                    <w:tc>
                      <w:tcPr>
                        <w:tcW w:w="3969" w:type="dxa"/>
                        <w:tcMar>
                          <w:top w:w="0" w:type="dxa"/>
                          <w:left w:w="108" w:type="dxa"/>
                          <w:bottom w:w="0" w:type="dxa"/>
                          <w:right w:w="108" w:type="dxa"/>
                        </w:tcMar>
                      </w:tcPr>
                      <w:p w:rsidR="00F04EEF" w:rsidRDefault="0099351E">
                        <w:pPr>
                          <w:jc w:val="center"/>
                          <w:rPr>
                            <w:color w:val="000000"/>
                            <w:lang w:val="fr-FR" w:eastAsia="fr-FR"/>
                          </w:rPr>
                        </w:pPr>
                        <w:r>
                          <w:rPr>
                            <w:color w:val="000000"/>
                            <w:lang w:val="fr-FR" w:eastAsia="fr-FR"/>
                          </w:rPr>
                          <w:t>36 périodes de 60 minutes</w:t>
                        </w:r>
                      </w:p>
                    </w:tc>
                  </w:tr>
                  <w:tr w:rsidR="00F04EEF">
                    <w:tc>
                      <w:tcPr>
                        <w:tcW w:w="5778" w:type="dxa"/>
                        <w:tcMar>
                          <w:top w:w="0" w:type="dxa"/>
                          <w:left w:w="108" w:type="dxa"/>
                          <w:bottom w:w="0" w:type="dxa"/>
                          <w:right w:w="108" w:type="dxa"/>
                        </w:tcMar>
                      </w:tcPr>
                      <w:p w:rsidR="00F04EEF" w:rsidRDefault="0099351E">
                        <w:pPr>
                          <w:rPr>
                            <w:color w:val="000000"/>
                            <w:lang w:val="fr-FR" w:eastAsia="fr-FR"/>
                          </w:rPr>
                        </w:pPr>
                        <w:r>
                          <w:rPr>
                            <w:color w:val="000000"/>
                            <w:lang w:val="fr-FR" w:eastAsia="fr-FR"/>
                          </w:rPr>
                          <w:t>Correspondant-comptable ou comptable (FWB)</w:t>
                        </w:r>
                      </w:p>
                    </w:tc>
                    <w:tc>
                      <w:tcPr>
                        <w:tcW w:w="3969" w:type="dxa"/>
                        <w:tcMar>
                          <w:top w:w="0" w:type="dxa"/>
                          <w:left w:w="108" w:type="dxa"/>
                          <w:bottom w:w="0" w:type="dxa"/>
                          <w:right w:w="108" w:type="dxa"/>
                        </w:tcMar>
                      </w:tcPr>
                      <w:p w:rsidR="00F04EEF" w:rsidRDefault="0099351E">
                        <w:pPr>
                          <w:jc w:val="center"/>
                          <w:rPr>
                            <w:color w:val="000000"/>
                            <w:lang w:val="fr-FR" w:eastAsia="fr-FR"/>
                          </w:rPr>
                        </w:pPr>
                        <w:r>
                          <w:rPr>
                            <w:color w:val="000000"/>
                            <w:lang w:val="fr-FR" w:eastAsia="fr-FR"/>
                          </w:rPr>
                          <w:t>38 périodes de 60 minutes</w:t>
                        </w:r>
                      </w:p>
                    </w:tc>
                  </w:tr>
                  <w:tr w:rsidR="00F04EEF">
                    <w:tc>
                      <w:tcPr>
                        <w:tcW w:w="5778" w:type="dxa"/>
                        <w:tcMar>
                          <w:top w:w="0" w:type="dxa"/>
                          <w:left w:w="108" w:type="dxa"/>
                          <w:bottom w:w="0" w:type="dxa"/>
                          <w:right w:w="108" w:type="dxa"/>
                        </w:tcMar>
                      </w:tcPr>
                      <w:p w:rsidR="00F04EEF" w:rsidRDefault="0099351E">
                        <w:pPr>
                          <w:rPr>
                            <w:color w:val="000000"/>
                            <w:lang w:val="fr-FR" w:eastAsia="fr-FR"/>
                          </w:rPr>
                        </w:pPr>
                        <w:r>
                          <w:rPr>
                            <w:color w:val="000000"/>
                            <w:lang w:val="fr-FR" w:eastAsia="fr-FR"/>
                          </w:rPr>
                          <w:t xml:space="preserve">Educateur économe (FWB) </w:t>
                        </w:r>
                      </w:p>
                      <w:p w:rsidR="00F04EEF" w:rsidRDefault="0099351E">
                        <w:pPr>
                          <w:rPr>
                            <w:color w:val="000000"/>
                            <w:lang w:val="fr-FR" w:eastAsia="fr-FR"/>
                          </w:rPr>
                        </w:pPr>
                        <w:r>
                          <w:rPr>
                            <w:color w:val="000000"/>
                            <w:lang w:val="fr-FR" w:eastAsia="fr-FR"/>
                          </w:rPr>
                          <w:t>(ligne EDEC/Comptable dans Siges)</w:t>
                        </w:r>
                      </w:p>
                    </w:tc>
                    <w:tc>
                      <w:tcPr>
                        <w:tcW w:w="3969" w:type="dxa"/>
                        <w:tcMar>
                          <w:top w:w="0" w:type="dxa"/>
                          <w:left w:w="108" w:type="dxa"/>
                          <w:bottom w:w="0" w:type="dxa"/>
                          <w:right w:w="108" w:type="dxa"/>
                        </w:tcMar>
                      </w:tcPr>
                      <w:p w:rsidR="00F04EEF" w:rsidRDefault="0099351E">
                        <w:pPr>
                          <w:jc w:val="center"/>
                          <w:rPr>
                            <w:color w:val="000000"/>
                            <w:lang w:val="fr-FR" w:eastAsia="fr-FR"/>
                          </w:rPr>
                        </w:pPr>
                        <w:r>
                          <w:rPr>
                            <w:color w:val="000000"/>
                            <w:lang w:val="fr-FR" w:eastAsia="fr-FR"/>
                          </w:rPr>
                          <w:t>36 périodes de 60 minutes</w:t>
                        </w:r>
                      </w:p>
                    </w:tc>
                  </w:tr>
                  <w:tr w:rsidR="00F04EEF">
                    <w:tc>
                      <w:tcPr>
                        <w:tcW w:w="5778" w:type="dxa"/>
                        <w:tcMar>
                          <w:top w:w="0" w:type="dxa"/>
                          <w:left w:w="108" w:type="dxa"/>
                          <w:bottom w:w="0" w:type="dxa"/>
                          <w:right w:w="108" w:type="dxa"/>
                        </w:tcMar>
                      </w:tcPr>
                      <w:p w:rsidR="00F04EEF" w:rsidRDefault="0099351E">
                        <w:pPr>
                          <w:rPr>
                            <w:color w:val="000000"/>
                            <w:lang w:val="fr-FR" w:eastAsia="fr-FR"/>
                          </w:rPr>
                        </w:pPr>
                        <w:r>
                          <w:rPr>
                            <w:color w:val="000000"/>
                            <w:lang w:val="fr-FR" w:eastAsia="fr-FR"/>
                          </w:rPr>
                          <w:t>Commis dactylo</w:t>
                        </w:r>
                      </w:p>
                    </w:tc>
                    <w:tc>
                      <w:tcPr>
                        <w:tcW w:w="3969" w:type="dxa"/>
                        <w:tcMar>
                          <w:top w:w="0" w:type="dxa"/>
                          <w:left w:w="108" w:type="dxa"/>
                          <w:bottom w:w="0" w:type="dxa"/>
                          <w:right w:w="108" w:type="dxa"/>
                        </w:tcMar>
                      </w:tcPr>
                      <w:p w:rsidR="00F04EEF" w:rsidRDefault="0099351E">
                        <w:pPr>
                          <w:jc w:val="center"/>
                          <w:rPr>
                            <w:color w:val="000000"/>
                            <w:lang w:val="fr-FR" w:eastAsia="fr-FR"/>
                          </w:rPr>
                        </w:pPr>
                        <w:r>
                          <w:rPr>
                            <w:color w:val="000000"/>
                            <w:lang w:val="fr-FR" w:eastAsia="fr-FR"/>
                          </w:rPr>
                          <w:t>38 périodes de 60 minutes</w:t>
                        </w:r>
                      </w:p>
                    </w:tc>
                  </w:tr>
                  <w:tr w:rsidR="00F04EEF">
                    <w:tc>
                      <w:tcPr>
                        <w:tcW w:w="5778" w:type="dxa"/>
                        <w:tcMar>
                          <w:top w:w="0" w:type="dxa"/>
                          <w:left w:w="108" w:type="dxa"/>
                          <w:bottom w:w="0" w:type="dxa"/>
                          <w:right w:w="108" w:type="dxa"/>
                        </w:tcMar>
                      </w:tcPr>
                      <w:p w:rsidR="00F04EEF" w:rsidRDefault="0099351E">
                        <w:pPr>
                          <w:rPr>
                            <w:color w:val="000000"/>
                            <w:lang w:val="fr-FR" w:eastAsia="fr-FR"/>
                          </w:rPr>
                        </w:pPr>
                        <w:r>
                          <w:rPr>
                            <w:color w:val="000000"/>
                            <w:lang w:val="fr-FR" w:eastAsia="fr-FR"/>
                          </w:rPr>
                          <w:t>Rédacteur</w:t>
                        </w:r>
                      </w:p>
                    </w:tc>
                    <w:tc>
                      <w:tcPr>
                        <w:tcW w:w="3969" w:type="dxa"/>
                        <w:tcMar>
                          <w:top w:w="0" w:type="dxa"/>
                          <w:left w:w="108" w:type="dxa"/>
                          <w:bottom w:w="0" w:type="dxa"/>
                          <w:right w:w="108" w:type="dxa"/>
                        </w:tcMar>
                      </w:tcPr>
                      <w:p w:rsidR="00F04EEF" w:rsidRDefault="0099351E">
                        <w:pPr>
                          <w:jc w:val="center"/>
                          <w:rPr>
                            <w:color w:val="000000"/>
                            <w:lang w:val="fr-FR" w:eastAsia="fr-FR"/>
                          </w:rPr>
                        </w:pPr>
                        <w:r>
                          <w:rPr>
                            <w:color w:val="000000"/>
                            <w:lang w:val="fr-FR" w:eastAsia="fr-FR"/>
                          </w:rPr>
                          <w:t>38 périodes de 60 minutes</w:t>
                        </w:r>
                      </w:p>
                    </w:tc>
                  </w:tr>
                </w:tbl>
                <w:p w:rsidR="00F04EEF" w:rsidRDefault="00F04EEF"/>
                <w:p w:rsidR="00F04EEF" w:rsidRDefault="0099351E">
                  <w:r>
                    <w:tab/>
                  </w:r>
                </w:p>
                <w:p w:rsidR="00F04EEF" w:rsidRDefault="0099351E">
                  <w:pPr>
                    <w:pStyle w:val="Titre4"/>
                  </w:pPr>
                  <w:bookmarkStart w:id="2155" w:name="_4.2._Service_à"/>
                  <w:bookmarkEnd w:id="2155"/>
                  <w:r>
                    <w:t>4.2. Service à l’école et aux élèves</w:t>
                  </w:r>
                </w:p>
                <w:p w:rsidR="00F04EEF" w:rsidRDefault="00F04EEF"/>
                <w:p w:rsidR="00F04EEF" w:rsidRDefault="0099351E">
                  <w:pPr>
                    <w:jc w:val="both"/>
                  </w:pPr>
                  <w:r>
                    <w:t xml:space="preserve">Dans le cadre du Service à l’école et aux élèves, les éducateurs sont tenus, de participer, notamment, aux conseils de classe ainsi qu’aux réunions entre membres de l’équipe éducative et parents fixées anticipativement dans un calendrier annuel ou trimestriel. </w:t>
                  </w:r>
                </w:p>
                <w:p w:rsidR="00F04EEF" w:rsidRDefault="0099351E">
                  <w:pPr>
                    <w:jc w:val="both"/>
                  </w:pPr>
                  <w:r>
                    <w:t>Les périodes consacrées aux conseils de classe sont comprises dans leurs charges hebdomadaires définies au point 4.1</w:t>
                  </w:r>
                </w:p>
                <w:p w:rsidR="00F04EEF" w:rsidRDefault="00F04EEF">
                  <w:pPr>
                    <w:jc w:val="both"/>
                  </w:pPr>
                </w:p>
                <w:p w:rsidR="00F04EEF" w:rsidRDefault="0099351E">
                  <w:pPr>
                    <w:pStyle w:val="Titre4"/>
                  </w:pPr>
                  <w:r>
                    <w:t xml:space="preserve">4.3. Travail collaboratif </w:t>
                  </w:r>
                </w:p>
                <w:p w:rsidR="00F04EEF" w:rsidRDefault="00F04EEF">
                  <w:pPr>
                    <w:jc w:val="both"/>
                  </w:pPr>
                </w:p>
                <w:p w:rsidR="00F04EEF" w:rsidRDefault="0099351E">
                  <w:pPr>
                    <w:jc w:val="both"/>
                  </w:pPr>
                  <w:r>
                    <w:t>Les éducateurs exerçant une fonction à prestations complètes sont tenus d’accomplir 60 périodes de travail collaboratif par année scolaire. Ces périodes consacrées au travail collaboratif sont comprises dans leurs charges hebdomadaires définies au point 4.1.</w:t>
                  </w:r>
                </w:p>
                <w:p w:rsidR="00F04EEF" w:rsidRDefault="00F04EEF">
                  <w:pPr>
                    <w:jc w:val="both"/>
                  </w:pPr>
                </w:p>
                <w:bookmarkStart w:id="2156" w:name="_5._Prestations_durant"/>
                <w:bookmarkStart w:id="2157" w:name="_Toc47708510"/>
                <w:bookmarkEnd w:id="2156"/>
                <w:p w:rsidR="00F04EEF" w:rsidRDefault="0099351E">
                  <w:pPr>
                    <w:pStyle w:val="Titre3"/>
                    <w:rPr>
                      <w:sz w:val="22"/>
                      <w:szCs w:val="22"/>
                    </w:rPr>
                  </w:pPr>
                  <w:r>
                    <w:rPr>
                      <w:noProof/>
                      <w:sz w:val="22"/>
                      <w:szCs w:val="22"/>
                      <w:lang w:eastAsia="fr-BE"/>
                    </w:rPr>
                    <mc:AlternateContent>
                      <mc:Choice Requires="wps">
                        <w:drawing>
                          <wp:anchor distT="0" distB="0" distL="114300" distR="114300" simplePos="0" relativeHeight="252395520" behindDoc="0" locked="0" layoutInCell="1" allowOverlap="1">
                            <wp:simplePos x="0" y="0"/>
                            <wp:positionH relativeFrom="column">
                              <wp:posOffset>6201410</wp:posOffset>
                            </wp:positionH>
                            <wp:positionV relativeFrom="paragraph">
                              <wp:posOffset>94615</wp:posOffset>
                            </wp:positionV>
                            <wp:extent cx="0" cy="2169160"/>
                            <wp:effectExtent l="0" t="0" r="19050" b="21590"/>
                            <wp:wrapNone/>
                            <wp:docPr id="518" name="Connecteur droit 518"/>
                            <wp:cNvGraphicFramePr/>
                            <a:graphic xmlns:a="http://schemas.openxmlformats.org/drawingml/2006/main">
                              <a:graphicData uri="http://schemas.microsoft.com/office/word/2010/wordprocessingShape">
                                <wps:wsp>
                                  <wps:cNvCnPr/>
                                  <wps:spPr>
                                    <a:xfrm>
                                      <a:off x="0" y="0"/>
                                      <a:ext cx="0" cy="2169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703C98" id="Connecteur droit 518" o:spid="_x0000_s1026" style="position:absolute;z-index:252395520;visibility:visible;mso-wrap-style:square;mso-wrap-distance-left:9pt;mso-wrap-distance-top:0;mso-wrap-distance-right:9pt;mso-wrap-distance-bottom:0;mso-position-horizontal:absolute;mso-position-horizontal-relative:text;mso-position-vertical:absolute;mso-position-vertical-relative:text" from="488.3pt,7.45pt" to="488.3pt,1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" strokecolor="black [3213]"/>
                        </w:pict>
                      </mc:Fallback>
                    </mc:AlternateContent>
                  </w:r>
                  <w:r>
                    <w:rPr>
                      <w:sz w:val="22"/>
                      <w:szCs w:val="22"/>
                    </w:rPr>
                    <w:t>5. Prestations durant les congés</w:t>
                  </w:r>
                  <w:r>
                    <w:rPr>
                      <w:sz w:val="22"/>
                      <w:szCs w:val="22"/>
                      <w:vertAlign w:val="superscript"/>
                    </w:rPr>
                    <w:footnoteReference w:id="133"/>
                  </w:r>
                  <w:bookmarkEnd w:id="2157"/>
                </w:p>
                <w:p w:rsidR="00F04EEF" w:rsidRDefault="0099351E">
                  <w:pPr>
                    <w:autoSpaceDE w:val="0"/>
                    <w:autoSpaceDN w:val="0"/>
                    <w:jc w:val="both"/>
                  </w:pPr>
                  <w:r>
                    <w:t>Les membres du personnel auxiliaire d'éducation bénéficient d'un congé de vacances annuelles fixé comme suit :</w:t>
                  </w:r>
                </w:p>
                <w:p w:rsidR="00F04EEF" w:rsidRDefault="0099351E">
                  <w:pPr>
                    <w:numPr>
                      <w:ilvl w:val="0"/>
                      <w:numId w:val="367"/>
                    </w:numPr>
                    <w:autoSpaceDE w:val="0"/>
                    <w:autoSpaceDN w:val="0"/>
                    <w:spacing w:line="259" w:lineRule="auto"/>
                    <w:jc w:val="both"/>
                  </w:pPr>
                  <w:r>
                    <w:t>vacances de Noël : du 21 décembre au 3 janvier inclus ou du 22 décembre au 4 janvier inclus ou du 23 décembre au 5 janvier inclus;</w:t>
                  </w:r>
                </w:p>
                <w:p w:rsidR="00F04EEF" w:rsidRDefault="0099351E">
                  <w:pPr>
                    <w:numPr>
                      <w:ilvl w:val="0"/>
                      <w:numId w:val="367"/>
                    </w:numPr>
                    <w:autoSpaceDE w:val="0"/>
                    <w:autoSpaceDN w:val="0"/>
                    <w:spacing w:line="259" w:lineRule="auto"/>
                    <w:jc w:val="both"/>
                  </w:pPr>
                  <w:r>
                    <w:t>vacances de Pâques : deux semaines;</w:t>
                  </w:r>
                </w:p>
                <w:p w:rsidR="00F04EEF" w:rsidRDefault="0099351E">
                  <w:pPr>
                    <w:numPr>
                      <w:ilvl w:val="0"/>
                      <w:numId w:val="367"/>
                    </w:numPr>
                    <w:autoSpaceDE w:val="0"/>
                    <w:autoSpaceDN w:val="0"/>
                    <w:spacing w:line="259" w:lineRule="auto"/>
                    <w:jc w:val="both"/>
                  </w:pPr>
                  <w:r>
                    <w:t>vacances d'été : du 1er juillet au 25 août ou du 6 juillet au 31 août.</w:t>
                  </w:r>
                </w:p>
                <w:p w:rsidR="00F04EEF" w:rsidRDefault="0099351E">
                  <w:pPr>
                    <w:autoSpaceDE w:val="0"/>
                    <w:autoSpaceDN w:val="0"/>
                    <w:jc w:val="both"/>
                  </w:pPr>
                  <w:r>
                    <w:t>Dans un établissement qui compte au moins deux membres du personnel auxiliaire d'éducation, ces membres du personnel sont en congé par moitié du 1</w:t>
                  </w:r>
                  <w:r>
                    <w:rPr>
                      <w:vertAlign w:val="superscript"/>
                    </w:rPr>
                    <w:t>er</w:t>
                  </w:r>
                  <w:r>
                    <w:t xml:space="preserve"> juillet au 25 août et par moitié du 6 juillet au 31 août. </w:t>
                  </w:r>
                </w:p>
                <w:p w:rsidR="00F04EEF" w:rsidRDefault="00F04EEF">
                  <w:pPr>
                    <w:autoSpaceDE w:val="0"/>
                    <w:autoSpaceDN w:val="0"/>
                    <w:jc w:val="both"/>
                  </w:pPr>
                </w:p>
                <w:p w:rsidR="00F04EEF" w:rsidRDefault="0099351E">
                  <w:pPr>
                    <w:autoSpaceDE w:val="0"/>
                    <w:autoSpaceDN w:val="0"/>
                    <w:jc w:val="both"/>
                  </w:pPr>
                  <w:r>
                    <w:t>Ces dispositions ne s’appliquent pas aux membres du personnel temporaire.</w:t>
                  </w:r>
                </w:p>
                <w:p w:rsidR="00F04EEF" w:rsidRDefault="00F04EEF">
                  <w:pPr>
                    <w:jc w:val="both"/>
                  </w:pPr>
                </w:p>
                <w:sdt>
                  <w:sdtPr>
                    <w:rPr>
                      <w:rFonts w:asciiTheme="majorHAnsi" w:eastAsiaTheme="minorHAnsi" w:hAnsiTheme="majorHAnsi"/>
                      <w:lang w:eastAsia="en-US"/>
                    </w:rPr>
                    <w:id w:val="508568385"/>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bookmarkStart w:id="2158" w:name="_chapitre_7_:"/>
                    <w:bookmarkStart w:id="2159" w:name="_Toc477623710"/>
                    <w:bookmarkStart w:id="2160" w:name="_Toc477767507"/>
                    <w:bookmarkEnd w:id="2158"/>
                    <w:p w:rsidR="00F04EEF" w:rsidRDefault="0099351E">
                      <w:pPr>
                        <w:rPr>
                          <w:rFonts w:eastAsiaTheme="minorEastAsia"/>
                          <w:b/>
                          <w:smallCaps/>
                          <w:sz w:val="44"/>
                          <w:lang w:eastAsia="fr-BE"/>
                        </w:rPr>
                      </w:pPr>
                      <w:r>
                        <w:rPr>
                          <w:noProof/>
                          <w:lang w:eastAsia="fr-BE"/>
                        </w:rPr>
                        <mc:AlternateContent>
                          <mc:Choice Requires="wps">
                            <w:drawing>
                              <wp:anchor distT="0" distB="0" distL="114300" distR="114300" simplePos="0" relativeHeight="252396544" behindDoc="0" locked="0" layoutInCell="1" allowOverlap="1">
                                <wp:simplePos x="0" y="0"/>
                                <wp:positionH relativeFrom="column">
                                  <wp:posOffset>6201410</wp:posOffset>
                                </wp:positionH>
                                <wp:positionV relativeFrom="paragraph">
                                  <wp:posOffset>1579880</wp:posOffset>
                                </wp:positionV>
                                <wp:extent cx="0" cy="584200"/>
                                <wp:effectExtent l="0" t="0" r="19050" b="25400"/>
                                <wp:wrapNone/>
                                <wp:docPr id="520" name="Connecteur droit 520"/>
                                <wp:cNvGraphicFramePr/>
                                <a:graphic xmlns:a="http://schemas.openxmlformats.org/drawingml/2006/main">
                                  <a:graphicData uri="http://schemas.microsoft.com/office/word/2010/wordprocessingShape">
                                    <wps:wsp>
                                      <wps:cNvCnPr/>
                                      <wps:spPr>
                                        <a:xfrm>
                                          <a:off x="0" y="0"/>
                                          <a:ext cx="0" cy="584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EE7A7C" id="Connecteur droit 520" o:spid="_x0000_s1026" style="position:absolute;z-index:252396544;visibility:visible;mso-wrap-style:square;mso-wrap-distance-left:9pt;mso-wrap-distance-top:0;mso-wrap-distance-right:9pt;mso-wrap-distance-bottom:0;mso-position-horizontal:absolute;mso-position-horizontal-relative:text;mso-position-vertical:absolute;mso-position-vertical-relative:text" from="488.3pt,124.4pt" to="488.3pt,17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" strokecolor="black [3213]"/>
                            </w:pict>
                          </mc:Fallback>
                        </mc:AlternateContent>
                      </w:r>
                      <w:r>
                        <w:br w:type="page"/>
                      </w:r>
                    </w:p>
                    <w:p w:rsidR="00F04EEF" w:rsidRDefault="0099351E">
                      <w:pPr>
                        <w:pStyle w:val="Titre2"/>
                      </w:pPr>
                      <w:bookmarkStart w:id="2161" w:name="_Chapitre_7_:_1"/>
                      <w:bookmarkStart w:id="2162" w:name="_Toc47708511"/>
                      <w:bookmarkEnd w:id="2161"/>
                      <w:r>
                        <w:t>Chapitre</w:t>
                      </w:r>
                      <w:bookmarkEnd w:id="2159"/>
                      <w:bookmarkEnd w:id="2160"/>
                      <w:r>
                        <w:t xml:space="preserve"> 7 : </w:t>
                      </w:r>
                      <w:bookmarkStart w:id="2163" w:name="_Toc477623711"/>
                      <w:bookmarkStart w:id="2164" w:name="_Toc477767508"/>
                      <w:r>
                        <w:t>Personnel paramédical, social et psychologique fonctionnant pendant la journée scolaire</w:t>
                      </w:r>
                      <w:bookmarkEnd w:id="2163"/>
                      <w:bookmarkEnd w:id="2164"/>
                      <w:bookmarkEnd w:id="2162"/>
                    </w:p>
                    <w:p w:rsidR="00F04EEF" w:rsidRDefault="00F42422">
                      <w:pPr>
                        <w:rPr>
                          <w:rFonts w:eastAsiaTheme="minorEastAsia"/>
                          <w:lang w:eastAsia="fr-BE"/>
                        </w:rPr>
                      </w:pPr>
                    </w:p>
                  </w:sdtContent>
                </w:sdt>
                <w:p w:rsidR="00F04EEF" w:rsidRDefault="00F04EEF"/>
                <w:p w:rsidR="00F04EEF" w:rsidRDefault="00F04EEF"/>
                <w:p w:rsidR="00F04EEF" w:rsidRDefault="0099351E">
                  <w:pPr>
                    <w:rPr>
                      <w:b/>
                      <w:u w:val="single"/>
                    </w:rPr>
                  </w:pPr>
                  <w:r>
                    <w:rPr>
                      <w:b/>
                      <w:u w:val="single"/>
                    </w:rPr>
                    <w:t xml:space="preserve">Base légale : </w:t>
                  </w:r>
                </w:p>
                <w:p w:rsidR="00F04EEF" w:rsidRDefault="00F04EEF">
                  <w:pPr>
                    <w:rPr>
                      <w:b/>
                      <w:u w:val="single"/>
                    </w:rPr>
                  </w:pPr>
                </w:p>
                <w:p w:rsidR="00F04EEF" w:rsidRDefault="00F42422">
                  <w:pPr>
                    <w:numPr>
                      <w:ilvl w:val="0"/>
                      <w:numId w:val="47"/>
                    </w:numPr>
                    <w:suppressAutoHyphens/>
                    <w:autoSpaceDE w:val="0"/>
                    <w:jc w:val="both"/>
                  </w:pPr>
                  <w:hyperlink r:id="rId163" w:history="1">
                    <w:r w:rsidR="0099351E">
                      <w:rPr>
                        <w:rStyle w:val="Lienhypertexte"/>
                        <w:rFonts w:cs="Arial"/>
                        <w:lang w:val="fr-FR"/>
                      </w:rPr>
                      <w:t xml:space="preserve">Circulaire 7167 concernant la </w:t>
                    </w:r>
                    <w:r w:rsidR="0099351E">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F04EEF" w:rsidRDefault="00F42422">
                  <w:pPr>
                    <w:numPr>
                      <w:ilvl w:val="0"/>
                      <w:numId w:val="47"/>
                    </w:numPr>
                    <w:suppressAutoHyphens/>
                    <w:autoSpaceDE w:val="0"/>
                    <w:jc w:val="both"/>
                  </w:pPr>
                  <w:hyperlink r:id="rId164" w:history="1">
                    <w:r w:rsidR="0099351E">
                      <w:rPr>
                        <w:rStyle w:val="Lienhypertexte"/>
                        <w:rFonts w:cs="Arial"/>
                      </w:rPr>
                      <w:t>Décret du 3 mars 2004 organisant l'enseignement spécialisé</w:t>
                    </w:r>
                  </w:hyperlink>
                  <w:r w:rsidR="0099351E">
                    <w:t>.</w:t>
                  </w:r>
                </w:p>
                <w:p w:rsidR="00F04EEF" w:rsidRDefault="00F04EEF"/>
                <w:p w:rsidR="00F04EEF" w:rsidRDefault="0099351E">
                  <w:pPr>
                    <w:pStyle w:val="Titre3"/>
                    <w:rPr>
                      <w:sz w:val="22"/>
                      <w:szCs w:val="22"/>
                    </w:rPr>
                  </w:pPr>
                  <w:bookmarkStart w:id="2165" w:name="_1._Personnel_concerné"/>
                  <w:bookmarkStart w:id="2166" w:name="__RefHeading__167_957262308"/>
                  <w:bookmarkStart w:id="2167" w:name="_Toc291075333"/>
                  <w:bookmarkStart w:id="2168" w:name="_Toc291075757"/>
                  <w:bookmarkStart w:id="2169" w:name="_Toc291076181"/>
                  <w:bookmarkStart w:id="2170" w:name="_Toc291076605"/>
                  <w:bookmarkStart w:id="2171" w:name="_Toc291077029"/>
                  <w:bookmarkStart w:id="2172" w:name="_Toc293651872"/>
                  <w:bookmarkStart w:id="2173" w:name="_Toc293653455"/>
                  <w:bookmarkStart w:id="2174" w:name="_Toc293654066"/>
                  <w:bookmarkStart w:id="2175" w:name="_Toc294004644"/>
                  <w:bookmarkStart w:id="2176" w:name="_Toc294185140"/>
                  <w:bookmarkStart w:id="2177" w:name="_Toc324165956"/>
                  <w:bookmarkStart w:id="2178" w:name="_Toc324766993"/>
                  <w:bookmarkStart w:id="2179" w:name="_Toc453314347"/>
                  <w:bookmarkStart w:id="2180" w:name="_Toc454980382"/>
                  <w:bookmarkStart w:id="2181" w:name="_Toc47708512"/>
                  <w:bookmarkEnd w:id="2165"/>
                  <w:bookmarkEnd w:id="2166"/>
                  <w:r>
                    <w:rPr>
                      <w:sz w:val="22"/>
                      <w:szCs w:val="22"/>
                    </w:rPr>
                    <w:t>1. Personnel concerné</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r>
                    <w:rPr>
                      <w:sz w:val="22"/>
                      <w:szCs w:val="22"/>
                    </w:rPr>
                    <w:t xml:space="preserve"> </w:t>
                  </w:r>
                </w:p>
                <w:p w:rsidR="00F04EEF" w:rsidRDefault="00F04EEF">
                  <w:pPr>
                    <w:tabs>
                      <w:tab w:val="left" w:pos="-1440"/>
                      <w:tab w:val="left" w:pos="-720"/>
                    </w:tabs>
                    <w:jc w:val="both"/>
                  </w:pPr>
                </w:p>
                <w:p w:rsidR="00F04EEF" w:rsidRDefault="0099351E">
                  <w:pPr>
                    <w:jc w:val="both"/>
                  </w:pPr>
                  <w:r>
                    <w:t>Le présent chapitre ne concerne que le personnel paramédical, social et psychologique attribuable aux établissements pour leur fonctionnement pendant la journée scolaire.</w:t>
                  </w:r>
                </w:p>
                <w:p w:rsidR="00F04EEF" w:rsidRDefault="00F04EEF">
                  <w:pPr>
                    <w:tabs>
                      <w:tab w:val="left" w:pos="-1440"/>
                      <w:tab w:val="left" w:pos="-720"/>
                    </w:tabs>
                    <w:jc w:val="both"/>
                  </w:pPr>
                </w:p>
                <w:p w:rsidR="00F04EEF" w:rsidRDefault="0099351E">
                  <w:pPr>
                    <w:tabs>
                      <w:tab w:val="left" w:pos="-1440"/>
                      <w:tab w:val="left" w:pos="-720"/>
                    </w:tabs>
                    <w:jc w:val="both"/>
                  </w:pPr>
                  <w:r>
                    <w:t>Par journée scolaire, on entend les heures d'ouverture d'un établissement d'enseignement spécialisé non doté d'un internat.</w:t>
                  </w:r>
                </w:p>
                <w:p w:rsidR="00F04EEF" w:rsidRDefault="00F04EEF">
                  <w:pPr>
                    <w:tabs>
                      <w:tab w:val="left" w:pos="-1440"/>
                      <w:tab w:val="left" w:pos="-720"/>
                    </w:tabs>
                    <w:jc w:val="both"/>
                  </w:pPr>
                </w:p>
                <w:p w:rsidR="00F04EEF" w:rsidRDefault="0099351E">
                  <w:pPr>
                    <w:tabs>
                      <w:tab w:val="left" w:pos="-1440"/>
                      <w:tab w:val="left" w:pos="-720"/>
                    </w:tabs>
                    <w:jc w:val="both"/>
                  </w:pPr>
                  <w:r>
                    <w:t xml:space="preserve">Le personnel attribué aux instituts d'enseignement spécialisé organisés par la Fédération Wallonie-Bruxelles pour le fonctionnement de leur internat, fait l'objet du </w:t>
                  </w:r>
                  <w:hyperlink w:anchor="_Chapitre_10_:" w:history="1">
                    <w:r>
                      <w:rPr>
                        <w:rStyle w:val="Lienhypertexte"/>
                        <w:rFonts w:cs="Arial"/>
                      </w:rPr>
                      <w:t>chapitre 10</w:t>
                    </w:r>
                  </w:hyperlink>
                  <w:r>
                    <w:t xml:space="preserve"> et du </w:t>
                  </w:r>
                  <w:hyperlink w:anchor="_Chapitre_11_:" w:history="1">
                    <w:r>
                      <w:rPr>
                        <w:rStyle w:val="Lienhypertexte"/>
                        <w:rFonts w:cs="Arial"/>
                      </w:rPr>
                      <w:t>chapitre 11</w:t>
                    </w:r>
                  </w:hyperlink>
                  <w:r>
                    <w:t xml:space="preserve"> de cette circulaire. </w:t>
                  </w:r>
                </w:p>
                <w:p w:rsidR="00F04EEF" w:rsidRDefault="00F04EEF">
                  <w:pPr>
                    <w:tabs>
                      <w:tab w:val="left" w:pos="-1440"/>
                      <w:tab w:val="left" w:pos="-720"/>
                    </w:tabs>
                    <w:jc w:val="both"/>
                  </w:pPr>
                </w:p>
                <w:p w:rsidR="00F04EEF" w:rsidRDefault="0099351E">
                  <w:pPr>
                    <w:tabs>
                      <w:tab w:val="left" w:pos="-1440"/>
                      <w:tab w:val="left" w:pos="-720"/>
                    </w:tabs>
                    <w:jc w:val="both"/>
                  </w:pPr>
                  <w:r>
                    <w:t>Le personnel attribué aux instituts d'enseignement spécialisé sur la base du capital-périodes déterminé par le Décret précité, effectue ses prestations dans les mêmes plages-horaire que celles prévues pour les établissements d'enseignement spécialisé organisés par la Fédération Wallonie-Bruxelles.</w:t>
                  </w:r>
                </w:p>
                <w:p w:rsidR="00F04EEF" w:rsidRDefault="00F04EEF">
                  <w:pPr>
                    <w:tabs>
                      <w:tab w:val="left" w:pos="-1440"/>
                      <w:tab w:val="left" w:pos="-720"/>
                    </w:tabs>
                    <w:jc w:val="both"/>
                  </w:pPr>
                </w:p>
                <w:p w:rsidR="00F04EEF" w:rsidRDefault="0099351E">
                  <w:pPr>
                    <w:numPr>
                      <w:ilvl w:val="0"/>
                      <w:numId w:val="22"/>
                    </w:numPr>
                    <w:suppressAutoHyphens/>
                    <w:jc w:val="both"/>
                    <w:rPr>
                      <w:u w:val="single"/>
                    </w:rPr>
                  </w:pPr>
                  <w:r>
                    <w:rPr>
                      <w:u w:val="single"/>
                    </w:rPr>
                    <w:t>Les fonctions suivantes peuvent être organisées :</w:t>
                  </w:r>
                </w:p>
                <w:p w:rsidR="00F04EEF" w:rsidRDefault="00F04EEF">
                  <w:pPr>
                    <w:suppressAutoHyphens/>
                    <w:jc w:val="both"/>
                    <w:rPr>
                      <w:u w:val="single"/>
                    </w:rPr>
                  </w:pPr>
                </w:p>
                <w:p w:rsidR="00F04EEF" w:rsidRDefault="0099351E">
                  <w:pPr>
                    <w:numPr>
                      <w:ilvl w:val="0"/>
                      <w:numId w:val="35"/>
                    </w:numPr>
                    <w:tabs>
                      <w:tab w:val="clear" w:pos="360"/>
                      <w:tab w:val="left" w:pos="-1440"/>
                      <w:tab w:val="left" w:pos="-720"/>
                      <w:tab w:val="num" w:pos="1260"/>
                    </w:tabs>
                    <w:suppressAutoHyphens/>
                    <w:ind w:left="567" w:firstLine="0"/>
                    <w:jc w:val="both"/>
                  </w:pPr>
                  <w:r>
                    <w:t>Ergothérapeute,</w:t>
                  </w:r>
                </w:p>
                <w:p w:rsidR="00F04EEF" w:rsidRDefault="0099351E">
                  <w:pPr>
                    <w:numPr>
                      <w:ilvl w:val="0"/>
                      <w:numId w:val="35"/>
                    </w:numPr>
                    <w:tabs>
                      <w:tab w:val="clear" w:pos="360"/>
                      <w:tab w:val="left" w:pos="-1440"/>
                      <w:tab w:val="left" w:pos="-720"/>
                      <w:tab w:val="num" w:pos="1260"/>
                    </w:tabs>
                    <w:suppressAutoHyphens/>
                    <w:ind w:left="567" w:firstLine="0"/>
                    <w:jc w:val="both"/>
                  </w:pPr>
                  <w:r>
                    <w:t>Kinésithérapeute,</w:t>
                  </w:r>
                </w:p>
                <w:p w:rsidR="00F04EEF" w:rsidRDefault="0099351E">
                  <w:pPr>
                    <w:numPr>
                      <w:ilvl w:val="0"/>
                      <w:numId w:val="35"/>
                    </w:numPr>
                    <w:tabs>
                      <w:tab w:val="clear" w:pos="360"/>
                      <w:tab w:val="left" w:pos="-1440"/>
                      <w:tab w:val="left" w:pos="-720"/>
                      <w:tab w:val="num" w:pos="1260"/>
                    </w:tabs>
                    <w:suppressAutoHyphens/>
                    <w:ind w:left="567" w:firstLine="0"/>
                    <w:jc w:val="both"/>
                  </w:pPr>
                  <w:r>
                    <w:t>Logopède,</w:t>
                  </w:r>
                </w:p>
                <w:p w:rsidR="00F04EEF" w:rsidRDefault="0099351E">
                  <w:pPr>
                    <w:numPr>
                      <w:ilvl w:val="0"/>
                      <w:numId w:val="35"/>
                    </w:numPr>
                    <w:tabs>
                      <w:tab w:val="clear" w:pos="360"/>
                      <w:tab w:val="left" w:pos="-1440"/>
                      <w:tab w:val="left" w:pos="-720"/>
                      <w:tab w:val="num" w:pos="1260"/>
                    </w:tabs>
                    <w:suppressAutoHyphens/>
                    <w:ind w:left="567" w:firstLine="0"/>
                    <w:jc w:val="both"/>
                  </w:pPr>
                  <w:r>
                    <w:t>Puéricultrice,</w:t>
                  </w:r>
                </w:p>
                <w:p w:rsidR="00F04EEF" w:rsidRDefault="0099351E">
                  <w:pPr>
                    <w:numPr>
                      <w:ilvl w:val="0"/>
                      <w:numId w:val="35"/>
                    </w:numPr>
                    <w:tabs>
                      <w:tab w:val="clear" w:pos="360"/>
                      <w:tab w:val="left" w:pos="-1440"/>
                      <w:tab w:val="left" w:pos="-720"/>
                      <w:tab w:val="num" w:pos="1260"/>
                    </w:tabs>
                    <w:suppressAutoHyphens/>
                    <w:ind w:left="567" w:firstLine="0"/>
                    <w:jc w:val="both"/>
                  </w:pPr>
                  <w:r>
                    <w:t>Infirmier(ère),</w:t>
                  </w:r>
                </w:p>
                <w:p w:rsidR="00F04EEF" w:rsidRDefault="0099351E">
                  <w:pPr>
                    <w:numPr>
                      <w:ilvl w:val="0"/>
                      <w:numId w:val="35"/>
                    </w:numPr>
                    <w:tabs>
                      <w:tab w:val="clear" w:pos="360"/>
                      <w:tab w:val="left" w:pos="-1440"/>
                      <w:tab w:val="left" w:pos="-720"/>
                      <w:tab w:val="num" w:pos="1260"/>
                    </w:tabs>
                    <w:suppressAutoHyphens/>
                    <w:ind w:left="567" w:firstLine="0"/>
                    <w:jc w:val="both"/>
                  </w:pPr>
                  <w:r>
                    <w:t>Assistant(e) social(e),</w:t>
                  </w:r>
                </w:p>
                <w:p w:rsidR="00F04EEF" w:rsidRDefault="0099351E">
                  <w:pPr>
                    <w:numPr>
                      <w:ilvl w:val="0"/>
                      <w:numId w:val="35"/>
                    </w:numPr>
                    <w:tabs>
                      <w:tab w:val="clear" w:pos="360"/>
                      <w:tab w:val="left" w:pos="-1440"/>
                      <w:tab w:val="left" w:pos="-720"/>
                      <w:tab w:val="num" w:pos="1260"/>
                    </w:tabs>
                    <w:suppressAutoHyphens/>
                    <w:ind w:left="567" w:firstLine="0"/>
                    <w:jc w:val="both"/>
                    <w:rPr>
                      <w:bCs/>
                    </w:rPr>
                  </w:pPr>
                  <w:r>
                    <w:rPr>
                      <w:bCs/>
                    </w:rPr>
                    <w:t>Psychologue.</w:t>
                  </w:r>
                </w:p>
                <w:p w:rsidR="00F04EEF" w:rsidRDefault="00F04EEF">
                  <w:pPr>
                    <w:tabs>
                      <w:tab w:val="left" w:pos="-1440"/>
                      <w:tab w:val="left" w:pos="-720"/>
                    </w:tabs>
                    <w:jc w:val="both"/>
                  </w:pPr>
                </w:p>
                <w:p w:rsidR="00F04EEF" w:rsidRDefault="00F04EEF">
                  <w:pPr>
                    <w:tabs>
                      <w:tab w:val="left" w:pos="-1440"/>
                      <w:tab w:val="left" w:pos="-720"/>
                    </w:tabs>
                    <w:jc w:val="both"/>
                  </w:pPr>
                </w:p>
                <w:p w:rsidR="00F04EEF" w:rsidRDefault="0099351E">
                  <w:pPr>
                    <w:pStyle w:val="Titre3"/>
                    <w:rPr>
                      <w:sz w:val="22"/>
                      <w:szCs w:val="22"/>
                    </w:rPr>
                  </w:pPr>
                  <w:bookmarkStart w:id="2182" w:name="__RefHeading__169_957262308"/>
                  <w:bookmarkStart w:id="2183" w:name="_Toc47708513"/>
                  <w:bookmarkEnd w:id="2182"/>
                  <w:r>
                    <w:rPr>
                      <w:sz w:val="22"/>
                      <w:szCs w:val="22"/>
                    </w:rPr>
                    <w:t xml:space="preserve">2. </w:t>
                  </w:r>
                  <w:bookmarkStart w:id="2184" w:name="_Toc291075334"/>
                  <w:bookmarkStart w:id="2185" w:name="_Toc291075758"/>
                  <w:bookmarkStart w:id="2186" w:name="_Toc291076182"/>
                  <w:bookmarkStart w:id="2187" w:name="_Toc291076606"/>
                  <w:bookmarkStart w:id="2188" w:name="_Toc291077030"/>
                  <w:bookmarkStart w:id="2189" w:name="_Toc293651873"/>
                  <w:bookmarkStart w:id="2190" w:name="_Toc293653456"/>
                  <w:bookmarkStart w:id="2191" w:name="_Toc293654067"/>
                  <w:bookmarkStart w:id="2192" w:name="_Toc294004645"/>
                  <w:bookmarkStart w:id="2193" w:name="_Toc294185141"/>
                  <w:bookmarkStart w:id="2194" w:name="_Toc324165957"/>
                  <w:bookmarkStart w:id="2195" w:name="_Toc324766994"/>
                  <w:bookmarkStart w:id="2196" w:name="_Toc453314348"/>
                  <w:bookmarkStart w:id="2197" w:name="_Toc454980383"/>
                  <w:r>
                    <w:rPr>
                      <w:sz w:val="22"/>
                      <w:szCs w:val="22"/>
                    </w:rPr>
                    <w:t>Capital-périodes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83"/>
                  <w:r>
                    <w:rPr>
                      <w:sz w:val="22"/>
                      <w:szCs w:val="22"/>
                    </w:rPr>
                    <w:t xml:space="preserve"> </w:t>
                  </w:r>
                </w:p>
                <w:p w:rsidR="00F04EEF" w:rsidRDefault="00F04EEF"/>
                <w:p w:rsidR="00F04EEF" w:rsidRDefault="00F04EEF">
                  <w:pPr>
                    <w:tabs>
                      <w:tab w:val="left" w:pos="-1440"/>
                      <w:tab w:val="left" w:pos="-720"/>
                    </w:tabs>
                    <w:jc w:val="both"/>
                  </w:pPr>
                </w:p>
                <w:p w:rsidR="00F04EEF" w:rsidRDefault="0099351E">
                  <w:pPr>
                    <w:pStyle w:val="Titre4"/>
                  </w:pPr>
                  <w:bookmarkStart w:id="2198" w:name="_Toc291075335"/>
                  <w:bookmarkStart w:id="2199" w:name="_Toc291075759"/>
                  <w:bookmarkStart w:id="2200" w:name="_Toc291076183"/>
                  <w:bookmarkStart w:id="2201" w:name="_Toc291076607"/>
                  <w:bookmarkStart w:id="2202" w:name="_Toc291077031"/>
                  <w:bookmarkStart w:id="2203" w:name="_Toc293651874"/>
                  <w:bookmarkStart w:id="2204" w:name="_Toc293653457"/>
                  <w:bookmarkStart w:id="2205" w:name="_Toc293654068"/>
                  <w:bookmarkStart w:id="2206" w:name="_Toc294004646"/>
                  <w:bookmarkStart w:id="2207" w:name="_Toc294185142"/>
                  <w:bookmarkStart w:id="2208" w:name="_Toc324165958"/>
                  <w:bookmarkStart w:id="2209" w:name="_Toc324766995"/>
                  <w:bookmarkStart w:id="2210" w:name="_Toc324767853"/>
                  <w:bookmarkStart w:id="2211" w:name="_Toc453314349"/>
                  <w:bookmarkStart w:id="2212" w:name="_Toc454980384"/>
                  <w:r>
                    <w:t>2.1. Le volume des prestations dont peuvent être chargés les membres du personnel précisés ci-dessus est déterminé par un capital-périodes.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rsidR="00F04EEF" w:rsidRDefault="00F04EEF">
                  <w:pPr>
                    <w:tabs>
                      <w:tab w:val="left" w:pos="-1440"/>
                      <w:tab w:val="left" w:pos="-720"/>
                    </w:tabs>
                    <w:jc w:val="both"/>
                  </w:pPr>
                </w:p>
                <w:p w:rsidR="00F04EEF" w:rsidRDefault="0099351E">
                  <w:pPr>
                    <w:tabs>
                      <w:tab w:val="left" w:pos="-1440"/>
                      <w:tab w:val="left" w:pos="-720"/>
                    </w:tabs>
                    <w:jc w:val="both"/>
                  </w:pPr>
                  <w:r>
                    <w:t>Chaque école dispose d'un capital-périodes.</w:t>
                  </w:r>
                </w:p>
                <w:p w:rsidR="00F04EEF" w:rsidRDefault="00F04EEF">
                  <w:pPr>
                    <w:tabs>
                      <w:tab w:val="left" w:pos="-1440"/>
                      <w:tab w:val="left" w:pos="-720"/>
                    </w:tabs>
                    <w:jc w:val="both"/>
                  </w:pPr>
                </w:p>
                <w:p w:rsidR="00F04EEF" w:rsidRDefault="0099351E">
                  <w:pPr>
                    <w:tabs>
                      <w:tab w:val="left" w:pos="-1440"/>
                      <w:tab w:val="left" w:pos="-720"/>
                    </w:tabs>
                    <w:jc w:val="both"/>
                  </w:pPr>
                  <w:r>
                    <w:t>Dans les écoles du réseau de la Fédération Wallonie-Bruxelles qui organisent à la fois le niveau fondamental et le niveau secondaire, les prises en charge des élèves sont équilibrées entre ces deux niveaux par une concertation entre les directions.</w:t>
                  </w:r>
                </w:p>
                <w:p w:rsidR="00F04EEF" w:rsidRDefault="00F04EEF">
                  <w:pPr>
                    <w:tabs>
                      <w:tab w:val="left" w:pos="-1440"/>
                      <w:tab w:val="left" w:pos="-720"/>
                    </w:tabs>
                    <w:jc w:val="both"/>
                  </w:pPr>
                </w:p>
                <w:p w:rsidR="00F04EEF" w:rsidRDefault="00F04EEF">
                  <w:pPr>
                    <w:tabs>
                      <w:tab w:val="left" w:pos="-1440"/>
                      <w:tab w:val="left" w:pos="-720"/>
                    </w:tabs>
                    <w:jc w:val="both"/>
                  </w:pPr>
                </w:p>
                <w:p w:rsidR="00F04EEF" w:rsidRDefault="0099351E">
                  <w:pPr>
                    <w:pStyle w:val="Titre4"/>
                  </w:pPr>
                  <w:bookmarkStart w:id="2213" w:name="_2.2._Éléments_servant"/>
                  <w:bookmarkStart w:id="2214" w:name="_Toc291075336"/>
                  <w:bookmarkStart w:id="2215" w:name="_Toc291075760"/>
                  <w:bookmarkStart w:id="2216" w:name="_Toc291076184"/>
                  <w:bookmarkStart w:id="2217" w:name="_Toc291076608"/>
                  <w:bookmarkStart w:id="2218" w:name="_Toc291077032"/>
                  <w:bookmarkStart w:id="2219" w:name="_Toc293651875"/>
                  <w:bookmarkStart w:id="2220" w:name="_Toc293653458"/>
                  <w:bookmarkStart w:id="2221" w:name="_Toc293654069"/>
                  <w:bookmarkStart w:id="2222" w:name="_Toc294004647"/>
                  <w:bookmarkStart w:id="2223" w:name="_Toc294185143"/>
                  <w:bookmarkStart w:id="2224" w:name="_Toc324165959"/>
                  <w:bookmarkStart w:id="2225" w:name="_Toc324766996"/>
                  <w:bookmarkStart w:id="2226" w:name="_Toc324767854"/>
                  <w:bookmarkStart w:id="2227" w:name="_Toc453314350"/>
                  <w:bookmarkStart w:id="2228" w:name="_Toc454980385"/>
                  <w:bookmarkEnd w:id="2213"/>
                  <w:r>
                    <w:t>2.2. Éléments servant au calcul du capital-périodes.</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rsidR="00F04EEF" w:rsidRDefault="00F04EEF">
                  <w:pPr>
                    <w:tabs>
                      <w:tab w:val="left" w:pos="-1440"/>
                      <w:tab w:val="left" w:pos="-720"/>
                    </w:tabs>
                    <w:jc w:val="both"/>
                  </w:pPr>
                </w:p>
                <w:p w:rsidR="00F04EEF" w:rsidRDefault="0099351E">
                  <w:pPr>
                    <w:numPr>
                      <w:ilvl w:val="0"/>
                      <w:numId w:val="22"/>
                    </w:numPr>
                    <w:suppressAutoHyphens/>
                    <w:jc w:val="both"/>
                    <w:rPr>
                      <w:u w:val="single"/>
                    </w:rPr>
                  </w:pPr>
                  <w:r>
                    <w:rPr>
                      <w:u w:val="single"/>
                    </w:rPr>
                    <w:t>Les éléments suivants entrent en ligne de compte pour le calcul du capital-périodes :</w:t>
                  </w:r>
                </w:p>
                <w:p w:rsidR="00F04EEF" w:rsidRDefault="00F04EEF">
                  <w:pPr>
                    <w:suppressAutoHyphens/>
                    <w:jc w:val="both"/>
                    <w:rPr>
                      <w:u w:val="single"/>
                    </w:rPr>
                  </w:pPr>
                </w:p>
                <w:p w:rsidR="00F04EEF" w:rsidRDefault="0099351E">
                  <w:pPr>
                    <w:numPr>
                      <w:ilvl w:val="0"/>
                      <w:numId w:val="34"/>
                    </w:numPr>
                    <w:tabs>
                      <w:tab w:val="clear" w:pos="360"/>
                      <w:tab w:val="left" w:pos="-1440"/>
                      <w:tab w:val="left" w:pos="-720"/>
                      <w:tab w:val="num" w:pos="1260"/>
                    </w:tabs>
                    <w:suppressAutoHyphens/>
                    <w:ind w:left="567" w:firstLine="0"/>
                    <w:jc w:val="both"/>
                  </w:pPr>
                  <w:r>
                    <w:t>le nombre d'élèves ;</w:t>
                  </w:r>
                </w:p>
                <w:p w:rsidR="00F04EEF" w:rsidRDefault="0099351E">
                  <w:pPr>
                    <w:numPr>
                      <w:ilvl w:val="0"/>
                      <w:numId w:val="34"/>
                    </w:numPr>
                    <w:tabs>
                      <w:tab w:val="clear" w:pos="360"/>
                      <w:tab w:val="left" w:pos="-1440"/>
                      <w:tab w:val="left" w:pos="-720"/>
                      <w:tab w:val="num" w:pos="1260"/>
                    </w:tabs>
                    <w:suppressAutoHyphens/>
                    <w:ind w:left="567" w:firstLine="0"/>
                    <w:jc w:val="both"/>
                  </w:pPr>
                  <w:r>
                    <w:t>un nombre guide.</w:t>
                  </w:r>
                </w:p>
                <w:p w:rsidR="00F04EEF" w:rsidRDefault="00F04EEF">
                  <w:pPr>
                    <w:tabs>
                      <w:tab w:val="left" w:pos="-1440"/>
                      <w:tab w:val="left" w:pos="-720"/>
                    </w:tabs>
                    <w:jc w:val="both"/>
                  </w:pPr>
                </w:p>
                <w:p w:rsidR="00F04EEF" w:rsidRDefault="0099351E">
                  <w:pPr>
                    <w:numPr>
                      <w:ilvl w:val="0"/>
                      <w:numId w:val="22"/>
                    </w:numPr>
                    <w:suppressAutoHyphens/>
                    <w:jc w:val="both"/>
                    <w:rPr>
                      <w:u w:val="single"/>
                    </w:rPr>
                  </w:pPr>
                  <w:r>
                    <w:rPr>
                      <w:u w:val="single"/>
                    </w:rPr>
                    <w:t xml:space="preserve">Le nombre d’élèves : </w:t>
                  </w:r>
                </w:p>
                <w:p w:rsidR="00F04EEF" w:rsidRDefault="00F04EEF">
                  <w:pPr>
                    <w:jc w:val="both"/>
                    <w:rPr>
                      <w:u w:val="single"/>
                    </w:rPr>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à prendre en considération sont ceux qui, à la date du 15 janvier précédent l'année scolaire, doivent être considérés comme réguliers conformément aux dispositions du Chapitre III du Décret du 3 mars 2004 organisant l’enseignement spécialisé. Si à la date du 30 septembre la population scolaire a varié de minimum 5% par rapport à celle du 15 janvier précédent, un nouveau calcul de l'encadrement est établi à partir du 1er octobre.</w:t>
                  </w:r>
                </w:p>
                <w:p w:rsidR="00F04EEF" w:rsidRDefault="0099351E">
                  <w:pPr>
                    <w:tabs>
                      <w:tab w:val="left" w:pos="7200"/>
                    </w:tabs>
                    <w:jc w:val="both"/>
                  </w:pPr>
                  <w:r>
                    <w:tab/>
                  </w:r>
                </w:p>
                <w:p w:rsidR="00F04EEF" w:rsidRDefault="0099351E">
                  <w:pPr>
                    <w:jc w:val="both"/>
                  </w:pPr>
                  <w:r>
                    <w:t>En cas de programmation le calcul du capital-périodes est modifié (</w:t>
                  </w:r>
                  <w:hyperlink w:anchor="_Chapitre_2_:_1" w:history="1">
                    <w:r>
                      <w:rPr>
                        <w:rStyle w:val="Lienhypertexte"/>
                        <w:rFonts w:cs="Arial"/>
                      </w:rPr>
                      <w:t>chapitre 2</w:t>
                    </w:r>
                  </w:hyperlink>
                  <w:r>
                    <w:rPr>
                      <w:rFonts w:cs="Arial"/>
                    </w:rPr>
                    <w:t>,</w:t>
                  </w:r>
                  <w:r>
                    <w:rPr>
                      <w:rStyle w:val="Lienhypertexte"/>
                      <w:rFonts w:cs="Arial"/>
                    </w:rPr>
                    <w:t xml:space="preserve"> </w:t>
                  </w:r>
                  <w:hyperlink w:anchor="_8._Calcul_des" w:history="1">
                    <w:r>
                      <w:rPr>
                        <w:rStyle w:val="Lienhypertexte"/>
                        <w:rFonts w:cs="Arial"/>
                      </w:rPr>
                      <w:t>point 6</w:t>
                    </w:r>
                  </w:hyperlink>
                  <w:r>
                    <w:t>).</w:t>
                  </w:r>
                </w:p>
                <w:p w:rsidR="00F04EEF" w:rsidRDefault="00F04EEF">
                  <w:pPr>
                    <w:jc w:val="both"/>
                  </w:pPr>
                </w:p>
                <w:p w:rsidR="00F04EEF" w:rsidRDefault="0099351E">
                  <w:pPr>
                    <w:jc w:val="both"/>
                  </w:pPr>
                  <w:r>
                    <w:t>Les élèves pris en charge par les Services d’aide à l’Intégration ou par les Services d’accompagnement sont comptabilisables pour le calcul de l’encadrement paramédical.</w:t>
                  </w:r>
                </w:p>
                <w:p w:rsidR="00F04EEF" w:rsidRDefault="00F04EEF">
                  <w:pPr>
                    <w:jc w:val="both"/>
                  </w:pPr>
                </w:p>
                <w:p w:rsidR="00F04EEF" w:rsidRDefault="0099351E">
                  <w:pPr>
                    <w:jc w:val="both"/>
                  </w:pPr>
                  <w:r>
                    <w:t>L'article 103 du Décret organisant l’Enseignement spécialisé prévoit la disposition suivante :</w:t>
                  </w:r>
                </w:p>
                <w:p w:rsidR="00F04EEF" w:rsidRDefault="00F04EEF">
                  <w:pPr>
                    <w:jc w:val="both"/>
                  </w:pPr>
                </w:p>
                <w:p w:rsidR="00F04EEF" w:rsidRDefault="0099351E">
                  <w:pPr>
                    <w:tabs>
                      <w:tab w:val="left" w:pos="-1440"/>
                      <w:tab w:val="left" w:pos="-720"/>
                    </w:tabs>
                    <w:jc w:val="both"/>
                    <w:rPr>
                      <w:i/>
                      <w:u w:val="single"/>
                    </w:rPr>
                  </w:pPr>
                  <w:r>
                    <w:rPr>
                      <w:u w:val="single"/>
                    </w:rPr>
                    <w:t xml:space="preserve">«  </w:t>
                  </w:r>
                  <w:r>
                    <w:rPr>
                      <w:i/>
                      <w:u w:val="single"/>
                    </w:rPr>
                    <w:t>Ne sont pas pris en considération les élèves qui, soit</w:t>
                  </w:r>
                  <w:r>
                    <w:rPr>
                      <w:i/>
                    </w:rPr>
                    <w:t xml:space="preserve"> :</w:t>
                  </w:r>
                </w:p>
                <w:p w:rsidR="00F04EEF" w:rsidRDefault="0099351E">
                  <w:pPr>
                    <w:pStyle w:val="NormalWeb"/>
                    <w:numPr>
                      <w:ilvl w:val="0"/>
                      <w:numId w:val="43"/>
                    </w:numPr>
                    <w:ind w:left="360"/>
                    <w:rPr>
                      <w:rFonts w:asciiTheme="majorHAnsi" w:hAnsiTheme="majorHAnsi"/>
                      <w:i/>
                      <w:color w:val="auto"/>
                      <w:szCs w:val="22"/>
                    </w:rPr>
                  </w:pPr>
                  <w:r>
                    <w:rPr>
                      <w:rFonts w:asciiTheme="majorHAnsi" w:hAnsiTheme="majorHAnsi"/>
                      <w:i/>
                      <w:szCs w:val="22"/>
                    </w:rPr>
                    <w:t xml:space="preserve">sont inscrits dans un internat, un service résidentiel, ou un centre d’hébergement ; les élèves pour lesquels l’école a introduit une demande motivée à l’Administration peuvent être comptabilisés après décision du Gouvernement. </w:t>
                  </w:r>
                  <w:r>
                    <w:rPr>
                      <w:rFonts w:asciiTheme="majorHAnsi" w:hAnsiTheme="majorHAnsi"/>
                      <w:i/>
                      <w:color w:val="auto"/>
                      <w:szCs w:val="22"/>
                    </w:rPr>
                    <w:t xml:space="preserve">Dans des cas exceptionnels où l’école constate que l’assistance paramédicale n’est pas fournie dans le cadre de l’internat, du service résidentiel ou du centre d’hébergement, elle en informe le service de l’enseignement spécialisé ; </w:t>
                  </w:r>
                </w:p>
                <w:p w:rsidR="00F04EEF" w:rsidRDefault="0099351E">
                  <w:pPr>
                    <w:numPr>
                      <w:ilvl w:val="0"/>
                      <w:numId w:val="43"/>
                    </w:numPr>
                    <w:tabs>
                      <w:tab w:val="left" w:pos="-1440"/>
                      <w:tab w:val="left" w:pos="-720"/>
                    </w:tabs>
                    <w:suppressAutoHyphens/>
                    <w:ind w:left="360"/>
                    <w:jc w:val="both"/>
                    <w:rPr>
                      <w:i/>
                    </w:rPr>
                  </w:pPr>
                  <w:r>
                    <w:rPr>
                      <w:i/>
                    </w:rPr>
                    <w:t>suivent un enseignement spécialisé dispensé à domicile ;</w:t>
                  </w:r>
                </w:p>
                <w:p w:rsidR="00F04EEF" w:rsidRDefault="0099351E">
                  <w:pPr>
                    <w:numPr>
                      <w:ilvl w:val="0"/>
                      <w:numId w:val="43"/>
                    </w:numPr>
                    <w:tabs>
                      <w:tab w:val="left" w:pos="-1440"/>
                      <w:tab w:val="left" w:pos="-720"/>
                    </w:tabs>
                    <w:suppressAutoHyphens/>
                    <w:ind w:left="360"/>
                    <w:jc w:val="both"/>
                    <w:rPr>
                      <w:i/>
                    </w:rPr>
                  </w:pPr>
                  <w:r>
                    <w:rPr>
                      <w:i/>
                    </w:rPr>
                    <w:t>séjournent dans une institution médicale ou un hôpital et fréquentent l’enseignement de type 5 sauf dérogation accordée par le Gouvernement pour des élèves externes en raison de leur handicap ;</w:t>
                  </w:r>
                </w:p>
                <w:p w:rsidR="00F04EEF" w:rsidRDefault="0099351E">
                  <w:pPr>
                    <w:numPr>
                      <w:ilvl w:val="0"/>
                      <w:numId w:val="43"/>
                    </w:numPr>
                    <w:tabs>
                      <w:tab w:val="left" w:pos="-1440"/>
                      <w:tab w:val="left" w:pos="-720"/>
                    </w:tabs>
                    <w:suppressAutoHyphens/>
                    <w:ind w:left="360"/>
                    <w:jc w:val="both"/>
                  </w:pPr>
                  <w:r>
                    <w:rPr>
                      <w:i/>
                    </w:rPr>
                    <w:t xml:space="preserve">sont soumis, pendant les heures d’ouverture de l’établissement scolaire, à des traitements thérapeutiques ou de revalidation effectués par des personnes dont l’emploi n’est pas organisé ou subventionné par la Communauté française </w:t>
                  </w:r>
                  <w:r>
                    <w:t>» .</w:t>
                  </w:r>
                </w:p>
                <w:p w:rsidR="00F04EEF" w:rsidRDefault="00F04EEF">
                  <w:pPr>
                    <w:tabs>
                      <w:tab w:val="left" w:pos="-1440"/>
                      <w:tab w:val="left" w:pos="-720"/>
                    </w:tabs>
                    <w:jc w:val="both"/>
                  </w:pPr>
                </w:p>
                <w:p w:rsidR="00F04EEF" w:rsidRDefault="0099351E">
                  <w:pPr>
                    <w:tabs>
                      <w:tab w:val="left" w:pos="-1440"/>
                      <w:tab w:val="left" w:pos="-720"/>
                    </w:tabs>
                    <w:jc w:val="both"/>
                  </w:pPr>
                  <w:r>
                    <w:t>Si le cas de l’élève justifie malgré tout une assistance paramédicale de l’établissement scolaire, l’école introduit, pour chaque élève concerné, une demande de dérogation.</w:t>
                  </w:r>
                </w:p>
                <w:p w:rsidR="00F04EEF" w:rsidRDefault="00F04EEF">
                  <w:pPr>
                    <w:tabs>
                      <w:tab w:val="left" w:pos="-1440"/>
                      <w:tab w:val="left" w:pos="-720"/>
                    </w:tabs>
                    <w:jc w:val="both"/>
                  </w:pPr>
                </w:p>
                <w:p w:rsidR="00F04EEF" w:rsidRDefault="0099351E">
                  <w:pPr>
                    <w:tabs>
                      <w:tab w:val="left" w:pos="-1440"/>
                      <w:tab w:val="left" w:pos="-720"/>
                    </w:tabs>
                    <w:jc w:val="both"/>
                  </w:pPr>
                  <w:r>
                    <w:rPr>
                      <w:b/>
                    </w:rPr>
                    <w:t>Pour être recevable, le dossier devra comprendre les pièces suivantes</w:t>
                  </w:r>
                  <w:r>
                    <w:t xml:space="preserve"> :</w:t>
                  </w:r>
                </w:p>
                <w:p w:rsidR="00F04EEF" w:rsidRDefault="00F04EEF">
                  <w:pPr>
                    <w:tabs>
                      <w:tab w:val="left" w:pos="-1440"/>
                      <w:tab w:val="left" w:pos="-720"/>
                    </w:tabs>
                    <w:jc w:val="both"/>
                  </w:pPr>
                </w:p>
                <w:p w:rsidR="00F04EEF" w:rsidRDefault="0099351E">
                  <w:pPr>
                    <w:numPr>
                      <w:ilvl w:val="0"/>
                      <w:numId w:val="30"/>
                    </w:numPr>
                    <w:tabs>
                      <w:tab w:val="left" w:pos="-1440"/>
                      <w:tab w:val="left" w:pos="-720"/>
                    </w:tabs>
                    <w:suppressAutoHyphens/>
                    <w:jc w:val="both"/>
                  </w:pPr>
                  <w:r>
                    <w:t>la déclaration de la direction de l’institution d’accueil comportant les raisons précises pour lesquelles l’aide paramédicale n’est pas fournie. Les choix opérés par l’institution pour favoriser tel ou tel aspect de l’aide paramédicale aux dépens d’un autre aspect ne constituent pas une motivation justifiant dérogation. (Par exemple, favoriser la logopédie au dépend de la kinésithérapie) ;</w:t>
                  </w:r>
                </w:p>
                <w:p w:rsidR="00F04EEF" w:rsidRDefault="0099351E">
                  <w:pPr>
                    <w:numPr>
                      <w:ilvl w:val="0"/>
                      <w:numId w:val="30"/>
                    </w:numPr>
                    <w:tabs>
                      <w:tab w:val="left" w:pos="-1440"/>
                      <w:tab w:val="left" w:pos="-720"/>
                    </w:tabs>
                    <w:suppressAutoHyphens/>
                    <w:jc w:val="both"/>
                  </w:pPr>
                  <w:r>
                    <w:t>le type d'aide nécessaire à l'élève dans l'établissement scolaire ;</w:t>
                  </w:r>
                </w:p>
                <w:p w:rsidR="00F04EEF" w:rsidRDefault="0099351E">
                  <w:pPr>
                    <w:numPr>
                      <w:ilvl w:val="0"/>
                      <w:numId w:val="30"/>
                    </w:numPr>
                    <w:tabs>
                      <w:tab w:val="left" w:pos="-1440"/>
                      <w:tab w:val="left" w:pos="-720"/>
                    </w:tabs>
                    <w:suppressAutoHyphens/>
                    <w:jc w:val="both"/>
                  </w:pPr>
                  <w:r>
                    <w:t>la justification de cette aide dûment argumentée par des rapports de l'équipe paramédicale, du conseil de classe, etc. ;</w:t>
                  </w:r>
                </w:p>
                <w:p w:rsidR="00F04EEF" w:rsidRDefault="0099351E">
                  <w:pPr>
                    <w:numPr>
                      <w:ilvl w:val="0"/>
                      <w:numId w:val="30"/>
                    </w:numPr>
                    <w:tabs>
                      <w:tab w:val="left" w:pos="-1440"/>
                      <w:tab w:val="left" w:pos="-720"/>
                    </w:tabs>
                    <w:suppressAutoHyphens/>
                    <w:jc w:val="both"/>
                  </w:pPr>
                  <w:r>
                    <w:t>le type d’enseignement.</w:t>
                  </w:r>
                </w:p>
                <w:p w:rsidR="00F04EEF" w:rsidRDefault="00F04EEF">
                  <w:pPr>
                    <w:tabs>
                      <w:tab w:val="left" w:pos="-1440"/>
                      <w:tab w:val="left" w:pos="-720"/>
                    </w:tabs>
                    <w:suppressAutoHyphens/>
                    <w:jc w:val="both"/>
                  </w:pPr>
                </w:p>
                <w:p w:rsidR="00F04EEF" w:rsidRDefault="0099351E">
                  <w:pPr>
                    <w:pBdr>
                      <w:top w:val="single" w:sz="4" w:space="1" w:color="auto"/>
                      <w:left w:val="single" w:sz="4" w:space="4" w:color="auto"/>
                      <w:bottom w:val="single" w:sz="4" w:space="1" w:color="auto"/>
                      <w:right w:val="single" w:sz="4" w:space="4" w:color="auto"/>
                    </w:pBdr>
                    <w:tabs>
                      <w:tab w:val="left" w:pos="-1440"/>
                      <w:tab w:val="left" w:pos="-720"/>
                    </w:tabs>
                    <w:jc w:val="both"/>
                  </w:pPr>
                  <w:r>
                    <w:t xml:space="preserve">Les </w:t>
                  </w:r>
                  <w:r>
                    <w:rPr>
                      <w:b/>
                      <w:u w:val="single"/>
                    </w:rPr>
                    <w:t>demandes complètes</w:t>
                  </w:r>
                  <w:r>
                    <w:t xml:space="preserve"> sont à adresser à : </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65" w:history="1">
                    <w:r>
                      <w:rPr>
                        <w:rStyle w:val="Lienhypertexte"/>
                        <w:szCs w:val="22"/>
                      </w:rPr>
                      <w:t>veronique.rombaut@cfwb.be</w:t>
                    </w:r>
                  </w:hyperlink>
                </w:p>
                <w:p w:rsidR="00F04EEF" w:rsidRDefault="00F04EEF">
                  <w:pPr>
                    <w:tabs>
                      <w:tab w:val="left" w:pos="-1440"/>
                      <w:tab w:val="left" w:pos="-720"/>
                    </w:tabs>
                  </w:pPr>
                </w:p>
                <w:p w:rsidR="00F04EEF" w:rsidRDefault="0099351E">
                  <w:pPr>
                    <w:pBdr>
                      <w:top w:val="single" w:sz="4" w:space="1" w:color="000000"/>
                      <w:left w:val="single" w:sz="4" w:space="4" w:color="000000"/>
                      <w:bottom w:val="single" w:sz="4" w:space="1" w:color="000000"/>
                      <w:right w:val="single" w:sz="4" w:space="4" w:color="000000"/>
                    </w:pBdr>
                    <w:tabs>
                      <w:tab w:val="left" w:pos="-1440"/>
                      <w:tab w:val="left" w:pos="-720"/>
                    </w:tabs>
                    <w:jc w:val="center"/>
                    <w:rPr>
                      <w:b/>
                      <w:u w:val="single"/>
                    </w:rPr>
                  </w:pPr>
                  <w:r>
                    <w:rPr>
                      <w:b/>
                      <w:u w:val="single"/>
                    </w:rPr>
                    <w:t>Attention</w:t>
                  </w:r>
                </w:p>
                <w:p w:rsidR="00F04EEF" w:rsidRDefault="0099351E">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1) Aucune demande </w:t>
                  </w:r>
                  <w:r>
                    <w:rPr>
                      <w:b/>
                      <w:u w:val="single"/>
                    </w:rPr>
                    <w:t>incomplète</w:t>
                  </w:r>
                  <w:r>
                    <w:t xml:space="preserve"> ne sera prise en considération ;</w:t>
                  </w:r>
                </w:p>
                <w:p w:rsidR="00F04EEF" w:rsidRDefault="0099351E">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2) Aucune demande ne sera prise en considération </w:t>
                  </w:r>
                  <w:r>
                    <w:rPr>
                      <w:b/>
                    </w:rPr>
                    <w:t>après la date du 1</w:t>
                  </w:r>
                  <w:r>
                    <w:rPr>
                      <w:b/>
                      <w:vertAlign w:val="superscript"/>
                    </w:rPr>
                    <w:t>er</w:t>
                  </w:r>
                  <w:r>
                    <w:rPr>
                      <w:b/>
                    </w:rPr>
                    <w:t xml:space="preserve"> octobre</w:t>
                  </w:r>
                  <w:r>
                    <w:t xml:space="preserve"> (cachet de la poste faisant foi ou accusé de réception électronique). </w:t>
                  </w:r>
                </w:p>
                <w:p w:rsidR="00F04EEF" w:rsidRDefault="0099351E">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3) Vous pouvez introduire vos demandes par mail </w:t>
                  </w:r>
                  <w:r>
                    <w:rPr>
                      <w:b/>
                      <w:u w:val="single"/>
                    </w:rPr>
                    <w:t>avec demande d’accusé de réception électronique.</w:t>
                  </w:r>
                </w:p>
                <w:p w:rsidR="00F04EEF" w:rsidRDefault="00F04EEF">
                  <w:pPr>
                    <w:tabs>
                      <w:tab w:val="left" w:pos="-1440"/>
                      <w:tab w:val="left" w:pos="-720"/>
                      <w:tab w:val="left" w:pos="441"/>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F04EEF" w:rsidRDefault="0099351E">
                  <w:pPr>
                    <w:tabs>
                      <w:tab w:val="left" w:pos="-1440"/>
                      <w:tab w:val="left" w:pos="-720"/>
                    </w:tabs>
                    <w:jc w:val="both"/>
                  </w:pPr>
                  <w:r>
                    <w:t xml:space="preserve">Les administrations communautaires et régionales échangeront les informations nécessaires afin d'assurer l'assistance paramédicale. </w:t>
                  </w:r>
                </w:p>
                <w:p w:rsidR="00F04EEF" w:rsidRDefault="00F04EEF">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F04EEF" w:rsidRDefault="0099351E">
                  <w:pPr>
                    <w:jc w:val="both"/>
                  </w:pPr>
                  <w:r>
                    <w:t>Par dérogation au point a susmentionné, les élèves internes d'un institut ou d’un home d’accueil d'enseignement spécialisé organisé par la Fédération Wallonie-Bruxelles sont également à prendre en considération pour le calcul du capital-périodes de l'école où ils suivent les cours.  En effet, les nombres-guides pris en compte pour le calcul de l'encadrement dans l'internat sont déjà déduits du nombre-guide paramédical correspondant (</w:t>
                  </w:r>
                  <w:r>
                    <w:rPr>
                      <w:rFonts w:cs="Arial"/>
                    </w:rPr>
                    <w:t xml:space="preserve">voir </w:t>
                  </w:r>
                  <w:hyperlink w:anchor="_Chapitre_10_:" w:history="1">
                    <w:r>
                      <w:rPr>
                        <w:rStyle w:val="Lienhypertexte"/>
                        <w:rFonts w:cs="Arial"/>
                      </w:rPr>
                      <w:t>chapitre 10</w:t>
                    </w:r>
                  </w:hyperlink>
                  <w:r>
                    <w:t>)</w:t>
                  </w:r>
                </w:p>
                <w:p w:rsidR="00F04EEF" w:rsidRDefault="00F04EEF">
                  <w:pPr>
                    <w:jc w:val="both"/>
                  </w:pPr>
                </w:p>
                <w:p w:rsidR="00F04EEF" w:rsidRDefault="0099351E">
                  <w:pPr>
                    <w:numPr>
                      <w:ilvl w:val="0"/>
                      <w:numId w:val="28"/>
                    </w:numPr>
                    <w:suppressAutoHyphens/>
                    <w:ind w:left="0"/>
                    <w:jc w:val="both"/>
                    <w:rPr>
                      <w:u w:val="single"/>
                    </w:rPr>
                  </w:pPr>
                  <w:r>
                    <w:rPr>
                      <w:u w:val="single"/>
                    </w:rPr>
                    <w:t>Le nombre guide :</w:t>
                  </w:r>
                </w:p>
                <w:p w:rsidR="00F04EEF" w:rsidRDefault="00F04EEF">
                  <w:pPr>
                    <w:jc w:val="both"/>
                    <w:rPr>
                      <w:u w:val="single"/>
                    </w:rPr>
                  </w:pPr>
                </w:p>
                <w:p w:rsidR="00F04EEF" w:rsidRDefault="0099351E">
                  <w:pPr>
                    <w:tabs>
                      <w:tab w:val="left" w:pos="-1440"/>
                      <w:tab w:val="left" w:pos="-720"/>
                    </w:tabs>
                    <w:jc w:val="both"/>
                  </w:pPr>
                  <w:r>
                    <w:t>Les nombres guide varient selon les types que fréquentent les élèves.</w:t>
                  </w:r>
                </w:p>
                <w:p w:rsidR="00F04EEF" w:rsidRDefault="00F04EEF">
                  <w:pPr>
                    <w:tabs>
                      <w:tab w:val="left" w:pos="-1440"/>
                      <w:tab w:val="left" w:pos="-720"/>
                    </w:tabs>
                    <w:jc w:val="both"/>
                  </w:pPr>
                </w:p>
                <w:p w:rsidR="00F04EEF" w:rsidRDefault="0099351E">
                  <w:pPr>
                    <w:tabs>
                      <w:tab w:val="left" w:pos="-1440"/>
                      <w:tab w:val="left" w:pos="-720"/>
                    </w:tabs>
                    <w:jc w:val="both"/>
                    <w:rPr>
                      <w:u w:val="single"/>
                    </w:rPr>
                  </w:pPr>
                  <w:r>
                    <w:rPr>
                      <w:u w:val="single"/>
                    </w:rPr>
                    <w:t>Ils sont fixés comme suit :</w:t>
                  </w:r>
                </w:p>
                <w:p w:rsidR="00F04EEF" w:rsidRDefault="00F04EEF">
                  <w:pPr>
                    <w:tabs>
                      <w:tab w:val="left" w:pos="-1440"/>
                      <w:tab w:val="left" w:pos="-720"/>
                    </w:tabs>
                    <w:jc w:val="both"/>
                    <w:rPr>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34"/>
                    <w:gridCol w:w="2163"/>
                  </w:tblGrid>
                  <w:tr w:rsidR="00F04EEF">
                    <w:trPr>
                      <w:cantSplit/>
                      <w:trHeight w:val="265"/>
                      <w:jc w:val="center"/>
                    </w:trPr>
                    <w:tc>
                      <w:tcPr>
                        <w:tcW w:w="1134" w:type="dxa"/>
                      </w:tcPr>
                      <w:p w:rsidR="00F04EEF" w:rsidRDefault="0099351E">
                        <w:pPr>
                          <w:tabs>
                            <w:tab w:val="left" w:pos="1134"/>
                          </w:tabs>
                          <w:snapToGrid w:val="0"/>
                          <w:jc w:val="center"/>
                        </w:pPr>
                        <w:r>
                          <w:t>TYPE</w:t>
                        </w:r>
                      </w:p>
                    </w:tc>
                    <w:tc>
                      <w:tcPr>
                        <w:tcW w:w="2163" w:type="dxa"/>
                      </w:tcPr>
                      <w:p w:rsidR="00F04EEF" w:rsidRDefault="0099351E">
                        <w:pPr>
                          <w:tabs>
                            <w:tab w:val="left" w:pos="1134"/>
                          </w:tabs>
                          <w:snapToGrid w:val="0"/>
                          <w:jc w:val="center"/>
                        </w:pPr>
                        <w:r>
                          <w:t>NOMBRE GUIDE</w:t>
                        </w:r>
                      </w:p>
                    </w:tc>
                  </w:tr>
                  <w:tr w:rsidR="00F04EEF">
                    <w:trPr>
                      <w:cantSplit/>
                      <w:trHeight w:val="402"/>
                      <w:jc w:val="center"/>
                    </w:trPr>
                    <w:tc>
                      <w:tcPr>
                        <w:tcW w:w="1134" w:type="dxa"/>
                      </w:tcPr>
                      <w:p w:rsidR="00F04EEF" w:rsidRDefault="0099351E">
                        <w:pPr>
                          <w:tabs>
                            <w:tab w:val="left" w:pos="1134"/>
                          </w:tabs>
                          <w:snapToGrid w:val="0"/>
                          <w:jc w:val="center"/>
                        </w:pPr>
                        <w:r>
                          <w:t>1</w:t>
                        </w:r>
                      </w:p>
                    </w:tc>
                    <w:tc>
                      <w:tcPr>
                        <w:tcW w:w="2163" w:type="dxa"/>
                      </w:tcPr>
                      <w:p w:rsidR="00F04EEF" w:rsidRDefault="0099351E">
                        <w:pPr>
                          <w:tabs>
                            <w:tab w:val="left" w:pos="1134"/>
                          </w:tabs>
                          <w:jc w:val="center"/>
                        </w:pPr>
                        <w:r>
                          <w:t>0,5</w:t>
                        </w:r>
                      </w:p>
                    </w:tc>
                  </w:tr>
                  <w:tr w:rsidR="00F04EEF">
                    <w:trPr>
                      <w:cantSplit/>
                      <w:trHeight w:val="402"/>
                      <w:jc w:val="center"/>
                    </w:trPr>
                    <w:tc>
                      <w:tcPr>
                        <w:tcW w:w="1134" w:type="dxa"/>
                      </w:tcPr>
                      <w:p w:rsidR="00F04EEF" w:rsidRDefault="0099351E">
                        <w:pPr>
                          <w:tabs>
                            <w:tab w:val="left" w:pos="1134"/>
                          </w:tabs>
                          <w:snapToGrid w:val="0"/>
                          <w:jc w:val="center"/>
                        </w:pPr>
                        <w:r>
                          <w:t>2</w:t>
                        </w:r>
                      </w:p>
                    </w:tc>
                    <w:tc>
                      <w:tcPr>
                        <w:tcW w:w="2163" w:type="dxa"/>
                      </w:tcPr>
                      <w:p w:rsidR="00F04EEF" w:rsidRDefault="0099351E">
                        <w:pPr>
                          <w:tabs>
                            <w:tab w:val="left" w:pos="1134"/>
                          </w:tabs>
                          <w:jc w:val="center"/>
                        </w:pPr>
                        <w:r>
                          <w:t>1,5</w:t>
                        </w:r>
                      </w:p>
                    </w:tc>
                  </w:tr>
                  <w:tr w:rsidR="00F04EEF">
                    <w:trPr>
                      <w:cantSplit/>
                      <w:trHeight w:val="402"/>
                      <w:jc w:val="center"/>
                    </w:trPr>
                    <w:tc>
                      <w:tcPr>
                        <w:tcW w:w="1134" w:type="dxa"/>
                      </w:tcPr>
                      <w:p w:rsidR="00F04EEF" w:rsidRDefault="0099351E">
                        <w:pPr>
                          <w:tabs>
                            <w:tab w:val="left" w:pos="1134"/>
                          </w:tabs>
                          <w:snapToGrid w:val="0"/>
                          <w:jc w:val="center"/>
                        </w:pPr>
                        <w:r>
                          <w:t>3</w:t>
                        </w:r>
                      </w:p>
                    </w:tc>
                    <w:tc>
                      <w:tcPr>
                        <w:tcW w:w="2163" w:type="dxa"/>
                      </w:tcPr>
                      <w:p w:rsidR="00F04EEF" w:rsidRDefault="0099351E">
                        <w:pPr>
                          <w:tabs>
                            <w:tab w:val="left" w:pos="1134"/>
                          </w:tabs>
                          <w:jc w:val="center"/>
                        </w:pPr>
                        <w:r>
                          <w:t>0,3</w:t>
                        </w:r>
                      </w:p>
                    </w:tc>
                  </w:tr>
                  <w:tr w:rsidR="00F04EEF">
                    <w:trPr>
                      <w:cantSplit/>
                      <w:trHeight w:val="402"/>
                      <w:jc w:val="center"/>
                    </w:trPr>
                    <w:tc>
                      <w:tcPr>
                        <w:tcW w:w="1134" w:type="dxa"/>
                      </w:tcPr>
                      <w:p w:rsidR="00F04EEF" w:rsidRDefault="0099351E">
                        <w:pPr>
                          <w:tabs>
                            <w:tab w:val="left" w:pos="1134"/>
                          </w:tabs>
                          <w:snapToGrid w:val="0"/>
                          <w:jc w:val="center"/>
                        </w:pPr>
                        <w:r>
                          <w:t>4</w:t>
                        </w:r>
                      </w:p>
                    </w:tc>
                    <w:tc>
                      <w:tcPr>
                        <w:tcW w:w="2163" w:type="dxa"/>
                      </w:tcPr>
                      <w:p w:rsidR="00F04EEF" w:rsidRDefault="0099351E">
                        <w:pPr>
                          <w:tabs>
                            <w:tab w:val="left" w:pos="1134"/>
                          </w:tabs>
                          <w:jc w:val="center"/>
                        </w:pPr>
                        <w:r>
                          <w:t>3,5</w:t>
                        </w:r>
                      </w:p>
                    </w:tc>
                  </w:tr>
                  <w:tr w:rsidR="00F04EEF">
                    <w:trPr>
                      <w:cantSplit/>
                      <w:trHeight w:val="402"/>
                      <w:jc w:val="center"/>
                    </w:trPr>
                    <w:tc>
                      <w:tcPr>
                        <w:tcW w:w="1134" w:type="dxa"/>
                        <w:vAlign w:val="center"/>
                      </w:tcPr>
                      <w:p w:rsidR="00F04EEF" w:rsidRDefault="0099351E">
                        <w:pPr>
                          <w:snapToGrid w:val="0"/>
                          <w:jc w:val="center"/>
                        </w:pPr>
                        <w:r>
                          <w:t>5</w:t>
                        </w:r>
                      </w:p>
                    </w:tc>
                    <w:tc>
                      <w:tcPr>
                        <w:tcW w:w="2163" w:type="dxa"/>
                        <w:vAlign w:val="center"/>
                      </w:tcPr>
                      <w:p w:rsidR="00F04EEF" w:rsidRDefault="0099351E">
                        <w:pPr>
                          <w:tabs>
                            <w:tab w:val="left" w:pos="1134"/>
                          </w:tabs>
                          <w:snapToGrid w:val="0"/>
                          <w:jc w:val="center"/>
                        </w:pPr>
                        <w:r>
                          <w:t>1</w:t>
                        </w:r>
                      </w:p>
                    </w:tc>
                  </w:tr>
                  <w:tr w:rsidR="00F04EEF">
                    <w:trPr>
                      <w:cantSplit/>
                      <w:trHeight w:val="402"/>
                      <w:jc w:val="center"/>
                    </w:trPr>
                    <w:tc>
                      <w:tcPr>
                        <w:tcW w:w="1134" w:type="dxa"/>
                      </w:tcPr>
                      <w:p w:rsidR="00F04EEF" w:rsidRDefault="0099351E">
                        <w:pPr>
                          <w:tabs>
                            <w:tab w:val="left" w:pos="1134"/>
                          </w:tabs>
                          <w:snapToGrid w:val="0"/>
                          <w:jc w:val="center"/>
                        </w:pPr>
                        <w:r>
                          <w:t>6</w:t>
                        </w:r>
                      </w:p>
                    </w:tc>
                    <w:tc>
                      <w:tcPr>
                        <w:tcW w:w="2163" w:type="dxa"/>
                      </w:tcPr>
                      <w:p w:rsidR="00F04EEF" w:rsidRDefault="0099351E">
                        <w:pPr>
                          <w:tabs>
                            <w:tab w:val="left" w:pos="1134"/>
                          </w:tabs>
                          <w:jc w:val="center"/>
                        </w:pPr>
                        <w:r>
                          <w:t>1,5</w:t>
                        </w:r>
                      </w:p>
                    </w:tc>
                  </w:tr>
                  <w:tr w:rsidR="00F04EEF">
                    <w:trPr>
                      <w:cantSplit/>
                      <w:trHeight w:val="402"/>
                      <w:jc w:val="center"/>
                    </w:trPr>
                    <w:tc>
                      <w:tcPr>
                        <w:tcW w:w="1134" w:type="dxa"/>
                      </w:tcPr>
                      <w:p w:rsidR="00F04EEF" w:rsidRDefault="0099351E">
                        <w:pPr>
                          <w:tabs>
                            <w:tab w:val="left" w:pos="1134"/>
                          </w:tabs>
                          <w:snapToGrid w:val="0"/>
                          <w:jc w:val="center"/>
                        </w:pPr>
                        <w:r>
                          <w:t>7</w:t>
                        </w:r>
                      </w:p>
                    </w:tc>
                    <w:tc>
                      <w:tcPr>
                        <w:tcW w:w="2163" w:type="dxa"/>
                      </w:tcPr>
                      <w:p w:rsidR="00F04EEF" w:rsidRDefault="0099351E">
                        <w:pPr>
                          <w:tabs>
                            <w:tab w:val="left" w:pos="1134"/>
                          </w:tabs>
                          <w:jc w:val="center"/>
                        </w:pPr>
                        <w:r>
                          <w:t>1,6</w:t>
                        </w:r>
                      </w:p>
                    </w:tc>
                  </w:tr>
                  <w:tr w:rsidR="00F04EEF">
                    <w:trPr>
                      <w:cantSplit/>
                      <w:trHeight w:val="402"/>
                      <w:jc w:val="center"/>
                    </w:trPr>
                    <w:tc>
                      <w:tcPr>
                        <w:tcW w:w="1134" w:type="dxa"/>
                      </w:tcPr>
                      <w:p w:rsidR="00F04EEF" w:rsidRDefault="0099351E">
                        <w:pPr>
                          <w:tabs>
                            <w:tab w:val="left" w:pos="1134"/>
                          </w:tabs>
                          <w:snapToGrid w:val="0"/>
                          <w:jc w:val="center"/>
                        </w:pPr>
                        <w:r>
                          <w:t>8</w:t>
                        </w:r>
                      </w:p>
                    </w:tc>
                    <w:tc>
                      <w:tcPr>
                        <w:tcW w:w="2163" w:type="dxa"/>
                      </w:tcPr>
                      <w:p w:rsidR="00F04EEF" w:rsidRDefault="0099351E">
                        <w:pPr>
                          <w:tabs>
                            <w:tab w:val="left" w:pos="1134"/>
                          </w:tabs>
                          <w:snapToGrid w:val="0"/>
                          <w:jc w:val="center"/>
                        </w:pPr>
                        <w:r>
                          <w:t>0,5</w:t>
                        </w:r>
                      </w:p>
                    </w:tc>
                  </w:tr>
                </w:tbl>
                <w:p w:rsidR="00F04EEF" w:rsidRDefault="00F04EEF">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F04EEF" w:rsidRDefault="00F04EEF">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F04EEF" w:rsidRDefault="0099351E">
                  <w:pPr>
                    <w:rPr>
                      <w:b/>
                      <w:u w:val="single"/>
                    </w:rPr>
                  </w:pPr>
                  <w:bookmarkStart w:id="2229" w:name="_2.3._Calcul_du"/>
                  <w:bookmarkStart w:id="2230" w:name="_Toc291075337"/>
                  <w:bookmarkStart w:id="2231" w:name="_Toc291075761"/>
                  <w:bookmarkStart w:id="2232" w:name="_Toc291076185"/>
                  <w:bookmarkStart w:id="2233" w:name="_Toc291076609"/>
                  <w:bookmarkStart w:id="2234" w:name="_Toc291077033"/>
                  <w:bookmarkStart w:id="2235" w:name="_Toc293651876"/>
                  <w:bookmarkStart w:id="2236" w:name="_Toc293653459"/>
                  <w:bookmarkStart w:id="2237" w:name="_Toc293654070"/>
                  <w:bookmarkStart w:id="2238" w:name="_Toc294004648"/>
                  <w:bookmarkStart w:id="2239" w:name="_Toc294185144"/>
                  <w:bookmarkStart w:id="2240" w:name="_Toc324165960"/>
                  <w:bookmarkStart w:id="2241" w:name="_Toc324766997"/>
                  <w:bookmarkStart w:id="2242" w:name="_Toc324767855"/>
                  <w:bookmarkStart w:id="2243" w:name="_Toc453314351"/>
                  <w:bookmarkStart w:id="2244" w:name="_Toc454980386"/>
                  <w:bookmarkEnd w:id="2229"/>
                  <w:r>
                    <w:br w:type="page"/>
                  </w:r>
                </w:p>
                <w:p w:rsidR="00F04EEF" w:rsidRDefault="0099351E">
                  <w:pPr>
                    <w:pStyle w:val="Titre4"/>
                  </w:pPr>
                  <w:r>
                    <w:t>2.3. Calcul du capital-périodes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rsidR="00F04EEF" w:rsidRDefault="00F04EEF">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F04EEF" w:rsidRDefault="0099351E">
                  <w:pPr>
                    <w:jc w:val="both"/>
                  </w:pPr>
                  <w:r>
                    <w:t>Le capital-périodes se calcule par type selon la formule :</w:t>
                  </w:r>
                </w:p>
                <w:p w:rsidR="00F04EEF" w:rsidRDefault="00F04EEF">
                  <w:pPr>
                    <w:jc w:val="both"/>
                  </w:pPr>
                </w:p>
                <w:p w:rsidR="00F04EEF" w:rsidRDefault="0099351E">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pPr>
                  <w:r>
                    <w:t>Nombre d'élèves x Nombre guide</w:t>
                  </w:r>
                </w:p>
                <w:p w:rsidR="00F04EEF" w:rsidRDefault="00F04EEF">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F04EEF" w:rsidRDefault="0099351E">
                  <w:pPr>
                    <w:jc w:val="both"/>
                  </w:pPr>
                  <w:r>
                    <w:t>Le capital-périodes attribué à l'école est égal à la somme des produits obtenus selon la règle mentionnée ci-avant.</w:t>
                  </w:r>
                </w:p>
                <w:p w:rsidR="00F04EEF" w:rsidRDefault="0099351E">
                  <w:pPr>
                    <w:tabs>
                      <w:tab w:val="left" w:pos="-1440"/>
                      <w:tab w:val="left" w:pos="-720"/>
                    </w:tabs>
                    <w:jc w:val="both"/>
                  </w:pPr>
                  <w:r>
                    <w:t>Seule la somme de ces résultats est arrondie à l'unité supérieure.</w:t>
                  </w:r>
                </w:p>
                <w:p w:rsidR="00F04EEF" w:rsidRDefault="0099351E">
                  <w:pPr>
                    <w:tabs>
                      <w:tab w:val="left" w:pos="-1440"/>
                      <w:tab w:val="left" w:pos="-720"/>
                    </w:tabs>
                    <w:jc w:val="both"/>
                  </w:pPr>
                  <w:r>
                    <w:rPr>
                      <w:noProof/>
                      <w:lang w:eastAsia="fr-BE"/>
                    </w:rPr>
                    <mc:AlternateContent>
                      <mc:Choice Requires="wps">
                        <w:drawing>
                          <wp:anchor distT="0" distB="0" distL="114300" distR="114300" simplePos="0" relativeHeight="252237824" behindDoc="0" locked="0" layoutInCell="1" allowOverlap="1">
                            <wp:simplePos x="0" y="0"/>
                            <wp:positionH relativeFrom="column">
                              <wp:posOffset>6329045</wp:posOffset>
                            </wp:positionH>
                            <wp:positionV relativeFrom="paragraph">
                              <wp:posOffset>166370</wp:posOffset>
                            </wp:positionV>
                            <wp:extent cx="0" cy="333375"/>
                            <wp:effectExtent l="0" t="0" r="19050" b="28575"/>
                            <wp:wrapNone/>
                            <wp:docPr id="528" name="Connecteur droit 528"/>
                            <wp:cNvGraphicFramePr/>
                            <a:graphic xmlns:a="http://schemas.openxmlformats.org/drawingml/2006/main">
                              <a:graphicData uri="http://schemas.microsoft.com/office/word/2010/wordprocessingShape">
                                <wps:wsp>
                                  <wps:cNvCnPr/>
                                  <wps:spPr>
                                    <a:xfrm>
                                      <a:off x="0" y="0"/>
                                      <a:ext cx="0" cy="333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580CE1" id="Connecteur droit 528" o:spid="_x0000_s1026" style="position:absolute;z-index:252237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35pt,13.1pt" to="498.35pt,3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" strokecolor="black [3213]"/>
                        </w:pict>
                      </mc:Fallback>
                    </mc:AlternateContent>
                  </w:r>
                </w:p>
                <w:p w:rsidR="00F04EEF" w:rsidRDefault="0099351E">
                  <w:pPr>
                    <w:widowControl w:val="0"/>
                    <w:autoSpaceDE w:val="0"/>
                    <w:autoSpaceDN w:val="0"/>
                    <w:adjustRightInd w:val="0"/>
                    <w:spacing w:before="9" w:line="240" w:lineRule="exact"/>
                    <w:jc w:val="both"/>
                    <w:rPr>
                      <w:rFonts w:cs="Georgia"/>
                      <w:color w:val="000000"/>
                    </w:rPr>
                  </w:pPr>
                  <w:r>
                    <w:rPr>
                      <w:rFonts w:cs="Georgia"/>
                      <w:color w:val="000000"/>
                    </w:rPr>
                    <w:t xml:space="preserve">Pour le calcul du capital périodes relatif à l’enseignement spécialisé de type 5 il y a lieu de se référer au </w:t>
                  </w:r>
                  <w:hyperlink w:anchor="_Chapitre_12_:_1" w:history="1">
                    <w:r>
                      <w:rPr>
                        <w:rStyle w:val="Lienhypertexte"/>
                        <w:rFonts w:cs="Georgia"/>
                      </w:rPr>
                      <w:t>chapitre 12 point 4</w:t>
                    </w:r>
                  </w:hyperlink>
                </w:p>
                <w:p w:rsidR="00F04EEF" w:rsidRDefault="00F04EEF">
                  <w:pPr>
                    <w:tabs>
                      <w:tab w:val="left" w:pos="-1440"/>
                      <w:tab w:val="left" w:pos="-720"/>
                    </w:tabs>
                    <w:jc w:val="both"/>
                  </w:pPr>
                </w:p>
                <w:p w:rsidR="00F04EEF" w:rsidRDefault="00F04EEF">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F04EEF" w:rsidRDefault="0099351E">
                  <w:pPr>
                    <w:pStyle w:val="Titre4"/>
                  </w:pPr>
                  <w:bookmarkStart w:id="2245" w:name="_2.4._Capital-périodes_utilisable"/>
                  <w:bookmarkStart w:id="2246" w:name="_Toc291075338"/>
                  <w:bookmarkStart w:id="2247" w:name="_Toc291075762"/>
                  <w:bookmarkStart w:id="2248" w:name="_Toc291076186"/>
                  <w:bookmarkStart w:id="2249" w:name="_Toc291076610"/>
                  <w:bookmarkStart w:id="2250" w:name="_Toc291077034"/>
                  <w:bookmarkStart w:id="2251" w:name="_Toc293651877"/>
                  <w:bookmarkStart w:id="2252" w:name="_Toc293653460"/>
                  <w:bookmarkStart w:id="2253" w:name="_Toc293654071"/>
                  <w:bookmarkStart w:id="2254" w:name="_Toc294004649"/>
                  <w:bookmarkStart w:id="2255" w:name="_Toc294185145"/>
                  <w:bookmarkStart w:id="2256" w:name="_Toc324165961"/>
                  <w:bookmarkStart w:id="2257" w:name="_Toc324766998"/>
                  <w:bookmarkStart w:id="2258" w:name="_Toc324767856"/>
                  <w:bookmarkStart w:id="2259" w:name="_Toc453314352"/>
                  <w:bookmarkStart w:id="2260" w:name="_Toc454980387"/>
                  <w:bookmarkEnd w:id="2245"/>
                  <w:r>
                    <w:t>2.4. Capital-périodes utilisable</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F04EEF" w:rsidRDefault="0099351E">
                  <w:pPr>
                    <w:jc w:val="both"/>
                    <w:rPr>
                      <w:sz w:val="24"/>
                      <w:szCs w:val="24"/>
                    </w:rPr>
                  </w:pPr>
                  <w:r>
                    <w:rPr>
                      <w:sz w:val="24"/>
                      <w:szCs w:val="24"/>
                    </w:rPr>
                    <w:t>Le pourcentage du capital-périodes qui peut être utilisé est fixé à 97 % pour la présente année scolaire ; le résultat est arrondi à l'unité supérieure.</w:t>
                  </w:r>
                </w:p>
                <w:p w:rsidR="00F04EEF" w:rsidRDefault="00F04EEF">
                  <w:pPr>
                    <w:jc w:val="both"/>
                    <w:rPr>
                      <w:sz w:val="24"/>
                      <w:szCs w:val="24"/>
                    </w:rPr>
                  </w:pPr>
                </w:p>
                <w:p w:rsidR="00F04EEF" w:rsidRDefault="0099351E">
                  <w:pPr>
                    <w:jc w:val="both"/>
                    <w:rPr>
                      <w:rFonts w:ascii="Calibri" w:hAnsi="Calibri"/>
                    </w:rPr>
                  </w:pPr>
                  <w:r>
                    <w:t>En vertu de l’article 213, alinéa 3 du décret du 3 mars 2004,  le pourcentage du capital-périodes utilisable est de 100% en ce qui concerne les catégories du personnel paramédical, social et psychologique encadrant les élèves qui relèvent des pédagogies adaptées.</w:t>
                  </w:r>
                </w:p>
                <w:p w:rsidR="00F04EEF" w:rsidRDefault="0099351E">
                  <w:pP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one-shot publiée prochainement.</w:t>
                  </w:r>
                </w:p>
                <w:p w:rsidR="00F04EEF" w:rsidRDefault="00F04EEF">
                  <w:pPr>
                    <w:jc w:val="both"/>
                    <w:rPr>
                      <w:u w:val="single"/>
                    </w:rPr>
                  </w:pPr>
                </w:p>
                <w:p w:rsidR="00F04EEF" w:rsidRDefault="0099351E">
                  <w:pPr>
                    <w:pStyle w:val="Titre4"/>
                  </w:pPr>
                  <w:bookmarkStart w:id="2261" w:name="_2.5._Augmentation_du"/>
                  <w:bookmarkStart w:id="2262" w:name="_Toc291075339"/>
                  <w:bookmarkStart w:id="2263" w:name="_Toc291075763"/>
                  <w:bookmarkStart w:id="2264" w:name="_Toc291076187"/>
                  <w:bookmarkStart w:id="2265" w:name="_Toc291076611"/>
                  <w:bookmarkStart w:id="2266" w:name="_Toc291077035"/>
                  <w:bookmarkStart w:id="2267" w:name="_Toc293651878"/>
                  <w:bookmarkStart w:id="2268" w:name="_Toc293653461"/>
                  <w:bookmarkStart w:id="2269" w:name="_Toc293654072"/>
                  <w:bookmarkStart w:id="2270" w:name="_Toc294004650"/>
                  <w:bookmarkStart w:id="2271" w:name="_Toc294185146"/>
                  <w:bookmarkStart w:id="2272" w:name="_Toc324165962"/>
                  <w:bookmarkStart w:id="2273" w:name="_Toc324766999"/>
                  <w:bookmarkStart w:id="2274" w:name="_Toc324767857"/>
                  <w:bookmarkStart w:id="2275" w:name="_Toc453314353"/>
                  <w:bookmarkStart w:id="2276" w:name="_Toc454980388"/>
                  <w:bookmarkEnd w:id="2261"/>
                  <w:r>
                    <w:t>2.5. Augmentation du capital-périodes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F04EEF" w:rsidRDefault="0099351E">
                  <w:pPr>
                    <w:jc w:val="both"/>
                  </w:pPr>
                  <w:r>
                    <w:t>Un nouveau calcul de l’encadrement est réalisé le 1er octobre si la population au 30 septembre a varié d’au moins 5 % par rapport à celle du 15 janvier précédent.</w:t>
                  </w:r>
                </w:p>
                <w:p w:rsidR="00F04EEF" w:rsidRDefault="00F04EEF">
                  <w:pPr>
                    <w:jc w:val="both"/>
                    <w:rPr>
                      <w:u w:val="single"/>
                    </w:rPr>
                  </w:pPr>
                </w:p>
                <w:p w:rsidR="00F04EEF" w:rsidRDefault="0099351E">
                  <w:pPr>
                    <w:jc w:val="both"/>
                  </w:pPr>
                  <w:r>
                    <w:t>Après le 30 septembre, le capital-périodes peut être recalculé chaque fois que la population scolaire augmente d'au moins 10 % par rapport à celle qui a servi la dernière fois de base pour la détermination de ce capital-périodes.</w:t>
                  </w:r>
                </w:p>
                <w:p w:rsidR="00F04EEF" w:rsidRDefault="0099351E">
                  <w:pPr>
                    <w:jc w:val="both"/>
                  </w:pPr>
                  <w:r>
                    <w:t>Cet accroissement n'est pris en compte que si l'augmentation du nombre d'élèves correspond, pendant 10 jours de classe consécutifs, à au moins 10 %.</w:t>
                  </w:r>
                </w:p>
                <w:p w:rsidR="00F04EEF" w:rsidRDefault="00F04EEF">
                  <w:pPr>
                    <w:jc w:val="both"/>
                  </w:pPr>
                </w:p>
                <w:p w:rsidR="00F04EEF" w:rsidRDefault="0099351E">
                  <w:pPr>
                    <w:jc w:val="both"/>
                  </w:pPr>
                  <w:r>
                    <w:t xml:space="preserve">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F04EEF" w:rsidRDefault="00F04EEF">
                  <w:pPr>
                    <w:jc w:val="both"/>
                  </w:pPr>
                </w:p>
                <w:p w:rsidR="00F04EEF" w:rsidRDefault="0099351E">
                  <w:pPr>
                    <w:jc w:val="both"/>
                  </w:pPr>
                  <w:r>
                    <w:t>Toute demande de révision du calcul du capital-périodes doit être sollicitée directement auprès du Vérificateur (éventuellement par téléphone).</w:t>
                  </w:r>
                </w:p>
                <w:p w:rsidR="00F04EEF" w:rsidRDefault="00F04EEF">
                  <w:pPr>
                    <w:jc w:val="both"/>
                    <w:rPr>
                      <w:u w:val="single"/>
                    </w:rPr>
                  </w:pPr>
                </w:p>
                <w:p w:rsidR="00F04EEF" w:rsidRDefault="0099351E">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t>Aucun engagement de personnel ne peut avoir lieu avant d'obtenir l'accord du Vérificateur sur cette augmentation.</w:t>
                  </w:r>
                </w:p>
                <w:p w:rsidR="00F04EEF" w:rsidRDefault="0099351E">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rPr>
                      <w:noProof/>
                      <w:lang w:eastAsia="fr-BE"/>
                    </w:rPr>
                    <mc:AlternateContent>
                      <mc:Choice Requires="wps">
                        <w:drawing>
                          <wp:anchor distT="0" distB="0" distL="114300" distR="114300" simplePos="0" relativeHeight="252238848" behindDoc="0" locked="0" layoutInCell="1" allowOverlap="1">
                            <wp:simplePos x="0" y="0"/>
                            <wp:positionH relativeFrom="column">
                              <wp:posOffset>6233795</wp:posOffset>
                            </wp:positionH>
                            <wp:positionV relativeFrom="paragraph">
                              <wp:posOffset>156845</wp:posOffset>
                            </wp:positionV>
                            <wp:extent cx="0" cy="390525"/>
                            <wp:effectExtent l="0" t="0" r="19050" b="28575"/>
                            <wp:wrapNone/>
                            <wp:docPr id="529" name="Connecteur droit 529"/>
                            <wp:cNvGraphicFramePr/>
                            <a:graphic xmlns:a="http://schemas.openxmlformats.org/drawingml/2006/main">
                              <a:graphicData uri="http://schemas.microsoft.com/office/word/2010/wordprocessingShape">
                                <wps:wsp>
                                  <wps:cNvCnPr/>
                                  <wps:spPr>
                                    <a:xfrm>
                                      <a:off x="0" y="0"/>
                                      <a:ext cx="0" cy="390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C7DD90" id="Connecteur droit 529" o:spid="_x0000_s1026" style="position:absolute;z-index:252238848;visibility:visible;mso-wrap-style:square;mso-wrap-distance-left:9pt;mso-wrap-distance-top:0;mso-wrap-distance-right:9pt;mso-wrap-distance-bottom:0;mso-position-horizontal:absolute;mso-position-horizontal-relative:text;mso-position-vertical:absolute;mso-position-vertical-relative:text" from="490.85pt,12.35pt" to="490.85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" strokecolor="black [3213]"/>
                        </w:pict>
                      </mc:Fallback>
                    </mc:AlternateContent>
                  </w:r>
                </w:p>
                <w:p w:rsidR="00F04EEF" w:rsidRDefault="0099351E">
                  <w:pPr>
                    <w:widowControl w:val="0"/>
                    <w:autoSpaceDE w:val="0"/>
                    <w:autoSpaceDN w:val="0"/>
                    <w:adjustRightInd w:val="0"/>
                    <w:spacing w:line="250" w:lineRule="exact"/>
                    <w:ind w:right="51"/>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5</w:t>
                  </w:r>
                  <w:r>
                    <w:rPr>
                      <w:rFonts w:cs="Georgia"/>
                      <w:color w:val="000000"/>
                    </w:rPr>
                    <w:t>,</w:t>
                  </w:r>
                  <w:r>
                    <w:rPr>
                      <w:rFonts w:cs="Georgia"/>
                      <w:color w:val="000000"/>
                      <w:spacing w:val="1"/>
                    </w:rPr>
                    <w:t xml:space="preserve"> 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w:t>
                  </w:r>
                  <w:r>
                    <w:rPr>
                      <w:rFonts w:cs="Georgia"/>
                      <w:color w:val="000000"/>
                      <w:spacing w:val="-2"/>
                    </w:rPr>
                    <w:t>c</w:t>
                  </w:r>
                  <w:r>
                    <w:rPr>
                      <w:rFonts w:cs="Georgia"/>
                      <w:color w:val="000000"/>
                      <w:spacing w:val="1"/>
                    </w:rPr>
                    <w:t>ro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4"/>
                    </w:rPr>
                    <w:t xml:space="preserve"> </w:t>
                  </w:r>
                  <w:r>
                    <w:rPr>
                      <w:rFonts w:cs="Georgia"/>
                      <w:color w:val="000000"/>
                    </w:rPr>
                    <w:t xml:space="preserve">de </w:t>
                  </w:r>
                  <w:r>
                    <w:rPr>
                      <w:rFonts w:cs="Georgia"/>
                      <w:color w:val="000000"/>
                      <w:spacing w:val="1"/>
                    </w:rPr>
                    <w:t>1</w:t>
                  </w:r>
                  <w:r>
                    <w:rPr>
                      <w:rFonts w:cs="Georgia"/>
                      <w:color w:val="000000"/>
                    </w:rPr>
                    <w:t>0</w:t>
                  </w:r>
                  <w:r>
                    <w:rPr>
                      <w:rFonts w:cs="Georgia"/>
                      <w:color w:val="000000"/>
                      <w:spacing w:val="2"/>
                    </w:rPr>
                    <w:t xml:space="preserve"> </w:t>
                  </w:r>
                  <w:r>
                    <w:rPr>
                      <w:rFonts w:cs="Georgia"/>
                      <w:color w:val="000000"/>
                    </w:rPr>
                    <w:t>%</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4"/>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t</w:t>
                  </w:r>
                  <w:r>
                    <w:rPr>
                      <w:rFonts w:cs="Georgia"/>
                      <w:color w:val="000000"/>
                      <w:spacing w:val="-3"/>
                    </w:rPr>
                    <w:t>e</w:t>
                  </w:r>
                  <w:r>
                    <w:rPr>
                      <w:rFonts w:cs="Georgia"/>
                      <w:color w:val="000000"/>
                      <w:spacing w:val="1"/>
                    </w:rPr>
                    <w:t>r</w:t>
                  </w:r>
                  <w:r>
                    <w:rPr>
                      <w:rFonts w:cs="Georgia"/>
                      <w:color w:val="000000"/>
                    </w:rPr>
                    <w:t>mi</w:t>
                  </w:r>
                  <w:r>
                    <w:rPr>
                      <w:rFonts w:cs="Georgia"/>
                      <w:color w:val="000000"/>
                      <w:spacing w:val="-1"/>
                    </w:rPr>
                    <w:t>n</w:t>
                  </w:r>
                  <w:r>
                    <w:rPr>
                      <w:rFonts w:cs="Georgia"/>
                      <w:color w:val="000000"/>
                    </w:rPr>
                    <w:t>é</w:t>
                  </w:r>
                  <w:r>
                    <w:rPr>
                      <w:rFonts w:cs="Georgia"/>
                      <w:color w:val="000000"/>
                      <w:spacing w:val="2"/>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 xml:space="preserve">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u</w:t>
                  </w:r>
                  <w:r>
                    <w:rPr>
                      <w:rFonts w:cs="Georgia"/>
                      <w:color w:val="000000"/>
                      <w:spacing w:val="-1"/>
                    </w:rPr>
                    <w:t>n</w:t>
                  </w:r>
                  <w:r>
                    <w:rPr>
                      <w:rFonts w:cs="Georgia"/>
                      <w:color w:val="000000"/>
                    </w:rPr>
                    <w:t>e</w:t>
                  </w:r>
                  <w:r>
                    <w:rPr>
                      <w:rFonts w:cs="Georgia"/>
                      <w:color w:val="000000"/>
                      <w:spacing w:val="-1"/>
                    </w:rPr>
                    <w:t xml:space="preserve"> pé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b/>
                      <w:color w:val="000000"/>
                      <w:spacing w:val="-1"/>
                      <w:u w:val="single"/>
                    </w:rPr>
                    <w:t>2</w:t>
                  </w:r>
                  <w:r>
                    <w:rPr>
                      <w:rFonts w:cs="Georgia"/>
                      <w:b/>
                      <w:color w:val="000000"/>
                      <w:u w:val="single"/>
                    </w:rPr>
                    <w:t>0</w:t>
                  </w:r>
                  <w:r>
                    <w:rPr>
                      <w:rFonts w:cs="Georgia"/>
                      <w:b/>
                      <w:color w:val="000000"/>
                      <w:spacing w:val="-1"/>
                      <w:u w:val="single"/>
                    </w:rPr>
                    <w:t xml:space="preserve"> </w:t>
                  </w:r>
                  <w:r>
                    <w:rPr>
                      <w:rFonts w:cs="Georgia"/>
                      <w:b/>
                      <w:color w:val="000000"/>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c</w:t>
                  </w:r>
                  <w:r>
                    <w:rPr>
                      <w:rFonts w:cs="Georgia"/>
                      <w:b/>
                      <w:color w:val="000000"/>
                      <w:spacing w:val="-1"/>
                      <w:u w:val="single"/>
                    </w:rPr>
                    <w:t>la</w:t>
                  </w:r>
                  <w:r>
                    <w:rPr>
                      <w:rFonts w:cs="Georgia"/>
                      <w:b/>
                      <w:color w:val="000000"/>
                      <w:spacing w:val="1"/>
                      <w:u w:val="single"/>
                    </w:rPr>
                    <w:t>ss</w:t>
                  </w:r>
                  <w:r>
                    <w:rPr>
                      <w:rFonts w:cs="Georgia"/>
                      <w:b/>
                      <w:color w:val="000000"/>
                      <w:u w:val="single"/>
                    </w:rPr>
                    <w:t>e</w:t>
                  </w:r>
                  <w:r>
                    <w:rPr>
                      <w:rFonts w:cs="Georgia"/>
                      <w:b/>
                      <w:color w:val="000000"/>
                      <w:spacing w:val="-1"/>
                      <w:u w:val="single"/>
                    </w:rPr>
                    <w:t xml:space="preserve"> </w:t>
                  </w:r>
                  <w:r>
                    <w:rPr>
                      <w:rFonts w:cs="Georgia"/>
                      <w:b/>
                      <w:color w:val="000000"/>
                      <w:spacing w:val="-2"/>
                      <w:u w:val="single"/>
                    </w:rPr>
                    <w:t>c</w:t>
                  </w:r>
                  <w:r>
                    <w:rPr>
                      <w:rFonts w:cs="Georgia"/>
                      <w:b/>
                      <w:color w:val="000000"/>
                      <w:spacing w:val="1"/>
                      <w:u w:val="single"/>
                    </w:rPr>
                    <w:t>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1"/>
                      <w:u w:val="single"/>
                    </w:rPr>
                    <w:t>c</w:t>
                  </w:r>
                  <w:r>
                    <w:rPr>
                      <w:rFonts w:cs="Georgia"/>
                      <w:b/>
                      <w:color w:val="000000"/>
                      <w:spacing w:val="-2"/>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 à partir du 01 octobre</w:t>
                  </w:r>
                  <w:r>
                    <w:rPr>
                      <w:rFonts w:cs="Georgia"/>
                      <w:color w:val="000000"/>
                      <w:spacing w:val="1"/>
                    </w:rPr>
                    <w:t>.</w:t>
                  </w:r>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F04EEF" w:rsidRDefault="0099351E">
                  <w:pPr>
                    <w:rPr>
                      <w:b/>
                      <w:u w:val="single"/>
                    </w:rPr>
                  </w:pPr>
                  <w:bookmarkStart w:id="2277" w:name="_3._Plages_horaires"/>
                  <w:bookmarkStart w:id="2278" w:name="__RefHeading__171_957262308"/>
                  <w:bookmarkStart w:id="2279" w:name="_3._Plages-horaire"/>
                  <w:bookmarkStart w:id="2280" w:name="_3._Horaires"/>
                  <w:bookmarkStart w:id="2281" w:name="_Toc291075340"/>
                  <w:bookmarkStart w:id="2282" w:name="_Toc291075764"/>
                  <w:bookmarkStart w:id="2283" w:name="_Toc291076188"/>
                  <w:bookmarkStart w:id="2284" w:name="_Toc291076612"/>
                  <w:bookmarkStart w:id="2285" w:name="_Toc291077036"/>
                  <w:bookmarkStart w:id="2286" w:name="_Toc293651879"/>
                  <w:bookmarkStart w:id="2287" w:name="_Toc293653462"/>
                  <w:bookmarkStart w:id="2288" w:name="_Toc293654073"/>
                  <w:bookmarkStart w:id="2289" w:name="_Toc294004651"/>
                  <w:bookmarkStart w:id="2290" w:name="_Toc294185147"/>
                  <w:bookmarkStart w:id="2291" w:name="_Toc324165963"/>
                  <w:bookmarkStart w:id="2292" w:name="_Toc324767000"/>
                  <w:bookmarkStart w:id="2293" w:name="_Toc453314354"/>
                  <w:bookmarkStart w:id="2294" w:name="_Toc454980389"/>
                  <w:bookmarkEnd w:id="2277"/>
                  <w:bookmarkEnd w:id="2278"/>
                  <w:bookmarkEnd w:id="2279"/>
                  <w:bookmarkEnd w:id="2280"/>
                  <w:r>
                    <w:br w:type="page"/>
                  </w:r>
                </w:p>
                <w:p w:rsidR="00F04EEF" w:rsidRDefault="0099351E">
                  <w:pPr>
                    <w:pStyle w:val="Titre3"/>
                    <w:rPr>
                      <w:sz w:val="22"/>
                      <w:szCs w:val="22"/>
                    </w:rPr>
                  </w:pPr>
                  <w:bookmarkStart w:id="2295" w:name="_Toc47708514"/>
                  <w:r>
                    <w:rPr>
                      <w:sz w:val="22"/>
                      <w:szCs w:val="22"/>
                    </w:rPr>
                    <w:t>3. Horaire</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r>
                    <w:rPr>
                      <w:sz w:val="22"/>
                      <w:szCs w:val="22"/>
                    </w:rPr>
                    <w:t>s</w:t>
                  </w:r>
                  <w:bookmarkEnd w:id="2295"/>
                </w:p>
                <w:p w:rsidR="00F04EEF" w:rsidRDefault="0099351E">
                  <w:pPr>
                    <w:jc w:val="both"/>
                  </w:pPr>
                  <w:r>
                    <w:tab/>
                  </w:r>
                </w:p>
                <w:p w:rsidR="00F04EEF" w:rsidRDefault="0099351E">
                  <w:pPr>
                    <w:pStyle w:val="Titre4"/>
                  </w:pPr>
                  <w:r>
                    <w:t>3.1. L’horaire des membres du personnel suivant est fixé comme suit</w:t>
                  </w:r>
                </w:p>
                <w:p w:rsidR="00F04EEF" w:rsidRDefault="00F04EEF">
                  <w:pPr>
                    <w:jc w:val="both"/>
                  </w:pPr>
                </w:p>
                <w:p w:rsidR="00F04EEF" w:rsidRDefault="0099351E">
                  <w:pPr>
                    <w:tabs>
                      <w:tab w:val="left" w:pos="2835"/>
                    </w:tabs>
                  </w:pPr>
                  <w:r>
                    <w:t>Ergothérapeute</w:t>
                  </w:r>
                  <w:r>
                    <w:tab/>
                  </w:r>
                  <w:r>
                    <w:tab/>
                    <w:t>32 périodes de 50 minutes</w:t>
                  </w:r>
                </w:p>
                <w:p w:rsidR="00F04EEF" w:rsidRDefault="0099351E">
                  <w:pPr>
                    <w:tabs>
                      <w:tab w:val="left" w:pos="2835"/>
                    </w:tabs>
                  </w:pPr>
                  <w:r>
                    <w:t>Logopède</w:t>
                  </w:r>
                  <w:r>
                    <w:tab/>
                  </w:r>
                  <w:r>
                    <w:tab/>
                    <w:t>30  périodes de 50 minutes</w:t>
                  </w:r>
                </w:p>
                <w:p w:rsidR="00F04EEF" w:rsidRDefault="0099351E">
                  <w:pPr>
                    <w:tabs>
                      <w:tab w:val="left" w:pos="2835"/>
                    </w:tabs>
                  </w:pPr>
                  <w:r>
                    <w:t>Kinésithérapeute</w:t>
                  </w:r>
                  <w:r>
                    <w:tab/>
                  </w:r>
                  <w:r>
                    <w:tab/>
                    <w:t xml:space="preserve">32  périodes de 50 minutes </w:t>
                  </w:r>
                </w:p>
                <w:p w:rsidR="00F04EEF" w:rsidRDefault="0099351E">
                  <w:pPr>
                    <w:tabs>
                      <w:tab w:val="left" w:pos="2835"/>
                    </w:tabs>
                  </w:pPr>
                  <w:r>
                    <w:t>Puériculteur(trice)</w:t>
                  </w:r>
                  <w:r>
                    <w:tab/>
                  </w:r>
                  <w:r>
                    <w:tab/>
                    <w:t xml:space="preserve">32  périodes de 50 minutes </w:t>
                  </w:r>
                </w:p>
                <w:p w:rsidR="00F04EEF" w:rsidRDefault="0099351E">
                  <w:pPr>
                    <w:tabs>
                      <w:tab w:val="left" w:pos="2835"/>
                    </w:tabs>
                  </w:pPr>
                  <w:r>
                    <w:t>Infirmier(ère)</w:t>
                  </w:r>
                  <w:r>
                    <w:tab/>
                  </w:r>
                  <w:r>
                    <w:tab/>
                    <w:t xml:space="preserve">32  périodes de 50 minutes </w:t>
                  </w:r>
                </w:p>
                <w:p w:rsidR="00F04EEF" w:rsidRDefault="0099351E">
                  <w:pPr>
                    <w:tabs>
                      <w:tab w:val="left" w:pos="2835"/>
                    </w:tabs>
                  </w:pPr>
                  <w:r>
                    <w:t>Assistant(e) social(e)</w:t>
                  </w:r>
                  <w:r>
                    <w:tab/>
                  </w:r>
                  <w:r>
                    <w:tab/>
                    <w:t xml:space="preserve">36  périodes de 50 minutes </w:t>
                  </w:r>
                </w:p>
                <w:p w:rsidR="00F04EEF" w:rsidRDefault="0099351E">
                  <w:pPr>
                    <w:tabs>
                      <w:tab w:val="left" w:pos="2835"/>
                    </w:tabs>
                  </w:pPr>
                  <w:r>
                    <w:t>Psychologue</w:t>
                  </w:r>
                  <w:r>
                    <w:tab/>
                  </w:r>
                  <w:r>
                    <w:tab/>
                    <w:t>36  périodes de 50 minutes</w:t>
                  </w:r>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F04EEF" w:rsidRDefault="0099351E">
                  <w:pPr>
                    <w:pStyle w:val="Titre4"/>
                  </w:pPr>
                  <w:bookmarkStart w:id="2296" w:name="_3.2._Service_à"/>
                  <w:bookmarkEnd w:id="2296"/>
                  <w:r>
                    <w:t>3.2. Service à l’école et aux élèves</w:t>
                  </w:r>
                </w:p>
                <w:p w:rsidR="00F04EEF" w:rsidRDefault="00F04EEF">
                  <w:pPr>
                    <w:jc w:val="both"/>
                    <w:rPr>
                      <w:b/>
                      <w:u w:val="single"/>
                    </w:rPr>
                  </w:pPr>
                </w:p>
                <w:p w:rsidR="00F04EEF" w:rsidRDefault="0099351E">
                  <w:pPr>
                    <w:jc w:val="both"/>
                  </w:pPr>
                  <w:r>
                    <w:t>Les membres du personnel paramédical, social et psychologique sont tenus de remplir les missions suivantes, en plus de leurs prestations hebdomadaires visées au point 3.1 :</w:t>
                  </w:r>
                </w:p>
                <w:p w:rsidR="00F04EEF" w:rsidRDefault="00F04EEF">
                  <w:pPr>
                    <w:jc w:val="both"/>
                  </w:pPr>
                </w:p>
                <w:p w:rsidR="00F04EEF" w:rsidRDefault="0099351E">
                  <w:pPr>
                    <w:pStyle w:val="Paragraphedeliste"/>
                    <w:numPr>
                      <w:ilvl w:val="0"/>
                      <w:numId w:val="338"/>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Sur la base d’un calendrier annuel ou trimestriel fixé anticipativement, participer aux réunions entre membres de l’équipe éducative et parents.  </w:t>
                  </w:r>
                </w:p>
                <w:p w:rsidR="00F04EEF" w:rsidRDefault="0099351E">
                  <w:pPr>
                    <w:pStyle w:val="Paragraphedeliste"/>
                    <w:numPr>
                      <w:ilvl w:val="0"/>
                      <w:numId w:val="338"/>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Participer durant les heures scolaires aux activités socioculturelles et sportives en lien avec le projet d’établissement.</w:t>
                  </w:r>
                </w:p>
                <w:p w:rsidR="00F04EEF" w:rsidRDefault="0099351E">
                  <w:pPr>
                    <w:pStyle w:val="Paragraphedeliste"/>
                    <w:numPr>
                      <w:ilvl w:val="0"/>
                      <w:numId w:val="338"/>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Participer aux conseils de classe fixés anticipativement dans un calendrier annuel ou trimestriel.  </w:t>
                  </w:r>
                </w:p>
                <w:p w:rsidR="00F04EEF" w:rsidRDefault="0099351E">
                  <w:pPr>
                    <w:pStyle w:val="Paragraphedeliste"/>
                    <w:numPr>
                      <w:ilvl w:val="0"/>
                      <w:numId w:val="338"/>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Les autres services rentrant dans les prestations nécessaires à la bonne marche des établissements. </w:t>
                  </w:r>
                </w:p>
                <w:p w:rsidR="00F04EEF" w:rsidRDefault="00F04EEF">
                  <w:pPr>
                    <w:jc w:val="both"/>
                  </w:pPr>
                </w:p>
                <w:p w:rsidR="00F04EEF" w:rsidRDefault="0099351E">
                  <w:pPr>
                    <w:pStyle w:val="Titre4"/>
                  </w:pPr>
                  <w:r>
                    <w:t xml:space="preserve">3.3. Travail collaboratif </w:t>
                  </w:r>
                </w:p>
                <w:p w:rsidR="00F04EEF" w:rsidRDefault="00F04EEF">
                  <w:pPr>
                    <w:tabs>
                      <w:tab w:val="left" w:pos="2835"/>
                    </w:tabs>
                  </w:pPr>
                </w:p>
                <w:p w:rsidR="00F04EEF" w:rsidRDefault="0099351E">
                  <w:pPr>
                    <w:tabs>
                      <w:tab w:val="left" w:pos="2835"/>
                    </w:tabs>
                    <w:jc w:val="both"/>
                  </w:pPr>
                  <w:r>
                    <w:t xml:space="preserve">En outre, les membres du personnel exerçant une fonction du personnel paramédical, social et psychologique à prestations complètes sont tenus d’accomplir 60 périodes de travail collaboratif par année scolaire. </w:t>
                  </w:r>
                </w:p>
                <w:p w:rsidR="00F04EEF" w:rsidRDefault="00F04EEF">
                  <w:pPr>
                    <w:tabs>
                      <w:tab w:val="left" w:pos="2835"/>
                    </w:tabs>
                  </w:pPr>
                </w:p>
                <w:p w:rsidR="00F04EEF" w:rsidRDefault="0099351E">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t xml:space="preserve">Les périodes consacrées au travail collaboratif sont comprises dans leurs charges hebdomadaires définies au point 3.1. </w:t>
                  </w:r>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F04EEF" w:rsidRDefault="0099351E">
                  <w:pPr>
                    <w:pStyle w:val="Titre3"/>
                    <w:rPr>
                      <w:sz w:val="22"/>
                      <w:szCs w:val="22"/>
                    </w:rPr>
                  </w:pPr>
                  <w:bookmarkStart w:id="2297" w:name="__RefHeading__173_957262308"/>
                  <w:bookmarkStart w:id="2298" w:name="_Toc453314356"/>
                  <w:bookmarkStart w:id="2299" w:name="_Toc454980391"/>
                  <w:bookmarkStart w:id="2300" w:name="_Toc47708515"/>
                  <w:bookmarkEnd w:id="2297"/>
                  <w:r>
                    <w:rPr>
                      <w:sz w:val="22"/>
                      <w:szCs w:val="22"/>
                    </w:rPr>
                    <w:t>4. Utilisation du capital-périodes</w:t>
                  </w:r>
                  <w:bookmarkEnd w:id="2298"/>
                  <w:bookmarkEnd w:id="2299"/>
                  <w:bookmarkEnd w:id="2300"/>
                </w:p>
                <w:p w:rsidR="00F04EEF" w:rsidRDefault="00F04EEF"/>
                <w:p w:rsidR="00F04EEF" w:rsidRDefault="0099351E">
                  <w:pPr>
                    <w:jc w:val="both"/>
                  </w:pPr>
                  <w:r>
                    <w:t>Dans chaque établissement d’enseignement spécialisé,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paramédical, social et psychologique dans le respect des règles statutaires.</w:t>
                  </w:r>
                </w:p>
                <w:p w:rsidR="00F04EEF" w:rsidRDefault="00F04EEF">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b/>
                    </w:rPr>
                  </w:pPr>
                </w:p>
                <w:p w:rsidR="00F04EEF" w:rsidRDefault="0099351E">
                  <w:pPr>
                    <w:pStyle w:val="Titre3"/>
                    <w:rPr>
                      <w:sz w:val="22"/>
                      <w:szCs w:val="22"/>
                    </w:rPr>
                  </w:pPr>
                  <w:bookmarkStart w:id="2301" w:name="__RefHeading__175_957262308"/>
                  <w:bookmarkStart w:id="2302" w:name="_6._Répartition_du"/>
                  <w:bookmarkStart w:id="2303" w:name="_Toc291075342"/>
                  <w:bookmarkStart w:id="2304" w:name="_Toc291075766"/>
                  <w:bookmarkStart w:id="2305" w:name="_Toc291076190"/>
                  <w:bookmarkStart w:id="2306" w:name="_Toc291076614"/>
                  <w:bookmarkStart w:id="2307" w:name="_Toc291077038"/>
                  <w:bookmarkStart w:id="2308" w:name="_Toc293651881"/>
                  <w:bookmarkStart w:id="2309" w:name="_Toc293653464"/>
                  <w:bookmarkStart w:id="2310" w:name="_Toc293654075"/>
                  <w:bookmarkStart w:id="2311" w:name="_Toc294004653"/>
                  <w:bookmarkStart w:id="2312" w:name="_Toc294185149"/>
                  <w:bookmarkStart w:id="2313" w:name="_Toc324165965"/>
                  <w:bookmarkStart w:id="2314" w:name="_Toc324767002"/>
                  <w:bookmarkStart w:id="2315" w:name="_Toc453314357"/>
                  <w:bookmarkStart w:id="2316" w:name="_Toc454980392"/>
                  <w:bookmarkStart w:id="2317" w:name="_Toc47708516"/>
                  <w:bookmarkEnd w:id="2301"/>
                  <w:bookmarkEnd w:id="2302"/>
                  <w:r>
                    <w:rPr>
                      <w:sz w:val="22"/>
                      <w:szCs w:val="22"/>
                    </w:rPr>
                    <w:t>5. Répartition du capital-périodes par fonction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rsidR="00F04EEF" w:rsidRDefault="00F04EEF">
                  <w:pPr>
                    <w:jc w:val="both"/>
                  </w:pPr>
                </w:p>
                <w:p w:rsidR="00F04EEF" w:rsidRDefault="0099351E">
                  <w:pPr>
                    <w:jc w:val="both"/>
                  </w:pPr>
                  <w:r>
                    <w:t>Les emplois occupés par des agents définitifs et qui étaient organisés ou subventionnés dans le cadre du capital-périodes de l’année scolaire précédente seront reconduits en priorité.</w:t>
                  </w:r>
                </w:p>
                <w:p w:rsidR="00F04EEF" w:rsidRDefault="00F04EEF">
                  <w:pPr>
                    <w:jc w:val="both"/>
                  </w:pPr>
                </w:p>
                <w:p w:rsidR="00F04EEF" w:rsidRDefault="0099351E">
                  <w:pPr>
                    <w:jc w:val="both"/>
                  </w:pPr>
                  <w:r>
                    <w:t>Le chapitre VI du Décret du 3 mars 2004 organisant l’enseignement spécialisé fixe un capital-périodes global pour les fonctions du personnel paramédical, du personnel social et du personnel psychologique.  Il en résulte qu’aucun temporaire ne peut être engagé dans une de ces fonctions s’il existe par ailleurs au sein de l’établissement ou, pour l’enseignement subventionné officiel, au sein d’un des établissements organisés par le pouvoir organisateur sur le territoire de la commune, un membre du personnel nommé à titre définitif soit mis en disponibilité par défaut d’emploi, soit en perte partielle de charge.</w:t>
                  </w:r>
                </w:p>
                <w:p w:rsidR="00F04EEF" w:rsidRDefault="00F04EEF">
                  <w:pPr>
                    <w:jc w:val="both"/>
                  </w:pPr>
                </w:p>
                <w:p w:rsidR="00F04EEF" w:rsidRDefault="0099351E">
                  <w:pPr>
                    <w:jc w:val="both"/>
                  </w:pPr>
                  <w:r>
                    <w:t>Si le capital-périodes le permet, priorité est accordée à la réaffectation, au rappel à l’activité et au complètement de charge d’un autre membre du personnel, conformément aux dispositions statutaires.</w:t>
                  </w:r>
                </w:p>
                <w:p w:rsidR="00F04EEF" w:rsidRDefault="00F04EEF">
                  <w:pPr>
                    <w:jc w:val="both"/>
                  </w:pPr>
                </w:p>
                <w:p w:rsidR="00F04EEF" w:rsidRDefault="0099351E">
                  <w:pPr>
                    <w:jc w:val="both"/>
                  </w:pPr>
                  <w:r>
                    <w:t>Les mises en disponibilité se font dans le respect global des anciennetés de service.  Il en résulte qu’est mis en disponibilité, ou en perte partielle de charge, l’agent nommé à l’une des fonctions du personnel paramédical, psychologique ou social, qui compte la plus petite ancienneté de service.  Un seul agent peut donc de cette manière être en perte partielle de charge.</w:t>
                  </w:r>
                </w:p>
                <w:p w:rsidR="00F04EEF" w:rsidRDefault="00F04EEF">
                  <w:pPr>
                    <w:jc w:val="both"/>
                  </w:pPr>
                </w:p>
                <w:p w:rsidR="00F04EEF" w:rsidRDefault="0099351E">
                  <w:pPr>
                    <w:jc w:val="both"/>
                  </w:pPr>
                  <w:r>
                    <w:t xml:space="preserve">Si l’établissement, pour répondre à des besoins spécifiques de l’élève, estime indispensable de mettre deux agents ou plus prestant dans des fonctions différentes, en perte partielle de charge, il introduit une demande auprès du Ministre en charge de l’Enseignement spécialisé </w:t>
                  </w:r>
                  <w:r>
                    <w:rPr>
                      <w:bCs/>
                    </w:rPr>
                    <w:t>au plus tard le 20 septembre</w:t>
                  </w:r>
                  <w:r>
                    <w:t>.</w:t>
                  </w:r>
                </w:p>
                <w:p w:rsidR="00F04EEF" w:rsidRDefault="00F04EEF"/>
                <w:p w:rsidR="00F04EEF" w:rsidRDefault="0099351E">
                  <w:pPr>
                    <w:jc w:val="both"/>
                  </w:pPr>
                  <w:r>
                    <w:t>Cette demande doit être obligatoirement justifiée et complétée par les informations suivantes :</w:t>
                  </w:r>
                </w:p>
                <w:p w:rsidR="00F04EEF" w:rsidRDefault="00F04EEF"/>
                <w:p w:rsidR="00F04EEF" w:rsidRDefault="0099351E">
                  <w:pPr>
                    <w:pStyle w:val="Paragraphedeliste"/>
                    <w:numPr>
                      <w:ilvl w:val="0"/>
                      <w:numId w:val="317"/>
                    </w:numPr>
                    <w:rPr>
                      <w:rFonts w:asciiTheme="majorHAnsi" w:hAnsiTheme="majorHAnsi"/>
                      <w:sz w:val="22"/>
                      <w:szCs w:val="22"/>
                      <w:lang w:val="fr-FR"/>
                    </w:rPr>
                  </w:pPr>
                  <w:r>
                    <w:rPr>
                      <w:rFonts w:asciiTheme="majorHAnsi" w:hAnsiTheme="majorHAnsi"/>
                      <w:sz w:val="22"/>
                      <w:szCs w:val="22"/>
                      <w:lang w:val="fr-FR"/>
                    </w:rPr>
                    <w:t>la ventilation du C.P.U. ;</w:t>
                  </w:r>
                </w:p>
                <w:p w:rsidR="00F04EEF" w:rsidRDefault="0099351E">
                  <w:pPr>
                    <w:pStyle w:val="Paragraphedeliste"/>
                    <w:numPr>
                      <w:ilvl w:val="0"/>
                      <w:numId w:val="317"/>
                    </w:numPr>
                    <w:rPr>
                      <w:rFonts w:asciiTheme="majorHAnsi" w:hAnsiTheme="majorHAnsi"/>
                      <w:sz w:val="22"/>
                      <w:szCs w:val="22"/>
                    </w:rPr>
                  </w:pPr>
                  <w:r>
                    <w:rPr>
                      <w:rFonts w:asciiTheme="majorHAnsi" w:hAnsiTheme="majorHAnsi"/>
                      <w:sz w:val="22"/>
                      <w:szCs w:val="22"/>
                      <w:lang w:val="fr-FR"/>
                    </w:rPr>
                    <w:t xml:space="preserve">la situation </w:t>
                  </w:r>
                  <w:r>
                    <w:rPr>
                      <w:rFonts w:asciiTheme="majorHAnsi" w:hAnsiTheme="majorHAnsi"/>
                      <w:sz w:val="22"/>
                      <w:szCs w:val="22"/>
                    </w:rPr>
                    <w:t>administrative, ancienneté et nombre d’heures de nomination de tout le personnel paramédical,</w:t>
                  </w:r>
                </w:p>
                <w:p w:rsidR="00F04EEF" w:rsidRDefault="0099351E">
                  <w:pPr>
                    <w:pStyle w:val="Paragraphedeliste"/>
                    <w:numPr>
                      <w:ilvl w:val="0"/>
                      <w:numId w:val="317"/>
                    </w:numPr>
                    <w:rPr>
                      <w:rFonts w:asciiTheme="majorHAnsi" w:hAnsiTheme="majorHAnsi"/>
                      <w:sz w:val="22"/>
                      <w:szCs w:val="22"/>
                    </w:rPr>
                  </w:pPr>
                  <w:r>
                    <w:rPr>
                      <w:rFonts w:asciiTheme="majorHAnsi" w:hAnsiTheme="majorHAnsi"/>
                      <w:sz w:val="22"/>
                      <w:szCs w:val="22"/>
                    </w:rPr>
                    <w:t>la motivation éducative,</w:t>
                  </w:r>
                </w:p>
                <w:p w:rsidR="00F04EEF" w:rsidRDefault="0099351E">
                  <w:pPr>
                    <w:pStyle w:val="Paragraphedeliste"/>
                    <w:numPr>
                      <w:ilvl w:val="0"/>
                      <w:numId w:val="317"/>
                    </w:numPr>
                    <w:rPr>
                      <w:rFonts w:asciiTheme="majorHAnsi" w:hAnsiTheme="majorHAnsi"/>
                      <w:sz w:val="22"/>
                      <w:szCs w:val="22"/>
                    </w:rPr>
                  </w:pPr>
                  <w:r>
                    <w:rPr>
                      <w:rFonts w:asciiTheme="majorHAnsi" w:hAnsiTheme="majorHAnsi"/>
                      <w:sz w:val="22"/>
                      <w:szCs w:val="22"/>
                    </w:rPr>
                    <w:t>l’avis de l’organe légal de concertation.</w:t>
                  </w:r>
                </w:p>
                <w:p w:rsidR="00F04EEF" w:rsidRDefault="00F04EEF">
                  <w:pPr>
                    <w:suppressAutoHyphens/>
                    <w:jc w:val="both"/>
                  </w:pPr>
                </w:p>
                <w:p w:rsidR="00F04EEF" w:rsidRDefault="0099351E">
                  <w:pPr>
                    <w:pStyle w:val="Titre3"/>
                    <w:rPr>
                      <w:sz w:val="22"/>
                      <w:szCs w:val="22"/>
                    </w:rPr>
                  </w:pPr>
                  <w:bookmarkStart w:id="2318" w:name="_Toc47708517"/>
                  <w:r>
                    <w:rPr>
                      <w:sz w:val="22"/>
                      <w:szCs w:val="22"/>
                    </w:rPr>
                    <w:t>6. Encodage dans SIEL</w:t>
                  </w:r>
                  <w:bookmarkEnd w:id="2318"/>
                </w:p>
                <w:p w:rsidR="00F04EEF" w:rsidRDefault="00F04EEF">
                  <w:pPr>
                    <w:jc w:val="both"/>
                  </w:pPr>
                </w:p>
                <w:p w:rsidR="00F04EEF" w:rsidRDefault="0099351E">
                  <w:pPr>
                    <w:jc w:val="both"/>
                  </w:pPr>
                  <w:r>
                    <w:t xml:space="preserve">Il est impératif d’indiquer dans SIEL le code « U » lorsque les élèves bénéficient du paramédical. </w:t>
                  </w:r>
                </w:p>
                <w:p w:rsidR="00F04EEF" w:rsidRDefault="00F04EEF">
                  <w:pPr>
                    <w:jc w:val="both"/>
                  </w:pPr>
                </w:p>
                <w:bookmarkStart w:id="2319" w:name="_7._Prestations_durant"/>
                <w:bookmarkStart w:id="2320" w:name="_Toc47708518"/>
                <w:bookmarkEnd w:id="2319"/>
                <w:p w:rsidR="00F04EEF" w:rsidRDefault="0099351E">
                  <w:pPr>
                    <w:pStyle w:val="Titre3"/>
                    <w:rPr>
                      <w:sz w:val="22"/>
                      <w:szCs w:val="22"/>
                    </w:rPr>
                  </w:pPr>
                  <w:r>
                    <w:rPr>
                      <w:noProof/>
                      <w:sz w:val="22"/>
                      <w:szCs w:val="22"/>
                      <w:lang w:eastAsia="fr-BE"/>
                    </w:rPr>
                    <mc:AlternateContent>
                      <mc:Choice Requires="wps">
                        <w:drawing>
                          <wp:anchor distT="0" distB="0" distL="114300" distR="114300" simplePos="0" relativeHeight="252393472" behindDoc="0" locked="0" layoutInCell="1" allowOverlap="1">
                            <wp:simplePos x="0" y="0"/>
                            <wp:positionH relativeFrom="column">
                              <wp:posOffset>6358890</wp:posOffset>
                            </wp:positionH>
                            <wp:positionV relativeFrom="paragraph">
                              <wp:posOffset>93345</wp:posOffset>
                            </wp:positionV>
                            <wp:extent cx="0" cy="1879600"/>
                            <wp:effectExtent l="0" t="0" r="19050" b="25400"/>
                            <wp:wrapNone/>
                            <wp:docPr id="514" name="Connecteur droit 514"/>
                            <wp:cNvGraphicFramePr/>
                            <a:graphic xmlns:a="http://schemas.openxmlformats.org/drawingml/2006/main">
                              <a:graphicData uri="http://schemas.microsoft.com/office/word/2010/wordprocessingShape">
                                <wps:wsp>
                                  <wps:cNvCnPr/>
                                  <wps:spPr>
                                    <a:xfrm>
                                      <a:off x="0" y="0"/>
                                      <a:ext cx="0" cy="1879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79F113" id="Connecteur droit 514" o:spid="_x0000_s1026" style="position:absolute;z-index:252393472;visibility:visible;mso-wrap-style:square;mso-wrap-distance-left:9pt;mso-wrap-distance-top:0;mso-wrap-distance-right:9pt;mso-wrap-distance-bottom:0;mso-position-horizontal:absolute;mso-position-horizontal-relative:text;mso-position-vertical:absolute;mso-position-vertical-relative:text" from="500.7pt,7.35pt" to="500.7pt,1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" strokecolor="black [3213]"/>
                        </w:pict>
                      </mc:Fallback>
                    </mc:AlternateContent>
                  </w:r>
                  <w:r>
                    <w:rPr>
                      <w:sz w:val="22"/>
                      <w:szCs w:val="22"/>
                    </w:rPr>
                    <w:t>7. Prestations durant les congés</w:t>
                  </w:r>
                  <w:r>
                    <w:rPr>
                      <w:sz w:val="22"/>
                      <w:szCs w:val="22"/>
                      <w:vertAlign w:val="superscript"/>
                    </w:rPr>
                    <w:footnoteReference w:id="134"/>
                  </w:r>
                  <w:bookmarkEnd w:id="2320"/>
                </w:p>
                <w:p w:rsidR="00F04EEF" w:rsidRDefault="0099351E">
                  <w:pPr>
                    <w:autoSpaceDE w:val="0"/>
                    <w:autoSpaceDN w:val="0"/>
                    <w:jc w:val="both"/>
                  </w:pPr>
                  <w:r>
                    <w:t>Les membres du personnel paramédical bénéficient d'un congé de vacances annuelles fixé comme suit :</w:t>
                  </w:r>
                </w:p>
                <w:p w:rsidR="00F04EEF" w:rsidRDefault="0099351E">
                  <w:pPr>
                    <w:numPr>
                      <w:ilvl w:val="0"/>
                      <w:numId w:val="367"/>
                    </w:numPr>
                    <w:autoSpaceDE w:val="0"/>
                    <w:autoSpaceDN w:val="0"/>
                    <w:spacing w:line="259" w:lineRule="auto"/>
                    <w:jc w:val="both"/>
                  </w:pPr>
                  <w:r>
                    <w:t>a) vacances de Noël : du 21 décembre au 3 janvier inclus ou du 22 décembre au 4 janvier inclus ou du 23 décembre au 5 janvier inclus;</w:t>
                  </w:r>
                </w:p>
                <w:p w:rsidR="00F04EEF" w:rsidRDefault="0099351E">
                  <w:pPr>
                    <w:numPr>
                      <w:ilvl w:val="0"/>
                      <w:numId w:val="367"/>
                    </w:numPr>
                    <w:autoSpaceDE w:val="0"/>
                    <w:autoSpaceDN w:val="0"/>
                    <w:spacing w:line="259" w:lineRule="auto"/>
                    <w:jc w:val="both"/>
                  </w:pPr>
                  <w:r>
                    <w:t>b) vacances de Pâques : deux semaines;</w:t>
                  </w:r>
                </w:p>
                <w:p w:rsidR="00F04EEF" w:rsidRDefault="0099351E">
                  <w:pPr>
                    <w:numPr>
                      <w:ilvl w:val="0"/>
                      <w:numId w:val="367"/>
                    </w:numPr>
                    <w:autoSpaceDE w:val="0"/>
                    <w:autoSpaceDN w:val="0"/>
                    <w:spacing w:line="259" w:lineRule="auto"/>
                    <w:jc w:val="both"/>
                  </w:pPr>
                  <w:r>
                    <w:t>c) vacances d'été : du 1er juillet au 31 août.</w:t>
                  </w:r>
                </w:p>
                <w:p w:rsidR="00F04EEF" w:rsidRDefault="0099351E">
                  <w:pPr>
                    <w:autoSpaceDE w:val="0"/>
                    <w:autoSpaceDN w:val="0"/>
                    <w:jc w:val="both"/>
                  </w:pPr>
                  <w:r>
                    <w:t>Durant la période de vacances d'été du 1er juillet au 31 août, 5 jours ouvrables sont prestés entre le 16 et le 31 août.</w:t>
                  </w:r>
                </w:p>
                <w:p w:rsidR="00F04EEF" w:rsidRDefault="00F04EEF">
                  <w:pPr>
                    <w:autoSpaceDE w:val="0"/>
                    <w:autoSpaceDN w:val="0"/>
                    <w:jc w:val="both"/>
                  </w:pPr>
                </w:p>
                <w:p w:rsidR="00F04EEF" w:rsidRDefault="0099351E">
                  <w:pPr>
                    <w:jc w:val="both"/>
                  </w:pPr>
                  <w:r>
                    <w:rPr>
                      <w:noProof/>
                      <w:lang w:eastAsia="fr-BE"/>
                    </w:rPr>
                    <mc:AlternateContent>
                      <mc:Choice Requires="wps">
                        <w:drawing>
                          <wp:anchor distT="0" distB="0" distL="114300" distR="114300" simplePos="0" relativeHeight="252394496" behindDoc="0" locked="0" layoutInCell="1" allowOverlap="1">
                            <wp:simplePos x="0" y="0"/>
                            <wp:positionH relativeFrom="column">
                              <wp:posOffset>6358890</wp:posOffset>
                            </wp:positionH>
                            <wp:positionV relativeFrom="paragraph">
                              <wp:posOffset>2403475</wp:posOffset>
                            </wp:positionV>
                            <wp:extent cx="0" cy="533400"/>
                            <wp:effectExtent l="0" t="0" r="19050" b="19050"/>
                            <wp:wrapNone/>
                            <wp:docPr id="516" name="Connecteur droit 516"/>
                            <wp:cNvGraphicFramePr/>
                            <a:graphic xmlns:a="http://schemas.openxmlformats.org/drawingml/2006/main">
                              <a:graphicData uri="http://schemas.microsoft.com/office/word/2010/wordprocessingShape">
                                <wps:wsp>
                                  <wps:cNvCnPr/>
                                  <wps:spPr>
                                    <a:xfrm>
                                      <a:off x="0" y="0"/>
                                      <a:ext cx="0" cy="533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B06C13" id="Connecteur droit 516" o:spid="_x0000_s1026" style="position:absolute;z-index:252394496;visibility:visible;mso-wrap-style:square;mso-wrap-distance-left:9pt;mso-wrap-distance-top:0;mso-wrap-distance-right:9pt;mso-wrap-distance-bottom:0;mso-position-horizontal:absolute;mso-position-horizontal-relative:text;mso-position-vertical:absolute;mso-position-vertical-relative:text" from="500.7pt,189.25pt" to="500.7pt,2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" strokecolor="black [3213]"/>
                        </w:pict>
                      </mc:Fallback>
                    </mc:AlternateContent>
                  </w:r>
                  <w:r>
                    <w:t>Ces dispositions ne s’appliquent pas aux membres du personnel temporaire.</w:t>
                  </w:r>
                  <w:r>
                    <w:br w:type="page"/>
                  </w:r>
                </w:p>
                <w:sdt>
                  <w:sdtPr>
                    <w:rPr>
                      <w:rFonts w:asciiTheme="majorHAnsi" w:eastAsiaTheme="minorHAnsi" w:hAnsiTheme="majorHAnsi"/>
                      <w:lang w:eastAsia="en-US"/>
                    </w:rPr>
                    <w:id w:val="1870878055"/>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pPr>
                      <w:bookmarkStart w:id="2321" w:name="_Toc477623724"/>
                      <w:bookmarkStart w:id="2322" w:name="_Toc477767521"/>
                      <w:bookmarkStart w:id="2323" w:name="_Toc47708519"/>
                      <w:r>
                        <w:t>Chapitre</w:t>
                      </w:r>
                      <w:bookmarkEnd w:id="2321"/>
                      <w:bookmarkEnd w:id="2322"/>
                      <w:r>
                        <w:t xml:space="preserve"> 8 :</w:t>
                      </w:r>
                      <w:bookmarkStart w:id="2324" w:name="_Toc477623725"/>
                      <w:bookmarkStart w:id="2325" w:name="_Toc477767522"/>
                      <w:r>
                        <w:t xml:space="preserve"> Capitaux-périodes : Transfert et affectation particulière</w:t>
                      </w:r>
                      <w:bookmarkEnd w:id="2324"/>
                      <w:bookmarkEnd w:id="2325"/>
                      <w:bookmarkEnd w:id="2323"/>
                    </w:p>
                    <w:p w:rsidR="00F04EEF" w:rsidRDefault="00F04EEF"/>
                    <w:p w:rsidR="00F04EEF" w:rsidRDefault="00F04EEF"/>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r>
                    <w:rPr>
                      <w:b/>
                      <w:u w:val="single"/>
                    </w:rPr>
                    <w:t>Base légale</w:t>
                  </w:r>
                  <w:r>
                    <w:t xml:space="preserve"> : </w:t>
                  </w:r>
                </w:p>
                <w:p w:rsidR="00F04EEF" w:rsidRDefault="00F04EEF"/>
                <w:p w:rsidR="00F04EEF" w:rsidRDefault="00F42422">
                  <w:pPr>
                    <w:numPr>
                      <w:ilvl w:val="0"/>
                      <w:numId w:val="48"/>
                    </w:numPr>
                    <w:suppressAutoHyphens/>
                    <w:jc w:val="both"/>
                  </w:pPr>
                  <w:hyperlink r:id="rId166" w:history="1">
                    <w:r w:rsidR="0099351E">
                      <w:rPr>
                        <w:rStyle w:val="Lienhypertexte"/>
                        <w:rFonts w:cs="Arial"/>
                      </w:rPr>
                      <w:t>Décret du 3 mars 2004 organisant l'enseignement spécialisé</w:t>
                    </w:r>
                  </w:hyperlink>
                  <w:r w:rsidR="0099351E">
                    <w:t>.</w:t>
                  </w:r>
                </w:p>
                <w:p w:rsidR="00F04EEF" w:rsidRDefault="00F04EEF"/>
                <w:p w:rsidR="00F04EEF" w:rsidRDefault="0099351E">
                  <w:pPr>
                    <w:pStyle w:val="Titre3"/>
                    <w:rPr>
                      <w:sz w:val="22"/>
                      <w:szCs w:val="22"/>
                    </w:rPr>
                  </w:pPr>
                  <w:bookmarkStart w:id="2326" w:name="_1._Rappel_de"/>
                  <w:bookmarkStart w:id="2327" w:name="__RefHeading__189_957262308"/>
                  <w:bookmarkStart w:id="2328" w:name="_Toc291075349"/>
                  <w:bookmarkStart w:id="2329" w:name="_Toc291075773"/>
                  <w:bookmarkStart w:id="2330" w:name="_Toc291076197"/>
                  <w:bookmarkStart w:id="2331" w:name="_Toc291076621"/>
                  <w:bookmarkStart w:id="2332" w:name="_Toc291077045"/>
                  <w:bookmarkStart w:id="2333" w:name="_Toc293651888"/>
                  <w:bookmarkStart w:id="2334" w:name="_Toc293653471"/>
                  <w:bookmarkStart w:id="2335" w:name="_Toc293654082"/>
                  <w:bookmarkStart w:id="2336" w:name="_Toc294004660"/>
                  <w:bookmarkStart w:id="2337" w:name="_Toc294185156"/>
                  <w:bookmarkStart w:id="2338" w:name="_Toc324165972"/>
                  <w:bookmarkStart w:id="2339" w:name="_Toc324767009"/>
                  <w:bookmarkStart w:id="2340" w:name="_Toc453314364"/>
                  <w:bookmarkStart w:id="2341" w:name="_Toc454980399"/>
                  <w:bookmarkStart w:id="2342" w:name="_Toc47708520"/>
                  <w:bookmarkEnd w:id="2326"/>
                  <w:bookmarkEnd w:id="2327"/>
                  <w:r>
                    <w:rPr>
                      <w:sz w:val="22"/>
                      <w:szCs w:val="22"/>
                    </w:rPr>
                    <w:t>1. Rappel de la réglementation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r>
                    <w:rPr>
                      <w:sz w:val="22"/>
                      <w:szCs w:val="22"/>
                    </w:rPr>
                    <w:t xml:space="preserve"> </w:t>
                  </w:r>
                </w:p>
                <w:p w:rsidR="00F04EEF" w:rsidRDefault="0099351E">
                  <w:pPr>
                    <w:tabs>
                      <w:tab w:val="left" w:pos="-1440"/>
                      <w:tab w:val="left" w:pos="-720"/>
                    </w:tabs>
                    <w:jc w:val="both"/>
                  </w:pPr>
                  <w:r>
                    <w:rPr>
                      <w:noProof/>
                      <w:lang w:eastAsia="fr-BE"/>
                    </w:rPr>
                    <mc:AlternateContent>
                      <mc:Choice Requires="wps">
                        <w:drawing>
                          <wp:anchor distT="0" distB="0" distL="114300" distR="114300" simplePos="0" relativeHeight="252239872" behindDoc="0" locked="0" layoutInCell="1" allowOverlap="1">
                            <wp:simplePos x="0" y="0"/>
                            <wp:positionH relativeFrom="column">
                              <wp:posOffset>6176645</wp:posOffset>
                            </wp:positionH>
                            <wp:positionV relativeFrom="paragraph">
                              <wp:posOffset>210185</wp:posOffset>
                            </wp:positionV>
                            <wp:extent cx="0" cy="114300"/>
                            <wp:effectExtent l="0" t="0" r="19050" b="19050"/>
                            <wp:wrapNone/>
                            <wp:docPr id="530" name="Connecteur droit 530"/>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B2A8FC" id="Connecteur droit 530" o:spid="_x0000_s1026" style="position:absolute;z-index:252239872;visibility:visible;mso-wrap-style:square;mso-wrap-distance-left:9pt;mso-wrap-distance-top:0;mso-wrap-distance-right:9pt;mso-wrap-distance-bottom:0;mso-position-horizontal:absolute;mso-position-horizontal-relative:text;mso-position-vertical:absolute;mso-position-vertical-relative:text" from="486.35pt,16.55pt" to="486.3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" strokecolor="black [3213]"/>
                        </w:pict>
                      </mc:Fallback>
                    </mc:AlternateContent>
                  </w:r>
                </w:p>
                <w:p w:rsidR="00F04EEF" w:rsidRDefault="0099351E">
                  <w:pPr>
                    <w:jc w:val="both"/>
                  </w:pPr>
                  <w:r>
                    <w:t>Les emplois occupés par les agents définitifs qui étaient organisés ou subventionnés dans le cadre du capital-périodes de l'année scolaire précédente seront reconduits en priorité.</w:t>
                  </w:r>
                </w:p>
                <w:p w:rsidR="00F04EEF" w:rsidRDefault="00F04EEF">
                  <w:pPr>
                    <w:jc w:val="both"/>
                  </w:pPr>
                </w:p>
                <w:p w:rsidR="00F04EEF" w:rsidRDefault="0099351E">
                  <w:pPr>
                    <w:jc w:val="both"/>
                  </w:pPr>
                  <w:r>
                    <w:t>Dans les limites des capitaux-périodes restant à attribuer, la priorité sera alors accordée aux membres du personnel de la catégorie qui seraient en disponibilité par défaut d’emploi.</w:t>
                  </w:r>
                </w:p>
                <w:p w:rsidR="00F04EEF" w:rsidRDefault="00F04EEF">
                  <w:pPr>
                    <w:jc w:val="both"/>
                  </w:pPr>
                </w:p>
                <w:p w:rsidR="00F04EEF" w:rsidRDefault="0099351E">
                  <w:pPr>
                    <w:jc w:val="both"/>
                  </w:pPr>
                  <w:r>
                    <w:t xml:space="preserve">Pour le personnel directeur et enseignant, les périodes disponibles n'apparaîtront qu'après que toutes les classes ou groupes nécessaires en fonction des élèves régulièrement inscrits auront été constitués et que les périodes supplémentaires de direction de classe auront été prélevées conformément aux règles prescrites par le </w:t>
                  </w:r>
                  <w:hyperlink w:anchor="_chapitre_5_:" w:history="1">
                    <w:r>
                      <w:rPr>
                        <w:rStyle w:val="Lienhypertexte"/>
                        <w:rFonts w:cs="Arial"/>
                      </w:rPr>
                      <w:t>chapitre 5</w:t>
                    </w:r>
                  </w:hyperlink>
                  <w:r>
                    <w:t>.</w:t>
                  </w:r>
                </w:p>
                <w:p w:rsidR="00F04EEF" w:rsidRDefault="00F04EEF">
                  <w:pPr>
                    <w:jc w:val="both"/>
                  </w:pPr>
                </w:p>
                <w:p w:rsidR="00F04EEF" w:rsidRDefault="0099351E">
                  <w:pPr>
                    <w:jc w:val="both"/>
                  </w:pPr>
                  <w:r>
                    <w:t xml:space="preserve">Pour les personnels paramédical, social, psychologique, auxiliaire d’éducation et administratif, les périodes disponibles n'apparaîtront qu'après fixation du nombre de charges complètes ou partielles selon le </w:t>
                  </w:r>
                  <w:hyperlink w:anchor="_chapitre_6_:" w:history="1">
                    <w:r>
                      <w:rPr>
                        <w:rStyle w:val="Lienhypertexte"/>
                        <w:rFonts w:cs="Arial"/>
                      </w:rPr>
                      <w:t>chapitre 6</w:t>
                    </w:r>
                  </w:hyperlink>
                  <w:r>
                    <w:t xml:space="preserve"> et le </w:t>
                  </w:r>
                  <w:hyperlink w:anchor="_Chapitre_7_:_1" w:history="1">
                    <w:r>
                      <w:rPr>
                        <w:rStyle w:val="Lienhypertexte"/>
                        <w:rFonts w:cs="Arial"/>
                      </w:rPr>
                      <w:t>chapitre 7</w:t>
                    </w:r>
                  </w:hyperlink>
                  <w:r>
                    <w:rPr>
                      <w:rFonts w:cs="Arial"/>
                    </w:rPr>
                    <w:t>.</w:t>
                  </w:r>
                </w:p>
                <w:p w:rsidR="00F04EEF" w:rsidRDefault="00F04EEF">
                  <w:bookmarkStart w:id="2343" w:name="_2._Transfert_de"/>
                  <w:bookmarkStart w:id="2344" w:name="__RefHeading__191_957262308"/>
                  <w:bookmarkStart w:id="2345" w:name="_Toc291075350"/>
                  <w:bookmarkStart w:id="2346" w:name="_Toc291075774"/>
                  <w:bookmarkStart w:id="2347" w:name="_Toc291076198"/>
                  <w:bookmarkStart w:id="2348" w:name="_Toc291076622"/>
                  <w:bookmarkStart w:id="2349" w:name="_Toc291077046"/>
                  <w:bookmarkStart w:id="2350" w:name="_Toc293651889"/>
                  <w:bookmarkStart w:id="2351" w:name="_Toc293653472"/>
                  <w:bookmarkStart w:id="2352" w:name="_Toc293654083"/>
                  <w:bookmarkStart w:id="2353" w:name="_Toc294004661"/>
                  <w:bookmarkStart w:id="2354" w:name="_Toc294185157"/>
                  <w:bookmarkStart w:id="2355" w:name="_Toc324165973"/>
                  <w:bookmarkStart w:id="2356" w:name="_Toc324767010"/>
                  <w:bookmarkStart w:id="2357" w:name="_Toc453314365"/>
                  <w:bookmarkStart w:id="2358" w:name="_Toc454980400"/>
                  <w:bookmarkEnd w:id="2343"/>
                  <w:bookmarkEnd w:id="2344"/>
                </w:p>
                <w:p w:rsidR="00F04EEF" w:rsidRDefault="0099351E">
                  <w:pPr>
                    <w:pStyle w:val="Titre3"/>
                    <w:jc w:val="both"/>
                    <w:rPr>
                      <w:sz w:val="22"/>
                      <w:szCs w:val="22"/>
                    </w:rPr>
                  </w:pPr>
                  <w:bookmarkStart w:id="2359" w:name="_Toc47708521"/>
                  <w:r>
                    <w:rPr>
                      <w:sz w:val="22"/>
                      <w:szCs w:val="22"/>
                    </w:rPr>
                    <w:t>2. Transfert de périodes enseignants du fondamental et de périodes professeurs du secondaire. (Articles 44 bis et 96 du Décret du 3 mars 2004 organisant l'Enseignement spécialisé tel que modifié)</w:t>
                  </w:r>
                  <w:bookmarkEnd w:id="2345"/>
                  <w:bookmarkEnd w:id="2346"/>
                  <w:bookmarkEnd w:id="2347"/>
                  <w:bookmarkEnd w:id="2348"/>
                  <w:bookmarkEnd w:id="2349"/>
                  <w:bookmarkEnd w:id="2350"/>
                  <w:bookmarkEnd w:id="2351"/>
                  <w:bookmarkEnd w:id="2352"/>
                  <w:bookmarkEnd w:id="2353"/>
                  <w:bookmarkEnd w:id="2354"/>
                  <w:bookmarkEnd w:id="2355"/>
                  <w:bookmarkEnd w:id="2356"/>
                  <w:r>
                    <w:rPr>
                      <w:sz w:val="22"/>
                      <w:szCs w:val="22"/>
                    </w:rPr>
                    <w:t>.</w:t>
                  </w:r>
                  <w:bookmarkEnd w:id="2357"/>
                  <w:bookmarkEnd w:id="2358"/>
                  <w:bookmarkEnd w:id="2359"/>
                  <w:r>
                    <w:rPr>
                      <w:sz w:val="22"/>
                      <w:szCs w:val="22"/>
                    </w:rPr>
                    <w:t xml:space="preserve"> </w:t>
                  </w:r>
                </w:p>
                <w:p w:rsidR="00F04EEF" w:rsidRDefault="00F04EEF">
                  <w:pPr>
                    <w:tabs>
                      <w:tab w:val="left" w:pos="-1440"/>
                      <w:tab w:val="left" w:pos="-720"/>
                    </w:tabs>
                    <w:jc w:val="both"/>
                  </w:pPr>
                </w:p>
                <w:p w:rsidR="00F04EEF" w:rsidRDefault="0099351E">
                  <w:pPr>
                    <w:tabs>
                      <w:tab w:val="left" w:pos="-1440"/>
                      <w:tab w:val="left" w:pos="-720"/>
                    </w:tabs>
                    <w:jc w:val="both"/>
                  </w:pPr>
                  <w:r>
                    <w:t>Après consultation préalable de l’organe légal de concertation, un maximum de 24 périodes (soit 1 charge complète) peut être prélevé sur le capital-périodes enseignants du fondamental ou du secondaire,</w:t>
                  </w:r>
                  <w:r>
                    <w:rPr>
                      <w:color w:val="FF0000"/>
                    </w:rPr>
                    <w:t xml:space="preserve"> </w:t>
                  </w:r>
                  <w:r>
                    <w:t>à condition que ce prélèvement n’entraîne pas de mise en disponibilité par défaut d’emploi, partielle ou totale.</w:t>
                  </w:r>
                </w:p>
                <w:p w:rsidR="00F04EEF" w:rsidRDefault="00F04EEF">
                  <w:pPr>
                    <w:tabs>
                      <w:tab w:val="left" w:pos="-1440"/>
                      <w:tab w:val="left" w:pos="-720"/>
                    </w:tabs>
                    <w:jc w:val="both"/>
                  </w:pPr>
                </w:p>
                <w:p w:rsidR="00F04EEF" w:rsidRDefault="0099351E">
                  <w:pPr>
                    <w:tabs>
                      <w:tab w:val="left" w:pos="-1440"/>
                      <w:tab w:val="left" w:pos="-720"/>
                    </w:tabs>
                    <w:jc w:val="both"/>
                  </w:pPr>
                  <w:r>
                    <w:t>Ce transfert permet de créer une fonction supplémentaire, partielle ou totale, de l’éducateur et/ou de l’assistant social.</w:t>
                  </w:r>
                </w:p>
                <w:p w:rsidR="00F04EEF" w:rsidRDefault="0099351E">
                  <w:pPr>
                    <w:tabs>
                      <w:tab w:val="left" w:pos="-1440"/>
                      <w:tab w:val="left" w:pos="-720"/>
                    </w:tabs>
                    <w:jc w:val="both"/>
                    <w:rPr>
                      <w:iCs/>
                    </w:rPr>
                  </w:pPr>
                  <w:r>
                    <w:t xml:space="preserve">Les règles d’attributions de la fraction de charge sont les mêmes que celles reprises au </w:t>
                  </w:r>
                  <w:hyperlink w:anchor="__RefHeading__193_957262308" w:history="1">
                    <w:r>
                      <w:rPr>
                        <w:rStyle w:val="Lienhypertexte"/>
                        <w:rFonts w:cs="Arial"/>
                      </w:rPr>
                      <w:t>point 3</w:t>
                    </w:r>
                  </w:hyperlink>
                  <w:r>
                    <w:t xml:space="preserve"> du </w:t>
                  </w:r>
                  <w:r>
                    <w:rPr>
                      <w:iCs/>
                    </w:rPr>
                    <w:t xml:space="preserve"> présent chapitre.</w:t>
                  </w:r>
                </w:p>
                <w:p w:rsidR="00F04EEF" w:rsidRDefault="00F04EEF">
                  <w:pPr>
                    <w:tabs>
                      <w:tab w:val="left" w:pos="-1440"/>
                      <w:tab w:val="left" w:pos="-720"/>
                    </w:tabs>
                    <w:jc w:val="both"/>
                  </w:pPr>
                </w:p>
                <w:p w:rsidR="00F04EEF" w:rsidRDefault="0099351E">
                  <w:pPr>
                    <w:tabs>
                      <w:tab w:val="left" w:pos="-1440"/>
                      <w:tab w:val="left" w:pos="-720"/>
                    </w:tabs>
                    <w:jc w:val="both"/>
                  </w:pPr>
                  <w:r>
                    <w:t xml:space="preserve">Les fonctions d’éducateur ou d’assistant social créées par cette disposition sont soumises aux mêmes règles statutaires que celles des mêmes fonctions du cadre organique prévues au </w:t>
                  </w:r>
                  <w:hyperlink w:anchor="_chapitre_6_:" w:history="1">
                    <w:r>
                      <w:rPr>
                        <w:rStyle w:val="Lienhypertexte"/>
                        <w:rFonts w:cs="Arial"/>
                      </w:rPr>
                      <w:t>chapitre 6</w:t>
                    </w:r>
                  </w:hyperlink>
                  <w:r>
                    <w:t xml:space="preserve"> et au </w:t>
                  </w:r>
                  <w:hyperlink w:anchor="_Chapitre_7_:_1" w:history="1">
                    <w:r>
                      <w:rPr>
                        <w:rStyle w:val="Lienhypertexte"/>
                        <w:rFonts w:cs="Arial"/>
                      </w:rPr>
                      <w:t>chapitre 7</w:t>
                    </w:r>
                  </w:hyperlink>
                  <w:r>
                    <w:t>.</w:t>
                  </w:r>
                </w:p>
                <w:p w:rsidR="00F04EEF" w:rsidRDefault="00F04EEF">
                  <w:pPr>
                    <w:tabs>
                      <w:tab w:val="left" w:pos="-1440"/>
                      <w:tab w:val="left" w:pos="-720"/>
                    </w:tabs>
                    <w:jc w:val="both"/>
                  </w:pPr>
                </w:p>
                <w:p w:rsidR="00F04EEF" w:rsidRDefault="0099351E">
                  <w:pPr>
                    <w:pBdr>
                      <w:top w:val="single" w:sz="4" w:space="1" w:color="000000"/>
                      <w:left w:val="single" w:sz="4" w:space="4" w:color="000000"/>
                      <w:bottom w:val="single" w:sz="4" w:space="1" w:color="000000"/>
                      <w:right w:val="single" w:sz="4" w:space="4" w:color="auto"/>
                    </w:pBdr>
                    <w:tabs>
                      <w:tab w:val="left" w:pos="-1440"/>
                      <w:tab w:val="left" w:pos="-720"/>
                    </w:tabs>
                    <w:jc w:val="both"/>
                  </w:pPr>
                  <w:r>
                    <w:rPr>
                      <w:b/>
                      <w:u w:val="single"/>
                    </w:rPr>
                    <w:t>Attention :</w:t>
                  </w:r>
                  <w:r>
                    <w:t xml:space="preserve"> ce transfert devient </w:t>
                  </w:r>
                  <w:r>
                    <w:rPr>
                      <w:u w:val="single"/>
                    </w:rPr>
                    <w:t>définitif</w:t>
                  </w:r>
                  <w:r>
                    <w:t xml:space="preserve"> et automatique pour l’établissement qui y a recouru pendant 3 années scolaires consécutives.  </w:t>
                  </w:r>
                </w:p>
                <w:p w:rsidR="00F04EEF" w:rsidRDefault="0099351E">
                  <w:pPr>
                    <w:pBdr>
                      <w:top w:val="single" w:sz="4" w:space="1" w:color="000000"/>
                      <w:left w:val="single" w:sz="4" w:space="4" w:color="000000"/>
                      <w:bottom w:val="single" w:sz="4" w:space="1" w:color="000000"/>
                      <w:right w:val="single" w:sz="4" w:space="4" w:color="auto"/>
                    </w:pBdr>
                    <w:tabs>
                      <w:tab w:val="left" w:pos="-1440"/>
                      <w:tab w:val="left" w:pos="-720"/>
                    </w:tabs>
                    <w:jc w:val="both"/>
                  </w:pPr>
                  <w:r>
                    <w:t>Ceci afin de permettre la nomination éventuelle d’un membre du personnel concerné.</w:t>
                  </w:r>
                </w:p>
                <w:p w:rsidR="00F04EEF" w:rsidRDefault="0099351E">
                  <w:pPr>
                    <w:pBdr>
                      <w:top w:val="single" w:sz="4" w:space="1" w:color="000000"/>
                      <w:left w:val="single" w:sz="4" w:space="4" w:color="000000"/>
                      <w:bottom w:val="single" w:sz="4" w:space="1" w:color="000000"/>
                      <w:right w:val="single" w:sz="4" w:space="4" w:color="auto"/>
                    </w:pBdr>
                    <w:tabs>
                      <w:tab w:val="left" w:pos="-1440"/>
                      <w:tab w:val="left" w:pos="-720"/>
                    </w:tabs>
                    <w:jc w:val="both"/>
                  </w:pPr>
                  <w:r>
                    <w:t>La nomination ou l’engagement à titre définitif ne pourra être accordé que dans un emploi à mi-temps ou à prestations complètes.</w:t>
                  </w:r>
                </w:p>
                <w:p w:rsidR="00F04EEF" w:rsidRDefault="00F04EEF">
                  <w:pPr>
                    <w:tabs>
                      <w:tab w:val="left" w:pos="-1440"/>
                      <w:tab w:val="left" w:pos="-720"/>
                    </w:tabs>
                    <w:jc w:val="both"/>
                  </w:pPr>
                </w:p>
                <w:p w:rsidR="00F04EEF" w:rsidRDefault="0099351E">
                  <w:pPr>
                    <w:tabs>
                      <w:tab w:val="left" w:pos="-1440"/>
                      <w:tab w:val="left" w:pos="-720"/>
                    </w:tabs>
                    <w:jc w:val="both"/>
                  </w:pPr>
                  <w:r>
                    <w:t>Vous trouverez ci-après quelques précisions :</w:t>
                  </w:r>
                </w:p>
                <w:p w:rsidR="00F04EEF" w:rsidRDefault="00F04EEF">
                  <w:pPr>
                    <w:tabs>
                      <w:tab w:val="left" w:pos="-1440"/>
                      <w:tab w:val="left" w:pos="-720"/>
                    </w:tabs>
                    <w:jc w:val="both"/>
                  </w:pPr>
                </w:p>
                <w:p w:rsidR="00F04EEF" w:rsidRDefault="0099351E">
                  <w:pPr>
                    <w:numPr>
                      <w:ilvl w:val="0"/>
                      <w:numId w:val="15"/>
                    </w:numPr>
                    <w:suppressAutoHyphens/>
                    <w:jc w:val="both"/>
                  </w:pPr>
                  <w:r>
                    <w:t>Le transfert deviendra OBLIGATOIRE et SYSTEMATIQUE après 3 années consécutives, où on aura transféré 12 ou 24 périodes.</w:t>
                  </w:r>
                </w:p>
                <w:p w:rsidR="00F04EEF" w:rsidRDefault="0099351E">
                  <w:pPr>
                    <w:numPr>
                      <w:ilvl w:val="0"/>
                      <w:numId w:val="15"/>
                    </w:numPr>
                    <w:tabs>
                      <w:tab w:val="left" w:pos="-1440"/>
                      <w:tab w:val="left" w:pos="-720"/>
                    </w:tabs>
                    <w:suppressAutoHyphens/>
                    <w:jc w:val="both"/>
                  </w:pPr>
                  <w:r>
                    <w:t>Rien n’empêche une école de ne transférer qu’une partie des 24 périodes.</w:t>
                  </w:r>
                </w:p>
                <w:p w:rsidR="00F04EEF" w:rsidRDefault="0099351E">
                  <w:pPr>
                    <w:numPr>
                      <w:ilvl w:val="0"/>
                      <w:numId w:val="15"/>
                    </w:numPr>
                    <w:suppressAutoHyphens/>
                    <w:jc w:val="both"/>
                  </w:pPr>
                  <w:r>
                    <w:t xml:space="preserve">Le P.O. ne pourra nommer le membre du personnel exerçant dans une fonction créée sur base des articles 44bis et 96 </w:t>
                  </w:r>
                  <w:r>
                    <w:rPr>
                      <w:bCs/>
                    </w:rPr>
                    <w:t>que </w:t>
                  </w:r>
                  <w:r>
                    <w:t>:</w:t>
                  </w:r>
                </w:p>
                <w:p w:rsidR="00F04EEF" w:rsidRDefault="0099351E">
                  <w:pPr>
                    <w:numPr>
                      <w:ilvl w:val="0"/>
                      <w:numId w:val="7"/>
                    </w:numPr>
                    <w:suppressAutoHyphens/>
                    <w:ind w:left="567"/>
                    <w:jc w:val="both"/>
                  </w:pPr>
                  <w:r>
                    <w:t>si cette fonction a été organisée durant 3 années scolaires consécutives</w:t>
                  </w:r>
                  <w:r>
                    <w:rPr>
                      <w:rStyle w:val="Appelnotedebasdep"/>
                    </w:rPr>
                    <w:footnoteReference w:id="135"/>
                  </w:r>
                  <w:r>
                    <w:t>.</w:t>
                  </w:r>
                </w:p>
                <w:p w:rsidR="00F04EEF" w:rsidRDefault="0099351E">
                  <w:pPr>
                    <w:numPr>
                      <w:ilvl w:val="0"/>
                      <w:numId w:val="7"/>
                    </w:numPr>
                    <w:suppressAutoHyphens/>
                    <w:ind w:left="567"/>
                    <w:jc w:val="both"/>
                  </w:pPr>
                  <w:r>
                    <w:t>pour une charge complète ou à mi-temps.</w:t>
                  </w:r>
                </w:p>
                <w:p w:rsidR="00F04EEF" w:rsidRDefault="0099351E">
                  <w:pPr>
                    <w:numPr>
                      <w:ilvl w:val="0"/>
                      <w:numId w:val="7"/>
                    </w:numPr>
                    <w:suppressAutoHyphens/>
                    <w:ind w:left="924" w:hanging="357"/>
                    <w:jc w:val="both"/>
                  </w:pPr>
                  <w:r>
                    <w:t>sur base d’un transfert de 12 ou 24 périodes du CPU « enseignants secondaire ».</w:t>
                  </w:r>
                </w:p>
                <w:p w:rsidR="00F04EEF" w:rsidRDefault="00F04EEF">
                  <w:pPr>
                    <w:jc w:val="both"/>
                  </w:pPr>
                </w:p>
                <w:p w:rsidR="00F04EEF" w:rsidRDefault="0099351E">
                  <w:pPr>
                    <w:pBdr>
                      <w:top w:val="single" w:sz="4" w:space="1" w:color="000000"/>
                      <w:left w:val="single" w:sz="4" w:space="4" w:color="000000"/>
                      <w:bottom w:val="single" w:sz="4" w:space="1" w:color="000000"/>
                      <w:right w:val="single" w:sz="4" w:space="4" w:color="000000"/>
                    </w:pBdr>
                    <w:jc w:val="both"/>
                    <w:rPr>
                      <w:b/>
                      <w:iCs/>
                    </w:rPr>
                  </w:pPr>
                  <w:r>
                    <w:rPr>
                      <w:b/>
                      <w:bCs/>
                      <w:iCs/>
                      <w:u w:val="single"/>
                    </w:rPr>
                    <w:t>Remarque</w:t>
                  </w:r>
                  <w:r>
                    <w:rPr>
                      <w:b/>
                      <w:iCs/>
                    </w:rPr>
                    <w:t xml:space="preserve"> : </w:t>
                  </w:r>
                  <w:r>
                    <w:rPr>
                      <w:iCs/>
                    </w:rPr>
                    <w:t>les prestations effectuées dans la même fonction sur base de reliquats (</w:t>
                  </w:r>
                  <w:hyperlink w:anchor="_3._Affectations_des" w:history="1">
                    <w:r>
                      <w:rPr>
                        <w:rStyle w:val="Lienhypertexte"/>
                        <w:rFonts w:cs="Arial"/>
                        <w:iCs/>
                      </w:rPr>
                      <w:t>point 3</w:t>
                    </w:r>
                  </w:hyperlink>
                  <w:r>
                    <w:rPr>
                      <w:iCs/>
                    </w:rPr>
                    <w:t xml:space="preserve"> du présent chapitre) ne sont pas prises en compte dans ce calcul.</w:t>
                  </w:r>
                </w:p>
                <w:p w:rsidR="00F04EEF" w:rsidRDefault="00F04EEF">
                  <w:pPr>
                    <w:jc w:val="both"/>
                    <w:rPr>
                      <w:b/>
                      <w:bCs/>
                      <w:iCs/>
                      <w:u w:val="single"/>
                    </w:rPr>
                  </w:pPr>
                </w:p>
                <w:p w:rsidR="00F04EEF" w:rsidRDefault="0099351E">
                  <w:pPr>
                    <w:pBdr>
                      <w:top w:val="single" w:sz="4" w:space="1" w:color="auto"/>
                      <w:left w:val="single" w:sz="4" w:space="4" w:color="auto"/>
                      <w:bottom w:val="single" w:sz="4" w:space="1" w:color="auto"/>
                      <w:right w:val="single" w:sz="4" w:space="4" w:color="auto"/>
                    </w:pBdr>
                    <w:jc w:val="both"/>
                    <w:rPr>
                      <w:b/>
                      <w:bCs/>
                      <w:iCs/>
                    </w:rPr>
                  </w:pPr>
                  <w:r>
                    <w:rPr>
                      <w:b/>
                      <w:bCs/>
                      <w:iCs/>
                      <w:u w:val="single"/>
                    </w:rPr>
                    <w:t>Attention :</w:t>
                  </w:r>
                  <w:r>
                    <w:rPr>
                      <w:b/>
                      <w:bCs/>
                      <w:iCs/>
                    </w:rPr>
                    <w:t xml:space="preserve"> il est impératif d’indiquer sur les documents d’attributions en regard des périodes concernées qu’il est fait application selon les cas soit de l’article 44 bis, soit de l’article 96, soit de l’article 165 du décret du 3 mars 2004.</w:t>
                  </w:r>
                </w:p>
                <w:p w:rsidR="00F04EEF" w:rsidRDefault="00F04EEF">
                  <w:pPr>
                    <w:jc w:val="both"/>
                    <w:rPr>
                      <w:b/>
                      <w:bCs/>
                      <w:iCs/>
                      <w:u w:val="single"/>
                    </w:rPr>
                  </w:pPr>
                </w:p>
                <w:p w:rsidR="00F04EEF" w:rsidRDefault="0099351E">
                  <w:pPr>
                    <w:jc w:val="both"/>
                    <w:rPr>
                      <w:b/>
                      <w:bCs/>
                      <w:iCs/>
                      <w:u w:val="single"/>
                    </w:rPr>
                  </w:pPr>
                  <w:r>
                    <w:rPr>
                      <w:b/>
                      <w:bCs/>
                      <w:iCs/>
                      <w:u w:val="single"/>
                    </w:rPr>
                    <w:t>Exemples :</w:t>
                  </w:r>
                </w:p>
                <w:p w:rsidR="00F04EEF" w:rsidRDefault="00F04EEF">
                  <w:pPr>
                    <w:jc w:val="both"/>
                    <w:rPr>
                      <w:b/>
                      <w:bCs/>
                      <w:iCs/>
                      <w:u w:val="single"/>
                    </w:rPr>
                  </w:pPr>
                </w:p>
                <w:p w:rsidR="00F04EEF" w:rsidRDefault="0099351E">
                  <w:pPr>
                    <w:jc w:val="both"/>
                  </w:pPr>
                  <w:r>
                    <w:t xml:space="preserve">Si on crée 18/36 d’assistante sociale </w:t>
                  </w:r>
                  <w:r>
                    <w:rPr>
                      <w:b/>
                    </w:rPr>
                    <w:t>et</w:t>
                  </w:r>
                  <w:r>
                    <w:t xml:space="preserve"> 18/36 d’éducateur, on pourra les nommer à concurrence d’un mi-temps chacun (après 3 années consécutives).</w:t>
                  </w:r>
                </w:p>
                <w:p w:rsidR="00F04EEF" w:rsidRDefault="00F04EEF">
                  <w:pPr>
                    <w:jc w:val="both"/>
                  </w:pPr>
                </w:p>
                <w:p w:rsidR="00F04EEF" w:rsidRDefault="0099351E">
                  <w:pPr>
                    <w:jc w:val="both"/>
                  </w:pPr>
                  <w:r>
                    <w:t xml:space="preserve">Si on crée 1/4 d’assistante sociale (9/36) </w:t>
                  </w:r>
                  <w:r>
                    <w:rPr>
                      <w:b/>
                    </w:rPr>
                    <w:t>et</w:t>
                  </w:r>
                  <w:r>
                    <w:t xml:space="preserve"> ¾ d’éducateur (27/36) on pourra nommer l’éducateur à concurrence d’un mi-temps (après 3 années consécutives).</w:t>
                  </w:r>
                </w:p>
                <w:p w:rsidR="00F04EEF" w:rsidRDefault="00F04EEF">
                  <w:pPr>
                    <w:jc w:val="both"/>
                  </w:pPr>
                </w:p>
                <w:p w:rsidR="00F04EEF" w:rsidRDefault="0099351E">
                  <w:pPr>
                    <w:jc w:val="both"/>
                  </w:pPr>
                  <w:r>
                    <w:t xml:space="preserve">Si on crée 1 assistante sociale (36/36) </w:t>
                  </w:r>
                  <w:r>
                    <w:rPr>
                      <w:b/>
                      <w:bCs/>
                    </w:rPr>
                    <w:t>ou</w:t>
                  </w:r>
                  <w:r>
                    <w:t xml:space="preserve"> 1 éducateur (36/36) on pourra nommer la personne concernée (après 3 années consécutives).</w:t>
                  </w:r>
                </w:p>
                <w:p w:rsidR="00F04EEF" w:rsidRDefault="00F04EEF">
                  <w:pPr>
                    <w:jc w:val="both"/>
                  </w:pPr>
                </w:p>
                <w:p w:rsidR="00F04EEF" w:rsidRDefault="0099351E">
                  <w:pPr>
                    <w:jc w:val="both"/>
                  </w:pPr>
                  <w:r>
                    <w:t xml:space="preserve">Si on crée 18/36 d’assistante sociale pour Monsieur DUPONT </w:t>
                  </w:r>
                  <w:r>
                    <w:rPr>
                      <w:b/>
                    </w:rPr>
                    <w:t>et</w:t>
                  </w:r>
                  <w:r>
                    <w:t xml:space="preserve"> 18/36 d’assistante sociale pour Monsieur DURANT, on pourra les nommer (après 3 années consécutives).</w:t>
                  </w:r>
                </w:p>
                <w:p w:rsidR="00F04EEF" w:rsidRDefault="00F04EEF">
                  <w:pPr>
                    <w:jc w:val="both"/>
                  </w:pPr>
                </w:p>
                <w:p w:rsidR="00F04EEF" w:rsidRDefault="0099351E">
                  <w:pPr>
                    <w:jc w:val="both"/>
                  </w:pPr>
                  <w:r>
                    <w:t>Si on crée 18/36 d’éducateur pour Monsieur DUPONT et 18/36 d’éducateur pour Monsieur DURANT, on pourra les nommer (après 3 années consécutives).</w:t>
                  </w:r>
                </w:p>
                <w:p w:rsidR="00F04EEF" w:rsidRDefault="00F04EEF">
                  <w:pPr>
                    <w:jc w:val="both"/>
                  </w:pPr>
                </w:p>
                <w:p w:rsidR="00F04EEF" w:rsidRDefault="0099351E">
                  <w:pPr>
                    <w:jc w:val="both"/>
                  </w:pPr>
                  <w:r>
                    <w:t xml:space="preserve">Qu’en est-il de l’emploi issu du transfert de périodes-professeurs pendant la période de probation de 3 ans ? Cet emploi est-il également soumis à la réaffectation ? Réponse : </w:t>
                  </w:r>
                  <w:r>
                    <w:rPr>
                      <w:bCs/>
                    </w:rPr>
                    <w:t>oui</w:t>
                  </w:r>
                  <w:r>
                    <w:t>, tant que la personne n’est pas nommée.</w:t>
                  </w:r>
                </w:p>
                <w:p w:rsidR="00F04EEF" w:rsidRDefault="00F04EEF">
                  <w:pPr>
                    <w:jc w:val="both"/>
                  </w:pPr>
                </w:p>
                <w:p w:rsidR="00F04EEF" w:rsidRDefault="0099351E">
                  <w:pPr>
                    <w:tabs>
                      <w:tab w:val="left" w:pos="-1440"/>
                      <w:tab w:val="left" w:pos="-720"/>
                    </w:tabs>
                    <w:jc w:val="both"/>
                  </w:pPr>
                  <w:r>
                    <w:t>Le CPU de l’année scolaire pouvant être modifié au 30 septembre, on peut considérer que les attributions au 1er octobre portent sur une année complète.</w:t>
                  </w:r>
                </w:p>
                <w:p w:rsidR="00F04EEF" w:rsidRDefault="00F04EEF">
                  <w:pPr>
                    <w:tabs>
                      <w:tab w:val="left" w:pos="-1440"/>
                      <w:tab w:val="left" w:pos="-720"/>
                      <w:tab w:val="left" w:pos="1"/>
                      <w:tab w:val="left" w:pos="113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pStyle w:val="Titre3"/>
                    <w:rPr>
                      <w:sz w:val="22"/>
                      <w:szCs w:val="22"/>
                    </w:rPr>
                  </w:pPr>
                  <w:bookmarkStart w:id="2360" w:name="_3._Affectations_des"/>
                  <w:bookmarkStart w:id="2361" w:name="__RefHeading__193_957262308"/>
                  <w:bookmarkStart w:id="2362" w:name="_Toc291075351"/>
                  <w:bookmarkStart w:id="2363" w:name="_Toc291075775"/>
                  <w:bookmarkStart w:id="2364" w:name="_Toc291076199"/>
                  <w:bookmarkStart w:id="2365" w:name="_Toc291076623"/>
                  <w:bookmarkStart w:id="2366" w:name="_Toc291077047"/>
                  <w:bookmarkStart w:id="2367" w:name="_Toc293651890"/>
                  <w:bookmarkStart w:id="2368" w:name="_Toc293653473"/>
                  <w:bookmarkStart w:id="2369" w:name="_Toc293654084"/>
                  <w:bookmarkStart w:id="2370" w:name="_Toc294004662"/>
                  <w:bookmarkStart w:id="2371" w:name="_Toc294185158"/>
                  <w:bookmarkStart w:id="2372" w:name="_Toc47708522"/>
                  <w:bookmarkStart w:id="2373" w:name="_Toc324165974"/>
                  <w:bookmarkStart w:id="2374" w:name="_Toc324767011"/>
                  <w:bookmarkStart w:id="2375" w:name="_Toc453314366"/>
                  <w:bookmarkStart w:id="2376" w:name="_Toc454980401"/>
                  <w:bookmarkEnd w:id="2360"/>
                  <w:bookmarkEnd w:id="2361"/>
                  <w:r>
                    <w:rPr>
                      <w:sz w:val="22"/>
                      <w:szCs w:val="22"/>
                    </w:rPr>
                    <w:t>3. Affectations des capitaux-périodes non utilisés</w:t>
                  </w:r>
                  <w:bookmarkEnd w:id="2362"/>
                  <w:bookmarkEnd w:id="2363"/>
                  <w:bookmarkEnd w:id="2364"/>
                  <w:bookmarkEnd w:id="2365"/>
                  <w:bookmarkEnd w:id="2366"/>
                  <w:bookmarkEnd w:id="2367"/>
                  <w:bookmarkEnd w:id="2368"/>
                  <w:bookmarkEnd w:id="2369"/>
                  <w:bookmarkEnd w:id="2370"/>
                  <w:bookmarkEnd w:id="2371"/>
                  <w:bookmarkEnd w:id="2372"/>
                  <w:r>
                    <w:rPr>
                      <w:sz w:val="22"/>
                      <w:szCs w:val="22"/>
                    </w:rPr>
                    <w:t xml:space="preserve"> </w:t>
                  </w:r>
                  <w:bookmarkEnd w:id="2373"/>
                  <w:bookmarkEnd w:id="2374"/>
                  <w:bookmarkEnd w:id="2375"/>
                  <w:bookmarkEnd w:id="2376"/>
                </w:p>
                <w:p w:rsidR="00F04EEF" w:rsidRDefault="00F04EEF">
                  <w:pPr>
                    <w:tabs>
                      <w:tab w:val="left" w:pos="-1440"/>
                      <w:tab w:val="left" w:pos="-720"/>
                    </w:tabs>
                    <w:jc w:val="both"/>
                  </w:pPr>
                </w:p>
                <w:p w:rsidR="00F04EEF" w:rsidRDefault="0099351E">
                  <w:pPr>
                    <w:pStyle w:val="Titre4"/>
                  </w:pPr>
                  <w:bookmarkStart w:id="2377" w:name="_Toc453314367"/>
                  <w:bookmarkStart w:id="2378" w:name="_Toc454980402"/>
                  <w:bookmarkStart w:id="2379" w:name="_Toc291075352"/>
                  <w:bookmarkStart w:id="2380" w:name="_Toc291075776"/>
                  <w:bookmarkStart w:id="2381" w:name="_Toc291076200"/>
                  <w:bookmarkStart w:id="2382" w:name="_Toc291076624"/>
                  <w:bookmarkStart w:id="2383" w:name="_Toc291077048"/>
                  <w:bookmarkStart w:id="2384" w:name="_Toc293651891"/>
                  <w:bookmarkStart w:id="2385" w:name="_Toc293653474"/>
                  <w:bookmarkStart w:id="2386" w:name="_Toc293654085"/>
                  <w:bookmarkStart w:id="2387" w:name="_Toc294004663"/>
                  <w:bookmarkStart w:id="2388" w:name="_Toc294185159"/>
                  <w:bookmarkStart w:id="2389" w:name="_Toc324165975"/>
                  <w:bookmarkStart w:id="2390" w:name="_Toc324767012"/>
                  <w:bookmarkStart w:id="2391" w:name="_Toc324767870"/>
                  <w:r>
                    <w:t>3.1. Les capitaux-périodes</w:t>
                  </w:r>
                  <w:bookmarkEnd w:id="2377"/>
                  <w:bookmarkEnd w:id="2378"/>
                  <w:r>
                    <w:t xml:space="preserve"> </w:t>
                  </w:r>
                </w:p>
                <w:p w:rsidR="00F04EEF" w:rsidRDefault="00F04EEF">
                  <w:pPr>
                    <w:jc w:val="both"/>
                  </w:pPr>
                </w:p>
                <w:p w:rsidR="00F04EEF" w:rsidRDefault="0099351E">
                  <w:pPr>
                    <w:jc w:val="both"/>
                  </w:pPr>
                  <w:r>
                    <w:t xml:space="preserve">Ils sont disponibles après application des règles rappelées au </w:t>
                  </w:r>
                  <w:hyperlink w:anchor="_1._Rappel_de" w:history="1">
                    <w:r>
                      <w:rPr>
                        <w:rStyle w:val="Lienhypertexte"/>
                        <w:rFonts w:cs="Arial"/>
                      </w:rPr>
                      <w:t>point 1</w:t>
                    </w:r>
                  </w:hyperlink>
                  <w:r>
                    <w:t xml:space="preserve"> et au </w:t>
                  </w:r>
                  <w:hyperlink w:anchor="__RefHeading__191_957262308" w:history="1">
                    <w:r>
                      <w:rPr>
                        <w:rStyle w:val="Lienhypertexte"/>
                        <w:rFonts w:cs="Arial"/>
                      </w:rPr>
                      <w:t>point 2</w:t>
                    </w:r>
                  </w:hyperlink>
                  <w:r>
                    <w:t xml:space="preserve"> doivent être utilisés en priorité respectivement pour les différentes catégories de personnel selon leurs origines.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rsidR="00F04EEF" w:rsidRDefault="00F04EEF">
                  <w:pPr>
                    <w:jc w:val="both"/>
                  </w:pPr>
                </w:p>
                <w:p w:rsidR="00F04EEF" w:rsidRDefault="0099351E">
                  <w:pPr>
                    <w:rPr>
                      <w:b/>
                      <w:u w:val="single"/>
                    </w:rPr>
                  </w:pPr>
                  <w:bookmarkStart w:id="2392" w:name="_Toc453314368"/>
                  <w:bookmarkStart w:id="2393" w:name="_Toc454980403"/>
                  <w:bookmarkStart w:id="2394" w:name="_Toc291075353"/>
                  <w:bookmarkStart w:id="2395" w:name="_Toc291075777"/>
                  <w:bookmarkStart w:id="2396" w:name="_Toc291076201"/>
                  <w:bookmarkStart w:id="2397" w:name="_Toc291076625"/>
                  <w:bookmarkStart w:id="2398" w:name="_Toc291077049"/>
                  <w:bookmarkStart w:id="2399" w:name="_Toc293651892"/>
                  <w:bookmarkStart w:id="2400" w:name="_Toc293653475"/>
                  <w:bookmarkStart w:id="2401" w:name="_Toc293654086"/>
                  <w:bookmarkStart w:id="2402" w:name="_Toc294004664"/>
                  <w:bookmarkStart w:id="2403" w:name="_Toc294185160"/>
                  <w:bookmarkStart w:id="2404" w:name="_Toc324165976"/>
                  <w:bookmarkStart w:id="2405" w:name="_Toc324767013"/>
                  <w:bookmarkStart w:id="2406" w:name="_Toc324767871"/>
                  <w:r>
                    <w:br w:type="page"/>
                  </w:r>
                </w:p>
                <w:p w:rsidR="00F04EEF" w:rsidRDefault="0099351E">
                  <w:pPr>
                    <w:pStyle w:val="Titre4"/>
                  </w:pPr>
                  <w:r>
                    <w:t>3.2. Pour la catégorie du personnel enseignant :</w:t>
                  </w:r>
                  <w:bookmarkEnd w:id="2392"/>
                  <w:bookmarkEnd w:id="2393"/>
                  <w:r>
                    <w:t xml:space="preserve"> </w:t>
                  </w:r>
                </w:p>
                <w:p w:rsidR="00F04EEF" w:rsidRDefault="00F04EEF"/>
                <w:p w:rsidR="00F04EEF" w:rsidRDefault="0099351E">
                  <w:pPr>
                    <w:jc w:val="both"/>
                  </w:pPr>
                  <w:r>
                    <w:t>Dans le cadre du C.P.U enseignant, des périodes peuvent être attribuées à des membres du personnel enseignant ayant les compétences pour les activités requises pour les activités suivantes :</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rsidR="00F04EEF" w:rsidRDefault="00F04EEF">
                  <w:pPr>
                    <w:jc w:val="both"/>
                  </w:pPr>
                </w:p>
                <w:p w:rsidR="00F04EEF" w:rsidRDefault="0099351E">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Pr>
                      <w:rFonts w:asciiTheme="minorHAnsi" w:hAnsiTheme="minorHAnsi" w:cstheme="minorHAnsi"/>
                      <w:szCs w:val="22"/>
                    </w:rPr>
                    <w:t>l’accompagnement à l’intégration ;</w:t>
                  </w:r>
                </w:p>
                <w:p w:rsidR="00F04EEF" w:rsidRDefault="0099351E">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Pr>
                      <w:rFonts w:asciiTheme="minorHAnsi" w:hAnsiTheme="minorHAnsi" w:cstheme="minorHAnsi"/>
                      <w:szCs w:val="22"/>
                    </w:rPr>
                    <w:t>l’accompagnement d’élèves inscrits en cours d’année ;</w:t>
                  </w:r>
                </w:p>
                <w:p w:rsidR="00F04EEF" w:rsidRDefault="0099351E">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Pr>
                      <w:rFonts w:asciiTheme="minorHAnsi" w:hAnsiTheme="minorHAnsi" w:cstheme="minorHAnsi"/>
                      <w:szCs w:val="22"/>
                    </w:rPr>
                    <w:t>l’accompagnement d’élèves en difficulté momentanée ;</w:t>
                  </w:r>
                </w:p>
                <w:p w:rsidR="00F04EEF" w:rsidRDefault="0099351E">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Pr>
                      <w:rFonts w:asciiTheme="minorHAnsi" w:hAnsiTheme="minorHAnsi" w:cstheme="minorHAnsi"/>
                      <w:szCs w:val="22"/>
                    </w:rPr>
                    <w:t>la médiation ;</w:t>
                  </w:r>
                </w:p>
                <w:p w:rsidR="00F04EEF" w:rsidRDefault="0099351E">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Pr>
                      <w:rFonts w:asciiTheme="minorHAnsi" w:hAnsiTheme="minorHAnsi" w:cstheme="minorHAnsi"/>
                      <w:szCs w:val="22"/>
                    </w:rPr>
                    <w:t>la coordination pédagogique.</w:t>
                  </w:r>
                </w:p>
                <w:p w:rsidR="00F04EEF" w:rsidRDefault="00F04EEF">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rPr>
                  </w:pPr>
                </w:p>
                <w:p w:rsidR="00F04EEF" w:rsidRDefault="0099351E">
                  <w:pPr>
                    <w:pStyle w:val="Titre4"/>
                  </w:pPr>
                  <w:bookmarkStart w:id="2407" w:name="_Toc453314369"/>
                  <w:bookmarkStart w:id="2408" w:name="_Toc454980404"/>
                  <w:r>
                    <w:t>3.3. Les reliquats de capitaux-périodes</w:t>
                  </w:r>
                  <w:bookmarkEnd w:id="2407"/>
                  <w:bookmarkEnd w:id="2408"/>
                  <w:r>
                    <w:t xml:space="preserve"> </w:t>
                  </w:r>
                </w:p>
                <w:p w:rsidR="00F04EEF" w:rsidRDefault="00F04EEF"/>
                <w:p w:rsidR="00F04EEF" w:rsidRDefault="0099351E">
                  <w:pPr>
                    <w:jc w:val="both"/>
                  </w:pPr>
                  <w:r>
                    <w:t>Ceux-ci demeurant inutilisés après toutes les attributions prévues ci-dessus peuvent être attribués au sein de l’établissement en faveur d’une autre catégorie de personnel, après consultation, via les organes légaux de concertation.</w:t>
                  </w:r>
                </w:p>
                <w:p w:rsidR="00F04EEF" w:rsidRDefault="00F04EEF">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u w:val="single"/>
                    </w:rPr>
                  </w:pPr>
                </w:p>
                <w:p w:rsidR="00F04EEF" w:rsidRDefault="0099351E">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Bidi"/>
                      <w:szCs w:val="22"/>
                      <w:lang w:eastAsia="en-US"/>
                    </w:rPr>
                  </w:pPr>
                  <w:r>
                    <w:rPr>
                      <w:rFonts w:asciiTheme="minorHAnsi" w:eastAsiaTheme="minorHAnsi" w:hAnsiTheme="minorHAnsi" w:cstheme="minorBidi"/>
                      <w:szCs w:val="22"/>
                      <w:lang w:eastAsia="en-US"/>
                    </w:rPr>
                    <w:t>Ils sont utilisés prioritairement pour les membres des personnels qui auraient été mis en disponibilité par défaut d’emploi.</w:t>
                  </w:r>
                </w:p>
                <w:p w:rsidR="00F04EEF" w:rsidRDefault="00F04EEF">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Bidi"/>
                      <w:szCs w:val="22"/>
                      <w:lang w:eastAsia="en-US"/>
                    </w:rPr>
                  </w:pPr>
                </w:p>
                <w:p w:rsidR="00F04EEF" w:rsidRDefault="0099351E">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Bidi"/>
                      <w:b/>
                      <w:szCs w:val="22"/>
                      <w:lang w:eastAsia="en-US"/>
                    </w:rPr>
                  </w:pPr>
                  <w:r>
                    <w:rPr>
                      <w:rFonts w:asciiTheme="minorHAnsi" w:eastAsiaTheme="minorHAnsi" w:hAnsiTheme="minorHAnsi" w:cstheme="minorBidi"/>
                      <w:b/>
                      <w:szCs w:val="22"/>
                      <w:lang w:eastAsia="en-US"/>
                    </w:rPr>
                    <w:t xml:space="preserve">La somme des reliquats ne peut pas dépasser une demi-charge lorsque ceux-ci sont employés pour des fonctions administratives (rédacteur, commis dactylo, correspondant comptable, secrétaire de direction). </w:t>
                  </w:r>
                </w:p>
                <w:p w:rsidR="00F04EEF" w:rsidRDefault="00F04EEF"/>
                <w:p w:rsidR="00F04EEF" w:rsidRDefault="0099351E">
                  <w:pPr>
                    <w:pStyle w:val="Titre4"/>
                  </w:pPr>
                  <w:bookmarkStart w:id="2409" w:name="_3.4._Transfert_de"/>
                  <w:bookmarkStart w:id="2410" w:name="_Toc453314370"/>
                  <w:bookmarkStart w:id="2411" w:name="_Toc454980405"/>
                  <w:bookmarkEnd w:id="2409"/>
                  <w:r>
                    <w:t>3.4. Transfert de reliquat </w:t>
                  </w:r>
                  <w:bookmarkEnd w:id="2410"/>
                  <w:bookmarkEnd w:id="2411"/>
                  <w:r>
                    <w:t xml:space="preserve"> </w:t>
                  </w:r>
                </w:p>
                <w:p w:rsidR="00F04EEF" w:rsidRDefault="00F04EEF">
                  <w:pPr>
                    <w:jc w:val="both"/>
                    <w:rPr>
                      <w:rStyle w:val="Titre3Car2"/>
                      <w:sz w:val="22"/>
                      <w:szCs w:val="22"/>
                    </w:rPr>
                  </w:pPr>
                </w:p>
                <w:p w:rsidR="00F04EEF" w:rsidRDefault="0099351E">
                  <w:pPr>
                    <w:jc w:val="both"/>
                  </w:pPr>
                  <w:r>
                    <w:t xml:space="preserve">Le Ministre qui a l’enseignement dans ses attributions peut autoriser le transfert de reliquat entre établissements d’enseignement spécialisé du même réseau, de niveau identique ou différent après consultation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(voir modèle de convention). </w:t>
                  </w:r>
                </w:p>
                <w:p w:rsidR="00F04EEF" w:rsidRDefault="0099351E">
                  <w:pPr>
                    <w:tabs>
                      <w:tab w:val="left" w:pos="5372"/>
                    </w:tabs>
                    <w:jc w:val="both"/>
                  </w:pPr>
                  <w:r>
                    <w:tab/>
                  </w:r>
                </w:p>
                <w:p w:rsidR="00F04EEF" w:rsidRDefault="0099351E">
                  <w:pPr>
                    <w:jc w:val="both"/>
                  </w:pPr>
                  <w:r>
                    <w:t xml:space="preserve">Remarque : Le transfert de périodes d’un établissement de l’enseignement spécialisé organisé par la Fédération Wallonie Bruxelles </w:t>
                  </w:r>
                  <w:r>
                    <w:rPr>
                      <w:b/>
                    </w:rPr>
                    <w:t>n’est pas autorisé</w:t>
                  </w:r>
                  <w:r>
                    <w:t xml:space="preserve"> vers un internat annexé. </w:t>
                  </w:r>
                </w:p>
                <w:p w:rsidR="00F04EEF" w:rsidRDefault="00F04EEF">
                  <w:pPr>
                    <w:tabs>
                      <w:tab w:val="left" w:pos="-1440"/>
                      <w:tab w:val="left" w:pos="-720"/>
                    </w:tabs>
                    <w:jc w:val="both"/>
                    <w:rPr>
                      <w:u w:val="single"/>
                    </w:rPr>
                  </w:pPr>
                </w:p>
                <w:p w:rsidR="00F04EEF" w:rsidRDefault="0099351E">
                  <w:pPr>
                    <w:pStyle w:val="Titre4"/>
                  </w:pPr>
                  <w:bookmarkStart w:id="2412" w:name="_Toc453314371"/>
                  <w:bookmarkStart w:id="2413" w:name="_Toc454980406"/>
                  <w:bookmarkStart w:id="2414" w:name="_Toc291075354"/>
                  <w:bookmarkStart w:id="2415" w:name="_Toc291075778"/>
                  <w:bookmarkStart w:id="2416" w:name="_Toc291076202"/>
                  <w:bookmarkStart w:id="2417" w:name="_Toc291076626"/>
                  <w:bookmarkStart w:id="2418" w:name="_Toc291077050"/>
                  <w:bookmarkStart w:id="2419" w:name="_Toc293651893"/>
                  <w:bookmarkStart w:id="2420" w:name="_Toc293653476"/>
                  <w:bookmarkStart w:id="2421" w:name="_Toc293654087"/>
                  <w:bookmarkStart w:id="2422" w:name="_Toc294004665"/>
                  <w:bookmarkStart w:id="2423" w:name="_Toc294185161"/>
                  <w:bookmarkStart w:id="2424" w:name="_Toc324165977"/>
                  <w:bookmarkStart w:id="2425" w:name="_Toc324767014"/>
                  <w:bookmarkStart w:id="2426" w:name="_Toc324767872"/>
                  <w:r>
                    <w:t>3.5. Nomination</w:t>
                  </w:r>
                  <w:bookmarkEnd w:id="2412"/>
                  <w:bookmarkEnd w:id="2413"/>
                </w:p>
                <w:p w:rsidR="00F04EEF" w:rsidRDefault="00F04EEF">
                  <w:pPr>
                    <w:jc w:val="both"/>
                    <w:rPr>
                      <w:rStyle w:val="Titre3Car2"/>
                      <w:sz w:val="22"/>
                      <w:szCs w:val="22"/>
                    </w:rPr>
                  </w:pPr>
                </w:p>
                <w:p w:rsidR="00F04EEF" w:rsidRDefault="0099351E">
                  <w:pPr>
                    <w:jc w:val="both"/>
                  </w:pPr>
                  <w:r>
                    <w:t>Il est rappelé qu’aucune nomination ne peut jamais se faire dans le cadre de l’utilisation des reliquats.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F04EEF" w:rsidRDefault="00F04EEF">
                  <w:pPr>
                    <w:tabs>
                      <w:tab w:val="left" w:pos="-1440"/>
                      <w:tab w:val="left" w:pos="-720"/>
                    </w:tabs>
                    <w:jc w:val="both"/>
                    <w:rPr>
                      <w:u w:val="single"/>
                    </w:rPr>
                  </w:pPr>
                </w:p>
                <w:p w:rsidR="00F04EEF" w:rsidRDefault="0099351E">
                  <w:pPr>
                    <w:numPr>
                      <w:ilvl w:val="0"/>
                      <w:numId w:val="16"/>
                    </w:numPr>
                    <w:tabs>
                      <w:tab w:val="left" w:pos="-1440"/>
                      <w:tab w:val="left" w:pos="-720"/>
                    </w:tabs>
                    <w:suppressAutoHyphens/>
                    <w:jc w:val="both"/>
                    <w:rPr>
                      <w:u w:val="single"/>
                    </w:rPr>
                  </w:pPr>
                  <w:r>
                    <w:rPr>
                      <w:u w:val="single"/>
                    </w:rPr>
                    <w:t>Dispositions particulières :</w:t>
                  </w:r>
                </w:p>
                <w:p w:rsidR="00F04EEF" w:rsidRDefault="00F04EEF">
                  <w:pPr>
                    <w:tabs>
                      <w:tab w:val="left" w:pos="-1440"/>
                      <w:tab w:val="left" w:pos="-720"/>
                    </w:tabs>
                    <w:jc w:val="both"/>
                    <w:rPr>
                      <w:u w:val="single"/>
                    </w:rPr>
                  </w:pPr>
                </w:p>
                <w:p w:rsidR="00F04EEF" w:rsidRDefault="0099351E">
                  <w:pPr>
                    <w:tabs>
                      <w:tab w:val="left" w:pos="-1440"/>
                      <w:tab w:val="left" w:pos="-720"/>
                    </w:tabs>
                    <w:ind w:left="709"/>
                    <w:jc w:val="both"/>
                  </w:pPr>
                  <w:r>
                    <w:t>Sont exceptés les reliquats des capitaux-périodes provenant:</w:t>
                  </w:r>
                </w:p>
                <w:p w:rsidR="00F04EEF" w:rsidRDefault="00F04EEF">
                  <w:pPr>
                    <w:tabs>
                      <w:tab w:val="left" w:pos="-1440"/>
                      <w:tab w:val="left" w:pos="-720"/>
                    </w:tabs>
                    <w:ind w:left="709"/>
                    <w:jc w:val="both"/>
                  </w:pPr>
                </w:p>
                <w:p w:rsidR="00F04EEF" w:rsidRDefault="0099351E">
                  <w:pPr>
                    <w:numPr>
                      <w:ilvl w:val="0"/>
                      <w:numId w:val="8"/>
                    </w:numPr>
                    <w:tabs>
                      <w:tab w:val="clear" w:pos="360"/>
                      <w:tab w:val="left" w:pos="-1440"/>
                      <w:tab w:val="left" w:pos="-720"/>
                      <w:tab w:val="num" w:pos="720"/>
                      <w:tab w:val="left" w:pos="900"/>
                    </w:tabs>
                    <w:suppressAutoHyphens/>
                    <w:ind w:left="567" w:firstLine="0"/>
                    <w:jc w:val="both"/>
                  </w:pPr>
                  <w:r>
                    <w:t xml:space="preserve">des cours philosophiques ; </w:t>
                  </w:r>
                </w:p>
                <w:p w:rsidR="00F04EEF" w:rsidRDefault="0099351E">
                  <w:pPr>
                    <w:tabs>
                      <w:tab w:val="num" w:pos="720"/>
                    </w:tabs>
                    <w:jc w:val="both"/>
                  </w:pPr>
                  <w:r>
                    <w:t>Il est rappelé que les heures du cours philosophique le plus suivi éventuellement non utilisées ne peuvent en aucun cas faire l’objet d’un transfert vers le personnel enseignant ou vers d’autres catégories de personnel.</w:t>
                  </w:r>
                </w:p>
                <w:p w:rsidR="00F04EEF" w:rsidRDefault="0099351E">
                  <w:pPr>
                    <w:numPr>
                      <w:ilvl w:val="0"/>
                      <w:numId w:val="8"/>
                    </w:numPr>
                    <w:tabs>
                      <w:tab w:val="clear" w:pos="360"/>
                      <w:tab w:val="left" w:pos="-1440"/>
                      <w:tab w:val="left" w:pos="-720"/>
                      <w:tab w:val="num" w:pos="540"/>
                      <w:tab w:val="left" w:pos="900"/>
                    </w:tabs>
                    <w:suppressAutoHyphens/>
                    <w:ind w:left="567" w:firstLine="0"/>
                    <w:jc w:val="both"/>
                  </w:pPr>
                  <w:r>
                    <w:t>des personnels administratif, auxiliaire d'éducation et paramédical dans les internats.</w:t>
                  </w:r>
                </w:p>
                <w:p w:rsidR="00F04EEF" w:rsidRDefault="00F04EEF">
                  <w:pPr>
                    <w:pStyle w:val="Retraitcorpsdetexte"/>
                    <w:tabs>
                      <w:tab w:val="clear" w:pos="1276"/>
                      <w:tab w:val="clear" w:pos="3174"/>
                      <w:tab w:val="clear" w:pos="3968"/>
                      <w:tab w:val="clear" w:pos="4591"/>
                      <w:tab w:val="clear" w:pos="4818"/>
                    </w:tabs>
                    <w:ind w:left="0" w:firstLine="0"/>
                    <w:rPr>
                      <w:rFonts w:asciiTheme="majorHAnsi" w:hAnsiTheme="majorHAnsi"/>
                      <w:szCs w:val="22"/>
                    </w:rPr>
                  </w:pPr>
                </w:p>
                <w:p w:rsidR="00F04EEF" w:rsidRDefault="0099351E">
                  <w:pPr>
                    <w:pStyle w:val="Retraitcorpsdetexte"/>
                    <w:tabs>
                      <w:tab w:val="clear" w:pos="1276"/>
                      <w:tab w:val="clear" w:pos="3174"/>
                      <w:tab w:val="clear" w:pos="3968"/>
                      <w:tab w:val="clear" w:pos="4591"/>
                      <w:tab w:val="clear" w:pos="4818"/>
                    </w:tabs>
                    <w:ind w:left="0" w:firstLine="0"/>
                    <w:rPr>
                      <w:rFonts w:asciiTheme="majorHAnsi" w:hAnsiTheme="majorHAnsi"/>
                      <w:szCs w:val="22"/>
                    </w:rPr>
                  </w:pPr>
                  <w:r>
                    <w:rPr>
                      <w:rFonts w:asciiTheme="majorHAnsi" w:hAnsiTheme="majorHAnsi"/>
                      <w:szCs w:val="22"/>
                    </w:rPr>
                    <w:t>Il est rappelé que dans l'enseignement subventionné, le personnel administratif chargé des activités comptables de l'établissement ne peut porter le titre de correspondant-comptable.</w:t>
                  </w:r>
                </w:p>
                <w:p w:rsidR="00F04EEF" w:rsidRDefault="00F04EEF">
                  <w:pPr>
                    <w:jc w:val="both"/>
                  </w:pPr>
                </w:p>
                <w:p w:rsidR="00F04EEF" w:rsidRDefault="0099351E">
                  <w:pPr>
                    <w:pStyle w:val="Titre4"/>
                  </w:pPr>
                  <w:bookmarkStart w:id="2427" w:name="_3.6._Mode_d’utilisation"/>
                  <w:bookmarkStart w:id="2428" w:name="_Toc453314372"/>
                  <w:bookmarkStart w:id="2429" w:name="_Toc454980407"/>
                  <w:bookmarkEnd w:id="2427"/>
                  <w:r>
                    <w:t>3.6. Mode d’utilisation des périodes de reliquats</w:t>
                  </w:r>
                  <w:bookmarkEnd w:id="2428"/>
                  <w:bookmarkEnd w:id="2429"/>
                </w:p>
                <w:p w:rsidR="00F04EEF" w:rsidRDefault="00F04EEF"/>
                <w:p w:rsidR="00F04EEF" w:rsidRDefault="0099351E">
                  <w:pPr>
                    <w:tabs>
                      <w:tab w:val="left" w:pos="-1440"/>
                      <w:tab w:val="left" w:pos="-720"/>
                    </w:tabs>
                    <w:jc w:val="both"/>
                  </w:pPr>
                  <w:r>
                    <w:t xml:space="preserve">La fraction de charge générée par un reliquat de capital-périodes sera convertie en fraction de charge équivalente dans la nouvelle fonction où elle est utilisée. Les nombres de périodes déterminants les charges sont renseignés au </w:t>
                  </w:r>
                  <w:hyperlink w:anchor="_4._Détermination_d’une" w:history="1">
                    <w:r>
                      <w:rPr>
                        <w:rStyle w:val="Lienhypertexte"/>
                        <w:rFonts w:cs="Arial"/>
                      </w:rPr>
                      <w:t>point 4</w:t>
                    </w:r>
                  </w:hyperlink>
                  <w:r>
                    <w:t xml:space="preserve"> du </w:t>
                  </w:r>
                  <w:hyperlink w:anchor="_chapitre_6_:" w:history="1">
                    <w:r>
                      <w:rPr>
                        <w:rStyle w:val="Lienhypertexte"/>
                        <w:rFonts w:cs="Arial"/>
                      </w:rPr>
                      <w:t>chapitre 6</w:t>
                    </w:r>
                  </w:hyperlink>
                  <w:r>
                    <w:t xml:space="preserve"> (personnel administratif et auxiliaire) et au </w:t>
                  </w:r>
                  <w:hyperlink w:anchor="_3._Plages_horaires" w:history="1">
                    <w:r>
                      <w:rPr>
                        <w:rStyle w:val="Lienhypertexte"/>
                        <w:rFonts w:cs="Arial"/>
                      </w:rPr>
                      <w:t>point 3</w:t>
                    </w:r>
                  </w:hyperlink>
                  <w:r>
                    <w:t xml:space="preserve"> du </w:t>
                  </w:r>
                  <w:hyperlink w:anchor="_Chapitre_7_:_1" w:history="1">
                    <w:r>
                      <w:rPr>
                        <w:rStyle w:val="Lienhypertexte"/>
                        <w:rFonts w:cs="Arial"/>
                      </w:rPr>
                      <w:t>chapitre 7</w:t>
                    </w:r>
                  </w:hyperlink>
                  <w:r>
                    <w:t xml:space="preserve"> (personnel paramédical).</w:t>
                  </w:r>
                </w:p>
                <w:p w:rsidR="00F04EEF" w:rsidRDefault="00F04EEF">
                  <w:pPr>
                    <w:tabs>
                      <w:tab w:val="left" w:pos="-1440"/>
                      <w:tab w:val="left" w:pos="-720"/>
                    </w:tabs>
                    <w:jc w:val="both"/>
                  </w:pPr>
                </w:p>
                <w:p w:rsidR="00F04EEF" w:rsidRDefault="0099351E">
                  <w:pPr>
                    <w:tabs>
                      <w:tab w:val="left" w:pos="-1440"/>
                      <w:tab w:val="left" w:pos="-720"/>
                    </w:tabs>
                    <w:jc w:val="both"/>
                  </w:pPr>
                  <w:r>
                    <w:t>Diviseurs utilisés pour le calcul de la fraction de charge de reliquat :</w:t>
                  </w:r>
                </w:p>
                <w:p w:rsidR="00F04EEF" w:rsidRDefault="00F04EEF">
                  <w:pPr>
                    <w:tabs>
                      <w:tab w:val="left" w:pos="-1440"/>
                      <w:tab w:val="left" w:pos="-720"/>
                    </w:tabs>
                    <w:jc w:val="both"/>
                  </w:pPr>
                </w:p>
                <w:p w:rsidR="00F04EEF" w:rsidRDefault="0099351E">
                  <w:pPr>
                    <w:numPr>
                      <w:ilvl w:val="0"/>
                      <w:numId w:val="23"/>
                    </w:numPr>
                    <w:tabs>
                      <w:tab w:val="clear" w:pos="360"/>
                      <w:tab w:val="num" w:pos="1260"/>
                      <w:tab w:val="left" w:pos="7088"/>
                    </w:tabs>
                    <w:suppressAutoHyphens/>
                    <w:ind w:left="567" w:firstLine="0"/>
                    <w:jc w:val="both"/>
                  </w:pPr>
                  <w:r>
                    <w:t xml:space="preserve">Diviseur périodes personnel enseignant secondaire </w:t>
                  </w:r>
                  <w:r>
                    <w:tab/>
                    <w:t>= 24</w:t>
                  </w:r>
                </w:p>
                <w:p w:rsidR="00F04EEF" w:rsidRDefault="0099351E">
                  <w:pPr>
                    <w:numPr>
                      <w:ilvl w:val="0"/>
                      <w:numId w:val="23"/>
                    </w:numPr>
                    <w:tabs>
                      <w:tab w:val="clear" w:pos="360"/>
                      <w:tab w:val="num" w:pos="1260"/>
                      <w:tab w:val="left" w:pos="7088"/>
                    </w:tabs>
                    <w:suppressAutoHyphens/>
                    <w:ind w:left="567" w:firstLine="0"/>
                    <w:jc w:val="both"/>
                  </w:pPr>
                  <w:r>
                    <w:t xml:space="preserve">Diviseur périodes personnel paramédical </w:t>
                  </w:r>
                  <w:r>
                    <w:tab/>
                    <w:t>= 32</w:t>
                  </w:r>
                </w:p>
                <w:p w:rsidR="00F04EEF" w:rsidRDefault="0099351E">
                  <w:pPr>
                    <w:numPr>
                      <w:ilvl w:val="0"/>
                      <w:numId w:val="23"/>
                    </w:numPr>
                    <w:tabs>
                      <w:tab w:val="clear" w:pos="360"/>
                      <w:tab w:val="num" w:pos="1260"/>
                      <w:tab w:val="left" w:pos="7088"/>
                    </w:tabs>
                    <w:suppressAutoHyphens/>
                    <w:ind w:left="567" w:firstLine="0"/>
                    <w:jc w:val="both"/>
                  </w:pPr>
                  <w:r>
                    <w:t xml:space="preserve">Diviseur périodes personnel auxiliaire et administratif </w:t>
                  </w:r>
                  <w:r>
                    <w:tab/>
                    <w:t>= 36</w:t>
                  </w:r>
                </w:p>
                <w:p w:rsidR="00F04EEF" w:rsidRDefault="00F04EEF">
                  <w:pPr>
                    <w:tabs>
                      <w:tab w:val="left" w:pos="-1440"/>
                      <w:tab w:val="left" w:pos="-720"/>
                    </w:tabs>
                    <w:jc w:val="both"/>
                  </w:pPr>
                </w:p>
                <w:p w:rsidR="00F04EEF" w:rsidRDefault="0099351E">
                  <w:pPr>
                    <w:tabs>
                      <w:tab w:val="left" w:pos="-1440"/>
                      <w:tab w:val="left" w:pos="-720"/>
                    </w:tabs>
                    <w:jc w:val="both"/>
                    <w:rPr>
                      <w:b/>
                    </w:rPr>
                  </w:pPr>
                  <w:r>
                    <w:rPr>
                      <w:b/>
                      <w:u w:val="single"/>
                    </w:rPr>
                    <w:t>Exemple 1</w:t>
                  </w:r>
                  <w:r>
                    <w:rPr>
                      <w:b/>
                    </w:rPr>
                    <w:t> :</w:t>
                  </w:r>
                </w:p>
                <w:p w:rsidR="00F04EEF" w:rsidRDefault="00F04EEF">
                  <w:pPr>
                    <w:tabs>
                      <w:tab w:val="left" w:pos="-1440"/>
                      <w:tab w:val="left" w:pos="-720"/>
                    </w:tabs>
                    <w:jc w:val="both"/>
                  </w:pPr>
                </w:p>
                <w:p w:rsidR="00F04EEF" w:rsidRDefault="0099351E">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hAnsiTheme="minorHAnsi" w:cstheme="minorHAnsi"/>
                      <w:szCs w:val="22"/>
                    </w:rPr>
                  </w:pPr>
                  <w:r>
                    <w:rPr>
                      <w:rFonts w:asciiTheme="minorHAnsi" w:hAnsiTheme="minorHAnsi" w:cstheme="minorHAnsi"/>
                      <w:szCs w:val="22"/>
                    </w:rPr>
                    <w:t xml:space="preserve">Un reliquat de 12 périodes provenant du C.P.U. enseignant pourra être utilisé à concurrence de 18/36 d’éducateur ou de 15/30 de logopède soit : </w:t>
                  </w:r>
                  <w:r>
                    <w:rPr>
                      <w:rFonts w:asciiTheme="minorHAnsi" w:hAnsiTheme="minorHAnsi" w:cstheme="minorHAnsi"/>
                      <w:b/>
                      <w:szCs w:val="22"/>
                    </w:rPr>
                    <w:t>12 : 24 = 0,5 charge de reliquat</w:t>
                  </w:r>
                </w:p>
                <w:p w:rsidR="00F04EEF" w:rsidRDefault="00F04EEF">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b/>
                      <w:szCs w:val="22"/>
                    </w:rPr>
                  </w:pPr>
                </w:p>
                <w:p w:rsidR="00F04EEF" w:rsidRDefault="0099351E">
                  <w:pPr>
                    <w:numPr>
                      <w:ilvl w:val="0"/>
                      <w:numId w:val="19"/>
                    </w:numPr>
                    <w:tabs>
                      <w:tab w:val="left" w:pos="567"/>
                      <w:tab w:val="left" w:pos="5670"/>
                    </w:tabs>
                    <w:suppressAutoHyphens/>
                    <w:jc w:val="both"/>
                  </w:pPr>
                  <w:r>
                    <w:t>si utilisation pour un éducateur :</w:t>
                  </w:r>
                  <w:r>
                    <w:tab/>
                    <w:t>0,5 x 36 = 18 périodes</w:t>
                  </w:r>
                </w:p>
                <w:p w:rsidR="00F04EEF" w:rsidRDefault="0099351E">
                  <w:pPr>
                    <w:numPr>
                      <w:ilvl w:val="0"/>
                      <w:numId w:val="19"/>
                    </w:numPr>
                    <w:tabs>
                      <w:tab w:val="left" w:pos="567"/>
                      <w:tab w:val="left" w:pos="5670"/>
                    </w:tabs>
                    <w:suppressAutoHyphens/>
                    <w:jc w:val="both"/>
                  </w:pPr>
                  <w:r>
                    <w:t xml:space="preserve">si utilisation pour un logopède : </w:t>
                  </w:r>
                  <w:r>
                    <w:tab/>
                    <w:t>0,5 x 30 = 15 périodes</w:t>
                  </w:r>
                </w:p>
                <w:p w:rsidR="00F04EEF" w:rsidRDefault="0099351E">
                  <w:pPr>
                    <w:numPr>
                      <w:ilvl w:val="0"/>
                      <w:numId w:val="19"/>
                    </w:numPr>
                    <w:tabs>
                      <w:tab w:val="left" w:pos="567"/>
                      <w:tab w:val="left" w:pos="5670"/>
                    </w:tabs>
                    <w:suppressAutoHyphens/>
                    <w:jc w:val="both"/>
                  </w:pPr>
                  <w:r>
                    <w:t>si utilisation pour un kinésithérapeute :</w:t>
                  </w:r>
                  <w:r>
                    <w:tab/>
                    <w:t>0,5 x 32 = 16 périodes</w:t>
                  </w:r>
                </w:p>
                <w:p w:rsidR="00F04EEF" w:rsidRDefault="00F04EEF">
                  <w:pPr>
                    <w:tabs>
                      <w:tab w:val="left" w:pos="-1440"/>
                      <w:tab w:val="left" w:pos="-720"/>
                    </w:tabs>
                    <w:jc w:val="both"/>
                  </w:pPr>
                </w:p>
                <w:p w:rsidR="00F04EEF" w:rsidRDefault="0099351E">
                  <w:pPr>
                    <w:tabs>
                      <w:tab w:val="left" w:pos="-1440"/>
                      <w:tab w:val="left" w:pos="-720"/>
                    </w:tabs>
                    <w:jc w:val="both"/>
                    <w:rPr>
                      <w:b/>
                    </w:rPr>
                  </w:pPr>
                  <w:r>
                    <w:rPr>
                      <w:b/>
                      <w:u w:val="single"/>
                    </w:rPr>
                    <w:t>Exemple 2</w:t>
                  </w:r>
                  <w:r>
                    <w:rPr>
                      <w:b/>
                    </w:rPr>
                    <w:t xml:space="preserve"> : </w:t>
                  </w:r>
                </w:p>
                <w:p w:rsidR="00F04EEF" w:rsidRDefault="00F04EEF">
                  <w:pPr>
                    <w:tabs>
                      <w:tab w:val="left" w:pos="-1440"/>
                      <w:tab w:val="left" w:pos="-720"/>
                    </w:tabs>
                    <w:jc w:val="both"/>
                  </w:pPr>
                </w:p>
                <w:p w:rsidR="00F04EEF" w:rsidRDefault="0099351E">
                  <w:pPr>
                    <w:tabs>
                      <w:tab w:val="left" w:pos="-1440"/>
                      <w:tab w:val="left" w:pos="-720"/>
                    </w:tabs>
                    <w:jc w:val="both"/>
                  </w:pPr>
                  <w:r>
                    <w:t xml:space="preserve">Un reliquat de 13 périodes provenant du C.P.U. paramédical soit : </w:t>
                  </w:r>
                  <w:r>
                    <w:rPr>
                      <w:b/>
                    </w:rPr>
                    <w:t xml:space="preserve">13 : 32 = 0,406 charge de reliquat </w:t>
                  </w:r>
                </w:p>
                <w:p w:rsidR="00F04EEF" w:rsidRDefault="00F04EEF">
                  <w:pPr>
                    <w:tabs>
                      <w:tab w:val="left" w:pos="-1440"/>
                      <w:tab w:val="left" w:pos="-720"/>
                    </w:tabs>
                    <w:jc w:val="both"/>
                    <w:rPr>
                      <w:b/>
                    </w:rPr>
                  </w:pPr>
                </w:p>
                <w:p w:rsidR="00F04EEF" w:rsidRDefault="0099351E">
                  <w:pPr>
                    <w:numPr>
                      <w:ilvl w:val="0"/>
                      <w:numId w:val="29"/>
                    </w:numPr>
                    <w:tabs>
                      <w:tab w:val="clear" w:pos="360"/>
                      <w:tab w:val="num" w:pos="284"/>
                      <w:tab w:val="left" w:pos="2268"/>
                      <w:tab w:val="left" w:pos="5670"/>
                    </w:tabs>
                    <w:suppressAutoHyphens/>
                    <w:ind w:left="0" w:hanging="5670"/>
                    <w:jc w:val="both"/>
                  </w:pPr>
                  <w:r>
                    <w:t>si utilisation pour 1 instituteur : 0,406 x 24 = 9,75 périodes arrondies à 10 périodes</w:t>
                  </w:r>
                </w:p>
                <w:p w:rsidR="00F04EEF" w:rsidRDefault="0099351E">
                  <w:pPr>
                    <w:numPr>
                      <w:ilvl w:val="0"/>
                      <w:numId w:val="29"/>
                    </w:numPr>
                    <w:tabs>
                      <w:tab w:val="clear" w:pos="360"/>
                      <w:tab w:val="num" w:pos="284"/>
                      <w:tab w:val="left" w:pos="567"/>
                    </w:tabs>
                    <w:suppressAutoHyphens/>
                    <w:ind w:left="0" w:hanging="5670"/>
                    <w:jc w:val="both"/>
                  </w:pPr>
                  <w:r>
                    <w:t>si utilisation pour un commis : 0,406 x 38 = 15,428 périodes arrondies à 16 périodes</w:t>
                  </w:r>
                </w:p>
                <w:p w:rsidR="00F04EEF" w:rsidRDefault="00F04EEF">
                  <w:pPr>
                    <w:tabs>
                      <w:tab w:val="left" w:pos="567"/>
                      <w:tab w:val="left" w:pos="5670"/>
                    </w:tabs>
                    <w:ind w:firstLine="5103"/>
                    <w:jc w:val="both"/>
                  </w:pPr>
                </w:p>
                <w:p w:rsidR="00F04EEF" w:rsidRDefault="0099351E">
                  <w:pPr>
                    <w:pStyle w:val="Titre3"/>
                    <w:rPr>
                      <w:sz w:val="22"/>
                      <w:szCs w:val="22"/>
                    </w:rPr>
                  </w:pPr>
                  <w:bookmarkStart w:id="2430" w:name="_4._Annexe"/>
                  <w:bookmarkStart w:id="2431" w:name="__RefHeading__195_957262308"/>
                  <w:bookmarkStart w:id="2432" w:name="_Toc291075355"/>
                  <w:bookmarkStart w:id="2433" w:name="_Toc291075779"/>
                  <w:bookmarkStart w:id="2434" w:name="_Toc291076203"/>
                  <w:bookmarkStart w:id="2435" w:name="_Toc291076627"/>
                  <w:bookmarkStart w:id="2436" w:name="_Toc291077051"/>
                  <w:bookmarkStart w:id="2437" w:name="_Toc293651894"/>
                  <w:bookmarkStart w:id="2438" w:name="_Toc293653477"/>
                  <w:bookmarkStart w:id="2439" w:name="_Toc293654088"/>
                  <w:bookmarkStart w:id="2440" w:name="_Toc294004666"/>
                  <w:bookmarkStart w:id="2441" w:name="_Toc294185162"/>
                  <w:bookmarkStart w:id="2442" w:name="_Toc324165978"/>
                  <w:bookmarkStart w:id="2443" w:name="_Toc324767015"/>
                  <w:bookmarkStart w:id="2444" w:name="_Toc453314373"/>
                  <w:bookmarkStart w:id="2445" w:name="_Toc454980408"/>
                  <w:bookmarkStart w:id="2446" w:name="_Toc47708523"/>
                  <w:bookmarkEnd w:id="2430"/>
                  <w:bookmarkEnd w:id="2431"/>
                  <w:r>
                    <w:rPr>
                      <w:sz w:val="22"/>
                      <w:szCs w:val="22"/>
                    </w:rPr>
                    <w:t>4. Annexe</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rsidR="00F04EEF" w:rsidRDefault="00F04EEF"/>
                <w:p w:rsidR="00F04EEF" w:rsidRDefault="0099351E">
                  <w:pPr>
                    <w:pBdr>
                      <w:top w:val="single" w:sz="4" w:space="1" w:color="auto"/>
                      <w:left w:val="single" w:sz="4" w:space="4" w:color="auto"/>
                      <w:bottom w:val="single" w:sz="4" w:space="1" w:color="auto"/>
                      <w:right w:val="single" w:sz="4" w:space="4" w:color="auto"/>
                    </w:pBdr>
                    <w:tabs>
                      <w:tab w:val="left" w:pos="-1440"/>
                      <w:tab w:val="left" w:pos="-720"/>
                    </w:tabs>
                    <w:jc w:val="center"/>
                  </w:pPr>
                  <w:r>
                    <w:rPr>
                      <w:b/>
                      <w:u w:val="single"/>
                    </w:rPr>
                    <w:t>Les conventions de transfert des reliquats</w:t>
                  </w:r>
                  <w:r>
                    <w:t xml:space="preserve"> </w:t>
                  </w:r>
                  <w:r>
                    <w:br/>
                    <w:t>sont à adresser à :</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167" w:history="1">
                    <w:r>
                      <w:rPr>
                        <w:rStyle w:val="Lienhypertexte"/>
                        <w:szCs w:val="22"/>
                      </w:rPr>
                      <w:t>veronique.rombaut@cfwb.be</w:t>
                    </w:r>
                  </w:hyperlink>
                </w:p>
                <w:p w:rsidR="00F04EEF" w:rsidRDefault="0099351E">
                  <w:pPr>
                    <w:pStyle w:val="Titre4"/>
                  </w:pPr>
                  <w:bookmarkStart w:id="2447" w:name="_Annexe_1_:_4"/>
                  <w:bookmarkEnd w:id="2447"/>
                  <w:r>
                    <w:br w:type="page"/>
                  </w:r>
                  <w:bookmarkStart w:id="2448" w:name="_Annexe_1_:_8"/>
                  <w:bookmarkStart w:id="2449" w:name="_Toc453314374"/>
                  <w:bookmarkStart w:id="2450" w:name="_Toc454980409"/>
                  <w:bookmarkEnd w:id="2448"/>
                  <w:r>
                    <w:t>Annexe 1 : Convention – Transfert de reliquat</w:t>
                  </w:r>
                  <w:bookmarkEnd w:id="2449"/>
                  <w:bookmarkEnd w:id="2450"/>
                </w:p>
                <w:p w:rsidR="00F04EEF" w:rsidRDefault="0099351E">
                  <w:pPr>
                    <w:pStyle w:val="Notedebasdepage"/>
                    <w:ind w:left="4678"/>
                    <w:rPr>
                      <w:sz w:val="22"/>
                    </w:rPr>
                  </w:pPr>
                  <w:r>
                    <w:rPr>
                      <w:sz w:val="22"/>
                    </w:rPr>
                    <w:t>Direction générale de l’enseignement obligatoire</w:t>
                  </w:r>
                </w:p>
                <w:p w:rsidR="00F04EEF" w:rsidRDefault="0099351E">
                  <w:pPr>
                    <w:pStyle w:val="Notedebasdepage"/>
                    <w:ind w:left="4678"/>
                    <w:rPr>
                      <w:sz w:val="22"/>
                    </w:rPr>
                  </w:pPr>
                  <w:r>
                    <w:rPr>
                      <w:sz w:val="22"/>
                    </w:rPr>
                    <w:t>Service de l’enseignement spécialisé</w:t>
                  </w:r>
                </w:p>
                <w:p w:rsidR="00F04EEF" w:rsidRDefault="0099351E">
                  <w:pPr>
                    <w:pStyle w:val="Notedebasdepage"/>
                    <w:ind w:left="4678"/>
                    <w:rPr>
                      <w:b/>
                      <w:sz w:val="22"/>
                    </w:rPr>
                  </w:pPr>
                  <w:r>
                    <w:rPr>
                      <w:b/>
                      <w:sz w:val="22"/>
                    </w:rPr>
                    <w:t>Transfert de reliquat</w:t>
                  </w:r>
                </w:p>
                <w:p w:rsidR="00F04EEF" w:rsidRDefault="0099351E">
                  <w:pPr>
                    <w:pStyle w:val="Notedebasdepage"/>
                    <w:ind w:left="4678"/>
                    <w:rPr>
                      <w:sz w:val="22"/>
                    </w:rPr>
                  </w:pPr>
                  <w:r>
                    <w:rPr>
                      <w:sz w:val="22"/>
                    </w:rPr>
                    <w:t>Bureau 2 F 251</w:t>
                  </w:r>
                </w:p>
                <w:p w:rsidR="00F04EEF" w:rsidRDefault="0099351E">
                  <w:pPr>
                    <w:pStyle w:val="Notedebasdepage"/>
                    <w:ind w:left="4678"/>
                    <w:rPr>
                      <w:sz w:val="22"/>
                    </w:rPr>
                  </w:pPr>
                  <w:r>
                    <w:rPr>
                      <w:sz w:val="22"/>
                    </w:rPr>
                    <w:t>Rue Adolphe Lavallée, 1</w:t>
                  </w:r>
                </w:p>
                <w:p w:rsidR="00F04EEF" w:rsidRDefault="0099351E">
                  <w:pPr>
                    <w:pStyle w:val="Notedebasdepage"/>
                    <w:ind w:left="4678"/>
                    <w:rPr>
                      <w:sz w:val="22"/>
                    </w:rPr>
                  </w:pPr>
                  <w:r>
                    <w:rPr>
                      <w:sz w:val="22"/>
                    </w:rPr>
                    <w:t>1080    BRUXELLES</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rPr>
                    <w:t>ECOLE CEDANTE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N° FASE :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ET</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lang w:val="fr-FR"/>
                    </w:rPr>
                  </w:pPr>
                  <w:r>
                    <w:rPr>
                      <w:b/>
                      <w:lang w:val="fr-FR"/>
                    </w:rPr>
                    <w:t xml:space="preserve">ECOLE BENEFICIAIRE :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N° FASE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L’école « cédante » accepte de transférer</w:t>
                  </w:r>
                  <w:r>
                    <w:tab/>
                  </w:r>
                  <w:r>
                    <w:tab/>
                    <w:t>périodes, du reliquat enseignant/administratif ou auxiliaire/ paramédical</w:t>
                  </w:r>
                  <w:r>
                    <w:rPr>
                      <w:rStyle w:val="Caractresdenotedebasdepage"/>
                      <w:rFonts w:cs="Arial"/>
                    </w:rPr>
                    <w:footnoteReference w:id="136"/>
                  </w:r>
                  <w:r>
                    <w:t xml:space="preserve">, soit </w:t>
                  </w:r>
                  <w:r>
                    <w:tab/>
                  </w:r>
                  <w:r>
                    <w:tab/>
                    <w:t xml:space="preserve"> charge</w:t>
                  </w:r>
                  <w:r>
                    <w:rPr>
                      <w:rStyle w:val="Caractresdenotedebasdepage"/>
                      <w:rFonts w:cs="Arial"/>
                    </w:rPr>
                    <w:footnoteReference w:id="137"/>
                  </w:r>
                  <w:r>
                    <w:t xml:space="preserve">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à l’école « bénéficiaire » pour la période suivante</w:t>
                  </w:r>
                  <w:r>
                    <w:rPr>
                      <w:rStyle w:val="Appelnotedebasdep"/>
                    </w:rPr>
                    <w:footnoteReference w:id="138"/>
                  </w:r>
                  <w:r>
                    <w:t> :</w:t>
                  </w:r>
                  <w:r>
                    <w:tab/>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Conformément à l’article 166 du </w:t>
                  </w:r>
                  <w:hyperlink r:id="rId168" w:history="1">
                    <w:r>
                      <w:rPr>
                        <w:rStyle w:val="Lienhypertexte"/>
                        <w:rFonts w:cs="Arial"/>
                      </w:rPr>
                      <w:t>Décret du 3 mars 2004 organisant l’enseignement spécialisé</w:t>
                    </w:r>
                  </w:hyperlink>
                  <w:r>
                    <w:t>.</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u w:val="single"/>
                    </w:rPr>
                    <w:t>Document à annexer</w:t>
                  </w:r>
                  <w:r>
                    <w:rPr>
                      <w:b/>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Pr>
                      <w:b/>
                      <w:i/>
                    </w:rPr>
                    <w:t>de l’école cédante</w:t>
                  </w:r>
                  <w:r>
                    <w:rPr>
                      <w:b/>
                    </w:rPr>
                    <w:t>.</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fldChar w:fldCharType="begin">
                      <w:ffData>
                        <w:name w:val="CaseACocher1"/>
                        <w:enabled/>
                        <w:calcOnExit w:val="0"/>
                        <w:checkBox>
                          <w:sizeAuto/>
                          <w:default w:val="0"/>
                        </w:checkBox>
                      </w:ffData>
                    </w:fldChar>
                  </w:r>
                  <w:r>
                    <w:instrText xml:space="preserve"> FORMCHECKBOX </w:instrText>
                  </w:r>
                  <w:r w:rsidR="00F42422">
                    <w:fldChar w:fldCharType="separate"/>
                  </w:r>
                  <w:r>
                    <w:fldChar w:fldCharType="end"/>
                  </w:r>
                  <w:r>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Fait à</w:t>
                  </w:r>
                  <w:r>
                    <w:tab/>
                  </w:r>
                  <w:r>
                    <w:tab/>
                  </w:r>
                  <w:r>
                    <w:tab/>
                  </w:r>
                  <w:r>
                    <w:tab/>
                  </w:r>
                  <w:r>
                    <w:tab/>
                  </w:r>
                  <w:r>
                    <w:tab/>
                  </w:r>
                  <w:r>
                    <w:tab/>
                    <w:t>en double exemplaire, le</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r>
                    <w:rPr>
                      <w:i/>
                      <w:iCs/>
                    </w:rPr>
                    <w:tab/>
                  </w:r>
                  <w:r>
                    <w:rPr>
                      <w:b/>
                      <w:iCs/>
                    </w:rPr>
                    <w:t xml:space="preserve">NOM, prénom, qualité et signature du </w:t>
                  </w:r>
                  <w:r>
                    <w:rPr>
                      <w:b/>
                      <w:iCs/>
                      <w:u w:val="single"/>
                    </w:rPr>
                    <w:t>cédant</w:t>
                  </w:r>
                  <w:r>
                    <w:rPr>
                      <w:b/>
                      <w:iCs/>
                    </w:rPr>
                    <w:t xml:space="preserv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p>
                <w:p w:rsidR="00F04EEF" w:rsidRDefault="0099351E">
                  <w:pPr>
                    <w:pStyle w:val="Sansinterligne"/>
                    <w:rPr>
                      <w:rFonts w:asciiTheme="majorHAnsi" w:hAnsiTheme="majorHAnsi"/>
                      <w:b/>
                      <w:iCs/>
                      <w:u w:val="single"/>
                    </w:rPr>
                  </w:pPr>
                  <w:r>
                    <w:rPr>
                      <w:rFonts w:asciiTheme="majorHAnsi" w:hAnsiTheme="majorHAnsi"/>
                      <w:b/>
                      <w:iCs/>
                    </w:rPr>
                    <w:t xml:space="preserve">NOM, prénom, qualité et signature du </w:t>
                  </w:r>
                  <w:r>
                    <w:rPr>
                      <w:rFonts w:asciiTheme="majorHAnsi" w:hAnsiTheme="majorHAnsi"/>
                      <w:b/>
                      <w:iCs/>
                      <w:u w:val="single"/>
                    </w:rPr>
                    <w:t>bénéficiaire</w:t>
                  </w:r>
                </w:p>
                <w:sdt>
                  <w:sdtPr>
                    <w:id w:val="-356119852"/>
                    <w:docPartObj>
                      <w:docPartGallery w:val="Cover Pages"/>
                      <w:docPartUnique/>
                    </w:docPartObj>
                  </w:sdtPr>
                  <w:sdtEndPr/>
                  <w:sdtContent>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eastAsiaTheme="minorEastAsia"/>
                          <w:lang w:eastAsia="fr-BE"/>
                        </w:rPr>
                      </w:pPr>
                      <w:r>
                        <w:rPr>
                          <w:rFonts w:eastAsiaTheme="minorEastAsia"/>
                          <w:lang w:eastAsia="fr-BE"/>
                        </w:rPr>
                        <w:br w:type="page"/>
                      </w:r>
                    </w:p>
                  </w:sdtContent>
                </w:sdt>
                <w:p w:rsidR="00F04EEF" w:rsidRDefault="00F04EEF"/>
                <w:p w:rsidR="00F04EEF" w:rsidRDefault="0099351E">
                  <w:pPr>
                    <w:pStyle w:val="Titre2"/>
                  </w:pPr>
                  <w:bookmarkStart w:id="2451" w:name="_chapitre_9_:"/>
                  <w:bookmarkStart w:id="2452" w:name="_Toc477623738"/>
                  <w:bookmarkStart w:id="2453" w:name="_Toc477767535"/>
                  <w:bookmarkStart w:id="2454" w:name="_Toc47708524"/>
                  <w:bookmarkEnd w:id="2451"/>
                  <w:r>
                    <w:t>Chapitre</w:t>
                  </w:r>
                  <w:bookmarkEnd w:id="2452"/>
                  <w:bookmarkEnd w:id="2453"/>
                  <w:r>
                    <w:t xml:space="preserve"> 9 :</w:t>
                  </w:r>
                  <w:bookmarkStart w:id="2455" w:name="_Toc477623739"/>
                  <w:bookmarkStart w:id="2456" w:name="_Toc477767536"/>
                  <w:r>
                    <w:t xml:space="preserve"> Du conseil de classe, du Plan Individuel d’Apprentissage (P.I.A) et des procédures de recours</w:t>
                  </w:r>
                  <w:bookmarkEnd w:id="2455"/>
                  <w:bookmarkEnd w:id="2456"/>
                  <w:bookmarkEnd w:id="2454"/>
                </w:p>
                <w:p w:rsidR="00F04EEF" w:rsidRDefault="00F04EEF"/>
                <w:p w:rsidR="00F04EEF" w:rsidRDefault="00F04EEF"/>
                <w:p w:rsidR="00F04EEF" w:rsidRDefault="00F04EEF"/>
                <w:p w:rsidR="00F04EEF" w:rsidRDefault="00F04EEF"/>
                <w:p w:rsidR="00F04EEF" w:rsidRDefault="00F04EEF"/>
                <w:p w:rsidR="00F04EEF" w:rsidRDefault="0099351E">
                  <w:pPr>
                    <w:rPr>
                      <w:b/>
                      <w:u w:val="single"/>
                    </w:rPr>
                  </w:pPr>
                  <w:r>
                    <w:rPr>
                      <w:b/>
                      <w:u w:val="single"/>
                    </w:rPr>
                    <w:t xml:space="preserve">Bases légales : </w:t>
                  </w:r>
                </w:p>
                <w:p w:rsidR="00F04EEF" w:rsidRDefault="00F04EEF">
                  <w:pPr>
                    <w:rPr>
                      <w:b/>
                      <w:u w:val="single"/>
                    </w:rPr>
                  </w:pPr>
                </w:p>
                <w:p w:rsidR="00F04EEF" w:rsidRDefault="00F42422">
                  <w:pPr>
                    <w:numPr>
                      <w:ilvl w:val="0"/>
                      <w:numId w:val="54"/>
                    </w:numPr>
                    <w:suppressAutoHyphens/>
                  </w:pPr>
                  <w:hyperlink r:id="rId169" w:history="1">
                    <w:r w:rsidR="0099351E">
                      <w:rPr>
                        <w:rStyle w:val="Lienhypertexte"/>
                        <w:rFonts w:cs="Arial"/>
                      </w:rPr>
                      <w:t>Décret du 3 mars 2004 organisant l'enseignement spécialisé</w:t>
                    </w:r>
                  </w:hyperlink>
                  <w:r w:rsidR="0099351E">
                    <w:t>.</w:t>
                  </w:r>
                </w:p>
                <w:p w:rsidR="00F04EEF" w:rsidRDefault="0099351E">
                  <w:pPr>
                    <w:numPr>
                      <w:ilvl w:val="0"/>
                      <w:numId w:val="54"/>
                    </w:numPr>
                    <w:suppressAutoHyphens/>
                    <w:jc w:val="both"/>
                  </w:pPr>
                  <w:r>
                    <w:rPr>
                      <w:rFonts w:cs="Arial"/>
                      <w:noProof/>
                      <w:color w:val="0000FF"/>
                      <w:u w:val="single"/>
                      <w:lang w:eastAsia="fr-BE"/>
                    </w:rPr>
                    <mc:AlternateContent>
                      <mc:Choice Requires="wps">
                        <w:drawing>
                          <wp:anchor distT="0" distB="0" distL="114300" distR="114300" simplePos="0" relativeHeight="252240896" behindDoc="0" locked="0" layoutInCell="1" allowOverlap="1">
                            <wp:simplePos x="0" y="0"/>
                            <wp:positionH relativeFrom="column">
                              <wp:posOffset>6424295</wp:posOffset>
                            </wp:positionH>
                            <wp:positionV relativeFrom="paragraph">
                              <wp:posOffset>331470</wp:posOffset>
                            </wp:positionV>
                            <wp:extent cx="0" cy="342900"/>
                            <wp:effectExtent l="0" t="0" r="19050" b="19050"/>
                            <wp:wrapNone/>
                            <wp:docPr id="531" name="Connecteur droit 531"/>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F1976D" id="Connecteur droit 531" o:spid="_x0000_s1026" style="position:absolute;z-index:252240896;visibility:visible;mso-wrap-style:square;mso-wrap-distance-left:9pt;mso-wrap-distance-top:0;mso-wrap-distance-right:9pt;mso-wrap-distance-bottom:0;mso-position-horizontal:absolute;mso-position-horizontal-relative:text;mso-position-vertical:absolute;mso-position-vertical-relative:text" from="505.85pt,26.1pt" to="505.85pt,5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" strokecolor="black [3213]"/>
                        </w:pict>
                      </mc:Fallback>
                    </mc:AlternateContent>
                  </w:r>
                  <w:hyperlink r:id="rId170" w:history="1">
                    <w:r>
                      <w:rPr>
                        <w:rStyle w:val="Lienhypertexte"/>
                        <w:rFonts w:cs="Arial"/>
                      </w:rPr>
                      <w:t>Décret du 24 juillet 1997 définissant les missions prioritaires de l'enseignement fondamental et de l'enseignement secondaire et organisant les structures propres à les atteindre</w:t>
                    </w:r>
                  </w:hyperlink>
                  <w:r>
                    <w:t>.</w:t>
                  </w:r>
                </w:p>
                <w:p w:rsidR="00F04EEF" w:rsidRDefault="00F42422">
                  <w:pPr>
                    <w:numPr>
                      <w:ilvl w:val="0"/>
                      <w:numId w:val="54"/>
                    </w:numPr>
                    <w:suppressAutoHyphens/>
                    <w:jc w:val="both"/>
                  </w:pPr>
                  <w:hyperlink r:id="rId171" w:history="1">
                    <w:r w:rsidR="0099351E">
                      <w:rPr>
                        <w:rStyle w:val="Lienhypertexte"/>
                        <w:rFonts w:cstheme="minorBidi"/>
                      </w:rPr>
                      <w:t>Arrêté du Gouvernement de la Communauté française du 21 janvier 2010 relatif à l'organisation et au fonctionnement des Conseils de recours de l'enseignement secondaire spécialisé de plein exercice</w:t>
                    </w:r>
                  </w:hyperlink>
                </w:p>
                <w:p w:rsidR="00F04EEF" w:rsidRDefault="0099351E">
                  <w:pPr>
                    <w:numPr>
                      <w:ilvl w:val="0"/>
                      <w:numId w:val="54"/>
                    </w:numPr>
                    <w:suppressAutoHyphens/>
                    <w:jc w:val="both"/>
                    <w:rPr>
                      <w:rStyle w:val="Lienhypertexte"/>
                      <w:rFonts w:cstheme="minorBidi"/>
                    </w:rPr>
                  </w:pPr>
                  <w:r>
                    <w:rPr>
                      <w:color w:val="17365D"/>
                      <w:u w:val="single"/>
                    </w:rPr>
                    <w:fldChar w:fldCharType="begin"/>
                  </w:r>
                  <w:r>
                    <w:rPr>
                      <w:color w:val="17365D"/>
                      <w:u w:val="single"/>
                    </w:rPr>
                    <w:instrText xml:space="preserve"> HYPERLINK "http://www.enseignement.be/upload/circulaires/000000000002/4019_20111128_154403.pdf" </w:instrText>
                  </w:r>
                  <w:r>
                    <w:rPr>
                      <w:color w:val="17365D"/>
                      <w:u w:val="single"/>
                    </w:rPr>
                    <w:fldChar w:fldCharType="separate"/>
                  </w:r>
                  <w:r>
                    <w:rPr>
                      <w:rStyle w:val="Lienhypertexte"/>
                      <w:rFonts w:cstheme="minorBidi"/>
                    </w:rPr>
                    <w:t>C</w:t>
                  </w:r>
                  <w:r>
                    <w:rPr>
                      <w:rStyle w:val="Lienhypertexte"/>
                      <w:rFonts w:cs="Arial"/>
                    </w:rPr>
                    <w:t>irculaire 3804 du 28 novembre 2011 précise les modalités de transmission du Plan Individuel d’Apprentissage</w:t>
                  </w:r>
                  <w:r>
                    <w:rPr>
                      <w:rStyle w:val="Lienhypertexte"/>
                      <w:vertAlign w:val="superscript"/>
                    </w:rPr>
                    <w:footnoteReference w:id="139"/>
                  </w:r>
                  <w:r>
                    <w:rPr>
                      <w:rStyle w:val="Lienhypertexte"/>
                      <w:rFonts w:cstheme="minorBidi"/>
                    </w:rPr>
                    <w:t>.</w:t>
                  </w:r>
                </w:p>
                <w:p w:rsidR="00F04EEF" w:rsidRDefault="0099351E">
                  <w:pPr>
                    <w:numPr>
                      <w:ilvl w:val="0"/>
                      <w:numId w:val="54"/>
                    </w:numPr>
                    <w:suppressAutoHyphens/>
                    <w:jc w:val="both"/>
                    <w:rPr>
                      <w:rStyle w:val="Lienhypertexte"/>
                      <w:rFonts w:cstheme="minorBidi"/>
                    </w:rPr>
                  </w:pPr>
                  <w:r>
                    <w:rPr>
                      <w:color w:val="17365D"/>
                      <w:u w:val="single"/>
                    </w:rPr>
                    <w:fldChar w:fldCharType="end"/>
                  </w:r>
                  <w:r>
                    <w:rPr>
                      <w:rStyle w:val="Lienhypertexte"/>
                      <w:rFonts w:cs="Arial"/>
                    </w:rPr>
                    <w:fldChar w:fldCharType="begin"/>
                  </w:r>
                  <w:r>
                    <w:rPr>
                      <w:rStyle w:val="Lienhypertexte"/>
                      <w:rFonts w:cs="Arial"/>
                    </w:rPr>
                    <w:instrText xml:space="preserve"> HYPERLINK "http://www.enseignement.be/upload/circulaires/000000000002/FWB%20-%20Circulaire%204234%20(4451_20121212_104053).pdf" </w:instrText>
                  </w:r>
                  <w:r>
                    <w:rPr>
                      <w:rStyle w:val="Lienhypertexte"/>
                      <w:rFonts w:cs="Arial"/>
                    </w:rPr>
                    <w:fldChar w:fldCharType="separate"/>
                  </w:r>
                  <w:r>
                    <w:rPr>
                      <w:rStyle w:val="Lienhypertexte"/>
                      <w:rFonts w:cs="Arial"/>
                    </w:rPr>
                    <w:t>Circulaire 4234 du 12 décembre 2012 relative au Plan Individuel d’Apprentissage (P.I.A.) – de la démarche au document – un plan individuel d’apprentissage avec et pour l’élève</w:t>
                  </w:r>
                </w:p>
                <w:p w:rsidR="00F04EEF" w:rsidRDefault="0099351E">
                  <w:pPr>
                    <w:numPr>
                      <w:ilvl w:val="0"/>
                      <w:numId w:val="54"/>
                    </w:numPr>
                    <w:suppressAutoHyphens/>
                    <w:jc w:val="both"/>
                    <w:rPr>
                      <w:rStyle w:val="Lienhypertexte"/>
                      <w:rFonts w:cstheme="minorBidi"/>
                    </w:rPr>
                  </w:pPr>
                  <w:r>
                    <w:rPr>
                      <w:rStyle w:val="Lienhypertexte"/>
                      <w:rFonts w:cs="Arial"/>
                    </w:rPr>
                    <w:fldChar w:fldCharType="end"/>
                  </w:r>
                  <w:r>
                    <w:rPr>
                      <w:rStyle w:val="Lienhypertexte"/>
                      <w:rFonts w:cs="Arial"/>
                    </w:rPr>
                    <w:fldChar w:fldCharType="begin"/>
                  </w:r>
                  <w:r>
                    <w:rPr>
                      <w:rStyle w:val="Lienhypertexte"/>
                      <w:rFonts w:cs="Arial"/>
                    </w:rPr>
                    <w:instrText xml:space="preserve"> HYPERLINK "http://www.enseignement.be/upload/circulaires/000000000002/FWB%20-%20Circulaire%204623%20(4846_20131104_152718).pdf" </w:instrText>
                  </w:r>
                  <w:r>
                    <w:rPr>
                      <w:rStyle w:val="Lienhypertexte"/>
                      <w:rFonts w:cs="Arial"/>
                    </w:rPr>
                    <w:fldChar w:fldCharType="separate"/>
                  </w:r>
                  <w:r>
                    <w:rPr>
                      <w:rStyle w:val="Lienhypertexte"/>
                      <w:rFonts w:cs="Arial"/>
                    </w:rPr>
                    <w:t>Circulaire 4623 du 4 novembre 2013 relative au Plan Individuel de Transition (P.I.T.) : Comment favoriser le continuum école-vie adulte grâce à une préparation adéquate dès l’entrée du jeune en enseignement secondaire spécialisé</w:t>
                  </w:r>
                  <w:r>
                    <w:rPr>
                      <w:rStyle w:val="Lienhypertexte"/>
                      <w:rFonts w:cstheme="minorBidi"/>
                    </w:rPr>
                    <w:t>.</w:t>
                  </w:r>
                </w:p>
                <w:p w:rsidR="00F04EEF" w:rsidRDefault="0099351E">
                  <w:pPr>
                    <w:jc w:val="both"/>
                  </w:pPr>
                  <w:r>
                    <w:rPr>
                      <w:rStyle w:val="Lienhypertexte"/>
                      <w:rFonts w:cs="Arial"/>
                    </w:rPr>
                    <w:fldChar w:fldCharType="end"/>
                  </w:r>
                </w:p>
                <w:p w:rsidR="00F04EEF" w:rsidRDefault="00F04EEF">
                  <w:pPr>
                    <w:jc w:val="both"/>
                  </w:pPr>
                </w:p>
                <w:p w:rsidR="00F04EEF" w:rsidRDefault="0099351E">
                  <w:pPr>
                    <w:pStyle w:val="Titre3"/>
                    <w:rPr>
                      <w:sz w:val="22"/>
                      <w:szCs w:val="22"/>
                    </w:rPr>
                  </w:pPr>
                  <w:bookmarkStart w:id="2457" w:name="__RefHeading__199_957262308"/>
                  <w:bookmarkStart w:id="2458" w:name="__RefHeading__201_957262308"/>
                  <w:bookmarkStart w:id="2459" w:name="_Toc291075364"/>
                  <w:bookmarkStart w:id="2460" w:name="_Toc291075788"/>
                  <w:bookmarkStart w:id="2461" w:name="_Toc291076212"/>
                  <w:bookmarkStart w:id="2462" w:name="_Toc291076636"/>
                  <w:bookmarkStart w:id="2463" w:name="_Toc291077060"/>
                  <w:bookmarkStart w:id="2464" w:name="_Toc293651903"/>
                  <w:bookmarkStart w:id="2465" w:name="_Toc293653486"/>
                  <w:bookmarkStart w:id="2466" w:name="_Toc293654097"/>
                  <w:bookmarkStart w:id="2467" w:name="_Toc294004675"/>
                  <w:bookmarkStart w:id="2468" w:name="_Toc294185171"/>
                  <w:bookmarkStart w:id="2469" w:name="_Toc324165987"/>
                  <w:bookmarkStart w:id="2470" w:name="_Toc324767024"/>
                  <w:bookmarkStart w:id="2471" w:name="_Toc453314383"/>
                  <w:bookmarkStart w:id="2472" w:name="_Toc454980418"/>
                  <w:bookmarkStart w:id="2473" w:name="_Toc47708525"/>
                  <w:bookmarkEnd w:id="2457"/>
                  <w:bookmarkEnd w:id="2458"/>
                  <w:r>
                    <w:rPr>
                      <w:sz w:val="22"/>
                      <w:szCs w:val="22"/>
                    </w:rPr>
                    <w:t>1. Le conseil de classe dans l’enseignement secondaire</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r>
                    <w:rPr>
                      <w:sz w:val="22"/>
                      <w:szCs w:val="22"/>
                    </w:rPr>
                    <w:t xml:space="preserve"> </w:t>
                  </w:r>
                </w:p>
                <w:p w:rsidR="00F04EEF" w:rsidRDefault="00F04EEF">
                  <w:pPr>
                    <w:pStyle w:val="NormalWeb"/>
                    <w:tabs>
                      <w:tab w:val="left" w:pos="1134"/>
                    </w:tabs>
                    <w:spacing w:before="0"/>
                    <w:rPr>
                      <w:rFonts w:asciiTheme="majorHAnsi" w:hAnsiTheme="majorHAnsi"/>
                      <w:szCs w:val="22"/>
                    </w:rPr>
                  </w:pPr>
                </w:p>
                <w:p w:rsidR="00F04EEF" w:rsidRDefault="0099351E">
                  <w:pPr>
                    <w:pStyle w:val="Titre4"/>
                  </w:pPr>
                  <w:bookmarkStart w:id="2474" w:name="_Toc291075365"/>
                  <w:bookmarkStart w:id="2475" w:name="_Toc291075789"/>
                  <w:bookmarkStart w:id="2476" w:name="_Toc291076213"/>
                  <w:bookmarkStart w:id="2477" w:name="_Toc291076637"/>
                  <w:bookmarkStart w:id="2478" w:name="_Toc291077061"/>
                  <w:bookmarkStart w:id="2479" w:name="_Toc293651904"/>
                  <w:bookmarkStart w:id="2480" w:name="_Toc293653487"/>
                  <w:bookmarkStart w:id="2481" w:name="_Toc293654098"/>
                  <w:bookmarkStart w:id="2482" w:name="_Toc294004676"/>
                  <w:bookmarkStart w:id="2483" w:name="_Toc294185172"/>
                  <w:bookmarkStart w:id="2484" w:name="_Toc324165988"/>
                  <w:bookmarkStart w:id="2485" w:name="_Toc324767025"/>
                  <w:bookmarkStart w:id="2486" w:name="_Toc324767883"/>
                  <w:bookmarkStart w:id="2487" w:name="_Toc453314384"/>
                  <w:bookmarkStart w:id="2488" w:name="_Toc454980419"/>
                  <w:r>
                    <w:t>1.1. Sa composition</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rsidR="00F04EEF" w:rsidRDefault="00F04EEF">
                  <w:pPr>
                    <w:jc w:val="both"/>
                  </w:pPr>
                </w:p>
                <w:p w:rsidR="00F04EEF" w:rsidRDefault="0099351E">
                  <w:pPr>
                    <w:pStyle w:val="NormalWeb"/>
                    <w:tabs>
                      <w:tab w:val="left" w:pos="1134"/>
                    </w:tabs>
                    <w:rPr>
                      <w:rFonts w:asciiTheme="majorHAnsi" w:hAnsiTheme="majorHAnsi"/>
                      <w:szCs w:val="22"/>
                    </w:rPr>
                  </w:pPr>
                  <w:r>
                    <w:rPr>
                      <w:rFonts w:asciiTheme="majorHAnsi" w:hAnsiTheme="majorHAnsi"/>
                      <w:szCs w:val="22"/>
                    </w:rPr>
                    <w:t>Le conseil de classe est composé de l’ensemble des membres des personnels directeur et enseignant, auxiliaire d’éducation, paramédical, psychologique et social qui ont la charge de l’instruction, de l’éducation et de la formation d’un groupe d’élèves et qui en portent la responsabilité.</w:t>
                  </w:r>
                </w:p>
                <w:p w:rsidR="00F04EEF" w:rsidRDefault="0099351E">
                  <w:pPr>
                    <w:pStyle w:val="NormalWeb"/>
                    <w:tabs>
                      <w:tab w:val="left" w:pos="1134"/>
                    </w:tabs>
                    <w:rPr>
                      <w:rFonts w:asciiTheme="majorHAnsi" w:hAnsiTheme="majorHAnsi"/>
                      <w:szCs w:val="22"/>
                    </w:rPr>
                  </w:pPr>
                  <w:r>
                    <w:rPr>
                      <w:rFonts w:asciiTheme="majorHAnsi" w:hAnsiTheme="majorHAnsi"/>
                      <w:szCs w:val="22"/>
                    </w:rPr>
                    <w:t>Les chefs d'atelier sont tenus de participer aux conseils de classe des groupes d'élèves des secteurs professionnels relevant de leurs compétences.</w:t>
                  </w:r>
                </w:p>
                <w:p w:rsidR="00F04EEF" w:rsidRDefault="0099351E">
                  <w:pPr>
                    <w:pStyle w:val="NormalWeb"/>
                    <w:tabs>
                      <w:tab w:val="left" w:pos="1134"/>
                    </w:tabs>
                    <w:rPr>
                      <w:rFonts w:asciiTheme="majorHAnsi" w:hAnsiTheme="majorHAnsi"/>
                      <w:szCs w:val="22"/>
                    </w:rPr>
                  </w:pPr>
                  <w:r>
                    <w:rPr>
                      <w:rFonts w:asciiTheme="majorHAnsi" w:hAnsiTheme="majorHAnsi"/>
                      <w:szCs w:val="22"/>
                    </w:rPr>
                    <w:t>Les chefs de travaux d’atelier peuvent participer aux conseils de classe.</w:t>
                  </w:r>
                </w:p>
                <w:p w:rsidR="00F04EEF" w:rsidRDefault="0099351E">
                  <w:pPr>
                    <w:pStyle w:val="NormalWeb"/>
                    <w:tabs>
                      <w:tab w:val="left" w:pos="1134"/>
                    </w:tabs>
                    <w:rPr>
                      <w:rFonts w:asciiTheme="majorHAnsi" w:hAnsiTheme="majorHAnsi"/>
                      <w:szCs w:val="22"/>
                    </w:rPr>
                  </w:pPr>
                  <w:r>
                    <w:rPr>
                      <w:rFonts w:asciiTheme="majorHAnsi" w:hAnsiTheme="majorHAnsi"/>
                      <w:szCs w:val="22"/>
                    </w:rPr>
                    <w:t>Pour les élèves suivant un enseignement spécialisé en alternance le conseil de classe est élargi au coordonnateur et/ou à l’accompagnateur du CEFA.</w:t>
                  </w:r>
                </w:p>
                <w:p w:rsidR="00F04EEF" w:rsidRDefault="00F04EEF">
                  <w:pPr>
                    <w:pStyle w:val="NormalWeb"/>
                    <w:tabs>
                      <w:tab w:val="left" w:pos="1134"/>
                    </w:tabs>
                    <w:spacing w:before="0"/>
                    <w:rPr>
                      <w:rFonts w:asciiTheme="majorHAnsi" w:hAnsiTheme="majorHAnsi"/>
                      <w:szCs w:val="22"/>
                    </w:rPr>
                  </w:pPr>
                </w:p>
                <w:p w:rsidR="00F04EEF" w:rsidRDefault="0099351E">
                  <w:pPr>
                    <w:pStyle w:val="Titre4"/>
                  </w:pPr>
                  <w:bookmarkStart w:id="2489" w:name="_2.3._Missions"/>
                  <w:bookmarkStart w:id="2490" w:name="_1.2._Ses_missions"/>
                  <w:bookmarkStart w:id="2491" w:name="_Toc291075366"/>
                  <w:bookmarkStart w:id="2492" w:name="_Toc291075790"/>
                  <w:bookmarkStart w:id="2493" w:name="_Toc291076214"/>
                  <w:bookmarkStart w:id="2494" w:name="_Toc291076638"/>
                  <w:bookmarkStart w:id="2495" w:name="_Toc291077062"/>
                  <w:bookmarkStart w:id="2496" w:name="_Toc293651905"/>
                  <w:bookmarkStart w:id="2497" w:name="_Toc293653488"/>
                  <w:bookmarkStart w:id="2498" w:name="_Toc293654099"/>
                  <w:bookmarkStart w:id="2499" w:name="_Toc294004677"/>
                  <w:bookmarkStart w:id="2500" w:name="_Toc294185173"/>
                  <w:bookmarkStart w:id="2501" w:name="_Toc324165989"/>
                  <w:bookmarkStart w:id="2502" w:name="_Toc324767026"/>
                  <w:bookmarkStart w:id="2503" w:name="_Toc324767884"/>
                  <w:bookmarkStart w:id="2504" w:name="_Toc453314386"/>
                  <w:bookmarkStart w:id="2505" w:name="_Toc454980421"/>
                  <w:bookmarkEnd w:id="2489"/>
                  <w:bookmarkEnd w:id="2490"/>
                  <w:r>
                    <w:t>1.2. Ses missions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r>
                    <w:t xml:space="preserve"> </w:t>
                  </w:r>
                </w:p>
                <w:p w:rsidR="00F04EEF" w:rsidRDefault="00F04EEF">
                  <w:pPr>
                    <w:jc w:val="both"/>
                  </w:pPr>
                </w:p>
                <w:p w:rsidR="00F04EEF" w:rsidRDefault="0099351E">
                  <w:pPr>
                    <w:pStyle w:val="NormalWeb"/>
                    <w:numPr>
                      <w:ilvl w:val="0"/>
                      <w:numId w:val="5"/>
                    </w:numPr>
                    <w:tabs>
                      <w:tab w:val="left" w:pos="1134"/>
                    </w:tabs>
                    <w:spacing w:before="0"/>
                    <w:rPr>
                      <w:rFonts w:asciiTheme="majorHAnsi" w:hAnsiTheme="majorHAnsi"/>
                      <w:szCs w:val="22"/>
                      <w:u w:val="single"/>
                    </w:rPr>
                  </w:pPr>
                  <w:r>
                    <w:rPr>
                      <w:rFonts w:asciiTheme="majorHAnsi" w:hAnsiTheme="majorHAnsi"/>
                      <w:szCs w:val="22"/>
                      <w:u w:val="single"/>
                    </w:rPr>
                    <w:t>Les missions propres au conseil de</w:t>
                  </w:r>
                  <w:r>
                    <w:rPr>
                      <w:rFonts w:asciiTheme="majorHAnsi" w:hAnsiTheme="majorHAnsi"/>
                      <w:caps/>
                      <w:szCs w:val="22"/>
                      <w:u w:val="single"/>
                    </w:rPr>
                    <w:t xml:space="preserve"> </w:t>
                  </w:r>
                  <w:r>
                    <w:rPr>
                      <w:rFonts w:asciiTheme="majorHAnsi" w:hAnsiTheme="majorHAnsi"/>
                      <w:szCs w:val="22"/>
                      <w:u w:val="single"/>
                    </w:rPr>
                    <w:t>classe sont les suivantes :</w:t>
                  </w:r>
                </w:p>
                <w:p w:rsidR="00F04EEF" w:rsidRDefault="00F04EEF">
                  <w:pPr>
                    <w:pStyle w:val="NormalWeb"/>
                    <w:tabs>
                      <w:tab w:val="left" w:pos="1134"/>
                    </w:tabs>
                    <w:spacing w:before="0"/>
                    <w:ind w:left="360"/>
                    <w:rPr>
                      <w:rFonts w:asciiTheme="majorHAnsi" w:hAnsiTheme="majorHAnsi"/>
                      <w:szCs w:val="22"/>
                      <w:u w:val="single"/>
                    </w:rPr>
                  </w:pPr>
                </w:p>
                <w:p w:rsidR="00F04EEF" w:rsidRDefault="0099351E">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organiser les groupes d’élèves et les unités pédagogiques ;</w:t>
                  </w:r>
                </w:p>
                <w:p w:rsidR="00F04EEF" w:rsidRDefault="0099351E">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décider de l’inscription des élèves dans une des formes d’enseignement secondaire spécialisé ;</w:t>
                  </w:r>
                </w:p>
                <w:p w:rsidR="00F04EEF" w:rsidRDefault="0099351E">
                  <w:pPr>
                    <w:pStyle w:val="NormalWeb"/>
                    <w:numPr>
                      <w:ilvl w:val="0"/>
                      <w:numId w:val="12"/>
                    </w:numPr>
                    <w:tabs>
                      <w:tab w:val="clear" w:pos="284"/>
                    </w:tabs>
                    <w:spacing w:before="0"/>
                    <w:ind w:left="1107" w:hanging="540"/>
                    <w:rPr>
                      <w:rFonts w:asciiTheme="majorHAnsi" w:hAnsiTheme="majorHAnsi"/>
                      <w:w w:val="98"/>
                      <w:szCs w:val="22"/>
                    </w:rPr>
                  </w:pPr>
                  <w:r>
                    <w:rPr>
                      <w:rFonts w:asciiTheme="majorHAnsi" w:hAnsiTheme="majorHAnsi"/>
                      <w:w w:val="98"/>
                      <w:szCs w:val="22"/>
                    </w:rPr>
                    <w:t>décider, de manière motivée, du passage d’un élève d’une forme d’enseignement à une autre ;</w:t>
                  </w:r>
                </w:p>
                <w:p w:rsidR="00F04EEF" w:rsidRDefault="0099351E">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fixer pour chaque élève la durée des phases d’enseignement ;</w:t>
                  </w:r>
                </w:p>
                <w:p w:rsidR="00F04EEF" w:rsidRDefault="0099351E">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délivrer les titres sanctionnant les études à l’exception du certificat de qualification qui est délivré par le jury de qualification ;</w:t>
                  </w:r>
                </w:p>
                <w:p w:rsidR="00F04EEF" w:rsidRDefault="0099351E">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donner un avis sur le passage d’un élève d’un secteur professionnel à un autre ;</w:t>
                  </w:r>
                </w:p>
                <w:p w:rsidR="00F04EEF" w:rsidRDefault="0099351E">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donner son accord pour l'organisation d'une période de stage pendant les congés scolaires ;</w:t>
                  </w:r>
                </w:p>
                <w:p w:rsidR="00F04EEF" w:rsidRDefault="0099351E">
                  <w:pPr>
                    <w:pStyle w:val="NormalWeb"/>
                    <w:numPr>
                      <w:ilvl w:val="0"/>
                      <w:numId w:val="12"/>
                    </w:numPr>
                    <w:tabs>
                      <w:tab w:val="clear" w:pos="284"/>
                    </w:tabs>
                    <w:spacing w:before="0"/>
                    <w:ind w:left="1107" w:hanging="540"/>
                    <w:rPr>
                      <w:rFonts w:asciiTheme="majorHAnsi" w:hAnsiTheme="majorHAnsi"/>
                      <w:szCs w:val="22"/>
                    </w:rPr>
                  </w:pPr>
                  <w:r>
                    <w:rPr>
                      <w:rFonts w:asciiTheme="majorHAnsi" w:hAnsiTheme="majorHAnsi"/>
                      <w:szCs w:val="22"/>
                    </w:rPr>
                    <w:t>émettre un avis motivé sur l’opportunité pour un élève de fréquenter une classe SSAS.</w:t>
                  </w:r>
                </w:p>
                <w:p w:rsidR="00F04EEF" w:rsidRDefault="00F04EEF"/>
                <w:p w:rsidR="00F04EEF" w:rsidRDefault="00F04EEF">
                  <w:pPr>
                    <w:pStyle w:val="NormalWeb"/>
                    <w:spacing w:before="0"/>
                    <w:rPr>
                      <w:rFonts w:asciiTheme="majorHAnsi" w:hAnsiTheme="majorHAnsi"/>
                      <w:szCs w:val="22"/>
                    </w:rPr>
                  </w:pPr>
                </w:p>
                <w:p w:rsidR="00F04EEF" w:rsidRDefault="0099351E">
                  <w:pPr>
                    <w:pStyle w:val="NormalWeb"/>
                    <w:numPr>
                      <w:ilvl w:val="0"/>
                      <w:numId w:val="5"/>
                    </w:numPr>
                    <w:tabs>
                      <w:tab w:val="left" w:pos="1134"/>
                    </w:tabs>
                    <w:spacing w:before="0"/>
                    <w:rPr>
                      <w:rFonts w:asciiTheme="majorHAnsi" w:hAnsiTheme="majorHAnsi"/>
                      <w:szCs w:val="22"/>
                      <w:u w:val="single"/>
                    </w:rPr>
                  </w:pPr>
                  <w:r>
                    <w:rPr>
                      <w:rFonts w:asciiTheme="majorHAnsi" w:hAnsiTheme="majorHAnsi"/>
                      <w:szCs w:val="22"/>
                      <w:u w:val="single"/>
                    </w:rPr>
                    <w:t>Les missions du conseil de classe assisté de l’organisme chargé de la guidance des élèves sont les suivantes :</w:t>
                  </w:r>
                </w:p>
                <w:p w:rsidR="00F04EEF" w:rsidRDefault="00F04EEF">
                  <w:pPr>
                    <w:pStyle w:val="NormalWeb"/>
                    <w:tabs>
                      <w:tab w:val="left" w:pos="1134"/>
                    </w:tabs>
                    <w:spacing w:before="0"/>
                    <w:rPr>
                      <w:rFonts w:asciiTheme="majorHAnsi" w:hAnsiTheme="majorHAnsi"/>
                      <w:szCs w:val="22"/>
                      <w:u w:val="single"/>
                    </w:rPr>
                  </w:pPr>
                </w:p>
                <w:p w:rsidR="00F04EEF" w:rsidRDefault="0099351E">
                  <w:pPr>
                    <w:pStyle w:val="NormalWeb"/>
                    <w:numPr>
                      <w:ilvl w:val="0"/>
                      <w:numId w:val="6"/>
                    </w:numPr>
                    <w:tabs>
                      <w:tab w:val="clear" w:pos="284"/>
                    </w:tabs>
                    <w:spacing w:before="0"/>
                    <w:ind w:left="1107" w:hanging="540"/>
                    <w:rPr>
                      <w:rFonts w:asciiTheme="majorHAnsi" w:hAnsiTheme="majorHAnsi"/>
                      <w:szCs w:val="22"/>
                    </w:rPr>
                  </w:pPr>
                  <w:r>
                    <w:rPr>
                      <w:rFonts w:asciiTheme="majorHAnsi" w:hAnsiTheme="majorHAnsi"/>
                      <w:szCs w:val="22"/>
                    </w:rPr>
                    <w:t>Elaborer et ajuster pour chaque élève, un plan individuel d’apprentissage (P.I.A.) qui coordonne les activités pédagogiques, paramédicales, psychologiques et sociales. Celui-ci comprend un plan individuel de transition (P.I.T), tel que défini à l’article 4, § 1</w:t>
                  </w:r>
                  <w:r>
                    <w:rPr>
                      <w:rFonts w:asciiTheme="majorHAnsi" w:hAnsiTheme="majorHAnsi"/>
                      <w:szCs w:val="22"/>
                      <w:vertAlign w:val="superscript"/>
                    </w:rPr>
                    <w:t>er</w:t>
                  </w:r>
                  <w:r>
                    <w:rPr>
                      <w:rFonts w:asciiTheme="majorHAnsi" w:hAnsiTheme="majorHAnsi"/>
                      <w:szCs w:val="22"/>
                    </w:rPr>
                    <w:t>, 30° du même décret, qui tend à établir dès l’inscription, les liens nécessaires entre les différents partenaires en vue d’élaborer et de favoriser le continuum école-vie adulte. Ce P.I.T relève d’un processus dynamique qui comprend :</w:t>
                  </w:r>
                </w:p>
                <w:p w:rsidR="00F04EEF" w:rsidRDefault="0099351E">
                  <w:pPr>
                    <w:pStyle w:val="NormalWeb"/>
                    <w:numPr>
                      <w:ilvl w:val="0"/>
                      <w:numId w:val="11"/>
                    </w:numPr>
                    <w:tabs>
                      <w:tab w:val="clear" w:pos="360"/>
                    </w:tabs>
                    <w:spacing w:before="0"/>
                    <w:ind w:left="1417" w:hanging="283"/>
                    <w:rPr>
                      <w:rFonts w:asciiTheme="majorHAnsi" w:hAnsiTheme="majorHAnsi"/>
                      <w:szCs w:val="22"/>
                    </w:rPr>
                  </w:pPr>
                  <w:r>
                    <w:rPr>
                      <w:rFonts w:asciiTheme="majorHAnsi" w:hAnsiTheme="majorHAnsi"/>
                      <w:szCs w:val="22"/>
                    </w:rPr>
                    <w:t>les caractéristiques du jeune (capacités, aptitudes, compétences et attentes) ;</w:t>
                  </w:r>
                </w:p>
                <w:p w:rsidR="00F04EEF" w:rsidRDefault="0099351E">
                  <w:pPr>
                    <w:pStyle w:val="NormalWeb"/>
                    <w:numPr>
                      <w:ilvl w:val="0"/>
                      <w:numId w:val="11"/>
                    </w:numPr>
                    <w:tabs>
                      <w:tab w:val="clear" w:pos="360"/>
                    </w:tabs>
                    <w:spacing w:before="0"/>
                    <w:ind w:left="1417" w:hanging="283"/>
                    <w:rPr>
                      <w:rFonts w:asciiTheme="majorHAnsi" w:hAnsiTheme="majorHAnsi"/>
                      <w:szCs w:val="22"/>
                    </w:rPr>
                  </w:pPr>
                  <w:r>
                    <w:rPr>
                      <w:rFonts w:asciiTheme="majorHAnsi" w:hAnsiTheme="majorHAnsi"/>
                      <w:szCs w:val="22"/>
                    </w:rPr>
                    <w:t>les demandes et exigences de la vie adulte (secteur de l’emploi, vie associative, centre d’hébergement, centre d’accueil, …) ;</w:t>
                  </w:r>
                </w:p>
                <w:p w:rsidR="00F04EEF" w:rsidRDefault="0099351E">
                  <w:pPr>
                    <w:pStyle w:val="NormalWeb"/>
                    <w:numPr>
                      <w:ilvl w:val="0"/>
                      <w:numId w:val="11"/>
                    </w:numPr>
                    <w:tabs>
                      <w:tab w:val="clear" w:pos="360"/>
                    </w:tabs>
                    <w:spacing w:before="0"/>
                    <w:ind w:left="1417" w:hanging="283"/>
                    <w:rPr>
                      <w:rFonts w:asciiTheme="majorHAnsi" w:hAnsiTheme="majorHAnsi"/>
                      <w:szCs w:val="22"/>
                    </w:rPr>
                  </w:pPr>
                  <w:r>
                    <w:rPr>
                      <w:rFonts w:asciiTheme="majorHAnsi" w:hAnsiTheme="majorHAnsi"/>
                      <w:szCs w:val="22"/>
                    </w:rPr>
                    <w:t>un réexamen permanent du plan d’action (il s’agit d’un examen dynamique, efficace dans le temps et adapté à chaque élève) ;</w:t>
                  </w:r>
                </w:p>
                <w:p w:rsidR="00F04EEF" w:rsidRDefault="0099351E">
                  <w:pPr>
                    <w:pStyle w:val="NormalWeb"/>
                    <w:spacing w:before="0"/>
                    <w:ind w:left="1134"/>
                    <w:rPr>
                      <w:rFonts w:asciiTheme="majorHAnsi" w:hAnsiTheme="majorHAnsi"/>
                      <w:szCs w:val="22"/>
                    </w:rPr>
                  </w:pPr>
                  <w:r>
                    <w:rPr>
                      <w:rFonts w:asciiTheme="majorHAnsi" w:hAnsiTheme="majorHAnsi"/>
                      <w:szCs w:val="22"/>
                    </w:rPr>
                    <w:t>Le P.I.T. sera adapté périodiquement, notamment, en fonction de l’évolution du jeune en regard de son projet de vie à l’âge adulte.</w:t>
                  </w:r>
                </w:p>
                <w:p w:rsidR="00F04EEF" w:rsidRDefault="0099351E">
                  <w:pPr>
                    <w:pStyle w:val="NormalWeb"/>
                    <w:numPr>
                      <w:ilvl w:val="0"/>
                      <w:numId w:val="6"/>
                    </w:numPr>
                    <w:tabs>
                      <w:tab w:val="clear" w:pos="284"/>
                      <w:tab w:val="num" w:pos="540"/>
                    </w:tabs>
                    <w:spacing w:before="0"/>
                    <w:ind w:left="1134" w:hanging="539"/>
                    <w:rPr>
                      <w:rFonts w:asciiTheme="majorHAnsi" w:hAnsiTheme="majorHAnsi"/>
                      <w:szCs w:val="22"/>
                    </w:rPr>
                  </w:pPr>
                  <w:r>
                    <w:rPr>
                      <w:rFonts w:asciiTheme="majorHAnsi" w:hAnsiTheme="majorHAnsi"/>
                      <w:szCs w:val="22"/>
                    </w:rPr>
                    <w:t>Evaluer chaque élève de façon formative et continue en ce qui concerne le savoir-être et le savoir-faire transversal en vue d’ajuster le plan individuel d’apprentissage.</w:t>
                  </w:r>
                </w:p>
                <w:p w:rsidR="00F04EEF" w:rsidRDefault="0099351E">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Conformément au chapitre X du Décret du 3 mars 2004 organisant l'Enseignement spécialisé, émettre un avis motivé sur l’opportunité de l’intégration d’un élève. Si cet avis est positif, assurer la gestion du projet d’intégration.</w:t>
                  </w:r>
                </w:p>
                <w:p w:rsidR="00F04EEF" w:rsidRDefault="0099351E">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Emettre un avis motivé sur l’opportunité d’orienter un élève vers l’enseignement ordinaire.</w:t>
                  </w:r>
                </w:p>
                <w:p w:rsidR="00F04EEF" w:rsidRDefault="0099351E">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Emettre un avis motivé en ce qui concerne le maintien dans un niveau d’enseignement déterminé.</w:t>
                  </w:r>
                </w:p>
                <w:p w:rsidR="00F04EEF" w:rsidRDefault="0099351E">
                  <w:pPr>
                    <w:pStyle w:val="NormalWeb"/>
                    <w:numPr>
                      <w:ilvl w:val="0"/>
                      <w:numId w:val="6"/>
                    </w:numPr>
                    <w:tabs>
                      <w:tab w:val="clear" w:pos="284"/>
                    </w:tabs>
                    <w:spacing w:before="0"/>
                    <w:ind w:left="1134" w:hanging="540"/>
                    <w:rPr>
                      <w:rFonts w:asciiTheme="majorHAnsi" w:hAnsiTheme="majorHAnsi"/>
                      <w:szCs w:val="22"/>
                    </w:rPr>
                  </w:pPr>
                  <w:r>
                    <w:rPr>
                      <w:rFonts w:asciiTheme="majorHAnsi" w:hAnsiTheme="majorHAnsi"/>
                      <w:szCs w:val="22"/>
                    </w:rPr>
                    <w:t>Emettre un avis motivé sur l’opportunité d’orienter un élève vers l’enseignement spécialisé en alternance.</w:t>
                  </w:r>
                </w:p>
                <w:p w:rsidR="00F04EEF" w:rsidRDefault="00F04EEF">
                  <w:pPr>
                    <w:pStyle w:val="NormalWeb"/>
                    <w:spacing w:before="0"/>
                    <w:rPr>
                      <w:rFonts w:asciiTheme="majorHAnsi" w:hAnsiTheme="majorHAnsi"/>
                      <w:szCs w:val="22"/>
                    </w:rPr>
                  </w:pPr>
                </w:p>
                <w:p w:rsidR="00F04EEF" w:rsidRDefault="0099351E">
                  <w:pPr>
                    <w:pStyle w:val="NormalWeb"/>
                    <w:spacing w:before="0"/>
                    <w:rPr>
                      <w:rFonts w:asciiTheme="majorHAnsi" w:hAnsiTheme="majorHAnsi"/>
                      <w:szCs w:val="22"/>
                    </w:rPr>
                  </w:pPr>
                  <w:r>
                    <w:rPr>
                      <w:rFonts w:asciiTheme="majorHAnsi" w:hAnsiTheme="majorHAnsi"/>
                      <w:szCs w:val="22"/>
                    </w:rPr>
                    <w:t>Les avis motivés du conseil de classe et de l’organisme chargé de la guidance des élèves figurent sur un document unique.</w:t>
                  </w:r>
                </w:p>
                <w:p w:rsidR="00F04EEF" w:rsidRDefault="00F04EEF">
                  <w:pPr>
                    <w:pStyle w:val="NormalWeb"/>
                    <w:spacing w:before="0"/>
                    <w:rPr>
                      <w:rFonts w:asciiTheme="majorHAnsi" w:hAnsiTheme="majorHAnsi"/>
                      <w:szCs w:val="22"/>
                    </w:rPr>
                  </w:pPr>
                </w:p>
                <w:p w:rsidR="00F04EEF" w:rsidRDefault="0099351E">
                  <w:pPr>
                    <w:pStyle w:val="Titre4"/>
                  </w:pPr>
                  <w:bookmarkStart w:id="2506" w:name="_1.3._Le_rôle"/>
                  <w:bookmarkStart w:id="2507" w:name="_Toc291075367"/>
                  <w:bookmarkStart w:id="2508" w:name="_Toc291075791"/>
                  <w:bookmarkStart w:id="2509" w:name="_Toc291076215"/>
                  <w:bookmarkStart w:id="2510" w:name="_Toc291076639"/>
                  <w:bookmarkStart w:id="2511" w:name="_Toc291077063"/>
                  <w:bookmarkStart w:id="2512" w:name="_Toc293651906"/>
                  <w:bookmarkStart w:id="2513" w:name="_Toc293653489"/>
                  <w:bookmarkStart w:id="2514" w:name="_Toc293654100"/>
                  <w:bookmarkStart w:id="2515" w:name="_Toc294004678"/>
                  <w:bookmarkStart w:id="2516" w:name="_Toc294185174"/>
                  <w:bookmarkStart w:id="2517" w:name="_Toc324165990"/>
                  <w:bookmarkStart w:id="2518" w:name="_Toc324767027"/>
                  <w:bookmarkStart w:id="2519" w:name="_Toc324767885"/>
                  <w:bookmarkStart w:id="2520" w:name="_Toc453314387"/>
                  <w:bookmarkStart w:id="2521" w:name="_Toc454980422"/>
                  <w:bookmarkEnd w:id="2506"/>
                  <w:r>
                    <w:t>1.3. Le rôle du directeur de classe</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rsidR="00F04EEF" w:rsidRDefault="0099351E">
                  <w:pPr>
                    <w:jc w:val="both"/>
                  </w:pPr>
                  <w:r>
                    <w:rPr>
                      <w:noProof/>
                      <w:lang w:eastAsia="fr-BE"/>
                    </w:rPr>
                    <mc:AlternateContent>
                      <mc:Choice Requires="wps">
                        <w:drawing>
                          <wp:anchor distT="0" distB="0" distL="114300" distR="114300" simplePos="0" relativeHeight="252241920" behindDoc="0" locked="0" layoutInCell="1" allowOverlap="1">
                            <wp:simplePos x="0" y="0"/>
                            <wp:positionH relativeFrom="column">
                              <wp:posOffset>6309995</wp:posOffset>
                            </wp:positionH>
                            <wp:positionV relativeFrom="paragraph">
                              <wp:posOffset>158750</wp:posOffset>
                            </wp:positionV>
                            <wp:extent cx="0" cy="314325"/>
                            <wp:effectExtent l="0" t="0" r="19050" b="28575"/>
                            <wp:wrapNone/>
                            <wp:docPr id="532" name="Connecteur droit 532"/>
                            <wp:cNvGraphicFramePr/>
                            <a:graphic xmlns:a="http://schemas.openxmlformats.org/drawingml/2006/main">
                              <a:graphicData uri="http://schemas.microsoft.com/office/word/2010/wordprocessingShape">
                                <wps:wsp>
                                  <wps:cNvCnPr/>
                                  <wps:spPr>
                                    <a:xfrm>
                                      <a:off x="0" y="0"/>
                                      <a:ext cx="0" cy="314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4F7EEB" id="Connecteur droit 532" o:spid="_x0000_s1026" style="position:absolute;z-index:252241920;visibility:visible;mso-wrap-style:square;mso-wrap-distance-left:9pt;mso-wrap-distance-top:0;mso-wrap-distance-right:9pt;mso-wrap-distance-bottom:0;mso-position-horizontal:absolute;mso-position-horizontal-relative:text;mso-position-vertical:absolute;mso-position-vertical-relative:text" from="496.85pt,12.5pt" to="496.85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" strokecolor="black [3213]"/>
                        </w:pict>
                      </mc:Fallback>
                    </mc:AlternateContent>
                  </w:r>
                </w:p>
                <w:p w:rsidR="00F04EEF" w:rsidRDefault="0099351E">
                  <w:pPr>
                    <w:pStyle w:val="NormalWeb"/>
                    <w:numPr>
                      <w:ilvl w:val="0"/>
                      <w:numId w:val="2"/>
                    </w:numPr>
                    <w:spacing w:before="0"/>
                    <w:rPr>
                      <w:rFonts w:asciiTheme="majorHAnsi" w:hAnsiTheme="majorHAnsi"/>
                      <w:szCs w:val="22"/>
                    </w:rPr>
                  </w:pPr>
                  <w:r>
                    <w:rPr>
                      <w:rFonts w:asciiTheme="majorHAnsi" w:hAnsiTheme="majorHAnsi"/>
                      <w:szCs w:val="22"/>
                    </w:rPr>
                    <w:t xml:space="preserve">Il assure la gestion hebdomadaire du P.I.A. de chacun de ses élèves durant les réunions de conseil de classe prévues dans le cadre du service à l’école et aux élèves. </w:t>
                  </w:r>
                </w:p>
                <w:p w:rsidR="00F04EEF" w:rsidRDefault="0099351E">
                  <w:pPr>
                    <w:pStyle w:val="NormalWeb"/>
                    <w:numPr>
                      <w:ilvl w:val="0"/>
                      <w:numId w:val="2"/>
                    </w:numPr>
                    <w:spacing w:before="0"/>
                    <w:rPr>
                      <w:rFonts w:asciiTheme="majorHAnsi" w:hAnsiTheme="majorHAnsi"/>
                      <w:szCs w:val="22"/>
                    </w:rPr>
                  </w:pPr>
                  <w:r>
                    <w:rPr>
                      <w:rFonts w:asciiTheme="majorHAnsi" w:hAnsiTheme="majorHAnsi"/>
                      <w:szCs w:val="22"/>
                    </w:rPr>
                    <w:t>Il rédige, pour chaque réunion du conseil de classe relatif à ses élèves, un procès-verbal qui établit entre autres :</w:t>
                  </w:r>
                </w:p>
                <w:p w:rsidR="00F04EEF" w:rsidRDefault="0099351E">
                  <w:pPr>
                    <w:pStyle w:val="NormalWeb"/>
                    <w:numPr>
                      <w:ilvl w:val="0"/>
                      <w:numId w:val="17"/>
                    </w:numPr>
                    <w:tabs>
                      <w:tab w:val="clear" w:pos="340"/>
                      <w:tab w:val="num" w:pos="1080"/>
                    </w:tabs>
                    <w:spacing w:before="0"/>
                    <w:ind w:left="567"/>
                    <w:rPr>
                      <w:rFonts w:asciiTheme="majorHAnsi" w:hAnsiTheme="majorHAnsi"/>
                      <w:szCs w:val="22"/>
                    </w:rPr>
                  </w:pPr>
                  <w:r>
                    <w:rPr>
                      <w:rFonts w:asciiTheme="majorHAnsi" w:hAnsiTheme="majorHAnsi"/>
                      <w:szCs w:val="22"/>
                    </w:rPr>
                    <w:t>la classe ;</w:t>
                  </w:r>
                </w:p>
                <w:p w:rsidR="00F04EEF" w:rsidRDefault="0099351E">
                  <w:pPr>
                    <w:pStyle w:val="NormalWeb"/>
                    <w:numPr>
                      <w:ilvl w:val="0"/>
                      <w:numId w:val="17"/>
                    </w:numPr>
                    <w:tabs>
                      <w:tab w:val="clear" w:pos="340"/>
                      <w:tab w:val="num" w:pos="1080"/>
                    </w:tabs>
                    <w:spacing w:before="0"/>
                    <w:ind w:left="567"/>
                    <w:rPr>
                      <w:rFonts w:asciiTheme="majorHAnsi" w:hAnsiTheme="majorHAnsi"/>
                      <w:szCs w:val="22"/>
                    </w:rPr>
                  </w:pPr>
                  <w:r>
                    <w:rPr>
                      <w:rFonts w:asciiTheme="majorHAnsi" w:hAnsiTheme="majorHAnsi"/>
                      <w:szCs w:val="22"/>
                    </w:rPr>
                    <w:t>la date, l’heure de début et de fin de la réunion ;</w:t>
                  </w:r>
                </w:p>
                <w:p w:rsidR="00F04EEF" w:rsidRDefault="0099351E">
                  <w:pPr>
                    <w:pStyle w:val="NormalWeb"/>
                    <w:numPr>
                      <w:ilvl w:val="0"/>
                      <w:numId w:val="17"/>
                    </w:numPr>
                    <w:tabs>
                      <w:tab w:val="clear" w:pos="340"/>
                      <w:tab w:val="num" w:pos="1080"/>
                    </w:tabs>
                    <w:spacing w:before="0"/>
                    <w:ind w:left="567"/>
                    <w:rPr>
                      <w:rFonts w:asciiTheme="majorHAnsi" w:hAnsiTheme="majorHAnsi"/>
                      <w:szCs w:val="22"/>
                    </w:rPr>
                  </w:pPr>
                  <w:r>
                    <w:rPr>
                      <w:rFonts w:asciiTheme="majorHAnsi" w:hAnsiTheme="majorHAnsi"/>
                      <w:szCs w:val="22"/>
                    </w:rPr>
                    <w:t>le nom des membres présents et leur signature ;</w:t>
                  </w:r>
                </w:p>
                <w:p w:rsidR="00F04EEF" w:rsidRDefault="0099351E">
                  <w:pPr>
                    <w:pStyle w:val="NormalWeb"/>
                    <w:numPr>
                      <w:ilvl w:val="0"/>
                      <w:numId w:val="17"/>
                    </w:numPr>
                    <w:tabs>
                      <w:tab w:val="clear" w:pos="340"/>
                      <w:tab w:val="num" w:pos="1080"/>
                    </w:tabs>
                    <w:spacing w:before="0"/>
                    <w:ind w:left="567"/>
                    <w:rPr>
                      <w:rFonts w:asciiTheme="majorHAnsi" w:hAnsiTheme="majorHAnsi"/>
                      <w:szCs w:val="22"/>
                    </w:rPr>
                  </w:pPr>
                  <w:r>
                    <w:rPr>
                      <w:rFonts w:asciiTheme="majorHAnsi" w:hAnsiTheme="majorHAnsi"/>
                      <w:szCs w:val="22"/>
                    </w:rPr>
                    <w:t>le rapport des points traités ;</w:t>
                  </w:r>
                </w:p>
                <w:p w:rsidR="00F04EEF" w:rsidRDefault="0099351E">
                  <w:pPr>
                    <w:pStyle w:val="NormalWeb"/>
                    <w:numPr>
                      <w:ilvl w:val="0"/>
                      <w:numId w:val="17"/>
                    </w:numPr>
                    <w:tabs>
                      <w:tab w:val="clear" w:pos="340"/>
                      <w:tab w:val="num" w:pos="1080"/>
                    </w:tabs>
                    <w:spacing w:before="0"/>
                    <w:ind w:left="567"/>
                    <w:rPr>
                      <w:rFonts w:asciiTheme="majorHAnsi" w:hAnsiTheme="majorHAnsi"/>
                      <w:szCs w:val="22"/>
                    </w:rPr>
                  </w:pPr>
                  <w:r>
                    <w:rPr>
                      <w:rFonts w:asciiTheme="majorHAnsi" w:hAnsiTheme="majorHAnsi"/>
                      <w:szCs w:val="22"/>
                    </w:rPr>
                    <w:t>les décisions prises.</w:t>
                  </w:r>
                </w:p>
                <w:p w:rsidR="00F04EEF" w:rsidRDefault="00F04EEF">
                  <w:pPr>
                    <w:pStyle w:val="NormalWeb"/>
                    <w:spacing w:before="0"/>
                    <w:rPr>
                      <w:rFonts w:asciiTheme="majorHAnsi" w:hAnsiTheme="majorHAnsi"/>
                      <w:szCs w:val="22"/>
                    </w:rPr>
                  </w:pPr>
                </w:p>
                <w:p w:rsidR="00F04EEF" w:rsidRDefault="0099351E">
                  <w:pPr>
                    <w:pStyle w:val="Titre4"/>
                  </w:pPr>
                  <w:bookmarkStart w:id="2522" w:name="_1.4._Son_fonctionnement"/>
                  <w:bookmarkStart w:id="2523" w:name="_Toc291075368"/>
                  <w:bookmarkStart w:id="2524" w:name="_Toc291075792"/>
                  <w:bookmarkStart w:id="2525" w:name="_Toc291076216"/>
                  <w:bookmarkStart w:id="2526" w:name="_Toc291076640"/>
                  <w:bookmarkStart w:id="2527" w:name="_Toc291077064"/>
                  <w:bookmarkStart w:id="2528" w:name="_Toc293651907"/>
                  <w:bookmarkStart w:id="2529" w:name="_Toc293653490"/>
                  <w:bookmarkStart w:id="2530" w:name="_Toc293654101"/>
                  <w:bookmarkStart w:id="2531" w:name="_Toc294004679"/>
                  <w:bookmarkStart w:id="2532" w:name="_Toc294185175"/>
                  <w:bookmarkStart w:id="2533" w:name="_Toc324165991"/>
                  <w:bookmarkStart w:id="2534" w:name="_Toc324767028"/>
                  <w:bookmarkStart w:id="2535" w:name="_Toc324767886"/>
                  <w:bookmarkStart w:id="2536" w:name="_Toc453314388"/>
                  <w:bookmarkStart w:id="2537" w:name="_Toc454980423"/>
                  <w:bookmarkEnd w:id="2522"/>
                  <w:r>
                    <w:t>1.4. Son fonctionnement</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rsidR="00F04EEF" w:rsidRDefault="00F04EEF">
                  <w:pPr>
                    <w:jc w:val="both"/>
                  </w:pPr>
                </w:p>
                <w:p w:rsidR="00F04EEF" w:rsidRDefault="0099351E">
                  <w:pPr>
                    <w:pStyle w:val="NormalWeb"/>
                    <w:numPr>
                      <w:ilvl w:val="0"/>
                      <w:numId w:val="24"/>
                    </w:numPr>
                    <w:spacing w:before="0"/>
                    <w:rPr>
                      <w:rFonts w:asciiTheme="majorHAnsi" w:hAnsiTheme="majorHAnsi"/>
                      <w:szCs w:val="22"/>
                    </w:rPr>
                  </w:pPr>
                  <w:r>
                    <w:rPr>
                      <w:rFonts w:asciiTheme="majorHAnsi" w:hAnsiTheme="majorHAnsi"/>
                      <w:szCs w:val="22"/>
                    </w:rPr>
                    <w:t xml:space="preserve">Le directeur, ou son délégué, </w:t>
                  </w:r>
                  <w:r>
                    <w:rPr>
                      <w:rFonts w:asciiTheme="majorHAnsi" w:hAnsiTheme="majorHAnsi"/>
                      <w:b/>
                      <w:szCs w:val="22"/>
                    </w:rPr>
                    <w:t>préside</w:t>
                  </w:r>
                  <w:r>
                    <w:rPr>
                      <w:rFonts w:asciiTheme="majorHAnsi" w:hAnsiTheme="majorHAnsi"/>
                      <w:szCs w:val="22"/>
                    </w:rPr>
                    <w:t xml:space="preserve"> le conseil de classe. Les réunions sont organisées de façon à ce que chaque membre puisse assurer ses prestations.</w:t>
                  </w:r>
                </w:p>
                <w:p w:rsidR="00F04EEF" w:rsidRDefault="0099351E">
                  <w:pPr>
                    <w:pStyle w:val="NormalWeb"/>
                    <w:numPr>
                      <w:ilvl w:val="0"/>
                      <w:numId w:val="24"/>
                    </w:numPr>
                    <w:spacing w:before="0"/>
                    <w:rPr>
                      <w:rFonts w:asciiTheme="majorHAnsi" w:hAnsiTheme="majorHAnsi"/>
                      <w:szCs w:val="22"/>
                    </w:rPr>
                  </w:pPr>
                  <w:r>
                    <w:rPr>
                      <w:rFonts w:asciiTheme="majorHAnsi" w:hAnsiTheme="majorHAnsi"/>
                      <w:b/>
                      <w:szCs w:val="22"/>
                    </w:rPr>
                    <w:t>L’horaire</w:t>
                  </w:r>
                  <w:r>
                    <w:rPr>
                      <w:rFonts w:asciiTheme="majorHAnsi" w:hAnsiTheme="majorHAnsi"/>
                      <w:szCs w:val="22"/>
                    </w:rPr>
                    <w:t xml:space="preserve"> des conseils de classe est </w:t>
                  </w:r>
                  <w:r>
                    <w:rPr>
                      <w:rFonts w:asciiTheme="majorHAnsi" w:hAnsiTheme="majorHAnsi"/>
                    </w:rPr>
                    <w:t>fixé anticipativement dans un calendrier annuel ou trimestriel et</w:t>
                  </w:r>
                  <w:r>
                    <w:rPr>
                      <w:rFonts w:asciiTheme="majorHAnsi" w:hAnsiTheme="majorHAnsi"/>
                      <w:szCs w:val="22"/>
                    </w:rPr>
                    <w:t xml:space="preserve"> est soumis à la consultation préalable du comité légal de concertation afin d’assurer une présence maximale du centre-psycho-médico-social dans le cadre de l’article 80 § 3, l’horaire est établi dans la mesure du possible en collaboration avec la direction du Centre-psycho-médico-social.</w:t>
                  </w:r>
                </w:p>
                <w:p w:rsidR="00F04EEF" w:rsidRDefault="0099351E">
                  <w:pPr>
                    <w:pStyle w:val="NormalWeb"/>
                    <w:numPr>
                      <w:ilvl w:val="0"/>
                      <w:numId w:val="24"/>
                    </w:numPr>
                    <w:spacing w:before="0"/>
                    <w:rPr>
                      <w:rFonts w:asciiTheme="majorHAnsi" w:hAnsiTheme="majorHAnsi"/>
                      <w:szCs w:val="22"/>
                    </w:rPr>
                  </w:pPr>
                  <w:r>
                    <w:rPr>
                      <w:rFonts w:asciiTheme="majorHAnsi" w:hAnsiTheme="majorHAnsi"/>
                      <w:szCs w:val="22"/>
                    </w:rPr>
                    <w:t xml:space="preserve">Tous les documents relatifs au conseil de classe restent en </w:t>
                  </w:r>
                  <w:r>
                    <w:rPr>
                      <w:rFonts w:asciiTheme="majorHAnsi" w:hAnsiTheme="majorHAnsi"/>
                      <w:b/>
                      <w:szCs w:val="22"/>
                    </w:rPr>
                    <w:t>permanence</w:t>
                  </w:r>
                  <w:r>
                    <w:rPr>
                      <w:rFonts w:asciiTheme="majorHAnsi" w:hAnsiTheme="majorHAnsi"/>
                      <w:szCs w:val="22"/>
                    </w:rPr>
                    <w:t xml:space="preserve"> à l'établissement, à la disposition de l'inspection et du service de vérification de la Fédération Wallonie-Bruxelles selon leurs compétences respectives.</w:t>
                  </w:r>
                </w:p>
                <w:p w:rsidR="00F04EEF" w:rsidRDefault="0099351E">
                  <w:pPr>
                    <w:pStyle w:val="NormalWeb"/>
                    <w:numPr>
                      <w:ilvl w:val="0"/>
                      <w:numId w:val="24"/>
                    </w:numPr>
                    <w:spacing w:before="0"/>
                    <w:rPr>
                      <w:rFonts w:asciiTheme="majorHAnsi" w:hAnsiTheme="majorHAnsi"/>
                      <w:szCs w:val="22"/>
                    </w:rPr>
                  </w:pPr>
                  <w:r>
                    <w:rPr>
                      <w:rFonts w:asciiTheme="majorHAnsi" w:hAnsiTheme="majorHAnsi"/>
                      <w:szCs w:val="22"/>
                    </w:rPr>
                    <w:t xml:space="preserve">Selon les modalités fixées par le règlement des études, un </w:t>
                  </w:r>
                  <w:r>
                    <w:rPr>
                      <w:rFonts w:asciiTheme="majorHAnsi" w:hAnsiTheme="majorHAnsi"/>
                      <w:b/>
                      <w:caps/>
                      <w:szCs w:val="22"/>
                      <w:u w:val="single"/>
                    </w:rPr>
                    <w:t>conseil de classe exceptionnel</w:t>
                  </w:r>
                  <w:r>
                    <w:rPr>
                      <w:rFonts w:asciiTheme="majorHAnsi" w:hAnsiTheme="majorHAnsi"/>
                      <w:szCs w:val="22"/>
                    </w:rPr>
                    <w:t xml:space="preserve"> peut être organisé pendant les périodes de cours lorsqu’une décision urgente doit être prise.</w:t>
                  </w:r>
                </w:p>
                <w:p w:rsidR="00F04EEF" w:rsidRDefault="0099351E">
                  <w:pPr>
                    <w:pStyle w:val="NormalWeb"/>
                    <w:numPr>
                      <w:ilvl w:val="0"/>
                      <w:numId w:val="24"/>
                    </w:numPr>
                    <w:spacing w:before="0"/>
                    <w:rPr>
                      <w:rFonts w:asciiTheme="majorHAnsi" w:hAnsiTheme="majorHAnsi"/>
                      <w:color w:val="auto"/>
                      <w:szCs w:val="22"/>
                    </w:rPr>
                  </w:pPr>
                  <w:r>
                    <w:rPr>
                      <w:rFonts w:asciiTheme="majorHAnsi" w:hAnsiTheme="majorHAnsi"/>
                      <w:color w:val="auto"/>
                      <w:szCs w:val="22"/>
                    </w:rPr>
                    <w:t>Les membres du personnel qui, vu leur horaire professionnel, n’ont pas la possibilité d’assister au conseil de classe, sont tenus de transmettre par écrit toutes les informations utiles au bon déroulement du conseil de classe.</w:t>
                  </w:r>
                </w:p>
                <w:p w:rsidR="00F04EEF" w:rsidRDefault="00F04EEF">
                  <w:pPr>
                    <w:pStyle w:val="NormalWeb"/>
                    <w:tabs>
                      <w:tab w:val="left" w:pos="1134"/>
                    </w:tabs>
                    <w:spacing w:before="0"/>
                    <w:rPr>
                      <w:rFonts w:asciiTheme="majorHAnsi" w:hAnsiTheme="majorHAnsi"/>
                      <w:color w:val="auto"/>
                      <w:szCs w:val="22"/>
                    </w:rPr>
                  </w:pPr>
                </w:p>
                <w:p w:rsidR="00F04EEF" w:rsidRDefault="0099351E">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Pr>
                      <w:rFonts w:asciiTheme="majorHAnsi" w:hAnsiTheme="majorHAnsi"/>
                      <w:b/>
                      <w:caps/>
                      <w:color w:val="auto"/>
                      <w:szCs w:val="22"/>
                      <w:u w:val="single"/>
                    </w:rPr>
                    <w:t>R</w:t>
                  </w:r>
                  <w:r>
                    <w:rPr>
                      <w:rFonts w:asciiTheme="majorHAnsi" w:hAnsiTheme="majorHAnsi"/>
                      <w:b/>
                      <w:color w:val="auto"/>
                      <w:szCs w:val="22"/>
                      <w:u w:val="single"/>
                    </w:rPr>
                    <w:t>emarques</w:t>
                  </w:r>
                  <w:r>
                    <w:rPr>
                      <w:rFonts w:asciiTheme="majorHAnsi" w:hAnsiTheme="majorHAnsi"/>
                      <w:b/>
                      <w:caps/>
                      <w:color w:val="auto"/>
                      <w:szCs w:val="22"/>
                      <w:u w:val="single"/>
                    </w:rPr>
                    <w:t> :</w:t>
                  </w:r>
                </w:p>
                <w:p w:rsidR="00F04EEF" w:rsidRDefault="0099351E">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Pr>
                      <w:rFonts w:asciiTheme="majorHAnsi" w:hAnsiTheme="majorHAnsi"/>
                      <w:b/>
                      <w:caps/>
                      <w:color w:val="auto"/>
                      <w:szCs w:val="22"/>
                      <w:u w:val="single"/>
                    </w:rPr>
                    <w:t xml:space="preserve">1) </w:t>
                  </w:r>
                  <w:r>
                    <w:rPr>
                      <w:rFonts w:asciiTheme="majorHAnsi" w:hAnsiTheme="majorHAnsi"/>
                      <w:color w:val="auto"/>
                      <w:szCs w:val="22"/>
                    </w:rPr>
                    <w:t xml:space="preserve">Les constats, informations, interventions présentés lors d’une réunion du conseil de classe ont un </w:t>
                  </w:r>
                  <w:r>
                    <w:rPr>
                      <w:rFonts w:asciiTheme="majorHAnsi" w:hAnsiTheme="majorHAnsi"/>
                      <w:color w:val="auto"/>
                      <w:szCs w:val="22"/>
                      <w:u w:val="single"/>
                    </w:rPr>
                    <w:t xml:space="preserve">caractère strictement confidentiel. </w:t>
                  </w:r>
                  <w:r>
                    <w:rPr>
                      <w:rFonts w:asciiTheme="majorHAnsi" w:hAnsiTheme="majorHAnsi"/>
                      <w:color w:val="auto"/>
                      <w:szCs w:val="22"/>
                    </w:rPr>
                    <w:t>La communication de ces données à des personnes extérieures au conseil de classe requiert l’autorisation du chef d’établissement.</w:t>
                  </w:r>
                </w:p>
                <w:p w:rsidR="00F04EEF" w:rsidRDefault="0099351E">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Pr>
                      <w:rFonts w:asciiTheme="majorHAnsi" w:hAnsiTheme="majorHAnsi"/>
                      <w:b/>
                      <w:caps/>
                      <w:color w:val="auto"/>
                      <w:szCs w:val="22"/>
                      <w:u w:val="single"/>
                    </w:rPr>
                    <w:t xml:space="preserve">2) </w:t>
                  </w:r>
                  <w:r>
                    <w:rPr>
                      <w:rFonts w:asciiTheme="majorHAnsi" w:hAnsiTheme="majorHAnsi"/>
                      <w:color w:val="auto"/>
                      <w:szCs w:val="22"/>
                    </w:rPr>
                    <w:t>Les décisions du conseil de classe sont communiquées à l’élève, à ses parents, ou à la personne investie de l’autorité parentale, par le chef d’établissement,</w:t>
                  </w:r>
                  <w:r>
                    <w:rPr>
                      <w:rFonts w:asciiTheme="majorHAnsi" w:hAnsiTheme="majorHAnsi"/>
                      <w:color w:val="FF0000"/>
                      <w:szCs w:val="22"/>
                    </w:rPr>
                    <w:t xml:space="preserve"> </w:t>
                  </w:r>
                  <w:r>
                    <w:rPr>
                      <w:rFonts w:asciiTheme="majorHAnsi" w:hAnsiTheme="majorHAnsi"/>
                      <w:color w:val="auto"/>
                      <w:szCs w:val="22"/>
                    </w:rPr>
                    <w:t>ou par son délégué, selon les modalités fixées par le règlement des études.</w:t>
                  </w:r>
                </w:p>
                <w:p w:rsidR="00F04EEF" w:rsidRDefault="00F04EEF">
                  <w:pPr>
                    <w:pStyle w:val="NormalWeb"/>
                    <w:tabs>
                      <w:tab w:val="left" w:pos="1134"/>
                    </w:tabs>
                    <w:spacing w:before="0"/>
                    <w:rPr>
                      <w:rFonts w:asciiTheme="majorHAnsi" w:hAnsiTheme="majorHAnsi"/>
                      <w:color w:val="auto"/>
                      <w:szCs w:val="22"/>
                    </w:rPr>
                  </w:pPr>
                </w:p>
                <w:p w:rsidR="00F04EEF" w:rsidRDefault="0099351E">
                  <w:pPr>
                    <w:pStyle w:val="Titre4"/>
                  </w:pPr>
                  <w:bookmarkStart w:id="2538" w:name="_1.5._La_gestion"/>
                  <w:bookmarkStart w:id="2539" w:name="_Toc293651908"/>
                  <w:bookmarkStart w:id="2540" w:name="_Toc293653491"/>
                  <w:bookmarkStart w:id="2541" w:name="_Toc293654102"/>
                  <w:bookmarkStart w:id="2542" w:name="_Toc294004680"/>
                  <w:bookmarkStart w:id="2543" w:name="_Toc294185176"/>
                  <w:bookmarkStart w:id="2544" w:name="_Toc324165992"/>
                  <w:bookmarkStart w:id="2545" w:name="_Toc324767029"/>
                  <w:bookmarkStart w:id="2546" w:name="_Toc324767887"/>
                  <w:bookmarkStart w:id="2547" w:name="_Toc453314389"/>
                  <w:bookmarkStart w:id="2548" w:name="_Toc454980424"/>
                  <w:bookmarkEnd w:id="2538"/>
                  <w:r>
                    <w:t>1.5. La gestion du P.I.A. des élèves</w:t>
                  </w:r>
                  <w:bookmarkEnd w:id="2539"/>
                  <w:bookmarkEnd w:id="2540"/>
                  <w:bookmarkEnd w:id="2541"/>
                  <w:bookmarkEnd w:id="2542"/>
                  <w:bookmarkEnd w:id="2543"/>
                  <w:bookmarkEnd w:id="2544"/>
                  <w:bookmarkEnd w:id="2545"/>
                  <w:bookmarkEnd w:id="2546"/>
                  <w:bookmarkEnd w:id="2547"/>
                  <w:bookmarkEnd w:id="2548"/>
                </w:p>
                <w:p w:rsidR="00F04EEF" w:rsidRDefault="00F04EEF">
                  <w:pPr>
                    <w:pStyle w:val="NormalWeb"/>
                    <w:spacing w:before="0"/>
                    <w:rPr>
                      <w:rFonts w:asciiTheme="majorHAnsi" w:hAnsiTheme="majorHAnsi"/>
                      <w:b/>
                      <w:caps/>
                      <w:szCs w:val="22"/>
                    </w:rPr>
                  </w:pPr>
                </w:p>
                <w:p w:rsidR="00F04EEF" w:rsidRDefault="0099351E">
                  <w:pPr>
                    <w:pStyle w:val="Paragraphedeliste"/>
                    <w:numPr>
                      <w:ilvl w:val="0"/>
                      <w:numId w:val="25"/>
                    </w:numPr>
                    <w:rPr>
                      <w:rFonts w:asciiTheme="majorHAnsi" w:hAnsiTheme="majorHAnsi"/>
                      <w:sz w:val="22"/>
                      <w:szCs w:val="22"/>
                    </w:rPr>
                  </w:pPr>
                  <w:r>
                    <w:rPr>
                      <w:rFonts w:asciiTheme="majorHAnsi" w:hAnsiTheme="majorHAnsi"/>
                      <w:noProof/>
                      <w:sz w:val="22"/>
                      <w:szCs w:val="22"/>
                      <w:lang w:eastAsia="fr-BE"/>
                    </w:rPr>
                    <mc:AlternateContent>
                      <mc:Choice Requires="wps">
                        <w:drawing>
                          <wp:anchor distT="0" distB="0" distL="114300" distR="114300" simplePos="0" relativeHeight="252242944" behindDoc="0" locked="0" layoutInCell="1" allowOverlap="1">
                            <wp:simplePos x="0" y="0"/>
                            <wp:positionH relativeFrom="column">
                              <wp:posOffset>6157595</wp:posOffset>
                            </wp:positionH>
                            <wp:positionV relativeFrom="paragraph">
                              <wp:posOffset>90805</wp:posOffset>
                            </wp:positionV>
                            <wp:extent cx="0" cy="323850"/>
                            <wp:effectExtent l="0" t="0" r="19050" b="19050"/>
                            <wp:wrapNone/>
                            <wp:docPr id="533" name="Connecteur droit 533"/>
                            <wp:cNvGraphicFramePr/>
                            <a:graphic xmlns:a="http://schemas.openxmlformats.org/drawingml/2006/main">
                              <a:graphicData uri="http://schemas.microsoft.com/office/word/2010/wordprocessingShape">
                                <wps:wsp>
                                  <wps:cNvCnPr/>
                                  <wps:spPr>
                                    <a:xfrm>
                                      <a:off x="0" y="0"/>
                                      <a:ext cx="0" cy="323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4B37F9" id="Connecteur droit 533" o:spid="_x0000_s1026" style="position:absolute;z-index:252242944;visibility:visible;mso-wrap-style:square;mso-wrap-distance-left:9pt;mso-wrap-distance-top:0;mso-wrap-distance-right:9pt;mso-wrap-distance-bottom:0;mso-position-horizontal:absolute;mso-position-horizontal-relative:text;mso-position-vertical:absolute;mso-position-vertical-relative:text" from="484.85pt,7.15pt" to="484.8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" strokecolor="black [3213]"/>
                        </w:pict>
                      </mc:Fallback>
                    </mc:AlternateContent>
                  </w:r>
                  <w:r>
                    <w:rPr>
                      <w:rFonts w:asciiTheme="majorHAnsi" w:hAnsiTheme="majorHAnsi"/>
                      <w:sz w:val="22"/>
                      <w:szCs w:val="22"/>
                    </w:rPr>
                    <w:t>Les membres du Conseil de classe assurent la gestion hebdomadaire du P.I.A. de chacun de leurs élèves</w:t>
                  </w:r>
                  <w:r>
                    <w:rPr>
                      <w:rFonts w:asciiTheme="majorHAnsi" w:hAnsiTheme="majorHAnsi"/>
                    </w:rPr>
                    <w:t xml:space="preserve"> </w:t>
                  </w:r>
                  <w:r>
                    <w:rPr>
                      <w:rFonts w:asciiTheme="majorHAnsi" w:hAnsiTheme="majorHAnsi"/>
                      <w:sz w:val="22"/>
                      <w:szCs w:val="22"/>
                    </w:rPr>
                    <w:t xml:space="preserve">durant les réunions de conseil de classe prévues dans le cadre du service à l’école et aux élèves. </w:t>
                  </w:r>
                </w:p>
                <w:p w:rsidR="00F04EEF" w:rsidRDefault="0099351E">
                  <w:pPr>
                    <w:pStyle w:val="NormalWeb"/>
                    <w:numPr>
                      <w:ilvl w:val="0"/>
                      <w:numId w:val="25"/>
                    </w:numPr>
                    <w:spacing w:before="0"/>
                    <w:rPr>
                      <w:rFonts w:asciiTheme="majorHAnsi" w:hAnsiTheme="majorHAnsi"/>
                      <w:color w:val="auto"/>
                      <w:szCs w:val="22"/>
                    </w:rPr>
                  </w:pPr>
                  <w:r>
                    <w:rPr>
                      <w:rFonts w:asciiTheme="majorHAnsi" w:hAnsiTheme="majorHAnsi"/>
                      <w:color w:val="auto"/>
                      <w:szCs w:val="22"/>
                    </w:rPr>
                    <w:t xml:space="preserve">L’élève et ses parents ou, à défaut, leur délégué, sont invités à l’élaboration du P.I.A. </w:t>
                  </w:r>
                </w:p>
                <w:p w:rsidR="00F04EEF" w:rsidRDefault="00F04EEF">
                  <w:pPr>
                    <w:pStyle w:val="NormalWeb"/>
                    <w:tabs>
                      <w:tab w:val="left" w:pos="1134"/>
                    </w:tabs>
                    <w:spacing w:before="0"/>
                    <w:rPr>
                      <w:rFonts w:asciiTheme="majorHAnsi" w:hAnsiTheme="majorHAnsi"/>
                      <w:szCs w:val="22"/>
                    </w:rPr>
                  </w:pPr>
                </w:p>
                <w:p w:rsidR="00F04EEF" w:rsidRDefault="0099351E">
                  <w:pPr>
                    <w:pStyle w:val="Titre4"/>
                  </w:pPr>
                  <w:bookmarkStart w:id="2549" w:name="_Toc291075369"/>
                  <w:bookmarkStart w:id="2550" w:name="_Toc291075793"/>
                  <w:bookmarkStart w:id="2551" w:name="_Toc291076217"/>
                  <w:bookmarkStart w:id="2552" w:name="_Toc291076641"/>
                  <w:bookmarkStart w:id="2553" w:name="_Toc291077065"/>
                  <w:bookmarkStart w:id="2554" w:name="_Toc293651909"/>
                  <w:bookmarkStart w:id="2555" w:name="_Toc293653492"/>
                  <w:bookmarkStart w:id="2556" w:name="_Toc293654103"/>
                  <w:bookmarkStart w:id="2557" w:name="_Toc294004681"/>
                  <w:bookmarkStart w:id="2558" w:name="_Toc294185177"/>
                  <w:bookmarkStart w:id="2559" w:name="_Toc324165993"/>
                  <w:bookmarkStart w:id="2560" w:name="_Toc324767030"/>
                  <w:bookmarkStart w:id="2561" w:name="_Toc324767888"/>
                  <w:bookmarkStart w:id="2562" w:name="_Toc453314390"/>
                  <w:bookmarkStart w:id="2563" w:name="_Toc454980425"/>
                  <w:r>
                    <w:t>1.6. Ses délibérations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rsidR="00F04EEF" w:rsidRDefault="00F04EEF">
                  <w:pPr>
                    <w:pStyle w:val="NormalWeb"/>
                    <w:tabs>
                      <w:tab w:val="left" w:pos="1134"/>
                    </w:tabs>
                    <w:spacing w:before="0"/>
                    <w:rPr>
                      <w:rFonts w:asciiTheme="majorHAnsi" w:hAnsiTheme="majorHAnsi"/>
                      <w:b/>
                      <w:caps/>
                      <w:szCs w:val="22"/>
                      <w:u w:val="single"/>
                    </w:rPr>
                  </w:pPr>
                </w:p>
                <w:p w:rsidR="00F04EEF" w:rsidRDefault="0099351E">
                  <w:pPr>
                    <w:pStyle w:val="NormalWeb"/>
                    <w:numPr>
                      <w:ilvl w:val="0"/>
                      <w:numId w:val="20"/>
                    </w:numPr>
                    <w:spacing w:before="0"/>
                    <w:rPr>
                      <w:rFonts w:asciiTheme="majorHAnsi" w:hAnsiTheme="majorHAnsi"/>
                      <w:szCs w:val="22"/>
                    </w:rPr>
                  </w:pPr>
                  <w:r>
                    <w:rPr>
                      <w:rFonts w:asciiTheme="majorHAnsi" w:hAnsiTheme="majorHAnsi"/>
                      <w:szCs w:val="22"/>
                    </w:rPr>
                    <w:t xml:space="preserve">Toutes les décisions du conseil de classe sont prises collégialement. Le conseil de classe tend à rallier l'unanimité. </w:t>
                  </w:r>
                </w:p>
                <w:p w:rsidR="00F04EEF" w:rsidRDefault="0099351E">
                  <w:pPr>
                    <w:pStyle w:val="NormalWeb"/>
                    <w:numPr>
                      <w:ilvl w:val="0"/>
                      <w:numId w:val="20"/>
                    </w:numPr>
                    <w:spacing w:before="0"/>
                    <w:rPr>
                      <w:rFonts w:asciiTheme="majorHAnsi" w:hAnsiTheme="majorHAnsi"/>
                      <w:szCs w:val="22"/>
                    </w:rPr>
                  </w:pPr>
                  <w:r>
                    <w:rPr>
                      <w:rFonts w:asciiTheme="majorHAnsi" w:hAnsiTheme="majorHAnsi"/>
                      <w:szCs w:val="22"/>
                    </w:rPr>
                    <w:t>Les règles de délibération sont prévues dans le règlement des études.</w:t>
                  </w:r>
                </w:p>
                <w:p w:rsidR="00F04EEF" w:rsidRDefault="0099351E">
                  <w:pPr>
                    <w:pStyle w:val="NormalWeb"/>
                    <w:numPr>
                      <w:ilvl w:val="0"/>
                      <w:numId w:val="20"/>
                    </w:numPr>
                    <w:spacing w:before="0"/>
                    <w:rPr>
                      <w:rFonts w:asciiTheme="majorHAnsi" w:hAnsiTheme="majorHAnsi"/>
                      <w:szCs w:val="22"/>
                    </w:rPr>
                  </w:pPr>
                  <w:r>
                    <w:rPr>
                      <w:rFonts w:asciiTheme="majorHAnsi" w:hAnsiTheme="majorHAnsi"/>
                      <w:szCs w:val="22"/>
                    </w:rPr>
                    <w:t xml:space="preserve">Les personnels éducatif et paramédical siègent avec voix consultative pour toutes les matières visant à l’évaluation certificative. </w:t>
                  </w:r>
                </w:p>
                <w:p w:rsidR="00F04EEF" w:rsidRDefault="0099351E">
                  <w:pPr>
                    <w:pStyle w:val="NormalWeb"/>
                    <w:numPr>
                      <w:ilvl w:val="0"/>
                      <w:numId w:val="20"/>
                    </w:numPr>
                    <w:spacing w:before="0"/>
                    <w:rPr>
                      <w:rFonts w:asciiTheme="majorHAnsi" w:hAnsiTheme="majorHAnsi"/>
                      <w:szCs w:val="22"/>
                    </w:rPr>
                  </w:pPr>
                  <w:r>
                    <w:rPr>
                      <w:rFonts w:asciiTheme="majorHAnsi" w:hAnsiTheme="majorHAnsi"/>
                      <w:szCs w:val="22"/>
                    </w:rPr>
                    <w:t>Les décisions du conseil de classe sont communiquées à l’élève, à ses parents, ou à la personne investie de l’autorité parentale, par le directeur ou par son délégué.</w:t>
                  </w:r>
                </w:p>
                <w:p w:rsidR="00F04EEF" w:rsidRDefault="0099351E">
                  <w:pPr>
                    <w:pStyle w:val="NormalWeb"/>
                    <w:numPr>
                      <w:ilvl w:val="0"/>
                      <w:numId w:val="20"/>
                    </w:numPr>
                    <w:spacing w:before="0"/>
                  </w:pPr>
                  <w:r>
                    <w:rPr>
                      <w:rFonts w:asciiTheme="majorHAnsi" w:hAnsiTheme="majorHAnsi"/>
                      <w:color w:val="auto"/>
                      <w:szCs w:val="22"/>
                    </w:rPr>
                    <w:t xml:space="preserve">Les décisions sont susceptibles d’un recours. (Voir point 3 ci-après). </w:t>
                  </w:r>
                  <w:bookmarkStart w:id="2564" w:name="__RefHeading__203_957262308"/>
                  <w:bookmarkStart w:id="2565" w:name="_Toc291075370"/>
                  <w:bookmarkStart w:id="2566" w:name="_Toc291075794"/>
                  <w:bookmarkStart w:id="2567" w:name="_Toc291076218"/>
                  <w:bookmarkStart w:id="2568" w:name="_Toc291076642"/>
                  <w:bookmarkStart w:id="2569" w:name="_Toc291077066"/>
                  <w:bookmarkStart w:id="2570" w:name="_Toc293651910"/>
                  <w:bookmarkStart w:id="2571" w:name="_Toc293653493"/>
                  <w:bookmarkStart w:id="2572" w:name="_Toc293654104"/>
                  <w:bookmarkStart w:id="2573" w:name="_Toc294004682"/>
                  <w:bookmarkStart w:id="2574" w:name="_Toc294185178"/>
                  <w:bookmarkStart w:id="2575" w:name="_Toc324165994"/>
                  <w:bookmarkStart w:id="2576" w:name="_Toc324767031"/>
                  <w:bookmarkEnd w:id="2564"/>
                </w:p>
                <w:p w:rsidR="00F04EEF" w:rsidRDefault="00F04EEF">
                  <w:pPr>
                    <w:pStyle w:val="NormalWeb"/>
                    <w:spacing w:before="0"/>
                    <w:ind w:left="360"/>
                  </w:pPr>
                </w:p>
                <w:p w:rsidR="00F04EEF" w:rsidRDefault="0099351E">
                  <w:pPr>
                    <w:pStyle w:val="Titre3"/>
                    <w:rPr>
                      <w:sz w:val="22"/>
                      <w:szCs w:val="22"/>
                    </w:rPr>
                  </w:pPr>
                  <w:bookmarkStart w:id="2577" w:name="_3._Les_procédures"/>
                  <w:bookmarkStart w:id="2578" w:name="_Toc453314391"/>
                  <w:bookmarkStart w:id="2579" w:name="_Toc454980426"/>
                  <w:bookmarkStart w:id="2580" w:name="_Toc47708526"/>
                  <w:bookmarkEnd w:id="2577"/>
                  <w:r>
                    <w:rPr>
                      <w:sz w:val="22"/>
                      <w:szCs w:val="22"/>
                    </w:rPr>
                    <w:t>2. Les procédures de recours</w:t>
                  </w:r>
                  <w:bookmarkEnd w:id="2565"/>
                  <w:bookmarkEnd w:id="2566"/>
                  <w:bookmarkEnd w:id="2567"/>
                  <w:bookmarkEnd w:id="2568"/>
                  <w:bookmarkEnd w:id="2569"/>
                  <w:bookmarkEnd w:id="2570"/>
                  <w:bookmarkEnd w:id="2571"/>
                  <w:bookmarkEnd w:id="2572"/>
                  <w:bookmarkEnd w:id="2573"/>
                  <w:bookmarkEnd w:id="2574"/>
                  <w:bookmarkEnd w:id="2575"/>
                  <w:bookmarkEnd w:id="2576"/>
                  <w:bookmarkEnd w:id="2578"/>
                  <w:bookmarkEnd w:id="2579"/>
                  <w:bookmarkEnd w:id="2580"/>
                </w:p>
                <w:p w:rsidR="00F04EEF" w:rsidRDefault="00F04EEF">
                  <w:pPr>
                    <w:jc w:val="both"/>
                    <w:rPr>
                      <w:b/>
                      <w:u w:val="single"/>
                    </w:rPr>
                  </w:pPr>
                </w:p>
                <w:p w:rsidR="00F04EEF" w:rsidRDefault="0099351E">
                  <w:pPr>
                    <w:pStyle w:val="Titre4"/>
                  </w:pPr>
                  <w:bookmarkStart w:id="2581" w:name="_3.1._Principes"/>
                  <w:bookmarkStart w:id="2582" w:name="_3.1._Procédure_de"/>
                  <w:bookmarkStart w:id="2583" w:name="_2.1._Procédure_de"/>
                  <w:bookmarkStart w:id="2584" w:name="_Toc291075371"/>
                  <w:bookmarkStart w:id="2585" w:name="_Toc291075795"/>
                  <w:bookmarkStart w:id="2586" w:name="_Toc291076219"/>
                  <w:bookmarkStart w:id="2587" w:name="_Toc291076643"/>
                  <w:bookmarkStart w:id="2588" w:name="_Toc291077067"/>
                  <w:bookmarkStart w:id="2589" w:name="_Toc293651911"/>
                  <w:bookmarkStart w:id="2590" w:name="_Toc293653494"/>
                  <w:bookmarkStart w:id="2591" w:name="_Toc293654105"/>
                  <w:bookmarkStart w:id="2592" w:name="_Toc294004683"/>
                  <w:bookmarkStart w:id="2593" w:name="_Toc294185179"/>
                  <w:bookmarkStart w:id="2594" w:name="_Toc324165995"/>
                  <w:bookmarkStart w:id="2595" w:name="_Toc324767032"/>
                  <w:bookmarkStart w:id="2596" w:name="_Toc324767890"/>
                  <w:bookmarkStart w:id="2597" w:name="_Toc453314392"/>
                  <w:bookmarkStart w:id="2598" w:name="_Toc454980427"/>
                  <w:bookmarkEnd w:id="2581"/>
                  <w:bookmarkEnd w:id="2582"/>
                  <w:bookmarkEnd w:id="2583"/>
                  <w:r>
                    <w:rPr>
                      <w:rStyle w:val="Titre4Car1"/>
                      <w:b/>
                    </w:rPr>
                    <w:t>2.1. Procédure de conciliation interne</w:t>
                  </w:r>
                  <w:r>
                    <w:t xml:space="preserve"> </w:t>
                  </w:r>
                  <w:r>
                    <w:rPr>
                      <w:rStyle w:val="Caractresdenotedebasdepage"/>
                      <w:b w:val="0"/>
                      <w:sz w:val="22"/>
                    </w:rPr>
                    <w:footnoteReference w:id="140"/>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rsidR="00F04EEF" w:rsidRDefault="00F04EEF">
                  <w:pPr>
                    <w:jc w:val="both"/>
                    <w:rPr>
                      <w:b/>
                    </w:rPr>
                  </w:pPr>
                </w:p>
                <w:p w:rsidR="00F04EEF" w:rsidRDefault="0099351E">
                  <w:pPr>
                    <w:jc w:val="both"/>
                  </w:pPr>
                  <w:r>
                    <w:t>Chaque pouvoir organisateur prévoit une procédure de conciliation interne destinée à instruire les contestations pouvant survenir à propos des décisions des conseils de classe et des décisions des jurys de qualification et à favoriser la conciliation des points de vue.</w:t>
                  </w:r>
                </w:p>
                <w:p w:rsidR="00F04EEF" w:rsidRDefault="00F04EEF">
                  <w:pPr>
                    <w:jc w:val="both"/>
                  </w:pPr>
                </w:p>
                <w:p w:rsidR="00F04EEF" w:rsidRDefault="0099351E">
                  <w:pPr>
                    <w:jc w:val="both"/>
                  </w:pPr>
                  <w:r>
                    <w:t>La procédure de conciliation interne est mise en œuvre lorsque l’élève majeur, les parents ou la personne investie de l’autorité parentale de l’élève mineur souhaitent qu’une décision du conseil de classe ou du jury de qualification soit réexaminée par celui-ci. Cette procédure de conciliation interne est propre à chaque établissement scolaire qui doit communiquer, aux élèves majeurs, aux parents ou à la personne investie de l’autorité parentale des élèves mineurs, la façon dont il organise cette conciliation.</w:t>
                  </w:r>
                </w:p>
                <w:p w:rsidR="00F04EEF" w:rsidRDefault="0099351E">
                  <w:pPr>
                    <w:jc w:val="both"/>
                  </w:pPr>
                  <w:r>
                    <w:t>L’introduction d’une demande de conciliation interne conditionne la recevabilité du recours externe.</w:t>
                  </w:r>
                </w:p>
                <w:p w:rsidR="00F04EEF" w:rsidRDefault="00F04EEF">
                  <w:pPr>
                    <w:jc w:val="both"/>
                  </w:pPr>
                </w:p>
                <w:p w:rsidR="00F04EEF" w:rsidRDefault="0099351E">
                  <w:pPr>
                    <w:jc w:val="both"/>
                  </w:pPr>
                  <w:r>
                    <w:t>L’élève majeur, les parents ou la personne investie de l’autorité parentale de l’élève mineur peuvent introduire une demande de conciliation interne via la procédure qui leur a été communiquée par l’établissement scolaire.</w:t>
                  </w:r>
                </w:p>
                <w:p w:rsidR="00F04EEF" w:rsidRDefault="00F04EEF">
                  <w:pPr>
                    <w:jc w:val="both"/>
                  </w:pPr>
                </w:p>
                <w:p w:rsidR="00F04EEF" w:rsidRDefault="0099351E">
                  <w:pPr>
                    <w:jc w:val="both"/>
                  </w:pPr>
                  <w:r>
                    <w:t>Le délai minimum d’introduction de la procédure de conciliation interne relative aux décisions du conseil de classe et aux décisions du jury de qualification doit être prévu par le pouvoir organisateur mais ne peut être inférieur à deux jours ouvrables après la communication de la décision.</w:t>
                  </w:r>
                </w:p>
                <w:p w:rsidR="00F04EEF" w:rsidRDefault="00F04EEF">
                  <w:pPr>
                    <w:jc w:val="both"/>
                  </w:pPr>
                </w:p>
                <w:p w:rsidR="00F04EEF" w:rsidRDefault="0099351E">
                  <w:pPr>
                    <w:jc w:val="both"/>
                  </w:pPr>
                  <w:r>
                    <w:t xml:space="preserve">Dans l’enseignement secondaire spécialisé des formes 1, 2 et 3, la procédure de conciliation interne est clôturée : </w:t>
                  </w:r>
                </w:p>
                <w:p w:rsidR="00F04EEF" w:rsidRDefault="00F04EEF">
                  <w:pPr>
                    <w:jc w:val="both"/>
                  </w:pPr>
                </w:p>
                <w:p w:rsidR="00F04EEF" w:rsidRDefault="0099351E">
                  <w:pPr>
                    <w:numPr>
                      <w:ilvl w:val="0"/>
                      <w:numId w:val="45"/>
                    </w:numPr>
                    <w:tabs>
                      <w:tab w:val="clear" w:pos="720"/>
                      <w:tab w:val="num" w:pos="1080"/>
                    </w:tabs>
                    <w:ind w:left="993" w:hanging="426"/>
                    <w:jc w:val="both"/>
                  </w:pPr>
                  <w:r>
                    <w:t>le 10 décembre ou le 10 mai pour les décisions relatives à l’inscription dans une forme et au changement de forme ;</w:t>
                  </w:r>
                </w:p>
                <w:p w:rsidR="00F04EEF" w:rsidRDefault="0099351E">
                  <w:pPr>
                    <w:numPr>
                      <w:ilvl w:val="0"/>
                      <w:numId w:val="45"/>
                    </w:numPr>
                    <w:tabs>
                      <w:tab w:val="clear" w:pos="720"/>
                      <w:tab w:val="num" w:pos="1080"/>
                    </w:tabs>
                    <w:ind w:left="993" w:hanging="426"/>
                    <w:jc w:val="both"/>
                  </w:pPr>
                  <w:r>
                    <w:t>le 30 juin pour les décisions relatives à la délivrance des certificats et attestations ainsi qu’à l’inscription dans une forme et au changement de forme.</w:t>
                  </w:r>
                </w:p>
                <w:p w:rsidR="00F04EEF" w:rsidRDefault="00F04EEF">
                  <w:pPr>
                    <w:jc w:val="both"/>
                  </w:pPr>
                </w:p>
                <w:p w:rsidR="00F04EEF" w:rsidRDefault="0099351E">
                  <w:pPr>
                    <w:jc w:val="both"/>
                  </w:pPr>
                  <w:r>
                    <w:t xml:space="preserve">En outre, dans l’enseignement secondaire spécialisé de forme 3, la procédure de conciliation interne est clôturée : </w:t>
                  </w:r>
                </w:p>
                <w:p w:rsidR="00F04EEF" w:rsidRDefault="00F04EEF">
                  <w:pPr>
                    <w:jc w:val="both"/>
                  </w:pPr>
                </w:p>
                <w:p w:rsidR="00F04EEF" w:rsidRDefault="0099351E">
                  <w:pPr>
                    <w:ind w:left="1134" w:hanging="567"/>
                    <w:jc w:val="both"/>
                  </w:pPr>
                  <w:r>
                    <w:t>- au plus tard le 25 juin pour les jurys de qualification de juin ;</w:t>
                  </w:r>
                </w:p>
                <w:p w:rsidR="00F04EEF" w:rsidRDefault="0099351E">
                  <w:pPr>
                    <w:ind w:left="1134" w:hanging="567"/>
                    <w:jc w:val="both"/>
                  </w:pPr>
                  <w:r>
                    <w:t>- au plus tard le 30 juin pour les conseils de classe de juin ;</w:t>
                  </w:r>
                </w:p>
                <w:p w:rsidR="00F04EEF" w:rsidRDefault="0099351E">
                  <w:pPr>
                    <w:ind w:left="1134" w:hanging="567"/>
                    <w:jc w:val="both"/>
                  </w:pPr>
                  <w:r>
                    <w:t>- dans les 5 jours ouvrables qui suivent la délibération pour les jurys de qualification qui sont organisés à un autre  moment de l’année et pour les conseils de classe de septembre.</w:t>
                  </w:r>
                </w:p>
                <w:p w:rsidR="00F04EEF" w:rsidRDefault="00F04EEF">
                  <w:pPr>
                    <w:jc w:val="both"/>
                  </w:pPr>
                </w:p>
                <w:p w:rsidR="00F04EEF" w:rsidRDefault="0099351E">
                  <w:pPr>
                    <w:jc w:val="both"/>
                  </w:pPr>
                  <w:r>
                    <w:t xml:space="preserve">Dans l’enseignement spécialisé de forme 4, la procédure de conciliation interne est clôturée: </w:t>
                  </w:r>
                </w:p>
                <w:p w:rsidR="00F04EEF" w:rsidRDefault="00F04EEF">
                  <w:pPr>
                    <w:jc w:val="both"/>
                  </w:pPr>
                </w:p>
                <w:p w:rsidR="00F04EEF" w:rsidRDefault="0099351E">
                  <w:pPr>
                    <w:ind w:left="1134" w:hanging="567"/>
                    <w:jc w:val="both"/>
                  </w:pPr>
                  <w:r>
                    <w:t>- au plus tard le 25 juin pour les jurys de qualification de juin ;</w:t>
                  </w:r>
                </w:p>
                <w:p w:rsidR="00F04EEF" w:rsidRDefault="0099351E">
                  <w:pPr>
                    <w:ind w:left="1134" w:hanging="567"/>
                    <w:jc w:val="both"/>
                  </w:pPr>
                  <w:r>
                    <w:t>- au plus tard le 30 juin pour les conseils de classe de juin ;</w:t>
                  </w:r>
                </w:p>
                <w:p w:rsidR="00F04EEF" w:rsidRDefault="0099351E">
                  <w:pPr>
                    <w:ind w:left="1134" w:hanging="567"/>
                    <w:jc w:val="both"/>
                  </w:pPr>
                  <w:r>
                    <w:t>- dans les 5 jours ouvrables qui suivent la délibération pour les jurys de qualification de deuxième session et pour les conseils de classe de septembre.</w:t>
                  </w:r>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both"/>
                  </w:pPr>
                  <w:r>
                    <w:rPr>
                      <w:b/>
                      <w:u w:val="single"/>
                    </w:rPr>
                    <w:t>Attention</w:t>
                  </w:r>
                  <w:r>
                    <w:rPr>
                      <w:u w:val="single"/>
                    </w:rPr>
                    <w:t> :</w:t>
                  </w:r>
                  <w:r>
                    <w:t xml:space="preserve"> uniquement en forme 4, la procédure de conciliation interne relative à un refus d’octroi du certificat de qualification est clôturée avant que le conseil de classe se réunisse pour délibérer quant à la réussite de l’année.</w:t>
                  </w:r>
                </w:p>
                <w:p w:rsidR="00F04EEF" w:rsidRDefault="00F04EEF"/>
                <w:p w:rsidR="00F04EEF" w:rsidRDefault="0099351E">
                  <w:pPr>
                    <w:pStyle w:val="Titre4"/>
                  </w:pPr>
                  <w:bookmarkStart w:id="2599" w:name="_Toc453314393"/>
                  <w:bookmarkStart w:id="2600" w:name="_Toc454980428"/>
                  <w:r>
                    <w:t>2.2. Procédure de recours externe</w:t>
                  </w:r>
                  <w:r>
                    <w:rPr>
                      <w:rStyle w:val="Appelnotedebasdep"/>
                    </w:rPr>
                    <w:footnoteReference w:id="141"/>
                  </w:r>
                  <w:bookmarkEnd w:id="2599"/>
                  <w:bookmarkEnd w:id="2600"/>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both"/>
                    <w:rPr>
                      <w:b/>
                    </w:rPr>
                  </w:pPr>
                  <w:r>
                    <w:rPr>
                      <w:b/>
                      <w:u w:val="single"/>
                    </w:rPr>
                    <w:t>Remarque :</w:t>
                  </w:r>
                  <w:r>
                    <w:rPr>
                      <w:b/>
                    </w:rPr>
                    <w:t xml:space="preserve"> </w:t>
                  </w:r>
                  <w:r>
                    <w:t>en aucun cas, les décisions des jurys de qualification ne sont susceptibles de recours auprès des conseils de recours.</w:t>
                  </w:r>
                </w:p>
                <w:p w:rsidR="00F04EEF" w:rsidRDefault="00F04EEF">
                  <w:pPr>
                    <w:jc w:val="both"/>
                  </w:pPr>
                </w:p>
                <w:p w:rsidR="00F04EEF" w:rsidRDefault="0099351E">
                  <w:pPr>
                    <w:pStyle w:val="Titre5"/>
                  </w:pPr>
                  <w:bookmarkStart w:id="2601" w:name="_3.2.1._Principe"/>
                  <w:bookmarkEnd w:id="2601"/>
                  <w:r>
                    <w:t>2.2.1. Principe</w:t>
                  </w:r>
                </w:p>
                <w:p w:rsidR="00F04EEF" w:rsidRDefault="00F04EEF">
                  <w:pPr>
                    <w:jc w:val="both"/>
                  </w:pPr>
                </w:p>
                <w:p w:rsidR="00F04EEF" w:rsidRDefault="0099351E">
                  <w:pPr>
                    <w:autoSpaceDE w:val="0"/>
                    <w:jc w:val="both"/>
                  </w:pPr>
                  <w:r>
                    <w:t>Il est créé, par caractère d'enseignement, un conseil de recours pour les décisions des conseils de classe dans l'enseignement secondaire spécialisé de plein exercice.</w:t>
                  </w:r>
                </w:p>
                <w:p w:rsidR="00F04EEF" w:rsidRDefault="00F04EEF">
                  <w:pPr>
                    <w:autoSpaceDE w:val="0"/>
                    <w:jc w:val="both"/>
                  </w:pPr>
                </w:p>
                <w:p w:rsidR="00F04EEF" w:rsidRDefault="0099351E">
                  <w:pPr>
                    <w:autoSpaceDE w:val="0"/>
                    <w:jc w:val="both"/>
                  </w:pPr>
                  <w:r>
                    <w:t>Il existe donc un conseil de recours pour les décisions des conseils de classe de délibération dans l’enseignement secondaire spécialisé de plein exercice de caractère confessionnel et un conseil de recours pour les décisions des conseils de classe de délibération dans l’enseignement secondaire spécialisé de plein exercice de caractère non confessionnel.</w:t>
                  </w:r>
                </w:p>
                <w:p w:rsidR="00F04EEF" w:rsidRDefault="00F04EEF">
                  <w:pPr>
                    <w:autoSpaceDE w:val="0"/>
                    <w:jc w:val="both"/>
                  </w:pPr>
                </w:p>
                <w:p w:rsidR="00F04EEF" w:rsidRDefault="0099351E">
                  <w:pPr>
                    <w:autoSpaceDE w:val="0"/>
                    <w:jc w:val="both"/>
                  </w:pPr>
                  <w:r>
                    <w:t>Ces 2 conseils de recours sont installés auprès de l'Administration générale de l’Enseignement, Direction générale de l'Enseignement obligatoire.</w:t>
                  </w:r>
                </w:p>
                <w:p w:rsidR="00F04EEF" w:rsidRDefault="00F04EEF">
                  <w:pPr>
                    <w:autoSpaceDE w:val="0"/>
                    <w:jc w:val="both"/>
                  </w:pPr>
                </w:p>
                <w:p w:rsidR="00F04EEF" w:rsidRDefault="0099351E">
                  <w:r>
                    <w:t>Les demandes sont à adresser à :</w:t>
                  </w:r>
                </w:p>
                <w:p w:rsidR="00F04EEF" w:rsidRDefault="00F04EEF">
                  <w:pPr>
                    <w:autoSpaceDE w:val="0"/>
                    <w:jc w:val="both"/>
                  </w:pPr>
                </w:p>
                <w:p w:rsidR="00F04EEF" w:rsidRDefault="0099351E">
                  <w:pPr>
                    <w:pBdr>
                      <w:top w:val="single" w:sz="4" w:space="1" w:color="auto"/>
                      <w:left w:val="single" w:sz="4" w:space="4" w:color="auto"/>
                      <w:bottom w:val="single" w:sz="4" w:space="6" w:color="auto"/>
                      <w:right w:val="single" w:sz="4" w:space="4" w:color="auto"/>
                    </w:pBdr>
                    <w:jc w:val="center"/>
                  </w:pPr>
                  <w:r>
                    <w:t>Direction générale de l’enseignement obligatoire</w:t>
                  </w:r>
                </w:p>
                <w:p w:rsidR="00F04EEF" w:rsidRDefault="0099351E">
                  <w:pPr>
                    <w:pBdr>
                      <w:top w:val="single" w:sz="4" w:space="1" w:color="auto"/>
                      <w:left w:val="single" w:sz="4" w:space="4" w:color="auto"/>
                      <w:bottom w:val="single" w:sz="4" w:space="6" w:color="auto"/>
                      <w:right w:val="single" w:sz="4" w:space="4" w:color="auto"/>
                    </w:pBdr>
                    <w:jc w:val="center"/>
                  </w:pPr>
                  <w:r>
                    <w:t>Service de l’enseignement spécialisé</w:t>
                  </w:r>
                </w:p>
                <w:p w:rsidR="00F04EEF" w:rsidRDefault="0099351E">
                  <w:pPr>
                    <w:pBdr>
                      <w:top w:val="single" w:sz="4" w:space="1" w:color="auto"/>
                      <w:left w:val="single" w:sz="4" w:space="4" w:color="auto"/>
                      <w:bottom w:val="single" w:sz="4" w:space="6" w:color="auto"/>
                      <w:right w:val="single" w:sz="4" w:space="4" w:color="auto"/>
                    </w:pBdr>
                    <w:jc w:val="center"/>
                  </w:pPr>
                  <w:r>
                    <w:rPr>
                      <w:color w:val="000000"/>
                    </w:rPr>
                    <w:t>Madame Nathalie DUJARDIN (</w:t>
                  </w:r>
                  <w:r>
                    <w:t>Bureau 2F250)</w:t>
                  </w:r>
                </w:p>
                <w:p w:rsidR="00F04EEF" w:rsidRDefault="0099351E">
                  <w:pPr>
                    <w:pBdr>
                      <w:top w:val="single" w:sz="4" w:space="1" w:color="auto"/>
                      <w:left w:val="single" w:sz="4" w:space="4" w:color="auto"/>
                      <w:bottom w:val="single" w:sz="4" w:space="6" w:color="auto"/>
                      <w:right w:val="single" w:sz="4" w:space="4" w:color="auto"/>
                    </w:pBdr>
                    <w:jc w:val="center"/>
                  </w:pPr>
                  <w:r>
                    <w:t>Rue Adolphe Lavallée, 1 à 1080   BRUXELLES</w:t>
                  </w:r>
                </w:p>
                <w:p w:rsidR="00F04EEF" w:rsidRDefault="0099351E">
                  <w:pPr>
                    <w:pBdr>
                      <w:top w:val="single" w:sz="4" w:space="1" w:color="auto"/>
                      <w:left w:val="single" w:sz="4" w:space="4" w:color="auto"/>
                      <w:bottom w:val="single" w:sz="4" w:space="6" w:color="auto"/>
                      <w:right w:val="single" w:sz="4" w:space="4" w:color="auto"/>
                    </w:pBdr>
                    <w:jc w:val="center"/>
                    <w:rPr>
                      <w:lang w:val="en-US"/>
                    </w:rPr>
                  </w:pPr>
                  <w:r>
                    <w:sym w:font="Wingdings" w:char="F028"/>
                  </w:r>
                  <w:r>
                    <w:rPr>
                      <w:lang w:val="en-US"/>
                    </w:rPr>
                    <w:t xml:space="preserve"> : 02/690.88.59 - GSM : 0472/94.31.95 - </w:t>
                  </w:r>
                  <w:r>
                    <w:rPr>
                      <w:bCs/>
                    </w:rPr>
                    <w:sym w:font="Wingdings" w:char="F03A"/>
                  </w:r>
                  <w:r>
                    <w:rPr>
                      <w:bCs/>
                      <w:lang w:val="en-US"/>
                    </w:rPr>
                    <w:t> </w:t>
                  </w:r>
                  <w:r>
                    <w:rPr>
                      <w:lang w:val="en-US"/>
                    </w:rPr>
                    <w:t xml:space="preserve"> </w:t>
                  </w:r>
                  <w:hyperlink r:id="rId172" w:history="1">
                    <w:r>
                      <w:rPr>
                        <w:rStyle w:val="Lienhypertexte"/>
                        <w:rFonts w:cs="Arial"/>
                        <w:b/>
                        <w:lang w:val="en-US"/>
                      </w:rPr>
                      <w:t>nathalie.dujardin@cfwb.be</w:t>
                    </w:r>
                  </w:hyperlink>
                  <w:r>
                    <w:rPr>
                      <w:b/>
                      <w:lang w:val="en-US"/>
                    </w:rPr>
                    <w:t xml:space="preserve"> </w:t>
                  </w:r>
                </w:p>
                <w:p w:rsidR="00F04EEF" w:rsidRDefault="00F04EEF">
                  <w:pPr>
                    <w:autoSpaceDE w:val="0"/>
                    <w:jc w:val="both"/>
                    <w:rPr>
                      <w:b/>
                      <w:u w:val="single"/>
                      <w:lang w:val="en-US"/>
                    </w:rPr>
                  </w:pPr>
                </w:p>
                <w:p w:rsidR="00F04EEF" w:rsidRDefault="0099351E">
                  <w:pPr>
                    <w:pStyle w:val="Titre5"/>
                  </w:pPr>
                  <w:bookmarkStart w:id="2602" w:name="_3.2._Procédure"/>
                  <w:bookmarkStart w:id="2603" w:name="_Toc291075372"/>
                  <w:bookmarkStart w:id="2604" w:name="_Toc291075796"/>
                  <w:bookmarkStart w:id="2605" w:name="_Toc291076220"/>
                  <w:bookmarkStart w:id="2606" w:name="_Toc291076644"/>
                  <w:bookmarkStart w:id="2607" w:name="_Toc291077068"/>
                  <w:bookmarkStart w:id="2608" w:name="_Toc293651912"/>
                  <w:bookmarkStart w:id="2609" w:name="_Toc293653495"/>
                  <w:bookmarkStart w:id="2610" w:name="_Toc293654106"/>
                  <w:bookmarkStart w:id="2611" w:name="_Toc294004684"/>
                  <w:bookmarkStart w:id="2612" w:name="_Toc294185180"/>
                  <w:bookmarkStart w:id="2613" w:name="_Toc324165996"/>
                  <w:bookmarkStart w:id="2614" w:name="_Toc324767033"/>
                  <w:bookmarkStart w:id="2615" w:name="_Toc324767891"/>
                  <w:bookmarkEnd w:id="2602"/>
                  <w:r>
                    <w:rPr>
                      <w:lang w:val="nl-BE"/>
                    </w:rPr>
                    <w:t xml:space="preserve">2.2.2. </w:t>
                  </w:r>
                  <w:r>
                    <w:t>Procédure</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rsidR="00F04EEF" w:rsidRDefault="00F04EEF">
                  <w:pPr>
                    <w:autoSpaceDE w:val="0"/>
                    <w:jc w:val="both"/>
                  </w:pPr>
                </w:p>
                <w:p w:rsidR="00F04EEF" w:rsidRDefault="0099351E">
                  <w:pPr>
                    <w:pBdr>
                      <w:top w:val="single" w:sz="4" w:space="1" w:color="000000"/>
                      <w:left w:val="single" w:sz="4" w:space="4" w:color="000000"/>
                      <w:bottom w:val="single" w:sz="4" w:space="1" w:color="000000"/>
                      <w:right w:val="single" w:sz="4" w:space="4" w:color="000000"/>
                    </w:pBdr>
                    <w:autoSpaceDE w:val="0"/>
                    <w:jc w:val="both"/>
                  </w:pPr>
                  <w:r>
                    <w:rPr>
                      <w:b/>
                      <w:u w:val="single"/>
                    </w:rPr>
                    <w:t>Remarque :</w:t>
                  </w:r>
                  <w:r>
                    <w:rPr>
                      <w:b/>
                    </w:rPr>
                    <w:t xml:space="preserve"> </w:t>
                  </w:r>
                  <w:r>
                    <w:t>la procédure de recours doit être inscrite dans le règlement des études de l’établissement scolaire.</w:t>
                  </w:r>
                </w:p>
                <w:p w:rsidR="00F04EEF" w:rsidRDefault="0099351E">
                  <w:pPr>
                    <w:autoSpaceDE w:val="0"/>
                    <w:jc w:val="both"/>
                  </w:pPr>
                  <w:r>
                    <w:t xml:space="preserve"> </w:t>
                  </w:r>
                </w:p>
                <w:p w:rsidR="00F04EEF" w:rsidRDefault="0099351E">
                  <w:pPr>
                    <w:jc w:val="both"/>
                  </w:pPr>
                  <w:r>
                    <w:t xml:space="preserve">L'élève, s'il est majeur, ses parents ou la personne investie de l'autorité parentale, s'il est mineur, peuvent introduire, pour autant qu'ils aient épuisé la procédure interne visée au </w:t>
                  </w:r>
                  <w:hyperlink w:anchor="_2.1._Procédure_de" w:history="1">
                    <w:r>
                      <w:rPr>
                        <w:rStyle w:val="Lienhypertexte"/>
                        <w:rFonts w:cs="Arial"/>
                      </w:rPr>
                      <w:t>point 2.1.</w:t>
                    </w:r>
                  </w:hyperlink>
                  <w:r>
                    <w:t xml:space="preserve"> du présent chapitre, dans les dix jours qui suivent la notification de sa décision ou de sa confirmation :</w:t>
                  </w:r>
                </w:p>
                <w:p w:rsidR="00F04EEF" w:rsidRDefault="00F04EEF">
                  <w:pPr>
                    <w:autoSpaceDE w:val="0"/>
                    <w:jc w:val="both"/>
                  </w:pPr>
                </w:p>
                <w:p w:rsidR="00F04EEF" w:rsidRDefault="0099351E">
                  <w:pPr>
                    <w:numPr>
                      <w:ilvl w:val="0"/>
                      <w:numId w:val="44"/>
                    </w:numPr>
                    <w:tabs>
                      <w:tab w:val="clear" w:pos="357"/>
                      <w:tab w:val="num" w:pos="1080"/>
                    </w:tabs>
                    <w:suppressAutoHyphens/>
                    <w:autoSpaceDE w:val="0"/>
                    <w:ind w:left="993" w:hanging="426"/>
                    <w:jc w:val="both"/>
                  </w:pPr>
                  <w:r>
                    <w:t>En forme 4, un recours contre une décision d'échec ou de réussite avec restriction;</w:t>
                  </w:r>
                </w:p>
                <w:p w:rsidR="00F04EEF" w:rsidRDefault="0099351E">
                  <w:pPr>
                    <w:numPr>
                      <w:ilvl w:val="0"/>
                      <w:numId w:val="44"/>
                    </w:numPr>
                    <w:tabs>
                      <w:tab w:val="clear" w:pos="357"/>
                      <w:tab w:val="num" w:pos="1080"/>
                    </w:tabs>
                    <w:suppressAutoHyphens/>
                    <w:autoSpaceDE w:val="0"/>
                    <w:ind w:left="993" w:hanging="426"/>
                    <w:jc w:val="both"/>
                  </w:pPr>
                  <w:r>
                    <w:t>En forme 3, un recours contre une décision de refus de délivrance de l'attestation de réussite de phase et de refus de délivrance des certificats à l’exclusion des certificats de qualification;</w:t>
                  </w:r>
                </w:p>
                <w:p w:rsidR="00F04EEF" w:rsidRDefault="0099351E">
                  <w:pPr>
                    <w:numPr>
                      <w:ilvl w:val="0"/>
                      <w:numId w:val="44"/>
                    </w:numPr>
                    <w:tabs>
                      <w:tab w:val="clear" w:pos="357"/>
                      <w:tab w:val="num" w:pos="1080"/>
                    </w:tabs>
                    <w:suppressAutoHyphens/>
                    <w:autoSpaceDE w:val="0"/>
                    <w:ind w:left="993" w:hanging="426"/>
                    <w:jc w:val="both"/>
                  </w:pPr>
                  <w:r>
                    <w:t>En forme 1, 2, 3 et 4, un recours contre une décision d'inscription dans une forme d'enseignement ou de passage d'une forme d'enseignement vers une autre.</w:t>
                  </w:r>
                </w:p>
                <w:p w:rsidR="00F04EEF" w:rsidRDefault="00F04EEF">
                  <w:pPr>
                    <w:autoSpaceDE w:val="0"/>
                    <w:jc w:val="both"/>
                  </w:pPr>
                </w:p>
                <w:p w:rsidR="00F04EEF" w:rsidRDefault="0099351E">
                  <w:pPr>
                    <w:jc w:val="both"/>
                  </w:pPr>
                  <w:r>
                    <w:t xml:space="preserve">Le recours comprend une motivation précise. </w:t>
                  </w:r>
                </w:p>
                <w:p w:rsidR="00F04EEF" w:rsidRDefault="0099351E">
                  <w:pPr>
                    <w:autoSpaceDE w:val="0"/>
                    <w:jc w:val="both"/>
                  </w:pPr>
                  <w:r>
                    <w:t xml:space="preserve">Y est jointe toute pièce que le requérant juge de nature à éclairer le conseil de recours. </w:t>
                  </w:r>
                </w:p>
                <w:p w:rsidR="00F04EEF" w:rsidRDefault="0099351E">
                  <w:pPr>
                    <w:autoSpaceDE w:val="0"/>
                    <w:jc w:val="both"/>
                  </w:pPr>
                  <w:r>
                    <w:t xml:space="preserve">Le recours ne peut comprendre des pièces relatives aux décisions du conseil de classe concernant d’autres élèves. </w:t>
                  </w:r>
                </w:p>
                <w:p w:rsidR="00F04EEF" w:rsidRDefault="00F04EEF">
                  <w:pPr>
                    <w:autoSpaceDE w:val="0"/>
                    <w:jc w:val="both"/>
                  </w:pPr>
                </w:p>
                <w:p w:rsidR="00F04EEF" w:rsidRDefault="0099351E">
                  <w:pPr>
                    <w:jc w:val="both"/>
                  </w:pPr>
                  <w:r>
                    <w:t xml:space="preserve">Le recours est adressé par lettre recommandée à l'Administration qui la transmet immédiatement au Président du Conseil de recours. Copie du recours est adressée par les requérants, le même jour, également par lettre recommandée, au chef d'établissement concerné. </w:t>
                  </w:r>
                </w:p>
                <w:p w:rsidR="00F04EEF" w:rsidRDefault="00F04EEF">
                  <w:pPr>
                    <w:pStyle w:val="Paragraphedeliste1"/>
                    <w:autoSpaceDE w:val="0"/>
                    <w:ind w:left="0"/>
                    <w:jc w:val="both"/>
                    <w:rPr>
                      <w:rFonts w:asciiTheme="majorHAnsi" w:hAnsiTheme="majorHAnsi"/>
                    </w:rPr>
                  </w:pPr>
                </w:p>
                <w:p w:rsidR="00F04EEF" w:rsidRDefault="0099351E">
                  <w:pPr>
                    <w:autoSpaceDE w:val="0"/>
                    <w:jc w:val="both"/>
                  </w:pPr>
                  <w:r>
                    <w:t>Celui-ci peut adresser à l'Administration tout document de nature à éclairer le Conseil de recours. Il peut aussi transmettre au Conseil de recours un avis motivé sur le bien-fondé du recours. L'Administration transmet immédiatement ce document au Président du Conseil de recours.</w:t>
                  </w:r>
                </w:p>
                <w:p w:rsidR="00F04EEF" w:rsidRDefault="00F04EEF">
                  <w:pPr>
                    <w:autoSpaceDE w:val="0"/>
                    <w:jc w:val="both"/>
                  </w:pPr>
                </w:p>
                <w:p w:rsidR="00F04EEF" w:rsidRDefault="0099351E">
                  <w:pPr>
                    <w:jc w:val="both"/>
                  </w:pPr>
                  <w:r>
                    <w:t>Le Conseil de recours enjoint l'établissement de produire à son intention tout document qu'il juge utile à sa prise de décision. Il peut entendre toute personne qu'il juge utile. Il peut se faire assister par des experts qu'il choisit.</w:t>
                  </w:r>
                </w:p>
                <w:p w:rsidR="00F04EEF" w:rsidRDefault="0099351E">
                  <w:pPr>
                    <w:jc w:val="both"/>
                  </w:pPr>
                  <w:r>
                    <w:t>A la demande du conseil de classe, son président est entendu par le Conseil de recours.</w:t>
                  </w:r>
                </w:p>
                <w:p w:rsidR="00F04EEF" w:rsidRDefault="00F04EEF">
                  <w:pPr>
                    <w:pStyle w:val="Paragraphedeliste1"/>
                    <w:autoSpaceDE w:val="0"/>
                    <w:ind w:left="0"/>
                    <w:jc w:val="both"/>
                    <w:rPr>
                      <w:rFonts w:asciiTheme="majorHAnsi" w:hAnsiTheme="majorHAnsi"/>
                    </w:rPr>
                  </w:pPr>
                </w:p>
                <w:p w:rsidR="00F04EEF" w:rsidRDefault="0099351E">
                  <w:pPr>
                    <w:rPr>
                      <w:u w:val="single"/>
                    </w:rPr>
                  </w:pPr>
                  <w:r>
                    <w:rPr>
                      <w:u w:val="single"/>
                    </w:rPr>
                    <w:br w:type="page"/>
                  </w:r>
                </w:p>
                <w:p w:rsidR="00F04EEF" w:rsidRDefault="0099351E">
                  <w:pPr>
                    <w:numPr>
                      <w:ilvl w:val="0"/>
                      <w:numId w:val="16"/>
                    </w:numPr>
                    <w:suppressAutoHyphens/>
                    <w:jc w:val="both"/>
                    <w:rPr>
                      <w:u w:val="single"/>
                    </w:rPr>
                  </w:pPr>
                  <w:r>
                    <w:rPr>
                      <w:u w:val="single"/>
                    </w:rPr>
                    <w:t>Le Conseil de recours peut remplacer la décision du conseil de classe :</w:t>
                  </w:r>
                </w:p>
                <w:p w:rsidR="00F04EEF" w:rsidRDefault="00F04EEF">
                  <w:pPr>
                    <w:jc w:val="both"/>
                    <w:rPr>
                      <w:u w:val="single"/>
                    </w:rPr>
                  </w:pPr>
                </w:p>
                <w:p w:rsidR="00F04EEF" w:rsidRDefault="0099351E">
                  <w:pPr>
                    <w:numPr>
                      <w:ilvl w:val="0"/>
                      <w:numId w:val="56"/>
                    </w:numPr>
                    <w:tabs>
                      <w:tab w:val="clear" w:pos="3011"/>
                      <w:tab w:val="num" w:pos="1440"/>
                    </w:tabs>
                    <w:suppressAutoHyphens/>
                    <w:autoSpaceDE w:val="0"/>
                    <w:ind w:left="360"/>
                    <w:jc w:val="both"/>
                  </w:pPr>
                  <w:r>
                    <w:t>En forme 4, par une décision de réussite avec ou sans restriction ;</w:t>
                  </w:r>
                </w:p>
                <w:p w:rsidR="00F04EEF" w:rsidRDefault="0099351E">
                  <w:pPr>
                    <w:numPr>
                      <w:ilvl w:val="0"/>
                      <w:numId w:val="56"/>
                    </w:numPr>
                    <w:tabs>
                      <w:tab w:val="clear" w:pos="3011"/>
                      <w:tab w:val="num" w:pos="1440"/>
                    </w:tabs>
                    <w:suppressAutoHyphens/>
                    <w:autoSpaceDE w:val="0"/>
                    <w:ind w:left="360"/>
                    <w:jc w:val="both"/>
                  </w:pPr>
                  <w:r>
                    <w:t>En forme 3, par une décision de réussite de phase;</w:t>
                  </w:r>
                </w:p>
                <w:p w:rsidR="00F04EEF" w:rsidRDefault="0099351E">
                  <w:pPr>
                    <w:numPr>
                      <w:ilvl w:val="0"/>
                      <w:numId w:val="56"/>
                    </w:numPr>
                    <w:tabs>
                      <w:tab w:val="clear" w:pos="3011"/>
                      <w:tab w:val="num" w:pos="1440"/>
                    </w:tabs>
                    <w:suppressAutoHyphens/>
                    <w:autoSpaceDE w:val="0"/>
                    <w:ind w:left="360"/>
                    <w:jc w:val="both"/>
                  </w:pPr>
                  <w:r>
                    <w:t>En forme 1, 2, 3 et 4, par une nouvelle décision en ce qui concerne l'inscription dans une forme d'enseignement ou le passage d'une forme d'enseignement vers une autre.</w:t>
                  </w:r>
                </w:p>
                <w:p w:rsidR="00F04EEF" w:rsidRDefault="00F04EEF">
                  <w:pPr>
                    <w:tabs>
                      <w:tab w:val="num" w:pos="900"/>
                    </w:tabs>
                    <w:autoSpaceDE w:val="0"/>
                    <w:jc w:val="both"/>
                  </w:pPr>
                </w:p>
                <w:p w:rsidR="00F04EEF" w:rsidRDefault="0099351E">
                  <w:pPr>
                    <w:autoSpaceDE w:val="0"/>
                    <w:jc w:val="both"/>
                  </w:pPr>
                  <w:r>
                    <w:t>Les décisions du Conseil de recours se fondent sur la correspondance entre les compétences acquises par l'élève et les compétences qu'il doit normalement acquérir.</w:t>
                  </w:r>
                </w:p>
                <w:p w:rsidR="00F04EEF" w:rsidRDefault="0099351E">
                  <w:pPr>
                    <w:jc w:val="both"/>
                  </w:pPr>
                  <w:r>
                    <w:t>Le Conseil de recours prend ses décisions en fonction des programmes d'études et du plan individuel d'apprentissage de l'élève.</w:t>
                  </w:r>
                </w:p>
                <w:p w:rsidR="00F04EEF" w:rsidRDefault="00F04EEF">
                  <w:pPr>
                    <w:jc w:val="both"/>
                  </w:pPr>
                </w:p>
                <w:p w:rsidR="00F04EEF" w:rsidRDefault="00F04EEF">
                  <w:pPr>
                    <w:jc w:val="both"/>
                  </w:pPr>
                </w:p>
                <w:p w:rsidR="00F04EEF" w:rsidRDefault="0099351E">
                  <w:pPr>
                    <w:numPr>
                      <w:ilvl w:val="0"/>
                      <w:numId w:val="42"/>
                    </w:numPr>
                    <w:suppressAutoHyphens/>
                    <w:jc w:val="both"/>
                    <w:rPr>
                      <w:u w:val="single"/>
                    </w:rPr>
                  </w:pPr>
                  <w:r>
                    <w:rPr>
                      <w:u w:val="single"/>
                    </w:rPr>
                    <w:t>Délais :</w:t>
                  </w:r>
                </w:p>
                <w:p w:rsidR="00F04EEF" w:rsidRDefault="00F04EEF">
                  <w:pPr>
                    <w:autoSpaceDE w:val="0"/>
                    <w:jc w:val="both"/>
                  </w:pPr>
                </w:p>
                <w:p w:rsidR="00F04EEF" w:rsidRDefault="0099351E">
                  <w:pPr>
                    <w:numPr>
                      <w:ilvl w:val="1"/>
                      <w:numId w:val="42"/>
                    </w:numPr>
                    <w:tabs>
                      <w:tab w:val="clear" w:pos="1437"/>
                    </w:tabs>
                    <w:suppressAutoHyphens/>
                    <w:autoSpaceDE w:val="0"/>
                    <w:ind w:left="0" w:firstLine="0"/>
                    <w:jc w:val="both"/>
                  </w:pPr>
                  <w:r>
                    <w:t>Dans l'enseignement spécialisé de forme 4, les Conseils de recours siègent, au plus tard, entre le 16 août et le 31 août pour les décisions des conseils de classe relatives aux délibérations de juin et entre le 15 septembre et le 10 octobre pour les décisions des conseils de classe relatives aux délibérations de septembre.</w:t>
                  </w:r>
                </w:p>
                <w:p w:rsidR="00F04EEF" w:rsidRDefault="00F04EEF">
                  <w:pPr>
                    <w:autoSpaceDE w:val="0"/>
                    <w:jc w:val="both"/>
                  </w:pPr>
                </w:p>
                <w:p w:rsidR="00F04EEF" w:rsidRDefault="0099351E">
                  <w:pPr>
                    <w:numPr>
                      <w:ilvl w:val="1"/>
                      <w:numId w:val="42"/>
                    </w:numPr>
                    <w:tabs>
                      <w:tab w:val="clear" w:pos="1437"/>
                    </w:tabs>
                    <w:suppressAutoHyphens/>
                    <w:autoSpaceDE w:val="0"/>
                    <w:ind w:left="0" w:firstLine="0"/>
                    <w:jc w:val="both"/>
                  </w:pPr>
                  <w:r>
                    <w:t xml:space="preserve">Dans l'enseignement secondaire de forme 3, les Conseils de recours siègent, au plus tard, entre le 5 et le 15 janvier ou entre le 21 mai et le 31 mai pour les décisions des conseils de classe. </w:t>
                  </w:r>
                </w:p>
                <w:p w:rsidR="00F04EEF" w:rsidRDefault="0099351E">
                  <w:pPr>
                    <w:numPr>
                      <w:ilvl w:val="1"/>
                      <w:numId w:val="42"/>
                    </w:numPr>
                    <w:tabs>
                      <w:tab w:val="clear" w:pos="1437"/>
                    </w:tabs>
                    <w:suppressAutoHyphens/>
                    <w:ind w:left="0" w:firstLine="0"/>
                    <w:jc w:val="both"/>
                  </w:pPr>
                  <w:r>
                    <w:t>Dans l'enseignement secondaire de forme 3, les Conseils de recours siègent également, au plus tard, entre le 16 août et le 31 août pour les décisions des conseils de classe.</w:t>
                  </w:r>
                </w:p>
                <w:p w:rsidR="00F04EEF" w:rsidRDefault="00F04EEF">
                  <w:pPr>
                    <w:autoSpaceDE w:val="0"/>
                    <w:jc w:val="both"/>
                  </w:pPr>
                </w:p>
                <w:p w:rsidR="00F04EEF" w:rsidRDefault="0099351E">
                  <w:pPr>
                    <w:numPr>
                      <w:ilvl w:val="1"/>
                      <w:numId w:val="42"/>
                    </w:numPr>
                    <w:tabs>
                      <w:tab w:val="clear" w:pos="1437"/>
                    </w:tabs>
                    <w:suppressAutoHyphens/>
                    <w:autoSpaceDE w:val="0"/>
                    <w:ind w:left="0" w:firstLine="0"/>
                    <w:jc w:val="both"/>
                  </w:pPr>
                  <w:r>
                    <w:t>Dans l'enseignement secondaire spécialisé de formes 1, 2, 3 et 4, les Conseils de recours siègent, au plus tard, entre le 5 et le 15 janvier, entre le 21 mai et le 31 mai ou entre le 16 août et le 31 août pour les décisions des conseils de classe relatives à l'inscription dans une forme d'enseignement ou au passage d'une forme d'enseignement vers une autre.</w:t>
                  </w:r>
                </w:p>
                <w:p w:rsidR="00F04EEF" w:rsidRDefault="00F04EEF">
                  <w:pPr>
                    <w:autoSpaceDE w:val="0"/>
                    <w:jc w:val="both"/>
                  </w:pPr>
                </w:p>
                <w:p w:rsidR="00F04EEF" w:rsidRDefault="0099351E">
                  <w:pPr>
                    <w:numPr>
                      <w:ilvl w:val="1"/>
                      <w:numId w:val="42"/>
                    </w:numPr>
                    <w:tabs>
                      <w:tab w:val="clear" w:pos="1437"/>
                    </w:tabs>
                    <w:suppressAutoHyphens/>
                    <w:ind w:left="0" w:firstLine="0"/>
                    <w:jc w:val="both"/>
                  </w:pPr>
                  <w:r>
                    <w:t>En outre, dans l'enseignement secondaire spécialisé de formes 1, 2, 3 et 4, en cas d'urgence, les Conseils de recours peuvent siéger à tout moment.</w:t>
                  </w:r>
                </w:p>
                <w:p w:rsidR="00F04EEF" w:rsidRDefault="0099351E">
                  <w:r>
                    <w:br w:type="page"/>
                  </w:r>
                </w:p>
                <w:p w:rsidR="00F04EEF" w:rsidRDefault="0099351E">
                  <w:r>
                    <w:t>3.2.3. Tableau de synthèse</w:t>
                  </w:r>
                </w:p>
                <w:p w:rsidR="00F04EEF" w:rsidRDefault="00F04EEF">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54"/>
                    <w:gridCol w:w="3543"/>
                    <w:gridCol w:w="2238"/>
                    <w:gridCol w:w="2209"/>
                  </w:tblGrid>
                  <w:tr w:rsidR="00F04EEF">
                    <w:tc>
                      <w:tcPr>
                        <w:tcW w:w="1384" w:type="dxa"/>
                        <w:vAlign w:val="center"/>
                      </w:tcPr>
                      <w:p w:rsidR="00F04EEF" w:rsidRDefault="0099351E">
                        <w:pPr>
                          <w:snapToGrid w:val="0"/>
                          <w:jc w:val="center"/>
                          <w:rPr>
                            <w:b/>
                          </w:rPr>
                        </w:pPr>
                        <w:r>
                          <w:rPr>
                            <w:b/>
                          </w:rPr>
                          <w:t>FORME</w:t>
                        </w:r>
                      </w:p>
                    </w:tc>
                    <w:tc>
                      <w:tcPr>
                        <w:tcW w:w="3686" w:type="dxa"/>
                        <w:vAlign w:val="center"/>
                      </w:tcPr>
                      <w:p w:rsidR="00F04EEF" w:rsidRDefault="0099351E">
                        <w:pPr>
                          <w:snapToGrid w:val="0"/>
                          <w:jc w:val="center"/>
                          <w:rPr>
                            <w:b/>
                          </w:rPr>
                        </w:pPr>
                        <w:r>
                          <w:rPr>
                            <w:b/>
                          </w:rPr>
                          <w:t>Objet de RECOURS</w:t>
                        </w:r>
                      </w:p>
                    </w:tc>
                    <w:tc>
                      <w:tcPr>
                        <w:tcW w:w="2303" w:type="dxa"/>
                        <w:vAlign w:val="center"/>
                      </w:tcPr>
                      <w:p w:rsidR="00F04EEF" w:rsidRDefault="0099351E">
                        <w:pPr>
                          <w:snapToGrid w:val="0"/>
                          <w:jc w:val="center"/>
                          <w:rPr>
                            <w:b/>
                          </w:rPr>
                        </w:pPr>
                        <w:r>
                          <w:rPr>
                            <w:b/>
                          </w:rPr>
                          <w:t>Possibilités de décision</w:t>
                        </w:r>
                      </w:p>
                    </w:tc>
                    <w:tc>
                      <w:tcPr>
                        <w:tcW w:w="2303" w:type="dxa"/>
                        <w:vAlign w:val="center"/>
                      </w:tcPr>
                      <w:p w:rsidR="00F04EEF" w:rsidRDefault="0099351E">
                        <w:pPr>
                          <w:snapToGrid w:val="0"/>
                          <w:jc w:val="center"/>
                          <w:rPr>
                            <w:b/>
                          </w:rPr>
                        </w:pPr>
                        <w:r>
                          <w:rPr>
                            <w:b/>
                          </w:rPr>
                          <w:t>Dates</w:t>
                        </w:r>
                      </w:p>
                      <w:p w:rsidR="00F04EEF" w:rsidRDefault="00F04EEF">
                        <w:pPr>
                          <w:snapToGrid w:val="0"/>
                          <w:jc w:val="center"/>
                          <w:rPr>
                            <w:b/>
                          </w:rPr>
                        </w:pPr>
                      </w:p>
                    </w:tc>
                  </w:tr>
                  <w:tr w:rsidR="00F04EEF">
                    <w:trPr>
                      <w:trHeight w:val="220"/>
                    </w:trPr>
                    <w:tc>
                      <w:tcPr>
                        <w:tcW w:w="1384" w:type="dxa"/>
                        <w:vMerge w:val="restart"/>
                      </w:tcPr>
                      <w:p w:rsidR="00F04EEF" w:rsidRDefault="0099351E">
                        <w:pPr>
                          <w:snapToGrid w:val="0"/>
                          <w:jc w:val="center"/>
                          <w:rPr>
                            <w:b/>
                          </w:rPr>
                        </w:pPr>
                        <w:r>
                          <w:rPr>
                            <w:b/>
                          </w:rPr>
                          <w:t>1</w:t>
                        </w:r>
                      </w:p>
                    </w:tc>
                    <w:tc>
                      <w:tcPr>
                        <w:tcW w:w="3686" w:type="dxa"/>
                      </w:tcPr>
                      <w:p w:rsidR="00F04EEF" w:rsidRDefault="0099351E">
                        <w:pPr>
                          <w:snapToGrid w:val="0"/>
                        </w:pPr>
                        <w:r>
                          <w:t>Décision d’inscription dans la forme</w:t>
                        </w:r>
                      </w:p>
                    </w:tc>
                    <w:tc>
                      <w:tcPr>
                        <w:tcW w:w="2303" w:type="dxa"/>
                        <w:vAlign w:val="center"/>
                      </w:tcPr>
                      <w:p w:rsidR="00F04EEF" w:rsidRDefault="0099351E">
                        <w:pPr>
                          <w:snapToGrid w:val="0"/>
                          <w:jc w:val="center"/>
                        </w:pPr>
                        <w:r>
                          <w:t>Nouvelle  décision</w:t>
                        </w:r>
                      </w:p>
                    </w:tc>
                    <w:tc>
                      <w:tcPr>
                        <w:tcW w:w="2303" w:type="dxa"/>
                        <w:vMerge w:val="restart"/>
                      </w:tcPr>
                      <w:p w:rsidR="00F04EEF" w:rsidRDefault="0099351E">
                        <w:pPr>
                          <w:snapToGrid w:val="0"/>
                          <w:jc w:val="center"/>
                        </w:pPr>
                        <w:r>
                          <w:t>8/01 au 15/01</w:t>
                        </w:r>
                      </w:p>
                      <w:p w:rsidR="00F04EEF" w:rsidRDefault="0099351E">
                        <w:pPr>
                          <w:jc w:val="center"/>
                        </w:pPr>
                        <w:r>
                          <w:t>21/05 au 31/05</w:t>
                        </w:r>
                      </w:p>
                      <w:p w:rsidR="00F04EEF" w:rsidRDefault="0099351E">
                        <w:pPr>
                          <w:jc w:val="center"/>
                        </w:pPr>
                        <w:r>
                          <w:t>16/08 au 31/08</w:t>
                        </w:r>
                      </w:p>
                    </w:tc>
                  </w:tr>
                  <w:tr w:rsidR="00F04EEF">
                    <w:trPr>
                      <w:trHeight w:val="220"/>
                    </w:trPr>
                    <w:tc>
                      <w:tcPr>
                        <w:tcW w:w="1384" w:type="dxa"/>
                        <w:vMerge/>
                      </w:tcPr>
                      <w:p w:rsidR="00F04EEF" w:rsidRDefault="00F04EEF">
                        <w:pPr>
                          <w:snapToGrid w:val="0"/>
                          <w:jc w:val="center"/>
                          <w:rPr>
                            <w:b/>
                          </w:rPr>
                        </w:pPr>
                      </w:p>
                    </w:tc>
                    <w:tc>
                      <w:tcPr>
                        <w:tcW w:w="3686" w:type="dxa"/>
                      </w:tcPr>
                      <w:p w:rsidR="00F04EEF" w:rsidRDefault="0099351E">
                        <w:pPr>
                          <w:snapToGrid w:val="0"/>
                        </w:pPr>
                        <w:r>
                          <w:t>Passage vers une autre forme</w:t>
                        </w:r>
                      </w:p>
                    </w:tc>
                    <w:tc>
                      <w:tcPr>
                        <w:tcW w:w="2303" w:type="dxa"/>
                        <w:vAlign w:val="center"/>
                      </w:tcPr>
                      <w:p w:rsidR="00F04EEF" w:rsidRDefault="0099351E">
                        <w:pPr>
                          <w:snapToGrid w:val="0"/>
                          <w:jc w:val="center"/>
                        </w:pPr>
                        <w:r>
                          <w:t>Nouvelle  décision</w:t>
                        </w:r>
                      </w:p>
                    </w:tc>
                    <w:tc>
                      <w:tcPr>
                        <w:tcW w:w="2303" w:type="dxa"/>
                        <w:vMerge/>
                      </w:tcPr>
                      <w:p w:rsidR="00F04EEF" w:rsidRDefault="00F04EEF">
                        <w:pPr>
                          <w:snapToGrid w:val="0"/>
                          <w:jc w:val="center"/>
                        </w:pPr>
                      </w:p>
                    </w:tc>
                  </w:tr>
                  <w:tr w:rsidR="00F04EEF">
                    <w:trPr>
                      <w:trHeight w:val="220"/>
                    </w:trPr>
                    <w:tc>
                      <w:tcPr>
                        <w:tcW w:w="1384" w:type="dxa"/>
                        <w:vMerge/>
                      </w:tcPr>
                      <w:p w:rsidR="00F04EEF" w:rsidRDefault="00F04EEF">
                        <w:pPr>
                          <w:snapToGrid w:val="0"/>
                          <w:jc w:val="center"/>
                          <w:rPr>
                            <w:b/>
                          </w:rPr>
                        </w:pPr>
                      </w:p>
                    </w:tc>
                    <w:tc>
                      <w:tcPr>
                        <w:tcW w:w="3686" w:type="dxa"/>
                      </w:tcPr>
                      <w:p w:rsidR="00F04EEF" w:rsidRDefault="0099351E">
                        <w:pPr>
                          <w:snapToGrid w:val="0"/>
                        </w:pPr>
                        <w:r>
                          <w:t>Attestation de réussite de la phase</w:t>
                        </w:r>
                      </w:p>
                    </w:tc>
                    <w:tc>
                      <w:tcPr>
                        <w:tcW w:w="2303" w:type="dxa"/>
                        <w:vAlign w:val="center"/>
                      </w:tcPr>
                      <w:p w:rsidR="00F04EEF" w:rsidRDefault="0099351E">
                        <w:pPr>
                          <w:snapToGrid w:val="0"/>
                          <w:jc w:val="center"/>
                        </w:pPr>
                        <w:r>
                          <w:t>Nouvelle décision</w:t>
                        </w:r>
                      </w:p>
                    </w:tc>
                    <w:tc>
                      <w:tcPr>
                        <w:tcW w:w="2303" w:type="dxa"/>
                        <w:vMerge/>
                      </w:tcPr>
                      <w:p w:rsidR="00F04EEF" w:rsidRDefault="00F04EEF">
                        <w:pPr>
                          <w:snapToGrid w:val="0"/>
                          <w:jc w:val="center"/>
                        </w:pPr>
                      </w:p>
                    </w:tc>
                  </w:tr>
                  <w:tr w:rsidR="00F04EEF">
                    <w:trPr>
                      <w:trHeight w:val="330"/>
                    </w:trPr>
                    <w:tc>
                      <w:tcPr>
                        <w:tcW w:w="1384" w:type="dxa"/>
                        <w:vMerge w:val="restart"/>
                      </w:tcPr>
                      <w:p w:rsidR="00F04EEF" w:rsidRDefault="0099351E">
                        <w:pPr>
                          <w:snapToGrid w:val="0"/>
                          <w:jc w:val="center"/>
                          <w:rPr>
                            <w:b/>
                          </w:rPr>
                        </w:pPr>
                        <w:r>
                          <w:rPr>
                            <w:b/>
                          </w:rPr>
                          <w:t>2</w:t>
                        </w:r>
                      </w:p>
                    </w:tc>
                    <w:tc>
                      <w:tcPr>
                        <w:tcW w:w="3686" w:type="dxa"/>
                      </w:tcPr>
                      <w:p w:rsidR="00F04EEF" w:rsidRDefault="0099351E">
                        <w:pPr>
                          <w:snapToGrid w:val="0"/>
                        </w:pPr>
                        <w:r>
                          <w:t>Décision d’inscription dans la forme</w:t>
                        </w:r>
                      </w:p>
                    </w:tc>
                    <w:tc>
                      <w:tcPr>
                        <w:tcW w:w="2303" w:type="dxa"/>
                        <w:vAlign w:val="center"/>
                      </w:tcPr>
                      <w:p w:rsidR="00F04EEF" w:rsidRDefault="0099351E">
                        <w:pPr>
                          <w:snapToGrid w:val="0"/>
                          <w:jc w:val="center"/>
                        </w:pPr>
                        <w:r>
                          <w:t>Nouvelle décision</w:t>
                        </w:r>
                      </w:p>
                    </w:tc>
                    <w:tc>
                      <w:tcPr>
                        <w:tcW w:w="2303" w:type="dxa"/>
                        <w:vMerge w:val="restart"/>
                      </w:tcPr>
                      <w:p w:rsidR="00F04EEF" w:rsidRDefault="0099351E">
                        <w:pPr>
                          <w:snapToGrid w:val="0"/>
                          <w:jc w:val="center"/>
                        </w:pPr>
                        <w:r>
                          <w:t>8/01 au 15/01</w:t>
                        </w:r>
                      </w:p>
                      <w:p w:rsidR="00F04EEF" w:rsidRDefault="0099351E">
                        <w:pPr>
                          <w:jc w:val="center"/>
                        </w:pPr>
                        <w:r>
                          <w:t>21/05 au 31/05</w:t>
                        </w:r>
                      </w:p>
                      <w:p w:rsidR="00F04EEF" w:rsidRDefault="0099351E">
                        <w:pPr>
                          <w:jc w:val="center"/>
                        </w:pPr>
                        <w:r>
                          <w:t>16/08 au 31/08</w:t>
                        </w:r>
                      </w:p>
                    </w:tc>
                  </w:tr>
                  <w:tr w:rsidR="00F04EEF">
                    <w:trPr>
                      <w:trHeight w:val="330"/>
                    </w:trPr>
                    <w:tc>
                      <w:tcPr>
                        <w:tcW w:w="1384" w:type="dxa"/>
                        <w:vMerge/>
                      </w:tcPr>
                      <w:p w:rsidR="00F04EEF" w:rsidRDefault="00F04EEF">
                        <w:pPr>
                          <w:snapToGrid w:val="0"/>
                          <w:jc w:val="center"/>
                          <w:rPr>
                            <w:b/>
                          </w:rPr>
                        </w:pPr>
                      </w:p>
                    </w:tc>
                    <w:tc>
                      <w:tcPr>
                        <w:tcW w:w="3686" w:type="dxa"/>
                      </w:tcPr>
                      <w:p w:rsidR="00F04EEF" w:rsidRDefault="0099351E">
                        <w:pPr>
                          <w:snapToGrid w:val="0"/>
                        </w:pPr>
                        <w:r>
                          <w:t>Passage vers une autre forme</w:t>
                        </w:r>
                      </w:p>
                    </w:tc>
                    <w:tc>
                      <w:tcPr>
                        <w:tcW w:w="2303" w:type="dxa"/>
                        <w:vAlign w:val="center"/>
                      </w:tcPr>
                      <w:p w:rsidR="00F04EEF" w:rsidRDefault="0099351E">
                        <w:pPr>
                          <w:snapToGrid w:val="0"/>
                          <w:jc w:val="center"/>
                        </w:pPr>
                        <w:r>
                          <w:t>Nouvelle décision</w:t>
                        </w:r>
                      </w:p>
                    </w:tc>
                    <w:tc>
                      <w:tcPr>
                        <w:tcW w:w="2303" w:type="dxa"/>
                        <w:vMerge/>
                      </w:tcPr>
                      <w:p w:rsidR="00F04EEF" w:rsidRDefault="00F04EEF">
                        <w:pPr>
                          <w:snapToGrid w:val="0"/>
                          <w:jc w:val="center"/>
                        </w:pPr>
                      </w:p>
                    </w:tc>
                  </w:tr>
                  <w:tr w:rsidR="00F04EEF">
                    <w:trPr>
                      <w:trHeight w:val="304"/>
                    </w:trPr>
                    <w:tc>
                      <w:tcPr>
                        <w:tcW w:w="1384" w:type="dxa"/>
                        <w:vMerge/>
                      </w:tcPr>
                      <w:p w:rsidR="00F04EEF" w:rsidRDefault="00F04EEF">
                        <w:pPr>
                          <w:snapToGrid w:val="0"/>
                          <w:jc w:val="center"/>
                          <w:rPr>
                            <w:b/>
                          </w:rPr>
                        </w:pPr>
                      </w:p>
                    </w:tc>
                    <w:tc>
                      <w:tcPr>
                        <w:tcW w:w="3686" w:type="dxa"/>
                      </w:tcPr>
                      <w:p w:rsidR="00F04EEF" w:rsidRDefault="0099351E">
                        <w:pPr>
                          <w:snapToGrid w:val="0"/>
                        </w:pPr>
                        <w:r>
                          <w:t>Attestation de réussite de la phase</w:t>
                        </w:r>
                      </w:p>
                    </w:tc>
                    <w:tc>
                      <w:tcPr>
                        <w:tcW w:w="2303" w:type="dxa"/>
                        <w:vAlign w:val="center"/>
                      </w:tcPr>
                      <w:p w:rsidR="00F04EEF" w:rsidRDefault="0099351E">
                        <w:pPr>
                          <w:snapToGrid w:val="0"/>
                          <w:jc w:val="center"/>
                        </w:pPr>
                        <w:r>
                          <w:t>Nouvelle décision</w:t>
                        </w:r>
                      </w:p>
                    </w:tc>
                    <w:tc>
                      <w:tcPr>
                        <w:tcW w:w="2303" w:type="dxa"/>
                        <w:vMerge/>
                      </w:tcPr>
                      <w:p w:rsidR="00F04EEF" w:rsidRDefault="00F04EEF">
                        <w:pPr>
                          <w:snapToGrid w:val="0"/>
                          <w:jc w:val="center"/>
                        </w:pPr>
                      </w:p>
                    </w:tc>
                  </w:tr>
                  <w:tr w:rsidR="00F04EEF">
                    <w:trPr>
                      <w:trHeight w:val="70"/>
                    </w:trPr>
                    <w:tc>
                      <w:tcPr>
                        <w:tcW w:w="1384" w:type="dxa"/>
                        <w:vMerge w:val="restart"/>
                      </w:tcPr>
                      <w:p w:rsidR="00F04EEF" w:rsidRDefault="0099351E">
                        <w:pPr>
                          <w:snapToGrid w:val="0"/>
                          <w:jc w:val="center"/>
                          <w:rPr>
                            <w:b/>
                          </w:rPr>
                        </w:pPr>
                        <w:r>
                          <w:rPr>
                            <w:b/>
                          </w:rPr>
                          <w:t>3</w:t>
                        </w:r>
                      </w:p>
                    </w:tc>
                    <w:tc>
                      <w:tcPr>
                        <w:tcW w:w="3686" w:type="dxa"/>
                      </w:tcPr>
                      <w:p w:rsidR="00F04EEF" w:rsidRDefault="0099351E">
                        <w:pPr>
                          <w:snapToGrid w:val="0"/>
                        </w:pPr>
                        <w:r>
                          <w:t>Décision d’inscription dans la forme</w:t>
                        </w:r>
                      </w:p>
                    </w:tc>
                    <w:tc>
                      <w:tcPr>
                        <w:tcW w:w="2303" w:type="dxa"/>
                      </w:tcPr>
                      <w:p w:rsidR="00F04EEF" w:rsidRDefault="0099351E">
                        <w:pPr>
                          <w:snapToGrid w:val="0"/>
                          <w:jc w:val="center"/>
                        </w:pPr>
                        <w:r>
                          <w:t>Nouvelle décision</w:t>
                        </w:r>
                      </w:p>
                    </w:tc>
                    <w:tc>
                      <w:tcPr>
                        <w:tcW w:w="2303" w:type="dxa"/>
                      </w:tcPr>
                      <w:p w:rsidR="00F04EEF" w:rsidRDefault="0099351E">
                        <w:pPr>
                          <w:snapToGrid w:val="0"/>
                          <w:jc w:val="center"/>
                        </w:pPr>
                        <w:r>
                          <w:t>5/01 au 15/01</w:t>
                        </w:r>
                      </w:p>
                      <w:p w:rsidR="00F04EEF" w:rsidRDefault="0099351E">
                        <w:pPr>
                          <w:jc w:val="center"/>
                        </w:pPr>
                        <w:r>
                          <w:t xml:space="preserve">21/05 au 31/05 </w:t>
                        </w:r>
                      </w:p>
                      <w:p w:rsidR="00F04EEF" w:rsidRDefault="0099351E">
                        <w:pPr>
                          <w:jc w:val="center"/>
                        </w:pPr>
                        <w:r>
                          <w:t xml:space="preserve">16/08 au 31/08 </w:t>
                        </w:r>
                      </w:p>
                    </w:tc>
                  </w:tr>
                  <w:tr w:rsidR="00F04EEF">
                    <w:trPr>
                      <w:trHeight w:val="70"/>
                    </w:trPr>
                    <w:tc>
                      <w:tcPr>
                        <w:tcW w:w="1384" w:type="dxa"/>
                        <w:vMerge/>
                      </w:tcPr>
                      <w:p w:rsidR="00F04EEF" w:rsidRDefault="00F04EEF">
                        <w:pPr>
                          <w:snapToGrid w:val="0"/>
                          <w:jc w:val="center"/>
                          <w:rPr>
                            <w:b/>
                          </w:rPr>
                        </w:pPr>
                      </w:p>
                    </w:tc>
                    <w:tc>
                      <w:tcPr>
                        <w:tcW w:w="3686" w:type="dxa"/>
                      </w:tcPr>
                      <w:p w:rsidR="00F04EEF" w:rsidRDefault="0099351E">
                        <w:pPr>
                          <w:snapToGrid w:val="0"/>
                        </w:pPr>
                        <w:r>
                          <w:t>Passage vers une autre forme</w:t>
                        </w:r>
                      </w:p>
                    </w:tc>
                    <w:tc>
                      <w:tcPr>
                        <w:tcW w:w="2303" w:type="dxa"/>
                      </w:tcPr>
                      <w:p w:rsidR="00F04EEF" w:rsidRDefault="0099351E">
                        <w:pPr>
                          <w:snapToGrid w:val="0"/>
                          <w:jc w:val="center"/>
                        </w:pPr>
                        <w:r>
                          <w:t>Nouvelle décision</w:t>
                        </w:r>
                      </w:p>
                    </w:tc>
                    <w:tc>
                      <w:tcPr>
                        <w:tcW w:w="2303" w:type="dxa"/>
                      </w:tcPr>
                      <w:p w:rsidR="00F04EEF" w:rsidRDefault="0099351E">
                        <w:pPr>
                          <w:snapToGrid w:val="0"/>
                          <w:jc w:val="center"/>
                        </w:pPr>
                        <w:r>
                          <w:t>5/01 au 15/01</w:t>
                        </w:r>
                      </w:p>
                      <w:p w:rsidR="00F04EEF" w:rsidRDefault="0099351E">
                        <w:pPr>
                          <w:jc w:val="center"/>
                        </w:pPr>
                        <w:r>
                          <w:t xml:space="preserve">21/05 au 31/05 </w:t>
                        </w:r>
                      </w:p>
                      <w:p w:rsidR="00F04EEF" w:rsidRDefault="0099351E">
                        <w:pPr>
                          <w:jc w:val="center"/>
                        </w:pPr>
                        <w:r>
                          <w:t>16/08 au 31/08</w:t>
                        </w:r>
                      </w:p>
                    </w:tc>
                  </w:tr>
                  <w:tr w:rsidR="00F04EEF">
                    <w:trPr>
                      <w:trHeight w:val="70"/>
                    </w:trPr>
                    <w:tc>
                      <w:tcPr>
                        <w:tcW w:w="1384" w:type="dxa"/>
                        <w:vMerge/>
                      </w:tcPr>
                      <w:p w:rsidR="00F04EEF" w:rsidRDefault="00F04EEF">
                        <w:pPr>
                          <w:snapToGrid w:val="0"/>
                          <w:jc w:val="center"/>
                          <w:rPr>
                            <w:b/>
                          </w:rPr>
                        </w:pPr>
                      </w:p>
                    </w:tc>
                    <w:tc>
                      <w:tcPr>
                        <w:tcW w:w="3686" w:type="dxa"/>
                      </w:tcPr>
                      <w:p w:rsidR="00F04EEF" w:rsidRDefault="0099351E">
                        <w:pPr>
                          <w:snapToGrid w:val="0"/>
                        </w:pPr>
                        <w:r>
                          <w:t>Passage de phase</w:t>
                        </w:r>
                      </w:p>
                    </w:tc>
                    <w:tc>
                      <w:tcPr>
                        <w:tcW w:w="2303" w:type="dxa"/>
                      </w:tcPr>
                      <w:p w:rsidR="00F04EEF" w:rsidRDefault="0099351E">
                        <w:pPr>
                          <w:snapToGrid w:val="0"/>
                          <w:jc w:val="center"/>
                        </w:pPr>
                        <w:r>
                          <w:t>Nouvelle décision</w:t>
                        </w:r>
                      </w:p>
                    </w:tc>
                    <w:tc>
                      <w:tcPr>
                        <w:tcW w:w="2303" w:type="dxa"/>
                      </w:tcPr>
                      <w:p w:rsidR="00F04EEF" w:rsidRDefault="0099351E">
                        <w:pPr>
                          <w:snapToGrid w:val="0"/>
                          <w:jc w:val="center"/>
                        </w:pPr>
                        <w:r>
                          <w:t>16/08 au 31/08</w:t>
                        </w:r>
                      </w:p>
                      <w:p w:rsidR="00F04EEF" w:rsidRDefault="0099351E">
                        <w:pPr>
                          <w:jc w:val="center"/>
                        </w:pPr>
                        <w:r>
                          <w:t xml:space="preserve">21/05 au 31/05 </w:t>
                        </w:r>
                      </w:p>
                      <w:p w:rsidR="00F04EEF" w:rsidRDefault="0099351E">
                        <w:pPr>
                          <w:jc w:val="center"/>
                        </w:pPr>
                        <w:r>
                          <w:t>16/08 au 31/08</w:t>
                        </w:r>
                      </w:p>
                    </w:tc>
                  </w:tr>
                  <w:tr w:rsidR="00F04EEF">
                    <w:trPr>
                      <w:trHeight w:val="70"/>
                    </w:trPr>
                    <w:tc>
                      <w:tcPr>
                        <w:tcW w:w="1384" w:type="dxa"/>
                        <w:vMerge/>
                      </w:tcPr>
                      <w:p w:rsidR="00F04EEF" w:rsidRDefault="00F04EEF">
                        <w:pPr>
                          <w:snapToGrid w:val="0"/>
                          <w:jc w:val="center"/>
                          <w:rPr>
                            <w:b/>
                          </w:rPr>
                        </w:pPr>
                      </w:p>
                    </w:tc>
                    <w:tc>
                      <w:tcPr>
                        <w:tcW w:w="3686" w:type="dxa"/>
                      </w:tcPr>
                      <w:p w:rsidR="00F04EEF" w:rsidRDefault="0099351E">
                        <w:pPr>
                          <w:snapToGrid w:val="0"/>
                        </w:pPr>
                        <w:r>
                          <w:t>Délivrance du CEB, du CE2D</w:t>
                        </w:r>
                      </w:p>
                    </w:tc>
                    <w:tc>
                      <w:tcPr>
                        <w:tcW w:w="2303" w:type="dxa"/>
                      </w:tcPr>
                      <w:p w:rsidR="00F04EEF" w:rsidRDefault="0099351E">
                        <w:pPr>
                          <w:snapToGrid w:val="0"/>
                          <w:jc w:val="center"/>
                        </w:pPr>
                        <w:r>
                          <w:t>Nouvelle décision</w:t>
                        </w:r>
                      </w:p>
                    </w:tc>
                    <w:tc>
                      <w:tcPr>
                        <w:tcW w:w="2303" w:type="dxa"/>
                      </w:tcPr>
                      <w:p w:rsidR="00F04EEF" w:rsidRDefault="0099351E">
                        <w:pPr>
                          <w:snapToGrid w:val="0"/>
                          <w:jc w:val="center"/>
                        </w:pPr>
                        <w:r>
                          <w:t>16/08 au 31/08</w:t>
                        </w:r>
                      </w:p>
                    </w:tc>
                  </w:tr>
                  <w:tr w:rsidR="00F04EEF">
                    <w:trPr>
                      <w:trHeight w:val="105"/>
                    </w:trPr>
                    <w:tc>
                      <w:tcPr>
                        <w:tcW w:w="1384" w:type="dxa"/>
                        <w:vMerge w:val="restart"/>
                      </w:tcPr>
                      <w:p w:rsidR="00F04EEF" w:rsidRDefault="0099351E">
                        <w:pPr>
                          <w:snapToGrid w:val="0"/>
                          <w:jc w:val="center"/>
                          <w:rPr>
                            <w:b/>
                          </w:rPr>
                        </w:pPr>
                        <w:r>
                          <w:rPr>
                            <w:b/>
                          </w:rPr>
                          <w:t>4</w:t>
                        </w:r>
                      </w:p>
                    </w:tc>
                    <w:tc>
                      <w:tcPr>
                        <w:tcW w:w="3686" w:type="dxa"/>
                      </w:tcPr>
                      <w:p w:rsidR="00F04EEF" w:rsidRDefault="0099351E">
                        <w:pPr>
                          <w:snapToGrid w:val="0"/>
                        </w:pPr>
                        <w:r>
                          <w:t>Décision d’échec en juin</w:t>
                        </w:r>
                      </w:p>
                      <w:p w:rsidR="00F04EEF" w:rsidRDefault="0099351E">
                        <w:r>
                          <w:t>en septembre</w:t>
                        </w:r>
                      </w:p>
                    </w:tc>
                    <w:tc>
                      <w:tcPr>
                        <w:tcW w:w="2303" w:type="dxa"/>
                      </w:tcPr>
                      <w:p w:rsidR="00F04EEF" w:rsidRDefault="0099351E">
                        <w:pPr>
                          <w:snapToGrid w:val="0"/>
                          <w:jc w:val="center"/>
                        </w:pPr>
                        <w:r>
                          <w:t>Décision de réussite avec ou sans restriction</w:t>
                        </w:r>
                      </w:p>
                    </w:tc>
                    <w:tc>
                      <w:tcPr>
                        <w:tcW w:w="2303" w:type="dxa"/>
                      </w:tcPr>
                      <w:p w:rsidR="00F04EEF" w:rsidRDefault="0099351E">
                        <w:pPr>
                          <w:snapToGrid w:val="0"/>
                          <w:jc w:val="center"/>
                        </w:pPr>
                        <w:r>
                          <w:t xml:space="preserve">16/08 au 31/08 </w:t>
                        </w:r>
                      </w:p>
                      <w:p w:rsidR="00F04EEF" w:rsidRDefault="0099351E">
                        <w:pPr>
                          <w:jc w:val="center"/>
                        </w:pPr>
                        <w:r>
                          <w:t xml:space="preserve">15/09 au 10/10  </w:t>
                        </w:r>
                      </w:p>
                    </w:tc>
                  </w:tr>
                  <w:tr w:rsidR="00F04EEF">
                    <w:trPr>
                      <w:trHeight w:val="105"/>
                    </w:trPr>
                    <w:tc>
                      <w:tcPr>
                        <w:tcW w:w="1384" w:type="dxa"/>
                        <w:vMerge/>
                      </w:tcPr>
                      <w:p w:rsidR="00F04EEF" w:rsidRDefault="00F04EEF">
                        <w:pPr>
                          <w:snapToGrid w:val="0"/>
                          <w:jc w:val="center"/>
                          <w:rPr>
                            <w:b/>
                          </w:rPr>
                        </w:pPr>
                      </w:p>
                    </w:tc>
                    <w:tc>
                      <w:tcPr>
                        <w:tcW w:w="3686" w:type="dxa"/>
                      </w:tcPr>
                      <w:p w:rsidR="00F04EEF" w:rsidRDefault="0099351E">
                        <w:pPr>
                          <w:snapToGrid w:val="0"/>
                        </w:pPr>
                        <w:r>
                          <w:t>Décision de réussite avec restriction</w:t>
                        </w:r>
                      </w:p>
                    </w:tc>
                    <w:tc>
                      <w:tcPr>
                        <w:tcW w:w="2303" w:type="dxa"/>
                      </w:tcPr>
                      <w:p w:rsidR="00F04EEF" w:rsidRDefault="0099351E">
                        <w:pPr>
                          <w:snapToGrid w:val="0"/>
                          <w:jc w:val="center"/>
                        </w:pPr>
                        <w:r>
                          <w:t>Décision de réussite avec ou sans restriction</w:t>
                        </w:r>
                      </w:p>
                    </w:tc>
                    <w:tc>
                      <w:tcPr>
                        <w:tcW w:w="2303" w:type="dxa"/>
                      </w:tcPr>
                      <w:p w:rsidR="00F04EEF" w:rsidRDefault="0099351E">
                        <w:pPr>
                          <w:snapToGrid w:val="0"/>
                          <w:jc w:val="center"/>
                        </w:pPr>
                        <w:r>
                          <w:t xml:space="preserve">16/08 au 31/08 </w:t>
                        </w:r>
                      </w:p>
                      <w:p w:rsidR="00F04EEF" w:rsidRDefault="0099351E">
                        <w:pPr>
                          <w:jc w:val="center"/>
                        </w:pPr>
                        <w:r>
                          <w:t xml:space="preserve">15/09 au 10/10 </w:t>
                        </w:r>
                      </w:p>
                    </w:tc>
                  </w:tr>
                  <w:tr w:rsidR="00F04EEF">
                    <w:trPr>
                      <w:trHeight w:val="105"/>
                    </w:trPr>
                    <w:tc>
                      <w:tcPr>
                        <w:tcW w:w="1384" w:type="dxa"/>
                        <w:vMerge/>
                      </w:tcPr>
                      <w:p w:rsidR="00F04EEF" w:rsidRDefault="00F04EEF">
                        <w:pPr>
                          <w:snapToGrid w:val="0"/>
                          <w:jc w:val="center"/>
                          <w:rPr>
                            <w:b/>
                          </w:rPr>
                        </w:pPr>
                      </w:p>
                    </w:tc>
                    <w:tc>
                      <w:tcPr>
                        <w:tcW w:w="3686" w:type="dxa"/>
                      </w:tcPr>
                      <w:p w:rsidR="00F04EEF" w:rsidRDefault="0099351E">
                        <w:pPr>
                          <w:snapToGrid w:val="0"/>
                        </w:pPr>
                        <w:r>
                          <w:t>Décision d’inscription dans la forme</w:t>
                        </w:r>
                      </w:p>
                    </w:tc>
                    <w:tc>
                      <w:tcPr>
                        <w:tcW w:w="2303" w:type="dxa"/>
                      </w:tcPr>
                      <w:p w:rsidR="00F04EEF" w:rsidRDefault="0099351E">
                        <w:pPr>
                          <w:snapToGrid w:val="0"/>
                          <w:jc w:val="center"/>
                        </w:pPr>
                        <w:r>
                          <w:t>Nouvelle décision</w:t>
                        </w:r>
                      </w:p>
                    </w:tc>
                    <w:tc>
                      <w:tcPr>
                        <w:tcW w:w="2303" w:type="dxa"/>
                      </w:tcPr>
                      <w:p w:rsidR="00F04EEF" w:rsidRDefault="0099351E">
                        <w:pPr>
                          <w:snapToGrid w:val="0"/>
                          <w:jc w:val="center"/>
                        </w:pPr>
                        <w:r>
                          <w:t xml:space="preserve">16/08 au 31/08 </w:t>
                        </w:r>
                      </w:p>
                      <w:p w:rsidR="00F04EEF" w:rsidRDefault="0099351E">
                        <w:pPr>
                          <w:jc w:val="center"/>
                        </w:pPr>
                        <w:r>
                          <w:t xml:space="preserve">15/09 au 10/10 </w:t>
                        </w:r>
                      </w:p>
                      <w:p w:rsidR="00F04EEF" w:rsidRDefault="0099351E">
                        <w:pPr>
                          <w:jc w:val="center"/>
                        </w:pPr>
                        <w:r>
                          <w:t xml:space="preserve"> 5/01 au 15/01</w:t>
                        </w:r>
                      </w:p>
                    </w:tc>
                  </w:tr>
                  <w:tr w:rsidR="00F04EEF">
                    <w:trPr>
                      <w:trHeight w:val="105"/>
                    </w:trPr>
                    <w:tc>
                      <w:tcPr>
                        <w:tcW w:w="1384" w:type="dxa"/>
                        <w:vMerge/>
                      </w:tcPr>
                      <w:p w:rsidR="00F04EEF" w:rsidRDefault="00F04EEF">
                        <w:pPr>
                          <w:snapToGrid w:val="0"/>
                          <w:jc w:val="center"/>
                          <w:rPr>
                            <w:b/>
                          </w:rPr>
                        </w:pPr>
                      </w:p>
                    </w:tc>
                    <w:tc>
                      <w:tcPr>
                        <w:tcW w:w="3686" w:type="dxa"/>
                      </w:tcPr>
                      <w:p w:rsidR="00F04EEF" w:rsidRDefault="0099351E">
                        <w:pPr>
                          <w:snapToGrid w:val="0"/>
                        </w:pPr>
                        <w:r>
                          <w:t>Passage vers une autre forme</w:t>
                        </w:r>
                      </w:p>
                    </w:tc>
                    <w:tc>
                      <w:tcPr>
                        <w:tcW w:w="2303" w:type="dxa"/>
                      </w:tcPr>
                      <w:p w:rsidR="00F04EEF" w:rsidRDefault="0099351E">
                        <w:pPr>
                          <w:snapToGrid w:val="0"/>
                          <w:jc w:val="center"/>
                        </w:pPr>
                        <w:r>
                          <w:t>Nouvelle décision</w:t>
                        </w:r>
                      </w:p>
                    </w:tc>
                    <w:tc>
                      <w:tcPr>
                        <w:tcW w:w="2303" w:type="dxa"/>
                      </w:tcPr>
                      <w:p w:rsidR="00F04EEF" w:rsidRDefault="0099351E">
                        <w:pPr>
                          <w:snapToGrid w:val="0"/>
                          <w:jc w:val="center"/>
                        </w:pPr>
                        <w:r>
                          <w:t xml:space="preserve">16/08 au 31/08 </w:t>
                        </w:r>
                      </w:p>
                      <w:p w:rsidR="00F04EEF" w:rsidRDefault="0099351E">
                        <w:pPr>
                          <w:jc w:val="center"/>
                        </w:pPr>
                        <w:r>
                          <w:t xml:space="preserve">15/09 au 10/10 </w:t>
                        </w:r>
                      </w:p>
                      <w:p w:rsidR="00F04EEF" w:rsidRDefault="0099351E">
                        <w:pPr>
                          <w:jc w:val="center"/>
                        </w:pPr>
                        <w:r>
                          <w:t xml:space="preserve">  5/01 au 15/01</w:t>
                        </w:r>
                      </w:p>
                    </w:tc>
                  </w:tr>
                </w:tbl>
                <w:p w:rsidR="00F04EEF" w:rsidRDefault="00F04EEF">
                  <w:pPr>
                    <w:rPr>
                      <w:b/>
                    </w:rPr>
                  </w:pPr>
                </w:p>
                <w:p w:rsidR="00F04EEF" w:rsidRDefault="0099351E">
                  <w:r>
                    <w:rPr>
                      <w:b/>
                    </w:rPr>
                    <w:t xml:space="preserve">N.B. : </w:t>
                  </w:r>
                  <w:r>
                    <w:t>En cas d’urgence, les conseils de recours peuvent siéger à tout moment.</w:t>
                  </w:r>
                </w:p>
                <w:p w:rsidR="00F04EEF" w:rsidRDefault="00F04EEF">
                  <w:pPr>
                    <w:jc w:val="both"/>
                  </w:pPr>
                </w:p>
                <w:p w:rsidR="00F04EEF" w:rsidRDefault="0099351E">
                  <w:pPr>
                    <w:pStyle w:val="Titre4"/>
                  </w:pPr>
                  <w:bookmarkStart w:id="2616" w:name="_3.3_Certificat_d’études"/>
                  <w:bookmarkStart w:id="2617" w:name="_2.3._Certificat_d’études"/>
                  <w:bookmarkStart w:id="2618" w:name="_Toc453314394"/>
                  <w:bookmarkStart w:id="2619" w:name="_Toc454980429"/>
                  <w:bookmarkEnd w:id="2616"/>
                  <w:bookmarkEnd w:id="2617"/>
                  <w:r>
                    <w:t>2.3. Certificat d’études de base (CEB) – Recours contre le refus d’octroi du CEB à l’issue de la première phase de la forme 3.</w:t>
                  </w:r>
                  <w:bookmarkEnd w:id="2618"/>
                  <w:bookmarkEnd w:id="2619"/>
                </w:p>
                <w:p w:rsidR="00F04EEF" w:rsidRDefault="00F04EEF">
                  <w:pPr>
                    <w:jc w:val="both"/>
                    <w:rPr>
                      <w:color w:val="000000"/>
                      <w:spacing w:val="2"/>
                      <w:lang w:eastAsia="fr-FR"/>
                    </w:rPr>
                  </w:pPr>
                </w:p>
                <w:p w:rsidR="00F04EEF" w:rsidRDefault="0099351E">
                  <w:pPr>
                    <w:jc w:val="both"/>
                    <w:rPr>
                      <w:color w:val="000000"/>
                      <w:spacing w:val="2"/>
                      <w:lang w:eastAsia="fr-FR"/>
                    </w:rPr>
                  </w:pPr>
                  <w:r>
                    <w:rPr>
                      <w:color w:val="000000"/>
                      <w:spacing w:val="2"/>
                      <w:lang w:eastAsia="fr-FR"/>
                    </w:rPr>
                    <w:t>Quand un élève n’obtient pas le certificat d’études de base, le chef d’établissement invite les parents à un entretien au cours duquel :</w:t>
                  </w:r>
                </w:p>
                <w:p w:rsidR="00F04EEF" w:rsidRDefault="00F04EEF">
                  <w:pPr>
                    <w:jc w:val="both"/>
                    <w:rPr>
                      <w:color w:val="000000"/>
                      <w:spacing w:val="2"/>
                      <w:lang w:eastAsia="fr-FR"/>
                    </w:rPr>
                  </w:pPr>
                </w:p>
                <w:p w:rsidR="00F04EEF" w:rsidRDefault="0099351E">
                  <w:pPr>
                    <w:pStyle w:val="Paragraphedeliste"/>
                    <w:numPr>
                      <w:ilvl w:val="0"/>
                      <w:numId w:val="236"/>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leur explique la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du refus d’octroi du CEB ;</w:t>
                  </w:r>
                </w:p>
                <w:p w:rsidR="00F04EEF" w:rsidRDefault="0099351E">
                  <w:pPr>
                    <w:pStyle w:val="Paragraphedeliste"/>
                    <w:numPr>
                      <w:ilvl w:val="0"/>
                      <w:numId w:val="236"/>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envisage avec eux les possibilités de </w:t>
                  </w:r>
                  <w:r>
                    <w:rPr>
                      <w:rFonts w:asciiTheme="majorHAnsi" w:hAnsiTheme="majorHAnsi"/>
                      <w:b/>
                      <w:bCs/>
                      <w:color w:val="000000"/>
                      <w:spacing w:val="2"/>
                      <w:sz w:val="22"/>
                      <w:szCs w:val="22"/>
                      <w:lang w:eastAsia="fr-FR"/>
                    </w:rPr>
                    <w:t>poursuite de la scolarité</w:t>
                  </w:r>
                  <w:r>
                    <w:rPr>
                      <w:rFonts w:asciiTheme="majorHAnsi" w:hAnsiTheme="majorHAnsi"/>
                      <w:color w:val="000000"/>
                      <w:spacing w:val="2"/>
                      <w:sz w:val="22"/>
                      <w:szCs w:val="22"/>
                      <w:lang w:eastAsia="fr-FR"/>
                    </w:rPr>
                    <w:t xml:space="preserve"> de leur enfant ;</w:t>
                  </w:r>
                </w:p>
                <w:p w:rsidR="00F04EEF" w:rsidRDefault="0099351E">
                  <w:pPr>
                    <w:pStyle w:val="Paragraphedeliste"/>
                    <w:numPr>
                      <w:ilvl w:val="0"/>
                      <w:numId w:val="236"/>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les informe des modalités d’introduction d’un </w:t>
                  </w:r>
                  <w:r>
                    <w:rPr>
                      <w:rFonts w:asciiTheme="majorHAnsi" w:hAnsiTheme="majorHAnsi"/>
                      <w:b/>
                      <w:bCs/>
                      <w:color w:val="000000"/>
                      <w:spacing w:val="2"/>
                      <w:sz w:val="22"/>
                      <w:szCs w:val="22"/>
                      <w:lang w:eastAsia="fr-FR"/>
                    </w:rPr>
                    <w:t>recours</w:t>
                  </w:r>
                  <w:r>
                    <w:rPr>
                      <w:rFonts w:asciiTheme="majorHAnsi" w:hAnsiTheme="majorHAnsi"/>
                      <w:color w:val="000000"/>
                      <w:spacing w:val="2"/>
                      <w:sz w:val="22"/>
                      <w:szCs w:val="22"/>
                      <w:lang w:eastAsia="fr-FR"/>
                    </w:rPr>
                    <w:t>.</w:t>
                  </w:r>
                </w:p>
                <w:p w:rsidR="00F04EEF" w:rsidRDefault="00F04EEF">
                  <w:pPr>
                    <w:pStyle w:val="Paragraphedeliste"/>
                    <w:ind w:left="567"/>
                    <w:jc w:val="both"/>
                    <w:rPr>
                      <w:rFonts w:asciiTheme="majorHAnsi" w:hAnsiTheme="majorHAnsi"/>
                      <w:color w:val="000000"/>
                      <w:spacing w:val="2"/>
                      <w:sz w:val="22"/>
                      <w:szCs w:val="22"/>
                      <w:lang w:eastAsia="fr-FR"/>
                    </w:rPr>
                  </w:pPr>
                </w:p>
                <w:p w:rsidR="00F04EEF" w:rsidRDefault="0099351E">
                  <w:pPr>
                    <w:jc w:val="both"/>
                    <w:rPr>
                      <w:color w:val="000000"/>
                      <w:spacing w:val="2"/>
                      <w:lang w:eastAsia="fr-FR"/>
                    </w:rPr>
                  </w:pPr>
                  <w:r>
                    <w:rPr>
                      <w:color w:val="000000"/>
                      <w:spacing w:val="2"/>
                      <w:lang w:eastAsia="fr-FR"/>
                    </w:rPr>
                    <w:t xml:space="preserve">Le recours est demandé par les </w:t>
                  </w:r>
                  <w:r>
                    <w:rPr>
                      <w:b/>
                      <w:bCs/>
                      <w:color w:val="000000"/>
                      <w:spacing w:val="2"/>
                      <w:lang w:eastAsia="fr-FR"/>
                    </w:rPr>
                    <w:t>parents de l’élève</w:t>
                  </w:r>
                  <w:r>
                    <w:rPr>
                      <w:color w:val="000000"/>
                      <w:spacing w:val="2"/>
                      <w:lang w:eastAsia="fr-FR"/>
                    </w:rPr>
                    <w:t>. Il doit inclure :</w:t>
                  </w:r>
                </w:p>
                <w:p w:rsidR="00F04EEF" w:rsidRDefault="00F04EEF">
                  <w:pPr>
                    <w:jc w:val="both"/>
                    <w:rPr>
                      <w:color w:val="000000"/>
                      <w:spacing w:val="2"/>
                      <w:lang w:eastAsia="fr-FR"/>
                    </w:rPr>
                  </w:pPr>
                </w:p>
                <w:p w:rsidR="00F04EEF" w:rsidRDefault="0099351E">
                  <w:pPr>
                    <w:pStyle w:val="Paragraphedeliste"/>
                    <w:numPr>
                      <w:ilvl w:val="0"/>
                      <w:numId w:val="237"/>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les </w:t>
                  </w:r>
                  <w:r>
                    <w:rPr>
                      <w:rFonts w:asciiTheme="majorHAnsi" w:hAnsiTheme="majorHAnsi"/>
                      <w:b/>
                      <w:bCs/>
                      <w:color w:val="000000"/>
                      <w:spacing w:val="2"/>
                      <w:sz w:val="22"/>
                      <w:szCs w:val="22"/>
                      <w:lang w:eastAsia="fr-FR"/>
                    </w:rPr>
                    <w:t>raisons précises</w:t>
                  </w:r>
                  <w:r>
                    <w:rPr>
                      <w:rFonts w:asciiTheme="majorHAnsi" w:hAnsiTheme="majorHAnsi"/>
                      <w:color w:val="000000"/>
                      <w:spacing w:val="2"/>
                      <w:sz w:val="22"/>
                      <w:szCs w:val="22"/>
                      <w:lang w:eastAsia="fr-FR"/>
                    </w:rPr>
                    <w:t xml:space="preserve"> pour lesquelles ils contestent la décision de l’école ;</w:t>
                  </w:r>
                </w:p>
                <w:p w:rsidR="00F04EEF" w:rsidRDefault="0099351E">
                  <w:pPr>
                    <w:pStyle w:val="Paragraphedeliste"/>
                    <w:numPr>
                      <w:ilvl w:val="0"/>
                      <w:numId w:val="237"/>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une copie de cette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w:t>
                  </w:r>
                </w:p>
                <w:p w:rsidR="00F04EEF" w:rsidRDefault="0099351E">
                  <w:pPr>
                    <w:pStyle w:val="Paragraphedeliste"/>
                    <w:numPr>
                      <w:ilvl w:val="0"/>
                      <w:numId w:val="237"/>
                    </w:numPr>
                    <w:jc w:val="both"/>
                    <w:rPr>
                      <w:rFonts w:asciiTheme="majorHAnsi" w:hAnsiTheme="majorHAnsi"/>
                      <w:color w:val="000000"/>
                      <w:spacing w:val="2"/>
                      <w:sz w:val="22"/>
                      <w:szCs w:val="22"/>
                      <w:lang w:eastAsia="fr-FR"/>
                    </w:rPr>
                  </w:pPr>
                  <w:r>
                    <w:rPr>
                      <w:rFonts w:asciiTheme="majorHAnsi" w:hAnsiTheme="majorHAnsi"/>
                      <w:b/>
                      <w:bCs/>
                      <w:color w:val="000000"/>
                      <w:spacing w:val="2"/>
                      <w:sz w:val="22"/>
                      <w:szCs w:val="22"/>
                      <w:lang w:eastAsia="fr-FR"/>
                    </w:rPr>
                    <w:t>une copie des bulletins</w:t>
                  </w:r>
                  <w:r>
                    <w:rPr>
                      <w:rFonts w:asciiTheme="majorHAnsi" w:hAnsiTheme="majorHAnsi"/>
                      <w:color w:val="000000"/>
                      <w:spacing w:val="2"/>
                      <w:sz w:val="22"/>
                      <w:szCs w:val="22"/>
                      <w:lang w:eastAsia="fr-FR"/>
                    </w:rPr>
                    <w:t xml:space="preserve"> des deux dernières années scolaires ou tout autre document jugé utile pour le dossier.</w:t>
                  </w:r>
                </w:p>
                <w:p w:rsidR="00F04EEF" w:rsidRDefault="00F04EEF">
                  <w:pPr>
                    <w:jc w:val="both"/>
                    <w:rPr>
                      <w:color w:val="000000"/>
                      <w:spacing w:val="2"/>
                      <w:lang w:eastAsia="fr-FR"/>
                    </w:rPr>
                  </w:pPr>
                </w:p>
                <w:p w:rsidR="00F04EEF" w:rsidRDefault="0099351E">
                  <w:pPr>
                    <w:jc w:val="both"/>
                    <w:rPr>
                      <w:color w:val="000000"/>
                      <w:spacing w:val="2"/>
                      <w:lang w:eastAsia="fr-FR"/>
                    </w:rPr>
                  </w:pPr>
                  <w:r>
                    <w:rPr>
                      <w:color w:val="000000"/>
                      <w:spacing w:val="2"/>
                      <w:lang w:eastAsia="fr-FR"/>
                    </w:rPr>
                    <w:t xml:space="preserve">Il doit être introduit, </w:t>
                  </w:r>
                  <w:r>
                    <w:rPr>
                      <w:b/>
                      <w:bCs/>
                      <w:color w:val="000000"/>
                      <w:spacing w:val="2"/>
                      <w:lang w:eastAsia="fr-FR"/>
                    </w:rPr>
                    <w:t>dans les 10 jours ouvrables</w:t>
                  </w:r>
                  <w:r>
                    <w:rPr>
                      <w:color w:val="000000"/>
                      <w:spacing w:val="2"/>
                      <w:lang w:eastAsia="fr-FR"/>
                    </w:rPr>
                    <w:t xml:space="preserve"> suivant la remise des résultats, </w:t>
                  </w:r>
                  <w:r>
                    <w:rPr>
                      <w:b/>
                      <w:bCs/>
                      <w:color w:val="000000"/>
                      <w:spacing w:val="2"/>
                      <w:lang w:eastAsia="fr-FR"/>
                    </w:rPr>
                    <w:t>par envoi recommandé</w:t>
                  </w:r>
                  <w:r>
                    <w:rPr>
                      <w:color w:val="000000"/>
                      <w:spacing w:val="2"/>
                      <w:lang w:eastAsia="fr-FR"/>
                    </w:rPr>
                    <w:t>, à :</w:t>
                  </w:r>
                </w:p>
                <w:p w:rsidR="00F04EEF" w:rsidRDefault="00F04EEF">
                  <w:pPr>
                    <w:jc w:val="both"/>
                    <w:rPr>
                      <w:color w:val="000000"/>
                      <w:spacing w:val="2"/>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rsidR="00F04EEF">
                    <w:trPr>
                      <w:trHeight w:val="1260"/>
                    </w:trPr>
                    <w:tc>
                      <w:tcPr>
                        <w:tcW w:w="9679" w:type="dxa"/>
                      </w:tcPr>
                      <w:p w:rsidR="00F04EEF" w:rsidRDefault="0099351E">
                        <w:pPr>
                          <w:jc w:val="center"/>
                          <w:rPr>
                            <w:color w:val="000000"/>
                            <w:spacing w:val="2"/>
                            <w:lang w:eastAsia="fr-FR"/>
                          </w:rPr>
                        </w:pPr>
                        <w:r>
                          <w:rPr>
                            <w:color w:val="000000"/>
                            <w:spacing w:val="2"/>
                            <w:lang w:eastAsia="fr-FR"/>
                          </w:rPr>
                          <w:t>Administration générale de l’enseignement</w:t>
                        </w:r>
                      </w:p>
                      <w:p w:rsidR="00F04EEF" w:rsidRDefault="0099351E">
                        <w:pPr>
                          <w:jc w:val="center"/>
                          <w:rPr>
                            <w:color w:val="000000"/>
                            <w:spacing w:val="2"/>
                            <w:lang w:eastAsia="fr-FR"/>
                          </w:rPr>
                        </w:pPr>
                        <w:r>
                          <w:rPr>
                            <w:color w:val="000000"/>
                            <w:spacing w:val="2"/>
                            <w:lang w:eastAsia="fr-FR"/>
                          </w:rPr>
                          <w:t>Madame Lise-Anne HANSE</w:t>
                        </w:r>
                        <w:r>
                          <w:rPr>
                            <w:color w:val="000000"/>
                            <w:spacing w:val="2"/>
                            <w:lang w:eastAsia="fr-FR"/>
                          </w:rPr>
                          <w:br/>
                          <w:t>Administratrice générale - Recours CEB</w:t>
                        </w:r>
                        <w:r>
                          <w:rPr>
                            <w:color w:val="000000"/>
                            <w:spacing w:val="2"/>
                            <w:lang w:eastAsia="fr-FR"/>
                          </w:rPr>
                          <w:br/>
                          <w:t>Avenue du Port 16</w:t>
                        </w:r>
                      </w:p>
                      <w:p w:rsidR="00F04EEF" w:rsidRDefault="0099351E">
                        <w:pPr>
                          <w:jc w:val="center"/>
                          <w:rPr>
                            <w:color w:val="000000"/>
                            <w:spacing w:val="2"/>
                            <w:lang w:eastAsia="fr-FR"/>
                          </w:rPr>
                        </w:pPr>
                        <w:r>
                          <w:rPr>
                            <w:color w:val="000000"/>
                            <w:spacing w:val="2"/>
                            <w:lang w:eastAsia="fr-FR"/>
                          </w:rPr>
                          <w:t>1080 MOLENBEEK-ST-JEAN</w:t>
                        </w:r>
                      </w:p>
                    </w:tc>
                  </w:tr>
                </w:tbl>
                <w:p w:rsidR="00F04EEF" w:rsidRDefault="0099351E">
                  <w:pPr>
                    <w:spacing w:before="100" w:beforeAutospacing="1" w:after="150"/>
                    <w:jc w:val="both"/>
                    <w:rPr>
                      <w:color w:val="000000"/>
                      <w:spacing w:val="2"/>
                      <w:lang w:eastAsia="fr-FR"/>
                    </w:rPr>
                  </w:pPr>
                  <w:r>
                    <w:rPr>
                      <w:color w:val="000000"/>
                      <w:spacing w:val="2"/>
                      <w:lang w:eastAsia="fr-FR"/>
                    </w:rPr>
                    <w:t xml:space="preserve">Simultanément, une copie de cette demande doit être envoyée au chef d’établissement, </w:t>
                  </w:r>
                  <w:r>
                    <w:rPr>
                      <w:b/>
                      <w:bCs/>
                      <w:color w:val="000000"/>
                      <w:spacing w:val="2"/>
                      <w:lang w:eastAsia="fr-FR"/>
                    </w:rPr>
                    <w:t>par lettre recommandée</w:t>
                  </w:r>
                  <w:r>
                    <w:rPr>
                      <w:color w:val="000000"/>
                      <w:spacing w:val="2"/>
                      <w:lang w:eastAsia="fr-FR"/>
                    </w:rPr>
                    <w:t>.</w:t>
                  </w:r>
                </w:p>
                <w:p w:rsidR="00F04EEF" w:rsidRDefault="0099351E">
                  <w:pPr>
                    <w:jc w:val="both"/>
                    <w:rPr>
                      <w:color w:val="000000"/>
                      <w:spacing w:val="2"/>
                      <w:lang w:eastAsia="fr-FR"/>
                    </w:rPr>
                  </w:pPr>
                  <w:r>
                    <w:rPr>
                      <w:color w:val="000000"/>
                      <w:spacing w:val="2"/>
                      <w:lang w:eastAsia="fr-FR"/>
                    </w:rPr>
                    <w:t xml:space="preserve">Le </w:t>
                  </w:r>
                  <w:r>
                    <w:rPr>
                      <w:b/>
                      <w:bCs/>
                      <w:color w:val="000000"/>
                      <w:spacing w:val="2"/>
                      <w:lang w:eastAsia="fr-FR"/>
                    </w:rPr>
                    <w:t>Conseil de recours</w:t>
                  </w:r>
                  <w:r>
                    <w:rPr>
                      <w:color w:val="000000"/>
                      <w:spacing w:val="2"/>
                      <w:lang w:eastAsia="fr-FR"/>
                    </w:rPr>
                    <w:t xml:space="preserve"> décidera si le CEB doit être accordé. Les parents et l’école seront avertis au plus tard le 31 août.</w:t>
                  </w:r>
                </w:p>
                <w:p w:rsidR="00F04EEF" w:rsidRDefault="00F04EEF">
                  <w:pPr>
                    <w:jc w:val="both"/>
                    <w:rPr>
                      <w:color w:val="000000"/>
                      <w:spacing w:val="2"/>
                      <w:lang w:eastAsia="fr-FR"/>
                    </w:rPr>
                  </w:pPr>
                </w:p>
                <w:p w:rsidR="00F04EEF" w:rsidRDefault="0099351E">
                  <w:pPr>
                    <w:pStyle w:val="Titre3"/>
                    <w:rPr>
                      <w:sz w:val="22"/>
                      <w:szCs w:val="22"/>
                    </w:rPr>
                  </w:pPr>
                  <w:bookmarkStart w:id="2620" w:name="_Toc324165997"/>
                  <w:bookmarkStart w:id="2621" w:name="_Toc324767034"/>
                  <w:bookmarkStart w:id="2622" w:name="_Toc453314395"/>
                  <w:bookmarkStart w:id="2623" w:name="_Toc454980430"/>
                  <w:bookmarkStart w:id="2624" w:name="_Toc47708527"/>
                  <w:r>
                    <w:rPr>
                      <w:sz w:val="22"/>
                      <w:szCs w:val="22"/>
                    </w:rPr>
                    <w:t>3. Le transfert du P.I.A.</w:t>
                  </w:r>
                  <w:bookmarkEnd w:id="2620"/>
                  <w:bookmarkEnd w:id="2621"/>
                  <w:bookmarkEnd w:id="2622"/>
                  <w:bookmarkEnd w:id="2623"/>
                  <w:bookmarkEnd w:id="2624"/>
                </w:p>
                <w:p w:rsidR="00F04EEF" w:rsidRDefault="00F04EEF">
                  <w:pPr>
                    <w:jc w:val="both"/>
                  </w:pPr>
                </w:p>
                <w:p w:rsidR="00F04EEF" w:rsidRDefault="0099351E">
                  <w:pPr>
                    <w:jc w:val="both"/>
                  </w:pPr>
                  <w:bookmarkStart w:id="2625" w:name="_Chapitre_8_:"/>
                  <w:bookmarkEnd w:id="2625"/>
                  <w:r>
                    <w:t xml:space="preserve">La </w:t>
                  </w:r>
                  <w:hyperlink r:id="rId173" w:history="1">
                    <w:r>
                      <w:rPr>
                        <w:rStyle w:val="Lienhypertexte"/>
                        <w:rFonts w:cs="Arial"/>
                      </w:rPr>
                      <w:t>circulaire 3804 du 28 novembre 2011</w:t>
                    </w:r>
                  </w:hyperlink>
                  <w:r>
                    <w:t xml:space="preserve"> précise les modalités de transmission du Plan Individuel d’Apprentissage</w:t>
                  </w:r>
                  <w:r>
                    <w:rPr>
                      <w:rStyle w:val="Appelnotedebasdep"/>
                    </w:rPr>
                    <w:footnoteReference w:id="142"/>
                  </w:r>
                  <w:r>
                    <w:t>.</w:t>
                  </w:r>
                </w:p>
                <w:p w:rsidR="00F04EEF" w:rsidRDefault="00F04EEF">
                  <w:pPr>
                    <w:jc w:val="both"/>
                  </w:pPr>
                </w:p>
                <w:p w:rsidR="00F04EEF" w:rsidRDefault="0099351E">
                  <w:pPr>
                    <w:jc w:val="both"/>
                  </w:pPr>
                  <w:r>
                    <w:t xml:space="preserve">Le P.I.A d’un élève ayant fréquenté un établissement d’enseignement secondaire spécialisé reste dans son école d’origine jusqu’à ce que le chef d’établissement de la nouvelle école le réclame. </w:t>
                  </w:r>
                </w:p>
                <w:p w:rsidR="00F04EEF" w:rsidRDefault="00F04EEF">
                  <w:pPr>
                    <w:jc w:val="both"/>
                  </w:pPr>
                </w:p>
                <w:p w:rsidR="00F04EEF" w:rsidRDefault="0099351E">
                  <w:pPr>
                    <w:jc w:val="both"/>
                  </w:pPr>
                  <w:r>
                    <w:t xml:space="preserve">Le chef d’établissement d’une école d’enseignement spécialisé qui inscrit un élève issu d’une autre école d’enseignement spécialisé est tenu de réclamer au chef d’établissement de celle-ci, le P.I.A. de l’élève concerné. </w:t>
                  </w:r>
                </w:p>
                <w:p w:rsidR="00F04EEF" w:rsidRDefault="00F04EEF">
                  <w:pPr>
                    <w:jc w:val="both"/>
                  </w:pPr>
                </w:p>
                <w:p w:rsidR="00F04EEF" w:rsidRDefault="0099351E">
                  <w:pPr>
                    <w:jc w:val="both"/>
                  </w:pPr>
                  <w:r>
                    <w:t xml:space="preserve">Le P.I.A. devra être transmis conjointement avec les documents légaux justifiant l’inscription de l’élève et comprendra l’entièreté des objectifs, des actions et des résultats. Il peut éventuellement être accompagné d’une synthèse. Il pourra être complété par des informations pertinentes qui influencent la suite de la scolarité. </w:t>
                  </w:r>
                </w:p>
                <w:p w:rsidR="00F04EEF" w:rsidRDefault="00F04EEF">
                  <w:pPr>
                    <w:jc w:val="both"/>
                  </w:pPr>
                </w:p>
                <w:p w:rsidR="00F04EEF" w:rsidRDefault="0099351E">
                  <w:pPr>
                    <w:jc w:val="both"/>
                  </w:pPr>
                  <w:r>
                    <w:t xml:space="preserve">Dans l’intérêt de l’élève, le chef d’établissement d’une école d’enseignement ordinaire qui inscrit un élève issu d’une école d’enseignement spécialisé peut demander le P.I.A. de l’élève concerné. </w:t>
                  </w:r>
                </w:p>
                <w:p w:rsidR="00F04EEF" w:rsidRDefault="00F04EEF">
                  <w:pPr>
                    <w:jc w:val="both"/>
                  </w:pPr>
                </w:p>
                <w:p w:rsidR="00F04EEF" w:rsidRDefault="00F04EEF">
                  <w:pPr>
                    <w:jc w:val="both"/>
                  </w:pPr>
                </w:p>
                <w:p w:rsidR="00F04EEF" w:rsidRDefault="0099351E">
                  <w:pPr>
                    <w:jc w:val="both"/>
                  </w:pPr>
                  <w:r>
                    <w:br w:type="page"/>
                  </w:r>
                </w:p>
                <w:sdt>
                  <w:sdtPr>
                    <w:rPr>
                      <w:rFonts w:asciiTheme="majorHAnsi" w:eastAsiaTheme="minorHAnsi" w:hAnsiTheme="majorHAnsi"/>
                      <w:lang w:eastAsia="en-US"/>
                    </w:rPr>
                    <w:id w:val="-1424486515"/>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pPr>
                      <w:bookmarkStart w:id="2626" w:name="_Chapitre_10_:"/>
                      <w:bookmarkStart w:id="2627" w:name="_Toc477623747"/>
                      <w:bookmarkStart w:id="2628" w:name="_Toc477767561"/>
                      <w:bookmarkStart w:id="2629" w:name="_Toc47708528"/>
                      <w:bookmarkEnd w:id="2626"/>
                      <w:r>
                        <w:t>Chapitre</w:t>
                      </w:r>
                      <w:bookmarkEnd w:id="2627"/>
                      <w:bookmarkEnd w:id="2628"/>
                      <w:r>
                        <w:t xml:space="preserve"> 10 : </w:t>
                      </w:r>
                      <w:bookmarkStart w:id="2630" w:name="_Toc477623748"/>
                      <w:bookmarkStart w:id="2631" w:name="_Toc477767562"/>
                      <w:r>
                        <w:t>Personnel affecté dans le cadre des internats et homes d’accueil organisés par la Fédération Wallonie-Bruxelles</w:t>
                      </w:r>
                      <w:bookmarkEnd w:id="2630"/>
                      <w:bookmarkEnd w:id="2631"/>
                      <w:bookmarkEnd w:id="2629"/>
                    </w:p>
                    <w:p w:rsidR="00F04EEF" w:rsidRDefault="00F04EEF"/>
                    <w:p w:rsidR="00F04EEF" w:rsidRDefault="00F04EEF"/>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rPr>
                      <w:b/>
                      <w:u w:val="single"/>
                    </w:rPr>
                  </w:pPr>
                  <w:r>
                    <w:rPr>
                      <w:b/>
                      <w:u w:val="single"/>
                    </w:rPr>
                    <w:t>Bases légales :</w:t>
                  </w:r>
                </w:p>
                <w:p w:rsidR="00F04EEF" w:rsidRDefault="0099351E">
                  <w:pPr>
                    <w:rPr>
                      <w:b/>
                      <w:u w:val="single"/>
                    </w:rPr>
                  </w:pPr>
                  <w:r>
                    <w:rPr>
                      <w:b/>
                      <w:noProof/>
                      <w:u w:val="single"/>
                      <w:lang w:eastAsia="fr-BE"/>
                    </w:rPr>
                    <mc:AlternateContent>
                      <mc:Choice Requires="wps">
                        <w:drawing>
                          <wp:anchor distT="0" distB="0" distL="114300" distR="114300" simplePos="0" relativeHeight="252243968" behindDoc="0" locked="0" layoutInCell="1" allowOverlap="1">
                            <wp:simplePos x="0" y="0"/>
                            <wp:positionH relativeFrom="column">
                              <wp:posOffset>6370320</wp:posOffset>
                            </wp:positionH>
                            <wp:positionV relativeFrom="paragraph">
                              <wp:posOffset>166370</wp:posOffset>
                            </wp:positionV>
                            <wp:extent cx="0" cy="3365500"/>
                            <wp:effectExtent l="0" t="0" r="19050" b="25400"/>
                            <wp:wrapNone/>
                            <wp:docPr id="534" name="Connecteur droit 534"/>
                            <wp:cNvGraphicFramePr/>
                            <a:graphic xmlns:a="http://schemas.openxmlformats.org/drawingml/2006/main">
                              <a:graphicData uri="http://schemas.microsoft.com/office/word/2010/wordprocessingShape">
                                <wps:wsp>
                                  <wps:cNvCnPr/>
                                  <wps:spPr>
                                    <a:xfrm>
                                      <a:off x="0" y="0"/>
                                      <a:ext cx="0" cy="3365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AE44007" id="Connecteur droit 534" o:spid="_x0000_s1026" style="position:absolute;z-index:252243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pt,13.1pt" to="501.6pt,27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" strokecolor="black [3213]"/>
                        </w:pict>
                      </mc:Fallback>
                    </mc:AlternateContent>
                  </w:r>
                </w:p>
                <w:p w:rsidR="00F04EEF" w:rsidRDefault="0099351E">
                  <w:pPr>
                    <w:numPr>
                      <w:ilvl w:val="0"/>
                      <w:numId w:val="345"/>
                    </w:numPr>
                    <w:jc w:val="both"/>
                    <w:rPr>
                      <w:rStyle w:val="Lienhypertexte"/>
                    </w:rPr>
                  </w:pPr>
                  <w:r>
                    <w:rPr>
                      <w:rStyle w:val="Lienhypertexte"/>
                    </w:rPr>
                    <w:t>Décret du 3 mars 2004 organisant l’enseignement spécialisé</w:t>
                  </w:r>
                </w:p>
                <w:p w:rsidR="00F04EEF" w:rsidRDefault="00F42422">
                  <w:pPr>
                    <w:numPr>
                      <w:ilvl w:val="0"/>
                      <w:numId w:val="345"/>
                    </w:numPr>
                    <w:jc w:val="both"/>
                    <w:rPr>
                      <w:rStyle w:val="Lienhypertexte"/>
                    </w:rPr>
                  </w:pPr>
                  <w:hyperlink r:id="rId174" w:history="1">
                    <w:r w:rsidR="0099351E">
                      <w:rPr>
                        <w:rStyle w:val="Lienhypertexte"/>
                      </w:rPr>
                      <w:t>Arrêté royal n° 184 du 30 décembre 1982 fixant la façon de déterminer, pour les instituts d’enseignement spécialisé de l’Etat et les homes d’accueil de l’Etat, les fonctions du personnel paramédical et du personnel attribué dans le cadre de l’internat</w:t>
                    </w:r>
                    <w:r w:rsidR="0099351E">
                      <w:rPr>
                        <w:rStyle w:val="Lienhypertexte"/>
                        <w:b/>
                        <w:bCs/>
                      </w:rPr>
                      <w:t xml:space="preserve"> tel que modifié</w:t>
                    </w:r>
                  </w:hyperlink>
                  <w:r w:rsidR="0099351E">
                    <w:t>.</w:t>
                  </w:r>
                  <w:r w:rsidR="0099351E">
                    <w:rPr>
                      <w:rStyle w:val="Lienhypertexte"/>
                    </w:rPr>
                    <w:t xml:space="preserve"> </w:t>
                  </w:r>
                </w:p>
                <w:p w:rsidR="00F04EEF" w:rsidRDefault="00F42422">
                  <w:pPr>
                    <w:numPr>
                      <w:ilvl w:val="0"/>
                      <w:numId w:val="345"/>
                    </w:numPr>
                    <w:jc w:val="both"/>
                    <w:rPr>
                      <w:rStyle w:val="Lienhypertexte"/>
                    </w:rPr>
                  </w:pPr>
                  <w:hyperlink r:id="rId175" w:history="1">
                    <w:r w:rsidR="0099351E">
                      <w:rPr>
                        <w:rStyle w:val="Lienhypertexte"/>
                      </w:rPr>
                      <w:t xml:space="preserve">Arrêté royal n° 456 du 10 septembre 1986 portant rationalisation et programmation des  internats de l'enseignement organisé ou subventionné par l'Etat </w:t>
                    </w:r>
                    <w:r w:rsidR="0099351E">
                      <w:rPr>
                        <w:rStyle w:val="Lienhypertexte"/>
                        <w:b/>
                        <w:bCs/>
                      </w:rPr>
                      <w:t>tel que modifié</w:t>
                    </w:r>
                  </w:hyperlink>
                  <w:r w:rsidR="0099351E">
                    <w:rPr>
                      <w:rStyle w:val="Lienhypertexte"/>
                    </w:rPr>
                    <w:t>.</w:t>
                  </w:r>
                </w:p>
                <w:p w:rsidR="00F04EEF" w:rsidRDefault="00F42422">
                  <w:pPr>
                    <w:numPr>
                      <w:ilvl w:val="0"/>
                      <w:numId w:val="345"/>
                    </w:numPr>
                    <w:jc w:val="both"/>
                  </w:pPr>
                  <w:hyperlink r:id="rId176" w:history="1">
                    <w:r w:rsidR="0099351E">
                      <w:rPr>
                        <w:rStyle w:val="Lienhypertexte"/>
                      </w:rPr>
                      <w:t>Décret du 25 octobre 2012 relatif à certains internats et homes d'accueil organisés ou subventionnés par la Communauté française</w:t>
                    </w:r>
                  </w:hyperlink>
                  <w:r w:rsidR="0099351E">
                    <w:rPr>
                      <w:rStyle w:val="Lienhypertexte"/>
                    </w:rPr>
                    <w:t xml:space="preserve"> (modifie les AR 184 et 456)</w:t>
                  </w:r>
                  <w:r w:rsidR="0099351E">
                    <w:t>.</w:t>
                  </w:r>
                </w:p>
                <w:p w:rsidR="00F04EEF" w:rsidRDefault="00F42422">
                  <w:pPr>
                    <w:numPr>
                      <w:ilvl w:val="0"/>
                      <w:numId w:val="346"/>
                    </w:numPr>
                    <w:jc w:val="both"/>
                    <w:rPr>
                      <w:rStyle w:val="Lienhypertexte"/>
                    </w:rPr>
                  </w:pPr>
                  <w:hyperlink r:id="rId177" w:history="1">
                    <w:r w:rsidR="0099351E">
                      <w:rPr>
                        <w:rStyle w:val="Lienhypertexte"/>
                      </w:rPr>
                      <w:t>Décret du 14 mars 2019 portant diverses dispositions relatives à l’organisation du travail des membres du personnel de l’enseignement et octroyant plus de souplesse organisationnelle aux Pouvoirs organisateurs</w:t>
                    </w:r>
                  </w:hyperlink>
                </w:p>
                <w:p w:rsidR="00F04EEF" w:rsidRDefault="00F42422">
                  <w:pPr>
                    <w:numPr>
                      <w:ilvl w:val="0"/>
                      <w:numId w:val="346"/>
                    </w:numPr>
                    <w:suppressAutoHyphens/>
                    <w:jc w:val="both"/>
                    <w:rPr>
                      <w:rStyle w:val="Lienhypertexte"/>
                      <w:rFonts w:cstheme="minorBidi"/>
                      <w:color w:val="auto"/>
                      <w:u w:val="none"/>
                    </w:rPr>
                  </w:pPr>
                  <w:hyperlink r:id="rId178" w:history="1">
                    <w:r w:rsidR="0099351E">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F04EEF" w:rsidRDefault="00F42422">
                  <w:pPr>
                    <w:numPr>
                      <w:ilvl w:val="0"/>
                      <w:numId w:val="346"/>
                    </w:numPr>
                    <w:suppressAutoHyphens/>
                    <w:jc w:val="both"/>
                    <w:rPr>
                      <w:rStyle w:val="Lienhypertexte"/>
                      <w:rFonts w:cstheme="minorBidi"/>
                      <w:color w:val="auto"/>
                      <w:u w:val="none"/>
                    </w:rPr>
                  </w:pPr>
                  <w:hyperlink r:id="rId179" w:history="1">
                    <w:r w:rsidR="0099351E">
                      <w:rPr>
                        <w:rStyle w:val="Lienhypertexte"/>
                        <w:rFonts w:cstheme="minorBidi"/>
                      </w:rPr>
                      <w:t>Circulaire 7608 du 09/06/2020 Coronavirus Covid-19: mesures concernant l'intégration et l'enseignement spécialisé</w:t>
                    </w:r>
                  </w:hyperlink>
                  <w:r w:rsidR="0099351E">
                    <w:rPr>
                      <w:rStyle w:val="Lienhypertexte"/>
                      <w:rFonts w:cstheme="minorBidi"/>
                      <w:color w:val="auto"/>
                      <w:u w:val="none"/>
                    </w:rPr>
                    <w:t xml:space="preserve"> </w:t>
                  </w:r>
                </w:p>
                <w:p w:rsidR="00F04EEF" w:rsidRDefault="00F42422">
                  <w:pPr>
                    <w:numPr>
                      <w:ilvl w:val="0"/>
                      <w:numId w:val="346"/>
                    </w:numPr>
                    <w:suppressAutoHyphens/>
                    <w:jc w:val="both"/>
                    <w:rPr>
                      <w:rStyle w:val="Lienhypertexte"/>
                      <w:rFonts w:cstheme="minorBidi"/>
                      <w:color w:val="auto"/>
                      <w:u w:val="none"/>
                    </w:rPr>
                  </w:pPr>
                  <w:hyperlink r:id="rId180" w:history="1">
                    <w:r w:rsidR="0099351E">
                      <w:rPr>
                        <w:rStyle w:val="Lienhypertexte"/>
                        <w:rFonts w:cstheme="minorBidi"/>
                      </w:rPr>
                      <w:t>Circulaire 7615 du 11/06/2020 Addendum à la circulaire 7608 : Coronavirus Covid-19: mesures concernant l'intégration et l'enseignement spécialisé</w:t>
                    </w:r>
                  </w:hyperlink>
                  <w:r w:rsidR="0099351E">
                    <w:rPr>
                      <w:rStyle w:val="Lienhypertexte"/>
                      <w:rFonts w:cstheme="minorBidi"/>
                      <w:color w:val="auto"/>
                      <w:u w:val="none"/>
                    </w:rPr>
                    <w:t xml:space="preserve"> </w:t>
                  </w:r>
                </w:p>
                <w:p w:rsidR="00F04EEF" w:rsidRDefault="00F04EEF">
                  <w:pPr>
                    <w:shd w:val="clear" w:color="auto" w:fill="FFFFFF" w:themeFill="background1"/>
                    <w:suppressAutoHyphens/>
                    <w:ind w:left="360"/>
                    <w:jc w:val="both"/>
                    <w:rPr>
                      <w:highlight w:val="yellow"/>
                    </w:rPr>
                  </w:pPr>
                </w:p>
                <w:p w:rsidR="00F04EEF" w:rsidRDefault="00F04EEF">
                  <w:pPr>
                    <w:ind w:left="360"/>
                    <w:jc w:val="both"/>
                    <w:rPr>
                      <w:rStyle w:val="Lienhypertexte"/>
                    </w:rPr>
                  </w:pPr>
                </w:p>
                <w:p w:rsidR="00F04EEF" w:rsidRDefault="00F04EEF">
                  <w:pPr>
                    <w:jc w:val="both"/>
                  </w:pPr>
                </w:p>
                <w:p w:rsidR="00F04EEF" w:rsidRDefault="0099351E">
                  <w:pPr>
                    <w:pBdr>
                      <w:top w:val="single" w:sz="4" w:space="1" w:color="auto"/>
                      <w:left w:val="single" w:sz="4" w:space="1" w:color="auto"/>
                      <w:bottom w:val="single" w:sz="4" w:space="1" w:color="auto"/>
                      <w:right w:val="single" w:sz="4" w:space="1" w:color="auto"/>
                    </w:pBdr>
                    <w:rPr>
                      <w:rFonts w:cs="Arial"/>
                      <w:color w:val="0000FF"/>
                      <w:u w:val="single"/>
                    </w:rPr>
                  </w:pPr>
                  <w:bookmarkStart w:id="2632" w:name="__RefHeading__207_957262308"/>
                  <w:bookmarkStart w:id="2633" w:name="_Toc291075374"/>
                  <w:bookmarkStart w:id="2634" w:name="_Toc291075798"/>
                  <w:bookmarkStart w:id="2635" w:name="_Toc291076222"/>
                  <w:bookmarkStart w:id="2636" w:name="_Toc291076646"/>
                  <w:bookmarkStart w:id="2637" w:name="_Toc291077070"/>
                  <w:bookmarkStart w:id="2638" w:name="_Toc293651914"/>
                  <w:bookmarkStart w:id="2639" w:name="_Toc293653497"/>
                  <w:bookmarkStart w:id="2640" w:name="_Toc293654108"/>
                  <w:bookmarkStart w:id="2641" w:name="_Toc294004686"/>
                  <w:bookmarkStart w:id="2642" w:name="_Toc294185182"/>
                  <w:bookmarkStart w:id="2643" w:name="_Toc324166000"/>
                  <w:bookmarkStart w:id="2644" w:name="_Toc324767037"/>
                  <w:bookmarkEnd w:id="2632"/>
                  <w:r>
                    <w:rPr>
                      <w:b/>
                    </w:rPr>
                    <w:t xml:space="preserve">Remarque préliminaire : </w:t>
                  </w:r>
                  <w:r>
                    <w:t xml:space="preserve">il y a lieu de se référer à la </w:t>
                  </w:r>
                  <w:r>
                    <w:fldChar w:fldCharType="begin"/>
                  </w:r>
                  <w:r>
                    <w:instrText xml:space="preserve"> HYPERLINK "http://www.enseignement.be/upload/circulaires/000000000002/3545_20101011140601.pdf" </w:instrText>
                  </w:r>
                  <w:r>
                    <w:fldChar w:fldCharType="separate"/>
                  </w:r>
                  <w:r>
                    <w:rPr>
                      <w:rStyle w:val="Lienhypertexte"/>
                      <w:rFonts w:cs="Arial"/>
                    </w:rPr>
                    <w:t>Circulaire n°5281 concernant l’inscription des élèves et étudiants dans les internats et homes d’accueil organisés par la Fédération Wallonie-Bruxelles – Conditions requises pour obtenir une dérogation.</w:t>
                  </w:r>
                </w:p>
                <w:p w:rsidR="00F04EEF" w:rsidRDefault="0099351E">
                  <w:pPr>
                    <w:pBdr>
                      <w:top w:val="single" w:sz="4" w:space="1" w:color="auto"/>
                      <w:left w:val="single" w:sz="4" w:space="1" w:color="auto"/>
                      <w:bottom w:val="single" w:sz="4" w:space="1" w:color="auto"/>
                      <w:right w:val="single" w:sz="4" w:space="1" w:color="auto"/>
                    </w:pBdr>
                    <w:jc w:val="both"/>
                    <w:rPr>
                      <w:b/>
                    </w:rPr>
                  </w:pPr>
                  <w:r>
                    <w:rPr>
                      <w:rStyle w:val="Lienhypertexte"/>
                      <w:rFonts w:cs="Arial"/>
                    </w:rPr>
                    <w:fldChar w:fldCharType="end"/>
                  </w:r>
                </w:p>
                <w:p w:rsidR="00F04EEF" w:rsidRDefault="00F04EEF">
                  <w:bookmarkStart w:id="2645" w:name="_Toc453314397"/>
                  <w:bookmarkStart w:id="2646" w:name="_Toc454980432"/>
                </w:p>
                <w:p w:rsidR="00F04EEF" w:rsidRDefault="0099351E">
                  <w:pPr>
                    <w:pStyle w:val="Titre3"/>
                    <w:rPr>
                      <w:sz w:val="22"/>
                      <w:szCs w:val="22"/>
                    </w:rPr>
                  </w:pPr>
                  <w:bookmarkStart w:id="2647" w:name="_Toc47708529"/>
                  <w:r>
                    <w:rPr>
                      <w:sz w:val="22"/>
                      <w:szCs w:val="22"/>
                    </w:rPr>
                    <w:t>1. Définitions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r>
                    <w:rPr>
                      <w:sz w:val="22"/>
                      <w:szCs w:val="22"/>
                    </w:rPr>
                    <w:t xml:space="preserve"> </w:t>
                  </w:r>
                </w:p>
                <w:p w:rsidR="00F04EEF" w:rsidRDefault="00F04EEF">
                  <w:pPr>
                    <w:tabs>
                      <w:tab w:val="left" w:pos="-1440"/>
                      <w:tab w:val="left" w:pos="-720"/>
                    </w:tabs>
                    <w:jc w:val="both"/>
                  </w:pPr>
                </w:p>
                <w:p w:rsidR="00F04EEF" w:rsidRDefault="0099351E">
                  <w:pPr>
                    <w:jc w:val="both"/>
                  </w:pPr>
                  <w:r>
                    <w:t>Par institut d'enseignement spécialisé organisé par la Fédération Wallonie-Bruxelles, on entend tout établissement d'enseignement spécialisé organisé par la Fédération Wallonie-Bruxelles qui compte un internat.</w:t>
                  </w:r>
                </w:p>
                <w:p w:rsidR="00F04EEF" w:rsidRDefault="00F04EEF">
                  <w:pPr>
                    <w:jc w:val="both"/>
                  </w:pPr>
                </w:p>
                <w:p w:rsidR="00F04EEF" w:rsidRDefault="0099351E">
                  <w:pPr>
                    <w:jc w:val="both"/>
                  </w:pPr>
                  <w:r>
                    <w:t>Par home d'accueil organisé par la Fédération Wallonie-Bruxelles, on entend tout internat où des enfants et/ou adolescents à besoin spécifique sont hébergés en vue de leur permettre de fréquenter comme externes un établissement d'enseignement spécialisé.</w:t>
                  </w:r>
                </w:p>
                <w:p w:rsidR="00F04EEF" w:rsidRDefault="00F04EEF">
                  <w:pPr>
                    <w:tabs>
                      <w:tab w:val="left" w:pos="-1440"/>
                      <w:tab w:val="left" w:pos="-720"/>
                    </w:tabs>
                    <w:jc w:val="both"/>
                  </w:pPr>
                </w:p>
                <w:p w:rsidR="00F04EEF" w:rsidRDefault="0099351E">
                  <w:pPr>
                    <w:pStyle w:val="Titre3"/>
                    <w:rPr>
                      <w:sz w:val="22"/>
                      <w:szCs w:val="22"/>
                    </w:rPr>
                  </w:pPr>
                  <w:bookmarkStart w:id="2648" w:name="__RefHeading__209_957262308"/>
                  <w:bookmarkStart w:id="2649" w:name="_Toc291075375"/>
                  <w:bookmarkStart w:id="2650" w:name="_Toc291075799"/>
                  <w:bookmarkStart w:id="2651" w:name="_Toc291076223"/>
                  <w:bookmarkStart w:id="2652" w:name="_Toc291076647"/>
                  <w:bookmarkStart w:id="2653" w:name="_Toc291077071"/>
                  <w:bookmarkStart w:id="2654" w:name="_Toc293651915"/>
                  <w:bookmarkStart w:id="2655" w:name="_Toc293653498"/>
                  <w:bookmarkStart w:id="2656" w:name="_Toc293654109"/>
                  <w:bookmarkStart w:id="2657" w:name="_Toc294004687"/>
                  <w:bookmarkStart w:id="2658" w:name="_Toc294185183"/>
                  <w:bookmarkStart w:id="2659" w:name="_Toc324166001"/>
                  <w:bookmarkStart w:id="2660" w:name="_Toc324767038"/>
                  <w:bookmarkStart w:id="2661" w:name="_Toc453314398"/>
                  <w:bookmarkStart w:id="2662" w:name="_Toc454980433"/>
                  <w:bookmarkStart w:id="2663" w:name="_Toc47708530"/>
                  <w:bookmarkEnd w:id="2648"/>
                  <w:r>
                    <w:rPr>
                      <w:sz w:val="22"/>
                      <w:szCs w:val="22"/>
                    </w:rPr>
                    <w:t>2. Capital-périodes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r>
                    <w:rPr>
                      <w:sz w:val="22"/>
                      <w:szCs w:val="22"/>
                    </w:rPr>
                    <w:t xml:space="preserve"> </w:t>
                  </w:r>
                </w:p>
                <w:p w:rsidR="00F04EEF" w:rsidRDefault="00F04EEF">
                  <w:pPr>
                    <w:tabs>
                      <w:tab w:val="left" w:pos="-1440"/>
                      <w:tab w:val="left" w:pos="-720"/>
                    </w:tabs>
                    <w:jc w:val="both"/>
                  </w:pPr>
                </w:p>
                <w:p w:rsidR="00F04EEF" w:rsidRDefault="0099351E">
                  <w:pPr>
                    <w:jc w:val="both"/>
                  </w:pPr>
                  <w:r>
                    <w:t>Le volume des emplois des personnels paramédical, social, auxiliaire d'éducation et administratif attribués dans le cadre de l'internat est déterminé par un capital-périodes.</w:t>
                  </w:r>
                </w:p>
                <w:p w:rsidR="00F04EEF" w:rsidRDefault="00F04EEF">
                  <w:pPr>
                    <w:jc w:val="both"/>
                  </w:pPr>
                </w:p>
                <w:p w:rsidR="00F04EEF" w:rsidRDefault="0099351E">
                  <w:pPr>
                    <w:jc w:val="both"/>
                  </w:pPr>
                  <w:r>
                    <w:t>Éléments servant au calcul du capital-périodes :</w:t>
                  </w:r>
                </w:p>
                <w:p w:rsidR="00F04EEF" w:rsidRDefault="00F04EEF">
                  <w:pPr>
                    <w:jc w:val="both"/>
                  </w:pPr>
                </w:p>
                <w:p w:rsidR="00F04EEF" w:rsidRDefault="0099351E">
                  <w:pPr>
                    <w:jc w:val="both"/>
                  </w:pPr>
                  <w:r>
                    <w:rPr>
                      <w:u w:val="single"/>
                    </w:rPr>
                    <w:t>Les éléments suivants entrent en ligne de compte pour le calcul du capital-périodes :</w:t>
                  </w:r>
                </w:p>
                <w:p w:rsidR="00F04EEF" w:rsidRDefault="00F04EEF">
                  <w:pPr>
                    <w:tabs>
                      <w:tab w:val="left" w:pos="-1440"/>
                      <w:tab w:val="left" w:pos="-720"/>
                    </w:tabs>
                    <w:ind w:hanging="962"/>
                    <w:jc w:val="both"/>
                    <w:rPr>
                      <w:u w:val="single"/>
                    </w:rPr>
                  </w:pPr>
                </w:p>
                <w:p w:rsidR="00F04EEF" w:rsidRDefault="0099351E">
                  <w:pPr>
                    <w:tabs>
                      <w:tab w:val="left" w:pos="-1440"/>
                      <w:tab w:val="left" w:pos="-720"/>
                    </w:tabs>
                    <w:jc w:val="both"/>
                  </w:pPr>
                  <w:r>
                    <w:t>A) le nombre d'élèves internes</w:t>
                  </w:r>
                </w:p>
                <w:p w:rsidR="00F04EEF" w:rsidRDefault="0099351E">
                  <w:pPr>
                    <w:tabs>
                      <w:tab w:val="left" w:pos="-1440"/>
                      <w:tab w:val="left" w:pos="-720"/>
                    </w:tabs>
                    <w:jc w:val="both"/>
                  </w:pPr>
                  <w:r>
                    <w:t>B) un nombre guide</w:t>
                  </w:r>
                </w:p>
                <w:p w:rsidR="00F04EEF" w:rsidRDefault="00F04EEF">
                  <w:pPr>
                    <w:tabs>
                      <w:tab w:val="left" w:pos="-1440"/>
                      <w:tab w:val="left" w:pos="-720"/>
                    </w:tabs>
                    <w:ind w:hanging="962"/>
                    <w:jc w:val="both"/>
                  </w:pPr>
                </w:p>
                <w:p w:rsidR="00F04EEF" w:rsidRDefault="0099351E">
                  <w:pPr>
                    <w:tabs>
                      <w:tab w:val="left" w:pos="-1440"/>
                      <w:tab w:val="left" w:pos="-720"/>
                    </w:tabs>
                    <w:jc w:val="both"/>
                    <w:rPr>
                      <w:u w:val="single"/>
                    </w:rPr>
                  </w:pPr>
                  <w:r>
                    <w:rPr>
                      <w:u w:val="single"/>
                    </w:rPr>
                    <w:t>A. Le nombre d'élèves internes</w:t>
                  </w:r>
                </w:p>
                <w:p w:rsidR="00F04EEF" w:rsidRDefault="00F04EEF">
                  <w:pPr>
                    <w:tabs>
                      <w:tab w:val="left" w:pos="-1440"/>
                      <w:tab w:val="left" w:pos="-720"/>
                    </w:tabs>
                    <w:jc w:val="both"/>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internes à prendre en considération sont ceux qui doivent être considérés comme élèves réguliers, conformément aux dispositions du Décret du 3 mars 2004 organisant l’enseignement spécialisé.</w:t>
                  </w:r>
                </w:p>
                <w:p w:rsidR="00F04EEF" w:rsidRDefault="00F04EEF">
                  <w:pPr>
                    <w:tabs>
                      <w:tab w:val="left" w:pos="-1440"/>
                      <w:tab w:val="left" w:pos="-720"/>
                    </w:tabs>
                    <w:jc w:val="both"/>
                  </w:pPr>
                </w:p>
                <w:p w:rsidR="00F04EEF" w:rsidRDefault="0099351E">
                  <w:pPr>
                    <w:tabs>
                      <w:tab w:val="left" w:pos="-1440"/>
                      <w:tab w:val="left" w:pos="-720"/>
                    </w:tabs>
                    <w:jc w:val="both"/>
                    <w:rPr>
                      <w:u w:val="single"/>
                    </w:rPr>
                  </w:pPr>
                  <w:r>
                    <w:rPr>
                      <w:u w:val="single"/>
                    </w:rPr>
                    <w:t>B. Le nombre guide</w:t>
                  </w:r>
                </w:p>
                <w:p w:rsidR="00F04EEF" w:rsidRDefault="00F04EEF">
                  <w:pPr>
                    <w:tabs>
                      <w:tab w:val="left" w:pos="-1440"/>
                      <w:tab w:val="left" w:pos="-720"/>
                    </w:tabs>
                    <w:ind w:hanging="962"/>
                    <w:jc w:val="both"/>
                  </w:pPr>
                </w:p>
                <w:p w:rsidR="00F04EEF" w:rsidRDefault="0099351E">
                  <w:pPr>
                    <w:tabs>
                      <w:tab w:val="left" w:pos="-1440"/>
                      <w:tab w:val="left" w:pos="-720"/>
                    </w:tabs>
                    <w:jc w:val="both"/>
                  </w:pPr>
                  <w:r>
                    <w:t>Les nombres guides varient selon les types et le niveau d'enseignement que fréquentent les élèves.</w:t>
                  </w:r>
                </w:p>
                <w:p w:rsidR="00F04EEF" w:rsidRDefault="00F04EEF">
                  <w:pPr>
                    <w:tabs>
                      <w:tab w:val="left" w:pos="-1440"/>
                      <w:tab w:val="left" w:pos="-720"/>
                    </w:tabs>
                    <w:jc w:val="both"/>
                  </w:pPr>
                </w:p>
                <w:p w:rsidR="00F04EEF" w:rsidRDefault="0099351E">
                  <w:pPr>
                    <w:tabs>
                      <w:tab w:val="left" w:pos="-1440"/>
                      <w:tab w:val="left" w:pos="-720"/>
                    </w:tabs>
                    <w:jc w:val="both"/>
                  </w:pPr>
                  <w:r>
                    <w:t>Ils sont fixés comme suit :</w:t>
                  </w:r>
                </w:p>
                <w:p w:rsidR="00F04EEF" w:rsidRDefault="00F04EEF">
                  <w:pPr>
                    <w:tabs>
                      <w:tab w:val="left" w:pos="-1440"/>
                      <w:tab w:val="left" w:pos="-720"/>
                    </w:tabs>
                    <w:jc w:val="both"/>
                  </w:pPr>
                </w:p>
                <w:tbl>
                  <w:tblPr>
                    <w:tblW w:w="9639" w:type="dxa"/>
                    <w:tblInd w:w="120" w:type="dxa"/>
                    <w:tblLayout w:type="fixed"/>
                    <w:tblCellMar>
                      <w:left w:w="120" w:type="dxa"/>
                      <w:right w:w="120" w:type="dxa"/>
                    </w:tblCellMar>
                    <w:tblLook w:val="0000" w:firstRow="0" w:lastRow="0" w:firstColumn="0" w:lastColumn="0" w:noHBand="0" w:noVBand="0"/>
                  </w:tblPr>
                  <w:tblGrid>
                    <w:gridCol w:w="993"/>
                    <w:gridCol w:w="7229"/>
                    <w:gridCol w:w="1417"/>
                  </w:tblGrid>
                  <w:tr w:rsidR="00F04EEF">
                    <w:trPr>
                      <w:cantSplit/>
                      <w:trHeight w:val="402"/>
                      <w:tblHeader/>
                    </w:trPr>
                    <w:tc>
                      <w:tcPr>
                        <w:tcW w:w="993"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rPr>
                            <w:b/>
                          </w:rPr>
                        </w:pPr>
                        <w:r>
                          <w:rPr>
                            <w:b/>
                          </w:rPr>
                          <w:t>TYPE</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rPr>
                            <w:b/>
                          </w:rPr>
                        </w:pPr>
                        <w:r>
                          <w:rPr>
                            <w:b/>
                          </w:rPr>
                          <w:t>NIVEAU</w:t>
                        </w:r>
                      </w:p>
                    </w:tc>
                    <w:tc>
                      <w:tcPr>
                        <w:tcW w:w="1417"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snapToGrid w:val="0"/>
                          <w:jc w:val="center"/>
                          <w:rPr>
                            <w:b/>
                          </w:rPr>
                        </w:pPr>
                        <w:r>
                          <w:rPr>
                            <w:b/>
                          </w:rPr>
                          <w:t>NOMBRE GUIDE</w:t>
                        </w:r>
                      </w:p>
                    </w:tc>
                  </w:tr>
                  <w:tr w:rsidR="00F04EEF">
                    <w:trPr>
                      <w:cantSplit/>
                      <w:trHeight w:val="562"/>
                    </w:trPr>
                    <w:tc>
                      <w:tcPr>
                        <w:tcW w:w="993"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1</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 enseignement primaire</w:t>
                        </w:r>
                      </w:p>
                      <w:p w:rsidR="00F04EEF" w:rsidRDefault="0099351E">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6</w:t>
                        </w:r>
                      </w:p>
                      <w:p w:rsidR="00F04EEF" w:rsidRDefault="0099351E">
                        <w:pPr>
                          <w:tabs>
                            <w:tab w:val="left" w:pos="1134"/>
                          </w:tabs>
                          <w:jc w:val="center"/>
                        </w:pPr>
                        <w:r>
                          <w:t>6</w:t>
                        </w:r>
                      </w:p>
                    </w:tc>
                  </w:tr>
                  <w:tr w:rsidR="00F04EEF">
                    <w:trPr>
                      <w:cantSplit/>
                      <w:trHeight w:val="402"/>
                    </w:trPr>
                    <w:tc>
                      <w:tcPr>
                        <w:tcW w:w="993"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2</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 enseignement fondamental</w:t>
                        </w:r>
                      </w:p>
                      <w:p w:rsidR="00F04EEF" w:rsidRDefault="0099351E">
                        <w:pPr>
                          <w:tabs>
                            <w:tab w:val="left" w:pos="1134"/>
                          </w:tabs>
                          <w:jc w:val="center"/>
                        </w:pPr>
                        <w:r>
                          <w:t>- enseignement secondaire (à l'exception de la forme 1)</w:t>
                        </w:r>
                      </w:p>
                      <w:p w:rsidR="00F04EEF" w:rsidRDefault="0099351E">
                        <w:pPr>
                          <w:tabs>
                            <w:tab w:val="left" w:pos="1134"/>
                          </w:tabs>
                          <w:jc w:val="center"/>
                        </w:pPr>
                        <w:r>
                          <w:t>- enseignement secondaire de forme 1</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9</w:t>
                        </w:r>
                      </w:p>
                      <w:p w:rsidR="00F04EEF" w:rsidRDefault="0099351E">
                        <w:pPr>
                          <w:tabs>
                            <w:tab w:val="left" w:pos="1134"/>
                          </w:tabs>
                          <w:jc w:val="center"/>
                        </w:pPr>
                        <w:r>
                          <w:t>7</w:t>
                        </w:r>
                      </w:p>
                      <w:p w:rsidR="00F04EEF" w:rsidRDefault="0099351E">
                        <w:pPr>
                          <w:tabs>
                            <w:tab w:val="left" w:pos="1134"/>
                          </w:tabs>
                          <w:jc w:val="center"/>
                        </w:pPr>
                        <w:r>
                          <w:t>9</w:t>
                        </w:r>
                      </w:p>
                    </w:tc>
                  </w:tr>
                  <w:tr w:rsidR="00F04EEF">
                    <w:trPr>
                      <w:cantSplit/>
                      <w:trHeight w:val="402"/>
                    </w:trPr>
                    <w:tc>
                      <w:tcPr>
                        <w:tcW w:w="993"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3</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 enseignement fondamental</w:t>
                        </w:r>
                      </w:p>
                      <w:p w:rsidR="00F04EEF" w:rsidRDefault="0099351E">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6</w:t>
                        </w:r>
                      </w:p>
                      <w:p w:rsidR="00F04EEF" w:rsidRDefault="0099351E">
                        <w:pPr>
                          <w:tabs>
                            <w:tab w:val="left" w:pos="1134"/>
                          </w:tabs>
                          <w:jc w:val="center"/>
                        </w:pPr>
                        <w:r>
                          <w:t>6</w:t>
                        </w:r>
                      </w:p>
                    </w:tc>
                  </w:tr>
                  <w:tr w:rsidR="00F04EEF">
                    <w:trPr>
                      <w:cantSplit/>
                      <w:trHeight w:val="402"/>
                    </w:trPr>
                    <w:tc>
                      <w:tcPr>
                        <w:tcW w:w="993"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4</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 enseignement fondamental</w:t>
                        </w:r>
                      </w:p>
                      <w:p w:rsidR="00F04EEF" w:rsidRDefault="0099351E">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9</w:t>
                        </w:r>
                      </w:p>
                      <w:p w:rsidR="00F04EEF" w:rsidRDefault="0099351E">
                        <w:pPr>
                          <w:tabs>
                            <w:tab w:val="left" w:pos="1134"/>
                          </w:tabs>
                          <w:jc w:val="center"/>
                        </w:pPr>
                        <w:r>
                          <w:t>9</w:t>
                        </w:r>
                      </w:p>
                    </w:tc>
                  </w:tr>
                  <w:tr w:rsidR="00F04EEF">
                    <w:trPr>
                      <w:cantSplit/>
                      <w:trHeight w:val="402"/>
                    </w:trPr>
                    <w:tc>
                      <w:tcPr>
                        <w:tcW w:w="993"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5</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 enseignement fondamental</w:t>
                        </w:r>
                      </w:p>
                      <w:p w:rsidR="00F04EEF" w:rsidRDefault="0099351E">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6</w:t>
                        </w:r>
                      </w:p>
                      <w:p w:rsidR="00F04EEF" w:rsidRDefault="0099351E">
                        <w:pPr>
                          <w:tabs>
                            <w:tab w:val="left" w:pos="1134"/>
                          </w:tabs>
                          <w:jc w:val="center"/>
                        </w:pPr>
                        <w:r>
                          <w:t>6</w:t>
                        </w:r>
                      </w:p>
                    </w:tc>
                  </w:tr>
                  <w:tr w:rsidR="00F04EEF">
                    <w:trPr>
                      <w:cantSplit/>
                      <w:trHeight w:val="402"/>
                    </w:trPr>
                    <w:tc>
                      <w:tcPr>
                        <w:tcW w:w="993"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6</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 enseignement fondamental</w:t>
                        </w:r>
                      </w:p>
                      <w:p w:rsidR="00F04EEF" w:rsidRDefault="0099351E">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7</w:t>
                        </w:r>
                      </w:p>
                      <w:p w:rsidR="00F04EEF" w:rsidRDefault="0099351E">
                        <w:pPr>
                          <w:tabs>
                            <w:tab w:val="left" w:pos="1134"/>
                          </w:tabs>
                          <w:jc w:val="center"/>
                        </w:pPr>
                        <w:r>
                          <w:t>7</w:t>
                        </w:r>
                      </w:p>
                    </w:tc>
                  </w:tr>
                  <w:tr w:rsidR="00F04EEF">
                    <w:trPr>
                      <w:cantSplit/>
                      <w:trHeight w:val="402"/>
                    </w:trPr>
                    <w:tc>
                      <w:tcPr>
                        <w:tcW w:w="993" w:type="dxa"/>
                        <w:tcBorders>
                          <w:top w:val="single" w:sz="4" w:space="0" w:color="000000"/>
                          <w:left w:val="single" w:sz="4" w:space="0" w:color="000000"/>
                          <w:bottom w:val="single" w:sz="4" w:space="0" w:color="auto"/>
                        </w:tcBorders>
                        <w:vAlign w:val="center"/>
                      </w:tcPr>
                      <w:p w:rsidR="00F04EEF" w:rsidRDefault="0099351E">
                        <w:pPr>
                          <w:tabs>
                            <w:tab w:val="left" w:pos="1134"/>
                          </w:tabs>
                          <w:snapToGrid w:val="0"/>
                          <w:jc w:val="center"/>
                        </w:pPr>
                        <w:r>
                          <w:t>7</w:t>
                        </w:r>
                      </w:p>
                    </w:tc>
                    <w:tc>
                      <w:tcPr>
                        <w:tcW w:w="7229"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jc w:val="center"/>
                        </w:pPr>
                        <w:r>
                          <w:t>- enseignement fondamental</w:t>
                        </w:r>
                      </w:p>
                      <w:p w:rsidR="00F04EEF" w:rsidRDefault="0099351E">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7</w:t>
                        </w:r>
                      </w:p>
                      <w:p w:rsidR="00F04EEF" w:rsidRDefault="0099351E">
                        <w:pPr>
                          <w:tabs>
                            <w:tab w:val="left" w:pos="1134"/>
                          </w:tabs>
                          <w:jc w:val="center"/>
                        </w:pPr>
                        <w:r>
                          <w:t>7</w:t>
                        </w:r>
                      </w:p>
                    </w:tc>
                  </w:tr>
                  <w:tr w:rsidR="00F04EEF">
                    <w:trPr>
                      <w:cantSplit/>
                      <w:trHeight w:val="402"/>
                    </w:trPr>
                    <w:tc>
                      <w:tcPr>
                        <w:tcW w:w="993" w:type="dxa"/>
                        <w:tcBorders>
                          <w:top w:val="single" w:sz="4" w:space="0" w:color="auto"/>
                          <w:left w:val="single" w:sz="4" w:space="0" w:color="auto"/>
                          <w:bottom w:val="single" w:sz="4" w:space="0" w:color="auto"/>
                          <w:right w:val="single" w:sz="4" w:space="0" w:color="auto"/>
                        </w:tcBorders>
                        <w:vAlign w:val="center"/>
                      </w:tcPr>
                      <w:p w:rsidR="00F04EEF" w:rsidRDefault="0099351E">
                        <w:pPr>
                          <w:tabs>
                            <w:tab w:val="left" w:pos="1134"/>
                          </w:tabs>
                          <w:snapToGrid w:val="0"/>
                          <w:jc w:val="center"/>
                        </w:pPr>
                        <w:r>
                          <w:t>8</w:t>
                        </w:r>
                      </w:p>
                    </w:tc>
                    <w:tc>
                      <w:tcPr>
                        <w:tcW w:w="7229" w:type="dxa"/>
                        <w:tcBorders>
                          <w:top w:val="single" w:sz="4" w:space="0" w:color="000000"/>
                          <w:left w:val="single" w:sz="4" w:space="0" w:color="auto"/>
                          <w:bottom w:val="single" w:sz="4" w:space="0" w:color="000000"/>
                        </w:tcBorders>
                        <w:vAlign w:val="center"/>
                      </w:tcPr>
                      <w:p w:rsidR="00F04EEF" w:rsidRDefault="0099351E">
                        <w:pPr>
                          <w:tabs>
                            <w:tab w:val="left" w:pos="1134"/>
                          </w:tabs>
                          <w:snapToGrid w:val="0"/>
                          <w:jc w:val="center"/>
                        </w:pPr>
                        <w:r>
                          <w:t>- enseignement primaire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pPr>
                        <w:r>
                          <w:t>6</w:t>
                        </w:r>
                      </w:p>
                    </w:tc>
                  </w:tr>
                  <w:tr w:rsidR="00F04EEF">
                    <w:trPr>
                      <w:cantSplit/>
                      <w:trHeight w:val="402"/>
                    </w:trPr>
                    <w:tc>
                      <w:tcPr>
                        <w:tcW w:w="993" w:type="dxa"/>
                        <w:tcBorders>
                          <w:top w:val="single" w:sz="4" w:space="0" w:color="auto"/>
                          <w:left w:val="single" w:sz="4" w:space="0" w:color="000000"/>
                        </w:tcBorders>
                        <w:vAlign w:val="center"/>
                      </w:tcPr>
                      <w:p w:rsidR="00F04EEF" w:rsidRDefault="0099351E">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Élèves en intégration dans l’enseignement ordinaire, fondamental ou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rPr>
                            <w:color w:val="000000"/>
                          </w:rPr>
                        </w:pPr>
                        <w:r>
                          <w:rPr>
                            <w:color w:val="000000"/>
                          </w:rPr>
                          <w:t>6</w:t>
                        </w:r>
                      </w:p>
                    </w:tc>
                  </w:tr>
                  <w:tr w:rsidR="00F04EEF">
                    <w:trPr>
                      <w:cantSplit/>
                      <w:trHeight w:val="402"/>
                    </w:trPr>
                    <w:tc>
                      <w:tcPr>
                        <w:tcW w:w="993" w:type="dxa"/>
                        <w:tcBorders>
                          <w:left w:val="single" w:sz="4" w:space="0" w:color="000000"/>
                        </w:tcBorders>
                        <w:vAlign w:val="center"/>
                      </w:tcPr>
                      <w:p w:rsidR="00F04EEF" w:rsidRDefault="0099351E">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Élèves de l’enseignement ordinaire, fondamental ou secondaire, placés par le S.A.J.</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rPr>
                            <w:color w:val="000000"/>
                          </w:rPr>
                        </w:pPr>
                        <w:r>
                          <w:rPr>
                            <w:color w:val="000000"/>
                          </w:rPr>
                          <w:t>6</w:t>
                        </w:r>
                      </w:p>
                    </w:tc>
                  </w:tr>
                  <w:tr w:rsidR="00F04EEF">
                    <w:trPr>
                      <w:cantSplit/>
                      <w:trHeight w:val="402"/>
                    </w:trPr>
                    <w:tc>
                      <w:tcPr>
                        <w:tcW w:w="993" w:type="dxa"/>
                        <w:tcBorders>
                          <w:left w:val="single" w:sz="4" w:space="0" w:color="000000"/>
                        </w:tcBorders>
                        <w:vAlign w:val="center"/>
                      </w:tcPr>
                      <w:p w:rsidR="00F04EEF" w:rsidRDefault="0099351E">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Élèves de l’enseignement ordinaire, fondamental ou secondaire, placés par le S.P.J.</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rPr>
                            <w:color w:val="000000"/>
                          </w:rPr>
                        </w:pPr>
                        <w:r>
                          <w:rPr>
                            <w:color w:val="000000"/>
                          </w:rPr>
                          <w:t>6</w:t>
                        </w:r>
                      </w:p>
                    </w:tc>
                  </w:tr>
                  <w:tr w:rsidR="00F04EEF">
                    <w:trPr>
                      <w:cantSplit/>
                      <w:trHeight w:val="402"/>
                    </w:trPr>
                    <w:tc>
                      <w:tcPr>
                        <w:tcW w:w="993" w:type="dxa"/>
                        <w:tcBorders>
                          <w:left w:val="single" w:sz="4" w:space="0" w:color="000000"/>
                          <w:bottom w:val="single" w:sz="4" w:space="0" w:color="000000"/>
                        </w:tcBorders>
                        <w:vAlign w:val="center"/>
                      </w:tcPr>
                      <w:p w:rsidR="00F04EEF" w:rsidRDefault="0099351E">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rPr>
                            <w:b/>
                          </w:rPr>
                        </w:pPr>
                        <w:r>
                          <w:t xml:space="preserve">Élèves de l’enseignement ordinaire, fondamental ou secondaire, </w:t>
                        </w:r>
                        <w:r>
                          <w:rPr>
                            <w:b/>
                          </w:rPr>
                          <w:t>autres que ceux cités précédemment</w:t>
                        </w:r>
                      </w:p>
                    </w:tc>
                    <w:tc>
                      <w:tcPr>
                        <w:tcW w:w="1417" w:type="dxa"/>
                        <w:tcBorders>
                          <w:top w:val="single" w:sz="4" w:space="0" w:color="000000"/>
                          <w:left w:val="single" w:sz="4" w:space="0" w:color="000000"/>
                          <w:bottom w:val="single" w:sz="4" w:space="0" w:color="000000"/>
                          <w:right w:val="single" w:sz="4" w:space="0" w:color="000000"/>
                        </w:tcBorders>
                        <w:vAlign w:val="center"/>
                      </w:tcPr>
                      <w:p w:rsidR="00F04EEF" w:rsidRDefault="0099351E">
                        <w:pPr>
                          <w:tabs>
                            <w:tab w:val="left" w:pos="1134"/>
                          </w:tabs>
                          <w:snapToGrid w:val="0"/>
                          <w:jc w:val="center"/>
                          <w:rPr>
                            <w:color w:val="000000"/>
                          </w:rPr>
                        </w:pPr>
                        <w:r>
                          <w:rPr>
                            <w:color w:val="000000"/>
                          </w:rPr>
                          <w:t>1,8</w:t>
                        </w:r>
                      </w:p>
                    </w:tc>
                  </w:tr>
                </w:tbl>
                <w:p w:rsidR="00F04EEF" w:rsidRDefault="00F04EEF">
                  <w:pPr>
                    <w:tabs>
                      <w:tab w:val="left" w:pos="219"/>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pStyle w:val="Titre4"/>
                  </w:pPr>
                  <w:bookmarkStart w:id="2664" w:name="_2.1._Calcul_du"/>
                  <w:bookmarkStart w:id="2665" w:name="_Toc291075376"/>
                  <w:bookmarkStart w:id="2666" w:name="_Toc291075800"/>
                  <w:bookmarkStart w:id="2667" w:name="_Toc291076224"/>
                  <w:bookmarkStart w:id="2668" w:name="_Toc291076648"/>
                  <w:bookmarkStart w:id="2669" w:name="_Toc291077072"/>
                  <w:bookmarkStart w:id="2670" w:name="_Toc293651916"/>
                  <w:bookmarkStart w:id="2671" w:name="_Toc293653499"/>
                  <w:bookmarkStart w:id="2672" w:name="_Toc293654110"/>
                  <w:bookmarkStart w:id="2673" w:name="_Toc294004688"/>
                  <w:bookmarkStart w:id="2674" w:name="_Toc294185184"/>
                  <w:bookmarkStart w:id="2675" w:name="_Toc324166002"/>
                  <w:bookmarkStart w:id="2676" w:name="_Toc324767039"/>
                  <w:bookmarkStart w:id="2677" w:name="_Toc324767897"/>
                  <w:bookmarkStart w:id="2678" w:name="_Toc453314399"/>
                  <w:bookmarkStart w:id="2679" w:name="_Toc454980434"/>
                  <w:bookmarkEnd w:id="2664"/>
                  <w:r>
                    <w:t>2.1. Calcul du capital-périodes</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Le capital-périodes se calcule par type, par niveau d'enseignement et même, pour le type 2, par forme d'enseignement à la date du 30 septembre.</w:t>
                  </w:r>
                </w:p>
                <w:p w:rsidR="00F04EEF" w:rsidRDefault="00F04EEF">
                  <w:pPr>
                    <w:jc w:val="both"/>
                  </w:pPr>
                </w:p>
                <w:p w:rsidR="00F04EEF" w:rsidRDefault="0099351E">
                  <w:pPr>
                    <w:numPr>
                      <w:ilvl w:val="0"/>
                      <w:numId w:val="33"/>
                    </w:numPr>
                    <w:suppressAutoHyphens/>
                    <w:jc w:val="both"/>
                  </w:pPr>
                  <w:r>
                    <w:rPr>
                      <w:u w:val="single"/>
                    </w:rPr>
                    <w:t>Soit la formule</w:t>
                  </w:r>
                  <w:r>
                    <w:t xml:space="preserve"> :</w:t>
                  </w:r>
                  <w:r>
                    <w:tab/>
                    <w:t>Nombre d'élèves internes x Nombre guide</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bookmarkStart w:id="2680" w:name="_Toc291075377"/>
                  <w:bookmarkStart w:id="2681" w:name="_Toc291075801"/>
                  <w:bookmarkStart w:id="2682" w:name="_Toc291076225"/>
                  <w:bookmarkStart w:id="2683" w:name="_Toc291076649"/>
                  <w:bookmarkStart w:id="2684" w:name="_Toc291077073"/>
                  <w:bookmarkStart w:id="2685" w:name="_Toc293651917"/>
                  <w:bookmarkStart w:id="2686" w:name="_Toc293653500"/>
                  <w:bookmarkStart w:id="2687" w:name="_Toc293654111"/>
                  <w:bookmarkStart w:id="2688" w:name="_Toc294004689"/>
                  <w:bookmarkStart w:id="2689" w:name="_Toc294185185"/>
                  <w:bookmarkStart w:id="2690" w:name="_Toc324166003"/>
                  <w:bookmarkStart w:id="2691" w:name="_Toc324767040"/>
                  <w:bookmarkStart w:id="2692" w:name="_Toc324767898"/>
                  <w:r>
                    <w:t>Le capital-périodes attribué à l'internat est égal à la somme des produits obtenus selon la règle mentionnée ci-avant.</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r>
                    <w:t xml:space="preserve"> </w:t>
                  </w:r>
                </w:p>
                <w:p w:rsidR="00F04EEF" w:rsidRDefault="00F04EEF"/>
                <w:p w:rsidR="00F04EEF" w:rsidRDefault="0099351E">
                  <w:pPr>
                    <w:numPr>
                      <w:ilvl w:val="0"/>
                      <w:numId w:val="33"/>
                    </w:numPr>
                    <w:suppressAutoHyphens/>
                    <w:jc w:val="both"/>
                  </w:pPr>
                  <w:r>
                    <w:rPr>
                      <w:u w:val="single"/>
                    </w:rPr>
                    <w:t>Seule la somme</w:t>
                  </w:r>
                  <w:r>
                    <w:t xml:space="preserve"> de ces résultats est arrondie à l'unité supérieure.</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bookmarkStart w:id="2693" w:name="_Toc291075378"/>
                  <w:bookmarkStart w:id="2694" w:name="_Toc291075802"/>
                  <w:bookmarkStart w:id="2695" w:name="_Toc291076226"/>
                  <w:bookmarkStart w:id="2696" w:name="_Toc291076650"/>
                  <w:bookmarkStart w:id="2697" w:name="_Toc291077074"/>
                  <w:bookmarkStart w:id="2698" w:name="_Toc293651918"/>
                  <w:bookmarkStart w:id="2699" w:name="_Toc293653501"/>
                  <w:bookmarkStart w:id="2700" w:name="_Toc293654112"/>
                  <w:bookmarkStart w:id="2701" w:name="_Toc294004690"/>
                  <w:bookmarkStart w:id="2702" w:name="_Toc294185186"/>
                  <w:bookmarkStart w:id="2703" w:name="_Toc324166004"/>
                  <w:bookmarkStart w:id="2704" w:name="_Toc324767041"/>
                  <w:bookmarkStart w:id="2705" w:name="_Toc324767899"/>
                  <w:r>
                    <w:t>Quel que soit le résultat obtenu, le capital-périodes ne pourra pas être inférieur à 140.</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rsidR="00F04EEF" w:rsidRDefault="00F04EEF">
                  <w:pPr>
                    <w:jc w:val="both"/>
                  </w:pPr>
                </w:p>
                <w:p w:rsidR="00F04EEF" w:rsidRDefault="0099351E">
                  <w:pPr>
                    <w:pStyle w:val="Titre4"/>
                  </w:pPr>
                  <w:bookmarkStart w:id="2706" w:name="_Toc291075379"/>
                  <w:bookmarkStart w:id="2707" w:name="_Toc291075803"/>
                  <w:bookmarkStart w:id="2708" w:name="_Toc291076227"/>
                  <w:bookmarkStart w:id="2709" w:name="_Toc291076651"/>
                  <w:bookmarkStart w:id="2710" w:name="_Toc291077075"/>
                  <w:bookmarkStart w:id="2711" w:name="_Toc293651919"/>
                  <w:bookmarkStart w:id="2712" w:name="_Toc293653502"/>
                  <w:bookmarkStart w:id="2713" w:name="_Toc293654113"/>
                  <w:bookmarkStart w:id="2714" w:name="_Toc294004691"/>
                  <w:bookmarkStart w:id="2715" w:name="_Toc294185187"/>
                  <w:bookmarkStart w:id="2716" w:name="_Toc324166005"/>
                  <w:bookmarkStart w:id="2717" w:name="_Toc324767042"/>
                  <w:bookmarkStart w:id="2718" w:name="_Toc324767900"/>
                  <w:bookmarkStart w:id="2719" w:name="_Toc453314400"/>
                  <w:bookmarkStart w:id="2720" w:name="_Toc454980435"/>
                  <w:r>
                    <w:t>2.2. Augmentation du capital-périodes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Après le 30 septembre, le capital-périodes peut être recalculé chaque fois que le nombre d'élèves internes augmente d'au moins 10 % par rapport à celui qui a servi la dernière fois de base pour la détermination de ce capital-périodes.</w:t>
                  </w:r>
                </w:p>
                <w:p w:rsidR="00F04EEF" w:rsidRDefault="00F04EEF">
                  <w:pPr>
                    <w:jc w:val="both"/>
                  </w:pPr>
                </w:p>
                <w:p w:rsidR="00F04EEF" w:rsidRDefault="0099351E">
                  <w:pPr>
                    <w:jc w:val="both"/>
                  </w:pPr>
                  <w:r>
                    <w:t>Cet accroissement d'élèves n'est pris en considération que si l'augmentation du nombre d'élèves internes est maintenue pendant 10 jours de classe consécutifs.</w:t>
                  </w:r>
                </w:p>
                <w:p w:rsidR="00F04EEF" w:rsidRDefault="0099351E">
                  <w:pPr>
                    <w:jc w:val="both"/>
                  </w:pPr>
                  <w:r>
                    <w:t>Toute demande de révision du calcul du capital-périodes doit être sollicitée directement auprès du vérificateur (éventuellement par téléphone).</w:t>
                  </w:r>
                </w:p>
                <w:p w:rsidR="00F04EEF" w:rsidRDefault="00F04EEF">
                  <w:pPr>
                    <w:jc w:val="both"/>
                  </w:pPr>
                </w:p>
                <w:p w:rsidR="00F04EEF" w:rsidRDefault="0099351E">
                  <w:pPr>
                    <w:jc w:val="both"/>
                  </w:pPr>
                  <w:r>
                    <w:t>Aucun engagement de personnel ne peut avoir lieu avant d'obtenir l'accord du vérificateur sur cette augmentation.</w:t>
                  </w:r>
                </w:p>
                <w:p w:rsidR="00F04EEF" w:rsidRDefault="00F04EEF">
                  <w:pPr>
                    <w:jc w:val="both"/>
                  </w:pPr>
                </w:p>
                <w:p w:rsidR="00F04EEF" w:rsidRDefault="0099351E">
                  <w:pPr>
                    <w:pStyle w:val="Titre4"/>
                  </w:pPr>
                  <w:bookmarkStart w:id="2721" w:name="_2.5_Reliquats"/>
                  <w:bookmarkStart w:id="2722" w:name="_Toc453314401"/>
                  <w:bookmarkStart w:id="2723" w:name="_Toc454980436"/>
                  <w:bookmarkEnd w:id="2721"/>
                  <w:r>
                    <w:t>2.5 Reliquats</w:t>
                  </w:r>
                  <w:bookmarkEnd w:id="2722"/>
                  <w:bookmarkEnd w:id="2723"/>
                </w:p>
                <w:p w:rsidR="00F04EEF" w:rsidRDefault="00F04EEF">
                  <w:pPr>
                    <w:rPr>
                      <w:color w:val="000000"/>
                    </w:rPr>
                  </w:pPr>
                </w:p>
                <w:p w:rsidR="00F04EEF" w:rsidRDefault="0099351E">
                  <w:pPr>
                    <w:jc w:val="both"/>
                    <w:rPr>
                      <w:color w:val="000000"/>
                      <w:lang w:eastAsia="fr-FR"/>
                    </w:rPr>
                  </w:pPr>
                  <w:r>
                    <w:rPr>
                      <w:color w:val="000000"/>
                      <w:lang w:eastAsia="fr-FR"/>
                    </w:rPr>
                    <w:t xml:space="preserve">Le </w:t>
                  </w:r>
                  <w:r>
                    <w:rPr>
                      <w:lang w:eastAsia="fr-FR"/>
                    </w:rPr>
                    <w:t>nombre de périodes restantes après imputation au capital-périodes des périodes attribuées</w:t>
                  </w:r>
                  <w:r>
                    <w:rPr>
                      <w:color w:val="000000"/>
                      <w:lang w:eastAsia="fr-FR"/>
                    </w:rPr>
                    <w:t xml:space="preserve"> à chaque membre des personnels paramédical, social, psychologique, auxiliaire d’éducation et administratif constitue le reliquat.</w:t>
                  </w:r>
                </w:p>
                <w:p w:rsidR="00F04EEF" w:rsidRDefault="00F04EEF">
                  <w:pPr>
                    <w:jc w:val="both"/>
                    <w:rPr>
                      <w:color w:val="000000"/>
                      <w:lang w:eastAsia="fr-FR"/>
                    </w:rPr>
                  </w:pPr>
                </w:p>
                <w:p w:rsidR="00F04EEF" w:rsidRDefault="0099351E">
                  <w:pPr>
                    <w:jc w:val="both"/>
                    <w:rPr>
                      <w:color w:val="000000"/>
                      <w:lang w:eastAsia="fr-FR"/>
                    </w:rPr>
                  </w:pPr>
                  <w:r>
                    <w:rPr>
                      <w:color w:val="000000"/>
                      <w:lang w:eastAsia="fr-FR"/>
                    </w:rPr>
                    <w:t>Aucune nomination ni changement d’affectation ne pourra se faire sur la base de l’utilisation des reliquats.</w:t>
                  </w:r>
                </w:p>
                <w:p w:rsidR="00F04EEF" w:rsidRDefault="00F04EEF"/>
                <w:p w:rsidR="00F04EEF" w:rsidRDefault="0099351E">
                  <w:pPr>
                    <w:jc w:val="both"/>
                  </w:pPr>
                  <w:r>
                    <w:t xml:space="preserve">Les conventions de transfert des reliquats sont à adresser à : </w:t>
                  </w:r>
                </w:p>
                <w:p w:rsidR="00F04EEF" w:rsidRDefault="00F04EE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rsidR="00F04EEF">
                    <w:trPr>
                      <w:trHeight w:val="1810"/>
                    </w:trPr>
                    <w:tc>
                      <w:tcPr>
                        <w:tcW w:w="9679" w:type="dxa"/>
                      </w:tcPr>
                      <w:p w:rsidR="00F04EEF" w:rsidRDefault="0099351E">
                        <w:pPr>
                          <w:pStyle w:val="Corpsdetexte"/>
                          <w:jc w:val="center"/>
                          <w:rPr>
                            <w:b w:val="0"/>
                            <w:szCs w:val="22"/>
                          </w:rPr>
                        </w:pPr>
                        <w:r>
                          <w:rPr>
                            <w:b w:val="0"/>
                            <w:szCs w:val="22"/>
                          </w:rPr>
                          <w:t>Direction générale de l’Enseignement obligatoire</w:t>
                        </w:r>
                      </w:p>
                      <w:p w:rsidR="00F04EEF" w:rsidRDefault="0099351E">
                        <w:pPr>
                          <w:pStyle w:val="Corpsdetexte"/>
                          <w:jc w:val="center"/>
                          <w:rPr>
                            <w:b w:val="0"/>
                            <w:szCs w:val="22"/>
                          </w:rPr>
                        </w:pPr>
                        <w:r>
                          <w:rPr>
                            <w:b w:val="0"/>
                            <w:szCs w:val="22"/>
                          </w:rPr>
                          <w:t>Service de l’Enseignement spécialisé</w:t>
                        </w:r>
                      </w:p>
                      <w:p w:rsidR="00F04EEF" w:rsidRDefault="0099351E">
                        <w:pPr>
                          <w:pStyle w:val="Corpsdetexte"/>
                          <w:jc w:val="center"/>
                          <w:rPr>
                            <w:b w:val="0"/>
                            <w:szCs w:val="22"/>
                          </w:rPr>
                        </w:pPr>
                        <w:r>
                          <w:rPr>
                            <w:b w:val="0"/>
                            <w:szCs w:val="22"/>
                          </w:rPr>
                          <w:t>Madame Véronique ROMBAUT</w:t>
                        </w:r>
                      </w:p>
                      <w:p w:rsidR="00F04EEF" w:rsidRDefault="0099351E">
                        <w:pPr>
                          <w:pStyle w:val="Corpsdetexte"/>
                          <w:jc w:val="center"/>
                          <w:rPr>
                            <w:b w:val="0"/>
                            <w:szCs w:val="22"/>
                          </w:rPr>
                        </w:pPr>
                        <w:r>
                          <w:rPr>
                            <w:b w:val="0"/>
                            <w:szCs w:val="22"/>
                          </w:rPr>
                          <w:t>Bureau 2F251</w:t>
                        </w:r>
                      </w:p>
                      <w:p w:rsidR="00F04EEF" w:rsidRDefault="0099351E">
                        <w:pPr>
                          <w:pStyle w:val="Corpsdetexte"/>
                          <w:jc w:val="center"/>
                          <w:rPr>
                            <w:b w:val="0"/>
                            <w:szCs w:val="22"/>
                          </w:rPr>
                        </w:pPr>
                        <w:r>
                          <w:rPr>
                            <w:b w:val="0"/>
                            <w:szCs w:val="22"/>
                          </w:rPr>
                          <w:t>Rue Adolphe Lavallée, 1</w:t>
                        </w:r>
                      </w:p>
                      <w:p w:rsidR="00F04EEF" w:rsidRDefault="0099351E">
                        <w:pPr>
                          <w:pStyle w:val="Corpsdetexte"/>
                          <w:jc w:val="center"/>
                          <w:rPr>
                            <w:b w:val="0"/>
                            <w:szCs w:val="22"/>
                          </w:rPr>
                        </w:pPr>
                        <w:r>
                          <w:rPr>
                            <w:b w:val="0"/>
                            <w:szCs w:val="22"/>
                          </w:rPr>
                          <w:t>1080   BRUXELLES</w:t>
                        </w:r>
                      </w:p>
                      <w:p w:rsidR="00F04EEF" w:rsidRDefault="0099351E">
                        <w:pPr>
                          <w:pStyle w:val="Corpsdetexte"/>
                          <w:jc w:val="center"/>
                          <w:rPr>
                            <w:b w:val="0"/>
                            <w:szCs w:val="22"/>
                          </w:rPr>
                        </w:pPr>
                        <w:r>
                          <w:rPr>
                            <w:b w:val="0"/>
                            <w:szCs w:val="22"/>
                          </w:rPr>
                          <w:sym w:font="Wingdings" w:char="F028"/>
                        </w:r>
                        <w:r>
                          <w:rPr>
                            <w:b w:val="0"/>
                            <w:szCs w:val="22"/>
                          </w:rPr>
                          <w:t xml:space="preserve"> : 02/690.83.99 - </w:t>
                        </w:r>
                        <w:r>
                          <w:rPr>
                            <w:b w:val="0"/>
                            <w:bCs/>
                            <w:szCs w:val="22"/>
                          </w:rPr>
                          <w:sym w:font="Wingdings" w:char="F03A"/>
                        </w:r>
                        <w:r>
                          <w:rPr>
                            <w:b w:val="0"/>
                            <w:bCs/>
                            <w:szCs w:val="22"/>
                          </w:rPr>
                          <w:t> </w:t>
                        </w:r>
                        <w:hyperlink r:id="rId181" w:history="1">
                          <w:r>
                            <w:rPr>
                              <w:rStyle w:val="Lienhypertexte"/>
                              <w:b w:val="0"/>
                              <w:bCs/>
                              <w:szCs w:val="22"/>
                            </w:rPr>
                            <w:t>veronique.rombaut@cfwb.be</w:t>
                          </w:r>
                        </w:hyperlink>
                        <w:r>
                          <w:rPr>
                            <w:b w:val="0"/>
                            <w:bCs/>
                            <w:szCs w:val="22"/>
                          </w:rPr>
                          <w:t xml:space="preserve"> </w:t>
                        </w:r>
                      </w:p>
                    </w:tc>
                  </w:tr>
                </w:tbl>
                <w:p w:rsidR="00F04EEF" w:rsidRDefault="00F04EEF"/>
                <w:p w:rsidR="00F04EEF" w:rsidRDefault="0099351E">
                  <w:pPr>
                    <w:pStyle w:val="Titre3"/>
                  </w:pPr>
                  <w:bookmarkStart w:id="2724" w:name="__RefHeading__211_957262308"/>
                  <w:bookmarkStart w:id="2725" w:name="_Toc47708531"/>
                  <w:bookmarkStart w:id="2726" w:name="_Toc291075381"/>
                  <w:bookmarkStart w:id="2727" w:name="_Toc291075805"/>
                  <w:bookmarkStart w:id="2728" w:name="_Toc291076229"/>
                  <w:bookmarkStart w:id="2729" w:name="_Toc291076653"/>
                  <w:bookmarkStart w:id="2730" w:name="_Toc291077077"/>
                  <w:bookmarkEnd w:id="2724"/>
                  <w:r>
                    <w:t>3. Fonctions</w:t>
                  </w:r>
                  <w:bookmarkEnd w:id="2725"/>
                  <w:r>
                    <w:t xml:space="preserve"> </w:t>
                  </w:r>
                </w:p>
                <w:p w:rsidR="00F04EEF" w:rsidRDefault="00F04EEF"/>
                <w:p w:rsidR="00F04EEF" w:rsidRDefault="0099351E">
                  <w:pPr>
                    <w:pStyle w:val="Titre4"/>
                  </w:pPr>
                  <w:bookmarkStart w:id="2731" w:name="_Toc293651921"/>
                  <w:bookmarkStart w:id="2732" w:name="_Toc293653504"/>
                  <w:bookmarkStart w:id="2733" w:name="_Toc293654115"/>
                  <w:bookmarkStart w:id="2734" w:name="_Toc294004693"/>
                  <w:bookmarkStart w:id="2735" w:name="_Toc294185189"/>
                  <w:bookmarkStart w:id="2736" w:name="_Toc324166007"/>
                  <w:bookmarkStart w:id="2737" w:name="_Toc324767044"/>
                  <w:bookmarkStart w:id="2738" w:name="_Toc324767902"/>
                  <w:bookmarkStart w:id="2739" w:name="_Toc453314403"/>
                  <w:bookmarkStart w:id="2740" w:name="_Toc454980438"/>
                  <w:r>
                    <w:t>3.1. Fonction de promotion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r>
                    <w:t xml:space="preserv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Il existe, par home d'accueil et par institut d'enseignement spécialisé organisé par la Fédération Wallonie-Bruxelles, une fonction d'administrateur.</w:t>
                  </w:r>
                </w:p>
                <w:p w:rsidR="00F04EEF" w:rsidRDefault="0099351E">
                  <w:pPr>
                    <w:jc w:val="both"/>
                  </w:pPr>
                  <w:r>
                    <w:t>Cette fonction ne fait pas partie du capital-périodes.</w:t>
                  </w:r>
                </w:p>
                <w:p w:rsidR="00F04EEF" w:rsidRDefault="00F04EEF">
                  <w:pPr>
                    <w:jc w:val="both"/>
                  </w:pPr>
                </w:p>
                <w:p w:rsidR="00F04EEF" w:rsidRDefault="0099351E">
                  <w:pPr>
                    <w:jc w:val="both"/>
                  </w:pPr>
                  <w:r>
                    <w:t>Dans le home d'accueil, l'administrateur assume la direction et a, à l'égard du personnel, les attributions dévolues au chef d'établissement d'enseignement telles que prévues par les dispositions statutaires. Il n'est pas soumis au signalement.</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pStyle w:val="Titre4"/>
                  </w:pPr>
                  <w:bookmarkStart w:id="2741" w:name="_3.2._Fonctions_de"/>
                  <w:bookmarkStart w:id="2742" w:name="_Toc291075382"/>
                  <w:bookmarkStart w:id="2743" w:name="_Toc291075806"/>
                  <w:bookmarkStart w:id="2744" w:name="_Toc291076230"/>
                  <w:bookmarkStart w:id="2745" w:name="_Toc291076654"/>
                  <w:bookmarkStart w:id="2746" w:name="_Toc291077078"/>
                  <w:bookmarkStart w:id="2747" w:name="_Toc293651922"/>
                  <w:bookmarkStart w:id="2748" w:name="_Toc293653505"/>
                  <w:bookmarkStart w:id="2749" w:name="_Toc293654116"/>
                  <w:bookmarkStart w:id="2750" w:name="_Toc294004694"/>
                  <w:bookmarkStart w:id="2751" w:name="_Toc294185190"/>
                  <w:bookmarkStart w:id="2752" w:name="_Toc324166008"/>
                  <w:bookmarkStart w:id="2753" w:name="_Toc324767045"/>
                  <w:bookmarkStart w:id="2754" w:name="_Toc324767903"/>
                  <w:bookmarkStart w:id="2755" w:name="_Toc453314404"/>
                  <w:bookmarkStart w:id="2756" w:name="_Toc454980439"/>
                  <w:bookmarkEnd w:id="2741"/>
                  <w:r>
                    <w:t>3.2. Fonctions de recrutement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Les fonctions de recrutement organisées dans le cadre du C.P.U. de l'internat, peuvent être celles de psychologue, de puéricultrice, d'infirmier(ère), de logopède, de kinésithérapeute, d’ergothérapeute, d'assistant(e) social(e), d’éducateur(trice) d'internat, de correspondant(e)-comptable et de commis.</w:t>
                  </w:r>
                </w:p>
                <w:p w:rsidR="00F04EEF" w:rsidRDefault="00F04EEF">
                  <w:pPr>
                    <w:jc w:val="both"/>
                  </w:pPr>
                </w:p>
                <w:p w:rsidR="00F04EEF" w:rsidRDefault="0099351E">
                  <w:pPr>
                    <w:jc w:val="both"/>
                  </w:pPr>
                  <w:r>
                    <w:t>Les prestations de ces membres du personnel sont effectuées au profit exclusif des élèves internes.</w:t>
                  </w:r>
                </w:p>
                <w:p w:rsidR="00F04EEF" w:rsidRDefault="00F04EEF">
                  <w:pPr>
                    <w:jc w:val="both"/>
                  </w:pPr>
                </w:p>
                <w:p w:rsidR="00F04EEF" w:rsidRDefault="0099351E">
                  <w:pPr>
                    <w:jc w:val="both"/>
                  </w:pPr>
                  <w:r>
                    <w:t>Ceux-ci ne reçoivent pas, pendant les heures de classe, d'intervention directe de la part du personnel attribué dans le cadre de l'internat.</w:t>
                  </w:r>
                </w:p>
                <w:p w:rsidR="00F04EEF" w:rsidRDefault="00F04EEF">
                  <w:pPr>
                    <w:jc w:val="both"/>
                  </w:pPr>
                </w:p>
                <w:p w:rsidR="00F04EEF" w:rsidRDefault="0099351E">
                  <w:pPr>
                    <w:pStyle w:val="Titre3"/>
                    <w:rPr>
                      <w:rStyle w:val="Titre1Car"/>
                      <w:rFonts w:eastAsiaTheme="minorHAnsi" w:cstheme="minorBidi"/>
                      <w:caps w:val="0"/>
                      <w:color w:val="auto"/>
                      <w:sz w:val="24"/>
                      <w:szCs w:val="24"/>
                      <w:lang w:eastAsia="en-US"/>
                    </w:rPr>
                  </w:pPr>
                  <w:bookmarkStart w:id="2757" w:name="__RefHeading__213_957262308"/>
                  <w:bookmarkStart w:id="2758" w:name="_Toc47708532"/>
                  <w:bookmarkEnd w:id="2757"/>
                  <w:r>
                    <w:t>4. Plages-horaire</w:t>
                  </w:r>
                  <w:bookmarkEnd w:id="2758"/>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tabs>
                      <w:tab w:val="left" w:pos="3967"/>
                    </w:tabs>
                    <w:jc w:val="both"/>
                  </w:pPr>
                  <w:r>
                    <w:t xml:space="preserve">Psychologue     </w:t>
                  </w:r>
                  <w:r>
                    <w:tab/>
                  </w:r>
                  <w:r>
                    <w:tab/>
                  </w:r>
                  <w:r>
                    <w:tab/>
                    <w:t>36 à 38 heures par semaine</w:t>
                  </w:r>
                </w:p>
                <w:p w:rsidR="00F04EEF" w:rsidRDefault="0099351E">
                  <w:pPr>
                    <w:tabs>
                      <w:tab w:val="left" w:pos="3960"/>
                    </w:tabs>
                    <w:jc w:val="both"/>
                  </w:pPr>
                  <w:r>
                    <w:t>Puéricult(eur)(rice)</w:t>
                  </w:r>
                  <w:r>
                    <w:tab/>
                  </w:r>
                  <w:r>
                    <w:tab/>
                  </w:r>
                  <w:r>
                    <w:tab/>
                    <w:t>32 à 36 heures par semaine</w:t>
                  </w:r>
                </w:p>
                <w:p w:rsidR="00F04EEF" w:rsidRDefault="0099351E">
                  <w:pPr>
                    <w:tabs>
                      <w:tab w:val="left" w:pos="3960"/>
                    </w:tabs>
                    <w:jc w:val="both"/>
                  </w:pPr>
                  <w:r>
                    <w:t>Logopède</w:t>
                  </w:r>
                  <w:r>
                    <w:tab/>
                  </w:r>
                  <w:r>
                    <w:tab/>
                  </w:r>
                  <w:r>
                    <w:tab/>
                    <w:t>32 à 36 heures par semaine</w:t>
                  </w:r>
                </w:p>
                <w:p w:rsidR="00F04EEF" w:rsidRDefault="0099351E">
                  <w:pPr>
                    <w:tabs>
                      <w:tab w:val="left" w:pos="3960"/>
                    </w:tabs>
                    <w:jc w:val="both"/>
                  </w:pPr>
                  <w:r>
                    <w:t>Kinésithérapeute</w:t>
                  </w:r>
                  <w:r>
                    <w:tab/>
                  </w:r>
                  <w:r>
                    <w:tab/>
                  </w:r>
                  <w:r>
                    <w:tab/>
                    <w:t>32 à 36 heures par semaine</w:t>
                  </w:r>
                </w:p>
                <w:p w:rsidR="00F04EEF" w:rsidRDefault="0099351E">
                  <w:pPr>
                    <w:tabs>
                      <w:tab w:val="left" w:pos="3960"/>
                    </w:tabs>
                    <w:jc w:val="both"/>
                  </w:pPr>
                  <w:r>
                    <w:t>Ergothérapeute</w:t>
                  </w:r>
                  <w:r>
                    <w:tab/>
                  </w:r>
                  <w:r>
                    <w:tab/>
                  </w:r>
                  <w:r>
                    <w:tab/>
                    <w:t>32 à 36 heures par semaine</w:t>
                  </w:r>
                </w:p>
                <w:p w:rsidR="00F04EEF" w:rsidRDefault="0099351E">
                  <w:pPr>
                    <w:tabs>
                      <w:tab w:val="left" w:pos="3960"/>
                    </w:tabs>
                    <w:jc w:val="both"/>
                  </w:pPr>
                  <w:r>
                    <w:t>Assistant(e) social(e)</w:t>
                  </w:r>
                  <w:r>
                    <w:tab/>
                  </w:r>
                  <w:r>
                    <w:tab/>
                  </w:r>
                  <w:r>
                    <w:tab/>
                    <w:t>36 à 38 heures par semaine</w:t>
                  </w:r>
                </w:p>
                <w:p w:rsidR="00F04EEF" w:rsidRDefault="0099351E">
                  <w:pPr>
                    <w:tabs>
                      <w:tab w:val="left" w:pos="3960"/>
                    </w:tabs>
                    <w:jc w:val="both"/>
                  </w:pPr>
                  <w:r>
                    <w:t>Infirmier(ère)</w:t>
                  </w:r>
                  <w:r>
                    <w:tab/>
                  </w:r>
                  <w:r>
                    <w:tab/>
                  </w:r>
                  <w:r>
                    <w:tab/>
                    <w:t>32 à 36 heures par semaine</w:t>
                  </w:r>
                </w:p>
                <w:p w:rsidR="00F04EEF" w:rsidRDefault="0099351E">
                  <w:pPr>
                    <w:tabs>
                      <w:tab w:val="left" w:pos="3960"/>
                    </w:tabs>
                    <w:jc w:val="both"/>
                  </w:pPr>
                  <w:r>
                    <w:t>Educateur(trice) d'internat</w:t>
                  </w:r>
                  <w:r>
                    <w:tab/>
                  </w:r>
                  <w:r>
                    <w:tab/>
                  </w:r>
                  <w:r>
                    <w:tab/>
                    <w:t>36 à 38 heures par semaine</w:t>
                  </w:r>
                </w:p>
                <w:p w:rsidR="00F04EEF" w:rsidRDefault="0099351E">
                  <w:pPr>
                    <w:tabs>
                      <w:tab w:val="left" w:pos="3960"/>
                    </w:tabs>
                    <w:jc w:val="both"/>
                  </w:pPr>
                  <w:r>
                    <w:t>Commis - dactylographe</w:t>
                  </w:r>
                  <w:r>
                    <w:tab/>
                  </w:r>
                  <w:r>
                    <w:tab/>
                  </w:r>
                  <w:r>
                    <w:tab/>
                    <w:t>38 heures par semaine</w:t>
                  </w:r>
                </w:p>
                <w:p w:rsidR="00F04EEF" w:rsidRDefault="0099351E">
                  <w:pPr>
                    <w:tabs>
                      <w:tab w:val="left" w:pos="3967"/>
                    </w:tabs>
                    <w:jc w:val="both"/>
                  </w:pPr>
                  <w:r>
                    <w:t>Correspondant(e)-comptable</w:t>
                  </w:r>
                  <w:r>
                    <w:tab/>
                  </w:r>
                  <w:r>
                    <w:tab/>
                  </w:r>
                  <w:r>
                    <w:tab/>
                    <w:t>38 heures par semaine</w:t>
                  </w:r>
                </w:p>
                <w:p w:rsidR="00F04EEF" w:rsidRDefault="0099351E">
                  <w:pPr>
                    <w:tabs>
                      <w:tab w:val="left" w:pos="3967"/>
                    </w:tabs>
                    <w:jc w:val="both"/>
                  </w:pPr>
                  <w:r>
                    <w:t>Comptable</w:t>
                  </w:r>
                  <w:r>
                    <w:tab/>
                  </w:r>
                  <w:r>
                    <w:tab/>
                  </w:r>
                  <w:r>
                    <w:tab/>
                    <w:t>38 heures par semaine</w:t>
                  </w:r>
                </w:p>
                <w:p w:rsidR="00F04EEF" w:rsidRDefault="00F04EEF">
                  <w:pPr>
                    <w:tabs>
                      <w:tab w:val="left" w:pos="3967"/>
                    </w:tabs>
                    <w:jc w:val="both"/>
                  </w:pPr>
                </w:p>
                <w:p w:rsidR="00F04EEF" w:rsidRDefault="0099351E">
                  <w:pPr>
                    <w:jc w:val="both"/>
                  </w:pPr>
                  <w:r>
                    <w:t>Les périodes attribuées au conseil de classe, au travail en équipe et à la guidance font partie du capital-périodes et sont incluses dans les périodes de prestations.</w:t>
                  </w:r>
                </w:p>
                <w:p w:rsidR="00F04EEF" w:rsidRDefault="00F04EEF">
                  <w:pPr>
                    <w:jc w:val="both"/>
                    <w:rPr>
                      <w:color w:val="000000"/>
                    </w:rPr>
                  </w:pPr>
                </w:p>
                <w:p w:rsidR="00F04EEF" w:rsidRDefault="0099351E">
                  <w:pPr>
                    <w:jc w:val="both"/>
                    <w:rPr>
                      <w:color w:val="000000"/>
                    </w:rPr>
                  </w:pPr>
                  <w:r>
                    <w:rPr>
                      <w:color w:val="000000"/>
                    </w:rPr>
                    <w:t>Les prestations des puéricultrices et des infirmiers(ères) pourront s'étaler, selon les besoins, du lever au coucher des élèves. Les horaires seront organisés en fonction des nécessités du service.</w:t>
                  </w:r>
                </w:p>
                <w:p w:rsidR="00F04EEF" w:rsidRDefault="00F04EEF">
                  <w:pPr>
                    <w:jc w:val="both"/>
                    <w:rPr>
                      <w:color w:val="000000"/>
                    </w:rPr>
                  </w:pPr>
                </w:p>
                <w:p w:rsidR="00F04EEF" w:rsidRDefault="0099351E">
                  <w:pPr>
                    <w:pStyle w:val="Titre3"/>
                  </w:pPr>
                  <w:bookmarkStart w:id="2759" w:name="_5._Travail_collaboratif"/>
                  <w:bookmarkStart w:id="2760" w:name="_Toc47708533"/>
                  <w:bookmarkEnd w:id="2759"/>
                  <w:r>
                    <w:t>5. Travail collaboratif</w:t>
                  </w:r>
                  <w:bookmarkEnd w:id="2760"/>
                  <w:r>
                    <w:t xml:space="preserv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F04EEF" w:rsidRDefault="0099351E">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F04EEF" w:rsidRDefault="0099351E">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F04EEF" w:rsidRDefault="0099351E">
                  <w:pPr>
                    <w:pStyle w:val="Titre3"/>
                  </w:pPr>
                  <w:bookmarkStart w:id="2761" w:name="__RefHeading__215_957262308"/>
                  <w:bookmarkStart w:id="2762" w:name="_Toc291075384"/>
                  <w:bookmarkStart w:id="2763" w:name="_Toc291075808"/>
                  <w:bookmarkStart w:id="2764" w:name="_Toc291076232"/>
                  <w:bookmarkStart w:id="2765" w:name="_Toc291076656"/>
                  <w:bookmarkStart w:id="2766" w:name="_Toc291077080"/>
                  <w:bookmarkStart w:id="2767" w:name="_Toc293651924"/>
                  <w:bookmarkStart w:id="2768" w:name="_Toc293653507"/>
                  <w:bookmarkStart w:id="2769" w:name="_Toc293654118"/>
                  <w:bookmarkStart w:id="2770" w:name="_Toc294004696"/>
                  <w:bookmarkStart w:id="2771" w:name="_Toc294185192"/>
                  <w:bookmarkStart w:id="2772" w:name="_Toc324166010"/>
                  <w:bookmarkStart w:id="2773" w:name="_Toc324767047"/>
                  <w:bookmarkStart w:id="2774" w:name="_Toc453314406"/>
                  <w:bookmarkStart w:id="2775" w:name="_Toc454980441"/>
                  <w:bookmarkStart w:id="2776" w:name="_Toc47708534"/>
                  <w:bookmarkEnd w:id="2761"/>
                  <w:r>
                    <w:t>6. Répartition des emplois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r>
                    <w:t xml:space="preserv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F04EEF" w:rsidRDefault="0099351E">
                  <w:pPr>
                    <w:jc w:val="both"/>
                    <w:rPr>
                      <w:color w:val="000000"/>
                    </w:rPr>
                  </w:pPr>
                  <w:r>
                    <w:rPr>
                      <w:color w:val="000000"/>
                    </w:rPr>
                    <w:t>50 % au minimum du capital-périodes utilisé doit être attribué à la fonction d’éducateur (trice) d'internat.</w:t>
                  </w:r>
                </w:p>
                <w:p w:rsidR="00F04EEF" w:rsidRDefault="00F04EEF">
                  <w:bookmarkStart w:id="2777" w:name="__RefHeading__217_957262308"/>
                  <w:bookmarkStart w:id="2778" w:name="_Toc291075385"/>
                  <w:bookmarkStart w:id="2779" w:name="_Toc291075809"/>
                  <w:bookmarkStart w:id="2780" w:name="_Toc291076233"/>
                  <w:bookmarkStart w:id="2781" w:name="_Toc291076657"/>
                  <w:bookmarkStart w:id="2782" w:name="_Toc291077081"/>
                  <w:bookmarkEnd w:id="2777"/>
                </w:p>
                <w:p w:rsidR="00F04EEF" w:rsidRDefault="0099351E">
                  <w:pPr>
                    <w:pStyle w:val="Titre3"/>
                  </w:pPr>
                  <w:bookmarkStart w:id="2783" w:name="_Toc293651925"/>
                  <w:bookmarkStart w:id="2784" w:name="_Toc293653508"/>
                  <w:bookmarkStart w:id="2785" w:name="_Toc293654119"/>
                  <w:bookmarkStart w:id="2786" w:name="_Toc294004697"/>
                  <w:bookmarkStart w:id="2787" w:name="_Toc294185193"/>
                  <w:bookmarkStart w:id="2788" w:name="_Toc324166011"/>
                  <w:bookmarkStart w:id="2789" w:name="_Toc324767048"/>
                  <w:bookmarkStart w:id="2790" w:name="_Toc453314407"/>
                  <w:bookmarkStart w:id="2791" w:name="_Toc454980442"/>
                  <w:bookmarkStart w:id="2792" w:name="_Toc47708535"/>
                  <w:r>
                    <w:t>7. Tenue de la comptabilité dans les homes d’accueil</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r>
                    <w:t xml:space="preserv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F04EEF" w:rsidRDefault="0099351E">
                  <w:pPr>
                    <w:jc w:val="both"/>
                    <w:rPr>
                      <w:color w:val="000000"/>
                    </w:rPr>
                  </w:pPr>
                  <w:r>
                    <w:rPr>
                      <w:color w:val="000000"/>
                    </w:rPr>
                    <w:t>Par home d'accueil, un(e) comptable ou un(e) éducateur (trice) d'internat est chargé, hors capital-périodes, de la gestion comptable.</w:t>
                  </w:r>
                </w:p>
                <w:p w:rsidR="00F04EEF" w:rsidRDefault="00F04EEF">
                  <w:pPr>
                    <w:jc w:val="both"/>
                    <w:rPr>
                      <w:color w:val="000000"/>
                    </w:rPr>
                  </w:pPr>
                </w:p>
                <w:p w:rsidR="00F04EEF" w:rsidRDefault="0099351E">
                  <w:pPr>
                    <w:pStyle w:val="Titre3"/>
                  </w:pPr>
                  <w:bookmarkStart w:id="2793" w:name="_Toc453314408"/>
                  <w:bookmarkStart w:id="2794" w:name="_Toc454980443"/>
                  <w:bookmarkStart w:id="2795" w:name="_Toc47708536"/>
                  <w:r>
                    <w:t>8. Annexes</w:t>
                  </w:r>
                  <w:bookmarkEnd w:id="2793"/>
                  <w:bookmarkEnd w:id="2794"/>
                  <w:bookmarkEnd w:id="2795"/>
                </w:p>
                <w:p w:rsidR="00F04EEF" w:rsidRDefault="00F04EEF">
                  <w:pPr>
                    <w:jc w:val="both"/>
                  </w:pPr>
                </w:p>
                <w:p w:rsidR="00F04EEF" w:rsidRDefault="0099351E">
                  <w:pPr>
                    <w:jc w:val="both"/>
                  </w:pPr>
                  <w:r>
                    <w:t>Vous trouverez ci-joint, en annexe 2, le modèle d’attestation de fréquentation d’un établissement d’enseignement spécialisé.  Cette attestation doit être conservée au sein de la structure d’accueil.</w:t>
                  </w:r>
                </w:p>
                <w:p w:rsidR="00F04EEF" w:rsidRDefault="00F04EEF">
                  <w:pPr>
                    <w:jc w:val="both"/>
                  </w:pPr>
                </w:p>
                <w:p w:rsidR="00F04EEF" w:rsidRDefault="0099351E">
                  <w:bookmarkStart w:id="2796" w:name="_Annexe_1_:_11"/>
                  <w:bookmarkStart w:id="2797" w:name="_Toc453314409"/>
                  <w:bookmarkStart w:id="2798" w:name="_Toc454980444"/>
                  <w:bookmarkEnd w:id="2796"/>
                  <w:r>
                    <w:rPr>
                      <w:b/>
                    </w:rPr>
                    <w:br w:type="page"/>
                  </w:r>
                </w:p>
                <w:p w:rsidR="00F04EEF" w:rsidRDefault="0099351E">
                  <w:pPr>
                    <w:pStyle w:val="Titre4"/>
                  </w:pPr>
                  <w:r>
                    <w:t>Annexe 1 : Convention de transfert de reliquat entre  internats, homes d’accueil et homes d’accueil permanent</w:t>
                  </w:r>
                  <w:bookmarkEnd w:id="2797"/>
                  <w:bookmarkEnd w:id="2798"/>
                </w:p>
                <w:p w:rsidR="00F04EEF" w:rsidRDefault="00F04EEF">
                  <w:pPr>
                    <w:jc w:val="center"/>
                  </w:pPr>
                </w:p>
                <w:p w:rsidR="00F04EEF" w:rsidRDefault="0099351E">
                  <w:pPr>
                    <w:jc w:val="center"/>
                    <w:rPr>
                      <w:b/>
                      <w:caps/>
                    </w:rPr>
                  </w:pPr>
                  <w:r>
                    <w:rPr>
                      <w:b/>
                      <w:caps/>
                    </w:rPr>
                    <w:t>Communauté française</w:t>
                  </w:r>
                </w:p>
                <w:p w:rsidR="00F04EEF" w:rsidRDefault="00F04EEF">
                  <w:pPr>
                    <w:jc w:val="center"/>
                    <w:rPr>
                      <w:b/>
                      <w:caps/>
                    </w:rPr>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 :</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 du home d’accueil / du home d’accueil permanent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w:t>
                  </w:r>
                  <w:r>
                    <w:tab/>
                    <w:t>E-mail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cédante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ET</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 (trice) de l’internat, du home d’accueil ou du home d’accueil permanent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rPr>
                      <w:i/>
                    </w:rPr>
                    <w:tab/>
                  </w:r>
                  <w:r>
                    <w:rPr>
                      <w:i/>
                    </w:rPr>
                    <w:tab/>
                  </w:r>
                  <w:r>
                    <w:t xml:space="preserve"> E-mail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bénéficiaire.</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Pr>
                      <w:b/>
                    </w:rPr>
                    <w:t>Document à annexer :</w:t>
                  </w:r>
                  <w:r>
                    <w:t xml:space="preserve"> copie de la décision du pouvoir organisateur et de l’avis du comité de concertation de base.</w:t>
                  </w:r>
                </w:p>
                <w:p w:rsidR="00F04EEF" w:rsidRDefault="0099351E">
                  <w:pPr>
                    <w:pStyle w:val="Paragraphedeliste"/>
                    <w:pBdr>
                      <w:top w:val="single" w:sz="2" w:space="1" w:color="auto"/>
                    </w:pBdr>
                    <w:ind w:left="0"/>
                    <w:jc w:val="both"/>
                    <w:rPr>
                      <w:rFonts w:asciiTheme="majorHAnsi" w:hAnsiTheme="majorHAnsi"/>
                      <w:i/>
                      <w:sz w:val="22"/>
                      <w:szCs w:val="22"/>
                    </w:rPr>
                  </w:pPr>
                  <w:r>
                    <w:rPr>
                      <w:rFonts w:asciiTheme="majorHAnsi" w:hAnsiTheme="majorHAnsi"/>
                      <w:i/>
                      <w:sz w:val="22"/>
                      <w:szCs w:val="22"/>
                    </w:rPr>
                    <w:t>* Biffer les mentions inutiles</w:t>
                  </w:r>
                </w:p>
                <w:p w:rsidR="00F04EEF" w:rsidRDefault="0099351E">
                  <w:pPr>
                    <w:rPr>
                      <w:rFonts w:asciiTheme="majorHAnsi" w:eastAsia="Times New Roman" w:hAnsiTheme="majorHAnsi" w:cs="Arial"/>
                      <w:i/>
                      <w:lang w:eastAsia="ar-SA"/>
                    </w:rPr>
                  </w:pPr>
                  <w:r>
                    <w:rPr>
                      <w:rFonts w:asciiTheme="majorHAnsi" w:hAnsiTheme="majorHAnsi"/>
                      <w:i/>
                    </w:rPr>
                    <w:br w:type="page"/>
                  </w:r>
                </w:p>
                <w:p w:rsidR="00F04EEF" w:rsidRDefault="0099351E">
                  <w:pPr>
                    <w:pStyle w:val="Titre4"/>
                  </w:pPr>
                  <w:bookmarkStart w:id="2799" w:name="_Annexe_1_:_5"/>
                  <w:bookmarkStart w:id="2800" w:name="_Toc453314410"/>
                  <w:bookmarkStart w:id="2801" w:name="_Toc454980445"/>
                  <w:bookmarkEnd w:id="2799"/>
                  <w:r>
                    <w:t>Annexe 2 : Attestation de fréquentation d’un établissement d’enseignement spécialisé à l’attention d’une structure d’accueil</w:t>
                  </w:r>
                  <w:bookmarkEnd w:id="2800"/>
                  <w:bookmarkEnd w:id="2801"/>
                </w:p>
                <w:p w:rsidR="00F04EEF" w:rsidRDefault="00F04EEF">
                  <w:pPr>
                    <w:jc w:val="center"/>
                  </w:pPr>
                </w:p>
                <w:p w:rsidR="00F04EEF" w:rsidRDefault="0099351E">
                  <w:pPr>
                    <w:jc w:val="center"/>
                    <w:rPr>
                      <w:b/>
                      <w:caps/>
                    </w:rPr>
                  </w:pPr>
                  <w:r>
                    <w:rPr>
                      <w:b/>
                      <w:caps/>
                    </w:rPr>
                    <w:t>Communauté française</w:t>
                  </w:r>
                </w:p>
                <w:p w:rsidR="00F04EEF" w:rsidRDefault="00F04EEF">
                  <w:pPr>
                    <w:pStyle w:val="Titre"/>
                    <w:jc w:val="both"/>
                    <w:rPr>
                      <w:sz w:val="22"/>
                      <w:szCs w:val="22"/>
                    </w:rPr>
                  </w:pPr>
                </w:p>
                <w:p w:rsidR="00F04EEF" w:rsidRDefault="00F04EEF">
                  <w:pPr>
                    <w:pStyle w:val="Sous-titre"/>
                  </w:pPr>
                </w:p>
                <w:p w:rsidR="00F04EEF" w:rsidRDefault="00F04EEF">
                  <w:pPr>
                    <w:jc w:val="both"/>
                  </w:pPr>
                </w:p>
                <w:p w:rsidR="00F04EEF" w:rsidRDefault="0099351E">
                  <w:pPr>
                    <w:jc w:val="both"/>
                  </w:pPr>
                  <w:r>
                    <w:t>DENOMINATION ET SIEGE DE L’ETABLISSEMENT</w:t>
                  </w:r>
                </w:p>
                <w:p w:rsidR="00F04EEF" w:rsidRDefault="00F04EEF">
                  <w:pPr>
                    <w:jc w:val="both"/>
                  </w:pPr>
                </w:p>
                <w:p w:rsidR="00F04EEF" w:rsidRDefault="00F04EEF">
                  <w:pPr>
                    <w:jc w:val="both"/>
                  </w:pPr>
                </w:p>
                <w:p w:rsidR="00F04EEF" w:rsidRDefault="00F04EEF">
                  <w:pPr>
                    <w:jc w:val="both"/>
                  </w:pPr>
                </w:p>
                <w:p w:rsidR="00F04EEF" w:rsidRDefault="0099351E">
                  <w:pPr>
                    <w:jc w:val="both"/>
                  </w:pPr>
                  <w:r>
                    <w:t>Numéro FASE :</w:t>
                  </w:r>
                </w:p>
                <w:p w:rsidR="00F04EEF" w:rsidRDefault="00F04EEF">
                  <w:pPr>
                    <w:jc w:val="both"/>
                  </w:pPr>
                </w:p>
                <w:p w:rsidR="00F04EEF" w:rsidRDefault="0099351E">
                  <w:pPr>
                    <w:jc w:val="both"/>
                  </w:pPr>
                  <w:r>
                    <w:t xml:space="preserve">Je soussigné(e) </w:t>
                  </w:r>
                </w:p>
                <w:p w:rsidR="00F04EEF" w:rsidRDefault="00F04EEF">
                  <w:pPr>
                    <w:jc w:val="both"/>
                  </w:pPr>
                </w:p>
                <w:p w:rsidR="00F04EEF" w:rsidRDefault="0099351E">
                  <w:pPr>
                    <w:jc w:val="both"/>
                  </w:pPr>
                  <w:r>
                    <w:t>Chef(fe) de l’établissement susmentionné, atteste que</w:t>
                  </w:r>
                </w:p>
                <w:p w:rsidR="00F04EEF" w:rsidRDefault="00F04EEF">
                  <w:pPr>
                    <w:jc w:val="both"/>
                  </w:pPr>
                </w:p>
                <w:p w:rsidR="00F04EEF" w:rsidRDefault="0099351E">
                  <w:pPr>
                    <w:jc w:val="both"/>
                  </w:pPr>
                  <w:r>
                    <w:t xml:space="preserve">(NOM , Prénom) </w:t>
                  </w:r>
                </w:p>
                <w:p w:rsidR="00F04EEF" w:rsidRDefault="00F04EEF">
                  <w:pPr>
                    <w:jc w:val="both"/>
                  </w:pPr>
                </w:p>
                <w:p w:rsidR="00F04EEF" w:rsidRDefault="0099351E">
                  <w:pPr>
                    <w:jc w:val="both"/>
                  </w:pPr>
                  <w:r>
                    <w:t xml:space="preserve">Né(e) le </w:t>
                  </w:r>
                  <w:r>
                    <w:tab/>
                  </w:r>
                  <w:r>
                    <w:tab/>
                  </w:r>
                  <w:r>
                    <w:tab/>
                  </w:r>
                  <w:r>
                    <w:tab/>
                  </w:r>
                  <w:r>
                    <w:tab/>
                  </w:r>
                  <w:r>
                    <w:tab/>
                  </w:r>
                  <w:r>
                    <w:tab/>
                    <w:t xml:space="preserve">, à </w:t>
                  </w:r>
                </w:p>
                <w:p w:rsidR="00F04EEF" w:rsidRDefault="00F04EEF">
                  <w:pPr>
                    <w:jc w:val="both"/>
                  </w:pPr>
                </w:p>
                <w:p w:rsidR="00F04EEF" w:rsidRDefault="0099351E">
                  <w:pPr>
                    <w:jc w:val="both"/>
                  </w:pPr>
                  <w:r>
                    <w:t>suit les cours au sein de notre établissement pendant l’année scolaire 20…. – 20…. et relève des niveau, type et forme suivants :</w:t>
                  </w:r>
                </w:p>
                <w:p w:rsidR="00F04EEF" w:rsidRDefault="00F04EEF">
                  <w:pPr>
                    <w:jc w:val="both"/>
                  </w:pPr>
                </w:p>
                <w:p w:rsidR="00F04EEF" w:rsidRDefault="00F04EE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F04EEF">
                    <w:tc>
                      <w:tcPr>
                        <w:tcW w:w="3070" w:type="dxa"/>
                      </w:tcPr>
                      <w:p w:rsidR="00F04EEF" w:rsidRDefault="0099351E">
                        <w:pPr>
                          <w:jc w:val="both"/>
                        </w:pPr>
                        <w:r>
                          <w:t>Niveau</w:t>
                        </w:r>
                      </w:p>
                    </w:tc>
                    <w:tc>
                      <w:tcPr>
                        <w:tcW w:w="3071" w:type="dxa"/>
                      </w:tcPr>
                      <w:p w:rsidR="00F04EEF" w:rsidRDefault="0099351E">
                        <w:pPr>
                          <w:jc w:val="both"/>
                        </w:pPr>
                        <w:r>
                          <w:t>Type</w:t>
                        </w:r>
                      </w:p>
                    </w:tc>
                    <w:tc>
                      <w:tcPr>
                        <w:tcW w:w="3071" w:type="dxa"/>
                      </w:tcPr>
                      <w:p w:rsidR="00F04EEF" w:rsidRDefault="0099351E">
                        <w:pPr>
                          <w:jc w:val="both"/>
                        </w:pPr>
                        <w:r>
                          <w:t>Forme</w:t>
                        </w:r>
                      </w:p>
                    </w:tc>
                  </w:tr>
                  <w:tr w:rsidR="00F04EEF">
                    <w:tc>
                      <w:tcPr>
                        <w:tcW w:w="3070" w:type="dxa"/>
                      </w:tcPr>
                      <w:p w:rsidR="00F04EEF" w:rsidRDefault="0099351E">
                        <w:pPr>
                          <w:jc w:val="both"/>
                        </w:pPr>
                        <w:r>
                          <w:t>Fondamental</w:t>
                        </w:r>
                      </w:p>
                    </w:tc>
                    <w:tc>
                      <w:tcPr>
                        <w:tcW w:w="3071" w:type="dxa"/>
                      </w:tcPr>
                      <w:p w:rsidR="00F04EEF" w:rsidRDefault="00F04EEF">
                        <w:pPr>
                          <w:jc w:val="both"/>
                        </w:pPr>
                      </w:p>
                    </w:tc>
                    <w:tc>
                      <w:tcPr>
                        <w:tcW w:w="3071" w:type="dxa"/>
                        <w:shd w:val="thinDiagCross" w:color="auto" w:fill="auto"/>
                      </w:tcPr>
                      <w:p w:rsidR="00F04EEF" w:rsidRDefault="00F04EEF">
                        <w:pPr>
                          <w:jc w:val="both"/>
                        </w:pPr>
                      </w:p>
                    </w:tc>
                  </w:tr>
                  <w:tr w:rsidR="00F04EEF">
                    <w:tc>
                      <w:tcPr>
                        <w:tcW w:w="3070" w:type="dxa"/>
                      </w:tcPr>
                      <w:p w:rsidR="00F04EEF" w:rsidRDefault="0099351E">
                        <w:pPr>
                          <w:jc w:val="both"/>
                        </w:pPr>
                        <w:r>
                          <w:t>Secondaire</w:t>
                        </w:r>
                      </w:p>
                    </w:tc>
                    <w:tc>
                      <w:tcPr>
                        <w:tcW w:w="3071" w:type="dxa"/>
                      </w:tcPr>
                      <w:p w:rsidR="00F04EEF" w:rsidRDefault="00F04EEF">
                        <w:pPr>
                          <w:jc w:val="both"/>
                        </w:pPr>
                      </w:p>
                    </w:tc>
                    <w:tc>
                      <w:tcPr>
                        <w:tcW w:w="3071" w:type="dxa"/>
                        <w:shd w:val="clear" w:color="auto" w:fill="FFFFFF"/>
                      </w:tcPr>
                      <w:p w:rsidR="00F04EEF" w:rsidRDefault="00F04EEF">
                        <w:pPr>
                          <w:jc w:val="both"/>
                        </w:pPr>
                      </w:p>
                    </w:tc>
                  </w:tr>
                </w:tbl>
                <w:p w:rsidR="00F04EEF" w:rsidRDefault="00F04EEF">
                  <w:pPr>
                    <w:jc w:val="both"/>
                  </w:pPr>
                </w:p>
                <w:p w:rsidR="00F04EEF" w:rsidRDefault="00F04EEF">
                  <w:pPr>
                    <w:jc w:val="both"/>
                  </w:pPr>
                </w:p>
                <w:p w:rsidR="00F04EEF" w:rsidRDefault="0099351E">
                  <w:pPr>
                    <w:jc w:val="both"/>
                  </w:pPr>
                  <w:r>
                    <w:t>Sceau de l’établissement</w:t>
                  </w:r>
                  <w:r>
                    <w:tab/>
                  </w:r>
                  <w:r>
                    <w:tab/>
                  </w:r>
                  <w:r>
                    <w:tab/>
                  </w:r>
                  <w:r>
                    <w:tab/>
                  </w:r>
                  <w:r>
                    <w:tab/>
                  </w:r>
                  <w:r>
                    <w:tab/>
                    <w:t>Lieu et date</w:t>
                  </w:r>
                </w:p>
                <w:p w:rsidR="00F04EEF" w:rsidRDefault="00F04EEF">
                  <w:pPr>
                    <w:jc w:val="both"/>
                  </w:pPr>
                </w:p>
                <w:p w:rsidR="00F04EEF" w:rsidRDefault="00F04EEF">
                  <w:pPr>
                    <w:jc w:val="both"/>
                  </w:pPr>
                </w:p>
                <w:p w:rsidR="00F04EEF" w:rsidRDefault="00F04EEF">
                  <w:pPr>
                    <w:jc w:val="both"/>
                  </w:pPr>
                </w:p>
                <w:p w:rsidR="00F04EEF" w:rsidRDefault="0099351E">
                  <w:pPr>
                    <w:jc w:val="both"/>
                  </w:pPr>
                  <w:r>
                    <w:t>Le (La) Chef(fe) d’établissement</w:t>
                  </w:r>
                </w:p>
                <w:p w:rsidR="00F04EEF" w:rsidRDefault="0099351E">
                  <w:pPr>
                    <w:jc w:val="both"/>
                  </w:pPr>
                  <w:r>
                    <w:t>(NOM et signature)</w:t>
                  </w:r>
                </w:p>
                <w:p w:rsidR="00F04EEF" w:rsidRDefault="00F04EEF">
                  <w:pPr>
                    <w:jc w:val="both"/>
                  </w:pPr>
                </w:p>
                <w:p w:rsidR="00F04EEF" w:rsidRDefault="00F04EEF"/>
                <w:p w:rsidR="00F04EEF" w:rsidRDefault="00F04EEF">
                  <w:pPr>
                    <w:jc w:val="both"/>
                  </w:pPr>
                </w:p>
                <w:p w:rsidR="00F04EEF" w:rsidRDefault="0099351E">
                  <w:r>
                    <w:br w:type="page"/>
                  </w:r>
                </w:p>
                <w:sdt>
                  <w:sdtPr>
                    <w:rPr>
                      <w:rFonts w:asciiTheme="majorHAnsi" w:eastAsiaTheme="minorHAnsi" w:hAnsiTheme="majorHAnsi"/>
                      <w:lang w:eastAsia="en-US"/>
                    </w:rPr>
                    <w:id w:val="484742757"/>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pPr>
                      <w:bookmarkStart w:id="2802" w:name="_Chapitre_11_:"/>
                      <w:bookmarkStart w:id="2803" w:name="_Toc477623759"/>
                      <w:bookmarkStart w:id="2804" w:name="_Toc477767580"/>
                      <w:bookmarkStart w:id="2805" w:name="_Toc47708537"/>
                      <w:bookmarkEnd w:id="2802"/>
                      <w:r>
                        <w:t>Chapitre</w:t>
                      </w:r>
                      <w:bookmarkEnd w:id="2803"/>
                      <w:bookmarkEnd w:id="2804"/>
                      <w:r>
                        <w:t xml:space="preserve"> 11 : </w:t>
                      </w:r>
                      <w:bookmarkStart w:id="2806" w:name="_Toc477623760"/>
                      <w:bookmarkStart w:id="2807" w:name="_Toc477767581"/>
                      <w:r>
                        <w:t>Homes d’accueil permanent organisés par la Fédération Wallonie-Bruxelles</w:t>
                      </w:r>
                      <w:bookmarkEnd w:id="2806"/>
                      <w:bookmarkEnd w:id="2807"/>
                      <w:bookmarkEnd w:id="2805"/>
                    </w:p>
                    <w:p w:rsidR="00F04EEF" w:rsidRDefault="00F04EEF">
                      <w:pPr>
                        <w:rPr>
                          <w:lang w:eastAsia="fr-BE"/>
                        </w:rPr>
                      </w:pPr>
                    </w:p>
                    <w:p w:rsidR="00F04EEF" w:rsidRDefault="00F04EEF"/>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rPr>
                      <w:b/>
                      <w:u w:val="single"/>
                    </w:rPr>
                  </w:pPr>
                  <w:r>
                    <w:rPr>
                      <w:b/>
                      <w:u w:val="single"/>
                    </w:rPr>
                    <w:t xml:space="preserve">Bases légales : </w:t>
                  </w:r>
                </w:p>
                <w:p w:rsidR="00F04EEF" w:rsidRDefault="00F04EEF">
                  <w:pPr>
                    <w:rPr>
                      <w:b/>
                      <w:u w:val="single"/>
                    </w:rPr>
                  </w:pPr>
                </w:p>
                <w:p w:rsidR="00F04EEF" w:rsidRDefault="00F42422">
                  <w:pPr>
                    <w:numPr>
                      <w:ilvl w:val="0"/>
                      <w:numId w:val="49"/>
                    </w:numPr>
                    <w:suppressAutoHyphens/>
                    <w:jc w:val="both"/>
                  </w:pPr>
                  <w:hyperlink r:id="rId182" w:history="1">
                    <w:r w:rsidR="0099351E">
                      <w:rPr>
                        <w:rStyle w:val="Lienhypertexte"/>
                        <w:rFonts w:cs="Arial"/>
                      </w:rPr>
                      <w:t>Arrêté royal n° 184 du 30 décembre 1982 fixant la façon de déterminer, pour les instituts d’enseignement spécialisé de l’Etat et les homes d’accueil de l’Etat, les fonctions du personnel paramédical et du personnel attribué dans le cadre de l’internat</w:t>
                    </w:r>
                    <w:r w:rsidR="0099351E">
                      <w:rPr>
                        <w:rStyle w:val="Lienhypertexte"/>
                        <w:rFonts w:cs="Arial"/>
                        <w:b/>
                      </w:rPr>
                      <w:t xml:space="preserve"> tel que modifié</w:t>
                    </w:r>
                  </w:hyperlink>
                  <w:r w:rsidR="0099351E">
                    <w:t>.</w:t>
                  </w:r>
                </w:p>
                <w:p w:rsidR="00F04EEF" w:rsidRDefault="00F42422">
                  <w:pPr>
                    <w:numPr>
                      <w:ilvl w:val="0"/>
                      <w:numId w:val="49"/>
                    </w:numPr>
                    <w:suppressAutoHyphens/>
                    <w:jc w:val="both"/>
                  </w:pPr>
                  <w:hyperlink r:id="rId183" w:history="1">
                    <w:r w:rsidR="0099351E">
                      <w:rPr>
                        <w:rStyle w:val="Lienhypertexte"/>
                        <w:rFonts w:cs="Arial"/>
                      </w:rPr>
                      <w:t>Décret du 25 octobre 2012 relatif à certains internats et homes d'accueil organisés ou subventionnés par la Communauté française</w:t>
                    </w:r>
                  </w:hyperlink>
                  <w:r w:rsidR="0099351E">
                    <w:t>.</w:t>
                  </w:r>
                </w:p>
                <w:p w:rsidR="00F04EEF" w:rsidRDefault="00F42422">
                  <w:pPr>
                    <w:numPr>
                      <w:ilvl w:val="0"/>
                      <w:numId w:val="49"/>
                    </w:numPr>
                    <w:suppressAutoHyphens/>
                    <w:jc w:val="both"/>
                    <w:rPr>
                      <w:rStyle w:val="Lienhypertexte"/>
                      <w:rFonts w:cstheme="minorBidi"/>
                      <w:color w:val="auto"/>
                      <w:u w:val="none"/>
                    </w:rPr>
                  </w:pPr>
                  <w:hyperlink r:id="rId184" w:history="1">
                    <w:r w:rsidR="0099351E">
                      <w:rPr>
                        <w:rStyle w:val="Lienhypertexte"/>
                        <w:rFonts w:cs="Arial"/>
                      </w:rPr>
                      <w:t xml:space="preserve">Arrêté royal n° 456 du 10 septembre 1986 portant rationalisation et programmation des  internats de l'enseignement organisé ou subventionné par l'Etat </w:t>
                    </w:r>
                    <w:r w:rsidR="0099351E">
                      <w:rPr>
                        <w:rStyle w:val="Lienhypertexte"/>
                        <w:rFonts w:cs="Arial"/>
                        <w:b/>
                      </w:rPr>
                      <w:t>tel que modifié</w:t>
                    </w:r>
                  </w:hyperlink>
                  <w:r w:rsidR="0099351E">
                    <w:rPr>
                      <w:rStyle w:val="Lienhypertexte"/>
                      <w:rFonts w:cs="Arial"/>
                    </w:rPr>
                    <w:t>.</w:t>
                  </w:r>
                </w:p>
                <w:p w:rsidR="00F04EEF" w:rsidRDefault="0099351E">
                  <w:pPr>
                    <w:numPr>
                      <w:ilvl w:val="0"/>
                      <w:numId w:val="49"/>
                    </w:numPr>
                    <w:suppressAutoHyphens/>
                    <w:jc w:val="both"/>
                    <w:rPr>
                      <w:rStyle w:val="Lienhypertexte"/>
                      <w:rFonts w:cstheme="minorBidi"/>
                      <w:color w:val="auto"/>
                      <w:u w:val="none"/>
                    </w:rPr>
                  </w:pPr>
                  <w:r>
                    <w:rPr>
                      <w:rFonts w:cs="Arial"/>
                      <w:noProof/>
                      <w:color w:val="0000FF"/>
                      <w:u w:val="single"/>
                      <w:lang w:eastAsia="fr-BE"/>
                    </w:rPr>
                    <mc:AlternateContent>
                      <mc:Choice Requires="wps">
                        <w:drawing>
                          <wp:anchor distT="0" distB="0" distL="114300" distR="114300" simplePos="0" relativeHeight="252400640" behindDoc="0" locked="0" layoutInCell="1" allowOverlap="1">
                            <wp:simplePos x="0" y="0"/>
                            <wp:positionH relativeFrom="column">
                              <wp:posOffset>6243320</wp:posOffset>
                            </wp:positionH>
                            <wp:positionV relativeFrom="paragraph">
                              <wp:posOffset>478790</wp:posOffset>
                            </wp:positionV>
                            <wp:extent cx="0" cy="1504950"/>
                            <wp:effectExtent l="0" t="0" r="19050" b="19050"/>
                            <wp:wrapNone/>
                            <wp:docPr id="5538" name="Connecteur droit 5538"/>
                            <wp:cNvGraphicFramePr/>
                            <a:graphic xmlns:a="http://schemas.openxmlformats.org/drawingml/2006/main">
                              <a:graphicData uri="http://schemas.microsoft.com/office/word/2010/wordprocessingShape">
                                <wps:wsp>
                                  <wps:cNvCnPr/>
                                  <wps:spPr>
                                    <a:xfrm>
                                      <a:off x="0" y="0"/>
                                      <a:ext cx="0" cy="1504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8C511A1" id="Connecteur droit 5538" o:spid="_x0000_s1026" style="position:absolute;z-index:25240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6pt,37.7pt" to="491.6pt,15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" strokecolor="black [3213]"/>
                        </w:pict>
                      </mc:Fallback>
                    </mc:AlternateContent>
                  </w:r>
                  <w:hyperlink r:id="rId185" w:history="1">
                    <w:r>
                      <w:rPr>
                        <w:rStyle w:val="Lienhypertexte"/>
                        <w:rFonts w:cs="Arial"/>
                      </w:rPr>
                      <w:t>Décret 14 mars 2019 portant diverses dispositions relatives à l’organisation du travail des membres du personnel de l’enseignement et octroyant plus de souplesse organisationnel aux Pouvoirs organisateurs</w:t>
                    </w:r>
                  </w:hyperlink>
                </w:p>
                <w:p w:rsidR="00F04EEF" w:rsidRDefault="00F42422">
                  <w:pPr>
                    <w:numPr>
                      <w:ilvl w:val="0"/>
                      <w:numId w:val="49"/>
                    </w:numPr>
                    <w:suppressAutoHyphens/>
                    <w:jc w:val="both"/>
                    <w:rPr>
                      <w:rStyle w:val="Lienhypertexte"/>
                      <w:rFonts w:cstheme="minorBidi"/>
                      <w:color w:val="auto"/>
                      <w:u w:val="none"/>
                    </w:rPr>
                  </w:pPr>
                  <w:hyperlink r:id="rId186" w:history="1">
                    <w:r w:rsidR="0099351E">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F04EEF" w:rsidRDefault="00F42422">
                  <w:pPr>
                    <w:numPr>
                      <w:ilvl w:val="0"/>
                      <w:numId w:val="49"/>
                    </w:numPr>
                    <w:suppressAutoHyphens/>
                    <w:jc w:val="both"/>
                    <w:rPr>
                      <w:rStyle w:val="Lienhypertexte"/>
                      <w:rFonts w:cstheme="minorBidi"/>
                      <w:color w:val="auto"/>
                      <w:u w:val="none"/>
                    </w:rPr>
                  </w:pPr>
                  <w:hyperlink r:id="rId187" w:history="1">
                    <w:r w:rsidR="0099351E">
                      <w:rPr>
                        <w:rStyle w:val="Lienhypertexte"/>
                        <w:rFonts w:cstheme="minorBidi"/>
                      </w:rPr>
                      <w:t>Circulaire 7608 du 09/06/2020 Coronavirus Covid-19: mesures concernant l'intégration et l'enseignement spécialisé</w:t>
                    </w:r>
                  </w:hyperlink>
                  <w:r w:rsidR="0099351E">
                    <w:rPr>
                      <w:rStyle w:val="Lienhypertexte"/>
                      <w:rFonts w:cstheme="minorBidi"/>
                      <w:color w:val="auto"/>
                      <w:u w:val="none"/>
                    </w:rPr>
                    <w:t xml:space="preserve"> </w:t>
                  </w:r>
                </w:p>
                <w:p w:rsidR="00F04EEF" w:rsidRDefault="00F42422">
                  <w:pPr>
                    <w:numPr>
                      <w:ilvl w:val="0"/>
                      <w:numId w:val="49"/>
                    </w:numPr>
                    <w:suppressAutoHyphens/>
                    <w:jc w:val="both"/>
                    <w:rPr>
                      <w:rStyle w:val="Lienhypertexte"/>
                      <w:rFonts w:cstheme="minorBidi"/>
                      <w:color w:val="auto"/>
                      <w:u w:val="none"/>
                    </w:rPr>
                  </w:pPr>
                  <w:hyperlink r:id="rId188" w:history="1">
                    <w:r w:rsidR="0099351E">
                      <w:rPr>
                        <w:rStyle w:val="Lienhypertexte"/>
                        <w:rFonts w:cstheme="minorBidi"/>
                      </w:rPr>
                      <w:t>Circulaire 7615 du 11/06/2020 Addendum à la circulaire 7608 : Coronavirus Covid-19: mesures concernant l'intégration et l'enseignement spécialisé</w:t>
                    </w:r>
                  </w:hyperlink>
                  <w:r w:rsidR="0099351E">
                    <w:rPr>
                      <w:rStyle w:val="Lienhypertexte"/>
                      <w:rFonts w:cstheme="minorBidi"/>
                      <w:color w:val="auto"/>
                      <w:u w:val="none"/>
                    </w:rPr>
                    <w:t xml:space="preserve"> </w:t>
                  </w:r>
                </w:p>
                <w:p w:rsidR="00F04EEF" w:rsidRDefault="00F04EEF">
                  <w:pPr>
                    <w:suppressAutoHyphens/>
                    <w:ind w:left="360"/>
                    <w:jc w:val="both"/>
                    <w:rPr>
                      <w:rStyle w:val="Lienhypertexte"/>
                      <w:rFonts w:cstheme="minorBidi"/>
                      <w:color w:val="auto"/>
                      <w:u w:val="none"/>
                    </w:rPr>
                  </w:pPr>
                </w:p>
                <w:p w:rsidR="00F04EEF" w:rsidRDefault="00F04EEF">
                  <w:pPr>
                    <w:suppressAutoHyphens/>
                    <w:ind w:left="360"/>
                    <w:jc w:val="both"/>
                    <w:rPr>
                      <w:rStyle w:val="Lienhypertexte"/>
                      <w:rFonts w:cstheme="minorBidi"/>
                      <w:color w:val="auto"/>
                      <w:u w:val="none"/>
                    </w:rPr>
                  </w:pPr>
                </w:p>
                <w:p w:rsidR="00F04EEF" w:rsidRDefault="00F04EEF">
                  <w:pPr>
                    <w:suppressAutoHyphens/>
                    <w:ind w:left="360"/>
                    <w:jc w:val="both"/>
                  </w:pPr>
                </w:p>
                <w:p w:rsidR="00F04EEF" w:rsidRDefault="0099351E">
                  <w:pPr>
                    <w:tabs>
                      <w:tab w:val="left" w:pos="1134"/>
                    </w:tabs>
                    <w:jc w:val="both"/>
                  </w:pPr>
                  <w:r>
                    <w:t>L’arrêté royal n° 184 du 30 décembre 1982</w:t>
                  </w:r>
                  <w:r>
                    <w:rPr>
                      <w:rStyle w:val="Appelnotedebasdep"/>
                    </w:rPr>
                    <w:footnoteReference w:id="143"/>
                  </w:r>
                  <w:r>
                    <w:t xml:space="preserve"> et l’arrêté royal n° 456 du 10 septembre 1986</w:t>
                  </w:r>
                  <w:r>
                    <w:rPr>
                      <w:rStyle w:val="Appelnotedebasdep"/>
                    </w:rPr>
                    <w:footnoteReference w:id="144"/>
                  </w:r>
                  <w: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rsidR="00F04EEF" w:rsidRDefault="00F04EEF">
                  <w:pPr>
                    <w:tabs>
                      <w:tab w:val="left" w:pos="1134"/>
                    </w:tabs>
                    <w:jc w:val="both"/>
                  </w:pPr>
                </w:p>
                <w:p w:rsidR="00F04EEF" w:rsidRDefault="0099351E">
                  <w:pPr>
                    <w:pStyle w:val="Titre3"/>
                    <w:rPr>
                      <w:sz w:val="22"/>
                      <w:szCs w:val="22"/>
                    </w:rPr>
                  </w:pPr>
                  <w:bookmarkStart w:id="2808" w:name="_1._Ouverture_des"/>
                  <w:bookmarkStart w:id="2809" w:name="__RefHeading__221_957262308"/>
                  <w:bookmarkStart w:id="2810" w:name="_Toc453314412"/>
                  <w:bookmarkStart w:id="2811" w:name="_Toc454980447"/>
                  <w:bookmarkStart w:id="2812" w:name="_Toc47708538"/>
                  <w:bookmarkStart w:id="2813" w:name="_Toc290905613"/>
                  <w:bookmarkStart w:id="2814" w:name="_Toc293651927"/>
                  <w:bookmarkStart w:id="2815" w:name="_Toc293653510"/>
                  <w:bookmarkStart w:id="2816" w:name="_Toc293654121"/>
                  <w:bookmarkStart w:id="2817" w:name="_Toc294004699"/>
                  <w:bookmarkStart w:id="2818" w:name="_Toc294185195"/>
                  <w:bookmarkStart w:id="2819" w:name="_Toc324166013"/>
                  <w:bookmarkStart w:id="2820" w:name="_Toc324767050"/>
                  <w:bookmarkEnd w:id="2808"/>
                  <w:bookmarkEnd w:id="2809"/>
                  <w:r>
                    <w:rPr>
                      <w:sz w:val="22"/>
                      <w:szCs w:val="22"/>
                    </w:rPr>
                    <w:t>1. Ouverture des homes d’accueil permanent</w:t>
                  </w:r>
                  <w:bookmarkEnd w:id="2810"/>
                  <w:bookmarkEnd w:id="2811"/>
                  <w:bookmarkEnd w:id="2812"/>
                </w:p>
                <w:p w:rsidR="00F04EEF" w:rsidRDefault="0099351E">
                  <w:pPr>
                    <w:rPr>
                      <w:rStyle w:val="Titre2Car1"/>
                      <w:rFonts w:eastAsiaTheme="majorEastAsia"/>
                      <w:bCs/>
                      <w:sz w:val="22"/>
                    </w:rPr>
                  </w:pPr>
                  <w:r>
                    <w:rPr>
                      <w:rFonts w:asciiTheme="majorHAnsi" w:eastAsiaTheme="majorEastAsia" w:hAnsiTheme="majorHAnsi"/>
                      <w:b/>
                      <w:bCs/>
                      <w:smallCaps/>
                      <w:noProof/>
                      <w:lang w:eastAsia="fr-BE"/>
                    </w:rPr>
                    <mc:AlternateContent>
                      <mc:Choice Requires="wps">
                        <w:drawing>
                          <wp:anchor distT="0" distB="0" distL="114300" distR="114300" simplePos="0" relativeHeight="252244992" behindDoc="0" locked="0" layoutInCell="1" allowOverlap="1">
                            <wp:simplePos x="0" y="0"/>
                            <wp:positionH relativeFrom="column">
                              <wp:posOffset>6214745</wp:posOffset>
                            </wp:positionH>
                            <wp:positionV relativeFrom="paragraph">
                              <wp:posOffset>153670</wp:posOffset>
                            </wp:positionV>
                            <wp:extent cx="0" cy="219075"/>
                            <wp:effectExtent l="0" t="0" r="19050" b="28575"/>
                            <wp:wrapNone/>
                            <wp:docPr id="535" name="Connecteur droit 535"/>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055458" id="Connecteur droit 535" o:spid="_x0000_s1026" style="position:absolute;z-index:252244992;visibility:visible;mso-wrap-style:square;mso-wrap-distance-left:9pt;mso-wrap-distance-top:0;mso-wrap-distance-right:9pt;mso-wrap-distance-bottom:0;mso-position-horizontal:absolute;mso-position-horizontal-relative:text;mso-position-vertical:absolute;mso-position-vertical-relative:text" from="489.35pt,12.1pt" to="489.3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" strokecolor="black [3213]"/>
                        </w:pict>
                      </mc:Fallback>
                    </mc:AlternateContent>
                  </w:r>
                </w:p>
                <w:p w:rsidR="00F04EEF" w:rsidRDefault="0099351E">
                  <w:pPr>
                    <w:jc w:val="both"/>
                  </w:pPr>
                  <w:r>
                    <w:t>Durant la période des vacances scolaires d’été 2021, les homes d’accueil permanent de CINEY</w:t>
                  </w:r>
                  <w:r>
                    <w:rPr>
                      <w:smallCaps/>
                    </w:rPr>
                    <w:t xml:space="preserve"> </w:t>
                  </w:r>
                  <w:r>
                    <w:t xml:space="preserve">et de </w:t>
                  </w:r>
                  <w:r>
                    <w:rPr>
                      <w:smallCaps/>
                    </w:rPr>
                    <w:t xml:space="preserve">Lessines </w:t>
                  </w:r>
                  <w:r>
                    <w:t>seront ouverts du 1</w:t>
                  </w:r>
                  <w:r>
                    <w:rPr>
                      <w:vertAlign w:val="superscript"/>
                    </w:rPr>
                    <w:t>er</w:t>
                  </w:r>
                  <w:r>
                    <w:t xml:space="preserve"> au 31 juillet.</w:t>
                  </w:r>
                </w:p>
                <w:p w:rsidR="00F04EEF" w:rsidRDefault="00F04EEF">
                  <w:pPr>
                    <w:jc w:val="both"/>
                  </w:pPr>
                </w:p>
                <w:p w:rsidR="00F04EEF" w:rsidRDefault="0099351E">
                  <w:pPr>
                    <w:jc w:val="both"/>
                  </w:pPr>
                  <w:r>
                    <w:rPr>
                      <w:rFonts w:asciiTheme="majorHAnsi" w:eastAsiaTheme="majorEastAsia" w:hAnsiTheme="majorHAnsi"/>
                      <w:b/>
                      <w:bCs/>
                      <w:smallCaps/>
                      <w:noProof/>
                      <w:lang w:eastAsia="fr-BE"/>
                    </w:rPr>
                    <mc:AlternateContent>
                      <mc:Choice Requires="wps">
                        <w:drawing>
                          <wp:anchor distT="0" distB="0" distL="114300" distR="114300" simplePos="0" relativeHeight="252247040" behindDoc="0" locked="0" layoutInCell="1" allowOverlap="1">
                            <wp:simplePos x="0" y="0"/>
                            <wp:positionH relativeFrom="column">
                              <wp:posOffset>6214745</wp:posOffset>
                            </wp:positionH>
                            <wp:positionV relativeFrom="paragraph">
                              <wp:posOffset>240030</wp:posOffset>
                            </wp:positionV>
                            <wp:extent cx="0" cy="219075"/>
                            <wp:effectExtent l="0" t="0" r="19050" b="28575"/>
                            <wp:wrapNone/>
                            <wp:docPr id="536" name="Connecteur droit 536"/>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21CBEB" id="Connecteur droit 536" o:spid="_x0000_s1026" style="position:absolute;z-index:252247040;visibility:visible;mso-wrap-style:square;mso-wrap-distance-left:9pt;mso-wrap-distance-top:0;mso-wrap-distance-right:9pt;mso-wrap-distance-bottom:0;mso-position-horizontal:absolute;mso-position-horizontal-relative:text;mso-position-vertical:absolute;mso-position-vertical-relative:text" from="489.35pt,18.9pt" to="489.35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" strokecolor="black [3213]"/>
                        </w:pict>
                      </mc:Fallback>
                    </mc:AlternateContent>
                  </w:r>
                  <w:r>
                    <w:t xml:space="preserve">Les homes d’accueil permanent de </w:t>
                  </w:r>
                  <w:r>
                    <w:rPr>
                      <w:smallCaps/>
                    </w:rPr>
                    <w:t>Comblain-au-Pont</w:t>
                  </w:r>
                  <w:r>
                    <w:t xml:space="preserve"> et de </w:t>
                  </w:r>
                  <w:r>
                    <w:rPr>
                      <w:smallCaps/>
                    </w:rPr>
                    <w:t>Saint-Mard</w:t>
                  </w:r>
                  <w:r>
                    <w:t xml:space="preserve"> seront ouverts du </w:t>
                  </w:r>
                </w:p>
                <w:p w:rsidR="00F04EEF" w:rsidRDefault="0099351E">
                  <w:pPr>
                    <w:jc w:val="both"/>
                  </w:pPr>
                  <w:r>
                    <w:t>1</w:t>
                  </w:r>
                  <w:r>
                    <w:rPr>
                      <w:vertAlign w:val="superscript"/>
                    </w:rPr>
                    <w:t>er</w:t>
                  </w:r>
                  <w:r>
                    <w:t xml:space="preserve"> au 31 août.</w:t>
                  </w:r>
                </w:p>
                <w:p w:rsidR="00F04EEF" w:rsidRDefault="00F04EEF">
                  <w:pPr>
                    <w:jc w:val="both"/>
                  </w:pPr>
                </w:p>
                <w:p w:rsidR="00F04EEF" w:rsidRDefault="0099351E">
                  <w:pPr>
                    <w:pStyle w:val="Titre3"/>
                    <w:rPr>
                      <w:sz w:val="22"/>
                      <w:szCs w:val="22"/>
                    </w:rPr>
                  </w:pPr>
                  <w:bookmarkStart w:id="2821" w:name="__RefHeading__223_957262308"/>
                  <w:bookmarkStart w:id="2822" w:name="_2._Capital-périodes_complémentaire"/>
                  <w:bookmarkStart w:id="2823" w:name="_Toc291075388"/>
                  <w:bookmarkStart w:id="2824" w:name="_Toc291075812"/>
                  <w:bookmarkStart w:id="2825" w:name="_Toc291076236"/>
                  <w:bookmarkStart w:id="2826" w:name="_Toc291076660"/>
                  <w:bookmarkStart w:id="2827" w:name="_Toc291077084"/>
                  <w:bookmarkStart w:id="2828" w:name="_Toc293651928"/>
                  <w:bookmarkStart w:id="2829" w:name="_Toc293653511"/>
                  <w:bookmarkStart w:id="2830" w:name="_Toc293654122"/>
                  <w:bookmarkStart w:id="2831" w:name="_Toc294004700"/>
                  <w:bookmarkStart w:id="2832" w:name="_Toc294185196"/>
                  <w:bookmarkStart w:id="2833" w:name="_Toc324166014"/>
                  <w:bookmarkStart w:id="2834" w:name="_Toc324767051"/>
                  <w:bookmarkStart w:id="2835" w:name="_Toc453314413"/>
                  <w:bookmarkStart w:id="2836" w:name="_Toc454980448"/>
                  <w:bookmarkStart w:id="2837" w:name="_Toc47708539"/>
                  <w:bookmarkEnd w:id="2813"/>
                  <w:bookmarkEnd w:id="2814"/>
                  <w:bookmarkEnd w:id="2815"/>
                  <w:bookmarkEnd w:id="2816"/>
                  <w:bookmarkEnd w:id="2817"/>
                  <w:bookmarkEnd w:id="2818"/>
                  <w:bookmarkEnd w:id="2819"/>
                  <w:bookmarkEnd w:id="2820"/>
                  <w:bookmarkEnd w:id="2821"/>
                  <w:bookmarkEnd w:id="2822"/>
                  <w:r>
                    <w:rPr>
                      <w:sz w:val="22"/>
                      <w:szCs w:val="22"/>
                    </w:rPr>
                    <w:t>2. Capital-périodes complémentaire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r>
                    <w:rPr>
                      <w:sz w:val="22"/>
                      <w:szCs w:val="22"/>
                    </w:rPr>
                    <w:t xml:space="preserv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pPr>
                  <w:r>
                    <w:t>Pour s'acquitter de leur mission spécifique, il est attribué à ces quatre homes d'accueil un capital-périodes complémentaire.</w:t>
                  </w:r>
                </w:p>
                <w:p w:rsidR="00F04EEF" w:rsidRDefault="00F04EEF">
                  <w:pPr>
                    <w:jc w:val="both"/>
                  </w:pPr>
                </w:p>
                <w:p w:rsidR="00F04EEF" w:rsidRDefault="0099351E">
                  <w:pPr>
                    <w:jc w:val="both"/>
                  </w:pPr>
                  <w:r>
                    <w:t>Le capital –périodes sera obtenu, par type et par niveau en utilisant la formule suivante :</w:t>
                  </w:r>
                </w:p>
                <w:p w:rsidR="00F04EEF" w:rsidRDefault="00F04EEF">
                  <w:pPr>
                    <w:jc w:val="both"/>
                  </w:pPr>
                </w:p>
                <w:p w:rsidR="00F04EEF" w:rsidRDefault="0099351E">
                  <w:pPr>
                    <w:jc w:val="center"/>
                  </w:pPr>
                  <w:r>
                    <w:t>Nombre moyen d’élèves x Nombre guide x 1,96</w:t>
                  </w:r>
                </w:p>
                <w:p w:rsidR="00F04EEF" w:rsidRDefault="00F04EEF">
                  <w:pPr>
                    <w:jc w:val="center"/>
                  </w:pPr>
                </w:p>
                <w:p w:rsidR="00F04EEF" w:rsidRDefault="0099351E">
                  <w:pPr>
                    <w:jc w:val="center"/>
                    <w:rPr>
                      <w:u w:val="single"/>
                    </w:rPr>
                  </w:pPr>
                  <w:r>
                    <w:t>Nombre moyen d’élèves=</w:t>
                  </w:r>
                  <w:r>
                    <w:rPr>
                      <w:u w:val="single"/>
                    </w:rPr>
                    <w:t>Sommes des présences annuelles par type et par niveau</w:t>
                  </w:r>
                </w:p>
                <w:p w:rsidR="00F04EEF" w:rsidRDefault="0099351E">
                  <w:pPr>
                    <w:ind w:firstLine="709"/>
                    <w:jc w:val="center"/>
                  </w:pPr>
                  <w:r>
                    <w:t>152</w:t>
                  </w:r>
                </w:p>
                <w:p w:rsidR="00F04EEF" w:rsidRDefault="00F04EEF">
                  <w:pPr>
                    <w:jc w:val="both"/>
                  </w:pPr>
                </w:p>
                <w:p w:rsidR="00F04EEF" w:rsidRDefault="0099351E">
                  <w:pPr>
                    <w:jc w:val="both"/>
                  </w:pPr>
                  <w:r>
                    <w:t>Le nombre moyen d’élèves par type et par niveau ainsi que le résultat final sont arrondis à l’unité supérieure.</w:t>
                  </w:r>
                </w:p>
                <w:p w:rsidR="00F04EEF" w:rsidRDefault="00F04EEF">
                  <w:pPr>
                    <w:jc w:val="both"/>
                  </w:pPr>
                </w:p>
                <w:p w:rsidR="00F04EEF" w:rsidRDefault="0099351E">
                  <w:pPr>
                    <w:jc w:val="both"/>
                  </w:pPr>
                  <w:r>
                    <w:t>Tableau des nombres guides </w:t>
                  </w:r>
                </w:p>
                <w:p w:rsidR="00F04EEF" w:rsidRDefault="00F04EEF">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5"/>
                    <w:gridCol w:w="4475"/>
                    <w:gridCol w:w="1756"/>
                  </w:tblGrid>
                  <w:tr w:rsidR="00F04EEF">
                    <w:trPr>
                      <w:jc w:val="center"/>
                    </w:trPr>
                    <w:tc>
                      <w:tcPr>
                        <w:tcW w:w="2165" w:type="dxa"/>
                      </w:tcPr>
                      <w:p w:rsidR="00F04EEF" w:rsidRDefault="0099351E">
                        <w:pPr>
                          <w:jc w:val="center"/>
                        </w:pPr>
                        <w:r>
                          <w:rPr>
                            <w:noProof/>
                            <w:lang w:eastAsia="fr-BE"/>
                          </w:rPr>
                          <mc:AlternateContent>
                            <mc:Choice Requires="wps">
                              <w:drawing>
                                <wp:anchor distT="0" distB="0" distL="114299" distR="114299" simplePos="0" relativeHeight="251761664" behindDoc="0" locked="0" layoutInCell="1" allowOverlap="1">
                                  <wp:simplePos x="0" y="0"/>
                                  <wp:positionH relativeFrom="column">
                                    <wp:posOffset>7639049</wp:posOffset>
                                  </wp:positionH>
                                  <wp:positionV relativeFrom="paragraph">
                                    <wp:posOffset>-389890</wp:posOffset>
                                  </wp:positionV>
                                  <wp:extent cx="0" cy="4343400"/>
                                  <wp:effectExtent l="19050" t="0" r="19050" b="22860"/>
                                  <wp:wrapNone/>
                                  <wp:docPr id="24"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43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012B2A" id="Line 43" o:spid="_x0000_s1026" style="position:absolute;z-index:251761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01.5pt,-30.7pt" to="601.5pt,3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" strokeweight="2.25pt"/>
                              </w:pict>
                            </mc:Fallback>
                          </mc:AlternateContent>
                        </w:r>
                        <w:r>
                          <w:t>Type</w:t>
                        </w:r>
                      </w:p>
                    </w:tc>
                    <w:tc>
                      <w:tcPr>
                        <w:tcW w:w="4475" w:type="dxa"/>
                      </w:tcPr>
                      <w:p w:rsidR="00F04EEF" w:rsidRDefault="0099351E">
                        <w:pPr>
                          <w:jc w:val="center"/>
                        </w:pPr>
                        <w:r>
                          <w:t>Niveau</w:t>
                        </w:r>
                      </w:p>
                    </w:tc>
                    <w:tc>
                      <w:tcPr>
                        <w:tcW w:w="1756" w:type="dxa"/>
                      </w:tcPr>
                      <w:p w:rsidR="00F04EEF" w:rsidRDefault="0099351E">
                        <w:pPr>
                          <w:jc w:val="center"/>
                        </w:pPr>
                        <w:r>
                          <w:t>Nombre guide</w:t>
                        </w:r>
                      </w:p>
                    </w:tc>
                  </w:tr>
                  <w:tr w:rsidR="00F04EEF">
                    <w:trPr>
                      <w:jc w:val="center"/>
                    </w:trPr>
                    <w:tc>
                      <w:tcPr>
                        <w:tcW w:w="2165" w:type="dxa"/>
                        <w:vMerge w:val="restart"/>
                        <w:vAlign w:val="center"/>
                      </w:tcPr>
                      <w:p w:rsidR="00F04EEF" w:rsidRDefault="0099351E">
                        <w:pPr>
                          <w:jc w:val="center"/>
                        </w:pPr>
                        <w:r>
                          <w:t>1</w:t>
                        </w:r>
                      </w:p>
                    </w:tc>
                    <w:tc>
                      <w:tcPr>
                        <w:tcW w:w="4475" w:type="dxa"/>
                        <w:vAlign w:val="center"/>
                      </w:tcPr>
                      <w:p w:rsidR="00F04EEF" w:rsidRDefault="0099351E">
                        <w:pPr>
                          <w:jc w:val="center"/>
                        </w:pPr>
                        <w:r>
                          <w:t>Enseignement primaire</w:t>
                        </w:r>
                      </w:p>
                    </w:tc>
                    <w:tc>
                      <w:tcPr>
                        <w:tcW w:w="1756" w:type="dxa"/>
                        <w:vAlign w:val="center"/>
                      </w:tcPr>
                      <w:p w:rsidR="00F04EEF" w:rsidRDefault="0099351E">
                        <w:pPr>
                          <w:jc w:val="center"/>
                        </w:pPr>
                        <w:r>
                          <w:t>6</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6</w:t>
                        </w:r>
                      </w:p>
                    </w:tc>
                  </w:tr>
                  <w:tr w:rsidR="00F04EEF">
                    <w:trPr>
                      <w:jc w:val="center"/>
                    </w:trPr>
                    <w:tc>
                      <w:tcPr>
                        <w:tcW w:w="2165" w:type="dxa"/>
                        <w:vMerge w:val="restart"/>
                        <w:vAlign w:val="center"/>
                      </w:tcPr>
                      <w:p w:rsidR="00F04EEF" w:rsidRDefault="0099351E">
                        <w:pPr>
                          <w:jc w:val="center"/>
                        </w:pPr>
                        <w:r>
                          <w:t>2</w:t>
                        </w:r>
                      </w:p>
                    </w:tc>
                    <w:tc>
                      <w:tcPr>
                        <w:tcW w:w="4475" w:type="dxa"/>
                        <w:vAlign w:val="center"/>
                      </w:tcPr>
                      <w:p w:rsidR="00F04EEF" w:rsidRDefault="0099351E">
                        <w:pPr>
                          <w:jc w:val="center"/>
                        </w:pPr>
                        <w:r>
                          <w:t>Enseignement fondamental</w:t>
                        </w:r>
                      </w:p>
                    </w:tc>
                    <w:tc>
                      <w:tcPr>
                        <w:tcW w:w="1756" w:type="dxa"/>
                        <w:vAlign w:val="center"/>
                      </w:tcPr>
                      <w:p w:rsidR="00F04EEF" w:rsidRDefault="0099351E">
                        <w:pPr>
                          <w:jc w:val="center"/>
                        </w:pPr>
                        <w:r>
                          <w:t>9</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p w:rsidR="00F04EEF" w:rsidRDefault="0099351E">
                        <w:pPr>
                          <w:jc w:val="center"/>
                        </w:pPr>
                        <w:r>
                          <w:t>(à l’exception de la forme 1)</w:t>
                        </w:r>
                      </w:p>
                    </w:tc>
                    <w:tc>
                      <w:tcPr>
                        <w:tcW w:w="1756" w:type="dxa"/>
                        <w:vAlign w:val="center"/>
                      </w:tcPr>
                      <w:p w:rsidR="00F04EEF" w:rsidRDefault="0099351E">
                        <w:pPr>
                          <w:jc w:val="center"/>
                        </w:pPr>
                        <w:r>
                          <w:t>7</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 de forme 1</w:t>
                        </w:r>
                      </w:p>
                    </w:tc>
                    <w:tc>
                      <w:tcPr>
                        <w:tcW w:w="1756" w:type="dxa"/>
                        <w:vAlign w:val="center"/>
                      </w:tcPr>
                      <w:p w:rsidR="00F04EEF" w:rsidRDefault="0099351E">
                        <w:pPr>
                          <w:jc w:val="center"/>
                        </w:pPr>
                        <w:r>
                          <w:t>9</w:t>
                        </w:r>
                      </w:p>
                    </w:tc>
                  </w:tr>
                  <w:tr w:rsidR="00F04EEF">
                    <w:trPr>
                      <w:jc w:val="center"/>
                    </w:trPr>
                    <w:tc>
                      <w:tcPr>
                        <w:tcW w:w="2165" w:type="dxa"/>
                        <w:vMerge w:val="restart"/>
                        <w:vAlign w:val="center"/>
                      </w:tcPr>
                      <w:p w:rsidR="00F04EEF" w:rsidRDefault="0099351E">
                        <w:pPr>
                          <w:jc w:val="center"/>
                        </w:pPr>
                        <w:r>
                          <w:t>3</w:t>
                        </w:r>
                      </w:p>
                    </w:tc>
                    <w:tc>
                      <w:tcPr>
                        <w:tcW w:w="4475" w:type="dxa"/>
                        <w:vAlign w:val="center"/>
                      </w:tcPr>
                      <w:p w:rsidR="00F04EEF" w:rsidRDefault="0099351E">
                        <w:pPr>
                          <w:jc w:val="center"/>
                        </w:pPr>
                        <w:r>
                          <w:t>Enseignement fondamental</w:t>
                        </w:r>
                      </w:p>
                    </w:tc>
                    <w:tc>
                      <w:tcPr>
                        <w:tcW w:w="1756" w:type="dxa"/>
                        <w:vAlign w:val="center"/>
                      </w:tcPr>
                      <w:p w:rsidR="00F04EEF" w:rsidRDefault="0099351E">
                        <w:pPr>
                          <w:jc w:val="center"/>
                        </w:pPr>
                        <w:r>
                          <w:t>9</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9</w:t>
                        </w:r>
                      </w:p>
                    </w:tc>
                  </w:tr>
                  <w:tr w:rsidR="00F04EEF">
                    <w:trPr>
                      <w:jc w:val="center"/>
                    </w:trPr>
                    <w:tc>
                      <w:tcPr>
                        <w:tcW w:w="2165" w:type="dxa"/>
                        <w:vMerge w:val="restart"/>
                        <w:vAlign w:val="center"/>
                      </w:tcPr>
                      <w:p w:rsidR="00F04EEF" w:rsidRDefault="0099351E">
                        <w:pPr>
                          <w:jc w:val="center"/>
                        </w:pPr>
                        <w:r>
                          <w:t>4</w:t>
                        </w:r>
                      </w:p>
                    </w:tc>
                    <w:tc>
                      <w:tcPr>
                        <w:tcW w:w="4475" w:type="dxa"/>
                        <w:vAlign w:val="center"/>
                      </w:tcPr>
                      <w:p w:rsidR="00F04EEF" w:rsidRDefault="0099351E">
                        <w:pPr>
                          <w:jc w:val="center"/>
                        </w:pPr>
                        <w:r>
                          <w:t>Enseignement fondamental</w:t>
                        </w:r>
                      </w:p>
                    </w:tc>
                    <w:tc>
                      <w:tcPr>
                        <w:tcW w:w="1756" w:type="dxa"/>
                        <w:vAlign w:val="center"/>
                      </w:tcPr>
                      <w:p w:rsidR="00F04EEF" w:rsidRDefault="0099351E">
                        <w:pPr>
                          <w:jc w:val="center"/>
                        </w:pPr>
                        <w:r>
                          <w:t>12</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12</w:t>
                        </w:r>
                      </w:p>
                    </w:tc>
                  </w:tr>
                  <w:tr w:rsidR="00F04EEF">
                    <w:trPr>
                      <w:jc w:val="center"/>
                    </w:trPr>
                    <w:tc>
                      <w:tcPr>
                        <w:tcW w:w="2165" w:type="dxa"/>
                        <w:vMerge w:val="restart"/>
                        <w:vAlign w:val="center"/>
                      </w:tcPr>
                      <w:p w:rsidR="00F04EEF" w:rsidRDefault="0099351E">
                        <w:pPr>
                          <w:jc w:val="center"/>
                        </w:pPr>
                        <w:r>
                          <w:t>5</w:t>
                        </w:r>
                      </w:p>
                    </w:tc>
                    <w:tc>
                      <w:tcPr>
                        <w:tcW w:w="4475" w:type="dxa"/>
                        <w:vAlign w:val="center"/>
                      </w:tcPr>
                      <w:p w:rsidR="00F04EEF" w:rsidRDefault="0099351E">
                        <w:pPr>
                          <w:jc w:val="center"/>
                        </w:pPr>
                        <w:r>
                          <w:t>Enseignement fondamental</w:t>
                        </w:r>
                      </w:p>
                    </w:tc>
                    <w:tc>
                      <w:tcPr>
                        <w:tcW w:w="1756" w:type="dxa"/>
                        <w:vAlign w:val="center"/>
                      </w:tcPr>
                      <w:p w:rsidR="00F04EEF" w:rsidRDefault="0099351E">
                        <w:pPr>
                          <w:jc w:val="center"/>
                        </w:pPr>
                        <w:r>
                          <w:t>6</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6</w:t>
                        </w:r>
                      </w:p>
                    </w:tc>
                  </w:tr>
                  <w:tr w:rsidR="00F04EEF">
                    <w:trPr>
                      <w:jc w:val="center"/>
                    </w:trPr>
                    <w:tc>
                      <w:tcPr>
                        <w:tcW w:w="2165" w:type="dxa"/>
                        <w:vMerge w:val="restart"/>
                        <w:vAlign w:val="center"/>
                      </w:tcPr>
                      <w:p w:rsidR="00F04EEF" w:rsidRDefault="0099351E">
                        <w:pPr>
                          <w:jc w:val="center"/>
                        </w:pPr>
                        <w:r>
                          <w:t>6</w:t>
                        </w:r>
                      </w:p>
                    </w:tc>
                    <w:tc>
                      <w:tcPr>
                        <w:tcW w:w="4475" w:type="dxa"/>
                        <w:vAlign w:val="center"/>
                      </w:tcPr>
                      <w:p w:rsidR="00F04EEF" w:rsidRDefault="0099351E">
                        <w:pPr>
                          <w:jc w:val="center"/>
                        </w:pPr>
                        <w:r>
                          <w:t>Enseignement fondamental</w:t>
                        </w:r>
                      </w:p>
                    </w:tc>
                    <w:tc>
                      <w:tcPr>
                        <w:tcW w:w="1756" w:type="dxa"/>
                        <w:vAlign w:val="center"/>
                      </w:tcPr>
                      <w:p w:rsidR="00F04EEF" w:rsidRDefault="0099351E">
                        <w:pPr>
                          <w:jc w:val="center"/>
                        </w:pPr>
                        <w:r>
                          <w:t>7</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7</w:t>
                        </w:r>
                      </w:p>
                    </w:tc>
                  </w:tr>
                  <w:tr w:rsidR="00F04EEF">
                    <w:trPr>
                      <w:jc w:val="center"/>
                    </w:trPr>
                    <w:tc>
                      <w:tcPr>
                        <w:tcW w:w="2165" w:type="dxa"/>
                        <w:vMerge w:val="restart"/>
                        <w:vAlign w:val="center"/>
                      </w:tcPr>
                      <w:p w:rsidR="00F04EEF" w:rsidRDefault="0099351E">
                        <w:pPr>
                          <w:jc w:val="center"/>
                        </w:pPr>
                        <w:r>
                          <w:t>7</w:t>
                        </w:r>
                      </w:p>
                    </w:tc>
                    <w:tc>
                      <w:tcPr>
                        <w:tcW w:w="4475" w:type="dxa"/>
                        <w:vAlign w:val="center"/>
                      </w:tcPr>
                      <w:p w:rsidR="00F04EEF" w:rsidRDefault="0099351E">
                        <w:pPr>
                          <w:jc w:val="center"/>
                        </w:pPr>
                        <w:r>
                          <w:t>Enseignement fondamental</w:t>
                        </w:r>
                      </w:p>
                    </w:tc>
                    <w:tc>
                      <w:tcPr>
                        <w:tcW w:w="1756" w:type="dxa"/>
                        <w:vAlign w:val="center"/>
                      </w:tcPr>
                      <w:p w:rsidR="00F04EEF" w:rsidRDefault="0099351E">
                        <w:pPr>
                          <w:jc w:val="center"/>
                        </w:pPr>
                        <w:r>
                          <w:t>7</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7</w:t>
                        </w:r>
                      </w:p>
                    </w:tc>
                  </w:tr>
                  <w:tr w:rsidR="00F04EEF">
                    <w:trPr>
                      <w:jc w:val="center"/>
                    </w:trPr>
                    <w:tc>
                      <w:tcPr>
                        <w:tcW w:w="2165" w:type="dxa"/>
                        <w:vAlign w:val="center"/>
                      </w:tcPr>
                      <w:p w:rsidR="00F04EEF" w:rsidRDefault="0099351E">
                        <w:pPr>
                          <w:jc w:val="center"/>
                        </w:pPr>
                        <w:r>
                          <w:t>8</w:t>
                        </w:r>
                      </w:p>
                    </w:tc>
                    <w:tc>
                      <w:tcPr>
                        <w:tcW w:w="4475" w:type="dxa"/>
                        <w:vAlign w:val="center"/>
                      </w:tcPr>
                      <w:p w:rsidR="00F04EEF" w:rsidRDefault="0099351E">
                        <w:pPr>
                          <w:jc w:val="center"/>
                        </w:pPr>
                        <w:r>
                          <w:t>Enseignement primaire</w:t>
                        </w:r>
                      </w:p>
                    </w:tc>
                    <w:tc>
                      <w:tcPr>
                        <w:tcW w:w="1756" w:type="dxa"/>
                        <w:vAlign w:val="center"/>
                      </w:tcPr>
                      <w:p w:rsidR="00F04EEF" w:rsidRDefault="0099351E">
                        <w:pPr>
                          <w:jc w:val="center"/>
                        </w:pPr>
                        <w:r>
                          <w:t>6</w:t>
                        </w:r>
                      </w:p>
                    </w:tc>
                  </w:tr>
                  <w:tr w:rsidR="00F04EEF">
                    <w:trPr>
                      <w:jc w:val="center"/>
                    </w:trPr>
                    <w:tc>
                      <w:tcPr>
                        <w:tcW w:w="2165" w:type="dxa"/>
                        <w:vMerge w:val="restart"/>
                        <w:vAlign w:val="center"/>
                      </w:tcPr>
                      <w:p w:rsidR="00F04EEF" w:rsidRDefault="0099351E">
                        <w:pPr>
                          <w:jc w:val="center"/>
                        </w:pPr>
                        <w:r>
                          <w:t>SAJ-SPJ</w:t>
                        </w:r>
                      </w:p>
                    </w:tc>
                    <w:tc>
                      <w:tcPr>
                        <w:tcW w:w="4475" w:type="dxa"/>
                        <w:vAlign w:val="center"/>
                      </w:tcPr>
                      <w:p w:rsidR="00F04EEF" w:rsidRDefault="0099351E">
                        <w:pPr>
                          <w:jc w:val="center"/>
                        </w:pPr>
                        <w:r>
                          <w:t>Enseignement primaire</w:t>
                        </w:r>
                      </w:p>
                    </w:tc>
                    <w:tc>
                      <w:tcPr>
                        <w:tcW w:w="1756" w:type="dxa"/>
                        <w:vAlign w:val="center"/>
                      </w:tcPr>
                      <w:p w:rsidR="00F04EEF" w:rsidRDefault="0099351E">
                        <w:pPr>
                          <w:jc w:val="center"/>
                        </w:pPr>
                        <w:r>
                          <w:t>6</w:t>
                        </w:r>
                      </w:p>
                    </w:tc>
                  </w:tr>
                  <w:tr w:rsidR="00F04EEF">
                    <w:trPr>
                      <w:jc w:val="center"/>
                    </w:trPr>
                    <w:tc>
                      <w:tcPr>
                        <w:tcW w:w="2165" w:type="dxa"/>
                        <w:vMerge/>
                        <w:vAlign w:val="center"/>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6</w:t>
                        </w:r>
                      </w:p>
                    </w:tc>
                  </w:tr>
                  <w:tr w:rsidR="00F04EEF">
                    <w:trPr>
                      <w:jc w:val="center"/>
                    </w:trPr>
                    <w:tc>
                      <w:tcPr>
                        <w:tcW w:w="2165" w:type="dxa"/>
                        <w:vMerge w:val="restart"/>
                        <w:vAlign w:val="center"/>
                      </w:tcPr>
                      <w:p w:rsidR="00F04EEF" w:rsidRDefault="0099351E">
                        <w:pPr>
                          <w:jc w:val="center"/>
                        </w:pPr>
                        <w:r>
                          <w:t>Elèves de  l’enseignement ordinaire</w:t>
                        </w:r>
                      </w:p>
                    </w:tc>
                    <w:tc>
                      <w:tcPr>
                        <w:tcW w:w="4475" w:type="dxa"/>
                        <w:vAlign w:val="center"/>
                      </w:tcPr>
                      <w:p w:rsidR="00F04EEF" w:rsidRDefault="0099351E">
                        <w:pPr>
                          <w:jc w:val="center"/>
                        </w:pPr>
                        <w:r>
                          <w:t>Enseignement primaire</w:t>
                        </w:r>
                      </w:p>
                    </w:tc>
                    <w:tc>
                      <w:tcPr>
                        <w:tcW w:w="1756" w:type="dxa"/>
                        <w:vAlign w:val="center"/>
                      </w:tcPr>
                      <w:p w:rsidR="00F04EEF" w:rsidRDefault="0099351E">
                        <w:pPr>
                          <w:jc w:val="center"/>
                        </w:pPr>
                        <w:r>
                          <w:t>1,8</w:t>
                        </w:r>
                      </w:p>
                    </w:tc>
                  </w:tr>
                  <w:tr w:rsidR="00F04EEF">
                    <w:trPr>
                      <w:jc w:val="center"/>
                    </w:trPr>
                    <w:tc>
                      <w:tcPr>
                        <w:tcW w:w="2165" w:type="dxa"/>
                        <w:vMerge/>
                      </w:tcPr>
                      <w:p w:rsidR="00F04EEF" w:rsidRDefault="00F04EEF">
                        <w:pPr>
                          <w:jc w:val="center"/>
                        </w:pPr>
                      </w:p>
                    </w:tc>
                    <w:tc>
                      <w:tcPr>
                        <w:tcW w:w="4475" w:type="dxa"/>
                        <w:vAlign w:val="center"/>
                      </w:tcPr>
                      <w:p w:rsidR="00F04EEF" w:rsidRDefault="0099351E">
                        <w:pPr>
                          <w:jc w:val="center"/>
                        </w:pPr>
                        <w:r>
                          <w:t>Enseignement secondaire</w:t>
                        </w:r>
                      </w:p>
                    </w:tc>
                    <w:tc>
                      <w:tcPr>
                        <w:tcW w:w="1756" w:type="dxa"/>
                        <w:vAlign w:val="center"/>
                      </w:tcPr>
                      <w:p w:rsidR="00F04EEF" w:rsidRDefault="0099351E">
                        <w:pPr>
                          <w:jc w:val="center"/>
                        </w:pPr>
                        <w:r>
                          <w:t>1,8</w:t>
                        </w:r>
                      </w:p>
                    </w:tc>
                  </w:tr>
                </w:tbl>
                <w:p w:rsidR="00F04EEF" w:rsidRDefault="00F04EEF">
                  <w:pPr>
                    <w:jc w:val="both"/>
                    <w:rPr>
                      <w:color w:val="000000"/>
                    </w:rPr>
                  </w:pPr>
                </w:p>
                <w:p w:rsidR="00F04EEF" w:rsidRDefault="0099351E">
                  <w:pPr>
                    <w:jc w:val="both"/>
                    <w:rPr>
                      <w:color w:val="000000"/>
                    </w:rPr>
                  </w:pPr>
                  <w:r>
                    <w:rPr>
                      <w:color w:val="000000"/>
                    </w:rPr>
                    <w:t>La période de référence est fixée du 1</w:t>
                  </w:r>
                  <w:r>
                    <w:rPr>
                      <w:color w:val="000000"/>
                      <w:vertAlign w:val="superscript"/>
                    </w:rPr>
                    <w:t>er</w:t>
                  </w:r>
                  <w:r>
                    <w:rPr>
                      <w:color w:val="000000"/>
                    </w:rPr>
                    <w:t xml:space="preserve"> septembre au 31 août de l’année précédente.</w:t>
                  </w:r>
                </w:p>
                <w:p w:rsidR="00F04EEF" w:rsidRDefault="00F04EEF">
                  <w:pPr>
                    <w:jc w:val="both"/>
                    <w:rPr>
                      <w:color w:val="000000"/>
                    </w:rPr>
                  </w:pPr>
                </w:p>
                <w:p w:rsidR="00F04EEF" w:rsidRDefault="0099351E">
                  <w:pPr>
                    <w:jc w:val="both"/>
                    <w:rPr>
                      <w:color w:val="000000"/>
                    </w:rPr>
                  </w:pPr>
                  <w:r>
                    <w:rPr>
                      <w:color w:val="000000"/>
                    </w:rPr>
                    <w:t xml:space="preserve">Le pourcentage du capital-périodes utilisable pour le personnel attribué pour l’accueil permanent des élèves internes est de </w:t>
                  </w:r>
                  <w:r>
                    <w:rPr>
                      <w:b/>
                      <w:color w:val="000000"/>
                    </w:rPr>
                    <w:t>92%</w:t>
                  </w:r>
                  <w:r>
                    <w:rPr>
                      <w:color w:val="000000"/>
                    </w:rPr>
                    <w:t>.</w:t>
                  </w:r>
                </w:p>
                <w:p w:rsidR="00F04EEF" w:rsidRDefault="00F04EEF">
                  <w:pPr>
                    <w:jc w:val="both"/>
                    <w:rPr>
                      <w:color w:val="000000"/>
                    </w:rPr>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color w:val="000000"/>
                    </w:rPr>
                  </w:pPr>
                  <w:r>
                    <w:rPr>
                      <w:color w:val="000000"/>
                    </w:rPr>
                    <w:t>Les élèves pris en considération sont ceux qui doivent être considérés comme élèves réguliers conformément aux dispositions du Décret du 3 mars 2004 organisant l’enseignement spécialisé.</w:t>
                  </w:r>
                </w:p>
                <w:p w:rsidR="00F04EEF" w:rsidRDefault="00F04EEF">
                  <w:pPr>
                    <w:jc w:val="both"/>
                    <w:rPr>
                      <w:color w:val="000000"/>
                    </w:rPr>
                  </w:pPr>
                </w:p>
                <w:p w:rsidR="00F04EEF" w:rsidRDefault="0099351E">
                  <w:pPr>
                    <w:jc w:val="both"/>
                    <w:rPr>
                      <w:color w:val="000000"/>
                    </w:rPr>
                  </w:pPr>
                  <w:r>
                    <w:rPr>
                      <w:color w:val="000000"/>
                    </w:rPr>
                    <w:t>Ce capital-périodes complémentaire comporte au moins 275 périodes.</w:t>
                  </w:r>
                </w:p>
                <w:p w:rsidR="00F04EEF" w:rsidRDefault="00F04EEF">
                  <w:pPr>
                    <w:jc w:val="both"/>
                    <w:rPr>
                      <w:color w:val="000000"/>
                    </w:rPr>
                  </w:pPr>
                </w:p>
                <w:p w:rsidR="00F04EEF" w:rsidRDefault="0099351E">
                  <w:pPr>
                    <w:jc w:val="both"/>
                    <w:rPr>
                      <w:color w:val="000000"/>
                    </w:rPr>
                  </w:pPr>
                  <w:r>
                    <w:rPr>
                      <w:color w:val="000000"/>
                    </w:rPr>
                    <w:t>Ce capital-périodes peut, dans le courant de l'année, être recalculé et utilisé chaque fois que le nombre d'élèves augmente d'au moins 10% par rapport à celui qui a été pris en considération lors de la détermination du dernier capital-périodes correspondant.</w:t>
                  </w:r>
                </w:p>
                <w:p w:rsidR="00F04EEF" w:rsidRDefault="00F04EEF">
                  <w:pPr>
                    <w:jc w:val="both"/>
                    <w:rPr>
                      <w:color w:val="000000"/>
                    </w:rPr>
                  </w:pPr>
                </w:p>
                <w:p w:rsidR="00F04EEF" w:rsidRDefault="0099351E">
                  <w:pPr>
                    <w:jc w:val="both"/>
                    <w:rPr>
                      <w:color w:val="000000"/>
                    </w:rPr>
                  </w:pPr>
                  <w:r>
                    <w:rPr>
                      <w:color w:val="000000"/>
                    </w:rPr>
                    <w:t>Cet accroissement n'est pris en considération que si l'augmentation du nombre d'élèves est maintenue pendant 10 jours consécutifs.</w:t>
                  </w:r>
                </w:p>
                <w:p w:rsidR="00F04EEF" w:rsidRDefault="00F04EEF">
                  <w:pPr>
                    <w:jc w:val="both"/>
                    <w:rPr>
                      <w:color w:val="000000"/>
                    </w:rPr>
                  </w:pPr>
                </w:p>
                <w:p w:rsidR="00F04EEF" w:rsidRDefault="0099351E">
                  <w:pPr>
                    <w:jc w:val="both"/>
                    <w:rPr>
                      <w:color w:val="000000"/>
                    </w:rPr>
                  </w:pPr>
                  <w:r>
                    <w:rPr>
                      <w:color w:val="000000"/>
                    </w:rPr>
                    <w:t>Toute demande de révision du calcul du capital-périodes doit être sollicitée directement auprès du vérificateur (éventuellement par téléphone).</w:t>
                  </w:r>
                </w:p>
                <w:p w:rsidR="00F04EEF" w:rsidRDefault="00F04EEF">
                  <w:pPr>
                    <w:jc w:val="both"/>
                    <w:rPr>
                      <w:color w:val="000000"/>
                    </w:rPr>
                  </w:pPr>
                </w:p>
                <w:p w:rsidR="00F04EEF" w:rsidRDefault="0099351E">
                  <w:pPr>
                    <w:jc w:val="both"/>
                    <w:rPr>
                      <w:color w:val="000000"/>
                    </w:rPr>
                  </w:pPr>
                  <w:r>
                    <w:rPr>
                      <w:color w:val="000000"/>
                    </w:rPr>
                    <w:t>Aucun engagement de personnel ne peut avoir lieu avant d'obtenir l'accord du vérificateur sur cette augmentation.</w:t>
                  </w:r>
                </w:p>
                <w:p w:rsidR="00F04EEF" w:rsidRDefault="00F04EEF">
                  <w:pPr>
                    <w:jc w:val="both"/>
                    <w:rPr>
                      <w:color w:val="000000"/>
                    </w:rPr>
                  </w:pPr>
                </w:p>
                <w:p w:rsidR="00F04EEF" w:rsidRDefault="0099351E">
                  <w:pPr>
                    <w:jc w:val="both"/>
                    <w:rPr>
                      <w:color w:val="000000"/>
                    </w:rPr>
                  </w:pPr>
                  <w:r>
                    <w:rPr>
                      <w:color w:val="000000"/>
                    </w:rPr>
                    <w:t>Pour les homes d’accueil permanent qui fonctionnent au mois de juillet ou au mois d’août, le capital-périodes est recalculé et utilisé dès le 1</w:t>
                  </w:r>
                  <w:r>
                    <w:rPr>
                      <w:color w:val="000000"/>
                      <w:vertAlign w:val="superscript"/>
                    </w:rPr>
                    <w:t>er</w:t>
                  </w:r>
                  <w:r>
                    <w:rPr>
                      <w:color w:val="000000"/>
                    </w:rPr>
                    <w:t xml:space="preserve"> jour du mois.</w:t>
                  </w:r>
                </w:p>
                <w:p w:rsidR="00F04EEF" w:rsidRDefault="00F04EEF">
                  <w:pPr>
                    <w:jc w:val="both"/>
                    <w:rPr>
                      <w:color w:val="000000"/>
                    </w:rPr>
                  </w:pPr>
                </w:p>
                <w:p w:rsidR="00F04EEF" w:rsidRDefault="0099351E">
                  <w:pPr>
                    <w:pStyle w:val="Titre3"/>
                    <w:rPr>
                      <w:sz w:val="22"/>
                      <w:szCs w:val="22"/>
                    </w:rPr>
                  </w:pPr>
                  <w:bookmarkStart w:id="2838" w:name="_3._Reliquats"/>
                  <w:bookmarkStart w:id="2839" w:name="_Toc453314414"/>
                  <w:bookmarkStart w:id="2840" w:name="_Toc454980449"/>
                  <w:bookmarkStart w:id="2841" w:name="_Toc47708540"/>
                  <w:bookmarkEnd w:id="2838"/>
                  <w:r>
                    <w:rPr>
                      <w:sz w:val="22"/>
                      <w:szCs w:val="22"/>
                    </w:rPr>
                    <w:t>3. Reliquats</w:t>
                  </w:r>
                  <w:bookmarkEnd w:id="2839"/>
                  <w:bookmarkEnd w:id="2840"/>
                  <w:bookmarkEnd w:id="2841"/>
                </w:p>
                <w:p w:rsidR="00F04EEF" w:rsidRDefault="00F04EEF">
                  <w:pPr>
                    <w:rPr>
                      <w:color w:val="000000"/>
                    </w:rPr>
                  </w:pPr>
                </w:p>
                <w:p w:rsidR="00F04EEF" w:rsidRDefault="0099351E">
                  <w:pPr>
                    <w:jc w:val="both"/>
                  </w:pPr>
                  <w:r>
                    <w:t>Le nombre de périodes restantes après imputation au capital-périodes des périodes attribuées à chaque membre des personnels paramédical, social, psychologique, auxiliaire d’éducation et administratif constitue le reliquat.</w:t>
                  </w:r>
                </w:p>
                <w:p w:rsidR="00F04EEF" w:rsidRDefault="00F04EEF">
                  <w:pPr>
                    <w:jc w:val="both"/>
                  </w:pPr>
                </w:p>
                <w:p w:rsidR="00F04EEF" w:rsidRDefault="0099351E">
                  <w:pPr>
                    <w:jc w:val="both"/>
                  </w:pPr>
                  <w:r>
                    <w:t>Aucune nomination ni changement d’affectation ne pourra se faire sur la base de l’utilisation des reliquats.</w:t>
                  </w:r>
                </w:p>
                <w:p w:rsidR="00F04EEF" w:rsidRDefault="00F04EEF"/>
                <w:p w:rsidR="00F04EEF" w:rsidRDefault="0099351E">
                  <w:pPr>
                    <w:pBdr>
                      <w:top w:val="single" w:sz="2" w:space="1" w:color="auto"/>
                      <w:left w:val="single" w:sz="2" w:space="4" w:color="auto"/>
                      <w:bottom w:val="single" w:sz="2" w:space="1" w:color="auto"/>
                      <w:right w:val="single" w:sz="2" w:space="4" w:color="auto"/>
                    </w:pBdr>
                    <w:jc w:val="both"/>
                  </w:pPr>
                  <w:r>
                    <w:t xml:space="preserve">Les conventions de transfert des reliquats sont à adresser à : </w:t>
                  </w:r>
                </w:p>
                <w:p w:rsidR="00F04EEF" w:rsidRDefault="0099351E">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Direction générale de l’Enseignement obligatoire</w:t>
                  </w:r>
                </w:p>
                <w:p w:rsidR="00F04EEF" w:rsidRDefault="0099351E">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Service de l’Enseignement spécialisé</w:t>
                  </w:r>
                </w:p>
                <w:p w:rsidR="00F04EEF" w:rsidRDefault="0099351E">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Madame Véronique ROMBAUT</w:t>
                  </w:r>
                </w:p>
                <w:p w:rsidR="00F04EEF" w:rsidRDefault="0099351E">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Bureau 2F251</w:t>
                  </w:r>
                </w:p>
                <w:p w:rsidR="00F04EEF" w:rsidRDefault="0099351E">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Rue Adolphe Lavallée, 1</w:t>
                  </w:r>
                </w:p>
                <w:p w:rsidR="00F04EEF" w:rsidRDefault="0099351E">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t>1080   BRUXELLES</w:t>
                  </w:r>
                </w:p>
                <w:p w:rsidR="00F04EEF" w:rsidRDefault="0099351E">
                  <w:pPr>
                    <w:pStyle w:val="Corpsdetexte"/>
                    <w:pBdr>
                      <w:top w:val="single" w:sz="2" w:space="1" w:color="auto"/>
                      <w:left w:val="single" w:sz="2" w:space="4" w:color="auto"/>
                      <w:bottom w:val="single" w:sz="2" w:space="1" w:color="auto"/>
                      <w:right w:val="single" w:sz="2" w:space="4" w:color="auto"/>
                    </w:pBdr>
                    <w:jc w:val="center"/>
                    <w:rPr>
                      <w:b w:val="0"/>
                      <w:szCs w:val="22"/>
                    </w:rPr>
                  </w:pPr>
                  <w:r>
                    <w:rPr>
                      <w:b w:val="0"/>
                      <w:szCs w:val="22"/>
                    </w:rPr>
                    <w:sym w:font="Wingdings" w:char="F028"/>
                  </w:r>
                  <w:r>
                    <w:rPr>
                      <w:b w:val="0"/>
                      <w:szCs w:val="22"/>
                    </w:rPr>
                    <w:t xml:space="preserve"> : 02/690.83.99 - </w:t>
                  </w:r>
                  <w:r>
                    <w:rPr>
                      <w:b w:val="0"/>
                      <w:bCs/>
                      <w:szCs w:val="22"/>
                    </w:rPr>
                    <w:sym w:font="Wingdings" w:char="F03A"/>
                  </w:r>
                  <w:r>
                    <w:rPr>
                      <w:b w:val="0"/>
                      <w:bCs/>
                      <w:szCs w:val="22"/>
                    </w:rPr>
                    <w:t> </w:t>
                  </w:r>
                  <w:hyperlink r:id="rId189" w:history="1">
                    <w:r>
                      <w:rPr>
                        <w:rStyle w:val="Lienhypertexte"/>
                        <w:b w:val="0"/>
                        <w:bCs/>
                        <w:szCs w:val="22"/>
                      </w:rPr>
                      <w:t>veronique.rombaut@cfwb.be</w:t>
                    </w:r>
                  </w:hyperlink>
                  <w:r>
                    <w:rPr>
                      <w:b w:val="0"/>
                      <w:bCs/>
                      <w:szCs w:val="22"/>
                    </w:rPr>
                    <w:t xml:space="preserve"> </w:t>
                  </w:r>
                </w:p>
                <w:p w:rsidR="00F04EEF" w:rsidRDefault="00F04EEF"/>
                <w:p w:rsidR="00F04EEF" w:rsidRDefault="0099351E">
                  <w:pPr>
                    <w:pStyle w:val="Titre3"/>
                  </w:pPr>
                  <w:bookmarkStart w:id="2842" w:name="__RefHeading__225_957262308"/>
                  <w:bookmarkStart w:id="2843" w:name="_Toc291075389"/>
                  <w:bookmarkStart w:id="2844" w:name="_Toc291075813"/>
                  <w:bookmarkStart w:id="2845" w:name="_Toc291076237"/>
                  <w:bookmarkStart w:id="2846" w:name="_Toc291076661"/>
                  <w:bookmarkStart w:id="2847" w:name="_Toc291077085"/>
                  <w:bookmarkStart w:id="2848" w:name="_Toc293651929"/>
                  <w:bookmarkStart w:id="2849" w:name="_Toc293653512"/>
                  <w:bookmarkStart w:id="2850" w:name="_Toc293654123"/>
                  <w:bookmarkStart w:id="2851" w:name="_Toc294004701"/>
                  <w:bookmarkStart w:id="2852" w:name="_Toc294185197"/>
                  <w:bookmarkStart w:id="2853" w:name="_Toc324166015"/>
                  <w:bookmarkStart w:id="2854" w:name="_Toc324767052"/>
                  <w:bookmarkStart w:id="2855" w:name="_Toc453314415"/>
                  <w:bookmarkStart w:id="2856" w:name="_Toc454980450"/>
                  <w:bookmarkStart w:id="2857" w:name="_Toc47708541"/>
                  <w:bookmarkEnd w:id="2842"/>
                  <w:r>
                    <w:t>4. Personnels paramédical, psychologique, social, auxiliaire d’éducation et administratif attribués pour l’accueil permanent des élèves internes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rsidR="00F04EEF" w:rsidRDefault="00F04EEF">
                  <w:pPr>
                    <w:jc w:val="both"/>
                  </w:pPr>
                </w:p>
                <w:p w:rsidR="00F04EEF" w:rsidRDefault="0099351E">
                  <w:pPr>
                    <w:pStyle w:val="Titre4"/>
                  </w:pPr>
                  <w:bookmarkStart w:id="2858" w:name="_Toc291075390"/>
                  <w:bookmarkStart w:id="2859" w:name="_Toc291075814"/>
                  <w:bookmarkStart w:id="2860" w:name="_Toc291076238"/>
                  <w:bookmarkStart w:id="2861" w:name="_Toc291076662"/>
                  <w:bookmarkStart w:id="2862" w:name="_Toc291077086"/>
                  <w:bookmarkStart w:id="2863" w:name="_Toc293651930"/>
                  <w:bookmarkStart w:id="2864" w:name="_Toc293653513"/>
                  <w:bookmarkStart w:id="2865" w:name="_Toc293654124"/>
                  <w:bookmarkStart w:id="2866" w:name="_Toc294004702"/>
                  <w:bookmarkStart w:id="2867" w:name="_Toc294185198"/>
                  <w:bookmarkStart w:id="2868" w:name="_Toc324166016"/>
                  <w:bookmarkStart w:id="2869" w:name="_Toc324767053"/>
                  <w:bookmarkStart w:id="2870" w:name="_Toc324767911"/>
                  <w:bookmarkStart w:id="2871" w:name="_Toc453314416"/>
                  <w:bookmarkStart w:id="2872" w:name="_Toc454980451"/>
                  <w:r>
                    <w:t>4.1. La répartition par fonction de ce capital-périodes complémentaire se fait en fonction des besoins des élèves internes.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rsidR="00F04EEF" w:rsidRDefault="00F04EEF">
                  <w:pPr>
                    <w:jc w:val="both"/>
                  </w:pPr>
                </w:p>
                <w:p w:rsidR="00F04EEF" w:rsidRDefault="0099351E">
                  <w:pPr>
                    <w:jc w:val="both"/>
                  </w:pPr>
                  <w:r>
                    <w:t>50 % au minimum du capital-périodes doit toutefois être utilisé pour la fonction d’éducateur (trice) d’internat.</w:t>
                  </w:r>
                </w:p>
                <w:p w:rsidR="00F04EEF" w:rsidRDefault="00F04EEF">
                  <w:pPr>
                    <w:jc w:val="both"/>
                  </w:pPr>
                </w:p>
                <w:p w:rsidR="00F04EEF" w:rsidRDefault="0099351E">
                  <w:pPr>
                    <w:jc w:val="both"/>
                  </w:pPr>
                  <w:r>
                    <w:t>Le chef d’établissement peut charger un membre du personnel auxiliaire d’éducation définitif de la coordination des activités liées au fonctionnement du home d’accueil permanent après avis motivé de l’organe de concertation locale.</w:t>
                  </w:r>
                  <w:bookmarkStart w:id="2873" w:name="_Toc291075391"/>
                  <w:bookmarkStart w:id="2874" w:name="_Toc291075815"/>
                  <w:bookmarkStart w:id="2875" w:name="_Toc291076239"/>
                  <w:bookmarkStart w:id="2876" w:name="_Toc291076663"/>
                  <w:bookmarkStart w:id="2877" w:name="_Toc291077087"/>
                  <w:bookmarkStart w:id="2878" w:name="_Toc293651931"/>
                  <w:bookmarkStart w:id="2879" w:name="_Toc293653514"/>
                  <w:bookmarkStart w:id="2880" w:name="_Toc293654125"/>
                  <w:bookmarkStart w:id="2881" w:name="_Toc294004703"/>
                  <w:bookmarkStart w:id="2882" w:name="_Toc294185199"/>
                  <w:bookmarkStart w:id="2883" w:name="_Toc324166018"/>
                  <w:bookmarkStart w:id="2884" w:name="_Toc324767054"/>
                  <w:bookmarkStart w:id="2885" w:name="_Toc324767912"/>
                </w:p>
                <w:p w:rsidR="00F04EEF" w:rsidRDefault="00F04EEF">
                  <w:pPr>
                    <w:jc w:val="both"/>
                  </w:pPr>
                </w:p>
                <w:p w:rsidR="00F04EEF" w:rsidRDefault="0099351E">
                  <w:pPr>
                    <w:pStyle w:val="Titre4"/>
                  </w:pPr>
                  <w:bookmarkStart w:id="2886" w:name="_Toc453314417"/>
                  <w:bookmarkStart w:id="2887" w:name="_Toc454980452"/>
                  <w:r>
                    <w:t>4.2. Le personnel dont peut bénéficier chaque home d'accueil permanent sur base du capital-périodes complémentaire, spécifique à cet accueil permanent, est désigné pour une période se terminant le 31 août.</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rsidR="00F04EEF" w:rsidRDefault="00F04EEF"/>
                <w:p w:rsidR="00F04EEF" w:rsidRDefault="0099351E">
                  <w:pPr>
                    <w:pStyle w:val="Titre4"/>
                  </w:pPr>
                  <w:bookmarkStart w:id="2888" w:name="_Toc291075392"/>
                  <w:bookmarkStart w:id="2889" w:name="_Toc291075816"/>
                  <w:bookmarkStart w:id="2890" w:name="_Toc291076240"/>
                  <w:bookmarkStart w:id="2891" w:name="_Toc291076664"/>
                  <w:bookmarkStart w:id="2892" w:name="_Toc291077088"/>
                  <w:bookmarkStart w:id="2893" w:name="_Toc293651932"/>
                  <w:bookmarkStart w:id="2894" w:name="_Toc293653515"/>
                  <w:bookmarkStart w:id="2895" w:name="_Toc293654126"/>
                  <w:bookmarkStart w:id="2896" w:name="_Toc294004704"/>
                  <w:bookmarkStart w:id="2897" w:name="_Toc294185200"/>
                  <w:bookmarkStart w:id="2898" w:name="_Toc324166019"/>
                  <w:bookmarkStart w:id="2899" w:name="_Toc324767055"/>
                  <w:bookmarkStart w:id="2900" w:name="_Toc324767913"/>
                  <w:bookmarkStart w:id="2901" w:name="_Toc453314418"/>
                  <w:bookmarkStart w:id="2902" w:name="_Toc454980453"/>
                  <w:r>
                    <w:t>4.3. Les prestations de ce personnel complémentaire sont fixées à 1318 heures réparties sur l’année.</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rsidR="00F04EEF" w:rsidRDefault="00F04EEF">
                  <w:pPr>
                    <w:jc w:val="both"/>
                    <w:rPr>
                      <w:b/>
                    </w:rPr>
                  </w:pPr>
                </w:p>
                <w:p w:rsidR="00F04EEF" w:rsidRDefault="0099351E">
                  <w:pPr>
                    <w:pStyle w:val="Titre3"/>
                  </w:pPr>
                  <w:bookmarkStart w:id="2903" w:name="_5._Travail_collaboratif_1"/>
                  <w:bookmarkStart w:id="2904" w:name="_Toc47708542"/>
                  <w:bookmarkEnd w:id="2903"/>
                  <w:r>
                    <w:t>5. Travail collaboratif</w:t>
                  </w:r>
                  <w:bookmarkEnd w:id="2904"/>
                  <w:r>
                    <w:t xml:space="preserv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F04EEF" w:rsidRDefault="0099351E">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F04EEF" w:rsidRDefault="0099351E">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rsidR="00F04EEF" w:rsidRDefault="00F04EEF">
                  <w:pPr>
                    <w:jc w:val="both"/>
                    <w:rPr>
                      <w:b/>
                    </w:rPr>
                  </w:pPr>
                </w:p>
                <w:p w:rsidR="00F04EEF" w:rsidRDefault="0099351E">
                  <w:pPr>
                    <w:pStyle w:val="Titre3"/>
                  </w:pPr>
                  <w:bookmarkStart w:id="2905" w:name="_Toc453314419"/>
                  <w:bookmarkStart w:id="2906" w:name="_Toc454980454"/>
                  <w:bookmarkStart w:id="2907" w:name="_Toc47708543"/>
                  <w:r>
                    <w:t>6. Annexes</w:t>
                  </w:r>
                  <w:bookmarkEnd w:id="2905"/>
                  <w:bookmarkEnd w:id="2906"/>
                  <w:bookmarkEnd w:id="2907"/>
                </w:p>
                <w:p w:rsidR="00F04EEF" w:rsidRDefault="00F04EEF">
                  <w:pPr>
                    <w:jc w:val="both"/>
                    <w:rPr>
                      <w:b/>
                    </w:rPr>
                  </w:pPr>
                </w:p>
                <w:p w:rsidR="00F04EEF" w:rsidRDefault="0099351E">
                  <w:pPr>
                    <w:jc w:val="both"/>
                  </w:pPr>
                  <w:r>
                    <w:t xml:space="preserve">Vous trouverez ci-joint, en </w:t>
                  </w:r>
                  <w:hyperlink w:anchor="_Annexe_2_:" w:history="1">
                    <w:r>
                      <w:rPr>
                        <w:rStyle w:val="Lienhypertexte"/>
                        <w:rFonts w:cstheme="minorBidi"/>
                      </w:rPr>
                      <w:t>annexe 2</w:t>
                    </w:r>
                  </w:hyperlink>
                  <w:r>
                    <w:t>, le modèle d’attestation de fréquentation d’un établissement d’enseignement spécialisé.  Cette attestation doit être conservée au sein de la structure d’accueil.</w:t>
                  </w:r>
                </w:p>
                <w:p w:rsidR="00F04EEF" w:rsidRDefault="00F04EEF">
                  <w:pPr>
                    <w:jc w:val="both"/>
                    <w:rPr>
                      <w:b/>
                    </w:rPr>
                  </w:pPr>
                </w:p>
                <w:p w:rsidR="00F04EEF" w:rsidRDefault="0099351E">
                  <w:pPr>
                    <w:pStyle w:val="Titre4"/>
                  </w:pPr>
                  <w:bookmarkStart w:id="2908" w:name="_Annexe_1_:_12"/>
                  <w:bookmarkEnd w:id="2908"/>
                  <w:r>
                    <w:br w:type="page"/>
                  </w:r>
                  <w:bookmarkStart w:id="2909" w:name="_Toc453314420"/>
                  <w:bookmarkStart w:id="2910" w:name="_Toc454980455"/>
                  <w:r>
                    <w:t>Annexe 1 : Convention de transfert de reliquat entre internats, homes d’accueil et homes d’accueil permanent</w:t>
                  </w:r>
                  <w:bookmarkEnd w:id="2909"/>
                  <w:bookmarkEnd w:id="2910"/>
                </w:p>
                <w:p w:rsidR="00F04EEF" w:rsidRDefault="00F04EEF">
                  <w:pPr>
                    <w:jc w:val="center"/>
                  </w:pPr>
                </w:p>
                <w:p w:rsidR="00F04EEF" w:rsidRDefault="0099351E">
                  <w:pPr>
                    <w:jc w:val="center"/>
                    <w:rPr>
                      <w:b/>
                      <w:caps/>
                    </w:rPr>
                  </w:pPr>
                  <w:r>
                    <w:rPr>
                      <w:b/>
                      <w:caps/>
                    </w:rPr>
                    <w:t>Communauté française</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 :</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 (trice) de l’internat, du home d’accueil ou du home d’accueil permanent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w:t>
                  </w:r>
                  <w:r>
                    <w:tab/>
                    <w:t>E-mail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cédante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ET</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du home d’accueil ou du home d’accueil permanent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rsidR="00F04EEF" w:rsidRDefault="00F04EEF"/>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t xml:space="preserve"> </w:t>
                  </w:r>
                  <w:r>
                    <w:tab/>
                    <w:t>E-mail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bénéficiaire.</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rsidR="00F04EEF" w:rsidRDefault="00F04EEF">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F04EEF" w:rsidRDefault="0099351E">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Pr>
                      <w:b/>
                    </w:rPr>
                    <w:t>Document à annexer :</w:t>
                  </w:r>
                  <w:r>
                    <w:t xml:space="preserve"> copie de la décision du pouvoir organisateur et de l’avis du comité de concertation de base.</w:t>
                  </w:r>
                </w:p>
                <w:p w:rsidR="00F04EEF" w:rsidRDefault="0099351E">
                  <w:pPr>
                    <w:pStyle w:val="Paragraphedeliste"/>
                    <w:pBdr>
                      <w:top w:val="single" w:sz="2" w:space="1" w:color="auto"/>
                    </w:pBdr>
                    <w:ind w:left="0"/>
                    <w:jc w:val="both"/>
                    <w:rPr>
                      <w:rFonts w:asciiTheme="majorHAnsi" w:hAnsiTheme="majorHAnsi"/>
                      <w:i/>
                      <w:sz w:val="22"/>
                      <w:szCs w:val="22"/>
                    </w:rPr>
                  </w:pPr>
                  <w:r>
                    <w:rPr>
                      <w:rFonts w:asciiTheme="majorHAnsi" w:hAnsiTheme="majorHAnsi"/>
                      <w:i/>
                      <w:sz w:val="22"/>
                      <w:szCs w:val="22"/>
                    </w:rPr>
                    <w:t>* Biffer les mentions inutiles</w:t>
                  </w:r>
                  <w:r>
                    <w:rPr>
                      <w:rFonts w:asciiTheme="majorHAnsi" w:hAnsiTheme="majorHAnsi"/>
                      <w:b/>
                      <w:sz w:val="22"/>
                      <w:szCs w:val="22"/>
                    </w:rPr>
                    <w:br w:type="page"/>
                  </w:r>
                </w:p>
                <w:p w:rsidR="00F04EEF" w:rsidRDefault="0099351E">
                  <w:pPr>
                    <w:pStyle w:val="Titre4"/>
                  </w:pPr>
                  <w:bookmarkStart w:id="2911" w:name="_Annexe_1_:_6"/>
                  <w:bookmarkStart w:id="2912" w:name="_Annexe_2_:"/>
                  <w:bookmarkStart w:id="2913" w:name="_Toc453314421"/>
                  <w:bookmarkStart w:id="2914" w:name="_Toc454980456"/>
                  <w:bookmarkEnd w:id="2911"/>
                  <w:bookmarkEnd w:id="2912"/>
                  <w:r>
                    <w:t>Annexe 2 : Attestation de fréquentation d’un établissement d’enseignement spécialisé à l’attention d’une structure d’accueil</w:t>
                  </w:r>
                  <w:bookmarkEnd w:id="2913"/>
                  <w:bookmarkEnd w:id="2914"/>
                </w:p>
                <w:p w:rsidR="00F04EEF" w:rsidRDefault="00F04EEF">
                  <w:pPr>
                    <w:jc w:val="center"/>
                  </w:pPr>
                </w:p>
                <w:p w:rsidR="00F04EEF" w:rsidRDefault="0099351E">
                  <w:pPr>
                    <w:jc w:val="center"/>
                    <w:rPr>
                      <w:b/>
                      <w:caps/>
                    </w:rPr>
                  </w:pPr>
                  <w:r>
                    <w:rPr>
                      <w:b/>
                      <w:caps/>
                    </w:rPr>
                    <w:t>Communauté française</w:t>
                  </w:r>
                </w:p>
                <w:p w:rsidR="00F04EEF" w:rsidRDefault="00F04EEF">
                  <w:pPr>
                    <w:jc w:val="center"/>
                  </w:pPr>
                </w:p>
                <w:p w:rsidR="00F04EEF" w:rsidRDefault="00F04EEF">
                  <w:pPr>
                    <w:pStyle w:val="Titre"/>
                    <w:jc w:val="both"/>
                    <w:rPr>
                      <w:sz w:val="22"/>
                      <w:szCs w:val="22"/>
                    </w:rPr>
                  </w:pPr>
                </w:p>
                <w:p w:rsidR="00F04EEF" w:rsidRDefault="00F04EEF">
                  <w:pPr>
                    <w:jc w:val="both"/>
                  </w:pPr>
                </w:p>
                <w:p w:rsidR="00F04EEF" w:rsidRDefault="0099351E">
                  <w:pPr>
                    <w:jc w:val="both"/>
                  </w:pPr>
                  <w:r>
                    <w:t>DENOMINATION ET SIEGE DE L’ETABLISSEMENT</w:t>
                  </w:r>
                </w:p>
                <w:p w:rsidR="00F04EEF" w:rsidRDefault="00F04EEF">
                  <w:pPr>
                    <w:jc w:val="both"/>
                  </w:pPr>
                </w:p>
                <w:p w:rsidR="00F04EEF" w:rsidRDefault="00F04EEF">
                  <w:pPr>
                    <w:jc w:val="both"/>
                  </w:pPr>
                </w:p>
                <w:p w:rsidR="00F04EEF" w:rsidRDefault="00F04EEF">
                  <w:pPr>
                    <w:jc w:val="both"/>
                  </w:pPr>
                </w:p>
                <w:p w:rsidR="00F04EEF" w:rsidRDefault="0099351E">
                  <w:pPr>
                    <w:jc w:val="both"/>
                  </w:pPr>
                  <w:r>
                    <w:t>Numéro FASE :</w:t>
                  </w:r>
                </w:p>
                <w:p w:rsidR="00F04EEF" w:rsidRDefault="00F04EEF">
                  <w:pPr>
                    <w:jc w:val="both"/>
                  </w:pPr>
                </w:p>
                <w:p w:rsidR="00F04EEF" w:rsidRDefault="0099351E">
                  <w:pPr>
                    <w:jc w:val="both"/>
                  </w:pPr>
                  <w:r>
                    <w:t xml:space="preserve">Je soussigné(e) </w:t>
                  </w:r>
                </w:p>
                <w:p w:rsidR="00F04EEF" w:rsidRDefault="00F04EEF">
                  <w:pPr>
                    <w:jc w:val="both"/>
                  </w:pPr>
                </w:p>
                <w:p w:rsidR="00F04EEF" w:rsidRDefault="0099351E">
                  <w:pPr>
                    <w:jc w:val="both"/>
                  </w:pPr>
                  <w:r>
                    <w:t>Chef(fe) de l’établissement susmentionné, atteste que</w:t>
                  </w:r>
                </w:p>
                <w:p w:rsidR="00F04EEF" w:rsidRDefault="00F04EEF">
                  <w:pPr>
                    <w:jc w:val="both"/>
                  </w:pPr>
                </w:p>
                <w:p w:rsidR="00F04EEF" w:rsidRDefault="0099351E">
                  <w:pPr>
                    <w:jc w:val="both"/>
                  </w:pPr>
                  <w:r>
                    <w:t xml:space="preserve">(NOM , Prénom) </w:t>
                  </w:r>
                </w:p>
                <w:p w:rsidR="00F04EEF" w:rsidRDefault="00F04EEF">
                  <w:pPr>
                    <w:jc w:val="both"/>
                  </w:pPr>
                </w:p>
                <w:p w:rsidR="00F04EEF" w:rsidRDefault="0099351E">
                  <w:pPr>
                    <w:jc w:val="both"/>
                  </w:pPr>
                  <w:r>
                    <w:t xml:space="preserve">Né(e) le </w:t>
                  </w:r>
                  <w:r>
                    <w:tab/>
                  </w:r>
                  <w:r>
                    <w:tab/>
                  </w:r>
                  <w:r>
                    <w:tab/>
                  </w:r>
                  <w:r>
                    <w:tab/>
                  </w:r>
                  <w:r>
                    <w:tab/>
                  </w:r>
                  <w:r>
                    <w:tab/>
                  </w:r>
                  <w:r>
                    <w:tab/>
                    <w:t xml:space="preserve">, à </w:t>
                  </w:r>
                </w:p>
                <w:p w:rsidR="00F04EEF" w:rsidRDefault="00F04EEF">
                  <w:pPr>
                    <w:jc w:val="both"/>
                  </w:pPr>
                </w:p>
                <w:p w:rsidR="00F04EEF" w:rsidRDefault="0099351E">
                  <w:pPr>
                    <w:jc w:val="both"/>
                  </w:pPr>
                  <w:r>
                    <w:t>suit les cours au sein de notre établissement pendant l’année scolaire 20…. – 20… et relève des niveau, type et forme suivants :</w:t>
                  </w:r>
                </w:p>
                <w:p w:rsidR="00F04EEF" w:rsidRDefault="00F04EEF">
                  <w:pPr>
                    <w:jc w:val="both"/>
                  </w:pPr>
                </w:p>
                <w:p w:rsidR="00F04EEF" w:rsidRDefault="00F04EE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F04EEF">
                    <w:tc>
                      <w:tcPr>
                        <w:tcW w:w="3070" w:type="dxa"/>
                      </w:tcPr>
                      <w:p w:rsidR="00F04EEF" w:rsidRDefault="0099351E">
                        <w:pPr>
                          <w:jc w:val="both"/>
                        </w:pPr>
                        <w:r>
                          <w:t>Niveau</w:t>
                        </w:r>
                      </w:p>
                    </w:tc>
                    <w:tc>
                      <w:tcPr>
                        <w:tcW w:w="3071" w:type="dxa"/>
                      </w:tcPr>
                      <w:p w:rsidR="00F04EEF" w:rsidRDefault="0099351E">
                        <w:pPr>
                          <w:jc w:val="both"/>
                        </w:pPr>
                        <w:r>
                          <w:t>Type</w:t>
                        </w:r>
                      </w:p>
                    </w:tc>
                    <w:tc>
                      <w:tcPr>
                        <w:tcW w:w="3071" w:type="dxa"/>
                      </w:tcPr>
                      <w:p w:rsidR="00F04EEF" w:rsidRDefault="0099351E">
                        <w:pPr>
                          <w:jc w:val="both"/>
                        </w:pPr>
                        <w:r>
                          <w:t>Forme</w:t>
                        </w:r>
                      </w:p>
                    </w:tc>
                  </w:tr>
                  <w:tr w:rsidR="00F04EEF">
                    <w:tc>
                      <w:tcPr>
                        <w:tcW w:w="3070" w:type="dxa"/>
                      </w:tcPr>
                      <w:p w:rsidR="00F04EEF" w:rsidRDefault="0099351E">
                        <w:pPr>
                          <w:jc w:val="both"/>
                        </w:pPr>
                        <w:r>
                          <w:t>Fondamental</w:t>
                        </w:r>
                      </w:p>
                    </w:tc>
                    <w:tc>
                      <w:tcPr>
                        <w:tcW w:w="3071" w:type="dxa"/>
                      </w:tcPr>
                      <w:p w:rsidR="00F04EEF" w:rsidRDefault="00F04EEF">
                        <w:pPr>
                          <w:jc w:val="both"/>
                        </w:pPr>
                      </w:p>
                    </w:tc>
                    <w:tc>
                      <w:tcPr>
                        <w:tcW w:w="3071" w:type="dxa"/>
                        <w:shd w:val="thinDiagCross" w:color="auto" w:fill="auto"/>
                      </w:tcPr>
                      <w:p w:rsidR="00F04EEF" w:rsidRDefault="00F04EEF">
                        <w:pPr>
                          <w:jc w:val="both"/>
                        </w:pPr>
                      </w:p>
                    </w:tc>
                  </w:tr>
                  <w:tr w:rsidR="00F04EEF">
                    <w:tc>
                      <w:tcPr>
                        <w:tcW w:w="3070" w:type="dxa"/>
                      </w:tcPr>
                      <w:p w:rsidR="00F04EEF" w:rsidRDefault="0099351E">
                        <w:pPr>
                          <w:jc w:val="both"/>
                        </w:pPr>
                        <w:r>
                          <w:t>Secondaire</w:t>
                        </w:r>
                      </w:p>
                    </w:tc>
                    <w:tc>
                      <w:tcPr>
                        <w:tcW w:w="3071" w:type="dxa"/>
                      </w:tcPr>
                      <w:p w:rsidR="00F04EEF" w:rsidRDefault="00F04EEF">
                        <w:pPr>
                          <w:jc w:val="both"/>
                        </w:pPr>
                      </w:p>
                    </w:tc>
                    <w:tc>
                      <w:tcPr>
                        <w:tcW w:w="3071" w:type="dxa"/>
                        <w:shd w:val="clear" w:color="auto" w:fill="FFFFFF"/>
                      </w:tcPr>
                      <w:p w:rsidR="00F04EEF" w:rsidRDefault="00F04EEF">
                        <w:pPr>
                          <w:jc w:val="both"/>
                        </w:pPr>
                      </w:p>
                    </w:tc>
                  </w:tr>
                </w:tbl>
                <w:p w:rsidR="00F04EEF" w:rsidRDefault="00F04EEF">
                  <w:pPr>
                    <w:jc w:val="both"/>
                  </w:pPr>
                </w:p>
                <w:p w:rsidR="00F04EEF" w:rsidRDefault="00F04EEF">
                  <w:pPr>
                    <w:jc w:val="both"/>
                  </w:pPr>
                </w:p>
                <w:p w:rsidR="00F04EEF" w:rsidRDefault="0099351E">
                  <w:pPr>
                    <w:jc w:val="both"/>
                  </w:pPr>
                  <w:r>
                    <w:t>Sceau de l’établissement</w:t>
                  </w:r>
                  <w:r>
                    <w:tab/>
                  </w:r>
                  <w:r>
                    <w:tab/>
                  </w:r>
                  <w:r>
                    <w:tab/>
                  </w:r>
                  <w:r>
                    <w:tab/>
                  </w:r>
                  <w:r>
                    <w:tab/>
                  </w:r>
                  <w:r>
                    <w:tab/>
                    <w:t>Lieu et date</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t>Le (La) Chef(fe) d’établissement</w:t>
                  </w:r>
                </w:p>
                <w:p w:rsidR="00F04EEF" w:rsidRDefault="0099351E">
                  <w:pPr>
                    <w:jc w:val="both"/>
                  </w:pPr>
                  <w:r>
                    <w:t>(NOM et signature)</w:t>
                  </w:r>
                </w:p>
                <w:p w:rsidR="00F04EEF" w:rsidRDefault="00F04EEF">
                  <w:pPr>
                    <w:jc w:val="both"/>
                  </w:pPr>
                </w:p>
                <w:p w:rsidR="00F04EEF" w:rsidRDefault="00F04EEF"/>
                <w:p w:rsidR="00F04EEF" w:rsidRDefault="00F04EEF">
                  <w:pPr>
                    <w:jc w:val="both"/>
                    <w:rPr>
                      <w:b/>
                    </w:rPr>
                  </w:pPr>
                </w:p>
                <w:p w:rsidR="00F04EEF" w:rsidRDefault="0099351E">
                  <w:r>
                    <w:br w:type="page"/>
                  </w:r>
                  <w:bookmarkStart w:id="2915" w:name="_chapitre_12_:"/>
                  <w:bookmarkEnd w:id="2915"/>
                </w:p>
                <w:p w:rsidR="00F04EEF" w:rsidRDefault="0099351E">
                  <w:pPr>
                    <w:pStyle w:val="Titre2"/>
                  </w:pPr>
                  <w:bookmarkStart w:id="2916" w:name="_Chapitre_12_:_1"/>
                  <w:bookmarkStart w:id="2917" w:name="_Toc47708544"/>
                  <w:bookmarkEnd w:id="2916"/>
                  <w:r>
                    <w:t>Chapitre 12 : Formalités administratives pour les élèves fréquentant l’enseignement spécialisé de type 5</w:t>
                  </w:r>
                  <w:bookmarkEnd w:id="2917"/>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F04EEF">
                  <w:pPr>
                    <w:rPr>
                      <w:lang w:eastAsia="fr-BE"/>
                    </w:rPr>
                  </w:pPr>
                </w:p>
                <w:p w:rsidR="00F04EEF" w:rsidRDefault="0099351E">
                  <w:pPr>
                    <w:rPr>
                      <w:b/>
                      <w:u w:val="single"/>
                    </w:rPr>
                  </w:pPr>
                  <w:r>
                    <w:rPr>
                      <w:b/>
                      <w:u w:val="single"/>
                    </w:rPr>
                    <w:t xml:space="preserve">Base légale : </w:t>
                  </w:r>
                </w:p>
                <w:p w:rsidR="00F04EEF" w:rsidRDefault="00F04EEF">
                  <w:pPr>
                    <w:rPr>
                      <w:b/>
                      <w:u w:val="single"/>
                    </w:rPr>
                  </w:pPr>
                </w:p>
                <w:p w:rsidR="00F04EEF" w:rsidRDefault="00F42422">
                  <w:pPr>
                    <w:numPr>
                      <w:ilvl w:val="0"/>
                      <w:numId w:val="143"/>
                    </w:numPr>
                    <w:suppressAutoHyphens/>
                    <w:jc w:val="both"/>
                  </w:pPr>
                  <w:hyperlink r:id="rId190" w:history="1">
                    <w:r w:rsidR="0099351E">
                      <w:rPr>
                        <w:rStyle w:val="Lienhypertexte"/>
                        <w:rFonts w:cs="Arial"/>
                      </w:rPr>
                      <w:t>Décret du 3 mars 2004 organisant l’enseignement spécialisé</w:t>
                    </w:r>
                  </w:hyperlink>
                </w:p>
                <w:p w:rsidR="00F04EEF" w:rsidRDefault="00F42422">
                  <w:pPr>
                    <w:numPr>
                      <w:ilvl w:val="0"/>
                      <w:numId w:val="143"/>
                    </w:numPr>
                    <w:suppressAutoHyphens/>
                    <w:jc w:val="both"/>
                    <w:rPr>
                      <w:rStyle w:val="Lienhypertexte"/>
                      <w:rFonts w:cs="Arial"/>
                      <w:color w:val="FF0000"/>
                    </w:rPr>
                  </w:pPr>
                  <w:hyperlink r:id="rId191" w:history="1">
                    <w:r w:rsidR="0099351E">
                      <w:rPr>
                        <w:rStyle w:val="Lienhypertexte"/>
                        <w:rFonts w:cs="Arial"/>
                      </w:rPr>
                      <w:t>Circulaire n°5088 du 12 décembre 2014 relative à l’enseignement spécialisé de type 5</w:t>
                    </w:r>
                  </w:hyperlink>
                </w:p>
                <w:p w:rsidR="00F04EEF" w:rsidRDefault="0099351E">
                  <w:pPr>
                    <w:numPr>
                      <w:ilvl w:val="0"/>
                      <w:numId w:val="143"/>
                    </w:numPr>
                    <w:suppressAutoHyphens/>
                    <w:jc w:val="both"/>
                    <w:rPr>
                      <w:rStyle w:val="Lienhypertexte"/>
                      <w:rFonts w:cs="Arial"/>
                      <w:color w:val="FF0000"/>
                    </w:rPr>
                  </w:pPr>
                  <w:r>
                    <w:rPr>
                      <w:rFonts w:cs="Arial"/>
                      <w:noProof/>
                      <w:color w:val="0000FF"/>
                      <w:u w:val="single"/>
                      <w:lang w:eastAsia="fr-BE"/>
                    </w:rPr>
                    <mc:AlternateContent>
                      <mc:Choice Requires="wps">
                        <w:drawing>
                          <wp:anchor distT="0" distB="0" distL="114300" distR="114300" simplePos="0" relativeHeight="252401664" behindDoc="0" locked="0" layoutInCell="1" allowOverlap="1">
                            <wp:simplePos x="0" y="0"/>
                            <wp:positionH relativeFrom="column">
                              <wp:posOffset>6205220</wp:posOffset>
                            </wp:positionH>
                            <wp:positionV relativeFrom="paragraph">
                              <wp:posOffset>157480</wp:posOffset>
                            </wp:positionV>
                            <wp:extent cx="0" cy="1422400"/>
                            <wp:effectExtent l="0" t="0" r="19050" b="25400"/>
                            <wp:wrapNone/>
                            <wp:docPr id="5539" name="Connecteur droit 5539"/>
                            <wp:cNvGraphicFramePr/>
                            <a:graphic xmlns:a="http://schemas.openxmlformats.org/drawingml/2006/main">
                              <a:graphicData uri="http://schemas.microsoft.com/office/word/2010/wordprocessingShape">
                                <wps:wsp>
                                  <wps:cNvCnPr/>
                                  <wps:spPr>
                                    <a:xfrm>
                                      <a:off x="0" y="0"/>
                                      <a:ext cx="0" cy="142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C6D723E" id="Connecteur droit 5539" o:spid="_x0000_s1026" style="position:absolute;z-index:25240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6pt,12.4pt" to="488.6pt,1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" strokecolor="black [3213]"/>
                        </w:pict>
                      </mc:Fallback>
                    </mc:AlternateContent>
                  </w:r>
                  <w:hyperlink r:id="rId192" w:history="1">
                    <w:r>
                      <w:rPr>
                        <w:rStyle w:val="Lienhypertexte"/>
                        <w:rFonts w:cs="Arial"/>
                      </w:rPr>
                      <w:t>Loi 29 mai 1959 modifiant certaines dispositions de la législation de l’enseignement</w:t>
                    </w:r>
                  </w:hyperlink>
                </w:p>
                <w:p w:rsidR="00F04EEF" w:rsidRDefault="00F42422">
                  <w:pPr>
                    <w:numPr>
                      <w:ilvl w:val="0"/>
                      <w:numId w:val="143"/>
                    </w:numPr>
                    <w:suppressAutoHyphens/>
                    <w:jc w:val="both"/>
                    <w:rPr>
                      <w:rStyle w:val="Lienhypertexte"/>
                      <w:rFonts w:cstheme="minorBidi"/>
                      <w:color w:val="auto"/>
                      <w:u w:val="none"/>
                    </w:rPr>
                  </w:pPr>
                  <w:hyperlink r:id="rId193" w:history="1">
                    <w:r w:rsidR="0099351E">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F04EEF" w:rsidRDefault="00F42422">
                  <w:pPr>
                    <w:numPr>
                      <w:ilvl w:val="0"/>
                      <w:numId w:val="143"/>
                    </w:numPr>
                    <w:suppressAutoHyphens/>
                    <w:jc w:val="both"/>
                    <w:rPr>
                      <w:rStyle w:val="Lienhypertexte"/>
                      <w:rFonts w:cstheme="minorBidi"/>
                      <w:color w:val="auto"/>
                      <w:u w:val="none"/>
                    </w:rPr>
                  </w:pPr>
                  <w:hyperlink r:id="rId194" w:history="1">
                    <w:r w:rsidR="0099351E">
                      <w:rPr>
                        <w:rStyle w:val="Lienhypertexte"/>
                        <w:rFonts w:cstheme="minorBidi"/>
                      </w:rPr>
                      <w:t>Circulaire 7608 du 09/06/2020 Coronavirus Covid-19: mesures concernant l'intégration et l'enseignement spécialisé</w:t>
                    </w:r>
                  </w:hyperlink>
                  <w:r w:rsidR="0099351E">
                    <w:rPr>
                      <w:rStyle w:val="Lienhypertexte"/>
                      <w:rFonts w:cstheme="minorBidi"/>
                      <w:color w:val="auto"/>
                      <w:u w:val="none"/>
                    </w:rPr>
                    <w:t xml:space="preserve"> </w:t>
                  </w:r>
                </w:p>
                <w:p w:rsidR="00F04EEF" w:rsidRDefault="00F42422">
                  <w:pPr>
                    <w:numPr>
                      <w:ilvl w:val="0"/>
                      <w:numId w:val="143"/>
                    </w:numPr>
                    <w:suppressAutoHyphens/>
                    <w:jc w:val="both"/>
                    <w:rPr>
                      <w:rStyle w:val="Lienhypertexte"/>
                      <w:rFonts w:cstheme="minorBidi"/>
                      <w:color w:val="auto"/>
                      <w:u w:val="none"/>
                    </w:rPr>
                  </w:pPr>
                  <w:hyperlink r:id="rId195" w:history="1">
                    <w:r w:rsidR="0099351E">
                      <w:rPr>
                        <w:rStyle w:val="Lienhypertexte"/>
                        <w:rFonts w:cstheme="minorBidi"/>
                      </w:rPr>
                      <w:t>Circulaire 7615 du 11/06/2020 Addendum à la circulaire 7608 : Coronavirus Covid-19: mesures concernant l'intégration et l'enseignement spécialisé</w:t>
                    </w:r>
                  </w:hyperlink>
                  <w:r w:rsidR="0099351E">
                    <w:rPr>
                      <w:rStyle w:val="Lienhypertexte"/>
                      <w:rFonts w:cstheme="minorBidi"/>
                      <w:color w:val="auto"/>
                      <w:u w:val="none"/>
                    </w:rPr>
                    <w:t xml:space="preserve"> </w:t>
                  </w:r>
                </w:p>
                <w:p w:rsidR="00F04EEF" w:rsidRDefault="00F04EEF">
                  <w:pPr>
                    <w:suppressAutoHyphens/>
                    <w:ind w:left="360"/>
                    <w:jc w:val="both"/>
                    <w:rPr>
                      <w:rStyle w:val="Lienhypertexte"/>
                      <w:rFonts w:cstheme="minorBidi"/>
                      <w:color w:val="auto"/>
                      <w:u w:val="none"/>
                    </w:rPr>
                  </w:pPr>
                </w:p>
                <w:p w:rsidR="00F04EEF" w:rsidRDefault="00F04EEF">
                  <w:pPr>
                    <w:suppressAutoHyphens/>
                    <w:ind w:left="360"/>
                    <w:jc w:val="both"/>
                    <w:rPr>
                      <w:rStyle w:val="Lienhypertexte"/>
                      <w:rFonts w:cs="Arial"/>
                      <w:color w:val="FF0000"/>
                    </w:rPr>
                  </w:pPr>
                </w:p>
                <w:p w:rsidR="00F04EEF" w:rsidRDefault="00F04EEF">
                  <w:pPr>
                    <w:jc w:val="both"/>
                  </w:pPr>
                </w:p>
                <w:p w:rsidR="00F04EEF" w:rsidRDefault="00F04EEF">
                  <w:pPr>
                    <w:jc w:val="both"/>
                  </w:pPr>
                </w:p>
                <w:p w:rsidR="00F04EEF" w:rsidRDefault="0099351E">
                  <w:pPr>
                    <w:jc w:val="both"/>
                  </w:pPr>
                  <w:r>
                    <w:t xml:space="preserve">La brièveté de la plupart des séjours des élèves en milieu hospitalier dans l'enseignement spécialisé de type 5 et la continuelle variation de la population créent des </w:t>
                  </w:r>
                  <w:r>
                    <w:rPr>
                      <w:b/>
                    </w:rPr>
                    <w:t>conditions de fonctionnement très spécifiques</w:t>
                  </w:r>
                  <w:r>
                    <w:t>, à la fois du point de vue administratif et du point de vue pédagogique.</w:t>
                  </w:r>
                </w:p>
                <w:p w:rsidR="00F04EEF" w:rsidRDefault="00F04EEF">
                  <w:pPr>
                    <w:jc w:val="both"/>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trike/>
                      <w:color w:val="FF0000"/>
                    </w:rPr>
                  </w:pPr>
                  <w:r>
                    <w:t>L’article 8 § 5, alinéa 2 du Décret du 3 mars 2004 organisant l’enseignement spécialisé tel que modifié permet à l’enseignement de type 5 d’être dispensé quel que soit le lieu où séjourne l’élève durant sa maladie ou sa convalescence.</w:t>
                  </w:r>
                  <w:r>
                    <w:rPr>
                      <w:strike/>
                      <w:color w:val="FF0000"/>
                    </w:rPr>
                    <w:t xml:space="preserve"> </w:t>
                  </w:r>
                </w:p>
                <w:p w:rsidR="00F04EEF" w:rsidRDefault="00F04EEF">
                  <w:pPr>
                    <w:jc w:val="both"/>
                  </w:pPr>
                </w:p>
                <w:p w:rsidR="00F04EEF" w:rsidRDefault="0099351E">
                  <w:pPr>
                    <w:jc w:val="both"/>
                  </w:pPr>
                  <w:r>
                    <w:t>Comme pour un séjour en milieu hospitalier, il n’est pas requis que cet encadrement individuel s’il s’opère au domicile de l’élève, par exemple, dure une journée complète pendant toute la période de sa convalescence.</w:t>
                  </w:r>
                </w:p>
                <w:p w:rsidR="00F04EEF" w:rsidRDefault="00F04EEF">
                  <w:pPr>
                    <w:jc w:val="both"/>
                    <w:rPr>
                      <w:lang w:val="fr-FR"/>
                    </w:rPr>
                  </w:pPr>
                </w:p>
                <w:p w:rsidR="00F04EEF" w:rsidRDefault="0099351E">
                  <w:pPr>
                    <w:jc w:val="both"/>
                  </w:pPr>
                  <w:r>
                    <w:t xml:space="preserve">Le présent chapitre se limite à </w:t>
                  </w:r>
                  <w:r>
                    <w:rPr>
                      <w:b/>
                    </w:rPr>
                    <w:t>l'aspect administratif</w:t>
                  </w:r>
                  <w:r>
                    <w:t xml:space="preserve"> du problème et plus particulièrement aux formalités relatives à l'entrée, au séjour et à la sortie des élèves.</w:t>
                  </w:r>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pStyle w:val="Titre3"/>
                    <w:rPr>
                      <w:sz w:val="22"/>
                      <w:szCs w:val="22"/>
                    </w:rPr>
                  </w:pPr>
                  <w:bookmarkStart w:id="2918" w:name="__RefHeading__231_957262308"/>
                  <w:bookmarkStart w:id="2919" w:name="_1._Entrée_et"/>
                  <w:bookmarkStart w:id="2920" w:name="_Toc291075397"/>
                  <w:bookmarkStart w:id="2921" w:name="_Toc291075821"/>
                  <w:bookmarkStart w:id="2922" w:name="_Toc291076245"/>
                  <w:bookmarkStart w:id="2923" w:name="_Toc291076669"/>
                  <w:bookmarkStart w:id="2924" w:name="_Toc291077093"/>
                  <w:bookmarkStart w:id="2925" w:name="_Toc293651936"/>
                  <w:bookmarkStart w:id="2926" w:name="_Toc293653519"/>
                  <w:bookmarkStart w:id="2927" w:name="_Toc293654130"/>
                  <w:bookmarkStart w:id="2928" w:name="_Toc294004708"/>
                  <w:bookmarkStart w:id="2929" w:name="_Toc294185204"/>
                  <w:bookmarkStart w:id="2930" w:name="_Toc324166022"/>
                  <w:bookmarkStart w:id="2931" w:name="_Toc324767058"/>
                  <w:bookmarkStart w:id="2932" w:name="_Toc453314423"/>
                  <w:bookmarkStart w:id="2933" w:name="_Toc454980458"/>
                  <w:bookmarkStart w:id="2934" w:name="_Toc47708545"/>
                  <w:bookmarkEnd w:id="2918"/>
                  <w:bookmarkEnd w:id="2919"/>
                  <w:r>
                    <w:rPr>
                      <w:sz w:val="22"/>
                      <w:szCs w:val="22"/>
                    </w:rPr>
                    <w:t>1. Entrée et accueil</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r>
                    <w:rPr>
                      <w:sz w:val="22"/>
                      <w:szCs w:val="22"/>
                    </w:rPr>
                    <w:t xml:space="preserve"> </w:t>
                  </w:r>
                </w:p>
                <w:p w:rsidR="00F04EEF" w:rsidRDefault="00F04EEF">
                  <w:pPr>
                    <w:jc w:val="both"/>
                  </w:pPr>
                </w:p>
                <w:p w:rsidR="00F04EEF" w:rsidRDefault="0099351E">
                  <w:pPr>
                    <w:jc w:val="both"/>
                  </w:pPr>
                  <w:r>
                    <w:t>Selon l’article 12, § 1</w:t>
                  </w:r>
                  <w:r>
                    <w:rPr>
                      <w:vertAlign w:val="superscript"/>
                    </w:rPr>
                    <w:t>er</w:t>
                  </w:r>
                  <w:r>
                    <w:t>, 2° du Décret organisant l’Enseignement spécialisé du 3 mars 2004, l'admission des enfants et adolescents dans le type 5 d'enseignement spécialisé est déterminée par un pédiatre ou par un médecin traitant du service pédiatrie de l'établissement de soins ou de l'institution de prévention.</w:t>
                  </w:r>
                </w:p>
                <w:p w:rsidR="00F04EEF" w:rsidRDefault="00F04EEF">
                  <w:pPr>
                    <w:jc w:val="both"/>
                  </w:pPr>
                </w:p>
                <w:p w:rsidR="00F04EEF" w:rsidRDefault="0099351E">
                  <w:pPr>
                    <w:jc w:val="both"/>
                  </w:pPr>
                  <w:r>
                    <w:t xml:space="preserve">L'attestation établie par ce médecin est le seul document nécessaire pour l'inscription dans l'enseignement spécialisé de type 5. </w:t>
                  </w:r>
                </w:p>
                <w:p w:rsidR="00F04EEF" w:rsidRDefault="00F04EEF">
                  <w:pPr>
                    <w:jc w:val="both"/>
                  </w:pPr>
                </w:p>
                <w:p w:rsidR="00F04EEF" w:rsidRDefault="0099351E">
                  <w:pPr>
                    <w:jc w:val="both"/>
                  </w:pPr>
                  <w:r>
                    <w:t>Elle portera, dans le coin supérieur droit, le numéro du registre matricule.  L’attestation peut être remplacée par un listing informatisé, édité par le service hospitalier, et signé par le médecin responsable.</w:t>
                  </w:r>
                </w:p>
                <w:p w:rsidR="00F04EEF" w:rsidRDefault="00F04EEF">
                  <w:pPr>
                    <w:jc w:val="both"/>
                  </w:pPr>
                </w:p>
                <w:p w:rsidR="00F04EEF" w:rsidRDefault="0099351E">
                  <w:pPr>
                    <w:jc w:val="both"/>
                  </w:pPr>
                  <w:r>
                    <w:t>Les informations dont doit disposer le service de vérification figureront sur cette attestation (par exemple sous la forme d'une vignette informatisée) ou seront fournies sur un document annexé.</w:t>
                  </w:r>
                </w:p>
                <w:p w:rsidR="00F04EEF" w:rsidRDefault="00F04EEF">
                  <w:pPr>
                    <w:jc w:val="both"/>
                  </w:pPr>
                </w:p>
                <w:p w:rsidR="00F04EEF" w:rsidRDefault="0099351E">
                  <w:pPr>
                    <w:numPr>
                      <w:ilvl w:val="0"/>
                      <w:numId w:val="16"/>
                    </w:numPr>
                    <w:suppressAutoHyphens/>
                    <w:jc w:val="both"/>
                    <w:rPr>
                      <w:u w:val="single"/>
                    </w:rPr>
                  </w:pPr>
                  <w:r>
                    <w:rPr>
                      <w:u w:val="single"/>
                    </w:rPr>
                    <w:t>Ces informations sont les suivantes :</w:t>
                  </w:r>
                </w:p>
                <w:p w:rsidR="00F04EEF" w:rsidRDefault="00F04EEF">
                  <w:pPr>
                    <w:suppressAutoHyphens/>
                    <w:jc w:val="both"/>
                    <w:rPr>
                      <w:u w:val="single"/>
                    </w:rPr>
                  </w:pPr>
                </w:p>
                <w:p w:rsidR="00F04EEF" w:rsidRDefault="0099351E">
                  <w:pPr>
                    <w:numPr>
                      <w:ilvl w:val="0"/>
                      <w:numId w:val="139"/>
                    </w:numPr>
                    <w:tabs>
                      <w:tab w:val="clear" w:pos="360"/>
                      <w:tab w:val="num" w:pos="1080"/>
                    </w:tabs>
                    <w:suppressAutoHyphens/>
                    <w:ind w:left="567" w:firstLine="0"/>
                    <w:jc w:val="both"/>
                  </w:pPr>
                  <w:r>
                    <w:t>Date d’entrée</w:t>
                  </w:r>
                </w:p>
                <w:p w:rsidR="00F04EEF" w:rsidRDefault="0099351E">
                  <w:pPr>
                    <w:numPr>
                      <w:ilvl w:val="0"/>
                      <w:numId w:val="139"/>
                    </w:numPr>
                    <w:tabs>
                      <w:tab w:val="clear" w:pos="360"/>
                      <w:tab w:val="num" w:pos="1080"/>
                    </w:tabs>
                    <w:suppressAutoHyphens/>
                    <w:ind w:left="567" w:firstLine="0"/>
                    <w:jc w:val="both"/>
                  </w:pPr>
                  <w:r>
                    <w:t>Nom</w:t>
                  </w:r>
                </w:p>
                <w:p w:rsidR="00F04EEF" w:rsidRDefault="0099351E">
                  <w:pPr>
                    <w:numPr>
                      <w:ilvl w:val="0"/>
                      <w:numId w:val="139"/>
                    </w:numPr>
                    <w:tabs>
                      <w:tab w:val="clear" w:pos="360"/>
                      <w:tab w:val="num" w:pos="1080"/>
                    </w:tabs>
                    <w:suppressAutoHyphens/>
                    <w:ind w:left="567" w:firstLine="0"/>
                    <w:jc w:val="both"/>
                  </w:pPr>
                  <w:r>
                    <w:t>Prénom</w:t>
                  </w:r>
                </w:p>
                <w:p w:rsidR="00F04EEF" w:rsidRDefault="0099351E">
                  <w:pPr>
                    <w:numPr>
                      <w:ilvl w:val="0"/>
                      <w:numId w:val="139"/>
                    </w:numPr>
                    <w:tabs>
                      <w:tab w:val="clear" w:pos="360"/>
                      <w:tab w:val="num" w:pos="1080"/>
                    </w:tabs>
                    <w:suppressAutoHyphens/>
                    <w:ind w:left="567" w:firstLine="0"/>
                    <w:jc w:val="both"/>
                  </w:pPr>
                  <w:r>
                    <w:t xml:space="preserve">Date de naissance </w:t>
                  </w:r>
                </w:p>
                <w:p w:rsidR="00F04EEF" w:rsidRDefault="0099351E">
                  <w:pPr>
                    <w:numPr>
                      <w:ilvl w:val="0"/>
                      <w:numId w:val="139"/>
                    </w:numPr>
                    <w:tabs>
                      <w:tab w:val="clear" w:pos="360"/>
                      <w:tab w:val="num" w:pos="1080"/>
                    </w:tabs>
                    <w:suppressAutoHyphens/>
                    <w:ind w:left="567" w:firstLine="0"/>
                    <w:jc w:val="both"/>
                  </w:pPr>
                  <w:r>
                    <w:t>Nom du chef de famille ou du (de la) tuteur(trice)</w:t>
                  </w:r>
                </w:p>
                <w:p w:rsidR="00F04EEF" w:rsidRDefault="0099351E">
                  <w:pPr>
                    <w:numPr>
                      <w:ilvl w:val="0"/>
                      <w:numId w:val="139"/>
                    </w:numPr>
                    <w:tabs>
                      <w:tab w:val="clear" w:pos="360"/>
                      <w:tab w:val="num" w:pos="1080"/>
                    </w:tabs>
                    <w:suppressAutoHyphens/>
                    <w:ind w:left="567" w:firstLine="0"/>
                    <w:jc w:val="both"/>
                  </w:pPr>
                  <w:r>
                    <w:t>Adresse</w:t>
                  </w:r>
                </w:p>
                <w:p w:rsidR="00F04EEF" w:rsidRDefault="0099351E">
                  <w:pPr>
                    <w:numPr>
                      <w:ilvl w:val="0"/>
                      <w:numId w:val="139"/>
                    </w:numPr>
                    <w:tabs>
                      <w:tab w:val="clear" w:pos="360"/>
                      <w:tab w:val="num" w:pos="1080"/>
                    </w:tabs>
                    <w:suppressAutoHyphens/>
                    <w:ind w:left="567" w:firstLine="0"/>
                    <w:jc w:val="both"/>
                  </w:pPr>
                  <w:r>
                    <w:t>Sexe</w:t>
                  </w:r>
                </w:p>
                <w:p w:rsidR="00F04EEF" w:rsidRDefault="0099351E">
                  <w:pPr>
                    <w:numPr>
                      <w:ilvl w:val="0"/>
                      <w:numId w:val="139"/>
                    </w:numPr>
                    <w:tabs>
                      <w:tab w:val="clear" w:pos="360"/>
                      <w:tab w:val="num" w:pos="1080"/>
                    </w:tabs>
                    <w:suppressAutoHyphens/>
                    <w:ind w:left="567" w:firstLine="0"/>
                    <w:jc w:val="both"/>
                  </w:pPr>
                  <w:r>
                    <w:t>Nationalité</w:t>
                  </w:r>
                </w:p>
                <w:p w:rsidR="00F04EEF" w:rsidRDefault="00F04EEF">
                  <w:pPr>
                    <w:jc w:val="both"/>
                  </w:pPr>
                </w:p>
                <w:p w:rsidR="00F04EEF" w:rsidRDefault="0099351E">
                  <w:pPr>
                    <w:pStyle w:val="Titre3"/>
                    <w:rPr>
                      <w:sz w:val="22"/>
                      <w:szCs w:val="22"/>
                    </w:rPr>
                  </w:pPr>
                  <w:bookmarkStart w:id="2935" w:name="__RefHeading__233_957262308"/>
                  <w:bookmarkStart w:id="2936" w:name="_Toc291075398"/>
                  <w:bookmarkStart w:id="2937" w:name="_Toc291075822"/>
                  <w:bookmarkStart w:id="2938" w:name="_Toc291076246"/>
                  <w:bookmarkStart w:id="2939" w:name="_Toc291076670"/>
                  <w:bookmarkStart w:id="2940" w:name="_Toc291077094"/>
                  <w:bookmarkStart w:id="2941" w:name="_Toc293651937"/>
                  <w:bookmarkStart w:id="2942" w:name="_Toc293653520"/>
                  <w:bookmarkStart w:id="2943" w:name="_Toc293654131"/>
                  <w:bookmarkStart w:id="2944" w:name="_Toc294004709"/>
                  <w:bookmarkStart w:id="2945" w:name="_Toc294185205"/>
                  <w:bookmarkStart w:id="2946" w:name="_Toc324166023"/>
                  <w:bookmarkStart w:id="2947" w:name="_Toc324767059"/>
                  <w:bookmarkStart w:id="2948" w:name="_Toc453314424"/>
                  <w:bookmarkStart w:id="2949" w:name="_Toc454980459"/>
                  <w:bookmarkStart w:id="2950" w:name="_Toc47708546"/>
                  <w:bookmarkEnd w:id="2935"/>
                  <w:r>
                    <w:rPr>
                      <w:sz w:val="22"/>
                      <w:szCs w:val="22"/>
                    </w:rPr>
                    <w:t>2. Séjour</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rsidR="00F04EEF" w:rsidRDefault="00F04EEF">
                  <w:pPr>
                    <w:tabs>
                      <w:tab w:val="left" w:pos="962"/>
                      <w:tab w:val="left" w:pos="1134"/>
                      <w:tab w:val="left" w:pos="1303"/>
                      <w:tab w:val="left" w:pos="1586"/>
                      <w:tab w:val="left" w:pos="1813"/>
                      <w:tab w:val="left" w:pos="3174"/>
                      <w:tab w:val="left" w:pos="3967"/>
                      <w:tab w:val="left" w:pos="4591"/>
                      <w:tab w:val="left" w:pos="4818"/>
                    </w:tabs>
                    <w:jc w:val="both"/>
                  </w:pPr>
                </w:p>
                <w:p w:rsidR="00F04EEF" w:rsidRDefault="0099351E">
                  <w:pPr>
                    <w:jc w:val="both"/>
                    <w:rPr>
                      <w:u w:val="single"/>
                    </w:rPr>
                  </w:pPr>
                  <w:r>
                    <w:rPr>
                      <w:u w:val="single"/>
                    </w:rPr>
                    <w:t>Deux registres doivent être tenus à jour :</w:t>
                  </w:r>
                </w:p>
                <w:p w:rsidR="00F04EEF" w:rsidRDefault="00F04EEF">
                  <w:pPr>
                    <w:jc w:val="both"/>
                    <w:rPr>
                      <w:u w:val="single"/>
                    </w:rPr>
                  </w:pPr>
                </w:p>
                <w:p w:rsidR="00F04EEF" w:rsidRDefault="0099351E">
                  <w:pPr>
                    <w:numPr>
                      <w:ilvl w:val="0"/>
                      <w:numId w:val="141"/>
                    </w:numPr>
                    <w:tabs>
                      <w:tab w:val="clear" w:pos="360"/>
                      <w:tab w:val="num" w:pos="1080"/>
                    </w:tabs>
                    <w:suppressAutoHyphens/>
                    <w:ind w:left="567" w:firstLine="0"/>
                    <w:jc w:val="both"/>
                  </w:pPr>
                  <w:r>
                    <w:t>le registre matricule.</w:t>
                  </w:r>
                </w:p>
                <w:p w:rsidR="00F04EEF" w:rsidRDefault="0099351E">
                  <w:pPr>
                    <w:numPr>
                      <w:ilvl w:val="0"/>
                      <w:numId w:val="141"/>
                    </w:numPr>
                    <w:tabs>
                      <w:tab w:val="clear" w:pos="360"/>
                      <w:tab w:val="num" w:pos="1080"/>
                    </w:tabs>
                    <w:suppressAutoHyphens/>
                    <w:ind w:left="567" w:firstLine="0"/>
                    <w:jc w:val="both"/>
                  </w:pPr>
                  <w:r>
                    <w:t>le registre des présences.</w:t>
                  </w:r>
                </w:p>
                <w:p w:rsidR="00F04EEF" w:rsidRDefault="00F04EEF">
                  <w:pPr>
                    <w:jc w:val="both"/>
                  </w:pPr>
                </w:p>
                <w:p w:rsidR="00F04EEF" w:rsidRDefault="0099351E">
                  <w:pPr>
                    <w:pStyle w:val="Titre4"/>
                  </w:pPr>
                  <w:bookmarkStart w:id="2951" w:name="_Toc291075399"/>
                  <w:bookmarkStart w:id="2952" w:name="_Toc291075823"/>
                  <w:bookmarkStart w:id="2953" w:name="_Toc291076247"/>
                  <w:bookmarkStart w:id="2954" w:name="_Toc291076671"/>
                  <w:bookmarkStart w:id="2955" w:name="_Toc291077095"/>
                  <w:bookmarkStart w:id="2956" w:name="_Toc293651938"/>
                  <w:bookmarkStart w:id="2957" w:name="_Toc293653521"/>
                  <w:bookmarkStart w:id="2958" w:name="_Toc293654132"/>
                  <w:bookmarkStart w:id="2959" w:name="_Toc294004710"/>
                  <w:bookmarkStart w:id="2960" w:name="_Toc294185206"/>
                  <w:bookmarkStart w:id="2961" w:name="_Toc324166024"/>
                  <w:bookmarkStart w:id="2962" w:name="_Toc324767060"/>
                  <w:bookmarkStart w:id="2963" w:name="_Toc324767918"/>
                  <w:bookmarkStart w:id="2964" w:name="_Toc453314425"/>
                  <w:bookmarkStart w:id="2965" w:name="_Toc454980460"/>
                  <w:r>
                    <w:t>2.1. Registre matricule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rsidR="00F04EEF" w:rsidRDefault="00F04EEF">
                  <w:pPr>
                    <w:jc w:val="both"/>
                  </w:pPr>
                </w:p>
                <w:p w:rsidR="00F04EEF" w:rsidRDefault="0099351E">
                  <w:pPr>
                    <w:jc w:val="both"/>
                    <w:rPr>
                      <w:u w:val="single"/>
                    </w:rPr>
                  </w:pPr>
                  <w:r>
                    <w:rPr>
                      <w:u w:val="single"/>
                    </w:rPr>
                    <w:t>Le registre matricule reprend les élèves dans l'ordre chronologique des dates d'inscription.  Il est divisé en colonnes correspondant aux rubriques suivantes :</w:t>
                  </w:r>
                </w:p>
                <w:p w:rsidR="00F04EEF" w:rsidRDefault="00F04EEF">
                  <w:pPr>
                    <w:jc w:val="both"/>
                    <w:rPr>
                      <w:u w:val="single"/>
                    </w:rPr>
                  </w:pPr>
                </w:p>
                <w:p w:rsidR="00F04EEF" w:rsidRDefault="0099351E">
                  <w:pPr>
                    <w:numPr>
                      <w:ilvl w:val="0"/>
                      <w:numId w:val="140"/>
                    </w:numPr>
                    <w:tabs>
                      <w:tab w:val="clear" w:pos="360"/>
                    </w:tabs>
                    <w:suppressAutoHyphens/>
                    <w:ind w:left="1134" w:hanging="567"/>
                    <w:jc w:val="both"/>
                  </w:pPr>
                  <w:r>
                    <w:t>Numéro de matricule</w:t>
                  </w:r>
                </w:p>
                <w:p w:rsidR="00F04EEF" w:rsidRDefault="0099351E">
                  <w:pPr>
                    <w:numPr>
                      <w:ilvl w:val="0"/>
                      <w:numId w:val="140"/>
                    </w:numPr>
                    <w:tabs>
                      <w:tab w:val="clear" w:pos="360"/>
                    </w:tabs>
                    <w:suppressAutoHyphens/>
                    <w:ind w:left="1134" w:hanging="567"/>
                    <w:jc w:val="both"/>
                  </w:pPr>
                  <w:r>
                    <w:t>Date d’entrée</w:t>
                  </w:r>
                </w:p>
                <w:p w:rsidR="00F04EEF" w:rsidRDefault="0099351E">
                  <w:pPr>
                    <w:numPr>
                      <w:ilvl w:val="0"/>
                      <w:numId w:val="140"/>
                    </w:numPr>
                    <w:tabs>
                      <w:tab w:val="clear" w:pos="360"/>
                    </w:tabs>
                    <w:suppressAutoHyphens/>
                    <w:ind w:left="1134" w:hanging="567"/>
                    <w:jc w:val="both"/>
                  </w:pPr>
                  <w:r>
                    <w:t>Nom et prénom</w:t>
                  </w:r>
                </w:p>
                <w:p w:rsidR="00F04EEF" w:rsidRDefault="0099351E">
                  <w:pPr>
                    <w:numPr>
                      <w:ilvl w:val="0"/>
                      <w:numId w:val="140"/>
                    </w:numPr>
                    <w:tabs>
                      <w:tab w:val="clear" w:pos="360"/>
                    </w:tabs>
                    <w:suppressAutoHyphens/>
                    <w:ind w:left="1134" w:hanging="567"/>
                    <w:jc w:val="both"/>
                  </w:pPr>
                  <w:r>
                    <w:t>Date de sortie</w:t>
                  </w:r>
                </w:p>
                <w:p w:rsidR="00F04EEF" w:rsidRDefault="00F04EEF">
                  <w:pPr>
                    <w:jc w:val="both"/>
                  </w:pPr>
                </w:p>
                <w:p w:rsidR="00F04EEF" w:rsidRDefault="0099351E">
                  <w:pPr>
                    <w:pStyle w:val="Titre4"/>
                  </w:pPr>
                  <w:bookmarkStart w:id="2966" w:name="_2.2._Registre_des"/>
                  <w:bookmarkStart w:id="2967" w:name="_Toc291075400"/>
                  <w:bookmarkStart w:id="2968" w:name="_Toc291075824"/>
                  <w:bookmarkStart w:id="2969" w:name="_Toc291076248"/>
                  <w:bookmarkStart w:id="2970" w:name="_Toc291076672"/>
                  <w:bookmarkStart w:id="2971" w:name="_Toc291077096"/>
                  <w:bookmarkStart w:id="2972" w:name="_Toc293651939"/>
                  <w:bookmarkStart w:id="2973" w:name="_Toc293653522"/>
                  <w:bookmarkStart w:id="2974" w:name="_Toc293654133"/>
                  <w:bookmarkStart w:id="2975" w:name="_Toc294004711"/>
                  <w:bookmarkStart w:id="2976" w:name="_Toc294185207"/>
                  <w:bookmarkStart w:id="2977" w:name="_Toc324166025"/>
                  <w:bookmarkStart w:id="2978" w:name="_Toc324767061"/>
                  <w:bookmarkStart w:id="2979" w:name="_Toc324767919"/>
                  <w:bookmarkStart w:id="2980" w:name="_Toc453314426"/>
                  <w:bookmarkStart w:id="2981" w:name="_Toc454980461"/>
                  <w:bookmarkEnd w:id="2966"/>
                  <w:r>
                    <w:t>2.2. Registre des présences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rsidR="00F04EEF" w:rsidRDefault="00F04EEF">
                  <w:pPr>
                    <w:jc w:val="both"/>
                  </w:pPr>
                </w:p>
                <w:p w:rsidR="00F04EEF" w:rsidRDefault="0099351E">
                  <w:pPr>
                    <w:jc w:val="both"/>
                  </w:pPr>
                  <w:r>
                    <w:t>Durant leur séjour dans l'enseignement spécialisé de type 5, la présence journalière des élèves doit être consignée dans un registre appelé «registre des présences ».</w:t>
                  </w:r>
                </w:p>
                <w:p w:rsidR="00F04EEF" w:rsidRDefault="00F04EEF">
                  <w:pPr>
                    <w:jc w:val="both"/>
                  </w:pPr>
                </w:p>
                <w:p w:rsidR="00F04EEF" w:rsidRDefault="0099351E">
                  <w:pPr>
                    <w:jc w:val="both"/>
                  </w:pPr>
                  <w:r>
                    <w:t xml:space="preserve">Vu la variation continuelle de cette population scolaire, on n'adoptera pas dans ce registre, contrairement aux habitudes, un classement alphabétique des élèves mais bien un classement </w:t>
                  </w:r>
                  <w:r>
                    <w:rPr>
                      <w:u w:val="single"/>
                    </w:rPr>
                    <w:t>chronologique </w:t>
                  </w:r>
                  <w:r>
                    <w:t>: c'est-à-dire que les élèves y seront repris par ordre de leur date d'inscription dans l'enseignement de type 5.</w:t>
                  </w:r>
                </w:p>
                <w:p w:rsidR="00F04EEF" w:rsidRDefault="00F04EEF">
                  <w:pPr>
                    <w:jc w:val="both"/>
                  </w:pPr>
                </w:p>
                <w:p w:rsidR="00F04EEF" w:rsidRDefault="0099351E">
                  <w:pPr>
                    <w:jc w:val="both"/>
                  </w:pPr>
                  <w:r>
                    <w:t>Au niveau de la comptabilisation des élèves bénéficiant d’un enseignement de type 5 dans un autre lieu qu’à l’hôpital, la pratique est la même qu’en milieu hospitalier. La présence de l’élève est consignée dans le registre des présences même s’il n’a bénéficié que de quelques heures d’enseignement. Les élèves bénéficiant d’un enseignement de type 5 dans un autre lieu qu’à l’hôpital doivent avoir été hospitalisés avant cette prise en charge et ils doivent être sous certificat médical pendant la durée de leur convalescence.</w:t>
                  </w:r>
                </w:p>
                <w:p w:rsidR="00F04EEF" w:rsidRDefault="00F04EEF">
                  <w:pPr>
                    <w:jc w:val="both"/>
                  </w:pPr>
                </w:p>
                <w:p w:rsidR="00F04EEF" w:rsidRDefault="0099351E">
                  <w:pPr>
                    <w:jc w:val="both"/>
                  </w:pPr>
                  <w:r>
                    <w:t>Le registre est tenu par le titulaire de classe, qui pointe les présences chaque jour. Il comprend :</w:t>
                  </w:r>
                </w:p>
                <w:p w:rsidR="00F04EEF" w:rsidRDefault="00F04EEF">
                  <w:pPr>
                    <w:jc w:val="both"/>
                  </w:pPr>
                </w:p>
                <w:p w:rsidR="00F04EEF" w:rsidRDefault="0099351E">
                  <w:pPr>
                    <w:numPr>
                      <w:ilvl w:val="0"/>
                      <w:numId w:val="138"/>
                    </w:numPr>
                    <w:tabs>
                      <w:tab w:val="clear" w:pos="360"/>
                      <w:tab w:val="num" w:pos="1080"/>
                    </w:tabs>
                    <w:suppressAutoHyphens/>
                    <w:ind w:left="567" w:firstLine="0"/>
                    <w:jc w:val="both"/>
                  </w:pPr>
                  <w:r>
                    <w:t>Le numéro matricule de l’élève</w:t>
                  </w:r>
                </w:p>
                <w:p w:rsidR="00F04EEF" w:rsidRDefault="0099351E">
                  <w:pPr>
                    <w:numPr>
                      <w:ilvl w:val="0"/>
                      <w:numId w:val="138"/>
                    </w:numPr>
                    <w:tabs>
                      <w:tab w:val="clear" w:pos="360"/>
                      <w:tab w:val="num" w:pos="1080"/>
                    </w:tabs>
                    <w:suppressAutoHyphens/>
                    <w:ind w:left="567" w:firstLine="0"/>
                    <w:jc w:val="both"/>
                  </w:pPr>
                  <w:r>
                    <w:t>Ses nom et prénom</w:t>
                  </w:r>
                </w:p>
                <w:p w:rsidR="00F04EEF" w:rsidRDefault="0099351E">
                  <w:pPr>
                    <w:numPr>
                      <w:ilvl w:val="0"/>
                      <w:numId w:val="138"/>
                    </w:numPr>
                    <w:tabs>
                      <w:tab w:val="clear" w:pos="360"/>
                      <w:tab w:val="num" w:pos="1080"/>
                    </w:tabs>
                    <w:suppressAutoHyphens/>
                    <w:ind w:left="567" w:firstLine="0"/>
                    <w:jc w:val="both"/>
                  </w:pPr>
                  <w:r>
                    <w:t>Sa date de naissance</w:t>
                  </w:r>
                </w:p>
                <w:p w:rsidR="00F04EEF" w:rsidRDefault="00F04EEF">
                  <w:pPr>
                    <w:jc w:val="both"/>
                  </w:pPr>
                </w:p>
                <w:p w:rsidR="00F04EEF" w:rsidRDefault="0099351E">
                  <w:pPr>
                    <w:jc w:val="both"/>
                  </w:pPr>
                  <w:r>
                    <w:t>Par ailleurs, le titulaire de classe tient également une fiche pédagogique sur laquelle figure :</w:t>
                  </w:r>
                </w:p>
                <w:p w:rsidR="00F04EEF" w:rsidRDefault="0099351E">
                  <w:pPr>
                    <w:numPr>
                      <w:ilvl w:val="0"/>
                      <w:numId w:val="142"/>
                    </w:numPr>
                    <w:tabs>
                      <w:tab w:val="clear" w:pos="360"/>
                      <w:tab w:val="num" w:pos="1080"/>
                    </w:tabs>
                    <w:suppressAutoHyphens/>
                    <w:ind w:left="567" w:firstLine="0"/>
                    <w:jc w:val="both"/>
                  </w:pPr>
                  <w:r>
                    <w:t xml:space="preserve"> la date et les heures de prise en charge de l'élève,</w:t>
                  </w:r>
                </w:p>
                <w:p w:rsidR="00F04EEF" w:rsidRDefault="0099351E">
                  <w:pPr>
                    <w:numPr>
                      <w:ilvl w:val="0"/>
                      <w:numId w:val="142"/>
                    </w:numPr>
                    <w:tabs>
                      <w:tab w:val="clear" w:pos="360"/>
                      <w:tab w:val="num" w:pos="1080"/>
                    </w:tabs>
                    <w:suppressAutoHyphens/>
                    <w:ind w:left="567" w:firstLine="0"/>
                    <w:jc w:val="both"/>
                  </w:pPr>
                  <w:r>
                    <w:t>les activités réalisées.</w:t>
                  </w:r>
                </w:p>
                <w:p w:rsidR="00F04EEF" w:rsidRDefault="00F04EEF">
                  <w:pPr>
                    <w:jc w:val="both"/>
                    <w:rPr>
                      <w:b/>
                    </w:rPr>
                  </w:pPr>
                </w:p>
                <w:p w:rsidR="00F04EEF" w:rsidRDefault="0099351E">
                  <w:pPr>
                    <w:pStyle w:val="Titre3"/>
                    <w:rPr>
                      <w:sz w:val="22"/>
                      <w:szCs w:val="22"/>
                    </w:rPr>
                  </w:pPr>
                  <w:bookmarkStart w:id="2982" w:name="__RefHeading__235_957262308"/>
                  <w:bookmarkStart w:id="2983" w:name="_Toc291075401"/>
                  <w:bookmarkStart w:id="2984" w:name="_Toc291075825"/>
                  <w:bookmarkStart w:id="2985" w:name="_Toc291076249"/>
                  <w:bookmarkStart w:id="2986" w:name="_Toc291076673"/>
                  <w:bookmarkStart w:id="2987" w:name="_Toc291077097"/>
                  <w:bookmarkStart w:id="2988" w:name="_Toc293651940"/>
                  <w:bookmarkStart w:id="2989" w:name="_Toc293653523"/>
                  <w:bookmarkStart w:id="2990" w:name="_Toc293654134"/>
                  <w:bookmarkStart w:id="2991" w:name="_Toc294004712"/>
                  <w:bookmarkStart w:id="2992" w:name="_Toc294185208"/>
                  <w:bookmarkStart w:id="2993" w:name="_Toc324166026"/>
                  <w:bookmarkStart w:id="2994" w:name="_Toc324767062"/>
                  <w:bookmarkStart w:id="2995" w:name="_Toc453314427"/>
                  <w:bookmarkStart w:id="2996" w:name="_Toc454980462"/>
                  <w:bookmarkStart w:id="2997" w:name="_Toc47708547"/>
                  <w:bookmarkEnd w:id="2982"/>
                  <w:r>
                    <w:rPr>
                      <w:sz w:val="22"/>
                      <w:szCs w:val="22"/>
                    </w:rPr>
                    <w:t>3. Sortie</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rsidR="00F04EEF" w:rsidRDefault="00F04EEF">
                  <w:pPr>
                    <w:jc w:val="both"/>
                  </w:pPr>
                </w:p>
                <w:p w:rsidR="00F04EEF" w:rsidRDefault="0099351E">
                  <w:pPr>
                    <w:jc w:val="both"/>
                  </w:pPr>
                  <w:r>
                    <w:t>Seul le médecin traitant de l’hôpital est habilité à décider de la date de sortie de l'élève.</w:t>
                  </w:r>
                </w:p>
                <w:p w:rsidR="00F04EEF" w:rsidRDefault="00F04EEF">
                  <w:pPr>
                    <w:jc w:val="both"/>
                  </w:pPr>
                </w:p>
                <w:p w:rsidR="00F04EEF" w:rsidRDefault="0099351E">
                  <w:pPr>
                    <w:jc w:val="both"/>
                    <w:rPr>
                      <w:bCs/>
                      <w:lang w:val="fr-FR" w:eastAsia="fr-FR"/>
                    </w:rPr>
                  </w:pPr>
                  <w:r>
                    <w:rPr>
                      <w:bCs/>
                      <w:lang w:val="fr-FR" w:eastAsia="fr-FR"/>
                    </w:rPr>
                    <w:t>Lorsque l’élève quitte l’enseignement de type 5, plusieurs hypothèses sont susceptibles de se présenter :</w:t>
                  </w:r>
                </w:p>
                <w:p w:rsidR="00F04EEF" w:rsidRDefault="00F04EEF">
                  <w:pPr>
                    <w:jc w:val="both"/>
                    <w:rPr>
                      <w:bCs/>
                      <w:lang w:val="fr-FR" w:eastAsia="fr-FR"/>
                    </w:rPr>
                  </w:pPr>
                </w:p>
                <w:p w:rsidR="00F04EEF" w:rsidRDefault="0099351E">
                  <w:pPr>
                    <w:pStyle w:val="Paragraphedeliste"/>
                    <w:numPr>
                      <w:ilvl w:val="2"/>
                      <w:numId w:val="102"/>
                    </w:numPr>
                    <w:jc w:val="both"/>
                    <w:rPr>
                      <w:bCs/>
                      <w:lang w:val="fr-FR" w:eastAsia="fr-FR"/>
                    </w:rPr>
                  </w:pPr>
                  <w:r>
                    <w:rPr>
                      <w:bCs/>
                      <w:lang w:val="fr-FR" w:eastAsia="fr-FR"/>
                    </w:rPr>
                    <w:t>L’élève était dans l’enseignement ordinaire et réintègre son enseignement d’origine</w:t>
                  </w:r>
                  <w:r>
                    <w:rPr>
                      <w:lang w:val="fr-FR" w:eastAsia="fr-FR"/>
                    </w:rPr>
                    <w:t>.</w:t>
                  </w:r>
                </w:p>
                <w:p w:rsidR="00F04EEF" w:rsidRDefault="00F04EEF">
                  <w:pPr>
                    <w:jc w:val="both"/>
                    <w:rPr>
                      <w:bCs/>
                      <w:lang w:val="fr-FR" w:eastAsia="fr-FR"/>
                    </w:rPr>
                  </w:pPr>
                </w:p>
                <w:p w:rsidR="00F04EEF" w:rsidRDefault="0099351E">
                  <w:pPr>
                    <w:jc w:val="both"/>
                    <w:rPr>
                      <w:bCs/>
                      <w:lang w:val="fr-FR" w:eastAsia="fr-FR"/>
                    </w:rPr>
                  </w:pPr>
                  <w:r>
                    <w:rPr>
                      <w:bCs/>
                      <w:lang w:val="fr-FR" w:eastAsia="fr-FR"/>
                    </w:rPr>
                    <w:t>Aucune orientation ou réorientation n’a lieu. Seul le médecin traitant de l’hôpital est habilité à décider que l’élève est apte à retourner dans l’école ordinaire d’origine.</w:t>
                  </w:r>
                </w:p>
                <w:p w:rsidR="00F04EEF" w:rsidRDefault="00F04EEF">
                  <w:pPr>
                    <w:jc w:val="both"/>
                    <w:rPr>
                      <w:bCs/>
                      <w:lang w:val="fr-FR" w:eastAsia="fr-FR"/>
                    </w:rPr>
                  </w:pPr>
                </w:p>
                <w:p w:rsidR="00F04EEF" w:rsidRDefault="0099351E">
                  <w:pPr>
                    <w:pStyle w:val="Paragraphedeliste"/>
                    <w:numPr>
                      <w:ilvl w:val="2"/>
                      <w:numId w:val="102"/>
                    </w:numPr>
                    <w:jc w:val="both"/>
                    <w:rPr>
                      <w:bCs/>
                      <w:lang w:val="fr-FR" w:eastAsia="fr-FR"/>
                    </w:rPr>
                  </w:pPr>
                  <w:r>
                    <w:rPr>
                      <w:bCs/>
                      <w:lang w:val="fr-FR" w:eastAsia="fr-FR"/>
                    </w:rPr>
                    <w:t>L’élève était dans l’enseignement ordinaire et devrait suivre un enseignement spécialisé.</w:t>
                  </w:r>
                  <w:r>
                    <w:rPr>
                      <w:lang w:val="fr-FR" w:eastAsia="fr-FR"/>
                    </w:rPr>
                    <w:t xml:space="preserve"> </w:t>
                  </w:r>
                </w:p>
                <w:p w:rsidR="00F04EEF" w:rsidRDefault="00F04EEF">
                  <w:pPr>
                    <w:jc w:val="both"/>
                    <w:rPr>
                      <w:bCs/>
                      <w:lang w:val="fr-FR" w:eastAsia="fr-FR"/>
                    </w:rPr>
                  </w:pPr>
                </w:p>
                <w:p w:rsidR="00F04EEF" w:rsidRDefault="0099351E">
                  <w:pPr>
                    <w:jc w:val="both"/>
                    <w:rPr>
                      <w:bCs/>
                      <w:lang w:val="fr-FR" w:eastAsia="fr-FR"/>
                    </w:rPr>
                  </w:pPr>
                  <w:r>
                    <w:rPr>
                      <w:bCs/>
                      <w:lang w:val="fr-FR" w:eastAsia="fr-FR"/>
                    </w:rPr>
                    <w:t>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w:t>
                  </w:r>
                </w:p>
                <w:p w:rsidR="00F04EEF" w:rsidRDefault="00F04EEF">
                  <w:pPr>
                    <w:jc w:val="both"/>
                    <w:rPr>
                      <w:bCs/>
                      <w:lang w:val="fr-FR" w:eastAsia="fr-FR"/>
                    </w:rPr>
                  </w:pPr>
                </w:p>
                <w:p w:rsidR="00F04EEF" w:rsidRDefault="0099351E">
                  <w:pPr>
                    <w:pStyle w:val="Paragraphedeliste"/>
                    <w:numPr>
                      <w:ilvl w:val="2"/>
                      <w:numId w:val="102"/>
                    </w:numPr>
                    <w:jc w:val="both"/>
                    <w:rPr>
                      <w:bCs/>
                      <w:lang w:val="fr-FR" w:eastAsia="fr-FR"/>
                    </w:rPr>
                  </w:pPr>
                  <w:r>
                    <w:rPr>
                      <w:bCs/>
                      <w:lang w:val="fr-FR" w:eastAsia="fr-FR"/>
                    </w:rPr>
                    <w:t>L’élève provenait d’une école d’enseignement spécialisé et réintègre son école d’enseignement spécialisé d’origine.</w:t>
                  </w:r>
                  <w:r>
                    <w:rPr>
                      <w:lang w:val="fr-FR" w:eastAsia="fr-FR"/>
                    </w:rPr>
                    <w:t xml:space="preserve"> </w:t>
                  </w:r>
                </w:p>
                <w:p w:rsidR="00F04EEF" w:rsidRDefault="00F04EEF">
                  <w:pPr>
                    <w:jc w:val="both"/>
                    <w:rPr>
                      <w:bCs/>
                      <w:lang w:val="fr-FR" w:eastAsia="fr-FR"/>
                    </w:rPr>
                  </w:pPr>
                </w:p>
                <w:p w:rsidR="00F04EEF" w:rsidRDefault="0099351E">
                  <w:pPr>
                    <w:jc w:val="both"/>
                    <w:rPr>
                      <w:bCs/>
                      <w:lang w:val="fr-FR" w:eastAsia="fr-FR"/>
                    </w:rPr>
                  </w:pPr>
                  <w:r>
                    <w:rPr>
                      <w:bCs/>
                      <w:lang w:val="fr-FR" w:eastAsia="fr-FR"/>
                    </w:rPr>
                    <w:t>Aucune orientation ou réorientation n’a lieu. Seul le médecin traitant de l’hôpital est habilité à décider que l’élève est apte à retourner dans l’école d’origine.</w:t>
                  </w:r>
                </w:p>
                <w:p w:rsidR="00F04EEF" w:rsidRDefault="00F04EEF">
                  <w:pPr>
                    <w:jc w:val="both"/>
                    <w:rPr>
                      <w:bCs/>
                      <w:lang w:val="fr-FR" w:eastAsia="fr-FR"/>
                    </w:rPr>
                  </w:pPr>
                </w:p>
                <w:p w:rsidR="00F04EEF" w:rsidRDefault="0099351E">
                  <w:pPr>
                    <w:pStyle w:val="Paragraphedeliste"/>
                    <w:numPr>
                      <w:ilvl w:val="2"/>
                      <w:numId w:val="102"/>
                    </w:numPr>
                    <w:jc w:val="both"/>
                    <w:rPr>
                      <w:bCs/>
                      <w:lang w:val="fr-FR" w:eastAsia="fr-FR"/>
                    </w:rPr>
                  </w:pPr>
                  <w:r>
                    <w:rPr>
                      <w:bCs/>
                      <w:lang w:val="fr-FR" w:eastAsia="fr-FR"/>
                    </w:rPr>
                    <w:t>L’élève était inscrit dans l’enseignement spécialisé et devrait suivre un enseignement spécialisé d’un autre type que celui figurant sur son attestation d’origine.</w:t>
                  </w:r>
                  <w:r>
                    <w:rPr>
                      <w:lang w:val="fr-FR" w:eastAsia="fr-FR"/>
                    </w:rPr>
                    <w:t xml:space="preserve"> </w:t>
                  </w:r>
                </w:p>
                <w:p w:rsidR="00F04EEF" w:rsidRDefault="00F04EEF">
                  <w:pPr>
                    <w:jc w:val="both"/>
                    <w:rPr>
                      <w:bCs/>
                      <w:lang w:val="fr-FR" w:eastAsia="fr-FR"/>
                    </w:rPr>
                  </w:pPr>
                </w:p>
                <w:p w:rsidR="00F04EEF" w:rsidRDefault="0099351E">
                  <w:pPr>
                    <w:jc w:val="both"/>
                    <w:rPr>
                      <w:bCs/>
                      <w:lang w:val="fr-FR" w:eastAsia="fr-FR"/>
                    </w:rPr>
                  </w:pPr>
                  <w:r>
                    <w:rPr>
                      <w:bCs/>
                      <w:lang w:val="fr-FR" w:eastAsia="fr-FR"/>
                    </w:rPr>
                    <w:t xml:space="preserve">Dans cette hypothèse, seul le CPMS spécialisé qui assure la guidance de l’école de type 5 est habilité à modifier l’attestation d’origine. </w:t>
                  </w:r>
                </w:p>
                <w:p w:rsidR="00F04EEF" w:rsidRDefault="0099351E">
                  <w:pPr>
                    <w:jc w:val="both"/>
                    <w:rPr>
                      <w:bCs/>
                      <w:lang w:val="fr-FR" w:eastAsia="fr-FR"/>
                    </w:rPr>
                  </w:pPr>
                  <w:r>
                    <w:rPr>
                      <w:bCs/>
                      <w:lang w:val="fr-FR" w:eastAsia="fr-FR"/>
                    </w:rPr>
                    <w:t>Toutefois, pour des raisons pratiques, il est conseillé qu’une concertation s’opère entre  le CPMS de l’école d’origine et celui de l’école de type 5 qui demeure seul compétent pour modifier l’attestation d’origine.</w:t>
                  </w:r>
                </w:p>
                <w:p w:rsidR="00F04EEF" w:rsidRDefault="00F04EEF">
                  <w:pPr>
                    <w:jc w:val="both"/>
                  </w:pPr>
                </w:p>
                <w:p w:rsidR="00F04EEF" w:rsidRDefault="0099351E">
                  <w:pPr>
                    <w:pStyle w:val="Paragraphedeliste"/>
                    <w:numPr>
                      <w:ilvl w:val="2"/>
                      <w:numId w:val="102"/>
                    </w:numPr>
                    <w:jc w:val="both"/>
                    <w:rPr>
                      <w:bCs/>
                      <w:lang w:val="fr-FR" w:eastAsia="fr-FR"/>
                    </w:rPr>
                  </w:pPr>
                  <w:r>
                    <w:rPr>
                      <w:bCs/>
                      <w:lang w:val="fr-FR" w:eastAsia="fr-FR"/>
                    </w:rPr>
                    <w:t>L’élève était inscrit dans l’enseignement spécialisé et devrait suivre un enseignement ordinaire.</w:t>
                  </w:r>
                </w:p>
                <w:p w:rsidR="00F04EEF" w:rsidRDefault="00F04EEF">
                  <w:pPr>
                    <w:jc w:val="both"/>
                    <w:rPr>
                      <w:bCs/>
                      <w:lang w:val="fr-FR" w:eastAsia="fr-FR"/>
                    </w:rPr>
                  </w:pPr>
                </w:p>
                <w:p w:rsidR="00F04EEF" w:rsidRDefault="0099351E">
                  <w:pPr>
                    <w:jc w:val="both"/>
                    <w:rPr>
                      <w:bCs/>
                      <w:lang w:val="fr-FR" w:eastAsia="fr-FR"/>
                    </w:rPr>
                  </w:pPr>
                  <w:r>
                    <w:rPr>
                      <w:bCs/>
                      <w:lang w:val="fr-FR" w:eastAsia="fr-FR"/>
                    </w:rPr>
                    <w:t>Dans cette hypothèse, c’est le CPMS qui assure la guidance de l’enseignement de type 5 qui émet un avis sur le retour dans l’enseignement ordinaire. Toutefois pour des raisons pratiques, la concertation avec le CPMS de l’école d’origine est conseillée.</w:t>
                  </w:r>
                </w:p>
                <w:p w:rsidR="00F04EEF" w:rsidRDefault="00F04EEF">
                  <w:pPr>
                    <w:jc w:val="both"/>
                    <w:rPr>
                      <w:bCs/>
                      <w:lang w:val="fr-FR" w:eastAsia="fr-FR"/>
                    </w:rPr>
                  </w:pPr>
                </w:p>
                <w:p w:rsidR="00F04EEF" w:rsidRDefault="0099351E">
                  <w:pPr>
                    <w:pStyle w:val="Paragraphedeliste"/>
                    <w:numPr>
                      <w:ilvl w:val="2"/>
                      <w:numId w:val="102"/>
                    </w:numPr>
                    <w:jc w:val="both"/>
                    <w:rPr>
                      <w:bCs/>
                      <w:lang w:val="fr-FR" w:eastAsia="fr-FR"/>
                    </w:rPr>
                  </w:pPr>
                  <w:r>
                    <w:rPr>
                      <w:bCs/>
                      <w:lang w:val="fr-FR" w:eastAsia="fr-FR"/>
                    </w:rPr>
                    <w:t>L’élève n’était pas scolarisé avant son entrée dans l’enseignement spécialisé de type 5 et est orienté vers un enseignement spécialisé.</w:t>
                  </w:r>
                </w:p>
                <w:p w:rsidR="00F04EEF" w:rsidRDefault="00F04EEF">
                  <w:pPr>
                    <w:rPr>
                      <w:bCs/>
                      <w:lang w:val="fr-FR" w:eastAsia="fr-FR"/>
                    </w:rPr>
                  </w:pPr>
                </w:p>
                <w:p w:rsidR="00F04EEF" w:rsidRDefault="00F04EEF">
                  <w:pPr>
                    <w:jc w:val="both"/>
                    <w:rPr>
                      <w:bCs/>
                      <w:lang w:val="fr-FR" w:eastAsia="fr-FR"/>
                    </w:rPr>
                  </w:pPr>
                </w:p>
                <w:p w:rsidR="00F04EEF" w:rsidRDefault="0099351E">
                  <w:pPr>
                    <w:jc w:val="both"/>
                    <w:rPr>
                      <w:bCs/>
                      <w:lang w:val="fr-FR" w:eastAsia="fr-FR"/>
                    </w:rPr>
                  </w:pPr>
                  <w:r>
                    <w:rPr>
                      <w:bCs/>
                      <w:lang w:val="fr-FR" w:eastAsia="fr-FR"/>
                    </w:rPr>
                    <w:t xml:space="preserve">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 Toutefois, pour des raisons pratiques, la concertation avec le CPMS de l’école d’enseignement de type 5 est conseillée. </w:t>
                  </w:r>
                </w:p>
                <w:p w:rsidR="00F04EEF" w:rsidRDefault="00F04EEF">
                  <w:pPr>
                    <w:jc w:val="both"/>
                  </w:pPr>
                </w:p>
                <w:p w:rsidR="00F04EEF" w:rsidRDefault="0099351E">
                  <w:pPr>
                    <w:jc w:val="both"/>
                    <w:rPr>
                      <w:rStyle w:val="StyleArial11pt"/>
                      <w:rFonts w:asciiTheme="majorHAnsi" w:hAnsiTheme="majorHAnsi" w:cs="Arial"/>
                    </w:rPr>
                  </w:pPr>
                  <w:r>
                    <w:t>La date de sortie est portée sur l'attestation d'entrée, ou sur son annexe, ainsi que dans le registre matricule</w:t>
                  </w:r>
                  <w:r>
                    <w:rPr>
                      <w:rStyle w:val="StyleArial11pt"/>
                      <w:rFonts w:asciiTheme="majorHAnsi" w:hAnsiTheme="majorHAnsi" w:cs="Arial"/>
                    </w:rPr>
                    <w:t>.</w:t>
                  </w:r>
                </w:p>
                <w:p w:rsidR="00F04EEF" w:rsidRDefault="00F04EEF">
                  <w:pPr>
                    <w:jc w:val="both"/>
                    <w:rPr>
                      <w:rStyle w:val="StyleArial11pt"/>
                      <w:rFonts w:asciiTheme="majorHAnsi" w:hAnsiTheme="majorHAnsi" w:cs="Arial"/>
                    </w:rPr>
                  </w:pPr>
                </w:p>
                <w:p w:rsidR="00F04EEF" w:rsidRDefault="0099351E">
                  <w:pPr>
                    <w:rPr>
                      <w:b/>
                      <w:sz w:val="24"/>
                      <w:u w:val="single"/>
                    </w:rPr>
                  </w:pPr>
                  <w:bookmarkStart w:id="2998" w:name="_4._Dispositions_afférentes"/>
                  <w:bookmarkEnd w:id="2998"/>
                  <w:r>
                    <w:br w:type="page"/>
                  </w:r>
                </w:p>
                <w:p w:rsidR="00F04EEF" w:rsidRDefault="0099351E">
                  <w:pPr>
                    <w:pStyle w:val="Titre3"/>
                    <w:rPr>
                      <w:szCs w:val="22"/>
                    </w:rPr>
                  </w:pPr>
                  <w:bookmarkStart w:id="2999" w:name="_Toc47708548"/>
                  <w:r>
                    <w:rPr>
                      <w:szCs w:val="22"/>
                    </w:rPr>
                    <w:t>4. Dispositions afférentes au calcul du capital période dans les établissements scolaires organisant l’enseignement spécialisé de type 5</w:t>
                  </w:r>
                  <w:bookmarkEnd w:id="2999"/>
                </w:p>
                <w:p w:rsidR="00F04EEF" w:rsidRDefault="00F04EEF"/>
                <w:p w:rsidR="00F04EEF" w:rsidRDefault="0099351E">
                  <w:pPr>
                    <w:jc w:val="both"/>
                  </w:pPr>
                  <w:r>
                    <w:t xml:space="preserve">Pour tous les établissements d’enseignement spécialisé organisant </w:t>
                  </w:r>
                  <w:r>
                    <w:rPr>
                      <w:b/>
                    </w:rPr>
                    <w:t>uniquement du type 5</w:t>
                  </w:r>
                  <w:r>
                    <w:t xml:space="preserve"> ou </w:t>
                  </w:r>
                  <w:r>
                    <w:rPr>
                      <w:b/>
                    </w:rPr>
                    <w:t>du type 5 et d’autres types</w:t>
                  </w:r>
                  <w:r>
                    <w:t>, les dispositions suivantes sont d’application :</w:t>
                  </w:r>
                </w:p>
                <w:p w:rsidR="00F04EEF" w:rsidRDefault="00F04EEF">
                  <w:pPr>
                    <w:jc w:val="both"/>
                  </w:pPr>
                </w:p>
                <w:p w:rsidR="00F04EEF" w:rsidRDefault="0099351E">
                  <w:pPr>
                    <w:jc w:val="both"/>
                  </w:pPr>
                  <w:r>
                    <w:t xml:space="preserve">Dans l’enseignement spécialisé de type 5 (élèves malades et/ou convalescents), tant pour l’enseignement fondamental spécialisé que pour l’enseignement secondaire spécialisé, les articles 35, 2° et 87, 2° du </w:t>
                  </w:r>
                  <w:hyperlink r:id="rId196" w:history="1">
                    <w:r>
                      <w:rPr>
                        <w:rStyle w:val="Lienhypertexte"/>
                        <w:rFonts w:cstheme="minorBidi"/>
                      </w:rPr>
                      <w:t>décret du 3 mars 2004</w:t>
                    </w:r>
                  </w:hyperlink>
                  <w:r>
                    <w:t xml:space="preserve"> organisant l’enseignement spécialisé précisent que le volume des emplois au 1</w:t>
                  </w:r>
                  <w:r>
                    <w:rPr>
                      <w:vertAlign w:val="superscript"/>
                    </w:rPr>
                    <w:t>er</w:t>
                  </w:r>
                  <w:r>
                    <w:t xml:space="preserve"> septembre est fixé par le nombre déterminé par la moyenne des présences des élèves réguliers :</w:t>
                  </w:r>
                </w:p>
                <w:p w:rsidR="00F04EEF" w:rsidRDefault="0099351E">
                  <w:pPr>
                    <w:pStyle w:val="Paragraphedeliste"/>
                    <w:ind w:left="567" w:hanging="219"/>
                    <w:jc w:val="both"/>
                    <w:rPr>
                      <w:rFonts w:asciiTheme="minorHAnsi" w:hAnsiTheme="minorHAnsi" w:cstheme="minorHAnsi"/>
                      <w:b/>
                      <w:sz w:val="22"/>
                    </w:rPr>
                  </w:pPr>
                  <w:r>
                    <w:rPr>
                      <w:rFonts w:asciiTheme="minorHAnsi" w:hAnsiTheme="minorHAnsi" w:cstheme="minorHAnsi"/>
                      <w:sz w:val="22"/>
                    </w:rPr>
                    <w:t>a) </w:t>
                  </w:r>
                  <w:r>
                    <w:rPr>
                      <w:rFonts w:asciiTheme="minorHAnsi" w:hAnsiTheme="minorHAnsi" w:cstheme="minorHAnsi"/>
                      <w:b/>
                      <w:sz w:val="22"/>
                    </w:rPr>
                    <w:t>Durant l’année scolaire précédente, si ce type d’enseignement était organisé pendant cette durée ;</w:t>
                  </w:r>
                </w:p>
                <w:p w:rsidR="00F04EEF" w:rsidRDefault="0099351E">
                  <w:pPr>
                    <w:pStyle w:val="Paragraphedeliste"/>
                    <w:ind w:left="567" w:hanging="219"/>
                    <w:jc w:val="both"/>
                    <w:rPr>
                      <w:rFonts w:asciiTheme="minorHAnsi" w:hAnsiTheme="minorHAnsi" w:cstheme="minorHAnsi"/>
                      <w:sz w:val="22"/>
                    </w:rPr>
                  </w:pPr>
                  <w:r>
                    <w:rPr>
                      <w:rFonts w:asciiTheme="minorHAnsi" w:hAnsiTheme="minorHAnsi" w:cstheme="minorHAnsi"/>
                      <w:sz w:val="22"/>
                    </w:rPr>
                    <w:t>b) </w:t>
                  </w:r>
                  <w:r>
                    <w:rPr>
                      <w:rFonts w:asciiTheme="minorHAnsi" w:hAnsiTheme="minorHAnsi" w:cstheme="minorHAnsi"/>
                      <w:b/>
                      <w:sz w:val="22"/>
                    </w:rPr>
                    <w:t>Dans les autres cas, durant les 30 premiers jours à compter à partir du début de l’année scolaire ou à partir de la mise en place de ce type d’enseignement.</w:t>
                  </w:r>
                </w:p>
                <w:p w:rsidR="00F04EEF" w:rsidRDefault="00F04EEF">
                  <w:pPr>
                    <w:pStyle w:val="Paragraphedeliste"/>
                    <w:ind w:left="0"/>
                    <w:jc w:val="both"/>
                    <w:rPr>
                      <w:rFonts w:asciiTheme="majorHAnsi" w:hAnsiTheme="majorHAnsi" w:cs="Calibri"/>
                      <w:sz w:val="22"/>
                    </w:rPr>
                  </w:pPr>
                </w:p>
                <w:p w:rsidR="00F04EEF" w:rsidRDefault="0099351E">
                  <w:pPr>
                    <w:jc w:val="both"/>
                  </w:pPr>
                  <w:r>
                    <w:t>En outre, les articles 36, §1</w:t>
                  </w:r>
                  <w:r>
                    <w:rPr>
                      <w:vertAlign w:val="superscript"/>
                    </w:rPr>
                    <w:t>er</w:t>
                  </w:r>
                  <w:r>
                    <w:t>, alinéa 1er et 88, §1</w:t>
                  </w:r>
                  <w:r>
                    <w:rPr>
                      <w:vertAlign w:val="superscript"/>
                    </w:rPr>
                    <w:t>er</w:t>
                  </w:r>
                  <w:r>
                    <w:t>, alinéa 1er du décret précité stipulent qu’un nouveau calcul de l’encadrement est réalisé le 1</w:t>
                  </w:r>
                  <w:r>
                    <w:rPr>
                      <w:vertAlign w:val="superscript"/>
                    </w:rPr>
                    <w:t>er</w:t>
                  </w:r>
                  <w:r>
                    <w:t xml:space="preserve"> octobre si la population scolaire du 30 septembre a varié d’au moins 5 % par rapport à celle du 15 janvier précédent.</w:t>
                  </w:r>
                </w:p>
                <w:p w:rsidR="00F04EEF" w:rsidRDefault="00F04EEF">
                  <w:pPr>
                    <w:jc w:val="both"/>
                  </w:pPr>
                </w:p>
                <w:p w:rsidR="00F04EEF" w:rsidRDefault="0099351E">
                  <w:pPr>
                    <w:jc w:val="both"/>
                  </w:pPr>
                  <w:r>
                    <w:t>Auparavant, pour déterminer si une école d’enseignement de type 5 avait une variation d’au moins 5% au 30/09/2017, on comparait la moyenne entre l’année scolaire N-1 (exemple : 2016/2017) et l’année scolaire N-2 (2015-2016). Il se fait que cette manière de procéder n’a aucune base décrétale.</w:t>
                  </w:r>
                </w:p>
                <w:p w:rsidR="00F04EEF" w:rsidRDefault="00F04EEF">
                  <w:pPr>
                    <w:jc w:val="both"/>
                  </w:pPr>
                </w:p>
                <w:p w:rsidR="00F04EEF" w:rsidRDefault="0099351E">
                  <w:pPr>
                    <w:jc w:val="both"/>
                  </w:pPr>
                  <w:r>
                    <w:t>En ce qui concerne les types d’enseignement 1, 2, 3, 4, 6, 7 et 8, la date du 15 janvier est une date pivot qui sert de base pour déterminer si la population scolaire a varié d’au moins 5 % à la date du 30 septembre.</w:t>
                  </w:r>
                </w:p>
                <w:p w:rsidR="00F04EEF" w:rsidRDefault="00F04EEF">
                  <w:pPr>
                    <w:jc w:val="both"/>
                  </w:pPr>
                </w:p>
                <w:p w:rsidR="00F04EEF" w:rsidRDefault="0099351E">
                  <w:r>
                    <w:t xml:space="preserve">Pour les élèves relevant de l’enseignement spécialisé de type 5, le nombre d’élèves pris en compte est la moyenne du nombre d’élèves réguliers au cours de l’année scolaire précédente. </w:t>
                  </w:r>
                </w:p>
                <w:p w:rsidR="00F04EEF" w:rsidRDefault="00F04EEF">
                  <w:pPr>
                    <w:jc w:val="both"/>
                  </w:pPr>
                </w:p>
                <w:p w:rsidR="00F04EEF" w:rsidRDefault="0099351E">
                  <w:pPr>
                    <w:jc w:val="both"/>
                    <w:rPr>
                      <w:rFonts w:cs="Calibri"/>
                      <w:b/>
                    </w:rPr>
                  </w:pPr>
                  <w:r>
                    <w:t xml:space="preserve">Et donc, la règle susmentionnée (variation de 5 % au 30 septembre) est difficilement applicable aux </w:t>
                  </w:r>
                  <w:r>
                    <w:rPr>
                      <w:rFonts w:cs="Calibri"/>
                    </w:rPr>
                    <w:t>établissements d’enseignement spécialisé de type 5</w:t>
                  </w:r>
                  <w:r>
                    <w:rPr>
                      <w:rFonts w:cs="Calibri"/>
                      <w:b/>
                    </w:rPr>
                    <w:t xml:space="preserve"> </w:t>
                  </w:r>
                  <w:r>
                    <w:t>en raison du fait que le texte précise que c’est la moyenne de l’année scolaire précédente (au 30 juin) qui détermine l’encadrement au 1</w:t>
                  </w:r>
                  <w:r>
                    <w:rPr>
                      <w:vertAlign w:val="superscript"/>
                    </w:rPr>
                    <w:t>er</w:t>
                  </w:r>
                  <w:r>
                    <w:t xml:space="preserve"> septembre de l’année scolaire suivante.</w:t>
                  </w:r>
                </w:p>
                <w:p w:rsidR="00F04EEF" w:rsidRDefault="00F04EEF">
                  <w:pPr>
                    <w:jc w:val="both"/>
                  </w:pPr>
                </w:p>
                <w:p w:rsidR="00F04EEF" w:rsidRDefault="0099351E">
                  <w:pPr>
                    <w:jc w:val="both"/>
                  </w:pPr>
                  <w:r>
                    <w:t>En outre, le décret ne dit rien sur cette variation d’au moins 5 % lorsqu’il s’agit du type 5.</w:t>
                  </w:r>
                </w:p>
                <w:p w:rsidR="00F04EEF" w:rsidRDefault="0099351E">
                  <w:pPr>
                    <w:jc w:val="both"/>
                  </w:pPr>
                  <w:r>
                    <w:t> </w:t>
                  </w:r>
                </w:p>
                <w:p w:rsidR="00F04EEF" w:rsidRDefault="0099351E">
                  <w:pPr>
                    <w:jc w:val="both"/>
                  </w:pPr>
                  <w:r>
                    <w:t>Par conséquent l’Administration étant tenue par le respect de la réglementation, il y aura lieu de se référer, dès l’année scolaire 2018/2019, aux dispositions décrétales précitées à savoir :</w:t>
                  </w:r>
                </w:p>
                <w:p w:rsidR="00F04EEF" w:rsidRDefault="00F04EEF">
                  <w:pPr>
                    <w:jc w:val="both"/>
                  </w:pPr>
                </w:p>
                <w:p w:rsidR="00F04EEF" w:rsidRDefault="0099351E">
                  <w:pPr>
                    <w:pStyle w:val="Paragraphedeliste"/>
                    <w:numPr>
                      <w:ilvl w:val="0"/>
                      <w:numId w:val="291"/>
                    </w:numPr>
                    <w:jc w:val="both"/>
                    <w:rPr>
                      <w:rFonts w:asciiTheme="minorHAnsi" w:hAnsiTheme="minorHAnsi" w:cstheme="minorHAnsi"/>
                      <w:sz w:val="22"/>
                      <w:szCs w:val="22"/>
                    </w:rPr>
                  </w:pPr>
                  <w:r>
                    <w:rPr>
                      <w:rFonts w:asciiTheme="minorHAnsi" w:hAnsiTheme="minorHAnsi" w:cstheme="minorHAnsi"/>
                      <w:sz w:val="22"/>
                      <w:szCs w:val="22"/>
                    </w:rPr>
                    <w:t>le volume des emplois dans les établissements scolaires spécialisés de type 5 au 1</w:t>
                  </w:r>
                  <w:r>
                    <w:rPr>
                      <w:rFonts w:asciiTheme="minorHAnsi" w:hAnsiTheme="minorHAnsi" w:cstheme="minorHAnsi"/>
                      <w:sz w:val="22"/>
                      <w:szCs w:val="22"/>
                      <w:vertAlign w:val="superscript"/>
                    </w:rPr>
                    <w:t>er</w:t>
                  </w:r>
                  <w:r>
                    <w:rPr>
                      <w:rFonts w:asciiTheme="minorHAnsi" w:hAnsiTheme="minorHAnsi" w:cstheme="minorHAnsi"/>
                      <w:sz w:val="22"/>
                      <w:szCs w:val="22"/>
                    </w:rPr>
                    <w:t xml:space="preserve"> septembre 2018 sera désormais déterminé par la moyenne des présences des élèves réguliers durant l’année scolaire 2017/2018 si ce type d’enseignement était organisé pendant cette durée ;</w:t>
                  </w:r>
                </w:p>
                <w:p w:rsidR="00F04EEF" w:rsidRDefault="0099351E">
                  <w:pPr>
                    <w:pStyle w:val="Paragraphedeliste"/>
                    <w:numPr>
                      <w:ilvl w:val="0"/>
                      <w:numId w:val="292"/>
                    </w:numPr>
                    <w:jc w:val="both"/>
                    <w:rPr>
                      <w:rFonts w:asciiTheme="minorHAnsi" w:hAnsiTheme="minorHAnsi" w:cstheme="minorHAnsi"/>
                      <w:sz w:val="22"/>
                      <w:szCs w:val="22"/>
                    </w:rPr>
                  </w:pPr>
                  <w:r>
                    <w:rPr>
                      <w:rFonts w:asciiTheme="minorHAnsi" w:hAnsiTheme="minorHAnsi" w:cstheme="minorHAnsi"/>
                      <w:sz w:val="22"/>
                      <w:szCs w:val="22"/>
                    </w:rPr>
                    <w:t>il n’y a pas de nouveau calcul de l’encadrement le 1</w:t>
                  </w:r>
                  <w:r>
                    <w:rPr>
                      <w:rFonts w:asciiTheme="minorHAnsi" w:hAnsiTheme="minorHAnsi" w:cstheme="minorHAnsi"/>
                      <w:sz w:val="22"/>
                      <w:szCs w:val="22"/>
                      <w:vertAlign w:val="superscript"/>
                    </w:rPr>
                    <w:t>er</w:t>
                  </w:r>
                  <w:r>
                    <w:rPr>
                      <w:rFonts w:asciiTheme="minorHAnsi" w:hAnsiTheme="minorHAnsi" w:cstheme="minorHAnsi"/>
                      <w:sz w:val="22"/>
                      <w:szCs w:val="22"/>
                    </w:rPr>
                    <w:t xml:space="preserve"> octobre 2018.</w:t>
                  </w:r>
                </w:p>
                <w:p w:rsidR="00F04EEF" w:rsidRDefault="00F04EEF">
                  <w:pPr>
                    <w:jc w:val="both"/>
                  </w:pPr>
                </w:p>
                <w:p w:rsidR="00F04EEF" w:rsidRDefault="0099351E">
                  <w:pPr>
                    <w:jc w:val="both"/>
                  </w:pPr>
                  <w:r>
                    <w:t xml:space="preserve">S’agissant des établissements d’enseignement spécialisé organisant à la fois un </w:t>
                  </w:r>
                  <w:r>
                    <w:rPr>
                      <w:b/>
                    </w:rPr>
                    <w:t>enseignement de type 5 et un ou plusieurs autres types</w:t>
                  </w:r>
                  <w:r>
                    <w:t> : en vue de présenter une situation claire des populations scolaires et du CPU aux deux dates clés : 1/9 et 30/9 et de globaliser les chiffres des populations scolaires (peu importe les types d'enseignement organisés), vous trouverez, ci-après, la méthode de comptage qui sera en vigueur pour le calcul du CPU :</w:t>
                  </w:r>
                </w:p>
                <w:p w:rsidR="00F04EEF" w:rsidRDefault="00F04EEF">
                  <w:pPr>
                    <w:jc w:val="both"/>
                    <w:rPr>
                      <w:rFonts w:cstheme="minorHAnsi"/>
                    </w:rPr>
                  </w:pPr>
                </w:p>
                <w:p w:rsidR="00F04EEF" w:rsidRDefault="0099351E">
                  <w:pPr>
                    <w:pStyle w:val="Paragraphedeliste"/>
                    <w:numPr>
                      <w:ilvl w:val="0"/>
                      <w:numId w:val="293"/>
                    </w:numPr>
                    <w:jc w:val="both"/>
                    <w:rPr>
                      <w:rFonts w:asciiTheme="minorHAnsi" w:hAnsiTheme="minorHAnsi" w:cstheme="minorHAnsi"/>
                      <w:sz w:val="22"/>
                      <w:szCs w:val="22"/>
                    </w:rPr>
                  </w:pPr>
                  <w:r>
                    <w:rPr>
                      <w:rFonts w:asciiTheme="minorHAnsi" w:hAnsiTheme="minorHAnsi" w:cstheme="minorHAnsi"/>
                      <w:sz w:val="22"/>
                      <w:szCs w:val="22"/>
                    </w:rPr>
                    <w:t>Une dépêche sortira en juillet ou en août, pour autant que la vérification de la population scolaire ait pu fournir la moyenne des chiffres du type 5, et reprendra les chiffres du comptage au 15/01 (types, 1, 2, 3, 4, 6, 7 et 8) et de la moyenne des types 5 de l'année scolaire précédente.</w:t>
                  </w:r>
                </w:p>
                <w:p w:rsidR="00F04EEF" w:rsidRDefault="00F04EEF">
                  <w:pPr>
                    <w:jc w:val="both"/>
                    <w:rPr>
                      <w:rFonts w:cstheme="minorHAnsi"/>
                    </w:rPr>
                  </w:pPr>
                </w:p>
                <w:p w:rsidR="00F04EEF" w:rsidRDefault="0099351E">
                  <w:pPr>
                    <w:ind w:left="709"/>
                    <w:jc w:val="both"/>
                  </w:pPr>
                  <w:r>
                    <w:t>Ainsi dans l’exemple joint : 100 + 20 = 120 élèves.</w:t>
                  </w:r>
                </w:p>
                <w:p w:rsidR="00F04EEF" w:rsidRDefault="00F04EEF">
                  <w:pPr>
                    <w:jc w:val="both"/>
                  </w:pPr>
                </w:p>
                <w:p w:rsidR="00F04EEF" w:rsidRDefault="0099351E">
                  <w:pPr>
                    <w:pStyle w:val="Paragraphedeliste"/>
                    <w:numPr>
                      <w:ilvl w:val="0"/>
                      <w:numId w:val="294"/>
                    </w:numPr>
                    <w:jc w:val="both"/>
                    <w:rPr>
                      <w:rFonts w:asciiTheme="minorHAnsi" w:hAnsiTheme="minorHAnsi" w:cstheme="minorHAnsi"/>
                      <w:sz w:val="22"/>
                      <w:szCs w:val="22"/>
                    </w:rPr>
                  </w:pPr>
                  <w:r>
                    <w:rPr>
                      <w:rFonts w:asciiTheme="minorHAnsi" w:hAnsiTheme="minorHAnsi" w:cstheme="minorHAnsi"/>
                      <w:sz w:val="22"/>
                      <w:szCs w:val="22"/>
                    </w:rPr>
                    <w:t>Ensuite une seconde dépêche sortira à partir d’octobre et reprendra les chiffres du comptage au 30/09 (en y incluant la variation éventuelle de 5 %).</w:t>
                  </w:r>
                </w:p>
                <w:p w:rsidR="00F04EEF" w:rsidRDefault="00F04EEF">
                  <w:pPr>
                    <w:jc w:val="both"/>
                    <w:rPr>
                      <w:rFonts w:cstheme="minorHAnsi"/>
                    </w:rPr>
                  </w:pPr>
                </w:p>
                <w:p w:rsidR="00F04EEF" w:rsidRDefault="0099351E">
                  <w:pPr>
                    <w:pStyle w:val="Paragraphedeliste"/>
                    <w:ind w:left="720"/>
                    <w:jc w:val="both"/>
                    <w:rPr>
                      <w:rFonts w:asciiTheme="minorHAnsi" w:hAnsiTheme="minorHAnsi" w:cstheme="minorHAnsi"/>
                      <w:sz w:val="22"/>
                      <w:szCs w:val="22"/>
                    </w:rPr>
                  </w:pPr>
                  <w:r>
                    <w:rPr>
                      <w:rFonts w:asciiTheme="minorHAnsi" w:hAnsiTheme="minorHAnsi" w:cstheme="minorHAnsi"/>
                      <w:sz w:val="22"/>
                      <w:szCs w:val="22"/>
                    </w:rPr>
                    <w:t>Ainsi dans l’exemple joint : 105 élèves (types 1, 2, 3, 4, 6, 7 et 8) auxquels on ajoutera pour le type 5 la moyenne de l'année précédente (20 élèves).</w:t>
                  </w:r>
                </w:p>
                <w:p w:rsidR="00F04EEF" w:rsidRDefault="00F04EEF">
                  <w:pPr>
                    <w:rPr>
                      <w:b/>
                    </w:rPr>
                  </w:pPr>
                </w:p>
                <w:p w:rsidR="00F04EEF" w:rsidRDefault="0099351E">
                  <w:pPr>
                    <w:pStyle w:val="Titre4"/>
                  </w:pPr>
                  <w:r>
                    <w:t>4.1. Méthode de calcul du CPU dans les établissements scolaires organisant à la fois un enseignement spécialisé de type 5 et un ou plusieurs autres types d’enseignement spécialisé.</w:t>
                  </w:r>
                </w:p>
                <w:p w:rsidR="00F04EEF" w:rsidRDefault="00F04EEF">
                  <w:pPr>
                    <w:tabs>
                      <w:tab w:val="left" w:pos="2552"/>
                    </w:tabs>
                  </w:pPr>
                </w:p>
                <w:p w:rsidR="00F04EEF" w:rsidRDefault="0099351E">
                  <w:r>
                    <w:rPr>
                      <w:u w:val="single"/>
                    </w:rPr>
                    <w:t>Autres types</w:t>
                  </w:r>
                  <w:r>
                    <w:t> :</w:t>
                  </w:r>
                </w:p>
                <w:p w:rsidR="00F04EEF" w:rsidRDefault="0099351E">
                  <w:pPr>
                    <w:pBdr>
                      <w:right w:val="single" w:sz="18" w:space="1" w:color="auto"/>
                    </w:pBdr>
                    <w:tabs>
                      <w:tab w:val="left" w:pos="2552"/>
                    </w:tabs>
                  </w:pPr>
                  <w:r>
                    <w:rPr>
                      <w:noProof/>
                      <w:lang w:eastAsia="fr-BE"/>
                    </w:rPr>
                    <mc:AlternateContent>
                      <mc:Choice Requires="wps">
                        <w:drawing>
                          <wp:anchor distT="45720" distB="45720" distL="114300" distR="114300" simplePos="0" relativeHeight="252004352" behindDoc="0" locked="0" layoutInCell="1" allowOverlap="1">
                            <wp:simplePos x="0" y="0"/>
                            <wp:positionH relativeFrom="column">
                              <wp:posOffset>3485515</wp:posOffset>
                            </wp:positionH>
                            <wp:positionV relativeFrom="paragraph">
                              <wp:posOffset>152400</wp:posOffset>
                            </wp:positionV>
                            <wp:extent cx="604520" cy="561340"/>
                            <wp:effectExtent l="0" t="0" r="0" b="0"/>
                            <wp:wrapSquare wrapText="bothSides"/>
                            <wp:docPr id="457" name="Zone de texte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rPr>
                                            <w:b/>
                                            <w:color w:val="FF0000"/>
                                          </w:rPr>
                                        </w:pPr>
                                        <w:r>
                                          <w:rPr>
                                            <w:b/>
                                            <w:color w:val="FF0000"/>
                                          </w:rPr>
                                          <w:t>105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7" o:spid="_x0000_s1051" type="#_x0000_t202" style="position:absolute;margin-left:274.45pt;margin-top:12pt;width:47.6pt;height:44.2pt;z-index:25200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" filled="f" stroked="f">
                            <v:textbox style="mso-fit-shape-to-text:t">
                              <w:txbxContent>
                                <w:p>
                                  <w:pPr>
                                    <w:rPr>
                                      <w:b/>
                                      <w:color w:val="FF0000"/>
                                    </w:rPr>
                                  </w:pPr>
                                  <w:r>
                                    <w:rPr>
                                      <w:b/>
                                      <w:color w:val="FF0000"/>
                                    </w:rPr>
                                    <w:t>105 élèves</w:t>
                                  </w:r>
                                </w:p>
                              </w:txbxContent>
                            </v:textbox>
                            <w10:wrap type="square"/>
                          </v:shape>
                        </w:pict>
                      </mc:Fallback>
                    </mc:AlternateContent>
                  </w:r>
                </w:p>
                <w:p w:rsidR="00F04EEF" w:rsidRDefault="0099351E">
                  <w:pPr>
                    <w:pBdr>
                      <w:right w:val="single" w:sz="18" w:space="1" w:color="auto"/>
                    </w:pBdr>
                    <w:tabs>
                      <w:tab w:val="left" w:pos="2410"/>
                      <w:tab w:val="left" w:pos="2552"/>
                      <w:tab w:val="left" w:pos="2835"/>
                    </w:tabs>
                  </w:pPr>
                  <w:r>
                    <w:rPr>
                      <w:noProof/>
                      <w:lang w:eastAsia="fr-BE"/>
                    </w:rPr>
                    <mc:AlternateContent>
                      <mc:Choice Requires="wps">
                        <w:drawing>
                          <wp:anchor distT="45720" distB="45720" distL="114300" distR="114300" simplePos="0" relativeHeight="252003328" behindDoc="0" locked="0" layoutInCell="1" allowOverlap="1">
                            <wp:simplePos x="0" y="0"/>
                            <wp:positionH relativeFrom="column">
                              <wp:posOffset>1727200</wp:posOffset>
                            </wp:positionH>
                            <wp:positionV relativeFrom="paragraph">
                              <wp:posOffset>8255</wp:posOffset>
                            </wp:positionV>
                            <wp:extent cx="604520" cy="377190"/>
                            <wp:effectExtent l="0" t="0" r="0" b="0"/>
                            <wp:wrapSquare wrapText="bothSides"/>
                            <wp:docPr id="456" name="Zone de texte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rPr>
                                            <w:b/>
                                            <w:color w:val="FF0000"/>
                                          </w:rPr>
                                        </w:pPr>
                                        <w:r>
                                          <w:rPr>
                                            <w:b/>
                                            <w:color w:val="FF0000"/>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6" o:spid="_x0000_s1052" type="#_x0000_t202" style="position:absolute;margin-left:136pt;margin-top:.65pt;width:47.6pt;height:29.7pt;z-index:2520033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" filled="f" stroked="f">
                            <v:textbox style="mso-fit-shape-to-text:t">
                              <w:txbxContent>
                                <w:p>
                                  <w:pPr>
                                    <w:rPr>
                                      <w:b/>
                                      <w:color w:val="FF0000"/>
                                    </w:rPr>
                                  </w:pPr>
                                  <w:r>
                                    <w:rPr>
                                      <w:b/>
                                      <w:color w:val="FF0000"/>
                                    </w:rPr>
                                    <w:t>+5%</w:t>
                                  </w:r>
                                </w:p>
                              </w:txbxContent>
                            </v:textbox>
                            <w10:wrap type="square"/>
                          </v:shape>
                        </w:pict>
                      </mc:Fallback>
                    </mc:AlternateContent>
                  </w:r>
                  <w:r>
                    <w:rPr>
                      <w:noProof/>
                      <w:lang w:eastAsia="fr-BE"/>
                    </w:rPr>
                    <mc:AlternateContent>
                      <mc:Choice Requires="wps">
                        <w:drawing>
                          <wp:anchor distT="45720" distB="45720" distL="114300" distR="114300" simplePos="0" relativeHeight="252002304" behindDoc="0" locked="0" layoutInCell="1" allowOverlap="1">
                            <wp:simplePos x="0" y="0"/>
                            <wp:positionH relativeFrom="column">
                              <wp:posOffset>869315</wp:posOffset>
                            </wp:positionH>
                            <wp:positionV relativeFrom="paragraph">
                              <wp:posOffset>7620</wp:posOffset>
                            </wp:positionV>
                            <wp:extent cx="604520" cy="561340"/>
                            <wp:effectExtent l="0" t="0" r="0" b="0"/>
                            <wp:wrapSquare wrapText="bothSides"/>
                            <wp:docPr id="455" name="Zone de texte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rPr>
                                            <w:b/>
                                            <w:color w:val="FF0000"/>
                                          </w:rPr>
                                        </w:pPr>
                                        <w:r>
                                          <w:rPr>
                                            <w:b/>
                                            <w:color w:val="FF0000"/>
                                          </w:rPr>
                                          <w:t>100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5" o:spid="_x0000_s1053" type="#_x0000_t202" style="position:absolute;margin-left:68.45pt;margin-top:.6pt;width:47.6pt;height:44.2pt;z-index:252002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" filled="f" stroked="f">
                            <v:textbox style="mso-fit-shape-to-text:t">
                              <w:txbxContent>
                                <w:p>
                                  <w:pPr>
                                    <w:rPr>
                                      <w:b/>
                                      <w:color w:val="FF0000"/>
                                    </w:rPr>
                                  </w:pPr>
                                  <w:r>
                                    <w:rPr>
                                      <w:b/>
                                      <w:color w:val="FF0000"/>
                                    </w:rPr>
                                    <w:t>100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5136" behindDoc="0" locked="0" layoutInCell="1" allowOverlap="1">
                            <wp:simplePos x="0" y="0"/>
                            <wp:positionH relativeFrom="column">
                              <wp:posOffset>2129155</wp:posOffset>
                            </wp:positionH>
                            <wp:positionV relativeFrom="paragraph">
                              <wp:posOffset>54610</wp:posOffset>
                            </wp:positionV>
                            <wp:extent cx="471805" cy="236855"/>
                            <wp:effectExtent l="0" t="0" r="0" b="0"/>
                            <wp:wrapNone/>
                            <wp:docPr id="454" name="Zone de texte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30/9</w:t>
                                        </w:r>
                                      </w:p>
                                      <w:p w:rsidR="00F04EEF" w:rsidRDefault="00F04EE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4" o:spid="_x0000_s1054" type="#_x0000_t202" style="position:absolute;margin-left:167.65pt;margin-top:4.3pt;width:37.15pt;height:18.65pt;z-index:25199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" filled="f" stroked="f">
                            <v:textbox>
                              <w:txbxContent>
                                <w:p>
                                  <w:r>
                                    <w:t>30/9</w:t>
                                  </w:r>
                                </w:p>
                                <w:p/>
                              </w:txbxContent>
                            </v:textbox>
                          </v:shape>
                        </w:pict>
                      </mc:Fallback>
                    </mc:AlternateContent>
                  </w:r>
                  <w:r>
                    <w:rPr>
                      <w:noProof/>
                      <w:lang w:eastAsia="fr-BE"/>
                    </w:rPr>
                    <mc:AlternateContent>
                      <mc:Choice Requires="wps">
                        <w:drawing>
                          <wp:anchor distT="45720" distB="45720" distL="114300" distR="114300" simplePos="0" relativeHeight="251993088" behindDoc="0" locked="0" layoutInCell="1" allowOverlap="1">
                            <wp:simplePos x="0" y="0"/>
                            <wp:positionH relativeFrom="column">
                              <wp:posOffset>1409065</wp:posOffset>
                            </wp:positionH>
                            <wp:positionV relativeFrom="paragraph">
                              <wp:posOffset>88265</wp:posOffset>
                            </wp:positionV>
                            <wp:extent cx="471805" cy="236855"/>
                            <wp:effectExtent l="0" t="0" r="0" b="0"/>
                            <wp:wrapNone/>
                            <wp:docPr id="452" name="Zone de texte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2" o:spid="_x0000_s1055" type="#_x0000_t202" style="position:absolute;margin-left:110.95pt;margin-top:6.95pt;width:37.15pt;height:18.65pt;z-index:25199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" filled="f" stroked="f">
                            <v:textbox>
                              <w:txbxContent>
                                <w:p>
                                  <w:r>
                                    <w:t>1/9</w:t>
                                  </w:r>
                                </w:p>
                              </w:txbxContent>
                            </v:textbox>
                          </v:shape>
                        </w:pict>
                      </mc:Fallback>
                    </mc:AlternateContent>
                  </w:r>
                  <w:r>
                    <w:rPr>
                      <w:noProof/>
                      <w:lang w:eastAsia="fr-BE"/>
                    </w:rPr>
                    <mc:AlternateContent>
                      <mc:Choice Requires="wps">
                        <w:drawing>
                          <wp:anchor distT="0" distB="0" distL="114298" distR="114298" simplePos="0" relativeHeight="251992064" behindDoc="0" locked="0" layoutInCell="1" allowOverlap="1">
                            <wp:simplePos x="0" y="0"/>
                            <wp:positionH relativeFrom="column">
                              <wp:posOffset>1610359</wp:posOffset>
                            </wp:positionH>
                            <wp:positionV relativeFrom="paragraph">
                              <wp:posOffset>333375</wp:posOffset>
                            </wp:positionV>
                            <wp:extent cx="0" cy="186690"/>
                            <wp:effectExtent l="0" t="0" r="19050" b="21590"/>
                            <wp:wrapNone/>
                            <wp:docPr id="451" name="Connecteur droit avec flèch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3297D90" id="_x0000_t32" coordsize="21600,21600" o:spt="32" o:oned="t" path="m,l21600,21600e" filled="f">
                            <v:path arrowok="t" fillok="f" o:connecttype="none"/>
                            <o:lock v:ext="edit" shapetype="t"/>
                          </v:shapetype>
                          <v:shape id="Connecteur droit avec flèche 451" o:spid="_x0000_s1026" type="#_x0000_t32" style="position:absolute;margin-left:126.8pt;margin-top:26.25pt;width:0;height:14.7pt;z-index:2519920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"/>
                        </w:pict>
                      </mc:Fallback>
                    </mc:AlternateContent>
                  </w:r>
                  <w:r>
                    <w:rPr>
                      <w:noProof/>
                      <w:lang w:eastAsia="fr-BE"/>
                    </w:rPr>
                    <mc:AlternateContent>
                      <mc:Choice Requires="wps">
                        <w:drawing>
                          <wp:anchor distT="45720" distB="45720" distL="114300" distR="114300" simplePos="0" relativeHeight="251991040" behindDoc="0" locked="0" layoutInCell="1" allowOverlap="1">
                            <wp:simplePos x="0" y="0"/>
                            <wp:positionH relativeFrom="column">
                              <wp:posOffset>487045</wp:posOffset>
                            </wp:positionH>
                            <wp:positionV relativeFrom="paragraph">
                              <wp:posOffset>96520</wp:posOffset>
                            </wp:positionV>
                            <wp:extent cx="471805" cy="236855"/>
                            <wp:effectExtent l="0" t="0" r="0" b="0"/>
                            <wp:wrapNone/>
                            <wp:docPr id="450" name="Zone de texte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15/11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0" o:spid="_x0000_s1056" type="#_x0000_t202" style="position:absolute;margin-left:38.35pt;margin-top:7.6pt;width:37.15pt;height:18.65pt;z-index:25199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" filled="f" stroked="f">
                            <v:textbox>
                              <w:txbxContent>
                                <w:p>
                                  <w:r>
                                    <w:t>15/11</w:t>
                                  </w:r>
                                </w:p>
                              </w:txbxContent>
                            </v:textbox>
                          </v:shape>
                        </w:pict>
                      </mc:Fallback>
                    </mc:AlternateContent>
                  </w:r>
                  <w:r>
                    <w:rPr>
                      <w:noProof/>
                      <w:lang w:eastAsia="fr-BE"/>
                    </w:rPr>
                    <mc:AlternateContent>
                      <mc:Choice Requires="wps">
                        <w:drawing>
                          <wp:anchor distT="4294967294" distB="4294967294" distL="114300" distR="114300" simplePos="0" relativeHeight="251988992" behindDoc="0" locked="0" layoutInCell="1" allowOverlap="1">
                            <wp:simplePos x="0" y="0"/>
                            <wp:positionH relativeFrom="column">
                              <wp:posOffset>1905</wp:posOffset>
                            </wp:positionH>
                            <wp:positionV relativeFrom="paragraph">
                              <wp:posOffset>523239</wp:posOffset>
                            </wp:positionV>
                            <wp:extent cx="5723255" cy="0"/>
                            <wp:effectExtent l="38100" t="38100" r="52705" b="57150"/>
                            <wp:wrapNone/>
                            <wp:docPr id="449" name="Connecteur droit avec flèch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255" cy="0"/>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618742" id="Connecteur droit avec flèche 449" o:spid="_x0000_s1026" type="#_x0000_t32" style="position:absolute;margin-left:.15pt;margin-top:41.2pt;width:450.65pt;height:0;z-index:2519889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" strokeweight="1pt">
                            <v:stroke startarrow="oval" endarrow="oval"/>
                          </v:shape>
                        </w:pict>
                      </mc:Fallback>
                    </mc:AlternateContent>
                  </w:r>
                  <w:r>
                    <w:rPr>
                      <w:noProof/>
                      <w:lang w:eastAsia="fr-BE"/>
                    </w:rPr>
                    <mc:AlternateContent>
                      <mc:Choice Requires="wps">
                        <w:drawing>
                          <wp:anchor distT="0" distB="0" distL="114298" distR="114298" simplePos="0" relativeHeight="251990016" behindDoc="0" locked="0" layoutInCell="1" allowOverlap="1">
                            <wp:simplePos x="0" y="0"/>
                            <wp:positionH relativeFrom="column">
                              <wp:posOffset>721359</wp:posOffset>
                            </wp:positionH>
                            <wp:positionV relativeFrom="paragraph">
                              <wp:posOffset>344170</wp:posOffset>
                            </wp:positionV>
                            <wp:extent cx="0" cy="186690"/>
                            <wp:effectExtent l="0" t="0" r="19050" b="2159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2AE2E4" id="Connecteur droit avec flèche 29" o:spid="_x0000_s1026" type="#_x0000_t32" style="position:absolute;margin-left:56.8pt;margin-top:27.1pt;width:0;height:14.7pt;z-index:2519900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"/>
                        </w:pict>
                      </mc:Fallback>
                    </mc:AlternateContent>
                  </w:r>
                </w:p>
                <w:p w:rsidR="00F04EEF" w:rsidRDefault="0099351E">
                  <w:pPr>
                    <w:pBdr>
                      <w:right w:val="single" w:sz="18" w:space="1" w:color="auto"/>
                    </w:pBdr>
                    <w:tabs>
                      <w:tab w:val="left" w:pos="2410"/>
                      <w:tab w:val="left" w:pos="2552"/>
                      <w:tab w:val="left" w:pos="2835"/>
                    </w:tabs>
                  </w:pPr>
                  <w:r>
                    <w:rPr>
                      <w:noProof/>
                      <w:lang w:eastAsia="fr-BE"/>
                    </w:rPr>
                    <mc:AlternateContent>
                      <mc:Choice Requires="wps">
                        <w:drawing>
                          <wp:anchor distT="45720" distB="45720" distL="114300" distR="114300" simplePos="0" relativeHeight="251996160" behindDoc="0" locked="0" layoutInCell="1" allowOverlap="1">
                            <wp:simplePos x="0" y="0"/>
                            <wp:positionH relativeFrom="column">
                              <wp:posOffset>5295265</wp:posOffset>
                            </wp:positionH>
                            <wp:positionV relativeFrom="paragraph">
                              <wp:posOffset>1905</wp:posOffset>
                            </wp:positionV>
                            <wp:extent cx="471805" cy="236855"/>
                            <wp:effectExtent l="0" t="0" r="0" b="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jc w:val="right"/>
                                        </w:pPr>
                                        <w:r>
                                          <w:t>30/6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8" o:spid="_x0000_s1057" type="#_x0000_t202" style="position:absolute;margin-left:416.95pt;margin-top:.15pt;width:37.15pt;height:18.65pt;z-index:25199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" filled="f" stroked="f">
                            <v:textbox>
                              <w:txbxContent>
                                <w:p>
                                  <w:pPr>
                                    <w:jc w:val="right"/>
                                  </w:pPr>
                                  <w:r>
                                    <w:t>30/6</w:t>
                                  </w:r>
                                </w:p>
                              </w:txbxContent>
                            </v:textbox>
                          </v:shape>
                        </w:pict>
                      </mc:Fallback>
                    </mc:AlternateContent>
                  </w:r>
                  <w:r>
                    <w:rPr>
                      <w:noProof/>
                      <w:lang w:eastAsia="fr-BE"/>
                    </w:rPr>
                    <mc:AlternateContent>
                      <mc:Choice Requires="wps">
                        <w:drawing>
                          <wp:anchor distT="0" distB="0" distL="114298" distR="114298" simplePos="0" relativeHeight="251994112" behindDoc="0" locked="0" layoutInCell="1" allowOverlap="1">
                            <wp:simplePos x="0" y="0"/>
                            <wp:positionH relativeFrom="column">
                              <wp:posOffset>2368549</wp:posOffset>
                            </wp:positionH>
                            <wp:positionV relativeFrom="paragraph">
                              <wp:posOffset>154305</wp:posOffset>
                            </wp:positionV>
                            <wp:extent cx="0" cy="186690"/>
                            <wp:effectExtent l="0" t="0" r="19050" b="2159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80F965" id="Connecteur droit avec flèche 27" o:spid="_x0000_s1026" type="#_x0000_t32" style="position:absolute;margin-left:186.5pt;margin-top:12.15pt;width:0;height:14.7pt;z-index:2519941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"/>
                        </w:pict>
                      </mc:Fallback>
                    </mc:AlternateContent>
                  </w:r>
                </w:p>
                <w:p w:rsidR="00F04EEF" w:rsidRDefault="00F04EEF">
                  <w:pPr>
                    <w:tabs>
                      <w:tab w:val="left" w:pos="2410"/>
                      <w:tab w:val="left" w:pos="2552"/>
                      <w:tab w:val="left" w:pos="2835"/>
                    </w:tabs>
                  </w:pPr>
                </w:p>
                <w:p w:rsidR="00F04EEF" w:rsidRDefault="0099351E">
                  <w:pPr>
                    <w:tabs>
                      <w:tab w:val="left" w:pos="2410"/>
                      <w:tab w:val="left" w:pos="2552"/>
                      <w:tab w:val="left" w:pos="2835"/>
                    </w:tabs>
                  </w:pPr>
                  <w:r>
                    <w:rPr>
                      <w:noProof/>
                      <w:lang w:eastAsia="fr-BE"/>
                    </w:rPr>
                    <mc:AlternateContent>
                      <mc:Choice Requires="wps">
                        <w:drawing>
                          <wp:anchor distT="0" distB="0" distL="114298" distR="114298" simplePos="0" relativeHeight="251997184" behindDoc="0" locked="0" layoutInCell="1" allowOverlap="1">
                            <wp:simplePos x="0" y="0"/>
                            <wp:positionH relativeFrom="column">
                              <wp:posOffset>1242059</wp:posOffset>
                            </wp:positionH>
                            <wp:positionV relativeFrom="paragraph">
                              <wp:posOffset>19050</wp:posOffset>
                            </wp:positionV>
                            <wp:extent cx="0" cy="230505"/>
                            <wp:effectExtent l="76200" t="0" r="57150" b="52705"/>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40F887" id="Connecteur droit avec flèche 26" o:spid="_x0000_s1026" type="#_x0000_t32" style="position:absolute;margin-left:97.8pt;margin-top:1.5pt;width:0;height:18.15pt;z-index:2519971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">
                            <v:stroke endarrow="block"/>
                          </v:shape>
                        </w:pict>
                      </mc:Fallback>
                    </mc:AlternateContent>
                  </w:r>
                </w:p>
                <w:p w:rsidR="00F04EEF" w:rsidRDefault="0099351E">
                  <w:pPr>
                    <w:tabs>
                      <w:tab w:val="left" w:pos="2410"/>
                      <w:tab w:val="left" w:pos="2552"/>
                      <w:tab w:val="left" w:pos="2835"/>
                    </w:tabs>
                  </w:pPr>
                  <w:r>
                    <w:rPr>
                      <w:noProof/>
                      <w:lang w:eastAsia="fr-BE"/>
                    </w:rPr>
                    <mc:AlternateContent>
                      <mc:Choice Requires="wps">
                        <w:drawing>
                          <wp:anchor distT="45720" distB="45720" distL="114300" distR="114300" simplePos="0" relativeHeight="251998208" behindDoc="0" locked="0" layoutInCell="1" allowOverlap="1">
                            <wp:simplePos x="0" y="0"/>
                            <wp:positionH relativeFrom="column">
                              <wp:posOffset>1052195</wp:posOffset>
                            </wp:positionH>
                            <wp:positionV relativeFrom="paragraph">
                              <wp:posOffset>62230</wp:posOffset>
                            </wp:positionV>
                            <wp:extent cx="471805" cy="236855"/>
                            <wp:effectExtent l="0" t="0" r="0" b="0"/>
                            <wp:wrapNone/>
                            <wp:docPr id="25"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5" o:spid="_x0000_s1058" type="#_x0000_t202" style="position:absolute;margin-left:82.85pt;margin-top:4.9pt;width:37.15pt;height:18.65pt;z-index:25199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" filled="f" stroked="f">
                            <v:textbox>
                              <w:txbxContent>
                                <w:p>
                                  <w:r>
                                    <w:t>1/7</w:t>
                                  </w:r>
                                </w:p>
                              </w:txbxContent>
                            </v:textbox>
                          </v:shape>
                        </w:pict>
                      </mc:Fallback>
                    </mc:AlternateContent>
                  </w:r>
                </w:p>
                <w:p w:rsidR="00F04EEF" w:rsidRDefault="00F04EEF">
                  <w:pPr>
                    <w:tabs>
                      <w:tab w:val="left" w:pos="2410"/>
                      <w:tab w:val="left" w:pos="2552"/>
                      <w:tab w:val="left" w:pos="2835"/>
                    </w:tabs>
                  </w:pPr>
                </w:p>
                <w:p w:rsidR="00F04EEF" w:rsidRDefault="00F04EEF">
                  <w:pPr>
                    <w:tabs>
                      <w:tab w:val="left" w:pos="2410"/>
                      <w:tab w:val="left" w:pos="2552"/>
                      <w:tab w:val="left" w:pos="2835"/>
                    </w:tabs>
                  </w:pPr>
                </w:p>
                <w:p w:rsidR="00F04EEF" w:rsidRDefault="0099351E">
                  <w:pPr>
                    <w:tabs>
                      <w:tab w:val="left" w:pos="2410"/>
                      <w:tab w:val="left" w:pos="2552"/>
                      <w:tab w:val="left" w:pos="2835"/>
                      <w:tab w:val="left" w:pos="3686"/>
                    </w:tabs>
                  </w:pPr>
                  <w:r>
                    <w:rPr>
                      <w:u w:val="single"/>
                    </w:rPr>
                    <w:t>Type 5</w:t>
                  </w:r>
                  <w:r>
                    <w:t> :</w:t>
                  </w:r>
                </w:p>
                <w:p w:rsidR="00F04EEF" w:rsidRDefault="0099351E">
                  <w:pPr>
                    <w:pBdr>
                      <w:right w:val="single" w:sz="18" w:space="1" w:color="auto"/>
                    </w:pBdr>
                    <w:tabs>
                      <w:tab w:val="left" w:pos="2410"/>
                      <w:tab w:val="left" w:pos="2552"/>
                      <w:tab w:val="left" w:pos="2835"/>
                      <w:tab w:val="left" w:pos="3686"/>
                    </w:tabs>
                  </w:pPr>
                  <w:r>
                    <w:rPr>
                      <w:noProof/>
                      <w:lang w:eastAsia="fr-BE"/>
                    </w:rPr>
                    <mc:AlternateContent>
                      <mc:Choice Requires="wpg">
                        <w:drawing>
                          <wp:anchor distT="0" distB="0" distL="114300" distR="114300" simplePos="0" relativeHeight="252001280" behindDoc="0" locked="0" layoutInCell="1" allowOverlap="1">
                            <wp:simplePos x="0" y="0"/>
                            <wp:positionH relativeFrom="column">
                              <wp:posOffset>33655</wp:posOffset>
                            </wp:positionH>
                            <wp:positionV relativeFrom="paragraph">
                              <wp:posOffset>78105</wp:posOffset>
                            </wp:positionV>
                            <wp:extent cx="5735955" cy="1081405"/>
                            <wp:effectExtent l="62230" t="1905" r="50165" b="2540"/>
                            <wp:wrapNone/>
                            <wp:docPr id="7"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5955" cy="1081405"/>
                                      <a:chOff x="1466" y="5297"/>
                                      <a:chExt cx="9033" cy="1703"/>
                                    </a:xfrm>
                                  </wpg:grpSpPr>
                                  <wps:wsp>
                                    <wps:cNvPr id="8" name="AutoShape 36"/>
                                    <wps:cNvCnPr>
                                      <a:cxnSpLocks noChangeShapeType="1"/>
                                    </wps:cNvCnPr>
                                    <wps:spPr bwMode="auto">
                                      <a:xfrm>
                                        <a:off x="1466" y="6246"/>
                                        <a:ext cx="9013" cy="1"/>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10" name="AutoShape 17"/>
                                    <wps:cNvCnPr>
                                      <a:cxnSpLocks noChangeShapeType="1"/>
                                    </wps:cNvCnPr>
                                    <wps:spPr bwMode="auto">
                                      <a:xfrm>
                                        <a:off x="3999" y="5947"/>
                                        <a:ext cx="0" cy="2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38"/>
                                    <wps:cNvSpPr txBox="1">
                                      <a:spLocks noChangeArrowheads="1"/>
                                    </wps:cNvSpPr>
                                    <wps:spPr bwMode="auto">
                                      <a:xfrm>
                                        <a:off x="3682" y="5561"/>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1/9</w:t>
                                          </w:r>
                                        </w:p>
                                      </w:txbxContent>
                                    </wps:txbx>
                                    <wps:bodyPr rot="0" vert="horz" wrap="square" lIns="91440" tIns="45720" rIns="91440" bIns="45720" anchor="t" anchorCtr="0" upright="1">
                                      <a:noAutofit/>
                                    </wps:bodyPr>
                                  </wps:wsp>
                                  <wps:wsp>
                                    <wps:cNvPr id="17" name="AutoShape 30"/>
                                    <wps:cNvCnPr>
                                      <a:cxnSpLocks noChangeShapeType="1"/>
                                    </wps:cNvCnPr>
                                    <wps:spPr bwMode="auto">
                                      <a:xfrm>
                                        <a:off x="5161" y="5947"/>
                                        <a:ext cx="0" cy="2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40"/>
                                    <wps:cNvSpPr txBox="1">
                                      <a:spLocks noChangeArrowheads="1"/>
                                    </wps:cNvSpPr>
                                    <wps:spPr bwMode="auto">
                                      <a:xfrm>
                                        <a:off x="4901" y="5297"/>
                                        <a:ext cx="750"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30/9</w:t>
                                          </w:r>
                                        </w:p>
                                      </w:txbxContent>
                                    </wps:txbx>
                                    <wps:bodyPr rot="0" vert="horz" wrap="square" lIns="91440" tIns="45720" rIns="91440" bIns="45720" anchor="t" anchorCtr="0" upright="1">
                                      <a:noAutofit/>
                                    </wps:bodyPr>
                                  </wps:wsp>
                                  <wps:wsp>
                                    <wps:cNvPr id="19" name="Text Box 41"/>
                                    <wps:cNvSpPr txBox="1">
                                      <a:spLocks noChangeArrowheads="1"/>
                                    </wps:cNvSpPr>
                                    <wps:spPr bwMode="auto">
                                      <a:xfrm>
                                        <a:off x="9756" y="5694"/>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jc w:val="right"/>
                                          </w:pPr>
                                          <w:r>
                                            <w:t>30/6</w:t>
                                          </w:r>
                                        </w:p>
                                      </w:txbxContent>
                                    </wps:txbx>
                                    <wps:bodyPr rot="0" vert="horz" wrap="square" lIns="91440" tIns="45720" rIns="91440" bIns="45720" anchor="t" anchorCtr="0" upright="1">
                                      <a:noAutofit/>
                                    </wps:bodyPr>
                                  </wps:wsp>
                                  <wps:wsp>
                                    <wps:cNvPr id="20" name="Text Box 42"/>
                                    <wps:cNvSpPr txBox="1">
                                      <a:spLocks noChangeArrowheads="1"/>
                                    </wps:cNvSpPr>
                                    <wps:spPr bwMode="auto">
                                      <a:xfrm>
                                        <a:off x="1712" y="5775"/>
                                        <a:ext cx="2077" cy="4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Moyenne année -1</w:t>
                                          </w:r>
                                        </w:p>
                                      </w:txbxContent>
                                    </wps:txbx>
                                    <wps:bodyPr rot="0" vert="horz" wrap="square" lIns="91440" tIns="45720" rIns="91440" bIns="45720" anchor="t" anchorCtr="0" upright="1">
                                      <a:spAutoFit/>
                                    </wps:bodyPr>
                                  </wps:wsp>
                                  <wps:wsp>
                                    <wps:cNvPr id="21" name="AutoShape 38"/>
                                    <wps:cNvCnPr>
                                      <a:cxnSpLocks noChangeShapeType="1"/>
                                    </wps:cNvCnPr>
                                    <wps:spPr bwMode="auto">
                                      <a:xfrm>
                                        <a:off x="3463" y="6264"/>
                                        <a:ext cx="0"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Text Box 44"/>
                                    <wps:cNvSpPr txBox="1">
                                      <a:spLocks noChangeArrowheads="1"/>
                                    </wps:cNvSpPr>
                                    <wps:spPr bwMode="auto">
                                      <a:xfrm>
                                        <a:off x="3138" y="6627"/>
                                        <a:ext cx="743"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1/7</w:t>
                                          </w:r>
                                        </w:p>
                                      </w:txbxContent>
                                    </wps:txbx>
                                    <wps:bodyPr rot="0" vert="horz" wrap="square" lIns="91440" tIns="45720" rIns="91440" bIns="45720" anchor="t" anchorCtr="0" upright="1">
                                      <a:noAutofit/>
                                    </wps:bodyPr>
                                  </wps:wsp>
                                  <wps:wsp>
                                    <wps:cNvPr id="23" name="Text Box 45"/>
                                    <wps:cNvSpPr txBox="1">
                                      <a:spLocks noChangeArrowheads="1"/>
                                    </wps:cNvSpPr>
                                    <wps:spPr bwMode="auto">
                                      <a:xfrm>
                                        <a:off x="7066" y="5519"/>
                                        <a:ext cx="952"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rPr>
                                              <w:b/>
                                              <w:color w:val="FF0000"/>
                                            </w:rPr>
                                          </w:pPr>
                                          <w:r>
                                            <w:rPr>
                                              <w:b/>
                                              <w:color w:val="FF0000"/>
                                            </w:rPr>
                                            <w:t>20 élèves</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e 4" o:spid="_x0000_s1059" style="position:absolute;margin-left:2.65pt;margin-top:6.15pt;width:451.65pt;height:85.15pt;z-index:252001280" coordorigin="1466,5297" coordsize="9033,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">
                            <v:shapetype id="_x0000_t32" coordsize="21600,21600" o:spt="32" o:oned="t" path="m,l21600,21600e" filled="f">
                              <v:path arrowok="t" fillok="f" o:connecttype="none"/>
                              <o:lock v:ext="edit" shapetype="t"/>
                            </v:shapetype>
                            <v:shape id="AutoShape 36" o:spid="_x0000_s1060" type="#_x0000_t32" style="position:absolute;left:1466;top:6246;width:901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dCjbsAAADaAAAADwAAAGRycy9kb3ducmV2LnhtbERPSwrCMBDdC94hjOBOUxVFqlFEEBTc&#10;+AG3YzM2xWZSmqjV05uF4PLx/vNlY0vxpNoXjhUM+gkI4szpgnMF59OmNwXhA7LG0jEpeJOH5aLd&#10;mmOq3YsP9DyGXMQQ9ikqMCFUqZQ+M2TR911FHLmbqy2GCOtc6hpfMdyWcpgkE2mx4NhgsKK1oex+&#10;fFgFSPKyHhXn8afcDa7G22k+3u2V6naa1QxEoCb8xT/3ViuIW+OVeAPk4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ip0KNuwAAANoAAAAPAAAAAAAAAAAAAAAAAKECAABk&#10;cnMvZG93bnJldi54bWxQSwUGAAAAAAQABAD5AAAAiQMAAAAA&#10;" strokeweight="1pt">
                              <v:stroke startarrow="oval" endarrow="oval"/>
                            </v:shape>
                            <v:shape id="AutoShape 17" o:spid="_x0000_s1061" type="#_x0000_t32" style="position:absolute;left:3999;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KvcUAAADbAAAADwAAAGRycy9kb3ducmV2LnhtbESPQWsCMRCF74X+hzCFXkrNKlhka5Rt&#10;QVDBg9rep5vpJnQz2W6ibv+9cxB6m+G9ee+b+XIIrTpTn3xkA+NRAYq4jtZzY+DjuHqegUoZ2WIb&#10;mQz8UYLl4v5ujqWNF97T+ZAbJSGcSjTgcu5KrVPtKGAaxY5YtO/YB8yy9o22PV4kPLR6UhQvOqBn&#10;aXDY0buj+udwCgZ2m/Fb9eX8Zrv/9bvpqmpPzdOnMY8PQ/UKKtOQ/82367UVfKGX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mKvcUAAADbAAAADwAAAAAAAAAA&#10;AAAAAAChAgAAZHJzL2Rvd25yZXYueG1sUEsFBgAAAAAEAAQA+QAAAJMDAAAAAA==&#10;"/>
                            <v:shape id="Text Box 38" o:spid="_x0000_s1062" type="#_x0000_t202" style="position:absolute;left:3682;top:5561;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
                                      <w:t>1/9</w:t>
                                    </w:r>
                                  </w:p>
                                </w:txbxContent>
                              </v:textbox>
                            </v:shape>
                            <v:shape id="AutoShape 30" o:spid="_x0000_s1063" type="#_x0000_t32" style="position:absolute;left:5161;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shape id="Text Box 40" o:spid="_x0000_s1064" type="#_x0000_t202" style="position:absolute;left:4901;top:5297;width:750;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
                                      <w:t>30/9</w:t>
                                    </w:r>
                                  </w:p>
                                </w:txbxContent>
                              </v:textbox>
                            </v:shape>
                            <v:shape id="Text Box 41" o:spid="_x0000_s1065" type="#_x0000_t202" style="position:absolute;left:9756;top:5694;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pPr>
                                      <w:jc w:val="right"/>
                                    </w:pPr>
                                    <w:r>
                                      <w:t>30/6</w:t>
                                    </w:r>
                                  </w:p>
                                </w:txbxContent>
                              </v:textbox>
                            </v:shape>
                            <v:shape id="Text Box 42" o:spid="_x0000_s1066" type="#_x0000_t202" style="position:absolute;left:1712;top:5775;width:2077;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a78A&#10;AADbAAAADwAAAGRycy9kb3ducmV2LnhtbERPTWvCQBC9F/wPywje6kZBKdFVRCgU8aC2hx6H7JiN&#10;yc7G7Krx3zuHQo+P971c975Rd+piFdjAZJyBIi6Crbg08PP9+f4BKiZki01gMvCkCOvV4G2JuQ0P&#10;PtL9lEolIRxzNOBSanOtY+HIYxyHlli4c+g8JoFdqW2HDwn3jZ5m2Vx7rFgaHLa0dVTUp5uXkn0s&#10;bsdwvUz2tf519RxnB7czZjTsNwtQifr0L/5zf1kDU1kvX+QH6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dC1rvwAAANsAAAAPAAAAAAAAAAAAAAAAAJgCAABkcnMvZG93bnJl&#10;di54bWxQSwUGAAAAAAQABAD1AAAAhAMAAAAA&#10;" stroked="f">
                              <v:textbox style="mso-fit-shape-to-text:t">
                                <w:txbxContent>
                                  <w:p>
                                    <w:r>
                                      <w:t>Moyenne année -1</w:t>
                                    </w:r>
                                  </w:p>
                                </w:txbxContent>
                              </v:textbox>
                            </v:shape>
                            <v:shape id="AutoShape 38" o:spid="_x0000_s1067" type="#_x0000_t32" style="position:absolute;left:3463;top:6264;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GHX8QAAADbAAAADwAAAGRycy9kb3ducmV2LnhtbESPQWvCQBSE74L/YXlCb2YTD6VGVymC&#10;pSg9VCXY2yP7moRm34bdVaO/visIHoeZ+YaZL3vTijM531hWkCUpCOLS6oYrBYf9evwGwgdkja1l&#10;UnAlD8vFcDDHXNsLf9N5FyoRIexzVFCH0OVS+rImgz6xHXH0fq0zGKJ0ldQOLxFuWjlJ01dpsOG4&#10;UGNHq5rKv93JKDhup6fiWnzRpsimmx90xt/2H0q9jPr3GYhAfXiGH+1PrWCSwf1L/AF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YdfxAAAANsAAAAPAAAAAAAAAAAA&#10;AAAAAKECAABkcnMvZG93bnJldi54bWxQSwUGAAAAAAQABAD5AAAAkgMAAAAA&#10;">
                              <v:stroke endarrow="block"/>
                            </v:shape>
                            <v:shape id="Text Box 44" o:spid="_x0000_s1068" type="#_x0000_t202" style="position:absolute;left:3138;top:6627;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
                                      <w:t>1/7</w:t>
                                    </w:r>
                                  </w:p>
                                </w:txbxContent>
                              </v:textbox>
                            </v:shape>
                            <v:shape id="Text Box 45" o:spid="_x0000_s1069" type="#_x0000_t202" style="position:absolute;left:7066;top:5519;width:952;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0z8sIA&#10;AADbAAAADwAAAGRycy9kb3ducmV2LnhtbESPT2vCQBTE7wW/w/IKvdWNl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TPywgAAANsAAAAPAAAAAAAAAAAAAAAAAJgCAABkcnMvZG93&#10;bnJldi54bWxQSwUGAAAAAAQABAD1AAAAhwMAAAAA&#10;" filled="f" stroked="f">
                              <v:textbox style="mso-fit-shape-to-text:t">
                                <w:txbxContent>
                                  <w:p>
                                    <w:pPr>
                                      <w:rPr>
                                        <w:b/>
                                        <w:color w:val="FF0000"/>
                                      </w:rPr>
                                    </w:pPr>
                                    <w:r>
                                      <w:rPr>
                                        <w:b/>
                                        <w:color w:val="FF0000"/>
                                      </w:rPr>
                                      <w:t>20 élèves</w:t>
                                    </w:r>
                                  </w:p>
                                </w:txbxContent>
                              </v:textbox>
                            </v:shape>
                          </v:group>
                        </w:pict>
                      </mc:Fallback>
                    </mc:AlternateContent>
                  </w:r>
                </w:p>
                <w:p w:rsidR="00F04EEF" w:rsidRDefault="0099351E">
                  <w:pPr>
                    <w:pBdr>
                      <w:right w:val="single" w:sz="18" w:space="1" w:color="auto"/>
                    </w:pBdr>
                    <w:tabs>
                      <w:tab w:val="left" w:pos="2410"/>
                      <w:tab w:val="left" w:pos="2552"/>
                      <w:tab w:val="left" w:pos="2835"/>
                      <w:tab w:val="left" w:pos="3686"/>
                    </w:tabs>
                  </w:pPr>
                  <w:r>
                    <w:rPr>
                      <w:noProof/>
                      <w:lang w:eastAsia="fr-BE"/>
                    </w:rPr>
                    <mc:AlternateContent>
                      <mc:Choice Requires="wps">
                        <w:drawing>
                          <wp:anchor distT="45720" distB="45720" distL="114300" distR="114300" simplePos="0" relativeHeight="252000256" behindDoc="0" locked="0" layoutInCell="1" allowOverlap="1">
                            <wp:simplePos x="0" y="0"/>
                            <wp:positionH relativeFrom="column">
                              <wp:posOffset>1699895</wp:posOffset>
                            </wp:positionH>
                            <wp:positionV relativeFrom="paragraph">
                              <wp:posOffset>12700</wp:posOffset>
                            </wp:positionV>
                            <wp:extent cx="633095" cy="451485"/>
                            <wp:effectExtent l="0" t="0" r="0" b="0"/>
                            <wp:wrapSquare wrapText="bothSides"/>
                            <wp:docPr id="6"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45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3" o:spid="_x0000_s1070" type="#_x0000_t202" style="position:absolute;margin-left:133.85pt;margin-top:1pt;width:49.85pt;height:35.55pt;z-index:252000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" filled="f" stroked="f">
                            <v:textbox>
                              <w:txbxContent>
                                <w:p>
                                  <w:pPr>
                                    <w:rPr>
                                      <w:b/>
                                      <w:color w:val="FF0000"/>
                                    </w:rPr>
                                  </w:pPr>
                                  <w:r>
                                    <w:rPr>
                                      <w:b/>
                                      <w:color w:val="FF0000"/>
                                    </w:rPr>
                                    <w:t>20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9232" behindDoc="0" locked="0" layoutInCell="1" allowOverlap="1">
                            <wp:simplePos x="0" y="0"/>
                            <wp:positionH relativeFrom="column">
                              <wp:posOffset>300355</wp:posOffset>
                            </wp:positionH>
                            <wp:positionV relativeFrom="paragraph">
                              <wp:posOffset>12700</wp:posOffset>
                            </wp:positionV>
                            <wp:extent cx="762000" cy="432435"/>
                            <wp:effectExtent l="0" t="0" r="0" b="7620"/>
                            <wp:wrapSquare wrapText="bothSides"/>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32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 o:spid="_x0000_s1071" type="#_x0000_t202" style="position:absolute;margin-left:23.65pt;margin-top:1pt;width:60pt;height:34.05pt;z-index:25199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" filled="f" stroked="f">
                            <v:textbox>
                              <w:txbxContent>
                                <w:p>
                                  <w:pPr>
                                    <w:rPr>
                                      <w:b/>
                                      <w:color w:val="FF0000"/>
                                    </w:rPr>
                                  </w:pPr>
                                  <w:r>
                                    <w:rPr>
                                      <w:b/>
                                      <w:color w:val="FF0000"/>
                                    </w:rPr>
                                    <w:t>20 élèves</w:t>
                                  </w:r>
                                </w:p>
                              </w:txbxContent>
                            </v:textbox>
                            <w10:wrap type="square"/>
                          </v:shape>
                        </w:pict>
                      </mc:Fallback>
                    </mc:AlternateContent>
                  </w:r>
                </w:p>
                <w:p w:rsidR="00F04EEF" w:rsidRDefault="00F04EEF">
                  <w:pPr>
                    <w:pBdr>
                      <w:right w:val="single" w:sz="18" w:space="1" w:color="auto"/>
                    </w:pBdr>
                    <w:tabs>
                      <w:tab w:val="left" w:pos="2410"/>
                      <w:tab w:val="left" w:pos="2552"/>
                      <w:tab w:val="left" w:pos="2835"/>
                      <w:tab w:val="left" w:pos="3686"/>
                    </w:tabs>
                  </w:pPr>
                </w:p>
                <w:p w:rsidR="00F04EEF" w:rsidRDefault="00F04EEF">
                  <w:pPr>
                    <w:tabs>
                      <w:tab w:val="left" w:pos="2410"/>
                      <w:tab w:val="left" w:pos="2552"/>
                      <w:tab w:val="left" w:pos="2835"/>
                      <w:tab w:val="left" w:pos="3686"/>
                    </w:tabs>
                  </w:pPr>
                </w:p>
                <w:p w:rsidR="00F04EEF" w:rsidRDefault="00F04EEF">
                  <w:pPr>
                    <w:tabs>
                      <w:tab w:val="left" w:pos="2410"/>
                      <w:tab w:val="left" w:pos="2552"/>
                      <w:tab w:val="left" w:pos="2835"/>
                      <w:tab w:val="left" w:pos="3686"/>
                    </w:tabs>
                  </w:pPr>
                </w:p>
                <w:p w:rsidR="00F04EEF" w:rsidRDefault="00F04EEF">
                  <w:pPr>
                    <w:tabs>
                      <w:tab w:val="left" w:pos="2410"/>
                      <w:tab w:val="left" w:pos="2552"/>
                      <w:tab w:val="left" w:pos="2835"/>
                      <w:tab w:val="left" w:pos="3686"/>
                    </w:tabs>
                  </w:pPr>
                </w:p>
                <w:p w:rsidR="00F04EEF" w:rsidRDefault="00F04EEF">
                  <w:pPr>
                    <w:tabs>
                      <w:tab w:val="left" w:pos="2410"/>
                      <w:tab w:val="left" w:pos="2552"/>
                      <w:tab w:val="left" w:pos="2835"/>
                      <w:tab w:val="left" w:pos="3686"/>
                    </w:tabs>
                  </w:pPr>
                </w:p>
                <w:p w:rsidR="00F04EEF" w:rsidRDefault="00F04EEF">
                  <w:pPr>
                    <w:tabs>
                      <w:tab w:val="left" w:pos="2410"/>
                      <w:tab w:val="left" w:pos="2552"/>
                      <w:tab w:val="left" w:pos="2835"/>
                      <w:tab w:val="left" w:pos="3686"/>
                    </w:tabs>
                  </w:pPr>
                </w:p>
                <w:p w:rsidR="00F04EEF" w:rsidRDefault="0099351E">
                  <w:pPr>
                    <w:tabs>
                      <w:tab w:val="left" w:pos="2410"/>
                      <w:tab w:val="left" w:pos="2552"/>
                      <w:tab w:val="left" w:pos="2835"/>
                      <w:tab w:val="left" w:pos="3686"/>
                    </w:tabs>
                    <w:rPr>
                      <w:u w:val="single"/>
                    </w:rPr>
                  </w:pPr>
                  <w:r>
                    <w:rPr>
                      <w:u w:val="single"/>
                    </w:rPr>
                    <w:t>Comptage pour le calcul du CPU :</w:t>
                  </w:r>
                </w:p>
                <w:p w:rsidR="00F04EEF" w:rsidRDefault="00F04EEF">
                  <w:pPr>
                    <w:tabs>
                      <w:tab w:val="left" w:pos="2410"/>
                      <w:tab w:val="left" w:pos="2552"/>
                      <w:tab w:val="left" w:pos="2835"/>
                      <w:tab w:val="left" w:pos="3686"/>
                    </w:tabs>
                  </w:pPr>
                </w:p>
                <w:p w:rsidR="00F04EEF" w:rsidRDefault="0099351E">
                  <w:pPr>
                    <w:numPr>
                      <w:ilvl w:val="0"/>
                      <w:numId w:val="295"/>
                    </w:numPr>
                    <w:tabs>
                      <w:tab w:val="left" w:pos="993"/>
                      <w:tab w:val="left" w:pos="2552"/>
                      <w:tab w:val="left" w:pos="2835"/>
                      <w:tab w:val="left" w:pos="3686"/>
                    </w:tabs>
                    <w:ind w:left="567" w:hanging="425"/>
                  </w:pPr>
                  <w:r>
                    <w:t>Une dépêche en juillet reprenant les chiffres du comptage au 15/1 et de la moyenne de l’année précédente. 100 + 20 = 120 élèves</w:t>
                  </w:r>
                </w:p>
                <w:p w:rsidR="00F04EEF" w:rsidRDefault="0099351E">
                  <w:pPr>
                    <w:numPr>
                      <w:ilvl w:val="0"/>
                      <w:numId w:val="295"/>
                    </w:numPr>
                    <w:tabs>
                      <w:tab w:val="left" w:pos="993"/>
                      <w:tab w:val="left" w:pos="2552"/>
                      <w:tab w:val="left" w:pos="2835"/>
                      <w:tab w:val="left" w:pos="3686"/>
                    </w:tabs>
                    <w:ind w:left="567" w:hanging="425"/>
                  </w:pPr>
                  <w:r>
                    <w:t>Une dépêche en octobre reprenant les chiffres du comptage au 30/09 (et la variation éventuelle) et de la moyenne de l’année précédente. 105 + 20 = 125 élèves</w:t>
                  </w:r>
                </w:p>
                <w:p w:rsidR="00F04EEF" w:rsidRDefault="0099351E">
                  <w:pPr>
                    <w:tabs>
                      <w:tab w:val="left" w:pos="993"/>
                      <w:tab w:val="left" w:pos="2552"/>
                      <w:tab w:val="left" w:pos="2835"/>
                      <w:tab w:val="left" w:pos="3686"/>
                    </w:tabs>
                  </w:pPr>
                  <w:r>
                    <w:t xml:space="preserve"> </w:t>
                  </w:r>
                </w:p>
                <w:p w:rsidR="00F04EEF" w:rsidRDefault="0099351E">
                  <w:r>
                    <w:br w:type="page"/>
                  </w:r>
                </w:p>
                <w:p w:rsidR="00F04EEF" w:rsidRDefault="0099351E">
                  <w:pPr>
                    <w:pStyle w:val="Titre2"/>
                  </w:pPr>
                  <w:bookmarkStart w:id="3000" w:name="_Chapitre_13_:"/>
                  <w:bookmarkStart w:id="3001" w:name="_Toc477623774"/>
                  <w:bookmarkStart w:id="3002" w:name="_Toc477767600"/>
                  <w:bookmarkStart w:id="3003" w:name="_Toc47708549"/>
                  <w:bookmarkEnd w:id="3000"/>
                  <w:r>
                    <w:t>Chapitre</w:t>
                  </w:r>
                  <w:bookmarkStart w:id="3004" w:name="_Toc477623775"/>
                  <w:bookmarkStart w:id="3005" w:name="_Toc477767601"/>
                  <w:bookmarkEnd w:id="3001"/>
                  <w:bookmarkEnd w:id="3002"/>
                  <w:r>
                    <w:t xml:space="preserve"> 13 : Intégrations</w:t>
                  </w:r>
                  <w:bookmarkEnd w:id="3004"/>
                  <w:bookmarkEnd w:id="3005"/>
                  <w:bookmarkEnd w:id="3003"/>
                </w:p>
                <w:p w:rsidR="00F04EEF" w:rsidRDefault="00F04EEF"/>
                <w:p w:rsidR="00F04EEF" w:rsidRDefault="00F04EEF"/>
                <w:p w:rsidR="00F04EEF" w:rsidRDefault="00F04EEF"/>
                <w:p w:rsidR="00F04EEF" w:rsidRDefault="00F04EEF"/>
                <w:p w:rsidR="00F04EEF" w:rsidRDefault="0099351E">
                  <w:pPr>
                    <w:pStyle w:val="Sansinterligne"/>
                    <w:rPr>
                      <w:rFonts w:asciiTheme="majorHAnsi" w:hAnsiTheme="majorHAnsi"/>
                      <w:b/>
                    </w:rPr>
                  </w:pPr>
                  <w:r>
                    <w:rPr>
                      <w:rFonts w:asciiTheme="majorHAnsi" w:hAnsiTheme="majorHAnsi"/>
                      <w:b/>
                      <w:u w:val="single"/>
                    </w:rPr>
                    <w:t>Remarque générale :</w:t>
                  </w:r>
                  <w:r>
                    <w:rPr>
                      <w:rFonts w:asciiTheme="majorHAnsi" w:hAnsiTheme="majorHAnsi"/>
                      <w:b/>
                    </w:rPr>
                    <w:t xml:space="preserve"> </w:t>
                  </w:r>
                </w:p>
                <w:p w:rsidR="00F04EEF" w:rsidRDefault="00F04EEF">
                  <w:pPr>
                    <w:pStyle w:val="Sansinterligne"/>
                    <w:rPr>
                      <w:rFonts w:asciiTheme="majorHAnsi" w:hAnsiTheme="majorHAnsi"/>
                      <w:b/>
                    </w:rPr>
                  </w:pPr>
                </w:p>
                <w:p w:rsidR="00F04EEF" w:rsidRDefault="0099351E">
                  <w:pPr>
                    <w:pStyle w:val="Sansinterligne"/>
                    <w:rPr>
                      <w:rFonts w:asciiTheme="majorHAnsi" w:hAnsiTheme="majorHAnsi"/>
                      <w:b/>
                    </w:rPr>
                  </w:pPr>
                  <w:r>
                    <w:rPr>
                      <w:rFonts w:asciiTheme="majorHAnsi" w:hAnsiTheme="majorHAnsi"/>
                      <w:b/>
                    </w:rPr>
                    <w:t>Toutes les intégrations doivent être encodées dans SIEL, ProEco et Creos …</w:t>
                  </w:r>
                </w:p>
                <w:p w:rsidR="00F04EEF" w:rsidRDefault="00F04EEF"/>
                <w:p w:rsidR="00F04EEF" w:rsidRDefault="0099351E">
                  <w:pPr>
                    <w:jc w:val="both"/>
                    <w:rPr>
                      <w:b/>
                      <w:u w:val="single"/>
                    </w:rPr>
                  </w:pPr>
                  <w:r>
                    <w:rPr>
                      <w:b/>
                      <w:u w:val="single"/>
                    </w:rPr>
                    <w:t>Bases légales:</w:t>
                  </w:r>
                </w:p>
                <w:p w:rsidR="00F04EEF" w:rsidRDefault="00F04EEF">
                  <w:pPr>
                    <w:jc w:val="both"/>
                  </w:pPr>
                </w:p>
                <w:p w:rsidR="00F04EEF" w:rsidRDefault="0099351E">
                  <w:pPr>
                    <w:numPr>
                      <w:ilvl w:val="0"/>
                      <w:numId w:val="50"/>
                    </w:numPr>
                    <w:suppressAutoHyphens/>
                    <w:jc w:val="both"/>
                  </w:pPr>
                  <w:r>
                    <w:rPr>
                      <w:rFonts w:cs="Arial"/>
                      <w:noProof/>
                      <w:color w:val="0000FF"/>
                      <w:u w:val="single"/>
                      <w:lang w:eastAsia="fr-BE"/>
                    </w:rPr>
                    <mc:AlternateContent>
                      <mc:Choice Requires="wps">
                        <w:drawing>
                          <wp:anchor distT="0" distB="0" distL="114300" distR="114300" simplePos="0" relativeHeight="252402688" behindDoc="0" locked="0" layoutInCell="1" allowOverlap="1">
                            <wp:simplePos x="0" y="0"/>
                            <wp:positionH relativeFrom="column">
                              <wp:posOffset>6229350</wp:posOffset>
                            </wp:positionH>
                            <wp:positionV relativeFrom="paragraph">
                              <wp:posOffset>149860</wp:posOffset>
                            </wp:positionV>
                            <wp:extent cx="0" cy="734785"/>
                            <wp:effectExtent l="0" t="0" r="19050" b="27305"/>
                            <wp:wrapNone/>
                            <wp:docPr id="5540" name="Connecteur droit 5540"/>
                            <wp:cNvGraphicFramePr/>
                            <a:graphic xmlns:a="http://schemas.openxmlformats.org/drawingml/2006/main">
                              <a:graphicData uri="http://schemas.microsoft.com/office/word/2010/wordprocessingShape">
                                <wps:wsp>
                                  <wps:cNvCnPr/>
                                  <wps:spPr>
                                    <a:xfrm>
                                      <a:off x="0" y="0"/>
                                      <a:ext cx="0" cy="734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5EE0221" id="Connecteur droit 5540" o:spid="_x0000_s1026" style="position:absolute;z-index:25240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5pt,11.8pt" to="490.5pt,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" strokecolor="black [3213]"/>
                        </w:pict>
                      </mc:Fallback>
                    </mc:AlternateContent>
                  </w:r>
                  <w:hyperlink r:id="rId197" w:history="1">
                    <w:r>
                      <w:rPr>
                        <w:rStyle w:val="Lienhypertexte"/>
                        <w:rFonts w:cs="Arial"/>
                      </w:rPr>
                      <w:t>Décret du 3 mars 2004 organisant l'Enseignement spécialisé</w:t>
                    </w:r>
                  </w:hyperlink>
                  <w:r>
                    <w:t xml:space="preserve">, </w:t>
                  </w:r>
                </w:p>
                <w:p w:rsidR="00F04EEF" w:rsidRDefault="00F42422">
                  <w:pPr>
                    <w:numPr>
                      <w:ilvl w:val="0"/>
                      <w:numId w:val="50"/>
                    </w:numPr>
                    <w:suppressAutoHyphens/>
                    <w:jc w:val="both"/>
                    <w:rPr>
                      <w:rStyle w:val="Lienhypertexte"/>
                      <w:rFonts w:cstheme="minorBidi"/>
                      <w:color w:val="auto"/>
                      <w:u w:val="none"/>
                    </w:rPr>
                  </w:pPr>
                  <w:hyperlink r:id="rId198" w:history="1">
                    <w:r w:rsidR="0099351E">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F04EEF" w:rsidRDefault="00F42422">
                  <w:pPr>
                    <w:numPr>
                      <w:ilvl w:val="0"/>
                      <w:numId w:val="50"/>
                    </w:numPr>
                    <w:suppressAutoHyphens/>
                    <w:jc w:val="both"/>
                    <w:rPr>
                      <w:rStyle w:val="Lienhypertexte"/>
                      <w:rFonts w:cstheme="minorBidi"/>
                      <w:color w:val="auto"/>
                      <w:u w:val="none"/>
                    </w:rPr>
                  </w:pPr>
                  <w:hyperlink r:id="rId199" w:history="1">
                    <w:r w:rsidR="0099351E">
                      <w:rPr>
                        <w:rStyle w:val="Lienhypertexte"/>
                        <w:rFonts w:cs="Arial"/>
                      </w:rPr>
                      <w:t>Décret du 24 juillet 1997 du décret définissant les missions prioritaires de l'enseignement fondamental et de l'enseignement secondaire et organisant les structures propres à les atteindre </w:t>
                    </w:r>
                  </w:hyperlink>
                  <w:r w:rsidR="0099351E">
                    <w:rPr>
                      <w:rFonts w:cs="Arial"/>
                    </w:rPr>
                    <w:t xml:space="preserve">; </w:t>
                  </w:r>
                </w:p>
                <w:p w:rsidR="00F04EEF" w:rsidRDefault="00F42422">
                  <w:pPr>
                    <w:numPr>
                      <w:ilvl w:val="0"/>
                      <w:numId w:val="50"/>
                    </w:numPr>
                    <w:suppressAutoHyphens/>
                    <w:jc w:val="both"/>
                  </w:pPr>
                  <w:hyperlink r:id="rId200" w:history="1">
                    <w:r w:rsidR="0099351E">
                      <w:rPr>
                        <w:rStyle w:val="Lienhypertexte"/>
                        <w:rFonts w:cstheme="minorBidi"/>
                      </w:rPr>
                      <w:t xml:space="preserve">Circulaire </w:t>
                    </w:r>
                    <w:r w:rsidR="0099351E">
                      <w:rPr>
                        <w:rStyle w:val="Lienhypertexte"/>
                        <w:rFonts w:cstheme="minorHAnsi"/>
                      </w:rPr>
                      <w:t>5948 du 5 novembre 2016 relative au f</w:t>
                    </w:r>
                    <w:r w:rsidR="0099351E">
                      <w:rPr>
                        <w:rStyle w:val="Lienhypertexte"/>
                        <w:rFonts w:cstheme="minorBidi"/>
                      </w:rPr>
                      <w:t>ormulaire électronique relatif au signalement des intégrations ainsi qu’aux demandes de dérogation(s) – FE intégration</w:t>
                    </w:r>
                  </w:hyperlink>
                  <w:r w:rsidR="0099351E">
                    <w:t>.</w:t>
                  </w:r>
                </w:p>
                <w:p w:rsidR="00F04EEF" w:rsidRDefault="0099351E">
                  <w:pPr>
                    <w:numPr>
                      <w:ilvl w:val="0"/>
                      <w:numId w:val="50"/>
                    </w:numPr>
                    <w:suppressAutoHyphens/>
                    <w:jc w:val="both"/>
                    <w:rPr>
                      <w:rStyle w:val="Lienhypertexte"/>
                      <w:rFonts w:cstheme="minorBidi"/>
                      <w:color w:val="auto"/>
                      <w:u w:val="none"/>
                    </w:rPr>
                  </w:pPr>
                  <w:r>
                    <w:rPr>
                      <w:noProof/>
                      <w:color w:val="0000FF"/>
                      <w:u w:val="single"/>
                      <w:lang w:eastAsia="fr-BE"/>
                    </w:rPr>
                    <mc:AlternateContent>
                      <mc:Choice Requires="wps">
                        <w:drawing>
                          <wp:anchor distT="0" distB="0" distL="114300" distR="114300" simplePos="0" relativeHeight="252408832" behindDoc="0" locked="0" layoutInCell="1" allowOverlap="1">
                            <wp:simplePos x="0" y="0"/>
                            <wp:positionH relativeFrom="column">
                              <wp:posOffset>6229350</wp:posOffset>
                            </wp:positionH>
                            <wp:positionV relativeFrom="paragraph">
                              <wp:posOffset>-3175</wp:posOffset>
                            </wp:positionV>
                            <wp:extent cx="0" cy="1339850"/>
                            <wp:effectExtent l="0" t="0" r="19050" b="31750"/>
                            <wp:wrapNone/>
                            <wp:docPr id="5546" name="Connecteur droit 5546"/>
                            <wp:cNvGraphicFramePr/>
                            <a:graphic xmlns:a="http://schemas.openxmlformats.org/drawingml/2006/main">
                              <a:graphicData uri="http://schemas.microsoft.com/office/word/2010/wordprocessingShape">
                                <wps:wsp>
                                  <wps:cNvCnPr/>
                                  <wps:spPr>
                                    <a:xfrm>
                                      <a:off x="0" y="0"/>
                                      <a:ext cx="0" cy="1339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76F88A" id="Connecteur droit 5546" o:spid="_x0000_s1026" style="position:absolute;z-index:252408832;visibility:visible;mso-wrap-style:square;mso-wrap-distance-left:9pt;mso-wrap-distance-top:0;mso-wrap-distance-right:9pt;mso-wrap-distance-bottom:0;mso-position-horizontal:absolute;mso-position-horizontal-relative:text;mso-position-vertical:absolute;mso-position-vertical-relative:text" from="490.5pt,-.25pt" to="490.5pt,10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" strokecolor="black [3213]"/>
                        </w:pict>
                      </mc:Fallback>
                    </mc:AlternateContent>
                  </w:r>
                  <w:hyperlink r:id="rId201" w:history="1">
                    <w:r>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F04EEF" w:rsidRDefault="00F42422">
                  <w:pPr>
                    <w:numPr>
                      <w:ilvl w:val="0"/>
                      <w:numId w:val="50"/>
                    </w:numPr>
                    <w:suppressAutoHyphens/>
                    <w:jc w:val="both"/>
                    <w:rPr>
                      <w:rStyle w:val="Lienhypertexte"/>
                      <w:rFonts w:cstheme="minorBidi"/>
                      <w:color w:val="auto"/>
                      <w:u w:val="none"/>
                    </w:rPr>
                  </w:pPr>
                  <w:hyperlink r:id="rId202" w:history="1">
                    <w:r w:rsidR="0099351E">
                      <w:rPr>
                        <w:rStyle w:val="Lienhypertexte"/>
                        <w:rFonts w:cstheme="minorBidi"/>
                      </w:rPr>
                      <w:t>Circulaire 7608 du 09/06/2020 Coronavirus Covid-19: mesures concernant l'intégration et l'enseignement spécialisé</w:t>
                    </w:r>
                  </w:hyperlink>
                  <w:r w:rsidR="0099351E">
                    <w:rPr>
                      <w:rStyle w:val="Lienhypertexte"/>
                      <w:rFonts w:cstheme="minorBidi"/>
                      <w:color w:val="auto"/>
                      <w:u w:val="none"/>
                    </w:rPr>
                    <w:t xml:space="preserve"> </w:t>
                  </w:r>
                </w:p>
                <w:p w:rsidR="00F04EEF" w:rsidRDefault="00F42422">
                  <w:pPr>
                    <w:numPr>
                      <w:ilvl w:val="0"/>
                      <w:numId w:val="50"/>
                    </w:numPr>
                    <w:suppressAutoHyphens/>
                    <w:jc w:val="both"/>
                    <w:rPr>
                      <w:rStyle w:val="Lienhypertexte"/>
                      <w:rFonts w:cstheme="minorBidi"/>
                      <w:color w:val="auto"/>
                      <w:u w:val="none"/>
                    </w:rPr>
                  </w:pPr>
                  <w:hyperlink r:id="rId203" w:history="1">
                    <w:r w:rsidR="0099351E">
                      <w:rPr>
                        <w:rStyle w:val="Lienhypertexte"/>
                        <w:rFonts w:cstheme="minorBidi"/>
                      </w:rPr>
                      <w:t>Circulaire 7615 du 11/06/2020 Addendum à la circulaire 7608 : Coronavirus Covid-19: mesures concernant l'intégration et l'enseignement spécialisé</w:t>
                    </w:r>
                  </w:hyperlink>
                  <w:r w:rsidR="0099351E">
                    <w:rPr>
                      <w:rStyle w:val="Lienhypertexte"/>
                      <w:rFonts w:cstheme="minorBidi"/>
                      <w:color w:val="auto"/>
                      <w:u w:val="none"/>
                    </w:rPr>
                    <w:t xml:space="preserve"> </w:t>
                  </w:r>
                </w:p>
                <w:p w:rsidR="00F04EEF" w:rsidRDefault="00F04EEF">
                  <w:pPr>
                    <w:suppressAutoHyphens/>
                    <w:jc w:val="both"/>
                  </w:pPr>
                </w:p>
                <w:p w:rsidR="00F04EEF" w:rsidRDefault="00F04EEF">
                  <w:pPr>
                    <w:suppressAutoHyphens/>
                    <w:ind w:left="360"/>
                    <w:jc w:val="both"/>
                  </w:pPr>
                </w:p>
                <w:p w:rsidR="00F04EEF" w:rsidRDefault="0099351E">
                  <w:pPr>
                    <w:spacing w:after="120" w:line="259" w:lineRule="auto"/>
                    <w:rPr>
                      <w:rFonts w:eastAsia="Calibri" w:cs="Arial"/>
                      <w:b/>
                      <w:sz w:val="24"/>
                      <w:u w:val="single"/>
                    </w:rPr>
                  </w:pPr>
                  <w:r>
                    <w:rPr>
                      <w:rFonts w:eastAsia="Calibri" w:cs="Arial"/>
                      <w:b/>
                      <w:noProof/>
                      <w:sz w:val="24"/>
                      <w:u w:val="single"/>
                      <w:lang w:eastAsia="fr-BE"/>
                    </w:rPr>
                    <mc:AlternateContent>
                      <mc:Choice Requires="wps">
                        <w:drawing>
                          <wp:anchor distT="0" distB="0" distL="114300" distR="114300" simplePos="0" relativeHeight="252403712" behindDoc="0" locked="0" layoutInCell="1" allowOverlap="1">
                            <wp:simplePos x="0" y="0"/>
                            <wp:positionH relativeFrom="column">
                              <wp:posOffset>6229713</wp:posOffset>
                            </wp:positionH>
                            <wp:positionV relativeFrom="paragraph">
                              <wp:posOffset>128996</wp:posOffset>
                            </wp:positionV>
                            <wp:extent cx="0" cy="3031671"/>
                            <wp:effectExtent l="0" t="0" r="19050" b="35560"/>
                            <wp:wrapNone/>
                            <wp:docPr id="5541" name="Connecteur droit 5541"/>
                            <wp:cNvGraphicFramePr/>
                            <a:graphic xmlns:a="http://schemas.openxmlformats.org/drawingml/2006/main">
                              <a:graphicData uri="http://schemas.microsoft.com/office/word/2010/wordprocessingShape">
                                <wps:wsp>
                                  <wps:cNvCnPr/>
                                  <wps:spPr>
                                    <a:xfrm>
                                      <a:off x="0" y="0"/>
                                      <a:ext cx="0" cy="30316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3B2AD3A" id="Connecteur droit 5541" o:spid="_x0000_s1026" style="position:absolute;z-index:252403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55pt,10.15pt" to="490.55pt,24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" strokecolor="black [3213]"/>
                        </w:pict>
                      </mc:Fallback>
                    </mc:AlternateContent>
                  </w:r>
                  <w:r>
                    <w:rPr>
                      <w:rFonts w:eastAsia="Calibri" w:cs="Arial"/>
                      <w:b/>
                      <w:sz w:val="24"/>
                      <w:u w:val="single"/>
                    </w:rPr>
                    <w:t>Suppression de l’intégration temporaire totale</w:t>
                  </w:r>
                </w:p>
                <w:p w:rsidR="00F04EEF" w:rsidRDefault="0099351E">
                  <w:pPr>
                    <w:rPr>
                      <w:rFonts w:eastAsia="Calibri" w:cs="Arial"/>
                    </w:rPr>
                  </w:pPr>
                  <w:r>
                    <w:rPr>
                      <w:rFonts w:eastAsia="Calibri" w:cs="Arial"/>
                    </w:rPr>
                    <w:t>Sous réserve du vote de l’avant-projet de décret modifiant le décret du 3 mars 2004 organisant l’enseignement spécialisé afin de supprimer l’intégration temporaire totale, les dispositions suivantes sont applicables dès la rentrée scolaire 2020-2021 :</w:t>
                  </w:r>
                </w:p>
                <w:p w:rsidR="00F04EEF" w:rsidRDefault="00F04EEF">
                  <w:pPr>
                    <w:rPr>
                      <w:rFonts w:eastAsia="Calibri" w:cs="Arial"/>
                    </w:rPr>
                  </w:pPr>
                </w:p>
                <w:p w:rsidR="00F04EEF" w:rsidRDefault="0099351E">
                  <w:pPr>
                    <w:pStyle w:val="Paragraphedeliste"/>
                    <w:numPr>
                      <w:ilvl w:val="0"/>
                      <w:numId w:val="366"/>
                    </w:numPr>
                    <w:suppressAutoHyphens w:val="0"/>
                    <w:rPr>
                      <w:rFonts w:asciiTheme="minorHAnsi" w:hAnsiTheme="minorHAnsi" w:cstheme="minorHAnsi"/>
                      <w:sz w:val="22"/>
                      <w:szCs w:val="22"/>
                      <w:lang w:bidi="he-IL"/>
                    </w:rPr>
                  </w:pPr>
                  <w:r>
                    <w:rPr>
                      <w:rFonts w:asciiTheme="minorHAnsi" w:hAnsiTheme="minorHAnsi" w:cstheme="minorHAnsi"/>
                      <w:sz w:val="22"/>
                      <w:szCs w:val="22"/>
                    </w:rPr>
                    <w:t>L’intégration temporaire totale est supprimée ;</w:t>
                  </w:r>
                </w:p>
                <w:p w:rsidR="00F04EEF" w:rsidRDefault="0099351E">
                  <w:pPr>
                    <w:pStyle w:val="Paragraphedeliste"/>
                    <w:numPr>
                      <w:ilvl w:val="0"/>
                      <w:numId w:val="366"/>
                    </w:numPr>
                    <w:suppressAutoHyphens w:val="0"/>
                    <w:rPr>
                      <w:rFonts w:asciiTheme="minorHAnsi" w:eastAsiaTheme="minorHAnsi" w:hAnsiTheme="minorHAnsi" w:cstheme="minorHAnsi"/>
                      <w:sz w:val="22"/>
                      <w:szCs w:val="22"/>
                      <w:lang w:eastAsia="en-US"/>
                    </w:rPr>
                  </w:pPr>
                  <w:r>
                    <w:rPr>
                      <w:rFonts w:asciiTheme="minorHAnsi" w:hAnsiTheme="minorHAnsi" w:cstheme="minorHAnsi"/>
                      <w:sz w:val="22"/>
                      <w:szCs w:val="22"/>
                    </w:rPr>
                    <w:t>Seuls les élèves à besoins spécifiques inscrits et fréquentant régulièrement l’enseignement spécialisé depuis le 15 janvier au moins sont susceptibles de pouvoir bénéficier du mécanisme de l’intégration à partir du 1</w:t>
                  </w:r>
                  <w:r>
                    <w:rPr>
                      <w:rFonts w:asciiTheme="minorHAnsi" w:hAnsiTheme="minorHAnsi" w:cstheme="minorHAnsi"/>
                      <w:sz w:val="22"/>
                      <w:szCs w:val="22"/>
                      <w:vertAlign w:val="superscript"/>
                    </w:rPr>
                    <w:t>er</w:t>
                  </w:r>
                  <w:r>
                    <w:rPr>
                      <w:rFonts w:asciiTheme="minorHAnsi" w:hAnsiTheme="minorHAnsi" w:cstheme="minorHAnsi"/>
                      <w:sz w:val="22"/>
                      <w:szCs w:val="22"/>
                    </w:rPr>
                    <w:t xml:space="preserve"> septembre de l’année scolaire suivante ;</w:t>
                  </w:r>
                </w:p>
                <w:p w:rsidR="00F04EEF" w:rsidRDefault="0099351E">
                  <w:pPr>
                    <w:pStyle w:val="Paragraphedeliste"/>
                    <w:numPr>
                      <w:ilvl w:val="0"/>
                      <w:numId w:val="366"/>
                    </w:numPr>
                    <w:suppressAutoHyphens w:val="0"/>
                    <w:rPr>
                      <w:rFonts w:asciiTheme="minorHAnsi" w:hAnsiTheme="minorHAnsi" w:cstheme="minorHAnsi"/>
                      <w:sz w:val="22"/>
                      <w:szCs w:val="22"/>
                    </w:rPr>
                  </w:pPr>
                  <w:r>
                    <w:rPr>
                      <w:rFonts w:asciiTheme="minorHAnsi" w:hAnsiTheme="minorHAnsi" w:cstheme="minorHAnsi"/>
                      <w:sz w:val="22"/>
                      <w:szCs w:val="22"/>
                    </w:rPr>
                    <w:t>Les élèves qui ont bénéficié du mécanisme de l’intégration temporaire totale entre le 15 janvier 2020 et le 3 juillet 2020 bénéficient d’une intégration permanente totale au cours de l’année scolaire 2020-2021 ;</w:t>
                  </w:r>
                </w:p>
                <w:p w:rsidR="00F04EEF" w:rsidRDefault="0099351E">
                  <w:pPr>
                    <w:pStyle w:val="Paragraphedeliste"/>
                    <w:numPr>
                      <w:ilvl w:val="0"/>
                      <w:numId w:val="366"/>
                    </w:numPr>
                    <w:suppressAutoHyphens w:val="0"/>
                    <w:autoSpaceDE w:val="0"/>
                    <w:autoSpaceDN w:val="0"/>
                    <w:adjustRightInd w:val="0"/>
                    <w:rPr>
                      <w:rFonts w:asciiTheme="minorHAnsi" w:hAnsiTheme="minorHAnsi" w:cstheme="minorHAnsi"/>
                      <w:sz w:val="22"/>
                      <w:szCs w:val="22"/>
                      <w:lang w:eastAsia="fr-BE"/>
                    </w:rPr>
                  </w:pPr>
                  <w:r>
                    <w:rPr>
                      <w:rFonts w:asciiTheme="minorHAnsi" w:hAnsiTheme="minorHAnsi" w:cstheme="minorHAnsi"/>
                      <w:sz w:val="22"/>
                      <w:szCs w:val="22"/>
                    </w:rPr>
                    <w:t xml:space="preserve">Toute proposition d’intégration ne peut plus émaner de l’équipe éducative d’un établissement d’enseignement ordinaire, ni de l’organisme qui assure la guidance des élèves de l’établissement d’enseignement ordinaire mais uniquement </w:t>
                  </w:r>
                  <w:r>
                    <w:rPr>
                      <w:rFonts w:asciiTheme="minorHAnsi" w:hAnsiTheme="minorHAnsi" w:cstheme="minorHAnsi"/>
                      <w:sz w:val="22"/>
                      <w:szCs w:val="22"/>
                      <w:lang w:eastAsia="fr-BE"/>
                    </w:rPr>
                    <w:t>du Conseil de classe d'un établissement d'enseignement spécialisé, de l'organisme qui assure la guidance des élèves de l'établissement d'enseignement spécialisé et des parents, de la personne investie de l'autorité parentale ou de l'élève lui-même s'il est majeur.</w:t>
                  </w:r>
                </w:p>
                <w:p w:rsidR="00F04EEF" w:rsidRDefault="00F04EEF">
                  <w:pPr>
                    <w:suppressAutoHyphens/>
                    <w:ind w:left="360"/>
                    <w:jc w:val="both"/>
                  </w:pPr>
                </w:p>
                <w:p w:rsidR="00F04EEF" w:rsidRDefault="00F04EEF">
                  <w:pPr>
                    <w:suppressAutoHyphens/>
                    <w:ind w:left="360"/>
                    <w:jc w:val="both"/>
                  </w:pPr>
                </w:p>
                <w:p w:rsidR="00F04EEF" w:rsidRDefault="00F04EEF"/>
                <w:p w:rsidR="00F04EEF" w:rsidRDefault="00F04EEF"/>
                <w:p w:rsidR="00F04EEF" w:rsidRDefault="0099351E">
                  <w:pPr>
                    <w:pStyle w:val="Titre3"/>
                    <w:rPr>
                      <w:sz w:val="22"/>
                      <w:szCs w:val="22"/>
                    </w:rPr>
                  </w:pPr>
                  <w:bookmarkStart w:id="3006" w:name="__RefHeading__239_957262308"/>
                  <w:bookmarkStart w:id="3007" w:name="_1._Principes_généraux"/>
                  <w:bookmarkStart w:id="3008" w:name="_Toc291075403"/>
                  <w:bookmarkStart w:id="3009" w:name="_Toc291075827"/>
                  <w:bookmarkStart w:id="3010" w:name="_Toc291076251"/>
                  <w:bookmarkStart w:id="3011" w:name="_Toc291076675"/>
                  <w:bookmarkStart w:id="3012" w:name="_Toc291077099"/>
                  <w:bookmarkStart w:id="3013" w:name="_Toc293651942"/>
                  <w:bookmarkStart w:id="3014" w:name="_Toc293653525"/>
                  <w:bookmarkStart w:id="3015" w:name="_Toc293654136"/>
                  <w:bookmarkStart w:id="3016" w:name="_Toc294004714"/>
                  <w:bookmarkStart w:id="3017" w:name="_Toc294185210"/>
                  <w:bookmarkStart w:id="3018" w:name="_Toc324166028"/>
                  <w:bookmarkStart w:id="3019" w:name="_Toc324767064"/>
                  <w:bookmarkStart w:id="3020" w:name="_Toc453314429"/>
                  <w:bookmarkStart w:id="3021" w:name="_Toc454980464"/>
                  <w:bookmarkStart w:id="3022" w:name="_Toc47708550"/>
                  <w:bookmarkEnd w:id="3006"/>
                  <w:bookmarkEnd w:id="3007"/>
                  <w:r>
                    <w:rPr>
                      <w:sz w:val="22"/>
                      <w:szCs w:val="22"/>
                    </w:rPr>
                    <w:t>1. Principes généraux</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r>
                    <w:rPr>
                      <w:sz w:val="22"/>
                      <w:szCs w:val="22"/>
                    </w:rPr>
                    <w:t xml:space="preserve"> </w:t>
                  </w:r>
                </w:p>
                <w:p w:rsidR="00F04EEF" w:rsidRDefault="00F04EEF">
                  <w:pPr>
                    <w:jc w:val="both"/>
                    <w:rPr>
                      <w:b/>
                    </w:rPr>
                  </w:pPr>
                </w:p>
                <w:p w:rsidR="00F04EEF" w:rsidRDefault="0099351E">
                  <w:pPr>
                    <w:jc w:val="both"/>
                  </w:pPr>
                  <w:r>
                    <w:t>Lorsque le principe de l’intégration est envisagé pour un élève, les partenaires doivent impérativement, dans un premier temps, déterminer le projet le plus adéquat pour ce dernier.</w:t>
                  </w:r>
                </w:p>
                <w:p w:rsidR="00F04EEF" w:rsidRDefault="00F04EEF">
                  <w:pPr>
                    <w:jc w:val="both"/>
                  </w:pPr>
                </w:p>
                <w:p w:rsidR="00F04EEF" w:rsidRDefault="0099351E">
                  <w:pPr>
                    <w:jc w:val="both"/>
                  </w:pPr>
                  <w:r>
                    <w:t>Quels sont ces partenaires ?</w:t>
                  </w:r>
                </w:p>
                <w:p w:rsidR="00F04EEF" w:rsidRDefault="00F04EEF">
                  <w:pPr>
                    <w:jc w:val="both"/>
                  </w:pPr>
                </w:p>
                <w:p w:rsidR="00F04EEF" w:rsidRDefault="0099351E">
                  <w:pPr>
                    <w:numPr>
                      <w:ilvl w:val="0"/>
                      <w:numId w:val="144"/>
                    </w:numPr>
                    <w:suppressAutoHyphens/>
                    <w:ind w:left="360"/>
                    <w:jc w:val="both"/>
                  </w:pPr>
                  <w:r>
                    <w:t>l’école d’enseignement spécialisé et l’école d’enseignement ordinaire qui ont accepté de participer au projet ;</w:t>
                  </w:r>
                </w:p>
                <w:p w:rsidR="00F04EEF" w:rsidRDefault="0099351E">
                  <w:pPr>
                    <w:numPr>
                      <w:ilvl w:val="0"/>
                      <w:numId w:val="144"/>
                    </w:numPr>
                    <w:suppressAutoHyphens/>
                    <w:ind w:left="360"/>
                    <w:jc w:val="both"/>
                    <w:rPr>
                      <w:b/>
                    </w:rPr>
                  </w:pPr>
                  <w:r>
                    <w:rPr>
                      <w:b/>
                    </w:rPr>
                    <w:t>le centre CPMS qui accompagne l’élève au moment de l’introduction de la proposition d’intégration (il s’agit uniquement d’un avis) ;</w:t>
                  </w:r>
                </w:p>
                <w:p w:rsidR="00F04EEF" w:rsidRDefault="0099351E">
                  <w:pPr>
                    <w:numPr>
                      <w:ilvl w:val="0"/>
                      <w:numId w:val="144"/>
                    </w:numPr>
                    <w:suppressAutoHyphens/>
                    <w:ind w:left="360"/>
                    <w:jc w:val="both"/>
                  </w:pPr>
                  <w:r>
                    <w:t>les parents (</w:t>
                  </w:r>
                  <w:r>
                    <w:rPr>
                      <w:color w:val="000000"/>
                    </w:rPr>
                    <w:t>ou la personne investie de l’autorité parentale</w:t>
                  </w:r>
                  <w:r>
                    <w:t>) ou l’élève lui-même s’il est majeur.</w:t>
                  </w:r>
                </w:p>
                <w:p w:rsidR="00F04EEF" w:rsidRDefault="00F04EEF">
                  <w:pPr>
                    <w:jc w:val="both"/>
                  </w:pPr>
                </w:p>
                <w:p w:rsidR="00F04EEF" w:rsidRDefault="0099351E">
                  <w:pPr>
                    <w:jc w:val="both"/>
                  </w:pPr>
                  <w:r>
                    <w:t>Il existe plusieurs types d’intégration qui génèrent des règles de fonctionnement différentes.</w:t>
                  </w:r>
                </w:p>
                <w:p w:rsidR="00F04EEF" w:rsidRDefault="0099351E">
                  <w:pPr>
                    <w:jc w:val="both"/>
                  </w:pPr>
                  <w:r>
                    <w:t xml:space="preserve">Mais pour </w:t>
                  </w:r>
                  <w:r>
                    <w:rPr>
                      <w:u w:val="single"/>
                    </w:rPr>
                    <w:t>tous</w:t>
                  </w:r>
                  <w:r>
                    <w:t xml:space="preserve"> ceux-ci, le principe reste le même : </w:t>
                  </w:r>
                  <w:r>
                    <w:rPr>
                      <w:b/>
                      <w:u w:val="single"/>
                    </w:rPr>
                    <w:t>il faut obligatoirement</w:t>
                  </w:r>
                  <w:r>
                    <w:t xml:space="preserve"> :</w:t>
                  </w:r>
                </w:p>
                <w:p w:rsidR="00F04EEF" w:rsidRDefault="00F04EEF">
                  <w:pPr>
                    <w:jc w:val="both"/>
                  </w:pPr>
                </w:p>
                <w:p w:rsidR="00F04EEF" w:rsidRDefault="0099351E">
                  <w:pPr>
                    <w:numPr>
                      <w:ilvl w:val="0"/>
                      <w:numId w:val="147"/>
                    </w:numPr>
                    <w:suppressAutoHyphens/>
                    <w:ind w:left="360"/>
                    <w:jc w:val="both"/>
                  </w:pPr>
                  <w:r>
                    <w:t>que tous les partenaires soient d’accord à l’exception du CPMS qui rend uniquement un avis ;</w:t>
                  </w:r>
                </w:p>
                <w:p w:rsidR="00F04EEF" w:rsidRDefault="0099351E">
                  <w:pPr>
                    <w:numPr>
                      <w:ilvl w:val="0"/>
                      <w:numId w:val="147"/>
                    </w:numPr>
                    <w:suppressAutoHyphens/>
                    <w:ind w:left="360"/>
                    <w:jc w:val="both"/>
                  </w:pPr>
                  <w:r>
                    <w:t>qu’un protocole d’intégration soit établi.</w:t>
                  </w:r>
                </w:p>
                <w:p w:rsidR="00F04EEF" w:rsidRDefault="00F04EEF">
                  <w:pPr>
                    <w:jc w:val="both"/>
                  </w:pPr>
                </w:p>
                <w:p w:rsidR="00F04EEF" w:rsidRDefault="0099351E">
                  <w:pPr>
                    <w:jc w:val="both"/>
                    <w:rPr>
                      <w:b/>
                    </w:rPr>
                  </w:pPr>
                  <w:r>
                    <w:rPr>
                      <w:b/>
                    </w:rPr>
                    <w:t>Cet accord doit se négocier entre les différents partenaires afin que tout soit mis en œuvre pour permettre une intégration qui réponde au mieux aux besoins spécifiques de l’élève.</w:t>
                  </w:r>
                </w:p>
                <w:p w:rsidR="00F04EEF" w:rsidRDefault="00F04EEF">
                  <w:pPr>
                    <w:jc w:val="both"/>
                    <w:rPr>
                      <w:b/>
                    </w:rPr>
                  </w:pPr>
                </w:p>
                <w:p w:rsidR="00F04EEF" w:rsidRDefault="0099351E">
                  <w:pPr>
                    <w:pStyle w:val="Titre3"/>
                    <w:rPr>
                      <w:sz w:val="22"/>
                      <w:szCs w:val="22"/>
                    </w:rPr>
                  </w:pPr>
                  <w:bookmarkStart w:id="3023" w:name="__RefHeading__241_957262308"/>
                  <w:bookmarkStart w:id="3024" w:name="_2._Quels_sont"/>
                  <w:bookmarkStart w:id="3025" w:name="_Toc291075404"/>
                  <w:bookmarkStart w:id="3026" w:name="_Toc291075828"/>
                  <w:bookmarkStart w:id="3027" w:name="_Toc291076252"/>
                  <w:bookmarkStart w:id="3028" w:name="_Toc291076676"/>
                  <w:bookmarkStart w:id="3029" w:name="_Toc291077100"/>
                  <w:bookmarkStart w:id="3030" w:name="_Toc293651943"/>
                  <w:bookmarkStart w:id="3031" w:name="_Toc293653526"/>
                  <w:bookmarkStart w:id="3032" w:name="_Toc293654137"/>
                  <w:bookmarkStart w:id="3033" w:name="_Toc294004715"/>
                  <w:bookmarkStart w:id="3034" w:name="_Toc294185211"/>
                  <w:bookmarkStart w:id="3035" w:name="_Toc324166029"/>
                  <w:bookmarkStart w:id="3036" w:name="_Toc324767065"/>
                  <w:bookmarkStart w:id="3037" w:name="_Toc453314430"/>
                  <w:bookmarkStart w:id="3038" w:name="_Toc454980465"/>
                  <w:bookmarkStart w:id="3039" w:name="_Toc47708551"/>
                  <w:bookmarkEnd w:id="3023"/>
                  <w:bookmarkEnd w:id="3024"/>
                  <w:r>
                    <w:rPr>
                      <w:sz w:val="22"/>
                      <w:szCs w:val="22"/>
                    </w:rPr>
                    <w:t>2. Quels sont les élèves concernés par l’intégration ?</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r>
                    <w:rPr>
                      <w:sz w:val="22"/>
                      <w:szCs w:val="22"/>
                    </w:rPr>
                    <w:t xml:space="preserve"> </w:t>
                  </w:r>
                </w:p>
                <w:p w:rsidR="00F04EEF" w:rsidRDefault="0099351E">
                  <w:pPr>
                    <w:jc w:val="both"/>
                    <w:rPr>
                      <w:b/>
                      <w:bCs/>
                      <w:iCs/>
                      <w:color w:val="000000"/>
                      <w:u w:val="single"/>
                    </w:rPr>
                  </w:pPr>
                  <w:r>
                    <w:rPr>
                      <w:b/>
                      <w:bCs/>
                      <w:iCs/>
                      <w:noProof/>
                      <w:color w:val="000000"/>
                      <w:u w:val="single"/>
                      <w:lang w:eastAsia="fr-BE"/>
                    </w:rPr>
                    <mc:AlternateContent>
                      <mc:Choice Requires="wps">
                        <w:drawing>
                          <wp:anchor distT="0" distB="0" distL="114300" distR="114300" simplePos="0" relativeHeight="252371968" behindDoc="0" locked="0" layoutInCell="1" allowOverlap="1">
                            <wp:simplePos x="0" y="0"/>
                            <wp:positionH relativeFrom="column">
                              <wp:posOffset>6252845</wp:posOffset>
                            </wp:positionH>
                            <wp:positionV relativeFrom="paragraph">
                              <wp:posOffset>193675</wp:posOffset>
                            </wp:positionV>
                            <wp:extent cx="0" cy="142875"/>
                            <wp:effectExtent l="0" t="0" r="19050" b="28575"/>
                            <wp:wrapNone/>
                            <wp:docPr id="554" name="Connecteur droit 554"/>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0641FD" id="Connecteur droit 554" o:spid="_x0000_s1026" style="position:absolute;z-index:252371968;visibility:visible;mso-wrap-style:square;mso-wrap-distance-left:9pt;mso-wrap-distance-top:0;mso-wrap-distance-right:9pt;mso-wrap-distance-bottom:0;mso-position-horizontal:absolute;mso-position-horizontal-relative:text;mso-position-vertical:absolute;mso-position-vertical-relative:text" from="492.35pt,15.25pt" to="492.3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" strokecolor="black [3213]"/>
                        </w:pict>
                      </mc:Fallback>
                    </mc:AlternateContent>
                  </w:r>
                </w:p>
                <w:p w:rsidR="00F04EEF" w:rsidRDefault="0099351E">
                  <w:pPr>
                    <w:jc w:val="both"/>
                    <w:rPr>
                      <w:strike/>
                      <w:color w:val="000000"/>
                    </w:rPr>
                  </w:pPr>
                  <w:r>
                    <w:rPr>
                      <w:b/>
                      <w:color w:val="000000"/>
                    </w:rPr>
                    <w:t>TOUS</w:t>
                  </w:r>
                  <w:r>
                    <w:rPr>
                      <w:color w:val="000000"/>
                    </w:rPr>
                    <w:t xml:space="preserve"> les élèves à besoins spécifiques inscrits et </w:t>
                  </w:r>
                  <w:r>
                    <w:t xml:space="preserve">fréquentant </w:t>
                  </w:r>
                  <w:r>
                    <w:rPr>
                      <w:color w:val="000000"/>
                    </w:rPr>
                    <w:t>l’enseignement spécialisé</w:t>
                  </w:r>
                  <w:r>
                    <w:rPr>
                      <w:rStyle w:val="Caractresdenotedebasdepage"/>
                      <w:rFonts w:cs="Arial"/>
                      <w:color w:val="000000"/>
                    </w:rPr>
                    <w:footnoteReference w:id="145"/>
                  </w:r>
                  <w:r>
                    <w:rPr>
                      <w:color w:val="000000"/>
                    </w:rPr>
                    <w:t xml:space="preserve">sont susceptibles de pouvoir bénéficier de l’intégration. </w:t>
                  </w:r>
                </w:p>
                <w:p w:rsidR="00F04EEF" w:rsidRDefault="00F04EEF">
                  <w:pPr>
                    <w:rPr>
                      <w:b/>
                      <w:u w:val="single"/>
                    </w:rPr>
                  </w:pPr>
                  <w:bookmarkStart w:id="3040" w:name="__RefHeading__243_957262308"/>
                  <w:bookmarkStart w:id="3041" w:name="_3._Quels_sont"/>
                  <w:bookmarkStart w:id="3042" w:name="_Toc291075405"/>
                  <w:bookmarkStart w:id="3043" w:name="_Toc291075829"/>
                  <w:bookmarkStart w:id="3044" w:name="_Toc291076253"/>
                  <w:bookmarkStart w:id="3045" w:name="_Toc291076677"/>
                  <w:bookmarkStart w:id="3046" w:name="_Toc291077101"/>
                  <w:bookmarkStart w:id="3047" w:name="_Toc293651944"/>
                  <w:bookmarkStart w:id="3048" w:name="_Toc293653527"/>
                  <w:bookmarkStart w:id="3049" w:name="_Toc293654138"/>
                  <w:bookmarkStart w:id="3050" w:name="_Toc294004716"/>
                  <w:bookmarkStart w:id="3051" w:name="_Toc294185212"/>
                  <w:bookmarkStart w:id="3052" w:name="_Toc324166030"/>
                  <w:bookmarkStart w:id="3053" w:name="_Toc324767066"/>
                  <w:bookmarkStart w:id="3054" w:name="_Toc453314431"/>
                  <w:bookmarkStart w:id="3055" w:name="_Toc454980466"/>
                  <w:bookmarkEnd w:id="3040"/>
                  <w:bookmarkEnd w:id="3041"/>
                </w:p>
                <w:p w:rsidR="00F04EEF" w:rsidRDefault="0099351E">
                  <w:pPr>
                    <w:pStyle w:val="Titre3"/>
                    <w:rPr>
                      <w:sz w:val="22"/>
                      <w:szCs w:val="22"/>
                    </w:rPr>
                  </w:pPr>
                  <w:bookmarkStart w:id="3056" w:name="_3._Quels_sont_1"/>
                  <w:bookmarkStart w:id="3057" w:name="_Toc47708552"/>
                  <w:bookmarkEnd w:id="3056"/>
                  <w:r>
                    <w:rPr>
                      <w:sz w:val="22"/>
                      <w:szCs w:val="22"/>
                    </w:rPr>
                    <w:t>3. Quels sont les différents types d’intégration ?</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7"/>
                  <w:r>
                    <w:rPr>
                      <w:sz w:val="22"/>
                      <w:szCs w:val="22"/>
                    </w:rPr>
                    <w:t xml:space="preserve"> </w:t>
                  </w:r>
                </w:p>
                <w:p w:rsidR="00F04EEF" w:rsidRDefault="00F04EEF">
                  <w:pPr>
                    <w:jc w:val="both"/>
                    <w:rPr>
                      <w:color w:val="000000"/>
                      <w:u w:val="single"/>
                    </w:rPr>
                  </w:pPr>
                </w:p>
                <w:p w:rsidR="00F04EEF" w:rsidRDefault="0099351E">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Intégration permanente totale</w:t>
                  </w:r>
                </w:p>
                <w:p w:rsidR="00F04EEF" w:rsidRDefault="00F04EEF">
                  <w:pPr>
                    <w:jc w:val="both"/>
                    <w:rPr>
                      <w:color w:val="000000"/>
                      <w:u w:val="single"/>
                    </w:rPr>
                  </w:pPr>
                </w:p>
                <w:p w:rsidR="00F04EEF" w:rsidRDefault="0099351E">
                  <w:pPr>
                    <w:pStyle w:val="Corpsdetexte"/>
                    <w:jc w:val="both"/>
                    <w:rPr>
                      <w:b w:val="0"/>
                      <w:color w:val="000000"/>
                      <w:szCs w:val="22"/>
                    </w:rPr>
                  </w:pPr>
                  <w:r>
                    <w:rPr>
                      <w:b w:val="0"/>
                      <w:color w:val="000000"/>
                      <w:szCs w:val="22"/>
                    </w:rPr>
                    <w:t xml:space="preserve">L’élève suit </w:t>
                  </w:r>
                  <w:r>
                    <w:rPr>
                      <w:color w:val="000000"/>
                      <w:szCs w:val="22"/>
                    </w:rPr>
                    <w:t>tous les cours</w:t>
                  </w:r>
                  <w:r>
                    <w:rPr>
                      <w:b w:val="0"/>
                      <w:color w:val="000000"/>
                      <w:szCs w:val="22"/>
                    </w:rPr>
                    <w:t xml:space="preserve"> dans l’enseignement ordinaire, pendant </w:t>
                  </w:r>
                  <w:r>
                    <w:rPr>
                      <w:color w:val="000000"/>
                      <w:szCs w:val="22"/>
                    </w:rPr>
                    <w:t>toute l’année</w:t>
                  </w:r>
                  <w:r>
                    <w:rPr>
                      <w:b w:val="0"/>
                      <w:color w:val="000000"/>
                      <w:szCs w:val="22"/>
                    </w:rPr>
                    <w:t xml:space="preserve"> scolaire, tout en bénéficiant, en fonction de ses besoins, de la gratuité des transports</w:t>
                  </w:r>
                  <w:r>
                    <w:rPr>
                      <w:rStyle w:val="Appelnotedebasdep1"/>
                      <w:color w:val="000000"/>
                      <w:szCs w:val="22"/>
                      <w:u w:val="single"/>
                    </w:rPr>
                    <w:footnoteReference w:id="146"/>
                  </w:r>
                  <w:r>
                    <w:rPr>
                      <w:b w:val="0"/>
                      <w:color w:val="000000"/>
                      <w:szCs w:val="22"/>
                    </w:rPr>
                    <w:t xml:space="preserve"> entre son domicile et l’établissement d’enseignement </w:t>
                  </w:r>
                  <w:r>
                    <w:rPr>
                      <w:color w:val="000000"/>
                      <w:szCs w:val="22"/>
                      <w:u w:val="single"/>
                    </w:rPr>
                    <w:t>ordinaire</w:t>
                  </w:r>
                  <w:r>
                    <w:rPr>
                      <w:b w:val="0"/>
                      <w:color w:val="000000"/>
                      <w:szCs w:val="22"/>
                    </w:rPr>
                    <w:t xml:space="preserve"> qu’il fréquente et d’un accompagnement assuré par l’enseignement spécialisé.</w:t>
                  </w:r>
                </w:p>
                <w:p w:rsidR="00F04EEF" w:rsidRDefault="00F04EEF">
                  <w:pPr>
                    <w:pStyle w:val="Corpsdetexte"/>
                    <w:jc w:val="both"/>
                    <w:rPr>
                      <w:color w:val="000000"/>
                      <w:szCs w:val="22"/>
                    </w:rPr>
                  </w:pPr>
                </w:p>
                <w:p w:rsidR="00F04EEF" w:rsidRDefault="0099351E">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AUTRES types d’intégration</w:t>
                  </w:r>
                </w:p>
                <w:p w:rsidR="00F04EEF" w:rsidRDefault="00F04EEF">
                  <w:pPr>
                    <w:jc w:val="both"/>
                    <w:rPr>
                      <w:color w:val="000000"/>
                      <w:u w:val="single"/>
                    </w:rPr>
                  </w:pPr>
                </w:p>
                <w:p w:rsidR="00F04EEF" w:rsidRDefault="0099351E">
                  <w:pPr>
                    <w:numPr>
                      <w:ilvl w:val="0"/>
                      <w:numId w:val="16"/>
                    </w:numPr>
                    <w:suppressAutoHyphens/>
                    <w:jc w:val="both"/>
                    <w:rPr>
                      <w:color w:val="000000"/>
                      <w:u w:val="single"/>
                    </w:rPr>
                  </w:pPr>
                  <w:r>
                    <w:rPr>
                      <w:color w:val="000000"/>
                      <w:u w:val="single"/>
                    </w:rPr>
                    <w:t>Intégration permanente partielle</w:t>
                  </w:r>
                </w:p>
                <w:p w:rsidR="00F04EEF" w:rsidRDefault="00F04EEF">
                  <w:pPr>
                    <w:jc w:val="both"/>
                    <w:rPr>
                      <w:color w:val="000000"/>
                      <w:u w:val="single"/>
                    </w:rPr>
                  </w:pPr>
                </w:p>
                <w:p w:rsidR="00F04EEF" w:rsidRDefault="0099351E">
                  <w:pPr>
                    <w:pStyle w:val="Corpsdetexte"/>
                    <w:jc w:val="both"/>
                    <w:rPr>
                      <w:b w:val="0"/>
                      <w:color w:val="000000"/>
                      <w:szCs w:val="22"/>
                    </w:rPr>
                  </w:pPr>
                  <w:r>
                    <w:rPr>
                      <w:b w:val="0"/>
                      <w:color w:val="000000"/>
                      <w:szCs w:val="22"/>
                    </w:rPr>
                    <w:t xml:space="preserve">L’élève suit </w:t>
                  </w:r>
                  <w:r>
                    <w:rPr>
                      <w:color w:val="000000"/>
                      <w:szCs w:val="22"/>
                    </w:rPr>
                    <w:t>certains cours</w:t>
                  </w:r>
                  <w:r>
                    <w:rPr>
                      <w:b w:val="0"/>
                      <w:color w:val="000000"/>
                      <w:szCs w:val="22"/>
                    </w:rPr>
                    <w:t xml:space="preserve"> dans l’enseignement ordinaire et les autres dans l’enseignement spécialisé pendant </w:t>
                  </w:r>
                  <w:r>
                    <w:rPr>
                      <w:color w:val="000000"/>
                      <w:szCs w:val="22"/>
                    </w:rPr>
                    <w:t>toute l’année</w:t>
                  </w:r>
                  <w:r>
                    <w:rPr>
                      <w:b w:val="0"/>
                      <w:color w:val="000000"/>
                      <w:szCs w:val="22"/>
                    </w:rPr>
                    <w:t xml:space="preserve"> scolaire. Il continue en outre à bénéficier de la gratuité des transports scolaires de son domicile à l’école d’enseignement </w:t>
                  </w:r>
                  <w:r>
                    <w:rPr>
                      <w:b w:val="0"/>
                      <w:color w:val="000000"/>
                      <w:szCs w:val="22"/>
                      <w:u w:val="single"/>
                    </w:rPr>
                    <w:t>spécialisé</w:t>
                  </w:r>
                  <w:r>
                    <w:rPr>
                      <w:b w:val="0"/>
                      <w:color w:val="000000"/>
                      <w:szCs w:val="22"/>
                    </w:rPr>
                    <w:t xml:space="preserve"> dans laquelle il est inscrit.</w:t>
                  </w:r>
                </w:p>
                <w:p w:rsidR="00F04EEF" w:rsidRDefault="00F04EEF">
                  <w:pPr>
                    <w:pStyle w:val="Corpsdetexte"/>
                    <w:jc w:val="both"/>
                    <w:rPr>
                      <w:b w:val="0"/>
                      <w:color w:val="000000"/>
                      <w:szCs w:val="22"/>
                    </w:rPr>
                  </w:pPr>
                </w:p>
                <w:p w:rsidR="00F04EEF" w:rsidRDefault="00F04EEF">
                  <w:pPr>
                    <w:jc w:val="both"/>
                    <w:rPr>
                      <w:color w:val="000000"/>
                    </w:rPr>
                  </w:pPr>
                </w:p>
                <w:p w:rsidR="00F04EEF" w:rsidRDefault="0099351E">
                  <w:pPr>
                    <w:numPr>
                      <w:ilvl w:val="0"/>
                      <w:numId w:val="149"/>
                    </w:numPr>
                    <w:suppressAutoHyphens/>
                    <w:jc w:val="both"/>
                    <w:rPr>
                      <w:color w:val="000000"/>
                      <w:u w:val="single"/>
                    </w:rPr>
                  </w:pPr>
                  <w:r>
                    <w:rPr>
                      <w:color w:val="000000"/>
                      <w:u w:val="single"/>
                    </w:rPr>
                    <w:t>Intégration temporaire partielle</w:t>
                  </w:r>
                </w:p>
                <w:p w:rsidR="00F04EEF" w:rsidRDefault="00F04EEF">
                  <w:pPr>
                    <w:jc w:val="both"/>
                    <w:rPr>
                      <w:color w:val="000000"/>
                      <w:u w:val="single"/>
                    </w:rPr>
                  </w:pPr>
                </w:p>
                <w:p w:rsidR="00F04EEF" w:rsidRDefault="0099351E">
                  <w:pPr>
                    <w:pStyle w:val="Corpsdetexte"/>
                    <w:jc w:val="both"/>
                    <w:rPr>
                      <w:b w:val="0"/>
                      <w:color w:val="000000"/>
                      <w:szCs w:val="22"/>
                    </w:rPr>
                  </w:pPr>
                  <w:r>
                    <w:rPr>
                      <w:b w:val="0"/>
                      <w:bCs/>
                      <w:color w:val="000000"/>
                      <w:szCs w:val="22"/>
                    </w:rPr>
                    <w:t>L’élève suit une partie des</w:t>
                  </w:r>
                  <w:r>
                    <w:rPr>
                      <w:color w:val="000000"/>
                      <w:szCs w:val="22"/>
                    </w:rPr>
                    <w:t xml:space="preserve"> cours</w:t>
                  </w:r>
                  <w:r>
                    <w:rPr>
                      <w:b w:val="0"/>
                      <w:bCs/>
                      <w:color w:val="000000"/>
                      <w:szCs w:val="22"/>
                    </w:rPr>
                    <w:t xml:space="preserve"> dans l’enseignement ordinaire et les autres dans l’enseignement spécialisé pendant une ou des </w:t>
                  </w:r>
                  <w:r>
                    <w:rPr>
                      <w:color w:val="000000"/>
                      <w:szCs w:val="22"/>
                    </w:rPr>
                    <w:t>périodes déterminées</w:t>
                  </w:r>
                  <w:r>
                    <w:rPr>
                      <w:b w:val="0"/>
                      <w:bCs/>
                      <w:color w:val="000000"/>
                      <w:szCs w:val="22"/>
                    </w:rPr>
                    <w:t xml:space="preserve"> d’une année scolaire. Il continue, en outre, à bénéficier de la gratuité des transports scolaires de son domicile à l’école d’enseignement </w:t>
                  </w:r>
                  <w:r>
                    <w:rPr>
                      <w:b w:val="0"/>
                      <w:bCs/>
                      <w:color w:val="000000"/>
                      <w:szCs w:val="22"/>
                      <w:u w:val="single"/>
                    </w:rPr>
                    <w:t>spécialisé</w:t>
                  </w:r>
                  <w:r>
                    <w:rPr>
                      <w:b w:val="0"/>
                      <w:bCs/>
                      <w:color w:val="000000"/>
                      <w:szCs w:val="22"/>
                    </w:rPr>
                    <w:t xml:space="preserve"> dans laquelle il est inscrit.</w:t>
                  </w:r>
                </w:p>
                <w:p w:rsidR="00F04EEF" w:rsidRDefault="0099351E">
                  <w:pPr>
                    <w:pStyle w:val="Titre3"/>
                    <w:rPr>
                      <w:sz w:val="22"/>
                      <w:szCs w:val="22"/>
                      <w:lang w:val="fr-FR"/>
                    </w:rPr>
                  </w:pPr>
                  <w:bookmarkStart w:id="3058" w:name="_4._Qui_peut"/>
                  <w:bookmarkStart w:id="3059" w:name="__RefHeading__245_957262308"/>
                  <w:bookmarkStart w:id="3060" w:name="_Toc291075406"/>
                  <w:bookmarkStart w:id="3061" w:name="_Toc291075830"/>
                  <w:bookmarkStart w:id="3062" w:name="_Toc291076254"/>
                  <w:bookmarkStart w:id="3063" w:name="_Toc291076678"/>
                  <w:bookmarkStart w:id="3064" w:name="_Toc291077102"/>
                  <w:bookmarkStart w:id="3065" w:name="_Toc293651945"/>
                  <w:bookmarkStart w:id="3066" w:name="_Toc293653528"/>
                  <w:bookmarkStart w:id="3067" w:name="_Toc293654139"/>
                  <w:bookmarkStart w:id="3068" w:name="_Toc294004717"/>
                  <w:bookmarkStart w:id="3069" w:name="_Toc294185213"/>
                  <w:bookmarkStart w:id="3070" w:name="_Toc324166031"/>
                  <w:bookmarkStart w:id="3071" w:name="_Toc324767067"/>
                  <w:bookmarkStart w:id="3072" w:name="_Toc453314432"/>
                  <w:bookmarkStart w:id="3073" w:name="_Toc454980467"/>
                  <w:bookmarkStart w:id="3074" w:name="_Toc47708553"/>
                  <w:bookmarkEnd w:id="3058"/>
                  <w:bookmarkEnd w:id="3059"/>
                  <w:r>
                    <w:rPr>
                      <w:sz w:val="22"/>
                      <w:szCs w:val="22"/>
                      <w:lang w:val="fr-FR"/>
                    </w:rPr>
                    <w:t>4. Qui peut introduire une proposition d’intégration ?</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Pr>
                      <w:sz w:val="22"/>
                      <w:szCs w:val="22"/>
                      <w:lang w:val="fr-FR"/>
                    </w:rPr>
                    <w:t xml:space="preserve"> </w:t>
                  </w:r>
                </w:p>
                <w:p w:rsidR="00F04EEF" w:rsidRDefault="00F04EEF">
                  <w:pPr>
                    <w:autoSpaceDE w:val="0"/>
                    <w:jc w:val="both"/>
                    <w:rPr>
                      <w:color w:val="000000"/>
                      <w:lang w:val="fr-FR"/>
                    </w:rPr>
                  </w:pPr>
                </w:p>
                <w:p w:rsidR="00F04EEF" w:rsidRDefault="0099351E">
                  <w:pPr>
                    <w:autoSpaceDE w:val="0"/>
                    <w:jc w:val="both"/>
                    <w:rPr>
                      <w:color w:val="000000"/>
                      <w:lang w:val="fr-FR"/>
                    </w:rPr>
                  </w:pPr>
                  <w:r>
                    <w:rPr>
                      <w:color w:val="000000"/>
                      <w:lang w:val="fr-FR"/>
                    </w:rPr>
                    <w:t>Au moins un des intervenants suivants :</w:t>
                  </w:r>
                </w:p>
                <w:p w:rsidR="00F04EEF" w:rsidRDefault="00F04EEF">
                  <w:pPr>
                    <w:autoSpaceDE w:val="0"/>
                    <w:jc w:val="both"/>
                    <w:rPr>
                      <w:color w:val="000000"/>
                      <w:lang w:val="fr-FR"/>
                    </w:rPr>
                  </w:pPr>
                </w:p>
                <w:p w:rsidR="00F04EEF" w:rsidRDefault="0099351E">
                  <w:pPr>
                    <w:numPr>
                      <w:ilvl w:val="1"/>
                      <w:numId w:val="131"/>
                    </w:numPr>
                    <w:tabs>
                      <w:tab w:val="clear" w:pos="1080"/>
                    </w:tabs>
                    <w:suppressAutoHyphens/>
                    <w:autoSpaceDE w:val="0"/>
                    <w:ind w:left="360"/>
                    <w:jc w:val="both"/>
                    <w:rPr>
                      <w:color w:val="000000"/>
                      <w:lang w:val="fr-FR"/>
                    </w:rPr>
                  </w:pPr>
                  <w:r>
                    <w:rPr>
                      <w:color w:val="000000"/>
                      <w:lang w:val="fr-FR"/>
                    </w:rPr>
                    <w:t>Le conseil de classe d'un établissement d'enseignement spécialisé.</w:t>
                  </w:r>
                </w:p>
                <w:p w:rsidR="00F04EEF" w:rsidRDefault="0099351E">
                  <w:pPr>
                    <w:numPr>
                      <w:ilvl w:val="1"/>
                      <w:numId w:val="131"/>
                    </w:numPr>
                    <w:tabs>
                      <w:tab w:val="clear" w:pos="1080"/>
                    </w:tabs>
                    <w:suppressAutoHyphens/>
                    <w:autoSpaceDE w:val="0"/>
                    <w:ind w:left="360"/>
                    <w:jc w:val="both"/>
                    <w:rPr>
                      <w:color w:val="000000"/>
                      <w:lang w:val="fr-FR"/>
                    </w:rPr>
                  </w:pPr>
                  <w:r>
                    <w:rPr>
                      <w:color w:val="000000"/>
                      <w:lang w:val="fr-FR"/>
                    </w:rPr>
                    <w:t>L'organisme qui assure la guidance des élèves de l’établissement d’enseignement spécialisé.</w:t>
                  </w:r>
                </w:p>
                <w:p w:rsidR="00F04EEF" w:rsidRDefault="0099351E">
                  <w:pPr>
                    <w:numPr>
                      <w:ilvl w:val="1"/>
                      <w:numId w:val="131"/>
                    </w:numPr>
                    <w:tabs>
                      <w:tab w:val="clear" w:pos="1080"/>
                    </w:tabs>
                    <w:suppressAutoHyphens/>
                    <w:autoSpaceDE w:val="0"/>
                    <w:ind w:left="360"/>
                    <w:jc w:val="both"/>
                    <w:rPr>
                      <w:color w:val="000000"/>
                      <w:lang w:val="fr-FR"/>
                    </w:rPr>
                  </w:pPr>
                  <w:r>
                    <w:rPr>
                      <w:color w:val="000000"/>
                      <w:lang w:val="fr-FR"/>
                    </w:rPr>
                    <w:t>Les parents, la personne investie de l'autorité parentale ou l'élève lui-même s'il est majeur.</w:t>
                  </w:r>
                </w:p>
                <w:p w:rsidR="00F04EEF" w:rsidRDefault="00F04EEF">
                  <w:pPr>
                    <w:autoSpaceDE w:val="0"/>
                    <w:jc w:val="both"/>
                    <w:rPr>
                      <w:strike/>
                      <w:lang w:val="fr-FR"/>
                    </w:rPr>
                  </w:pPr>
                </w:p>
                <w:p w:rsidR="00F04EEF" w:rsidRDefault="0099351E">
                  <w:pPr>
                    <w:pStyle w:val="Titre3"/>
                    <w:rPr>
                      <w:sz w:val="22"/>
                      <w:szCs w:val="22"/>
                    </w:rPr>
                  </w:pPr>
                  <w:bookmarkStart w:id="3075" w:name="_5._Quelle_est"/>
                  <w:bookmarkStart w:id="3076" w:name="__RefHeading__247_957262308"/>
                  <w:bookmarkStart w:id="3077" w:name="_Toc291075407"/>
                  <w:bookmarkStart w:id="3078" w:name="_Toc291075831"/>
                  <w:bookmarkStart w:id="3079" w:name="_Toc291076255"/>
                  <w:bookmarkStart w:id="3080" w:name="_Toc291076679"/>
                  <w:bookmarkStart w:id="3081" w:name="_Toc291077103"/>
                  <w:bookmarkStart w:id="3082" w:name="_Toc293651946"/>
                  <w:bookmarkStart w:id="3083" w:name="_Toc293653529"/>
                  <w:bookmarkStart w:id="3084" w:name="_Toc293654140"/>
                  <w:bookmarkStart w:id="3085" w:name="_Toc294004718"/>
                  <w:bookmarkStart w:id="3086" w:name="_Toc294185214"/>
                  <w:bookmarkStart w:id="3087" w:name="_Toc324166032"/>
                  <w:bookmarkStart w:id="3088" w:name="_Toc324767068"/>
                  <w:bookmarkStart w:id="3089" w:name="_Toc453314433"/>
                  <w:bookmarkStart w:id="3090" w:name="_Toc454980468"/>
                  <w:bookmarkStart w:id="3091" w:name="_Toc47708554"/>
                  <w:bookmarkEnd w:id="3075"/>
                  <w:bookmarkEnd w:id="3076"/>
                  <w:r>
                    <w:rPr>
                      <w:sz w:val="22"/>
                      <w:szCs w:val="22"/>
                    </w:rPr>
                    <w:t>5. Quelle est la procédure à suivre pour débuter une intégration?</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r>
                    <w:rPr>
                      <w:sz w:val="22"/>
                      <w:szCs w:val="22"/>
                    </w:rPr>
                    <w:t xml:space="preserve"> </w:t>
                  </w:r>
                </w:p>
                <w:p w:rsidR="00F04EEF" w:rsidRDefault="00F04EEF">
                  <w:pPr>
                    <w:autoSpaceDE w:val="0"/>
                    <w:jc w:val="both"/>
                    <w:rPr>
                      <w:lang w:val="fr-FR"/>
                    </w:rPr>
                  </w:pPr>
                </w:p>
                <w:p w:rsidR="00F04EEF" w:rsidRDefault="0099351E">
                  <w:pPr>
                    <w:numPr>
                      <w:ilvl w:val="0"/>
                      <w:numId w:val="153"/>
                    </w:numPr>
                    <w:tabs>
                      <w:tab w:val="left" w:pos="-589"/>
                    </w:tabs>
                    <w:ind w:left="567" w:hanging="567"/>
                    <w:jc w:val="both"/>
                  </w:pPr>
                  <w:r>
                    <w:rPr>
                      <w:lang w:val="fr-FR"/>
                    </w:rPr>
                    <w:t>La proposition est introduite auprès du chef d'établissement d'enseignement spécialisé.</w:t>
                  </w:r>
                </w:p>
                <w:p w:rsidR="00F04EEF" w:rsidRDefault="0099351E">
                  <w:pPr>
                    <w:numPr>
                      <w:ilvl w:val="0"/>
                      <w:numId w:val="153"/>
                    </w:numPr>
                    <w:tabs>
                      <w:tab w:val="left" w:pos="-589"/>
                    </w:tabs>
                    <w:ind w:left="567" w:hanging="567"/>
                    <w:jc w:val="both"/>
                  </w:pPr>
                  <w:r>
                    <w:rPr>
                      <w:lang w:val="fr-FR"/>
                    </w:rPr>
                    <w:t xml:space="preserve">La direction ou le pouvoir organisateur de l'établissement </w:t>
                  </w:r>
                  <w:r>
                    <w:rPr>
                      <w:b/>
                      <w:u w:val="single"/>
                      <w:lang w:val="fr-FR"/>
                    </w:rPr>
                    <w:t>d'enseignement</w:t>
                  </w:r>
                  <w:r>
                    <w:rPr>
                      <w:b/>
                      <w:u w:val="single"/>
                    </w:rPr>
                    <w:t xml:space="preserve"> </w:t>
                  </w:r>
                  <w:r>
                    <w:rPr>
                      <w:b/>
                      <w:u w:val="single"/>
                      <w:lang w:val="fr-FR"/>
                    </w:rPr>
                    <w:t>spécialisé</w:t>
                  </w:r>
                  <w:r>
                    <w:rPr>
                      <w:b/>
                      <w:lang w:val="fr-FR"/>
                    </w:rPr>
                    <w:t xml:space="preserve"> </w:t>
                  </w:r>
                  <w:r>
                    <w:rPr>
                      <w:lang w:val="fr-FR"/>
                    </w:rPr>
                    <w:t>concerné concerte tous les intervenants.</w:t>
                  </w:r>
                </w:p>
                <w:p w:rsidR="00F04EEF" w:rsidRDefault="0099351E">
                  <w:pPr>
                    <w:numPr>
                      <w:ilvl w:val="0"/>
                      <w:numId w:val="153"/>
                    </w:numPr>
                    <w:tabs>
                      <w:tab w:val="left" w:pos="-589"/>
                    </w:tabs>
                    <w:ind w:left="567" w:hanging="567"/>
                    <w:jc w:val="both"/>
                    <w:rPr>
                      <w:b/>
                      <w:u w:val="single"/>
                    </w:rPr>
                  </w:pPr>
                  <w:r>
                    <w:rPr>
                      <w:lang w:val="fr-FR"/>
                    </w:rPr>
                    <w:t xml:space="preserve">Pour poursuivre la procédure, la concertation doit déboucher sur un avis favorable </w:t>
                  </w:r>
                  <w:r>
                    <w:rPr>
                      <w:b/>
                      <w:u w:val="single"/>
                      <w:lang w:val="fr-FR"/>
                    </w:rPr>
                    <w:t>signé par tous les intervenants.</w:t>
                  </w:r>
                </w:p>
                <w:p w:rsidR="00F04EEF" w:rsidRDefault="0099351E">
                  <w:pPr>
                    <w:numPr>
                      <w:ilvl w:val="0"/>
                      <w:numId w:val="153"/>
                    </w:numPr>
                    <w:tabs>
                      <w:tab w:val="left" w:pos="-589"/>
                    </w:tabs>
                    <w:ind w:left="567" w:hanging="567"/>
                    <w:jc w:val="both"/>
                    <w:rPr>
                      <w:lang w:val="fr-FR"/>
                    </w:rPr>
                  </w:pPr>
                  <w:r>
                    <w:rPr>
                      <w:lang w:val="fr-FR"/>
                    </w:rPr>
                    <w:t>Si la concertation débouche sur un avis défavorable, chaque partenaire ayant marqué son désaccord motivera par écrit sa position au chef d’établissement dans le cadre d’un établissement d’enseignement spécialisé organisé par la Fédération Wallonie-Bruxelles ou au pouvoir organisateur dans le cadre d’un établissement d’enseignement spécialisé subventionné par la Fédération Wallonie-Bruxelles. Les motivations doivent être conservées dans l’école d’enseignement spécialisé.</w:t>
                  </w:r>
                </w:p>
                <w:p w:rsidR="00F04EEF" w:rsidRDefault="0099351E">
                  <w:pPr>
                    <w:numPr>
                      <w:ilvl w:val="0"/>
                      <w:numId w:val="153"/>
                    </w:numPr>
                    <w:tabs>
                      <w:tab w:val="left" w:pos="-589"/>
                    </w:tabs>
                    <w:ind w:left="567" w:hanging="567"/>
                    <w:jc w:val="both"/>
                    <w:rPr>
                      <w:lang w:val="fr-FR"/>
                    </w:rPr>
                  </w:pPr>
                  <w:r>
                    <w:rPr>
                      <w:lang w:val="fr-FR"/>
                    </w:rPr>
                    <w:t xml:space="preserve">Dès l'acceptation </w:t>
                  </w:r>
                  <w:r>
                    <w:rPr>
                      <w:color w:val="000000"/>
                      <w:lang w:val="fr-FR"/>
                    </w:rPr>
                    <w:t>de la proposition</w:t>
                  </w:r>
                  <w:r>
                    <w:rPr>
                      <w:lang w:val="fr-FR"/>
                    </w:rPr>
                    <w:t xml:space="preserve"> d’une intégration, la définition d'un projet d'intégration adapté aux besoins de l’élève est recherchée conjointement par :</w:t>
                  </w:r>
                </w:p>
                <w:p w:rsidR="00F04EEF" w:rsidRDefault="0099351E">
                  <w:pPr>
                    <w:autoSpaceDE w:val="0"/>
                    <w:autoSpaceDN w:val="0"/>
                    <w:adjustRightInd w:val="0"/>
                    <w:ind w:left="1134"/>
                    <w:jc w:val="both"/>
                    <w:rPr>
                      <w:lang w:val="fr-FR"/>
                    </w:rPr>
                  </w:pPr>
                  <w:r>
                    <w:rPr>
                      <w:lang w:val="fr-FR"/>
                    </w:rPr>
                    <w:t>1° le conseil de classe de l'établissement d'enseignement spécialisé ;</w:t>
                  </w:r>
                </w:p>
                <w:p w:rsidR="00F04EEF" w:rsidRDefault="0099351E">
                  <w:pPr>
                    <w:autoSpaceDE w:val="0"/>
                    <w:autoSpaceDN w:val="0"/>
                    <w:adjustRightInd w:val="0"/>
                    <w:ind w:left="1134"/>
                    <w:jc w:val="both"/>
                    <w:rPr>
                      <w:lang w:val="fr-FR"/>
                    </w:rPr>
                  </w:pPr>
                  <w:r>
                    <w:rPr>
                      <w:lang w:val="fr-FR"/>
                    </w:rPr>
                    <w:t>2° le conseil de classe de l'établissement d'enseignement ordinaire concerné, assisté par le centre psycho-médico-social qui assure la guidance des élèves de l'établissement.</w:t>
                  </w:r>
                </w:p>
                <w:p w:rsidR="00F04EEF" w:rsidRDefault="0099351E">
                  <w:pPr>
                    <w:numPr>
                      <w:ilvl w:val="0"/>
                      <w:numId w:val="153"/>
                    </w:numPr>
                    <w:suppressAutoHyphens/>
                    <w:autoSpaceDE w:val="0"/>
                    <w:autoSpaceDN w:val="0"/>
                    <w:adjustRightInd w:val="0"/>
                    <w:ind w:left="567" w:hanging="567"/>
                    <w:jc w:val="both"/>
                    <w:rPr>
                      <w:lang w:val="fr-FR"/>
                    </w:rPr>
                  </w:pPr>
                  <w:r>
                    <w:rPr>
                      <w:lang w:val="fr-FR"/>
                    </w:rPr>
                    <w:t>A ce stade, l’école d’enseignement spécialisé encode dans le « formulaire électronique intégration » les renseignements concernant l’intégration.</w:t>
                  </w:r>
                </w:p>
                <w:p w:rsidR="00F04EEF" w:rsidRDefault="0099351E">
                  <w:pPr>
                    <w:numPr>
                      <w:ilvl w:val="0"/>
                      <w:numId w:val="153"/>
                    </w:numPr>
                    <w:suppressAutoHyphens/>
                    <w:autoSpaceDE w:val="0"/>
                    <w:autoSpaceDN w:val="0"/>
                    <w:adjustRightInd w:val="0"/>
                    <w:ind w:left="567" w:hanging="567"/>
                    <w:jc w:val="both"/>
                    <w:rPr>
                      <w:lang w:val="fr-FR"/>
                    </w:rPr>
                  </w:pPr>
                  <w:r>
                    <w:rPr>
                      <w:lang w:val="fr-FR"/>
                    </w:rPr>
                    <w:t>Le « formulaire électronique intégration » génère un document PDF qui sera utilisé comme première partie pour établir le protocole d’intégration.</w:t>
                  </w:r>
                </w:p>
                <w:p w:rsidR="00F04EEF" w:rsidRDefault="0099351E">
                  <w:pPr>
                    <w:numPr>
                      <w:ilvl w:val="0"/>
                      <w:numId w:val="153"/>
                    </w:numPr>
                    <w:suppressAutoHyphens/>
                    <w:autoSpaceDE w:val="0"/>
                    <w:autoSpaceDN w:val="0"/>
                    <w:adjustRightInd w:val="0"/>
                    <w:ind w:left="567" w:hanging="567"/>
                    <w:jc w:val="both"/>
                    <w:rPr>
                      <w:lang w:val="fr-FR"/>
                    </w:rPr>
                  </w:pPr>
                  <w:r>
                    <w:rPr>
                      <w:lang w:val="fr-FR"/>
                    </w:rPr>
                    <w:t>Quand la 2</w:t>
                  </w:r>
                  <w:r>
                    <w:rPr>
                      <w:vertAlign w:val="superscript"/>
                      <w:lang w:val="fr-FR"/>
                    </w:rPr>
                    <w:t>ème</w:t>
                  </w:r>
                  <w:r>
                    <w:rPr>
                      <w:lang w:val="fr-FR"/>
                    </w:rPr>
                    <w:t xml:space="preserve"> partie est complétée et que la 3</w:t>
                  </w:r>
                  <w:r>
                    <w:rPr>
                      <w:vertAlign w:val="superscript"/>
                      <w:lang w:val="fr-FR"/>
                    </w:rPr>
                    <w:t>ème</w:t>
                  </w:r>
                  <w:r>
                    <w:rPr>
                      <w:lang w:val="fr-FR"/>
                    </w:rPr>
                    <w:t xml:space="preserve"> partie du protocole d’intégration est signée par tous les partenaires, l’école d’enseignement spécialisé peut valider le signalement de l’intégration dans le « formulaire électronique intégration ». L’école d’enseignement spécialisé doit alors transmettre une copie du protocole d’intégration à l’école d’enseignement ordinaire partenaire.</w:t>
                  </w:r>
                </w:p>
                <w:p w:rsidR="00F04EEF" w:rsidRDefault="0099351E">
                  <w:pPr>
                    <w:numPr>
                      <w:ilvl w:val="0"/>
                      <w:numId w:val="153"/>
                    </w:numPr>
                    <w:suppressAutoHyphens/>
                    <w:autoSpaceDE w:val="0"/>
                    <w:autoSpaceDN w:val="0"/>
                    <w:adjustRightInd w:val="0"/>
                    <w:ind w:left="567" w:hanging="567"/>
                    <w:jc w:val="both"/>
                    <w:rPr>
                      <w:lang w:val="fr-FR"/>
                    </w:rPr>
                  </w:pPr>
                  <w:r>
                    <w:rPr>
                      <w:lang w:val="fr-FR"/>
                    </w:rPr>
                    <w:t>Le protocole d’intégration original se trouvera dans l’école d’enseignement spécialisé à disposition des services de l’inspection et de la vérification population-scolaire.  Une copie doit être conservée dans l’établissement d’enseignement ordinaire.</w:t>
                  </w:r>
                </w:p>
                <w:p w:rsidR="00F04EEF" w:rsidRDefault="0099351E">
                  <w:pPr>
                    <w:numPr>
                      <w:ilvl w:val="0"/>
                      <w:numId w:val="153"/>
                    </w:numPr>
                    <w:suppressAutoHyphens/>
                    <w:autoSpaceDE w:val="0"/>
                    <w:autoSpaceDN w:val="0"/>
                    <w:adjustRightInd w:val="0"/>
                    <w:ind w:left="567" w:hanging="567"/>
                    <w:jc w:val="both"/>
                    <w:rPr>
                      <w:lang w:val="fr-FR"/>
                    </w:rPr>
                  </w:pPr>
                  <w:r>
                    <w:rPr>
                      <w:lang w:val="fr-FR"/>
                    </w:rPr>
                    <w:t>L’Administration sera informée de l’intégration via les données renseignées dans le « formulaire électronique intégration ».</w:t>
                  </w:r>
                </w:p>
                <w:p w:rsidR="00F04EEF" w:rsidRDefault="0099351E">
                  <w:pPr>
                    <w:numPr>
                      <w:ilvl w:val="0"/>
                      <w:numId w:val="153"/>
                    </w:numPr>
                    <w:suppressAutoHyphens/>
                    <w:autoSpaceDE w:val="0"/>
                    <w:autoSpaceDN w:val="0"/>
                    <w:adjustRightInd w:val="0"/>
                    <w:ind w:left="567" w:hanging="567"/>
                    <w:jc w:val="both"/>
                    <w:rPr>
                      <w:lang w:val="fr-FR"/>
                    </w:rPr>
                  </w:pPr>
                  <w:r>
                    <w:rPr>
                      <w:lang w:val="fr-FR"/>
                    </w:rPr>
                    <w:t>L’intégration doit, à présent, débuter à la date prévue sur le protocole.</w:t>
                  </w:r>
                </w:p>
                <w:p w:rsidR="00F04EEF" w:rsidRDefault="00F04EEF">
                  <w:pPr>
                    <w:autoSpaceDE w:val="0"/>
                    <w:autoSpaceDN w:val="0"/>
                    <w:adjustRightInd w:val="0"/>
                    <w:jc w:val="both"/>
                    <w:rPr>
                      <w:lang w:val="fr-FR"/>
                    </w:rPr>
                  </w:pPr>
                </w:p>
                <w:p w:rsidR="00F04EEF" w:rsidRDefault="0099351E">
                  <w:pPr>
                    <w:pStyle w:val="Titre3"/>
                    <w:rPr>
                      <w:sz w:val="22"/>
                      <w:szCs w:val="22"/>
                    </w:rPr>
                  </w:pPr>
                  <w:bookmarkStart w:id="3092" w:name="__RefHeading__249_957262308"/>
                  <w:bookmarkStart w:id="3093" w:name="_6._Que_doit"/>
                  <w:bookmarkStart w:id="3094" w:name="_Toc291075408"/>
                  <w:bookmarkStart w:id="3095" w:name="_Toc291075832"/>
                  <w:bookmarkStart w:id="3096" w:name="_Toc291076256"/>
                  <w:bookmarkStart w:id="3097" w:name="_Toc291076680"/>
                  <w:bookmarkStart w:id="3098" w:name="_Toc291077104"/>
                  <w:bookmarkStart w:id="3099" w:name="_Toc293651947"/>
                  <w:bookmarkStart w:id="3100" w:name="_Toc293653530"/>
                  <w:bookmarkStart w:id="3101" w:name="_Toc293654141"/>
                  <w:bookmarkStart w:id="3102" w:name="_Toc294004719"/>
                  <w:bookmarkStart w:id="3103" w:name="_Toc294185215"/>
                  <w:bookmarkStart w:id="3104" w:name="_Toc324166033"/>
                  <w:bookmarkStart w:id="3105" w:name="_Toc324767069"/>
                  <w:bookmarkStart w:id="3106" w:name="_Toc453314434"/>
                  <w:bookmarkStart w:id="3107" w:name="_Toc454980469"/>
                  <w:bookmarkStart w:id="3108" w:name="_Toc47708555"/>
                  <w:bookmarkEnd w:id="3092"/>
                  <w:bookmarkEnd w:id="3093"/>
                  <w:r>
                    <w:rPr>
                      <w:sz w:val="22"/>
                      <w:szCs w:val="22"/>
                    </w:rPr>
                    <w:t>6. Que doit contenir le protocole ?</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r>
                    <w:rPr>
                      <w:sz w:val="22"/>
                      <w:szCs w:val="22"/>
                    </w:rPr>
                    <w:t xml:space="preserve"> </w:t>
                  </w:r>
                </w:p>
                <w:p w:rsidR="00F04EEF" w:rsidRDefault="00F04EEF"/>
                <w:p w:rsidR="00F04EEF" w:rsidRDefault="0099351E">
                  <w:pPr>
                    <w:autoSpaceDE w:val="0"/>
                    <w:jc w:val="both"/>
                    <w:rPr>
                      <w:lang w:val="fr-FR"/>
                    </w:rPr>
                  </w:pPr>
                  <w:r>
                    <w:rPr>
                      <w:lang w:val="fr-FR"/>
                    </w:rPr>
                    <w:t xml:space="preserve">Les différents éléments sont explicités en </w:t>
                  </w:r>
                  <w:hyperlink w:anchor="_Annexe_1_:_1" w:history="1">
                    <w:r>
                      <w:rPr>
                        <w:rStyle w:val="Lienhypertexte"/>
                        <w:rFonts w:cs="Arial"/>
                        <w:lang w:val="fr-FR"/>
                      </w:rPr>
                      <w:t>annexe 1</w:t>
                    </w:r>
                  </w:hyperlink>
                  <w:r>
                    <w:rPr>
                      <w:lang w:val="fr-FR"/>
                    </w:rPr>
                    <w:t xml:space="preserve">. </w:t>
                  </w:r>
                </w:p>
                <w:p w:rsidR="00F04EEF" w:rsidRDefault="00F04EEF">
                  <w:pPr>
                    <w:autoSpaceDE w:val="0"/>
                    <w:jc w:val="both"/>
                    <w:rPr>
                      <w:i/>
                      <w:iCs/>
                      <w:lang w:val="fr-FR"/>
                    </w:rPr>
                  </w:pPr>
                </w:p>
                <w:p w:rsidR="00F04EEF" w:rsidRDefault="0099351E">
                  <w:pPr>
                    <w:autoSpaceDE w:val="0"/>
                    <w:jc w:val="both"/>
                    <w:rPr>
                      <w:lang w:val="fr-FR"/>
                    </w:rPr>
                  </w:pPr>
                  <w:r>
                    <w:rPr>
                      <w:lang w:val="fr-FR"/>
                    </w:rPr>
                    <w:t xml:space="preserve">L’original de ce protocole se trouve dans l’école d’enseignement spécialisé et une copie de celui-ci  est conservée dans l’école d’enseignement ordinaire à disposition des services de l'inspection et de la vérification. </w:t>
                  </w:r>
                </w:p>
                <w:p w:rsidR="00F04EEF" w:rsidRDefault="00F04EEF">
                  <w:pPr>
                    <w:autoSpaceDE w:val="0"/>
                    <w:jc w:val="both"/>
                    <w:rPr>
                      <w:lang w:val="fr-FR"/>
                    </w:rPr>
                  </w:pPr>
                </w:p>
                <w:p w:rsidR="00F04EEF" w:rsidRDefault="0099351E">
                  <w:pPr>
                    <w:pStyle w:val="Titre3"/>
                    <w:rPr>
                      <w:sz w:val="22"/>
                      <w:szCs w:val="22"/>
                    </w:rPr>
                  </w:pPr>
                  <w:bookmarkStart w:id="3109" w:name="_7._Récapitulatif_des_1"/>
                  <w:bookmarkStart w:id="3110" w:name="_7._Récapitulatif_des_2"/>
                  <w:bookmarkStart w:id="3111" w:name="_Toc453314435"/>
                  <w:bookmarkStart w:id="3112" w:name="_Toc454980470"/>
                  <w:bookmarkStart w:id="3113" w:name="_Toc47708556"/>
                  <w:bookmarkEnd w:id="3109"/>
                  <w:bookmarkEnd w:id="3110"/>
                  <w:r>
                    <w:rPr>
                      <w:sz w:val="22"/>
                      <w:szCs w:val="22"/>
                    </w:rPr>
                    <w:t>7. Récapitulatif des modalités de fonctionnement (suivant le type d’intégration)</w:t>
                  </w:r>
                  <w:bookmarkEnd w:id="3111"/>
                  <w:bookmarkEnd w:id="3112"/>
                  <w:bookmarkEnd w:id="3113"/>
                  <w:r>
                    <w:rPr>
                      <w:sz w:val="22"/>
                      <w:szCs w:val="22"/>
                    </w:rPr>
                    <w:t xml:space="preserve"> </w:t>
                  </w:r>
                </w:p>
                <w:p w:rsidR="00F04EEF" w:rsidRDefault="0099351E">
                  <w:pPr>
                    <w:autoSpaceDE w:val="0"/>
                    <w:jc w:val="both"/>
                  </w:pPr>
                  <w:r>
                    <w:rPr>
                      <w:noProof/>
                      <w:lang w:eastAsia="fr-BE"/>
                    </w:rPr>
                    <mc:AlternateContent>
                      <mc:Choice Requires="wps">
                        <w:drawing>
                          <wp:anchor distT="0" distB="0" distL="114300" distR="114300" simplePos="0" relativeHeight="252372992" behindDoc="0" locked="0" layoutInCell="1" allowOverlap="1">
                            <wp:simplePos x="0" y="0"/>
                            <wp:positionH relativeFrom="column">
                              <wp:posOffset>6167120</wp:posOffset>
                            </wp:positionH>
                            <wp:positionV relativeFrom="paragraph">
                              <wp:posOffset>224790</wp:posOffset>
                            </wp:positionV>
                            <wp:extent cx="0" cy="228600"/>
                            <wp:effectExtent l="0" t="0" r="19050" b="19050"/>
                            <wp:wrapNone/>
                            <wp:docPr id="152" name="Connecteur droit 15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29F9E60" id="Connecteur droit 152" o:spid="_x0000_s1026" style="position:absolute;z-index:25237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5.6pt,17.7pt" to="485.6pt,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" strokecolor="black [3213]"/>
                        </w:pict>
                      </mc:Fallback>
                    </mc:AlternateContent>
                  </w:r>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16"/>
                    <w:gridCol w:w="4690"/>
                  </w:tblGrid>
                  <w:tr w:rsidR="00F04EEF">
                    <w:trPr>
                      <w:tblHeader/>
                    </w:trPr>
                    <w:tc>
                      <w:tcPr>
                        <w:tcW w:w="4673" w:type="dxa"/>
                        <w:shd w:val="pct10" w:color="auto" w:fill="auto"/>
                      </w:tcPr>
                      <w:p w:rsidR="00F04EEF" w:rsidRDefault="0099351E">
                        <w:pPr>
                          <w:tabs>
                            <w:tab w:val="left" w:pos="-1908"/>
                            <w:tab w:val="left" w:pos="1134"/>
                            <w:tab w:val="left" w:pos="1872"/>
                            <w:tab w:val="left" w:pos="2003"/>
                            <w:tab w:val="left" w:pos="6323"/>
                          </w:tabs>
                          <w:jc w:val="center"/>
                          <w:rPr>
                            <w:b/>
                          </w:rPr>
                        </w:pPr>
                        <w:r>
                          <w:rPr>
                            <w:b/>
                          </w:rPr>
                          <w:t>Intégrations permanentes totales</w:t>
                        </w:r>
                      </w:p>
                      <w:p w:rsidR="00F04EEF" w:rsidRDefault="0099351E">
                        <w:pPr>
                          <w:tabs>
                            <w:tab w:val="left" w:pos="-1908"/>
                            <w:tab w:val="left" w:pos="1134"/>
                            <w:tab w:val="left" w:pos="1872"/>
                            <w:tab w:val="left" w:pos="2003"/>
                            <w:tab w:val="left" w:pos="6323"/>
                          </w:tabs>
                          <w:jc w:val="center"/>
                          <w:rPr>
                            <w:b/>
                          </w:rPr>
                        </w:pPr>
                        <w:r>
                          <w:rPr>
                            <w:b/>
                          </w:rPr>
                          <w:t>(Articles 131 à 145)</w:t>
                        </w:r>
                      </w:p>
                      <w:p w:rsidR="00F04EEF" w:rsidRDefault="00F04EEF">
                        <w:pPr>
                          <w:jc w:val="center"/>
                        </w:pPr>
                      </w:p>
                    </w:tc>
                    <w:tc>
                      <w:tcPr>
                        <w:tcW w:w="4706" w:type="dxa"/>
                        <w:gridSpan w:val="2"/>
                        <w:shd w:val="pct10" w:color="auto" w:fill="auto"/>
                      </w:tcPr>
                      <w:p w:rsidR="00F04EEF" w:rsidRDefault="0099351E">
                        <w:pPr>
                          <w:tabs>
                            <w:tab w:val="left" w:pos="-1908"/>
                            <w:tab w:val="left" w:pos="1134"/>
                            <w:tab w:val="left" w:pos="1872"/>
                            <w:tab w:val="left" w:pos="2003"/>
                            <w:tab w:val="left" w:pos="6323"/>
                          </w:tabs>
                          <w:jc w:val="center"/>
                          <w:rPr>
                            <w:b/>
                          </w:rPr>
                        </w:pPr>
                        <w:r>
                          <w:rPr>
                            <w:b/>
                          </w:rPr>
                          <w:t>Intégrations permanentes partielles</w:t>
                        </w:r>
                      </w:p>
                      <w:p w:rsidR="00F04EEF" w:rsidRDefault="0099351E">
                        <w:pPr>
                          <w:jc w:val="center"/>
                          <w:rPr>
                            <w:b/>
                          </w:rPr>
                        </w:pPr>
                        <w:r>
                          <w:rPr>
                            <w:b/>
                          </w:rPr>
                          <w:t>Intégrations temporaires</w:t>
                        </w:r>
                        <w:r>
                          <w:rPr>
                            <w:b/>
                            <w:strike/>
                          </w:rPr>
                          <w:t xml:space="preserve"> </w:t>
                        </w:r>
                        <w:r>
                          <w:rPr>
                            <w:b/>
                          </w:rPr>
                          <w:t>partielles</w:t>
                        </w:r>
                      </w:p>
                      <w:p w:rsidR="00F04EEF" w:rsidRDefault="0099351E">
                        <w:pPr>
                          <w:jc w:val="center"/>
                          <w:rPr>
                            <w:b/>
                          </w:rPr>
                        </w:pPr>
                        <w:r>
                          <w:rPr>
                            <w:b/>
                          </w:rPr>
                          <w:t>(Articles 146 à 158)</w:t>
                        </w:r>
                      </w:p>
                      <w:p w:rsidR="00F04EEF" w:rsidRDefault="0099351E">
                        <w:pPr>
                          <w:jc w:val="center"/>
                        </w:pPr>
                        <w:r>
                          <w:rPr>
                            <w:noProof/>
                            <w:lang w:eastAsia="fr-BE"/>
                          </w:rPr>
                          <mc:AlternateContent>
                            <mc:Choice Requires="wps">
                              <w:drawing>
                                <wp:anchor distT="0" distB="0" distL="114300" distR="114300" simplePos="0" relativeHeight="252006400" behindDoc="0" locked="0" layoutInCell="1" allowOverlap="1">
                                  <wp:simplePos x="0" y="0"/>
                                  <wp:positionH relativeFrom="column">
                                    <wp:posOffset>6897370</wp:posOffset>
                                  </wp:positionH>
                                  <wp:positionV relativeFrom="paragraph">
                                    <wp:posOffset>918210</wp:posOffset>
                                  </wp:positionV>
                                  <wp:extent cx="9525" cy="523875"/>
                                  <wp:effectExtent l="0" t="0" r="32385" b="28575"/>
                                  <wp:wrapNone/>
                                  <wp:docPr id="465" name="Connecteur droit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5238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B11CFB8" id="Connecteur droit 465" o:spid="_x0000_s1026" style="position:absolute;flip:x;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2.3pt" to="543.85pt,1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" strokecolor="black [3213]" strokeweight="1.5pt">
                                  <o:lock v:ext="edit" shapetype="f"/>
                                </v:line>
                              </w:pict>
                            </mc:Fallback>
                          </mc:AlternateContent>
                        </w: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1. Dès que le protocole est signé, quand commence l’intégration ?</w:t>
                        </w:r>
                      </w:p>
                    </w:tc>
                  </w:tr>
                  <w:tr w:rsidR="00F04EEF">
                    <w:tc>
                      <w:tcPr>
                        <w:tcW w:w="4673" w:type="dxa"/>
                      </w:tcPr>
                      <w:p w:rsidR="00F04EEF" w:rsidRDefault="00F04EEF">
                        <w:pPr>
                          <w:tabs>
                            <w:tab w:val="left" w:pos="-1908"/>
                            <w:tab w:val="left" w:pos="1134"/>
                            <w:tab w:val="left" w:pos="1872"/>
                            <w:tab w:val="left" w:pos="2003"/>
                            <w:tab w:val="left" w:pos="6323"/>
                          </w:tabs>
                        </w:pPr>
                      </w:p>
                      <w:p w:rsidR="00F04EEF" w:rsidRDefault="0099351E">
                        <w:pPr>
                          <w:tabs>
                            <w:tab w:val="left" w:pos="-1908"/>
                            <w:tab w:val="left" w:pos="1134"/>
                            <w:tab w:val="left" w:pos="1872"/>
                            <w:tab w:val="left" w:pos="2003"/>
                            <w:tab w:val="left" w:pos="6323"/>
                          </w:tabs>
                          <w:rPr>
                            <w:b/>
                          </w:rPr>
                        </w:pPr>
                        <w:r>
                          <w:t>Au 1</w:t>
                        </w:r>
                        <w:r>
                          <w:rPr>
                            <w:vertAlign w:val="superscript"/>
                          </w:rPr>
                          <w:t>er</w:t>
                        </w:r>
                        <w:r>
                          <w:t xml:space="preserve"> septembre.</w:t>
                        </w:r>
                      </w:p>
                    </w:tc>
                    <w:tc>
                      <w:tcPr>
                        <w:tcW w:w="4706" w:type="dxa"/>
                        <w:gridSpan w:val="2"/>
                      </w:tcPr>
                      <w:p w:rsidR="00F04EEF" w:rsidRDefault="00F04EEF">
                        <w:pPr>
                          <w:tabs>
                            <w:tab w:val="left" w:pos="-1908"/>
                            <w:tab w:val="left" w:pos="1134"/>
                            <w:tab w:val="left" w:pos="1872"/>
                            <w:tab w:val="left" w:pos="2003"/>
                            <w:tab w:val="left" w:pos="6323"/>
                          </w:tabs>
                          <w:jc w:val="both"/>
                        </w:pPr>
                      </w:p>
                      <w:p w:rsidR="00F04EEF" w:rsidRDefault="0099351E">
                        <w:pPr>
                          <w:tabs>
                            <w:tab w:val="left" w:pos="-1908"/>
                            <w:tab w:val="left" w:pos="1134"/>
                            <w:tab w:val="left" w:pos="1872"/>
                            <w:tab w:val="left" w:pos="2003"/>
                            <w:tab w:val="left" w:pos="6323"/>
                          </w:tabs>
                          <w:jc w:val="both"/>
                        </w:pPr>
                        <w:r>
                          <w:t>Les intégrations débutent à tout moment de l’année, selon la date prévue dans le protocole sauf pour les intégrations permanentes partielles qui débutent également au 1</w:t>
                        </w:r>
                        <w:r>
                          <w:rPr>
                            <w:vertAlign w:val="superscript"/>
                          </w:rPr>
                          <w:t>er</w:t>
                        </w:r>
                        <w:r>
                          <w:t xml:space="preserve"> septembre.</w:t>
                        </w:r>
                      </w:p>
                      <w:p w:rsidR="00F04EEF" w:rsidRDefault="00F04EEF">
                        <w:pPr>
                          <w:tabs>
                            <w:tab w:val="left" w:pos="-1908"/>
                            <w:tab w:val="left" w:pos="1134"/>
                            <w:tab w:val="left" w:pos="1872"/>
                            <w:tab w:val="left" w:pos="2003"/>
                            <w:tab w:val="left" w:pos="6323"/>
                          </w:tabs>
                          <w:jc w:val="both"/>
                          <w:rPr>
                            <w:b/>
                          </w:rPr>
                        </w:pP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2. Quels sont les élèves concernés ?</w:t>
                        </w:r>
                      </w:p>
                    </w:tc>
                  </w:tr>
                  <w:tr w:rsidR="00F04EEF">
                    <w:tc>
                      <w:tcPr>
                        <w:tcW w:w="4673" w:type="dxa"/>
                      </w:tcPr>
                      <w:p w:rsidR="00F04EEF" w:rsidRDefault="00F04EEF">
                        <w:pPr>
                          <w:pStyle w:val="Normalcentr1"/>
                          <w:tabs>
                            <w:tab w:val="left" w:pos="-1908"/>
                            <w:tab w:val="left" w:pos="1872"/>
                          </w:tabs>
                          <w:snapToGrid w:val="0"/>
                          <w:ind w:left="0" w:right="-5"/>
                          <w:rPr>
                            <w:rFonts w:asciiTheme="majorHAnsi" w:hAnsiTheme="majorHAnsi"/>
                            <w:szCs w:val="22"/>
                          </w:rPr>
                        </w:pPr>
                      </w:p>
                      <w:p w:rsidR="00F04EEF" w:rsidRDefault="0099351E">
                        <w:pPr>
                          <w:pStyle w:val="Normalcentr1"/>
                          <w:tabs>
                            <w:tab w:val="left" w:pos="-1908"/>
                            <w:tab w:val="left" w:pos="1872"/>
                          </w:tabs>
                          <w:snapToGrid w:val="0"/>
                          <w:ind w:left="0" w:right="-5"/>
                          <w:rPr>
                            <w:rFonts w:asciiTheme="majorHAnsi" w:hAnsiTheme="majorHAnsi"/>
                            <w:szCs w:val="22"/>
                          </w:rPr>
                        </w:pPr>
                        <w:r>
                          <w:rPr>
                            <w:rFonts w:asciiTheme="majorHAnsi" w:hAnsiTheme="majorHAnsi"/>
                            <w:szCs w:val="22"/>
                          </w:rPr>
                          <w:t xml:space="preserve">Les élèves régulièrement inscrits dans l’enseignement spécialisé au plus tard le </w:t>
                        </w:r>
                        <w:r>
                          <w:rPr>
                            <w:rFonts w:asciiTheme="majorHAnsi" w:hAnsiTheme="majorHAnsi"/>
                            <w:b/>
                            <w:szCs w:val="22"/>
                          </w:rPr>
                          <w:t>15 janvier précédant</w:t>
                        </w:r>
                        <w:r>
                          <w:rPr>
                            <w:rFonts w:asciiTheme="majorHAnsi" w:hAnsiTheme="majorHAnsi"/>
                            <w:szCs w:val="22"/>
                          </w:rPr>
                          <w:t xml:space="preserve"> le début de l’intégration.</w:t>
                        </w:r>
                      </w:p>
                      <w:p w:rsidR="00F04EEF" w:rsidRDefault="00F04EEF">
                        <w:pPr>
                          <w:pStyle w:val="Normalcentr1"/>
                          <w:tabs>
                            <w:tab w:val="left" w:pos="-1908"/>
                            <w:tab w:val="left" w:pos="1872"/>
                          </w:tabs>
                          <w:snapToGrid w:val="0"/>
                          <w:ind w:left="0" w:right="-5"/>
                          <w:rPr>
                            <w:rFonts w:asciiTheme="majorHAnsi" w:hAnsiTheme="majorHAnsi"/>
                            <w:szCs w:val="22"/>
                          </w:rPr>
                        </w:pPr>
                      </w:p>
                      <w:p w:rsidR="00F04EEF" w:rsidRDefault="0099351E">
                        <w:pPr>
                          <w:pStyle w:val="Normalcentr1"/>
                          <w:tabs>
                            <w:tab w:val="left" w:pos="-1908"/>
                            <w:tab w:val="left" w:pos="1872"/>
                          </w:tabs>
                          <w:ind w:left="0" w:right="-5"/>
                          <w:rPr>
                            <w:rFonts w:asciiTheme="majorHAnsi" w:hAnsiTheme="majorHAnsi"/>
                            <w:szCs w:val="22"/>
                          </w:rPr>
                        </w:pPr>
                        <w:r>
                          <w:rPr>
                            <w:rFonts w:asciiTheme="majorHAnsi" w:hAnsiTheme="majorHAnsi"/>
                            <w:szCs w:val="22"/>
                          </w:rPr>
                          <w:t xml:space="preserve">Les élèves régulièrement inscrits dans une école d’enseignement ordinaire organisant l’apprentissage par immersion en langue des signes en classe bilingue français-langue des signes au 15 janvier précédant le début de l’intégration. </w:t>
                        </w:r>
                      </w:p>
                      <w:p w:rsidR="00F04EEF" w:rsidRDefault="00F04EEF">
                        <w:pPr>
                          <w:pStyle w:val="Normalcentr1"/>
                          <w:tabs>
                            <w:tab w:val="left" w:pos="-1908"/>
                            <w:tab w:val="left" w:pos="1872"/>
                          </w:tabs>
                          <w:ind w:left="0" w:right="-5"/>
                          <w:rPr>
                            <w:rFonts w:asciiTheme="majorHAnsi" w:hAnsiTheme="majorHAnsi"/>
                            <w:szCs w:val="22"/>
                          </w:rPr>
                        </w:pPr>
                      </w:p>
                      <w:p w:rsidR="00F04EEF" w:rsidRDefault="0099351E">
                        <w:pPr>
                          <w:pStyle w:val="Normalcentr1"/>
                          <w:tabs>
                            <w:tab w:val="left" w:pos="-1908"/>
                            <w:tab w:val="left" w:pos="1872"/>
                          </w:tabs>
                          <w:ind w:left="0" w:right="-5"/>
                          <w:rPr>
                            <w:rFonts w:asciiTheme="majorHAnsi" w:hAnsiTheme="majorHAnsi"/>
                            <w:szCs w:val="22"/>
                          </w:rPr>
                        </w:pPr>
                        <w:r>
                          <w:rPr>
                            <w:rFonts w:asciiTheme="majorHAnsi" w:hAnsiTheme="majorHAnsi"/>
                            <w:szCs w:val="22"/>
                          </w:rPr>
                          <w:t>Dans ce cas l’accompagnement sera assuré par un membre du personnel de l’école d’enseignement spécialisé de type 7 chargé de l’immersion en langue des signes.</w:t>
                        </w:r>
                      </w:p>
                      <w:p w:rsidR="00F04EEF" w:rsidRDefault="00F04EEF">
                        <w:pPr>
                          <w:pStyle w:val="Normalcentr1"/>
                          <w:tabs>
                            <w:tab w:val="left" w:pos="-1908"/>
                            <w:tab w:val="left" w:pos="1872"/>
                          </w:tabs>
                          <w:ind w:left="0" w:right="-5"/>
                          <w:rPr>
                            <w:rFonts w:asciiTheme="majorHAnsi" w:hAnsiTheme="majorHAnsi"/>
                            <w:b/>
                            <w:szCs w:val="22"/>
                          </w:rPr>
                        </w:pPr>
                      </w:p>
                    </w:tc>
                    <w:tc>
                      <w:tcPr>
                        <w:tcW w:w="4706" w:type="dxa"/>
                        <w:gridSpan w:val="2"/>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Tous les élèves à besoins spécifiques, qu’ils soient scolarisés dans l’enseignement ordinaire ou dans l’enseignement spécialisé.</w:t>
                        </w:r>
                      </w:p>
                      <w:p w:rsidR="00F04EEF" w:rsidRDefault="0099351E">
                        <w:pPr>
                          <w:tabs>
                            <w:tab w:val="left" w:pos="-1908"/>
                            <w:tab w:val="left" w:pos="1872"/>
                          </w:tabs>
                          <w:jc w:val="both"/>
                        </w:pPr>
                        <w:r>
                          <w:t>Toutefois, seuls les élèves régulièrement inscrits dans l’enseignement spécialisé peuvent bénéficier de ces types d’intégration.</w:t>
                        </w:r>
                      </w:p>
                      <w:p w:rsidR="00F04EEF" w:rsidRDefault="00F04EEF">
                        <w:pPr>
                          <w:tabs>
                            <w:tab w:val="left" w:pos="-1908"/>
                            <w:tab w:val="left" w:pos="1872"/>
                          </w:tabs>
                          <w:jc w:val="both"/>
                        </w:pPr>
                      </w:p>
                      <w:p w:rsidR="00F04EEF" w:rsidRDefault="00F04EEF">
                        <w:pPr>
                          <w:tabs>
                            <w:tab w:val="left" w:pos="-1908"/>
                            <w:tab w:val="left" w:pos="1872"/>
                          </w:tabs>
                          <w:jc w:val="both"/>
                          <w:rPr>
                            <w:b/>
                          </w:rPr>
                        </w:pP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3. Où l’élève est-il inscrit et comptabilisé ?</w:t>
                        </w:r>
                      </w:p>
                    </w:tc>
                  </w:tr>
                  <w:tr w:rsidR="00F04EEF">
                    <w:tc>
                      <w:tcPr>
                        <w:tcW w:w="4673" w:type="dxa"/>
                      </w:tcPr>
                      <w:p w:rsidR="00F04EEF" w:rsidRDefault="00F04EEF">
                        <w:pPr>
                          <w:tabs>
                            <w:tab w:val="left" w:pos="-1908"/>
                            <w:tab w:val="left" w:pos="1134"/>
                            <w:tab w:val="left" w:pos="1872"/>
                            <w:tab w:val="left" w:pos="2003"/>
                            <w:tab w:val="left" w:pos="6323"/>
                          </w:tabs>
                          <w:snapToGrid w:val="0"/>
                          <w:jc w:val="both"/>
                        </w:pPr>
                      </w:p>
                      <w:p w:rsidR="00F04EEF" w:rsidRDefault="0099351E">
                        <w:pPr>
                          <w:tabs>
                            <w:tab w:val="left" w:pos="-1908"/>
                            <w:tab w:val="left" w:pos="1134"/>
                            <w:tab w:val="left" w:pos="1872"/>
                            <w:tab w:val="left" w:pos="2003"/>
                            <w:tab w:val="left" w:pos="6323"/>
                          </w:tabs>
                          <w:snapToGrid w:val="0"/>
                          <w:jc w:val="both"/>
                        </w:pPr>
                        <w:r>
                          <w:t>Inscrit et comptabilisé au 1</w:t>
                        </w:r>
                        <w:r>
                          <w:rPr>
                            <w:vertAlign w:val="superscript"/>
                          </w:rPr>
                          <w:t>er</w:t>
                        </w:r>
                        <w:r>
                          <w:t xml:space="preserve"> septembre dans l’école d’enseignement ordinaire.</w:t>
                        </w:r>
                      </w:p>
                      <w:p w:rsidR="00F04EEF" w:rsidRDefault="00F04EEF">
                        <w:pPr>
                          <w:tabs>
                            <w:tab w:val="left" w:pos="-1908"/>
                            <w:tab w:val="left" w:pos="1134"/>
                            <w:tab w:val="left" w:pos="1872"/>
                            <w:tab w:val="left" w:pos="2003"/>
                            <w:tab w:val="left" w:pos="6323"/>
                          </w:tabs>
                          <w:snapToGrid w:val="0"/>
                          <w:jc w:val="both"/>
                        </w:pPr>
                      </w:p>
                      <w:p w:rsidR="00F04EEF" w:rsidRDefault="00F04EEF">
                        <w:pPr>
                          <w:tabs>
                            <w:tab w:val="left" w:pos="-1908"/>
                            <w:tab w:val="left" w:pos="1134"/>
                            <w:tab w:val="left" w:pos="1872"/>
                            <w:tab w:val="left" w:pos="2003"/>
                            <w:tab w:val="left" w:pos="6323"/>
                          </w:tabs>
                          <w:jc w:val="both"/>
                          <w:rPr>
                            <w:b/>
                          </w:rPr>
                        </w:pPr>
                      </w:p>
                    </w:tc>
                    <w:tc>
                      <w:tcPr>
                        <w:tcW w:w="4706" w:type="dxa"/>
                        <w:gridSpan w:val="2"/>
                      </w:tcPr>
                      <w:p w:rsidR="00F04EEF" w:rsidRDefault="00F04EEF">
                        <w:pPr>
                          <w:tabs>
                            <w:tab w:val="left" w:pos="-1908"/>
                            <w:tab w:val="left" w:pos="1134"/>
                            <w:tab w:val="left" w:pos="1872"/>
                            <w:tab w:val="left" w:pos="2003"/>
                            <w:tab w:val="left" w:pos="6323"/>
                          </w:tabs>
                          <w:jc w:val="both"/>
                        </w:pPr>
                      </w:p>
                      <w:p w:rsidR="00F04EEF" w:rsidRDefault="0099351E">
                        <w:pPr>
                          <w:tabs>
                            <w:tab w:val="left" w:pos="-1908"/>
                            <w:tab w:val="left" w:pos="1134"/>
                            <w:tab w:val="left" w:pos="1872"/>
                            <w:tab w:val="left" w:pos="2003"/>
                            <w:tab w:val="left" w:pos="6323"/>
                          </w:tabs>
                          <w:jc w:val="both"/>
                          <w:rPr>
                            <w:b/>
                          </w:rPr>
                        </w:pPr>
                        <w:r>
                          <w:t>Inscrit et comptabilisé dans l’école d’enseignement spécialisé.</w:t>
                        </w: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4. Où se trouve physiquement l’élève ?</w:t>
                        </w:r>
                      </w:p>
                    </w:tc>
                  </w:tr>
                  <w:tr w:rsidR="00F04EEF">
                    <w:tc>
                      <w:tcPr>
                        <w:tcW w:w="4673" w:type="dxa"/>
                      </w:tcPr>
                      <w:p w:rsidR="00F04EEF" w:rsidRDefault="00F04EEF">
                        <w:pPr>
                          <w:tabs>
                            <w:tab w:val="left" w:pos="-1908"/>
                            <w:tab w:val="left" w:pos="1134"/>
                            <w:tab w:val="left" w:pos="1872"/>
                            <w:tab w:val="left" w:pos="2003"/>
                            <w:tab w:val="left" w:pos="6323"/>
                          </w:tabs>
                          <w:snapToGrid w:val="0"/>
                          <w:jc w:val="both"/>
                        </w:pPr>
                      </w:p>
                      <w:p w:rsidR="00F04EEF" w:rsidRDefault="0099351E">
                        <w:pPr>
                          <w:tabs>
                            <w:tab w:val="left" w:pos="-1908"/>
                            <w:tab w:val="left" w:pos="1134"/>
                            <w:tab w:val="left" w:pos="1872"/>
                            <w:tab w:val="left" w:pos="2003"/>
                            <w:tab w:val="left" w:pos="6323"/>
                          </w:tabs>
                          <w:snapToGrid w:val="0"/>
                          <w:jc w:val="both"/>
                        </w:pPr>
                        <w:r>
                          <w:t>Dans l’école d’enseignement ordinaire.</w:t>
                        </w:r>
                      </w:p>
                      <w:p w:rsidR="00F04EEF" w:rsidRDefault="00F04EEF">
                        <w:pPr>
                          <w:tabs>
                            <w:tab w:val="left" w:pos="-1908"/>
                            <w:tab w:val="left" w:pos="1134"/>
                            <w:tab w:val="left" w:pos="1872"/>
                            <w:tab w:val="left" w:pos="2003"/>
                            <w:tab w:val="left" w:pos="6323"/>
                          </w:tabs>
                          <w:jc w:val="center"/>
                          <w:rPr>
                            <w:b/>
                          </w:rPr>
                        </w:pPr>
                      </w:p>
                    </w:tc>
                    <w:tc>
                      <w:tcPr>
                        <w:tcW w:w="4706" w:type="dxa"/>
                        <w:gridSpan w:val="2"/>
                      </w:tcPr>
                      <w:p w:rsidR="00F04EEF" w:rsidRDefault="00F04EEF">
                        <w:pPr>
                          <w:tabs>
                            <w:tab w:val="left" w:pos="-1908"/>
                            <w:tab w:val="left" w:pos="1134"/>
                            <w:tab w:val="left" w:pos="1872"/>
                            <w:tab w:val="left" w:pos="2003"/>
                            <w:tab w:val="left" w:pos="6323"/>
                          </w:tabs>
                          <w:jc w:val="both"/>
                        </w:pPr>
                      </w:p>
                      <w:p w:rsidR="00F04EEF" w:rsidRDefault="0099351E">
                        <w:pPr>
                          <w:tabs>
                            <w:tab w:val="left" w:pos="-1908"/>
                            <w:tab w:val="left" w:pos="1134"/>
                            <w:tab w:val="left" w:pos="1872"/>
                            <w:tab w:val="left" w:pos="2003"/>
                            <w:tab w:val="left" w:pos="6323"/>
                          </w:tabs>
                          <w:jc w:val="both"/>
                          <w:rPr>
                            <w:b/>
                          </w:rPr>
                        </w:pPr>
                        <w:r>
                          <w:t>Dans l’école d’enseignement ordinaire et spécialisé.</w:t>
                        </w:r>
                        <w:r>
                          <w:rPr>
                            <w:b/>
                          </w:rPr>
                          <w:t xml:space="preserve"> </w:t>
                        </w: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5. Qui assure l’accompagnement de l’élève ?</w:t>
                        </w:r>
                      </w:p>
                    </w:tc>
                  </w:tr>
                  <w:tr w:rsidR="00F04EEF">
                    <w:tc>
                      <w:tcPr>
                        <w:tcW w:w="4673" w:type="dxa"/>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 et en plus, pour les élèves des types 4, 5, 6, 7 intégrés dans le 3</w:t>
                        </w:r>
                        <w:r>
                          <w:rPr>
                            <w:vertAlign w:val="superscript"/>
                          </w:rPr>
                          <w:t>ème</w:t>
                        </w:r>
                        <w:r>
                          <w:t xml:space="preserve"> degré, un (ou des) membre(s) du personnel de l’école d’enseignement secondaire ordinaire.</w:t>
                        </w:r>
                      </w:p>
                      <w:p w:rsidR="00F04EEF" w:rsidRDefault="00F04EEF">
                        <w:pPr>
                          <w:tabs>
                            <w:tab w:val="left" w:pos="-1908"/>
                            <w:tab w:val="left" w:pos="1872"/>
                          </w:tabs>
                          <w:snapToGrid w:val="0"/>
                          <w:jc w:val="both"/>
                        </w:pPr>
                      </w:p>
                      <w:p w:rsidR="00F04EEF" w:rsidRDefault="0099351E">
                        <w:pPr>
                          <w:tabs>
                            <w:tab w:val="left" w:pos="-1908"/>
                            <w:tab w:val="left" w:pos="1134"/>
                            <w:tab w:val="left" w:pos="1872"/>
                            <w:tab w:val="left" w:pos="2003"/>
                            <w:tab w:val="left" w:pos="6323"/>
                          </w:tabs>
                          <w:jc w:val="both"/>
                        </w:pPr>
                        <w:r>
                          <w:t>Dans le cas d’un élève provenant d’une école d’enseignement ordinaire organisant l’apprentissage par immersion en langue des signes en classe bilingue français-langue des signes, l’accompagnement sera assuré par un membre du personnel de l’école d’enseignement spécialisé de type 7 chargé de l’immersion en langue des signes.</w:t>
                        </w:r>
                      </w:p>
                      <w:p w:rsidR="00F04EEF" w:rsidRDefault="00F04EEF">
                        <w:pPr>
                          <w:tabs>
                            <w:tab w:val="left" w:pos="-1908"/>
                            <w:tab w:val="left" w:pos="1134"/>
                            <w:tab w:val="left" w:pos="1872"/>
                            <w:tab w:val="left" w:pos="2003"/>
                            <w:tab w:val="left" w:pos="6323"/>
                          </w:tabs>
                          <w:jc w:val="both"/>
                          <w:rPr>
                            <w:b/>
                          </w:rPr>
                        </w:pPr>
                      </w:p>
                      <w:p w:rsidR="00F04EEF" w:rsidRDefault="00F04EEF">
                        <w:pPr>
                          <w:tabs>
                            <w:tab w:val="left" w:pos="-1908"/>
                            <w:tab w:val="left" w:pos="1134"/>
                            <w:tab w:val="left" w:pos="1872"/>
                            <w:tab w:val="left" w:pos="2003"/>
                            <w:tab w:val="left" w:pos="6323"/>
                          </w:tabs>
                          <w:jc w:val="both"/>
                          <w:rPr>
                            <w:b/>
                          </w:rPr>
                        </w:pPr>
                      </w:p>
                      <w:p w:rsidR="00F04EEF" w:rsidRDefault="00F04EEF">
                        <w:pPr>
                          <w:tabs>
                            <w:tab w:val="left" w:pos="-1908"/>
                            <w:tab w:val="left" w:pos="1134"/>
                            <w:tab w:val="left" w:pos="1872"/>
                            <w:tab w:val="left" w:pos="2003"/>
                            <w:tab w:val="left" w:pos="6323"/>
                          </w:tabs>
                          <w:jc w:val="both"/>
                          <w:rPr>
                            <w:b/>
                          </w:rPr>
                        </w:pPr>
                      </w:p>
                      <w:p w:rsidR="00F04EEF" w:rsidRDefault="00F04EEF">
                        <w:pPr>
                          <w:tabs>
                            <w:tab w:val="left" w:pos="-1908"/>
                            <w:tab w:val="left" w:pos="1134"/>
                            <w:tab w:val="left" w:pos="1872"/>
                            <w:tab w:val="left" w:pos="2003"/>
                            <w:tab w:val="left" w:pos="6323"/>
                          </w:tabs>
                          <w:jc w:val="both"/>
                          <w:rPr>
                            <w:b/>
                          </w:rPr>
                        </w:pPr>
                      </w:p>
                    </w:tc>
                    <w:tc>
                      <w:tcPr>
                        <w:tcW w:w="4706" w:type="dxa"/>
                        <w:gridSpan w:val="2"/>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w:t>
                        </w:r>
                      </w:p>
                      <w:p w:rsidR="00F04EEF" w:rsidRDefault="00F04EEF"/>
                      <w:p w:rsidR="00F04EEF" w:rsidRDefault="00F04EEF"/>
                      <w:p w:rsidR="00F04EEF" w:rsidRDefault="00F04EEF"/>
                      <w:p w:rsidR="00F04EEF" w:rsidRDefault="0099351E">
                        <w:pPr>
                          <w:tabs>
                            <w:tab w:val="left" w:pos="-1908"/>
                            <w:tab w:val="left" w:pos="1134"/>
                            <w:tab w:val="left" w:pos="1872"/>
                            <w:tab w:val="left" w:pos="2003"/>
                            <w:tab w:val="left" w:pos="6323"/>
                          </w:tabs>
                          <w:jc w:val="both"/>
                          <w:rPr>
                            <w:b/>
                          </w:rPr>
                        </w:pPr>
                        <w:r>
                          <w:t>L’accompagnement n’est pas obligatoire.</w:t>
                        </w: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6. Comment accompagner l’élève ?</w:t>
                        </w:r>
                      </w:p>
                    </w:tc>
                  </w:tr>
                  <w:tr w:rsidR="00F04EEF">
                    <w:tc>
                      <w:tcPr>
                        <w:tcW w:w="9379" w:type="dxa"/>
                        <w:gridSpan w:val="3"/>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L’intégration étant par définition un projet personnalisé, il s’agit d’adapter l’accompagnement aux besoins de l’élève.</w:t>
                        </w:r>
                      </w:p>
                      <w:p w:rsidR="00F04EEF" w:rsidRDefault="0099351E">
                        <w:pPr>
                          <w:tabs>
                            <w:tab w:val="left" w:pos="-1908"/>
                            <w:tab w:val="left" w:pos="1872"/>
                          </w:tabs>
                          <w:jc w:val="both"/>
                        </w:pPr>
                        <w:r>
                          <w:t>Ce travail doit se réaliser en collaboration avec les partenaires concernés.</w:t>
                        </w:r>
                      </w:p>
                      <w:p w:rsidR="00F04EEF" w:rsidRDefault="0099351E">
                        <w:pPr>
                          <w:rPr>
                            <w:lang w:val="fr-FR" w:eastAsia="fr-FR"/>
                          </w:rPr>
                        </w:pPr>
                        <w:r>
                          <w:rPr>
                            <w:lang w:val="fr-FR" w:eastAsia="fr-FR"/>
                          </w:rPr>
                          <w:t>Les modalités de l’accompagnement sont définies dans le protocole d’intégration de l’élève.</w:t>
                        </w:r>
                      </w:p>
                      <w:p w:rsidR="00F04EEF" w:rsidRDefault="00F04EEF">
                        <w:pPr>
                          <w:tabs>
                            <w:tab w:val="left" w:pos="-1908"/>
                            <w:tab w:val="left" w:pos="1872"/>
                          </w:tabs>
                          <w:jc w:val="both"/>
                          <w:rPr>
                            <w:lang w:val="fr-FR"/>
                          </w:rPr>
                        </w:pPr>
                      </w:p>
                      <w:p w:rsidR="00F04EEF" w:rsidRDefault="0099351E">
                        <w:pPr>
                          <w:tabs>
                            <w:tab w:val="left" w:pos="-1908"/>
                            <w:tab w:val="left" w:pos="1872"/>
                          </w:tabs>
                          <w:jc w:val="both"/>
                        </w:pPr>
                        <w:r>
                          <w:rPr>
                            <w:i/>
                            <w:iCs/>
                            <w:u w:val="single"/>
                          </w:rPr>
                          <w:t>Exemples</w:t>
                        </w:r>
                        <w:r>
                          <w:t> : travail de différenciation, remédiation disciplinaire en classe et hors classe, aide à la méthode de travail, accompagnement paramédical, participation aux conseils de classe, production d’outils pédagogiques adaptés, rencontres enseignants-parents, …</w:t>
                        </w:r>
                      </w:p>
                      <w:p w:rsidR="00F04EEF" w:rsidRDefault="0099351E">
                        <w:pPr>
                          <w:tabs>
                            <w:tab w:val="left" w:pos="-1908"/>
                            <w:tab w:val="left" w:pos="1872"/>
                          </w:tabs>
                          <w:jc w:val="both"/>
                        </w:pPr>
                        <w:r>
                          <w:t>L’accompagnement des élèves en intégration peut comprendre un temps de coordination pour autant que ce dispositif soit précisé dans le protocole.</w:t>
                        </w:r>
                      </w:p>
                      <w:p w:rsidR="00F04EEF" w:rsidRDefault="00F04EEF">
                        <w:pPr>
                          <w:tabs>
                            <w:tab w:val="left" w:pos="-1908"/>
                            <w:tab w:val="left" w:pos="1134"/>
                            <w:tab w:val="left" w:pos="1872"/>
                            <w:tab w:val="left" w:pos="2003"/>
                            <w:tab w:val="left" w:pos="6323"/>
                          </w:tabs>
                          <w:jc w:val="center"/>
                          <w:rPr>
                            <w:b/>
                          </w:rPr>
                        </w:pPr>
                      </w:p>
                    </w:tc>
                  </w:tr>
                  <w:tr w:rsidR="00F04EEF">
                    <w:tc>
                      <w:tcPr>
                        <w:tcW w:w="9379" w:type="dxa"/>
                        <w:gridSpan w:val="3"/>
                      </w:tcPr>
                      <w:p w:rsidR="00F04EEF" w:rsidRDefault="0099351E">
                        <w:pPr>
                          <w:jc w:val="center"/>
                          <w:rPr>
                            <w:b/>
                            <w:lang w:val="fr-FR"/>
                          </w:rPr>
                        </w:pPr>
                        <w:r>
                          <w:rPr>
                            <w:b/>
                            <w:lang w:val="fr-FR" w:eastAsia="fr-FR"/>
                          </w:rPr>
                          <w:t>7. Quand l’accompagnement est-il organisé ?</w:t>
                        </w:r>
                      </w:p>
                    </w:tc>
                  </w:tr>
                  <w:tr w:rsidR="00F04EEF">
                    <w:tc>
                      <w:tcPr>
                        <w:tcW w:w="9379" w:type="dxa"/>
                        <w:gridSpan w:val="3"/>
                      </w:tcPr>
                      <w:p w:rsidR="00F04EEF" w:rsidRDefault="00F04EEF">
                        <w:pPr>
                          <w:rPr>
                            <w:lang w:val="fr-FR" w:eastAsia="fr-FR"/>
                          </w:rPr>
                        </w:pPr>
                      </w:p>
                      <w:p w:rsidR="00F04EEF" w:rsidRDefault="0099351E">
                        <w:pPr>
                          <w:rPr>
                            <w:lang w:val="fr-FR" w:eastAsia="fr-FR"/>
                          </w:rPr>
                        </w:pPr>
                        <w:r>
                          <w:rPr>
                            <w:lang w:val="fr-FR" w:eastAsia="fr-FR"/>
                          </w:rPr>
                          <w:t xml:space="preserve">Pendant les heures d’ouverture de l’établissement scolaire de l’enseignement ordinaire, le mercredi après-midi compris. </w:t>
                        </w:r>
                      </w:p>
                      <w:p w:rsidR="00F04EEF" w:rsidRDefault="00F04EEF">
                        <w:pPr>
                          <w:tabs>
                            <w:tab w:val="left" w:pos="-1908"/>
                            <w:tab w:val="left" w:pos="1134"/>
                            <w:tab w:val="left" w:pos="1872"/>
                            <w:tab w:val="left" w:pos="2003"/>
                            <w:tab w:val="left" w:pos="6323"/>
                          </w:tabs>
                          <w:jc w:val="center"/>
                          <w:rPr>
                            <w:b/>
                            <w:lang w:val="fr-FR"/>
                          </w:rPr>
                        </w:pP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8. Qui est responsable du personnel d’accompagnement ?</w:t>
                        </w:r>
                      </w:p>
                    </w:tc>
                  </w:tr>
                  <w:tr w:rsidR="00F04EEF">
                    <w:tc>
                      <w:tcPr>
                        <w:tcW w:w="9379" w:type="dxa"/>
                        <w:gridSpan w:val="3"/>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 xml:space="preserve">Le personnel reste sous l’autorité administrative de la direction de l’école d’enseignement spécialisé. Par contre, la gestion de la vie scolaire est sous la responsabilité de la direction de l’école d’enseignement ordinaire selon les modalités définies dans le protocole d’intégration. </w:t>
                        </w:r>
                      </w:p>
                      <w:p w:rsidR="00F04EEF" w:rsidRDefault="0099351E">
                        <w:pPr>
                          <w:tabs>
                            <w:tab w:val="left" w:pos="-1908"/>
                            <w:tab w:val="left" w:pos="1872"/>
                          </w:tabs>
                          <w:jc w:val="both"/>
                        </w:pPr>
                        <w:r>
                          <w:t>Le personnel est désigné après consultation des organes de concertation sociale.</w:t>
                        </w:r>
                      </w:p>
                      <w:p w:rsidR="00F04EEF" w:rsidRDefault="00F04EEF">
                        <w:pPr>
                          <w:tabs>
                            <w:tab w:val="left" w:pos="-1908"/>
                            <w:tab w:val="left" w:pos="1134"/>
                            <w:tab w:val="left" w:pos="1872"/>
                            <w:tab w:val="left" w:pos="2003"/>
                            <w:tab w:val="left" w:pos="6323"/>
                          </w:tabs>
                          <w:jc w:val="center"/>
                          <w:rPr>
                            <w:b/>
                          </w:rPr>
                        </w:pP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color w:val="FF0000"/>
                          </w:rPr>
                        </w:pPr>
                        <w:r>
                          <w:rPr>
                            <w:b/>
                          </w:rPr>
                          <w:t>9. Qui est responsable de la certification de l’élève ?</w:t>
                        </w:r>
                      </w:p>
                    </w:tc>
                  </w:tr>
                  <w:tr w:rsidR="00F04EEF">
                    <w:tc>
                      <w:tcPr>
                        <w:tcW w:w="4673" w:type="dxa"/>
                      </w:tcPr>
                      <w:p w:rsidR="00F04EEF" w:rsidRDefault="00F04EEF">
                        <w:pPr>
                          <w:tabs>
                            <w:tab w:val="left" w:pos="-589"/>
                            <w:tab w:val="left" w:pos="131"/>
                            <w:tab w:val="left" w:pos="1134"/>
                            <w:tab w:val="left" w:pos="5703"/>
                            <w:tab w:val="left" w:pos="6323"/>
                          </w:tabs>
                          <w:snapToGrid w:val="0"/>
                          <w:jc w:val="both"/>
                        </w:pPr>
                      </w:p>
                      <w:p w:rsidR="00F04EEF" w:rsidRDefault="0099351E">
                        <w:pPr>
                          <w:tabs>
                            <w:tab w:val="left" w:pos="-589"/>
                            <w:tab w:val="left" w:pos="131"/>
                            <w:tab w:val="left" w:pos="1134"/>
                            <w:tab w:val="left" w:pos="5703"/>
                            <w:tab w:val="left" w:pos="6323"/>
                          </w:tabs>
                          <w:snapToGrid w:val="0"/>
                          <w:jc w:val="both"/>
                        </w:pPr>
                        <w:r>
                          <w:t>L’école d’enseignement ordinaire.</w:t>
                        </w:r>
                      </w:p>
                      <w:p w:rsidR="00F04EEF" w:rsidRDefault="0099351E">
                        <w:pPr>
                          <w:tabs>
                            <w:tab w:val="left" w:pos="-1908"/>
                            <w:tab w:val="left" w:pos="1134"/>
                            <w:tab w:val="left" w:pos="1872"/>
                            <w:tab w:val="left" w:pos="2003"/>
                            <w:tab w:val="left" w:pos="6323"/>
                          </w:tabs>
                          <w:jc w:val="both"/>
                          <w:rPr>
                            <w:color w:val="FF0000"/>
                          </w:rPr>
                        </w:pPr>
                        <w:r>
                          <w:t>Les certificats et attestations sont délivrés selon la réglementation en vigueur afférente à l’enseignement ordinaire, dans le respect des conditions d’admission de l’enseignement ordinaire et du tableau des conditions de passage de l’enseignement spécialisé vers l’enseignement ordinaire.</w:t>
                        </w:r>
                      </w:p>
                      <w:p w:rsidR="00F04EEF" w:rsidRDefault="00F04EEF">
                        <w:pPr>
                          <w:tabs>
                            <w:tab w:val="left" w:pos="-1908"/>
                            <w:tab w:val="left" w:pos="1134"/>
                            <w:tab w:val="left" w:pos="1872"/>
                            <w:tab w:val="left" w:pos="2003"/>
                            <w:tab w:val="left" w:pos="6323"/>
                          </w:tabs>
                          <w:jc w:val="both"/>
                          <w:rPr>
                            <w:b/>
                            <w:color w:val="FF0000"/>
                          </w:rPr>
                        </w:pPr>
                      </w:p>
                    </w:tc>
                    <w:tc>
                      <w:tcPr>
                        <w:tcW w:w="4706" w:type="dxa"/>
                        <w:gridSpan w:val="2"/>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L’école d’enseignement spécialisé.</w:t>
                        </w:r>
                      </w:p>
                      <w:p w:rsidR="00F04EEF" w:rsidRDefault="0099351E">
                        <w:pPr>
                          <w:tabs>
                            <w:tab w:val="left" w:pos="-1908"/>
                            <w:tab w:val="left" w:pos="1872"/>
                          </w:tabs>
                          <w:snapToGrid w:val="0"/>
                          <w:jc w:val="both"/>
                        </w:pPr>
                        <w:r>
                          <w:t>Les certificats et attestations sont délivrés selon la réglementation en vigueur afférente à l’enseignement spécialisé.</w:t>
                        </w:r>
                      </w:p>
                      <w:p w:rsidR="00F04EEF" w:rsidRDefault="00F04EEF">
                        <w:pPr>
                          <w:tabs>
                            <w:tab w:val="left" w:pos="-1908"/>
                            <w:tab w:val="left" w:pos="1872"/>
                          </w:tabs>
                          <w:snapToGrid w:val="0"/>
                          <w:jc w:val="both"/>
                        </w:pPr>
                      </w:p>
                      <w:p w:rsidR="00F04EEF" w:rsidRDefault="00F04EEF">
                        <w:pPr>
                          <w:jc w:val="both"/>
                          <w:rPr>
                            <w:strike/>
                            <w:color w:val="000000"/>
                            <w:lang w:eastAsia="fr-FR"/>
                          </w:rPr>
                        </w:pPr>
                      </w:p>
                      <w:p w:rsidR="00F04EEF" w:rsidRDefault="00F04EEF">
                        <w:pPr>
                          <w:tabs>
                            <w:tab w:val="left" w:pos="-1908"/>
                            <w:tab w:val="left" w:pos="1872"/>
                          </w:tabs>
                          <w:snapToGrid w:val="0"/>
                          <w:jc w:val="both"/>
                        </w:pPr>
                      </w:p>
                      <w:p w:rsidR="00F04EEF" w:rsidRDefault="00F04EEF">
                        <w:pPr>
                          <w:tabs>
                            <w:tab w:val="left" w:pos="-1908"/>
                            <w:tab w:val="left" w:pos="1872"/>
                          </w:tabs>
                          <w:jc w:val="both"/>
                          <w:rPr>
                            <w:b/>
                          </w:rPr>
                        </w:pPr>
                      </w:p>
                    </w:tc>
                  </w:tr>
                  <w:tr w:rsidR="00F04EEF">
                    <w:tc>
                      <w:tcPr>
                        <w:tcW w:w="9379" w:type="dxa"/>
                        <w:gridSpan w:val="3"/>
                      </w:tcPr>
                      <w:p w:rsidR="00F04EEF" w:rsidRDefault="0099351E">
                        <w:pPr>
                          <w:tabs>
                            <w:tab w:val="left" w:pos="-1908"/>
                            <w:tab w:val="left" w:pos="1134"/>
                            <w:tab w:val="left" w:pos="1872"/>
                            <w:tab w:val="left" w:pos="2003"/>
                            <w:tab w:val="left" w:pos="6323"/>
                          </w:tabs>
                          <w:jc w:val="center"/>
                          <w:rPr>
                            <w:b/>
                          </w:rPr>
                        </w:pPr>
                        <w:r>
                          <w:rPr>
                            <w:b/>
                          </w:rPr>
                          <w:t>10. Quel encadrement pour l’école d’enseignement spécialisé ?</w:t>
                        </w:r>
                      </w:p>
                    </w:tc>
                  </w:tr>
                  <w:tr w:rsidR="00F04EEF">
                    <w:tc>
                      <w:tcPr>
                        <w:tcW w:w="4673" w:type="dxa"/>
                      </w:tcPr>
                      <w:p w:rsidR="00F04EEF" w:rsidRDefault="00F04EEF">
                        <w:pPr>
                          <w:tabs>
                            <w:tab w:val="left" w:pos="-1908"/>
                            <w:tab w:val="left" w:pos="1872"/>
                          </w:tabs>
                          <w:snapToGrid w:val="0"/>
                          <w:jc w:val="both"/>
                          <w:rPr>
                            <w:strike/>
                          </w:rPr>
                        </w:pPr>
                      </w:p>
                      <w:p w:rsidR="00F04EEF" w:rsidRDefault="0099351E">
                        <w:pPr>
                          <w:tabs>
                            <w:tab w:val="left" w:pos="-1908"/>
                            <w:tab w:val="left" w:pos="1134"/>
                            <w:tab w:val="left" w:pos="1872"/>
                            <w:tab w:val="left" w:pos="2003"/>
                            <w:tab w:val="left" w:pos="6323"/>
                          </w:tabs>
                          <w:jc w:val="both"/>
                        </w:pPr>
                        <w:r>
                          <w:t>Au niveau de l’enseignement secondaire (1</w:t>
                        </w:r>
                        <w:r>
                          <w:rPr>
                            <w:vertAlign w:val="superscript"/>
                          </w:rPr>
                          <w:t>er</w:t>
                        </w:r>
                        <w:r>
                          <w:t xml:space="preserve"> et 2</w:t>
                        </w:r>
                        <w:r>
                          <w:rPr>
                            <w:vertAlign w:val="superscript"/>
                          </w:rPr>
                          <w:t>ème</w:t>
                        </w:r>
                        <w:r>
                          <w:t xml:space="preserve"> degré) : 4 périodes. </w:t>
                        </w:r>
                      </w:p>
                      <w:p w:rsidR="00F04EEF" w:rsidRDefault="00F04EEF">
                        <w:pPr>
                          <w:tabs>
                            <w:tab w:val="left" w:pos="-1908"/>
                            <w:tab w:val="left" w:pos="1134"/>
                            <w:tab w:val="left" w:pos="1872"/>
                            <w:tab w:val="left" w:pos="2003"/>
                            <w:tab w:val="left" w:pos="6323"/>
                          </w:tabs>
                          <w:jc w:val="both"/>
                        </w:pPr>
                      </w:p>
                      <w:p w:rsidR="00F04EEF" w:rsidRDefault="0099351E">
                        <w:pPr>
                          <w:tabs>
                            <w:tab w:val="left" w:pos="-1908"/>
                            <w:tab w:val="left" w:pos="1134"/>
                            <w:tab w:val="left" w:pos="1872"/>
                            <w:tab w:val="left" w:pos="2003"/>
                            <w:tab w:val="left" w:pos="6323"/>
                          </w:tabs>
                          <w:jc w:val="both"/>
                        </w:pPr>
                        <w:r>
                          <w:t>Au niveau de l’enseignement secondaire (3</w:t>
                        </w:r>
                        <w:r>
                          <w:rPr>
                            <w:vertAlign w:val="superscript"/>
                          </w:rPr>
                          <w:t>ème</w:t>
                        </w:r>
                        <w:r>
                          <w:t xml:space="preserve"> degré pour les types 1, 2 et 3) : 4 périodes.</w:t>
                        </w:r>
                      </w:p>
                      <w:p w:rsidR="00F04EEF" w:rsidRDefault="00F04EEF">
                        <w:pPr>
                          <w:tabs>
                            <w:tab w:val="left" w:pos="-1908"/>
                            <w:tab w:val="left" w:pos="1134"/>
                            <w:tab w:val="left" w:pos="1872"/>
                            <w:tab w:val="left" w:pos="2003"/>
                            <w:tab w:val="left" w:pos="6323"/>
                          </w:tabs>
                          <w:jc w:val="both"/>
                        </w:pPr>
                      </w:p>
                      <w:p w:rsidR="00F04EEF" w:rsidRDefault="0099351E">
                        <w:pPr>
                          <w:tabs>
                            <w:tab w:val="left" w:pos="-1908"/>
                            <w:tab w:val="left" w:pos="1134"/>
                            <w:tab w:val="left" w:pos="1872"/>
                            <w:tab w:val="left" w:pos="2003"/>
                            <w:tab w:val="left" w:pos="6323"/>
                          </w:tabs>
                          <w:jc w:val="both"/>
                        </w:pPr>
                        <w:r>
                          <w:t>Au niveau de l’enseignement secondaire (3</w:t>
                        </w:r>
                        <w:r>
                          <w:rPr>
                            <w:vertAlign w:val="superscript"/>
                          </w:rPr>
                          <w:t>ème</w:t>
                        </w:r>
                        <w:r>
                          <w:t xml:space="preserve"> degré pour les types 4, 5, 6 et 7) : 8 périodes pour l’école d’enseignement spécialisé.</w:t>
                        </w:r>
                      </w:p>
                      <w:p w:rsidR="00F04EEF" w:rsidRDefault="00F04EEF">
                        <w:pPr>
                          <w:jc w:val="both"/>
                        </w:pPr>
                      </w:p>
                      <w:p w:rsidR="00F04EEF" w:rsidRDefault="0099351E">
                        <w:pPr>
                          <w:tabs>
                            <w:tab w:val="left" w:pos="-1908"/>
                            <w:tab w:val="left" w:pos="1134"/>
                            <w:tab w:val="left" w:pos="1872"/>
                            <w:tab w:val="left" w:pos="2003"/>
                            <w:tab w:val="left" w:pos="6323"/>
                          </w:tabs>
                          <w:jc w:val="both"/>
                        </w:pPr>
                        <w:r>
                          <w:t xml:space="preserve">Un élève intégré dans un CEFA (article 45 du Décret Missions) reçoit 4 périodes. Par contre, </w:t>
                        </w:r>
                      </w:p>
                      <w:p w:rsidR="00F04EEF" w:rsidRDefault="0099351E">
                        <w:pPr>
                          <w:tabs>
                            <w:tab w:val="left" w:pos="-1908"/>
                            <w:tab w:val="left" w:pos="1134"/>
                            <w:tab w:val="left" w:pos="1872"/>
                            <w:tab w:val="left" w:pos="2003"/>
                            <w:tab w:val="left" w:pos="6323"/>
                          </w:tabs>
                          <w:jc w:val="both"/>
                        </w:pPr>
                        <w:r>
                          <w:t>un élève intégré dans un CEFA (article 49 du Décret Missions) reçoit le même nombre de périodes que pour le plein exercice.</w:t>
                        </w:r>
                      </w:p>
                      <w:p w:rsidR="00F04EEF" w:rsidRDefault="00F04EEF">
                        <w:pPr>
                          <w:tabs>
                            <w:tab w:val="left" w:pos="-1908"/>
                            <w:tab w:val="left" w:pos="1134"/>
                            <w:tab w:val="left" w:pos="1872"/>
                            <w:tab w:val="left" w:pos="2003"/>
                            <w:tab w:val="left" w:pos="6323"/>
                          </w:tabs>
                          <w:jc w:val="both"/>
                        </w:pPr>
                      </w:p>
                      <w:p w:rsidR="00F04EEF" w:rsidRDefault="0099351E">
                        <w:pPr>
                          <w:jc w:val="both"/>
                        </w:pPr>
                        <w:r>
                          <w:rPr>
                            <w:rFonts w:ascii="Yu Gothic UI Semibold" w:eastAsia="Yu Gothic UI Semibold" w:hAnsi="Yu Gothic UI Semibold"/>
                          </w:rPr>
                          <w:t>⚠</w:t>
                        </w:r>
                        <w:r>
                          <w:t xml:space="preserve"> Le CEFA n’est pas un partenaire au protocole d’intégration. En conséquence, seule l’école d’enseignement ordinaire doit renseigner le numéro FASE et les coordonnées de la dite école. </w:t>
                        </w:r>
                      </w:p>
                      <w:p w:rsidR="00F04EEF" w:rsidRDefault="00F04EEF">
                        <w:pPr>
                          <w:tabs>
                            <w:tab w:val="left" w:pos="-1908"/>
                            <w:tab w:val="left" w:pos="1134"/>
                            <w:tab w:val="left" w:pos="1872"/>
                            <w:tab w:val="left" w:pos="2003"/>
                            <w:tab w:val="left" w:pos="6323"/>
                          </w:tabs>
                          <w:jc w:val="both"/>
                        </w:pPr>
                      </w:p>
                      <w:p w:rsidR="00F04EEF" w:rsidRDefault="0099351E">
                        <w:pPr>
                          <w:tabs>
                            <w:tab w:val="left" w:pos="-1908"/>
                          </w:tabs>
                          <w:jc w:val="both"/>
                        </w:pPr>
                        <w:r>
                          <w:t xml:space="preserve">Au niveau de la charge d’enseignement des directeurs, les élèves intégrés en IPT sont ajoutés aux élèves régulièrement inscrits pour déterminer le nombre de périodes d’enseignement à prester par la direction. Cette disposition est précisée au </w:t>
                        </w:r>
                        <w:r>
                          <w:rPr>
                            <w:rFonts w:cs="Arial"/>
                          </w:rPr>
                          <w:t>chapitre 5 de la présente circulaire</w:t>
                        </w:r>
                        <w:r>
                          <w:t>.</w:t>
                        </w:r>
                      </w:p>
                      <w:p w:rsidR="00F04EEF" w:rsidRDefault="00F04EEF">
                        <w:pPr>
                          <w:tabs>
                            <w:tab w:val="left" w:pos="-1908"/>
                            <w:tab w:val="left" w:pos="1134"/>
                            <w:tab w:val="left" w:pos="1872"/>
                            <w:tab w:val="left" w:pos="2003"/>
                            <w:tab w:val="left" w:pos="6323"/>
                          </w:tabs>
                          <w:jc w:val="both"/>
                        </w:pPr>
                      </w:p>
                      <w:p w:rsidR="00F04EEF" w:rsidRDefault="0099351E">
                        <w:pPr>
                          <w:tabs>
                            <w:tab w:val="left" w:pos="-1908"/>
                            <w:tab w:val="left" w:pos="1134"/>
                            <w:tab w:val="left" w:pos="1872"/>
                            <w:tab w:val="left" w:pos="2003"/>
                            <w:tab w:val="left" w:pos="6323"/>
                          </w:tabs>
                          <w:jc w:val="both"/>
                        </w:pPr>
                        <w:r>
                          <w:t xml:space="preserve">Pour chaque élève relevant de l’enseignement secondaire spécialisé de type 8, l’accompagnement est assuré par du personnel de l’enseignement secondaire spécialisé de type 8 ou par du personnel de l’enseignement secondaire spécialisé de forme 3 ou de forme 4. </w:t>
                        </w:r>
                      </w:p>
                      <w:p w:rsidR="00F04EEF" w:rsidRDefault="00F04EEF">
                        <w:pPr>
                          <w:tabs>
                            <w:tab w:val="left" w:pos="-1908"/>
                            <w:tab w:val="left" w:pos="1134"/>
                            <w:tab w:val="left" w:pos="1872"/>
                            <w:tab w:val="left" w:pos="2003"/>
                            <w:tab w:val="left" w:pos="6323"/>
                          </w:tabs>
                          <w:jc w:val="both"/>
                        </w:pPr>
                      </w:p>
                      <w:p w:rsidR="00F04EEF" w:rsidRDefault="0099351E">
                        <w:pPr>
                          <w:tabs>
                            <w:tab w:val="left" w:pos="-1908"/>
                            <w:tab w:val="left" w:pos="1134"/>
                            <w:tab w:val="left" w:pos="1872"/>
                            <w:tab w:val="left" w:pos="2003"/>
                            <w:tab w:val="left" w:pos="6323"/>
                          </w:tabs>
                          <w:jc w:val="both"/>
                        </w:pPr>
                        <w:r>
                          <w:t xml:space="preserve">Les emplois créés sur base de ces périodes peuvent donner lieu à une nomination ou à un engagement à titre définitif (pour le personnel de l’école d’enseignement spécialisé). </w:t>
                        </w:r>
                      </w:p>
                      <w:p w:rsidR="00F04EEF" w:rsidRDefault="00F04EEF">
                        <w:pPr>
                          <w:tabs>
                            <w:tab w:val="left" w:pos="-1908"/>
                            <w:tab w:val="left" w:pos="1134"/>
                            <w:tab w:val="left" w:pos="1872"/>
                            <w:tab w:val="left" w:pos="2003"/>
                            <w:tab w:val="left" w:pos="6323"/>
                          </w:tabs>
                          <w:jc w:val="both"/>
                        </w:pPr>
                      </w:p>
                    </w:tc>
                    <w:tc>
                      <w:tcPr>
                        <w:tcW w:w="4706" w:type="dxa"/>
                        <w:gridSpan w:val="2"/>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Dans le cadre des intégrations partielles, la direction de l’école d’enseignement spécialisé peut prélever des périodes d’accompagnement selon les modalités prévues par le protocole sur le capital-périodes utilisable.</w:t>
                        </w:r>
                      </w:p>
                      <w:p w:rsidR="00F04EEF" w:rsidRDefault="00F04EEF">
                        <w:pPr>
                          <w:tabs>
                            <w:tab w:val="left" w:pos="-1908"/>
                            <w:tab w:val="left" w:pos="1872"/>
                          </w:tabs>
                          <w:snapToGrid w:val="0"/>
                          <w:jc w:val="both"/>
                        </w:pPr>
                      </w:p>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Seuls les emplois ainsi créés sur base du CPU peuvent donner lieu à une nomination ou à un engagement définitif.</w:t>
                        </w:r>
                      </w:p>
                      <w:p w:rsidR="00F04EEF" w:rsidRDefault="00F04EEF">
                        <w:pPr>
                          <w:tabs>
                            <w:tab w:val="left" w:pos="-1908"/>
                            <w:tab w:val="left" w:pos="1134"/>
                            <w:tab w:val="left" w:pos="1872"/>
                            <w:tab w:val="left" w:pos="2003"/>
                            <w:tab w:val="left" w:pos="6323"/>
                          </w:tabs>
                          <w:jc w:val="center"/>
                          <w:rPr>
                            <w:b/>
                          </w:rPr>
                        </w:pPr>
                      </w:p>
                    </w:tc>
                  </w:tr>
                  <w:tr w:rsidR="00F04EEF">
                    <w:tc>
                      <w:tcPr>
                        <w:tcW w:w="9379" w:type="dxa"/>
                        <w:gridSpan w:val="3"/>
                      </w:tcPr>
                      <w:p w:rsidR="00F04EEF" w:rsidRDefault="0099351E">
                        <w:pPr>
                          <w:tabs>
                            <w:tab w:val="left" w:pos="-1908"/>
                            <w:tab w:val="left" w:pos="1872"/>
                          </w:tabs>
                          <w:jc w:val="center"/>
                          <w:rPr>
                            <w:b/>
                          </w:rPr>
                        </w:pPr>
                        <w:r>
                          <w:rPr>
                            <w:b/>
                          </w:rPr>
                          <w:t>11. Quel encadrement pour l’école d’enseignement ordinaire ?</w:t>
                        </w:r>
                      </w:p>
                    </w:tc>
                  </w:tr>
                  <w:tr w:rsidR="00F04EEF">
                    <w:tc>
                      <w:tcPr>
                        <w:tcW w:w="4689" w:type="dxa"/>
                        <w:gridSpan w:val="2"/>
                      </w:tcPr>
                      <w:p w:rsidR="00F04EEF" w:rsidRDefault="0099351E">
                        <w:pPr>
                          <w:tabs>
                            <w:tab w:val="left" w:pos="-1908"/>
                            <w:tab w:val="left" w:pos="1872"/>
                          </w:tabs>
                          <w:snapToGrid w:val="0"/>
                          <w:jc w:val="both"/>
                        </w:pPr>
                        <w:r>
                          <w:t>L’élève compte pour 1 unité.</w:t>
                        </w:r>
                      </w:p>
                      <w:p w:rsidR="00F04EEF" w:rsidRDefault="00F04EEF">
                        <w:pPr>
                          <w:tabs>
                            <w:tab w:val="left" w:pos="-1908"/>
                            <w:tab w:val="left" w:pos="1872"/>
                          </w:tabs>
                          <w:jc w:val="both"/>
                        </w:pPr>
                      </w:p>
                      <w:p w:rsidR="00F04EEF" w:rsidRDefault="0099351E">
                        <w:pPr>
                          <w:tabs>
                            <w:tab w:val="left" w:pos="-1908"/>
                            <w:tab w:val="left" w:pos="1872"/>
                          </w:tabs>
                          <w:jc w:val="both"/>
                        </w:pPr>
                        <w:r>
                          <w:t>Dans le 3</w:t>
                        </w:r>
                        <w:r>
                          <w:rPr>
                            <w:vertAlign w:val="superscript"/>
                          </w:rPr>
                          <w:t>ème</w:t>
                        </w:r>
                        <w:r>
                          <w:t xml:space="preserve"> degré de l’enseignement secondaire, il est également accordé 8 périodes hors NTPP à l’établissement d’enseignement ordinaire qui accueille pour son accompagnement, l’élève intégré relevant de l’enseignement spécialisé de type 4, 5, 6 ou 7. </w:t>
                        </w:r>
                      </w:p>
                      <w:p w:rsidR="00F04EEF" w:rsidRDefault="00F04EEF">
                        <w:pPr>
                          <w:tabs>
                            <w:tab w:val="left" w:pos="-1908"/>
                            <w:tab w:val="left" w:pos="1872"/>
                          </w:tabs>
                          <w:jc w:val="both"/>
                        </w:pPr>
                      </w:p>
                      <w:p w:rsidR="00F04EEF" w:rsidRDefault="0099351E">
                        <w:pPr>
                          <w:tabs>
                            <w:tab w:val="left" w:pos="-1908"/>
                            <w:tab w:val="left" w:pos="1872"/>
                          </w:tabs>
                          <w:jc w:val="both"/>
                        </w:pPr>
                        <w:r>
                          <w:t>- Pour les élèves intégrés dans un CEFA : l’élève compte pour 1 unité, quel que soit le degré dans lequel l’élève est inscrit.</w:t>
                        </w:r>
                      </w:p>
                      <w:p w:rsidR="00F04EEF" w:rsidRDefault="00F04EEF">
                        <w:pPr>
                          <w:tabs>
                            <w:tab w:val="left" w:pos="-1908"/>
                            <w:tab w:val="left" w:pos="1872"/>
                          </w:tabs>
                          <w:snapToGrid w:val="0"/>
                          <w:jc w:val="both"/>
                        </w:pPr>
                      </w:p>
                      <w:p w:rsidR="00F04EEF" w:rsidRDefault="0099351E">
                        <w:pPr>
                          <w:tabs>
                            <w:tab w:val="left" w:pos="-1908"/>
                            <w:tab w:val="left" w:pos="1872"/>
                          </w:tabs>
                          <w:jc w:val="center"/>
                        </w:pPr>
                        <w:r>
                          <w:t>Les emplois créés sur base des 8 périodes au 3</w:t>
                        </w:r>
                        <w:r>
                          <w:rPr>
                            <w:vertAlign w:val="superscript"/>
                          </w:rPr>
                          <w:t>ème</w:t>
                        </w:r>
                        <w:r>
                          <w:t xml:space="preserve"> degré de l’enseignement secondaire ordinaire </w:t>
                        </w:r>
                        <w:r>
                          <w:rPr>
                            <w:u w:val="single"/>
                          </w:rPr>
                          <w:t>ne peuvent pas</w:t>
                        </w:r>
                        <w:r>
                          <w:t xml:space="preserve"> donner lieu à une nomination ou à un engagement à titre définitif</w:t>
                        </w:r>
                      </w:p>
                      <w:p w:rsidR="00F04EEF" w:rsidRDefault="00F04EEF">
                        <w:pPr>
                          <w:tabs>
                            <w:tab w:val="left" w:pos="-1908"/>
                            <w:tab w:val="left" w:pos="1872"/>
                          </w:tabs>
                          <w:jc w:val="center"/>
                        </w:pPr>
                      </w:p>
                      <w:p w:rsidR="00F04EEF" w:rsidRDefault="00F04EEF">
                        <w:pPr>
                          <w:tabs>
                            <w:tab w:val="left" w:pos="-1908"/>
                            <w:tab w:val="left" w:pos="1872"/>
                          </w:tabs>
                          <w:jc w:val="center"/>
                          <w:rPr>
                            <w:b/>
                          </w:rPr>
                        </w:pPr>
                      </w:p>
                    </w:tc>
                    <w:tc>
                      <w:tcPr>
                        <w:tcW w:w="4690" w:type="dxa"/>
                        <w:tcBorders>
                          <w:right w:val="single" w:sz="4" w:space="0" w:color="auto"/>
                        </w:tcBorders>
                      </w:tcPr>
                      <w:p w:rsidR="00F04EEF" w:rsidRDefault="0099351E">
                        <w:pPr>
                          <w:tabs>
                            <w:tab w:val="left" w:pos="-1908"/>
                            <w:tab w:val="left" w:pos="1872"/>
                          </w:tabs>
                          <w:jc w:val="center"/>
                          <w:rPr>
                            <w:b/>
                          </w:rPr>
                        </w:pPr>
                        <w:r>
                          <w:t>Rien en dehors de l’accompagnement organisé par l’école d’enseignement spécialisé.</w:t>
                        </w:r>
                      </w:p>
                    </w:tc>
                  </w:tr>
                  <w:tr w:rsidR="00F04EEF">
                    <w:tc>
                      <w:tcPr>
                        <w:tcW w:w="9379" w:type="dxa"/>
                        <w:gridSpan w:val="3"/>
                      </w:tcPr>
                      <w:p w:rsidR="00F04EEF" w:rsidRDefault="0099351E">
                        <w:pPr>
                          <w:tabs>
                            <w:tab w:val="left" w:pos="-1908"/>
                            <w:tab w:val="left" w:pos="1872"/>
                          </w:tabs>
                          <w:jc w:val="center"/>
                          <w:rPr>
                            <w:b/>
                          </w:rPr>
                        </w:pPr>
                        <w:r>
                          <w:rPr>
                            <w:b/>
                          </w:rPr>
                          <w:t>12. Un encadrement complémentaire est-il possible pour les grandes distances ?</w:t>
                        </w:r>
                      </w:p>
                      <w:p w:rsidR="00F04EEF" w:rsidRDefault="0099351E">
                        <w:pPr>
                          <w:tabs>
                            <w:tab w:val="left" w:pos="-1908"/>
                            <w:tab w:val="left" w:pos="1872"/>
                          </w:tabs>
                          <w:jc w:val="center"/>
                          <w:rPr>
                            <w:b/>
                          </w:rPr>
                        </w:pPr>
                        <w:r>
                          <w:t xml:space="preserve"> </w:t>
                        </w:r>
                        <w:r>
                          <w:rPr>
                            <w:bCs/>
                          </w:rPr>
                          <w:t>(Article 133 §3, article 148)</w:t>
                        </w:r>
                      </w:p>
                    </w:tc>
                  </w:tr>
                  <w:tr w:rsidR="00F04EEF">
                    <w:tc>
                      <w:tcPr>
                        <w:tcW w:w="4673" w:type="dxa"/>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rPr>
                            <w:i/>
                            <w:iCs/>
                          </w:rPr>
                        </w:pPr>
                        <w:r>
                          <w:t>En fonction de la distance et du temps de déplacement des membres du personnel chargés de l’accompagnement, des périodes complémentaires peuvent être accordées sur base d’une demande de dérogation via le « formulaire électronique intégration ».</w:t>
                        </w:r>
                      </w:p>
                      <w:p w:rsidR="00F04EEF" w:rsidRDefault="00F04EEF">
                        <w:pPr>
                          <w:tabs>
                            <w:tab w:val="left" w:pos="-1908"/>
                            <w:tab w:val="left" w:pos="1872"/>
                          </w:tabs>
                          <w:snapToGrid w:val="0"/>
                          <w:jc w:val="both"/>
                          <w:rPr>
                            <w:i/>
                            <w:iCs/>
                          </w:rPr>
                        </w:pPr>
                      </w:p>
                      <w:p w:rsidR="00F04EEF" w:rsidRDefault="0099351E">
                        <w:pPr>
                          <w:tabs>
                            <w:tab w:val="left" w:pos="-1908"/>
                            <w:tab w:val="left" w:pos="1134"/>
                            <w:tab w:val="left" w:pos="1872"/>
                            <w:tab w:val="left" w:pos="2003"/>
                            <w:tab w:val="left" w:pos="6323"/>
                          </w:tabs>
                          <w:jc w:val="both"/>
                          <w:rPr>
                            <w:b/>
                          </w:rPr>
                        </w:pPr>
                        <w:r>
                          <w:t xml:space="preserve">Les emplois crées sur base de ces périodes </w:t>
                        </w:r>
                        <w:r>
                          <w:rPr>
                            <w:u w:val="single"/>
                          </w:rPr>
                          <w:t>ne peuvent pas</w:t>
                        </w:r>
                        <w:r>
                          <w:t xml:space="preserve"> donner lieu à une nomination ou à un engagement à titre définitif.</w:t>
                        </w:r>
                      </w:p>
                    </w:tc>
                    <w:tc>
                      <w:tcPr>
                        <w:tcW w:w="4706" w:type="dxa"/>
                        <w:gridSpan w:val="2"/>
                      </w:tcPr>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 xml:space="preserve">En fonction de la distance et du temps de déplacement des membres du personnel chargés de l’accompagnement, des périodes complémentaires peuvent être accordées sur base d’une demande de dérogation via le « formulaire électronique intégration ». </w:t>
                        </w:r>
                      </w:p>
                      <w:p w:rsidR="00F04EEF" w:rsidRDefault="00F04EEF">
                        <w:pPr>
                          <w:tabs>
                            <w:tab w:val="left" w:pos="-1908"/>
                            <w:tab w:val="left" w:pos="1872"/>
                          </w:tabs>
                          <w:snapToGrid w:val="0"/>
                          <w:jc w:val="both"/>
                        </w:pPr>
                      </w:p>
                      <w:p w:rsidR="00F04EEF" w:rsidRDefault="0099351E">
                        <w:pPr>
                          <w:jc w:val="both"/>
                        </w:pPr>
                        <w:r>
                          <w:t xml:space="preserve">Les emplois créés sur base de ces périodes </w:t>
                        </w:r>
                        <w:r>
                          <w:rPr>
                            <w:u w:val="single"/>
                          </w:rPr>
                          <w:t>ne peuvent pas</w:t>
                        </w:r>
                        <w:r>
                          <w:t xml:space="preserve"> donner lieu à une nomination ou à un engagement à titre définitif.</w:t>
                        </w:r>
                      </w:p>
                      <w:p w:rsidR="00F04EEF" w:rsidRDefault="00F04EEF">
                        <w:pPr>
                          <w:jc w:val="both"/>
                        </w:pPr>
                      </w:p>
                    </w:tc>
                  </w:tr>
                  <w:tr w:rsidR="00F04EEF">
                    <w:tc>
                      <w:tcPr>
                        <w:tcW w:w="9379" w:type="dxa"/>
                        <w:gridSpan w:val="3"/>
                      </w:tcPr>
                      <w:p w:rsidR="00F04EEF" w:rsidRDefault="0099351E">
                        <w:pPr>
                          <w:tabs>
                            <w:tab w:val="left" w:pos="-1908"/>
                            <w:tab w:val="left" w:pos="1872"/>
                          </w:tabs>
                          <w:snapToGrid w:val="0"/>
                          <w:jc w:val="both"/>
                        </w:pPr>
                        <w:r>
                          <w:t xml:space="preserve">Ces dérogations sont accordées selon les moyens budgétaires pour les élèves de type 4, 6 ou 7 pour lesquels il y a une distance d’au moins de 40 km entre les 2 écoles partenaires. </w:t>
                        </w:r>
                      </w:p>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 xml:space="preserve">Pour toutes les </w:t>
                        </w:r>
                        <w:r>
                          <w:rPr>
                            <w:b/>
                          </w:rPr>
                          <w:t>intégrations</w:t>
                        </w:r>
                        <w:r>
                          <w:t xml:space="preserve"> qui débuteront à partir du 1</w:t>
                        </w:r>
                        <w:r>
                          <w:rPr>
                            <w:vertAlign w:val="superscript"/>
                          </w:rPr>
                          <w:t>er</w:t>
                        </w:r>
                        <w:r>
                          <w:t xml:space="preserve"> septembre, la demande de dérogation « grande distance » sera introduite directement via le « </w:t>
                        </w:r>
                        <w:r>
                          <w:rPr>
                            <w:b/>
                          </w:rPr>
                          <w:t>formulaire électronique intégration</w:t>
                        </w:r>
                        <w:r>
                          <w:t xml:space="preserve"> ». </w:t>
                        </w:r>
                      </w:p>
                      <w:p w:rsidR="00F04EEF" w:rsidRDefault="00F04EEF">
                        <w:pPr>
                          <w:tabs>
                            <w:tab w:val="left" w:pos="-1908"/>
                            <w:tab w:val="left" w:pos="1872"/>
                          </w:tabs>
                          <w:snapToGrid w:val="0"/>
                          <w:jc w:val="both"/>
                        </w:pPr>
                      </w:p>
                      <w:p w:rsidR="00F04EEF" w:rsidRDefault="0099351E">
                        <w:pPr>
                          <w:tabs>
                            <w:tab w:val="left" w:pos="-1908"/>
                            <w:tab w:val="left" w:pos="1872"/>
                          </w:tabs>
                          <w:snapToGrid w:val="0"/>
                          <w:jc w:val="both"/>
                        </w:pPr>
                        <w:r>
                          <w:t xml:space="preserve">Attention, pour les élèves déjà intégrés pendant </w:t>
                        </w:r>
                        <w:r>
                          <w:rPr>
                            <w:b/>
                          </w:rPr>
                          <w:t>l’année scolaire 2019-2020</w:t>
                        </w:r>
                        <w:r>
                          <w:t xml:space="preserve">, il faut compléter une </w:t>
                        </w:r>
                        <w:hyperlink w:anchor="_Annexe_6a_:" w:history="1">
                          <w:r>
                            <w:rPr>
                              <w:rStyle w:val="Lienhypertexte"/>
                              <w:rFonts w:cstheme="minorBidi"/>
                            </w:rPr>
                            <w:t>annexe 6a</w:t>
                          </w:r>
                        </w:hyperlink>
                        <w:r>
                          <w:t xml:space="preserve"> ou une </w:t>
                        </w:r>
                        <w:hyperlink w:anchor="_Annexe_6b_:" w:history="1">
                          <w:r>
                            <w:rPr>
                              <w:rStyle w:val="Lienhypertexte"/>
                              <w:rFonts w:cstheme="minorBidi"/>
                            </w:rPr>
                            <w:t>annexe 6b</w:t>
                          </w:r>
                        </w:hyperlink>
                        <w:r>
                          <w:t xml:space="preserve"> et la renvoyer par mail sur la boite générique : </w:t>
                        </w:r>
                        <w:hyperlink r:id="rId204" w:history="1">
                          <w:r>
                            <w:rPr>
                              <w:rStyle w:val="Lienhypertexte"/>
                              <w:rFonts w:cstheme="minorBidi"/>
                              <w:color w:val="auto"/>
                            </w:rPr>
                            <w:t>integration_specialise@cfwb.be</w:t>
                          </w:r>
                        </w:hyperlink>
                        <w:r>
                          <w:t xml:space="preserve"> </w:t>
                        </w:r>
                      </w:p>
                      <w:p w:rsidR="00F04EEF" w:rsidRDefault="00F04EEF">
                        <w:pPr>
                          <w:tabs>
                            <w:tab w:val="left" w:pos="-1908"/>
                            <w:tab w:val="left" w:pos="1872"/>
                          </w:tabs>
                          <w:snapToGrid w:val="0"/>
                          <w:jc w:val="both"/>
                        </w:pPr>
                      </w:p>
                    </w:tc>
                  </w:tr>
                </w:tbl>
                <w:p w:rsidR="00F04EEF" w:rsidRDefault="00F04EEF"/>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rsidR="00F04EEF">
                    <w:tc>
                      <w:tcPr>
                        <w:tcW w:w="9379" w:type="dxa"/>
                        <w:gridSpan w:val="2"/>
                      </w:tcPr>
                      <w:p w:rsidR="00F04EEF" w:rsidRDefault="0099351E">
                        <w:pPr>
                          <w:tabs>
                            <w:tab w:val="left" w:pos="-1908"/>
                            <w:tab w:val="left" w:pos="1872"/>
                          </w:tabs>
                          <w:jc w:val="center"/>
                          <w:rPr>
                            <w:b/>
                          </w:rPr>
                        </w:pPr>
                        <w:r>
                          <w:rPr>
                            <w:b/>
                          </w:rPr>
                          <w:t>13. A qui sont attribuées les dotations/subventions de fonctionnement ?</w:t>
                        </w:r>
                      </w:p>
                    </w:tc>
                  </w:tr>
                  <w:tr w:rsidR="00F04EEF">
                    <w:tc>
                      <w:tcPr>
                        <w:tcW w:w="4673" w:type="dxa"/>
                      </w:tcPr>
                      <w:p w:rsidR="00F04EEF" w:rsidRDefault="0099351E">
                        <w:pPr>
                          <w:tabs>
                            <w:tab w:val="left" w:pos="-1908"/>
                            <w:tab w:val="left" w:pos="1872"/>
                          </w:tabs>
                          <w:snapToGrid w:val="0"/>
                          <w:jc w:val="both"/>
                        </w:pPr>
                        <w:r>
                          <w:t>Pour les élèves intégrés au 3</w:t>
                        </w:r>
                        <w:r>
                          <w:rPr>
                            <w:vertAlign w:val="superscript"/>
                          </w:rPr>
                          <w:t>ème</w:t>
                        </w:r>
                        <w:r>
                          <w:t xml:space="preserve"> degré de l’enseignement secondaire, l’école d’enseignement spécialisé reçoit les dotations/subventions et fournit à l’école d’enseignement ordinaire le matériel spécifique nécessaire à l’élève intégré dans les limites des moyens octroyés.</w:t>
                        </w:r>
                      </w:p>
                      <w:p w:rsidR="00F04EEF" w:rsidRDefault="00F04EEF">
                        <w:pPr>
                          <w:tabs>
                            <w:tab w:val="left" w:pos="-1908"/>
                            <w:tab w:val="left" w:pos="1872"/>
                          </w:tabs>
                          <w:snapToGrid w:val="0"/>
                          <w:jc w:val="both"/>
                        </w:pPr>
                      </w:p>
                      <w:p w:rsidR="00F04EEF" w:rsidRDefault="0099351E">
                        <w:pPr>
                          <w:tabs>
                            <w:tab w:val="left" w:pos="-1908"/>
                            <w:tab w:val="left" w:pos="1872"/>
                          </w:tabs>
                          <w:jc w:val="both"/>
                        </w:pPr>
                        <w:r>
                          <w:t>Pour les autres niveaux, les dotations/subventions sont versées à l’école d’enseignement ordinaire.</w:t>
                        </w:r>
                      </w:p>
                    </w:tc>
                    <w:tc>
                      <w:tcPr>
                        <w:tcW w:w="4706" w:type="dxa"/>
                      </w:tcPr>
                      <w:p w:rsidR="00F04EEF" w:rsidRDefault="0099351E">
                        <w:pPr>
                          <w:tabs>
                            <w:tab w:val="left" w:pos="-1908"/>
                            <w:tab w:val="left" w:pos="1872"/>
                          </w:tabs>
                          <w:jc w:val="both"/>
                        </w:pPr>
                        <w:r>
                          <w:t>Les dotations/subventions sont versées à l’école d’enseignement spécialisé qui subvient aux besoins de l’élève intégré en fonction du protocole d’intégration.</w:t>
                        </w:r>
                      </w:p>
                    </w:tc>
                  </w:tr>
                  <w:tr w:rsidR="00F04EEF">
                    <w:tc>
                      <w:tcPr>
                        <w:tcW w:w="9379" w:type="dxa"/>
                        <w:gridSpan w:val="2"/>
                      </w:tcPr>
                      <w:p w:rsidR="00F04EEF" w:rsidRDefault="0099351E">
                        <w:pPr>
                          <w:tabs>
                            <w:tab w:val="left" w:pos="-1908"/>
                            <w:tab w:val="left" w:pos="1134"/>
                            <w:tab w:val="left" w:pos="1872"/>
                            <w:tab w:val="left" w:pos="2003"/>
                            <w:tab w:val="left" w:pos="6323"/>
                          </w:tabs>
                          <w:jc w:val="center"/>
                          <w:rPr>
                            <w:b/>
                          </w:rPr>
                        </w:pPr>
                        <w:r>
                          <w:rPr>
                            <w:b/>
                          </w:rPr>
                          <w:t>14. Et le transport scolaire ?</w:t>
                        </w:r>
                      </w:p>
                    </w:tc>
                  </w:tr>
                  <w:tr w:rsidR="00F04EEF">
                    <w:tc>
                      <w:tcPr>
                        <w:tcW w:w="4673" w:type="dxa"/>
                      </w:tcPr>
                      <w:p w:rsidR="00F04EEF" w:rsidRDefault="0099351E">
                        <w:pPr>
                          <w:tabs>
                            <w:tab w:val="left" w:pos="-589"/>
                            <w:tab w:val="left" w:pos="131"/>
                            <w:tab w:val="left" w:pos="1134"/>
                            <w:tab w:val="left" w:pos="5703"/>
                            <w:tab w:val="left" w:pos="6323"/>
                          </w:tabs>
                          <w:snapToGrid w:val="0"/>
                          <w:jc w:val="both"/>
                        </w:pPr>
                        <w:r>
                          <w:t>Il est gratuit entre le domicile de l’élève et l’école d’enseignement ordinaire.</w:t>
                        </w:r>
                      </w:p>
                      <w:p w:rsidR="00F04EEF" w:rsidRDefault="00F04EEF">
                        <w:pPr>
                          <w:tabs>
                            <w:tab w:val="left" w:pos="-1908"/>
                            <w:tab w:val="left" w:pos="1872"/>
                          </w:tabs>
                          <w:jc w:val="both"/>
                        </w:pPr>
                      </w:p>
                    </w:tc>
                    <w:tc>
                      <w:tcPr>
                        <w:tcW w:w="4706" w:type="dxa"/>
                      </w:tcPr>
                      <w:p w:rsidR="00F04EEF" w:rsidRDefault="0099351E">
                        <w:pPr>
                          <w:tabs>
                            <w:tab w:val="left" w:pos="-589"/>
                            <w:tab w:val="left" w:pos="131"/>
                            <w:tab w:val="left" w:pos="1134"/>
                            <w:tab w:val="left" w:pos="2003"/>
                            <w:tab w:val="left" w:pos="6323"/>
                          </w:tabs>
                          <w:snapToGrid w:val="0"/>
                          <w:jc w:val="both"/>
                        </w:pPr>
                        <w:r>
                          <w:t>Il est gratuit entre le domicile de l’élève et l’école d’enseignement spécialisé.</w:t>
                        </w:r>
                      </w:p>
                      <w:p w:rsidR="00F04EEF" w:rsidRDefault="00F04EEF">
                        <w:pPr>
                          <w:tabs>
                            <w:tab w:val="left" w:pos="-589"/>
                            <w:tab w:val="left" w:pos="131"/>
                            <w:tab w:val="left" w:pos="1134"/>
                            <w:tab w:val="left" w:pos="2003"/>
                            <w:tab w:val="left" w:pos="6323"/>
                          </w:tabs>
                          <w:snapToGrid w:val="0"/>
                          <w:jc w:val="both"/>
                        </w:pPr>
                      </w:p>
                      <w:p w:rsidR="00F04EEF" w:rsidRDefault="0099351E">
                        <w:pPr>
                          <w:tabs>
                            <w:tab w:val="left" w:pos="-1908"/>
                            <w:tab w:val="left" w:pos="1872"/>
                          </w:tabs>
                          <w:jc w:val="both"/>
                        </w:pPr>
                        <w:r>
                          <w:t>Il n’est pas prévu entre le domicile de l’élève et l’école d’enseignement ordinaire, ni entre l’école d’enseignement spécialisé et l’école d’enseignement ordinaire.</w:t>
                        </w:r>
                      </w:p>
                    </w:tc>
                  </w:tr>
                  <w:tr w:rsidR="00F04EEF">
                    <w:tc>
                      <w:tcPr>
                        <w:tcW w:w="9379" w:type="dxa"/>
                        <w:gridSpan w:val="2"/>
                      </w:tcPr>
                      <w:p w:rsidR="00F04EEF" w:rsidRDefault="0099351E">
                        <w:pPr>
                          <w:tabs>
                            <w:tab w:val="left" w:pos="-589"/>
                            <w:tab w:val="left" w:pos="131"/>
                            <w:tab w:val="left" w:pos="1134"/>
                            <w:tab w:val="left" w:pos="2003"/>
                            <w:tab w:val="left" w:pos="6323"/>
                          </w:tabs>
                          <w:jc w:val="center"/>
                          <w:rPr>
                            <w:b/>
                          </w:rPr>
                        </w:pPr>
                        <w:r>
                          <w:rPr>
                            <w:b/>
                          </w:rPr>
                          <w:t>15. Quelles sont les démarches administratives ?</w:t>
                        </w:r>
                      </w:p>
                    </w:tc>
                  </w:tr>
                  <w:tr w:rsidR="00F04EEF">
                    <w:tc>
                      <w:tcPr>
                        <w:tcW w:w="4673" w:type="dxa"/>
                      </w:tcPr>
                      <w:p w:rsidR="00F04EEF" w:rsidRDefault="00F04EEF">
                        <w:pPr>
                          <w:tabs>
                            <w:tab w:val="left" w:pos="-589"/>
                          </w:tabs>
                          <w:jc w:val="both"/>
                        </w:pPr>
                      </w:p>
                      <w:p w:rsidR="00F04EEF" w:rsidRDefault="0099351E">
                        <w:pPr>
                          <w:tabs>
                            <w:tab w:val="left" w:pos="-589"/>
                          </w:tabs>
                          <w:jc w:val="both"/>
                        </w:pPr>
                        <w:r>
                          <w:t xml:space="preserve">Le signalement des </w:t>
                        </w:r>
                        <w:r>
                          <w:rPr>
                            <w:b/>
                          </w:rPr>
                          <w:t>nouvelles intégrations</w:t>
                        </w:r>
                        <w:r>
                          <w:t xml:space="preserve"> s’effectue via le « </w:t>
                        </w:r>
                        <w:r>
                          <w:rPr>
                            <w:b/>
                          </w:rPr>
                          <w:t>formulaire électronique intégration </w:t>
                        </w:r>
                        <w:r>
                          <w:t xml:space="preserve">». </w:t>
                        </w:r>
                      </w:p>
                      <w:p w:rsidR="00F04EEF" w:rsidRDefault="00F04EEF">
                        <w:pPr>
                          <w:tabs>
                            <w:tab w:val="left" w:pos="-589"/>
                          </w:tabs>
                          <w:jc w:val="both"/>
                        </w:pPr>
                      </w:p>
                      <w:p w:rsidR="00F04EEF" w:rsidRDefault="0099351E">
                        <w:pPr>
                          <w:tabs>
                            <w:tab w:val="left" w:pos="-589"/>
                          </w:tabs>
                          <w:jc w:val="both"/>
                        </w:pPr>
                        <w:r>
                          <w:t>Attention, les intégrations permanentes totales qui débuteront à partir du 1</w:t>
                        </w:r>
                        <w:r>
                          <w:rPr>
                            <w:vertAlign w:val="superscript"/>
                          </w:rPr>
                          <w:t>er</w:t>
                        </w:r>
                        <w:r>
                          <w:t xml:space="preserve"> septembre doivent être signalées et validées via le « formulaire électronique intégration » au plus tard pour le 30 septembre. </w:t>
                        </w:r>
                      </w:p>
                      <w:p w:rsidR="00F04EEF" w:rsidRDefault="00F04EEF">
                        <w:pPr>
                          <w:tabs>
                            <w:tab w:val="left" w:pos="-589"/>
                          </w:tabs>
                          <w:jc w:val="both"/>
                        </w:pPr>
                      </w:p>
                      <w:p w:rsidR="00F04EEF" w:rsidRDefault="0099351E">
                        <w:pPr>
                          <w:tabs>
                            <w:tab w:val="left" w:pos="-589"/>
                          </w:tabs>
                          <w:jc w:val="both"/>
                        </w:pPr>
                        <w:r>
                          <w:t>L’intégration permanente totale peut seulement débuter quand le protocole d’intégration a été signé par tous les partenaires. La validation via le « formulaire électronique intégration » confirme que le protocole a été signé par tous les partenaires.</w:t>
                        </w:r>
                      </w:p>
                      <w:p w:rsidR="00F04EEF" w:rsidRDefault="00F04EEF">
                        <w:pPr>
                          <w:tabs>
                            <w:tab w:val="left" w:pos="-589"/>
                          </w:tabs>
                          <w:jc w:val="both"/>
                        </w:pPr>
                      </w:p>
                      <w:p w:rsidR="00F04EEF" w:rsidRDefault="0099351E">
                        <w:pPr>
                          <w:tabs>
                            <w:tab w:val="left" w:pos="-589"/>
                          </w:tabs>
                          <w:jc w:val="both"/>
                        </w:pPr>
                        <w:r>
                          <w:t>Les bilans de l’intégration (</w:t>
                        </w:r>
                        <w:hyperlink w:anchor="_Annexe_4_:_8" w:history="1">
                          <w:r>
                            <w:rPr>
                              <w:rStyle w:val="Lienhypertexte"/>
                              <w:rFonts w:cstheme="minorBidi"/>
                              <w:b/>
                            </w:rPr>
                            <w:t>annexe 4</w:t>
                          </w:r>
                        </w:hyperlink>
                        <w:r>
                          <w:t>) des élèves intégrés l’année scolaire précédente doivent être complétés et mis à disposition de la vérification de la population scolaire.</w:t>
                        </w:r>
                      </w:p>
                      <w:p w:rsidR="00F04EEF" w:rsidRDefault="00F04EEF">
                        <w:pPr>
                          <w:tabs>
                            <w:tab w:val="left" w:pos="-589"/>
                          </w:tabs>
                          <w:jc w:val="both"/>
                        </w:pPr>
                      </w:p>
                    </w:tc>
                    <w:tc>
                      <w:tcPr>
                        <w:tcW w:w="4706" w:type="dxa"/>
                      </w:tcPr>
                      <w:p w:rsidR="00F04EEF" w:rsidRDefault="00F04EEF">
                        <w:pPr>
                          <w:tabs>
                            <w:tab w:val="left" w:pos="-589"/>
                            <w:tab w:val="left" w:pos="131"/>
                            <w:tab w:val="left" w:pos="1134"/>
                            <w:tab w:val="left" w:pos="2003"/>
                            <w:tab w:val="left" w:pos="6323"/>
                          </w:tabs>
                          <w:jc w:val="both"/>
                        </w:pPr>
                      </w:p>
                      <w:p w:rsidR="00F04EEF" w:rsidRDefault="0099351E">
                        <w:pPr>
                          <w:tabs>
                            <w:tab w:val="left" w:pos="-589"/>
                            <w:tab w:val="left" w:pos="131"/>
                            <w:tab w:val="left" w:pos="1134"/>
                            <w:tab w:val="left" w:pos="2003"/>
                            <w:tab w:val="left" w:pos="6323"/>
                          </w:tabs>
                          <w:jc w:val="both"/>
                        </w:pPr>
                        <w:r>
                          <w:t xml:space="preserve">Le signalement des nouvelles intégrations s’effectue via le « formulaire électronique intégration ». </w:t>
                        </w:r>
                      </w:p>
                      <w:p w:rsidR="00F04EEF" w:rsidRDefault="00F04EEF">
                        <w:pPr>
                          <w:tabs>
                            <w:tab w:val="left" w:pos="-589"/>
                            <w:tab w:val="left" w:pos="131"/>
                            <w:tab w:val="left" w:pos="1134"/>
                            <w:tab w:val="left" w:pos="2003"/>
                            <w:tab w:val="left" w:pos="6323"/>
                          </w:tabs>
                          <w:jc w:val="both"/>
                        </w:pPr>
                      </w:p>
                      <w:p w:rsidR="00F04EEF" w:rsidRDefault="0099351E">
                        <w:pPr>
                          <w:tabs>
                            <w:tab w:val="left" w:pos="-589"/>
                            <w:tab w:val="left" w:pos="131"/>
                            <w:tab w:val="left" w:pos="1134"/>
                            <w:tab w:val="left" w:pos="2003"/>
                            <w:tab w:val="left" w:pos="6323"/>
                          </w:tabs>
                          <w:jc w:val="both"/>
                          <w:rPr>
                            <w:b/>
                          </w:rPr>
                        </w:pPr>
                        <w:r>
                          <w:rPr>
                            <w:b/>
                          </w:rPr>
                          <w:t>L’intégration peut seulement débuter quand le protocole d’intégration a été signé par tous les partenaires. La validation via « le formulaire électronique intégration » confirme que le protocole a été signé par tous les partenaires.</w:t>
                        </w: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99351E">
                        <w:pPr>
                          <w:tabs>
                            <w:tab w:val="left" w:pos="-589"/>
                            <w:tab w:val="left" w:pos="131"/>
                            <w:tab w:val="left" w:pos="1134"/>
                            <w:tab w:val="left" w:pos="2003"/>
                            <w:tab w:val="left" w:pos="6323"/>
                          </w:tabs>
                          <w:jc w:val="both"/>
                        </w:pPr>
                        <w:r>
                          <w:rPr>
                            <w:noProof/>
                            <w:lang w:eastAsia="fr-BE"/>
                          </w:rPr>
                          <mc:AlternateContent>
                            <mc:Choice Requires="wps">
                              <w:drawing>
                                <wp:anchor distT="0" distB="0" distL="114300" distR="114300" simplePos="0" relativeHeight="252409856" behindDoc="0" locked="0" layoutInCell="1" allowOverlap="1">
                                  <wp:simplePos x="0" y="0"/>
                                  <wp:positionH relativeFrom="column">
                                    <wp:posOffset>3228975</wp:posOffset>
                                  </wp:positionH>
                                  <wp:positionV relativeFrom="paragraph">
                                    <wp:posOffset>188595</wp:posOffset>
                                  </wp:positionV>
                                  <wp:extent cx="0" cy="762000"/>
                                  <wp:effectExtent l="0" t="0" r="19050" b="19050"/>
                                  <wp:wrapNone/>
                                  <wp:docPr id="9" name="Connecteur droit 9"/>
                                  <wp:cNvGraphicFramePr/>
                                  <a:graphic xmlns:a="http://schemas.openxmlformats.org/drawingml/2006/main">
                                    <a:graphicData uri="http://schemas.microsoft.com/office/word/2010/wordprocessingShape">
                                      <wps:wsp>
                                        <wps:cNvCnPr/>
                                        <wps:spPr>
                                          <a:xfrm>
                                            <a:off x="0" y="0"/>
                                            <a:ext cx="0" cy="762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0C85FE" id="Connecteur droit 9" o:spid="_x0000_s1026" style="position:absolute;z-index:252409856;visibility:visible;mso-wrap-style:square;mso-wrap-distance-left:9pt;mso-wrap-distance-top:0;mso-wrap-distance-right:9pt;mso-wrap-distance-bottom:0;mso-position-horizontal:absolute;mso-position-horizontal-relative:text;mso-position-vertical:absolute;mso-position-vertical-relative:text" from="254.25pt,14.85pt" to="254.25pt,7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" strokecolor="black [3213]"/>
                              </w:pict>
                            </mc:Fallback>
                          </mc:AlternateContent>
                        </w:r>
                      </w:p>
                      <w:p w:rsidR="00F04EEF" w:rsidRDefault="00F04EEF">
                        <w:pPr>
                          <w:tabs>
                            <w:tab w:val="left" w:pos="-589"/>
                          </w:tabs>
                          <w:jc w:val="both"/>
                        </w:pPr>
                      </w:p>
                      <w:p w:rsidR="00F04EEF" w:rsidRDefault="00F04EEF">
                        <w:pPr>
                          <w:tabs>
                            <w:tab w:val="left" w:pos="-589"/>
                          </w:tabs>
                          <w:jc w:val="both"/>
                        </w:pPr>
                      </w:p>
                      <w:p w:rsidR="00F04EEF" w:rsidRDefault="00F04EEF">
                        <w:pPr>
                          <w:tabs>
                            <w:tab w:val="left" w:pos="-589"/>
                          </w:tabs>
                          <w:jc w:val="both"/>
                        </w:pPr>
                      </w:p>
                      <w:p w:rsidR="00F04EEF" w:rsidRDefault="00F04EEF">
                        <w:pPr>
                          <w:tabs>
                            <w:tab w:val="left" w:pos="-589"/>
                          </w:tabs>
                          <w:jc w:val="both"/>
                        </w:pPr>
                      </w:p>
                      <w:p w:rsidR="00F04EEF" w:rsidRDefault="0099351E">
                        <w:pPr>
                          <w:tabs>
                            <w:tab w:val="left" w:pos="-589"/>
                          </w:tabs>
                          <w:jc w:val="both"/>
                        </w:pPr>
                        <w:r>
                          <w:t xml:space="preserve"> Les bilans de l’intégration (</w:t>
                        </w:r>
                        <w:hyperlink w:anchor="_Annexe_4_:_8" w:history="1">
                          <w:r>
                            <w:rPr>
                              <w:rStyle w:val="Lienhypertexte"/>
                              <w:rFonts w:cstheme="minorBidi"/>
                              <w:b/>
                            </w:rPr>
                            <w:t>annexe 4</w:t>
                          </w:r>
                        </w:hyperlink>
                        <w:r>
                          <w:t>) des élèves intégrés l’année scolaire précédente doivent être complétés et mis à disposition de la vérification de la population scolaire.</w:t>
                        </w:r>
                      </w:p>
                      <w:p w:rsidR="00F04EEF" w:rsidRDefault="00F04EEF">
                        <w:pPr>
                          <w:tabs>
                            <w:tab w:val="left" w:pos="-589"/>
                            <w:tab w:val="left" w:pos="131"/>
                            <w:tab w:val="left" w:pos="1134"/>
                            <w:tab w:val="left" w:pos="2003"/>
                            <w:tab w:val="left" w:pos="6323"/>
                          </w:tabs>
                          <w:jc w:val="both"/>
                        </w:pPr>
                      </w:p>
                    </w:tc>
                  </w:tr>
                  <w:tr w:rsidR="00F04EEF">
                    <w:tc>
                      <w:tcPr>
                        <w:tcW w:w="4673" w:type="dxa"/>
                      </w:tcPr>
                      <w:p w:rsidR="00F04EEF" w:rsidRDefault="0099351E">
                        <w:pPr>
                          <w:tabs>
                            <w:tab w:val="left" w:pos="-589"/>
                          </w:tabs>
                          <w:jc w:val="both"/>
                        </w:pPr>
                        <w:r>
                          <w:t>Les demandes de dérogations « autre type » (</w:t>
                        </w:r>
                        <w:hyperlink w:anchor="_Annexe_8_:" w:history="1">
                          <w:r>
                            <w:rPr>
                              <w:rStyle w:val="Lienhypertexte"/>
                              <w:rFonts w:cstheme="minorBidi"/>
                            </w:rPr>
                            <w:t>annexe 8</w:t>
                          </w:r>
                        </w:hyperlink>
                        <w:r>
                          <w:t>) sont à transmettre à l’administration par mail. Dès réception de l’autorisation ministérielle, il convient de remplir le « formulaire électronique intégration ».</w:t>
                        </w:r>
                      </w:p>
                      <w:p w:rsidR="00F04EEF" w:rsidRDefault="0099351E">
                        <w:pPr>
                          <w:tabs>
                            <w:tab w:val="left" w:pos="-589"/>
                          </w:tabs>
                          <w:jc w:val="both"/>
                        </w:pPr>
                        <w:r>
                          <w:t>Rappel : toute dérogation « autre type » accordée à un élève demeure valable pendant toute sa scolarité pour autant que les conditions, en vertu desquelles  ladite dérogation a été octroyée, demeurent inchangées.</w:t>
                        </w:r>
                      </w:p>
                    </w:tc>
                    <w:tc>
                      <w:tcPr>
                        <w:tcW w:w="4706" w:type="dxa"/>
                      </w:tcPr>
                      <w:p w:rsidR="00F04EEF" w:rsidRDefault="0099351E">
                        <w:pPr>
                          <w:tabs>
                            <w:tab w:val="left" w:pos="-589"/>
                            <w:tab w:val="left" w:pos="131"/>
                            <w:tab w:val="left" w:pos="1134"/>
                            <w:tab w:val="left" w:pos="2003"/>
                            <w:tab w:val="left" w:pos="6323"/>
                          </w:tabs>
                          <w:jc w:val="both"/>
                        </w:pPr>
                        <w:r>
                          <w:rPr>
                            <w:noProof/>
                            <w:lang w:eastAsia="fr-BE"/>
                          </w:rPr>
                          <mc:AlternateContent>
                            <mc:Choice Requires="wps">
                              <w:drawing>
                                <wp:anchor distT="0" distB="0" distL="114300" distR="114300" simplePos="0" relativeHeight="252410880" behindDoc="0" locked="0" layoutInCell="1" allowOverlap="1">
                                  <wp:simplePos x="0" y="0"/>
                                  <wp:positionH relativeFrom="column">
                                    <wp:posOffset>3228975</wp:posOffset>
                                  </wp:positionH>
                                  <wp:positionV relativeFrom="paragraph">
                                    <wp:posOffset>78740</wp:posOffset>
                                  </wp:positionV>
                                  <wp:extent cx="0" cy="1869831"/>
                                  <wp:effectExtent l="0" t="0" r="19050" b="35560"/>
                                  <wp:wrapNone/>
                                  <wp:docPr id="515" name="Connecteur droit 515"/>
                                  <wp:cNvGraphicFramePr/>
                                  <a:graphic xmlns:a="http://schemas.openxmlformats.org/drawingml/2006/main">
                                    <a:graphicData uri="http://schemas.microsoft.com/office/word/2010/wordprocessingShape">
                                      <wps:wsp>
                                        <wps:cNvCnPr/>
                                        <wps:spPr>
                                          <a:xfrm>
                                            <a:off x="0" y="0"/>
                                            <a:ext cx="0" cy="186983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775B51" id="Connecteur droit 515" o:spid="_x0000_s1026" style="position:absolute;z-index:252410880;visibility:visible;mso-wrap-style:square;mso-wrap-distance-left:9pt;mso-wrap-distance-top:0;mso-wrap-distance-right:9pt;mso-wrap-distance-bottom:0;mso-position-horizontal:absolute;mso-position-horizontal-relative:text;mso-position-vertical:absolute;mso-position-vertical-relative:text" from="254.25pt,6.2pt" to="254.2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" strokecolor="black [3213]"/>
                              </w:pict>
                            </mc:Fallback>
                          </mc:AlternateContent>
                        </w: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p w:rsidR="00F04EEF" w:rsidRDefault="00F04EEF">
                        <w:pPr>
                          <w:tabs>
                            <w:tab w:val="left" w:pos="-589"/>
                            <w:tab w:val="left" w:pos="131"/>
                            <w:tab w:val="left" w:pos="1134"/>
                            <w:tab w:val="left" w:pos="2003"/>
                            <w:tab w:val="left" w:pos="6323"/>
                          </w:tabs>
                          <w:jc w:val="both"/>
                        </w:pPr>
                      </w:p>
                    </w:tc>
                  </w:tr>
                  <w:tr w:rsidR="00F04EEF">
                    <w:tc>
                      <w:tcPr>
                        <w:tcW w:w="9379" w:type="dxa"/>
                        <w:gridSpan w:val="2"/>
                      </w:tcPr>
                      <w:p w:rsidR="00F04EEF" w:rsidRDefault="0099351E">
                        <w:pPr>
                          <w:tabs>
                            <w:tab w:val="left" w:pos="-589"/>
                            <w:tab w:val="left" w:pos="131"/>
                            <w:tab w:val="left" w:pos="1134"/>
                            <w:tab w:val="left" w:pos="2003"/>
                            <w:tab w:val="left" w:pos="6323"/>
                          </w:tabs>
                          <w:jc w:val="center"/>
                          <w:rPr>
                            <w:b/>
                            <w:lang w:val="fr-FR"/>
                          </w:rPr>
                        </w:pPr>
                        <w:r>
                          <w:rPr>
                            <w:b/>
                            <w:bCs/>
                            <w:lang w:val="fr-FR" w:eastAsia="fr-FR"/>
                          </w:rPr>
                          <w:t>16. Quand l’intégration se termine-t-elle ?</w:t>
                        </w:r>
                      </w:p>
                    </w:tc>
                  </w:tr>
                  <w:tr w:rsidR="00F04EEF">
                    <w:trPr>
                      <w:trHeight w:val="70"/>
                    </w:trPr>
                    <w:tc>
                      <w:tcPr>
                        <w:tcW w:w="4673" w:type="dxa"/>
                      </w:tcPr>
                      <w:p w:rsidR="00F04EEF" w:rsidRDefault="00F04EEF">
                        <w:pPr>
                          <w:autoSpaceDE w:val="0"/>
                          <w:snapToGrid w:val="0"/>
                          <w:jc w:val="both"/>
                          <w:rPr>
                            <w:bCs/>
                          </w:rPr>
                        </w:pPr>
                      </w:p>
                      <w:p w:rsidR="00F04EEF" w:rsidRDefault="0099351E">
                        <w:pPr>
                          <w:pBdr>
                            <w:right w:val="single" w:sz="18" w:space="4" w:color="auto"/>
                          </w:pBdr>
                          <w:autoSpaceDE w:val="0"/>
                          <w:snapToGrid w:val="0"/>
                          <w:jc w:val="both"/>
                        </w:pPr>
                        <w:r>
                          <w:rPr>
                            <w:bCs/>
                          </w:rPr>
                          <w:t>Au terme de chaque année scolaire (30 juin)</w:t>
                        </w:r>
                        <w:r>
                          <w:t xml:space="preserve">, chacun des </w:t>
                        </w:r>
                        <w:r>
                          <w:rPr>
                            <w:b/>
                          </w:rPr>
                          <w:t>partenaires actuels</w:t>
                        </w:r>
                        <w:r>
                          <w:t xml:space="preserve"> du protocole peut demander de mettre fin à l'intégration et le retour à temps plein de l’élève dans l’enseignement spécialisé.</w:t>
                        </w:r>
                      </w:p>
                      <w:p w:rsidR="00F04EEF" w:rsidRDefault="00F04EEF">
                        <w:pPr>
                          <w:pBdr>
                            <w:right w:val="single" w:sz="18" w:space="4" w:color="auto"/>
                          </w:pBdr>
                          <w:spacing w:line="76" w:lineRule="atLeast"/>
                          <w:jc w:val="both"/>
                        </w:pPr>
                      </w:p>
                    </w:tc>
                    <w:tc>
                      <w:tcPr>
                        <w:tcW w:w="4706" w:type="dxa"/>
                      </w:tcPr>
                      <w:p w:rsidR="00F04EEF" w:rsidRDefault="00F04EEF">
                        <w:pPr>
                          <w:snapToGrid w:val="0"/>
                          <w:jc w:val="both"/>
                          <w:rPr>
                            <w:bCs/>
                          </w:rPr>
                        </w:pPr>
                      </w:p>
                      <w:p w:rsidR="00F04EEF" w:rsidRDefault="0099351E">
                        <w:pPr>
                          <w:snapToGrid w:val="0"/>
                          <w:jc w:val="both"/>
                          <w:rPr>
                            <w:bCs/>
                          </w:rPr>
                        </w:pPr>
                        <w:r>
                          <w:rPr>
                            <w:bCs/>
                          </w:rPr>
                          <w:t>Au terme de chaque période d’intégration.</w:t>
                        </w:r>
                      </w:p>
                      <w:p w:rsidR="00F04EEF" w:rsidRDefault="00F04EEF">
                        <w:pPr>
                          <w:snapToGrid w:val="0"/>
                          <w:jc w:val="both"/>
                          <w:rPr>
                            <w:bCs/>
                          </w:rPr>
                        </w:pPr>
                      </w:p>
                    </w:tc>
                  </w:tr>
                  <w:tr w:rsidR="00F04EEF">
                    <w:trPr>
                      <w:trHeight w:val="70"/>
                    </w:trPr>
                    <w:tc>
                      <w:tcPr>
                        <w:tcW w:w="9379" w:type="dxa"/>
                        <w:gridSpan w:val="2"/>
                      </w:tcPr>
                      <w:p w:rsidR="00F04EEF" w:rsidRDefault="0099351E">
                        <w:pPr>
                          <w:snapToGrid w:val="0"/>
                          <w:jc w:val="both"/>
                        </w:pPr>
                        <w:r>
                          <w:t xml:space="preserve">L’école d’enseignement spécialisé informe l’Administration de l’arrêt de l’intégration via </w:t>
                        </w:r>
                        <w:hyperlink w:anchor="_Annexe_4_:_8" w:history="1">
                          <w:r>
                            <w:rPr>
                              <w:rStyle w:val="Lienhypertexte"/>
                              <w:rFonts w:cs="Arial"/>
                            </w:rPr>
                            <w:t>l’annexe 4</w:t>
                          </w:r>
                        </w:hyperlink>
                        <w:r>
                          <w:rPr>
                            <w:rStyle w:val="Lienhypertexte"/>
                            <w:rFonts w:cs="Arial"/>
                          </w:rPr>
                          <w:t xml:space="preserve"> </w:t>
                        </w:r>
                        <w:r>
                          <w:t>(préremplie par l’Administration</w:t>
                        </w:r>
                        <w:r>
                          <w:rPr>
                            <w:rStyle w:val="Lienhypertexte"/>
                            <w:rFonts w:cs="Arial"/>
                            <w:color w:val="auto"/>
                          </w:rPr>
                          <w:t>)</w:t>
                        </w:r>
                        <w:r>
                          <w:t>.</w:t>
                        </w:r>
                      </w:p>
                      <w:p w:rsidR="00F04EEF" w:rsidRDefault="00F04EEF">
                        <w:pPr>
                          <w:snapToGrid w:val="0"/>
                          <w:jc w:val="both"/>
                          <w:rPr>
                            <w:bCs/>
                          </w:rPr>
                        </w:pPr>
                      </w:p>
                      <w:p w:rsidR="00F04EEF" w:rsidRDefault="00F04EEF">
                        <w:pPr>
                          <w:snapToGrid w:val="0"/>
                          <w:jc w:val="both"/>
                          <w:rPr>
                            <w:bCs/>
                          </w:rPr>
                        </w:pPr>
                      </w:p>
                    </w:tc>
                  </w:tr>
                  <w:tr w:rsidR="00F04EEF">
                    <w:trPr>
                      <w:trHeight w:val="70"/>
                    </w:trPr>
                    <w:tc>
                      <w:tcPr>
                        <w:tcW w:w="9379" w:type="dxa"/>
                        <w:gridSpan w:val="2"/>
                      </w:tcPr>
                      <w:p w:rsidR="00F04EEF" w:rsidRDefault="0099351E">
                        <w:pPr>
                          <w:jc w:val="center"/>
                          <w:rPr>
                            <w:bCs/>
                          </w:rPr>
                        </w:pPr>
                        <w:r>
                          <w:rPr>
                            <w:b/>
                          </w:rPr>
                          <w:t>17. Quelles sont les règles de présence et de registre ?</w:t>
                        </w:r>
                      </w:p>
                    </w:tc>
                  </w:tr>
                  <w:tr w:rsidR="00F04EEF">
                    <w:trPr>
                      <w:trHeight w:val="70"/>
                    </w:trPr>
                    <w:tc>
                      <w:tcPr>
                        <w:tcW w:w="9379" w:type="dxa"/>
                        <w:gridSpan w:val="2"/>
                      </w:tcPr>
                      <w:p w:rsidR="00F04EEF" w:rsidRDefault="00F04EEF">
                        <w:pPr>
                          <w:tabs>
                            <w:tab w:val="left" w:pos="-1908"/>
                            <w:tab w:val="left" w:pos="1872"/>
                          </w:tabs>
                          <w:jc w:val="both"/>
                        </w:pPr>
                      </w:p>
                      <w:p w:rsidR="00F04EEF" w:rsidRDefault="0099351E">
                        <w:pPr>
                          <w:tabs>
                            <w:tab w:val="left" w:pos="-1908"/>
                            <w:tab w:val="left" w:pos="1872"/>
                          </w:tabs>
                          <w:jc w:val="both"/>
                        </w:pPr>
                        <w:r>
                          <w:t>La réglementation applicable est celle de l’école où l’élève est régulièrement inscrit (cfr 3</w:t>
                        </w:r>
                        <w:r>
                          <w:rPr>
                            <w:vertAlign w:val="superscript"/>
                          </w:rPr>
                          <w:t>ème</w:t>
                        </w:r>
                        <w:r>
                          <w:t xml:space="preserve"> point du récapitulatif des modalités de fonctionnement : Où l’élève est-il inscrit et comptabilisé ?)</w:t>
                        </w:r>
                      </w:p>
                      <w:p w:rsidR="00F04EEF" w:rsidRDefault="0099351E">
                        <w:pPr>
                          <w:jc w:val="both"/>
                        </w:pPr>
                        <w:r>
                          <w:t>Il est toutefois évident que les présences sont prises dans l’école où se trouve l’élève (en même temps que celles des autres élèves de la classe) avec un transfert d’information vers l’école d’enseignement spécialisé.</w:t>
                        </w:r>
                      </w:p>
                      <w:p w:rsidR="00F04EEF" w:rsidRDefault="00F04EEF">
                        <w:pPr>
                          <w:jc w:val="both"/>
                        </w:pPr>
                      </w:p>
                      <w:p w:rsidR="00F04EEF" w:rsidRDefault="0099351E">
                        <w:pPr>
                          <w:jc w:val="both"/>
                        </w:pPr>
                        <w:r>
                          <w:t xml:space="preserve">Ces modalités seront prévues dans le protocole d’intégration, à la rubrique : « Règles de présence et registre ». </w:t>
                        </w:r>
                      </w:p>
                      <w:p w:rsidR="00F04EEF" w:rsidRDefault="00F04EEF">
                        <w:pPr>
                          <w:jc w:val="both"/>
                        </w:pPr>
                      </w:p>
                      <w:p w:rsidR="00F04EEF" w:rsidRDefault="0099351E">
                        <w:pPr>
                          <w:tabs>
                            <w:tab w:val="left" w:pos="-1908"/>
                          </w:tabs>
                          <w:jc w:val="both"/>
                        </w:pPr>
                        <w:r>
                          <w:t xml:space="preserve">Dans ce contexte il est important que l’école d’enseignement spécialisé s’assure que les données du registre de l’école partenaire correspondent à celles requises par le </w:t>
                        </w:r>
                        <w:r>
                          <w:rPr>
                            <w:rFonts w:cs="Arial"/>
                          </w:rPr>
                          <w:t xml:space="preserve">point 3 du chapitre 15 </w:t>
                        </w:r>
                        <w:r>
                          <w:t>des directives et recommandations de l’enseignement spécialisé : « Rappel des conditions d’admission, de maintien et de passage dans l’enseignement spécialisé ».</w:t>
                        </w:r>
                      </w:p>
                      <w:p w:rsidR="00F04EEF" w:rsidRDefault="0099351E">
                        <w:pPr>
                          <w:snapToGrid w:val="0"/>
                          <w:jc w:val="both"/>
                          <w:rPr>
                            <w:bCs/>
                          </w:rPr>
                        </w:pPr>
                        <w:r>
                          <w:rPr>
                            <w:bCs/>
                            <w:noProof/>
                            <w:lang w:eastAsia="fr-BE"/>
                          </w:rPr>
                          <mc:AlternateContent>
                            <mc:Choice Requires="wps">
                              <w:drawing>
                                <wp:anchor distT="0" distB="0" distL="114300" distR="114300" simplePos="0" relativeHeight="252411904" behindDoc="0" locked="0" layoutInCell="1" allowOverlap="1">
                                  <wp:simplePos x="0" y="0"/>
                                  <wp:positionH relativeFrom="column">
                                    <wp:posOffset>6231255</wp:posOffset>
                                  </wp:positionH>
                                  <wp:positionV relativeFrom="paragraph">
                                    <wp:posOffset>152400</wp:posOffset>
                                  </wp:positionV>
                                  <wp:extent cx="0" cy="257908"/>
                                  <wp:effectExtent l="0" t="0" r="19050" b="27940"/>
                                  <wp:wrapNone/>
                                  <wp:docPr id="560" name="Connecteur droit 560"/>
                                  <wp:cNvGraphicFramePr/>
                                  <a:graphic xmlns:a="http://schemas.openxmlformats.org/drawingml/2006/main">
                                    <a:graphicData uri="http://schemas.microsoft.com/office/word/2010/wordprocessingShape">
                                      <wps:wsp>
                                        <wps:cNvCnPr/>
                                        <wps:spPr>
                                          <a:xfrm>
                                            <a:off x="0" y="0"/>
                                            <a:ext cx="0" cy="25790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6510B9" id="Connecteur droit 560" o:spid="_x0000_s1026" style="position:absolute;z-index:252411904;visibility:visible;mso-wrap-style:square;mso-wrap-distance-left:9pt;mso-wrap-distance-top:0;mso-wrap-distance-right:9pt;mso-wrap-distance-bottom:0;mso-position-horizontal:absolute;mso-position-horizontal-relative:text;mso-position-vertical:absolute;mso-position-vertical-relative:text" from="490.65pt,12pt" to="490.65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" strokecolor="black [3213]"/>
                              </w:pict>
                            </mc:Fallback>
                          </mc:AlternateContent>
                        </w:r>
                      </w:p>
                    </w:tc>
                  </w:tr>
                  <w:tr w:rsidR="00F04EEF">
                    <w:trPr>
                      <w:trHeight w:val="70"/>
                    </w:trPr>
                    <w:tc>
                      <w:tcPr>
                        <w:tcW w:w="9379" w:type="dxa"/>
                        <w:gridSpan w:val="2"/>
                      </w:tcPr>
                      <w:p w:rsidR="00F04EEF" w:rsidRDefault="0099351E">
                        <w:pPr>
                          <w:jc w:val="center"/>
                        </w:pPr>
                        <w:r>
                          <w:rPr>
                            <w:b/>
                          </w:rPr>
                          <w:t>18. Que faire en cas de prolongation du projet d’intégration en cours d’année scolaire?</w:t>
                        </w:r>
                      </w:p>
                    </w:tc>
                  </w:tr>
                  <w:tr w:rsidR="00F04EEF">
                    <w:trPr>
                      <w:trHeight w:val="70"/>
                    </w:trPr>
                    <w:tc>
                      <w:tcPr>
                        <w:tcW w:w="9379" w:type="dxa"/>
                        <w:gridSpan w:val="2"/>
                      </w:tcPr>
                      <w:p w:rsidR="00F04EEF" w:rsidRDefault="00F04EEF">
                        <w:pPr>
                          <w:tabs>
                            <w:tab w:val="left" w:pos="-589"/>
                            <w:tab w:val="left" w:pos="131"/>
                            <w:tab w:val="left" w:pos="1134"/>
                            <w:tab w:val="left" w:pos="2003"/>
                            <w:tab w:val="left" w:pos="6323"/>
                          </w:tabs>
                          <w:jc w:val="both"/>
                        </w:pPr>
                      </w:p>
                      <w:p w:rsidR="00F04EEF" w:rsidRDefault="0099351E">
                        <w:pPr>
                          <w:tabs>
                            <w:tab w:val="left" w:pos="-589"/>
                            <w:tab w:val="left" w:pos="131"/>
                            <w:tab w:val="left" w:pos="1134"/>
                            <w:tab w:val="left" w:pos="2003"/>
                            <w:tab w:val="left" w:pos="6323"/>
                          </w:tabs>
                          <w:jc w:val="both"/>
                        </w:pPr>
                        <w:r>
                          <w:t xml:space="preserve">Il faut compléter une </w:t>
                        </w:r>
                        <w:hyperlink w:anchor="_Annexe_4_:_8" w:history="1">
                          <w:r>
                            <w:rPr>
                              <w:rStyle w:val="Lienhypertexte"/>
                              <w:rFonts w:cs="Arial"/>
                            </w:rPr>
                            <w:t>annexe 4</w:t>
                          </w:r>
                        </w:hyperlink>
                        <w:r>
                          <w:rPr>
                            <w:rStyle w:val="Lienhypertexte"/>
                            <w:rFonts w:cs="Arial"/>
                            <w:u w:val="none"/>
                          </w:rPr>
                          <w:t xml:space="preserve"> </w:t>
                        </w:r>
                        <w:r>
                          <w:t>(préremplie par l’Administration</w:t>
                        </w:r>
                        <w:r>
                          <w:rPr>
                            <w:rStyle w:val="Lienhypertexte"/>
                            <w:rFonts w:cs="Arial"/>
                            <w:color w:val="auto"/>
                          </w:rPr>
                          <w:t>)</w:t>
                        </w:r>
                        <w:r>
                          <w:t xml:space="preserve"> et la faire signer par tous les partenaires. Ensuite, l’école d’enseignement spécialisé envoie une copie du document à l’Administration sur la boîte mail générique : </w:t>
                        </w:r>
                        <w:hyperlink r:id="rId205" w:history="1">
                          <w:r>
                            <w:rPr>
                              <w:rStyle w:val="Lienhypertexte"/>
                              <w:rFonts w:cs="Arial"/>
                            </w:rPr>
                            <w:t>integration_specialise@cfwb.be</w:t>
                          </w:r>
                        </w:hyperlink>
                        <w:r>
                          <w:rPr>
                            <w:rStyle w:val="Lienhypertexte"/>
                            <w:rFonts w:cs="Arial"/>
                            <w:color w:val="1F497D" w:themeColor="text2"/>
                            <w:u w:val="none"/>
                          </w:rPr>
                          <w:t xml:space="preserve"> </w:t>
                        </w:r>
                      </w:p>
                      <w:p w:rsidR="00F04EEF" w:rsidRDefault="0099351E">
                        <w:pPr>
                          <w:tabs>
                            <w:tab w:val="left" w:pos="-589"/>
                            <w:tab w:val="left" w:pos="131"/>
                            <w:tab w:val="left" w:pos="1134"/>
                            <w:tab w:val="left" w:pos="2003"/>
                            <w:tab w:val="left" w:pos="6323"/>
                          </w:tabs>
                          <w:jc w:val="both"/>
                        </w:pPr>
                        <w:r>
                          <w:rPr>
                            <w:noProof/>
                            <w:lang w:eastAsia="fr-BE"/>
                          </w:rPr>
                          <mc:AlternateContent>
                            <mc:Choice Requires="wps">
                              <w:drawing>
                                <wp:anchor distT="0" distB="0" distL="114300" distR="114300" simplePos="0" relativeHeight="252412928" behindDoc="0" locked="0" layoutInCell="1" allowOverlap="1">
                                  <wp:simplePos x="0" y="0"/>
                                  <wp:positionH relativeFrom="column">
                                    <wp:posOffset>6231255</wp:posOffset>
                                  </wp:positionH>
                                  <wp:positionV relativeFrom="paragraph">
                                    <wp:posOffset>165735</wp:posOffset>
                                  </wp:positionV>
                                  <wp:extent cx="0" cy="826477"/>
                                  <wp:effectExtent l="0" t="0" r="19050" b="31115"/>
                                  <wp:wrapNone/>
                                  <wp:docPr id="5550" name="Connecteur droit 5550"/>
                                  <wp:cNvGraphicFramePr/>
                                  <a:graphic xmlns:a="http://schemas.openxmlformats.org/drawingml/2006/main">
                                    <a:graphicData uri="http://schemas.microsoft.com/office/word/2010/wordprocessingShape">
                                      <wps:wsp>
                                        <wps:cNvCnPr/>
                                        <wps:spPr>
                                          <a:xfrm>
                                            <a:off x="0" y="0"/>
                                            <a:ext cx="0" cy="82647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98DD3C" id="Connecteur droit 5550" o:spid="_x0000_s1026" style="position:absolute;z-index:252412928;visibility:visible;mso-wrap-style:square;mso-wrap-distance-left:9pt;mso-wrap-distance-top:0;mso-wrap-distance-right:9pt;mso-wrap-distance-bottom:0;mso-position-horizontal:absolute;mso-position-horizontal-relative:text;mso-position-vertical:absolute;mso-position-vertical-relative:text" from="490.65pt,13.05pt" to="490.65pt,7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" strokecolor="black [3213]"/>
                              </w:pict>
                            </mc:Fallback>
                          </mc:AlternateContent>
                        </w:r>
                      </w:p>
                    </w:tc>
                  </w:tr>
                  <w:tr w:rsidR="00F04EEF">
                    <w:trPr>
                      <w:trHeight w:val="70"/>
                    </w:trPr>
                    <w:tc>
                      <w:tcPr>
                        <w:tcW w:w="9379" w:type="dxa"/>
                        <w:gridSpan w:val="2"/>
                      </w:tcPr>
                      <w:p w:rsidR="00F04EEF" w:rsidRDefault="0099351E">
                        <w:pPr>
                          <w:tabs>
                            <w:tab w:val="left" w:pos="-589"/>
                            <w:tab w:val="left" w:pos="131"/>
                            <w:tab w:val="left" w:pos="1134"/>
                            <w:tab w:val="left" w:pos="2003"/>
                            <w:tab w:val="left" w:pos="6323"/>
                          </w:tabs>
                          <w:jc w:val="center"/>
                          <w:rPr>
                            <w:b/>
                          </w:rPr>
                        </w:pPr>
                        <w:r>
                          <w:rPr>
                            <w:b/>
                          </w:rPr>
                          <w:t>19. Que faire en cas de prolongation du projet d’intégration en fin d’année scolaire?</w:t>
                        </w:r>
                      </w:p>
                    </w:tc>
                  </w:tr>
                  <w:tr w:rsidR="00F04EEF">
                    <w:trPr>
                      <w:trHeight w:val="70"/>
                    </w:trPr>
                    <w:tc>
                      <w:tcPr>
                        <w:tcW w:w="9379" w:type="dxa"/>
                        <w:gridSpan w:val="2"/>
                      </w:tcPr>
                      <w:p w:rsidR="00F04EEF" w:rsidRDefault="00F04EEF">
                        <w:pPr>
                          <w:tabs>
                            <w:tab w:val="left" w:pos="-589"/>
                            <w:tab w:val="left" w:pos="131"/>
                            <w:tab w:val="left" w:pos="1134"/>
                            <w:tab w:val="left" w:pos="2003"/>
                            <w:tab w:val="left" w:pos="6323"/>
                          </w:tabs>
                          <w:jc w:val="both"/>
                        </w:pPr>
                      </w:p>
                      <w:p w:rsidR="00F04EEF" w:rsidRDefault="0099351E">
                        <w:pPr>
                          <w:tabs>
                            <w:tab w:val="left" w:pos="-589"/>
                            <w:tab w:val="left" w:pos="131"/>
                            <w:tab w:val="left" w:pos="1134"/>
                            <w:tab w:val="left" w:pos="2003"/>
                            <w:tab w:val="left" w:pos="6323"/>
                          </w:tabs>
                          <w:jc w:val="both"/>
                        </w:pPr>
                        <w:r>
                          <w:t xml:space="preserve">Les écoles recevront par mail un listing à compléter et à renvoyer à l’Administration pour le 30 septembre au plus tard via la boîte mail générique : </w:t>
                        </w:r>
                        <w:hyperlink r:id="rId206" w:history="1">
                          <w:r>
                            <w:rPr>
                              <w:rStyle w:val="Lienhypertexte"/>
                              <w:rFonts w:cstheme="minorBidi"/>
                            </w:rPr>
                            <w:t>integration_specialise@cfwb.be</w:t>
                          </w:r>
                        </w:hyperlink>
                      </w:p>
                      <w:p w:rsidR="00F04EEF" w:rsidRDefault="00F04EEF">
                        <w:pPr>
                          <w:tabs>
                            <w:tab w:val="left" w:pos="-589"/>
                            <w:tab w:val="left" w:pos="131"/>
                            <w:tab w:val="left" w:pos="1134"/>
                            <w:tab w:val="left" w:pos="2003"/>
                            <w:tab w:val="left" w:pos="6323"/>
                          </w:tabs>
                          <w:jc w:val="center"/>
                          <w:rPr>
                            <w:b/>
                          </w:rPr>
                        </w:pPr>
                      </w:p>
                    </w:tc>
                  </w:tr>
                  <w:tr w:rsidR="00F04EEF">
                    <w:trPr>
                      <w:trHeight w:val="70"/>
                    </w:trPr>
                    <w:tc>
                      <w:tcPr>
                        <w:tcW w:w="9379" w:type="dxa"/>
                        <w:gridSpan w:val="2"/>
                      </w:tcPr>
                      <w:p w:rsidR="00F04EEF" w:rsidRDefault="0099351E">
                        <w:pPr>
                          <w:tabs>
                            <w:tab w:val="left" w:pos="-589"/>
                            <w:tab w:val="left" w:pos="131"/>
                            <w:tab w:val="left" w:pos="1134"/>
                            <w:tab w:val="left" w:pos="2003"/>
                            <w:tab w:val="left" w:pos="6323"/>
                          </w:tabs>
                          <w:jc w:val="center"/>
                        </w:pPr>
                        <w:r>
                          <w:rPr>
                            <w:b/>
                          </w:rPr>
                          <w:t>20. Quand doit-on établir un nouveau protocole d’intégration?</w:t>
                        </w:r>
                      </w:p>
                    </w:tc>
                  </w:tr>
                  <w:tr w:rsidR="00F04EEF">
                    <w:trPr>
                      <w:trHeight w:val="70"/>
                    </w:trPr>
                    <w:tc>
                      <w:tcPr>
                        <w:tcW w:w="9379" w:type="dxa"/>
                        <w:gridSpan w:val="2"/>
                      </w:tcPr>
                      <w:p w:rsidR="00F04EEF" w:rsidRDefault="00F04EEF">
                        <w:pPr>
                          <w:tabs>
                            <w:tab w:val="left" w:pos="-1908"/>
                            <w:tab w:val="left" w:pos="1134"/>
                            <w:tab w:val="left" w:pos="1872"/>
                            <w:tab w:val="left" w:pos="2003"/>
                            <w:tab w:val="left" w:pos="6323"/>
                          </w:tabs>
                        </w:pPr>
                      </w:p>
                      <w:p w:rsidR="00F04EEF" w:rsidRDefault="0099351E">
                        <w:pPr>
                          <w:tabs>
                            <w:tab w:val="left" w:pos="-1908"/>
                            <w:tab w:val="left" w:pos="1134"/>
                            <w:tab w:val="left" w:pos="1872"/>
                            <w:tab w:val="left" w:pos="2003"/>
                            <w:tab w:val="left" w:pos="6323"/>
                          </w:tabs>
                        </w:pPr>
                        <w:r>
                          <w:t>Lors de tout changement de partenaire ou lors d’un changement de niveau (du fondamental vers le secondaire).</w:t>
                        </w:r>
                      </w:p>
                      <w:p w:rsidR="00F04EEF" w:rsidRDefault="00F04EEF">
                        <w:pPr>
                          <w:tabs>
                            <w:tab w:val="left" w:pos="-1908"/>
                            <w:tab w:val="left" w:pos="1134"/>
                            <w:tab w:val="left" w:pos="1872"/>
                            <w:tab w:val="left" w:pos="2003"/>
                            <w:tab w:val="left" w:pos="6323"/>
                          </w:tabs>
                        </w:pPr>
                      </w:p>
                    </w:tc>
                  </w:tr>
                  <w:tr w:rsidR="00F04EEF">
                    <w:trPr>
                      <w:trHeight w:val="70"/>
                    </w:trPr>
                    <w:tc>
                      <w:tcPr>
                        <w:tcW w:w="9379" w:type="dxa"/>
                        <w:gridSpan w:val="2"/>
                      </w:tcPr>
                      <w:p w:rsidR="00F04EEF" w:rsidRDefault="0099351E">
                        <w:pPr>
                          <w:tabs>
                            <w:tab w:val="left" w:pos="709"/>
                          </w:tabs>
                          <w:jc w:val="center"/>
                          <w:rPr>
                            <w:b/>
                          </w:rPr>
                        </w:pPr>
                        <w:r>
                          <w:rPr>
                            <w:b/>
                          </w:rPr>
                          <w:t xml:space="preserve">21. Que se passe-t-il si l’intégration échoue ? Qui doit-on prévenir ? </w:t>
                        </w:r>
                      </w:p>
                      <w:p w:rsidR="00F04EEF" w:rsidRDefault="0099351E">
                        <w:pPr>
                          <w:tabs>
                            <w:tab w:val="left" w:pos="709"/>
                          </w:tabs>
                          <w:jc w:val="center"/>
                        </w:pPr>
                        <w:r>
                          <w:rPr>
                            <w:b/>
                          </w:rPr>
                          <w:t>Que se passe-t-il avec les périodes octroyées ?</w:t>
                        </w:r>
                      </w:p>
                    </w:tc>
                  </w:tr>
                  <w:tr w:rsidR="00F04EEF">
                    <w:trPr>
                      <w:trHeight w:val="70"/>
                    </w:trPr>
                    <w:tc>
                      <w:tcPr>
                        <w:tcW w:w="9379" w:type="dxa"/>
                        <w:gridSpan w:val="2"/>
                      </w:tcPr>
                      <w:p w:rsidR="00F04EEF" w:rsidRDefault="00F04EEF">
                        <w:pPr>
                          <w:tabs>
                            <w:tab w:val="left" w:pos="0"/>
                          </w:tabs>
                          <w:jc w:val="both"/>
                        </w:pPr>
                      </w:p>
                      <w:p w:rsidR="00F04EEF" w:rsidRDefault="0099351E">
                        <w:pPr>
                          <w:jc w:val="both"/>
                        </w:pPr>
                        <w:r>
                          <w:t xml:space="preserve">Les </w:t>
                        </w:r>
                        <w:r>
                          <w:rPr>
                            <w:b/>
                          </w:rPr>
                          <w:t>partenaires actuels</w:t>
                        </w:r>
                        <w:r>
                          <w:t xml:space="preserve"> du protocole d’intégration peuvent, par décision collégiale</w:t>
                        </w:r>
                        <w:r>
                          <w:rPr>
                            <w:rStyle w:val="Appelnotedebasdep"/>
                          </w:rPr>
                          <w:footnoteReference w:id="147"/>
                        </w:r>
                        <w:r>
                          <w:t xml:space="preserve"> motivée, mettre fin à l'intégration et autoriser le retour à temps plein de l'élève dans l'enseignement spécialisé en cours d'année scolaire. La décision doit être communiquée à l’administration dans les 30 jours calendrier de la dite-décision.</w:t>
                        </w:r>
                      </w:p>
                      <w:p w:rsidR="00F04EEF" w:rsidRDefault="00F04EEF">
                        <w:pPr>
                          <w:jc w:val="both"/>
                        </w:pPr>
                      </w:p>
                      <w:p w:rsidR="00F04EEF" w:rsidRDefault="0099351E">
                        <w:pPr>
                          <w:jc w:val="both"/>
                        </w:pPr>
                        <w:r>
                          <w:t>Le procès-verbal de cette décision actant la fin de l’intégration est tenu à la disposition de l’Administration.</w:t>
                        </w:r>
                      </w:p>
                      <w:p w:rsidR="00F04EEF" w:rsidRDefault="00F04EEF">
                        <w:pPr>
                          <w:suppressAutoHyphens/>
                          <w:jc w:val="both"/>
                        </w:pPr>
                      </w:p>
                      <w:p w:rsidR="00F04EEF" w:rsidRDefault="0099351E">
                        <w:pPr>
                          <w:suppressAutoHyphens/>
                          <w:jc w:val="both"/>
                        </w:pPr>
                        <w:r>
                          <w:t xml:space="preserve">Dès que la décision est prise, l’élève retourne à temps plein dans  l’école d’enseignement spécialisé. Un retour vers l’enseignement ordinaire est possible moyennant la procédure ad hoc (voir points 1.1.6.4 et 1.1.6.5 du chapitre 1). </w:t>
                        </w:r>
                      </w:p>
                      <w:p w:rsidR="00F04EEF" w:rsidRDefault="00F04EEF">
                        <w:pPr>
                          <w:suppressAutoHyphens/>
                          <w:jc w:val="both"/>
                        </w:pPr>
                      </w:p>
                      <w:p w:rsidR="00F04EEF" w:rsidRDefault="0099351E">
                        <w:pPr>
                          <w:suppressAutoHyphens/>
                          <w:jc w:val="both"/>
                        </w:pPr>
                        <w:r>
                          <w:t>Dans l’école d’enseignement ordinaire, les périodes générées par l’inscription de l’élève ainsi que les périodes hors NTPP attribuées pour l’accompagnement des élèves du 3</w:t>
                        </w:r>
                        <w:r>
                          <w:rPr>
                            <w:vertAlign w:val="superscript"/>
                          </w:rPr>
                          <w:t>ème</w:t>
                        </w:r>
                        <w:r>
                          <w:t xml:space="preserve"> degré lui restent acquises. Dans l’école d’enseignement spécialisé, les périodes complémentaires attribuées pour l’accompagnement de l’élève en enseignement ordinaire lui restent acquises. </w:t>
                        </w:r>
                      </w:p>
                      <w:p w:rsidR="00F04EEF" w:rsidRDefault="00F04EEF">
                        <w:pPr>
                          <w:ind w:left="567" w:hanging="567"/>
                          <w:jc w:val="both"/>
                        </w:pPr>
                      </w:p>
                      <w:p w:rsidR="00F04EEF" w:rsidRDefault="0099351E">
                        <w:pPr>
                          <w:jc w:val="both"/>
                        </w:pPr>
                        <w:r>
                          <w:t xml:space="preserve">Si l’intégration d’un élève est arrêtée en cours d’année scolaire, les périodes dérogatoires obtenues doivent être obligatoirement utilisées pour accompagner d’autres élèves intégrés. </w:t>
                        </w:r>
                      </w:p>
                      <w:p w:rsidR="00F04EEF" w:rsidRDefault="00F04EEF">
                        <w:pPr>
                          <w:ind w:left="567" w:hanging="567"/>
                          <w:jc w:val="both"/>
                        </w:pPr>
                      </w:p>
                      <w:p w:rsidR="00F04EEF" w:rsidRDefault="0099351E">
                        <w:pPr>
                          <w:pBdr>
                            <w:top w:val="single" w:sz="4" w:space="1" w:color="000000"/>
                            <w:left w:val="single" w:sz="4" w:space="4" w:color="000000"/>
                            <w:bottom w:val="single" w:sz="4" w:space="1" w:color="000000"/>
                            <w:right w:val="single" w:sz="4" w:space="4" w:color="000000"/>
                          </w:pBdr>
                          <w:jc w:val="both"/>
                        </w:pPr>
                        <w:r>
                          <w:rPr>
                            <w:b/>
                            <w:color w:val="000000"/>
                            <w:u w:val="single"/>
                          </w:rPr>
                          <w:t>Attention :</w:t>
                        </w:r>
                        <w:r>
                          <w:rPr>
                            <w:color w:val="000000"/>
                          </w:rPr>
                          <w:t xml:space="preserve"> si l’école a obtenu des périodes complémentaires pour un élève et que l’intégration s’arrête avant le 30 septembre, ces périodes dérogatoires sont restituées dès le 1</w:t>
                        </w:r>
                        <w:r>
                          <w:rPr>
                            <w:color w:val="000000"/>
                            <w:vertAlign w:val="superscript"/>
                          </w:rPr>
                          <w:t>er</w:t>
                        </w:r>
                        <w:r>
                          <w:rPr>
                            <w:color w:val="000000"/>
                          </w:rPr>
                          <w:t xml:space="preserve"> octobre.</w:t>
                        </w:r>
                      </w:p>
                    </w:tc>
                  </w:tr>
                </w:tbl>
                <w:p w:rsidR="00F04EEF" w:rsidRDefault="0099351E">
                  <w:r>
                    <w:rPr>
                      <w:noProof/>
                      <w:lang w:eastAsia="fr-BE"/>
                    </w:rPr>
                    <mc:AlternateContent>
                      <mc:Choice Requires="wps">
                        <w:drawing>
                          <wp:anchor distT="0" distB="0" distL="114300" distR="114300" simplePos="0" relativeHeight="252374016" behindDoc="0" locked="0" layoutInCell="1" allowOverlap="1">
                            <wp:simplePos x="0" y="0"/>
                            <wp:positionH relativeFrom="column">
                              <wp:posOffset>6233795</wp:posOffset>
                            </wp:positionH>
                            <wp:positionV relativeFrom="paragraph">
                              <wp:posOffset>-2327275</wp:posOffset>
                            </wp:positionV>
                            <wp:extent cx="0" cy="266700"/>
                            <wp:effectExtent l="0" t="0" r="19050" b="19050"/>
                            <wp:wrapNone/>
                            <wp:docPr id="584" name="Connecteur droit 584"/>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F6E4DC" id="Connecteur droit 584" o:spid="_x0000_s1026" style="position:absolute;z-index:252374016;visibility:visible;mso-wrap-style:square;mso-wrap-distance-left:9pt;mso-wrap-distance-top:0;mso-wrap-distance-right:9pt;mso-wrap-distance-bottom:0;mso-position-horizontal:absolute;mso-position-horizontal-relative:text;mso-position-vertical:absolute;mso-position-vertical-relative:text" from="490.85pt,-183.25pt" to="490.85pt,-1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" strokecolor="black [3213]"/>
                        </w:pict>
                      </mc:Fallback>
                    </mc:AlternateContent>
                  </w:r>
                </w:p>
                <w:p w:rsidR="00F04EEF" w:rsidRDefault="00F04EEF"/>
                <w:p w:rsidR="00F04EEF" w:rsidRDefault="0099351E">
                  <w:pPr>
                    <w:pStyle w:val="Titre3"/>
                    <w:jc w:val="both"/>
                    <w:rPr>
                      <w:sz w:val="22"/>
                      <w:szCs w:val="22"/>
                    </w:rPr>
                  </w:pPr>
                  <w:bookmarkStart w:id="3114" w:name="_7._Récapitulatif_des"/>
                  <w:bookmarkStart w:id="3115" w:name="__RefHeading__251_957262308"/>
                  <w:bookmarkStart w:id="3116" w:name="__RefHeading__253_957262308"/>
                  <w:bookmarkStart w:id="3117" w:name="_8._Foire_aux"/>
                  <w:bookmarkStart w:id="3118" w:name="_Toc47708557"/>
                  <w:bookmarkStart w:id="3119" w:name="_Toc291075410"/>
                  <w:bookmarkStart w:id="3120" w:name="_Toc291075834"/>
                  <w:bookmarkStart w:id="3121" w:name="_Toc291076258"/>
                  <w:bookmarkStart w:id="3122" w:name="_Toc291076682"/>
                  <w:bookmarkStart w:id="3123" w:name="_Toc291077106"/>
                  <w:bookmarkStart w:id="3124" w:name="_Toc293651949"/>
                  <w:bookmarkStart w:id="3125" w:name="_Toc293653532"/>
                  <w:bookmarkStart w:id="3126" w:name="_Toc293654143"/>
                  <w:bookmarkStart w:id="3127" w:name="_Toc294004721"/>
                  <w:bookmarkStart w:id="3128" w:name="_Toc294185217"/>
                  <w:bookmarkStart w:id="3129" w:name="_Toc324166035"/>
                  <w:bookmarkStart w:id="3130" w:name="_Toc324767071"/>
                  <w:bookmarkStart w:id="3131" w:name="_Toc453314436"/>
                  <w:bookmarkStart w:id="3132" w:name="_Toc454980471"/>
                  <w:bookmarkEnd w:id="3114"/>
                  <w:bookmarkEnd w:id="3115"/>
                  <w:bookmarkEnd w:id="3116"/>
                  <w:bookmarkEnd w:id="3117"/>
                  <w:r>
                    <w:rPr>
                      <w:sz w:val="22"/>
                      <w:szCs w:val="22"/>
                    </w:rPr>
                    <w:t>8. Foire aux questions</w:t>
                  </w:r>
                  <w:bookmarkEnd w:id="3118"/>
                  <w:r>
                    <w:rPr>
                      <w:sz w:val="22"/>
                      <w:szCs w:val="22"/>
                    </w:rPr>
                    <w:t xml:space="preserve"> </w:t>
                  </w:r>
                </w:p>
                <w:p w:rsidR="00F04EEF" w:rsidRDefault="00F04EEF"/>
                <w:p w:rsidR="00F04EEF" w:rsidRDefault="0099351E">
                  <w:pPr>
                    <w:jc w:val="both"/>
                  </w:pPr>
                  <w:r>
                    <w:t>Afin d’aider au mieux les écoles qui décident d’accueillir ou d’accompagner des élèves en intégration, une liste des questions les plus souvent posées à l’Administration est reprise ci-après avec pour chaque question, la réponse adéquate s’y rapportant.</w:t>
                  </w:r>
                </w:p>
                <w:p w:rsidR="00F04EEF" w:rsidRDefault="00F04EEF">
                  <w:pPr>
                    <w:jc w:val="both"/>
                  </w:pPr>
                </w:p>
                <w:p w:rsidR="00F04EEF" w:rsidRDefault="0099351E">
                  <w:pPr>
                    <w:jc w:val="both"/>
                    <w:rPr>
                      <w:b/>
                      <w:bCs/>
                    </w:rPr>
                  </w:pPr>
                  <w:r>
                    <w:rPr>
                      <w:b/>
                      <w:bCs/>
                    </w:rPr>
                    <w:t>1) Un élève de l’enseignement ordinaire qui n’a jamais été inscrit dans l’enseignement spécialisé peut-il bénéficier de l’intégration ?</w:t>
                  </w:r>
                </w:p>
                <w:p w:rsidR="00F04EEF" w:rsidRDefault="0099351E">
                  <w:pPr>
                    <w:jc w:val="both"/>
                    <w:rPr>
                      <w:bCs/>
                    </w:rPr>
                  </w:pPr>
                  <w:r>
                    <w:rPr>
                      <w:bCs/>
                      <w:noProof/>
                      <w:lang w:eastAsia="fr-BE"/>
                    </w:rPr>
                    <mc:AlternateContent>
                      <mc:Choice Requires="wps">
                        <w:drawing>
                          <wp:anchor distT="0" distB="0" distL="114300" distR="114300" simplePos="0" relativeHeight="252375040" behindDoc="0" locked="0" layoutInCell="1" allowOverlap="1">
                            <wp:simplePos x="0" y="0"/>
                            <wp:positionH relativeFrom="column">
                              <wp:posOffset>6329045</wp:posOffset>
                            </wp:positionH>
                            <wp:positionV relativeFrom="paragraph">
                              <wp:posOffset>187325</wp:posOffset>
                            </wp:positionV>
                            <wp:extent cx="0" cy="1981200"/>
                            <wp:effectExtent l="0" t="0" r="19050" b="19050"/>
                            <wp:wrapNone/>
                            <wp:docPr id="593" name="Connecteur droit 593"/>
                            <wp:cNvGraphicFramePr/>
                            <a:graphic xmlns:a="http://schemas.openxmlformats.org/drawingml/2006/main">
                              <a:graphicData uri="http://schemas.microsoft.com/office/word/2010/wordprocessingShape">
                                <wps:wsp>
                                  <wps:cNvCnPr/>
                                  <wps:spPr>
                                    <a:xfrm>
                                      <a:off x="0" y="0"/>
                                      <a:ext cx="0" cy="1981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332F50" id="Connecteur droit 593" o:spid="_x0000_s1026" style="position:absolute;z-index:252375040;visibility:visible;mso-wrap-style:square;mso-wrap-distance-left:9pt;mso-wrap-distance-top:0;mso-wrap-distance-right:9pt;mso-wrap-distance-bottom:0;mso-position-horizontal:absolute;mso-position-horizontal-relative:text;mso-position-vertical:absolute;mso-position-vertical-relative:text" from="498.35pt,14.75pt" to="498.35pt,17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" strokecolor="black [3213]"/>
                        </w:pict>
                      </mc:Fallback>
                    </mc:AlternateContent>
                  </w:r>
                </w:p>
                <w:p w:rsidR="00F04EEF" w:rsidRDefault="0099351E">
                  <w:pPr>
                    <w:jc w:val="both"/>
                  </w:pPr>
                  <w:r>
                    <w:t>Oui, mais il ne pourra pas bénéficier de l’intégration permanente totale directement. Il devra débuter soit par une intégration soit temporaire totale, une intégration permanente partielle ou une intégration temporaire partielle.</w:t>
                  </w:r>
                </w:p>
                <w:p w:rsidR="00F04EEF" w:rsidRDefault="00F04EEF">
                  <w:pPr>
                    <w:jc w:val="both"/>
                  </w:pPr>
                </w:p>
                <w:p w:rsidR="00F04EEF" w:rsidRDefault="0099351E">
                  <w:pPr>
                    <w:jc w:val="both"/>
                  </w:pPr>
                  <w:r>
                    <w:t xml:space="preserve">En outre, l’élève devra être inscrit administrativement dans l’enseignement spécialisé en suivant la procédure d’orientation habituelle. </w:t>
                  </w:r>
                </w:p>
                <w:p w:rsidR="00F04EEF" w:rsidRDefault="00F04EEF">
                  <w:pPr>
                    <w:jc w:val="both"/>
                  </w:pPr>
                </w:p>
                <w:p w:rsidR="00F04EEF" w:rsidRDefault="0099351E">
                  <w:pPr>
                    <w:jc w:val="both"/>
                  </w:pPr>
                  <w:r>
                    <w:t>Les élèves régulièrement inscrits dans une école d’enseignement ordinaire organisant l’apprentissage par immersion en langue des signes en classe bilingue français-langue des signes au 15 janvier peuvent débuter une intégration permanente totale au 1</w:t>
                  </w:r>
                  <w:r>
                    <w:rPr>
                      <w:vertAlign w:val="superscript"/>
                    </w:rPr>
                    <w:t>er</w:t>
                  </w:r>
                  <w:r>
                    <w:t xml:space="preserve"> septembre de l’année scolaire suivante. Dans ce cas l’accompagnement sera assuré par un membre du personnel de l’école d’enseignement spécialisé de type 7 chargé de l’immersion en langue des signes.</w:t>
                  </w:r>
                </w:p>
                <w:p w:rsidR="00F04EEF" w:rsidRDefault="00F04EEF">
                  <w:pPr>
                    <w:jc w:val="both"/>
                  </w:pPr>
                </w:p>
                <w:p w:rsidR="00F04EEF" w:rsidRDefault="0099351E">
                  <w:pPr>
                    <w:jc w:val="both"/>
                    <w:rPr>
                      <w:b/>
                      <w:bCs/>
                    </w:rPr>
                  </w:pPr>
                  <w:r>
                    <w:rPr>
                      <w:b/>
                      <w:bCs/>
                    </w:rPr>
                    <w:t>2) Quelques exemples d’accompagnement ?</w:t>
                  </w:r>
                </w:p>
                <w:p w:rsidR="00F04EEF" w:rsidRDefault="00F04EEF">
                  <w:pPr>
                    <w:jc w:val="both"/>
                    <w:rPr>
                      <w:bCs/>
                    </w:rPr>
                  </w:pPr>
                </w:p>
                <w:p w:rsidR="00F04EEF" w:rsidRDefault="0099351E">
                  <w:pPr>
                    <w:numPr>
                      <w:ilvl w:val="1"/>
                      <w:numId w:val="150"/>
                    </w:numPr>
                    <w:tabs>
                      <w:tab w:val="clear" w:pos="1497"/>
                    </w:tabs>
                    <w:suppressAutoHyphens/>
                    <w:ind w:left="0" w:firstLine="0"/>
                    <w:jc w:val="both"/>
                  </w:pPr>
                  <w:r>
                    <w:t>instituteur (trice) primaire pour un co-titulariat ;</w:t>
                  </w:r>
                </w:p>
                <w:p w:rsidR="00F04EEF" w:rsidRDefault="0099351E">
                  <w:pPr>
                    <w:numPr>
                      <w:ilvl w:val="1"/>
                      <w:numId w:val="150"/>
                    </w:numPr>
                    <w:tabs>
                      <w:tab w:val="clear" w:pos="1497"/>
                    </w:tabs>
                    <w:suppressAutoHyphens/>
                    <w:ind w:left="0" w:firstLine="0"/>
                    <w:jc w:val="both"/>
                  </w:pPr>
                  <w:r>
                    <w:t>logopède ;</w:t>
                  </w:r>
                </w:p>
                <w:p w:rsidR="00F04EEF" w:rsidRDefault="0099351E">
                  <w:pPr>
                    <w:numPr>
                      <w:ilvl w:val="1"/>
                      <w:numId w:val="150"/>
                    </w:numPr>
                    <w:tabs>
                      <w:tab w:val="clear" w:pos="1497"/>
                    </w:tabs>
                    <w:suppressAutoHyphens/>
                    <w:ind w:left="0" w:firstLine="0"/>
                    <w:jc w:val="both"/>
                  </w:pPr>
                  <w:r>
                    <w:t>instituteur (trice) primaire pour de la remédiation ;</w:t>
                  </w:r>
                </w:p>
                <w:p w:rsidR="00F04EEF" w:rsidRDefault="0099351E">
                  <w:pPr>
                    <w:numPr>
                      <w:ilvl w:val="1"/>
                      <w:numId w:val="150"/>
                    </w:numPr>
                    <w:tabs>
                      <w:tab w:val="clear" w:pos="1497"/>
                    </w:tabs>
                    <w:suppressAutoHyphens/>
                    <w:ind w:left="0" w:firstLine="0"/>
                    <w:jc w:val="both"/>
                  </w:pPr>
                  <w:r>
                    <w:t>puériculteur (trice) pour des soins ;</w:t>
                  </w:r>
                </w:p>
                <w:p w:rsidR="00F04EEF" w:rsidRDefault="0099351E">
                  <w:pPr>
                    <w:numPr>
                      <w:ilvl w:val="1"/>
                      <w:numId w:val="150"/>
                    </w:numPr>
                    <w:tabs>
                      <w:tab w:val="clear" w:pos="1497"/>
                    </w:tabs>
                    <w:suppressAutoHyphens/>
                    <w:ind w:left="0" w:firstLine="0"/>
                    <w:jc w:val="both"/>
                  </w:pPr>
                  <w:r>
                    <w:t>kinésithérapeute ;</w:t>
                  </w:r>
                </w:p>
                <w:p w:rsidR="00F04EEF" w:rsidRDefault="0099351E">
                  <w:pPr>
                    <w:numPr>
                      <w:ilvl w:val="1"/>
                      <w:numId w:val="150"/>
                    </w:numPr>
                    <w:tabs>
                      <w:tab w:val="clear" w:pos="1497"/>
                    </w:tabs>
                    <w:suppressAutoHyphens/>
                    <w:ind w:left="0" w:firstLine="0"/>
                    <w:jc w:val="both"/>
                  </w:pPr>
                  <w:r>
                    <w:t>ergothérapeute ;</w:t>
                  </w:r>
                </w:p>
                <w:p w:rsidR="00F04EEF" w:rsidRDefault="0099351E">
                  <w:pPr>
                    <w:numPr>
                      <w:ilvl w:val="1"/>
                      <w:numId w:val="150"/>
                    </w:numPr>
                    <w:tabs>
                      <w:tab w:val="clear" w:pos="1497"/>
                    </w:tabs>
                    <w:suppressAutoHyphens/>
                    <w:ind w:left="0" w:firstLine="0"/>
                    <w:jc w:val="both"/>
                  </w:pPr>
                  <w:r>
                    <w:t>enseignant(e) ou autre membre du personnel spécialisé dans l’adaptation du PC de l’élève ;</w:t>
                  </w:r>
                </w:p>
                <w:p w:rsidR="00F04EEF" w:rsidRDefault="0099351E">
                  <w:pPr>
                    <w:numPr>
                      <w:ilvl w:val="1"/>
                      <w:numId w:val="150"/>
                    </w:numPr>
                    <w:tabs>
                      <w:tab w:val="clear" w:pos="1497"/>
                    </w:tabs>
                    <w:suppressAutoHyphens/>
                    <w:ind w:left="0" w:firstLine="0"/>
                    <w:jc w:val="both"/>
                  </w:pPr>
                  <w:r>
                    <w:t>enseignant(e) chargé(e) de la traduction en langue des signes ;</w:t>
                  </w:r>
                </w:p>
                <w:p w:rsidR="00F04EEF" w:rsidRDefault="0099351E">
                  <w:pPr>
                    <w:numPr>
                      <w:ilvl w:val="1"/>
                      <w:numId w:val="150"/>
                    </w:numPr>
                    <w:tabs>
                      <w:tab w:val="clear" w:pos="1497"/>
                    </w:tabs>
                    <w:suppressAutoHyphens/>
                    <w:ind w:left="0" w:firstLine="0"/>
                    <w:jc w:val="both"/>
                  </w:pPr>
                  <w:r>
                    <w:t>enseignant(e) chargé(e) de la traduction en Braille ;</w:t>
                  </w:r>
                </w:p>
                <w:p w:rsidR="00F04EEF" w:rsidRDefault="0099351E">
                  <w:pPr>
                    <w:numPr>
                      <w:ilvl w:val="1"/>
                      <w:numId w:val="150"/>
                    </w:numPr>
                    <w:tabs>
                      <w:tab w:val="clear" w:pos="1497"/>
                    </w:tabs>
                    <w:suppressAutoHyphens/>
                    <w:ind w:left="0" w:firstLine="0"/>
                    <w:jc w:val="both"/>
                  </w:pPr>
                  <w:r>
                    <w:t>professeur de mathématiques chargé d’expliquer les graphiques du cours de maths (malvoyant) ;</w:t>
                  </w:r>
                </w:p>
                <w:p w:rsidR="00F04EEF" w:rsidRDefault="0099351E">
                  <w:pPr>
                    <w:numPr>
                      <w:ilvl w:val="1"/>
                      <w:numId w:val="150"/>
                    </w:numPr>
                    <w:tabs>
                      <w:tab w:val="clear" w:pos="1497"/>
                    </w:tabs>
                    <w:suppressAutoHyphens/>
                    <w:ind w:left="0" w:firstLine="0"/>
                    <w:jc w:val="both"/>
                  </w:pPr>
                  <w:r>
                    <w:t>éducateur(trice) ;</w:t>
                  </w:r>
                </w:p>
                <w:p w:rsidR="00F04EEF" w:rsidRDefault="0099351E">
                  <w:pPr>
                    <w:numPr>
                      <w:ilvl w:val="1"/>
                      <w:numId w:val="150"/>
                    </w:numPr>
                    <w:tabs>
                      <w:tab w:val="clear" w:pos="1497"/>
                    </w:tabs>
                    <w:suppressAutoHyphens/>
                    <w:ind w:left="0" w:firstLine="0"/>
                    <w:jc w:val="both"/>
                  </w:pPr>
                  <w:r>
                    <w:t>…</w:t>
                  </w:r>
                </w:p>
                <w:p w:rsidR="00F04EEF" w:rsidRDefault="0099351E">
                  <w:pPr>
                    <w:jc w:val="both"/>
                  </w:pPr>
                  <w:r>
                    <w:t>Il est évident que le type d’accompagnement sera adapté à chaque élève, à chaque situation.  Il est tout à fait possible de répartir les périodes d’accompagnement destinées à un élève entre plusieurs fonctions.</w:t>
                  </w:r>
                </w:p>
                <w:p w:rsidR="00F04EEF" w:rsidRDefault="0099351E">
                  <w:pPr>
                    <w:jc w:val="both"/>
                  </w:pPr>
                  <w:r>
                    <w:t>L’accompagnement des élèves en intégration peut comprendre un temps de coordination pour autant que ce dispositif soit précisé dans le protocole.</w:t>
                  </w:r>
                </w:p>
                <w:p w:rsidR="00F04EEF" w:rsidRDefault="0099351E">
                  <w:pPr>
                    <w:jc w:val="both"/>
                  </w:pPr>
                  <w:r>
                    <w:t>Par ailleurs, la coordination des projets d’intégration peut être assurée en utilisant soit les périodes d’accompagnement accordées dans le cadre de l’intégration soit le capital-périodes utilisable conformément à l’article 97.</w:t>
                  </w:r>
                </w:p>
                <w:p w:rsidR="00F04EEF" w:rsidRDefault="00F04EEF">
                  <w:pPr>
                    <w:jc w:val="both"/>
                  </w:pPr>
                </w:p>
                <w:p w:rsidR="00F04EEF" w:rsidRDefault="0099351E">
                  <w:pPr>
                    <w:jc w:val="both"/>
                    <w:rPr>
                      <w:b/>
                      <w:bCs/>
                    </w:rPr>
                  </w:pPr>
                  <w:r>
                    <w:rPr>
                      <w:b/>
                      <w:bCs/>
                    </w:rPr>
                    <w:t>3) Un directeur d’une école d’enseignement spécialisé peut-il refuser une intégration ? Qu’en est-il des autres partenaires ?</w:t>
                  </w:r>
                </w:p>
                <w:p w:rsidR="00F04EEF" w:rsidRDefault="00F04EEF">
                  <w:pPr>
                    <w:jc w:val="both"/>
                    <w:rPr>
                      <w:bCs/>
                    </w:rPr>
                  </w:pPr>
                </w:p>
                <w:p w:rsidR="00F04EEF" w:rsidRDefault="0099351E">
                  <w:pPr>
                    <w:jc w:val="both"/>
                  </w:pPr>
                  <w:r>
                    <w:rPr>
                      <w:noProof/>
                      <w:lang w:eastAsia="fr-BE"/>
                    </w:rPr>
                    <mc:AlternateContent>
                      <mc:Choice Requires="wps">
                        <w:drawing>
                          <wp:anchor distT="0" distB="0" distL="114300" distR="114300" simplePos="0" relativeHeight="252379136" behindDoc="0" locked="0" layoutInCell="1" allowOverlap="1">
                            <wp:simplePos x="0" y="0"/>
                            <wp:positionH relativeFrom="column">
                              <wp:posOffset>6195695</wp:posOffset>
                            </wp:positionH>
                            <wp:positionV relativeFrom="paragraph">
                              <wp:posOffset>74295</wp:posOffset>
                            </wp:positionV>
                            <wp:extent cx="0" cy="133350"/>
                            <wp:effectExtent l="0" t="0" r="19050" b="19050"/>
                            <wp:wrapNone/>
                            <wp:docPr id="598" name="Connecteur droit 598"/>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2FFA3E" id="Connecteur droit 598" o:spid="_x0000_s1026" style="position:absolute;z-index:252379136;visibility:visible;mso-wrap-style:square;mso-wrap-distance-left:9pt;mso-wrap-distance-top:0;mso-wrap-distance-right:9pt;mso-wrap-distance-bottom:0;mso-position-horizontal:absolute;mso-position-horizontal-relative:text;mso-position-vertical:absolute;mso-position-vertical-relative:text" from="487.85pt,5.85pt" to="487.8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" strokecolor="black [3213]"/>
                        </w:pict>
                      </mc:Fallback>
                    </mc:AlternateContent>
                  </w:r>
                  <w:r>
                    <w:t xml:space="preserve">Si une école n’est pas prête à organiser un accompagnement à l’intégration, nul ne peut l’y contraindre.  </w:t>
                  </w:r>
                </w:p>
                <w:p w:rsidR="00F04EEF" w:rsidRDefault="0099351E">
                  <w:pPr>
                    <w:jc w:val="both"/>
                  </w:pPr>
                  <w:r>
                    <w:rPr>
                      <w:strike/>
                      <w:noProof/>
                      <w:lang w:eastAsia="fr-BE"/>
                    </w:rPr>
                    <mc:AlternateContent>
                      <mc:Choice Requires="wps">
                        <w:drawing>
                          <wp:anchor distT="0" distB="0" distL="114300" distR="114300" simplePos="0" relativeHeight="252377088" behindDoc="0" locked="0" layoutInCell="1" allowOverlap="1">
                            <wp:simplePos x="0" y="0"/>
                            <wp:positionH relativeFrom="column">
                              <wp:posOffset>7124700</wp:posOffset>
                            </wp:positionH>
                            <wp:positionV relativeFrom="paragraph">
                              <wp:posOffset>4923155</wp:posOffset>
                            </wp:positionV>
                            <wp:extent cx="0" cy="161925"/>
                            <wp:effectExtent l="0" t="0" r="19050" b="28575"/>
                            <wp:wrapNone/>
                            <wp:docPr id="595" name="Connecteur droit 595"/>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D73AF7" id="Connecteur droit 595" o:spid="_x0000_s1026" style="position:absolute;z-index:252377088;visibility:visible;mso-wrap-style:square;mso-wrap-distance-left:9pt;mso-wrap-distance-top:0;mso-wrap-distance-right:9pt;mso-wrap-distance-bottom:0;mso-position-horizontal:absolute;mso-position-horizontal-relative:text;mso-position-vertical:absolute;mso-position-vertical-relative:text" from="561pt,387.65pt" to="561pt,4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" strokecolor="black [3213]"/>
                        </w:pict>
                      </mc:Fallback>
                    </mc:AlternateContent>
                  </w:r>
                  <w:r>
                    <w:rPr>
                      <w:strike/>
                      <w:noProof/>
                      <w:lang w:eastAsia="fr-BE"/>
                    </w:rPr>
                    <mc:AlternateContent>
                      <mc:Choice Requires="wps">
                        <w:drawing>
                          <wp:anchor distT="0" distB="0" distL="114300" distR="114300" simplePos="0" relativeHeight="252378112" behindDoc="0" locked="0" layoutInCell="1" allowOverlap="1">
                            <wp:simplePos x="0" y="0"/>
                            <wp:positionH relativeFrom="column">
                              <wp:posOffset>7124700</wp:posOffset>
                            </wp:positionH>
                            <wp:positionV relativeFrom="paragraph">
                              <wp:posOffset>5456555</wp:posOffset>
                            </wp:positionV>
                            <wp:extent cx="0" cy="161925"/>
                            <wp:effectExtent l="0" t="0" r="19050" b="28575"/>
                            <wp:wrapNone/>
                            <wp:docPr id="596" name="Connecteur droit 596"/>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7D5F81" id="Connecteur droit 596" o:spid="_x0000_s1026" style="position:absolute;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1pt,429.65pt" to="561pt,4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" strokecolor="black [3213]"/>
                        </w:pict>
                      </mc:Fallback>
                    </mc:AlternateContent>
                  </w:r>
                </w:p>
                <w:p w:rsidR="00F04EEF" w:rsidRDefault="0099351E">
                  <w:pPr>
                    <w:jc w:val="both"/>
                    <w:rPr>
                      <w:lang w:val="fr-FR"/>
                    </w:rPr>
                  </w:pPr>
                  <w:r>
                    <w:rPr>
                      <w:noProof/>
                      <w:lang w:eastAsia="fr-BE"/>
                    </w:rPr>
                    <mc:AlternateContent>
                      <mc:Choice Requires="wps">
                        <w:drawing>
                          <wp:anchor distT="0" distB="0" distL="114300" distR="114300" simplePos="0" relativeHeight="252381184" behindDoc="0" locked="0" layoutInCell="1" allowOverlap="1">
                            <wp:simplePos x="0" y="0"/>
                            <wp:positionH relativeFrom="column">
                              <wp:posOffset>6195695</wp:posOffset>
                            </wp:positionH>
                            <wp:positionV relativeFrom="paragraph">
                              <wp:posOffset>228600</wp:posOffset>
                            </wp:positionV>
                            <wp:extent cx="0" cy="133350"/>
                            <wp:effectExtent l="0" t="0" r="19050" b="19050"/>
                            <wp:wrapNone/>
                            <wp:docPr id="599" name="Connecteur droit 599"/>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0EC84F8" id="Connecteur droit 599" o:spid="_x0000_s1026" style="position:absolute;z-index:252381184;visibility:visible;mso-wrap-style:square;mso-wrap-distance-left:9pt;mso-wrap-distance-top:0;mso-wrap-distance-right:9pt;mso-wrap-distance-bottom:0;mso-position-horizontal:absolute;mso-position-horizontal-relative:text;mso-position-vertical:absolute;mso-position-vertical-relative:text" from="487.85pt,18pt" to="487.8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" strokecolor="black [3213]"/>
                        </w:pict>
                      </mc:Fallback>
                    </mc:AlternateContent>
                  </w:r>
                  <w:r>
                    <w:t xml:space="preserve">Chaque partenaire ayant marqué son désaccord lors de la concertation doit motiver par écrit sa position au chef d’établissement dans le cadre d’un établissement d’enseignement spécialisé organisé par Wallonie Bruxelles Enseignement (WBE) ou au pouvoir organisateur dans le cadre d’un établissement d’enseignement spécialisé subventionné par la Fédération Wallonie-Bruxelles. </w:t>
                  </w:r>
                  <w:r>
                    <w:rPr>
                      <w:lang w:val="fr-FR"/>
                    </w:rPr>
                    <w:t>Les motivations doivent être conservées dans l’école d’enseignement spécialisé à disposition du service de l’inspection.</w:t>
                  </w:r>
                </w:p>
                <w:p w:rsidR="00F04EEF" w:rsidRDefault="00F04EEF">
                  <w:pPr>
                    <w:jc w:val="both"/>
                    <w:rPr>
                      <w:lang w:val="fr-FR"/>
                    </w:rPr>
                  </w:pPr>
                </w:p>
                <w:p w:rsidR="00F04EEF" w:rsidRDefault="0099351E">
                  <w:pPr>
                    <w:jc w:val="both"/>
                    <w:rPr>
                      <w:lang w:val="fr-FR"/>
                    </w:rPr>
                  </w:pPr>
                  <w:r>
                    <w:rPr>
                      <w:lang w:val="fr-FR"/>
                    </w:rPr>
                    <w:t>Il n’y a pas de recours possible si un partenaire refuse le projet d’intégration.</w:t>
                  </w:r>
                </w:p>
                <w:p w:rsidR="00F04EEF" w:rsidRDefault="00F04EEF">
                  <w:pPr>
                    <w:jc w:val="both"/>
                  </w:pPr>
                </w:p>
                <w:p w:rsidR="00F04EEF" w:rsidRDefault="0099351E">
                  <w:pPr>
                    <w:jc w:val="both"/>
                  </w:pPr>
                  <w:r>
                    <w:t xml:space="preserve">Il est, néanmoins, toujours possible d’envisager une intégration avec d’autres partenaires. </w:t>
                  </w:r>
                </w:p>
                <w:p w:rsidR="00F04EEF" w:rsidRDefault="00F04EEF">
                  <w:pPr>
                    <w:jc w:val="both"/>
                  </w:pPr>
                </w:p>
                <w:p w:rsidR="00F04EEF" w:rsidRDefault="0099351E">
                  <w:pPr>
                    <w:rPr>
                      <w:b/>
                      <w:bCs/>
                    </w:rPr>
                  </w:pPr>
                  <w:r>
                    <w:rPr>
                      <w:b/>
                    </w:rPr>
                    <w:t>3bis)</w:t>
                  </w:r>
                  <w:r>
                    <w:t xml:space="preserve"> </w:t>
                  </w:r>
                  <w:r>
                    <w:rPr>
                      <w:b/>
                      <w:bCs/>
                    </w:rPr>
                    <w:t xml:space="preserve">Un directeur d’un centre PMS peut-il refuser une intégration ? </w:t>
                  </w:r>
                </w:p>
                <w:p w:rsidR="00F04EEF" w:rsidRDefault="00F04EEF">
                  <w:pPr>
                    <w:rPr>
                      <w:b/>
                      <w:bCs/>
                    </w:rPr>
                  </w:pPr>
                </w:p>
                <w:p w:rsidR="00F04EEF" w:rsidRDefault="0099351E">
                  <w:r>
                    <w:rPr>
                      <w:bCs/>
                    </w:rPr>
                    <w:t xml:space="preserve">Non. Il peut uniquement rendre un avis défavorable. </w:t>
                  </w:r>
                </w:p>
                <w:p w:rsidR="00F04EEF" w:rsidRDefault="00F04EEF">
                  <w:pPr>
                    <w:jc w:val="both"/>
                  </w:pPr>
                </w:p>
                <w:p w:rsidR="00F04EEF" w:rsidRDefault="0099351E">
                  <w:pPr>
                    <w:jc w:val="both"/>
                    <w:rPr>
                      <w:b/>
                      <w:bCs/>
                    </w:rPr>
                  </w:pPr>
                  <w:r>
                    <w:rPr>
                      <w:b/>
                      <w:bCs/>
                    </w:rPr>
                    <w:t>4) Y-a-t-il une liste d’écoles d’enseignement ordinaire où l’on pourrait intégrer mon enfant ?</w:t>
                  </w:r>
                </w:p>
                <w:p w:rsidR="00F04EEF" w:rsidRDefault="00F04EEF">
                  <w:pPr>
                    <w:jc w:val="both"/>
                    <w:rPr>
                      <w:bCs/>
                    </w:rPr>
                  </w:pPr>
                </w:p>
                <w:p w:rsidR="00F04EEF" w:rsidRDefault="0099351E">
                  <w:pPr>
                    <w:jc w:val="both"/>
                    <w:rPr>
                      <w:lang w:val="fr-FR" w:eastAsia="fr-FR"/>
                    </w:rPr>
                  </w:pPr>
                  <w:r>
                    <w:rPr>
                      <w:lang w:val="fr-FR" w:eastAsia="fr-FR"/>
                    </w:rPr>
                    <w:t>Toutes les écoles d’enseignement ordinaire sont susceptibles d’accueillir un élève dans le cadre d’un projet d’intégration.</w:t>
                  </w:r>
                </w:p>
                <w:p w:rsidR="00F04EEF" w:rsidRDefault="00F04EEF">
                  <w:pPr>
                    <w:jc w:val="both"/>
                    <w:rPr>
                      <w:lang w:val="fr-FR" w:eastAsia="fr-FR"/>
                    </w:rPr>
                  </w:pPr>
                </w:p>
                <w:p w:rsidR="00F04EEF" w:rsidRDefault="0099351E">
                  <w:pPr>
                    <w:jc w:val="both"/>
                    <w:rPr>
                      <w:lang w:val="fr-FR" w:eastAsia="fr-FR"/>
                    </w:rPr>
                  </w:pPr>
                  <w:r>
                    <w:rPr>
                      <w:iCs/>
                      <w:lang w:val="fr-FR"/>
                    </w:rPr>
                    <w:t xml:space="preserve">Dans tout établissement d’enseignement </w:t>
                  </w:r>
                  <w:r>
                    <w:rPr>
                      <w:iCs/>
                      <w:u w:val="single"/>
                      <w:lang w:val="fr-FR"/>
                    </w:rPr>
                    <w:t>ordinaire</w:t>
                  </w:r>
                  <w:r>
                    <w:rPr>
                      <w:iCs/>
                      <w:lang w:val="fr-FR"/>
                    </w:rPr>
                    <w:t>, le projet d’établissement fixe les choix pédagogiques et les actions prioritaires mises en œuvre pour favoriser l’intégration des élèves à besoins spécifiques</w:t>
                  </w:r>
                </w:p>
                <w:p w:rsidR="00F04EEF" w:rsidRDefault="00F04EEF">
                  <w:pPr>
                    <w:jc w:val="both"/>
                    <w:rPr>
                      <w:lang w:val="fr-FR"/>
                    </w:rPr>
                  </w:pPr>
                </w:p>
                <w:p w:rsidR="00F04EEF" w:rsidRDefault="0099351E">
                  <w:pPr>
                    <w:jc w:val="both"/>
                    <w:rPr>
                      <w:b/>
                      <w:bCs/>
                    </w:rPr>
                  </w:pPr>
                  <w:r>
                    <w:rPr>
                      <w:b/>
                      <w:bCs/>
                    </w:rPr>
                    <w:t>5) Comment s’inscrire dans une école d’enseignement spécialisé ?</w:t>
                  </w:r>
                </w:p>
                <w:p w:rsidR="00F04EEF" w:rsidRDefault="00F04EEF">
                  <w:pPr>
                    <w:jc w:val="both"/>
                    <w:rPr>
                      <w:bCs/>
                    </w:rPr>
                  </w:pPr>
                </w:p>
                <w:p w:rsidR="00F04EEF" w:rsidRDefault="0099351E">
                  <w:pPr>
                    <w:jc w:val="both"/>
                  </w:pPr>
                  <w:r>
                    <w:t>À la demande de l’élève majeur, des parents ou de la personne investie de l’autorité parentale qui souhaite(nt) inscrire son enfant dans l’enseignement spécialisé, un examen pluridisciplinaire est réalisé par :</w:t>
                  </w:r>
                </w:p>
                <w:p w:rsidR="00F04EEF" w:rsidRDefault="00F04EEF">
                  <w:pPr>
                    <w:jc w:val="both"/>
                  </w:pPr>
                </w:p>
                <w:p w:rsidR="00F04EEF" w:rsidRDefault="0099351E">
                  <w:pPr>
                    <w:ind w:left="284" w:hanging="142"/>
                    <w:jc w:val="both"/>
                  </w:pPr>
                  <w:r>
                    <w:t>- le centre psycho-médico-social (CPMS) de l’école d’origine ou l’organisme agréé (types 1, 2, 3, 4, 5 et 8) ;</w:t>
                  </w:r>
                </w:p>
                <w:p w:rsidR="00F04EEF" w:rsidRDefault="0099351E">
                  <w:pPr>
                    <w:ind w:left="284" w:hanging="142"/>
                    <w:jc w:val="both"/>
                  </w:pPr>
                  <w:r>
                    <w:t>- un examen médical par un médecin spécialiste ou le centre psycho-médico-social de l’école d’origine (types 6 et 7).</w:t>
                  </w:r>
                </w:p>
                <w:p w:rsidR="00F04EEF" w:rsidRDefault="00F04EEF">
                  <w:pPr>
                    <w:jc w:val="both"/>
                  </w:pPr>
                </w:p>
                <w:p w:rsidR="00F04EEF" w:rsidRDefault="0099351E">
                  <w:pPr>
                    <w:jc w:val="both"/>
                  </w:pPr>
                  <w:r>
                    <w:t>L’inscription est subordonnée à la production d’une attestation. Cette attestation doit émaner du CPMS de l’école d’enseignement ordinaire d’origine ou de l’organisme habilité. Elle précise le type d’enseignement spécialisé qui correspond aux besoins de l’élève.</w:t>
                  </w:r>
                </w:p>
                <w:p w:rsidR="00F04EEF" w:rsidRDefault="0099351E">
                  <w:pPr>
                    <w:jc w:val="both"/>
                  </w:pPr>
                  <w:r>
                    <w:t>L’inscription d’un élève dans l’enseignement spécialisé peut se faire à n’importe quel moment de l’année scolaire.</w:t>
                  </w:r>
                </w:p>
                <w:p w:rsidR="00F04EEF" w:rsidRDefault="00F04EEF">
                  <w:pPr>
                    <w:jc w:val="both"/>
                  </w:pPr>
                </w:p>
                <w:p w:rsidR="00F04EEF" w:rsidRDefault="0099351E">
                  <w:pPr>
                    <w:jc w:val="both"/>
                    <w:rPr>
                      <w:b/>
                      <w:bCs/>
                    </w:rPr>
                  </w:pPr>
                  <w:r>
                    <w:rPr>
                      <w:b/>
                      <w:bCs/>
                    </w:rPr>
                    <w:t>6) Que faire si un élève intégré doit déménager et donc changer d’école ?</w:t>
                  </w:r>
                </w:p>
                <w:p w:rsidR="00F04EEF" w:rsidRDefault="00F04EEF">
                  <w:pPr>
                    <w:jc w:val="both"/>
                    <w:rPr>
                      <w:b/>
                      <w:bCs/>
                    </w:rPr>
                  </w:pPr>
                </w:p>
                <w:p w:rsidR="00F04EEF" w:rsidRDefault="0099351E">
                  <w:pPr>
                    <w:jc w:val="both"/>
                  </w:pPr>
                  <w:r>
                    <w:t xml:space="preserve">Il faut choisir deux nouvelles écoles partenaires et donc établir un nouveau protocole d’intégration </w:t>
                  </w:r>
                  <w:hyperlink w:anchor="_Annexe_2_:_2" w:history="1">
                    <w:r>
                      <w:rPr>
                        <w:rStyle w:val="Lienhypertexte"/>
                        <w:rFonts w:cstheme="minorBidi"/>
                      </w:rPr>
                      <w:t>(annexe 2).</w:t>
                    </w:r>
                  </w:hyperlink>
                  <w:r>
                    <w:t xml:space="preserve">  La transmission de l’ancien protocole d’intégration pourrait certainement aider les écoles (celle qui accueille et celle qui accompagne l’élève) à établir ce nouveau protocole d’intégration.</w:t>
                  </w:r>
                </w:p>
                <w:p w:rsidR="00F04EEF" w:rsidRDefault="0099351E">
                  <w:pPr>
                    <w:jc w:val="both"/>
                  </w:pPr>
                  <w:r>
                    <w:t xml:space="preserve">Si l’élève est en intégration permanente totale, il faut envoyer une </w:t>
                  </w:r>
                  <w:hyperlink w:anchor="_Annexe_10:_Demande" w:history="1">
                    <w:r>
                      <w:rPr>
                        <w:rStyle w:val="Lienhypertexte"/>
                        <w:rFonts w:cs="Arial"/>
                      </w:rPr>
                      <w:t>annexe 10</w:t>
                    </w:r>
                  </w:hyperlink>
                  <w:r>
                    <w:t xml:space="preserve"> au Cabinet du Ministre qui a l’Enseignement spécialisé dans ses attributions.</w:t>
                  </w:r>
                </w:p>
                <w:p w:rsidR="00F04EEF" w:rsidRDefault="00F04EEF">
                  <w:pPr>
                    <w:jc w:val="both"/>
                    <w:rPr>
                      <w:bCs/>
                    </w:rPr>
                  </w:pPr>
                </w:p>
                <w:p w:rsidR="00F04EEF" w:rsidRDefault="00F04EEF">
                  <w:pPr>
                    <w:jc w:val="both"/>
                  </w:pPr>
                </w:p>
                <w:p w:rsidR="00F04EEF" w:rsidRDefault="0099351E">
                  <w:pPr>
                    <w:jc w:val="both"/>
                    <w:rPr>
                      <w:b/>
                      <w:bCs/>
                    </w:rPr>
                  </w:pPr>
                  <w:r>
                    <w:rPr>
                      <w:b/>
                      <w:bCs/>
                    </w:rPr>
                    <w:t>7) Faut-il prévenir l’Administration si un élève en intégration retourne dans l’enseignement ordinaire ?</w:t>
                  </w:r>
                </w:p>
                <w:p w:rsidR="00F04EEF" w:rsidRDefault="00F04EEF">
                  <w:pPr>
                    <w:jc w:val="both"/>
                    <w:rPr>
                      <w:bCs/>
                    </w:rPr>
                  </w:pPr>
                </w:p>
                <w:p w:rsidR="00F04EEF" w:rsidRDefault="0099351E">
                  <w:pPr>
                    <w:jc w:val="both"/>
                  </w:pPr>
                  <w:r>
                    <w:t>Oui.</w:t>
                  </w:r>
                </w:p>
                <w:p w:rsidR="00F04EEF" w:rsidRDefault="0099351E">
                  <w:pPr>
                    <w:jc w:val="both"/>
                  </w:pPr>
                  <w:r>
                    <w:t xml:space="preserve">L’Administration est informée de l’arrêt de l’intégration via </w:t>
                  </w:r>
                  <w:hyperlink w:anchor="_Annexe_4_:_8" w:history="1">
                    <w:r>
                      <w:rPr>
                        <w:rStyle w:val="Lienhypertexte"/>
                        <w:rFonts w:cstheme="minorBidi"/>
                      </w:rPr>
                      <w:t>l’annexe 4</w:t>
                    </w:r>
                  </w:hyperlink>
                  <w:r>
                    <w:t xml:space="preserve">. </w:t>
                  </w:r>
                </w:p>
                <w:p w:rsidR="00F04EEF" w:rsidRDefault="00F04EEF">
                  <w:pPr>
                    <w:jc w:val="both"/>
                  </w:pPr>
                </w:p>
                <w:p w:rsidR="00F04EEF" w:rsidRDefault="0099351E">
                  <w:pPr>
                    <w:jc w:val="both"/>
                    <w:rPr>
                      <w:bCs/>
                    </w:rPr>
                  </w:pPr>
                  <w:r>
                    <w:rPr>
                      <w:b/>
                      <w:bCs/>
                    </w:rPr>
                    <w:t>8) Que se passe-t-il si le chef d’établissement ne prévient pas l’Administration qu’un élève est intégré</w:t>
                  </w:r>
                  <w:r>
                    <w:rPr>
                      <w:bCs/>
                    </w:rPr>
                    <w:t> ?</w:t>
                  </w:r>
                </w:p>
                <w:p w:rsidR="00F04EEF" w:rsidRDefault="00F04EEF">
                  <w:pPr>
                    <w:jc w:val="both"/>
                    <w:rPr>
                      <w:bCs/>
                    </w:rPr>
                  </w:pPr>
                </w:p>
                <w:p w:rsidR="00F04EEF" w:rsidRDefault="0099351E">
                  <w:pPr>
                    <w:numPr>
                      <w:ilvl w:val="0"/>
                      <w:numId w:val="148"/>
                    </w:numPr>
                    <w:tabs>
                      <w:tab w:val="clear" w:pos="1307"/>
                    </w:tabs>
                    <w:suppressAutoHyphens/>
                    <w:ind w:left="426" w:hanging="426"/>
                    <w:jc w:val="both"/>
                  </w:pPr>
                  <w:r>
                    <w:t>Aucun encadrement spécifique pour l’intégration ne sera calculé pour cet élève.</w:t>
                  </w:r>
                </w:p>
                <w:p w:rsidR="00F04EEF" w:rsidRDefault="0099351E">
                  <w:pPr>
                    <w:numPr>
                      <w:ilvl w:val="0"/>
                      <w:numId w:val="148"/>
                    </w:numPr>
                    <w:tabs>
                      <w:tab w:val="clear" w:pos="1307"/>
                    </w:tabs>
                    <w:suppressAutoHyphens/>
                    <w:ind w:left="426" w:hanging="426"/>
                    <w:jc w:val="both"/>
                  </w:pPr>
                  <w:r>
                    <w:t>Les membres du personnel de l’enseignement spécialisé ne sont pas autorisés à se déplacer dans l’école d’enseignement  ordinaire pour accompagner cet élève.</w:t>
                  </w:r>
                </w:p>
                <w:p w:rsidR="00F04EEF" w:rsidRDefault="0099351E">
                  <w:pPr>
                    <w:numPr>
                      <w:ilvl w:val="0"/>
                      <w:numId w:val="148"/>
                    </w:numPr>
                    <w:tabs>
                      <w:tab w:val="clear" w:pos="1307"/>
                    </w:tabs>
                    <w:suppressAutoHyphens/>
                    <w:ind w:left="426" w:hanging="426"/>
                    <w:jc w:val="both"/>
                  </w:pPr>
                  <w:r>
                    <w:t>Aucune période complémentaire ne peut être sollicitée.</w:t>
                  </w:r>
                </w:p>
                <w:p w:rsidR="00F04EEF" w:rsidRDefault="0099351E">
                  <w:pPr>
                    <w:numPr>
                      <w:ilvl w:val="0"/>
                      <w:numId w:val="148"/>
                    </w:numPr>
                    <w:tabs>
                      <w:tab w:val="clear" w:pos="1307"/>
                    </w:tabs>
                    <w:suppressAutoHyphens/>
                    <w:ind w:left="426" w:hanging="426"/>
                    <w:jc w:val="both"/>
                  </w:pPr>
                  <w:r>
                    <w:t xml:space="preserve">L’élève devra </w:t>
                  </w:r>
                  <w:r>
                    <w:rPr>
                      <w:u w:val="single"/>
                    </w:rPr>
                    <w:t>obligatoirement</w:t>
                  </w:r>
                  <w:r>
                    <w:t xml:space="preserve"> se trouver dans l’école dans laquelle il est régulièrement inscrit.</w:t>
                  </w:r>
                </w:p>
                <w:p w:rsidR="00F04EEF" w:rsidRDefault="00F04EEF">
                  <w:pPr>
                    <w:tabs>
                      <w:tab w:val="left" w:pos="709"/>
                    </w:tabs>
                    <w:jc w:val="both"/>
                  </w:pPr>
                </w:p>
                <w:p w:rsidR="00F04EEF" w:rsidRDefault="00F04EEF">
                  <w:pPr>
                    <w:tabs>
                      <w:tab w:val="left" w:pos="709"/>
                    </w:tabs>
                    <w:jc w:val="both"/>
                    <w:rPr>
                      <w:b/>
                      <w:bCs/>
                    </w:rPr>
                  </w:pPr>
                </w:p>
                <w:p w:rsidR="00F04EEF" w:rsidRDefault="0099351E">
                  <w:pPr>
                    <w:tabs>
                      <w:tab w:val="left" w:pos="709"/>
                    </w:tabs>
                    <w:jc w:val="both"/>
                    <w:rPr>
                      <w:b/>
                      <w:bCs/>
                    </w:rPr>
                  </w:pPr>
                  <w:r>
                    <w:rPr>
                      <w:b/>
                      <w:bCs/>
                    </w:rPr>
                    <w:t>9) Comment faire s’il n’y a pas d’établissement d’enseignement spécialisé organisant le type d’enseignement souhaité à une distance raisonnable du domicile de l’élève?</w:t>
                  </w:r>
                </w:p>
                <w:p w:rsidR="00F04EEF" w:rsidRDefault="00F04EEF">
                  <w:pPr>
                    <w:tabs>
                      <w:tab w:val="left" w:pos="709"/>
                    </w:tabs>
                    <w:jc w:val="both"/>
                    <w:rPr>
                      <w:bCs/>
                    </w:rPr>
                  </w:pPr>
                </w:p>
                <w:p w:rsidR="00F04EEF" w:rsidRDefault="0099351E">
                  <w:pPr>
                    <w:jc w:val="both"/>
                  </w:pPr>
                  <w:r>
                    <w:t>Le Ministre peut autoriser un établissement d’enseignement spécialisé à accompagner l’élève, même si il n’organise pas le type d’enseignement mentionné sur son attestation d’orientation pour deux raisons :  l’absence d’offre d’enseignement à une distance raisonnable du domicile de l’élève (4 kilomètres) dans le respect du libre choix des parents ou le refus d’un ou plusieurs partenaires de participer à l’intégration.</w:t>
                  </w:r>
                </w:p>
                <w:p w:rsidR="00F04EEF" w:rsidRDefault="0099351E">
                  <w:pPr>
                    <w:jc w:val="both"/>
                  </w:pPr>
                  <w:r>
                    <w:t>Cette autorisation se fait sur base d’un avis motivé du Conseil général de l’enseignement secondaire.</w:t>
                  </w:r>
                </w:p>
                <w:p w:rsidR="00F04EEF" w:rsidRDefault="00F04EEF">
                  <w:pPr>
                    <w:jc w:val="both"/>
                  </w:pPr>
                </w:p>
                <w:p w:rsidR="00F04EEF" w:rsidRDefault="0099351E">
                  <w:pPr>
                    <w:jc w:val="both"/>
                  </w:pPr>
                  <w:r>
                    <w:t xml:space="preserve">Le dossier motivé (Cf. document figurant en </w:t>
                  </w:r>
                  <w:hyperlink w:anchor="_Annexe_8_:" w:history="1">
                    <w:r>
                      <w:rPr>
                        <w:rStyle w:val="Lienhypertexte"/>
                        <w:rFonts w:cs="Arial"/>
                      </w:rPr>
                      <w:t xml:space="preserve">annexe </w:t>
                    </w:r>
                  </w:hyperlink>
                  <w:r>
                    <w:rPr>
                      <w:rStyle w:val="Lienhypertexte"/>
                      <w:rFonts w:cs="Arial"/>
                    </w:rPr>
                    <w:t>8</w:t>
                  </w:r>
                  <w:r>
                    <w:t xml:space="preserve">) doit être introduit par le chef d’établissement dans l’enseignement spécialisé organisé par la Fédération Wallonie-Bruxelles ou le pouvoir organisateur dans l’enseignement spécialisé subventionné par la Fédération Wallonie Bruxelles. </w:t>
                  </w:r>
                </w:p>
                <w:p w:rsidR="00F04EEF" w:rsidRDefault="00F04EEF">
                  <w:pPr>
                    <w:pStyle w:val="Corpsdetexte"/>
                    <w:jc w:val="both"/>
                    <w:rPr>
                      <w:b w:val="0"/>
                      <w:szCs w:val="22"/>
                    </w:rPr>
                  </w:pPr>
                </w:p>
                <w:p w:rsidR="00F04EEF" w:rsidRDefault="0099351E">
                  <w:pPr>
                    <w:jc w:val="both"/>
                    <w:rPr>
                      <w:b/>
                      <w:bCs/>
                    </w:rPr>
                  </w:pPr>
                  <w:r>
                    <w:rPr>
                      <w:b/>
                      <w:bCs/>
                    </w:rPr>
                    <w:t>10) Le personnel accompagnant peut-il être nommé dans les périodes d’accompagnement de l’intégration ?</w:t>
                  </w:r>
                </w:p>
                <w:p w:rsidR="00F04EEF" w:rsidRDefault="00F04EEF">
                  <w:pPr>
                    <w:jc w:val="both"/>
                    <w:rPr>
                      <w:bCs/>
                    </w:rPr>
                  </w:pPr>
                </w:p>
                <w:p w:rsidR="00F04EEF" w:rsidRDefault="0099351E">
                  <w:pPr>
                    <w:tabs>
                      <w:tab w:val="left" w:pos="360"/>
                      <w:tab w:val="left" w:pos="709"/>
                    </w:tabs>
                    <w:jc w:val="both"/>
                    <w:rPr>
                      <w:bCs/>
                    </w:rPr>
                  </w:pPr>
                  <w:r>
                    <w:rPr>
                      <w:bCs/>
                    </w:rPr>
                    <w:t xml:space="preserve">Le personnel de l’enseignement spécialisé peut être nommé dans les heures qui lui sont attribuées pour effectuer de l’accompagnement à l’intégration (intégration permanente totale, intégration temporaire partielle, intégration permanente partielle) excepté pour les heures dérogatoires ou issues de reliquats. </w:t>
                  </w:r>
                </w:p>
                <w:p w:rsidR="00F04EEF" w:rsidRDefault="00F04EEF">
                  <w:pPr>
                    <w:tabs>
                      <w:tab w:val="left" w:pos="360"/>
                      <w:tab w:val="left" w:pos="709"/>
                    </w:tabs>
                    <w:jc w:val="both"/>
                    <w:rPr>
                      <w:bCs/>
                    </w:rPr>
                  </w:pPr>
                </w:p>
                <w:p w:rsidR="00F04EEF" w:rsidRDefault="0099351E">
                  <w:pPr>
                    <w:tabs>
                      <w:tab w:val="left" w:pos="360"/>
                      <w:tab w:val="left" w:pos="709"/>
                    </w:tabs>
                    <w:jc w:val="both"/>
                    <w:rPr>
                      <w:bCs/>
                    </w:rPr>
                  </w:pPr>
                  <w:r>
                    <w:rPr>
                      <w:bCs/>
                    </w:rPr>
                    <w:t>Cela signifie qu’outre les heures prélevées du CPU pour effectuer de l’accompagnement à l’intégration et pour lesquelles une nomination était déjà possible, les membres du personnel peuvent être nommés pour les périodes issues des 4 périodes attribuées pour les élèves en intégration permanente totale au niveau primaire, dans un CEFA ou aux deux premiers degrés du niveau secondaire, ou des 8 périodes attribuées à l’école d’enseignement spécialisé pour les élèves inscrits au 3</w:t>
                  </w:r>
                  <w:r>
                    <w:rPr>
                      <w:bCs/>
                      <w:vertAlign w:val="superscript"/>
                    </w:rPr>
                    <w:t>ème</w:t>
                  </w:r>
                  <w:r>
                    <w:rPr>
                      <w:bCs/>
                    </w:rPr>
                    <w:t xml:space="preserve"> degré de l’enseignement secondaire ordinaire (type 4, 5 6 ou 7).</w:t>
                  </w:r>
                </w:p>
                <w:p w:rsidR="00F04EEF" w:rsidRDefault="00F04EEF">
                  <w:pPr>
                    <w:tabs>
                      <w:tab w:val="left" w:pos="360"/>
                      <w:tab w:val="left" w:pos="709"/>
                    </w:tabs>
                    <w:jc w:val="both"/>
                    <w:rPr>
                      <w:bCs/>
                    </w:rPr>
                  </w:pPr>
                </w:p>
                <w:p w:rsidR="00F04EEF" w:rsidRDefault="0099351E">
                  <w:pPr>
                    <w:tabs>
                      <w:tab w:val="left" w:pos="360"/>
                      <w:tab w:val="left" w:pos="709"/>
                    </w:tabs>
                    <w:jc w:val="both"/>
                    <w:rPr>
                      <w:bCs/>
                    </w:rPr>
                  </w:pPr>
                  <w:r>
                    <w:rPr>
                      <w:bCs/>
                    </w:rPr>
                    <w:t xml:space="preserve">Par contre les heures issues des périodes complémentaires acquises sur base dérogatoire ne peuvent mener à une nomination. Il s’agit principalement des périodes « Article 133 ». </w:t>
                  </w:r>
                </w:p>
                <w:p w:rsidR="00F04EEF" w:rsidRDefault="00F04EEF">
                  <w:pPr>
                    <w:tabs>
                      <w:tab w:val="left" w:pos="360"/>
                      <w:tab w:val="left" w:pos="709"/>
                    </w:tabs>
                    <w:jc w:val="both"/>
                    <w:rPr>
                      <w:bCs/>
                    </w:rPr>
                  </w:pPr>
                </w:p>
                <w:p w:rsidR="00F04EEF" w:rsidRDefault="0099351E">
                  <w:pPr>
                    <w:tabs>
                      <w:tab w:val="left" w:pos="360"/>
                      <w:tab w:val="left" w:pos="709"/>
                    </w:tabs>
                    <w:jc w:val="both"/>
                    <w:rPr>
                      <w:bCs/>
                    </w:rPr>
                  </w:pPr>
                  <w:r>
                    <w:rPr>
                      <w:bCs/>
                    </w:rPr>
                    <w:t xml:space="preserve">Pour rappel, les heures issues de transfert de reliquat ne peuvent pas mener à une nomination, même dans le cadre de l’accompagnement à l’intégration. </w:t>
                  </w:r>
                </w:p>
                <w:p w:rsidR="00F04EEF" w:rsidRDefault="00F04EEF">
                  <w:pPr>
                    <w:tabs>
                      <w:tab w:val="left" w:pos="360"/>
                      <w:tab w:val="left" w:pos="709"/>
                    </w:tabs>
                    <w:jc w:val="both"/>
                    <w:rPr>
                      <w:bCs/>
                    </w:rPr>
                  </w:pPr>
                </w:p>
                <w:p w:rsidR="00F04EEF" w:rsidRDefault="0099351E">
                  <w:pPr>
                    <w:tabs>
                      <w:tab w:val="left" w:pos="0"/>
                    </w:tabs>
                    <w:jc w:val="both"/>
                    <w:rPr>
                      <w:bCs/>
                    </w:rPr>
                  </w:pPr>
                  <w:r>
                    <w:rPr>
                      <w:bCs/>
                    </w:rPr>
                    <w:t>Il faut également préciser que pour le personnel enseignant de l’enseignement ordinaire, il n’est pas possible d’être nommé pour les 8 périodes attribuées à l’établissement pour l’intégration des élèves inscrits au 3</w:t>
                  </w:r>
                  <w:r>
                    <w:rPr>
                      <w:bCs/>
                      <w:vertAlign w:val="superscript"/>
                    </w:rPr>
                    <w:t>ème</w:t>
                  </w:r>
                  <w:r>
                    <w:rPr>
                      <w:bCs/>
                    </w:rPr>
                    <w:t xml:space="preserve"> degré de l’enseignement secondaire ordinaire. </w:t>
                  </w:r>
                </w:p>
                <w:p w:rsidR="00F04EEF" w:rsidRDefault="00F04EEF">
                  <w:pPr>
                    <w:jc w:val="both"/>
                    <w:rPr>
                      <w:b/>
                      <w:bCs/>
                    </w:rPr>
                  </w:pPr>
                </w:p>
                <w:p w:rsidR="00F04EEF" w:rsidRDefault="00F04EEF">
                  <w:pPr>
                    <w:jc w:val="both"/>
                    <w:rPr>
                      <w:b/>
                      <w:bCs/>
                    </w:rPr>
                  </w:pPr>
                </w:p>
                <w:p w:rsidR="00F04EEF" w:rsidRDefault="0099351E">
                  <w:pPr>
                    <w:jc w:val="both"/>
                    <w:rPr>
                      <w:b/>
                      <w:bCs/>
                    </w:rPr>
                  </w:pPr>
                  <w:r>
                    <w:rPr>
                      <w:b/>
                      <w:bCs/>
                    </w:rPr>
                    <w:t>11) Est-ce qu’un élève peut être intégré dans une école d’enseignement ordinaire située dans une commune à facilités relevant de la Communauté flamande ?</w:t>
                  </w:r>
                </w:p>
                <w:p w:rsidR="00F04EEF" w:rsidRDefault="00F04EEF">
                  <w:pPr>
                    <w:jc w:val="both"/>
                    <w:rPr>
                      <w:bCs/>
                    </w:rPr>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Cs/>
                    </w:rPr>
                  </w:pPr>
                  <w:r>
                    <w:rPr>
                      <w:bCs/>
                    </w:rPr>
                    <w:t xml:space="preserve">Non, les écoles situées dans ces communes ne sont pas soumises au </w:t>
                  </w:r>
                  <w:r>
                    <w:t>Décret du 3 mars 2004 organisant l’enseignement spécialisé</w:t>
                  </w:r>
                  <w:r>
                    <w:rPr>
                      <w:bCs/>
                    </w:rPr>
                    <w:t xml:space="preserve"> et ne peuvent donc pas être partenaires d’un projet d’intégration. (A l’exception des écoles francophones sises sur le territoire de la commune de RENAIX).</w:t>
                  </w:r>
                </w:p>
                <w:p w:rsidR="00F04EEF" w:rsidRDefault="00F04EEF">
                  <w:pPr>
                    <w:jc w:val="both"/>
                  </w:pPr>
                </w:p>
                <w:p w:rsidR="00F04EEF" w:rsidRDefault="0099351E">
                  <w:pPr>
                    <w:jc w:val="both"/>
                    <w:rPr>
                      <w:b/>
                    </w:rPr>
                  </w:pPr>
                  <w:r>
                    <w:rPr>
                      <w:b/>
                    </w:rPr>
                    <w:t>12) Les élèves en intégration permanente totale doivent-ils avoir un plan individuel d’apprentissage (P.I.A) ?</w:t>
                  </w:r>
                </w:p>
                <w:p w:rsidR="00F04EEF" w:rsidRDefault="00F04EEF">
                  <w:pPr>
                    <w:jc w:val="both"/>
                  </w:pPr>
                </w:p>
                <w:p w:rsidR="00F04EEF" w:rsidRDefault="0099351E">
                  <w:pPr>
                    <w:jc w:val="both"/>
                  </w:pPr>
                  <w:r>
                    <w:t>Oui, même si ces élèves sont inscrits dans l’enseignement ordinaire, le décret prévoit qu’un P.I.A. est élaboré et ajusté par le ou les membre(s) du personnel de l’enseignement spécialisé qui assurent l’accompagnement en concertation avec le conseil de classe dans l’enseignement secondaire ordinaire ou l’équipe éducative dans l’enseignement fondamental ordinaire.</w:t>
                  </w:r>
                </w:p>
                <w:p w:rsidR="00F04EEF" w:rsidRDefault="00F04EEF">
                  <w:pPr>
                    <w:jc w:val="both"/>
                  </w:pPr>
                </w:p>
                <w:p w:rsidR="00F04EEF" w:rsidRDefault="0099351E">
                  <w:pPr>
                    <w:jc w:val="both"/>
                  </w:pPr>
                  <w:r>
                    <w:t>Les élèves en intégration permanente totale dans le 1er degré de l’enseignement secondaire ordinaire bénéficient également d’un plan individualisé d’apprentissage conformément à l’article 7bis du décret du 30 juin 2006 relatif à l’organisation pédagogique du 1er degré de l’enseignement secondaire. Celui-ci est actualisé pour constituer le plan individuel d’apprentissage.</w:t>
                  </w:r>
                </w:p>
                <w:p w:rsidR="00F04EEF" w:rsidRDefault="00F04EEF">
                  <w:pPr>
                    <w:jc w:val="both"/>
                  </w:pPr>
                </w:p>
                <w:p w:rsidR="00F04EEF" w:rsidRDefault="0099351E">
                  <w:pPr>
                    <w:jc w:val="both"/>
                  </w:pPr>
                  <w:r>
                    <w:t>Le PIA du premier degré est construit avec l’ensemble des partenaires.  En conséquences, il implique un travail collaboratif entre les deux équipes de l’enseignement spécialisé ET de l’enseignement ordinaire dans le cadre de la rédaction et de l’adaptation du P.I.A..</w:t>
                  </w:r>
                </w:p>
                <w:p w:rsidR="00F04EEF" w:rsidRDefault="00F04EEF">
                  <w:pPr>
                    <w:jc w:val="both"/>
                  </w:pPr>
                </w:p>
                <w:p w:rsidR="00F04EEF" w:rsidRDefault="0099351E">
                  <w:pPr>
                    <w:jc w:val="both"/>
                    <w:rPr>
                      <w:b/>
                    </w:rPr>
                  </w:pPr>
                  <w:r>
                    <w:rPr>
                      <w:b/>
                    </w:rPr>
                    <w:t>13) Quand et comment sont calculés les différents accompagnements relatifs à l’intégration ?</w:t>
                  </w:r>
                </w:p>
                <w:p w:rsidR="00F04EEF" w:rsidRDefault="00F04EEF">
                  <w:pPr>
                    <w:jc w:val="both"/>
                    <w:rPr>
                      <w:b/>
                    </w:rPr>
                  </w:pPr>
                </w:p>
                <w:p w:rsidR="00F04EEF" w:rsidRDefault="0099351E">
                  <w:pPr>
                    <w:jc w:val="both"/>
                  </w:pPr>
                  <w:r>
                    <w:t>On peut différencier trois types de périodes attribuées dans le cadre de l’intégration.</w:t>
                  </w:r>
                </w:p>
                <w:p w:rsidR="00F04EEF" w:rsidRDefault="00F04EEF">
                  <w:pPr>
                    <w:jc w:val="both"/>
                  </w:pPr>
                </w:p>
                <w:p w:rsidR="00F04EEF" w:rsidRDefault="0099351E">
                  <w:pPr>
                    <w:jc w:val="both"/>
                  </w:pPr>
                  <w:r>
                    <w:t>1) Les périodes organiques pour les élèves en intégration temporaire partielle :</w:t>
                  </w:r>
                </w:p>
                <w:p w:rsidR="00F04EEF" w:rsidRDefault="00F04EEF">
                  <w:pPr>
                    <w:jc w:val="both"/>
                  </w:pPr>
                </w:p>
                <w:p w:rsidR="00F04EEF" w:rsidRDefault="0099351E">
                  <w:pPr>
                    <w:jc w:val="both"/>
                  </w:pPr>
                  <w:r>
                    <w:t>Ces élèves sont comptabilisés comme tous les élèves régulièrement inscrits en enseignement spécialisé. Ils sont pris en compte aux différentes dates de comptage ou de recomptage (15 janvier, 30 septembre, 10%). Les périodes qu’ils génèrent sont comprises dans les capitaux-périodes utilisables des différentes catégories de personnel.</w:t>
                  </w:r>
                </w:p>
                <w:p w:rsidR="00F04EEF" w:rsidRDefault="00F04EEF">
                  <w:pPr>
                    <w:jc w:val="both"/>
                  </w:pPr>
                </w:p>
                <w:p w:rsidR="00F04EEF" w:rsidRDefault="0099351E">
                  <w:pPr>
                    <w:jc w:val="both"/>
                  </w:pPr>
                  <w:r>
                    <w:t>2) Les 4 (ou 8) périodes pour les intégrations permanentes totales :</w:t>
                  </w:r>
                </w:p>
                <w:p w:rsidR="00F04EEF" w:rsidRDefault="00F04EEF">
                  <w:pPr>
                    <w:jc w:val="both"/>
                  </w:pPr>
                </w:p>
                <w:p w:rsidR="00F04EEF" w:rsidRDefault="0099351E">
                  <w:pPr>
                    <w:jc w:val="both"/>
                  </w:pPr>
                  <w:r>
                    <w:t>Ces périodes sont attribuées annuellement pour les élèves en intégration permanente totale dont le dossier est en ordre. Ce nombre de périodes est recalculé en début de chaque année scolaire, sans prendre en compte le nombre d’IPT de l’année scolaire précédente.</w:t>
                  </w:r>
                </w:p>
                <w:p w:rsidR="00F04EEF" w:rsidRDefault="00F04EEF">
                  <w:pPr>
                    <w:jc w:val="both"/>
                  </w:pPr>
                </w:p>
                <w:p w:rsidR="00F04EEF" w:rsidRDefault="0099351E">
                  <w:pPr>
                    <w:jc w:val="both"/>
                  </w:pPr>
                  <w:r>
                    <w:t>Conséquences :</w:t>
                  </w:r>
                </w:p>
                <w:p w:rsidR="00F04EEF" w:rsidRDefault="0099351E">
                  <w:pPr>
                    <w:numPr>
                      <w:ilvl w:val="0"/>
                      <w:numId w:val="158"/>
                    </w:numPr>
                    <w:tabs>
                      <w:tab w:val="clear" w:pos="357"/>
                      <w:tab w:val="num" w:pos="540"/>
                    </w:tabs>
                    <w:suppressAutoHyphens/>
                    <w:ind w:left="1134" w:hanging="567"/>
                    <w:jc w:val="both"/>
                  </w:pPr>
                  <w:r>
                    <w:t>un élève en intégration permanente totale au 15 janvier ne génère pas 4 (ou 8) périodes pour l’année scolaire suivante.</w:t>
                  </w:r>
                </w:p>
                <w:p w:rsidR="00F04EEF" w:rsidRDefault="0099351E">
                  <w:pPr>
                    <w:numPr>
                      <w:ilvl w:val="0"/>
                      <w:numId w:val="158"/>
                    </w:numPr>
                    <w:tabs>
                      <w:tab w:val="clear" w:pos="357"/>
                      <w:tab w:val="num" w:pos="540"/>
                    </w:tabs>
                    <w:suppressAutoHyphens/>
                    <w:ind w:left="1134" w:hanging="567"/>
                    <w:jc w:val="both"/>
                  </w:pPr>
                  <w:r>
                    <w:t xml:space="preserve">un élève qui débute ou poursuit une intégration permanente totale en septembre génère les  4 ou 8 périodes pour l’année scolaire en cours. </w:t>
                  </w:r>
                </w:p>
                <w:p w:rsidR="00F04EEF" w:rsidRDefault="00F04EEF">
                  <w:pPr>
                    <w:jc w:val="both"/>
                  </w:pPr>
                </w:p>
                <w:p w:rsidR="00F04EEF" w:rsidRDefault="0099351E">
                  <w:pPr>
                    <w:jc w:val="both"/>
                  </w:pPr>
                  <w:r>
                    <w:t>3) Les périodes dérogatoires (</w:t>
                  </w:r>
                  <w:r>
                    <w:rPr>
                      <w:strike/>
                    </w:rPr>
                    <w:t xml:space="preserve"> </w:t>
                  </w:r>
                  <w:r>
                    <w:t>« grande distance ») :</w:t>
                  </w:r>
                </w:p>
                <w:p w:rsidR="00F04EEF" w:rsidRDefault="00F04EEF">
                  <w:pPr>
                    <w:jc w:val="both"/>
                  </w:pPr>
                </w:p>
                <w:p w:rsidR="00F04EEF" w:rsidRDefault="0099351E">
                  <w:pPr>
                    <w:jc w:val="both"/>
                    <w:rPr>
                      <w:strike/>
                    </w:rPr>
                  </w:pPr>
                  <w:r>
                    <w:t xml:space="preserve">Ces périodes sont facultatives. Elles sont attribuées à différents moments de l’année. Le courrier annonçant la décision du Ministre ayant l’enseignement spécialisé dans ses attributions précise la durée de validité. </w:t>
                  </w:r>
                </w:p>
                <w:p w:rsidR="00F04EEF" w:rsidRDefault="0099351E">
                  <w:pPr>
                    <w:jc w:val="both"/>
                    <w:rPr>
                      <w:b/>
                    </w:rPr>
                  </w:pPr>
                  <w:r>
                    <w:rPr>
                      <w:b/>
                    </w:rPr>
                    <w:t>14) Comment se déroule le passage du niveau fondamental au niveau secondaire ?</w:t>
                  </w:r>
                </w:p>
                <w:p w:rsidR="00F04EEF" w:rsidRDefault="0099351E">
                  <w:pPr>
                    <w:jc w:val="both"/>
                  </w:pPr>
                  <w:r>
                    <w:rPr>
                      <w:noProof/>
                      <w:lang w:eastAsia="fr-BE"/>
                    </w:rPr>
                    <mc:AlternateContent>
                      <mc:Choice Requires="wps">
                        <w:drawing>
                          <wp:anchor distT="0" distB="0" distL="114300" distR="114300" simplePos="0" relativeHeight="252413952" behindDoc="0" locked="0" layoutInCell="1" allowOverlap="1">
                            <wp:simplePos x="0" y="0"/>
                            <wp:positionH relativeFrom="column">
                              <wp:posOffset>6362016</wp:posOffset>
                            </wp:positionH>
                            <wp:positionV relativeFrom="paragraph">
                              <wp:posOffset>96715</wp:posOffset>
                            </wp:positionV>
                            <wp:extent cx="0" cy="181708"/>
                            <wp:effectExtent l="0" t="0" r="19050" b="27940"/>
                            <wp:wrapNone/>
                            <wp:docPr id="5551" name="Connecteur droit 5551"/>
                            <wp:cNvGraphicFramePr/>
                            <a:graphic xmlns:a="http://schemas.openxmlformats.org/drawingml/2006/main">
                              <a:graphicData uri="http://schemas.microsoft.com/office/word/2010/wordprocessingShape">
                                <wps:wsp>
                                  <wps:cNvCnPr/>
                                  <wps:spPr>
                                    <a:xfrm>
                                      <a:off x="0" y="0"/>
                                      <a:ext cx="0" cy="18170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9030AF" id="Connecteur droit 5551" o:spid="_x0000_s1026" style="position:absolute;z-index:252413952;visibility:visible;mso-wrap-style:square;mso-wrap-distance-left:9pt;mso-wrap-distance-top:0;mso-wrap-distance-right:9pt;mso-wrap-distance-bottom:0;mso-position-horizontal:absolute;mso-position-horizontal-relative:text;mso-position-vertical:absolute;mso-position-vertical-relative:text" from="500.95pt,7.6pt" to="500.9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" strokecolor="black [3213]"/>
                        </w:pict>
                      </mc:Fallback>
                    </mc:AlternateContent>
                  </w:r>
                </w:p>
                <w:p w:rsidR="00F04EEF" w:rsidRDefault="0099351E">
                  <w:pPr>
                    <w:tabs>
                      <w:tab w:val="left" w:pos="-1908"/>
                      <w:tab w:val="left" w:pos="1872"/>
                    </w:tabs>
                    <w:jc w:val="both"/>
                  </w:pPr>
                  <w:r>
                    <w:t>L’école d’enseignement secondaire spécialisé doit signaler la nouvelle intégration via le formulaire électronique intégration. Il faut donc établir un nouveau protocole d’intégration car il y a un changement de partenaires.</w:t>
                  </w:r>
                </w:p>
                <w:p w:rsidR="00F04EEF" w:rsidRDefault="00F04EEF">
                  <w:pPr>
                    <w:jc w:val="both"/>
                  </w:pPr>
                </w:p>
                <w:p w:rsidR="00F04EEF" w:rsidRDefault="0099351E">
                  <w:pPr>
                    <w:jc w:val="both"/>
                    <w:rPr>
                      <w:b/>
                      <w:bCs/>
                      <w:lang w:val="fr-FR" w:eastAsia="fr-FR"/>
                    </w:rPr>
                  </w:pPr>
                  <w:r>
                    <w:rPr>
                      <w:b/>
                      <w:bCs/>
                      <w:lang w:val="fr-FR" w:eastAsia="fr-FR"/>
                    </w:rPr>
                    <w:t xml:space="preserve">15) Comment interrompre une intégration en cours de processus ? </w:t>
                  </w:r>
                </w:p>
                <w:p w:rsidR="00F04EEF" w:rsidRDefault="00F04EEF">
                  <w:pPr>
                    <w:snapToGrid w:val="0"/>
                    <w:jc w:val="both"/>
                  </w:pPr>
                </w:p>
                <w:p w:rsidR="00F04EEF" w:rsidRDefault="0099351E">
                  <w:pPr>
                    <w:jc w:val="both"/>
                  </w:pPr>
                  <w:r>
                    <w:t xml:space="preserve">L’intégration prend fin à la date connue de l’évènement par les </w:t>
                  </w:r>
                  <w:r>
                    <w:rPr>
                      <w:b/>
                    </w:rPr>
                    <w:t>partenaires actuels</w:t>
                  </w:r>
                  <w:r>
                    <w:t xml:space="preserve"> du protocole d’intégration pour les motifs suivants : </w:t>
                  </w:r>
                </w:p>
                <w:p w:rsidR="00F04EEF" w:rsidRDefault="0099351E">
                  <w:pPr>
                    <w:jc w:val="both"/>
                  </w:pPr>
                  <w:r>
                    <w:t xml:space="preserve">1° une mesure de placement prise soit par un magistrat, soit par le conseiller ou le (la) directeur(trice) d’aide à la jeunesse ; </w:t>
                  </w:r>
                </w:p>
                <w:p w:rsidR="00F04EEF" w:rsidRDefault="0099351E">
                  <w:pPr>
                    <w:jc w:val="both"/>
                  </w:pPr>
                  <w:r>
                    <w:t xml:space="preserve">2° un changement de domicile ; </w:t>
                  </w:r>
                </w:p>
                <w:p w:rsidR="00F04EEF" w:rsidRDefault="0099351E">
                  <w:pPr>
                    <w:jc w:val="both"/>
                  </w:pPr>
                  <w:r>
                    <w:t xml:space="preserve">3° une séparation des parents entraînant un changement de lieu d’hébergement de l’élève ; </w:t>
                  </w:r>
                </w:p>
                <w:p w:rsidR="00F04EEF" w:rsidRDefault="0099351E">
                  <w:pPr>
                    <w:jc w:val="both"/>
                  </w:pPr>
                  <w:r>
                    <w:t xml:space="preserve">4° le passage de l’élève d’une école à régime d’externat vers un internat et vice versa ; </w:t>
                  </w:r>
                </w:p>
                <w:p w:rsidR="00F04EEF" w:rsidRDefault="0099351E">
                  <w:pPr>
                    <w:jc w:val="both"/>
                  </w:pPr>
                  <w:r>
                    <w:t xml:space="preserve">5° l’accueil de l’élève, sur l’initiative des parents, dans une autre famille ou dans un centre pour raison de maladie, de voyage ; </w:t>
                  </w:r>
                </w:p>
                <w:p w:rsidR="00F04EEF" w:rsidRDefault="0099351E">
                  <w:pPr>
                    <w:jc w:val="both"/>
                  </w:pPr>
                  <w:r>
                    <w:t>6° l’exclusion définitive de l’élève d’un autre établissement.</w:t>
                  </w:r>
                </w:p>
                <w:p w:rsidR="00F04EEF" w:rsidRDefault="00F04EEF">
                  <w:pPr>
                    <w:jc w:val="both"/>
                  </w:pPr>
                </w:p>
                <w:p w:rsidR="00F04EEF" w:rsidRDefault="0099351E">
                  <w:pPr>
                    <w:jc w:val="both"/>
                  </w:pPr>
                  <w:r>
                    <w:t xml:space="preserve">En cas de circonstances exceptionnelles, les </w:t>
                  </w:r>
                  <w:r>
                    <w:rPr>
                      <w:b/>
                    </w:rPr>
                    <w:t>partenaires actuels</w:t>
                  </w:r>
                  <w:r>
                    <w:t xml:space="preserve"> du protocole d’intégration peuvent, par décision collégiale</w:t>
                  </w:r>
                  <w:r>
                    <w:rPr>
                      <w:rStyle w:val="Appelnotedebasdep"/>
                    </w:rPr>
                    <w:footnoteReference w:id="148"/>
                  </w:r>
                  <w:r>
                    <w:t xml:space="preserve"> motivée, mettre fin à l'intégration et autoriser le retour à temps plein de l'élève dans l'enseignement spécialisé en cours d'année scolaire. </w:t>
                  </w:r>
                </w:p>
                <w:p w:rsidR="00F04EEF" w:rsidRDefault="0099351E">
                  <w:pPr>
                    <w:jc w:val="both"/>
                  </w:pPr>
                  <w:r>
                    <w:t>La décision doit être communiquée à l’Administration dans les 30 jours calendrier de la dite-décision via l’</w:t>
                  </w:r>
                  <w:hyperlink w:anchor="_Annexe_4_:_8" w:history="1">
                    <w:r>
                      <w:rPr>
                        <w:rStyle w:val="Lienhypertexte"/>
                        <w:rFonts w:cstheme="minorBidi"/>
                      </w:rPr>
                      <w:t>annexe 4</w:t>
                    </w:r>
                  </w:hyperlink>
                  <w:r>
                    <w:t>.</w:t>
                  </w:r>
                </w:p>
                <w:p w:rsidR="00F04EEF" w:rsidRDefault="00F04EEF">
                  <w:pPr>
                    <w:jc w:val="both"/>
                  </w:pPr>
                </w:p>
                <w:p w:rsidR="00F04EEF" w:rsidRDefault="0099351E">
                  <w:pPr>
                    <w:jc w:val="both"/>
                    <w:rPr>
                      <w:b/>
                    </w:rPr>
                  </w:pPr>
                  <w:r>
                    <w:rPr>
                      <w:b/>
                    </w:rPr>
                    <w:t>16) Puis-je intégrer un élève pour lequel je n’ai pas encore reçu l’attestation d’orientation précisant le type d’enseignement spécialisé correspondant aux besoins de l’élève ?</w:t>
                  </w:r>
                </w:p>
                <w:p w:rsidR="00F04EEF" w:rsidRDefault="00F04EEF">
                  <w:pPr>
                    <w:jc w:val="both"/>
                    <w:rPr>
                      <w:b/>
                    </w:rPr>
                  </w:pPr>
                </w:p>
                <w:p w:rsidR="00F04EEF" w:rsidRDefault="0099351E">
                  <w:pPr>
                    <w:tabs>
                      <w:tab w:val="left" w:pos="-1908"/>
                      <w:tab w:val="left" w:pos="1872"/>
                    </w:tabs>
                    <w:jc w:val="both"/>
                  </w:pPr>
                  <w:r>
                    <w:t>Non, sans ce document, aucun projet d’intégration ne peut débuter.</w:t>
                  </w:r>
                </w:p>
                <w:p w:rsidR="00F04EEF" w:rsidRDefault="00F04EEF">
                  <w:pPr>
                    <w:jc w:val="both"/>
                    <w:rPr>
                      <w:b/>
                    </w:rPr>
                  </w:pPr>
                </w:p>
                <w:p w:rsidR="00F04EEF" w:rsidRDefault="0099351E">
                  <w:pPr>
                    <w:jc w:val="both"/>
                    <w:rPr>
                      <w:b/>
                    </w:rPr>
                  </w:pPr>
                  <w:r>
                    <w:rPr>
                      <w:b/>
                    </w:rPr>
                    <w:t>17) Lorsqu’une intégration permanente totale n’est pas prolongée car l’élève n’a plus besoin d’accompagnement, l’élève doit-il retourner dans l’enseignement spécialisé ?</w:t>
                  </w:r>
                </w:p>
                <w:p w:rsidR="00F04EEF" w:rsidRDefault="00F04EEF">
                  <w:pPr>
                    <w:jc w:val="both"/>
                    <w:rPr>
                      <w:b/>
                    </w:rPr>
                  </w:pPr>
                </w:p>
                <w:p w:rsidR="00F04EEF" w:rsidRDefault="0099351E">
                  <w:pPr>
                    <w:tabs>
                      <w:tab w:val="left" w:pos="-1908"/>
                      <w:tab w:val="left" w:pos="1872"/>
                    </w:tabs>
                    <w:jc w:val="both"/>
                  </w:pPr>
                  <w:r>
                    <w:t>En principe, oui. Toutefois, le CPMS de l’école d’enseignement spécialisé peut rédiger un avis afin que l’élève puisse poursuivre sa scolarité dans l’enseignement ordinaire.</w:t>
                  </w:r>
                </w:p>
                <w:p w:rsidR="00F04EEF" w:rsidRDefault="00F04EEF">
                  <w:pPr>
                    <w:jc w:val="both"/>
                    <w:rPr>
                      <w:b/>
                    </w:rPr>
                  </w:pPr>
                </w:p>
                <w:p w:rsidR="00F04EEF" w:rsidRDefault="0099351E">
                  <w:pPr>
                    <w:jc w:val="both"/>
                    <w:rPr>
                      <w:b/>
                    </w:rPr>
                  </w:pPr>
                  <w:r>
                    <w:rPr>
                      <w:b/>
                    </w:rPr>
                    <w:t>18) Un élève de l’enseignement spécialisé pour lequel une intégration permanente est envisagée, peut-il faire valoir une priorité à l’inscription en 1</w:t>
                  </w:r>
                  <w:r>
                    <w:rPr>
                      <w:b/>
                      <w:vertAlign w:val="superscript"/>
                    </w:rPr>
                    <w:t>ère</w:t>
                  </w:r>
                  <w:r>
                    <w:rPr>
                      <w:b/>
                    </w:rPr>
                    <w:t xml:space="preserve"> année commune du 1</w:t>
                  </w:r>
                  <w:r>
                    <w:rPr>
                      <w:b/>
                      <w:vertAlign w:val="superscript"/>
                    </w:rPr>
                    <w:t>er</w:t>
                  </w:r>
                  <w:r>
                    <w:rPr>
                      <w:b/>
                    </w:rPr>
                    <w:t xml:space="preserve"> degré de l’enseignement secondaire ordinaire ?</w:t>
                  </w:r>
                </w:p>
                <w:p w:rsidR="00F04EEF" w:rsidRDefault="00F04EEF">
                  <w:pPr>
                    <w:jc w:val="both"/>
                    <w:rPr>
                      <w:b/>
                    </w:rPr>
                  </w:pPr>
                </w:p>
                <w:p w:rsidR="00F04EEF" w:rsidRDefault="0099351E">
                  <w:pPr>
                    <w:jc w:val="both"/>
                  </w:pPr>
                  <w:r>
                    <w:t>Oui, conformément à l’article 79/10, §1</w:t>
                  </w:r>
                  <w:r>
                    <w:rPr>
                      <w:vertAlign w:val="superscript"/>
                    </w:rPr>
                    <w:t>er</w:t>
                  </w:r>
                  <w:r>
                    <w:t>, 3° du Décret « Missions », sont considérés comme prioritaires, les élèves qui ont des besoins spécifiques et pour lesquels une intégration permanente est envisagée pour la première année du premier degré de l’enseignement secondaire.</w:t>
                  </w:r>
                </w:p>
                <w:p w:rsidR="00F04EEF" w:rsidRDefault="00F04EEF">
                  <w:pPr>
                    <w:jc w:val="both"/>
                    <w:rPr>
                      <w:b/>
                    </w:rPr>
                  </w:pPr>
                </w:p>
                <w:p w:rsidR="00F04EEF" w:rsidRDefault="0099351E">
                  <w:pPr>
                    <w:jc w:val="both"/>
                    <w:rPr>
                      <w:b/>
                    </w:rPr>
                  </w:pPr>
                  <w:r>
                    <w:rPr>
                      <w:b/>
                    </w:rPr>
                    <w:t>19) Si l’intégration d’un élève doit s’arrêter en cours d’année scolaire que se passe-t-il avec le personnel qui a été engagé ?</w:t>
                  </w:r>
                </w:p>
                <w:p w:rsidR="00F04EEF" w:rsidRDefault="00F04EEF">
                  <w:pPr>
                    <w:jc w:val="both"/>
                    <w:rPr>
                      <w:b/>
                    </w:rPr>
                  </w:pPr>
                </w:p>
                <w:p w:rsidR="00F04EEF" w:rsidRDefault="0099351E">
                  <w:pPr>
                    <w:tabs>
                      <w:tab w:val="left" w:pos="-1908"/>
                      <w:tab w:val="left" w:pos="1872"/>
                    </w:tabs>
                    <w:jc w:val="both"/>
                  </w:pPr>
                  <w:r>
                    <w:t xml:space="preserve">Lorsque les </w:t>
                  </w:r>
                  <w:r>
                    <w:rPr>
                      <w:b/>
                    </w:rPr>
                    <w:t>partenaires actuels</w:t>
                  </w:r>
                  <w:r>
                    <w:t xml:space="preserve"> du protocole d’intégration ont autorisé l’arrêt de l’intégration, les périodes octroyées pour l’intégration restent acquises. </w:t>
                  </w:r>
                </w:p>
                <w:p w:rsidR="00F04EEF" w:rsidRDefault="00F04EEF">
                  <w:pPr>
                    <w:jc w:val="both"/>
                    <w:rPr>
                      <w:b/>
                    </w:rPr>
                  </w:pPr>
                </w:p>
                <w:p w:rsidR="00F04EEF" w:rsidRDefault="0099351E">
                  <w:pPr>
                    <w:jc w:val="both"/>
                    <w:rPr>
                      <w:b/>
                    </w:rPr>
                  </w:pPr>
                  <w:r>
                    <w:rPr>
                      <w:b/>
                    </w:rPr>
                    <w:t>20) Comment assurer une continuité dans l’accompagnement d’un élève intégré qui passe du niveau primaire au niveau secondaire ?</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r>
                    <w:rPr>
                      <w:b/>
                    </w:rPr>
                    <w:t xml:space="preserve"> </w:t>
                  </w:r>
                </w:p>
                <w:p w:rsidR="00F04EEF" w:rsidRDefault="00F04EEF">
                  <w:pPr>
                    <w:jc w:val="both"/>
                  </w:pPr>
                </w:p>
                <w:p w:rsidR="00F04EEF" w:rsidRDefault="0099351E">
                  <w:pPr>
                    <w:jc w:val="both"/>
                  </w:pPr>
                  <w:r>
                    <w:t xml:space="preserve">Le changement de niveau implique automatiquement deux nouvelles écoles partenaires du niveau secondaire, et donc un NOUVEAU PROTOCOLE.  </w:t>
                  </w:r>
                </w:p>
                <w:p w:rsidR="00F04EEF" w:rsidRDefault="0099351E">
                  <w:pPr>
                    <w:jc w:val="both"/>
                  </w:pPr>
                  <w:r>
                    <w:t>Les informations contenues dans le PIA et dans le protocole d’intégration du niveau fondamental seront certainement indispensables à l’élaboration du nouveau projet et à la constitution de ce protocole.</w:t>
                  </w:r>
                </w:p>
                <w:p w:rsidR="00F04EEF" w:rsidRDefault="0099351E">
                  <w:pPr>
                    <w:jc w:val="both"/>
                  </w:pPr>
                  <w:r>
                    <w:t>Néanmoins, afin d’assurer la transition et permettre aux enseignants du niveau secondaire, tant ordinaire que spécialisé, de mieux connaître l’élève, il est recommandé aux deux nouvelles écoles partenaires d’inviter l’école fondamentale spécialisée (et éventuellement ordinaire) à participer aux premières réunions de concertation quant aux modalités de mise en place de l’accompagnement.</w:t>
                  </w:r>
                </w:p>
                <w:p w:rsidR="00F04EEF" w:rsidRDefault="0099351E">
                  <w:pPr>
                    <w:autoSpaceDE w:val="0"/>
                    <w:autoSpaceDN w:val="0"/>
                    <w:adjustRightInd w:val="0"/>
                    <w:jc w:val="both"/>
                  </w:pPr>
                  <w:r>
                    <w:t>Cette disposition s’inscrit parfaitement dans la logique du continuum pédagogique prévu par le Décret du 24 juillet 1997 définissant les missions prioritaires de l'enseignement fondamental et de l'enseignement secondaire et organisant les structures propres à les atteindre et par la circulaire n° 2955 du 11 décembre 2009 relative au continuum pédagogique dans l’enseignement spécialisé.</w:t>
                  </w:r>
                </w:p>
                <w:p w:rsidR="00F04EEF" w:rsidRDefault="00F04EEF">
                  <w:pPr>
                    <w:autoSpaceDE w:val="0"/>
                    <w:autoSpaceDN w:val="0"/>
                    <w:adjustRightInd w:val="0"/>
                    <w:jc w:val="both"/>
                  </w:pPr>
                </w:p>
                <w:p w:rsidR="00F04EEF" w:rsidRDefault="0099351E">
                  <w:pPr>
                    <w:autoSpaceDE w:val="0"/>
                    <w:autoSpaceDN w:val="0"/>
                    <w:adjustRightInd w:val="0"/>
                    <w:jc w:val="both"/>
                    <w:rPr>
                      <w:b/>
                    </w:rPr>
                  </w:pPr>
                  <w:r>
                    <w:rPr>
                      <w:b/>
                    </w:rPr>
                    <w:t xml:space="preserve">21) Quelles sont les dispositions applicables aux élèves en IPT et aux autres types d’intégration dans l’enseignement ordinaire ? </w:t>
                  </w:r>
                </w:p>
                <w:p w:rsidR="00F04EEF" w:rsidRDefault="00F04EEF">
                  <w:pPr>
                    <w:autoSpaceDE w:val="0"/>
                    <w:autoSpaceDN w:val="0"/>
                    <w:adjustRightInd w:val="0"/>
                    <w:jc w:val="both"/>
                  </w:pPr>
                </w:p>
                <w:p w:rsidR="00F04EEF" w:rsidRDefault="0099351E">
                  <w:pPr>
                    <w:pStyle w:val="Paragraphedeliste"/>
                    <w:numPr>
                      <w:ilvl w:val="1"/>
                      <w:numId w:val="99"/>
                    </w:numPr>
                    <w:autoSpaceDE w:val="0"/>
                    <w:autoSpaceDN w:val="0"/>
                    <w:adjustRightInd w:val="0"/>
                    <w:jc w:val="both"/>
                    <w:rPr>
                      <w:rFonts w:asciiTheme="majorHAnsi" w:hAnsiTheme="majorHAnsi"/>
                      <w:sz w:val="22"/>
                      <w:szCs w:val="22"/>
                    </w:rPr>
                  </w:pPr>
                  <w:r>
                    <w:rPr>
                      <w:rFonts w:asciiTheme="majorHAnsi" w:hAnsiTheme="majorHAnsi"/>
                      <w:sz w:val="22"/>
                      <w:szCs w:val="22"/>
                    </w:rPr>
                    <w:t>IPT</w:t>
                  </w:r>
                </w:p>
                <w:p w:rsidR="00F04EEF" w:rsidRDefault="00F04EEF">
                  <w:pPr>
                    <w:autoSpaceDE w:val="0"/>
                    <w:autoSpaceDN w:val="0"/>
                    <w:adjustRightInd w:val="0"/>
                    <w:jc w:val="both"/>
                  </w:pPr>
                </w:p>
                <w:p w:rsidR="00F04EEF" w:rsidRDefault="0099351E">
                  <w:pPr>
                    <w:autoSpaceDE w:val="0"/>
                    <w:autoSpaceDN w:val="0"/>
                    <w:adjustRightInd w:val="0"/>
                    <w:jc w:val="both"/>
                  </w:pPr>
                  <w:r>
                    <w:t>L’élève intégré de manière permanente totale est un élève de l’enseignement ordinaire.  En conséquence, la réglementation régissant l’enseignement ordinaire est applicable aux élèves en IPT.</w:t>
                  </w:r>
                </w:p>
                <w:p w:rsidR="00F04EEF" w:rsidRDefault="00F04EEF">
                  <w:pPr>
                    <w:autoSpaceDE w:val="0"/>
                    <w:autoSpaceDN w:val="0"/>
                    <w:adjustRightInd w:val="0"/>
                    <w:jc w:val="both"/>
                  </w:pPr>
                </w:p>
                <w:p w:rsidR="00F04EEF" w:rsidRDefault="0099351E">
                  <w:pPr>
                    <w:autoSpaceDE w:val="0"/>
                    <w:autoSpaceDN w:val="0"/>
                    <w:adjustRightInd w:val="0"/>
                    <w:jc w:val="both"/>
                  </w:pPr>
                  <w:r>
                    <w:t>Ainsi, dans le cadre d’un maintien en 3</w:t>
                  </w:r>
                  <w:r>
                    <w:rPr>
                      <w:vertAlign w:val="superscript"/>
                    </w:rPr>
                    <w:t>ème</w:t>
                  </w:r>
                  <w:r>
                    <w:t xml:space="preserve"> maternelle dans l’enseignement ordinaire des élèves de l’enseignement spécialisé qui sont en IPT, c’est le décret du 13 juillet 1998 relatif portant organisation de l’enseignement maternel et primaire ordinaire et modifiant la réglementation de l’enseignement qui est d’application.</w:t>
                  </w:r>
                </w:p>
                <w:p w:rsidR="00F04EEF" w:rsidRDefault="00F04EEF">
                  <w:pPr>
                    <w:autoSpaceDE w:val="0"/>
                    <w:autoSpaceDN w:val="0"/>
                    <w:adjustRightInd w:val="0"/>
                    <w:jc w:val="both"/>
                  </w:pPr>
                </w:p>
                <w:p w:rsidR="00F04EEF" w:rsidRDefault="0099351E">
                  <w:pPr>
                    <w:pStyle w:val="Paragraphedeliste"/>
                    <w:numPr>
                      <w:ilvl w:val="1"/>
                      <w:numId w:val="99"/>
                    </w:numPr>
                    <w:autoSpaceDE w:val="0"/>
                    <w:autoSpaceDN w:val="0"/>
                    <w:adjustRightInd w:val="0"/>
                    <w:jc w:val="both"/>
                    <w:rPr>
                      <w:rFonts w:asciiTheme="majorHAnsi" w:hAnsiTheme="majorHAnsi"/>
                      <w:sz w:val="22"/>
                      <w:szCs w:val="22"/>
                    </w:rPr>
                  </w:pPr>
                  <w:r>
                    <w:rPr>
                      <w:rFonts w:asciiTheme="majorHAnsi" w:hAnsiTheme="majorHAnsi"/>
                      <w:sz w:val="22"/>
                      <w:szCs w:val="22"/>
                    </w:rPr>
                    <w:t>Autres types d’intégration</w:t>
                  </w:r>
                </w:p>
                <w:p w:rsidR="00F04EEF" w:rsidRDefault="00F04EEF">
                  <w:pPr>
                    <w:autoSpaceDE w:val="0"/>
                    <w:autoSpaceDN w:val="0"/>
                    <w:adjustRightInd w:val="0"/>
                    <w:jc w:val="both"/>
                  </w:pPr>
                </w:p>
                <w:p w:rsidR="00F04EEF" w:rsidRDefault="0099351E">
                  <w:pPr>
                    <w:autoSpaceDE w:val="0"/>
                    <w:autoSpaceDN w:val="0"/>
                    <w:adjustRightInd w:val="0"/>
                    <w:jc w:val="both"/>
                  </w:pPr>
                  <w:r>
                    <w:t>La réglementation régissant l’enseignement spécialisé est applicable.</w:t>
                  </w:r>
                </w:p>
                <w:p w:rsidR="00F04EEF" w:rsidRDefault="00F04EEF">
                  <w:pPr>
                    <w:autoSpaceDE w:val="0"/>
                    <w:autoSpaceDN w:val="0"/>
                    <w:adjustRightInd w:val="0"/>
                    <w:jc w:val="both"/>
                  </w:pPr>
                </w:p>
                <w:p w:rsidR="00F04EEF" w:rsidRDefault="0099351E">
                  <w:pPr>
                    <w:autoSpaceDE w:val="0"/>
                    <w:autoSpaceDN w:val="0"/>
                    <w:adjustRightInd w:val="0"/>
                    <w:jc w:val="both"/>
                    <w:rPr>
                      <w:b/>
                    </w:rPr>
                  </w:pPr>
                  <w:r>
                    <w:rPr>
                      <w:b/>
                    </w:rPr>
                    <w:t xml:space="preserve">22) En cas de passage d’un élève en I.P.T. dans l’enseignement primaire ordinaire vers l’enseignement secondaire ordinaire, quel est le CPMS compétent pour rendre son avis dans le cadre du nouveau protocole ?  </w:t>
                  </w:r>
                </w:p>
                <w:p w:rsidR="00F04EEF" w:rsidRDefault="00F04EEF">
                  <w:pPr>
                    <w:autoSpaceDE w:val="0"/>
                    <w:autoSpaceDN w:val="0"/>
                    <w:adjustRightInd w:val="0"/>
                    <w:jc w:val="both"/>
                    <w:rPr>
                      <w:b/>
                    </w:rPr>
                  </w:pPr>
                </w:p>
                <w:p w:rsidR="00F04EEF" w:rsidRDefault="0099351E">
                  <w:pPr>
                    <w:autoSpaceDE w:val="0"/>
                    <w:autoSpaceDN w:val="0"/>
                    <w:adjustRightInd w:val="0"/>
                    <w:jc w:val="both"/>
                  </w:pPr>
                  <w:r>
                    <w:t xml:space="preserve">C’est le CPMS de l’école primaire ordinaire. </w:t>
                  </w:r>
                </w:p>
                <w:p w:rsidR="00F04EEF" w:rsidRDefault="00F04EEF">
                  <w:pPr>
                    <w:autoSpaceDE w:val="0"/>
                    <w:autoSpaceDN w:val="0"/>
                    <w:adjustRightInd w:val="0"/>
                    <w:jc w:val="both"/>
                  </w:pPr>
                </w:p>
                <w:p w:rsidR="00F04EEF" w:rsidRDefault="0099351E">
                  <w:pPr>
                    <w:pStyle w:val="Titre3"/>
                    <w:jc w:val="both"/>
                    <w:rPr>
                      <w:sz w:val="22"/>
                      <w:szCs w:val="22"/>
                    </w:rPr>
                  </w:pPr>
                  <w:bookmarkStart w:id="3133" w:name="__RefHeading__255_957262308"/>
                  <w:bookmarkStart w:id="3134" w:name="_Toc291075411"/>
                  <w:bookmarkStart w:id="3135" w:name="_Toc291075835"/>
                  <w:bookmarkStart w:id="3136" w:name="_Toc291076259"/>
                  <w:bookmarkStart w:id="3137" w:name="_Toc291076683"/>
                  <w:bookmarkStart w:id="3138" w:name="_Toc291077107"/>
                  <w:bookmarkStart w:id="3139" w:name="_Toc293651950"/>
                  <w:bookmarkStart w:id="3140" w:name="_Toc293653533"/>
                  <w:bookmarkStart w:id="3141" w:name="_Toc293654144"/>
                  <w:bookmarkStart w:id="3142" w:name="_Toc294004722"/>
                  <w:bookmarkStart w:id="3143" w:name="_Toc294185218"/>
                  <w:bookmarkStart w:id="3144" w:name="_Toc324166036"/>
                  <w:bookmarkStart w:id="3145" w:name="_Toc324767072"/>
                  <w:bookmarkStart w:id="3146" w:name="_Toc453314437"/>
                  <w:bookmarkStart w:id="3147" w:name="_Toc454980472"/>
                  <w:bookmarkStart w:id="3148" w:name="_Toc47708558"/>
                  <w:bookmarkEnd w:id="3133"/>
                  <w:r>
                    <w:rPr>
                      <w:sz w:val="22"/>
                      <w:szCs w:val="22"/>
                    </w:rPr>
                    <w:t>9. Articulation entre l’accompagnement par le personnel de l’établissement d’enseignement spécialisé et les services d’accompagnement ou SAI</w:t>
                  </w:r>
                  <w:bookmarkEnd w:id="3134"/>
                  <w:bookmarkEnd w:id="3135"/>
                  <w:bookmarkEnd w:id="3136"/>
                  <w:bookmarkEnd w:id="3137"/>
                  <w:bookmarkEnd w:id="3138"/>
                  <w:bookmarkEnd w:id="3139"/>
                  <w:bookmarkEnd w:id="3140"/>
                  <w:bookmarkEnd w:id="3141"/>
                  <w:bookmarkEnd w:id="3142"/>
                  <w:bookmarkEnd w:id="3143"/>
                  <w:bookmarkEnd w:id="3144"/>
                  <w:bookmarkEnd w:id="3145"/>
                  <w:r>
                    <w:rPr>
                      <w:sz w:val="22"/>
                      <w:szCs w:val="22"/>
                    </w:rPr>
                    <w:t>.</w:t>
                  </w:r>
                  <w:bookmarkEnd w:id="3146"/>
                  <w:bookmarkEnd w:id="3147"/>
                  <w:bookmarkEnd w:id="3148"/>
                </w:p>
                <w:p w:rsidR="00F04EEF" w:rsidRDefault="00F04EEF">
                  <w:pPr>
                    <w:jc w:val="both"/>
                    <w:rPr>
                      <w:bCs/>
                      <w:iCs/>
                      <w:u w:val="single"/>
                    </w:rPr>
                  </w:pPr>
                </w:p>
                <w:p w:rsidR="00F04EEF" w:rsidRDefault="0099351E">
                  <w:pPr>
                    <w:jc w:val="both"/>
                  </w:pPr>
                  <w:r>
                    <w:t>Les accords de coopération conclus entre la Fédération Wallonie-Bruxelles et la Région wallonne et la COCOF prévoient une forme de complémentarité dans les différentes actions d’aide à l’intégration d’élèves à besoins spécifiques.</w:t>
                  </w:r>
                </w:p>
                <w:p w:rsidR="00F04EEF" w:rsidRDefault="0099351E">
                  <w:pPr>
                    <w:jc w:val="both"/>
                  </w:pPr>
                  <w:r>
                    <w:t>Il est évident qu’il ne peut être question de confondre les deux types d’actions :</w:t>
                  </w:r>
                </w:p>
                <w:p w:rsidR="00F04EEF" w:rsidRDefault="00F04EEF">
                  <w:pPr>
                    <w:jc w:val="both"/>
                  </w:pPr>
                </w:p>
                <w:p w:rsidR="00F04EEF" w:rsidRDefault="0099351E">
                  <w:pPr>
                    <w:numPr>
                      <w:ilvl w:val="0"/>
                      <w:numId w:val="146"/>
                    </w:numPr>
                    <w:suppressAutoHyphens/>
                    <w:ind w:left="454"/>
                    <w:jc w:val="both"/>
                  </w:pPr>
                  <w:r>
                    <w:t>Mission pédagogique réservée aux deux écoles partenaires.</w:t>
                  </w:r>
                </w:p>
                <w:p w:rsidR="00F04EEF" w:rsidRDefault="0099351E">
                  <w:pPr>
                    <w:numPr>
                      <w:ilvl w:val="0"/>
                      <w:numId w:val="146"/>
                    </w:numPr>
                    <w:suppressAutoHyphens/>
                    <w:ind w:left="454"/>
                    <w:jc w:val="both"/>
                  </w:pPr>
                  <w:r>
                    <w:t>Mission plus globale réservée aux services d’accompagnements (pour Bruxelles) ou aux S.A.I. (pour la RW)</w:t>
                  </w:r>
                </w:p>
                <w:p w:rsidR="00F04EEF" w:rsidRDefault="00F04EEF">
                  <w:pPr>
                    <w:jc w:val="both"/>
                  </w:pPr>
                </w:p>
                <w:p w:rsidR="00F04EEF" w:rsidRDefault="0099351E">
                  <w:pPr>
                    <w:jc w:val="both"/>
                    <w:rPr>
                      <w:u w:val="single"/>
                    </w:rPr>
                  </w:pPr>
                  <w:r>
                    <w:rPr>
                      <w:rFonts w:ascii="Times New Roman" w:hAnsi="Times New Roman" w:cs="Times New Roman"/>
                    </w:rPr>
                    <w:t>■</w:t>
                  </w:r>
                  <w:r>
                    <w:t xml:space="preserve"> </w:t>
                  </w:r>
                  <w:r>
                    <w:rPr>
                      <w:u w:val="single"/>
                    </w:rPr>
                    <w:t>Extrait de l’accord de coopération avec la RW par le décret du 30 avril 2009 :</w:t>
                  </w:r>
                </w:p>
                <w:p w:rsidR="00F04EEF" w:rsidRDefault="00F04EEF">
                  <w:pPr>
                    <w:jc w:val="both"/>
                    <w:rPr>
                      <w:u w:val="single"/>
                    </w:rPr>
                  </w:pPr>
                </w:p>
                <w:p w:rsidR="00F04EEF" w:rsidRDefault="0099351E">
                  <w:pPr>
                    <w:autoSpaceDE w:val="0"/>
                    <w:ind w:right="4"/>
                    <w:jc w:val="both"/>
                    <w:rPr>
                      <w:bCs/>
                      <w:lang w:val="fr-FR"/>
                    </w:rPr>
                  </w:pPr>
                  <w:r>
                    <w:rPr>
                      <w:bCs/>
                      <w:lang w:val="fr-FR"/>
                    </w:rPr>
                    <w:t xml:space="preserve">Article 2. </w:t>
                  </w:r>
                </w:p>
                <w:p w:rsidR="00F04EEF" w:rsidRDefault="0099351E">
                  <w:pPr>
                    <w:autoSpaceDE w:val="0"/>
                    <w:ind w:right="4"/>
                    <w:jc w:val="both"/>
                    <w:rPr>
                      <w:i/>
                      <w:lang w:val="fr-FR"/>
                    </w:rPr>
                  </w:pPr>
                  <w:r>
                    <w:rPr>
                      <w:i/>
                      <w:lang w:val="fr-FR"/>
                    </w:rPr>
                    <w:t>Le présent accord a pour objet</w:t>
                  </w:r>
                </w:p>
                <w:p w:rsidR="00F04EEF" w:rsidRDefault="0099351E">
                  <w:pPr>
                    <w:autoSpaceDE w:val="0"/>
                    <w:ind w:right="4"/>
                    <w:jc w:val="both"/>
                    <w:rPr>
                      <w:i/>
                      <w:lang w:val="fr-FR"/>
                    </w:rPr>
                  </w:pPr>
                  <w:r>
                    <w:rPr>
                      <w:i/>
                      <w:lang w:val="fr-FR"/>
                    </w:rPr>
                    <w:t>1° d’apporter un soutien spécialisé résiduaire à l’action de l’établissement scolaire au jeune dont la scolarisation dans l’enseignement ordinaire ou dans l’enseignement spécialisé est rendue difficile en raison de son handicap;</w:t>
                  </w:r>
                </w:p>
                <w:p w:rsidR="00F04EEF" w:rsidRDefault="0099351E">
                  <w:pPr>
                    <w:autoSpaceDE w:val="0"/>
                    <w:ind w:right="4"/>
                    <w:jc w:val="both"/>
                    <w:rPr>
                      <w:i/>
                      <w:lang w:val="fr-FR"/>
                    </w:rPr>
                  </w:pPr>
                  <w:r>
                    <w:rPr>
                      <w:i/>
                      <w:lang w:val="fr-FR"/>
                    </w:rPr>
                    <w:t>2° de répondre à un besoin ponctuel et/ou d’atteindre progressivement une scolarité à horaire complet pour les jeunes en situation de handicap et en décrochage scolaire ou non scolarisés.</w:t>
                  </w:r>
                </w:p>
                <w:p w:rsidR="00F04EEF" w:rsidRDefault="00F04EEF">
                  <w:pPr>
                    <w:autoSpaceDE w:val="0"/>
                    <w:ind w:right="4"/>
                    <w:jc w:val="both"/>
                    <w:rPr>
                      <w:i/>
                      <w:lang w:val="fr-FR"/>
                    </w:rPr>
                  </w:pPr>
                </w:p>
                <w:p w:rsidR="00F04EEF" w:rsidRDefault="0099351E">
                  <w:pPr>
                    <w:autoSpaceDE w:val="0"/>
                    <w:ind w:right="4"/>
                    <w:jc w:val="both"/>
                    <w:rPr>
                      <w:bCs/>
                      <w:lang w:val="fr-FR"/>
                    </w:rPr>
                  </w:pPr>
                  <w:r>
                    <w:rPr>
                      <w:bCs/>
                      <w:lang w:val="fr-FR"/>
                    </w:rPr>
                    <w:t xml:space="preserve">Article 3. </w:t>
                  </w:r>
                </w:p>
                <w:p w:rsidR="00F04EEF" w:rsidRDefault="0099351E">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rsidR="00F04EEF" w:rsidRDefault="0099351E">
                  <w:pPr>
                    <w:autoSpaceDE w:val="0"/>
                    <w:ind w:right="4"/>
                    <w:jc w:val="both"/>
                    <w:rPr>
                      <w:i/>
                      <w:lang w:val="fr-FR"/>
                    </w:rPr>
                  </w:pPr>
                  <w:r>
                    <w:rPr>
                      <w:i/>
                      <w:lang w:val="fr-FR"/>
                    </w:rPr>
                    <w:t>§ 2. Les modalités d’action des équipes respectives de l’établissement scolaire et du service sont déterminées dans la convention visée à l’article 5.</w:t>
                  </w:r>
                </w:p>
                <w:p w:rsidR="00F04EEF" w:rsidRDefault="0099351E">
                  <w:pPr>
                    <w:autoSpaceDE w:val="0"/>
                    <w:ind w:right="4"/>
                    <w:jc w:val="both"/>
                    <w:rPr>
                      <w:i/>
                      <w:lang w:val="fr-FR"/>
                    </w:rPr>
                  </w:pPr>
                  <w:r>
                    <w:rPr>
                      <w:i/>
                      <w:lang w:val="fr-FR"/>
                    </w:rPr>
                    <w:t>§ 3. La Région wallonne autorise, dans les limites fixées à l’article 2 du présent chapitre, les services de l’Agence à accompagner des jeunes ou à intervenir auprès de ceux-ci pendant le temps scolaire.</w:t>
                  </w:r>
                </w:p>
                <w:p w:rsidR="00F04EEF" w:rsidRDefault="0099351E">
                  <w:pPr>
                    <w:autoSpaceDE w:val="0"/>
                    <w:ind w:right="4"/>
                    <w:jc w:val="both"/>
                    <w:rPr>
                      <w:i/>
                      <w:lang w:val="fr-FR"/>
                    </w:rPr>
                  </w:pPr>
                  <w:r>
                    <w:rPr>
                      <w:i/>
                      <w:lang w:val="fr-FR"/>
                    </w:rPr>
                    <w:t>§ 4. La Communauté française autorise la collaboration entre les équipes de l’établissement scolaire et du service dans le respect des compétences et des responsabilités spécifiques à chaque équipe. Cette organisation est conçue de manière souple et adaptée conformément au projet individuel et au projet de convention visés à l’article 5.</w:t>
                  </w:r>
                </w:p>
                <w:p w:rsidR="00F04EEF" w:rsidRDefault="00F04EEF">
                  <w:pPr>
                    <w:autoSpaceDE w:val="0"/>
                    <w:ind w:right="713"/>
                    <w:jc w:val="both"/>
                    <w:rPr>
                      <w:bCs/>
                      <w:lang w:val="fr-FR"/>
                    </w:rPr>
                  </w:pPr>
                </w:p>
                <w:p w:rsidR="00F04EEF" w:rsidRDefault="0099351E">
                  <w:pPr>
                    <w:autoSpaceDE w:val="0"/>
                    <w:ind w:right="4"/>
                    <w:jc w:val="both"/>
                    <w:rPr>
                      <w:bCs/>
                      <w:lang w:val="fr-FR"/>
                    </w:rPr>
                  </w:pPr>
                  <w:r>
                    <w:rPr>
                      <w:bCs/>
                      <w:lang w:val="fr-FR"/>
                    </w:rPr>
                    <w:t xml:space="preserve">Article 4. </w:t>
                  </w:r>
                </w:p>
                <w:p w:rsidR="00F04EEF" w:rsidRDefault="0099351E">
                  <w:pPr>
                    <w:autoSpaceDE w:val="0"/>
                    <w:ind w:right="4"/>
                    <w:jc w:val="both"/>
                    <w:rPr>
                      <w:i/>
                      <w:lang w:val="fr-FR"/>
                    </w:rPr>
                  </w:pPr>
                  <w:r>
                    <w:rPr>
                      <w:i/>
                      <w:lang w:val="fr-FR"/>
                    </w:rPr>
                    <w:t>Les parties contractantes se communiquent réciproquement des informations sur les mesures qu’elles adoptent dans les matières concernées par le présent accord.</w:t>
                  </w:r>
                </w:p>
                <w:p w:rsidR="00F04EEF" w:rsidRDefault="00F04EEF"/>
                <w:p w:rsidR="00F04EEF" w:rsidRDefault="0099351E">
                  <w:pPr>
                    <w:ind w:right="713"/>
                    <w:jc w:val="both"/>
                  </w:pPr>
                  <w:r>
                    <w:rPr>
                      <w:rFonts w:ascii="Times New Roman" w:hAnsi="Times New Roman" w:cs="Times New Roman"/>
                    </w:rPr>
                    <w:t>■</w:t>
                  </w:r>
                  <w:r>
                    <w:t xml:space="preserve"> </w:t>
                  </w:r>
                  <w:r>
                    <w:rPr>
                      <w:u w:val="single"/>
                    </w:rPr>
                    <w:t>Extrait de l’accord de coopération avec la COCOF par le Décret du 30 avril 2009 :</w:t>
                  </w:r>
                </w:p>
                <w:p w:rsidR="00F04EEF" w:rsidRDefault="0099351E">
                  <w:pPr>
                    <w:autoSpaceDE w:val="0"/>
                    <w:ind w:right="4"/>
                    <w:jc w:val="both"/>
                    <w:rPr>
                      <w:lang w:val="fr-FR"/>
                    </w:rPr>
                  </w:pPr>
                  <w:r>
                    <w:rPr>
                      <w:bCs/>
                      <w:lang w:val="fr-FR"/>
                    </w:rPr>
                    <w:t>Article 2</w:t>
                  </w:r>
                  <w:r>
                    <w:rPr>
                      <w:lang w:val="fr-FR"/>
                    </w:rPr>
                    <w:t xml:space="preserve">. </w:t>
                  </w:r>
                </w:p>
                <w:p w:rsidR="00F04EEF" w:rsidRDefault="0099351E">
                  <w:pPr>
                    <w:autoSpaceDE w:val="0"/>
                    <w:ind w:right="4"/>
                    <w:jc w:val="both"/>
                    <w:rPr>
                      <w:i/>
                      <w:lang w:val="fr-FR"/>
                    </w:rPr>
                  </w:pPr>
                  <w:r>
                    <w:rPr>
                      <w:i/>
                      <w:lang w:val="fr-FR"/>
                    </w:rPr>
                    <w:t>Le présent accord a pour objet d’apporter un soutien spécialisé résiduaire à l’action de l’établissement scolaire au jeune dont la scolarisation dans l’enseignement ordinaire est rendue difficile en raison de son handicap.</w:t>
                  </w:r>
                </w:p>
                <w:p w:rsidR="00F04EEF" w:rsidRDefault="00F04EEF">
                  <w:pPr>
                    <w:autoSpaceDE w:val="0"/>
                    <w:ind w:right="4"/>
                    <w:jc w:val="both"/>
                    <w:rPr>
                      <w:lang w:val="fr-FR"/>
                    </w:rPr>
                  </w:pPr>
                </w:p>
                <w:p w:rsidR="00F04EEF" w:rsidRDefault="0099351E">
                  <w:pPr>
                    <w:autoSpaceDE w:val="0"/>
                    <w:ind w:right="4"/>
                    <w:jc w:val="both"/>
                    <w:rPr>
                      <w:lang w:val="fr-FR"/>
                    </w:rPr>
                  </w:pPr>
                  <w:r>
                    <w:rPr>
                      <w:bCs/>
                      <w:lang w:val="fr-FR"/>
                    </w:rPr>
                    <w:t>Article 3</w:t>
                  </w:r>
                  <w:r>
                    <w:rPr>
                      <w:lang w:val="fr-FR"/>
                    </w:rPr>
                    <w:t xml:space="preserve">. </w:t>
                  </w:r>
                </w:p>
                <w:p w:rsidR="00F04EEF" w:rsidRDefault="0099351E">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rsidR="00F04EEF" w:rsidRDefault="0099351E">
                  <w:pPr>
                    <w:autoSpaceDE w:val="0"/>
                    <w:ind w:right="4"/>
                    <w:jc w:val="both"/>
                    <w:rPr>
                      <w:i/>
                      <w:lang w:val="fr-FR"/>
                    </w:rPr>
                  </w:pPr>
                  <w:r>
                    <w:rPr>
                      <w:i/>
                      <w:lang w:val="fr-FR"/>
                    </w:rPr>
                    <w:t>§ 2. Les modalités d’action des équipes respectives de l’établissement scolaire et de l’intervenant sont déterminées dans la convention citée à l’article 5.</w:t>
                  </w:r>
                </w:p>
                <w:p w:rsidR="00F04EEF" w:rsidRDefault="0099351E">
                  <w:pPr>
                    <w:autoSpaceDE w:val="0"/>
                    <w:ind w:right="4"/>
                    <w:jc w:val="both"/>
                    <w:rPr>
                      <w:i/>
                      <w:lang w:val="fr-FR"/>
                    </w:rPr>
                  </w:pPr>
                  <w:r>
                    <w:rPr>
                      <w:i/>
                      <w:lang w:val="fr-FR"/>
                    </w:rPr>
                    <w:t>§ 3. La Commission communautaire française autorise les intervenants à accompagner le jeune ou à intervenir auprès de celui-ci pendant le temps scolaire.</w:t>
                  </w:r>
                </w:p>
                <w:p w:rsidR="00F04EEF" w:rsidRDefault="0099351E">
                  <w:pPr>
                    <w:autoSpaceDE w:val="0"/>
                    <w:ind w:right="4"/>
                    <w:jc w:val="both"/>
                    <w:rPr>
                      <w:i/>
                      <w:lang w:val="fr-FR"/>
                    </w:rPr>
                  </w:pPr>
                  <w:r>
                    <w:rPr>
                      <w:i/>
                      <w:lang w:val="fr-FR"/>
                    </w:rPr>
                    <w:t>§ 4. La Communauté française autorise la collaboration entre les équipes de l’établissement scolaire et de l’intervenant dans le respect des compétences et des responsabilités spécifiques de chaque partie.</w:t>
                  </w:r>
                </w:p>
                <w:p w:rsidR="00F04EEF" w:rsidRDefault="0099351E">
                  <w:pPr>
                    <w:autoSpaceDE w:val="0"/>
                    <w:ind w:right="4"/>
                    <w:jc w:val="both"/>
                    <w:rPr>
                      <w:i/>
                      <w:lang w:val="fr-FR"/>
                    </w:rPr>
                  </w:pPr>
                  <w:r>
                    <w:rPr>
                      <w:i/>
                      <w:lang w:val="fr-FR"/>
                    </w:rPr>
                    <w:t>Cette organisation est conçue de manière souple et adaptée conformément au projet individuel et au projet de convention visés à l’article 5.</w:t>
                  </w:r>
                </w:p>
                <w:p w:rsidR="00F04EEF" w:rsidRDefault="00F04EEF">
                  <w:pPr>
                    <w:autoSpaceDE w:val="0"/>
                    <w:ind w:right="4"/>
                    <w:jc w:val="both"/>
                    <w:rPr>
                      <w:bCs/>
                      <w:lang w:val="fr-FR"/>
                    </w:rPr>
                  </w:pPr>
                </w:p>
                <w:p w:rsidR="00F04EEF" w:rsidRDefault="0099351E">
                  <w:pPr>
                    <w:autoSpaceDE w:val="0"/>
                    <w:ind w:right="4"/>
                    <w:jc w:val="both"/>
                    <w:rPr>
                      <w:lang w:val="fr-FR"/>
                    </w:rPr>
                  </w:pPr>
                  <w:r>
                    <w:rPr>
                      <w:bCs/>
                      <w:lang w:val="fr-FR"/>
                    </w:rPr>
                    <w:t>Article 4.</w:t>
                  </w:r>
                  <w:r>
                    <w:rPr>
                      <w:lang w:val="fr-FR"/>
                    </w:rPr>
                    <w:t xml:space="preserve"> </w:t>
                  </w:r>
                </w:p>
                <w:p w:rsidR="00F04EEF" w:rsidRDefault="0099351E">
                  <w:pPr>
                    <w:autoSpaceDE w:val="0"/>
                    <w:ind w:right="4"/>
                    <w:jc w:val="both"/>
                  </w:pPr>
                  <w:r>
                    <w:rPr>
                      <w:i/>
                      <w:lang w:val="fr-FR"/>
                    </w:rPr>
                    <w:t>Les parties contractantes se communiquent réciproquement des informations sur les mesures qu’elles adoptent dans les matières concernées par le présent accord.</w:t>
                  </w:r>
                </w:p>
                <w:p w:rsidR="00F04EEF" w:rsidRDefault="0099351E">
                  <w:pPr>
                    <w:jc w:val="both"/>
                  </w:pPr>
                  <w:r>
                    <w:t xml:space="preserve">Dans ce contexte, </w:t>
                  </w:r>
                  <w:r>
                    <w:rPr>
                      <w:bCs/>
                    </w:rPr>
                    <w:t>et si les partenaires de l’intégration sont d’accord</w:t>
                  </w:r>
                  <w:r>
                    <w:t>, il est recommandé d’inviter le service régional à participer à certains débats afin de mettre au point une articulation entre les deux types d’aide.</w:t>
                  </w:r>
                </w:p>
                <w:p w:rsidR="00F04EEF" w:rsidRDefault="00F04EEF">
                  <w:pPr>
                    <w:jc w:val="both"/>
                  </w:pPr>
                </w:p>
                <w:p w:rsidR="00F04EEF" w:rsidRDefault="0099351E">
                  <w:pPr>
                    <w:jc w:val="both"/>
                  </w:pPr>
                  <w:r>
                    <w:t>Par exemple, SI TOUTES LES PARTIES SONT D’ACCORD :</w:t>
                  </w:r>
                </w:p>
                <w:p w:rsidR="00F04EEF" w:rsidRDefault="00F04EEF">
                  <w:pPr>
                    <w:jc w:val="both"/>
                  </w:pPr>
                </w:p>
                <w:p w:rsidR="00F04EEF" w:rsidRDefault="0099351E">
                  <w:pPr>
                    <w:numPr>
                      <w:ilvl w:val="0"/>
                      <w:numId w:val="145"/>
                    </w:numPr>
                    <w:suppressAutoHyphens/>
                    <w:ind w:left="284" w:hanging="284"/>
                    <w:jc w:val="both"/>
                  </w:pPr>
                  <w:r>
                    <w:t>la répartition des tâches peut être inscrite dans le protocole d’intégration ;</w:t>
                  </w:r>
                </w:p>
                <w:p w:rsidR="00F04EEF" w:rsidRDefault="0099351E">
                  <w:pPr>
                    <w:numPr>
                      <w:ilvl w:val="0"/>
                      <w:numId w:val="145"/>
                    </w:numPr>
                    <w:suppressAutoHyphens/>
                    <w:ind w:left="284" w:hanging="284"/>
                    <w:jc w:val="both"/>
                  </w:pPr>
                  <w:r>
                    <w:t>l’évaluation de l’intégration peut  être réalisée en commun lors de moments convenus ;</w:t>
                  </w:r>
                </w:p>
                <w:p w:rsidR="00F04EEF" w:rsidRDefault="0099351E">
                  <w:pPr>
                    <w:numPr>
                      <w:ilvl w:val="0"/>
                      <w:numId w:val="145"/>
                    </w:numPr>
                    <w:suppressAutoHyphens/>
                    <w:ind w:left="284" w:hanging="284"/>
                    <w:jc w:val="both"/>
                  </w:pPr>
                  <w:r>
                    <w:t>les représentants des services régionaux peuvent être des partenaires supplémentaires dudit protocole ;</w:t>
                  </w:r>
                </w:p>
                <w:p w:rsidR="00F04EEF" w:rsidRDefault="0099351E">
                  <w:pPr>
                    <w:numPr>
                      <w:ilvl w:val="0"/>
                      <w:numId w:val="145"/>
                    </w:numPr>
                    <w:suppressAutoHyphens/>
                    <w:ind w:left="284" w:hanging="284"/>
                    <w:jc w:val="both"/>
                  </w:pPr>
                  <w:r>
                    <w:t>la convention de soutien du service régional peut être annexée au protocole d’intégration ;</w:t>
                  </w:r>
                </w:p>
                <w:p w:rsidR="00F04EEF" w:rsidRDefault="0099351E">
                  <w:pPr>
                    <w:numPr>
                      <w:ilvl w:val="0"/>
                      <w:numId w:val="145"/>
                    </w:numPr>
                    <w:suppressAutoHyphens/>
                    <w:ind w:left="284" w:hanging="284"/>
                    <w:jc w:val="both"/>
                  </w:pPr>
                  <w:r>
                    <w:t>…</w:t>
                  </w:r>
                </w:p>
                <w:p w:rsidR="00F04EEF" w:rsidRDefault="00F04EEF">
                  <w:bookmarkStart w:id="3149" w:name="_10._Mémo_administratif"/>
                  <w:bookmarkStart w:id="3150" w:name="_10._Certification_des"/>
                  <w:bookmarkStart w:id="3151" w:name="_Toc453314438"/>
                  <w:bookmarkStart w:id="3152" w:name="_Toc454980473"/>
                  <w:bookmarkStart w:id="3153" w:name="_Toc291075412"/>
                  <w:bookmarkStart w:id="3154" w:name="_Toc291075836"/>
                  <w:bookmarkStart w:id="3155" w:name="_Toc291076260"/>
                  <w:bookmarkStart w:id="3156" w:name="_Toc291076684"/>
                  <w:bookmarkStart w:id="3157" w:name="_Toc291077108"/>
                  <w:bookmarkStart w:id="3158" w:name="_Toc293651951"/>
                  <w:bookmarkStart w:id="3159" w:name="_Toc293653534"/>
                  <w:bookmarkStart w:id="3160" w:name="_Toc293654145"/>
                  <w:bookmarkStart w:id="3161" w:name="_Toc294004723"/>
                  <w:bookmarkStart w:id="3162" w:name="_Toc294185219"/>
                  <w:bookmarkStart w:id="3163" w:name="_Toc324767073"/>
                  <w:bookmarkStart w:id="3164" w:name="_Toc324166037"/>
                  <w:bookmarkEnd w:id="3149"/>
                  <w:bookmarkEnd w:id="3150"/>
                </w:p>
                <w:bookmarkEnd w:id="3151"/>
                <w:bookmarkEnd w:id="3152"/>
                <w:p w:rsidR="00F04EEF" w:rsidRDefault="00F04EEF"/>
                <w:p w:rsidR="00F04EEF" w:rsidRDefault="0099351E">
                  <w:pPr>
                    <w:pStyle w:val="Titre3"/>
                    <w:rPr>
                      <w:sz w:val="22"/>
                      <w:szCs w:val="22"/>
                    </w:rPr>
                  </w:pPr>
                  <w:bookmarkStart w:id="3165" w:name="_11._Mémo_administratif"/>
                  <w:bookmarkStart w:id="3166" w:name="_Toc453314439"/>
                  <w:bookmarkStart w:id="3167" w:name="_Toc454980474"/>
                  <w:bookmarkStart w:id="3168" w:name="_Toc47708559"/>
                  <w:bookmarkEnd w:id="3165"/>
                  <w:r>
                    <w:rPr>
                      <w:sz w:val="22"/>
                      <w:szCs w:val="22"/>
                    </w:rPr>
                    <w:t>10. Mémo administratif</w:t>
                  </w:r>
                  <w:bookmarkEnd w:id="3153"/>
                  <w:bookmarkEnd w:id="3154"/>
                  <w:bookmarkEnd w:id="3155"/>
                  <w:bookmarkEnd w:id="3156"/>
                  <w:bookmarkEnd w:id="3157"/>
                  <w:bookmarkEnd w:id="3158"/>
                  <w:bookmarkEnd w:id="3159"/>
                  <w:bookmarkEnd w:id="3160"/>
                  <w:bookmarkEnd w:id="3161"/>
                  <w:bookmarkEnd w:id="3162"/>
                  <w:bookmarkEnd w:id="3163"/>
                  <w:bookmarkEnd w:id="3166"/>
                  <w:bookmarkEnd w:id="3167"/>
                  <w:bookmarkEnd w:id="3168"/>
                  <w:r>
                    <w:rPr>
                      <w:sz w:val="22"/>
                      <w:szCs w:val="22"/>
                    </w:rPr>
                    <w:t xml:space="preserve"> </w:t>
                  </w:r>
                  <w:bookmarkEnd w:id="3164"/>
                </w:p>
                <w:p w:rsidR="00F04EEF" w:rsidRDefault="00F04EEF">
                  <w:pPr>
                    <w:tabs>
                      <w:tab w:val="left" w:pos="1260"/>
                    </w:tabs>
                    <w:jc w:val="both"/>
                  </w:pPr>
                </w:p>
                <w:p w:rsidR="00F04EEF" w:rsidRDefault="0099351E">
                  <w:pPr>
                    <w:tabs>
                      <w:tab w:val="left" w:pos="1260"/>
                    </w:tabs>
                    <w:jc w:val="both"/>
                    <w:rPr>
                      <w:b/>
                    </w:rPr>
                  </w:pPr>
                  <w:r>
                    <w:rPr>
                      <w:b/>
                    </w:rPr>
                    <w:t>Attention: TOUS vos mails DOIVENT être envoyés de la boîte mail administrative de l’école ou du PO (</w:t>
                  </w:r>
                  <w:hyperlink r:id="rId207" w:history="1">
                    <w:r>
                      <w:rPr>
                        <w:rStyle w:val="Lienhypertexte"/>
                        <w:rFonts w:cs="Arial"/>
                        <w:u w:val="none"/>
                      </w:rPr>
                      <w:t>ecxxxxxx@adm.cfwb.be</w:t>
                    </w:r>
                  </w:hyperlink>
                  <w:r>
                    <w:t xml:space="preserve"> </w:t>
                  </w:r>
                  <w:r>
                    <w:rPr>
                      <w:b/>
                    </w:rPr>
                    <w:t xml:space="preserve">ou </w:t>
                  </w:r>
                  <w:hyperlink r:id="rId208" w:history="1">
                    <w:r>
                      <w:rPr>
                        <w:rStyle w:val="Lienhypertexte"/>
                        <w:rFonts w:cstheme="minorBidi"/>
                        <w:u w:val="none"/>
                      </w:rPr>
                      <w:t>poxxxxxx@adm.cfwb.be</w:t>
                    </w:r>
                  </w:hyperlink>
                  <w:r>
                    <w:rPr>
                      <w:b/>
                    </w:rPr>
                    <w:t xml:space="preserve"> ), UNIQUEMENT.</w:t>
                  </w:r>
                </w:p>
                <w:p w:rsidR="00F04EEF" w:rsidRDefault="00F04EEF">
                  <w:pPr>
                    <w:tabs>
                      <w:tab w:val="left" w:pos="1260"/>
                    </w:tabs>
                    <w:jc w:val="both"/>
                  </w:pPr>
                </w:p>
                <w:p w:rsidR="00F04EEF" w:rsidRDefault="0099351E">
                  <w:pPr>
                    <w:tabs>
                      <w:tab w:val="left" w:pos="1260"/>
                    </w:tabs>
                    <w:rPr>
                      <w:b/>
                      <w:color w:val="000000"/>
                    </w:rPr>
                  </w:pPr>
                  <w:r>
                    <w:rPr>
                      <w:color w:val="000000"/>
                    </w:rPr>
                    <w:t>Les</w:t>
                  </w:r>
                  <w:r>
                    <w:t xml:space="preserve"> annexes</w:t>
                  </w:r>
                  <w:r>
                    <w:rPr>
                      <w:b/>
                    </w:rPr>
                    <w:t xml:space="preserve"> </w:t>
                  </w:r>
                  <w:hyperlink w:anchor="_Annexe_4_:_8" w:history="1">
                    <w:r>
                      <w:rPr>
                        <w:rStyle w:val="Lienhypertexte"/>
                        <w:rFonts w:cs="Arial"/>
                        <w:b/>
                      </w:rPr>
                      <w:t>4,</w:t>
                    </w:r>
                  </w:hyperlink>
                  <w:r>
                    <w:rPr>
                      <w:rStyle w:val="Lienhypertexte"/>
                      <w:rFonts w:cs="Arial"/>
                      <w:b/>
                    </w:rPr>
                    <w:t xml:space="preserve"> </w:t>
                  </w:r>
                  <w:hyperlink w:anchor="_Annexe_6a_:" w:history="1">
                    <w:r>
                      <w:rPr>
                        <w:rStyle w:val="Lienhypertexte"/>
                        <w:rFonts w:cs="Arial"/>
                        <w:b/>
                      </w:rPr>
                      <w:t>6a</w:t>
                    </w:r>
                  </w:hyperlink>
                  <w:r>
                    <w:rPr>
                      <w:rStyle w:val="Lienhypertexte"/>
                      <w:rFonts w:cs="Arial"/>
                      <w:b/>
                    </w:rPr>
                    <w:t xml:space="preserve">, </w:t>
                  </w:r>
                  <w:hyperlink w:anchor="_Annexe_6b_:" w:history="1">
                    <w:r>
                      <w:rPr>
                        <w:rStyle w:val="Lienhypertexte"/>
                        <w:rFonts w:cs="Arial"/>
                        <w:b/>
                      </w:rPr>
                      <w:t>6b</w:t>
                    </w:r>
                  </w:hyperlink>
                  <w:r>
                    <w:rPr>
                      <w:b/>
                    </w:rPr>
                    <w:t xml:space="preserve"> </w:t>
                  </w:r>
                  <w:r>
                    <w:rPr>
                      <w:b/>
                      <w:shd w:val="clear" w:color="auto" w:fill="FFFFFF"/>
                    </w:rPr>
                    <w:t>et</w:t>
                  </w:r>
                  <w:r>
                    <w:rPr>
                      <w:b/>
                      <w:bCs/>
                      <w:iCs/>
                    </w:rPr>
                    <w:t xml:space="preserve"> </w:t>
                  </w:r>
                  <w:hyperlink w:anchor="_Annexe_8_:" w:history="1">
                    <w:r>
                      <w:rPr>
                        <w:rStyle w:val="Lienhypertexte"/>
                        <w:rFonts w:cs="Arial"/>
                        <w:b/>
                      </w:rPr>
                      <w:t>8</w:t>
                    </w:r>
                  </w:hyperlink>
                  <w:r>
                    <w:rPr>
                      <w:b/>
                      <w:shd w:val="clear" w:color="auto" w:fill="FFFFFF"/>
                    </w:rPr>
                    <w:t xml:space="preserve"> </w:t>
                  </w:r>
                  <w:r>
                    <w:rPr>
                      <w:color w:val="000000"/>
                    </w:rPr>
                    <w:t>sont à envoyer</w:t>
                  </w:r>
                  <w:r>
                    <w:rPr>
                      <w:b/>
                      <w:color w:val="000000"/>
                    </w:rPr>
                    <w:t xml:space="preserve"> UNIQUEMENT sur la boîte mail générique: </w:t>
                  </w:r>
                </w:p>
                <w:p w:rsidR="00F04EEF" w:rsidRDefault="0099351E">
                  <w:pPr>
                    <w:tabs>
                      <w:tab w:val="left" w:pos="1260"/>
                    </w:tabs>
                    <w:jc w:val="center"/>
                    <w:rPr>
                      <w:color w:val="0000FF"/>
                    </w:rPr>
                  </w:pPr>
                  <w:r>
                    <w:rPr>
                      <w:color w:val="0000FF"/>
                    </w:rPr>
                    <w:t xml:space="preserve">integration_specialise@cfwb.be </w:t>
                  </w:r>
                </w:p>
                <w:p w:rsidR="00F04EEF" w:rsidRDefault="00F04EEF">
                  <w:pPr>
                    <w:tabs>
                      <w:tab w:val="left" w:pos="1260"/>
                    </w:tabs>
                    <w:jc w:val="both"/>
                    <w:rPr>
                      <w:b/>
                    </w:rPr>
                  </w:pPr>
                </w:p>
                <w:p w:rsidR="00F04EEF" w:rsidRDefault="0099351E">
                  <w:pPr>
                    <w:tabs>
                      <w:tab w:val="left" w:pos="1260"/>
                    </w:tabs>
                    <w:jc w:val="both"/>
                    <w:rPr>
                      <w:b/>
                    </w:rPr>
                  </w:pPr>
                  <w:r>
                    <w:rPr>
                      <w:b/>
                      <w:noProof/>
                      <w:lang w:eastAsia="fr-BE"/>
                    </w:rPr>
                    <mc:AlternateContent>
                      <mc:Choice Requires="wps">
                        <w:drawing>
                          <wp:anchor distT="0" distB="0" distL="114300" distR="114300" simplePos="0" relativeHeight="252414976" behindDoc="0" locked="0" layoutInCell="1" allowOverlap="1">
                            <wp:simplePos x="0" y="0"/>
                            <wp:positionH relativeFrom="column">
                              <wp:posOffset>6315124</wp:posOffset>
                            </wp:positionH>
                            <wp:positionV relativeFrom="paragraph">
                              <wp:posOffset>172378</wp:posOffset>
                            </wp:positionV>
                            <wp:extent cx="0" cy="1828800"/>
                            <wp:effectExtent l="0" t="0" r="19050" b="19050"/>
                            <wp:wrapNone/>
                            <wp:docPr id="5552" name="Connecteur droit 5552"/>
                            <wp:cNvGraphicFramePr/>
                            <a:graphic xmlns:a="http://schemas.openxmlformats.org/drawingml/2006/main">
                              <a:graphicData uri="http://schemas.microsoft.com/office/word/2010/wordprocessingShape">
                                <wps:wsp>
                                  <wps:cNvCnPr/>
                                  <wps:spPr>
                                    <a:xfrm>
                                      <a:off x="0" y="0"/>
                                      <a:ext cx="0" cy="1828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9B21D4" id="Connecteur droit 5552" o:spid="_x0000_s1026" style="position:absolute;z-index:252414976;visibility:visible;mso-wrap-style:square;mso-wrap-distance-left:9pt;mso-wrap-distance-top:0;mso-wrap-distance-right:9pt;mso-wrap-distance-bottom:0;mso-position-horizontal:absolute;mso-position-horizontal-relative:text;mso-position-vertical:absolute;mso-position-vertical-relative:text" from="497.25pt,13.55pt" to="497.25pt,1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" strokecolor="black [3213]"/>
                        </w:pict>
                      </mc:Fallback>
                    </mc:AlternateContent>
                  </w:r>
                  <w:r>
                    <w:rPr>
                      <w:b/>
                    </w:rPr>
                    <w:t xml:space="preserve">Remarques : </w:t>
                  </w:r>
                </w:p>
                <w:p w:rsidR="00F04EEF" w:rsidRDefault="0099351E">
                  <w:pPr>
                    <w:pStyle w:val="Paragraphedeliste"/>
                    <w:numPr>
                      <w:ilvl w:val="0"/>
                      <w:numId w:val="257"/>
                    </w:numPr>
                    <w:jc w:val="both"/>
                    <w:rPr>
                      <w:rFonts w:asciiTheme="majorHAnsi" w:hAnsiTheme="majorHAnsi"/>
                      <w:color w:val="000000"/>
                      <w:sz w:val="22"/>
                      <w:szCs w:val="22"/>
                      <w:lang w:eastAsia="fr-FR"/>
                    </w:rPr>
                  </w:pPr>
                  <w:r>
                    <w:rPr>
                      <w:rFonts w:asciiTheme="majorHAnsi" w:hAnsiTheme="majorHAnsi"/>
                      <w:color w:val="000000"/>
                      <w:sz w:val="22"/>
                      <w:szCs w:val="22"/>
                      <w:lang w:eastAsia="fr-FR"/>
                    </w:rPr>
                    <w:t xml:space="preserve">Les </w:t>
                  </w:r>
                  <w:hyperlink w:anchor="_Annexe_4_:_8" w:history="1">
                    <w:r>
                      <w:rPr>
                        <w:rStyle w:val="Lienhypertexte"/>
                        <w:rFonts w:asciiTheme="majorHAnsi" w:hAnsiTheme="majorHAnsi" w:cs="Arial"/>
                        <w:sz w:val="22"/>
                        <w:szCs w:val="22"/>
                        <w:lang w:eastAsia="fr-FR"/>
                      </w:rPr>
                      <w:t>annexes 4</w:t>
                    </w:r>
                  </w:hyperlink>
                  <w:r>
                    <w:rPr>
                      <w:rFonts w:asciiTheme="majorHAnsi" w:hAnsiTheme="majorHAnsi"/>
                      <w:color w:val="000000"/>
                      <w:sz w:val="22"/>
                      <w:szCs w:val="22"/>
                      <w:lang w:eastAsia="fr-FR"/>
                    </w:rPr>
                    <w:t xml:space="preserve"> (bilan de l’intégration) des élèves intégrés l’année scolaire précédente doivent être complétées et mises à disposition de la vérification de la population scolaire </w:t>
                  </w:r>
                </w:p>
                <w:p w:rsidR="00F04EEF" w:rsidRDefault="00F04EEF">
                  <w:pPr>
                    <w:pStyle w:val="Paragraphedeliste"/>
                    <w:ind w:left="786"/>
                    <w:jc w:val="both"/>
                    <w:rPr>
                      <w:rFonts w:asciiTheme="majorHAnsi" w:hAnsiTheme="majorHAnsi"/>
                      <w:color w:val="000000"/>
                      <w:sz w:val="16"/>
                      <w:szCs w:val="16"/>
                      <w:lang w:eastAsia="fr-FR"/>
                    </w:rPr>
                  </w:pPr>
                </w:p>
                <w:p w:rsidR="00F04EEF" w:rsidRDefault="00F42422">
                  <w:pPr>
                    <w:pStyle w:val="Paragraphedeliste"/>
                    <w:numPr>
                      <w:ilvl w:val="0"/>
                      <w:numId w:val="257"/>
                    </w:numPr>
                    <w:jc w:val="both"/>
                    <w:rPr>
                      <w:rFonts w:asciiTheme="majorHAnsi" w:hAnsiTheme="majorHAnsi"/>
                      <w:color w:val="000000"/>
                      <w:sz w:val="22"/>
                      <w:szCs w:val="22"/>
                      <w:lang w:eastAsia="fr-FR"/>
                    </w:rPr>
                  </w:pPr>
                  <w:hyperlink w:anchor="_Annexe_8_:" w:history="1">
                    <w:r w:rsidR="0099351E">
                      <w:rPr>
                        <w:rStyle w:val="Lienhypertexte"/>
                        <w:rFonts w:asciiTheme="majorHAnsi" w:hAnsiTheme="majorHAnsi" w:cs="Arial"/>
                        <w:sz w:val="22"/>
                        <w:szCs w:val="22"/>
                        <w:lang w:eastAsia="fr-FR"/>
                      </w:rPr>
                      <w:t>Annexes 8 </w:t>
                    </w:r>
                  </w:hyperlink>
                  <w:r w:rsidR="0099351E">
                    <w:rPr>
                      <w:rFonts w:asciiTheme="majorHAnsi" w:hAnsiTheme="majorHAnsi"/>
                      <w:color w:val="000000"/>
                      <w:sz w:val="22"/>
                      <w:szCs w:val="22"/>
                      <w:lang w:eastAsia="fr-FR"/>
                    </w:rPr>
                    <w:t>(dérogation autre type) : à transmettre par mail à l’administration. Il faut attendre l’accord du Ministre qui a l’Enseignement spécialisé dans ses attributions afin de pouvoir débuter une intégration.</w:t>
                  </w:r>
                </w:p>
                <w:p w:rsidR="00F04EEF" w:rsidRDefault="00F04EEF">
                  <w:pPr>
                    <w:pStyle w:val="Paragraphedeliste"/>
                    <w:rPr>
                      <w:rFonts w:asciiTheme="majorHAnsi" w:hAnsiTheme="majorHAnsi"/>
                      <w:color w:val="000000"/>
                      <w:sz w:val="16"/>
                      <w:szCs w:val="16"/>
                      <w:lang w:eastAsia="fr-FR"/>
                    </w:rPr>
                  </w:pPr>
                </w:p>
                <w:p w:rsidR="00F04EEF" w:rsidRDefault="0099351E">
                  <w:pPr>
                    <w:pStyle w:val="Paragraphedeliste"/>
                    <w:numPr>
                      <w:ilvl w:val="0"/>
                      <w:numId w:val="257"/>
                    </w:numPr>
                    <w:jc w:val="both"/>
                    <w:rPr>
                      <w:rFonts w:asciiTheme="majorHAnsi" w:hAnsiTheme="majorHAnsi"/>
                      <w:color w:val="000000"/>
                      <w:sz w:val="22"/>
                      <w:szCs w:val="22"/>
                      <w:lang w:eastAsia="fr-FR"/>
                    </w:rPr>
                  </w:pPr>
                  <w:r>
                    <w:rPr>
                      <w:rFonts w:asciiTheme="majorHAnsi" w:hAnsiTheme="majorHAnsi"/>
                      <w:color w:val="000000"/>
                      <w:sz w:val="22"/>
                      <w:szCs w:val="22"/>
                      <w:lang w:eastAsia="fr-FR"/>
                    </w:rPr>
                    <w:t>le signalement des prolongations des intégrations pour l’année scolaire 2020-2021 s’opérera via un listing des élèves intégrés transmis par l’Administration aux écoles par mail.</w:t>
                  </w:r>
                </w:p>
                <w:p w:rsidR="00F04EEF" w:rsidRDefault="0099351E">
                  <w:pPr>
                    <w:pStyle w:val="Paragraphedeliste"/>
                    <w:ind w:left="786"/>
                    <w:jc w:val="both"/>
                    <w:rPr>
                      <w:rFonts w:asciiTheme="majorHAnsi" w:hAnsiTheme="majorHAnsi"/>
                      <w:color w:val="000000"/>
                      <w:sz w:val="22"/>
                      <w:szCs w:val="22"/>
                      <w:lang w:eastAsia="fr-FR"/>
                    </w:rPr>
                  </w:pPr>
                  <w:r>
                    <w:rPr>
                      <w:rFonts w:asciiTheme="majorHAnsi" w:hAnsiTheme="majorHAnsi"/>
                      <w:color w:val="000000"/>
                      <w:sz w:val="22"/>
                      <w:szCs w:val="22"/>
                      <w:lang w:eastAsia="fr-FR"/>
                    </w:rPr>
                    <w:t xml:space="preserve">Le document devra ensuite être complété et renvoyé à l’Administration sur la boîte mail générique : </w:t>
                  </w:r>
                  <w:hyperlink r:id="rId209" w:history="1">
                    <w:r>
                      <w:rPr>
                        <w:rFonts w:asciiTheme="majorHAnsi" w:hAnsiTheme="majorHAnsi"/>
                        <w:color w:val="000000"/>
                        <w:sz w:val="22"/>
                        <w:szCs w:val="22"/>
                        <w:lang w:eastAsia="fr-FR"/>
                      </w:rPr>
                      <w:t>integration_specialise@cfwb.be</w:t>
                    </w:r>
                  </w:hyperlink>
                  <w:r>
                    <w:rPr>
                      <w:rFonts w:asciiTheme="majorHAnsi" w:hAnsiTheme="majorHAnsi"/>
                      <w:color w:val="000000"/>
                      <w:sz w:val="22"/>
                      <w:szCs w:val="22"/>
                      <w:lang w:eastAsia="fr-FR"/>
                    </w:rPr>
                    <w:t xml:space="preserve"> pour le 30 septembre au plus tard.</w:t>
                  </w:r>
                </w:p>
                <w:p w:rsidR="00F04EEF" w:rsidRDefault="00F04EEF">
                  <w:pPr>
                    <w:pStyle w:val="Paragraphedeliste"/>
                    <w:ind w:left="786"/>
                    <w:jc w:val="both"/>
                    <w:rPr>
                      <w:rFonts w:asciiTheme="majorHAnsi" w:hAnsiTheme="majorHAnsi"/>
                      <w:color w:val="000000"/>
                      <w:sz w:val="22"/>
                      <w:szCs w:val="22"/>
                      <w:highlight w:val="yellow"/>
                      <w:lang w:eastAsia="fr-FR"/>
                    </w:rPr>
                  </w:pPr>
                </w:p>
                <w:p w:rsidR="00F04EEF" w:rsidRDefault="0099351E">
                  <w:pPr>
                    <w:pStyle w:val="Corpsdetexte"/>
                    <w:widowControl/>
                    <w:jc w:val="both"/>
                    <w:rPr>
                      <w:szCs w:val="22"/>
                    </w:rPr>
                  </w:pPr>
                  <w:r>
                    <w:rPr>
                      <w:szCs w:val="22"/>
                    </w:rPr>
                    <w:t xml:space="preserve">En cas de nouvelles demandes d’intégration : </w:t>
                  </w:r>
                </w:p>
                <w:p w:rsidR="00F04EEF" w:rsidRDefault="0099351E">
                  <w:pPr>
                    <w:pStyle w:val="Corpsdetexte"/>
                    <w:widowControl/>
                    <w:jc w:val="both"/>
                    <w:rPr>
                      <w:b w:val="0"/>
                      <w:szCs w:val="22"/>
                    </w:rPr>
                  </w:pPr>
                  <w:r>
                    <w:rPr>
                      <w:b w:val="0"/>
                      <w:szCs w:val="22"/>
                    </w:rPr>
                    <w:t xml:space="preserve">Concernant les </w:t>
                  </w:r>
                  <w:hyperlink w:anchor="_Annexe_2_:_2" w:history="1">
                    <w:r>
                      <w:rPr>
                        <w:rStyle w:val="Lienhypertexte"/>
                        <w:rFonts w:cs="Arial"/>
                        <w:b w:val="0"/>
                        <w:szCs w:val="22"/>
                      </w:rPr>
                      <w:t xml:space="preserve">annexes </w:t>
                    </w:r>
                    <w:r>
                      <w:rPr>
                        <w:rStyle w:val="Lienhypertexte"/>
                        <w:rFonts w:cs="Arial"/>
                        <w:szCs w:val="22"/>
                      </w:rPr>
                      <w:t>2 (1</w:t>
                    </w:r>
                    <w:r>
                      <w:rPr>
                        <w:rStyle w:val="Lienhypertexte"/>
                        <w:rFonts w:cs="Arial"/>
                        <w:szCs w:val="22"/>
                        <w:vertAlign w:val="superscript"/>
                      </w:rPr>
                      <w:t>ère</w:t>
                    </w:r>
                    <w:r>
                      <w:rPr>
                        <w:rStyle w:val="Lienhypertexte"/>
                        <w:rFonts w:cs="Arial"/>
                        <w:szCs w:val="22"/>
                      </w:rPr>
                      <w:t xml:space="preserve"> partie)</w:t>
                    </w:r>
                  </w:hyperlink>
                  <w:r>
                    <w:rPr>
                      <w:szCs w:val="22"/>
                    </w:rPr>
                    <w:t xml:space="preserve">, </w:t>
                  </w:r>
                  <w:hyperlink w:anchor="_Annexe_6a_:" w:history="1">
                    <w:r>
                      <w:rPr>
                        <w:rStyle w:val="Lienhypertexte"/>
                        <w:rFonts w:cs="Arial"/>
                        <w:szCs w:val="22"/>
                      </w:rPr>
                      <w:t>6a</w:t>
                    </w:r>
                  </w:hyperlink>
                  <w:r>
                    <w:rPr>
                      <w:szCs w:val="22"/>
                    </w:rPr>
                    <w:t xml:space="preserve"> et </w:t>
                  </w:r>
                  <w:hyperlink w:anchor="_Annexe_6b_:" w:history="1">
                    <w:r>
                      <w:rPr>
                        <w:rStyle w:val="Lienhypertexte"/>
                        <w:rFonts w:cs="Arial"/>
                        <w:szCs w:val="22"/>
                      </w:rPr>
                      <w:t>6b</w:t>
                    </w:r>
                  </w:hyperlink>
                  <w:r>
                    <w:rPr>
                      <w:rStyle w:val="Lienhypertexte"/>
                      <w:rFonts w:cs="Arial"/>
                      <w:szCs w:val="22"/>
                    </w:rPr>
                    <w:t xml:space="preserve">, </w:t>
                  </w:r>
                  <w:r>
                    <w:rPr>
                      <w:rStyle w:val="Lienhypertexte"/>
                      <w:rFonts w:cs="Arial"/>
                      <w:b w:val="0"/>
                      <w:bCs/>
                      <w:color w:val="auto"/>
                      <w:szCs w:val="22"/>
                      <w:u w:val="none"/>
                    </w:rPr>
                    <w:t>celles-ci</w:t>
                  </w:r>
                  <w:r>
                    <w:rPr>
                      <w:szCs w:val="22"/>
                    </w:rPr>
                    <w:t xml:space="preserve"> </w:t>
                  </w:r>
                  <w:r>
                    <w:rPr>
                      <w:b w:val="0"/>
                      <w:szCs w:val="22"/>
                    </w:rPr>
                    <w:t>sont à compléter</w:t>
                  </w:r>
                  <w:r>
                    <w:rPr>
                      <w:szCs w:val="22"/>
                    </w:rPr>
                    <w:t xml:space="preserve"> </w:t>
                  </w:r>
                  <w:r>
                    <w:rPr>
                      <w:b w:val="0"/>
                      <w:szCs w:val="22"/>
                    </w:rPr>
                    <w:t xml:space="preserve">via </w:t>
                  </w:r>
                  <w:r>
                    <w:rPr>
                      <w:szCs w:val="22"/>
                    </w:rPr>
                    <w:t xml:space="preserve">le « formulaire électronique intégration », </w:t>
                  </w:r>
                  <w:r>
                    <w:rPr>
                      <w:b w:val="0"/>
                      <w:szCs w:val="22"/>
                    </w:rPr>
                    <w:t xml:space="preserve">à l’adresse suivante : </w:t>
                  </w:r>
                  <w:hyperlink r:id="rId210" w:history="1">
                    <w:r>
                      <w:rPr>
                        <w:rStyle w:val="Lienhypertexte"/>
                        <w:rFonts w:cs="Arial"/>
                        <w:b w:val="0"/>
                        <w:szCs w:val="22"/>
                      </w:rPr>
                      <w:t>http:/www.am.cfwb.be/</w:t>
                    </w:r>
                  </w:hyperlink>
                  <w:r>
                    <w:rPr>
                      <w:szCs w:val="22"/>
                    </w:rPr>
                    <w:t xml:space="preserve"> , </w:t>
                  </w:r>
                </w:p>
                <w:p w:rsidR="00F04EEF" w:rsidRDefault="00F04EEF">
                  <w:pPr>
                    <w:pStyle w:val="Corpsdetexte"/>
                    <w:widowControl/>
                    <w:jc w:val="both"/>
                    <w:rPr>
                      <w:szCs w:val="22"/>
                    </w:rPr>
                  </w:pPr>
                </w:p>
                <w:p w:rsidR="00F04EEF" w:rsidRDefault="0099351E">
                  <w:pPr>
                    <w:pStyle w:val="Corpsdetexte"/>
                    <w:widowControl/>
                    <w:jc w:val="both"/>
                    <w:rPr>
                      <w:szCs w:val="22"/>
                    </w:rPr>
                  </w:pPr>
                  <w:r>
                    <w:rPr>
                      <w:szCs w:val="22"/>
                    </w:rPr>
                    <w:t>Si ce ne sont pas de nouvelles demandes d’intégration :</w:t>
                  </w:r>
                </w:p>
                <w:p w:rsidR="00F04EEF" w:rsidRDefault="0099351E">
                  <w:pPr>
                    <w:tabs>
                      <w:tab w:val="left" w:pos="1260"/>
                    </w:tabs>
                    <w:jc w:val="both"/>
                    <w:rPr>
                      <w:color w:val="0000FF"/>
                    </w:rPr>
                  </w:pPr>
                  <w:r>
                    <w:t>Concernant les annexes</w:t>
                  </w:r>
                  <w:r>
                    <w:rPr>
                      <w:b/>
                    </w:rPr>
                    <w:t xml:space="preserve"> </w:t>
                  </w:r>
                  <w:hyperlink w:anchor="_Annexe_6a_:" w:history="1">
                    <w:r>
                      <w:rPr>
                        <w:rStyle w:val="Lienhypertexte"/>
                        <w:rFonts w:cstheme="minorBidi"/>
                      </w:rPr>
                      <w:t>6a</w:t>
                    </w:r>
                  </w:hyperlink>
                  <w:r>
                    <w:t xml:space="preserve"> et </w:t>
                  </w:r>
                  <w:hyperlink w:anchor="_Annexe_6b_:" w:history="1">
                    <w:r>
                      <w:rPr>
                        <w:rStyle w:val="Lienhypertexte"/>
                        <w:rFonts w:cstheme="minorBidi"/>
                      </w:rPr>
                      <w:t>6b</w:t>
                    </w:r>
                  </w:hyperlink>
                  <w:r>
                    <w:t xml:space="preserve">, celles-ci </w:t>
                  </w:r>
                  <w:r>
                    <w:rPr>
                      <w:b/>
                    </w:rPr>
                    <w:t>sont à renvoyer</w:t>
                  </w:r>
                  <w:r>
                    <w:t xml:space="preserve"> </w:t>
                  </w:r>
                  <w:r>
                    <w:rPr>
                      <w:b/>
                    </w:rPr>
                    <w:t xml:space="preserve">via l’adresse mail générique : </w:t>
                  </w:r>
                  <w:r>
                    <w:rPr>
                      <w:color w:val="0000FF"/>
                    </w:rPr>
                    <w:t xml:space="preserve">integration_specialise@cfwb.be </w:t>
                  </w:r>
                </w:p>
                <w:p w:rsidR="00F04EEF" w:rsidRDefault="00F04EEF">
                  <w:pPr>
                    <w:pStyle w:val="Corpsdetexte"/>
                    <w:widowControl/>
                    <w:jc w:val="both"/>
                    <w:rPr>
                      <w:szCs w:val="22"/>
                    </w:rPr>
                  </w:pPr>
                </w:p>
                <w:p w:rsidR="00F04EEF" w:rsidRDefault="0099351E">
                  <w:pPr>
                    <w:pStyle w:val="Corpsdetexte"/>
                    <w:widowControl/>
                    <w:jc w:val="both"/>
                    <w:rPr>
                      <w:szCs w:val="22"/>
                    </w:rPr>
                  </w:pPr>
                  <w:r>
                    <w:rPr>
                      <w:szCs w:val="22"/>
                    </w:rPr>
                    <w:t>Les personnes ressources sont :</w:t>
                  </w:r>
                </w:p>
                <w:p w:rsidR="00F04EEF" w:rsidRDefault="00F04EEF">
                  <w:pPr>
                    <w:pStyle w:val="Corpsdetexte"/>
                    <w:widowControl/>
                    <w:jc w:val="both"/>
                    <w:rPr>
                      <w:b w:val="0"/>
                      <w:szCs w:val="22"/>
                    </w:rPr>
                  </w:pPr>
                </w:p>
                <w:tbl>
                  <w:tblPr>
                    <w:tblW w:w="0" w:type="auto"/>
                    <w:tblLook w:val="00A0" w:firstRow="1" w:lastRow="0" w:firstColumn="1" w:lastColumn="0" w:noHBand="0" w:noVBand="0"/>
                  </w:tblPr>
                  <w:tblGrid>
                    <w:gridCol w:w="4678"/>
                    <w:gridCol w:w="4676"/>
                  </w:tblGrid>
                  <w:tr w:rsidR="00F04EEF">
                    <w:tc>
                      <w:tcPr>
                        <w:tcW w:w="4678" w:type="dxa"/>
                      </w:tcPr>
                      <w:p w:rsidR="00F04EEF" w:rsidRDefault="0099351E">
                        <w:pPr>
                          <w:pStyle w:val="Corpsdetexte"/>
                          <w:rPr>
                            <w:b w:val="0"/>
                          </w:rPr>
                        </w:pPr>
                        <w:r>
                          <w:rPr>
                            <w:b w:val="0"/>
                          </w:rPr>
                          <w:t xml:space="preserve">Madame Stéphanie PIRSOUL </w:t>
                        </w:r>
                      </w:p>
                      <w:p w:rsidR="00F04EEF" w:rsidRDefault="0099351E">
                        <w:pPr>
                          <w:pStyle w:val="Corpsdetexte"/>
                          <w:widowControl/>
                          <w:jc w:val="center"/>
                          <w:rPr>
                            <w:b w:val="0"/>
                            <w:szCs w:val="22"/>
                          </w:rPr>
                        </w:pPr>
                        <w:r>
                          <w:rPr>
                            <w:b w:val="0"/>
                          </w:rPr>
                          <w:sym w:font="Wingdings" w:char="F028"/>
                        </w:r>
                        <w:r>
                          <w:rPr>
                            <w:b w:val="0"/>
                          </w:rPr>
                          <w:t> : 02/690.84.07</w:t>
                        </w:r>
                      </w:p>
                    </w:tc>
                    <w:tc>
                      <w:tcPr>
                        <w:tcW w:w="4676" w:type="dxa"/>
                      </w:tcPr>
                      <w:p w:rsidR="00F04EEF" w:rsidRDefault="0099351E">
                        <w:pPr>
                          <w:pStyle w:val="Corpsdetexte"/>
                          <w:rPr>
                            <w:b w:val="0"/>
                          </w:rPr>
                        </w:pPr>
                        <w:r>
                          <w:rPr>
                            <w:b w:val="0"/>
                          </w:rPr>
                          <w:t>Monsieur Alae-Eddine ASBAGUI</w:t>
                        </w:r>
                      </w:p>
                      <w:p w:rsidR="00F04EEF" w:rsidRDefault="0099351E">
                        <w:pPr>
                          <w:pStyle w:val="Corpsdetexte"/>
                          <w:widowControl/>
                          <w:rPr>
                            <w:b w:val="0"/>
                            <w:szCs w:val="22"/>
                          </w:rPr>
                        </w:pPr>
                        <w:r>
                          <w:rPr>
                            <w:b w:val="0"/>
                          </w:rPr>
                          <w:sym w:font="Wingdings" w:char="F028"/>
                        </w:r>
                        <w:r>
                          <w:rPr>
                            <w:b w:val="0"/>
                          </w:rPr>
                          <w:t> : 02/690.86.20</w:t>
                        </w:r>
                      </w:p>
                    </w:tc>
                  </w:tr>
                  <w:tr w:rsidR="00F04EEF">
                    <w:trPr>
                      <w:trHeight w:val="587"/>
                    </w:trPr>
                    <w:tc>
                      <w:tcPr>
                        <w:tcW w:w="9354" w:type="dxa"/>
                        <w:gridSpan w:val="2"/>
                      </w:tcPr>
                      <w:p w:rsidR="00F04EEF" w:rsidRDefault="0099351E">
                        <w:pPr>
                          <w:pStyle w:val="Corpsdetexte"/>
                          <w:jc w:val="center"/>
                          <w:rPr>
                            <w:b w:val="0"/>
                          </w:rPr>
                        </w:pPr>
                        <w:r>
                          <w:rPr>
                            <w:b w:val="0"/>
                          </w:rPr>
                          <w:t>Madame Christine WILLEMS</w:t>
                        </w:r>
                      </w:p>
                      <w:p w:rsidR="00F04EEF" w:rsidRDefault="0099351E">
                        <w:pPr>
                          <w:pStyle w:val="Corpsdetexte"/>
                          <w:widowControl/>
                          <w:jc w:val="center"/>
                          <w:rPr>
                            <w:b w:val="0"/>
                            <w:szCs w:val="22"/>
                          </w:rPr>
                        </w:pPr>
                        <w:r>
                          <w:rPr>
                            <w:b w:val="0"/>
                          </w:rPr>
                          <w:sym w:font="Wingdings" w:char="F028"/>
                        </w:r>
                        <w:r>
                          <w:rPr>
                            <w:b w:val="0"/>
                          </w:rPr>
                          <w:t> : 02/690.84.11</w:t>
                        </w:r>
                      </w:p>
                    </w:tc>
                  </w:tr>
                </w:tbl>
                <w:p w:rsidR="00F04EEF" w:rsidRDefault="00F04EEF">
                  <w:pPr>
                    <w:pStyle w:val="Corpsdetexte"/>
                    <w:widowControl/>
                    <w:jc w:val="both"/>
                    <w:rPr>
                      <w:b w:val="0"/>
                      <w:szCs w:val="22"/>
                    </w:rPr>
                  </w:pPr>
                </w:p>
                <w:p w:rsidR="00F04EEF" w:rsidRDefault="0099351E">
                  <w:pPr>
                    <w:pBdr>
                      <w:top w:val="single" w:sz="4" w:space="1" w:color="000000"/>
                      <w:left w:val="single" w:sz="4" w:space="1" w:color="000000"/>
                      <w:bottom w:val="single" w:sz="4" w:space="1" w:color="000000"/>
                      <w:right w:val="single" w:sz="4" w:space="1" w:color="000000"/>
                    </w:pBdr>
                    <w:tabs>
                      <w:tab w:val="left" w:pos="1260"/>
                    </w:tabs>
                    <w:rPr>
                      <w:u w:val="single"/>
                    </w:rPr>
                  </w:pPr>
                  <w:r>
                    <w:rPr>
                      <w:u w:val="single"/>
                    </w:rPr>
                    <w:t xml:space="preserve">Rappel : </w:t>
                  </w:r>
                </w:p>
                <w:p w:rsidR="00F04EEF" w:rsidRDefault="0099351E">
                  <w:pPr>
                    <w:pBdr>
                      <w:top w:val="single" w:sz="4" w:space="1" w:color="000000"/>
                      <w:left w:val="single" w:sz="4" w:space="1" w:color="000000"/>
                      <w:bottom w:val="single" w:sz="4" w:space="1" w:color="000000"/>
                      <w:right w:val="single" w:sz="4" w:space="1" w:color="000000"/>
                    </w:pBdr>
                    <w:tabs>
                      <w:tab w:val="left" w:pos="1260"/>
                    </w:tabs>
                    <w:jc w:val="both"/>
                  </w:pPr>
                  <w:r>
                    <w:t xml:space="preserve">L’élève ne peut être intégré que si son protocole d’intégration est </w:t>
                  </w:r>
                  <w:r>
                    <w:rPr>
                      <w:i/>
                      <w:u w:val="single"/>
                    </w:rPr>
                    <w:t>complet,</w:t>
                  </w:r>
                  <w:r>
                    <w:rPr>
                      <w:u w:val="single"/>
                    </w:rPr>
                    <w:t xml:space="preserve"> c'est-à-dire que toutes les informations sont complétées et que tous les partenaires ont marqué leur accord en signant le protocole d’intégration</w:t>
                  </w:r>
                  <w:r>
                    <w:t>.  Le document original reste dans l’établissement d’enseignement spécialisé et une copie se trouve dans l’établissement d’enseignement ordinaire. Les annexes 3 et 4 actualisées en fonction de l’évolution de l’intégration de l’élève doivent être ajoutées au protocole d’intégration.</w:t>
                  </w:r>
                </w:p>
                <w:p w:rsidR="00F04EEF" w:rsidRDefault="00F04EEF"/>
                <w:p w:rsidR="00F04EEF" w:rsidRDefault="00F42422">
                  <w:hyperlink w:anchor="_Annexe_10_:_3" w:history="1">
                    <w:r w:rsidR="0099351E">
                      <w:rPr>
                        <w:rStyle w:val="Lienhypertexte"/>
                        <w:rFonts w:cs="Arial"/>
                      </w:rPr>
                      <w:t>L’annexe 10</w:t>
                    </w:r>
                  </w:hyperlink>
                  <w:r w:rsidR="0099351E">
                    <w:t xml:space="preserve"> est à renvoyer à l’adresse suivante : </w:t>
                  </w:r>
                </w:p>
                <w:p w:rsidR="00F04EEF" w:rsidRDefault="00F04EEF"/>
                <w:p w:rsidR="00F04EEF" w:rsidRDefault="0099351E">
                  <w:pPr>
                    <w:pBdr>
                      <w:top w:val="single" w:sz="4" w:space="1" w:color="auto"/>
                      <w:left w:val="single" w:sz="4" w:space="4" w:color="auto"/>
                      <w:bottom w:val="single" w:sz="4" w:space="1" w:color="auto"/>
                      <w:right w:val="single" w:sz="4" w:space="4" w:color="auto"/>
                    </w:pBdr>
                    <w:jc w:val="center"/>
                  </w:pPr>
                  <w:r>
                    <w:t>A l’attention du Ministre de l’Education</w:t>
                  </w:r>
                </w:p>
                <w:p w:rsidR="00F04EEF" w:rsidRDefault="0099351E">
                  <w:pPr>
                    <w:pBdr>
                      <w:top w:val="single" w:sz="4" w:space="1" w:color="auto"/>
                      <w:left w:val="single" w:sz="4" w:space="4" w:color="auto"/>
                      <w:bottom w:val="single" w:sz="4" w:space="1" w:color="auto"/>
                      <w:right w:val="single" w:sz="4" w:space="4" w:color="auto"/>
                    </w:pBdr>
                    <w:jc w:val="center"/>
                  </w:pPr>
                  <w:r>
                    <w:t>Place Surlet de Chokier, 15-17</w:t>
                  </w:r>
                </w:p>
                <w:p w:rsidR="00F04EEF" w:rsidRDefault="0099351E">
                  <w:pPr>
                    <w:pBdr>
                      <w:top w:val="single" w:sz="4" w:space="1" w:color="auto"/>
                      <w:left w:val="single" w:sz="4" w:space="4" w:color="auto"/>
                      <w:bottom w:val="single" w:sz="4" w:space="1" w:color="auto"/>
                      <w:right w:val="single" w:sz="4" w:space="4" w:color="auto"/>
                    </w:pBdr>
                    <w:jc w:val="center"/>
                  </w:pPr>
                  <w:r>
                    <w:t>1000    BRUXELLES</w:t>
                  </w:r>
                </w:p>
                <w:p w:rsidR="00F04EEF" w:rsidRDefault="0099351E">
                  <w:pPr>
                    <w:pStyle w:val="Titre4"/>
                  </w:pPr>
                  <w:bookmarkStart w:id="3169" w:name="_10.1_Signalisation_des"/>
                  <w:bookmarkStart w:id="3170" w:name="_11.1._Signalisation_des"/>
                  <w:bookmarkStart w:id="3171" w:name="_11.1._Signalisation_des_1"/>
                  <w:bookmarkStart w:id="3172" w:name="_10.1._Signalisation_des"/>
                  <w:bookmarkStart w:id="3173" w:name="_Toc453314440"/>
                  <w:bookmarkStart w:id="3174" w:name="_Toc454980475"/>
                  <w:bookmarkEnd w:id="3169"/>
                  <w:bookmarkEnd w:id="3170"/>
                  <w:bookmarkEnd w:id="3171"/>
                  <w:bookmarkEnd w:id="3172"/>
                  <w:r>
                    <w:t>10.1. Signalisation des élèves</w:t>
                  </w:r>
                  <w:bookmarkEnd w:id="3173"/>
                  <w:bookmarkEnd w:id="3174"/>
                </w:p>
                <w:p w:rsidR="00F04EEF" w:rsidRDefault="00F04EEF">
                  <w:pPr>
                    <w:tabs>
                      <w:tab w:val="left" w:pos="1260"/>
                    </w:tabs>
                    <w:jc w:val="both"/>
                  </w:pPr>
                </w:p>
                <w:p w:rsidR="00F04EEF" w:rsidRDefault="00F04EEF">
                  <w:pPr>
                    <w:tabs>
                      <w:tab w:val="left" w:pos="1260"/>
                    </w:tabs>
                    <w:jc w:val="both"/>
                  </w:pPr>
                </w:p>
                <w:bookmarkStart w:id="3175" w:name="_10.2_Dérogations_au"/>
                <w:bookmarkEnd w:id="3175"/>
                <w:p w:rsidR="00F04EEF" w:rsidRDefault="0099351E">
                  <w:pPr>
                    <w:tabs>
                      <w:tab w:val="left" w:pos="1260"/>
                    </w:tabs>
                    <w:jc w:val="both"/>
                    <w:rPr>
                      <w:b/>
                    </w:rPr>
                  </w:pPr>
                  <w:r>
                    <w:rPr>
                      <w:b/>
                      <w:noProof/>
                      <w:u w:val="single"/>
                      <w:lang w:eastAsia="fr-BE"/>
                    </w:rPr>
                    <mc:AlternateContent>
                      <mc:Choice Requires="wps">
                        <w:drawing>
                          <wp:anchor distT="0" distB="0" distL="114300" distR="114300" simplePos="0" relativeHeight="252416000" behindDoc="0" locked="0" layoutInCell="1" allowOverlap="1">
                            <wp:simplePos x="0" y="0"/>
                            <wp:positionH relativeFrom="column">
                              <wp:posOffset>6273800</wp:posOffset>
                            </wp:positionH>
                            <wp:positionV relativeFrom="paragraph">
                              <wp:posOffset>230505</wp:posOffset>
                            </wp:positionV>
                            <wp:extent cx="0" cy="504093"/>
                            <wp:effectExtent l="0" t="0" r="19050" b="29845"/>
                            <wp:wrapNone/>
                            <wp:docPr id="5553" name="Connecteur droit 5553"/>
                            <wp:cNvGraphicFramePr/>
                            <a:graphic xmlns:a="http://schemas.openxmlformats.org/drawingml/2006/main">
                              <a:graphicData uri="http://schemas.microsoft.com/office/word/2010/wordprocessingShape">
                                <wps:wsp>
                                  <wps:cNvCnPr/>
                                  <wps:spPr>
                                    <a:xfrm>
                                      <a:off x="0" y="0"/>
                                      <a:ext cx="0" cy="5040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9A483C" id="Connecteur droit 5553" o:spid="_x0000_s1026" style="position:absolute;z-index:252416000;visibility:visible;mso-wrap-style:square;mso-wrap-distance-left:9pt;mso-wrap-distance-top:0;mso-wrap-distance-right:9pt;mso-wrap-distance-bottom:0;mso-position-horizontal:absolute;mso-position-horizontal-relative:text;mso-position-vertical:absolute;mso-position-vertical-relative:text" from="494pt,18.15pt" to="494pt,5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" strokecolor="black [3213]"/>
                        </w:pict>
                      </mc:Fallback>
                    </mc:AlternateContent>
                  </w:r>
                  <w:r>
                    <w:rPr>
                      <w:b/>
                      <w:u w:val="single"/>
                    </w:rPr>
                    <w:t>A. Pour les élèves en intégration au cours de l’année scolaire précédente</w:t>
                  </w:r>
                </w:p>
                <w:p w:rsidR="00F04EEF" w:rsidRDefault="00F04EEF">
                  <w:pPr>
                    <w:tabs>
                      <w:tab w:val="left" w:pos="1260"/>
                    </w:tabs>
                    <w:jc w:val="both"/>
                  </w:pPr>
                </w:p>
                <w:p w:rsidR="00F04EEF" w:rsidRDefault="0099351E">
                  <w:pPr>
                    <w:tabs>
                      <w:tab w:val="left" w:pos="1260"/>
                    </w:tabs>
                    <w:jc w:val="both"/>
                    <w:rPr>
                      <w:color w:val="000000"/>
                    </w:rPr>
                  </w:pPr>
                  <w:r>
                    <w:rPr>
                      <w:color w:val="000000"/>
                    </w:rPr>
                    <w:t xml:space="preserve">L’école transmet à l’Administration le listing des élèves intégrés sur la boîte mail générique : </w:t>
                  </w:r>
                  <w:hyperlink r:id="rId211" w:history="1">
                    <w:r>
                      <w:rPr>
                        <w:color w:val="000000"/>
                      </w:rPr>
                      <w:t>integration_specialise@cfwb.be</w:t>
                    </w:r>
                  </w:hyperlink>
                </w:p>
                <w:p w:rsidR="00F04EEF" w:rsidRDefault="00F04EEF">
                  <w:pPr>
                    <w:tabs>
                      <w:tab w:val="left" w:pos="1260"/>
                    </w:tabs>
                    <w:jc w:val="both"/>
                  </w:pPr>
                </w:p>
                <w:p w:rsidR="00F04EEF" w:rsidRDefault="00F04EEF">
                  <w:pPr>
                    <w:tabs>
                      <w:tab w:val="left" w:pos="1260"/>
                    </w:tabs>
                    <w:jc w:val="both"/>
                  </w:pPr>
                </w:p>
                <w:p w:rsidR="00F04EEF" w:rsidRDefault="0099351E">
                  <w:pPr>
                    <w:tabs>
                      <w:tab w:val="left" w:pos="1260"/>
                    </w:tabs>
                    <w:jc w:val="both"/>
                    <w:rPr>
                      <w:b/>
                      <w:u w:val="single"/>
                    </w:rPr>
                  </w:pPr>
                  <w:r>
                    <w:rPr>
                      <w:b/>
                      <w:u w:val="single"/>
                    </w:rPr>
                    <w:t xml:space="preserve">B. Pour les </w:t>
                  </w:r>
                  <w:r>
                    <w:rPr>
                      <w:b/>
                      <w:color w:val="000000"/>
                      <w:u w:val="single"/>
                    </w:rPr>
                    <w:t xml:space="preserve">élèves </w:t>
                  </w:r>
                  <w:r>
                    <w:rPr>
                      <w:b/>
                      <w:u w:val="single"/>
                    </w:rPr>
                    <w:t>qui débutent leur premier projet d’intégration</w:t>
                  </w:r>
                </w:p>
                <w:p w:rsidR="00F04EEF" w:rsidRDefault="00F04EEF">
                  <w:pPr>
                    <w:tabs>
                      <w:tab w:val="left" w:pos="1260"/>
                    </w:tabs>
                    <w:jc w:val="both"/>
                  </w:pPr>
                </w:p>
                <w:p w:rsidR="00F04EEF" w:rsidRDefault="0099351E">
                  <w:pPr>
                    <w:tabs>
                      <w:tab w:val="left" w:pos="1260"/>
                    </w:tabs>
                    <w:jc w:val="both"/>
                    <w:rPr>
                      <w:color w:val="000000"/>
                    </w:rPr>
                  </w:pPr>
                  <w:r>
                    <w:rPr>
                      <w:color w:val="000000"/>
                    </w:rPr>
                    <w:t>Les écoles d’enseignement spécialisé signalent leurs nouvelles intégrations via le « formulaire électronique intégration ». L’administration sera informée de cette intégration via le « formulaire électronique intégration ».</w:t>
                  </w:r>
                </w:p>
                <w:p w:rsidR="00F04EEF" w:rsidRDefault="00F04EEF">
                  <w:pPr>
                    <w:tabs>
                      <w:tab w:val="left" w:pos="1260"/>
                    </w:tabs>
                    <w:jc w:val="both"/>
                    <w:rPr>
                      <w:u w:val="single"/>
                    </w:rPr>
                  </w:pPr>
                </w:p>
                <w:p w:rsidR="00F04EEF" w:rsidRDefault="0099351E">
                  <w:pPr>
                    <w:tabs>
                      <w:tab w:val="left" w:pos="1260"/>
                    </w:tabs>
                    <w:jc w:val="both"/>
                    <w:rPr>
                      <w:b/>
                      <w:color w:val="000000"/>
                      <w:u w:val="single"/>
                    </w:rPr>
                  </w:pPr>
                  <w:r>
                    <w:rPr>
                      <w:b/>
                      <w:color w:val="000000"/>
                      <w:u w:val="single"/>
                    </w:rPr>
                    <w:t>C. Dans tous les cas, en cours d’année scolaire</w:t>
                  </w:r>
                </w:p>
                <w:p w:rsidR="00F04EEF" w:rsidRDefault="00F04EEF">
                  <w:pPr>
                    <w:tabs>
                      <w:tab w:val="left" w:pos="1260"/>
                    </w:tabs>
                    <w:jc w:val="both"/>
                    <w:rPr>
                      <w:color w:val="000000"/>
                    </w:rPr>
                  </w:pPr>
                </w:p>
                <w:p w:rsidR="00F04EEF" w:rsidRDefault="0099351E">
                  <w:pPr>
                    <w:jc w:val="both"/>
                    <w:rPr>
                      <w:color w:val="000000"/>
                    </w:rPr>
                  </w:pPr>
                  <w:r>
                    <w:rPr>
                      <w:color w:val="000000"/>
                    </w:rPr>
                    <w:t xml:space="preserve">Toute nouvelle intégration est signalée à l’Administration via le « formulaire électronique intégration ». </w:t>
                  </w:r>
                </w:p>
                <w:p w:rsidR="00F04EEF" w:rsidRDefault="00F04EEF">
                  <w:pPr>
                    <w:jc w:val="both"/>
                    <w:rPr>
                      <w:color w:val="000000"/>
                    </w:rPr>
                  </w:pPr>
                </w:p>
                <w:p w:rsidR="00F04EEF" w:rsidRDefault="0099351E">
                  <w:pPr>
                    <w:jc w:val="both"/>
                    <w:rPr>
                      <w:color w:val="000000"/>
                    </w:rPr>
                  </w:pPr>
                  <w:r>
                    <w:rPr>
                      <w:color w:val="000000"/>
                    </w:rPr>
                    <w:t xml:space="preserve">Pour tout changement concernant un élève intégré, il faut envoyer à l’Administration un courrier postal ou envoyer un mail sur la boîte mail générique: </w:t>
                  </w:r>
                  <w:hyperlink r:id="rId212" w:history="1">
                    <w:r>
                      <w:rPr>
                        <w:rStyle w:val="Lienhypertexte"/>
                        <w:rFonts w:cs="Arial"/>
                        <w:u w:val="none"/>
                      </w:rPr>
                      <w:t>integration_specialise@cfwb.be</w:t>
                    </w:r>
                  </w:hyperlink>
                  <w:r>
                    <w:rPr>
                      <w:color w:val="000000"/>
                    </w:rPr>
                    <w:t xml:space="preserve"> </w:t>
                  </w:r>
                </w:p>
                <w:p w:rsidR="00F04EEF" w:rsidRDefault="00F04EEF">
                  <w:pPr>
                    <w:tabs>
                      <w:tab w:val="left" w:pos="1260"/>
                    </w:tabs>
                    <w:jc w:val="both"/>
                  </w:pPr>
                </w:p>
                <w:p w:rsidR="00F04EEF" w:rsidRDefault="0099351E">
                  <w:pPr>
                    <w:tabs>
                      <w:tab w:val="left" w:pos="1260"/>
                    </w:tabs>
                    <w:jc w:val="both"/>
                    <w:rPr>
                      <w:rFonts w:cstheme="minorHAnsi"/>
                    </w:rPr>
                  </w:pPr>
                  <w:r>
                    <w:rPr>
                      <w:rFonts w:cstheme="minorHAnsi"/>
                      <w:noProof/>
                      <w:lang w:eastAsia="fr-BE"/>
                    </w:rPr>
                    <mc:AlternateContent>
                      <mc:Choice Requires="wps">
                        <w:drawing>
                          <wp:anchor distT="0" distB="0" distL="114300" distR="114300" simplePos="0" relativeHeight="252417024" behindDoc="0" locked="0" layoutInCell="1" allowOverlap="1">
                            <wp:simplePos x="0" y="0"/>
                            <wp:positionH relativeFrom="column">
                              <wp:posOffset>6273800</wp:posOffset>
                            </wp:positionH>
                            <wp:positionV relativeFrom="paragraph">
                              <wp:posOffset>217170</wp:posOffset>
                            </wp:positionV>
                            <wp:extent cx="0" cy="240323"/>
                            <wp:effectExtent l="0" t="0" r="19050" b="26670"/>
                            <wp:wrapNone/>
                            <wp:docPr id="5554" name="Connecteur droit 5554"/>
                            <wp:cNvGraphicFramePr/>
                            <a:graphic xmlns:a="http://schemas.openxmlformats.org/drawingml/2006/main">
                              <a:graphicData uri="http://schemas.microsoft.com/office/word/2010/wordprocessingShape">
                                <wps:wsp>
                                  <wps:cNvCnPr/>
                                  <wps:spPr>
                                    <a:xfrm>
                                      <a:off x="0" y="0"/>
                                      <a:ext cx="0" cy="24032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87600B" id="Connecteur droit 5554" o:spid="_x0000_s1026" style="position:absolute;z-index:252417024;visibility:visible;mso-wrap-style:square;mso-wrap-distance-left:9pt;mso-wrap-distance-top:0;mso-wrap-distance-right:9pt;mso-wrap-distance-bottom:0;mso-position-horizontal:absolute;mso-position-horizontal-relative:text;mso-position-vertical:absolute;mso-position-vertical-relative:text" from="494pt,17.1pt" to="494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" strokecolor="black [3213]"/>
                        </w:pict>
                      </mc:Fallback>
                    </mc:AlternateContent>
                  </w:r>
                  <w:r>
                    <w:rPr>
                      <w:rFonts w:cstheme="minorHAnsi"/>
                    </w:rPr>
                    <w:t xml:space="preserve">En cas de : </w:t>
                  </w:r>
                </w:p>
                <w:p w:rsidR="00F04EEF" w:rsidRDefault="00F04EEF">
                  <w:pPr>
                    <w:tabs>
                      <w:tab w:val="left" w:pos="1260"/>
                    </w:tabs>
                    <w:jc w:val="both"/>
                    <w:rPr>
                      <w:rFonts w:cstheme="minorHAnsi"/>
                    </w:rPr>
                  </w:pPr>
                </w:p>
                <w:p w:rsidR="00F04EEF" w:rsidRDefault="0099351E">
                  <w:pPr>
                    <w:pStyle w:val="Paragraphedeliste"/>
                    <w:numPr>
                      <w:ilvl w:val="0"/>
                      <w:numId w:val="160"/>
                    </w:numPr>
                    <w:suppressAutoHyphens w:val="0"/>
                    <w:ind w:left="360"/>
                    <w:jc w:val="both"/>
                    <w:rPr>
                      <w:rFonts w:asciiTheme="minorHAnsi" w:hAnsiTheme="minorHAnsi" w:cstheme="minorHAnsi"/>
                      <w:sz w:val="22"/>
                      <w:szCs w:val="22"/>
                    </w:rPr>
                  </w:pPr>
                  <w:r>
                    <w:rPr>
                      <w:rFonts w:asciiTheme="minorHAnsi" w:hAnsiTheme="minorHAnsi" w:cstheme="minorHAnsi"/>
                      <w:sz w:val="22"/>
                      <w:szCs w:val="22"/>
                    </w:rPr>
                    <w:t xml:space="preserve">Prolongation d’une intégration en cours d’année scolaire  : compléter </w:t>
                  </w:r>
                  <w:hyperlink w:anchor="_Annexe_4_:_8" w:history="1">
                    <w:r>
                      <w:rPr>
                        <w:rStyle w:val="Lienhypertexte"/>
                        <w:rFonts w:asciiTheme="minorHAnsi" w:hAnsiTheme="minorHAnsi" w:cstheme="minorHAnsi"/>
                        <w:sz w:val="22"/>
                        <w:szCs w:val="22"/>
                      </w:rPr>
                      <w:t>l’annexe 4</w:t>
                    </w:r>
                  </w:hyperlink>
                  <w:r>
                    <w:rPr>
                      <w:rStyle w:val="Lienhypertexte"/>
                      <w:rFonts w:asciiTheme="minorHAnsi" w:hAnsiTheme="minorHAnsi" w:cstheme="minorHAnsi"/>
                      <w:sz w:val="22"/>
                      <w:szCs w:val="22"/>
                    </w:rPr>
                    <w:t xml:space="preserve"> </w:t>
                  </w:r>
                  <w:r>
                    <w:rPr>
                      <w:rFonts w:asciiTheme="minorHAnsi" w:hAnsiTheme="minorHAnsi" w:cstheme="minorHAnsi"/>
                      <w:sz w:val="22"/>
                      <w:szCs w:val="22"/>
                    </w:rPr>
                    <w:t>et transmettre celle-ci par mail à l’Administration.</w:t>
                  </w:r>
                </w:p>
                <w:p w:rsidR="00F04EEF" w:rsidRDefault="0099351E">
                  <w:pPr>
                    <w:pStyle w:val="Paragraphedeliste"/>
                    <w:numPr>
                      <w:ilvl w:val="0"/>
                      <w:numId w:val="160"/>
                    </w:numPr>
                    <w:suppressAutoHyphens w:val="0"/>
                    <w:ind w:left="360"/>
                    <w:jc w:val="both"/>
                    <w:rPr>
                      <w:rFonts w:asciiTheme="minorHAnsi" w:hAnsiTheme="minorHAnsi" w:cstheme="minorHAnsi"/>
                      <w:sz w:val="22"/>
                      <w:szCs w:val="22"/>
                    </w:rPr>
                  </w:pPr>
                  <w:r>
                    <w:rPr>
                      <w:rFonts w:asciiTheme="minorHAnsi" w:hAnsiTheme="minorHAnsi" w:cstheme="minorHAnsi"/>
                      <w:sz w:val="22"/>
                      <w:szCs w:val="22"/>
                    </w:rPr>
                    <w:t xml:space="preserve">Arrêt d’une intégration à la date prévue au protocole d’intégration : compléter </w:t>
                  </w:r>
                  <w:hyperlink w:anchor="_Annexe_4_:_8" w:history="1">
                    <w:r>
                      <w:rPr>
                        <w:rStyle w:val="Lienhypertexte"/>
                        <w:rFonts w:asciiTheme="minorHAnsi" w:hAnsiTheme="minorHAnsi" w:cstheme="minorHAnsi"/>
                        <w:sz w:val="22"/>
                        <w:szCs w:val="22"/>
                      </w:rPr>
                      <w:t xml:space="preserve">l’annexe 4 </w:t>
                    </w:r>
                  </w:hyperlink>
                  <w:r>
                    <w:rPr>
                      <w:rStyle w:val="Lienhypertexte"/>
                      <w:rFonts w:asciiTheme="minorHAnsi" w:hAnsiTheme="minorHAnsi" w:cstheme="minorHAnsi"/>
                      <w:sz w:val="22"/>
                      <w:szCs w:val="22"/>
                    </w:rPr>
                    <w:t xml:space="preserve"> </w:t>
                  </w:r>
                  <w:r>
                    <w:rPr>
                      <w:rFonts w:asciiTheme="minorHAnsi" w:hAnsiTheme="minorHAnsi" w:cstheme="minorHAnsi"/>
                      <w:sz w:val="22"/>
                      <w:szCs w:val="22"/>
                    </w:rPr>
                    <w:t>et transmettre celle-ci par mail à l’Administration.</w:t>
                  </w:r>
                </w:p>
                <w:p w:rsidR="00F04EEF" w:rsidRDefault="0099351E">
                  <w:pPr>
                    <w:pStyle w:val="Paragraphedeliste"/>
                    <w:numPr>
                      <w:ilvl w:val="0"/>
                      <w:numId w:val="160"/>
                    </w:numPr>
                    <w:suppressAutoHyphens w:val="0"/>
                    <w:ind w:left="360"/>
                    <w:jc w:val="both"/>
                    <w:rPr>
                      <w:rFonts w:asciiTheme="minorHAnsi" w:hAnsiTheme="minorHAnsi" w:cstheme="minorHAnsi"/>
                      <w:sz w:val="22"/>
                      <w:szCs w:val="22"/>
                    </w:rPr>
                  </w:pPr>
                  <w:r>
                    <w:rPr>
                      <w:rFonts w:asciiTheme="minorHAnsi" w:hAnsiTheme="minorHAnsi" w:cstheme="minorHAnsi"/>
                      <w:noProof/>
                      <w:sz w:val="22"/>
                      <w:szCs w:val="22"/>
                      <w:lang w:eastAsia="fr-BE"/>
                    </w:rPr>
                    <mc:AlternateContent>
                      <mc:Choice Requires="wps">
                        <w:drawing>
                          <wp:anchor distT="0" distB="0" distL="114300" distR="114300" simplePos="0" relativeHeight="252418048" behindDoc="0" locked="0" layoutInCell="1" allowOverlap="1">
                            <wp:simplePos x="0" y="0"/>
                            <wp:positionH relativeFrom="column">
                              <wp:posOffset>6273800</wp:posOffset>
                            </wp:positionH>
                            <wp:positionV relativeFrom="paragraph">
                              <wp:posOffset>36195</wp:posOffset>
                            </wp:positionV>
                            <wp:extent cx="0" cy="345831"/>
                            <wp:effectExtent l="0" t="0" r="19050" b="35560"/>
                            <wp:wrapNone/>
                            <wp:docPr id="5555" name="Connecteur droit 5555"/>
                            <wp:cNvGraphicFramePr/>
                            <a:graphic xmlns:a="http://schemas.openxmlformats.org/drawingml/2006/main">
                              <a:graphicData uri="http://schemas.microsoft.com/office/word/2010/wordprocessingShape">
                                <wps:wsp>
                                  <wps:cNvCnPr/>
                                  <wps:spPr>
                                    <a:xfrm>
                                      <a:off x="0" y="0"/>
                                      <a:ext cx="0" cy="34583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35C9C3" id="Connecteur droit 5555" o:spid="_x0000_s1026" style="position:absolute;z-index:252418048;visibility:visible;mso-wrap-style:square;mso-wrap-distance-left:9pt;mso-wrap-distance-top:0;mso-wrap-distance-right:9pt;mso-wrap-distance-bottom:0;mso-position-horizontal:absolute;mso-position-horizontal-relative:text;mso-position-vertical:absolute;mso-position-vertical-relative:text" from="494pt,2.85pt" to="494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" strokecolor="black [3213]"/>
                        </w:pict>
                      </mc:Fallback>
                    </mc:AlternateContent>
                  </w:r>
                  <w:r>
                    <w:rPr>
                      <w:rFonts w:asciiTheme="minorHAnsi" w:hAnsiTheme="minorHAnsi" w:cstheme="minorHAnsi"/>
                      <w:sz w:val="22"/>
                      <w:szCs w:val="22"/>
                    </w:rPr>
                    <w:t xml:space="preserve">Déclaration d’une nouvelle intégration : signaler via le </w:t>
                  </w:r>
                  <w:r>
                    <w:rPr>
                      <w:rFonts w:asciiTheme="minorHAnsi" w:hAnsiTheme="minorHAnsi" w:cstheme="minorHAnsi"/>
                      <w:color w:val="000000"/>
                      <w:sz w:val="22"/>
                      <w:szCs w:val="22"/>
                    </w:rPr>
                    <w:t xml:space="preserve">« formulaire électronique intégration » </w:t>
                  </w:r>
                  <w:r>
                    <w:rPr>
                      <w:rFonts w:asciiTheme="minorHAnsi" w:hAnsiTheme="minorHAnsi" w:cstheme="minorHAnsi"/>
                      <w:sz w:val="22"/>
                      <w:szCs w:val="22"/>
                    </w:rPr>
                    <w:t xml:space="preserve">sauf pour signaler les prolongations. </w:t>
                  </w:r>
                </w:p>
                <w:p w:rsidR="00F04EEF" w:rsidRDefault="0099351E">
                  <w:pPr>
                    <w:pStyle w:val="Paragraphedeliste"/>
                    <w:numPr>
                      <w:ilvl w:val="0"/>
                      <w:numId w:val="160"/>
                    </w:numPr>
                    <w:suppressAutoHyphens w:val="0"/>
                    <w:ind w:left="360"/>
                    <w:jc w:val="both"/>
                    <w:rPr>
                      <w:rFonts w:asciiTheme="minorHAnsi" w:hAnsiTheme="minorHAnsi" w:cstheme="minorHAnsi"/>
                      <w:sz w:val="22"/>
                      <w:szCs w:val="22"/>
                    </w:rPr>
                  </w:pPr>
                  <w:r>
                    <w:rPr>
                      <w:rFonts w:asciiTheme="minorHAnsi" w:hAnsiTheme="minorHAnsi" w:cstheme="minorHAnsi"/>
                      <w:sz w:val="22"/>
                      <w:szCs w:val="22"/>
                    </w:rPr>
                    <w:t>Modification en cours d’année scolaire : prévenir l’Administration par mail ou par courrier postal.</w:t>
                  </w:r>
                </w:p>
                <w:p w:rsidR="00F04EEF" w:rsidRDefault="00F04EEF">
                  <w:pPr>
                    <w:tabs>
                      <w:tab w:val="left" w:pos="1260"/>
                    </w:tabs>
                    <w:rPr>
                      <w:color w:val="000000"/>
                      <w:u w:val="single"/>
                    </w:rPr>
                  </w:pPr>
                </w:p>
                <w:bookmarkStart w:id="3176" w:name="_11.2_Dérogations_au"/>
                <w:bookmarkStart w:id="3177" w:name="_10.2._Dérogations_au"/>
                <w:bookmarkEnd w:id="3176"/>
                <w:bookmarkEnd w:id="3177"/>
                <w:p w:rsidR="00F04EEF" w:rsidRDefault="0099351E">
                  <w:pPr>
                    <w:pStyle w:val="Titre4"/>
                  </w:pPr>
                  <w:r>
                    <w:rPr>
                      <w:noProof/>
                      <w:lang w:eastAsia="fr-BE"/>
                    </w:rPr>
                    <mc:AlternateContent>
                      <mc:Choice Requires="wps">
                        <w:drawing>
                          <wp:anchor distT="4294967295" distB="4294967295" distL="114299" distR="114299" simplePos="0" relativeHeight="251844608" behindDoc="0" locked="0" layoutInCell="1" allowOverlap="1">
                            <wp:simplePos x="0" y="0"/>
                            <wp:positionH relativeFrom="column">
                              <wp:posOffset>6400799</wp:posOffset>
                            </wp:positionH>
                            <wp:positionV relativeFrom="paragraph">
                              <wp:posOffset>65404</wp:posOffset>
                            </wp:positionV>
                            <wp:extent cx="0" cy="0"/>
                            <wp:effectExtent l="0" t="0" r="0" b="0"/>
                            <wp:wrapNone/>
                            <wp:docPr id="55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0BF5D8" id="Line 49" o:spid="_x0000_s1026" style="position:absolute;z-index:251844608;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7in,5.15pt" to="7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" strokeweight=".26mm">
                            <v:stroke joinstyle="miter"/>
                          </v:line>
                        </w:pict>
                      </mc:Fallback>
                    </mc:AlternateContent>
                  </w:r>
                  <w:bookmarkStart w:id="3178" w:name="_Toc453314441"/>
                  <w:bookmarkStart w:id="3179" w:name="_Toc454980476"/>
                  <w:r>
                    <w:t>10.2. Dérogations au capital- périodes attribué (dans les limites des disponibilités budgétaires disponibles)</w:t>
                  </w:r>
                  <w:bookmarkEnd w:id="3178"/>
                  <w:bookmarkEnd w:id="3179"/>
                  <w:r>
                    <w:t xml:space="preserve"> </w:t>
                  </w:r>
                </w:p>
                <w:p w:rsidR="00F04EEF" w:rsidRDefault="00F04EEF">
                  <w:pPr>
                    <w:tabs>
                      <w:tab w:val="left" w:pos="1260"/>
                    </w:tabs>
                    <w:jc w:val="both"/>
                    <w:rPr>
                      <w:u w:val="single"/>
                    </w:rPr>
                  </w:pPr>
                </w:p>
                <w:p w:rsidR="00F04EEF" w:rsidRDefault="0099351E">
                  <w:pPr>
                    <w:jc w:val="both"/>
                    <w:rPr>
                      <w:color w:val="000000"/>
                    </w:rPr>
                  </w:pPr>
                  <w:r>
                    <w:rPr>
                      <w:color w:val="000000"/>
                    </w:rPr>
                    <w:t>Pour les nouvelles intégrations, les demandes de dérogation « grande distance » (annexes 6a et 6b) se font via le « formulaire électronique intégration ». Les demandes de dérogation sont introduites en même temps que le signalement des intégrations.</w:t>
                  </w:r>
                </w:p>
                <w:p w:rsidR="00F04EEF" w:rsidRDefault="00F04EEF">
                  <w:pPr>
                    <w:jc w:val="both"/>
                    <w:rPr>
                      <w:color w:val="000000"/>
                    </w:rPr>
                  </w:pPr>
                </w:p>
                <w:p w:rsidR="00F04EEF" w:rsidRDefault="0099351E">
                  <w:pPr>
                    <w:jc w:val="both"/>
                    <w:rPr>
                      <w:color w:val="000000"/>
                    </w:rPr>
                  </w:pPr>
                  <w:r>
                    <w:rPr>
                      <w:color w:val="000000"/>
                    </w:rPr>
                    <w:t>Pour les élèves déjà intégrés pendant l’année scolaire, il faut renvoyer les annexes 6a, 6b complétées à l’administration via la boîte mail générique référencée.</w:t>
                  </w:r>
                </w:p>
                <w:p w:rsidR="00F04EEF" w:rsidRDefault="00F04EEF">
                  <w:pPr>
                    <w:tabs>
                      <w:tab w:val="left" w:pos="1260"/>
                    </w:tabs>
                    <w:jc w:val="both"/>
                  </w:pPr>
                </w:p>
                <w:p w:rsidR="00F04EEF" w:rsidRDefault="0099351E">
                  <w:pPr>
                    <w:pStyle w:val="Titre4"/>
                  </w:pPr>
                  <w:bookmarkStart w:id="3180" w:name="_10.3_Autres_dérogations."/>
                  <w:bookmarkStart w:id="3181" w:name="_10.3._Autres_dérogations"/>
                  <w:bookmarkStart w:id="3182" w:name="_Toc453314442"/>
                  <w:bookmarkStart w:id="3183" w:name="_Toc454980477"/>
                  <w:bookmarkEnd w:id="3180"/>
                  <w:bookmarkEnd w:id="3181"/>
                  <w:r>
                    <w:t>10.3. Autres dérogations</w:t>
                  </w:r>
                  <w:bookmarkEnd w:id="3182"/>
                  <w:bookmarkEnd w:id="3183"/>
                </w:p>
                <w:p w:rsidR="00F04EEF" w:rsidRDefault="00F04EEF">
                  <w:pPr>
                    <w:tabs>
                      <w:tab w:val="left" w:pos="1260"/>
                    </w:tabs>
                    <w:jc w:val="both"/>
                    <w:rPr>
                      <w:u w:val="single"/>
                    </w:rPr>
                  </w:pPr>
                </w:p>
                <w:p w:rsidR="00F04EEF" w:rsidRDefault="0099351E">
                  <w:pPr>
                    <w:jc w:val="both"/>
                    <w:rPr>
                      <w:strike/>
                    </w:rPr>
                  </w:pPr>
                  <w:r>
                    <w:t>Pour demander un accompagnement par un établissement qui n’organise pas le type d’enseignement spécialisé mentionné sur l’attestation (intégration permanente totale l’école d’enseignement spécialisé doit envoyer à l’Administration</w:t>
                  </w:r>
                  <w:r>
                    <w:rPr>
                      <w:color w:val="339966"/>
                    </w:rPr>
                    <w:t>,</w:t>
                  </w:r>
                  <w:r>
                    <w:t xml:space="preserve"> </w:t>
                  </w:r>
                  <w:hyperlink w:anchor="_Annexe_8_:" w:history="1">
                    <w:r>
                      <w:rPr>
                        <w:rStyle w:val="Lienhypertexte"/>
                        <w:rFonts w:cs="Arial"/>
                      </w:rPr>
                      <w:t>l’annexe 8</w:t>
                    </w:r>
                  </w:hyperlink>
                  <w:r>
                    <w:t xml:space="preserve">., </w:t>
                  </w:r>
                  <w:r>
                    <w:rPr>
                      <w:color w:val="000000"/>
                    </w:rPr>
                    <w:t>uniquement sur la boîte mail générique référencée supra et via l’adresse mail administrative</w:t>
                  </w:r>
                </w:p>
                <w:p w:rsidR="00F04EEF" w:rsidRDefault="00F04EEF">
                  <w:pPr>
                    <w:jc w:val="both"/>
                    <w:rPr>
                      <w:u w:val="single"/>
                    </w:rPr>
                  </w:pPr>
                </w:p>
                <w:p w:rsidR="00F04EEF" w:rsidRDefault="0099351E">
                  <w:pPr>
                    <w:jc w:val="both"/>
                  </w:pPr>
                  <w:r>
                    <w:t xml:space="preserve">Le décret prévoit que la liste des élèves en intégration permanente totale doit parvenir à l’Administration pour le 30 septembre de l’année scolaire concernée. Une dérogation est possible à titre exceptionnel. Pour en faire la demande, il faut envoyer </w:t>
                  </w:r>
                  <w:hyperlink w:anchor="_Annexe_10_:_3" w:history="1">
                    <w:r>
                      <w:rPr>
                        <w:rStyle w:val="Lienhypertexte"/>
                        <w:rFonts w:cs="Arial"/>
                      </w:rPr>
                      <w:t>l’annexe 10</w:t>
                    </w:r>
                  </w:hyperlink>
                  <w:r>
                    <w:t xml:space="preserve"> au Ministre qui a l’enseignement spécialisé dans ses attributions. L’Administration ne pourra tenir compte des dossiers rentrés hors délais que sur base d’une décision ministérielle.</w:t>
                  </w:r>
                </w:p>
                <w:p w:rsidR="00F04EEF" w:rsidRDefault="00F04EEF">
                  <w:pPr>
                    <w:jc w:val="both"/>
                    <w:rPr>
                      <w:u w:val="single"/>
                    </w:rPr>
                  </w:pPr>
                </w:p>
                <w:p w:rsidR="00F04EEF" w:rsidRDefault="0099351E">
                  <w:pPr>
                    <w:pStyle w:val="Titre3"/>
                    <w:jc w:val="both"/>
                    <w:rPr>
                      <w:sz w:val="22"/>
                      <w:szCs w:val="22"/>
                    </w:rPr>
                  </w:pPr>
                  <w:bookmarkStart w:id="3184" w:name="__RefHeading__259_957262308"/>
                  <w:bookmarkStart w:id="3185" w:name="_12_._Transmission"/>
                  <w:bookmarkStart w:id="3186" w:name="_12._Transmission_des"/>
                  <w:bookmarkStart w:id="3187" w:name="_Toc324166043"/>
                  <w:bookmarkStart w:id="3188" w:name="_Toc324767079"/>
                  <w:bookmarkStart w:id="3189" w:name="_Toc453314448"/>
                  <w:bookmarkStart w:id="3190" w:name="_Toc454980483"/>
                  <w:bookmarkStart w:id="3191" w:name="_Toc47708560"/>
                  <w:bookmarkStart w:id="3192" w:name="_Toc291075413"/>
                  <w:bookmarkStart w:id="3193" w:name="_Toc291075837"/>
                  <w:bookmarkStart w:id="3194" w:name="_Toc291076261"/>
                  <w:bookmarkStart w:id="3195" w:name="_Toc291076685"/>
                  <w:bookmarkStart w:id="3196" w:name="_Toc291077109"/>
                  <w:bookmarkStart w:id="3197" w:name="_Toc293651952"/>
                  <w:bookmarkStart w:id="3198" w:name="_Toc293653535"/>
                  <w:bookmarkStart w:id="3199" w:name="_Toc293654146"/>
                  <w:bookmarkStart w:id="3200" w:name="_Toc294004724"/>
                  <w:bookmarkStart w:id="3201" w:name="_Toc294185220"/>
                  <w:bookmarkEnd w:id="3184"/>
                  <w:bookmarkEnd w:id="3185"/>
                  <w:bookmarkEnd w:id="3186"/>
                  <w:r>
                    <w:rPr>
                      <w:sz w:val="22"/>
                      <w:szCs w:val="22"/>
                    </w:rPr>
                    <w:t>11. Transmission des informations concernant des élèves en intégration permanente totale au-delà du 30 septembre de l’année scolaire pour laquelle est prévue l’intégration.</w:t>
                  </w:r>
                  <w:bookmarkEnd w:id="3187"/>
                  <w:bookmarkEnd w:id="3188"/>
                  <w:bookmarkEnd w:id="3189"/>
                  <w:bookmarkEnd w:id="3190"/>
                  <w:bookmarkEnd w:id="3191"/>
                </w:p>
                <w:p w:rsidR="00F04EEF" w:rsidRDefault="00F04EEF"/>
                <w:p w:rsidR="00F04EEF" w:rsidRDefault="0099351E">
                  <w:pPr>
                    <w:jc w:val="both"/>
                  </w:pPr>
                  <w:r>
                    <w:t xml:space="preserve">Pour des raisons exceptionnelles, les écoles peuvent introduire, auprès du Ministre ayant l’Enseignement spécialisé dans ses attributions, une demande motivée sollicitant l’autorisation de transmettre la liste des élèves en intégration permanente totale au-delà du 30 septembre de l’année scolaire en cours pour laquelle est prévue l’intégration permanente totale. </w:t>
                  </w:r>
                </w:p>
                <w:p w:rsidR="00F04EEF" w:rsidRDefault="00F04EEF">
                  <w:pPr>
                    <w:jc w:val="both"/>
                  </w:pPr>
                </w:p>
                <w:p w:rsidR="00F04EEF" w:rsidRDefault="0099351E">
                  <w:pPr>
                    <w:pStyle w:val="Titre4"/>
                  </w:pPr>
                  <w:bookmarkStart w:id="3202" w:name="_Toc324166044"/>
                  <w:bookmarkStart w:id="3203" w:name="_Toc324767080"/>
                  <w:bookmarkStart w:id="3204" w:name="_Toc324767938"/>
                  <w:bookmarkStart w:id="3205" w:name="_Toc453314449"/>
                  <w:bookmarkStart w:id="3206" w:name="_Toc454980484"/>
                  <w:r>
                    <w:t>11.1. Circonstances particulières</w:t>
                  </w:r>
                  <w:bookmarkEnd w:id="3202"/>
                  <w:bookmarkEnd w:id="3203"/>
                  <w:bookmarkEnd w:id="3204"/>
                  <w:bookmarkEnd w:id="3205"/>
                  <w:bookmarkEnd w:id="3206"/>
                </w:p>
                <w:p w:rsidR="00F04EEF" w:rsidRDefault="00F04EEF"/>
                <w:p w:rsidR="00F04EEF" w:rsidRDefault="0099351E">
                  <w:pPr>
                    <w:jc w:val="both"/>
                  </w:pPr>
                  <w:r>
                    <w:t xml:space="preserve">Les circonstances particulières sont les suivantes : </w:t>
                  </w:r>
                </w:p>
                <w:p w:rsidR="00F04EEF" w:rsidRDefault="00F04EEF">
                  <w:pPr>
                    <w:jc w:val="both"/>
                  </w:pPr>
                </w:p>
                <w:p w:rsidR="00F04EEF" w:rsidRDefault="0099351E">
                  <w:pPr>
                    <w:numPr>
                      <w:ilvl w:val="0"/>
                      <w:numId w:val="152"/>
                    </w:numPr>
                    <w:tabs>
                      <w:tab w:val="clear" w:pos="510"/>
                      <w:tab w:val="num" w:pos="900"/>
                    </w:tabs>
                    <w:suppressAutoHyphens/>
                    <w:ind w:left="360" w:hanging="360"/>
                    <w:jc w:val="both"/>
                  </w:pPr>
                  <w:r>
                    <w:t xml:space="preserve">la mesure de placement prise soit par un magistrat, soit par le conseiller ou le (la) directeur d’aide à la jeunesse ; </w:t>
                  </w:r>
                </w:p>
                <w:p w:rsidR="00F04EEF" w:rsidRDefault="0099351E">
                  <w:pPr>
                    <w:numPr>
                      <w:ilvl w:val="0"/>
                      <w:numId w:val="152"/>
                    </w:numPr>
                    <w:tabs>
                      <w:tab w:val="clear" w:pos="510"/>
                      <w:tab w:val="num" w:pos="900"/>
                    </w:tabs>
                    <w:suppressAutoHyphens/>
                    <w:ind w:left="360" w:hanging="360"/>
                    <w:jc w:val="both"/>
                  </w:pPr>
                  <w:r>
                    <w:t xml:space="preserve">le changement de domicile ; </w:t>
                  </w:r>
                </w:p>
                <w:p w:rsidR="00F04EEF" w:rsidRDefault="0099351E">
                  <w:pPr>
                    <w:numPr>
                      <w:ilvl w:val="0"/>
                      <w:numId w:val="152"/>
                    </w:numPr>
                    <w:tabs>
                      <w:tab w:val="clear" w:pos="510"/>
                      <w:tab w:val="num" w:pos="900"/>
                    </w:tabs>
                    <w:suppressAutoHyphens/>
                    <w:ind w:left="360" w:hanging="360"/>
                    <w:jc w:val="both"/>
                  </w:pPr>
                  <w:r>
                    <w:t xml:space="preserve">la séparation des parents entraînant un changement de lieu d’hébergement de l’élève ; </w:t>
                  </w:r>
                </w:p>
                <w:p w:rsidR="00F04EEF" w:rsidRDefault="0099351E">
                  <w:pPr>
                    <w:numPr>
                      <w:ilvl w:val="0"/>
                      <w:numId w:val="152"/>
                    </w:numPr>
                    <w:tabs>
                      <w:tab w:val="clear" w:pos="510"/>
                      <w:tab w:val="num" w:pos="900"/>
                    </w:tabs>
                    <w:suppressAutoHyphens/>
                    <w:ind w:left="360" w:hanging="360"/>
                    <w:jc w:val="both"/>
                  </w:pPr>
                  <w:r>
                    <w:t xml:space="preserve">le passage de l’élève d’une école à régime d’externat vers un internat et vice versa ; </w:t>
                  </w:r>
                </w:p>
                <w:p w:rsidR="00F04EEF" w:rsidRDefault="0099351E">
                  <w:pPr>
                    <w:numPr>
                      <w:ilvl w:val="0"/>
                      <w:numId w:val="152"/>
                    </w:numPr>
                    <w:tabs>
                      <w:tab w:val="clear" w:pos="510"/>
                      <w:tab w:val="num" w:pos="900"/>
                    </w:tabs>
                    <w:suppressAutoHyphens/>
                    <w:ind w:left="360" w:hanging="360"/>
                    <w:jc w:val="both"/>
                  </w:pPr>
                  <w:r>
                    <w:t xml:space="preserve">l’accueil de l’élève, sur l’initiative des parents, dans une autre famille ou dans un centre pour raison de maladie, de voyage ; </w:t>
                  </w:r>
                </w:p>
                <w:p w:rsidR="00F04EEF" w:rsidRDefault="0099351E">
                  <w:pPr>
                    <w:numPr>
                      <w:ilvl w:val="0"/>
                      <w:numId w:val="152"/>
                    </w:numPr>
                    <w:tabs>
                      <w:tab w:val="clear" w:pos="510"/>
                      <w:tab w:val="num" w:pos="900"/>
                    </w:tabs>
                    <w:suppressAutoHyphens/>
                    <w:ind w:left="360" w:hanging="360"/>
                    <w:jc w:val="both"/>
                  </w:pPr>
                  <w:r>
                    <w:t xml:space="preserve">l’exclusion définitive de l’élève d’un autre établissement ; </w:t>
                  </w:r>
                </w:p>
                <w:p w:rsidR="00F04EEF" w:rsidRDefault="0099351E">
                  <w:pPr>
                    <w:numPr>
                      <w:ilvl w:val="0"/>
                      <w:numId w:val="152"/>
                    </w:numPr>
                    <w:tabs>
                      <w:tab w:val="clear" w:pos="510"/>
                      <w:tab w:val="num" w:pos="900"/>
                    </w:tabs>
                    <w:suppressAutoHyphens/>
                    <w:ind w:left="360" w:hanging="360"/>
                    <w:jc w:val="both"/>
                  </w:pPr>
                  <w:r>
                    <w:t>en cas de force majeure ou de nécessité absolue dûment motivée et dans l’intérêt de l’élève pour des motifs autres que les cas énumérés ci-dessus.</w:t>
                  </w:r>
                </w:p>
                <w:p w:rsidR="00F04EEF" w:rsidRDefault="00F04EEF">
                  <w:pPr>
                    <w:jc w:val="both"/>
                  </w:pPr>
                </w:p>
                <w:p w:rsidR="00F04EEF" w:rsidRDefault="0099351E">
                  <w:pPr>
                    <w:pStyle w:val="Titre4"/>
                  </w:pPr>
                  <w:bookmarkStart w:id="3207" w:name="_12.2_Procédure"/>
                  <w:bookmarkStart w:id="3208" w:name="_Toc453314450"/>
                  <w:bookmarkStart w:id="3209" w:name="_Toc454980485"/>
                  <w:bookmarkEnd w:id="3207"/>
                  <w:r>
                    <w:t>11.2. Procédure</w:t>
                  </w:r>
                  <w:bookmarkEnd w:id="3208"/>
                  <w:bookmarkEnd w:id="3209"/>
                </w:p>
                <w:p w:rsidR="00F04EEF" w:rsidRDefault="00F04EEF">
                  <w:pPr>
                    <w:jc w:val="both"/>
                  </w:pPr>
                </w:p>
                <w:p w:rsidR="00F04EEF" w:rsidRDefault="0099351E">
                  <w:pPr>
                    <w:jc w:val="both"/>
                  </w:pPr>
                  <w:r>
                    <w:t xml:space="preserve">L’établissement d’enseignement spécialisé doit introduire un dossier de demande par élève comprenant </w:t>
                  </w:r>
                  <w:hyperlink w:anchor="_Annexe_10_:_3" w:history="1">
                    <w:r>
                      <w:rPr>
                        <w:rStyle w:val="Lienhypertexte"/>
                        <w:rFonts w:cs="Arial"/>
                      </w:rPr>
                      <w:t>l’annexe 10 dûment complétée</w:t>
                    </w:r>
                  </w:hyperlink>
                  <w:r>
                    <w:t xml:space="preserve"> et une copie de </w:t>
                  </w:r>
                  <w:hyperlink w:anchor="_Annexe_2_:_2" w:history="1">
                    <w:r>
                      <w:rPr>
                        <w:rStyle w:val="Lienhypertexte"/>
                        <w:rFonts w:cs="Arial"/>
                      </w:rPr>
                      <w:t>l’annexe 2</w:t>
                    </w:r>
                  </w:hyperlink>
                  <w:r>
                    <w:t xml:space="preserve"> (protocole d’intégration) auprès du Ministre qui a l’Enseignement spécialisé dans ses attributions. Celui-ci statue sur la demande de dérogation dans les 30 jours hors vacances scolaires suivant la réception du dossier de demande de dérogation.</w:t>
                  </w:r>
                </w:p>
                <w:p w:rsidR="00F04EEF" w:rsidRDefault="00F04EEF">
                  <w:pPr>
                    <w:jc w:val="both"/>
                  </w:pPr>
                  <w:bookmarkStart w:id="3210" w:name="_13_Modalités_de"/>
                  <w:bookmarkEnd w:id="3210"/>
                </w:p>
                <w:p w:rsidR="00F04EEF" w:rsidRDefault="0099351E">
                  <w:pPr>
                    <w:pStyle w:val="Titre3"/>
                    <w:rPr>
                      <w:sz w:val="22"/>
                      <w:szCs w:val="22"/>
                    </w:rPr>
                  </w:pPr>
                  <w:bookmarkStart w:id="3211" w:name="_15._Dérogations_«"/>
                  <w:bookmarkStart w:id="3212" w:name="_Toc453314452"/>
                  <w:bookmarkStart w:id="3213" w:name="_Toc454980487"/>
                  <w:bookmarkStart w:id="3214" w:name="_Toc47708561"/>
                  <w:bookmarkStart w:id="3215" w:name="_Toc324166046"/>
                  <w:bookmarkStart w:id="3216" w:name="_Toc324767082"/>
                  <w:bookmarkEnd w:id="3211"/>
                  <w:r>
                    <w:rPr>
                      <w:sz w:val="22"/>
                      <w:szCs w:val="22"/>
                    </w:rPr>
                    <w:t>12. Dérogations « autre type »</w:t>
                  </w:r>
                  <w:bookmarkEnd w:id="3212"/>
                  <w:bookmarkEnd w:id="3213"/>
                  <w:bookmarkEnd w:id="3214"/>
                </w:p>
                <w:p w:rsidR="00F04EEF" w:rsidRDefault="00F04EEF">
                  <w:pPr>
                    <w:rPr>
                      <w:bCs/>
                      <w:color w:val="000000"/>
                      <w:lang w:eastAsia="fr-FR"/>
                    </w:rPr>
                  </w:pPr>
                </w:p>
                <w:p w:rsidR="00F04EEF" w:rsidRDefault="0099351E">
                  <w:pPr>
                    <w:jc w:val="both"/>
                    <w:rPr>
                      <w:color w:val="000000"/>
                      <w:lang w:eastAsia="fr-FR"/>
                    </w:rPr>
                  </w:pPr>
                  <w:r>
                    <w:rPr>
                      <w:color w:val="000000"/>
                      <w:lang w:eastAsia="fr-FR"/>
                    </w:rPr>
                    <w:t>Toute dérogation « autre type » accordée à un élève demeure valable pendant toute sa scolarité pour autant que les conditions, en vertu desquelles  ladite dérogation a été octroyée, demeurent inchangées.</w:t>
                  </w:r>
                </w:p>
                <w:p w:rsidR="00F04EEF" w:rsidRDefault="00F04EEF">
                  <w:pPr>
                    <w:rPr>
                      <w:highlight w:val="yellow"/>
                    </w:rPr>
                  </w:pPr>
                  <w:bookmarkStart w:id="3217" w:name="_Toc453314453"/>
                  <w:bookmarkStart w:id="3218" w:name="_Toc454980488"/>
                </w:p>
                <w:p w:rsidR="00F04EEF" w:rsidRDefault="0099351E">
                  <w:pPr>
                    <w:pStyle w:val="Titre3"/>
                    <w:jc w:val="both"/>
                    <w:rPr>
                      <w:sz w:val="22"/>
                      <w:szCs w:val="22"/>
                    </w:rPr>
                  </w:pPr>
                  <w:bookmarkStart w:id="3219" w:name="_16._Foire_aux"/>
                  <w:bookmarkStart w:id="3220" w:name="_12._Annexes"/>
                  <w:bookmarkStart w:id="3221" w:name="__RefHeading__261_957262308"/>
                  <w:bookmarkStart w:id="3222" w:name="_17._Annexes"/>
                  <w:bookmarkStart w:id="3223" w:name="_17._Signalement_des"/>
                  <w:bookmarkStart w:id="3224" w:name="_16._Signalement_des"/>
                  <w:bookmarkStart w:id="3225" w:name="_15._Signalement_des"/>
                  <w:bookmarkStart w:id="3226" w:name="_13._Signalement_des"/>
                  <w:bookmarkStart w:id="3227" w:name="_Toc47708562"/>
                  <w:bookmarkStart w:id="3228" w:name="_Toc291075414"/>
                  <w:bookmarkStart w:id="3229" w:name="_Toc291075838"/>
                  <w:bookmarkStart w:id="3230" w:name="_Toc291076262"/>
                  <w:bookmarkStart w:id="3231" w:name="_Toc291076686"/>
                  <w:bookmarkStart w:id="3232" w:name="_Toc291077110"/>
                  <w:bookmarkStart w:id="3233" w:name="_Toc293651953"/>
                  <w:bookmarkStart w:id="3234" w:name="_Toc293653536"/>
                  <w:bookmarkStart w:id="3235" w:name="_Toc293654147"/>
                  <w:bookmarkStart w:id="3236" w:name="_Toc294004725"/>
                  <w:bookmarkStart w:id="3237" w:name="_Toc294185221"/>
                  <w:bookmarkStart w:id="3238" w:name="_Toc324166047"/>
                  <w:bookmarkStart w:id="3239" w:name="_Toc324767083"/>
                  <w:bookmarkStart w:id="3240" w:name="_Toc324767941"/>
                  <w:bookmarkStart w:id="3241" w:name="_Toc453314454"/>
                  <w:bookmarkStart w:id="3242" w:name="_Toc454980489"/>
                  <w:bookmarkEnd w:id="3192"/>
                  <w:bookmarkEnd w:id="3193"/>
                  <w:bookmarkEnd w:id="3194"/>
                  <w:bookmarkEnd w:id="3195"/>
                  <w:bookmarkEnd w:id="3196"/>
                  <w:bookmarkEnd w:id="3197"/>
                  <w:bookmarkEnd w:id="3198"/>
                  <w:bookmarkEnd w:id="3199"/>
                  <w:bookmarkEnd w:id="3200"/>
                  <w:bookmarkEnd w:id="3201"/>
                  <w:bookmarkEnd w:id="3215"/>
                  <w:bookmarkEnd w:id="3216"/>
                  <w:bookmarkEnd w:id="3217"/>
                  <w:bookmarkEnd w:id="3218"/>
                  <w:bookmarkEnd w:id="3219"/>
                  <w:bookmarkEnd w:id="3220"/>
                  <w:bookmarkEnd w:id="3221"/>
                  <w:bookmarkEnd w:id="3222"/>
                  <w:bookmarkEnd w:id="3223"/>
                  <w:bookmarkEnd w:id="3224"/>
                  <w:bookmarkEnd w:id="3225"/>
                  <w:bookmarkEnd w:id="3226"/>
                  <w:r>
                    <w:rPr>
                      <w:sz w:val="22"/>
                      <w:szCs w:val="22"/>
                    </w:rPr>
                    <w:t>13. Signalement des intégrations des élèves à besoins spécifiques via le formulaire électronique.</w:t>
                  </w:r>
                  <w:bookmarkEnd w:id="3227"/>
                </w:p>
                <w:p w:rsidR="00F04EEF" w:rsidRDefault="00F04EEF"/>
                <w:p w:rsidR="00F04EEF" w:rsidRDefault="0099351E">
                  <w:pPr>
                    <w:jc w:val="both"/>
                  </w:pPr>
                  <w:r>
                    <w:t xml:space="preserve">Vous </w:t>
                  </w:r>
                  <w:r>
                    <w:rPr>
                      <w:b/>
                    </w:rPr>
                    <w:t>devez</w:t>
                  </w:r>
                  <w:r>
                    <w:t xml:space="preserve"> </w:t>
                  </w:r>
                  <w:r>
                    <w:rPr>
                      <w:b/>
                    </w:rPr>
                    <w:t>signaler</w:t>
                  </w:r>
                  <w:r>
                    <w:t xml:space="preserve"> tous les </w:t>
                  </w:r>
                  <w:r>
                    <w:rPr>
                      <w:b/>
                    </w:rPr>
                    <w:t>nouveaux</w:t>
                  </w:r>
                  <w:r>
                    <w:t xml:space="preserve"> protocoles d’intégration. </w:t>
                  </w:r>
                </w:p>
                <w:p w:rsidR="00F04EEF" w:rsidRDefault="0099351E">
                  <w:pPr>
                    <w:jc w:val="both"/>
                  </w:pPr>
                  <w:r>
                    <w:rPr>
                      <w:noProof/>
                      <w:lang w:eastAsia="fr-BE"/>
                    </w:rPr>
                    <mc:AlternateContent>
                      <mc:Choice Requires="wps">
                        <w:drawing>
                          <wp:anchor distT="0" distB="0" distL="114300" distR="114300" simplePos="0" relativeHeight="252425216" behindDoc="0" locked="0" layoutInCell="1" allowOverlap="1">
                            <wp:simplePos x="0" y="0"/>
                            <wp:positionH relativeFrom="column">
                              <wp:posOffset>6275070</wp:posOffset>
                            </wp:positionH>
                            <wp:positionV relativeFrom="paragraph">
                              <wp:posOffset>189865</wp:posOffset>
                            </wp:positionV>
                            <wp:extent cx="0" cy="215900"/>
                            <wp:effectExtent l="0" t="0" r="19050" b="31750"/>
                            <wp:wrapNone/>
                            <wp:docPr id="5562" name="Connecteur droit 5562"/>
                            <wp:cNvGraphicFramePr/>
                            <a:graphic xmlns:a="http://schemas.openxmlformats.org/drawingml/2006/main">
                              <a:graphicData uri="http://schemas.microsoft.com/office/word/2010/wordprocessingShape">
                                <wps:wsp>
                                  <wps:cNvCnPr/>
                                  <wps:spPr>
                                    <a:xfrm>
                                      <a:off x="0" y="0"/>
                                      <a:ext cx="0" cy="215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09E04A" id="Connecteur droit 5562" o:spid="_x0000_s1026" style="position:absolute;z-index:252425216;visibility:visible;mso-wrap-style:square;mso-wrap-distance-left:9pt;mso-wrap-distance-top:0;mso-wrap-distance-right:9pt;mso-wrap-distance-bottom:0;mso-position-horizontal:absolute;mso-position-horizontal-relative:text;mso-position-vertical:absolute;mso-position-vertical-relative:text" from="494.1pt,14.95pt" to="494.1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" strokecolor="black [3213]"/>
                        </w:pict>
                      </mc:Fallback>
                    </mc:AlternateContent>
                  </w:r>
                </w:p>
                <w:p w:rsidR="00F04EEF" w:rsidRDefault="0099351E">
                  <w:pPr>
                    <w:jc w:val="both"/>
                  </w:pPr>
                  <w:r>
                    <w:t xml:space="preserve">Vous devez introduire des </w:t>
                  </w:r>
                  <w:r>
                    <w:rPr>
                      <w:b/>
                    </w:rPr>
                    <w:t>demandes de dérogation « annexes 6a et 6b»</w:t>
                  </w:r>
                  <w:r>
                    <w:t xml:space="preserve"> lors de tout signalement d’intégration. </w:t>
                  </w:r>
                </w:p>
                <w:p w:rsidR="00F04EEF" w:rsidRDefault="00F04EEF">
                  <w:pPr>
                    <w:jc w:val="both"/>
                  </w:pPr>
                </w:p>
                <w:p w:rsidR="00F04EEF" w:rsidRDefault="0099351E">
                  <w:pPr>
                    <w:jc w:val="both"/>
                    <w:rPr>
                      <w:caps/>
                      <w:color w:val="FF0000"/>
                    </w:rPr>
                  </w:pPr>
                  <w:r>
                    <w:rPr>
                      <w:caps/>
                      <w:color w:val="FF0000"/>
                    </w:rPr>
                    <w:t>Il ne faut donc plus transmettre à l’Administration ces documents scannés via la boîte mail générique.</w:t>
                  </w:r>
                </w:p>
                <w:p w:rsidR="00F04EEF" w:rsidRDefault="00F04EEF">
                  <w:pPr>
                    <w:jc w:val="both"/>
                  </w:pPr>
                </w:p>
                <w:p w:rsidR="00F04EEF" w:rsidRDefault="0099351E">
                  <w:pPr>
                    <w:jc w:val="both"/>
                    <w:rPr>
                      <w:b/>
                    </w:rPr>
                  </w:pPr>
                  <w:r>
                    <w:t xml:space="preserve">Toutefois, le formulaire électronique ne permet pas de signaler les </w:t>
                  </w:r>
                  <w:r>
                    <w:rPr>
                      <w:b/>
                      <w:u w:val="single"/>
                    </w:rPr>
                    <w:t>prolongations ou arrêts d’intégrations</w:t>
                  </w:r>
                  <w:r>
                    <w:t xml:space="preserve"> </w:t>
                  </w:r>
                  <w:r>
                    <w:rPr>
                      <w:b/>
                    </w:rPr>
                    <w:t>(</w:t>
                  </w:r>
                  <w:hyperlink w:anchor="_Annexe_4_:_8" w:history="1">
                    <w:r>
                      <w:rPr>
                        <w:rStyle w:val="Lienhypertexte"/>
                        <w:rFonts w:cs="Arial"/>
                      </w:rPr>
                      <w:t>annexe 4</w:t>
                    </w:r>
                  </w:hyperlink>
                  <w:r>
                    <w:rPr>
                      <w:b/>
                    </w:rPr>
                    <w:t xml:space="preserve">) </w:t>
                  </w:r>
                  <w:r>
                    <w:t xml:space="preserve">et les </w:t>
                  </w:r>
                  <w:r>
                    <w:rPr>
                      <w:b/>
                      <w:u w:val="single"/>
                    </w:rPr>
                    <w:t>demandes de dérogation « autre type »</w:t>
                  </w:r>
                  <w:r>
                    <w:t xml:space="preserve"> (</w:t>
                  </w:r>
                  <w:hyperlink w:anchor="_Annexe_8_:" w:history="1">
                    <w:r>
                      <w:rPr>
                        <w:rStyle w:val="Lienhypertexte"/>
                        <w:rFonts w:cstheme="minorBidi"/>
                      </w:rPr>
                      <w:t>annexe 8</w:t>
                    </w:r>
                  </w:hyperlink>
                  <w:r>
                    <w:t>).</w:t>
                  </w:r>
                  <w:r>
                    <w:rPr>
                      <w:b/>
                    </w:rPr>
                    <w:t xml:space="preserve"> </w:t>
                  </w:r>
                </w:p>
                <w:p w:rsidR="00F04EEF" w:rsidRDefault="00F04EEF">
                  <w:pPr>
                    <w:jc w:val="both"/>
                    <w:rPr>
                      <w:b/>
                    </w:rPr>
                  </w:pPr>
                </w:p>
                <w:p w:rsidR="00F04EEF" w:rsidRDefault="0099351E">
                  <w:pPr>
                    <w:jc w:val="both"/>
                  </w:pPr>
                  <w:r>
                    <w:t>Ces deux annexes doivent toujours être transmises à l’Administration par voie électronique via la boîte mail générique (</w:t>
                  </w:r>
                  <w:r>
                    <w:rPr>
                      <w:b/>
                    </w:rPr>
                    <w:t>integration_specialise@cfwb.be</w:t>
                  </w:r>
                  <w:r>
                    <w:t xml:space="preserve">). </w:t>
                  </w:r>
                </w:p>
                <w:p w:rsidR="00F04EEF" w:rsidRDefault="00F04EEF">
                  <w:pPr>
                    <w:jc w:val="both"/>
                  </w:pPr>
                </w:p>
                <w:p w:rsidR="00F04EEF" w:rsidRDefault="0099351E">
                  <w:pPr>
                    <w:jc w:val="both"/>
                    <w:rPr>
                      <w:b/>
                      <w:u w:val="single"/>
                    </w:rPr>
                  </w:pPr>
                  <w:r>
                    <w:rPr>
                      <w:b/>
                      <w:u w:val="single"/>
                    </w:rPr>
                    <w:t>Vous trouverez, ci-après, les diverses procédures à suivre pour le signalement des intégrations ou pour demander une dérogation via le formulaire électronique :</w:t>
                  </w:r>
                </w:p>
                <w:p w:rsidR="00F04EEF" w:rsidRDefault="00F04EEF">
                  <w:pPr>
                    <w:jc w:val="both"/>
                    <w:rPr>
                      <w:b/>
                      <w:u w:val="single"/>
                    </w:rPr>
                  </w:pPr>
                </w:p>
                <w:p w:rsidR="00F04EEF" w:rsidRDefault="0099351E">
                  <w:pPr>
                    <w:numPr>
                      <w:ilvl w:val="0"/>
                      <w:numId w:val="194"/>
                    </w:numPr>
                    <w:spacing w:after="200" w:line="276" w:lineRule="auto"/>
                    <w:ind w:left="284" w:hanging="284"/>
                    <w:jc w:val="both"/>
                    <w:rPr>
                      <w:b/>
                    </w:rPr>
                  </w:pPr>
                  <w:r>
                    <w:rPr>
                      <w:b/>
                      <w:u w:val="single"/>
                    </w:rPr>
                    <w:t>Lorsque vous désirez établir un protocole d’intégration </w:t>
                  </w:r>
                  <w:r>
                    <w:rPr>
                      <w:b/>
                    </w:rPr>
                    <w:t xml:space="preserve">: </w:t>
                  </w:r>
                </w:p>
                <w:p w:rsidR="00F04EEF" w:rsidRDefault="0099351E">
                  <w:pPr>
                    <w:numPr>
                      <w:ilvl w:val="0"/>
                      <w:numId w:val="191"/>
                    </w:numPr>
                    <w:ind w:left="284" w:hanging="284"/>
                    <w:jc w:val="both"/>
                  </w:pPr>
                  <w:r>
                    <w:t xml:space="preserve">Vous encodez l’intégration dans le « Formulaire électronique intégration » avec les éventuelles demandes de dérogation (demande de dérogation grande distance). </w:t>
                  </w:r>
                </w:p>
                <w:p w:rsidR="00F04EEF" w:rsidRDefault="0099351E">
                  <w:pPr>
                    <w:numPr>
                      <w:ilvl w:val="0"/>
                      <w:numId w:val="191"/>
                    </w:numPr>
                    <w:ind w:left="284" w:hanging="284"/>
                    <w:jc w:val="both"/>
                  </w:pPr>
                  <w:r>
                    <w:t xml:space="preserve">Vous imprimez le document PDF suite à votre encodage. Ce </w:t>
                  </w:r>
                  <w:r>
                    <w:rPr>
                      <w:u w:val="dash"/>
                    </w:rPr>
                    <w:t>document sera utilisé comme première partie du protocole d’intégration</w:t>
                  </w:r>
                  <w:r>
                    <w:t xml:space="preserve">. </w:t>
                  </w:r>
                </w:p>
                <w:p w:rsidR="00F04EEF" w:rsidRDefault="0099351E">
                  <w:pPr>
                    <w:numPr>
                      <w:ilvl w:val="0"/>
                      <w:numId w:val="191"/>
                    </w:numPr>
                    <w:ind w:left="284" w:hanging="284"/>
                    <w:jc w:val="both"/>
                  </w:pPr>
                  <w:r>
                    <w:t xml:space="preserve">Vous complétez les données sur la </w:t>
                  </w:r>
                  <w:r>
                    <w:rPr>
                      <w:u w:val="dash"/>
                    </w:rPr>
                    <w:t>deuxième page du protocole d’intégration</w:t>
                  </w:r>
                  <w:r>
                    <w:t xml:space="preserve">. </w:t>
                  </w:r>
                </w:p>
                <w:p w:rsidR="00F04EEF" w:rsidRDefault="0099351E">
                  <w:pPr>
                    <w:numPr>
                      <w:ilvl w:val="0"/>
                      <w:numId w:val="191"/>
                    </w:numPr>
                    <w:ind w:left="284" w:hanging="284"/>
                    <w:jc w:val="both"/>
                  </w:pPr>
                  <w:r>
                    <w:t xml:space="preserve">Tous les partenaires signent </w:t>
                  </w:r>
                  <w:r>
                    <w:rPr>
                      <w:u w:val="dash"/>
                    </w:rPr>
                    <w:t>la troisième page du protocole d’intégration.</w:t>
                  </w:r>
                </w:p>
                <w:p w:rsidR="00F04EEF" w:rsidRDefault="0099351E">
                  <w:pPr>
                    <w:numPr>
                      <w:ilvl w:val="0"/>
                      <w:numId w:val="191"/>
                    </w:numPr>
                    <w:ind w:left="284" w:hanging="284"/>
                    <w:jc w:val="both"/>
                  </w:pPr>
                  <w:r>
                    <w:t>Vous validez l’intégration renseignée dans le « Formulaire électronique intégration » (cette validation est à effectuer seulement quand le protocole d’intégration a été signé par tous les partenaires).</w:t>
                  </w:r>
                </w:p>
                <w:p w:rsidR="00F04EEF" w:rsidRDefault="00F04EEF">
                  <w:pPr>
                    <w:jc w:val="both"/>
                  </w:pPr>
                </w:p>
                <w:p w:rsidR="00F04EEF" w:rsidRDefault="0099351E">
                  <w:pPr>
                    <w:jc w:val="both"/>
                    <w:rPr>
                      <w:b/>
                    </w:rPr>
                  </w:pPr>
                  <w:r>
                    <w:rPr>
                      <w:b/>
                    </w:rPr>
                    <w:t>Attention, une fois que vous avez validé une intégration, vous n’avez plus la possibilité de modifier les données renseignées. Vérifier donc bien  que toutes les informations encodées soient correctes avant de valider.</w:t>
                  </w:r>
                </w:p>
                <w:p w:rsidR="00F04EEF" w:rsidRDefault="0099351E">
                  <w:pPr>
                    <w:jc w:val="both"/>
                    <w:rPr>
                      <w:b/>
                    </w:rPr>
                  </w:pPr>
                  <w:r>
                    <w:rPr>
                      <w:b/>
                      <w:noProof/>
                      <w:lang w:eastAsia="fr-BE"/>
                    </w:rPr>
                    <mc:AlternateContent>
                      <mc:Choice Requires="wps">
                        <w:drawing>
                          <wp:anchor distT="0" distB="0" distL="114300" distR="114300" simplePos="0" relativeHeight="252419072" behindDoc="0" locked="0" layoutInCell="1" allowOverlap="1">
                            <wp:simplePos x="0" y="0"/>
                            <wp:positionH relativeFrom="column">
                              <wp:posOffset>6262370</wp:posOffset>
                            </wp:positionH>
                            <wp:positionV relativeFrom="paragraph">
                              <wp:posOffset>201930</wp:posOffset>
                            </wp:positionV>
                            <wp:extent cx="0" cy="855785"/>
                            <wp:effectExtent l="0" t="0" r="19050" b="20955"/>
                            <wp:wrapNone/>
                            <wp:docPr id="5557" name="Connecteur droit 5557"/>
                            <wp:cNvGraphicFramePr/>
                            <a:graphic xmlns:a="http://schemas.openxmlformats.org/drawingml/2006/main">
                              <a:graphicData uri="http://schemas.microsoft.com/office/word/2010/wordprocessingShape">
                                <wps:wsp>
                                  <wps:cNvCnPr/>
                                  <wps:spPr>
                                    <a:xfrm>
                                      <a:off x="0" y="0"/>
                                      <a:ext cx="0" cy="8557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037600" id="Connecteur droit 5557" o:spid="_x0000_s1026" style="position:absolute;z-index:252419072;visibility:visible;mso-wrap-style:square;mso-wrap-distance-left:9pt;mso-wrap-distance-top:0;mso-wrap-distance-right:9pt;mso-wrap-distance-bottom:0;mso-position-horizontal:absolute;mso-position-horizontal-relative:text;mso-position-vertical:absolute;mso-position-vertical-relative:text" from="493.1pt,15.9pt" to="493.1pt,8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" strokecolor="black [3213]"/>
                        </w:pict>
                      </mc:Fallback>
                    </mc:AlternateContent>
                  </w:r>
                </w:p>
                <w:p w:rsidR="00F04EEF" w:rsidRDefault="0099351E">
                  <w:pPr>
                    <w:numPr>
                      <w:ilvl w:val="0"/>
                      <w:numId w:val="194"/>
                    </w:numPr>
                    <w:spacing w:after="200" w:line="276" w:lineRule="auto"/>
                    <w:ind w:left="284" w:hanging="284"/>
                    <w:jc w:val="both"/>
                    <w:rPr>
                      <w:b/>
                      <w:u w:val="single"/>
                    </w:rPr>
                  </w:pPr>
                  <w:r>
                    <w:rPr>
                      <w:b/>
                      <w:u w:val="single"/>
                    </w:rPr>
                    <w:t xml:space="preserve">Lorsque vous désirez faire une demande de dérogation « grande distance » pour un élève qui était déjà en intégration et pour lequel les partenaires sont  identiques à l’intégration précédente : </w:t>
                  </w:r>
                </w:p>
                <w:p w:rsidR="00F04EEF" w:rsidRDefault="0099351E">
                  <w:pPr>
                    <w:jc w:val="both"/>
                    <w:rPr>
                      <w:b/>
                    </w:rPr>
                  </w:pPr>
                  <w:r>
                    <w:t xml:space="preserve">Vous  pouvez transmettre une annexe </w:t>
                  </w:r>
                  <w:hyperlink w:anchor="_Annexe_6a_:" w:history="1">
                    <w:r>
                      <w:rPr>
                        <w:rStyle w:val="Lienhypertexte"/>
                        <w:rFonts w:cstheme="minorBidi"/>
                      </w:rPr>
                      <w:t>6a</w:t>
                    </w:r>
                  </w:hyperlink>
                  <w:r>
                    <w:t xml:space="preserve"> ou </w:t>
                  </w:r>
                  <w:hyperlink w:anchor="_Annexe_6b_:" w:history="1">
                    <w:r>
                      <w:rPr>
                        <w:rStyle w:val="Lienhypertexte"/>
                        <w:rFonts w:cstheme="minorBidi"/>
                      </w:rPr>
                      <w:t>6b</w:t>
                    </w:r>
                  </w:hyperlink>
                  <w:r>
                    <w:t xml:space="preserve"> via la boîte mail générique : </w:t>
                  </w:r>
                  <w:hyperlink r:id="rId213" w:history="1">
                    <w:r>
                      <w:rPr>
                        <w:rStyle w:val="Lienhypertexte"/>
                        <w:b/>
                        <w:bCs/>
                      </w:rPr>
                      <w:t>enseignement_specialise@cfwb.be</w:t>
                    </w:r>
                  </w:hyperlink>
                </w:p>
                <w:p w:rsidR="00F04EEF" w:rsidRDefault="00F04EEF">
                  <w:pPr>
                    <w:jc w:val="both"/>
                    <w:rPr>
                      <w:b/>
                    </w:rPr>
                  </w:pPr>
                </w:p>
                <w:p w:rsidR="00F04EEF" w:rsidRDefault="0099351E">
                  <w:pPr>
                    <w:ind w:hanging="284"/>
                    <w:jc w:val="both"/>
                  </w:pPr>
                  <w:r>
                    <w:rPr>
                      <w:noProof/>
                      <w:lang w:eastAsia="fr-BE"/>
                    </w:rPr>
                    <mc:AlternateContent>
                      <mc:Choice Requires="wps">
                        <w:drawing>
                          <wp:anchor distT="0" distB="0" distL="114300" distR="114300" simplePos="0" relativeHeight="252420096" behindDoc="0" locked="0" layoutInCell="1" allowOverlap="1">
                            <wp:simplePos x="0" y="0"/>
                            <wp:positionH relativeFrom="column">
                              <wp:posOffset>6262370</wp:posOffset>
                            </wp:positionH>
                            <wp:positionV relativeFrom="paragraph">
                              <wp:posOffset>167005</wp:posOffset>
                            </wp:positionV>
                            <wp:extent cx="0" cy="527539"/>
                            <wp:effectExtent l="0" t="0" r="19050" b="25400"/>
                            <wp:wrapNone/>
                            <wp:docPr id="5558" name="Connecteur droit 5558"/>
                            <wp:cNvGraphicFramePr/>
                            <a:graphic xmlns:a="http://schemas.openxmlformats.org/drawingml/2006/main">
                              <a:graphicData uri="http://schemas.microsoft.com/office/word/2010/wordprocessingShape">
                                <wps:wsp>
                                  <wps:cNvCnPr/>
                                  <wps:spPr>
                                    <a:xfrm>
                                      <a:off x="0" y="0"/>
                                      <a:ext cx="0" cy="52753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F9E168" id="Connecteur droit 5558" o:spid="_x0000_s1026" style="position:absolute;z-index:252420096;visibility:visible;mso-wrap-style:square;mso-wrap-distance-left:9pt;mso-wrap-distance-top:0;mso-wrap-distance-right:9pt;mso-wrap-distance-bottom:0;mso-position-horizontal:absolute;mso-position-horizontal-relative:text;mso-position-vertical:absolute;mso-position-vertical-relative:text" from="493.1pt,13.15pt" to="493.1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" strokecolor="black [3213]"/>
                        </w:pict>
                      </mc:Fallback>
                    </mc:AlternateContent>
                  </w:r>
                </w:p>
                <w:p w:rsidR="00F04EEF" w:rsidRDefault="0099351E">
                  <w:pPr>
                    <w:numPr>
                      <w:ilvl w:val="0"/>
                      <w:numId w:val="194"/>
                    </w:numPr>
                    <w:spacing w:after="200" w:line="276" w:lineRule="auto"/>
                    <w:ind w:left="284" w:hanging="284"/>
                    <w:jc w:val="both"/>
                    <w:rPr>
                      <w:b/>
                      <w:u w:val="single"/>
                    </w:rPr>
                  </w:pPr>
                  <w:r>
                    <w:rPr>
                      <w:b/>
                      <w:u w:val="single"/>
                    </w:rPr>
                    <w:t xml:space="preserve">Lorsque vous désirez faire une demande de dérogation « grande distance » pour un élève qui était déjà en intégration et pour lequel les partenaires ne sont  pas identiques à l’intégration précédente : </w:t>
                  </w:r>
                </w:p>
                <w:p w:rsidR="00F04EEF" w:rsidRDefault="0099351E">
                  <w:pPr>
                    <w:numPr>
                      <w:ilvl w:val="0"/>
                      <w:numId w:val="192"/>
                    </w:numPr>
                    <w:ind w:left="284" w:hanging="284"/>
                    <w:jc w:val="both"/>
                  </w:pPr>
                  <w:r>
                    <w:t>Vous encodez l’intégration dans le « Formulaire électronique intégration ».</w:t>
                  </w:r>
                </w:p>
                <w:p w:rsidR="00F04EEF" w:rsidRDefault="0099351E">
                  <w:pPr>
                    <w:numPr>
                      <w:ilvl w:val="0"/>
                      <w:numId w:val="192"/>
                    </w:numPr>
                    <w:ind w:left="284" w:hanging="284"/>
                    <w:jc w:val="both"/>
                  </w:pPr>
                  <w:r>
                    <w:t xml:space="preserve">Vous cochez la ou les demandes de dérogation souhaitée(s). </w:t>
                  </w:r>
                </w:p>
                <w:p w:rsidR="00F04EEF" w:rsidRDefault="0099351E">
                  <w:pPr>
                    <w:numPr>
                      <w:ilvl w:val="0"/>
                      <w:numId w:val="192"/>
                    </w:numPr>
                    <w:ind w:left="284" w:hanging="284"/>
                    <w:jc w:val="both"/>
                  </w:pPr>
                  <w:r>
                    <w:t>Vous validez l’intégration renseignée dans le formulaire électronique.</w:t>
                  </w:r>
                </w:p>
                <w:p w:rsidR="00F04EEF" w:rsidRDefault="00F04EEF">
                  <w:pPr>
                    <w:jc w:val="both"/>
                  </w:pPr>
                </w:p>
                <w:p w:rsidR="00F04EEF" w:rsidRDefault="0099351E">
                  <w:pPr>
                    <w:rPr>
                      <w:b/>
                      <w:highlight w:val="lightGray"/>
                    </w:rPr>
                  </w:pPr>
                  <w:r>
                    <w:rPr>
                      <w:b/>
                      <w:highlight w:val="lightGray"/>
                    </w:rPr>
                    <w:br w:type="page"/>
                  </w:r>
                </w:p>
                <w:p w:rsidR="00F04EEF" w:rsidRDefault="0099351E">
                  <w:pPr>
                    <w:pStyle w:val="Paragraphedeliste"/>
                    <w:numPr>
                      <w:ilvl w:val="0"/>
                      <w:numId w:val="194"/>
                    </w:numPr>
                    <w:spacing w:after="200" w:line="276" w:lineRule="auto"/>
                    <w:ind w:left="426" w:hanging="426"/>
                    <w:jc w:val="both"/>
                    <w:rPr>
                      <w:b/>
                      <w:u w:val="single"/>
                    </w:rPr>
                  </w:pPr>
                  <w:r>
                    <w:rPr>
                      <w:b/>
                      <w:u w:val="single"/>
                    </w:rPr>
                    <w:t>Lorsque vous désirez établir un protocole d’intégration pour un élève pour lequel vous n’organisez pas le type :</w:t>
                  </w:r>
                </w:p>
                <w:p w:rsidR="00F04EEF" w:rsidRDefault="0099351E">
                  <w:pPr>
                    <w:numPr>
                      <w:ilvl w:val="0"/>
                      <w:numId w:val="193"/>
                    </w:numPr>
                    <w:ind w:left="426" w:hanging="426"/>
                    <w:jc w:val="both"/>
                  </w:pPr>
                  <w:r>
                    <w:t>Vous encodez l’intégration dans le « Formulaire électronique intégration ».</w:t>
                  </w:r>
                </w:p>
                <w:p w:rsidR="00F04EEF" w:rsidRDefault="0099351E">
                  <w:pPr>
                    <w:numPr>
                      <w:ilvl w:val="0"/>
                      <w:numId w:val="193"/>
                    </w:numPr>
                    <w:ind w:left="426" w:hanging="426"/>
                    <w:jc w:val="both"/>
                  </w:pPr>
                  <w:r>
                    <w:t xml:space="preserve">Vous imprimez le document PDF suite à votre encodage. Ce </w:t>
                  </w:r>
                  <w:r>
                    <w:rPr>
                      <w:u w:val="dash"/>
                    </w:rPr>
                    <w:t>document sera utilisé comme première page du protocole d’intégration</w:t>
                  </w:r>
                  <w:r>
                    <w:t xml:space="preserve">. </w:t>
                  </w:r>
                </w:p>
                <w:p w:rsidR="00F04EEF" w:rsidRDefault="0099351E">
                  <w:pPr>
                    <w:numPr>
                      <w:ilvl w:val="0"/>
                      <w:numId w:val="193"/>
                    </w:numPr>
                    <w:ind w:left="426" w:hanging="426"/>
                    <w:jc w:val="both"/>
                  </w:pPr>
                  <w:r>
                    <w:t xml:space="preserve">Vous introduisez une demande de dérogation « autre type » via la boîte mail générique (intégration_specialise.cfwb.be). </w:t>
                  </w:r>
                </w:p>
                <w:p w:rsidR="00F04EEF" w:rsidRDefault="0099351E">
                  <w:pPr>
                    <w:numPr>
                      <w:ilvl w:val="0"/>
                      <w:numId w:val="193"/>
                    </w:numPr>
                    <w:ind w:left="426" w:hanging="426"/>
                    <w:jc w:val="both"/>
                  </w:pPr>
                  <w:r>
                    <w:t xml:space="preserve">L’Administration présentera le dossier au Conseil Général pour l’Enseignement Secondaire. </w:t>
                  </w:r>
                </w:p>
                <w:p w:rsidR="00F04EEF" w:rsidRDefault="0099351E">
                  <w:pPr>
                    <w:numPr>
                      <w:ilvl w:val="0"/>
                      <w:numId w:val="193"/>
                    </w:numPr>
                    <w:ind w:left="426" w:hanging="426"/>
                    <w:jc w:val="both"/>
                  </w:pPr>
                  <w:r>
                    <w:t>Le dossier sera, ensuite, transmis au Ministre ayant en charge l’Enseignement spécialisé.</w:t>
                  </w:r>
                </w:p>
                <w:p w:rsidR="00F04EEF" w:rsidRDefault="0099351E">
                  <w:pPr>
                    <w:numPr>
                      <w:ilvl w:val="0"/>
                      <w:numId w:val="193"/>
                    </w:numPr>
                    <w:ind w:left="426" w:hanging="426"/>
                    <w:jc w:val="both"/>
                  </w:pPr>
                  <w:r>
                    <w:t xml:space="preserve">Le ou la Ministre compétent(e) signalera son accord ou désaccord à l’Administration.  </w:t>
                  </w:r>
                </w:p>
                <w:p w:rsidR="00F04EEF" w:rsidRDefault="0099351E">
                  <w:pPr>
                    <w:numPr>
                      <w:ilvl w:val="0"/>
                      <w:numId w:val="193"/>
                    </w:numPr>
                    <w:ind w:left="426" w:hanging="426"/>
                    <w:jc w:val="both"/>
                  </w:pPr>
                  <w:r>
                    <w:t xml:space="preserve">L’Administration vous enverra un courrier officiel signalant la décision ministérielle. </w:t>
                  </w:r>
                </w:p>
                <w:p w:rsidR="00F04EEF" w:rsidRDefault="0099351E">
                  <w:pPr>
                    <w:numPr>
                      <w:ilvl w:val="0"/>
                      <w:numId w:val="193"/>
                    </w:numPr>
                    <w:ind w:left="426" w:hanging="426"/>
                    <w:jc w:val="both"/>
                    <w:rPr>
                      <w:u w:val="single"/>
                    </w:rPr>
                  </w:pPr>
                  <w:r>
                    <w:t>Si l’accord est positif, vous pouvez compléter la deuxième page du protocole d’intégration et faire signer la troisième page par tous les partenaires.</w:t>
                  </w:r>
                </w:p>
                <w:p w:rsidR="00F04EEF" w:rsidRDefault="0099351E">
                  <w:pPr>
                    <w:numPr>
                      <w:ilvl w:val="0"/>
                      <w:numId w:val="193"/>
                    </w:numPr>
                    <w:ind w:left="426" w:hanging="426"/>
                    <w:jc w:val="both"/>
                    <w:rPr>
                      <w:u w:val="single"/>
                    </w:rPr>
                  </w:pPr>
                  <w:r>
                    <w:t xml:space="preserve"> Vous validez l’intégration renseignée dans le « Formulaire électronique intégration ».</w:t>
                  </w:r>
                </w:p>
                <w:p w:rsidR="00F04EEF" w:rsidRDefault="0099351E">
                  <w:pPr>
                    <w:numPr>
                      <w:ilvl w:val="0"/>
                      <w:numId w:val="193"/>
                    </w:numPr>
                    <w:ind w:left="426" w:hanging="426"/>
                    <w:jc w:val="both"/>
                    <w:rPr>
                      <w:u w:val="single"/>
                    </w:rPr>
                  </w:pPr>
                  <w:r>
                    <w:t>Si l’accord est négatif, vous devez « supprimer » l’intégration du « Formulaire électronique intégration »   (cf. page 5 du manuel d’utilisation ci-joint).</w:t>
                  </w:r>
                </w:p>
                <w:p w:rsidR="00F04EEF" w:rsidRDefault="00F04EEF">
                  <w:pPr>
                    <w:jc w:val="both"/>
                    <w:rPr>
                      <w:u w:val="single"/>
                    </w:rPr>
                  </w:pPr>
                </w:p>
                <w:p w:rsidR="00F04EEF" w:rsidRDefault="0099351E">
                  <w:pPr>
                    <w:numPr>
                      <w:ilvl w:val="0"/>
                      <w:numId w:val="194"/>
                    </w:numPr>
                    <w:spacing w:after="200" w:line="276" w:lineRule="auto"/>
                    <w:ind w:left="360"/>
                    <w:jc w:val="both"/>
                    <w:rPr>
                      <w:b/>
                      <w:u w:val="single"/>
                    </w:rPr>
                  </w:pPr>
                  <w:r>
                    <w:rPr>
                      <w:b/>
                      <w:u w:val="single"/>
                    </w:rPr>
                    <w:t>Lorsque vous désirez faire une demande de dérogation pour un élève qui était déjà en intégration et pour lequel il y a un ou de nouveaux partenaires : la procédure à suivre est la même que lorsque vous établissez un protocole d’intégration (cf. point A.)</w:t>
                  </w:r>
                </w:p>
                <w:p w:rsidR="00F04EEF" w:rsidRDefault="00F04EEF">
                  <w:pPr>
                    <w:jc w:val="both"/>
                  </w:pPr>
                </w:p>
                <w:p w:rsidR="00F04EEF" w:rsidRDefault="0099351E">
                  <w:pPr>
                    <w:jc w:val="center"/>
                    <w:rPr>
                      <w:b/>
                    </w:rPr>
                  </w:pPr>
                  <w:r>
                    <w:rPr>
                      <w:b/>
                    </w:rPr>
                    <w:t xml:space="preserve">Le « Formulaire électronique intégration » se trouve sur le site internet </w:t>
                  </w:r>
                </w:p>
                <w:p w:rsidR="00F04EEF" w:rsidRDefault="00F42422">
                  <w:pPr>
                    <w:jc w:val="center"/>
                    <w:rPr>
                      <w:b/>
                    </w:rPr>
                  </w:pPr>
                  <w:hyperlink r:id="rId214" w:history="1">
                    <w:r w:rsidR="0099351E">
                      <w:rPr>
                        <w:rStyle w:val="Lienhypertexte"/>
                        <w:rFonts w:cstheme="minorBidi"/>
                        <w:b/>
                      </w:rPr>
                      <w:t>http : //www.am.cfwb.be </w:t>
                    </w:r>
                  </w:hyperlink>
                </w:p>
                <w:p w:rsidR="00F04EEF" w:rsidRDefault="00F04EEF">
                  <w:pPr>
                    <w:jc w:val="center"/>
                    <w:rPr>
                      <w:b/>
                    </w:rPr>
                  </w:pPr>
                </w:p>
                <w:p w:rsidR="00F04EEF" w:rsidRDefault="0099351E">
                  <w:pPr>
                    <w:jc w:val="both"/>
                  </w:pPr>
                  <w:r>
                    <w:t>Le manuel d’utilisation se trouve au sein de circulaire n° 5948 relative au formulaire électronique relatif au signalement des intégrations ainsi qu’aux demandes de dérogation (s) – FE intégration. Celui-ci vous aidera à compléter le « Formulaire électronique intégration » en ligne.</w:t>
                  </w:r>
                </w:p>
                <w:p w:rsidR="00F04EEF" w:rsidRDefault="00F04EEF">
                  <w:pPr>
                    <w:jc w:val="both"/>
                  </w:pPr>
                </w:p>
                <w:p w:rsidR="00F04EEF" w:rsidRDefault="0099351E">
                  <w:pPr>
                    <w:jc w:val="both"/>
                  </w:pPr>
                  <w:r>
                    <w:rPr>
                      <w:noProof/>
                      <w:lang w:eastAsia="fr-BE"/>
                    </w:rPr>
                    <mc:AlternateContent>
                      <mc:Choice Requires="wps">
                        <w:drawing>
                          <wp:anchor distT="0" distB="0" distL="114300" distR="114300" simplePos="0" relativeHeight="252421120" behindDoc="0" locked="0" layoutInCell="1" allowOverlap="1">
                            <wp:simplePos x="0" y="0"/>
                            <wp:positionH relativeFrom="column">
                              <wp:posOffset>6426493</wp:posOffset>
                            </wp:positionH>
                            <wp:positionV relativeFrom="paragraph">
                              <wp:posOffset>488852</wp:posOffset>
                            </wp:positionV>
                            <wp:extent cx="0" cy="298939"/>
                            <wp:effectExtent l="0" t="0" r="19050" b="25400"/>
                            <wp:wrapNone/>
                            <wp:docPr id="5559" name="Connecteur droit 5559"/>
                            <wp:cNvGraphicFramePr/>
                            <a:graphic xmlns:a="http://schemas.openxmlformats.org/drawingml/2006/main">
                              <a:graphicData uri="http://schemas.microsoft.com/office/word/2010/wordprocessingShape">
                                <wps:wsp>
                                  <wps:cNvCnPr/>
                                  <wps:spPr>
                                    <a:xfrm>
                                      <a:off x="0" y="0"/>
                                      <a:ext cx="0" cy="29893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3337DC" id="Connecteur droit 5559" o:spid="_x0000_s1026" style="position:absolute;z-index:252421120;visibility:visible;mso-wrap-style:square;mso-wrap-distance-left:9pt;mso-wrap-distance-top:0;mso-wrap-distance-right:9pt;mso-wrap-distance-bottom:0;mso-position-horizontal:absolute;mso-position-horizontal-relative:text;mso-position-vertical:absolute;mso-position-vertical-relative:text" from="506pt,38.5pt" to="506pt,6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" strokecolor="black [3213]"/>
                        </w:pict>
                      </mc:Fallback>
                    </mc:AlternateContent>
                  </w:r>
                  <w:r>
                    <w:t>Le « Formulaire électronique intégration » a été développé en vue de simplifier les démarches administratives. Grâce à cette nouvelle application, vous n’encoderez plus qu’une seule fois les données des élèves que vous souhaitez intégrer et vous avez également la possibilité de demander directement en ligne les dérogations « grande distance ».</w:t>
                  </w:r>
                </w:p>
                <w:p w:rsidR="00F04EEF" w:rsidRDefault="00F04EEF"/>
                <w:p w:rsidR="00F04EEF" w:rsidRDefault="0099351E">
                  <w:pPr>
                    <w:pStyle w:val="Titre3"/>
                    <w:rPr>
                      <w:sz w:val="22"/>
                      <w:szCs w:val="22"/>
                    </w:rPr>
                  </w:pPr>
                  <w:bookmarkStart w:id="3243" w:name="_17._Annexes_1"/>
                  <w:bookmarkStart w:id="3244" w:name="_Toc47708563"/>
                  <w:bookmarkEnd w:id="3243"/>
                  <w:r>
                    <w:rPr>
                      <w:sz w:val="22"/>
                      <w:szCs w:val="22"/>
                    </w:rPr>
                    <w:t>14. Annexe</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r>
                    <w:rPr>
                      <w:sz w:val="22"/>
                      <w:szCs w:val="22"/>
                    </w:rPr>
                    <w:t>s</w:t>
                  </w:r>
                  <w:bookmarkEnd w:id="3241"/>
                  <w:bookmarkEnd w:id="3242"/>
                  <w:bookmarkEnd w:id="3244"/>
                </w:p>
                <w:p w:rsidR="00F04EEF" w:rsidRDefault="0099351E">
                  <w:pPr>
                    <w:pStyle w:val="StyleTitre3NonGrasJustifi"/>
                    <w:rPr>
                      <w:sz w:val="22"/>
                      <w:szCs w:val="22"/>
                    </w:rPr>
                  </w:pPr>
                  <w:r>
                    <w:rPr>
                      <w:sz w:val="22"/>
                      <w:szCs w:val="22"/>
                    </w:rPr>
                    <w:br w:type="page"/>
                  </w:r>
                  <w:bookmarkStart w:id="3245" w:name="_Annexe_1_:_1"/>
                  <w:bookmarkEnd w:id="3245"/>
                </w:p>
                <w:p w:rsidR="00F04EEF" w:rsidRDefault="0099351E">
                  <w:pPr>
                    <w:pStyle w:val="Titre4"/>
                  </w:pPr>
                  <w:bookmarkStart w:id="3246" w:name="_Annexe_1_:_13"/>
                  <w:bookmarkStart w:id="3247" w:name="_Toc453314455"/>
                  <w:bookmarkStart w:id="3248" w:name="_Toc454980490"/>
                  <w:bookmarkEnd w:id="3246"/>
                  <w:r>
                    <w:t>Annexe 1 : Eléments constitutifs du protocole d’intégration</w:t>
                  </w:r>
                  <w:bookmarkEnd w:id="3247"/>
                  <w:bookmarkEnd w:id="3248"/>
                </w:p>
                <w:p w:rsidR="00F04EEF" w:rsidRDefault="00F04EEF"/>
                <w:tbl>
                  <w:tblPr>
                    <w:tblpPr w:leftFromText="141" w:rightFromText="141" w:vertAnchor="page" w:horzAnchor="margin" w:tblpY="1816"/>
                    <w:tblW w:w="0" w:type="auto"/>
                    <w:tblLayout w:type="fixed"/>
                    <w:tblLook w:val="0000" w:firstRow="0" w:lastRow="0" w:firstColumn="0" w:lastColumn="0" w:noHBand="0" w:noVBand="0"/>
                  </w:tblPr>
                  <w:tblGrid>
                    <w:gridCol w:w="8364"/>
                    <w:gridCol w:w="950"/>
                  </w:tblGrid>
                  <w:tr w:rsidR="00F04EEF">
                    <w:trPr>
                      <w:trHeight w:val="418"/>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240"/>
                        </w:pPr>
                        <w:r>
                          <w:t>Informations concernant l’élève</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34"/>
                          </w:tabs>
                          <w:snapToGrid w:val="0"/>
                          <w:spacing w:before="120" w:after="24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64"/>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 xml:space="preserve">Informations concernant le type d’intégration </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Informations concernant les coordonnées de l’école d’enseignement spécialisé</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94"/>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Informations concernant les coordonnées de l’école d’enseignement ordinaire</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32"/>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Synthèse du dossier</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29"/>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Objectifs de l’intégration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93"/>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Équipements spécifiques</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657"/>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Besoins en matière de transport</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693"/>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pPr>
                        <w:r>
                          <w:t xml:space="preserve">Dispositif de relation, de concertation et de collaboration entre les équipes éducatives </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97"/>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Règles de présence et de registre</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rPr>
                            <w:color w:val="000000"/>
                          </w:rP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97"/>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Modalités de l’accompagnement et choix du personnel accompagnant </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660"/>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Modalités d’évaluation interne</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Accord Direction de l’enseignement ordinaire,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94"/>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Accord Direction de l’enseignement spécialisé,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rPr>
                            <w:caps/>
                          </w:rP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46"/>
                    </w:trPr>
                    <w:tc>
                      <w:tcPr>
                        <w:tcW w:w="8364"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tabs>
                            <w:tab w:val="left" w:pos="1134"/>
                          </w:tabs>
                          <w:snapToGrid w:val="0"/>
                          <w:spacing w:before="120" w:after="120"/>
                        </w:pPr>
                        <w:r>
                          <w:rPr>
                            <w:caps/>
                          </w:rPr>
                          <w:t>A</w:t>
                        </w:r>
                        <w:r>
                          <w:t>vis du CPMS qui accompagne l’élève au moment de l’introduction de la proposition d’intégration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338"/>
                    </w:trPr>
                    <w:tc>
                      <w:tcPr>
                        <w:tcW w:w="8364" w:type="dxa"/>
                        <w:tcBorders>
                          <w:top w:val="single" w:sz="4" w:space="0" w:color="000000"/>
                          <w:left w:val="single" w:sz="4" w:space="0" w:color="000000"/>
                          <w:bottom w:val="single" w:sz="4" w:space="0" w:color="000000"/>
                        </w:tcBorders>
                        <w:vAlign w:val="center"/>
                      </w:tcPr>
                      <w:p w:rsidR="00F04EEF" w:rsidRDefault="0099351E">
                        <w:pPr>
                          <w:widowControl w:val="0"/>
                          <w:tabs>
                            <w:tab w:val="left" w:pos="1134"/>
                          </w:tabs>
                          <w:snapToGrid w:val="0"/>
                          <w:spacing w:before="120" w:after="120"/>
                        </w:pPr>
                        <w:r>
                          <w:t xml:space="preserve">Accord des parents, de la personne exerçant l’autorité parentale, </w:t>
                        </w:r>
                        <w:r>
                          <w:br/>
                          <w:t>ou de l’élève majeur</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446"/>
                    </w:trPr>
                    <w:tc>
                      <w:tcPr>
                        <w:tcW w:w="8364" w:type="dxa"/>
                        <w:tcBorders>
                          <w:top w:val="single" w:sz="4" w:space="0" w:color="000000"/>
                          <w:left w:val="single" w:sz="4" w:space="0" w:color="000000"/>
                          <w:bottom w:val="single" w:sz="4" w:space="0" w:color="000000"/>
                        </w:tcBorders>
                        <w:vAlign w:val="center"/>
                      </w:tcPr>
                      <w:p w:rsidR="00F04EEF" w:rsidRDefault="0099351E">
                        <w:pPr>
                          <w:pStyle w:val="Corpsdetexte"/>
                          <w:tabs>
                            <w:tab w:val="left" w:pos="1134"/>
                          </w:tabs>
                          <w:snapToGrid w:val="0"/>
                          <w:rPr>
                            <w:b w:val="0"/>
                            <w:szCs w:val="22"/>
                          </w:rPr>
                        </w:pPr>
                        <w:r>
                          <w:rPr>
                            <w:b w:val="0"/>
                            <w:szCs w:val="22"/>
                          </w:rPr>
                          <w:t xml:space="preserve">Tableau synoptique de l’évolution de l’intégration (Annexe 3) </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r w:rsidR="00F04EEF">
                    <w:trPr>
                      <w:trHeight w:val="553"/>
                    </w:trPr>
                    <w:tc>
                      <w:tcPr>
                        <w:tcW w:w="8364" w:type="dxa"/>
                        <w:tcBorders>
                          <w:top w:val="single" w:sz="4" w:space="0" w:color="000000"/>
                          <w:left w:val="single" w:sz="4" w:space="0" w:color="000000"/>
                          <w:bottom w:val="single" w:sz="4" w:space="0" w:color="000000"/>
                        </w:tcBorders>
                        <w:vAlign w:val="center"/>
                      </w:tcPr>
                      <w:p w:rsidR="00F04EEF" w:rsidRDefault="0099351E">
                        <w:pPr>
                          <w:pStyle w:val="Corpsdetexte"/>
                          <w:tabs>
                            <w:tab w:val="left" w:pos="1134"/>
                          </w:tabs>
                          <w:snapToGrid w:val="0"/>
                          <w:rPr>
                            <w:b w:val="0"/>
                            <w:szCs w:val="22"/>
                          </w:rPr>
                        </w:pPr>
                        <w:r>
                          <w:rPr>
                            <w:b w:val="0"/>
                            <w:szCs w:val="22"/>
                          </w:rPr>
                          <w:t>Bilan(s) de l’intégration (Annexe(s) 4)</w:t>
                        </w:r>
                      </w:p>
                    </w:tc>
                    <w:tc>
                      <w:tcPr>
                        <w:tcW w:w="950" w:type="dxa"/>
                        <w:tcBorders>
                          <w:top w:val="single" w:sz="4" w:space="0" w:color="000000"/>
                          <w:left w:val="single" w:sz="4" w:space="0" w:color="000000"/>
                          <w:bottom w:val="single" w:sz="4" w:space="0" w:color="000000"/>
                          <w:right w:val="single" w:sz="4" w:space="0" w:color="000000"/>
                        </w:tcBorders>
                        <w:vAlign w:val="center"/>
                      </w:tcPr>
                      <w:p w:rsidR="00F04EEF" w:rsidRDefault="0099351E">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F42422">
                          <w:fldChar w:fldCharType="separate"/>
                        </w:r>
                        <w:r>
                          <w:fldChar w:fldCharType="end"/>
                        </w:r>
                      </w:p>
                    </w:tc>
                  </w:tr>
                </w:tbl>
                <w:p w:rsidR="00F04EEF" w:rsidRDefault="00F04EEF"/>
                <w:p w:rsidR="00F04EEF" w:rsidRDefault="0099351E">
                  <w:r>
                    <w:br w:type="page"/>
                  </w:r>
                </w:p>
                <w:p w:rsidR="00F04EEF" w:rsidRDefault="00F04EEF"/>
                <w:p w:rsidR="00F04EEF" w:rsidRDefault="0099351E">
                  <w:pPr>
                    <w:pStyle w:val="Titre4"/>
                  </w:pPr>
                  <w:bookmarkStart w:id="3249" w:name="_Annexe_2_:_2"/>
                  <w:bookmarkStart w:id="3250" w:name="_Toc453314456"/>
                  <w:bookmarkStart w:id="3251" w:name="_Toc454980491"/>
                  <w:bookmarkEnd w:id="3249"/>
                  <w:r>
                    <w:t>Annexe 2 : Protocole d’intégration</w:t>
                  </w:r>
                  <w:bookmarkEnd w:id="3250"/>
                  <w:bookmarkEnd w:id="3251"/>
                  <w:r>
                    <w:t xml:space="preserve">  (1ère partie du protocole d’intégration)</w:t>
                  </w:r>
                </w:p>
                <w:p w:rsidR="00F04EEF" w:rsidRDefault="00F04EEF"/>
                <w:p w:rsidR="00F04EEF" w:rsidRDefault="0099351E">
                  <w:pPr>
                    <w:pStyle w:val="Corpsdetexte"/>
                    <w:pBdr>
                      <w:top w:val="single" w:sz="18" w:space="1" w:color="FF0000"/>
                      <w:left w:val="single" w:sz="18" w:space="4" w:color="FF0000"/>
                      <w:bottom w:val="single" w:sz="18" w:space="7" w:color="FF0000"/>
                      <w:right w:val="single" w:sz="18" w:space="4" w:color="FF0000"/>
                    </w:pBdr>
                  </w:pPr>
                  <w:r>
                    <w:t xml:space="preserve">Toutes nouvelles intégrations DOIVENT être signalées via le « formulaire électronique intégration » à l’adresse suivante : </w:t>
                  </w:r>
                  <w:hyperlink r:id="rId215" w:history="1">
                    <w:r>
                      <w:rPr>
                        <w:rStyle w:val="Lienhypertexte"/>
                        <w:rFonts w:cs="Arial"/>
                        <w:color w:val="000000" w:themeColor="text1"/>
                      </w:rPr>
                      <w:t>http:/www.am.cfwb.be/</w:t>
                    </w:r>
                  </w:hyperlink>
                  <w:r>
                    <w:t xml:space="preserve"> </w:t>
                  </w:r>
                </w:p>
                <w:p w:rsidR="00F04EEF" w:rsidRDefault="00F04EEF">
                  <w:pPr>
                    <w:jc w:val="both"/>
                  </w:pPr>
                </w:p>
                <w:p w:rsidR="00F04EEF" w:rsidRDefault="0099351E">
                  <w:pPr>
                    <w:jc w:val="both"/>
                  </w:pPr>
                  <w:r>
                    <w:rPr>
                      <w:noProof/>
                      <w:lang w:eastAsia="fr-BE"/>
                    </w:rPr>
                    <w:drawing>
                      <wp:inline distT="0" distB="0" distL="0" distR="0">
                        <wp:extent cx="3908183" cy="3310780"/>
                        <wp:effectExtent l="0" t="0" r="0" b="4445"/>
                        <wp:docPr id="5547" name="Image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922264" cy="3322709"/>
                                </a:xfrm>
                                <a:prstGeom prst="rect">
                                  <a:avLst/>
                                </a:prstGeom>
                                <a:noFill/>
                                <a:ln>
                                  <a:noFill/>
                                </a:ln>
                              </pic:spPr>
                            </pic:pic>
                          </a:graphicData>
                        </a:graphic>
                      </wp:inline>
                    </w:drawing>
                  </w:r>
                </w:p>
                <w:p w:rsidR="00F04EEF" w:rsidRDefault="00F04EEF"/>
                <w:p w:rsidR="00F04EEF" w:rsidRDefault="0099351E">
                  <w:r>
                    <w:rPr>
                      <w:noProof/>
                      <w:lang w:eastAsia="fr-BE"/>
                    </w:rPr>
                    <w:drawing>
                      <wp:inline distT="0" distB="0" distL="0" distR="0">
                        <wp:extent cx="4071068" cy="3830928"/>
                        <wp:effectExtent l="0" t="0" r="571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101135" cy="3859221"/>
                                </a:xfrm>
                                <a:prstGeom prst="rect">
                                  <a:avLst/>
                                </a:prstGeom>
                                <a:noFill/>
                                <a:ln>
                                  <a:noFill/>
                                </a:ln>
                              </pic:spPr>
                            </pic:pic>
                          </a:graphicData>
                        </a:graphic>
                      </wp:inline>
                    </w:drawing>
                  </w:r>
                </w:p>
                <w:p w:rsidR="00F04EEF" w:rsidRDefault="00F04EEF"/>
                <w:p w:rsidR="00F04EEF" w:rsidRDefault="0099351E">
                  <w:r>
                    <w:rPr>
                      <w:noProof/>
                      <w:lang w:eastAsia="fr-BE"/>
                    </w:rPr>
                    <w:drawing>
                      <wp:inline distT="0" distB="0" distL="0" distR="0">
                        <wp:extent cx="4102873" cy="3168186"/>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24982" cy="3185258"/>
                                </a:xfrm>
                                <a:prstGeom prst="rect">
                                  <a:avLst/>
                                </a:prstGeom>
                                <a:noFill/>
                                <a:ln>
                                  <a:noFill/>
                                </a:ln>
                              </pic:spPr>
                            </pic:pic>
                          </a:graphicData>
                        </a:graphic>
                      </wp:inline>
                    </w:drawing>
                  </w:r>
                </w:p>
                <w:p w:rsidR="00F04EEF" w:rsidRDefault="00F04EEF"/>
                <w:p w:rsidR="00F04EEF" w:rsidRDefault="0099351E">
                  <w:r>
                    <w:rPr>
                      <w:noProof/>
                      <w:lang w:eastAsia="fr-BE"/>
                    </w:rPr>
                    <w:drawing>
                      <wp:inline distT="0" distB="0" distL="0" distR="0">
                        <wp:extent cx="4031312" cy="2777597"/>
                        <wp:effectExtent l="0" t="0" r="762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060307" cy="2797575"/>
                                </a:xfrm>
                                <a:prstGeom prst="rect">
                                  <a:avLst/>
                                </a:prstGeom>
                                <a:noFill/>
                                <a:ln>
                                  <a:noFill/>
                                </a:ln>
                              </pic:spPr>
                            </pic:pic>
                          </a:graphicData>
                        </a:graphic>
                      </wp:inline>
                    </w:drawing>
                  </w:r>
                </w:p>
                <w:p w:rsidR="00F04EEF" w:rsidRDefault="0099351E">
                  <w:r>
                    <w:rPr>
                      <w:noProof/>
                      <w:lang w:eastAsia="fr-BE"/>
                    </w:rPr>
                    <w:drawing>
                      <wp:inline distT="0" distB="0" distL="0" distR="0">
                        <wp:extent cx="4089337" cy="1803334"/>
                        <wp:effectExtent l="0" t="0" r="6985" b="6985"/>
                        <wp:docPr id="5548" name="Image 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120522" cy="1817086"/>
                                </a:xfrm>
                                <a:prstGeom prst="rect">
                                  <a:avLst/>
                                </a:prstGeom>
                                <a:noFill/>
                                <a:ln>
                                  <a:noFill/>
                                </a:ln>
                              </pic:spPr>
                            </pic:pic>
                          </a:graphicData>
                        </a:graphic>
                      </wp:inline>
                    </w:drawing>
                  </w:r>
                </w:p>
                <w:p w:rsidR="00F04EEF" w:rsidRDefault="0099351E">
                  <w:r>
                    <w:rPr>
                      <w:noProof/>
                      <w:lang w:eastAsia="fr-BE"/>
                    </w:rPr>
                    <w:drawing>
                      <wp:inline distT="0" distB="0" distL="0" distR="0">
                        <wp:extent cx="3626944" cy="680502"/>
                        <wp:effectExtent l="0" t="0" r="0" b="5715"/>
                        <wp:docPr id="5549" name="Image 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738560" cy="701444"/>
                                </a:xfrm>
                                <a:prstGeom prst="rect">
                                  <a:avLst/>
                                </a:prstGeom>
                                <a:noFill/>
                                <a:ln>
                                  <a:noFill/>
                                </a:ln>
                              </pic:spPr>
                            </pic:pic>
                          </a:graphicData>
                        </a:graphic>
                      </wp:inline>
                    </w:drawing>
                  </w:r>
                  <w:r>
                    <w:br w:type="page"/>
                  </w:r>
                </w:p>
                <w:p w:rsidR="00F04EEF" w:rsidRDefault="0099351E">
                  <w:pPr>
                    <w:pStyle w:val="Titre4"/>
                  </w:pPr>
                  <w:r>
                    <w:t>Annexe 2 : Protocole d’intégration (2</w:t>
                  </w:r>
                  <w:r>
                    <w:rPr>
                      <w:vertAlign w:val="superscript"/>
                    </w:rPr>
                    <w:t>ème</w:t>
                  </w:r>
                  <w:r>
                    <w:t xml:space="preserve">  partie du protocole d’intégration)</w:t>
                  </w:r>
                </w:p>
                <w:p w:rsidR="00F04EEF" w:rsidRDefault="00F04EEF">
                  <w:pPr>
                    <w:tabs>
                      <w:tab w:val="left" w:pos="1134"/>
                    </w:tabs>
                    <w:jc w:val="both"/>
                  </w:pPr>
                </w:p>
                <w:p w:rsidR="00F04EEF" w:rsidRDefault="0099351E">
                  <w:pPr>
                    <w:tabs>
                      <w:tab w:val="left" w:pos="1134"/>
                    </w:tabs>
                    <w:jc w:val="both"/>
                    <w:rPr>
                      <w:b/>
                    </w:rPr>
                  </w:pPr>
                  <w:r>
                    <w:rPr>
                      <w:b/>
                    </w:rPr>
                    <w:t>NOM et prénom de l’élève concerné : ……………………………………………………</w:t>
                  </w:r>
                </w:p>
                <w:p w:rsidR="00F04EEF" w:rsidRDefault="00F04EEF">
                  <w:pPr>
                    <w:tabs>
                      <w:tab w:val="left" w:pos="1134"/>
                    </w:tabs>
                    <w:jc w:val="both"/>
                  </w:pPr>
                </w:p>
                <w:p w:rsidR="00F04EEF" w:rsidRDefault="0099351E">
                  <w:pPr>
                    <w:tabs>
                      <w:tab w:val="left" w:pos="1134"/>
                    </w:tabs>
                    <w:jc w:val="both"/>
                  </w:pPr>
                  <w:r>
                    <w:t>Synthèse du dossier de l’élève :</w:t>
                  </w:r>
                </w:p>
                <w:p w:rsidR="00F04EEF" w:rsidRDefault="00F04EEF">
                  <w:pPr>
                    <w:tabs>
                      <w:tab w:val="left" w:pos="1134"/>
                    </w:tabs>
                    <w:jc w:val="both"/>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p w:rsidR="00F04EEF" w:rsidRDefault="00F04EEF">
                        <w:pPr>
                          <w:tabs>
                            <w:tab w:val="left" w:pos="1134"/>
                          </w:tabs>
                          <w:jc w:val="both"/>
                        </w:pPr>
                      </w:p>
                    </w:tc>
                  </w:tr>
                </w:tbl>
                <w:p w:rsidR="00F04EEF" w:rsidRDefault="00F04EEF">
                  <w:pPr>
                    <w:tabs>
                      <w:tab w:val="left" w:pos="1134"/>
                    </w:tabs>
                    <w:jc w:val="both"/>
                  </w:pPr>
                </w:p>
                <w:p w:rsidR="00F04EEF" w:rsidRDefault="0099351E">
                  <w:pPr>
                    <w:tabs>
                      <w:tab w:val="left" w:pos="1134"/>
                    </w:tabs>
                    <w:jc w:val="both"/>
                  </w:pPr>
                  <w: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rPr>
                      <w:trHeight w:val="704"/>
                    </w:trPr>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p w:rsidR="00F04EEF" w:rsidRDefault="00F04EEF">
                        <w:pPr>
                          <w:tabs>
                            <w:tab w:val="left" w:pos="1134"/>
                          </w:tabs>
                          <w:jc w:val="both"/>
                        </w:pPr>
                      </w:p>
                    </w:tc>
                  </w:tr>
                </w:tbl>
                <w:p w:rsidR="00F04EEF" w:rsidRDefault="00F04EEF">
                  <w:pPr>
                    <w:tabs>
                      <w:tab w:val="left" w:pos="1134"/>
                    </w:tabs>
                    <w:jc w:val="both"/>
                  </w:pPr>
                </w:p>
                <w:p w:rsidR="00F04EEF" w:rsidRDefault="0099351E">
                  <w:pPr>
                    <w:tabs>
                      <w:tab w:val="left" w:pos="1134"/>
                    </w:tabs>
                    <w:jc w:val="both"/>
                  </w:pPr>
                  <w: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p w:rsidR="00F04EEF" w:rsidRDefault="00F04EEF">
                        <w:pPr>
                          <w:tabs>
                            <w:tab w:val="left" w:pos="1134"/>
                          </w:tabs>
                          <w:jc w:val="both"/>
                        </w:pPr>
                      </w:p>
                    </w:tc>
                  </w:tr>
                </w:tbl>
                <w:p w:rsidR="00F04EEF" w:rsidRDefault="00F04EEF">
                  <w:pPr>
                    <w:tabs>
                      <w:tab w:val="left" w:pos="1134"/>
                    </w:tabs>
                    <w:jc w:val="both"/>
                  </w:pPr>
                </w:p>
                <w:p w:rsidR="00F04EEF" w:rsidRDefault="0099351E">
                  <w:pPr>
                    <w:tabs>
                      <w:tab w:val="left" w:pos="1134"/>
                    </w:tabs>
                    <w:jc w:val="both"/>
                  </w:pPr>
                  <w: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p w:rsidR="00F04EEF" w:rsidRDefault="00F04EEF">
                        <w:pPr>
                          <w:tabs>
                            <w:tab w:val="left" w:pos="1134"/>
                          </w:tabs>
                          <w:jc w:val="both"/>
                        </w:pPr>
                      </w:p>
                    </w:tc>
                  </w:tr>
                </w:tbl>
                <w:p w:rsidR="00F04EEF" w:rsidRDefault="00F04EEF">
                  <w:pPr>
                    <w:tabs>
                      <w:tab w:val="left" w:pos="1134"/>
                    </w:tabs>
                    <w:jc w:val="both"/>
                  </w:pPr>
                </w:p>
                <w:p w:rsidR="00F04EEF" w:rsidRDefault="00F04EEF">
                  <w:pPr>
                    <w:tabs>
                      <w:tab w:val="left" w:pos="1134"/>
                    </w:tabs>
                    <w:jc w:val="both"/>
                  </w:pPr>
                </w:p>
                <w:p w:rsidR="00F04EEF" w:rsidRDefault="0099351E">
                  <w:pPr>
                    <w:tabs>
                      <w:tab w:val="left" w:pos="1134"/>
                    </w:tabs>
                    <w:jc w:val="both"/>
                  </w:pPr>
                  <w: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p w:rsidR="00F04EEF" w:rsidRDefault="00F04EEF">
                        <w:pPr>
                          <w:tabs>
                            <w:tab w:val="left" w:pos="1134"/>
                          </w:tabs>
                          <w:jc w:val="both"/>
                        </w:pPr>
                      </w:p>
                    </w:tc>
                  </w:tr>
                </w:tbl>
                <w:p w:rsidR="00F04EEF" w:rsidRDefault="00F04EEF">
                  <w:pPr>
                    <w:tabs>
                      <w:tab w:val="left" w:pos="1134"/>
                    </w:tabs>
                    <w:jc w:val="both"/>
                  </w:pPr>
                </w:p>
                <w:p w:rsidR="00F04EEF" w:rsidRDefault="0099351E">
                  <w:pPr>
                    <w:tabs>
                      <w:tab w:val="left" w:pos="1134"/>
                    </w:tabs>
                    <w:jc w:val="both"/>
                  </w:pPr>
                  <w:r>
                    <w:t>Modalités de l’accompagnement et choix du personnel accompagnant</w:t>
                  </w:r>
                  <w:r>
                    <w:rPr>
                      <w:rStyle w:val="Caractresdenotedebasdepage"/>
                      <w:rFonts w:cs="Arial"/>
                    </w:rPr>
                    <w:footnoteReference w:id="149"/>
                  </w:r>
                  <w:r>
                    <w: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p w:rsidR="00F04EEF" w:rsidRDefault="00F04EEF">
                        <w:pPr>
                          <w:tabs>
                            <w:tab w:val="left" w:pos="1134"/>
                          </w:tabs>
                          <w:snapToGrid w:val="0"/>
                          <w:jc w:val="both"/>
                        </w:pPr>
                      </w:p>
                      <w:p w:rsidR="00F04EEF" w:rsidRDefault="00F04EEF">
                        <w:pPr>
                          <w:tabs>
                            <w:tab w:val="left" w:pos="1134"/>
                          </w:tabs>
                          <w:snapToGrid w:val="0"/>
                          <w:jc w:val="both"/>
                        </w:pPr>
                      </w:p>
                    </w:tc>
                  </w:tr>
                </w:tbl>
                <w:p w:rsidR="00F04EEF" w:rsidRDefault="00F04EEF">
                  <w:pPr>
                    <w:tabs>
                      <w:tab w:val="left" w:pos="1134"/>
                    </w:tabs>
                    <w:jc w:val="both"/>
                  </w:pPr>
                </w:p>
                <w:p w:rsidR="00F04EEF" w:rsidRDefault="0099351E">
                  <w:pPr>
                    <w:tabs>
                      <w:tab w:val="left" w:pos="1134"/>
                    </w:tabs>
                    <w:jc w:val="both"/>
                  </w:pPr>
                  <w:r>
                    <w:t>Modalités d’évaluation interne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p w:rsidR="00F04EEF" w:rsidRDefault="00F04EEF">
                        <w:pPr>
                          <w:tabs>
                            <w:tab w:val="left" w:pos="1134"/>
                          </w:tabs>
                          <w:snapToGrid w:val="0"/>
                          <w:jc w:val="both"/>
                        </w:pPr>
                      </w:p>
                    </w:tc>
                  </w:tr>
                </w:tbl>
                <w:p w:rsidR="00F04EEF" w:rsidRDefault="00F04EEF">
                  <w:pPr>
                    <w:tabs>
                      <w:tab w:val="left" w:pos="1134"/>
                    </w:tabs>
                    <w:jc w:val="both"/>
                    <w:rPr>
                      <w:b/>
                    </w:rPr>
                  </w:pPr>
                </w:p>
                <w:p w:rsidR="00F04EEF" w:rsidRDefault="0099351E">
                  <w:pPr>
                    <w:tabs>
                      <w:tab w:val="left" w:pos="1134"/>
                    </w:tabs>
                    <w:jc w:val="both"/>
                  </w:pPr>
                  <w:r>
                    <w:t>Règles de présence et registre :</w:t>
                  </w:r>
                </w:p>
                <w:p w:rsidR="00F04EEF" w:rsidRDefault="00F04EEF">
                  <w:pPr>
                    <w:tabs>
                      <w:tab w:val="left" w:pos="1134"/>
                    </w:tabs>
                    <w:jc w:val="both"/>
                    <w:rPr>
                      <w:b/>
                    </w:rPr>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F04EEF">
                    <w:tc>
                      <w:tcPr>
                        <w:tcW w:w="9635"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tc>
                  </w:tr>
                </w:tbl>
                <w:p w:rsidR="00F04EEF" w:rsidRDefault="00F04EEF">
                  <w:pPr>
                    <w:tabs>
                      <w:tab w:val="left" w:pos="1134"/>
                    </w:tabs>
                    <w:jc w:val="both"/>
                    <w:rPr>
                      <w:b/>
                      <w:u w:val="single"/>
                    </w:rPr>
                  </w:pPr>
                </w:p>
                <w:p w:rsidR="00F04EEF" w:rsidRDefault="00F04EEF">
                  <w:pPr>
                    <w:tabs>
                      <w:tab w:val="left" w:pos="1134"/>
                    </w:tabs>
                    <w:jc w:val="both"/>
                    <w:rPr>
                      <w:b/>
                      <w:u w:val="single"/>
                    </w:rPr>
                  </w:pPr>
                </w:p>
                <w:p w:rsidR="00F04EEF" w:rsidRDefault="0099351E">
                  <w:pPr>
                    <w:rPr>
                      <w:b/>
                      <w:u w:val="single"/>
                    </w:rPr>
                  </w:pPr>
                  <w:r>
                    <w:rPr>
                      <w:b/>
                      <w:u w:val="single"/>
                    </w:rPr>
                    <w:br w:type="page"/>
                  </w:r>
                </w:p>
                <w:p w:rsidR="00F04EEF" w:rsidRDefault="00F04EEF">
                  <w:pPr>
                    <w:tabs>
                      <w:tab w:val="left" w:pos="1134"/>
                    </w:tabs>
                    <w:jc w:val="both"/>
                    <w:rPr>
                      <w:b/>
                      <w:u w:val="single"/>
                    </w:rPr>
                  </w:pPr>
                </w:p>
                <w:p w:rsidR="00F04EEF" w:rsidRDefault="0099351E">
                  <w:pPr>
                    <w:pStyle w:val="Titre4"/>
                  </w:pPr>
                  <w:bookmarkStart w:id="3252" w:name="_Annexe_2_:_3"/>
                  <w:bookmarkEnd w:id="3252"/>
                  <w:r>
                    <w:t>Annexe 2 : Protocole d’intégration (3</w:t>
                  </w:r>
                  <w:r>
                    <w:rPr>
                      <w:vertAlign w:val="superscript"/>
                    </w:rPr>
                    <w:t>ème</w:t>
                  </w:r>
                  <w:r>
                    <w:t xml:space="preserve"> partie du protocole d’intégration)</w:t>
                  </w:r>
                </w:p>
                <w:p w:rsidR="00F04EEF" w:rsidRDefault="00F04EEF">
                  <w:pPr>
                    <w:tabs>
                      <w:tab w:val="left" w:pos="1134"/>
                    </w:tabs>
                    <w:jc w:val="both"/>
                    <w:rPr>
                      <w:b/>
                      <w:u w:val="single"/>
                    </w:rPr>
                  </w:pPr>
                </w:p>
                <w:p w:rsidR="00F04EEF" w:rsidRDefault="00F04EEF">
                  <w:pPr>
                    <w:tabs>
                      <w:tab w:val="left" w:pos="1134"/>
                    </w:tabs>
                    <w:jc w:val="both"/>
                    <w:rPr>
                      <w:b/>
                      <w:u w:val="single"/>
                    </w:rPr>
                  </w:pPr>
                </w:p>
                <w:p w:rsidR="00F04EEF" w:rsidRDefault="0099351E">
                  <w:pPr>
                    <w:tabs>
                      <w:tab w:val="left" w:pos="1134"/>
                    </w:tabs>
                    <w:jc w:val="both"/>
                    <w:rPr>
                      <w:b/>
                      <w:u w:val="single"/>
                    </w:rPr>
                  </w:pPr>
                  <w:r>
                    <w:rPr>
                      <w:b/>
                      <w:u w:val="single"/>
                    </w:rPr>
                    <w:t>NOM et prénom de l’élève concerné ................................................................</w:t>
                  </w:r>
                </w:p>
                <w:p w:rsidR="00F04EEF" w:rsidRDefault="00F04EEF">
                  <w:pPr>
                    <w:tabs>
                      <w:tab w:val="left" w:pos="1134"/>
                    </w:tabs>
                    <w:jc w:val="both"/>
                    <w:rPr>
                      <w:b/>
                      <w:u w:val="single"/>
                    </w:rPr>
                  </w:pPr>
                </w:p>
                <w:p w:rsidR="00F04EEF" w:rsidRDefault="0099351E">
                  <w:pPr>
                    <w:tabs>
                      <w:tab w:val="left" w:pos="1134"/>
                    </w:tabs>
                    <w:jc w:val="both"/>
                    <w:rPr>
                      <w:b/>
                      <w:u w:val="single"/>
                    </w:rPr>
                  </w:pPr>
                  <w:r>
                    <w:rPr>
                      <w:b/>
                      <w:u w:val="single"/>
                    </w:rPr>
                    <w:t>LES PARTENAIRES SUIVANTS (à l’exception du CPMS) MARQUENT LEUR ACCORD SUR LE PROJET :</w:t>
                  </w:r>
                </w:p>
                <w:p w:rsidR="00F04EEF" w:rsidRDefault="00F04EEF">
                  <w:pPr>
                    <w:tabs>
                      <w:tab w:val="left" w:pos="1134"/>
                    </w:tabs>
                    <w:jc w:val="both"/>
                    <w:rPr>
                      <w:b/>
                      <w:u w:val="single"/>
                    </w:rPr>
                  </w:pPr>
                </w:p>
                <w:tbl>
                  <w:tblPr>
                    <w:tblW w:w="0" w:type="auto"/>
                    <w:tblInd w:w="-25" w:type="dxa"/>
                    <w:tblLayout w:type="fixed"/>
                    <w:tblCellMar>
                      <w:left w:w="70" w:type="dxa"/>
                      <w:right w:w="70" w:type="dxa"/>
                    </w:tblCellMar>
                    <w:tblLook w:val="0000" w:firstRow="0" w:lastRow="0" w:firstColumn="0" w:lastColumn="0" w:noHBand="0" w:noVBand="0"/>
                  </w:tblPr>
                  <w:tblGrid>
                    <w:gridCol w:w="4570"/>
                    <w:gridCol w:w="4730"/>
                  </w:tblGrid>
                  <w:tr w:rsidR="00F04EEF">
                    <w:tc>
                      <w:tcPr>
                        <w:tcW w:w="4570" w:type="dxa"/>
                        <w:tcBorders>
                          <w:top w:val="single" w:sz="4" w:space="0" w:color="000000"/>
                          <w:left w:val="single" w:sz="4" w:space="0" w:color="000000"/>
                          <w:bottom w:val="single" w:sz="4" w:space="0" w:color="000000"/>
                        </w:tcBorders>
                      </w:tcPr>
                      <w:p w:rsidR="00F04EEF" w:rsidRDefault="0099351E">
                        <w:pPr>
                          <w:tabs>
                            <w:tab w:val="left" w:pos="1134"/>
                          </w:tabs>
                          <w:jc w:val="both"/>
                        </w:pPr>
                        <w:r>
                          <w:t xml:space="preserve">Pour l’école d’enseignement ordinaire, le PO ou son Délégué : </w:t>
                        </w:r>
                      </w:p>
                      <w:p w:rsidR="00F04EEF" w:rsidRDefault="00F04EEF">
                        <w:pPr>
                          <w:tabs>
                            <w:tab w:val="left" w:pos="1134"/>
                            <w:tab w:val="right" w:pos="1440"/>
                          </w:tabs>
                          <w:jc w:val="both"/>
                        </w:pPr>
                      </w:p>
                      <w:p w:rsidR="00F04EEF" w:rsidRDefault="0099351E">
                        <w:pPr>
                          <w:tabs>
                            <w:tab w:val="left" w:pos="1134"/>
                            <w:tab w:val="right" w:pos="1440"/>
                          </w:tabs>
                          <w:jc w:val="both"/>
                        </w:pPr>
                        <w:r>
                          <w:t>Date :</w:t>
                        </w:r>
                      </w:p>
                      <w:p w:rsidR="00F04EEF" w:rsidRDefault="00F04EEF">
                        <w:pPr>
                          <w:tabs>
                            <w:tab w:val="left" w:pos="1134"/>
                            <w:tab w:val="right" w:pos="1440"/>
                          </w:tabs>
                          <w:jc w:val="both"/>
                        </w:pPr>
                      </w:p>
                      <w:p w:rsidR="00F04EEF" w:rsidRDefault="0099351E">
                        <w:pPr>
                          <w:tabs>
                            <w:tab w:val="left" w:pos="1134"/>
                            <w:tab w:val="right" w:pos="1440"/>
                          </w:tabs>
                          <w:jc w:val="both"/>
                        </w:pPr>
                        <w:r>
                          <w:t>Signature</w:t>
                        </w:r>
                      </w:p>
                      <w:p w:rsidR="00F04EEF" w:rsidRDefault="00F04EEF">
                        <w:pPr>
                          <w:tabs>
                            <w:tab w:val="left" w:pos="1134"/>
                            <w:tab w:val="right" w:pos="1440"/>
                          </w:tabs>
                          <w:jc w:val="both"/>
                        </w:pPr>
                      </w:p>
                      <w:p w:rsidR="00F04EEF" w:rsidRDefault="00F04EEF">
                        <w:pPr>
                          <w:tabs>
                            <w:tab w:val="left" w:pos="1134"/>
                            <w:tab w:val="right" w:pos="1440"/>
                          </w:tabs>
                          <w:jc w:val="both"/>
                        </w:pPr>
                      </w:p>
                      <w:p w:rsidR="00F04EEF" w:rsidRDefault="0099351E">
                        <w:pPr>
                          <w:tabs>
                            <w:tab w:val="left" w:pos="1134"/>
                            <w:tab w:val="right" w:pos="1440"/>
                          </w:tabs>
                          <w:jc w:val="both"/>
                        </w:pPr>
                        <w:r>
                          <w:t>Cachet</w:t>
                        </w:r>
                      </w:p>
                    </w:tc>
                    <w:tc>
                      <w:tcPr>
                        <w:tcW w:w="4730"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jc w:val="both"/>
                        </w:pPr>
                        <w:r>
                          <w:t>Pour l’école d’enseignement spécialisé, le PO ou son Délégué:</w:t>
                        </w:r>
                      </w:p>
                      <w:p w:rsidR="00F04EEF" w:rsidRDefault="00F04EEF">
                        <w:pPr>
                          <w:tabs>
                            <w:tab w:val="left" w:pos="1134"/>
                            <w:tab w:val="right" w:pos="1440"/>
                          </w:tabs>
                          <w:jc w:val="both"/>
                        </w:pPr>
                      </w:p>
                      <w:p w:rsidR="00F04EEF" w:rsidRDefault="0099351E">
                        <w:pPr>
                          <w:tabs>
                            <w:tab w:val="left" w:pos="1134"/>
                            <w:tab w:val="right" w:pos="1440"/>
                          </w:tabs>
                          <w:jc w:val="both"/>
                        </w:pPr>
                        <w:r>
                          <w:t>Date :</w:t>
                        </w:r>
                      </w:p>
                      <w:p w:rsidR="00F04EEF" w:rsidRDefault="00F04EEF">
                        <w:pPr>
                          <w:tabs>
                            <w:tab w:val="left" w:pos="1134"/>
                            <w:tab w:val="right" w:pos="1440"/>
                          </w:tabs>
                          <w:jc w:val="both"/>
                        </w:pPr>
                      </w:p>
                      <w:p w:rsidR="00F04EEF" w:rsidRDefault="0099351E">
                        <w:pPr>
                          <w:tabs>
                            <w:tab w:val="left" w:pos="1134"/>
                            <w:tab w:val="right" w:pos="1440"/>
                          </w:tabs>
                          <w:jc w:val="both"/>
                        </w:pPr>
                        <w:r>
                          <w:t>Signature</w:t>
                        </w:r>
                      </w:p>
                      <w:p w:rsidR="00F04EEF" w:rsidRDefault="00F04EEF">
                        <w:pPr>
                          <w:tabs>
                            <w:tab w:val="left" w:pos="1134"/>
                            <w:tab w:val="right" w:pos="1440"/>
                          </w:tabs>
                          <w:jc w:val="both"/>
                        </w:pPr>
                      </w:p>
                      <w:p w:rsidR="00F04EEF" w:rsidRDefault="00F04EEF">
                        <w:pPr>
                          <w:tabs>
                            <w:tab w:val="left" w:pos="1134"/>
                            <w:tab w:val="right" w:pos="1440"/>
                          </w:tabs>
                          <w:jc w:val="both"/>
                        </w:pPr>
                      </w:p>
                      <w:p w:rsidR="00F04EEF" w:rsidRDefault="0099351E">
                        <w:pPr>
                          <w:tabs>
                            <w:tab w:val="left" w:pos="1134"/>
                            <w:tab w:val="right" w:pos="1440"/>
                          </w:tabs>
                          <w:jc w:val="both"/>
                        </w:pPr>
                        <w:r>
                          <w:t>Cachet</w:t>
                        </w:r>
                      </w:p>
                      <w:p w:rsidR="00F04EEF" w:rsidRDefault="00F04EEF">
                        <w:pPr>
                          <w:tabs>
                            <w:tab w:val="left" w:pos="1134"/>
                          </w:tabs>
                          <w:jc w:val="both"/>
                        </w:pPr>
                      </w:p>
                      <w:p w:rsidR="00F04EEF" w:rsidRDefault="00F04EEF">
                        <w:pPr>
                          <w:tabs>
                            <w:tab w:val="left" w:pos="1134"/>
                          </w:tabs>
                          <w:jc w:val="both"/>
                        </w:pPr>
                      </w:p>
                    </w:tc>
                  </w:tr>
                </w:tbl>
                <w:p w:rsidR="00F04EEF" w:rsidRDefault="0099351E">
                  <w:pPr>
                    <w:tabs>
                      <w:tab w:val="left" w:pos="1134"/>
                    </w:tabs>
                    <w:jc w:val="both"/>
                  </w:pPr>
                  <w:r>
                    <w:rPr>
                      <w:b/>
                      <w:noProof/>
                      <w:u w:val="single"/>
                      <w:lang w:eastAsia="fr-BE"/>
                    </w:rPr>
                    <mc:AlternateContent>
                      <mc:Choice Requires="wps">
                        <w:drawing>
                          <wp:anchor distT="0" distB="0" distL="114299" distR="114299" simplePos="0" relativeHeight="252061696" behindDoc="1" locked="0" layoutInCell="1" allowOverlap="1">
                            <wp:simplePos x="0" y="0"/>
                            <wp:positionH relativeFrom="column">
                              <wp:posOffset>6100444</wp:posOffset>
                            </wp:positionH>
                            <wp:positionV relativeFrom="paragraph">
                              <wp:posOffset>2292350</wp:posOffset>
                            </wp:positionV>
                            <wp:extent cx="0" cy="409575"/>
                            <wp:effectExtent l="0" t="0" r="19050" b="20955"/>
                            <wp:wrapNone/>
                            <wp:docPr id="4939" name="Connecteur droit 49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957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1B37EA" id="Connecteur droit 4939" o:spid="_x0000_s1026" style="position:absolute;z-index:-251254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80.35pt,180.5pt" to="480.35pt,2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" strokecolor="black [3040]">
                            <o:lock v:ext="edit" shapetype="f"/>
                          </v:line>
                        </w:pict>
                      </mc:Fallback>
                    </mc:AlternateContent>
                  </w:r>
                  <w:r>
                    <w:rPr>
                      <w:b/>
                      <w:noProof/>
                      <w:u w:val="single"/>
                      <w:lang w:eastAsia="fr-BE"/>
                    </w:rPr>
                    <mc:AlternateContent>
                      <mc:Choice Requires="wps">
                        <w:drawing>
                          <wp:anchor distT="0" distB="0" distL="114299" distR="114299" simplePos="0" relativeHeight="252059648" behindDoc="1" locked="0" layoutInCell="1" allowOverlap="1">
                            <wp:simplePos x="0" y="0"/>
                            <wp:positionH relativeFrom="column">
                              <wp:posOffset>6090919</wp:posOffset>
                            </wp:positionH>
                            <wp:positionV relativeFrom="paragraph">
                              <wp:posOffset>206375</wp:posOffset>
                            </wp:positionV>
                            <wp:extent cx="0" cy="257175"/>
                            <wp:effectExtent l="0" t="0" r="19050" b="36195"/>
                            <wp:wrapNone/>
                            <wp:docPr id="4938" name="Connecteur droit 49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717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4267CA" id="Connecteur droit 4938" o:spid="_x0000_s1026" style="position:absolute;z-index:-251256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79.6pt,16.25pt" to="479.6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" strokecolor="black [3040]">
                            <o:lock v:ext="edit" shapetype="f"/>
                          </v:line>
                        </w:pict>
                      </mc:Fallback>
                    </mc:AlternateContent>
                  </w: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F04EEF">
                    <w:tc>
                      <w:tcPr>
                        <w:tcW w:w="9300"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 w:val="right" w:pos="1440"/>
                          </w:tabs>
                          <w:jc w:val="both"/>
                        </w:pPr>
                        <w:r>
                          <w:t>Avis du CPMS qui accompagne l’élève de l’école spécialisée au moment de l’introduction de la proposition d’intégration :</w:t>
                        </w:r>
                      </w:p>
                      <w:p w:rsidR="00F04EEF" w:rsidRDefault="00F04EEF">
                        <w:pPr>
                          <w:tabs>
                            <w:tab w:val="left" w:pos="1134"/>
                            <w:tab w:val="right" w:pos="1440"/>
                          </w:tabs>
                          <w:jc w:val="both"/>
                        </w:pPr>
                      </w:p>
                      <w:p w:rsidR="00F04EEF" w:rsidRDefault="0099351E">
                        <w:pPr>
                          <w:tabs>
                            <w:tab w:val="left" w:pos="1134"/>
                            <w:tab w:val="right" w:pos="1440"/>
                          </w:tabs>
                          <w:jc w:val="both"/>
                        </w:pPr>
                        <w:r>
                          <w:t xml:space="preserve">La Direction : </w:t>
                        </w:r>
                      </w:p>
                      <w:p w:rsidR="00F04EEF" w:rsidRDefault="00F04EEF">
                        <w:pPr>
                          <w:tabs>
                            <w:tab w:val="left" w:pos="1134"/>
                            <w:tab w:val="right" w:pos="1440"/>
                          </w:tabs>
                          <w:jc w:val="both"/>
                        </w:pPr>
                      </w:p>
                      <w:p w:rsidR="00F04EEF" w:rsidRDefault="0099351E">
                        <w:pPr>
                          <w:tabs>
                            <w:tab w:val="left" w:pos="1134"/>
                            <w:tab w:val="right" w:pos="1440"/>
                          </w:tabs>
                          <w:jc w:val="both"/>
                        </w:pPr>
                        <w:r>
                          <w:t>Date :</w:t>
                        </w:r>
                      </w:p>
                      <w:p w:rsidR="00F04EEF" w:rsidRDefault="00F04EEF">
                        <w:pPr>
                          <w:tabs>
                            <w:tab w:val="left" w:pos="1134"/>
                            <w:tab w:val="right" w:pos="1440"/>
                          </w:tabs>
                          <w:jc w:val="both"/>
                        </w:pPr>
                      </w:p>
                      <w:p w:rsidR="00F04EEF" w:rsidRDefault="0099351E">
                        <w:pPr>
                          <w:tabs>
                            <w:tab w:val="left" w:pos="1134"/>
                            <w:tab w:val="right" w:pos="1440"/>
                          </w:tabs>
                          <w:jc w:val="both"/>
                        </w:pPr>
                        <w:r>
                          <w:t>Signature</w:t>
                        </w:r>
                      </w:p>
                      <w:p w:rsidR="00F04EEF" w:rsidRDefault="00F04EEF">
                        <w:pPr>
                          <w:tabs>
                            <w:tab w:val="left" w:pos="1134"/>
                            <w:tab w:val="right" w:pos="1440"/>
                          </w:tabs>
                          <w:jc w:val="both"/>
                        </w:pPr>
                      </w:p>
                      <w:p w:rsidR="00F04EEF" w:rsidRDefault="00F04EEF">
                        <w:pPr>
                          <w:tabs>
                            <w:tab w:val="left" w:pos="1134"/>
                            <w:tab w:val="right" w:pos="1440"/>
                          </w:tabs>
                          <w:jc w:val="both"/>
                        </w:pPr>
                      </w:p>
                      <w:p w:rsidR="00F04EEF" w:rsidRDefault="0099351E">
                        <w:pPr>
                          <w:tabs>
                            <w:tab w:val="left" w:pos="1134"/>
                            <w:tab w:val="right" w:pos="1440"/>
                          </w:tabs>
                          <w:jc w:val="both"/>
                        </w:pPr>
                        <w:r>
                          <w:t>Cachet</w:t>
                        </w:r>
                      </w:p>
                      <w:p w:rsidR="00F04EEF" w:rsidRDefault="00F04EEF">
                        <w:pPr>
                          <w:tabs>
                            <w:tab w:val="left" w:pos="1134"/>
                          </w:tabs>
                          <w:jc w:val="both"/>
                        </w:pPr>
                      </w:p>
                      <w:p w:rsidR="00F04EEF" w:rsidRDefault="00F04EEF">
                        <w:pPr>
                          <w:tabs>
                            <w:tab w:val="left" w:pos="1134"/>
                          </w:tabs>
                          <w:jc w:val="both"/>
                        </w:pPr>
                      </w:p>
                      <w:p w:rsidR="00F04EEF" w:rsidRDefault="00F04EEF">
                        <w:pPr>
                          <w:tabs>
                            <w:tab w:val="left" w:pos="1134"/>
                          </w:tabs>
                          <w:jc w:val="both"/>
                        </w:pPr>
                      </w:p>
                      <w:p w:rsidR="00F04EEF" w:rsidRDefault="0099351E">
                        <w:pPr>
                          <w:tabs>
                            <w:tab w:val="left" w:pos="1134"/>
                          </w:tabs>
                          <w:jc w:val="both"/>
                        </w:pPr>
                        <w:r>
                          <w:t xml:space="preserve">AVIS FAVORABLE – AVIS DÉFAVORABLE      </w:t>
                        </w:r>
                        <w:r>
                          <w:rPr>
                            <w:b/>
                            <w:noProof/>
                            <w:u w:val="single"/>
                            <w:lang w:eastAsia="fr-BE"/>
                          </w:rPr>
                          <mc:AlternateContent>
                            <mc:Choice Requires="wps">
                              <w:drawing>
                                <wp:anchor distT="0" distB="0" distL="114300" distR="114300" simplePos="0" relativeHeight="252055552" behindDoc="0" locked="0" layoutInCell="1" allowOverlap="1">
                                  <wp:simplePos x="0" y="0"/>
                                  <wp:positionH relativeFrom="column">
                                    <wp:posOffset>7121525</wp:posOffset>
                                  </wp:positionH>
                                  <wp:positionV relativeFrom="paragraph">
                                    <wp:posOffset>-325120</wp:posOffset>
                                  </wp:positionV>
                                  <wp:extent cx="19050" cy="5524500"/>
                                  <wp:effectExtent l="0" t="0" r="26670" b="19050"/>
                                  <wp:wrapNone/>
                                  <wp:docPr id="4936" name="Connecteur droit 49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0" cy="55245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4412171" id="Connecteur droit 4936" o:spid="_x0000_s1026" style="position:absolute;flip:x;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0.75pt,-25.6pt" to="562.25pt,4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" strokecolor="black [3040]">
                                  <o:lock v:ext="edit" shapetype="f"/>
                                </v:line>
                              </w:pict>
                            </mc:Fallback>
                          </mc:AlternateContent>
                        </w:r>
                        <w:r>
                          <w:rPr>
                            <w:i/>
                          </w:rPr>
                          <w:t xml:space="preserve"> </w:t>
                        </w:r>
                        <w:r>
                          <w:rPr>
                            <w:b/>
                            <w:noProof/>
                            <w:u w:val="single"/>
                            <w:lang w:eastAsia="fr-BE"/>
                          </w:rPr>
                          <mc:AlternateContent>
                            <mc:Choice Requires="wps">
                              <w:drawing>
                                <wp:anchor distT="0" distB="0" distL="114300" distR="114300" simplePos="0" relativeHeight="252057600" behindDoc="1" locked="0" layoutInCell="1" allowOverlap="1">
                                  <wp:simplePos x="0" y="0"/>
                                  <wp:positionH relativeFrom="column">
                                    <wp:posOffset>7121525</wp:posOffset>
                                  </wp:positionH>
                                  <wp:positionV relativeFrom="paragraph">
                                    <wp:posOffset>-328930</wp:posOffset>
                                  </wp:positionV>
                                  <wp:extent cx="19050" cy="5524500"/>
                                  <wp:effectExtent l="0" t="0" r="26670" b="19050"/>
                                  <wp:wrapNone/>
                                  <wp:docPr id="4937" name="Connecteur droit 49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0" cy="55245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67C4CDC" id="Connecteur droit 4937" o:spid="_x0000_s1026" style="position:absolute;flip:x;z-index:-25125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0.75pt,-25.9pt" to="562.25pt,40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" strokecolor="black [3040]">
                                  <o:lock v:ext="edit" shapetype="f"/>
                                </v:line>
                              </w:pict>
                            </mc:Fallback>
                          </mc:AlternateContent>
                        </w:r>
                        <w:r>
                          <w:rPr>
                            <w:i/>
                          </w:rPr>
                          <w:t xml:space="preserve"> (biffer la mention inutile)</w:t>
                        </w:r>
                      </w:p>
                      <w:p w:rsidR="00F04EEF" w:rsidRDefault="00F04EEF">
                        <w:pPr>
                          <w:tabs>
                            <w:tab w:val="left" w:pos="1134"/>
                          </w:tabs>
                          <w:jc w:val="both"/>
                        </w:pPr>
                      </w:p>
                      <w:p w:rsidR="00F04EEF" w:rsidRDefault="00F04EEF">
                        <w:pPr>
                          <w:tabs>
                            <w:tab w:val="left" w:pos="1134"/>
                          </w:tabs>
                          <w:jc w:val="both"/>
                        </w:pPr>
                      </w:p>
                    </w:tc>
                  </w:tr>
                </w:tbl>
                <w:p w:rsidR="00F04EEF" w:rsidRDefault="00F04EEF">
                  <w:pPr>
                    <w:tabs>
                      <w:tab w:val="left" w:pos="1134"/>
                    </w:tabs>
                    <w:jc w:val="both"/>
                  </w:pP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F04EEF">
                    <w:tc>
                      <w:tcPr>
                        <w:tcW w:w="9300"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jc w:val="both"/>
                        </w:pPr>
                        <w:r>
                          <w:t>Le responsable de l’élève (Nom, prénom et qualité) ou l’élève s’il est majeur :</w:t>
                        </w:r>
                      </w:p>
                      <w:p w:rsidR="00F04EEF" w:rsidRDefault="00F04EEF">
                        <w:pPr>
                          <w:tabs>
                            <w:tab w:val="left" w:pos="1134"/>
                          </w:tabs>
                          <w:jc w:val="both"/>
                        </w:pPr>
                      </w:p>
                      <w:p w:rsidR="00F04EEF" w:rsidRDefault="0099351E">
                        <w:pPr>
                          <w:tabs>
                            <w:tab w:val="left" w:pos="1134"/>
                            <w:tab w:val="right" w:pos="1440"/>
                          </w:tabs>
                          <w:jc w:val="both"/>
                        </w:pPr>
                        <w:r>
                          <w:t>Date :</w:t>
                        </w:r>
                        <w:r>
                          <w:tab/>
                        </w:r>
                        <w:r>
                          <w:tab/>
                        </w:r>
                        <w:r>
                          <w:tab/>
                        </w:r>
                        <w:r>
                          <w:tab/>
                        </w:r>
                        <w:r>
                          <w:tab/>
                        </w:r>
                        <w:r>
                          <w:tab/>
                          <w:t xml:space="preserve">       Signature</w:t>
                        </w:r>
                      </w:p>
                      <w:p w:rsidR="00F04EEF" w:rsidRDefault="00F04EEF">
                        <w:pPr>
                          <w:tabs>
                            <w:tab w:val="left" w:pos="1134"/>
                          </w:tabs>
                          <w:jc w:val="both"/>
                        </w:pPr>
                      </w:p>
                    </w:tc>
                  </w:tr>
                </w:tbl>
                <w:p w:rsidR="00F04EEF" w:rsidRDefault="00F04EEF"/>
                <w:p w:rsidR="00F04EEF" w:rsidRDefault="0099351E">
                  <w:pPr>
                    <w:rPr>
                      <w:b/>
                      <w:sz w:val="24"/>
                      <w:szCs w:val="24"/>
                      <w:u w:val="single"/>
                    </w:rPr>
                  </w:pPr>
                  <w:r>
                    <w:br w:type="page"/>
                  </w:r>
                </w:p>
                <w:p w:rsidR="00F04EEF" w:rsidRDefault="00F04EEF"/>
                <w:p w:rsidR="00F04EEF" w:rsidRDefault="0099351E">
                  <w:pPr>
                    <w:pStyle w:val="Titre4"/>
                  </w:pPr>
                  <w:r>
                    <w:rPr>
                      <w:rStyle w:val="Titre4Car1"/>
                      <w:b/>
                    </w:rPr>
                    <w:t>Annexe 3 : Tableau synoptique de l’évolution de l’intégration</w:t>
                  </w:r>
                  <w:r>
                    <w:t xml:space="preserve"> </w:t>
                  </w:r>
                  <w:r>
                    <w:rPr>
                      <w:rStyle w:val="Appelnotedebasdep"/>
                    </w:rPr>
                    <w:footnoteReference w:id="150"/>
                  </w:r>
                </w:p>
                <w:p w:rsidR="00F04EEF" w:rsidRDefault="00F04EEF"/>
                <w:p w:rsidR="00F04EEF" w:rsidRDefault="00F04EEF"/>
                <w:p w:rsidR="00F04EEF" w:rsidRDefault="00F04EEF"/>
                <w:p w:rsidR="00F04EEF" w:rsidRDefault="0099351E">
                  <w:pPr>
                    <w:jc w:val="center"/>
                    <w:rPr>
                      <w:b/>
                    </w:rPr>
                  </w:pPr>
                  <w:r>
                    <w:rPr>
                      <w:b/>
                    </w:rPr>
                    <w:t>ELEVE CONCERNE</w:t>
                  </w:r>
                </w:p>
                <w:p w:rsidR="00F04EEF" w:rsidRDefault="00F04EEF">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F04EEF">
                    <w:tc>
                      <w:tcPr>
                        <w:tcW w:w="4606" w:type="dxa"/>
                      </w:tcPr>
                      <w:p w:rsidR="00F04EEF" w:rsidRDefault="0099351E">
                        <w:r>
                          <w:t>NOM &amp; Prénom</w:t>
                        </w:r>
                      </w:p>
                    </w:tc>
                    <w:tc>
                      <w:tcPr>
                        <w:tcW w:w="4606" w:type="dxa"/>
                      </w:tcPr>
                      <w:p w:rsidR="00F04EEF" w:rsidRDefault="00F04EEF"/>
                      <w:p w:rsidR="00F04EEF" w:rsidRDefault="00F04EEF"/>
                    </w:tc>
                  </w:tr>
                  <w:tr w:rsidR="00F04EEF">
                    <w:tc>
                      <w:tcPr>
                        <w:tcW w:w="4606" w:type="dxa"/>
                      </w:tcPr>
                      <w:p w:rsidR="00F04EEF" w:rsidRDefault="0099351E">
                        <w:r>
                          <w:t>Date de naissance</w:t>
                        </w:r>
                      </w:p>
                    </w:tc>
                    <w:tc>
                      <w:tcPr>
                        <w:tcW w:w="4606" w:type="dxa"/>
                      </w:tcPr>
                      <w:p w:rsidR="00F04EEF" w:rsidRDefault="00F04EEF"/>
                    </w:tc>
                  </w:tr>
                  <w:tr w:rsidR="00F04EEF">
                    <w:tc>
                      <w:tcPr>
                        <w:tcW w:w="4606" w:type="dxa"/>
                      </w:tcPr>
                      <w:p w:rsidR="00F04EEF" w:rsidRDefault="0099351E">
                        <w:r>
                          <w:t>Sexe</w:t>
                        </w:r>
                      </w:p>
                    </w:tc>
                    <w:tc>
                      <w:tcPr>
                        <w:tcW w:w="4606" w:type="dxa"/>
                      </w:tcPr>
                      <w:p w:rsidR="00F04EEF" w:rsidRDefault="00F04EEF"/>
                    </w:tc>
                  </w:tr>
                  <w:tr w:rsidR="00F04EEF">
                    <w:tc>
                      <w:tcPr>
                        <w:tcW w:w="4606" w:type="dxa"/>
                      </w:tcPr>
                      <w:p w:rsidR="00F04EEF" w:rsidRDefault="0099351E">
                        <w:r>
                          <w:t>Date d’inscription dans l’enseignement spécialisé</w:t>
                        </w:r>
                      </w:p>
                    </w:tc>
                    <w:tc>
                      <w:tcPr>
                        <w:tcW w:w="4606" w:type="dxa"/>
                      </w:tcPr>
                      <w:p w:rsidR="00F04EEF" w:rsidRDefault="00F04EEF"/>
                    </w:tc>
                  </w:tr>
                </w:tbl>
                <w:p w:rsidR="00F04EEF" w:rsidRDefault="00F04EEF"/>
                <w:p w:rsidR="00F04EEF" w:rsidRDefault="00F04EEF"/>
                <w:p w:rsidR="00F04EEF" w:rsidRDefault="00F04EEF"/>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535"/>
                    <w:gridCol w:w="1598"/>
                    <w:gridCol w:w="1598"/>
                    <w:gridCol w:w="2372"/>
                  </w:tblGrid>
                  <w:tr w:rsidR="00F04EEF">
                    <w:tc>
                      <w:tcPr>
                        <w:tcW w:w="1535" w:type="dxa"/>
                      </w:tcPr>
                      <w:p w:rsidR="00F04EEF" w:rsidRDefault="0099351E">
                        <w:pPr>
                          <w:jc w:val="center"/>
                          <w:rPr>
                            <w:b/>
                          </w:rPr>
                        </w:pPr>
                        <w:r>
                          <w:rPr>
                            <w:b/>
                          </w:rPr>
                          <w:t>Année scolaire</w:t>
                        </w:r>
                      </w:p>
                    </w:tc>
                    <w:tc>
                      <w:tcPr>
                        <w:tcW w:w="1535" w:type="dxa"/>
                      </w:tcPr>
                      <w:p w:rsidR="00F04EEF" w:rsidRDefault="0099351E">
                        <w:pPr>
                          <w:jc w:val="center"/>
                          <w:rPr>
                            <w:b/>
                          </w:rPr>
                        </w:pPr>
                        <w:r>
                          <w:rPr>
                            <w:b/>
                          </w:rPr>
                          <w:t>Intégration temporaire partielle</w:t>
                        </w:r>
                        <w:r>
                          <w:rPr>
                            <w:rStyle w:val="Appelnotedebasdep"/>
                            <w:rFonts w:cs="Arial"/>
                            <w:b/>
                          </w:rPr>
                          <w:footnoteReference w:id="151"/>
                        </w:r>
                      </w:p>
                    </w:tc>
                    <w:tc>
                      <w:tcPr>
                        <w:tcW w:w="1598" w:type="dxa"/>
                        <w:vAlign w:val="center"/>
                      </w:tcPr>
                      <w:p w:rsidR="00F04EEF" w:rsidRDefault="0099351E">
                        <w:pPr>
                          <w:tabs>
                            <w:tab w:val="left" w:pos="1134"/>
                          </w:tabs>
                          <w:snapToGrid w:val="0"/>
                          <w:jc w:val="center"/>
                          <w:rPr>
                            <w:bCs/>
                            <w:vertAlign w:val="superscript"/>
                          </w:rPr>
                        </w:pPr>
                        <w:r>
                          <w:rPr>
                            <w:b/>
                          </w:rPr>
                          <w:t>Intégration permanente partielle</w:t>
                        </w:r>
                      </w:p>
                    </w:tc>
                    <w:tc>
                      <w:tcPr>
                        <w:tcW w:w="1598" w:type="dxa"/>
                        <w:vAlign w:val="center"/>
                      </w:tcPr>
                      <w:p w:rsidR="00F04EEF" w:rsidRDefault="0099351E">
                        <w:pPr>
                          <w:tabs>
                            <w:tab w:val="left" w:pos="1134"/>
                          </w:tabs>
                          <w:snapToGrid w:val="0"/>
                          <w:jc w:val="center"/>
                          <w:rPr>
                            <w:b/>
                          </w:rPr>
                        </w:pPr>
                        <w:r>
                          <w:rPr>
                            <w:b/>
                          </w:rPr>
                          <w:t>Intégration permanente totale</w:t>
                        </w:r>
                      </w:p>
                    </w:tc>
                    <w:tc>
                      <w:tcPr>
                        <w:tcW w:w="2372" w:type="dxa"/>
                        <w:vAlign w:val="center"/>
                      </w:tcPr>
                      <w:p w:rsidR="00F04EEF" w:rsidRDefault="0099351E">
                        <w:pPr>
                          <w:tabs>
                            <w:tab w:val="left" w:pos="1134"/>
                          </w:tabs>
                          <w:snapToGrid w:val="0"/>
                          <w:jc w:val="center"/>
                          <w:rPr>
                            <w:b/>
                          </w:rPr>
                        </w:pPr>
                        <w:r>
                          <w:rPr>
                            <w:b/>
                          </w:rPr>
                          <w:t>Fin de l’intégration</w:t>
                        </w:r>
                      </w:p>
                      <w:p w:rsidR="00F04EEF" w:rsidRDefault="0099351E">
                        <w:pPr>
                          <w:tabs>
                            <w:tab w:val="left" w:pos="1134"/>
                          </w:tabs>
                          <w:jc w:val="center"/>
                          <w:rPr>
                            <w:b/>
                          </w:rPr>
                        </w:pPr>
                        <w:r>
                          <w:rPr>
                            <w:b/>
                          </w:rPr>
                          <w:t>À préciser</w:t>
                        </w:r>
                        <w:r>
                          <w:rPr>
                            <w:rStyle w:val="Appelnotedebasdep"/>
                            <w:rFonts w:cs="Arial"/>
                            <w:b/>
                          </w:rPr>
                          <w:footnoteReference w:id="152"/>
                        </w:r>
                      </w:p>
                    </w:tc>
                  </w:tr>
                  <w:tr w:rsidR="00F04EEF">
                    <w:tc>
                      <w:tcPr>
                        <w:tcW w:w="1535" w:type="dxa"/>
                      </w:tcPr>
                      <w:p w:rsidR="00F04EEF" w:rsidRDefault="00F04EEF">
                        <w:pPr>
                          <w:rPr>
                            <w:b/>
                          </w:rPr>
                        </w:pPr>
                      </w:p>
                      <w:p w:rsidR="00F04EEF" w:rsidRDefault="00F04EEF">
                        <w:pPr>
                          <w:rPr>
                            <w:b/>
                          </w:rPr>
                        </w:pPr>
                      </w:p>
                    </w:tc>
                    <w:tc>
                      <w:tcPr>
                        <w:tcW w:w="1535" w:type="dxa"/>
                      </w:tcPr>
                      <w:p w:rsidR="00F04EEF" w:rsidRDefault="00F04EEF">
                        <w:pPr>
                          <w:rPr>
                            <w:b/>
                          </w:rPr>
                        </w:pPr>
                      </w:p>
                    </w:tc>
                    <w:tc>
                      <w:tcPr>
                        <w:tcW w:w="1598" w:type="dxa"/>
                      </w:tcPr>
                      <w:p w:rsidR="00F04EEF" w:rsidRDefault="00F04EEF">
                        <w:pPr>
                          <w:rPr>
                            <w:b/>
                          </w:rPr>
                        </w:pPr>
                      </w:p>
                    </w:tc>
                    <w:tc>
                      <w:tcPr>
                        <w:tcW w:w="1598" w:type="dxa"/>
                      </w:tcPr>
                      <w:p w:rsidR="00F04EEF" w:rsidRDefault="00F04EEF">
                        <w:pPr>
                          <w:rPr>
                            <w:b/>
                          </w:rPr>
                        </w:pPr>
                      </w:p>
                    </w:tc>
                    <w:tc>
                      <w:tcPr>
                        <w:tcW w:w="2372" w:type="dxa"/>
                      </w:tcPr>
                      <w:p w:rsidR="00F04EEF" w:rsidRDefault="00F04EEF">
                        <w:pPr>
                          <w:rPr>
                            <w:b/>
                          </w:rPr>
                        </w:pPr>
                      </w:p>
                    </w:tc>
                  </w:tr>
                  <w:tr w:rsidR="00F04EEF">
                    <w:tc>
                      <w:tcPr>
                        <w:tcW w:w="1535" w:type="dxa"/>
                      </w:tcPr>
                      <w:p w:rsidR="00F04EEF" w:rsidRDefault="00F04EEF">
                        <w:pPr>
                          <w:rPr>
                            <w:b/>
                          </w:rPr>
                        </w:pPr>
                      </w:p>
                      <w:p w:rsidR="00F04EEF" w:rsidRDefault="00F04EEF">
                        <w:pPr>
                          <w:rPr>
                            <w:b/>
                          </w:rPr>
                        </w:pPr>
                      </w:p>
                    </w:tc>
                    <w:tc>
                      <w:tcPr>
                        <w:tcW w:w="1535" w:type="dxa"/>
                      </w:tcPr>
                      <w:p w:rsidR="00F04EEF" w:rsidRDefault="00F04EEF">
                        <w:pPr>
                          <w:rPr>
                            <w:b/>
                          </w:rPr>
                        </w:pPr>
                      </w:p>
                    </w:tc>
                    <w:tc>
                      <w:tcPr>
                        <w:tcW w:w="1598" w:type="dxa"/>
                      </w:tcPr>
                      <w:p w:rsidR="00F04EEF" w:rsidRDefault="00F04EEF">
                        <w:pPr>
                          <w:rPr>
                            <w:b/>
                          </w:rPr>
                        </w:pPr>
                      </w:p>
                    </w:tc>
                    <w:tc>
                      <w:tcPr>
                        <w:tcW w:w="1598" w:type="dxa"/>
                      </w:tcPr>
                      <w:p w:rsidR="00F04EEF" w:rsidRDefault="00F04EEF">
                        <w:pPr>
                          <w:rPr>
                            <w:b/>
                          </w:rPr>
                        </w:pPr>
                      </w:p>
                    </w:tc>
                    <w:tc>
                      <w:tcPr>
                        <w:tcW w:w="2372" w:type="dxa"/>
                      </w:tcPr>
                      <w:p w:rsidR="00F04EEF" w:rsidRDefault="00F04EEF">
                        <w:pPr>
                          <w:rPr>
                            <w:b/>
                          </w:rPr>
                        </w:pPr>
                      </w:p>
                    </w:tc>
                  </w:tr>
                  <w:tr w:rsidR="00F04EEF">
                    <w:tc>
                      <w:tcPr>
                        <w:tcW w:w="1535" w:type="dxa"/>
                      </w:tcPr>
                      <w:p w:rsidR="00F04EEF" w:rsidRDefault="00F04EEF">
                        <w:pPr>
                          <w:rPr>
                            <w:b/>
                          </w:rPr>
                        </w:pPr>
                      </w:p>
                      <w:p w:rsidR="00F04EEF" w:rsidRDefault="00F04EEF">
                        <w:pPr>
                          <w:rPr>
                            <w:b/>
                          </w:rPr>
                        </w:pPr>
                      </w:p>
                    </w:tc>
                    <w:tc>
                      <w:tcPr>
                        <w:tcW w:w="1535" w:type="dxa"/>
                      </w:tcPr>
                      <w:p w:rsidR="00F04EEF" w:rsidRDefault="00F04EEF">
                        <w:pPr>
                          <w:rPr>
                            <w:b/>
                          </w:rPr>
                        </w:pPr>
                      </w:p>
                    </w:tc>
                    <w:tc>
                      <w:tcPr>
                        <w:tcW w:w="1598" w:type="dxa"/>
                      </w:tcPr>
                      <w:p w:rsidR="00F04EEF" w:rsidRDefault="00F04EEF">
                        <w:pPr>
                          <w:rPr>
                            <w:b/>
                          </w:rPr>
                        </w:pPr>
                      </w:p>
                    </w:tc>
                    <w:tc>
                      <w:tcPr>
                        <w:tcW w:w="1598" w:type="dxa"/>
                      </w:tcPr>
                      <w:p w:rsidR="00F04EEF" w:rsidRDefault="00F04EEF">
                        <w:pPr>
                          <w:rPr>
                            <w:b/>
                          </w:rPr>
                        </w:pPr>
                      </w:p>
                    </w:tc>
                    <w:tc>
                      <w:tcPr>
                        <w:tcW w:w="2372" w:type="dxa"/>
                      </w:tcPr>
                      <w:p w:rsidR="00F04EEF" w:rsidRDefault="00F04EEF">
                        <w:pPr>
                          <w:rPr>
                            <w:b/>
                          </w:rPr>
                        </w:pPr>
                      </w:p>
                    </w:tc>
                  </w:tr>
                  <w:tr w:rsidR="00F04EEF">
                    <w:tc>
                      <w:tcPr>
                        <w:tcW w:w="1535" w:type="dxa"/>
                      </w:tcPr>
                      <w:p w:rsidR="00F04EEF" w:rsidRDefault="00F04EEF">
                        <w:pPr>
                          <w:rPr>
                            <w:b/>
                          </w:rPr>
                        </w:pPr>
                      </w:p>
                      <w:p w:rsidR="00F04EEF" w:rsidRDefault="00F04EEF">
                        <w:pPr>
                          <w:rPr>
                            <w:b/>
                          </w:rPr>
                        </w:pPr>
                      </w:p>
                    </w:tc>
                    <w:tc>
                      <w:tcPr>
                        <w:tcW w:w="1535" w:type="dxa"/>
                      </w:tcPr>
                      <w:p w:rsidR="00F04EEF" w:rsidRDefault="00F04EEF">
                        <w:pPr>
                          <w:rPr>
                            <w:b/>
                          </w:rPr>
                        </w:pPr>
                      </w:p>
                    </w:tc>
                    <w:tc>
                      <w:tcPr>
                        <w:tcW w:w="1598" w:type="dxa"/>
                      </w:tcPr>
                      <w:p w:rsidR="00F04EEF" w:rsidRDefault="00F04EEF">
                        <w:pPr>
                          <w:rPr>
                            <w:b/>
                          </w:rPr>
                        </w:pPr>
                      </w:p>
                    </w:tc>
                    <w:tc>
                      <w:tcPr>
                        <w:tcW w:w="1598" w:type="dxa"/>
                      </w:tcPr>
                      <w:p w:rsidR="00F04EEF" w:rsidRDefault="00F04EEF">
                        <w:pPr>
                          <w:rPr>
                            <w:b/>
                          </w:rPr>
                        </w:pPr>
                      </w:p>
                    </w:tc>
                    <w:tc>
                      <w:tcPr>
                        <w:tcW w:w="2372" w:type="dxa"/>
                      </w:tcPr>
                      <w:p w:rsidR="00F04EEF" w:rsidRDefault="00F04EEF">
                        <w:pPr>
                          <w:rPr>
                            <w:b/>
                          </w:rPr>
                        </w:pPr>
                      </w:p>
                    </w:tc>
                  </w:tr>
                  <w:tr w:rsidR="00F04EEF">
                    <w:tc>
                      <w:tcPr>
                        <w:tcW w:w="1535" w:type="dxa"/>
                      </w:tcPr>
                      <w:p w:rsidR="00F04EEF" w:rsidRDefault="00F04EEF">
                        <w:pPr>
                          <w:rPr>
                            <w:b/>
                          </w:rPr>
                        </w:pPr>
                      </w:p>
                      <w:p w:rsidR="00F04EEF" w:rsidRDefault="00F04EEF">
                        <w:pPr>
                          <w:rPr>
                            <w:b/>
                          </w:rPr>
                        </w:pPr>
                      </w:p>
                    </w:tc>
                    <w:tc>
                      <w:tcPr>
                        <w:tcW w:w="1535" w:type="dxa"/>
                      </w:tcPr>
                      <w:p w:rsidR="00F04EEF" w:rsidRDefault="00F04EEF">
                        <w:pPr>
                          <w:rPr>
                            <w:b/>
                          </w:rPr>
                        </w:pPr>
                      </w:p>
                    </w:tc>
                    <w:tc>
                      <w:tcPr>
                        <w:tcW w:w="1598" w:type="dxa"/>
                      </w:tcPr>
                      <w:p w:rsidR="00F04EEF" w:rsidRDefault="00F04EEF">
                        <w:pPr>
                          <w:rPr>
                            <w:b/>
                          </w:rPr>
                        </w:pPr>
                      </w:p>
                    </w:tc>
                    <w:tc>
                      <w:tcPr>
                        <w:tcW w:w="1598" w:type="dxa"/>
                      </w:tcPr>
                      <w:p w:rsidR="00F04EEF" w:rsidRDefault="00F04EEF">
                        <w:pPr>
                          <w:rPr>
                            <w:b/>
                          </w:rPr>
                        </w:pPr>
                      </w:p>
                    </w:tc>
                    <w:tc>
                      <w:tcPr>
                        <w:tcW w:w="2372" w:type="dxa"/>
                      </w:tcPr>
                      <w:p w:rsidR="00F04EEF" w:rsidRDefault="00F04EEF">
                        <w:pPr>
                          <w:rPr>
                            <w:b/>
                          </w:rPr>
                        </w:pPr>
                      </w:p>
                    </w:tc>
                  </w:tr>
                  <w:tr w:rsidR="00F04EEF">
                    <w:tc>
                      <w:tcPr>
                        <w:tcW w:w="1535" w:type="dxa"/>
                      </w:tcPr>
                      <w:p w:rsidR="00F04EEF" w:rsidRDefault="00F04EEF">
                        <w:pPr>
                          <w:rPr>
                            <w:b/>
                          </w:rPr>
                        </w:pPr>
                      </w:p>
                      <w:p w:rsidR="00F04EEF" w:rsidRDefault="00F04EEF">
                        <w:pPr>
                          <w:rPr>
                            <w:b/>
                          </w:rPr>
                        </w:pPr>
                      </w:p>
                    </w:tc>
                    <w:tc>
                      <w:tcPr>
                        <w:tcW w:w="1535" w:type="dxa"/>
                      </w:tcPr>
                      <w:p w:rsidR="00F04EEF" w:rsidRDefault="00F04EEF">
                        <w:pPr>
                          <w:rPr>
                            <w:b/>
                          </w:rPr>
                        </w:pPr>
                      </w:p>
                    </w:tc>
                    <w:tc>
                      <w:tcPr>
                        <w:tcW w:w="1598" w:type="dxa"/>
                      </w:tcPr>
                      <w:p w:rsidR="00F04EEF" w:rsidRDefault="00F04EEF">
                        <w:pPr>
                          <w:rPr>
                            <w:b/>
                          </w:rPr>
                        </w:pPr>
                      </w:p>
                    </w:tc>
                    <w:tc>
                      <w:tcPr>
                        <w:tcW w:w="1598" w:type="dxa"/>
                      </w:tcPr>
                      <w:p w:rsidR="00F04EEF" w:rsidRDefault="00F04EEF">
                        <w:pPr>
                          <w:rPr>
                            <w:b/>
                          </w:rPr>
                        </w:pPr>
                      </w:p>
                    </w:tc>
                    <w:tc>
                      <w:tcPr>
                        <w:tcW w:w="2372" w:type="dxa"/>
                      </w:tcPr>
                      <w:p w:rsidR="00F04EEF" w:rsidRDefault="00F04EEF">
                        <w:pPr>
                          <w:rPr>
                            <w:b/>
                          </w:rPr>
                        </w:pPr>
                      </w:p>
                    </w:tc>
                  </w:tr>
                  <w:tr w:rsidR="00F04EEF">
                    <w:tc>
                      <w:tcPr>
                        <w:tcW w:w="1535" w:type="dxa"/>
                      </w:tcPr>
                      <w:p w:rsidR="00F04EEF" w:rsidRDefault="00F04EEF">
                        <w:pPr>
                          <w:rPr>
                            <w:b/>
                          </w:rPr>
                        </w:pPr>
                      </w:p>
                      <w:p w:rsidR="00F04EEF" w:rsidRDefault="00F04EEF">
                        <w:pPr>
                          <w:rPr>
                            <w:b/>
                          </w:rPr>
                        </w:pPr>
                      </w:p>
                    </w:tc>
                    <w:tc>
                      <w:tcPr>
                        <w:tcW w:w="1535" w:type="dxa"/>
                      </w:tcPr>
                      <w:p w:rsidR="00F04EEF" w:rsidRDefault="00F04EEF">
                        <w:pPr>
                          <w:rPr>
                            <w:b/>
                          </w:rPr>
                        </w:pPr>
                      </w:p>
                    </w:tc>
                    <w:tc>
                      <w:tcPr>
                        <w:tcW w:w="1598" w:type="dxa"/>
                      </w:tcPr>
                      <w:p w:rsidR="00F04EEF" w:rsidRDefault="00F04EEF">
                        <w:pPr>
                          <w:rPr>
                            <w:b/>
                          </w:rPr>
                        </w:pPr>
                      </w:p>
                    </w:tc>
                    <w:tc>
                      <w:tcPr>
                        <w:tcW w:w="1598" w:type="dxa"/>
                      </w:tcPr>
                      <w:p w:rsidR="00F04EEF" w:rsidRDefault="00F04EEF">
                        <w:pPr>
                          <w:rPr>
                            <w:b/>
                          </w:rPr>
                        </w:pPr>
                      </w:p>
                    </w:tc>
                    <w:tc>
                      <w:tcPr>
                        <w:tcW w:w="2372" w:type="dxa"/>
                      </w:tcPr>
                      <w:p w:rsidR="00F04EEF" w:rsidRDefault="00F04EEF">
                        <w:pPr>
                          <w:rPr>
                            <w:b/>
                          </w:rPr>
                        </w:pPr>
                      </w:p>
                    </w:tc>
                  </w:tr>
                </w:tbl>
                <w:p w:rsidR="00F04EEF" w:rsidRDefault="00F04EEF">
                  <w:pPr>
                    <w:rPr>
                      <w:b/>
                    </w:rPr>
                  </w:pPr>
                </w:p>
                <w:p w:rsidR="00F04EEF" w:rsidRDefault="00F04EEF">
                  <w:pPr>
                    <w:rPr>
                      <w:b/>
                    </w:rPr>
                  </w:pPr>
                </w:p>
                <w:p w:rsidR="00F04EEF" w:rsidRDefault="0099351E">
                  <w:pPr>
                    <w:jc w:val="center"/>
                    <w:rPr>
                      <w:b/>
                    </w:rPr>
                  </w:pPr>
                  <w:r>
                    <w:rPr>
                      <w:b/>
                    </w:rPr>
                    <w:t>Document constitutif du protocole d’intégration</w:t>
                  </w:r>
                </w:p>
                <w:p w:rsidR="00F04EEF" w:rsidRDefault="0099351E">
                  <w:pPr>
                    <w:jc w:val="both"/>
                  </w:pPr>
                  <w:r>
                    <w:br w:type="page"/>
                  </w:r>
                </w:p>
                <w:p w:rsidR="00F04EEF" w:rsidRDefault="0099351E">
                  <w:pPr>
                    <w:pStyle w:val="Titre4"/>
                  </w:pPr>
                  <w:bookmarkStart w:id="3253" w:name="_Annexe_4_:_8"/>
                  <w:bookmarkEnd w:id="3253"/>
                  <w:r>
                    <w:t>Annexe 4 : Bilan de l’intégration</w:t>
                  </w:r>
                </w:p>
                <w:p w:rsidR="00F04EEF" w:rsidRDefault="0099351E">
                  <w:r>
                    <w:rPr>
                      <w:noProof/>
                      <w:lang w:eastAsia="fr-BE"/>
                    </w:rPr>
                    <mc:AlternateContent>
                      <mc:Choice Requires="wps">
                        <w:drawing>
                          <wp:anchor distT="0" distB="0" distL="114300" distR="114300" simplePos="0" relativeHeight="252422144" behindDoc="0" locked="0" layoutInCell="1" allowOverlap="1">
                            <wp:simplePos x="0" y="0"/>
                            <wp:positionH relativeFrom="column">
                              <wp:posOffset>6344432</wp:posOffset>
                            </wp:positionH>
                            <wp:positionV relativeFrom="paragraph">
                              <wp:posOffset>213946</wp:posOffset>
                            </wp:positionV>
                            <wp:extent cx="0" cy="662354"/>
                            <wp:effectExtent l="0" t="0" r="19050" b="23495"/>
                            <wp:wrapNone/>
                            <wp:docPr id="5560" name="Connecteur droit 5560"/>
                            <wp:cNvGraphicFramePr/>
                            <a:graphic xmlns:a="http://schemas.openxmlformats.org/drawingml/2006/main">
                              <a:graphicData uri="http://schemas.microsoft.com/office/word/2010/wordprocessingShape">
                                <wps:wsp>
                                  <wps:cNvCnPr/>
                                  <wps:spPr>
                                    <a:xfrm>
                                      <a:off x="0" y="0"/>
                                      <a:ext cx="0" cy="6623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F65055" id="Connecteur droit 5560" o:spid="_x0000_s1026" style="position:absolute;z-index:252422144;visibility:visible;mso-wrap-style:square;mso-wrap-distance-left:9pt;mso-wrap-distance-top:0;mso-wrap-distance-right:9pt;mso-wrap-distance-bottom:0;mso-position-horizontal:absolute;mso-position-horizontal-relative:text;mso-position-vertical:absolute;mso-position-vertical-relative:text" from="499.55pt,16.85pt" to="499.5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" strokecolor="black [3213]"/>
                        </w:pict>
                      </mc:Fallback>
                    </mc:AlternateContent>
                  </w:r>
                </w:p>
                <w:p w:rsidR="00F04EEF" w:rsidRDefault="0099351E">
                  <w:pPr>
                    <w:jc w:val="both"/>
                  </w:pPr>
                  <w:r>
                    <w:t xml:space="preserve">Au terme de l’année scolaire, l’Administration transmet par mail les annexes pré-remplies aux écoles d’enseignement spécialisé. Ces documents doivent être complétés par les écoles et seront mis à disposition des vérificateurs de la population scolaire. Il n’est donc plus nécessaire de scanner ces annexes et de les transmettre sur la boite mail générique « intégration ».  </w:t>
                  </w:r>
                </w:p>
                <w:p w:rsidR="00F04EEF" w:rsidRDefault="00F04EEF">
                  <w:pPr>
                    <w:jc w:val="both"/>
                  </w:pPr>
                </w:p>
                <w:p w:rsidR="00F04EEF" w:rsidRDefault="0099351E">
                  <w:pPr>
                    <w:jc w:val="both"/>
                  </w:pPr>
                  <w:r>
                    <w:t xml:space="preserve">En cas d’arrêt d’intégration en cours d’année scolaire, le document est à renvoyer à l’Administration au plus tard dans les 30 jours calendrier à dater de la décision de l’arrêt d’intégration via l’adresse mail : </w:t>
                  </w:r>
                  <w:hyperlink r:id="rId222" w:history="1">
                    <w:r>
                      <w:rPr>
                        <w:rStyle w:val="Lienhypertexte"/>
                        <w:rFonts w:cstheme="minorBidi"/>
                        <w:u w:val="none"/>
                      </w:rPr>
                      <w:t>integration_specialise@cfwb.be</w:t>
                    </w:r>
                  </w:hyperlink>
                  <w:r>
                    <w:t xml:space="preserve"> </w:t>
                  </w:r>
                </w:p>
                <w:p w:rsidR="00F04EEF" w:rsidRDefault="00F04EEF">
                  <w:pPr>
                    <w:jc w:val="both"/>
                  </w:pPr>
                </w:p>
                <w:p w:rsidR="00F04EEF" w:rsidRDefault="0099351E">
                  <w:pPr>
                    <w:jc w:val="both"/>
                  </w:pPr>
                  <w:r>
                    <w:t xml:space="preserve">En cas de prolongation de l’intégration, le document est envoyé par mail aux établissements scolaires d’enseignement spécialisé dans les 30 jours calendrier à dater de la décision de prolongation. </w:t>
                  </w:r>
                </w:p>
                <w:p w:rsidR="00F04EEF" w:rsidRDefault="00F04EEF">
                  <w:pPr>
                    <w:jc w:val="both"/>
                  </w:pPr>
                </w:p>
                <w:p w:rsidR="00F04EEF" w:rsidRDefault="0099351E">
                  <w:pPr>
                    <w:rPr>
                      <w:noProof/>
                      <w:lang w:eastAsia="fr-BE"/>
                    </w:rPr>
                  </w:pPr>
                  <w:r>
                    <w:rPr>
                      <w:noProof/>
                      <w:lang w:eastAsia="fr-BE"/>
                    </w:rPr>
                    <w:br w:type="page"/>
                  </w:r>
                </w:p>
                <w:p w:rsidR="00F04EEF" w:rsidRDefault="0099351E">
                  <w:pPr>
                    <w:tabs>
                      <w:tab w:val="left" w:pos="1134"/>
                    </w:tabs>
                    <w:ind w:left="284" w:hanging="284"/>
                    <w:jc w:val="both"/>
                    <w:rPr>
                      <w:noProof/>
                      <w:lang w:eastAsia="fr-BE"/>
                    </w:rPr>
                  </w:pPr>
                  <w:r>
                    <w:rPr>
                      <w:noProof/>
                      <w:lang w:eastAsia="fr-BE"/>
                    </w:rPr>
                    <mc:AlternateContent>
                      <mc:Choice Requires="wps">
                        <w:drawing>
                          <wp:anchor distT="0" distB="0" distL="114300" distR="114300" simplePos="0" relativeHeight="252382208" behindDoc="0" locked="0" layoutInCell="1" allowOverlap="1">
                            <wp:simplePos x="0" y="0"/>
                            <wp:positionH relativeFrom="column">
                              <wp:posOffset>6033770</wp:posOffset>
                            </wp:positionH>
                            <wp:positionV relativeFrom="paragraph">
                              <wp:posOffset>2056130</wp:posOffset>
                            </wp:positionV>
                            <wp:extent cx="0" cy="209550"/>
                            <wp:effectExtent l="0" t="0" r="19050" b="19050"/>
                            <wp:wrapNone/>
                            <wp:docPr id="600" name="Connecteur droit 600"/>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806516A" id="Connecteur droit 600" o:spid="_x0000_s1026" style="position:absolute;z-index:25238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75.1pt,161.9pt" to="475.1pt,17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" strokecolor="black [3213]"/>
                        </w:pict>
                      </mc:Fallback>
                    </mc:AlternateContent>
                  </w:r>
                </w:p>
                <w:tbl>
                  <w:tblPr>
                    <w:tblpPr w:leftFromText="141" w:rightFromText="141" w:vertAnchor="text" w:horzAnchor="margin" w:tblpY="-65"/>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6"/>
                    <w:gridCol w:w="4302"/>
                  </w:tblGrid>
                  <w:tr w:rsidR="00F04EEF">
                    <w:trPr>
                      <w:trHeight w:val="999"/>
                    </w:trPr>
                    <w:tc>
                      <w:tcPr>
                        <w:tcW w:w="9098" w:type="dxa"/>
                        <w:gridSpan w:val="2"/>
                        <w:shd w:val="clear" w:color="auto" w:fill="auto"/>
                      </w:tcPr>
                      <w:p w:rsidR="00F04EEF" w:rsidRDefault="0099351E">
                        <w:pPr>
                          <w:spacing w:before="120"/>
                          <w:rPr>
                            <w:b/>
                            <w:sz w:val="18"/>
                            <w:szCs w:val="18"/>
                          </w:rPr>
                        </w:pPr>
                        <w:r>
                          <w:rPr>
                            <w:sz w:val="18"/>
                            <w:szCs w:val="18"/>
                          </w:rPr>
                          <w:t xml:space="preserve">NOM :                                                                                                                               </w:t>
                        </w:r>
                        <w:r>
                          <w:rPr>
                            <w:b/>
                            <w:sz w:val="18"/>
                            <w:szCs w:val="18"/>
                          </w:rPr>
                          <w:t xml:space="preserve">         N° FASE :                                                                                          </w:t>
                        </w:r>
                      </w:p>
                      <w:p w:rsidR="00F04EEF" w:rsidRDefault="0099351E">
                        <w:pPr>
                          <w:spacing w:before="120"/>
                          <w:rPr>
                            <w:sz w:val="18"/>
                            <w:szCs w:val="18"/>
                          </w:rPr>
                        </w:pPr>
                        <w:r>
                          <w:rPr>
                            <w:sz w:val="18"/>
                            <w:szCs w:val="18"/>
                          </w:rPr>
                          <w:t xml:space="preserve">PRENOM :                      </w:t>
                        </w:r>
                      </w:p>
                      <w:p w:rsidR="00F04EEF" w:rsidRDefault="0099351E">
                        <w:pPr>
                          <w:spacing w:before="120"/>
                          <w:rPr>
                            <w:sz w:val="18"/>
                            <w:szCs w:val="18"/>
                          </w:rPr>
                        </w:pPr>
                        <w:r>
                          <w:rPr>
                            <w:sz w:val="18"/>
                            <w:szCs w:val="18"/>
                          </w:rPr>
                          <w:t xml:space="preserve">DATE DE NAISSANCE :                                                                              </w:t>
                        </w:r>
                      </w:p>
                    </w:tc>
                  </w:tr>
                  <w:tr w:rsidR="00F04EEF">
                    <w:trPr>
                      <w:trHeight w:val="492"/>
                    </w:trPr>
                    <w:tc>
                      <w:tcPr>
                        <w:tcW w:w="9098" w:type="dxa"/>
                        <w:gridSpan w:val="2"/>
                        <w:shd w:val="clear" w:color="auto" w:fill="D9D9D9"/>
                      </w:tcPr>
                      <w:p w:rsidR="00F04EEF" w:rsidRDefault="00F04EEF">
                        <w:pPr>
                          <w:jc w:val="center"/>
                          <w:rPr>
                            <w:b/>
                            <w:sz w:val="18"/>
                            <w:szCs w:val="18"/>
                          </w:rPr>
                        </w:pPr>
                      </w:p>
                      <w:p w:rsidR="00F04EEF" w:rsidRDefault="0099351E">
                        <w:pPr>
                          <w:jc w:val="center"/>
                          <w:rPr>
                            <w:b/>
                            <w:sz w:val="18"/>
                            <w:szCs w:val="18"/>
                          </w:rPr>
                        </w:pPr>
                        <w:r>
                          <w:rPr>
                            <w:b/>
                            <w:sz w:val="20"/>
                            <w:szCs w:val="18"/>
                          </w:rPr>
                          <w:t>ANNEXE 4 : BILAN DE L’INTEGRATION</w:t>
                        </w:r>
                      </w:p>
                    </w:tc>
                  </w:tr>
                  <w:tr w:rsidR="00F04EEF">
                    <w:trPr>
                      <w:trHeight w:val="492"/>
                    </w:trPr>
                    <w:tc>
                      <w:tcPr>
                        <w:tcW w:w="9098" w:type="dxa"/>
                        <w:gridSpan w:val="2"/>
                        <w:shd w:val="clear" w:color="auto" w:fill="auto"/>
                      </w:tcPr>
                      <w:p w:rsidR="00F04EEF" w:rsidRDefault="00F04EEF">
                        <w:pPr>
                          <w:jc w:val="center"/>
                          <w:rPr>
                            <w:b/>
                            <w:sz w:val="18"/>
                            <w:szCs w:val="18"/>
                            <w:highlight w:val="yellow"/>
                          </w:rPr>
                        </w:pPr>
                      </w:p>
                      <w:p w:rsidR="00F04EEF" w:rsidRDefault="0099351E">
                        <w:pPr>
                          <w:jc w:val="center"/>
                          <w:rPr>
                            <w:b/>
                            <w:sz w:val="18"/>
                            <w:szCs w:val="18"/>
                          </w:rPr>
                        </w:pPr>
                        <w:r>
                          <w:rPr>
                            <w:b/>
                            <w:sz w:val="20"/>
                            <w:szCs w:val="18"/>
                          </w:rPr>
                          <w:t>DECISION DU CONSEIL DE CLASSE DU : …………………………………………</w:t>
                        </w:r>
                      </w:p>
                      <w:p w:rsidR="00F04EEF" w:rsidRDefault="00F04EEF">
                        <w:pPr>
                          <w:jc w:val="center"/>
                          <w:rPr>
                            <w:b/>
                            <w:sz w:val="18"/>
                            <w:szCs w:val="18"/>
                            <w:highlight w:val="yellow"/>
                          </w:rPr>
                        </w:pPr>
                      </w:p>
                    </w:tc>
                  </w:tr>
                  <w:tr w:rsidR="00F04EEF">
                    <w:trPr>
                      <w:trHeight w:val="351"/>
                    </w:trPr>
                    <w:tc>
                      <w:tcPr>
                        <w:tcW w:w="4796" w:type="dxa"/>
                        <w:shd w:val="clear" w:color="auto" w:fill="D9D9D9"/>
                      </w:tcPr>
                      <w:p w:rsidR="00F04EEF" w:rsidRDefault="0099351E">
                        <w:pPr>
                          <w:spacing w:before="120"/>
                          <w:jc w:val="center"/>
                          <w:rPr>
                            <w:sz w:val="18"/>
                            <w:szCs w:val="18"/>
                          </w:rPr>
                        </w:pPr>
                        <w:r>
                          <w:rPr>
                            <w:sz w:val="18"/>
                            <w:szCs w:val="18"/>
                          </w:rPr>
                          <w:t>Type actuel d’intégration</w:t>
                        </w:r>
                      </w:p>
                    </w:tc>
                    <w:tc>
                      <w:tcPr>
                        <w:tcW w:w="4302" w:type="dxa"/>
                        <w:shd w:val="clear" w:color="auto" w:fill="auto"/>
                      </w:tcPr>
                      <w:p w:rsidR="00F04EEF" w:rsidRDefault="0099351E">
                        <w:pPr>
                          <w:spacing w:before="120"/>
                          <w:rPr>
                            <w:sz w:val="18"/>
                            <w:szCs w:val="18"/>
                          </w:rPr>
                        </w:pPr>
                        <w:r>
                          <w:rPr>
                            <w:sz w:val="18"/>
                            <w:szCs w:val="18"/>
                          </w:rPr>
                          <w:t>Orientation choisie pour l’année scolaire 2020-2021</w:t>
                        </w:r>
                      </w:p>
                    </w:tc>
                  </w:tr>
                  <w:tr w:rsidR="00F04EEF">
                    <w:trPr>
                      <w:trHeight w:val="351"/>
                    </w:trPr>
                    <w:tc>
                      <w:tcPr>
                        <w:tcW w:w="4796" w:type="dxa"/>
                        <w:shd w:val="clear" w:color="auto" w:fill="D9D9D9"/>
                      </w:tcPr>
                      <w:p w:rsidR="00F04EEF" w:rsidRDefault="0099351E">
                        <w:pPr>
                          <w:spacing w:before="120"/>
                          <w:rPr>
                            <w:sz w:val="18"/>
                            <w:szCs w:val="18"/>
                          </w:rPr>
                        </w:pPr>
                        <w:r>
                          <w:rPr>
                            <w:sz w:val="18"/>
                            <w:szCs w:val="18"/>
                          </w:rPr>
                          <w:sym w:font="Wingdings 2" w:char="F02A"/>
                        </w:r>
                        <w:r>
                          <w:rPr>
                            <w:sz w:val="18"/>
                            <w:szCs w:val="18"/>
                          </w:rPr>
                          <w:t xml:space="preserve"> Intégration permanente totale </w:t>
                        </w:r>
                      </w:p>
                    </w:tc>
                    <w:tc>
                      <w:tcPr>
                        <w:tcW w:w="4302" w:type="dxa"/>
                        <w:shd w:val="clear" w:color="auto" w:fill="auto"/>
                      </w:tcPr>
                      <w:p w:rsidR="00F04EEF" w:rsidRDefault="0099351E">
                        <w:pPr>
                          <w:spacing w:before="120"/>
                          <w:rPr>
                            <w:sz w:val="18"/>
                            <w:szCs w:val="18"/>
                          </w:rPr>
                        </w:pPr>
                        <w:r>
                          <w:rPr>
                            <w:sz w:val="18"/>
                            <w:szCs w:val="18"/>
                          </w:rPr>
                          <w:sym w:font="Wingdings 2" w:char="F02A"/>
                        </w:r>
                        <w:r>
                          <w:rPr>
                            <w:sz w:val="18"/>
                            <w:szCs w:val="18"/>
                          </w:rPr>
                          <w:t xml:space="preserve"> Intégration permanente totale </w:t>
                        </w:r>
                      </w:p>
                    </w:tc>
                  </w:tr>
                  <w:tr w:rsidR="00F04EEF">
                    <w:trPr>
                      <w:trHeight w:val="351"/>
                    </w:trPr>
                    <w:tc>
                      <w:tcPr>
                        <w:tcW w:w="4796" w:type="dxa"/>
                        <w:shd w:val="clear" w:color="auto" w:fill="D9D9D9"/>
                      </w:tcPr>
                      <w:p w:rsidR="00F04EEF" w:rsidRDefault="0099351E">
                        <w:pPr>
                          <w:spacing w:before="120"/>
                          <w:rPr>
                            <w:sz w:val="18"/>
                            <w:szCs w:val="18"/>
                          </w:rPr>
                        </w:pPr>
                        <w:r>
                          <w:rPr>
                            <w:sz w:val="18"/>
                            <w:szCs w:val="18"/>
                          </w:rPr>
                          <w:sym w:font="Wingdings 2" w:char="F02A"/>
                        </w:r>
                        <w:r>
                          <w:rPr>
                            <w:sz w:val="18"/>
                            <w:szCs w:val="18"/>
                          </w:rPr>
                          <w:t xml:space="preserve"> Intégration temporaire totale </w:t>
                        </w:r>
                      </w:p>
                    </w:tc>
                    <w:tc>
                      <w:tcPr>
                        <w:tcW w:w="4302" w:type="dxa"/>
                        <w:shd w:val="clear" w:color="auto" w:fill="auto"/>
                      </w:tcPr>
                      <w:p w:rsidR="00F04EEF" w:rsidRDefault="00F04EEF">
                        <w:pPr>
                          <w:spacing w:before="120"/>
                          <w:rPr>
                            <w:strike/>
                            <w:sz w:val="18"/>
                            <w:szCs w:val="18"/>
                          </w:rPr>
                        </w:pPr>
                      </w:p>
                    </w:tc>
                  </w:tr>
                  <w:tr w:rsidR="00F04EEF">
                    <w:trPr>
                      <w:trHeight w:val="364"/>
                    </w:trPr>
                    <w:tc>
                      <w:tcPr>
                        <w:tcW w:w="4796" w:type="dxa"/>
                        <w:shd w:val="clear" w:color="auto" w:fill="D9D9D9"/>
                      </w:tcPr>
                      <w:p w:rsidR="00F04EEF" w:rsidRDefault="0099351E">
                        <w:pPr>
                          <w:spacing w:before="120"/>
                          <w:rPr>
                            <w:sz w:val="18"/>
                            <w:szCs w:val="18"/>
                          </w:rPr>
                        </w:pPr>
                        <w:r>
                          <w:rPr>
                            <w:sz w:val="18"/>
                            <w:szCs w:val="18"/>
                          </w:rPr>
                          <w:sym w:font="Wingdings 2" w:char="F02A"/>
                        </w:r>
                        <w:r>
                          <w:rPr>
                            <w:sz w:val="18"/>
                            <w:szCs w:val="18"/>
                          </w:rPr>
                          <w:t xml:space="preserve"> Intégration permanente partielle </w:t>
                        </w:r>
                      </w:p>
                    </w:tc>
                    <w:tc>
                      <w:tcPr>
                        <w:tcW w:w="4302" w:type="dxa"/>
                        <w:shd w:val="clear" w:color="auto" w:fill="auto"/>
                      </w:tcPr>
                      <w:p w:rsidR="00F04EEF" w:rsidRDefault="0099351E">
                        <w:pPr>
                          <w:spacing w:before="120"/>
                          <w:rPr>
                            <w:sz w:val="18"/>
                            <w:szCs w:val="18"/>
                          </w:rPr>
                        </w:pPr>
                        <w:r>
                          <w:rPr>
                            <w:sz w:val="18"/>
                            <w:szCs w:val="18"/>
                          </w:rPr>
                          <w:sym w:font="Wingdings 2" w:char="F02A"/>
                        </w:r>
                        <w:r>
                          <w:rPr>
                            <w:sz w:val="18"/>
                            <w:szCs w:val="18"/>
                          </w:rPr>
                          <w:t xml:space="preserve"> Intégration permanente partielle </w:t>
                        </w:r>
                      </w:p>
                    </w:tc>
                  </w:tr>
                  <w:tr w:rsidR="00F04EEF">
                    <w:trPr>
                      <w:trHeight w:val="351"/>
                    </w:trPr>
                    <w:tc>
                      <w:tcPr>
                        <w:tcW w:w="4796" w:type="dxa"/>
                        <w:shd w:val="clear" w:color="auto" w:fill="D9D9D9"/>
                      </w:tcPr>
                      <w:p w:rsidR="00F04EEF" w:rsidRDefault="0099351E">
                        <w:pPr>
                          <w:spacing w:before="120"/>
                          <w:rPr>
                            <w:sz w:val="18"/>
                            <w:szCs w:val="18"/>
                          </w:rPr>
                        </w:pPr>
                        <w:r>
                          <w:rPr>
                            <w:sz w:val="18"/>
                            <w:szCs w:val="18"/>
                          </w:rPr>
                          <w:sym w:font="Wingdings 2" w:char="F02A"/>
                        </w:r>
                        <w:r>
                          <w:rPr>
                            <w:sz w:val="18"/>
                            <w:szCs w:val="18"/>
                          </w:rPr>
                          <w:t xml:space="preserve"> Intégration temporaire partielle </w:t>
                        </w:r>
                      </w:p>
                    </w:tc>
                    <w:tc>
                      <w:tcPr>
                        <w:tcW w:w="4302" w:type="dxa"/>
                        <w:shd w:val="clear" w:color="auto" w:fill="auto"/>
                      </w:tcPr>
                      <w:p w:rsidR="00F04EEF" w:rsidRDefault="0099351E">
                        <w:pPr>
                          <w:spacing w:before="120"/>
                          <w:rPr>
                            <w:sz w:val="18"/>
                            <w:szCs w:val="18"/>
                          </w:rPr>
                        </w:pPr>
                        <w:r>
                          <w:rPr>
                            <w:sz w:val="18"/>
                            <w:szCs w:val="18"/>
                          </w:rPr>
                          <w:sym w:font="Wingdings 2" w:char="F02A"/>
                        </w:r>
                        <w:r>
                          <w:rPr>
                            <w:sz w:val="18"/>
                            <w:szCs w:val="18"/>
                          </w:rPr>
                          <w:t xml:space="preserve"> Intégration temporaire partielle </w:t>
                        </w:r>
                      </w:p>
                    </w:tc>
                  </w:tr>
                  <w:tr w:rsidR="00F04EEF">
                    <w:trPr>
                      <w:trHeight w:val="449"/>
                    </w:trPr>
                    <w:tc>
                      <w:tcPr>
                        <w:tcW w:w="9098" w:type="dxa"/>
                        <w:gridSpan w:val="2"/>
                        <w:shd w:val="clear" w:color="auto" w:fill="auto"/>
                      </w:tcPr>
                      <w:p w:rsidR="00F04EEF" w:rsidRDefault="0099351E">
                        <w:pPr>
                          <w:spacing w:before="120" w:after="120"/>
                          <w:rPr>
                            <w:sz w:val="18"/>
                            <w:szCs w:val="18"/>
                          </w:rPr>
                        </w:pPr>
                        <w:r>
                          <w:rPr>
                            <w:sz w:val="18"/>
                            <w:szCs w:val="18"/>
                          </w:rPr>
                          <w:t xml:space="preserve">Année + niveau d’étude (+ option) pour l’année scolaire « 2020-2021» : </w:t>
                        </w:r>
                      </w:p>
                    </w:tc>
                  </w:tr>
                  <w:tr w:rsidR="00F04EEF">
                    <w:trPr>
                      <w:trHeight w:val="464"/>
                    </w:trPr>
                    <w:tc>
                      <w:tcPr>
                        <w:tcW w:w="9098" w:type="dxa"/>
                        <w:gridSpan w:val="2"/>
                        <w:shd w:val="clear" w:color="auto" w:fill="auto"/>
                      </w:tcPr>
                      <w:p w:rsidR="00F04EEF" w:rsidRDefault="0099351E">
                        <w:pPr>
                          <w:spacing w:before="120" w:after="120"/>
                          <w:rPr>
                            <w:sz w:val="18"/>
                            <w:szCs w:val="18"/>
                          </w:rPr>
                        </w:pPr>
                        <w:r>
                          <w:rPr>
                            <w:sz w:val="18"/>
                            <w:szCs w:val="18"/>
                          </w:rPr>
                          <w:t xml:space="preserve">Maturité :         Forme :            Phase :                                               Type : 1 </w:t>
                        </w:r>
                        <w:r>
                          <w:rPr>
                            <w:sz w:val="18"/>
                            <w:szCs w:val="18"/>
                          </w:rPr>
                          <w:sym w:font="Wingdings 2" w:char="F02A"/>
                        </w:r>
                        <w:r>
                          <w:rPr>
                            <w:sz w:val="18"/>
                            <w:szCs w:val="18"/>
                          </w:rPr>
                          <w:t xml:space="preserve"> 2 </w:t>
                        </w:r>
                        <w:r>
                          <w:rPr>
                            <w:sz w:val="18"/>
                            <w:szCs w:val="18"/>
                          </w:rPr>
                          <w:sym w:font="Wingdings 2" w:char="F02A"/>
                        </w:r>
                        <w:r>
                          <w:rPr>
                            <w:sz w:val="18"/>
                            <w:szCs w:val="18"/>
                          </w:rPr>
                          <w:t xml:space="preserve"> 3 </w:t>
                        </w:r>
                        <w:r>
                          <w:rPr>
                            <w:sz w:val="18"/>
                            <w:szCs w:val="18"/>
                          </w:rPr>
                          <w:sym w:font="Wingdings 2" w:char="F02A"/>
                        </w:r>
                        <w:r>
                          <w:rPr>
                            <w:sz w:val="18"/>
                            <w:szCs w:val="18"/>
                          </w:rPr>
                          <w:t xml:space="preserve"> 4 </w:t>
                        </w:r>
                        <w:r>
                          <w:rPr>
                            <w:sz w:val="18"/>
                            <w:szCs w:val="18"/>
                          </w:rPr>
                          <w:sym w:font="Wingdings 2" w:char="F02A"/>
                        </w:r>
                        <w:r>
                          <w:rPr>
                            <w:sz w:val="18"/>
                            <w:szCs w:val="18"/>
                          </w:rPr>
                          <w:t xml:space="preserve"> 5 </w:t>
                        </w:r>
                        <w:r>
                          <w:rPr>
                            <w:sz w:val="18"/>
                            <w:szCs w:val="18"/>
                          </w:rPr>
                          <w:sym w:font="Wingdings 2" w:char="F02A"/>
                        </w:r>
                        <w:r>
                          <w:rPr>
                            <w:sz w:val="18"/>
                            <w:szCs w:val="18"/>
                          </w:rPr>
                          <w:t xml:space="preserve"> 6 </w:t>
                        </w:r>
                        <w:r>
                          <w:rPr>
                            <w:sz w:val="18"/>
                            <w:szCs w:val="18"/>
                          </w:rPr>
                          <w:sym w:font="Wingdings 2" w:char="F02A"/>
                        </w:r>
                        <w:r>
                          <w:rPr>
                            <w:sz w:val="18"/>
                            <w:szCs w:val="18"/>
                          </w:rPr>
                          <w:t xml:space="preserve"> 7 </w:t>
                        </w:r>
                        <w:r>
                          <w:rPr>
                            <w:sz w:val="18"/>
                            <w:szCs w:val="18"/>
                          </w:rPr>
                          <w:sym w:font="Wingdings 2" w:char="F02A"/>
                        </w:r>
                        <w:r>
                          <w:rPr>
                            <w:sz w:val="18"/>
                            <w:szCs w:val="18"/>
                          </w:rPr>
                          <w:t xml:space="preserve"> 8 </w:t>
                        </w:r>
                        <w:r>
                          <w:rPr>
                            <w:sz w:val="18"/>
                            <w:szCs w:val="18"/>
                          </w:rPr>
                          <w:sym w:font="Wingdings 2" w:char="F02A"/>
                        </w:r>
                      </w:p>
                    </w:tc>
                  </w:tr>
                  <w:tr w:rsidR="00F04EEF">
                    <w:trPr>
                      <w:trHeight w:val="449"/>
                    </w:trPr>
                    <w:tc>
                      <w:tcPr>
                        <w:tcW w:w="9098" w:type="dxa"/>
                        <w:gridSpan w:val="2"/>
                        <w:shd w:val="clear" w:color="auto" w:fill="auto"/>
                      </w:tcPr>
                      <w:p w:rsidR="00F04EEF" w:rsidRDefault="0099351E">
                        <w:pPr>
                          <w:spacing w:before="120" w:after="120"/>
                          <w:rPr>
                            <w:sz w:val="18"/>
                            <w:szCs w:val="18"/>
                          </w:rPr>
                        </w:pPr>
                        <w:r>
                          <w:rPr>
                            <w:sz w:val="18"/>
                            <w:szCs w:val="18"/>
                          </w:rPr>
                          <w:t xml:space="preserve">Date du début et de fin de l’intégration : </w:t>
                        </w:r>
                        <w:r>
                          <w:rPr>
                            <w:sz w:val="18"/>
                            <w:szCs w:val="18"/>
                          </w:rPr>
                          <w:sym w:font="Wingdings 2" w:char="F02A"/>
                        </w:r>
                        <w:r>
                          <w:rPr>
                            <w:sz w:val="18"/>
                            <w:szCs w:val="18"/>
                          </w:rPr>
                          <w:t xml:space="preserve"> 01/09 au 30/06 ou </w:t>
                        </w:r>
                        <w:r>
                          <w:rPr>
                            <w:sz w:val="18"/>
                            <w:szCs w:val="18"/>
                          </w:rPr>
                          <w:sym w:font="Wingdings 2" w:char="F02A"/>
                        </w:r>
                        <w:r>
                          <w:rPr>
                            <w:sz w:val="18"/>
                            <w:szCs w:val="18"/>
                          </w:rPr>
                          <w:t xml:space="preserve"> ……….………..…. au ……………………….</w:t>
                        </w:r>
                      </w:p>
                    </w:tc>
                  </w:tr>
                  <w:tr w:rsidR="00F04EEF">
                    <w:trPr>
                      <w:trHeight w:val="590"/>
                    </w:trPr>
                    <w:tc>
                      <w:tcPr>
                        <w:tcW w:w="9098" w:type="dxa"/>
                        <w:gridSpan w:val="2"/>
                        <w:shd w:val="clear" w:color="auto" w:fill="auto"/>
                      </w:tcPr>
                      <w:p w:rsidR="00F04EEF" w:rsidRDefault="00F04EEF">
                        <w:pPr>
                          <w:jc w:val="center"/>
                          <w:rPr>
                            <w:b/>
                            <w:sz w:val="20"/>
                            <w:szCs w:val="18"/>
                          </w:rPr>
                        </w:pPr>
                      </w:p>
                      <w:p w:rsidR="00F04EEF" w:rsidRDefault="0099351E">
                        <w:pPr>
                          <w:jc w:val="center"/>
                          <w:rPr>
                            <w:b/>
                            <w:sz w:val="18"/>
                            <w:szCs w:val="18"/>
                          </w:rPr>
                        </w:pPr>
                        <w:r>
                          <w:rPr>
                            <w:b/>
                            <w:sz w:val="20"/>
                            <w:szCs w:val="18"/>
                          </w:rPr>
                          <w:t>JUSTIFICATION DE L’EVOLUTION DE L’INTEGRATION :</w:t>
                        </w:r>
                      </w:p>
                    </w:tc>
                  </w:tr>
                  <w:tr w:rsidR="00F04EEF">
                    <w:trPr>
                      <w:trHeight w:val="389"/>
                    </w:trPr>
                    <w:tc>
                      <w:tcPr>
                        <w:tcW w:w="9098" w:type="dxa"/>
                        <w:gridSpan w:val="2"/>
                        <w:shd w:val="clear" w:color="auto" w:fill="auto"/>
                      </w:tcPr>
                      <w:p w:rsidR="00F04EEF" w:rsidRDefault="0099351E">
                        <w:pPr>
                          <w:spacing w:before="120"/>
                          <w:rPr>
                            <w:b/>
                            <w:sz w:val="18"/>
                            <w:szCs w:val="18"/>
                          </w:rPr>
                        </w:pPr>
                        <w:r>
                          <w:rPr>
                            <w:b/>
                            <w:sz w:val="18"/>
                            <w:szCs w:val="18"/>
                          </w:rPr>
                          <w:sym w:font="Wingdings 2" w:char="F02A"/>
                        </w:r>
                        <w:r>
                          <w:rPr>
                            <w:b/>
                            <w:sz w:val="18"/>
                            <w:szCs w:val="18"/>
                          </w:rPr>
                          <w:t xml:space="preserve"> Poursuite de l’intégration                                   </w:t>
                        </w:r>
                      </w:p>
                    </w:tc>
                  </w:tr>
                  <w:tr w:rsidR="00F04EEF">
                    <w:trPr>
                      <w:trHeight w:val="1715"/>
                    </w:trPr>
                    <w:tc>
                      <w:tcPr>
                        <w:tcW w:w="9098" w:type="dxa"/>
                        <w:gridSpan w:val="2"/>
                        <w:shd w:val="clear" w:color="auto" w:fill="auto"/>
                      </w:tcPr>
                      <w:p w:rsidR="00F04EEF" w:rsidRDefault="0099351E">
                        <w:pPr>
                          <w:spacing w:before="120"/>
                          <w:rPr>
                            <w:sz w:val="18"/>
                            <w:szCs w:val="18"/>
                          </w:rPr>
                        </w:pPr>
                        <w:r>
                          <w:rPr>
                            <w:sz w:val="18"/>
                            <w:szCs w:val="18"/>
                          </w:rPr>
                          <w:sym w:font="Wingdings 2" w:char="F02A"/>
                        </w:r>
                        <w:r>
                          <w:rPr>
                            <w:sz w:val="18"/>
                            <w:szCs w:val="18"/>
                          </w:rPr>
                          <w:t xml:space="preserve"> Arrêt de l’intégration, l’élève continue dans l’enseignement ordinaire sans accompagnement de l’enseignement spécialisé.</w:t>
                        </w:r>
                      </w:p>
                      <w:p w:rsidR="00F04EEF" w:rsidRDefault="0099351E">
                        <w:pPr>
                          <w:rPr>
                            <w:sz w:val="18"/>
                            <w:szCs w:val="18"/>
                          </w:rPr>
                        </w:pPr>
                        <w:r>
                          <w:rPr>
                            <w:sz w:val="18"/>
                            <w:szCs w:val="18"/>
                          </w:rPr>
                          <w:sym w:font="Wingdings 2" w:char="F02A"/>
                        </w:r>
                        <w:r>
                          <w:rPr>
                            <w:sz w:val="18"/>
                            <w:szCs w:val="18"/>
                          </w:rPr>
                          <w:t xml:space="preserve"> Arrêt de l’intégration et inscription, ou retour, dans l’enseignement spécialisé.</w:t>
                        </w:r>
                      </w:p>
                      <w:p w:rsidR="00F04EEF" w:rsidRDefault="0099351E">
                        <w:pPr>
                          <w:rPr>
                            <w:color w:val="70AD47"/>
                            <w:sz w:val="18"/>
                            <w:szCs w:val="18"/>
                          </w:rPr>
                        </w:pPr>
                        <w:r>
                          <w:rPr>
                            <w:sz w:val="18"/>
                            <w:szCs w:val="18"/>
                          </w:rPr>
                          <w:sym w:font="Wingdings 2" w:char="F02A"/>
                        </w:r>
                        <w:r>
                          <w:rPr>
                            <w:sz w:val="18"/>
                            <w:szCs w:val="18"/>
                          </w:rPr>
                          <w:t xml:space="preserve"> Arrêt de l’intégration suite à l’obtention d’un certificat. </w:t>
                        </w:r>
                      </w:p>
                      <w:p w:rsidR="00F04EEF" w:rsidRDefault="0099351E">
                        <w:pPr>
                          <w:spacing w:before="20"/>
                          <w:rPr>
                            <w:sz w:val="18"/>
                            <w:szCs w:val="18"/>
                          </w:rPr>
                        </w:pPr>
                        <w:r>
                          <w:rPr>
                            <w:sz w:val="18"/>
                            <w:szCs w:val="18"/>
                          </w:rPr>
                          <w:t>Motivation de l’arrêt de l’intégration :……………………………………………………………………………………………………………………….. ……………………………………………………………………………………………………………………………………………………………………</w:t>
                        </w:r>
                      </w:p>
                    </w:tc>
                  </w:tr>
                  <w:tr w:rsidR="00F04EEF">
                    <w:trPr>
                      <w:trHeight w:val="412"/>
                    </w:trPr>
                    <w:tc>
                      <w:tcPr>
                        <w:tcW w:w="9098" w:type="dxa"/>
                        <w:gridSpan w:val="2"/>
                        <w:shd w:val="clear" w:color="auto" w:fill="auto"/>
                      </w:tcPr>
                      <w:p w:rsidR="00F04EEF" w:rsidRDefault="00F04EEF">
                        <w:pPr>
                          <w:jc w:val="center"/>
                          <w:rPr>
                            <w:b/>
                            <w:sz w:val="18"/>
                            <w:szCs w:val="18"/>
                          </w:rPr>
                        </w:pPr>
                      </w:p>
                      <w:p w:rsidR="00F04EEF" w:rsidRDefault="0099351E">
                        <w:pPr>
                          <w:jc w:val="center"/>
                          <w:rPr>
                            <w:b/>
                            <w:sz w:val="20"/>
                            <w:szCs w:val="18"/>
                          </w:rPr>
                        </w:pPr>
                        <w:r>
                          <w:rPr>
                            <w:b/>
                            <w:sz w:val="20"/>
                            <w:szCs w:val="18"/>
                          </w:rPr>
                          <w:t>LES PARTENAIRES (à l’exception du CPMS) MARQUENT LEUR ACCORD :</w:t>
                        </w:r>
                      </w:p>
                      <w:p w:rsidR="00F04EEF" w:rsidRDefault="00F04EEF">
                        <w:pPr>
                          <w:jc w:val="center"/>
                          <w:rPr>
                            <w:b/>
                            <w:sz w:val="18"/>
                            <w:szCs w:val="18"/>
                          </w:rPr>
                        </w:pPr>
                      </w:p>
                    </w:tc>
                  </w:tr>
                  <w:tr w:rsidR="00F04EEF">
                    <w:trPr>
                      <w:trHeight w:val="2012"/>
                    </w:trPr>
                    <w:tc>
                      <w:tcPr>
                        <w:tcW w:w="4796" w:type="dxa"/>
                        <w:shd w:val="clear" w:color="auto" w:fill="auto"/>
                      </w:tcPr>
                      <w:p w:rsidR="00F04EEF" w:rsidRDefault="0099351E">
                        <w:pPr>
                          <w:spacing w:before="120"/>
                          <w:rPr>
                            <w:b/>
                            <w:sz w:val="18"/>
                            <w:szCs w:val="18"/>
                          </w:rPr>
                        </w:pPr>
                        <w:r>
                          <w:rPr>
                            <w:b/>
                            <w:sz w:val="18"/>
                            <w:szCs w:val="18"/>
                          </w:rPr>
                          <w:t>« Ecole »</w:t>
                        </w:r>
                      </w:p>
                      <w:p w:rsidR="00F04EEF" w:rsidRDefault="00F04EEF">
                        <w:pPr>
                          <w:spacing w:before="120"/>
                          <w:rPr>
                            <w:b/>
                            <w:sz w:val="18"/>
                            <w:szCs w:val="18"/>
                          </w:rPr>
                        </w:pPr>
                      </w:p>
                      <w:p w:rsidR="00F04EEF" w:rsidRDefault="0099351E">
                        <w:pPr>
                          <w:rPr>
                            <w:b/>
                            <w:sz w:val="18"/>
                            <w:szCs w:val="18"/>
                          </w:rPr>
                        </w:pPr>
                        <w:r>
                          <w:rPr>
                            <w:b/>
                            <w:sz w:val="18"/>
                            <w:szCs w:val="18"/>
                          </w:rPr>
                          <w:t xml:space="preserve">N° FASE :                     N° FASE IMPLANTATION : </w:t>
                        </w:r>
                      </w:p>
                      <w:p w:rsidR="00F04EEF" w:rsidRDefault="0099351E">
                        <w:pPr>
                          <w:rPr>
                            <w:sz w:val="18"/>
                            <w:szCs w:val="18"/>
                          </w:rPr>
                        </w:pPr>
                        <w:r>
                          <w:rPr>
                            <w:sz w:val="18"/>
                            <w:szCs w:val="18"/>
                          </w:rPr>
                          <w:t xml:space="preserve">La direction : </w:t>
                        </w:r>
                      </w:p>
                      <w:p w:rsidR="00F04EEF" w:rsidRDefault="0099351E">
                        <w:pPr>
                          <w:rPr>
                            <w:sz w:val="18"/>
                            <w:szCs w:val="18"/>
                          </w:rPr>
                        </w:pPr>
                        <w:r>
                          <w:rPr>
                            <w:sz w:val="18"/>
                            <w:szCs w:val="18"/>
                          </w:rPr>
                          <w:t>Signature, date et cachet :</w:t>
                        </w:r>
                      </w:p>
                    </w:tc>
                    <w:tc>
                      <w:tcPr>
                        <w:tcW w:w="4302" w:type="dxa"/>
                        <w:shd w:val="clear" w:color="auto" w:fill="auto"/>
                      </w:tcPr>
                      <w:p w:rsidR="00F04EEF" w:rsidRDefault="0099351E">
                        <w:pPr>
                          <w:spacing w:before="120"/>
                          <w:rPr>
                            <w:b/>
                            <w:sz w:val="18"/>
                            <w:szCs w:val="18"/>
                          </w:rPr>
                        </w:pPr>
                        <w:r>
                          <w:rPr>
                            <w:b/>
                            <w:sz w:val="18"/>
                            <w:szCs w:val="18"/>
                          </w:rPr>
                          <w:t>« Ecole »</w:t>
                        </w:r>
                      </w:p>
                      <w:p w:rsidR="00F04EEF" w:rsidRDefault="00F04EEF">
                        <w:pPr>
                          <w:spacing w:before="120"/>
                          <w:rPr>
                            <w:b/>
                            <w:sz w:val="18"/>
                            <w:szCs w:val="18"/>
                          </w:rPr>
                        </w:pPr>
                      </w:p>
                      <w:p w:rsidR="00F04EEF" w:rsidRDefault="0099351E">
                        <w:pPr>
                          <w:rPr>
                            <w:b/>
                            <w:sz w:val="18"/>
                            <w:szCs w:val="18"/>
                          </w:rPr>
                        </w:pPr>
                        <w:r>
                          <w:rPr>
                            <w:b/>
                            <w:sz w:val="18"/>
                            <w:szCs w:val="18"/>
                          </w:rPr>
                          <w:t xml:space="preserve">N° FASE :                   N° FASE IMPLANTATION : </w:t>
                        </w:r>
                      </w:p>
                      <w:p w:rsidR="00F04EEF" w:rsidRDefault="0099351E">
                        <w:pPr>
                          <w:rPr>
                            <w:sz w:val="18"/>
                            <w:szCs w:val="18"/>
                          </w:rPr>
                        </w:pPr>
                        <w:r>
                          <w:rPr>
                            <w:sz w:val="18"/>
                            <w:szCs w:val="18"/>
                          </w:rPr>
                          <w:t xml:space="preserve">La direction : </w:t>
                        </w:r>
                      </w:p>
                      <w:p w:rsidR="00F04EEF" w:rsidRDefault="0099351E">
                        <w:pPr>
                          <w:rPr>
                            <w:sz w:val="18"/>
                            <w:szCs w:val="18"/>
                          </w:rPr>
                        </w:pPr>
                        <w:r>
                          <w:rPr>
                            <w:sz w:val="18"/>
                            <w:szCs w:val="18"/>
                          </w:rPr>
                          <w:t>Signature, date et cachet :</w:t>
                        </w:r>
                      </w:p>
                      <w:p w:rsidR="00F04EEF" w:rsidRDefault="00F04EEF">
                        <w:pPr>
                          <w:rPr>
                            <w:sz w:val="18"/>
                            <w:szCs w:val="18"/>
                          </w:rPr>
                        </w:pPr>
                      </w:p>
                      <w:p w:rsidR="00F04EEF" w:rsidRDefault="00F04EEF">
                        <w:pPr>
                          <w:rPr>
                            <w:sz w:val="18"/>
                            <w:szCs w:val="18"/>
                          </w:rPr>
                        </w:pPr>
                      </w:p>
                    </w:tc>
                  </w:tr>
                  <w:tr w:rsidR="00F04EEF">
                    <w:trPr>
                      <w:trHeight w:val="1505"/>
                    </w:trPr>
                    <w:tc>
                      <w:tcPr>
                        <w:tcW w:w="9098" w:type="dxa"/>
                        <w:gridSpan w:val="2"/>
                        <w:shd w:val="clear" w:color="auto" w:fill="auto"/>
                      </w:tcPr>
                      <w:p w:rsidR="00F04EEF" w:rsidRDefault="0099351E">
                        <w:pPr>
                          <w:tabs>
                            <w:tab w:val="left" w:pos="1134"/>
                            <w:tab w:val="right" w:pos="1440"/>
                          </w:tabs>
                          <w:rPr>
                            <w:b/>
                            <w:sz w:val="18"/>
                            <w:szCs w:val="18"/>
                          </w:rPr>
                        </w:pPr>
                        <w:r>
                          <w:rPr>
                            <w:b/>
                            <w:sz w:val="18"/>
                            <w:szCs w:val="18"/>
                          </w:rPr>
                          <w:t>Avis du CPMS qui assure la guidance de l’élève au terme de l’année scolaire (I.P.T.) :</w:t>
                        </w:r>
                      </w:p>
                      <w:p w:rsidR="00F04EEF" w:rsidRDefault="0099351E">
                        <w:pPr>
                          <w:tabs>
                            <w:tab w:val="left" w:pos="1134"/>
                            <w:tab w:val="right" w:pos="1440"/>
                          </w:tabs>
                          <w:rPr>
                            <w:b/>
                            <w:sz w:val="18"/>
                            <w:szCs w:val="18"/>
                          </w:rPr>
                        </w:pPr>
                        <w:r>
                          <w:rPr>
                            <w:b/>
                            <w:sz w:val="18"/>
                            <w:szCs w:val="18"/>
                          </w:rPr>
                          <w:t>Avis du CPMS qui assure la guidance de l’élève au terme de la période d’intégration (autres types d’intégration) :</w:t>
                        </w:r>
                      </w:p>
                      <w:p w:rsidR="00F04EEF" w:rsidRDefault="00F04EEF">
                        <w:pPr>
                          <w:spacing w:before="120"/>
                          <w:rPr>
                            <w:b/>
                            <w:sz w:val="18"/>
                            <w:szCs w:val="18"/>
                          </w:rPr>
                        </w:pPr>
                      </w:p>
                      <w:p w:rsidR="00F04EEF" w:rsidRDefault="0099351E">
                        <w:pPr>
                          <w:spacing w:before="120"/>
                          <w:rPr>
                            <w:b/>
                            <w:sz w:val="18"/>
                            <w:szCs w:val="18"/>
                          </w:rPr>
                        </w:pPr>
                        <w:r>
                          <w:rPr>
                            <w:sz w:val="18"/>
                            <w:szCs w:val="18"/>
                          </w:rPr>
                          <w:t>Signature, date et cachet :</w:t>
                        </w:r>
                      </w:p>
                    </w:tc>
                  </w:tr>
                  <w:tr w:rsidR="00F04EEF">
                    <w:trPr>
                      <w:trHeight w:val="1201"/>
                    </w:trPr>
                    <w:tc>
                      <w:tcPr>
                        <w:tcW w:w="9098" w:type="dxa"/>
                        <w:gridSpan w:val="2"/>
                        <w:shd w:val="clear" w:color="auto" w:fill="auto"/>
                      </w:tcPr>
                      <w:p w:rsidR="00F04EEF" w:rsidRDefault="0099351E">
                        <w:pPr>
                          <w:spacing w:before="120"/>
                          <w:rPr>
                            <w:b/>
                            <w:sz w:val="18"/>
                            <w:szCs w:val="18"/>
                          </w:rPr>
                        </w:pPr>
                        <w:r>
                          <w:rPr>
                            <w:b/>
                            <w:sz w:val="18"/>
                            <w:szCs w:val="18"/>
                          </w:rPr>
                          <w:t>Le responsable de l’élève (NOM, PRENOM et QUALITE) ou l’élève s’il est majeur :…………………………………………………..</w:t>
                        </w:r>
                      </w:p>
                      <w:p w:rsidR="00F04EEF" w:rsidRDefault="0099351E">
                        <w:pPr>
                          <w:tabs>
                            <w:tab w:val="left" w:pos="1414"/>
                          </w:tabs>
                          <w:rPr>
                            <w:sz w:val="18"/>
                            <w:szCs w:val="18"/>
                          </w:rPr>
                        </w:pPr>
                        <w:r>
                          <w:rPr>
                            <w:sz w:val="18"/>
                            <w:szCs w:val="18"/>
                          </w:rPr>
                          <w:t xml:space="preserve">Signature : </w:t>
                        </w:r>
                        <w:r>
                          <w:rPr>
                            <w:sz w:val="18"/>
                            <w:szCs w:val="18"/>
                          </w:rPr>
                          <w:tab/>
                        </w:r>
                      </w:p>
                      <w:p w:rsidR="00F04EEF" w:rsidRDefault="00F04EEF">
                        <w:pPr>
                          <w:tabs>
                            <w:tab w:val="left" w:pos="1414"/>
                          </w:tabs>
                          <w:rPr>
                            <w:sz w:val="18"/>
                            <w:szCs w:val="18"/>
                          </w:rPr>
                        </w:pPr>
                      </w:p>
                      <w:p w:rsidR="00F04EEF" w:rsidRDefault="00F04EEF">
                        <w:pPr>
                          <w:rPr>
                            <w:b/>
                            <w:sz w:val="18"/>
                            <w:szCs w:val="18"/>
                          </w:rPr>
                        </w:pPr>
                      </w:p>
                    </w:tc>
                  </w:tr>
                </w:tbl>
                <w:p w:rsidR="00F04EEF" w:rsidRDefault="0099351E">
                  <w:pPr>
                    <w:rPr>
                      <w:b/>
                      <w:u w:val="single"/>
                    </w:rPr>
                  </w:pPr>
                  <w:bookmarkStart w:id="3254" w:name="_Annexe_5_:"/>
                  <w:bookmarkStart w:id="3255" w:name="_Toc453314459"/>
                  <w:bookmarkStart w:id="3256" w:name="_Toc454980494"/>
                  <w:bookmarkEnd w:id="3254"/>
                  <w:r>
                    <w:br w:type="page"/>
                  </w:r>
                </w:p>
                <w:p w:rsidR="00F04EEF" w:rsidRDefault="0099351E">
                  <w:pPr>
                    <w:pStyle w:val="Titre4"/>
                  </w:pPr>
                  <w:r>
                    <w:t>Annexe 5 : Exemple d’un document de fiche signalétique intégration</w:t>
                  </w:r>
                  <w:bookmarkEnd w:id="3255"/>
                  <w:bookmarkEnd w:id="3256"/>
                </w:p>
                <w:p w:rsidR="00F04EEF" w:rsidRDefault="00F04EEF">
                  <w:pPr>
                    <w:tabs>
                      <w:tab w:val="left" w:pos="1134"/>
                    </w:tabs>
                    <w:jc w:val="both"/>
                    <w:rPr>
                      <w:b/>
                    </w:rPr>
                  </w:pPr>
                </w:p>
                <w:p w:rsidR="00F04EEF" w:rsidRDefault="0099351E">
                  <w:pPr>
                    <w:tabs>
                      <w:tab w:val="left" w:pos="1134"/>
                    </w:tabs>
                    <w:jc w:val="both"/>
                  </w:pPr>
                  <w:r>
                    <w:t xml:space="preserve">Comme expliqué au point 10 de ce chapitre, vous recevrez de la part de l’Administration, </w:t>
                  </w:r>
                  <w:r>
                    <w:rPr>
                      <w:color w:val="000000"/>
                    </w:rPr>
                    <w:t>après le passage de votre vérificateur, une fiche signalétique reprenant les informations dont elle</w:t>
                  </w:r>
                  <w:r>
                    <w:t xml:space="preserve"> dispose concernant les élèves de votre établissement en intégration.</w:t>
                  </w:r>
                </w:p>
                <w:p w:rsidR="00F04EEF" w:rsidRDefault="00F04EEF">
                  <w:pPr>
                    <w:tabs>
                      <w:tab w:val="left" w:pos="1134"/>
                    </w:tabs>
                    <w:jc w:val="both"/>
                  </w:pPr>
                </w:p>
                <w:p w:rsidR="00F04EEF" w:rsidRDefault="0099351E">
                  <w:pPr>
                    <w:tabs>
                      <w:tab w:val="left" w:pos="1134"/>
                    </w:tabs>
                    <w:jc w:val="both"/>
                  </w:pPr>
                  <w:r>
                    <w:t>Elle se présente de la manière suivante :</w:t>
                  </w:r>
                </w:p>
                <w:p w:rsidR="00F04EEF" w:rsidRDefault="0099351E">
                  <w:pPr>
                    <w:tabs>
                      <w:tab w:val="left" w:pos="1134"/>
                    </w:tabs>
                    <w:jc w:val="both"/>
                    <w:rPr>
                      <w:b/>
                    </w:rPr>
                  </w:pPr>
                  <w:r>
                    <w:rPr>
                      <w:noProof/>
                      <w:lang w:eastAsia="fr-BE"/>
                    </w:rPr>
                    <w:drawing>
                      <wp:anchor distT="0" distB="0" distL="114300" distR="114300" simplePos="0" relativeHeight="252102656" behindDoc="1" locked="0" layoutInCell="1" allowOverlap="1">
                        <wp:simplePos x="0" y="0"/>
                        <wp:positionH relativeFrom="column">
                          <wp:posOffset>-332105</wp:posOffset>
                        </wp:positionH>
                        <wp:positionV relativeFrom="paragraph">
                          <wp:posOffset>109900</wp:posOffset>
                        </wp:positionV>
                        <wp:extent cx="6352580" cy="7153275"/>
                        <wp:effectExtent l="0" t="0" r="0" b="0"/>
                        <wp:wrapNone/>
                        <wp:docPr id="4943" name="Image 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352580" cy="7153275"/>
                                </a:xfrm>
                                <a:prstGeom prst="rect">
                                  <a:avLst/>
                                </a:prstGeom>
                              </pic:spPr>
                            </pic:pic>
                          </a:graphicData>
                        </a:graphic>
                      </wp:anchor>
                    </w:drawing>
                  </w:r>
                </w:p>
                <w:p w:rsidR="00F04EEF" w:rsidRDefault="00F04EEF">
                  <w:pPr>
                    <w:tabs>
                      <w:tab w:val="left" w:pos="1134"/>
                    </w:tabs>
                    <w:jc w:val="both"/>
                    <w:rPr>
                      <w:b/>
                    </w:rPr>
                  </w:pPr>
                </w:p>
                <w:p w:rsidR="00F04EEF" w:rsidRDefault="00F04EEF">
                  <w:pPr>
                    <w:tabs>
                      <w:tab w:val="left" w:pos="1134"/>
                    </w:tabs>
                    <w:jc w:val="both"/>
                    <w:rPr>
                      <w:b/>
                    </w:rPr>
                  </w:pPr>
                </w:p>
                <w:p w:rsidR="00F04EEF" w:rsidRDefault="00F04EEF">
                  <w:pPr>
                    <w:tabs>
                      <w:tab w:val="left" w:pos="1134"/>
                    </w:tabs>
                    <w:jc w:val="both"/>
                    <w:rPr>
                      <w:b/>
                    </w:rPr>
                  </w:pPr>
                </w:p>
                <w:p w:rsidR="00F04EEF" w:rsidRDefault="0099351E">
                  <w:pPr>
                    <w:tabs>
                      <w:tab w:val="left" w:pos="1134"/>
                    </w:tabs>
                    <w:jc w:val="both"/>
                    <w:rPr>
                      <w:b/>
                    </w:rPr>
                  </w:pPr>
                  <w:r>
                    <w:rPr>
                      <w:b/>
                    </w:rPr>
                    <w:br w:type="page"/>
                  </w:r>
                </w:p>
                <w:p w:rsidR="00F04EEF" w:rsidRDefault="0099351E">
                  <w:pPr>
                    <w:pStyle w:val="Titre4"/>
                  </w:pPr>
                  <w:bookmarkStart w:id="3257" w:name="_Annexe_6a_:"/>
                  <w:bookmarkStart w:id="3258" w:name="_Toc453314460"/>
                  <w:bookmarkStart w:id="3259" w:name="_Toc454980495"/>
                  <w:bookmarkEnd w:id="3257"/>
                  <w:r>
                    <w:t>Annexe 6a : Demande de dérogation « GRANDE DISTANCE » (Intégrations permanentes totales)</w:t>
                  </w:r>
                  <w:bookmarkEnd w:id="3258"/>
                  <w:bookmarkEnd w:id="3259"/>
                </w:p>
                <w:p w:rsidR="00F04EEF" w:rsidRDefault="00F04EEF">
                  <w:pPr>
                    <w:jc w:val="both"/>
                    <w:rPr>
                      <w:i/>
                    </w:rPr>
                  </w:pPr>
                </w:p>
                <w:p w:rsidR="00F04EEF" w:rsidRDefault="0099351E">
                  <w:pPr>
                    <w:pStyle w:val="Corpsdetexte"/>
                    <w:widowControl/>
                    <w:pBdr>
                      <w:top w:val="single" w:sz="18" w:space="1" w:color="FF0000"/>
                      <w:left w:val="single" w:sz="18" w:space="4" w:color="FF0000"/>
                      <w:bottom w:val="single" w:sz="18" w:space="1" w:color="FF0000"/>
                      <w:right w:val="single" w:sz="18" w:space="4" w:color="FF0000"/>
                    </w:pBdr>
                    <w:jc w:val="both"/>
                    <w:rPr>
                      <w:b w:val="0"/>
                      <w:szCs w:val="22"/>
                    </w:rPr>
                  </w:pPr>
                  <w:r>
                    <w:t xml:space="preserve">Toutes nouvelles demandes de dérogation  DOIVENT être introduites via le « formulaire électronique intégration » </w:t>
                  </w:r>
                  <w:r>
                    <w:rPr>
                      <w:b w:val="0"/>
                      <w:szCs w:val="22"/>
                    </w:rPr>
                    <w:t xml:space="preserve">à l’adresse suivante : </w:t>
                  </w:r>
                  <w:hyperlink r:id="rId224" w:history="1">
                    <w:r>
                      <w:rPr>
                        <w:rStyle w:val="Lienhypertexte"/>
                        <w:rFonts w:cs="Arial"/>
                        <w:b w:val="0"/>
                        <w:szCs w:val="22"/>
                      </w:rPr>
                      <w:t>http:/www.am.cfwb.be/</w:t>
                    </w:r>
                  </w:hyperlink>
                  <w:r>
                    <w:rPr>
                      <w:szCs w:val="22"/>
                    </w:rPr>
                    <w:t xml:space="preserve"> , </w:t>
                  </w:r>
                </w:p>
                <w:p w:rsidR="00F04EEF" w:rsidRDefault="00F04EEF">
                  <w:pPr>
                    <w:pStyle w:val="Corpsdetexte"/>
                    <w:widowControl/>
                    <w:pBdr>
                      <w:top w:val="single" w:sz="18" w:space="1" w:color="FF0000"/>
                      <w:left w:val="single" w:sz="18" w:space="4" w:color="FF0000"/>
                      <w:bottom w:val="single" w:sz="18" w:space="1" w:color="FF0000"/>
                      <w:right w:val="single" w:sz="18" w:space="4" w:color="FF0000"/>
                    </w:pBdr>
                    <w:jc w:val="both"/>
                    <w:rPr>
                      <w:szCs w:val="22"/>
                    </w:rPr>
                  </w:pPr>
                </w:p>
                <w:p w:rsidR="00F04EEF" w:rsidRDefault="0099351E">
                  <w:pPr>
                    <w:pStyle w:val="Corpsdetexte"/>
                    <w:widowControl/>
                    <w:pBdr>
                      <w:top w:val="single" w:sz="18" w:space="1" w:color="FF0000"/>
                      <w:left w:val="single" w:sz="18" w:space="4" w:color="FF0000"/>
                      <w:bottom w:val="single" w:sz="18" w:space="1" w:color="FF0000"/>
                      <w:right w:val="single" w:sz="18" w:space="4" w:color="FF0000"/>
                    </w:pBdr>
                    <w:jc w:val="both"/>
                    <w:rPr>
                      <w:szCs w:val="22"/>
                    </w:rPr>
                  </w:pPr>
                  <w:r>
                    <w:rPr>
                      <w:szCs w:val="22"/>
                    </w:rPr>
                    <w:t xml:space="preserve">Si ce ne sont pas de nouvelles demandes d’intégration, il convient de </w:t>
                  </w:r>
                  <w:r>
                    <w:rPr>
                      <w:b w:val="0"/>
                    </w:rPr>
                    <w:t xml:space="preserve">renvoyer l’annexe via l’adresse mail générique : </w:t>
                  </w:r>
                  <w:r>
                    <w:rPr>
                      <w:b w:val="0"/>
                      <w:color w:val="0000FF"/>
                    </w:rPr>
                    <w:t>integration_specialise@cfwb.be</w:t>
                  </w:r>
                  <w:r>
                    <w:rPr>
                      <w:color w:val="0000FF"/>
                    </w:rPr>
                    <w:t xml:space="preserve"> </w:t>
                  </w:r>
                </w:p>
                <w:p w:rsidR="00F04EEF" w:rsidRDefault="00F04EEF">
                  <w:pPr>
                    <w:jc w:val="both"/>
                  </w:pPr>
                </w:p>
                <w:p w:rsidR="00F04EEF" w:rsidRDefault="0099351E">
                  <w:pPr>
                    <w:pBdr>
                      <w:top w:val="single" w:sz="4" w:space="1" w:color="000000"/>
                      <w:left w:val="single" w:sz="4" w:space="4" w:color="000000"/>
                      <w:bottom w:val="single" w:sz="4" w:space="1" w:color="000000"/>
                      <w:right w:val="single" w:sz="4" w:space="12" w:color="000000"/>
                    </w:pBdr>
                    <w:shd w:val="clear" w:color="auto" w:fill="E6E6E6"/>
                    <w:jc w:val="both"/>
                    <w:rPr>
                      <w:b/>
                      <w:szCs w:val="20"/>
                    </w:rPr>
                  </w:pPr>
                  <w:r>
                    <w:rPr>
                      <w:b/>
                      <w:szCs w:val="20"/>
                    </w:rPr>
                    <w:t>Attention :</w:t>
                  </w:r>
                </w:p>
                <w:p w:rsidR="00F04EEF" w:rsidRDefault="0099351E">
                  <w:pPr>
                    <w:pBdr>
                      <w:top w:val="single" w:sz="4" w:space="1" w:color="000000"/>
                      <w:left w:val="single" w:sz="4" w:space="4" w:color="000000"/>
                      <w:bottom w:val="single" w:sz="4" w:space="1" w:color="000000"/>
                      <w:right w:val="single" w:sz="4" w:space="12" w:color="000000"/>
                    </w:pBdr>
                    <w:shd w:val="clear" w:color="auto" w:fill="E6E6E6"/>
                    <w:jc w:val="both"/>
                    <w:rPr>
                      <w:b/>
                      <w:szCs w:val="20"/>
                    </w:rPr>
                  </w:pPr>
                  <w:r>
                    <w:rPr>
                      <w:b/>
                      <w:szCs w:val="20"/>
                    </w:rPr>
                    <w:t xml:space="preserve">Le document doit être dûment complété pour que le dossier soit analysé par le Conseil général. </w:t>
                  </w:r>
                </w:p>
                <w:p w:rsidR="00F04EEF" w:rsidRDefault="00F04EEF">
                  <w:pPr>
                    <w:tabs>
                      <w:tab w:val="left" w:pos="1134"/>
                    </w:tabs>
                    <w:jc w:val="both"/>
                  </w:pPr>
                </w:p>
                <w:p w:rsidR="00F04EEF" w:rsidRDefault="0099351E">
                  <w:pPr>
                    <w:tabs>
                      <w:tab w:val="left" w:pos="1134"/>
                    </w:tabs>
                    <w:jc w:val="both"/>
                    <w:rPr>
                      <w:b/>
                    </w:rPr>
                  </w:pPr>
                  <w:r>
                    <w:rPr>
                      <w:b/>
                    </w:rPr>
                    <w:t xml:space="preserve">Année scolaire : </w:t>
                  </w:r>
                </w:p>
                <w:p w:rsidR="00F04EEF" w:rsidRDefault="00F04EEF">
                  <w:pPr>
                    <w:tabs>
                      <w:tab w:val="left" w:pos="1134"/>
                    </w:tabs>
                    <w:jc w:val="both"/>
                  </w:pP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rPr>
                      <w:u w:val="single"/>
                    </w:rPr>
                  </w:pPr>
                  <w:r>
                    <w:rPr>
                      <w:u w:val="single"/>
                    </w:rPr>
                    <w:t>Élève concerné(e) :</w:t>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NOM :</w:t>
                  </w:r>
                  <w:r>
                    <w:tab/>
                  </w:r>
                  <w:r>
                    <w:tab/>
                  </w:r>
                  <w:r>
                    <w:tab/>
                  </w:r>
                  <w:r>
                    <w:tab/>
                  </w:r>
                  <w:r>
                    <w:tab/>
                  </w:r>
                  <w:r>
                    <w:tab/>
                  </w:r>
                  <w:r>
                    <w:tab/>
                    <w:t>Prénom :</w:t>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Date de naissance :</w:t>
                  </w:r>
                  <w:r>
                    <w:tab/>
                  </w:r>
                  <w:r>
                    <w:tab/>
                  </w:r>
                  <w:r>
                    <w:tab/>
                  </w:r>
                  <w:r>
                    <w:tab/>
                  </w:r>
                  <w:r>
                    <w:tab/>
                    <w:t>Sexe :</w:t>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 xml:space="preserve">Type d’enseignement : 1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2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3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4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5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6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7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8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 xml:space="preserve">Type d’intégration : </w:t>
                  </w:r>
                  <w:r>
                    <w:rPr>
                      <w:b/>
                    </w:rPr>
                    <w:t>permanente totale</w:t>
                  </w:r>
                </w:p>
                <w:p w:rsidR="00F04EEF" w:rsidRDefault="00F04EEF">
                  <w:pPr>
                    <w:pStyle w:val="Corpsdetexte"/>
                    <w:widowControl/>
                    <w:tabs>
                      <w:tab w:val="left" w:pos="4200"/>
                    </w:tabs>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2"/>
                    <w:gridCol w:w="2300"/>
                    <w:gridCol w:w="2372"/>
                    <w:gridCol w:w="2300"/>
                  </w:tblGrid>
                  <w:tr w:rsidR="00F04EEF">
                    <w:tc>
                      <w:tcPr>
                        <w:tcW w:w="4839" w:type="dxa"/>
                        <w:gridSpan w:val="2"/>
                      </w:tcPr>
                      <w:p w:rsidR="00F04EEF" w:rsidRDefault="0099351E">
                        <w:pPr>
                          <w:pStyle w:val="Corpsdetexte"/>
                          <w:widowControl/>
                          <w:tabs>
                            <w:tab w:val="left" w:pos="4200"/>
                          </w:tabs>
                          <w:jc w:val="center"/>
                          <w:rPr>
                            <w:szCs w:val="22"/>
                          </w:rPr>
                        </w:pPr>
                        <w:r>
                          <w:rPr>
                            <w:b w:val="0"/>
                            <w:szCs w:val="22"/>
                          </w:rPr>
                          <w:t xml:space="preserve">Etablissement d’enseignement </w:t>
                        </w:r>
                        <w:r>
                          <w:rPr>
                            <w:color w:val="FF0000"/>
                            <w:szCs w:val="22"/>
                          </w:rPr>
                          <w:t xml:space="preserve">spécialisé </w:t>
                        </w:r>
                        <w:r>
                          <w:rPr>
                            <w:b w:val="0"/>
                            <w:szCs w:val="22"/>
                          </w:rPr>
                          <w:t>concerné</w:t>
                        </w:r>
                      </w:p>
                    </w:tc>
                    <w:tc>
                      <w:tcPr>
                        <w:tcW w:w="4840" w:type="dxa"/>
                        <w:gridSpan w:val="2"/>
                      </w:tcPr>
                      <w:p w:rsidR="00F04EEF" w:rsidRDefault="0099351E">
                        <w:pPr>
                          <w:pStyle w:val="Corpsdetexte"/>
                          <w:widowControl/>
                          <w:tabs>
                            <w:tab w:val="left" w:pos="4200"/>
                          </w:tabs>
                          <w:jc w:val="center"/>
                          <w:rPr>
                            <w:szCs w:val="22"/>
                          </w:rPr>
                        </w:pPr>
                        <w:r>
                          <w:rPr>
                            <w:b w:val="0"/>
                            <w:szCs w:val="22"/>
                          </w:rPr>
                          <w:t xml:space="preserve">Etablissement d’enseignement </w:t>
                        </w:r>
                        <w:r>
                          <w:rPr>
                            <w:color w:val="FF0000"/>
                            <w:szCs w:val="22"/>
                          </w:rPr>
                          <w:t xml:space="preserve">ordinaire </w:t>
                        </w:r>
                        <w:r>
                          <w:rPr>
                            <w:b w:val="0"/>
                            <w:szCs w:val="22"/>
                          </w:rPr>
                          <w:t>concerné</w:t>
                        </w:r>
                      </w:p>
                    </w:tc>
                  </w:tr>
                  <w:tr w:rsidR="00F04EEF">
                    <w:tc>
                      <w:tcPr>
                        <w:tcW w:w="2419" w:type="dxa"/>
                      </w:tcPr>
                      <w:p w:rsidR="00F04EEF" w:rsidRDefault="0099351E">
                        <w:pPr>
                          <w:pStyle w:val="Corpsdetexte"/>
                          <w:widowControl/>
                          <w:tabs>
                            <w:tab w:val="left" w:pos="4200"/>
                          </w:tabs>
                          <w:jc w:val="both"/>
                          <w:rPr>
                            <w:szCs w:val="22"/>
                          </w:rPr>
                        </w:pPr>
                        <w:r>
                          <w:rPr>
                            <w:b w:val="0"/>
                            <w:szCs w:val="22"/>
                          </w:rPr>
                          <w:t>Dénomination</w:t>
                        </w:r>
                      </w:p>
                    </w:tc>
                    <w:tc>
                      <w:tcPr>
                        <w:tcW w:w="2420" w:type="dxa"/>
                      </w:tcPr>
                      <w:p w:rsidR="00F04EEF" w:rsidRDefault="00F04EEF">
                        <w:pPr>
                          <w:pStyle w:val="Corpsdetexte"/>
                          <w:widowControl/>
                          <w:tabs>
                            <w:tab w:val="left" w:pos="4200"/>
                          </w:tabs>
                          <w:jc w:val="both"/>
                          <w:rPr>
                            <w:szCs w:val="22"/>
                          </w:rPr>
                        </w:pPr>
                      </w:p>
                      <w:p w:rsidR="00F04EEF" w:rsidRDefault="00F04EEF">
                        <w:pPr>
                          <w:pStyle w:val="Corpsdetexte"/>
                          <w:widowControl/>
                          <w:tabs>
                            <w:tab w:val="left" w:pos="4200"/>
                          </w:tabs>
                          <w:jc w:val="both"/>
                          <w:rPr>
                            <w:szCs w:val="22"/>
                          </w:rPr>
                        </w:pPr>
                      </w:p>
                    </w:tc>
                    <w:tc>
                      <w:tcPr>
                        <w:tcW w:w="2420" w:type="dxa"/>
                      </w:tcPr>
                      <w:p w:rsidR="00F04EEF" w:rsidRDefault="0099351E">
                        <w:pPr>
                          <w:pStyle w:val="Corpsdetexte"/>
                          <w:widowControl/>
                          <w:tabs>
                            <w:tab w:val="left" w:pos="4200"/>
                          </w:tabs>
                          <w:jc w:val="both"/>
                          <w:rPr>
                            <w:szCs w:val="22"/>
                          </w:rPr>
                        </w:pPr>
                        <w:r>
                          <w:rPr>
                            <w:b w:val="0"/>
                            <w:szCs w:val="22"/>
                          </w:rPr>
                          <w:t>Dénomination</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N°FASE </w:t>
                        </w:r>
                      </w:p>
                      <w:p w:rsidR="00F04EEF" w:rsidRDefault="0099351E">
                        <w:pPr>
                          <w:pStyle w:val="Corpsdetexte"/>
                          <w:widowControl/>
                          <w:tabs>
                            <w:tab w:val="left" w:pos="4200"/>
                          </w:tabs>
                          <w:rPr>
                            <w:szCs w:val="22"/>
                          </w:rPr>
                        </w:pPr>
                        <w:r>
                          <w:rPr>
                            <w:b w:val="0"/>
                            <w:szCs w:val="22"/>
                          </w:rPr>
                          <w:t>(bâtiment principal):</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N°FASE </w:t>
                        </w:r>
                      </w:p>
                      <w:p w:rsidR="00F04EEF" w:rsidRDefault="0099351E">
                        <w:pPr>
                          <w:pStyle w:val="Corpsdetexte"/>
                          <w:widowControl/>
                          <w:tabs>
                            <w:tab w:val="left" w:pos="4200"/>
                          </w:tabs>
                          <w:rPr>
                            <w:szCs w:val="22"/>
                          </w:rPr>
                        </w:pPr>
                        <w:r>
                          <w:rPr>
                            <w:b w:val="0"/>
                            <w:szCs w:val="22"/>
                          </w:rPr>
                          <w:t>(bâtiment principal):</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N° FASE (implantation) </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N° FASE (implantation) </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Adresse</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Adresse</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CP</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CP</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LOCALITE</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LOCALITE</w:t>
                        </w:r>
                      </w:p>
                    </w:tc>
                    <w:tc>
                      <w:tcPr>
                        <w:tcW w:w="2420" w:type="dxa"/>
                      </w:tcPr>
                      <w:p w:rsidR="00F04EEF" w:rsidRDefault="00F04EEF">
                        <w:pPr>
                          <w:pStyle w:val="Corpsdetexte"/>
                          <w:widowControl/>
                          <w:tabs>
                            <w:tab w:val="left" w:pos="4200"/>
                          </w:tabs>
                          <w:jc w:val="both"/>
                          <w:rPr>
                            <w:szCs w:val="22"/>
                          </w:rPr>
                        </w:pPr>
                      </w:p>
                    </w:tc>
                  </w:tr>
                  <w:tr w:rsidR="00F04EEF">
                    <w:tc>
                      <w:tcPr>
                        <w:tcW w:w="9679" w:type="dxa"/>
                        <w:gridSpan w:val="4"/>
                      </w:tcPr>
                      <w:p w:rsidR="00F04EEF" w:rsidRDefault="00F04EEF">
                        <w:pPr>
                          <w:tabs>
                            <w:tab w:val="left" w:pos="1134"/>
                          </w:tabs>
                          <w:ind w:right="-264"/>
                          <w:jc w:val="both"/>
                        </w:pPr>
                      </w:p>
                      <w:p w:rsidR="00F04EEF" w:rsidRDefault="0099351E">
                        <w:pPr>
                          <w:tabs>
                            <w:tab w:val="left" w:pos="1134"/>
                          </w:tabs>
                          <w:ind w:right="-264"/>
                          <w:jc w:val="both"/>
                        </w:pPr>
                        <w:r>
                          <w:t>Distance en km entre les 2 établissements :</w:t>
                        </w:r>
                      </w:p>
                    </w:tc>
                  </w:tr>
                </w:tbl>
                <w:p w:rsidR="00F04EEF" w:rsidRDefault="00F04EEF">
                  <w:pPr>
                    <w:tabs>
                      <w:tab w:val="left" w:pos="1134"/>
                    </w:tabs>
                    <w:jc w:val="both"/>
                  </w:pPr>
                </w:p>
                <w:p w:rsidR="00F04EEF" w:rsidRDefault="0099351E">
                  <w:pPr>
                    <w:pBdr>
                      <w:top w:val="single" w:sz="4" w:space="1" w:color="auto"/>
                      <w:left w:val="single" w:sz="4" w:space="0" w:color="auto"/>
                      <w:bottom w:val="single" w:sz="4" w:space="1" w:color="auto"/>
                      <w:right w:val="single" w:sz="4" w:space="1" w:color="auto"/>
                    </w:pBdr>
                    <w:tabs>
                      <w:tab w:val="left" w:pos="1134"/>
                    </w:tabs>
                    <w:rPr>
                      <w:b/>
                      <w:u w:val="single"/>
                    </w:rPr>
                  </w:pPr>
                  <w:r>
                    <w:rPr>
                      <w:b/>
                      <w:u w:val="single"/>
                    </w:rPr>
                    <w:t>Déclaration sur l’honneur</w:t>
                  </w:r>
                </w:p>
                <w:p w:rsidR="00F04EEF" w:rsidRDefault="00F04EEF">
                  <w:pPr>
                    <w:pBdr>
                      <w:top w:val="single" w:sz="4" w:space="1" w:color="auto"/>
                      <w:left w:val="single" w:sz="4" w:space="0" w:color="auto"/>
                      <w:bottom w:val="single" w:sz="4" w:space="1" w:color="auto"/>
                      <w:right w:val="single" w:sz="4" w:space="1" w:color="auto"/>
                    </w:pBdr>
                    <w:tabs>
                      <w:tab w:val="left" w:pos="1134"/>
                    </w:tabs>
                  </w:pPr>
                </w:p>
                <w:p w:rsidR="00F04EEF" w:rsidRDefault="0099351E">
                  <w:pPr>
                    <w:pBdr>
                      <w:top w:val="single" w:sz="4" w:space="1" w:color="auto"/>
                      <w:left w:val="single" w:sz="4" w:space="0" w:color="auto"/>
                      <w:bottom w:val="single" w:sz="4" w:space="1" w:color="auto"/>
                      <w:right w:val="single" w:sz="4" w:space="1" w:color="auto"/>
                    </w:pBdr>
                  </w:pPr>
                  <w:r>
                    <w:t>Par la présente, ..............................................................., directeur (trice) de l’école d’enseignement spécialisé organisé par la Fédération Wallonie Bruxelles ou représentant(e) du pouvoir organisateur dans l’enseignement spécialisé subventionné, atteste que :</w:t>
                  </w:r>
                </w:p>
                <w:p w:rsidR="00F04EEF" w:rsidRDefault="00F04EEF">
                  <w:pPr>
                    <w:pBdr>
                      <w:top w:val="single" w:sz="4" w:space="1" w:color="auto"/>
                      <w:left w:val="single" w:sz="4" w:space="0" w:color="auto"/>
                      <w:bottom w:val="single" w:sz="4" w:space="1" w:color="auto"/>
                      <w:right w:val="single" w:sz="4" w:space="1" w:color="auto"/>
                    </w:pBdr>
                  </w:pPr>
                </w:p>
                <w:p w:rsidR="00F04EEF" w:rsidRDefault="0099351E">
                  <w:pPr>
                    <w:numPr>
                      <w:ilvl w:val="0"/>
                      <w:numId w:val="258"/>
                    </w:numPr>
                    <w:pBdr>
                      <w:top w:val="single" w:sz="4" w:space="1" w:color="auto"/>
                      <w:left w:val="single" w:sz="4" w:space="0" w:color="auto"/>
                      <w:bottom w:val="single" w:sz="4" w:space="1" w:color="auto"/>
                      <w:right w:val="single" w:sz="4" w:space="1" w:color="auto"/>
                    </w:pBdr>
                    <w:tabs>
                      <w:tab w:val="clear" w:pos="720"/>
                      <w:tab w:val="num" w:pos="567"/>
                    </w:tabs>
                    <w:suppressAutoHyphens/>
                    <w:ind w:left="567" w:hanging="567"/>
                  </w:pPr>
                  <w:r>
                    <w:t>l’élève sera intégré dès le 1</w:t>
                  </w:r>
                  <w:r>
                    <w:rPr>
                      <w:vertAlign w:val="superscript"/>
                    </w:rPr>
                    <w:t>er</w:t>
                  </w:r>
                  <w:r>
                    <w:t xml:space="preserve"> septembre de l’année scolaire 20..-20... Dans le cas contraire, l’information sera transmise pour le 15 septembre à l’Administration ;</w:t>
                  </w:r>
                </w:p>
                <w:p w:rsidR="00F04EEF" w:rsidRDefault="0099351E">
                  <w:pPr>
                    <w:numPr>
                      <w:ilvl w:val="0"/>
                      <w:numId w:val="258"/>
                    </w:numPr>
                    <w:pBdr>
                      <w:top w:val="single" w:sz="4" w:space="1" w:color="auto"/>
                      <w:left w:val="single" w:sz="4" w:space="0" w:color="auto"/>
                      <w:bottom w:val="single" w:sz="4" w:space="1" w:color="auto"/>
                      <w:right w:val="single" w:sz="4" w:space="1" w:color="auto"/>
                    </w:pBdr>
                    <w:tabs>
                      <w:tab w:val="clear" w:pos="720"/>
                      <w:tab w:val="num" w:pos="567"/>
                    </w:tabs>
                    <w:suppressAutoHyphens/>
                    <w:ind w:left="567" w:hanging="567"/>
                  </w:pPr>
                  <w:r>
                    <w:t xml:space="preserve">les informations ci-dessus sont complètes et conformes à la réalité. </w:t>
                  </w:r>
                </w:p>
                <w:p w:rsidR="00F04EEF" w:rsidRDefault="00F04EEF">
                  <w:pPr>
                    <w:pBdr>
                      <w:top w:val="single" w:sz="4" w:space="1" w:color="auto"/>
                      <w:left w:val="single" w:sz="4" w:space="0" w:color="auto"/>
                      <w:bottom w:val="single" w:sz="4" w:space="1" w:color="auto"/>
                      <w:right w:val="single" w:sz="4" w:space="1" w:color="auto"/>
                    </w:pBdr>
                    <w:tabs>
                      <w:tab w:val="left" w:pos="1134"/>
                    </w:tabs>
                  </w:pPr>
                </w:p>
                <w:p w:rsidR="00F04EEF" w:rsidRDefault="0099351E">
                  <w:pPr>
                    <w:pBdr>
                      <w:top w:val="single" w:sz="4" w:space="1" w:color="auto"/>
                      <w:left w:val="single" w:sz="4" w:space="0" w:color="auto"/>
                      <w:bottom w:val="single" w:sz="4" w:space="1" w:color="auto"/>
                      <w:right w:val="single" w:sz="4" w:space="1" w:color="auto"/>
                    </w:pBdr>
                    <w:tabs>
                      <w:tab w:val="left" w:pos="1134"/>
                    </w:tabs>
                    <w:jc w:val="both"/>
                  </w:pPr>
                  <w:r>
                    <w:t>Je déclare sur l’honneur que l’ensemble des partenaires a signé la 3</w:t>
                  </w:r>
                  <w:r>
                    <w:rPr>
                      <w:vertAlign w:val="superscript"/>
                    </w:rPr>
                    <w:t>ème</w:t>
                  </w:r>
                  <w:r>
                    <w:t xml:space="preserve"> page du protocole d’intégration (annexe 2). L’original de ce dernier est conservé dans l’établissement d’enseignement spécialisé à disposition du vérificateur de la population scolaire.</w:t>
                  </w:r>
                </w:p>
                <w:p w:rsidR="00F04EEF" w:rsidRDefault="00F04EEF">
                  <w:pPr>
                    <w:tabs>
                      <w:tab w:val="left" w:pos="1134"/>
                    </w:tabs>
                    <w:jc w:val="center"/>
                    <w:rPr>
                      <w:b/>
                    </w:rPr>
                  </w:pPr>
                </w:p>
                <w:tbl>
                  <w:tblPr>
                    <w:tblpPr w:leftFromText="141" w:rightFromText="141" w:vertAnchor="text" w:horzAnchor="margin" w:tblpX="-39" w:tblpY="19"/>
                    <w:tblW w:w="9493" w:type="dxa"/>
                    <w:tblLayout w:type="fixed"/>
                    <w:tblLook w:val="0000" w:firstRow="0" w:lastRow="0" w:firstColumn="0" w:lastColumn="0" w:noHBand="0" w:noVBand="0"/>
                  </w:tblPr>
                  <w:tblGrid>
                    <w:gridCol w:w="1531"/>
                    <w:gridCol w:w="2700"/>
                    <w:gridCol w:w="2828"/>
                    <w:gridCol w:w="2434"/>
                  </w:tblGrid>
                  <w:tr w:rsidR="00F04EEF">
                    <w:tc>
                      <w:tcPr>
                        <w:tcW w:w="1531"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Qualité du signataire</w:t>
                        </w:r>
                      </w:p>
                    </w:tc>
                    <w:tc>
                      <w:tcPr>
                        <w:tcW w:w="2434"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snapToGrid w:val="0"/>
                          <w:jc w:val="center"/>
                        </w:pPr>
                        <w:r>
                          <w:t>Signature</w:t>
                        </w:r>
                      </w:p>
                    </w:tc>
                  </w:tr>
                  <w:tr w:rsidR="00F04EEF">
                    <w:tc>
                      <w:tcPr>
                        <w:tcW w:w="1531"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tc>
                    <w:tc>
                      <w:tcPr>
                        <w:tcW w:w="2700"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tc>
                    <w:tc>
                      <w:tcPr>
                        <w:tcW w:w="2828"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tc>
                    <w:tc>
                      <w:tcPr>
                        <w:tcW w:w="2434"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tc>
                  </w:tr>
                </w:tbl>
                <w:p w:rsidR="00F04EEF" w:rsidRDefault="0099351E">
                  <w:pPr>
                    <w:rPr>
                      <w:i/>
                    </w:rPr>
                  </w:pPr>
                  <w:r>
                    <w:rPr>
                      <w:i/>
                    </w:rPr>
                    <w:br w:type="page"/>
                  </w:r>
                </w:p>
                <w:p w:rsidR="00F04EEF" w:rsidRDefault="0099351E">
                  <w:pPr>
                    <w:pStyle w:val="Titre4"/>
                  </w:pPr>
                  <w:bookmarkStart w:id="3260" w:name="_Annexe_6b_:"/>
                  <w:bookmarkStart w:id="3261" w:name="_Toc453314461"/>
                  <w:bookmarkStart w:id="3262" w:name="_Toc454980496"/>
                  <w:bookmarkEnd w:id="3260"/>
                  <w:r>
                    <w:t>Annexe 6b : Demande de dérogation « GRANDE DISTANCE » (Intégrations autres que permanentes totales)</w:t>
                  </w:r>
                  <w:bookmarkEnd w:id="3261"/>
                  <w:bookmarkEnd w:id="3262"/>
                </w:p>
                <w:p w:rsidR="00F04EEF" w:rsidRDefault="00F04EEF">
                  <w:pPr>
                    <w:jc w:val="both"/>
                    <w:rPr>
                      <w:i/>
                    </w:rPr>
                  </w:pPr>
                </w:p>
                <w:p w:rsidR="00F04EEF" w:rsidRDefault="0099351E">
                  <w:pPr>
                    <w:pStyle w:val="Corpsdetexte"/>
                    <w:widowControl/>
                    <w:pBdr>
                      <w:top w:val="single" w:sz="18" w:space="1" w:color="FF0000"/>
                      <w:left w:val="single" w:sz="18" w:space="4" w:color="FF0000"/>
                      <w:bottom w:val="single" w:sz="18" w:space="1" w:color="FF0000"/>
                      <w:right w:val="single" w:sz="18" w:space="4" w:color="FF0000"/>
                    </w:pBdr>
                    <w:jc w:val="both"/>
                    <w:rPr>
                      <w:b w:val="0"/>
                      <w:szCs w:val="22"/>
                    </w:rPr>
                  </w:pPr>
                  <w:r>
                    <w:t xml:space="preserve">Toutes nouvelles demandes de dérogation  DOIVENT être introduites via le « formulaire électronique intégration » </w:t>
                  </w:r>
                  <w:r>
                    <w:rPr>
                      <w:b w:val="0"/>
                      <w:szCs w:val="22"/>
                    </w:rPr>
                    <w:t xml:space="preserve">à l’adresse suivante : </w:t>
                  </w:r>
                  <w:hyperlink r:id="rId225" w:history="1">
                    <w:r>
                      <w:rPr>
                        <w:rStyle w:val="Lienhypertexte"/>
                        <w:rFonts w:cs="Arial"/>
                        <w:b w:val="0"/>
                        <w:szCs w:val="22"/>
                      </w:rPr>
                      <w:t>http:/www.am.cfwb.be/</w:t>
                    </w:r>
                  </w:hyperlink>
                  <w:r>
                    <w:rPr>
                      <w:szCs w:val="22"/>
                    </w:rPr>
                    <w:t xml:space="preserve"> , </w:t>
                  </w:r>
                </w:p>
                <w:p w:rsidR="00F04EEF" w:rsidRDefault="00F04EEF">
                  <w:pPr>
                    <w:pStyle w:val="Corpsdetexte"/>
                    <w:widowControl/>
                    <w:pBdr>
                      <w:top w:val="single" w:sz="18" w:space="1" w:color="FF0000"/>
                      <w:left w:val="single" w:sz="18" w:space="4" w:color="FF0000"/>
                      <w:bottom w:val="single" w:sz="18" w:space="1" w:color="FF0000"/>
                      <w:right w:val="single" w:sz="18" w:space="4" w:color="FF0000"/>
                    </w:pBdr>
                    <w:jc w:val="both"/>
                    <w:rPr>
                      <w:szCs w:val="22"/>
                    </w:rPr>
                  </w:pPr>
                </w:p>
                <w:p w:rsidR="00F04EEF" w:rsidRDefault="0099351E">
                  <w:pPr>
                    <w:pStyle w:val="Corpsdetexte"/>
                    <w:widowControl/>
                    <w:pBdr>
                      <w:top w:val="single" w:sz="18" w:space="1" w:color="FF0000"/>
                      <w:left w:val="single" w:sz="18" w:space="4" w:color="FF0000"/>
                      <w:bottom w:val="single" w:sz="18" w:space="1" w:color="FF0000"/>
                      <w:right w:val="single" w:sz="18" w:space="4" w:color="FF0000"/>
                    </w:pBdr>
                    <w:jc w:val="both"/>
                    <w:rPr>
                      <w:szCs w:val="22"/>
                    </w:rPr>
                  </w:pPr>
                  <w:r>
                    <w:rPr>
                      <w:szCs w:val="22"/>
                    </w:rPr>
                    <w:t xml:space="preserve">Si ce ne sont pas de nouvelles demandes d’intégration, il convient de </w:t>
                  </w:r>
                  <w:r>
                    <w:rPr>
                      <w:b w:val="0"/>
                    </w:rPr>
                    <w:t xml:space="preserve">renvoyer l’annexe via l’adresse mail générique : </w:t>
                  </w:r>
                  <w:r>
                    <w:rPr>
                      <w:b w:val="0"/>
                      <w:color w:val="0000FF"/>
                    </w:rPr>
                    <w:t>integration_specialise@cfwb.be</w:t>
                  </w:r>
                  <w:r>
                    <w:rPr>
                      <w:color w:val="0000FF"/>
                    </w:rPr>
                    <w:t xml:space="preserve"> </w:t>
                  </w:r>
                </w:p>
                <w:p w:rsidR="00F04EEF" w:rsidRDefault="00F04EEF">
                  <w:pPr>
                    <w:jc w:val="both"/>
                  </w:pPr>
                </w:p>
                <w:p w:rsidR="00F04EEF" w:rsidRDefault="0099351E">
                  <w:pPr>
                    <w:pBdr>
                      <w:top w:val="single" w:sz="4" w:space="1" w:color="000000"/>
                      <w:left w:val="single" w:sz="4" w:space="4" w:color="000000"/>
                      <w:bottom w:val="single" w:sz="4" w:space="0" w:color="000000"/>
                      <w:right w:val="single" w:sz="4" w:space="12" w:color="000000"/>
                    </w:pBdr>
                    <w:shd w:val="clear" w:color="auto" w:fill="E6E6E6"/>
                    <w:jc w:val="both"/>
                    <w:rPr>
                      <w:b/>
                    </w:rPr>
                  </w:pPr>
                  <w:r>
                    <w:rPr>
                      <w:b/>
                    </w:rPr>
                    <w:t xml:space="preserve">Attention : le document doit être dûment complété pour que le dossier soit analysé par le Conseil général. </w:t>
                  </w:r>
                </w:p>
                <w:p w:rsidR="00F04EEF" w:rsidRDefault="00F04EEF">
                  <w:pPr>
                    <w:tabs>
                      <w:tab w:val="left" w:pos="1134"/>
                    </w:tabs>
                    <w:jc w:val="both"/>
                  </w:pPr>
                </w:p>
                <w:p w:rsidR="00F04EEF" w:rsidRDefault="0099351E">
                  <w:pPr>
                    <w:tabs>
                      <w:tab w:val="left" w:pos="1134"/>
                    </w:tabs>
                    <w:jc w:val="both"/>
                    <w:rPr>
                      <w:b/>
                    </w:rPr>
                  </w:pPr>
                  <w:r>
                    <w:rPr>
                      <w:b/>
                    </w:rPr>
                    <w:t xml:space="preserve">Année scolaire : </w:t>
                  </w:r>
                </w:p>
                <w:p w:rsidR="00F04EEF" w:rsidRDefault="00F04EEF">
                  <w:pPr>
                    <w:tabs>
                      <w:tab w:val="left" w:pos="1134"/>
                    </w:tabs>
                    <w:jc w:val="both"/>
                  </w:pP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rPr>
                      <w:u w:val="single"/>
                    </w:rPr>
                  </w:pPr>
                  <w:r>
                    <w:rPr>
                      <w:u w:val="single"/>
                    </w:rPr>
                    <w:t>Élève concerné(e) :</w:t>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NOM :</w:t>
                  </w:r>
                  <w:r>
                    <w:tab/>
                  </w:r>
                  <w:r>
                    <w:tab/>
                  </w:r>
                  <w:r>
                    <w:tab/>
                  </w:r>
                  <w:r>
                    <w:tab/>
                  </w:r>
                  <w:r>
                    <w:tab/>
                  </w:r>
                  <w:r>
                    <w:tab/>
                  </w:r>
                  <w:r>
                    <w:tab/>
                  </w:r>
                  <w:r>
                    <w:tab/>
                    <w:t>Prénom :</w:t>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Date de naissance :</w:t>
                  </w:r>
                  <w:r>
                    <w:tab/>
                  </w:r>
                  <w:r>
                    <w:tab/>
                  </w:r>
                  <w:r>
                    <w:tab/>
                  </w:r>
                  <w:r>
                    <w:tab/>
                  </w:r>
                  <w:r>
                    <w:tab/>
                  </w:r>
                  <w:r>
                    <w:tab/>
                    <w:t>Sexe :</w:t>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 xml:space="preserve">Type d’enseignement : </w:t>
                  </w:r>
                  <w: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1 </w:t>
                  </w:r>
                  <w: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2 </w:t>
                  </w:r>
                  <w: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3 </w:t>
                  </w:r>
                  <w: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4 </w:t>
                  </w:r>
                  <w: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5 </w:t>
                  </w:r>
                  <w: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6</w:t>
                  </w:r>
                  <w:r>
                    <w:tab/>
                    <w:t xml:space="preserve">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7 </w:t>
                  </w:r>
                  <w: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t xml:space="preserve"> 8 </w:t>
                  </w:r>
                </w:p>
                <w:p w:rsidR="00F04EEF" w:rsidRDefault="0099351E">
                  <w:pPr>
                    <w:pBdr>
                      <w:top w:val="single" w:sz="4" w:space="1" w:color="000000"/>
                      <w:left w:val="single" w:sz="4" w:space="4" w:color="000000"/>
                      <w:bottom w:val="single" w:sz="4" w:space="0" w:color="000000"/>
                      <w:right w:val="single" w:sz="4" w:space="0" w:color="000000"/>
                    </w:pBdr>
                    <w:tabs>
                      <w:tab w:val="left" w:pos="1134"/>
                    </w:tabs>
                    <w:jc w:val="both"/>
                  </w:pPr>
                  <w:r>
                    <w:t xml:space="preserve">Type d’intégration : </w:t>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rPr>
                      <w:color w:val="000000"/>
                    </w:rPr>
                    <w:t xml:space="preserve"> </w:t>
                  </w:r>
                  <w:r>
                    <w:t xml:space="preserve">Temporaire partielle </w:t>
                  </w:r>
                  <w:r>
                    <w:rPr>
                      <w:strike/>
                    </w:rPr>
                    <w:t xml:space="preserve"> </w:t>
                  </w:r>
                  <w:r>
                    <w:rPr>
                      <w:strike/>
                    </w:rPr>
                    <w:tab/>
                  </w:r>
                  <w:r>
                    <w:rPr>
                      <w:strike/>
                    </w:rPr>
                    <w:tab/>
                  </w:r>
                  <w:r>
                    <w:rPr>
                      <w:strike/>
                    </w:rPr>
                    <w:tab/>
                  </w:r>
                  <w:r>
                    <w:rPr>
                      <w:strike/>
                    </w:rPr>
                    <w:tab/>
                  </w:r>
                  <w:r>
                    <w:fldChar w:fldCharType="begin">
                      <w:ffData>
                        <w:name w:val="CaseACocher4"/>
                        <w:enabled/>
                        <w:calcOnExit w:val="0"/>
                        <w:checkBox>
                          <w:sizeAuto/>
                          <w:default w:val="0"/>
                          <w:checked w:val="0"/>
                        </w:checkBox>
                      </w:ffData>
                    </w:fldChar>
                  </w:r>
                  <w:r>
                    <w:instrText xml:space="preserve"> FORMCHECKBOX </w:instrText>
                  </w:r>
                  <w:r w:rsidR="00F42422">
                    <w:fldChar w:fldCharType="separate"/>
                  </w:r>
                  <w:r>
                    <w:fldChar w:fldCharType="end"/>
                  </w:r>
                  <w:r>
                    <w:rPr>
                      <w:color w:val="000000"/>
                    </w:rPr>
                    <w:t xml:space="preserve"> </w:t>
                  </w:r>
                  <w:r>
                    <w:t>permanente partielle</w:t>
                  </w:r>
                </w:p>
                <w:p w:rsidR="00F04EEF" w:rsidRDefault="00F04EEF">
                  <w:pPr>
                    <w:pStyle w:val="Corpsdetexte"/>
                    <w:widowControl/>
                    <w:tabs>
                      <w:tab w:val="left" w:pos="4200"/>
                    </w:tabs>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2"/>
                    <w:gridCol w:w="2300"/>
                    <w:gridCol w:w="2372"/>
                    <w:gridCol w:w="2300"/>
                  </w:tblGrid>
                  <w:tr w:rsidR="00F04EEF">
                    <w:tc>
                      <w:tcPr>
                        <w:tcW w:w="4839" w:type="dxa"/>
                        <w:gridSpan w:val="2"/>
                      </w:tcPr>
                      <w:p w:rsidR="00F04EEF" w:rsidRDefault="0099351E">
                        <w:pPr>
                          <w:pStyle w:val="Corpsdetexte"/>
                          <w:widowControl/>
                          <w:tabs>
                            <w:tab w:val="left" w:pos="4200"/>
                          </w:tabs>
                          <w:jc w:val="center"/>
                          <w:rPr>
                            <w:szCs w:val="22"/>
                          </w:rPr>
                        </w:pPr>
                        <w:r>
                          <w:rPr>
                            <w:b w:val="0"/>
                            <w:szCs w:val="22"/>
                          </w:rPr>
                          <w:t xml:space="preserve">Etablissement d’enseignement </w:t>
                        </w:r>
                        <w:r>
                          <w:rPr>
                            <w:color w:val="FF0000"/>
                            <w:szCs w:val="22"/>
                          </w:rPr>
                          <w:t xml:space="preserve">spécialisé </w:t>
                        </w:r>
                        <w:r>
                          <w:rPr>
                            <w:b w:val="0"/>
                            <w:szCs w:val="22"/>
                          </w:rPr>
                          <w:t>concerné</w:t>
                        </w:r>
                      </w:p>
                    </w:tc>
                    <w:tc>
                      <w:tcPr>
                        <w:tcW w:w="4840" w:type="dxa"/>
                        <w:gridSpan w:val="2"/>
                      </w:tcPr>
                      <w:p w:rsidR="00F04EEF" w:rsidRDefault="0099351E">
                        <w:pPr>
                          <w:pStyle w:val="Corpsdetexte"/>
                          <w:widowControl/>
                          <w:tabs>
                            <w:tab w:val="left" w:pos="4200"/>
                          </w:tabs>
                          <w:jc w:val="center"/>
                          <w:rPr>
                            <w:szCs w:val="22"/>
                          </w:rPr>
                        </w:pPr>
                        <w:r>
                          <w:rPr>
                            <w:b w:val="0"/>
                            <w:szCs w:val="22"/>
                          </w:rPr>
                          <w:t xml:space="preserve">Etablissement d’enseignement </w:t>
                        </w:r>
                        <w:r>
                          <w:rPr>
                            <w:color w:val="FF0000"/>
                            <w:szCs w:val="22"/>
                          </w:rPr>
                          <w:t xml:space="preserve">ordinaire </w:t>
                        </w:r>
                        <w:r>
                          <w:rPr>
                            <w:b w:val="0"/>
                            <w:szCs w:val="22"/>
                          </w:rPr>
                          <w:t>concerné</w:t>
                        </w:r>
                      </w:p>
                    </w:tc>
                  </w:tr>
                  <w:tr w:rsidR="00F04EEF">
                    <w:tc>
                      <w:tcPr>
                        <w:tcW w:w="2419" w:type="dxa"/>
                      </w:tcPr>
                      <w:p w:rsidR="00F04EEF" w:rsidRDefault="0099351E">
                        <w:pPr>
                          <w:pStyle w:val="Corpsdetexte"/>
                          <w:widowControl/>
                          <w:tabs>
                            <w:tab w:val="left" w:pos="4200"/>
                          </w:tabs>
                          <w:jc w:val="both"/>
                          <w:rPr>
                            <w:szCs w:val="22"/>
                          </w:rPr>
                        </w:pPr>
                        <w:r>
                          <w:rPr>
                            <w:b w:val="0"/>
                            <w:szCs w:val="22"/>
                          </w:rPr>
                          <w:t>Dénomination</w:t>
                        </w:r>
                      </w:p>
                    </w:tc>
                    <w:tc>
                      <w:tcPr>
                        <w:tcW w:w="2420" w:type="dxa"/>
                      </w:tcPr>
                      <w:p w:rsidR="00F04EEF" w:rsidRDefault="00F04EEF">
                        <w:pPr>
                          <w:pStyle w:val="Corpsdetexte"/>
                          <w:widowControl/>
                          <w:tabs>
                            <w:tab w:val="left" w:pos="4200"/>
                          </w:tabs>
                          <w:jc w:val="both"/>
                          <w:rPr>
                            <w:szCs w:val="22"/>
                          </w:rPr>
                        </w:pPr>
                      </w:p>
                      <w:p w:rsidR="00F04EEF" w:rsidRDefault="00F04EEF">
                        <w:pPr>
                          <w:pStyle w:val="Corpsdetexte"/>
                          <w:widowControl/>
                          <w:tabs>
                            <w:tab w:val="left" w:pos="4200"/>
                          </w:tabs>
                          <w:jc w:val="both"/>
                          <w:rPr>
                            <w:szCs w:val="22"/>
                          </w:rPr>
                        </w:pPr>
                      </w:p>
                    </w:tc>
                    <w:tc>
                      <w:tcPr>
                        <w:tcW w:w="2420" w:type="dxa"/>
                      </w:tcPr>
                      <w:p w:rsidR="00F04EEF" w:rsidRDefault="0099351E">
                        <w:pPr>
                          <w:pStyle w:val="Corpsdetexte"/>
                          <w:widowControl/>
                          <w:tabs>
                            <w:tab w:val="left" w:pos="4200"/>
                          </w:tabs>
                          <w:jc w:val="both"/>
                          <w:rPr>
                            <w:szCs w:val="22"/>
                          </w:rPr>
                        </w:pPr>
                        <w:r>
                          <w:rPr>
                            <w:b w:val="0"/>
                            <w:szCs w:val="22"/>
                          </w:rPr>
                          <w:t>Dénomination</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N°FASE </w:t>
                        </w:r>
                      </w:p>
                      <w:p w:rsidR="00F04EEF" w:rsidRDefault="0099351E">
                        <w:pPr>
                          <w:pStyle w:val="Corpsdetexte"/>
                          <w:widowControl/>
                          <w:tabs>
                            <w:tab w:val="left" w:pos="4200"/>
                          </w:tabs>
                          <w:rPr>
                            <w:szCs w:val="22"/>
                          </w:rPr>
                        </w:pPr>
                        <w:r>
                          <w:rPr>
                            <w:b w:val="0"/>
                            <w:szCs w:val="22"/>
                          </w:rPr>
                          <w:t>(bâtiment principal):</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N°FASE </w:t>
                        </w:r>
                      </w:p>
                      <w:p w:rsidR="00F04EEF" w:rsidRDefault="0099351E">
                        <w:pPr>
                          <w:pStyle w:val="Corpsdetexte"/>
                          <w:widowControl/>
                          <w:tabs>
                            <w:tab w:val="left" w:pos="4200"/>
                          </w:tabs>
                          <w:rPr>
                            <w:szCs w:val="22"/>
                          </w:rPr>
                        </w:pPr>
                        <w:r>
                          <w:rPr>
                            <w:b w:val="0"/>
                            <w:szCs w:val="22"/>
                          </w:rPr>
                          <w:t>(bâtiment principal):</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N° FASE (implantation) </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N° FASE (implantation) </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Adresse</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Adresse</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CP</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CP</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LOCALITE</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LOCALITE</w:t>
                        </w:r>
                      </w:p>
                    </w:tc>
                    <w:tc>
                      <w:tcPr>
                        <w:tcW w:w="2420" w:type="dxa"/>
                      </w:tcPr>
                      <w:p w:rsidR="00F04EEF" w:rsidRDefault="00F04EEF">
                        <w:pPr>
                          <w:pStyle w:val="Corpsdetexte"/>
                          <w:widowControl/>
                          <w:tabs>
                            <w:tab w:val="left" w:pos="4200"/>
                          </w:tabs>
                          <w:jc w:val="both"/>
                          <w:rPr>
                            <w:szCs w:val="22"/>
                          </w:rPr>
                        </w:pPr>
                      </w:p>
                    </w:tc>
                  </w:tr>
                  <w:tr w:rsidR="00F04EEF">
                    <w:tc>
                      <w:tcPr>
                        <w:tcW w:w="9679" w:type="dxa"/>
                        <w:gridSpan w:val="4"/>
                      </w:tcPr>
                      <w:p w:rsidR="00F04EEF" w:rsidRDefault="00F04EEF">
                        <w:pPr>
                          <w:tabs>
                            <w:tab w:val="left" w:pos="1134"/>
                          </w:tabs>
                          <w:ind w:right="-264"/>
                          <w:jc w:val="both"/>
                        </w:pPr>
                      </w:p>
                      <w:p w:rsidR="00F04EEF" w:rsidRDefault="0099351E">
                        <w:pPr>
                          <w:tabs>
                            <w:tab w:val="left" w:pos="1134"/>
                          </w:tabs>
                          <w:ind w:right="-264"/>
                          <w:jc w:val="both"/>
                        </w:pPr>
                        <w:r>
                          <w:t>Distance en km entre les 2 établissements :</w:t>
                        </w:r>
                      </w:p>
                    </w:tc>
                  </w:tr>
                </w:tbl>
                <w:p w:rsidR="00F04EEF" w:rsidRDefault="00F04EEF">
                  <w:pPr>
                    <w:pStyle w:val="Corpsdetexte"/>
                    <w:widowControl/>
                    <w:tabs>
                      <w:tab w:val="left" w:pos="4200"/>
                    </w:tabs>
                    <w:jc w:val="both"/>
                    <w:rPr>
                      <w:szCs w:val="22"/>
                    </w:rPr>
                  </w:pPr>
                </w:p>
                <w:p w:rsidR="00F04EEF" w:rsidRDefault="0099351E">
                  <w:pPr>
                    <w:pBdr>
                      <w:top w:val="single" w:sz="4" w:space="1" w:color="auto"/>
                      <w:left w:val="single" w:sz="4" w:space="4" w:color="auto"/>
                      <w:bottom w:val="single" w:sz="4" w:space="1" w:color="auto"/>
                      <w:right w:val="single" w:sz="4" w:space="4" w:color="auto"/>
                    </w:pBdr>
                    <w:tabs>
                      <w:tab w:val="left" w:pos="1134"/>
                    </w:tabs>
                    <w:rPr>
                      <w:b/>
                      <w:u w:val="single"/>
                    </w:rPr>
                  </w:pPr>
                  <w:r>
                    <w:rPr>
                      <w:b/>
                      <w:u w:val="single"/>
                    </w:rPr>
                    <w:t>Déclaration sur l’honneur</w:t>
                  </w:r>
                </w:p>
                <w:p w:rsidR="00F04EEF" w:rsidRDefault="00F04EEF">
                  <w:pPr>
                    <w:pBdr>
                      <w:top w:val="single" w:sz="4" w:space="1" w:color="auto"/>
                      <w:left w:val="single" w:sz="4" w:space="4" w:color="auto"/>
                      <w:bottom w:val="single" w:sz="4" w:space="1" w:color="auto"/>
                      <w:right w:val="single" w:sz="4" w:space="4" w:color="auto"/>
                    </w:pBdr>
                    <w:tabs>
                      <w:tab w:val="left" w:pos="1134"/>
                    </w:tabs>
                  </w:pPr>
                </w:p>
                <w:p w:rsidR="00F04EEF" w:rsidRDefault="0099351E">
                  <w:pPr>
                    <w:pBdr>
                      <w:top w:val="single" w:sz="4" w:space="1" w:color="auto"/>
                      <w:left w:val="single" w:sz="4" w:space="4" w:color="auto"/>
                      <w:bottom w:val="single" w:sz="4" w:space="1" w:color="auto"/>
                      <w:right w:val="single" w:sz="4" w:space="4" w:color="auto"/>
                    </w:pBdr>
                    <w:jc w:val="both"/>
                  </w:pPr>
                  <w:r>
                    <w:t>Par la présente, ..............................................................., directeur(trice) de l’école d’enseignement spécialisé organisé par la Fédération Wallonie Bruxelles ou représentant(e) du pouvoir organisateur dans l’enseignement spécialisé subventionné, atteste que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numPr>
                      <w:ilvl w:val="0"/>
                      <w:numId w:val="259"/>
                    </w:numPr>
                    <w:pBdr>
                      <w:top w:val="single" w:sz="4" w:space="1" w:color="auto"/>
                      <w:left w:val="single" w:sz="4" w:space="4" w:color="auto"/>
                      <w:bottom w:val="single" w:sz="4" w:space="1" w:color="auto"/>
                      <w:right w:val="single" w:sz="4" w:space="4" w:color="auto"/>
                    </w:pBdr>
                    <w:tabs>
                      <w:tab w:val="left" w:pos="567"/>
                    </w:tabs>
                    <w:suppressAutoHyphens/>
                    <w:ind w:left="0" w:firstLine="0"/>
                    <w:jc w:val="both"/>
                    <w:rPr>
                      <w:shd w:val="clear" w:color="auto" w:fill="FFFF00"/>
                      <w:lang w:val="fr-FR" w:eastAsia="fr-FR"/>
                    </w:rPr>
                  </w:pPr>
                  <w:r>
                    <w:rPr>
                      <w:lang w:val="fr-FR" w:eastAsia="fr-FR"/>
                    </w:rPr>
                    <w:t>l’élève sera intégré à partir de la date prévue sur le protocole d’intégration.  Dans le cas contraire, l’information sera transmise à l’Administration.</w:t>
                  </w:r>
                </w:p>
                <w:p w:rsidR="00F04EEF" w:rsidRDefault="0099351E">
                  <w:pPr>
                    <w:numPr>
                      <w:ilvl w:val="0"/>
                      <w:numId w:val="259"/>
                    </w:numPr>
                    <w:pBdr>
                      <w:top w:val="single" w:sz="4" w:space="1" w:color="auto"/>
                      <w:left w:val="single" w:sz="4" w:space="4" w:color="auto"/>
                      <w:bottom w:val="single" w:sz="4" w:space="1" w:color="auto"/>
                      <w:right w:val="single" w:sz="4" w:space="4" w:color="auto"/>
                    </w:pBdr>
                    <w:tabs>
                      <w:tab w:val="left" w:pos="567"/>
                      <w:tab w:val="left" w:pos="709"/>
                    </w:tabs>
                    <w:suppressAutoHyphens/>
                    <w:ind w:left="0" w:firstLine="0"/>
                    <w:jc w:val="both"/>
                    <w:rPr>
                      <w:shd w:val="clear" w:color="auto" w:fill="FFFF00"/>
                      <w:lang w:val="fr-FR" w:eastAsia="fr-FR"/>
                    </w:rPr>
                  </w:pPr>
                  <w:r>
                    <w:t xml:space="preserve">les informations ci-dessus sont complètes et conformes à la réalité. </w:t>
                  </w:r>
                </w:p>
                <w:p w:rsidR="00F04EEF" w:rsidRDefault="00F04EEF">
                  <w:pPr>
                    <w:pBdr>
                      <w:top w:val="single" w:sz="4" w:space="1" w:color="auto"/>
                      <w:left w:val="single" w:sz="4" w:space="4" w:color="auto"/>
                      <w:bottom w:val="single" w:sz="4" w:space="1" w:color="auto"/>
                      <w:right w:val="single" w:sz="4" w:space="4" w:color="auto"/>
                    </w:pBdr>
                    <w:tabs>
                      <w:tab w:val="left" w:pos="567"/>
                      <w:tab w:val="left" w:pos="709"/>
                    </w:tabs>
                    <w:jc w:val="both"/>
                    <w:rPr>
                      <w:shd w:val="clear" w:color="auto" w:fill="FFFF00"/>
                      <w:lang w:val="fr-FR" w:eastAsia="fr-FR"/>
                    </w:rPr>
                  </w:pPr>
                </w:p>
                <w:p w:rsidR="00F04EEF" w:rsidRDefault="0099351E">
                  <w:pPr>
                    <w:pBdr>
                      <w:top w:val="single" w:sz="4" w:space="1" w:color="auto"/>
                      <w:left w:val="single" w:sz="4" w:space="4" w:color="auto"/>
                      <w:bottom w:val="single" w:sz="4" w:space="1" w:color="auto"/>
                      <w:right w:val="single" w:sz="4" w:space="4" w:color="auto"/>
                    </w:pBdr>
                    <w:tabs>
                      <w:tab w:val="left" w:pos="1134"/>
                    </w:tabs>
                    <w:jc w:val="both"/>
                  </w:pPr>
                  <w:r>
                    <w:t>Je déclare sur l’honneur que l’ensemble des partenaires a signé la 3</w:t>
                  </w:r>
                  <w:r>
                    <w:rPr>
                      <w:vertAlign w:val="superscript"/>
                    </w:rPr>
                    <w:t>ème</w:t>
                  </w:r>
                  <w:r>
                    <w:t xml:space="preserve"> page du protocole d’intégration (annexe 2). L’original de ce dernier est conservé dans l’établissement d’enseignement spécialisé à disposition du vérificateur de la population scolaire.</w:t>
                  </w:r>
                </w:p>
                <w:p w:rsidR="00F04EEF" w:rsidRDefault="00F04EEF">
                  <w:pPr>
                    <w:tabs>
                      <w:tab w:val="left" w:pos="1134"/>
                    </w:tabs>
                  </w:pPr>
                </w:p>
                <w:tbl>
                  <w:tblPr>
                    <w:tblpPr w:leftFromText="141" w:rightFromText="141" w:vertAnchor="text" w:horzAnchor="margin" w:tblpX="108" w:tblpY="19"/>
                    <w:tblW w:w="9606" w:type="dxa"/>
                    <w:tblLayout w:type="fixed"/>
                    <w:tblLook w:val="0000" w:firstRow="0" w:lastRow="0" w:firstColumn="0" w:lastColumn="0" w:noHBand="0" w:noVBand="0"/>
                  </w:tblPr>
                  <w:tblGrid>
                    <w:gridCol w:w="1384"/>
                    <w:gridCol w:w="2700"/>
                    <w:gridCol w:w="2828"/>
                    <w:gridCol w:w="2694"/>
                  </w:tblGrid>
                  <w:tr w:rsidR="00F04EEF">
                    <w:tc>
                      <w:tcPr>
                        <w:tcW w:w="1384"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Qualité du signataire</w:t>
                        </w:r>
                      </w:p>
                    </w:tc>
                    <w:tc>
                      <w:tcPr>
                        <w:tcW w:w="2694"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snapToGrid w:val="0"/>
                          <w:jc w:val="center"/>
                        </w:pPr>
                        <w:r>
                          <w:t>Signature</w:t>
                        </w:r>
                      </w:p>
                    </w:tc>
                  </w:tr>
                  <w:tr w:rsidR="00F04EEF">
                    <w:tc>
                      <w:tcPr>
                        <w:tcW w:w="1384"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tc>
                    <w:tc>
                      <w:tcPr>
                        <w:tcW w:w="2700"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tc>
                    <w:tc>
                      <w:tcPr>
                        <w:tcW w:w="2828"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tc>
                    <w:tc>
                      <w:tcPr>
                        <w:tcW w:w="2694"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tc>
                  </w:tr>
                </w:tbl>
                <w:p w:rsidR="00F04EEF" w:rsidRDefault="0099351E">
                  <w:bookmarkStart w:id="3263" w:name="_Annexe_7_:_2"/>
                  <w:bookmarkEnd w:id="3263"/>
                  <w:r>
                    <w:br w:type="page"/>
                  </w:r>
                </w:p>
                <w:p w:rsidR="00F04EEF" w:rsidRDefault="0099351E">
                  <w:r>
                    <w:rPr>
                      <w:b/>
                      <w:u w:val="single"/>
                    </w:rPr>
                    <w:t>Annexe 7</w:t>
                  </w:r>
                  <w:r>
                    <w:rPr>
                      <w:b/>
                    </w:rPr>
                    <w:t> : supprimée</w:t>
                  </w:r>
                </w:p>
                <w:p w:rsidR="00F04EEF" w:rsidRDefault="0099351E">
                  <w:r>
                    <w:br w:type="page"/>
                  </w:r>
                </w:p>
                <w:p w:rsidR="00F04EEF" w:rsidRDefault="0099351E">
                  <w:pPr>
                    <w:jc w:val="both"/>
                  </w:pPr>
                  <w:r>
                    <w:rPr>
                      <w:noProof/>
                      <w:lang w:eastAsia="fr-BE"/>
                    </w:rPr>
                    <mc:AlternateContent>
                      <mc:Choice Requires="wps">
                        <w:drawing>
                          <wp:anchor distT="0" distB="0" distL="114300" distR="114300" simplePos="0" relativeHeight="252423168" behindDoc="0" locked="0" layoutInCell="1" allowOverlap="1">
                            <wp:simplePos x="0" y="0"/>
                            <wp:positionH relativeFrom="column">
                              <wp:posOffset>6244785</wp:posOffset>
                            </wp:positionH>
                            <wp:positionV relativeFrom="paragraph">
                              <wp:posOffset>184834</wp:posOffset>
                            </wp:positionV>
                            <wp:extent cx="0" cy="316523"/>
                            <wp:effectExtent l="0" t="0" r="19050" b="26670"/>
                            <wp:wrapNone/>
                            <wp:docPr id="5561" name="Connecteur droit 5561"/>
                            <wp:cNvGraphicFramePr/>
                            <a:graphic xmlns:a="http://schemas.openxmlformats.org/drawingml/2006/main">
                              <a:graphicData uri="http://schemas.microsoft.com/office/word/2010/wordprocessingShape">
                                <wps:wsp>
                                  <wps:cNvCnPr/>
                                  <wps:spPr>
                                    <a:xfrm>
                                      <a:off x="0" y="0"/>
                                      <a:ext cx="0" cy="31652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D64B08" id="Connecteur droit 5561" o:spid="_x0000_s1026" style="position:absolute;z-index:252423168;visibility:visible;mso-wrap-style:square;mso-wrap-distance-left:9pt;mso-wrap-distance-top:0;mso-wrap-distance-right:9pt;mso-wrap-distance-bottom:0;mso-position-horizontal:absolute;mso-position-horizontal-relative:text;mso-position-vertical:absolute;mso-position-vertical-relative:text" from="491.7pt,14.55pt" to="491.7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" strokecolor="black [3213]"/>
                        </w:pict>
                      </mc:Fallback>
                    </mc:AlternateContent>
                  </w:r>
                </w:p>
                <w:p w:rsidR="00F04EEF" w:rsidRDefault="0099351E">
                  <w:pPr>
                    <w:pStyle w:val="Titre4"/>
                    <w:ind w:left="0"/>
                  </w:pPr>
                  <w:bookmarkStart w:id="3264" w:name="_Annexe_8_:"/>
                  <w:bookmarkStart w:id="3265" w:name="_Toc453314463"/>
                  <w:bookmarkStart w:id="3266" w:name="_Toc454980498"/>
                  <w:bookmarkEnd w:id="3264"/>
                  <w:r>
                    <w:t>Annexe 8 : Demande d’accompagnement par un établissement</w:t>
                  </w:r>
                  <w:r>
                    <w:rPr>
                      <w:rStyle w:val="Appelnotedebasdep"/>
                      <w:b w:val="0"/>
                      <w:u w:val="none"/>
                    </w:rPr>
                    <w:footnoteReference w:id="153"/>
                  </w:r>
                  <w:r>
                    <w:t xml:space="preserve"> qui n’organise pas le type d’enseignement mentionné sur l’attestation</w:t>
                  </w:r>
                  <w:bookmarkEnd w:id="3265"/>
                  <w:bookmarkEnd w:id="3266"/>
                  <w:r>
                    <w:t xml:space="preserve"> (uniquement pour les intégrations permanentes totales).</w:t>
                  </w:r>
                </w:p>
                <w:p w:rsidR="00F04EEF" w:rsidRDefault="00F04EEF">
                  <w:pPr>
                    <w:pStyle w:val="Corpsdetexte"/>
                    <w:jc w:val="both"/>
                    <w:rPr>
                      <w:b w:val="0"/>
                      <w:szCs w:val="22"/>
                    </w:rPr>
                  </w:pPr>
                </w:p>
                <w:p w:rsidR="00F04EEF" w:rsidRDefault="0099351E">
                  <w:pPr>
                    <w:pBdr>
                      <w:top w:val="single" w:sz="18" w:space="1" w:color="FF0000"/>
                      <w:left w:val="single" w:sz="18" w:space="4" w:color="FF0000"/>
                      <w:bottom w:val="single" w:sz="18" w:space="1" w:color="FF0000"/>
                      <w:right w:val="single" w:sz="18" w:space="4" w:color="FF0000"/>
                    </w:pBdr>
                    <w:jc w:val="both"/>
                    <w:rPr>
                      <w:lang w:eastAsia="fr-FR"/>
                    </w:rPr>
                  </w:pPr>
                  <w:r>
                    <w:t xml:space="preserve">Ce document est à renvoyer sur l’adresse mail générique </w:t>
                  </w:r>
                  <w:r>
                    <w:rPr>
                      <w:color w:val="0000FF"/>
                    </w:rPr>
                    <w:t xml:space="preserve">integration_specialise@cfwb.be </w:t>
                  </w:r>
                  <w:r>
                    <w:rPr>
                      <w:color w:val="1F497D"/>
                    </w:rPr>
                    <w:t xml:space="preserve">et ce,  </w:t>
                  </w:r>
                  <w:r>
                    <w:rPr>
                      <w:color w:val="000000"/>
                      <w:lang w:eastAsia="fr-FR"/>
                    </w:rPr>
                    <w:t xml:space="preserve">pour le 15 mai (pour les projets d’intégration qui débuteraient </w:t>
                  </w:r>
                  <w:r>
                    <w:rPr>
                      <w:lang w:eastAsia="fr-FR"/>
                    </w:rPr>
                    <w:t xml:space="preserve">le 1er septembre de l’année scolaire suivante). </w:t>
                  </w:r>
                </w:p>
                <w:p w:rsidR="00F04EEF" w:rsidRDefault="0099351E">
                  <w:pPr>
                    <w:pBdr>
                      <w:top w:val="single" w:sz="18" w:space="1" w:color="FF0000"/>
                      <w:left w:val="single" w:sz="18" w:space="4" w:color="FF0000"/>
                      <w:bottom w:val="single" w:sz="18" w:space="1" w:color="FF0000"/>
                      <w:right w:val="single" w:sz="18" w:space="4" w:color="FF0000"/>
                    </w:pBdr>
                    <w:jc w:val="both"/>
                    <w:rPr>
                      <w:color w:val="1F497D"/>
                    </w:rPr>
                  </w:pPr>
                  <w:r>
                    <w:rPr>
                      <w:color w:val="000000"/>
                      <w:lang w:eastAsia="fr-FR"/>
                    </w:rPr>
                    <w:t>Il convient d’attendre l’accord de la Ministre afin de pouvoir débuter une intégration.</w:t>
                  </w:r>
                </w:p>
                <w:p w:rsidR="00F04EEF" w:rsidRDefault="00F04EEF">
                  <w:pPr>
                    <w:pStyle w:val="Paragraphedeliste"/>
                    <w:jc w:val="both"/>
                    <w:rPr>
                      <w:rFonts w:asciiTheme="majorHAnsi" w:hAnsiTheme="majorHAnsi"/>
                      <w:color w:val="000000"/>
                      <w:sz w:val="22"/>
                      <w:szCs w:val="22"/>
                      <w:lang w:eastAsia="fr-FR"/>
                    </w:rPr>
                  </w:pPr>
                </w:p>
                <w:p w:rsidR="00F04EEF" w:rsidRDefault="00F04EEF">
                  <w:pPr>
                    <w:pStyle w:val="Corpsdetexte"/>
                    <w:jc w:val="both"/>
                    <w:rPr>
                      <w:b w:val="0"/>
                      <w:szCs w:val="22"/>
                    </w:rPr>
                  </w:pPr>
                </w:p>
                <w:p w:rsidR="00F04EEF" w:rsidRDefault="0099351E">
                  <w:pPr>
                    <w:jc w:val="both"/>
                  </w:pPr>
                  <w:r>
                    <w:t>Dérogation pour une demande d’intégration permanente totale d’un élève de l’enseignement spécialisé dans une école organisant un autre type d’enseignement spécialisé que celui mentionné sur l’attestation d’orientation de l’élève. (Articles 133§4 et §5 du Décret du 3 mars 2004 organisant l'Enseignement spécialisé).</w:t>
                  </w:r>
                </w:p>
                <w:p w:rsidR="00F04EEF" w:rsidRDefault="00F04EEF">
                  <w:pPr>
                    <w:pStyle w:val="Corpsdetexte"/>
                    <w:jc w:val="both"/>
                    <w:rPr>
                      <w:b w:val="0"/>
                      <w:szCs w:val="22"/>
                    </w:rPr>
                  </w:pPr>
                </w:p>
                <w:p w:rsidR="00F04EEF" w:rsidRDefault="0099351E">
                  <w:pPr>
                    <w:tabs>
                      <w:tab w:val="left" w:pos="1134"/>
                    </w:tabs>
                    <w:jc w:val="both"/>
                    <w:rPr>
                      <w:b/>
                    </w:rPr>
                  </w:pPr>
                  <w:r>
                    <w:rPr>
                      <w:b/>
                    </w:rPr>
                    <w:t xml:space="preserve">Année scolaire : </w:t>
                  </w:r>
                </w:p>
                <w:p w:rsidR="00F04EEF" w:rsidRDefault="00F04EEF">
                  <w:pPr>
                    <w:tabs>
                      <w:tab w:val="left" w:pos="1134"/>
                    </w:tabs>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rPr>
                      <w:u w:val="single"/>
                    </w:rPr>
                  </w:pPr>
                  <w:r>
                    <w:rPr>
                      <w:u w:val="single"/>
                    </w:rPr>
                    <w:t>Élève concerné(e) :</w:t>
                  </w:r>
                </w:p>
                <w:p w:rsidR="00F04EEF" w:rsidRDefault="00F04EEF">
                  <w:pPr>
                    <w:pBdr>
                      <w:top w:val="single" w:sz="4" w:space="1" w:color="auto"/>
                      <w:left w:val="single" w:sz="4" w:space="4" w:color="auto"/>
                      <w:bottom w:val="single" w:sz="4" w:space="1" w:color="auto"/>
                      <w:right w:val="single" w:sz="4" w:space="4" w:color="auto"/>
                    </w:pBdr>
                    <w:tabs>
                      <w:tab w:val="left" w:pos="1134"/>
                    </w:tabs>
                    <w:ind w:right="27"/>
                    <w:jc w:val="both"/>
                    <w:rPr>
                      <w:u w:val="single"/>
                    </w:rPr>
                  </w:pP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t>NOM:</w:t>
                  </w:r>
                  <w:r>
                    <w:tab/>
                  </w:r>
                  <w:r>
                    <w:tab/>
                  </w:r>
                  <w:r>
                    <w:tab/>
                  </w:r>
                  <w:r>
                    <w:tab/>
                  </w:r>
                  <w:r>
                    <w:tab/>
                  </w:r>
                  <w:r>
                    <w:tab/>
                  </w:r>
                  <w:r>
                    <w:tab/>
                    <w:t>Prénom :</w:t>
                  </w: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t>Date de naissance :</w:t>
                  </w:r>
                  <w:r>
                    <w:tab/>
                  </w:r>
                  <w:r>
                    <w:tab/>
                  </w:r>
                  <w:r>
                    <w:tab/>
                  </w:r>
                  <w:r>
                    <w:tab/>
                  </w:r>
                  <w:r>
                    <w:tab/>
                    <w:t>Sexe :</w:t>
                  </w: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t xml:space="preserve">Niveau : </w:t>
                  </w:r>
                  <w:r>
                    <w:sym w:font="Wingdings" w:char="F0A8"/>
                  </w:r>
                  <w:r>
                    <w:t xml:space="preserve"> maternel</w:t>
                  </w:r>
                  <w:r>
                    <w:tab/>
                  </w:r>
                  <w:r>
                    <w:tab/>
                  </w:r>
                  <w:r>
                    <w:sym w:font="Wingdings" w:char="F0A8"/>
                  </w:r>
                  <w:r>
                    <w:t>primaire</w:t>
                  </w:r>
                  <w:r>
                    <w:tab/>
                  </w:r>
                  <w:r>
                    <w:tab/>
                  </w:r>
                  <w:r>
                    <w:sym w:font="Wingdings" w:char="F0A8"/>
                  </w:r>
                  <w:r>
                    <w:t xml:space="preserve"> secondaire</w:t>
                  </w:r>
                </w:p>
                <w:p w:rsidR="00F04EEF" w:rsidRDefault="00F04EEF">
                  <w:pPr>
                    <w:pBdr>
                      <w:top w:val="single" w:sz="4" w:space="1" w:color="auto"/>
                      <w:left w:val="single" w:sz="4" w:space="4" w:color="auto"/>
                      <w:bottom w:val="single" w:sz="4" w:space="1" w:color="auto"/>
                      <w:right w:val="single" w:sz="4" w:space="4" w:color="auto"/>
                    </w:pBdr>
                    <w:tabs>
                      <w:tab w:val="left" w:pos="1134"/>
                    </w:tabs>
                    <w:ind w:right="27"/>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t>Type d’enseignement repris sur l’attestation de l’élève :</w:t>
                  </w:r>
                </w:p>
                <w:p w:rsidR="00F04EEF" w:rsidRDefault="00F04EEF">
                  <w:pPr>
                    <w:pBdr>
                      <w:top w:val="single" w:sz="4" w:space="1" w:color="auto"/>
                      <w:left w:val="single" w:sz="4" w:space="4" w:color="auto"/>
                      <w:bottom w:val="single" w:sz="4" w:space="1" w:color="auto"/>
                      <w:right w:val="single" w:sz="4" w:space="4" w:color="auto"/>
                    </w:pBdr>
                    <w:tabs>
                      <w:tab w:val="left" w:pos="1134"/>
                    </w:tabs>
                    <w:ind w:right="27"/>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t xml:space="preserve">Adresse </w:t>
                  </w:r>
                  <w:r>
                    <w:tab/>
                  </w:r>
                  <w:r>
                    <w:tab/>
                  </w:r>
                  <w:r>
                    <w:tab/>
                  </w:r>
                  <w:r>
                    <w:tab/>
                  </w:r>
                  <w:r>
                    <w:tab/>
                  </w:r>
                  <w:r>
                    <w:tab/>
                  </w:r>
                  <w:r>
                    <w:tab/>
                    <w:t>CP :</w:t>
                  </w:r>
                  <w:r>
                    <w:tab/>
                  </w:r>
                  <w:r>
                    <w:tab/>
                    <w:t>LOCALITE :</w:t>
                  </w:r>
                </w:p>
                <w:p w:rsidR="00F04EEF" w:rsidRDefault="00F04EEF">
                  <w:pPr>
                    <w:pBdr>
                      <w:top w:val="single" w:sz="4" w:space="1" w:color="auto"/>
                      <w:left w:val="single" w:sz="4" w:space="4" w:color="auto"/>
                      <w:bottom w:val="single" w:sz="4" w:space="1" w:color="auto"/>
                      <w:right w:val="single" w:sz="4" w:space="4" w:color="auto"/>
                    </w:pBdr>
                    <w:tabs>
                      <w:tab w:val="left" w:pos="1134"/>
                    </w:tabs>
                    <w:ind w:right="27"/>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rPr>
                      <w:noProof/>
                      <w:lang w:eastAsia="fr-BE"/>
                    </w:rPr>
                    <mc:AlternateContent>
                      <mc:Choice Requires="wps">
                        <w:drawing>
                          <wp:anchor distT="0" distB="0" distL="114300" distR="114300" simplePos="0" relativeHeight="252383232" behindDoc="0" locked="0" layoutInCell="1" allowOverlap="1">
                            <wp:simplePos x="0" y="0"/>
                            <wp:positionH relativeFrom="column">
                              <wp:posOffset>6243320</wp:posOffset>
                            </wp:positionH>
                            <wp:positionV relativeFrom="paragraph">
                              <wp:posOffset>118745</wp:posOffset>
                            </wp:positionV>
                            <wp:extent cx="0" cy="238125"/>
                            <wp:effectExtent l="0" t="0" r="19050" b="28575"/>
                            <wp:wrapNone/>
                            <wp:docPr id="601" name="Connecteur droit 601"/>
                            <wp:cNvGraphicFramePr/>
                            <a:graphic xmlns:a="http://schemas.openxmlformats.org/drawingml/2006/main">
                              <a:graphicData uri="http://schemas.microsoft.com/office/word/2010/wordprocessingShape">
                                <wps:wsp>
                                  <wps:cNvCnPr/>
                                  <wps:spPr>
                                    <a:xfrm>
                                      <a:off x="0" y="0"/>
                                      <a:ext cx="0" cy="2381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EA88705" id="Connecteur droit 601" o:spid="_x0000_s1026" style="position:absolute;z-index:252383232;visibility:visible;mso-wrap-style:square;mso-wrap-distance-left:9pt;mso-wrap-distance-top:0;mso-wrap-distance-right:9pt;mso-wrap-distance-bottom:0;mso-position-horizontal:absolute;mso-position-horizontal-relative:text;mso-position-vertical:absolute;mso-position-vertical-relative:text" from="491.6pt,9.35pt" to="491.6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" strokecolor="black [3213]"/>
                        </w:pict>
                      </mc:Fallback>
                    </mc:AlternateContent>
                  </w:r>
                  <w:r>
                    <w:t>Type d’intégration :</w:t>
                  </w: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Intégration Permanente Totale</w:t>
                  </w: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rPr>
                      <w:i/>
                    </w:rPr>
                  </w:pPr>
                  <w:r>
                    <w:rPr>
                      <w:i/>
                    </w:rPr>
                    <w:t>Seul ce type d’intégrations permet de bénéficier de cette dérogation</w:t>
                  </w:r>
                </w:p>
                <w:p w:rsidR="00F04EEF" w:rsidRDefault="00F04EEF">
                  <w:pPr>
                    <w:pBdr>
                      <w:top w:val="single" w:sz="4" w:space="1" w:color="auto"/>
                      <w:left w:val="single" w:sz="4" w:space="4" w:color="auto"/>
                      <w:bottom w:val="single" w:sz="4" w:space="1" w:color="auto"/>
                      <w:right w:val="single" w:sz="4" w:space="4" w:color="auto"/>
                    </w:pBdr>
                    <w:tabs>
                      <w:tab w:val="left" w:pos="1134"/>
                    </w:tabs>
                    <w:ind w:right="27"/>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t>Raison de la demande de dérogation :</w:t>
                  </w: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Pas d’école à distance raisonnable du domicile de l’élève (4 kilomètres).</w:t>
                  </w: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Ecoles (dénomination et n° FASE) qui ont refusé de participer à ce projet d’intégration :</w:t>
                  </w:r>
                </w:p>
                <w:p w:rsidR="00F04EEF" w:rsidRDefault="00F04EEF">
                  <w:pPr>
                    <w:pBdr>
                      <w:top w:val="single" w:sz="4" w:space="1" w:color="auto"/>
                      <w:left w:val="single" w:sz="4" w:space="4" w:color="auto"/>
                      <w:bottom w:val="single" w:sz="4" w:space="1" w:color="auto"/>
                      <w:right w:val="single" w:sz="4" w:space="4" w:color="auto"/>
                    </w:pBdr>
                    <w:tabs>
                      <w:tab w:val="left" w:pos="1134"/>
                    </w:tabs>
                    <w:ind w:right="27"/>
                    <w:jc w:val="both"/>
                  </w:pPr>
                </w:p>
                <w:p w:rsidR="00F04EEF" w:rsidRDefault="00F04EEF">
                  <w:pPr>
                    <w:pBdr>
                      <w:top w:val="single" w:sz="4" w:space="1" w:color="auto"/>
                      <w:left w:val="single" w:sz="4" w:space="4" w:color="auto"/>
                      <w:bottom w:val="single" w:sz="4" w:space="1" w:color="auto"/>
                      <w:right w:val="single" w:sz="4" w:space="4" w:color="auto"/>
                    </w:pBdr>
                    <w:tabs>
                      <w:tab w:val="left" w:pos="1134"/>
                    </w:tabs>
                    <w:ind w:right="27"/>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ind w:right="27"/>
                    <w:jc w:val="both"/>
                  </w:pPr>
                  <w:r>
                    <w:t>L’élève est-il comptabilisable pour l’accompagnement paramédical : oui - non</w:t>
                  </w:r>
                </w:p>
                <w:p w:rsidR="00F04EEF" w:rsidRDefault="00F04EEF">
                  <w:pPr>
                    <w:pStyle w:val="Corpsdetexte"/>
                    <w:jc w:val="both"/>
                    <w:rPr>
                      <w:b w:val="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2"/>
                    <w:gridCol w:w="2300"/>
                    <w:gridCol w:w="2372"/>
                    <w:gridCol w:w="2300"/>
                  </w:tblGrid>
                  <w:tr w:rsidR="00F04EEF">
                    <w:tc>
                      <w:tcPr>
                        <w:tcW w:w="4839" w:type="dxa"/>
                        <w:gridSpan w:val="2"/>
                      </w:tcPr>
                      <w:p w:rsidR="00F04EEF" w:rsidRDefault="0099351E">
                        <w:pPr>
                          <w:pStyle w:val="Corpsdetexte"/>
                          <w:widowControl/>
                          <w:tabs>
                            <w:tab w:val="left" w:pos="4200"/>
                          </w:tabs>
                          <w:jc w:val="center"/>
                          <w:rPr>
                            <w:szCs w:val="22"/>
                          </w:rPr>
                        </w:pPr>
                        <w:r>
                          <w:rPr>
                            <w:b w:val="0"/>
                            <w:szCs w:val="22"/>
                          </w:rPr>
                          <w:t xml:space="preserve">Etablissement d’enseignement </w:t>
                        </w:r>
                        <w:r>
                          <w:rPr>
                            <w:color w:val="FF0000"/>
                            <w:szCs w:val="22"/>
                          </w:rPr>
                          <w:t xml:space="preserve">spécialisé </w:t>
                        </w:r>
                        <w:r>
                          <w:rPr>
                            <w:b w:val="0"/>
                            <w:szCs w:val="22"/>
                          </w:rPr>
                          <w:t>concerné</w:t>
                        </w:r>
                      </w:p>
                    </w:tc>
                    <w:tc>
                      <w:tcPr>
                        <w:tcW w:w="4840" w:type="dxa"/>
                        <w:gridSpan w:val="2"/>
                      </w:tcPr>
                      <w:p w:rsidR="00F04EEF" w:rsidRDefault="0099351E">
                        <w:pPr>
                          <w:pStyle w:val="Corpsdetexte"/>
                          <w:widowControl/>
                          <w:tabs>
                            <w:tab w:val="left" w:pos="4200"/>
                          </w:tabs>
                          <w:jc w:val="center"/>
                          <w:rPr>
                            <w:szCs w:val="22"/>
                          </w:rPr>
                        </w:pPr>
                        <w:r>
                          <w:rPr>
                            <w:b w:val="0"/>
                            <w:szCs w:val="22"/>
                          </w:rPr>
                          <w:t xml:space="preserve">Etablissement d’enseignement </w:t>
                        </w:r>
                        <w:r>
                          <w:rPr>
                            <w:color w:val="FF0000"/>
                            <w:szCs w:val="22"/>
                          </w:rPr>
                          <w:t xml:space="preserve">ordinaire </w:t>
                        </w:r>
                        <w:r>
                          <w:rPr>
                            <w:b w:val="0"/>
                            <w:szCs w:val="22"/>
                          </w:rPr>
                          <w:t>concerné</w:t>
                        </w:r>
                      </w:p>
                    </w:tc>
                  </w:tr>
                  <w:tr w:rsidR="00F04EEF">
                    <w:tc>
                      <w:tcPr>
                        <w:tcW w:w="2419" w:type="dxa"/>
                      </w:tcPr>
                      <w:p w:rsidR="00F04EEF" w:rsidRDefault="0099351E">
                        <w:pPr>
                          <w:pStyle w:val="Corpsdetexte"/>
                          <w:widowControl/>
                          <w:tabs>
                            <w:tab w:val="left" w:pos="4200"/>
                          </w:tabs>
                          <w:jc w:val="both"/>
                          <w:rPr>
                            <w:szCs w:val="22"/>
                          </w:rPr>
                        </w:pPr>
                        <w:r>
                          <w:rPr>
                            <w:b w:val="0"/>
                            <w:szCs w:val="22"/>
                          </w:rPr>
                          <w:t>Dénomination</w:t>
                        </w:r>
                      </w:p>
                    </w:tc>
                    <w:tc>
                      <w:tcPr>
                        <w:tcW w:w="2420" w:type="dxa"/>
                      </w:tcPr>
                      <w:p w:rsidR="00F04EEF" w:rsidRDefault="00F04EEF">
                        <w:pPr>
                          <w:pStyle w:val="Corpsdetexte"/>
                          <w:widowControl/>
                          <w:tabs>
                            <w:tab w:val="left" w:pos="4200"/>
                          </w:tabs>
                          <w:jc w:val="both"/>
                          <w:rPr>
                            <w:szCs w:val="22"/>
                          </w:rPr>
                        </w:pPr>
                      </w:p>
                      <w:p w:rsidR="00F04EEF" w:rsidRDefault="00F04EEF">
                        <w:pPr>
                          <w:pStyle w:val="Corpsdetexte"/>
                          <w:widowControl/>
                          <w:tabs>
                            <w:tab w:val="left" w:pos="4200"/>
                          </w:tabs>
                          <w:jc w:val="both"/>
                          <w:rPr>
                            <w:szCs w:val="22"/>
                          </w:rPr>
                        </w:pPr>
                      </w:p>
                      <w:p w:rsidR="00F04EEF" w:rsidRDefault="00F04EEF">
                        <w:pPr>
                          <w:pStyle w:val="Corpsdetexte"/>
                          <w:widowControl/>
                          <w:tabs>
                            <w:tab w:val="left" w:pos="4200"/>
                          </w:tabs>
                          <w:jc w:val="both"/>
                          <w:rPr>
                            <w:szCs w:val="22"/>
                          </w:rPr>
                        </w:pPr>
                      </w:p>
                    </w:tc>
                    <w:tc>
                      <w:tcPr>
                        <w:tcW w:w="2420" w:type="dxa"/>
                      </w:tcPr>
                      <w:p w:rsidR="00F04EEF" w:rsidRDefault="0099351E">
                        <w:pPr>
                          <w:pStyle w:val="Corpsdetexte"/>
                          <w:widowControl/>
                          <w:tabs>
                            <w:tab w:val="left" w:pos="4200"/>
                          </w:tabs>
                          <w:jc w:val="both"/>
                          <w:rPr>
                            <w:szCs w:val="22"/>
                          </w:rPr>
                        </w:pPr>
                        <w:r>
                          <w:rPr>
                            <w:b w:val="0"/>
                            <w:szCs w:val="22"/>
                          </w:rPr>
                          <w:t>Dénomination</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N°FASE </w:t>
                        </w:r>
                      </w:p>
                      <w:p w:rsidR="00F04EEF" w:rsidRDefault="0099351E">
                        <w:pPr>
                          <w:pStyle w:val="Corpsdetexte"/>
                          <w:widowControl/>
                          <w:tabs>
                            <w:tab w:val="left" w:pos="4200"/>
                          </w:tabs>
                          <w:rPr>
                            <w:szCs w:val="22"/>
                          </w:rPr>
                        </w:pPr>
                        <w:r>
                          <w:rPr>
                            <w:b w:val="0"/>
                            <w:szCs w:val="22"/>
                          </w:rPr>
                          <w:t>(bâtiment principal):</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N°FASE </w:t>
                        </w:r>
                      </w:p>
                      <w:p w:rsidR="00F04EEF" w:rsidRDefault="0099351E">
                        <w:pPr>
                          <w:pStyle w:val="Corpsdetexte"/>
                          <w:widowControl/>
                          <w:tabs>
                            <w:tab w:val="left" w:pos="4200"/>
                          </w:tabs>
                          <w:rPr>
                            <w:szCs w:val="22"/>
                          </w:rPr>
                        </w:pPr>
                        <w:r>
                          <w:rPr>
                            <w:b w:val="0"/>
                            <w:szCs w:val="22"/>
                          </w:rPr>
                          <w:t>(bâtiment principal):</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N° FASE (implantation) </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N° FASE (implantation) </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Adresse</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Adresse</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CP</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CP</w:t>
                        </w:r>
                      </w:p>
                    </w:tc>
                    <w:tc>
                      <w:tcPr>
                        <w:tcW w:w="2420" w:type="dxa"/>
                      </w:tcPr>
                      <w:p w:rsidR="00F04EEF" w:rsidRDefault="00F04EEF">
                        <w:pPr>
                          <w:pStyle w:val="Corpsdetexte"/>
                          <w:widowControl/>
                          <w:tabs>
                            <w:tab w:val="left" w:pos="4200"/>
                          </w:tabs>
                          <w:jc w:val="both"/>
                          <w:rPr>
                            <w:szCs w:val="22"/>
                          </w:rPr>
                        </w:pPr>
                      </w:p>
                    </w:tc>
                  </w:tr>
                  <w:tr w:rsidR="00F04EEF">
                    <w:tc>
                      <w:tcPr>
                        <w:tcW w:w="2419" w:type="dxa"/>
                      </w:tcPr>
                      <w:p w:rsidR="00F04EEF" w:rsidRDefault="0099351E">
                        <w:pPr>
                          <w:pStyle w:val="Corpsdetexte"/>
                          <w:widowControl/>
                          <w:tabs>
                            <w:tab w:val="left" w:pos="4200"/>
                          </w:tabs>
                          <w:rPr>
                            <w:b w:val="0"/>
                            <w:szCs w:val="22"/>
                          </w:rPr>
                        </w:pPr>
                        <w:r>
                          <w:rPr>
                            <w:b w:val="0"/>
                            <w:szCs w:val="22"/>
                          </w:rPr>
                          <w:t>LOCALITE</w:t>
                        </w:r>
                      </w:p>
                    </w:tc>
                    <w:tc>
                      <w:tcPr>
                        <w:tcW w:w="2420" w:type="dxa"/>
                      </w:tcPr>
                      <w:p w:rsidR="00F04EEF" w:rsidRDefault="00F04EEF">
                        <w:pPr>
                          <w:pStyle w:val="Corpsdetexte"/>
                          <w:widowControl/>
                          <w:tabs>
                            <w:tab w:val="left" w:pos="4200"/>
                          </w:tabs>
                          <w:rPr>
                            <w:szCs w:val="22"/>
                          </w:rPr>
                        </w:pPr>
                      </w:p>
                    </w:tc>
                    <w:tc>
                      <w:tcPr>
                        <w:tcW w:w="2420" w:type="dxa"/>
                      </w:tcPr>
                      <w:p w:rsidR="00F04EEF" w:rsidRDefault="0099351E">
                        <w:pPr>
                          <w:pStyle w:val="Corpsdetexte"/>
                          <w:widowControl/>
                          <w:tabs>
                            <w:tab w:val="left" w:pos="4200"/>
                          </w:tabs>
                          <w:rPr>
                            <w:b w:val="0"/>
                            <w:szCs w:val="22"/>
                          </w:rPr>
                        </w:pPr>
                        <w:r>
                          <w:rPr>
                            <w:b w:val="0"/>
                            <w:szCs w:val="22"/>
                          </w:rPr>
                          <w:t>LOCALITE</w:t>
                        </w:r>
                      </w:p>
                    </w:tc>
                    <w:tc>
                      <w:tcPr>
                        <w:tcW w:w="2420" w:type="dxa"/>
                      </w:tcPr>
                      <w:p w:rsidR="00F04EEF" w:rsidRDefault="00F04EEF">
                        <w:pPr>
                          <w:pStyle w:val="Corpsdetexte"/>
                          <w:widowControl/>
                          <w:tabs>
                            <w:tab w:val="left" w:pos="4200"/>
                          </w:tabs>
                          <w:jc w:val="both"/>
                          <w:rPr>
                            <w:szCs w:val="22"/>
                          </w:rPr>
                        </w:pPr>
                      </w:p>
                    </w:tc>
                  </w:tr>
                </w:tbl>
                <w:p w:rsidR="00F04EEF" w:rsidRDefault="00F04EEF">
                  <w:pPr>
                    <w:ind w:right="-121"/>
                    <w:jc w:val="both"/>
                  </w:pPr>
                </w:p>
                <w:p w:rsidR="00F04EEF" w:rsidRDefault="0099351E">
                  <w:pPr>
                    <w:tabs>
                      <w:tab w:val="left" w:pos="1134"/>
                    </w:tabs>
                    <w:jc w:val="both"/>
                  </w:pPr>
                  <w:r>
                    <w:t xml:space="preserve">Par la présente, la direction de l’école d’enseignement spécialisé organisé par la Fédération Wallonie-Bruxelles ou le pouvoir organisateur dans l’enseignement spécialisé subventionné, atteste que les informations ci-dessus sont complètes et conformes à la réalité. La direction s’engage à informer l’Administration de toute modification. </w:t>
                  </w:r>
                </w:p>
                <w:p w:rsidR="00F04EEF" w:rsidRDefault="00F04EEF">
                  <w:pPr>
                    <w:tabs>
                      <w:tab w:val="left" w:pos="1134"/>
                    </w:tabs>
                    <w:jc w:val="both"/>
                  </w:pPr>
                </w:p>
                <w:p w:rsidR="00F04EEF" w:rsidRDefault="0099351E">
                  <w:pPr>
                    <w:pBdr>
                      <w:top w:val="single" w:sz="4" w:space="1" w:color="auto"/>
                      <w:left w:val="single" w:sz="4" w:space="4" w:color="auto"/>
                      <w:bottom w:val="single" w:sz="4" w:space="1" w:color="auto"/>
                      <w:right w:val="single" w:sz="4" w:space="4" w:color="auto"/>
                    </w:pBdr>
                    <w:tabs>
                      <w:tab w:val="left" w:pos="1134"/>
                    </w:tabs>
                    <w:jc w:val="both"/>
                    <w:rPr>
                      <w:color w:val="FF0000"/>
                      <w:u w:val="single"/>
                    </w:rPr>
                  </w:pPr>
                  <w:r>
                    <w:rPr>
                      <w:u w:val="single"/>
                    </w:rPr>
                    <w:t>Dispositions pratiques et pédagogiques prises en vue d’accueillir l’élève :</w:t>
                  </w:r>
                </w:p>
                <w:p w:rsidR="00F04EEF" w:rsidRDefault="00F04EEF">
                  <w:pPr>
                    <w:pBdr>
                      <w:top w:val="single" w:sz="4" w:space="1" w:color="auto"/>
                      <w:left w:val="single" w:sz="4" w:space="4" w:color="auto"/>
                      <w:bottom w:val="single" w:sz="4" w:space="1" w:color="auto"/>
                      <w:right w:val="single" w:sz="4" w:space="4" w:color="auto"/>
                    </w:pBdr>
                    <w:tabs>
                      <w:tab w:val="left" w:pos="1134"/>
                    </w:tabs>
                    <w:jc w:val="both"/>
                    <w:rPr>
                      <w:color w:val="FF0000"/>
                    </w:rPr>
                  </w:pPr>
                </w:p>
                <w:p w:rsidR="00F04EEF" w:rsidRDefault="00F04EEF">
                  <w:pPr>
                    <w:tabs>
                      <w:tab w:val="left" w:pos="1134"/>
                    </w:tabs>
                    <w:jc w:val="both"/>
                  </w:pPr>
                </w:p>
                <w:tbl>
                  <w:tblPr>
                    <w:tblW w:w="0" w:type="auto"/>
                    <w:tblInd w:w="-27" w:type="dxa"/>
                    <w:tblLayout w:type="fixed"/>
                    <w:tblLook w:val="0000" w:firstRow="0" w:lastRow="0" w:firstColumn="0" w:lastColumn="0" w:noHBand="0" w:noVBand="0"/>
                  </w:tblPr>
                  <w:tblGrid>
                    <w:gridCol w:w="1368"/>
                    <w:gridCol w:w="2700"/>
                    <w:gridCol w:w="2924"/>
                    <w:gridCol w:w="3043"/>
                  </w:tblGrid>
                  <w:tr w:rsidR="00F04EEF">
                    <w:tc>
                      <w:tcPr>
                        <w:tcW w:w="1368"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Nom du signataire</w:t>
                        </w:r>
                      </w:p>
                    </w:tc>
                    <w:tc>
                      <w:tcPr>
                        <w:tcW w:w="2924" w:type="dxa"/>
                        <w:tcBorders>
                          <w:top w:val="single" w:sz="4" w:space="0" w:color="000000"/>
                          <w:left w:val="single" w:sz="4" w:space="0" w:color="000000"/>
                          <w:bottom w:val="single" w:sz="4" w:space="0" w:color="000000"/>
                        </w:tcBorders>
                      </w:tcPr>
                      <w:p w:rsidR="00F04EEF" w:rsidRDefault="0099351E">
                        <w:pPr>
                          <w:tabs>
                            <w:tab w:val="left" w:pos="1134"/>
                          </w:tabs>
                          <w:snapToGrid w:val="0"/>
                          <w:jc w:val="center"/>
                        </w:pPr>
                        <w:r>
                          <w:t>Qualité du signataire</w:t>
                        </w:r>
                      </w:p>
                      <w:p w:rsidR="00F04EEF" w:rsidRDefault="00F04EEF">
                        <w:pPr>
                          <w:tabs>
                            <w:tab w:val="left" w:pos="1134"/>
                          </w:tabs>
                          <w:jc w:val="center"/>
                        </w:pPr>
                      </w:p>
                    </w:tc>
                    <w:tc>
                      <w:tcPr>
                        <w:tcW w:w="3043"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snapToGrid w:val="0"/>
                          <w:jc w:val="center"/>
                        </w:pPr>
                        <w:r>
                          <w:t>Signature</w:t>
                        </w:r>
                      </w:p>
                    </w:tc>
                  </w:tr>
                  <w:tr w:rsidR="00F04EEF">
                    <w:tc>
                      <w:tcPr>
                        <w:tcW w:w="1368"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tc>
                    <w:tc>
                      <w:tcPr>
                        <w:tcW w:w="2700"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tc>
                    <w:tc>
                      <w:tcPr>
                        <w:tcW w:w="2924"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tc>
                    <w:tc>
                      <w:tcPr>
                        <w:tcW w:w="3043"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tc>
                  </w:tr>
                </w:tbl>
                <w:p w:rsidR="00F04EEF" w:rsidRDefault="0099351E">
                  <w:bookmarkStart w:id="3267" w:name="_Annexe_9_:"/>
                  <w:bookmarkStart w:id="3268" w:name="_Annexe_10_:"/>
                  <w:bookmarkStart w:id="3269" w:name="_Annexe_9"/>
                  <w:bookmarkStart w:id="3270" w:name="_Toc453314465"/>
                  <w:bookmarkStart w:id="3271" w:name="_Toc454980500"/>
                  <w:bookmarkEnd w:id="3267"/>
                  <w:bookmarkEnd w:id="3268"/>
                  <w:bookmarkEnd w:id="3269"/>
                  <w:r>
                    <w:t xml:space="preserve"> </w:t>
                  </w:r>
                </w:p>
                <w:p w:rsidR="00F04EEF" w:rsidRDefault="0099351E">
                  <w:r>
                    <w:br w:type="page"/>
                  </w:r>
                </w:p>
                <w:p w:rsidR="00F04EEF" w:rsidRDefault="0099351E">
                  <w:r>
                    <w:rPr>
                      <w:b/>
                      <w:u w:val="single"/>
                    </w:rPr>
                    <w:t>Annexe 9</w:t>
                  </w:r>
                  <w:r>
                    <w:rPr>
                      <w:b/>
                    </w:rPr>
                    <w:t xml:space="preserve"> : supprimée </w:t>
                  </w:r>
                  <w:r>
                    <w:br w:type="page"/>
                  </w:r>
                </w:p>
                <w:p w:rsidR="00F04EEF" w:rsidRDefault="0099351E">
                  <w:pPr>
                    <w:pStyle w:val="Titre4"/>
                  </w:pPr>
                  <w:bookmarkStart w:id="3272" w:name="_Annexe_10_:_3"/>
                  <w:bookmarkStart w:id="3273" w:name="_Annexe_10:_Demande"/>
                  <w:bookmarkEnd w:id="3272"/>
                  <w:bookmarkEnd w:id="3273"/>
                  <w:r>
                    <w:t>Annexe 10: Demande de transmission des informations concernant un élève en intégration permanente totale au-delà du 30 septembre de l’année scolaire en cours pour laquelle est prévue l’intégration.</w:t>
                  </w:r>
                  <w:bookmarkEnd w:id="3270"/>
                  <w:bookmarkEnd w:id="3271"/>
                </w:p>
                <w:p w:rsidR="00F04EEF" w:rsidRDefault="00F04EEF">
                  <w:pPr>
                    <w:jc w:val="center"/>
                  </w:pPr>
                </w:p>
                <w:p w:rsidR="00F04EEF" w:rsidRDefault="00F04EEF">
                  <w:pPr>
                    <w:jc w:val="center"/>
                  </w:pPr>
                </w:p>
                <w:p w:rsidR="00F04EEF" w:rsidRDefault="0099351E">
                  <w:pPr>
                    <w:pBdr>
                      <w:top w:val="single" w:sz="4" w:space="1" w:color="auto"/>
                      <w:left w:val="single" w:sz="4" w:space="4" w:color="auto"/>
                      <w:bottom w:val="single" w:sz="4" w:space="1" w:color="auto"/>
                      <w:right w:val="single" w:sz="4" w:space="4" w:color="auto"/>
                    </w:pBdr>
                    <w:jc w:val="center"/>
                  </w:pPr>
                  <w:r>
                    <w:t>Cette annexe est à renvoyer à l’adresse suivante :</w:t>
                  </w:r>
                </w:p>
                <w:p w:rsidR="00F04EEF" w:rsidRDefault="00F04EEF">
                  <w:pPr>
                    <w:pBdr>
                      <w:top w:val="single" w:sz="4" w:space="1" w:color="auto"/>
                      <w:left w:val="single" w:sz="4" w:space="4" w:color="auto"/>
                      <w:bottom w:val="single" w:sz="4" w:space="1" w:color="auto"/>
                      <w:right w:val="single" w:sz="4" w:space="4" w:color="auto"/>
                    </w:pBdr>
                    <w:jc w:val="center"/>
                  </w:pPr>
                </w:p>
                <w:p w:rsidR="00F04EEF" w:rsidRDefault="0099351E">
                  <w:pPr>
                    <w:pBdr>
                      <w:top w:val="single" w:sz="4" w:space="1" w:color="auto"/>
                      <w:left w:val="single" w:sz="4" w:space="4" w:color="auto"/>
                      <w:bottom w:val="single" w:sz="4" w:space="1" w:color="auto"/>
                      <w:right w:val="single" w:sz="4" w:space="4" w:color="auto"/>
                    </w:pBdr>
                    <w:jc w:val="center"/>
                  </w:pPr>
                  <w:r>
                    <w:t>A l’attention du Ministre ayant l’enseignement spécialisé dans ses attributions</w:t>
                  </w:r>
                </w:p>
                <w:p w:rsidR="00F04EEF" w:rsidRDefault="0099351E">
                  <w:pPr>
                    <w:pBdr>
                      <w:top w:val="single" w:sz="4" w:space="1" w:color="auto"/>
                      <w:left w:val="single" w:sz="4" w:space="4" w:color="auto"/>
                      <w:bottom w:val="single" w:sz="4" w:space="1" w:color="auto"/>
                      <w:right w:val="single" w:sz="4" w:space="4" w:color="auto"/>
                    </w:pBdr>
                    <w:jc w:val="center"/>
                  </w:pPr>
                  <w:r>
                    <w:t>Place Surlet de Chokier, 15-17</w:t>
                  </w:r>
                </w:p>
                <w:p w:rsidR="00F04EEF" w:rsidRDefault="0099351E">
                  <w:pPr>
                    <w:pBdr>
                      <w:top w:val="single" w:sz="4" w:space="1" w:color="auto"/>
                      <w:left w:val="single" w:sz="4" w:space="4" w:color="auto"/>
                      <w:bottom w:val="single" w:sz="4" w:space="1" w:color="auto"/>
                      <w:right w:val="single" w:sz="4" w:space="4" w:color="auto"/>
                    </w:pBdr>
                    <w:jc w:val="center"/>
                  </w:pPr>
                  <w:r>
                    <w:t>1000    BRUXELLES</w:t>
                  </w:r>
                </w:p>
                <w:p w:rsidR="00F04EEF" w:rsidRDefault="00F04EEF">
                  <w:pPr>
                    <w:jc w:val="center"/>
                  </w:pPr>
                </w:p>
                <w:p w:rsidR="00F04EEF" w:rsidRDefault="0099351E">
                  <w:pPr>
                    <w:numPr>
                      <w:ilvl w:val="0"/>
                      <w:numId w:val="151"/>
                    </w:numPr>
                    <w:ind w:left="0" w:firstLine="0"/>
                    <w:jc w:val="both"/>
                  </w:pPr>
                  <w:r>
                    <w:t xml:space="preserve">Renseignements généraux </w:t>
                  </w:r>
                </w:p>
                <w:p w:rsidR="00F04EEF" w:rsidRDefault="00F04EEF">
                  <w:pPr>
                    <w:jc w:val="both"/>
                  </w:pPr>
                </w:p>
                <w:p w:rsidR="00F04EEF" w:rsidRDefault="0099351E">
                  <w:pPr>
                    <w:jc w:val="both"/>
                  </w:pPr>
                  <w:r>
                    <w:t>Sous peine de nullité, joindre</w:t>
                  </w:r>
                  <w:r>
                    <w:rPr>
                      <w:b/>
                    </w:rPr>
                    <w:t xml:space="preserve"> impérativement</w:t>
                  </w:r>
                  <w:r>
                    <w:t xml:space="preserve"> une copie du protocole d’intégration. (</w:t>
                  </w:r>
                  <w:hyperlink w:anchor="_Annexe_2_:_2" w:history="1">
                    <w:r>
                      <w:rPr>
                        <w:rStyle w:val="Lienhypertexte"/>
                        <w:rFonts w:cs="Arial"/>
                      </w:rPr>
                      <w:t>Annexe 2</w:t>
                    </w:r>
                  </w:hyperlink>
                  <w:r>
                    <w:t xml:space="preserve">). Ne pas oublier d’ajouter le nom de l’élève. </w:t>
                  </w:r>
                </w:p>
                <w:p w:rsidR="00F04EEF" w:rsidRDefault="00F04EEF">
                  <w:pPr>
                    <w:jc w:val="both"/>
                  </w:pPr>
                </w:p>
                <w:p w:rsidR="00F04EEF" w:rsidRDefault="0099351E">
                  <w:pPr>
                    <w:numPr>
                      <w:ilvl w:val="0"/>
                      <w:numId w:val="151"/>
                    </w:numPr>
                    <w:ind w:left="0" w:firstLine="0"/>
                    <w:jc w:val="both"/>
                  </w:pPr>
                  <w:r>
                    <w:t xml:space="preserve">Circonstance invoquée. (Cocher et annexer toute pièce probante). </w:t>
                  </w:r>
                </w:p>
                <w:p w:rsidR="00F04EEF" w:rsidRDefault="00F04EEF">
                  <w:pPr>
                    <w:jc w:val="both"/>
                  </w:pPr>
                </w:p>
                <w:tbl>
                  <w:tblPr>
                    <w:tblpPr w:leftFromText="141" w:rightFromText="141" w:vertAnchor="text" w:horzAnchor="margin" w:tblpX="288"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8352"/>
                  </w:tblGrid>
                  <w:tr w:rsidR="00F04EEF">
                    <w:tc>
                      <w:tcPr>
                        <w:tcW w:w="828" w:type="dxa"/>
                      </w:tcPr>
                      <w:p w:rsidR="00F04EEF" w:rsidRDefault="00F04EEF">
                        <w:pPr>
                          <w:jc w:val="both"/>
                        </w:pPr>
                      </w:p>
                    </w:tc>
                    <w:tc>
                      <w:tcPr>
                        <w:tcW w:w="8352" w:type="dxa"/>
                      </w:tcPr>
                      <w:p w:rsidR="00F04EEF" w:rsidRDefault="0099351E">
                        <w:pPr>
                          <w:jc w:val="both"/>
                        </w:pPr>
                        <w:r>
                          <w:t>Mesure de placement prise soit par un magistrat, soit par le conseiller ou le (la) directeur(trice) d’aide à la jeunesse ;</w:t>
                        </w:r>
                      </w:p>
                    </w:tc>
                  </w:tr>
                  <w:tr w:rsidR="00F04EEF">
                    <w:tc>
                      <w:tcPr>
                        <w:tcW w:w="828" w:type="dxa"/>
                      </w:tcPr>
                      <w:p w:rsidR="00F04EEF" w:rsidRDefault="00F04EEF">
                        <w:pPr>
                          <w:jc w:val="both"/>
                        </w:pPr>
                      </w:p>
                    </w:tc>
                    <w:tc>
                      <w:tcPr>
                        <w:tcW w:w="8352" w:type="dxa"/>
                      </w:tcPr>
                      <w:p w:rsidR="00F04EEF" w:rsidRDefault="0099351E">
                        <w:pPr>
                          <w:jc w:val="both"/>
                        </w:pPr>
                        <w:r>
                          <w:t>Changement de domicile ;</w:t>
                        </w:r>
                      </w:p>
                    </w:tc>
                  </w:tr>
                  <w:tr w:rsidR="00F04EEF">
                    <w:tc>
                      <w:tcPr>
                        <w:tcW w:w="828" w:type="dxa"/>
                      </w:tcPr>
                      <w:p w:rsidR="00F04EEF" w:rsidRDefault="00F04EEF">
                        <w:pPr>
                          <w:jc w:val="both"/>
                        </w:pPr>
                      </w:p>
                    </w:tc>
                    <w:tc>
                      <w:tcPr>
                        <w:tcW w:w="8352" w:type="dxa"/>
                      </w:tcPr>
                      <w:p w:rsidR="00F04EEF" w:rsidRDefault="0099351E">
                        <w:pPr>
                          <w:jc w:val="both"/>
                        </w:pPr>
                        <w:r>
                          <w:t>Séparation des parents entraînant un changement de lieu d’hébergement de l’élève ;</w:t>
                        </w:r>
                      </w:p>
                    </w:tc>
                  </w:tr>
                  <w:tr w:rsidR="00F04EEF">
                    <w:tc>
                      <w:tcPr>
                        <w:tcW w:w="828" w:type="dxa"/>
                      </w:tcPr>
                      <w:p w:rsidR="00F04EEF" w:rsidRDefault="00F04EEF">
                        <w:pPr>
                          <w:jc w:val="both"/>
                        </w:pPr>
                      </w:p>
                    </w:tc>
                    <w:tc>
                      <w:tcPr>
                        <w:tcW w:w="8352" w:type="dxa"/>
                      </w:tcPr>
                      <w:p w:rsidR="00F04EEF" w:rsidRDefault="0099351E">
                        <w:pPr>
                          <w:jc w:val="both"/>
                        </w:pPr>
                        <w:r>
                          <w:t>Passage de l’élève d’une école à régime d’externat vers un internat et vice versa ;</w:t>
                        </w:r>
                      </w:p>
                    </w:tc>
                  </w:tr>
                  <w:tr w:rsidR="00F04EEF">
                    <w:tc>
                      <w:tcPr>
                        <w:tcW w:w="828" w:type="dxa"/>
                      </w:tcPr>
                      <w:p w:rsidR="00F04EEF" w:rsidRDefault="00F04EEF">
                        <w:pPr>
                          <w:jc w:val="both"/>
                        </w:pPr>
                      </w:p>
                    </w:tc>
                    <w:tc>
                      <w:tcPr>
                        <w:tcW w:w="8352" w:type="dxa"/>
                      </w:tcPr>
                      <w:p w:rsidR="00F04EEF" w:rsidRDefault="0099351E">
                        <w:pPr>
                          <w:jc w:val="both"/>
                        </w:pPr>
                        <w:r>
                          <w:t>Accueil de l’élève, sur l’initiative des parents, dans une autre famille ou dans un centre pour raison de maladie, de voyage ;</w:t>
                        </w:r>
                      </w:p>
                    </w:tc>
                  </w:tr>
                  <w:tr w:rsidR="00F04EEF">
                    <w:tc>
                      <w:tcPr>
                        <w:tcW w:w="828" w:type="dxa"/>
                      </w:tcPr>
                      <w:p w:rsidR="00F04EEF" w:rsidRDefault="00F04EEF">
                        <w:pPr>
                          <w:jc w:val="both"/>
                        </w:pPr>
                      </w:p>
                    </w:tc>
                    <w:tc>
                      <w:tcPr>
                        <w:tcW w:w="8352" w:type="dxa"/>
                      </w:tcPr>
                      <w:p w:rsidR="00F04EEF" w:rsidRDefault="0099351E">
                        <w:pPr>
                          <w:jc w:val="both"/>
                        </w:pPr>
                        <w:r>
                          <w:t>Exclusion définitive de l’élève d’un autre établissement ;</w:t>
                        </w:r>
                      </w:p>
                    </w:tc>
                  </w:tr>
                  <w:tr w:rsidR="00F04EEF">
                    <w:tc>
                      <w:tcPr>
                        <w:tcW w:w="828" w:type="dxa"/>
                      </w:tcPr>
                      <w:p w:rsidR="00F04EEF" w:rsidRDefault="00F04EEF">
                        <w:pPr>
                          <w:jc w:val="both"/>
                        </w:pPr>
                      </w:p>
                    </w:tc>
                    <w:tc>
                      <w:tcPr>
                        <w:tcW w:w="8352" w:type="dxa"/>
                      </w:tcPr>
                      <w:p w:rsidR="00F04EEF" w:rsidRDefault="0099351E">
                        <w:pPr>
                          <w:jc w:val="both"/>
                        </w:pPr>
                        <w:r>
                          <w:t>Cas de force majeure ou de nécessité absolue dûment motivée et dans l’intérêt de l’élève pour des motifs autres que les cas énumérés ci-dessus.</w:t>
                        </w:r>
                      </w:p>
                    </w:tc>
                  </w:tr>
                </w:tbl>
                <w:p w:rsidR="00F04EEF" w:rsidRDefault="00F04EEF">
                  <w:pPr>
                    <w:jc w:val="both"/>
                  </w:pPr>
                </w:p>
                <w:p w:rsidR="00F04EEF" w:rsidRDefault="00F04EEF">
                  <w:pPr>
                    <w:jc w:val="both"/>
                  </w:pPr>
                </w:p>
                <w:p w:rsidR="00F04EEF" w:rsidRDefault="0099351E">
                  <w:pPr>
                    <w:numPr>
                      <w:ilvl w:val="0"/>
                      <w:numId w:val="151"/>
                    </w:numPr>
                    <w:ind w:left="0" w:firstLine="0"/>
                    <w:jc w:val="both"/>
                  </w:pPr>
                  <w:r>
                    <w:t xml:space="preserve">Motivation supplémentaire. (Obligatoire en cas de force majeure ou de nécessité absolue). </w:t>
                  </w:r>
                </w:p>
                <w:p w:rsidR="00F04EEF" w:rsidRDefault="00F04EEF">
                  <w:pPr>
                    <w:jc w:val="both"/>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94"/>
                  </w:tblGrid>
                  <w:tr w:rsidR="00F04EEF">
                    <w:trPr>
                      <w:trHeight w:val="1791"/>
                    </w:trPr>
                    <w:tc>
                      <w:tcPr>
                        <w:tcW w:w="9176" w:type="dxa"/>
                      </w:tcPr>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tc>
                  </w:tr>
                </w:tbl>
                <w:p w:rsidR="00F04EEF" w:rsidRDefault="00F04EEF">
                  <w:pPr>
                    <w:jc w:val="both"/>
                  </w:pPr>
                </w:p>
                <w:p w:rsidR="00F04EEF" w:rsidRDefault="0099351E">
                  <w:pPr>
                    <w:jc w:val="both"/>
                    <w:rPr>
                      <w:b/>
                    </w:rPr>
                  </w:pPr>
                  <w:r>
                    <w:rPr>
                      <w:b/>
                    </w:rPr>
                    <w:t>Date et signature de la direction de l’établissement</w:t>
                  </w:r>
                </w:p>
                <w:p w:rsidR="00F04EEF" w:rsidRDefault="00F04EEF">
                  <w:pPr>
                    <w:rPr>
                      <w:color w:val="000000"/>
                    </w:rPr>
                  </w:pPr>
                  <w:bookmarkStart w:id="3274" w:name="_Annexe_11_:"/>
                  <w:bookmarkStart w:id="3275" w:name="_Concerne_l’enseignement_fondamental"/>
                  <w:bookmarkEnd w:id="3274"/>
                  <w:bookmarkEnd w:id="3275"/>
                </w:p>
                <w:p w:rsidR="00F04EEF" w:rsidRDefault="00F04EEF">
                  <w:pPr>
                    <w:rPr>
                      <w:color w:val="000000"/>
                    </w:rPr>
                  </w:pPr>
                </w:p>
                <w:p w:rsidR="00F04EEF" w:rsidRDefault="00F04EEF">
                  <w:pPr>
                    <w:rPr>
                      <w:color w:val="000000"/>
                    </w:rPr>
                  </w:pPr>
                </w:p>
                <w:p w:rsidR="00F04EEF" w:rsidRDefault="0099351E">
                  <w:pPr>
                    <w:rPr>
                      <w:color w:val="000000"/>
                    </w:rPr>
                  </w:pPr>
                  <w:bookmarkStart w:id="3276" w:name="_Annexes_11,_12,"/>
                  <w:bookmarkEnd w:id="3276"/>
                  <w:r>
                    <w:rPr>
                      <w:color w:val="000000"/>
                    </w:rPr>
                    <w:br w:type="page"/>
                  </w:r>
                </w:p>
                <w:p w:rsidR="00F04EEF" w:rsidRDefault="00F04EEF">
                  <w:pPr>
                    <w:rPr>
                      <w:color w:val="000000"/>
                    </w:rPr>
                  </w:pPr>
                </w:p>
                <w:p w:rsidR="00F04EEF" w:rsidRDefault="0099351E">
                  <w:pPr>
                    <w:pStyle w:val="Titre2"/>
                    <w:rPr>
                      <w:rStyle w:val="Titre2Car1"/>
                      <w:b/>
                      <w:smallCaps/>
                    </w:rPr>
                  </w:pPr>
                  <w:bookmarkStart w:id="3277" w:name="_Chapitre_14_:"/>
                  <w:bookmarkStart w:id="3278" w:name="_Annexe_13_:"/>
                  <w:bookmarkStart w:id="3279" w:name="_Toc477623808"/>
                  <w:bookmarkStart w:id="3280" w:name="_Toc477767644"/>
                  <w:bookmarkStart w:id="3281" w:name="_Ref11402644"/>
                  <w:bookmarkStart w:id="3282" w:name="_Ref11403470"/>
                  <w:bookmarkStart w:id="3283" w:name="_Toc47708564"/>
                  <w:bookmarkEnd w:id="3277"/>
                  <w:bookmarkEnd w:id="3278"/>
                  <w:r>
                    <w:rPr>
                      <w:rStyle w:val="Titre2Car1"/>
                      <w:b/>
                      <w:smallCaps/>
                    </w:rPr>
                    <w:t>Chapitre</w:t>
                  </w:r>
                  <w:bookmarkStart w:id="3284" w:name="_Toc477623809"/>
                  <w:bookmarkStart w:id="3285" w:name="_Toc477767645"/>
                  <w:bookmarkEnd w:id="3279"/>
                  <w:bookmarkEnd w:id="3280"/>
                  <w:r>
                    <w:rPr>
                      <w:rStyle w:val="Titre2Car1"/>
                      <w:b/>
                      <w:smallCaps/>
                    </w:rPr>
                    <w:t xml:space="preserve"> 14 : Organisation d’une pédagogie adaptée</w:t>
                  </w:r>
                  <w:bookmarkEnd w:id="3281"/>
                  <w:bookmarkEnd w:id="3282"/>
                  <w:bookmarkEnd w:id="3284"/>
                  <w:bookmarkEnd w:id="3285"/>
                  <w:r>
                    <w:rPr>
                      <w:rStyle w:val="Titre2Car1"/>
                      <w:b/>
                      <w:smallCaps/>
                    </w:rPr>
                    <w:t xml:space="preserve"> pour les élèves :</w:t>
                  </w:r>
                  <w:bookmarkEnd w:id="3283"/>
                </w:p>
                <w:p w:rsidR="00F04EEF" w:rsidRDefault="0099351E">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aphasiques et dysphasiques ;</w:t>
                  </w:r>
                </w:p>
                <w:p w:rsidR="00F04EEF" w:rsidRDefault="0099351E">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polyhandicapés ;</w:t>
                  </w:r>
                </w:p>
                <w:p w:rsidR="00F04EEF" w:rsidRDefault="0099351E">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avec autisme ;</w:t>
                  </w:r>
                </w:p>
                <w:p w:rsidR="00F04EEF" w:rsidRDefault="0099351E">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avec handicaps physiques lourds mais disposant de compétences intellectuelles leur permettant d’accéder aux apprentissages scolaires</w:t>
                  </w:r>
                </w:p>
                <w:p w:rsidR="00F04EEF" w:rsidRDefault="0099351E">
                  <w:pPr>
                    <w:ind w:right="-142"/>
                    <w:jc w:val="both"/>
                    <w:rPr>
                      <w:rFonts w:ascii="Cambria" w:hAnsi="Cambria" w:cs="Calibri"/>
                      <w:b/>
                      <w:sz w:val="44"/>
                      <w:szCs w:val="44"/>
                      <w:lang w:eastAsia="fr-BE"/>
                    </w:rPr>
                  </w:pPr>
                  <w:r>
                    <w:rPr>
                      <w:rFonts w:ascii="Cambria" w:hAnsi="Cambria" w:cs="Calibri"/>
                      <w:b/>
                      <w:sz w:val="44"/>
                      <w:szCs w:val="44"/>
                      <w:lang w:eastAsia="fr-BE"/>
                    </w:rPr>
                    <w:t>Et de classes et implantations à visée inclusive</w:t>
                  </w:r>
                </w:p>
                <w:p w:rsidR="00F04EEF" w:rsidRDefault="00F04EEF">
                  <w:pPr>
                    <w:rPr>
                      <w:rFonts w:cs="Calibri"/>
                      <w:sz w:val="24"/>
                      <w:szCs w:val="24"/>
                      <w:lang w:eastAsia="fr-BE"/>
                    </w:rPr>
                  </w:pPr>
                </w:p>
                <w:p w:rsidR="00F04EEF" w:rsidRDefault="00F04EEF">
                  <w:pPr>
                    <w:rPr>
                      <w:rFonts w:cs="Calibri"/>
                      <w:sz w:val="24"/>
                      <w:szCs w:val="24"/>
                      <w:lang w:eastAsia="fr-BE"/>
                    </w:rPr>
                  </w:pPr>
                </w:p>
                <w:p w:rsidR="00F04EEF" w:rsidRDefault="00F04EEF">
                  <w:pPr>
                    <w:rPr>
                      <w:rFonts w:cs="Calibri"/>
                      <w:sz w:val="24"/>
                      <w:szCs w:val="24"/>
                      <w:lang w:eastAsia="fr-BE"/>
                    </w:rPr>
                  </w:pPr>
                </w:p>
                <w:p w:rsidR="00F04EEF" w:rsidRDefault="0099351E">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Bases légales :</w:t>
                  </w:r>
                </w:p>
                <w:p w:rsidR="00F04EEF" w:rsidRDefault="00F04EEF">
                  <w:pPr>
                    <w:autoSpaceDE w:val="0"/>
                    <w:autoSpaceDN w:val="0"/>
                    <w:adjustRightInd w:val="0"/>
                    <w:rPr>
                      <w:rFonts w:ascii="Cambria" w:hAnsi="Cambria" w:cs="Calibri"/>
                      <w:b/>
                      <w:bCs/>
                      <w:color w:val="000000"/>
                      <w:sz w:val="24"/>
                      <w:szCs w:val="24"/>
                      <w:u w:val="single"/>
                      <w:lang w:eastAsia="fr-BE"/>
                    </w:rPr>
                  </w:pPr>
                </w:p>
                <w:p w:rsidR="00F04EEF" w:rsidRDefault="0099351E">
                  <w:pPr>
                    <w:numPr>
                      <w:ilvl w:val="0"/>
                      <w:numId w:val="34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Pr>
                      <w:rStyle w:val="Lienhypertexte"/>
                      <w:rFonts w:ascii="Cambria" w:hAnsi="Cambria"/>
                    </w:rPr>
                    <w:t>Décret du 3 mars 2004 organisant l’enseignement spécialisé</w:t>
                  </w:r>
                </w:p>
                <w:p w:rsidR="00F04EEF" w:rsidRDefault="0099351E">
                  <w:pPr>
                    <w:numPr>
                      <w:ilvl w:val="0"/>
                      <w:numId w:val="34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Pr>
                      <w:rStyle w:val="Lienhypertexte"/>
                      <w:rFonts w:ascii="Cambria" w:hAnsi="Cambria"/>
                    </w:rPr>
                    <w:t>Arrêté du Gouvernement de la Communauté française du 29 janvier 2010 relatif à l’annexe à l’attestation d’admission en enseignement spécialisé pour les élèves fréquentant l'enseignement adapté aux élèves avec autisme, polyhandicap, aphasie ou dysphasie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w:t>
                  </w:r>
                </w:p>
                <w:p w:rsidR="00F04EEF" w:rsidRDefault="0099351E">
                  <w:pPr>
                    <w:numPr>
                      <w:ilvl w:val="0"/>
                      <w:numId w:val="34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Pr>
                      <w:rStyle w:val="Lienhypertexte"/>
                      <w:rFonts w:ascii="Cambria" w:hAnsi="Cambria"/>
                    </w:rPr>
                    <w:t>Arrêté du Gouvernement de la Communauté française du 10 juillet 2019 fixant le cahier des charges reprenant les dispositions nécessaires à l’organisation des pédagogies adaptées définies aux articles 8bis et 8ter du décret du 3 mars 2004 organisant l’enseignement spécialisé</w:t>
                  </w:r>
                </w:p>
                <w:p w:rsidR="00F04EEF" w:rsidRDefault="0099351E">
                  <w:pPr>
                    <w:numPr>
                      <w:ilvl w:val="0"/>
                      <w:numId w:val="34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Pr>
                      <w:rStyle w:val="Lienhypertexte"/>
                      <w:rFonts w:ascii="Cambria" w:hAnsi="Cambria"/>
                    </w:rPr>
                    <w:t>Circulaire n°7392 du 3 décembre 2019 relative à l’organisation d’une pédagogie adaptée pour les élèves : - aphasiques et dysphasiques ; - polyhandicapés ; - avec autisme ; - avec handicaps physiques lourds mais disposant de compétences intellectuelles leur permettant d’accéder aux apprentissages scolaires</w:t>
                  </w:r>
                </w:p>
                <w:p w:rsidR="00F04EEF" w:rsidRDefault="0099351E">
                  <w:pPr>
                    <w:numPr>
                      <w:ilvl w:val="0"/>
                      <w:numId w:val="34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Pr>
                      <w:rStyle w:val="Lienhypertexte"/>
                      <w:rFonts w:ascii="Cambria" w:hAnsi="Cambria"/>
                    </w:rPr>
                    <w:t>Circulaire n°7190 du 21 juin 2019 relative à la création de classes et d’implantations à visée inclusive</w:t>
                  </w:r>
                </w:p>
                <w:p w:rsidR="00F04EEF" w:rsidRDefault="00F04EEF">
                  <w:pPr>
                    <w:autoSpaceDE w:val="0"/>
                    <w:autoSpaceDN w:val="0"/>
                    <w:adjustRightInd w:val="0"/>
                    <w:rPr>
                      <w:rFonts w:cs="Calibri"/>
                      <w:color w:val="000000"/>
                      <w:sz w:val="24"/>
                      <w:szCs w:val="24"/>
                      <w:lang w:eastAsia="fr-BE"/>
                    </w:rPr>
                  </w:pPr>
                </w:p>
                <w:p w:rsidR="00F04EEF" w:rsidRDefault="00F04EEF">
                  <w:pPr>
                    <w:autoSpaceDE w:val="0"/>
                    <w:autoSpaceDN w:val="0"/>
                    <w:adjustRightInd w:val="0"/>
                    <w:rPr>
                      <w:rFonts w:cs="Calibri"/>
                      <w:color w:val="000000"/>
                      <w:sz w:val="24"/>
                      <w:szCs w:val="24"/>
                      <w:lang w:eastAsia="fr-BE"/>
                    </w:rPr>
                  </w:pPr>
                </w:p>
                <w:p w:rsidR="00F04EEF" w:rsidRDefault="0099351E">
                  <w:pPr>
                    <w:pStyle w:val="Titre3"/>
                    <w:jc w:val="both"/>
                    <w:rPr>
                      <w:rFonts w:ascii="Cambria" w:eastAsia="Calibri" w:hAnsi="Cambria"/>
                      <w:bCs/>
                      <w:sz w:val="22"/>
                      <w:szCs w:val="22"/>
                    </w:rPr>
                  </w:pPr>
                  <w:bookmarkStart w:id="3286" w:name="_Toc47708565"/>
                  <w:r>
                    <w:rPr>
                      <w:rFonts w:ascii="Cambria" w:eastAsia="Calibri" w:hAnsi="Cambria"/>
                      <w:bCs/>
                      <w:sz w:val="22"/>
                      <w:szCs w:val="22"/>
                    </w:rPr>
                    <w:t>1. Préambule</w:t>
                  </w:r>
                  <w:bookmarkEnd w:id="3286"/>
                </w:p>
                <w:p w:rsidR="00F04EEF" w:rsidRDefault="00F04EEF">
                  <w:pPr>
                    <w:autoSpaceDE w:val="0"/>
                    <w:autoSpaceDN w:val="0"/>
                    <w:adjustRightInd w:val="0"/>
                    <w:rPr>
                      <w:rFonts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décret du 3 mars 2004 en son article 213 prévoit que toutes les pédagogies adaptées susmentionnées peuvent bénéficier du capital-périodes à 100 % en ce qui concerne les catégories du personnel directeur et enseignant, du personnel paramédical, social et psychologique encadrant les élèves qui relèvent de ces dites pédagogies pour autant que les établissements concernés respectent un cahier des charges reprenant les dispositions nécessaires à l’organisation de ces pédagogies.</w:t>
                  </w: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 cahier des charges est détaillé au point 6.</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3"/>
                    <w:numPr>
                      <w:ilvl w:val="0"/>
                      <w:numId w:val="348"/>
                    </w:numPr>
                    <w:jc w:val="both"/>
                    <w:rPr>
                      <w:rFonts w:ascii="Cambria" w:eastAsia="Calibri" w:hAnsi="Cambria"/>
                      <w:bCs/>
                      <w:sz w:val="22"/>
                      <w:szCs w:val="22"/>
                    </w:rPr>
                  </w:pPr>
                  <w:bookmarkStart w:id="3287" w:name="_Toc47708566"/>
                  <w:r>
                    <w:rPr>
                      <w:rFonts w:ascii="Cambria" w:eastAsia="Calibri" w:hAnsi="Cambria"/>
                      <w:bCs/>
                      <w:sz w:val="22"/>
                      <w:szCs w:val="22"/>
                    </w:rPr>
                    <w:t>Mode de calcul :</w:t>
                  </w:r>
                  <w:bookmarkEnd w:id="3287"/>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Il respecte l'application des nombres-guides dans l'enseignement secondaire et calcule ensuite les 3% pour les élèves bénéficiant d'une pédagogie adaptée.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 calcul s’applique pour le capital-périodes du personnel enseignant, ainsi que pour le capital périodes du personnel paramédical, social et psychologique et se base sur la population scolaire établie au 15 janvier et au 30 septembre (si recomptage de 5 % à la hausse).</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Style w:val="Titre3"/>
                    <w:numPr>
                      <w:ilvl w:val="0"/>
                      <w:numId w:val="348"/>
                    </w:numPr>
                    <w:jc w:val="both"/>
                    <w:rPr>
                      <w:rFonts w:ascii="Cambria" w:eastAsia="Calibri" w:hAnsi="Cambria"/>
                      <w:bCs/>
                      <w:sz w:val="22"/>
                      <w:szCs w:val="22"/>
                    </w:rPr>
                  </w:pPr>
                  <w:bookmarkStart w:id="3288" w:name="_Toc47708567"/>
                  <w:r>
                    <w:rPr>
                      <w:rFonts w:ascii="Cambria" w:eastAsia="Calibri" w:hAnsi="Cambria"/>
                      <w:bCs/>
                      <w:sz w:val="22"/>
                      <w:szCs w:val="22"/>
                    </w:rPr>
                    <w:t>Exemple :</w:t>
                  </w:r>
                  <w:bookmarkEnd w:id="3288"/>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lang w:eastAsia="fr-BE"/>
                    </w:rPr>
                    <w:t>Population de 56 élèves relevant du type 1, dont 8 bénéficient d'une pédagogie adaptée, en appliquant les nombres guides à concurrence de 97% puis les 3% pour les élèves à pédagogies adaptées :</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ind w:left="284"/>
                    <w:rPr>
                      <w:rFonts w:ascii="Cambria" w:hAnsi="Cambria" w:cs="Calibri"/>
                      <w:color w:val="000000"/>
                      <w:sz w:val="24"/>
                      <w:szCs w:val="24"/>
                      <w:lang w:eastAsia="fr-BE"/>
                    </w:rPr>
                  </w:pPr>
                  <w:r>
                    <w:rPr>
                      <w:rFonts w:ascii="Cambria" w:eastAsia="Wingdings-Regular" w:hAnsi="Cambria" w:cs="Calibri"/>
                      <w:color w:val="000000"/>
                      <w:sz w:val="24"/>
                      <w:szCs w:val="24"/>
                      <w:lang w:eastAsia="fr-BE"/>
                    </w:rPr>
                    <w:sym w:font="Wingdings" w:char="F0F0"/>
                  </w:r>
                  <w:r>
                    <w:rPr>
                      <w:rFonts w:ascii="Cambria" w:eastAsia="Wingdings-Regular" w:hAnsi="Cambria" w:cs="Calibri"/>
                      <w:color w:val="000000"/>
                      <w:sz w:val="24"/>
                      <w:szCs w:val="24"/>
                      <w:lang w:eastAsia="fr-BE"/>
                    </w:rPr>
                    <w:t xml:space="preserve"> </w:t>
                  </w:r>
                  <w:r>
                    <w:rPr>
                      <w:rFonts w:ascii="Cambria" w:hAnsi="Cambria" w:cs="Calibri"/>
                      <w:color w:val="000000"/>
                      <w:sz w:val="24"/>
                      <w:szCs w:val="24"/>
                      <w:lang w:eastAsia="fr-BE"/>
                    </w:rPr>
                    <w:t>Nombre guide 9 du 1</w:t>
                  </w:r>
                  <w:r>
                    <w:rPr>
                      <w:rFonts w:ascii="Cambria" w:hAnsi="Cambria" w:cs="Calibri"/>
                      <w:color w:val="000000"/>
                      <w:sz w:val="24"/>
                      <w:szCs w:val="24"/>
                      <w:vertAlign w:val="superscript"/>
                      <w:lang w:eastAsia="fr-BE"/>
                    </w:rPr>
                    <w:t>er</w:t>
                  </w:r>
                  <w:r>
                    <w:rPr>
                      <w:rFonts w:ascii="Cambria" w:hAnsi="Cambria" w:cs="Calibri"/>
                      <w:color w:val="000000"/>
                      <w:sz w:val="24"/>
                      <w:szCs w:val="24"/>
                      <w:lang w:eastAsia="fr-BE"/>
                    </w:rPr>
                    <w:t xml:space="preserve"> au 49</w:t>
                  </w:r>
                  <w:r>
                    <w:rPr>
                      <w:rFonts w:ascii="Cambria" w:hAnsi="Cambria" w:cs="Calibri"/>
                      <w:color w:val="000000"/>
                      <w:sz w:val="24"/>
                      <w:szCs w:val="24"/>
                      <w:vertAlign w:val="superscript"/>
                      <w:lang w:eastAsia="fr-BE"/>
                    </w:rPr>
                    <w:t>ème</w:t>
                  </w:r>
                  <w:r>
                    <w:rPr>
                      <w:rFonts w:ascii="Cambria" w:hAnsi="Cambria" w:cs="Calibri"/>
                      <w:color w:val="000000"/>
                      <w:sz w:val="24"/>
                      <w:szCs w:val="24"/>
                      <w:lang w:eastAsia="fr-BE"/>
                    </w:rPr>
                    <w:t xml:space="preserve"> élève et nombre-guide 10 à partir du 50</w:t>
                  </w:r>
                  <w:r>
                    <w:rPr>
                      <w:rFonts w:ascii="Cambria" w:hAnsi="Cambria" w:cs="Calibri"/>
                      <w:color w:val="000000"/>
                      <w:sz w:val="24"/>
                      <w:szCs w:val="24"/>
                      <w:vertAlign w:val="superscript"/>
                      <w:lang w:eastAsia="fr-BE"/>
                    </w:rPr>
                    <w:t>ème</w:t>
                  </w:r>
                  <w:r>
                    <w:rPr>
                      <w:rFonts w:ascii="Cambria" w:hAnsi="Cambria" w:cs="Calibri"/>
                      <w:color w:val="000000"/>
                      <w:sz w:val="24"/>
                      <w:szCs w:val="24"/>
                      <w:lang w:eastAsia="fr-BE"/>
                    </w:rPr>
                    <w:t xml:space="preserve"> élève</w:t>
                  </w:r>
                </w:p>
                <w:p w:rsidR="00F04EEF" w:rsidRDefault="00F04EEF">
                  <w:pPr>
                    <w:autoSpaceDE w:val="0"/>
                    <w:autoSpaceDN w:val="0"/>
                    <w:adjustRightInd w:val="0"/>
                    <w:ind w:left="284"/>
                    <w:rPr>
                      <w:rFonts w:ascii="Cambria" w:hAnsi="Cambria" w:cs="Calibri"/>
                      <w:color w:val="000000"/>
                      <w:sz w:val="24"/>
                      <w:szCs w:val="24"/>
                      <w:lang w:eastAsia="fr-BE"/>
                    </w:rPr>
                  </w:pPr>
                </w:p>
                <w:p w:rsidR="00F04EEF" w:rsidRDefault="0099351E">
                  <w:pPr>
                    <w:numPr>
                      <w:ilvl w:val="0"/>
                      <w:numId w:val="349"/>
                    </w:num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lang w:eastAsia="fr-BE"/>
                    </w:rPr>
                    <w:t xml:space="preserve">(49X28)/9 = 152,44 + (7X28)/10 = 19,6 </w:t>
                  </w:r>
                  <w:r>
                    <w:rPr>
                      <w:rFonts w:ascii="Cambria" w:eastAsia="Wingdings-Regular" w:hAnsi="Cambria" w:cs="Calibri"/>
                      <w:color w:val="000000"/>
                      <w:sz w:val="24"/>
                      <w:szCs w:val="24"/>
                      <w:lang w:eastAsia="fr-BE"/>
                    </w:rPr>
                    <w:sym w:font="Wingdings" w:char="F0F0"/>
                  </w:r>
                  <w:r>
                    <w:rPr>
                      <w:rFonts w:ascii="Cambria" w:eastAsia="Wingdings-Regular" w:hAnsi="Cambria" w:cs="Calibri"/>
                      <w:color w:val="000000"/>
                      <w:sz w:val="24"/>
                      <w:szCs w:val="24"/>
                      <w:lang w:eastAsia="fr-BE"/>
                    </w:rPr>
                    <w:t xml:space="preserve"> </w:t>
                  </w:r>
                  <w:r>
                    <w:rPr>
                      <w:rFonts w:ascii="Cambria" w:hAnsi="Cambria" w:cs="Calibri"/>
                      <w:color w:val="000000"/>
                      <w:sz w:val="24"/>
                      <w:szCs w:val="24"/>
                      <w:lang w:eastAsia="fr-BE"/>
                    </w:rPr>
                    <w:t>172,04 = 173 périodes</w:t>
                  </w:r>
                </w:p>
                <w:p w:rsidR="00F04EEF" w:rsidRDefault="0099351E">
                  <w:pPr>
                    <w:numPr>
                      <w:ilvl w:val="0"/>
                      <w:numId w:val="349"/>
                    </w:numPr>
                    <w:autoSpaceDE w:val="0"/>
                    <w:autoSpaceDN w:val="0"/>
                    <w:adjustRightInd w:val="0"/>
                    <w:rPr>
                      <w:rFonts w:ascii="Cambria" w:hAnsi="Cambria" w:cs="Calibri"/>
                      <w:bCs/>
                      <w:color w:val="000000"/>
                      <w:sz w:val="24"/>
                      <w:szCs w:val="24"/>
                      <w:lang w:eastAsia="fr-BE"/>
                    </w:rPr>
                  </w:pPr>
                  <w:r>
                    <w:rPr>
                      <w:rFonts w:ascii="Cambria" w:hAnsi="Cambria" w:cs="Calibri"/>
                      <w:color w:val="000000"/>
                      <w:sz w:val="24"/>
                      <w:szCs w:val="24"/>
                      <w:lang w:eastAsia="fr-BE"/>
                    </w:rPr>
                    <w:t xml:space="preserve">173 * 97 % = 167,81 = </w:t>
                  </w:r>
                  <w:r>
                    <w:rPr>
                      <w:rFonts w:ascii="Cambria" w:hAnsi="Cambria" w:cs="Calibri"/>
                      <w:b/>
                      <w:bCs/>
                      <w:color w:val="000000"/>
                      <w:sz w:val="24"/>
                      <w:szCs w:val="24"/>
                      <w:lang w:eastAsia="fr-BE"/>
                    </w:rPr>
                    <w:t>168 périodes</w:t>
                  </w:r>
                </w:p>
                <w:p w:rsidR="00F04EEF" w:rsidRDefault="0099351E">
                  <w:pPr>
                    <w:numPr>
                      <w:ilvl w:val="0"/>
                      <w:numId w:val="349"/>
                    </w:num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lang w:eastAsia="fr-BE"/>
                    </w:rPr>
                    <w:t>On attribue 3% en plus aux élèves en PA =</w:t>
                  </w:r>
                </w:p>
                <w:p w:rsidR="00F04EEF" w:rsidRDefault="0099351E">
                  <w:pPr>
                    <w:autoSpaceDE w:val="0"/>
                    <w:autoSpaceDN w:val="0"/>
                    <w:adjustRightInd w:val="0"/>
                    <w:ind w:left="1004"/>
                    <w:rPr>
                      <w:rFonts w:ascii="Cambria" w:hAnsi="Cambria" w:cs="Calibri"/>
                      <w:bCs/>
                      <w:color w:val="000000"/>
                      <w:sz w:val="24"/>
                      <w:szCs w:val="24"/>
                      <w:lang w:eastAsia="fr-BE"/>
                    </w:rPr>
                  </w:pPr>
                  <w:r>
                    <w:rPr>
                      <w:rFonts w:ascii="Cambria" w:hAnsi="Cambria" w:cs="Calibri"/>
                      <w:color w:val="000000"/>
                      <w:sz w:val="24"/>
                      <w:szCs w:val="24"/>
                      <w:lang w:eastAsia="fr-BE"/>
                    </w:rPr>
                    <w:t xml:space="preserve">(8X28)/9 = 24,89 = 25 * 3% = 0,75 = </w:t>
                  </w:r>
                  <w:r>
                    <w:rPr>
                      <w:rFonts w:ascii="Cambria" w:hAnsi="Cambria" w:cs="Calibri"/>
                      <w:b/>
                      <w:bCs/>
                      <w:color w:val="000000"/>
                      <w:sz w:val="24"/>
                      <w:szCs w:val="24"/>
                      <w:lang w:eastAsia="fr-BE"/>
                    </w:rPr>
                    <w:t>1 période</w:t>
                  </w:r>
                </w:p>
                <w:p w:rsidR="00F04EEF" w:rsidRDefault="0099351E">
                  <w:pPr>
                    <w:numPr>
                      <w:ilvl w:val="0"/>
                      <w:numId w:val="349"/>
                    </w:numPr>
                    <w:autoSpaceDE w:val="0"/>
                    <w:autoSpaceDN w:val="0"/>
                    <w:adjustRightInd w:val="0"/>
                    <w:rPr>
                      <w:rFonts w:ascii="Cambria" w:hAnsi="Cambria" w:cs="Calibri"/>
                      <w:b/>
                      <w:bCs/>
                      <w:color w:val="000000"/>
                      <w:sz w:val="24"/>
                      <w:szCs w:val="24"/>
                      <w:lang w:eastAsia="fr-BE"/>
                    </w:rPr>
                  </w:pPr>
                  <w:r>
                    <w:rPr>
                      <w:rFonts w:ascii="Cambria" w:hAnsi="Cambria" w:cs="Calibri"/>
                      <w:b/>
                      <w:bCs/>
                      <w:color w:val="000000"/>
                      <w:sz w:val="24"/>
                      <w:szCs w:val="24"/>
                      <w:lang w:eastAsia="fr-BE"/>
                    </w:rPr>
                    <w:t>Total de 169 périodes</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2. Les pédagogies adaptées</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pStyle w:val="Titre4"/>
                    <w:rPr>
                      <w:rFonts w:eastAsia="Calibri"/>
                    </w:rPr>
                  </w:pPr>
                  <w:r>
                    <w:rPr>
                      <w:rFonts w:eastAsia="Calibri"/>
                    </w:rPr>
                    <w:t>2.1. Aphasiques / dysphasiques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pour élèves aphasiques/dysphasiques est destiné aux élèves pour lesquels l’examen pluridisciplinaire se basant sur le rapport du médecin neuropédiatre, a conclu à un diagnostic d’aphasie ou de dysphasie.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enseignement spécialisé pour élèves avec aphasie ou dysphasie peut être organisé dans tous les types d’enseignement spécialisé, sauf dans l’enseignement de type 2.</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Style w:val="Titre4"/>
                    <w:rPr>
                      <w:rFonts w:eastAsia="Calibri"/>
                    </w:rPr>
                  </w:pPr>
                  <w:r>
                    <w:rPr>
                      <w:rFonts w:eastAsia="Calibri"/>
                    </w:rPr>
                    <w:t>2.2. Polyhandicapés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pour élèves polyhandicapés est destiné aux élèves pour lesquels l’examen pluridisciplinaire se basant sur le rapport d’un médecin neurologue ou d’un orthopédiste ou d’un spécialiste en réadaptation fonctionnelle, a conclu à un diagnostic de polyhandicap.</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enseignement spécialisé pour élèves polyhandicapés peut être organisé dans l’enseignement des types 2, 4, 5, 6 ou 7.</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Style w:val="Titre4"/>
                    <w:rPr>
                      <w:rFonts w:eastAsia="Calibri"/>
                    </w:rPr>
                  </w:pPr>
                  <w:r>
                    <w:rPr>
                      <w:rFonts w:eastAsia="Calibri"/>
                    </w:rPr>
                    <w:t>2.3. Autistes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pour élèves avec autisme est destiné aux élèves pour lesquels l’examen pluridisciplinaire se basant sur le rapport d’un pédopsychiatre ou d’un centre de référence agréé, a conclu à un diagnostic d’autisme.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enseignement spécialisé adapté aux élèves avec autisme peut être organisé dans tous les types d’enseignement spécialisé.</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Style w:val="Titre4"/>
                    <w:rPr>
                      <w:rFonts w:eastAsia="Calibri"/>
                    </w:rPr>
                  </w:pPr>
                  <w:r>
                    <w:rPr>
                      <w:rFonts w:eastAsia="Calibri"/>
                    </w:rPr>
                    <w:t>2.4. Organisation d’une pédagogie adaptée pour élèves avec HPLCI (Handicaps physiques lourds disposant de compétences intellectuelles leur permettant d’accéder aux apprentissages scolaires)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adapté aux élèves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est destiné aux élèves pour lesquels l'examen pluridisciplinaire se basant sur le rapport d'un médecin neurologue ou d'un orthopédiste ou d'un spécialiste en réadaptation fonctionnelle, a conclu à un diagnostic de pathologie lourde définie par une affection neurologique centrale avec déficit moteur étendu.</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 enseignement peut être organisé dans l’enseignement des types 4, 5, 6 et 7.</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3. L’annexe à l’attestation d’admission en enseignement spécialisé</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pStyle w:val="Titre4"/>
                    <w:rPr>
                      <w:rFonts w:eastAsia="Calibri"/>
                    </w:rPr>
                  </w:pPr>
                  <w:r>
                    <w:rPr>
                      <w:rFonts w:eastAsia="Calibri"/>
                    </w:rPr>
                    <w:t>3.1. Principe</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L’orientation d’un élève dans l’une des pédagogies adaptées est subordonnée à la production d’une annexe à l’attestation d’admission en enseignement spécialisé établie par un organisme d’orientation reconnu. (voir </w:t>
                  </w:r>
                  <w:r>
                    <w:rPr>
                      <w:rFonts w:ascii="Cambria" w:hAnsi="Cambria" w:cs="Calibri"/>
                      <w:color w:val="0000FF"/>
                      <w:sz w:val="24"/>
                      <w:szCs w:val="24"/>
                      <w:lang w:eastAsia="fr-BE"/>
                    </w:rPr>
                    <w:t>annexe 1</w:t>
                  </w:r>
                  <w:r>
                    <w:rPr>
                      <w:rFonts w:ascii="Cambria" w:hAnsi="Cambria" w:cs="Calibri"/>
                      <w:color w:val="000000"/>
                      <w:sz w:val="24"/>
                      <w:szCs w:val="24"/>
                      <w:lang w:eastAsia="fr-BE"/>
                    </w:rPr>
                    <w:t>).</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4"/>
                    <w:rPr>
                      <w:rFonts w:eastAsia="Calibri"/>
                    </w:rPr>
                  </w:pPr>
                  <w:r>
                    <w:rPr>
                      <w:rFonts w:eastAsia="Calibri"/>
                    </w:rPr>
                    <w:t>3.2. Les organismes habilités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Quel est l’organisme habilité à délivrer l’annexe à l’attestation d’admission en enseignement spécialisé pour les élèves fréquentant une des quatre pédagogies adaptées?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Les articles </w:t>
                  </w:r>
                  <w:r>
                    <w:rPr>
                      <w:rFonts w:ascii="Cambria" w:hAnsi="Cambria" w:cs="Calibri"/>
                      <w:i/>
                      <w:iCs/>
                      <w:color w:val="000000"/>
                      <w:sz w:val="24"/>
                      <w:szCs w:val="24"/>
                      <w:lang w:eastAsia="fr-BE"/>
                    </w:rPr>
                    <w:t xml:space="preserve">8bis </w:t>
                  </w:r>
                  <w:r>
                    <w:rPr>
                      <w:rFonts w:ascii="Cambria" w:hAnsi="Cambria" w:cs="Calibri"/>
                      <w:color w:val="000000"/>
                      <w:sz w:val="24"/>
                      <w:szCs w:val="24"/>
                      <w:lang w:eastAsia="fr-BE"/>
                    </w:rPr>
                    <w:t xml:space="preserve">et </w:t>
                  </w:r>
                  <w:r>
                    <w:rPr>
                      <w:rFonts w:ascii="Cambria" w:hAnsi="Cambria" w:cs="Calibri"/>
                      <w:i/>
                      <w:iCs/>
                      <w:color w:val="000000"/>
                      <w:sz w:val="24"/>
                      <w:szCs w:val="24"/>
                      <w:lang w:eastAsia="fr-BE"/>
                    </w:rPr>
                    <w:t xml:space="preserve">8ter </w:t>
                  </w:r>
                  <w:r>
                    <w:rPr>
                      <w:rFonts w:ascii="Cambria" w:hAnsi="Cambria" w:cs="Calibri"/>
                      <w:color w:val="000000"/>
                      <w:sz w:val="24"/>
                      <w:szCs w:val="24"/>
                      <w:lang w:eastAsia="fr-BE"/>
                    </w:rPr>
                    <w:t>du Décret du 3 mars 2004 organisant l’enseignement spécialisé tel que modifié précisent que l’attestation d’admission en enseignement spécialisé doit être rédigée par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Centre PMS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office d’orientation scolaire et professionnelle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tout autre organisme offrant les mêmes garanties en matière d’orientation scolaire ou professionnelle, organisé, subventionné ou reconnu par la Communauté française.</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Une liste de ces organismes est établie annuellement par le Gouvernement. Elle est communiquée aux instituts, établissements et écoles d’enseignement spécialisé ainsi qu’aux Commissions consultatives de l’enseignement spécialisé. </w:t>
                  </w: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Elle est disponible au chapitre 19 de la présente circulaire.</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organismes repris dans cette liste sont habilités à rédiger l’annexe à l’attestation d’admission.</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Centres PMS spécialisés sont également habilités à délivrer l’annexe à l’attestation d’admission en enseignement spécialisé pour les élèves fréquentant l’une des quatre pédagogies adaptées et qui sont actuellement scolarisés en enseignement spécialisé. Il n’est donc pas nécessaire pour ces élèves déjà inscrits en enseignement spécialisé de faire appel au CPMS orienteur pour établir l’annexe à l’attestation d’orientation.</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b/>
                      <w:bCs/>
                      <w:color w:val="000000"/>
                      <w:sz w:val="24"/>
                      <w:szCs w:val="24"/>
                      <w:lang w:eastAsia="fr-BE"/>
                    </w:rPr>
                    <w:t xml:space="preserve">Rappel : </w:t>
                  </w:r>
                  <w:r>
                    <w:rPr>
                      <w:rFonts w:ascii="Cambria" w:hAnsi="Cambria" w:cs="Calibri"/>
                      <w:color w:val="000000"/>
                      <w:sz w:val="24"/>
                      <w:szCs w:val="24"/>
                      <w:lang w:eastAsia="fr-BE"/>
                    </w:rPr>
                    <w:t>Le rapport d’inscription d’un enfant en enseignement spécialisé ne peut être rédigé par un CPMS de l’enseignement spécialisé.</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L’annexe à l’attestation d’admission peut être, quant à elle, rédigée par un CPMS mixte ou spécialisé.</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b/>
                      <w:bCs/>
                      <w:color w:val="000000"/>
                      <w:sz w:val="24"/>
                      <w:szCs w:val="24"/>
                      <w:lang w:eastAsia="fr-BE"/>
                    </w:rPr>
                    <w:t xml:space="preserve">Remarques : </w:t>
                  </w:r>
                  <w:r>
                    <w:rPr>
                      <w:rFonts w:ascii="Cambria" w:hAnsi="Cambria" w:cs="Calibri"/>
                      <w:color w:val="000000"/>
                      <w:sz w:val="24"/>
                      <w:szCs w:val="24"/>
                      <w:lang w:eastAsia="fr-BE"/>
                    </w:rPr>
                    <w:t>Le document original intitulé « annexe à l’attestation d’admission en enseignement spécialisé » devra être tenu à la disposition de la vérification de la population scolaire et de l’Inspection de l’enseignement spécialisé, dans le dossier de l’élève.</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bCs/>
                      <w:color w:val="000000"/>
                      <w:sz w:val="24"/>
                      <w:szCs w:val="24"/>
                      <w:lang w:eastAsia="fr-BE"/>
                    </w:rPr>
                  </w:pPr>
                  <w:r>
                    <w:rPr>
                      <w:rFonts w:ascii="Cambria" w:hAnsi="Cambria" w:cs="Calibri"/>
                      <w:b/>
                      <w:bCs/>
                      <w:color w:val="000000"/>
                      <w:sz w:val="24"/>
                      <w:szCs w:val="24"/>
                      <w:lang w:eastAsia="fr-BE"/>
                    </w:rPr>
                    <w:sym w:font="Wingdings" w:char="F047"/>
                  </w:r>
                  <w:r>
                    <w:rPr>
                      <w:rFonts w:ascii="Cambria" w:hAnsi="Cambria" w:cs="Calibri"/>
                      <w:b/>
                      <w:bCs/>
                      <w:color w:val="000000"/>
                      <w:sz w:val="24"/>
                      <w:szCs w:val="24"/>
                      <w:lang w:eastAsia="fr-BE"/>
                    </w:rPr>
                    <w:t xml:space="preserve">  A défaut de cette annexe à l’attestation d’admission, l’élève ne pourra être comptabilisé pour bénéficier du capital-périodes à 100 %.</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4. Organisation des pédagogies adaptées</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pStyle w:val="Titre4"/>
                    <w:rPr>
                      <w:rFonts w:eastAsia="Calibri"/>
                    </w:rPr>
                  </w:pPr>
                  <w:r>
                    <w:rPr>
                      <w:rFonts w:eastAsia="Calibri"/>
                    </w:rPr>
                    <w:t>4.1. Remarques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Dans le cadre des pédagogies adaptées, pour l’enseignement secondaire spécialisé, il est accordé une heure de guidance recyclage aux membres du personnel titulaires des fonctions CT, PP en activité au sein de celles-ci.</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d’une pédagogie adaptée doit faire l’objet d’une consultation préalable du comité de concertation de base pour les établissements d'enseignement organisés par la Fédération Wallonie-Bruxelles, de la Commission paritaire locale pour les établissements d'enseignement officiel subventionné par la Fédération Wallonie-Bruxelles ou des instances de concertation locale ou à défaut des délégations syndicales pour les établissements d'enseignement libre subventionné par la Fédération Wallonie-Bruxelles.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d’une pédagogie adaptée ne peut en rien modifier la structure (typologie) de l’établissement et ne peut, notamment, constituer la création d’un nouveau type.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établissements organisant une pédagogie adaptée pourront aménager les rythmes journaliers et hebdomadaires des élèves en fonction des cas particuliers au sein de l’établissement.</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Par classe on entend un groupe (éclaté ou non) d’élèves bénéficiant d’une pédagogie adaptée, placé sous la responsabilité d’un titulaire et/ou d’un coordonnateur.</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Style w:val="Titre4"/>
                    <w:rPr>
                      <w:rFonts w:eastAsia="Calibri"/>
                    </w:rPr>
                  </w:pPr>
                  <w:r>
                    <w:rPr>
                      <w:rFonts w:eastAsia="Calibri"/>
                    </w:rPr>
                    <w:t>4.2. Organisation générale</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Dans le cadre des missions de l’Inspection, les établissements d'enseignement secondaire spécialisé qui organisent une pédagogie adaptée tiendront à la disposition de l’inspection un dossier reprenant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liste des élèves et le type d’enseignement dont ils relèvent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PIA de chaque élève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l’attestation d’orientation de chaque élève et son annexe;</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pStyle w:val="Titre4"/>
                    <w:rPr>
                      <w:rFonts w:eastAsia="Calibri"/>
                    </w:rPr>
                  </w:pPr>
                  <w:r>
                    <w:rPr>
                      <w:rFonts w:eastAsia="Calibri"/>
                    </w:rPr>
                    <w:t>4.3. Règles d’organisation</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d’une pédagogie adaptée s'intégrera dans le projet d’établissement.</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Cette pédagogie adaptée implique le respect des principes suivants, explicités dans le projet pédagogique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plan individuel d’apprentissage concerté avec la famille ;</w:t>
                  </w:r>
                </w:p>
                <w:p w:rsidR="00F04EEF" w:rsidRDefault="0099351E">
                  <w:pPr>
                    <w:numPr>
                      <w:ilvl w:val="0"/>
                      <w:numId w:val="34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une collaboration active avec la famille;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b/>
                      <w:bCs/>
                      <w:color w:val="000000"/>
                      <w:sz w:val="24"/>
                      <w:szCs w:val="24"/>
                      <w:lang w:eastAsia="fr-BE"/>
                    </w:rPr>
                  </w:pPr>
                  <w:r>
                    <w:rPr>
                      <w:rFonts w:ascii="Cambria" w:hAnsi="Cambria" w:cs="Calibri"/>
                      <w:color w:val="000000"/>
                      <w:sz w:val="24"/>
                      <w:szCs w:val="24"/>
                      <w:lang w:eastAsia="fr-BE"/>
                    </w:rPr>
                    <w:t xml:space="preserve">Pour chaque élève concerné, le plan individuel d’apprentissage sera élaboré et ajusté par le conseil de classe, en concertation avec l’organisme chargé de la guidance, en référence au trouble précisé par </w:t>
                  </w:r>
                  <w:r>
                    <w:rPr>
                      <w:rFonts w:ascii="Cambria" w:hAnsi="Cambria" w:cs="Calibri"/>
                      <w:b/>
                      <w:bCs/>
                      <w:color w:val="000000"/>
                      <w:sz w:val="24"/>
                      <w:szCs w:val="24"/>
                      <w:lang w:eastAsia="fr-BE"/>
                    </w:rPr>
                    <w:t>un centre ou une personne spécialisé(e) dans le domaine de la pédagogie adaptée.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b/>
                      <w:bCs/>
                      <w:color w:val="000000"/>
                      <w:sz w:val="24"/>
                      <w:szCs w:val="24"/>
                      <w:lang w:eastAsia="fr-BE"/>
                    </w:rPr>
                  </w:pPr>
                  <w:r>
                    <w:rPr>
                      <w:rFonts w:ascii="Cambria" w:hAnsi="Cambria" w:cs="Calibri"/>
                      <w:color w:val="000000"/>
                      <w:sz w:val="24"/>
                      <w:szCs w:val="24"/>
                      <w:lang w:eastAsia="fr-BE"/>
                    </w:rPr>
                    <w:t xml:space="preserve">Il sera fait appel, dans la mesure du possible et du respect des dispositions statutaires, au personnel paramédical et au personnel enseignant particulièrement </w:t>
                  </w:r>
                  <w:r>
                    <w:rPr>
                      <w:rFonts w:ascii="Cambria" w:hAnsi="Cambria" w:cs="Calibri"/>
                      <w:b/>
                      <w:bCs/>
                      <w:color w:val="000000"/>
                      <w:sz w:val="24"/>
                      <w:szCs w:val="24"/>
                      <w:lang w:eastAsia="fr-BE"/>
                    </w:rPr>
                    <w:t>formé à la pratique des pédagogies adaptées.</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pStyle w:val="Titre4"/>
                    <w:rPr>
                      <w:rFonts w:eastAsia="Calibri"/>
                    </w:rPr>
                  </w:pPr>
                  <w:r>
                    <w:rPr>
                      <w:rFonts w:eastAsia="Calibri"/>
                    </w:rPr>
                    <w:t>4.4. 0rganisation de l’inspection</w:t>
                  </w:r>
                </w:p>
                <w:p w:rsidR="00F04EEF" w:rsidRDefault="00F04EEF">
                  <w:pPr>
                    <w:autoSpaceDE w:val="0"/>
                    <w:autoSpaceDN w:val="0"/>
                    <w:adjustRightInd w:val="0"/>
                    <w:rPr>
                      <w:rFonts w:ascii="Cambria" w:eastAsia="SymbolMT"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L'inspection des activités, selon leurs spécificités, sera réalisée par Monsieur l’inspecteur Paul GERARD en collaboration, en fonction du personnel encadrant, avec :</w:t>
                  </w:r>
                </w:p>
                <w:p w:rsidR="00F04EEF" w:rsidRDefault="0099351E">
                  <w:pPr>
                    <w:numPr>
                      <w:ilvl w:val="0"/>
                      <w:numId w:val="348"/>
                    </w:numPr>
                    <w:tabs>
                      <w:tab w:val="left" w:pos="1276"/>
                    </w:tabs>
                    <w:autoSpaceDE w:val="0"/>
                    <w:autoSpaceDN w:val="0"/>
                    <w:adjustRightInd w:val="0"/>
                    <w:ind w:hanging="11"/>
                    <w:rPr>
                      <w:rFonts w:ascii="Cambria" w:hAnsi="Cambria" w:cs="Calibri"/>
                      <w:color w:val="000000"/>
                      <w:sz w:val="24"/>
                      <w:szCs w:val="24"/>
                      <w:lang w:eastAsia="fr-BE"/>
                    </w:rPr>
                  </w:pPr>
                  <w:r>
                    <w:rPr>
                      <w:rFonts w:ascii="Cambria" w:hAnsi="Cambria" w:cs="Calibri"/>
                      <w:color w:val="000000"/>
                      <w:sz w:val="24"/>
                      <w:szCs w:val="24"/>
                      <w:lang w:eastAsia="fr-BE"/>
                    </w:rPr>
                    <w:t>Monsieur l’Inspecteur O. HONNORE(activités paramédicales);</w:t>
                  </w:r>
                </w:p>
                <w:p w:rsidR="00F04EEF" w:rsidRDefault="0099351E">
                  <w:pPr>
                    <w:numPr>
                      <w:ilvl w:val="0"/>
                      <w:numId w:val="348"/>
                    </w:numPr>
                    <w:tabs>
                      <w:tab w:val="left" w:pos="1276"/>
                    </w:tabs>
                    <w:autoSpaceDE w:val="0"/>
                    <w:autoSpaceDN w:val="0"/>
                    <w:adjustRightInd w:val="0"/>
                    <w:ind w:hanging="11"/>
                    <w:rPr>
                      <w:rFonts w:ascii="Cambria" w:hAnsi="Cambria" w:cs="Calibri"/>
                      <w:color w:val="000000"/>
                      <w:sz w:val="24"/>
                      <w:szCs w:val="24"/>
                      <w:lang w:eastAsia="fr-BE"/>
                    </w:rPr>
                  </w:pPr>
                  <w:r>
                    <w:rPr>
                      <w:rFonts w:ascii="Cambria" w:hAnsi="Cambria" w:cs="Calibri"/>
                      <w:color w:val="000000"/>
                      <w:sz w:val="24"/>
                      <w:szCs w:val="24"/>
                      <w:lang w:eastAsia="fr-BE"/>
                    </w:rPr>
                    <w:t>Monsieur l'Inspecteur Th. HARIGA (activités auxiliaires d’éducation).</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br w:type="page"/>
                    <w:t>5. Relevé des élèves bénéficiant de pédagogies adaptées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L’information relative au nombre d’élèves orientés vers les pédagogies adaptées est renseignée via l’envoi des interfaces population.</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Pour les écoles d’enseignement secondaire spécialisé, les élèves doivent continuer à être renseignés dans les grilles consacrées aux pédagogies adaptées. </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Si de telles grilles ne sont pas répertoriées dans les grilles approuvées par l’Administration pour votre établissement, veuillez contacter :</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Service de l’enseignement spécialisé</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Madame Christine WILLEMS</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Bureau 2 F 241</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Rue Adolphe Lavallée, 1</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1080 BRUXELLES</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FF"/>
                      <w:sz w:val="24"/>
                      <w:szCs w:val="24"/>
                      <w:lang w:eastAsia="fr-BE"/>
                    </w:rPr>
                  </w:pPr>
                  <w:r>
                    <w:rPr>
                      <w:rFonts w:ascii="Cambria" w:eastAsia="Wingdings-Regular" w:hAnsi="Cambria" w:cs="Calibri"/>
                      <w:color w:val="000000"/>
                      <w:sz w:val="24"/>
                      <w:szCs w:val="24"/>
                      <w:lang w:eastAsia="fr-BE"/>
                    </w:rPr>
                    <w:sym w:font="Wingdings" w:char="F028"/>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00"/>
                      <w:sz w:val="24"/>
                      <w:szCs w:val="24"/>
                      <w:lang w:eastAsia="fr-BE"/>
                    </w:rPr>
                    <w:t xml:space="preserve">02/690. 84.11 </w:t>
                  </w:r>
                  <w:r>
                    <w:rPr>
                      <w:rFonts w:ascii="Cambria" w:hAnsi="Cambria" w:cs="Calibri"/>
                      <w:b/>
                      <w:bCs/>
                      <w:color w:val="000000"/>
                      <w:sz w:val="24"/>
                      <w:szCs w:val="24"/>
                      <w:lang w:eastAsia="fr-BE"/>
                    </w:rPr>
                    <w:t xml:space="preserve">- </w:t>
                  </w:r>
                  <w:r>
                    <w:rPr>
                      <w:rFonts w:ascii="Cambria" w:eastAsia="Wingdings-Regular" w:hAnsi="Cambria" w:cs="Calibri"/>
                      <w:color w:val="000000"/>
                      <w:sz w:val="24"/>
                      <w:szCs w:val="24"/>
                      <w:lang w:eastAsia="fr-BE"/>
                    </w:rPr>
                    <w:sym w:font="Wingdings" w:char="F03A"/>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FF"/>
                      <w:sz w:val="24"/>
                      <w:szCs w:val="24"/>
                      <w:lang w:eastAsia="fr-BE"/>
                    </w:rPr>
                    <w:t>christine.willems@cfwb.be</w:t>
                  </w:r>
                </w:p>
                <w:p w:rsidR="00F04EEF" w:rsidRDefault="00F04EEF">
                  <w:pPr>
                    <w:autoSpaceDE w:val="0"/>
                    <w:autoSpaceDN w:val="0"/>
                    <w:adjustRightInd w:val="0"/>
                    <w:rPr>
                      <w:rFonts w:ascii="Cambria" w:hAnsi="Cambria" w:cs="Calibri"/>
                      <w:b/>
                      <w:bCs/>
                      <w:color w:val="000000"/>
                      <w:sz w:val="24"/>
                      <w:szCs w:val="24"/>
                      <w:lang w:eastAsia="fr-BE"/>
                    </w:rPr>
                  </w:pPr>
                </w:p>
                <w:p w:rsidR="00F04EEF" w:rsidRDefault="00F04EEF">
                  <w:pPr>
                    <w:autoSpaceDE w:val="0"/>
                    <w:autoSpaceDN w:val="0"/>
                    <w:adjustRightInd w:val="0"/>
                    <w:rPr>
                      <w:rFonts w:ascii="Cambria" w:hAnsi="Cambria" w:cs="Calibri"/>
                      <w:b/>
                      <w:bCs/>
                      <w:color w:val="000000"/>
                      <w:sz w:val="24"/>
                      <w:szCs w:val="24"/>
                      <w:lang w:eastAsia="fr-BE"/>
                    </w:rPr>
                  </w:pPr>
                </w:p>
                <w:p w:rsidR="00F04EEF" w:rsidRDefault="0099351E">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6. Cahier des charges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Le Directeur tient l’ensemble des documents figurant dans ce cahier des charges à la disposition des Services de l’Inspection et du Service de la vérification de la population scolaire.</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Style w:val="Titre4"/>
                    <w:rPr>
                      <w:rFonts w:eastAsia="Calibri"/>
                    </w:rPr>
                  </w:pPr>
                  <w:r>
                    <w:rPr>
                      <w:rFonts w:eastAsia="Calibri"/>
                    </w:rPr>
                    <w:t>6.1. Dispositions générales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Pour être reconnu en tant qu’élève bénéficiant d’une des pédagogies adaptées définies ci-dessus, chaque élève doit posséder un rapport d'inscription.</w:t>
                  </w:r>
                </w:p>
                <w:p w:rsidR="00F04EEF" w:rsidRDefault="00F04EEF">
                  <w:pPr>
                    <w:autoSpaceDE w:val="0"/>
                    <w:autoSpaceDN w:val="0"/>
                    <w:adjustRightInd w:val="0"/>
                    <w:jc w:val="both"/>
                    <w:rPr>
                      <w:rFonts w:cstheme="minorHAns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Outre le rapport, l'orientation de l'élève est subordonnée à la production de l'annexe à l'attestation d'admission en enseignement spécialisé tel que signalé au point 3. ci-dessus.</w:t>
                  </w:r>
                </w:p>
                <w:p w:rsidR="00F04EEF" w:rsidRDefault="00F04EEF">
                  <w:pPr>
                    <w:autoSpaceDE w:val="0"/>
                    <w:autoSpaceDN w:val="0"/>
                    <w:adjustRightInd w:val="0"/>
                    <w:jc w:val="both"/>
                    <w:rPr>
                      <w:rFonts w:cstheme="minorHAns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L’établissement offrant une pédagogie adaptée doit compter dans son équipe des membres du personnel ayant bénéficié de formations en lien avec la ou les pédagogies adaptées offertes par l’école.</w:t>
                  </w:r>
                </w:p>
                <w:p w:rsidR="00F04EEF" w:rsidRDefault="00F04EEF">
                  <w:pPr>
                    <w:autoSpaceDE w:val="0"/>
                    <w:autoSpaceDN w:val="0"/>
                    <w:adjustRightInd w:val="0"/>
                    <w:jc w:val="both"/>
                    <w:rPr>
                      <w:rFonts w:cstheme="minorHAns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A titre d’exemple, vous trouverez ci-dessous une liste non exhaustive de thèmes de formation :</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Méthode Teacch</w:t>
                  </w:r>
                  <w:r>
                    <w:rPr>
                      <w:rStyle w:val="Appelnotedebasdep"/>
                      <w:rFonts w:cstheme="minorHAnsi"/>
                      <w:color w:val="000000"/>
                      <w:sz w:val="24"/>
                      <w:szCs w:val="24"/>
                      <w:lang w:eastAsia="fr-BE"/>
                    </w:rPr>
                    <w:footnoteReference w:id="154"/>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Déglutition chez les enfants porteurs de handicaps</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Pédagogie adaptée aux polyhandicapés ;</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Pédagogie adaptée à l’autisme autre que la méthode Teacch</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Pédagogie adaptées aux élèves avec HPLCI</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Initiation à la gestion mentale</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Pédagogie du projet</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Apprendre avec le « mind mapping »</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Intégrer les TICE</w:t>
                  </w:r>
                  <w:r>
                    <w:rPr>
                      <w:rStyle w:val="Appelnotedebasdep"/>
                      <w:rFonts w:cstheme="minorHAnsi"/>
                      <w:color w:val="000000"/>
                      <w:sz w:val="24"/>
                      <w:szCs w:val="24"/>
                      <w:lang w:eastAsia="fr-BE"/>
                    </w:rPr>
                    <w:footnoteReference w:id="155"/>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TBI</w:t>
                  </w:r>
                  <w:r>
                    <w:rPr>
                      <w:rStyle w:val="Appelnotedebasdep"/>
                      <w:rFonts w:cstheme="minorHAnsi"/>
                      <w:color w:val="000000"/>
                      <w:sz w:val="24"/>
                      <w:szCs w:val="24"/>
                      <w:lang w:eastAsia="fr-BE"/>
                    </w:rPr>
                    <w:footnoteReference w:id="156"/>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Sensibilisation aux troubles DYS</w:t>
                  </w:r>
                </w:p>
                <w:p w:rsidR="00F04EEF" w:rsidRDefault="0099351E">
                  <w:pPr>
                    <w:numPr>
                      <w:ilvl w:val="0"/>
                      <w:numId w:val="348"/>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Des outils spécifiques pour les élèves dysphasiques (Méthode Ledan, code</w:t>
                  </w:r>
                </w:p>
                <w:p w:rsidR="00F04EEF" w:rsidRDefault="0099351E">
                  <w:pPr>
                    <w:numPr>
                      <w:ilvl w:val="0"/>
                      <w:numId w:val="350"/>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forme/couleur pour les notions grammaticales,…)</w:t>
                  </w:r>
                </w:p>
                <w:p w:rsidR="00F04EEF" w:rsidRDefault="0099351E">
                  <w:pPr>
                    <w:numPr>
                      <w:ilvl w:val="0"/>
                      <w:numId w:val="350"/>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Utilisation de moyens de communication adaptés comme par exemple le PEC’s</w:t>
                  </w:r>
                  <w:r>
                    <w:rPr>
                      <w:rStyle w:val="Appelnotedebasdep"/>
                      <w:rFonts w:cstheme="minorHAnsi"/>
                      <w:color w:val="000000"/>
                      <w:sz w:val="24"/>
                      <w:szCs w:val="24"/>
                      <w:lang w:eastAsia="fr-BE"/>
                    </w:rPr>
                    <w:footnoteReference w:id="157"/>
                  </w:r>
                </w:p>
                <w:p w:rsidR="00F04EEF" w:rsidRDefault="0099351E">
                  <w:pPr>
                    <w:numPr>
                      <w:ilvl w:val="0"/>
                      <w:numId w:val="350"/>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Utilisation d’outils de communication (Exemple de logiciels adaptés : Mind Express,…)</w:t>
                  </w:r>
                </w:p>
                <w:p w:rsidR="00F04EEF" w:rsidRDefault="0099351E">
                  <w:pPr>
                    <w:numPr>
                      <w:ilvl w:val="0"/>
                      <w:numId w:val="350"/>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SNOEZELEN</w:t>
                  </w:r>
                </w:p>
                <w:p w:rsidR="00F04EEF" w:rsidRDefault="0099351E">
                  <w:pPr>
                    <w:numPr>
                      <w:ilvl w:val="0"/>
                      <w:numId w:val="350"/>
                    </w:num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Régulation des comportements difficiles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Le nombre de membres du personnel formés doit correspondre au moins à une personne formée par nombre d’élèves équivalent au double du nombre guide le plus élevé pris en considération</w:t>
                  </w:r>
                  <w:r>
                    <w:rPr>
                      <w:rStyle w:val="Appelnotedebasdep"/>
                      <w:rFonts w:cstheme="minorHAnsi"/>
                      <w:color w:val="000000"/>
                      <w:sz w:val="24"/>
                      <w:szCs w:val="24"/>
                      <w:lang w:eastAsia="fr-BE"/>
                    </w:rPr>
                    <w:footnoteReference w:id="158"/>
                  </w:r>
                  <w:r>
                    <w:rPr>
                      <w:rFonts w:cstheme="minorHAnsi"/>
                      <w:color w:val="000000"/>
                      <w:sz w:val="24"/>
                      <w:szCs w:val="24"/>
                      <w:lang w:eastAsia="fr-BE"/>
                    </w:rPr>
                    <w:t>.</w:t>
                  </w:r>
                </w:p>
                <w:p w:rsidR="00F04EEF" w:rsidRDefault="00F04EEF">
                  <w:pPr>
                    <w:autoSpaceDE w:val="0"/>
                    <w:autoSpaceDN w:val="0"/>
                    <w:adjustRightInd w:val="0"/>
                    <w:jc w:val="both"/>
                    <w:rPr>
                      <w:rFonts w:cstheme="minorHAns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Pour organiser une pédagogie adaptée, l’établissement doit mettre à disposition des membres du personnel concerné un portefeuille de lecture comprenant notamment :</w:t>
                  </w:r>
                </w:p>
                <w:p w:rsidR="00F04EEF" w:rsidRDefault="00F04EEF">
                  <w:pPr>
                    <w:autoSpaceDE w:val="0"/>
                    <w:autoSpaceDN w:val="0"/>
                    <w:adjustRightInd w:val="0"/>
                    <w:jc w:val="both"/>
                    <w:rPr>
                      <w:rFonts w:cstheme="minorHAnsi"/>
                      <w:color w:val="000000"/>
                      <w:sz w:val="24"/>
                      <w:szCs w:val="24"/>
                      <w:lang w:eastAsia="fr-BE"/>
                    </w:rPr>
                  </w:pPr>
                </w:p>
                <w:p w:rsidR="00F04EEF" w:rsidRDefault="0099351E">
                  <w:pPr>
                    <w:numPr>
                      <w:ilvl w:val="0"/>
                      <w:numId w:val="350"/>
                    </w:numPr>
                    <w:autoSpaceDE w:val="0"/>
                    <w:autoSpaceDN w:val="0"/>
                    <w:adjustRightInd w:val="0"/>
                    <w:ind w:left="567" w:right="-142" w:hanging="425"/>
                    <w:rPr>
                      <w:rFonts w:cstheme="minorHAnsi"/>
                      <w:color w:val="000000"/>
                      <w:sz w:val="24"/>
                      <w:szCs w:val="24"/>
                      <w:lang w:eastAsia="fr-BE"/>
                    </w:rPr>
                  </w:pPr>
                  <w:r>
                    <w:rPr>
                      <w:rFonts w:cstheme="minorHAnsi"/>
                      <w:color w:val="000000"/>
                      <w:sz w:val="24"/>
                      <w:szCs w:val="24"/>
                      <w:lang w:eastAsia="fr-BE"/>
                    </w:rPr>
                    <w:t xml:space="preserve">Des documents téléchargeables sur le site : http://www.enseignement.be/index.php </w:t>
                  </w:r>
                </w:p>
                <w:p w:rsidR="00F04EEF" w:rsidRDefault="00F04EEF">
                  <w:pPr>
                    <w:autoSpaceDE w:val="0"/>
                    <w:autoSpaceDN w:val="0"/>
                    <w:adjustRightInd w:val="0"/>
                    <w:ind w:left="567" w:right="-142"/>
                    <w:rPr>
                      <w:rFonts w:cstheme="minorHAnsi"/>
                      <w:color w:val="000000"/>
                      <w:sz w:val="24"/>
                      <w:szCs w:val="24"/>
                      <w:lang w:eastAsia="fr-BE"/>
                    </w:rPr>
                  </w:pP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Circulaire n° 4235 du 12/12/2012 : Plan Individuel d’Apprentissage (P.I.A.). De la démarche au document</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Circulaire n° 4888 du 20/06/2014 : Soins et prises de médicaments pour les élèves accueillis en enseignement ordinaire et en enseignement spécialisé</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Circulaire n° 5643 du 04/03/2016 : Objet : «Mesures de contention et d’isolement dans l’enseignement »</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Les fiches-outils sur les aménagements raisonnables : Mieux cheminer au sein des besoins spécifiques d’apprentissage</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Enseigner aux élèves avec troubles d'apprentissage - 2012</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Enseigner aux élèves à hauts potentiels – 2013</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Enseigner aux élèves qui ne maitrisent pas la langue de l’enseignement</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-Pour une pédagogie adaptée aux élèves avec autisme - Manuel complémentaire à</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la formation TEACCH ...</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Le TDA/H en quelques mots &amp; quelques images</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TDA/H et Scolarité - Comprendre et accompagner l'élève atteint de TDA/H à</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l'école (2013)</w:t>
                  </w:r>
                </w:p>
                <w:p w:rsidR="00F04EEF" w:rsidRDefault="0099351E">
                  <w:pPr>
                    <w:numPr>
                      <w:ilvl w:val="1"/>
                      <w:numId w:val="351"/>
                    </w:numPr>
                    <w:tabs>
                      <w:tab w:val="left" w:pos="1134"/>
                    </w:tabs>
                    <w:autoSpaceDE w:val="0"/>
                    <w:autoSpaceDN w:val="0"/>
                    <w:adjustRightInd w:val="0"/>
                    <w:ind w:left="1134" w:hanging="589"/>
                    <w:jc w:val="both"/>
                    <w:rPr>
                      <w:rFonts w:cstheme="minorHAnsi"/>
                      <w:color w:val="000000"/>
                      <w:sz w:val="24"/>
                      <w:szCs w:val="24"/>
                      <w:lang w:eastAsia="fr-BE"/>
                    </w:rPr>
                  </w:pPr>
                  <w:r>
                    <w:rPr>
                      <w:rFonts w:cstheme="minorHAnsi"/>
                      <w:color w:val="000000"/>
                      <w:sz w:val="24"/>
                      <w:szCs w:val="24"/>
                      <w:lang w:eastAsia="fr-BE"/>
                    </w:rPr>
                    <w:t>Handicap, déficience - accompagner l'annonce d'un diagnostic</w:t>
                  </w:r>
                </w:p>
                <w:p w:rsidR="00F04EEF" w:rsidRDefault="00F04EEF">
                  <w:pPr>
                    <w:autoSpaceDE w:val="0"/>
                    <w:autoSpaceDN w:val="0"/>
                    <w:adjustRightInd w:val="0"/>
                    <w:rPr>
                      <w:rFonts w:eastAsia="SymbolMT" w:cstheme="minorHAnsi"/>
                      <w:color w:val="000000"/>
                      <w:sz w:val="24"/>
                      <w:szCs w:val="24"/>
                      <w:lang w:eastAsia="fr-BE"/>
                    </w:rPr>
                  </w:pPr>
                </w:p>
                <w:p w:rsidR="00F04EEF" w:rsidRDefault="0099351E">
                  <w:pPr>
                    <w:numPr>
                      <w:ilvl w:val="0"/>
                      <w:numId w:val="350"/>
                    </w:numPr>
                    <w:autoSpaceDE w:val="0"/>
                    <w:autoSpaceDN w:val="0"/>
                    <w:adjustRightInd w:val="0"/>
                    <w:ind w:left="567" w:right="-142" w:hanging="425"/>
                    <w:jc w:val="both"/>
                    <w:rPr>
                      <w:rFonts w:cstheme="minorHAnsi"/>
                      <w:color w:val="000000"/>
                      <w:sz w:val="24"/>
                      <w:szCs w:val="24"/>
                      <w:lang w:eastAsia="fr-BE"/>
                    </w:rPr>
                  </w:pPr>
                  <w:r>
                    <w:rPr>
                      <w:rFonts w:cstheme="minorHAnsi"/>
                      <w:color w:val="000000"/>
                      <w:sz w:val="24"/>
                      <w:szCs w:val="24"/>
                      <w:lang w:eastAsia="fr-BE"/>
                    </w:rPr>
                    <w:t>L’avis N° 154 du Conseil supérieur sur les pédagogies adaptées ;</w:t>
                  </w:r>
                </w:p>
                <w:p w:rsidR="00F04EEF" w:rsidRDefault="00F04EEF">
                  <w:pPr>
                    <w:autoSpaceDE w:val="0"/>
                    <w:autoSpaceDN w:val="0"/>
                    <w:adjustRightInd w:val="0"/>
                    <w:ind w:left="567" w:right="-142"/>
                    <w:jc w:val="both"/>
                    <w:rPr>
                      <w:rFonts w:cstheme="minorHAnsi"/>
                      <w:color w:val="000000"/>
                      <w:sz w:val="24"/>
                      <w:szCs w:val="24"/>
                      <w:lang w:eastAsia="fr-BE"/>
                    </w:rPr>
                  </w:pPr>
                </w:p>
                <w:p w:rsidR="00F04EEF" w:rsidRDefault="0099351E">
                  <w:pPr>
                    <w:numPr>
                      <w:ilvl w:val="0"/>
                      <w:numId w:val="350"/>
                    </w:numPr>
                    <w:autoSpaceDE w:val="0"/>
                    <w:autoSpaceDN w:val="0"/>
                    <w:adjustRightInd w:val="0"/>
                    <w:ind w:left="567" w:right="-142" w:hanging="425"/>
                    <w:jc w:val="both"/>
                    <w:rPr>
                      <w:rFonts w:cstheme="minorHAnsi"/>
                      <w:color w:val="000000"/>
                      <w:sz w:val="24"/>
                      <w:szCs w:val="24"/>
                      <w:lang w:eastAsia="fr-BE"/>
                    </w:rPr>
                  </w:pPr>
                  <w:r>
                    <w:rPr>
                      <w:rFonts w:cstheme="minorHAnsi"/>
                      <w:color w:val="000000"/>
                      <w:sz w:val="24"/>
                      <w:szCs w:val="24"/>
                      <w:lang w:eastAsia="fr-BE"/>
                    </w:rPr>
                    <w:t>Les documents des formations suivies par les membres du personnel concernés par les pédagogies adaptées.</w:t>
                  </w:r>
                </w:p>
                <w:p w:rsidR="00F04EEF" w:rsidRDefault="00F04EEF">
                  <w:pPr>
                    <w:autoSpaceDE w:val="0"/>
                    <w:autoSpaceDN w:val="0"/>
                    <w:adjustRightInd w:val="0"/>
                    <w:ind w:right="-142"/>
                    <w:jc w:val="both"/>
                    <w:rPr>
                      <w:rFonts w:cstheme="minorHAnsi"/>
                      <w:color w:val="000000"/>
                      <w:sz w:val="24"/>
                      <w:szCs w:val="24"/>
                      <w:lang w:eastAsia="fr-BE"/>
                    </w:rPr>
                  </w:pPr>
                </w:p>
                <w:p w:rsidR="00F04EEF" w:rsidRDefault="0099351E">
                  <w:pPr>
                    <w:autoSpaceDE w:val="0"/>
                    <w:autoSpaceDN w:val="0"/>
                    <w:adjustRightInd w:val="0"/>
                    <w:ind w:right="-142"/>
                    <w:jc w:val="both"/>
                    <w:rPr>
                      <w:rFonts w:cstheme="minorHAnsi"/>
                      <w:color w:val="000000"/>
                      <w:sz w:val="24"/>
                      <w:szCs w:val="24"/>
                      <w:lang w:eastAsia="fr-BE"/>
                    </w:rPr>
                  </w:pPr>
                  <w:r>
                    <w:rPr>
                      <w:rFonts w:cstheme="minorHAnsi"/>
                      <w:color w:val="000000"/>
                      <w:sz w:val="24"/>
                      <w:szCs w:val="24"/>
                      <w:lang w:eastAsia="fr-BE"/>
                    </w:rPr>
                    <w:t>En ce qui concerne l’organisation d’une des pédagogies adaptées, celle-ci prévoit :</w:t>
                  </w:r>
                </w:p>
                <w:p w:rsidR="00F04EEF" w:rsidRDefault="0099351E">
                  <w:pPr>
                    <w:numPr>
                      <w:ilvl w:val="0"/>
                      <w:numId w:val="350"/>
                    </w:numPr>
                    <w:autoSpaceDE w:val="0"/>
                    <w:autoSpaceDN w:val="0"/>
                    <w:adjustRightInd w:val="0"/>
                    <w:ind w:left="567" w:right="-142" w:hanging="425"/>
                    <w:jc w:val="both"/>
                    <w:rPr>
                      <w:rFonts w:cstheme="minorHAnsi"/>
                      <w:color w:val="000000"/>
                      <w:sz w:val="24"/>
                      <w:szCs w:val="24"/>
                      <w:lang w:eastAsia="fr-BE"/>
                    </w:rPr>
                  </w:pPr>
                  <w:r>
                    <w:rPr>
                      <w:rFonts w:cstheme="minorHAnsi"/>
                      <w:color w:val="000000"/>
                      <w:sz w:val="24"/>
                      <w:szCs w:val="24"/>
                      <w:lang w:eastAsia="fr-BE"/>
                    </w:rPr>
                    <w:t>un système de gestion horaire spécifiant l’identité du professionnel et de(s) l’élève(s) pris en charge, précisant pour l’élève chaque transition d’activité, et adapté à son niveau de compréhension ;</w:t>
                  </w:r>
                </w:p>
                <w:p w:rsidR="00F04EEF" w:rsidRDefault="0099351E">
                  <w:pPr>
                    <w:numPr>
                      <w:ilvl w:val="0"/>
                      <w:numId w:val="350"/>
                    </w:numPr>
                    <w:autoSpaceDE w:val="0"/>
                    <w:autoSpaceDN w:val="0"/>
                    <w:adjustRightInd w:val="0"/>
                    <w:ind w:left="567" w:right="-142" w:hanging="425"/>
                    <w:jc w:val="both"/>
                    <w:rPr>
                      <w:rFonts w:cstheme="minorHAnsi"/>
                      <w:color w:val="000000"/>
                      <w:sz w:val="24"/>
                      <w:szCs w:val="24"/>
                      <w:lang w:eastAsia="fr-BE"/>
                    </w:rPr>
                  </w:pPr>
                  <w:r>
                    <w:rPr>
                      <w:rFonts w:cstheme="minorHAnsi"/>
                      <w:color w:val="000000"/>
                      <w:sz w:val="24"/>
                      <w:szCs w:val="24"/>
                      <w:lang w:eastAsia="fr-BE"/>
                    </w:rPr>
                    <w:t>une organisation des activités permettant une autonomie la plus large possible.</w:t>
                  </w:r>
                </w:p>
                <w:p w:rsidR="00F04EEF" w:rsidRDefault="00F04EEF">
                  <w:pPr>
                    <w:autoSpaceDE w:val="0"/>
                    <w:autoSpaceDN w:val="0"/>
                    <w:adjustRightInd w:val="0"/>
                    <w:ind w:right="-142"/>
                    <w:jc w:val="both"/>
                    <w:rPr>
                      <w:rFonts w:cstheme="minorHAnsi"/>
                      <w:color w:val="000000"/>
                      <w:sz w:val="24"/>
                      <w:szCs w:val="24"/>
                      <w:lang w:eastAsia="fr-BE"/>
                    </w:rPr>
                  </w:pPr>
                </w:p>
                <w:p w:rsidR="00F04EEF" w:rsidRDefault="0099351E">
                  <w:pPr>
                    <w:pStyle w:val="Titre4"/>
                    <w:rPr>
                      <w:rFonts w:eastAsia="Calibri" w:cstheme="minorHAnsi"/>
                    </w:rPr>
                  </w:pPr>
                  <w:r>
                    <w:rPr>
                      <w:rFonts w:eastAsia="Calibri" w:cstheme="minorHAnsi"/>
                    </w:rPr>
                    <w:t>6.2. Dispositions spécifiques</w:t>
                  </w:r>
                </w:p>
                <w:p w:rsidR="00F04EEF" w:rsidRDefault="00F04EEF">
                  <w:pPr>
                    <w:autoSpaceDE w:val="0"/>
                    <w:autoSpaceDN w:val="0"/>
                    <w:adjustRightInd w:val="0"/>
                    <w:rPr>
                      <w:rFonts w:cstheme="minorHAnsi"/>
                      <w:color w:val="000000"/>
                      <w:sz w:val="24"/>
                      <w:szCs w:val="24"/>
                      <w:lang w:eastAsia="fr-BE"/>
                    </w:rPr>
                  </w:pPr>
                </w:p>
                <w:p w:rsidR="00F04EEF" w:rsidRDefault="0099351E">
                  <w:pPr>
                    <w:autoSpaceDE w:val="0"/>
                    <w:autoSpaceDN w:val="0"/>
                    <w:adjustRightInd w:val="0"/>
                    <w:rPr>
                      <w:rFonts w:cstheme="minorHAnsi"/>
                      <w:color w:val="000000"/>
                      <w:sz w:val="24"/>
                      <w:szCs w:val="24"/>
                      <w:u w:val="single"/>
                      <w:lang w:eastAsia="fr-BE"/>
                    </w:rPr>
                  </w:pPr>
                  <w:r>
                    <w:rPr>
                      <w:rFonts w:cstheme="minorHAnsi"/>
                      <w:color w:val="000000"/>
                      <w:sz w:val="24"/>
                      <w:szCs w:val="24"/>
                      <w:u w:val="single"/>
                      <w:lang w:eastAsia="fr-BE"/>
                    </w:rPr>
                    <w:t>6.2.1. Organisation de la pédagogie adaptée aux élèves Aphasiques / dysphasiques</w:t>
                  </w:r>
                </w:p>
                <w:p w:rsidR="00F04EEF" w:rsidRDefault="00F04EEF">
                  <w:pPr>
                    <w:autoSpaceDE w:val="0"/>
                    <w:autoSpaceDN w:val="0"/>
                    <w:adjustRightInd w:val="0"/>
                    <w:rPr>
                      <w:rFonts w:cstheme="minorHAnsi"/>
                      <w:color w:val="000000"/>
                      <w:sz w:val="24"/>
                      <w:szCs w:val="24"/>
                      <w:lang w:eastAsia="fr-BE"/>
                    </w:rPr>
                  </w:pPr>
                </w:p>
                <w:p w:rsidR="00F04EEF" w:rsidRDefault="0099351E">
                  <w:pPr>
                    <w:autoSpaceDE w:val="0"/>
                    <w:autoSpaceDN w:val="0"/>
                    <w:adjustRightInd w:val="0"/>
                    <w:jc w:val="both"/>
                    <w:rPr>
                      <w:rFonts w:cstheme="minorHAnsi"/>
                      <w:color w:val="000000"/>
                      <w:sz w:val="24"/>
                      <w:szCs w:val="24"/>
                      <w:lang w:eastAsia="fr-BE"/>
                    </w:rPr>
                  </w:pPr>
                  <w:r>
                    <w:rPr>
                      <w:rFonts w:cstheme="minorHAnsi"/>
                      <w:color w:val="000000"/>
                      <w:sz w:val="24"/>
                      <w:szCs w:val="24"/>
                      <w:lang w:eastAsia="fr-BE"/>
                    </w:rPr>
                    <w:t>Outre les dispositions générales reprises ci-dessus, il y a lieu de prévoir un système de communication alternatif individuel lorsque l’élève ne maîtrise pas la langue de manière fonctionnelle et une utilisation de repères visuels.</w:t>
                  </w:r>
                </w:p>
                <w:p w:rsidR="00F04EEF" w:rsidRDefault="00F04EEF">
                  <w:pPr>
                    <w:autoSpaceDE w:val="0"/>
                    <w:autoSpaceDN w:val="0"/>
                    <w:adjustRightInd w:val="0"/>
                    <w:rPr>
                      <w:rFonts w:cstheme="minorHAns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6.2.2. Organisation de la pédagogie adaptée aux élèves polyhandicapés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Outre les dispositions générales reprises ci-dessus, il y a lieu de prévoir :</w:t>
                  </w:r>
                </w:p>
                <w:p w:rsidR="00F04EEF" w:rsidRDefault="0099351E">
                  <w:pPr>
                    <w:numPr>
                      <w:ilvl w:val="0"/>
                      <w:numId w:val="350"/>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d’espaces aux fonctions spécifiques, identifiables par les élèves ;</w:t>
                  </w:r>
                </w:p>
                <w:p w:rsidR="00F04EEF" w:rsidRDefault="0099351E">
                  <w:pPr>
                    <w:numPr>
                      <w:ilvl w:val="0"/>
                      <w:numId w:val="35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d’horaire individuel pour l’élève (renseignant si possible chaque transition d’activités et adapté à son niveau de compréhension) ;</w:t>
                  </w:r>
                </w:p>
                <w:p w:rsidR="00F04EEF" w:rsidRDefault="0099351E">
                  <w:pPr>
                    <w:numPr>
                      <w:ilvl w:val="0"/>
                      <w:numId w:val="35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6.2.3. Organisation de la pédagogie adaptée aux élèves autistes</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Outre les dispositions générales, il y a lieu de prévoir :</w:t>
                  </w:r>
                </w:p>
                <w:p w:rsidR="00F04EEF" w:rsidRDefault="0099351E">
                  <w:pPr>
                    <w:numPr>
                      <w:ilvl w:val="0"/>
                      <w:numId w:val="35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d’espaces aux fonctions spécifiques, identifiables par les élèves ;</w:t>
                  </w:r>
                </w:p>
                <w:p w:rsidR="00F04EEF" w:rsidRDefault="0099351E">
                  <w:pPr>
                    <w:numPr>
                      <w:ilvl w:val="0"/>
                      <w:numId w:val="35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d’horaire individuel, employé par l’élève lors de chaque transition d’activités et adapté à son niveau de compréhension ;</w:t>
                  </w:r>
                </w:p>
                <w:p w:rsidR="00F04EEF" w:rsidRDefault="0099351E">
                  <w:pPr>
                    <w:numPr>
                      <w:ilvl w:val="0"/>
                      <w:numId w:val="35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u w:val="single"/>
                      <w:lang w:eastAsia="fr-BE"/>
                    </w:rPr>
                  </w:pPr>
                  <w:r>
                    <w:rPr>
                      <w:rFonts w:ascii="Cambria" w:hAnsi="Cambria" w:cs="Calibri"/>
                      <w:color w:val="000000"/>
                      <w:sz w:val="24"/>
                      <w:szCs w:val="24"/>
                      <w:u w:val="single"/>
                      <w:lang w:eastAsia="fr-BE"/>
                    </w:rPr>
                    <w:t>6.2.4. Organisation de la pédagogie adaptée aux élèves avec HPLCI (Handicaps physiques lourds disposant de compétences intellectuelles leur permettant d’accéder aux apprentissages scolaires)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Il y a lieu de prévoir :</w:t>
                  </w:r>
                </w:p>
                <w:p w:rsidR="00F04EEF" w:rsidRDefault="0099351E">
                  <w:pPr>
                    <w:numPr>
                      <w:ilvl w:val="0"/>
                      <w:numId w:val="35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de l’espace répondant aux besoins spécifiques ;</w:t>
                  </w:r>
                </w:p>
                <w:p w:rsidR="00F04EEF" w:rsidRDefault="0099351E">
                  <w:pPr>
                    <w:numPr>
                      <w:ilvl w:val="0"/>
                      <w:numId w:val="353"/>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aménagement des horaires pour répondre aux nécessités de soins et de nursing tout en garantissant les apprentissages scolaires ;</w:t>
                  </w:r>
                </w:p>
                <w:p w:rsidR="00F04EEF" w:rsidRDefault="0099351E">
                  <w:pPr>
                    <w:numPr>
                      <w:ilvl w:val="0"/>
                      <w:numId w:val="353"/>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rPr>
                      <w:rFonts w:ascii="Cambria" w:hAnsi="Cambria" w:cs="Calibri"/>
                      <w:color w:val="000000"/>
                      <w:sz w:val="24"/>
                      <w:szCs w:val="24"/>
                      <w:u w:val="single"/>
                      <w:lang w:eastAsia="fr-BE"/>
                    </w:rPr>
                  </w:pPr>
                  <w:r>
                    <w:rPr>
                      <w:rFonts w:ascii="Cambria" w:hAnsi="Cambria" w:cs="Calibri"/>
                      <w:color w:val="000000"/>
                      <w:sz w:val="24"/>
                      <w:szCs w:val="24"/>
                      <w:u w:val="single"/>
                      <w:lang w:eastAsia="fr-BE"/>
                    </w:rPr>
                    <w:br w:type="page"/>
                  </w:r>
                </w:p>
                <w:p w:rsidR="00F04EEF" w:rsidRDefault="0099351E">
                  <w:p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u w:val="single"/>
                      <w:lang w:eastAsia="fr-BE"/>
                    </w:rPr>
                    <w:t>Personne de contact</w:t>
                  </w:r>
                  <w:r>
                    <w:rPr>
                      <w:rFonts w:ascii="Cambria" w:hAnsi="Cambria" w:cs="Calibri"/>
                      <w:color w:val="000000"/>
                      <w:sz w:val="24"/>
                      <w:szCs w:val="24"/>
                      <w:lang w:eastAsia="fr-BE"/>
                    </w:rPr>
                    <w:t> :</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Personne de contact pour toute question sur les pédagogies adaptées :</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Service de l’enseignement spécialisé</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Madame Véronique ROMBAUT</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Bureau 2 F 251</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Rue Adolphe Lavallée, 1</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1080 BRUXELLES</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FF"/>
                      <w:sz w:val="24"/>
                      <w:szCs w:val="24"/>
                      <w:lang w:eastAsia="fr-BE"/>
                    </w:rPr>
                  </w:pPr>
                  <w:r>
                    <w:rPr>
                      <w:rFonts w:ascii="Cambria" w:eastAsia="Wingdings-Regular" w:hAnsi="Cambria" w:cs="Calibri"/>
                      <w:color w:val="000000"/>
                      <w:sz w:val="24"/>
                      <w:szCs w:val="24"/>
                      <w:lang w:eastAsia="fr-BE"/>
                    </w:rPr>
                    <w:sym w:font="Wingdings" w:char="F028"/>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00"/>
                      <w:sz w:val="24"/>
                      <w:szCs w:val="24"/>
                      <w:lang w:eastAsia="fr-BE"/>
                    </w:rPr>
                    <w:t xml:space="preserve">02/690. 83.99 </w:t>
                  </w:r>
                  <w:r>
                    <w:rPr>
                      <w:rFonts w:ascii="Cambria" w:hAnsi="Cambria" w:cs="Calibri"/>
                      <w:b/>
                      <w:bCs/>
                      <w:color w:val="000000"/>
                      <w:sz w:val="24"/>
                      <w:szCs w:val="24"/>
                      <w:lang w:eastAsia="fr-BE"/>
                    </w:rPr>
                    <w:t xml:space="preserve">- </w:t>
                  </w:r>
                  <w:r>
                    <w:rPr>
                      <w:rFonts w:ascii="Cambria" w:eastAsia="Wingdings-Regular" w:hAnsi="Cambria" w:cs="Calibri"/>
                      <w:color w:val="000000"/>
                      <w:sz w:val="24"/>
                      <w:szCs w:val="24"/>
                      <w:lang w:eastAsia="fr-BE"/>
                    </w:rPr>
                    <w:sym w:font="Wingdings" w:char="F03A"/>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FF"/>
                      <w:sz w:val="24"/>
                      <w:szCs w:val="24"/>
                      <w:lang w:eastAsia="fr-BE"/>
                    </w:rPr>
                    <w:t>veronique.rombaut@cfwb.be</w:t>
                  </w:r>
                </w:p>
                <w:p w:rsidR="00F04EEF" w:rsidRDefault="00F04EEF">
                  <w:pPr>
                    <w:rPr>
                      <w:rFonts w:ascii="Cambria" w:hAnsi="Cambria" w:cs="Calibri"/>
                      <w:b/>
                      <w:bCs/>
                      <w:color w:val="000000"/>
                      <w:sz w:val="24"/>
                      <w:szCs w:val="24"/>
                      <w:lang w:eastAsia="fr-BE"/>
                    </w:rPr>
                  </w:pPr>
                </w:p>
                <w:p w:rsidR="00F04EEF" w:rsidRDefault="00F04EEF">
                  <w:pPr>
                    <w:rPr>
                      <w:rFonts w:ascii="Cambria" w:hAnsi="Cambria" w:cs="Calibri"/>
                      <w:b/>
                      <w:bCs/>
                      <w:color w:val="000000"/>
                      <w:sz w:val="24"/>
                      <w:szCs w:val="24"/>
                      <w:lang w:eastAsia="fr-BE"/>
                    </w:rPr>
                  </w:pPr>
                </w:p>
                <w:p w:rsidR="00F04EEF" w:rsidRDefault="0099351E">
                  <w:pPr>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7. Classe et implantation à visée inclusive</w:t>
                  </w:r>
                </w:p>
                <w:p w:rsidR="00F04EEF" w:rsidRDefault="00F04EEF">
                  <w:pPr>
                    <w:rPr>
                      <w:rFonts w:ascii="Cambria" w:hAnsi="Cambria" w:cs="Calibri"/>
                      <w:bCs/>
                      <w:color w:val="000000"/>
                      <w:sz w:val="24"/>
                      <w:szCs w:val="24"/>
                      <w:lang w:eastAsia="fr-BE"/>
                    </w:rPr>
                  </w:pPr>
                </w:p>
                <w:p w:rsidR="00F04EEF" w:rsidRDefault="0099351E">
                  <w:pPr>
                    <w:pStyle w:val="Titre4"/>
                    <w:rPr>
                      <w:rFonts w:eastAsia="Calibri"/>
                    </w:rPr>
                  </w:pPr>
                  <w:bookmarkStart w:id="3289" w:name="_7.1._Principe"/>
                  <w:bookmarkEnd w:id="3289"/>
                  <w:r>
                    <w:rPr>
                      <w:rFonts w:eastAsia="Calibri"/>
                    </w:rPr>
                    <w:t>7.1. Principe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peut être organisé sous la forme d’une classe ou d’une implantation à visée inclusive. Chaque école qui organise l’enseignement spécialisé de type 2 ou de type 3 (uniquement pour les élèves porteurs d’autisme) et qui atteint, pour l’implantation principale, les normes de rationalisation</w:t>
                  </w:r>
                  <w:r>
                    <w:rPr>
                      <w:rStyle w:val="Appelnotedebasdep"/>
                      <w:rFonts w:ascii="Cambria" w:hAnsi="Cambria" w:cs="Calibri"/>
                      <w:color w:val="000000"/>
                      <w:sz w:val="24"/>
                      <w:szCs w:val="24"/>
                      <w:lang w:eastAsia="fr-BE"/>
                    </w:rPr>
                    <w:footnoteReference w:id="159"/>
                  </w:r>
                  <w:r>
                    <w:rPr>
                      <w:rFonts w:ascii="Cambria" w:hAnsi="Cambria" w:cs="Calibri"/>
                      <w:color w:val="000000"/>
                      <w:sz w:val="24"/>
                      <w:szCs w:val="24"/>
                      <w:lang w:eastAsia="fr-BE"/>
                    </w:rPr>
                    <w:t xml:space="preserve"> peut organiser une classe ou une implantation à visée inclusive de même type que celui ou ceux déjà organisé(s) dans l’établissement.</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4"/>
                    <w:rPr>
                      <w:rFonts w:eastAsia="Calibri"/>
                    </w:rPr>
                  </w:pPr>
                  <w:r>
                    <w:rPr>
                      <w:rFonts w:eastAsia="Calibri"/>
                    </w:rPr>
                    <w:t>7.2. Définitions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7.2.1. La classe à visée inclusive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Une classe à visée inclusive est un groupe classe d’élèves de moins de 7 élèves à besoins spécifiques inscrits dans l’enseignement spécialisé de type 2 porteurs ou non d’autisme ou de type 3 uniquement pour les élèves porteurs d’autisme. Cette classe est implantée au sein d’une école de l’enseignement ordinaire. L’objectif premier pour les élèves qui participent à ce type de projet consiste en une inclusion sociale et relationnelle en vue d’acquérir divers apprentissages dans un milieu scolaire de vie ordinaire.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 xml:space="preserve">7.2.2. L’implantation à visée inclusive : </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Une implantation à visée inclusive est composée d’une ou de plusieurs classes à visée inclusive. Une implantation à visée inclusive est composée au minimum de 7 élèves. Pour atteindre cette norme, les élèves de type 2 et de type 3 peuvent être additionnés, de même que les élèves du niveau maternel et primaire pour autant que ces deux niveaux soient déjà organisés dans l’établissement.</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4"/>
                    <w:rPr>
                      <w:rFonts w:eastAsia="Calibri"/>
                    </w:rPr>
                  </w:pPr>
                  <w:r>
                    <w:rPr>
                      <w:rFonts w:eastAsia="Calibri"/>
                    </w:rPr>
                    <w:br w:type="page"/>
                    <w:t>7.3. Encadrement</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élèves inscrits dans une classe ou une implantation à visée inclusive génèrent un capital-périodes utilisable selon les mêmes règles que pour les élèves de l’enseignement spécialisé du type dont ils relèvent. Ils sont ajoutés au capital-périodes du bâtiment principal et entrent de manière classique dans le comptage du 30 septembre et du 15 janvier. Ainsi la création d’une classe ou implantation à visée inclusive n’implique pas un nouveau capital période au 1er septembre, mais peut, le cas échéant nécessiter un recomptage à la hausse si l’augmentation de la population scolaire globale augmente d'au moins 10 %.</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r>
                    <w:rPr>
                      <w:rFonts w:ascii="Cambria" w:hAnsi="Cambria" w:cs="Calibri"/>
                      <w:b/>
                      <w:color w:val="000000"/>
                      <w:sz w:val="24"/>
                      <w:szCs w:val="24"/>
                      <w:lang w:eastAsia="fr-BE"/>
                    </w:rPr>
                    <w:sym w:font="Wingdings" w:char="F047"/>
                  </w:r>
                  <w:r>
                    <w:rPr>
                      <w:rFonts w:ascii="Cambria" w:hAnsi="Cambria" w:cs="Calibri"/>
                      <w:b/>
                      <w:color w:val="000000"/>
                      <w:sz w:val="24"/>
                      <w:szCs w:val="24"/>
                      <w:lang w:eastAsia="fr-BE"/>
                    </w:rPr>
                    <w:t xml:space="preserve">  La classe ou l’implantation à visée inclusive est reconnue en tant que pédagogie adaptée.</w:t>
                  </w:r>
                </w:p>
                <w:p w:rsidR="00F04EEF" w:rsidRDefault="00F04EEF">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r>
                    <w:rPr>
                      <w:rFonts w:ascii="Cambria" w:hAnsi="Cambria" w:cs="Calibri"/>
                      <w:b/>
                      <w:color w:val="000000"/>
                      <w:sz w:val="24"/>
                      <w:szCs w:val="24"/>
                      <w:lang w:eastAsia="fr-BE"/>
                    </w:rPr>
                    <w:t>Pour autant, cette pédagogie adaptée n’engendre pas un CPU de 100 % sauf pour les élèves qui relèvent d’une des autres pédagogies adaptées définies aux points ci-dessus.</w:t>
                  </w:r>
                </w:p>
                <w:p w:rsidR="00F04EEF" w:rsidRDefault="00F04EEF">
                  <w:pPr>
                    <w:autoSpaceDE w:val="0"/>
                    <w:autoSpaceDN w:val="0"/>
                    <w:adjustRightInd w:val="0"/>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4"/>
                    <w:rPr>
                      <w:rFonts w:eastAsia="Calibri"/>
                    </w:rPr>
                  </w:pPr>
                  <w:r>
                    <w:rPr>
                      <w:rFonts w:eastAsia="Calibri"/>
                    </w:rPr>
                    <w:t>7.4. Transport scolaire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En ce qui concerne la gratuité du transport scolaire entre le domicile de l’élève et l’implantation ou la classe à visée inclusive, l’Administration du Transport scolaire reconnaît uniquement l’existence de l’implantation à visée inclusive dès que celle-ci dispose d’un numéro FASE.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Ainsi, les élèves qui fréquentent une classe à visée inclusive (moins de 7 élèves) ne pourront pas bénéficier du transport scolaire.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S’agissant d’une pédagogie adaptée, le numéro FASE sera complété de la mention «implantation à visée inclusive», ce qui permettra à l’école de faire valoir la différence entre le bâtiment principal et l’implantation à visée inclusive de sorte à ne pas mettre en concurrence ces deux lieux au niveau du transport scolaire.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Ainsi, lorsqu’un élève habite plus près du bâtiment principal que de l’implantation à visée inclusive où il est scolarisé, il peut bénéficier du transport scolaire vers l’implantation à visée inclusive.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4"/>
                    <w:rPr>
                      <w:rFonts w:eastAsia="Calibri"/>
                    </w:rPr>
                  </w:pPr>
                  <w:r>
                    <w:rPr>
                      <w:rFonts w:eastAsia="Calibri"/>
                    </w:rPr>
                    <w:t>7.5. Demi-charge complémentaire pour le personnel enseignant.</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décret précité prévoit qu’à partir du 1er septembre 2020, le capital-périodes servant à l’encadrement généré par les élèves inscrits dans l’implantation à visée inclusive est augmenté d’une demi-charge pour le personnel enseignant de l’enseignement spécialisé.</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 défaut d’atteindre le nombre de 7 élèves, la classe ne devenant pas une implantation, il ne peut y avoir de demi-charge supplémentaire.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Cette demi-charge peut être transformée en demi-charge d’une fonction paramédicale ou éducative.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Cette demi-charge doit rester au service de l’implantation mais ne peut pas être uniquement consacrée à de l’encadrement complémentaire. </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Ainsi, le membre du personnel bénéficiant de cette demi-charge sera notamment chargé de chercher et de développer les synergies nécessaires à l’inclusion progressive des élèves dans l’enseignement ordinaire, de préparer les séquences de cours pour placer l’enfant dans une situation de réussite, de proposer des hypothèses de travail, de gérer les arrivées et départs de l’école, de développer des contacts privilégiés avec les deux directions et d’informer les membres du personnel de l’enseignement ordinaire sur l’implantation à visée inclusive.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4"/>
                    <w:rPr>
                      <w:rFonts w:eastAsia="Calibri"/>
                    </w:rPr>
                  </w:pPr>
                  <w:bookmarkStart w:id="3290" w:name="_7.6._Informations_pratiques."/>
                  <w:bookmarkEnd w:id="3290"/>
                  <w:r>
                    <w:rPr>
                      <w:rFonts w:eastAsia="Calibri"/>
                    </w:rPr>
                    <w:t>7.6. Informations pratiques.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Avant de procéder à la création d’une classe ou d’une implantation à visée inclusive, les chefs d’établissements sont tenus de prendre toutes les dispositions utiles et nécessaires afin que les parents des deux écoles partenaires puissent obtenir les informations les plus complètes.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En outre, cette création doit figurer dans le projet d’établissement des deux établissements scolaires partenaires.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Enfin, les représentants des Pouvoirs organisateurs des deux écoles partenaires doivent prévenir le Service de l’Enseignement spécialisé de la création de cette classe ou d’une implantation à visée inclusive au plus tard le 30 avril précédant l’année scolaire au cours de laquelle la classe ou l’implantation sera ouverte.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communication doit s’opérer par voie de courrier ordinaire.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u w:val="single"/>
                      <w:lang w:eastAsia="fr-BE"/>
                    </w:rPr>
                    <w:t>Personne de contact</w:t>
                  </w:r>
                  <w:r>
                    <w:rPr>
                      <w:rFonts w:ascii="Cambria" w:hAnsi="Cambria" w:cs="Calibri"/>
                      <w:color w:val="000000"/>
                      <w:sz w:val="24"/>
                      <w:szCs w:val="24"/>
                      <w:lang w:eastAsia="fr-BE"/>
                    </w:rPr>
                    <w:t> :</w:t>
                  </w: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Service de l’enseignement spécialisé</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Monsieur William FUCHS, Directeur</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Bureau 2 F 255</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Rue Adolphe Lavallée, 1</w:t>
                  </w:r>
                </w:p>
                <w:p w:rsidR="00F04EEF" w:rsidRDefault="0099351E">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1080 BRUXELLES</w:t>
                  </w:r>
                </w:p>
                <w:p w:rsidR="00F04EEF" w:rsidRDefault="00F04EEF">
                  <w:pPr>
                    <w:rPr>
                      <w:rFonts w:ascii="Cambria" w:hAnsi="Cambria" w:cs="Calibri"/>
                      <w:b/>
                      <w:bCs/>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Lorsque le Service de l’Enseignement spécialisé est informé de cette création, elle crée le numéro FASE.  Celui-ci doit être accompagné de la mention «Implantation à visée inclusive».</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pStyle w:val="Titre4"/>
                    <w:rPr>
                      <w:rFonts w:eastAsia="Calibri"/>
                    </w:rPr>
                  </w:pPr>
                  <w:r>
                    <w:rPr>
                      <w:rFonts w:eastAsia="Calibri"/>
                    </w:rPr>
                    <w:br w:type="page"/>
                    <w:t>7.7. Convention.</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Pour des raisons pratiques et pour autant que le projet réunisse deux PO différents, il est recommandé qu’une convention soit établie entre les deux Pouvoirs organisateurs des établissements scolaires. </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Cette dernière constitue un document interne aux deux PO et ne fera pas l’objet d’un contrôle de l’Administration même s’il est vivement conseillé que la convention régisse notamment les points suivants :</w:t>
                  </w:r>
                </w:p>
                <w:p w:rsidR="00F04EEF" w:rsidRDefault="0099351E">
                  <w:pPr>
                    <w:numPr>
                      <w:ilvl w:val="0"/>
                      <w:numId w:val="35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durée.</w:t>
                  </w:r>
                </w:p>
                <w:p w:rsidR="00F04EEF" w:rsidRDefault="0099351E">
                  <w:pPr>
                    <w:numPr>
                      <w:ilvl w:val="0"/>
                      <w:numId w:val="35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mise à disposition habituelle de locaux.</w:t>
                  </w:r>
                </w:p>
                <w:p w:rsidR="00F04EEF" w:rsidRDefault="0099351E">
                  <w:pPr>
                    <w:numPr>
                      <w:ilvl w:val="0"/>
                      <w:numId w:val="35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frais y afférents en termes de loyer éventuel, de chauffage, d’électricité, d’assurances,…</w:t>
                  </w:r>
                </w:p>
                <w:p w:rsidR="00F04EEF" w:rsidRDefault="0099351E">
                  <w:pPr>
                    <w:numPr>
                      <w:ilvl w:val="0"/>
                      <w:numId w:val="35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L’état des lieux d’entrée et de sortie.</w:t>
                  </w:r>
                </w:p>
                <w:p w:rsidR="00F04EEF" w:rsidRDefault="0099351E">
                  <w:pPr>
                    <w:numPr>
                      <w:ilvl w:val="0"/>
                      <w:numId w:val="35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conditions d’utilisation des biens, la cession et la sous-occupation éventuelles.</w:t>
                  </w:r>
                </w:p>
                <w:p w:rsidR="00F04EEF" w:rsidRDefault="0099351E">
                  <w:pPr>
                    <w:numPr>
                      <w:ilvl w:val="0"/>
                      <w:numId w:val="35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Projet pédagogique qui reprendra notamment les temps communs aux deux enseignements.</w:t>
                  </w:r>
                </w:p>
                <w:p w:rsidR="00F04EEF" w:rsidRDefault="00F04EEF">
                  <w:pPr>
                    <w:autoSpaceDE w:val="0"/>
                    <w:autoSpaceDN w:val="0"/>
                    <w:adjustRightInd w:val="0"/>
                    <w:jc w:val="both"/>
                    <w:rPr>
                      <w:rFonts w:ascii="Cambria" w:hAnsi="Cambria" w:cs="Calibri"/>
                      <w:color w:val="000000"/>
                      <w:sz w:val="24"/>
                      <w:szCs w:val="24"/>
                      <w:lang w:eastAsia="fr-BE"/>
                    </w:rPr>
                  </w:pPr>
                </w:p>
                <w:p w:rsidR="00F04EEF" w:rsidRDefault="0099351E">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convention précisera également les missions de coordination du membre du personnel engagé dans le mi-temps complémentaire.</w:t>
                  </w:r>
                </w:p>
                <w:p w:rsidR="00F04EEF" w:rsidRDefault="00F04EEF">
                  <w:pPr>
                    <w:autoSpaceDE w:val="0"/>
                    <w:autoSpaceDN w:val="0"/>
                    <w:adjustRightInd w:val="0"/>
                    <w:rPr>
                      <w:rFonts w:ascii="Cambria" w:hAnsi="Cambria" w:cs="Calibri"/>
                      <w:color w:val="000000"/>
                      <w:sz w:val="24"/>
                      <w:szCs w:val="24"/>
                      <w:u w:val="single"/>
                      <w:lang w:eastAsia="fr-BE"/>
                    </w:rPr>
                  </w:pPr>
                </w:p>
                <w:p w:rsidR="00F04EEF" w:rsidRDefault="00F04EEF">
                  <w:pPr>
                    <w:autoSpaceDE w:val="0"/>
                    <w:autoSpaceDN w:val="0"/>
                    <w:adjustRightInd w:val="0"/>
                    <w:rPr>
                      <w:rFonts w:ascii="Cambria" w:hAnsi="Cambria" w:cs="Calibri"/>
                      <w:color w:val="000000"/>
                      <w:sz w:val="24"/>
                      <w:szCs w:val="24"/>
                      <w:lang w:eastAsia="fr-BE"/>
                    </w:rPr>
                  </w:pPr>
                </w:p>
                <w:p w:rsidR="00F04EEF" w:rsidRDefault="0099351E">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8. Annexe</w:t>
                  </w:r>
                </w:p>
                <w:p w:rsidR="00F04EEF" w:rsidRDefault="00F04EEF">
                  <w:pPr>
                    <w:rPr>
                      <w:rFonts w:ascii="Cambria" w:hAnsi="Cambria" w:cs="Cambria-Bold"/>
                      <w:b/>
                      <w:bCs/>
                      <w:color w:val="000000"/>
                      <w:lang w:eastAsia="fr-BE"/>
                    </w:rPr>
                  </w:pPr>
                </w:p>
                <w:p w:rsidR="00F04EEF" w:rsidRDefault="0099351E">
                  <w:pPr>
                    <w:pStyle w:val="Titre4"/>
                    <w:rPr>
                      <w:rFonts w:eastAsia="Calibri"/>
                    </w:rPr>
                  </w:pPr>
                  <w:r>
                    <w:rPr>
                      <w:rFonts w:cs="Cambria-Bold"/>
                      <w:b w:val="0"/>
                      <w:bCs/>
                      <w:color w:val="000000"/>
                      <w:lang w:eastAsia="fr-BE"/>
                    </w:rPr>
                    <w:br w:type="page"/>
                  </w:r>
                  <w:bookmarkStart w:id="3291" w:name="_Toc453314484"/>
                  <w:bookmarkStart w:id="3292" w:name="_Toc454980519"/>
                  <w:bookmarkStart w:id="3293" w:name="_Toc519000029"/>
                  <w:r>
                    <w:rPr>
                      <w:rFonts w:eastAsia="Calibri"/>
                    </w:rPr>
                    <w:t>Annexe 1 : Annexe à l’attestation d’admission en enseignement spécialisé</w:t>
                  </w:r>
                  <w:bookmarkEnd w:id="3291"/>
                  <w:bookmarkEnd w:id="3292"/>
                  <w:bookmarkEnd w:id="3293"/>
                </w:p>
                <w:p w:rsidR="00F04EEF" w:rsidRDefault="00F04EEF">
                  <w:pPr>
                    <w:jc w:val="both"/>
                    <w:rPr>
                      <w:rFonts w:ascii="Cambria" w:hAnsi="Cambria"/>
                    </w:rPr>
                  </w:pPr>
                </w:p>
                <w:p w:rsidR="00F04EEF" w:rsidRDefault="00F04EEF">
                  <w:pPr>
                    <w:jc w:val="both"/>
                    <w:rPr>
                      <w:rFonts w:ascii="Cambria" w:hAnsi="Cambria"/>
                    </w:rPr>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Cambria" w:hAnsi="Cambria"/>
                    </w:rPr>
                  </w:pPr>
                  <w:r>
                    <w:rPr>
                      <w:rFonts w:ascii="Cambria" w:hAnsi="Cambria"/>
                      <w:b/>
                    </w:rPr>
                    <w:t xml:space="preserve">Application des articles 8bis et 8ter du </w:t>
                  </w:r>
                  <w:r>
                    <w:rPr>
                      <w:rFonts w:ascii="Cambria" w:hAnsi="Cambria"/>
                    </w:rPr>
                    <w:t>Décret du 3 mars 2004 organisant l’enseignement spécialisé</w:t>
                  </w:r>
                  <w:r>
                    <w:rPr>
                      <w:rFonts w:ascii="Cambria" w:hAnsi="Cambria"/>
                      <w:b/>
                    </w:rPr>
                    <w:t xml:space="preserve"> tel que modifié.</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En complément à l’attestation établie par</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Concernant l’élève………………………………………………………………………………………..</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Né(e ) le……………………………………………………………………………………………………</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Je soussigné(e ) …………………………………………………………………Directeur/Directrice</w:t>
                  </w:r>
                  <w:r>
                    <w:rPr>
                      <w:rStyle w:val="Caractresdenotedebasdepage"/>
                      <w:rFonts w:ascii="Cambria" w:hAnsi="Cambria" w:cs="Arial"/>
                    </w:rPr>
                    <w:footnoteReference w:id="160"/>
                  </w:r>
                  <w:r>
                    <w:rPr>
                      <w:rFonts w:ascii="Cambria" w:hAnsi="Cambria"/>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w:t>
                  </w:r>
                  <w:r>
                    <w:rPr>
                      <w:rFonts w:ascii="Cambria" w:hAnsi="Cambria"/>
                      <w:vertAlign w:val="superscript"/>
                    </w:rPr>
                    <w:t>1</w:t>
                  </w:r>
                  <w:r>
                    <w:rPr>
                      <w:rFonts w:ascii="Cambria" w:hAnsi="Cambria"/>
                    </w:rPr>
                    <w:t>.</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Fait à……………………………………………….., le………………………………………………….</w:t>
                  </w:r>
                </w:p>
                <w:p w:rsidR="00F04EEF" w:rsidRDefault="00F04EEF">
                  <w:pPr>
                    <w:jc w:val="both"/>
                    <w:rPr>
                      <w:rFonts w:ascii="Cambria" w:hAnsi="Cambria"/>
                    </w:rPr>
                  </w:pPr>
                </w:p>
                <w:p w:rsidR="00F04EEF" w:rsidRDefault="00F04EEF">
                  <w:pPr>
                    <w:jc w:val="both"/>
                    <w:rPr>
                      <w:rFonts w:ascii="Cambria" w:hAnsi="Cambria"/>
                    </w:rPr>
                  </w:pPr>
                </w:p>
                <w:p w:rsidR="00F04EEF" w:rsidRDefault="0099351E">
                  <w:pPr>
                    <w:jc w:val="right"/>
                    <w:rPr>
                      <w:rFonts w:ascii="Cambria" w:hAnsi="Cambria"/>
                    </w:rPr>
                  </w:pPr>
                  <w:r>
                    <w:rPr>
                      <w:rFonts w:ascii="Cambria" w:hAnsi="Cambria"/>
                    </w:rPr>
                    <w:t>Signature de la direction</w:t>
                  </w:r>
                </w:p>
                <w:p w:rsidR="00F04EEF" w:rsidRDefault="00F04EEF">
                  <w:pPr>
                    <w:jc w:val="both"/>
                    <w:rPr>
                      <w:rFonts w:ascii="Cambria" w:hAnsi="Cambria"/>
                    </w:rPr>
                  </w:pPr>
                </w:p>
                <w:p w:rsidR="00F04EEF" w:rsidRDefault="00F04EEF">
                  <w:pPr>
                    <w:jc w:val="both"/>
                    <w:rPr>
                      <w:rFonts w:ascii="Cambria" w:hAnsi="Cambria"/>
                    </w:rPr>
                  </w:pPr>
                </w:p>
                <w:p w:rsidR="00F04EEF" w:rsidRDefault="00F04EEF">
                  <w:pPr>
                    <w:jc w:val="both"/>
                    <w:rPr>
                      <w:rFonts w:ascii="Cambria" w:hAnsi="Cambria"/>
                    </w:rPr>
                  </w:pPr>
                </w:p>
                <w:p w:rsidR="00F04EEF" w:rsidRDefault="0099351E">
                  <w:pPr>
                    <w:jc w:val="both"/>
                    <w:rPr>
                      <w:rFonts w:ascii="Cambria" w:hAnsi="Cambria"/>
                    </w:rPr>
                  </w:pPr>
                  <w:r>
                    <w:rPr>
                      <w:rFonts w:ascii="Cambria" w:hAnsi="Cambria"/>
                    </w:rPr>
                    <w:t xml:space="preserve">Organisme signataire de l’annexe à l’attestation : </w:t>
                  </w:r>
                </w:p>
                <w:p w:rsidR="00F04EEF" w:rsidRDefault="0099351E">
                  <w:pPr>
                    <w:jc w:val="both"/>
                    <w:rPr>
                      <w:rFonts w:ascii="Cambria" w:hAnsi="Cambria"/>
                    </w:rPr>
                  </w:pPr>
                  <w:r>
                    <w:rPr>
                      <w:rFonts w:ascii="Cambria" w:hAnsi="Cambria"/>
                    </w:rPr>
                    <w:t>...............................................................................................................................................</w:t>
                  </w:r>
                </w:p>
                <w:p w:rsidR="00F04EEF" w:rsidRDefault="00F04EEF">
                  <w:pPr>
                    <w:jc w:val="both"/>
                    <w:rPr>
                      <w:rFonts w:ascii="Cambria" w:hAnsi="Cambria"/>
                    </w:rPr>
                  </w:pPr>
                </w:p>
                <w:p w:rsidR="00F04EEF" w:rsidRDefault="0099351E">
                  <w:r>
                    <w:br w:type="page"/>
                  </w:r>
                </w:p>
                <w:p w:rsidR="00F04EEF" w:rsidRDefault="0099351E">
                  <w:pPr>
                    <w:pStyle w:val="Titre2"/>
                  </w:pPr>
                  <w:bookmarkStart w:id="3294" w:name="_Toc477623819"/>
                  <w:bookmarkStart w:id="3295" w:name="_Toc477767671"/>
                  <w:bookmarkStart w:id="3296" w:name="_Toc47708568"/>
                  <w:r>
                    <w:t>Chapitre</w:t>
                  </w:r>
                  <w:bookmarkEnd w:id="3294"/>
                  <w:bookmarkEnd w:id="3295"/>
                  <w:r>
                    <w:t xml:space="preserve"> 15 : </w:t>
                  </w:r>
                  <w:bookmarkStart w:id="3297" w:name="_Toc477623820"/>
                  <w:bookmarkStart w:id="3298" w:name="_Toc477767672"/>
                  <w:r>
                    <w:t>Rappel des conditions d’admission, de maintien et de passage</w:t>
                  </w:r>
                  <w:bookmarkEnd w:id="3297"/>
                  <w:bookmarkEnd w:id="3298"/>
                  <w:bookmarkEnd w:id="3296"/>
                </w:p>
                <w:p w:rsidR="00F04EEF" w:rsidRDefault="00F04EEF">
                  <w:pPr>
                    <w:rPr>
                      <w:lang w:eastAsia="fr-BE"/>
                    </w:rPr>
                  </w:pPr>
                </w:p>
                <w:p w:rsidR="00F04EEF" w:rsidRDefault="00F04EEF">
                  <w:pPr>
                    <w:rPr>
                      <w:lang w:eastAsia="fr-BE"/>
                    </w:rPr>
                  </w:pPr>
                </w:p>
                <w:p w:rsidR="00F04EEF" w:rsidRDefault="00F04EEF">
                  <w:pPr>
                    <w:rPr>
                      <w:rFonts w:eastAsia="Times New Roman"/>
                      <w:lang w:eastAsia="fr-BE"/>
                    </w:rPr>
                  </w:pPr>
                </w:p>
                <w:p w:rsidR="00F04EEF" w:rsidRDefault="00F04EEF"/>
                <w:p w:rsidR="00F04EEF" w:rsidRDefault="0099351E">
                  <w:pPr>
                    <w:rPr>
                      <w:b/>
                      <w:u w:val="single"/>
                    </w:rPr>
                  </w:pPr>
                  <w:r>
                    <w:rPr>
                      <w:b/>
                      <w:u w:val="single"/>
                    </w:rPr>
                    <w:t>Bases légales :</w:t>
                  </w:r>
                </w:p>
                <w:p w:rsidR="00F04EEF" w:rsidRDefault="00F04EEF">
                  <w:pPr>
                    <w:rPr>
                      <w:b/>
                      <w:u w:val="single"/>
                    </w:rPr>
                  </w:pPr>
                </w:p>
                <w:p w:rsidR="00F04EEF" w:rsidRDefault="00F42422">
                  <w:pPr>
                    <w:numPr>
                      <w:ilvl w:val="0"/>
                      <w:numId w:val="51"/>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0" w:firstLine="0"/>
                    <w:jc w:val="both"/>
                  </w:pPr>
                  <w:hyperlink r:id="rId226" w:history="1">
                    <w:r w:rsidR="0099351E">
                      <w:rPr>
                        <w:rStyle w:val="Lienhypertexte"/>
                        <w:rFonts w:cs="Arial"/>
                      </w:rPr>
                      <w:t>Décret du 3 mars 2004 organisant l’enseignement spécialisé</w:t>
                    </w:r>
                  </w:hyperlink>
                  <w:r w:rsidR="0099351E">
                    <w:t>.</w:t>
                  </w:r>
                </w:p>
                <w:p w:rsidR="00F04EEF" w:rsidRDefault="0099351E">
                  <w:pPr>
                    <w:numPr>
                      <w:ilvl w:val="0"/>
                      <w:numId w:val="51"/>
                    </w:numPr>
                    <w:suppressAutoHyphens/>
                    <w:ind w:left="0" w:firstLine="0"/>
                    <w:jc w:val="both"/>
                    <w:rPr>
                      <w:rStyle w:val="Lienhypertexte"/>
                      <w:rFonts w:cs="Arial"/>
                    </w:rPr>
                  </w:pPr>
                  <w:r>
                    <w:fldChar w:fldCharType="begin"/>
                  </w:r>
                  <w:r>
                    <w:instrText xml:space="preserve"> HYPERLINK "http://www.gallilex.cfwb.be/document/pdf/10450_004.pdf" </w:instrText>
                  </w:r>
                  <w:r>
                    <w:fldChar w:fldCharType="separate"/>
                  </w:r>
                  <w:r>
                    <w:rPr>
                      <w:rStyle w:val="Lienhypertexte"/>
                      <w:rFonts w:cs="Arial"/>
                    </w:rPr>
                    <w:t>Arrêté Royal du 29 juin 1984 relatif à l’organisation de l’enseignement secondaire.</w:t>
                  </w:r>
                </w:p>
                <w:p w:rsidR="00F04EEF" w:rsidRDefault="0099351E">
                  <w:r>
                    <w:fldChar w:fldCharType="end"/>
                  </w:r>
                </w:p>
                <w:p w:rsidR="00F04EEF" w:rsidRDefault="0099351E">
                  <w:pPr>
                    <w:pStyle w:val="Titre3"/>
                    <w:rPr>
                      <w:sz w:val="22"/>
                      <w:szCs w:val="22"/>
                    </w:rPr>
                  </w:pPr>
                  <w:bookmarkStart w:id="3299" w:name="__RefHeading__283_957262308"/>
                  <w:bookmarkStart w:id="3300" w:name="_Toc47708569"/>
                  <w:bookmarkEnd w:id="3299"/>
                  <w:r>
                    <w:rPr>
                      <w:sz w:val="22"/>
                      <w:szCs w:val="22"/>
                    </w:rPr>
                    <w:t xml:space="preserve">1. </w:t>
                  </w:r>
                  <w:bookmarkStart w:id="3301" w:name="_Toc291075428"/>
                  <w:bookmarkStart w:id="3302" w:name="_Toc291075852"/>
                  <w:bookmarkStart w:id="3303" w:name="_Toc291076276"/>
                  <w:bookmarkStart w:id="3304" w:name="_Toc291076700"/>
                  <w:bookmarkStart w:id="3305" w:name="_Toc291077124"/>
                  <w:bookmarkStart w:id="3306" w:name="_Toc293651967"/>
                  <w:bookmarkStart w:id="3307" w:name="_Toc293653550"/>
                  <w:bookmarkStart w:id="3308" w:name="_Toc293654161"/>
                  <w:bookmarkStart w:id="3309" w:name="_Toc294004741"/>
                  <w:bookmarkStart w:id="3310" w:name="_Toc294185237"/>
                  <w:bookmarkStart w:id="3311" w:name="_Toc324166067"/>
                  <w:bookmarkStart w:id="3312" w:name="_Toc324767103"/>
                  <w:bookmarkStart w:id="3313" w:name="_Toc453314491"/>
                  <w:bookmarkStart w:id="3314" w:name="_Toc454980526"/>
                  <w:r>
                    <w:rPr>
                      <w:sz w:val="22"/>
                      <w:szCs w:val="22"/>
                    </w:rPr>
                    <w:t>Admission dans l'enseignement spécialisé</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00"/>
                  <w:r>
                    <w:rPr>
                      <w:sz w:val="22"/>
                      <w:szCs w:val="22"/>
                    </w:rPr>
                    <w:t> </w:t>
                  </w:r>
                </w:p>
                <w:p w:rsidR="00F04EEF" w:rsidRDefault="00F04EEF"/>
                <w:p w:rsidR="00F04EEF" w:rsidRDefault="0099351E">
                  <w:pPr>
                    <w:pStyle w:val="Titre4"/>
                  </w:pPr>
                  <w:bookmarkStart w:id="3315" w:name="_1.1._Le_rapport"/>
                  <w:bookmarkStart w:id="3316" w:name="_Toc453314492"/>
                  <w:bookmarkStart w:id="3317" w:name="_Toc454980527"/>
                  <w:bookmarkEnd w:id="3315"/>
                  <w:r>
                    <w:t>1.1. Le rapport d’inscription</w:t>
                  </w:r>
                  <w:bookmarkEnd w:id="3316"/>
                  <w:bookmarkEnd w:id="3317"/>
                  <w:r>
                    <w:t> </w:t>
                  </w:r>
                </w:p>
                <w:p w:rsidR="00F04EEF" w:rsidRDefault="00F04EEF">
                  <w:pPr>
                    <w:jc w:val="both"/>
                    <w:rPr>
                      <w:b/>
                    </w:rPr>
                  </w:pPr>
                </w:p>
                <w:p w:rsidR="00F04EEF" w:rsidRDefault="0099351E">
                  <w:pPr>
                    <w:jc w:val="both"/>
                  </w:pPr>
                  <w:r>
                    <w:t>L'inscription d'un élève est subordonnée à la production d'un rapport précisant le type et le niveau d'enseignement spécialisé qui répondent à ses besoins éducatifs généraux et spécifiques.</w:t>
                  </w:r>
                </w:p>
                <w:p w:rsidR="00F04EEF" w:rsidRDefault="00F04EEF">
                  <w:pPr>
                    <w:jc w:val="both"/>
                  </w:pPr>
                </w:p>
                <w:p w:rsidR="00F04EEF" w:rsidRDefault="0099351E">
                  <w:pPr>
                    <w:jc w:val="both"/>
                  </w:pPr>
                  <w:r>
                    <w:t>Elle ne peut être enregistrée que si l'établissement organise l'enseignement de type et de niveau mentionnés dans le rapport.</w:t>
                  </w:r>
                </w:p>
                <w:p w:rsidR="00F04EEF" w:rsidRDefault="00F04EEF">
                  <w:pPr>
                    <w:jc w:val="both"/>
                  </w:pPr>
                </w:p>
                <w:p w:rsidR="00F04EEF" w:rsidRDefault="0099351E">
                  <w:pPr>
                    <w:jc w:val="both"/>
                  </w:pPr>
                  <w:r>
                    <w:t>Le rapport d'inscription comprend :</w:t>
                  </w:r>
                </w:p>
                <w:p w:rsidR="00F04EEF" w:rsidRDefault="00F04EEF">
                  <w:pPr>
                    <w:jc w:val="both"/>
                  </w:pPr>
                </w:p>
                <w:p w:rsidR="00F04EEF" w:rsidRDefault="0099351E">
                  <w:pPr>
                    <w:numPr>
                      <w:ilvl w:val="0"/>
                      <w:numId w:val="37"/>
                    </w:numPr>
                    <w:tabs>
                      <w:tab w:val="clear" w:pos="357"/>
                      <w:tab w:val="num" w:pos="1080"/>
                    </w:tabs>
                    <w:suppressAutoHyphens/>
                    <w:ind w:left="0" w:firstLine="0"/>
                    <w:jc w:val="both"/>
                  </w:pPr>
                  <w:r>
                    <w:t>une attestation d’orientation;</w:t>
                  </w:r>
                </w:p>
                <w:p w:rsidR="00F04EEF" w:rsidRDefault="0099351E">
                  <w:pPr>
                    <w:numPr>
                      <w:ilvl w:val="0"/>
                      <w:numId w:val="37"/>
                    </w:numPr>
                    <w:tabs>
                      <w:tab w:val="clear" w:pos="357"/>
                      <w:tab w:val="num" w:pos="1080"/>
                    </w:tabs>
                    <w:suppressAutoHyphens/>
                    <w:ind w:left="0" w:firstLine="0"/>
                    <w:jc w:val="both"/>
                  </w:pPr>
                  <w:r>
                    <w:t>un protocole justificatif ;</w:t>
                  </w:r>
                </w:p>
                <w:p w:rsidR="00F04EEF" w:rsidRDefault="0099351E">
                  <w:pPr>
                    <w:numPr>
                      <w:ilvl w:val="0"/>
                      <w:numId w:val="37"/>
                    </w:numPr>
                    <w:tabs>
                      <w:tab w:val="clear" w:pos="357"/>
                      <w:tab w:val="num" w:pos="1080"/>
                    </w:tabs>
                    <w:suppressAutoHyphens/>
                    <w:ind w:left="0" w:firstLine="0"/>
                    <w:jc w:val="both"/>
                  </w:pPr>
                  <w:r>
                    <w:t>et pour les pédagogies adaptées, une attestation complémentaire.</w:t>
                  </w:r>
                </w:p>
                <w:p w:rsidR="00F04EEF" w:rsidRDefault="0099351E">
                  <w:pPr>
                    <w:jc w:val="both"/>
                  </w:pPr>
                  <w:r>
                    <w:rPr>
                      <w:noProof/>
                      <w:lang w:eastAsia="fr-BE"/>
                    </w:rPr>
                    <mc:AlternateContent>
                      <mc:Choice Requires="wps">
                        <w:drawing>
                          <wp:anchor distT="0" distB="0" distL="114300" distR="114300" simplePos="0" relativeHeight="252248064" behindDoc="0" locked="0" layoutInCell="1" allowOverlap="1">
                            <wp:simplePos x="0" y="0"/>
                            <wp:positionH relativeFrom="column">
                              <wp:posOffset>6233795</wp:posOffset>
                            </wp:positionH>
                            <wp:positionV relativeFrom="paragraph">
                              <wp:posOffset>189230</wp:posOffset>
                            </wp:positionV>
                            <wp:extent cx="0" cy="323850"/>
                            <wp:effectExtent l="0" t="0" r="19050" b="19050"/>
                            <wp:wrapNone/>
                            <wp:docPr id="537" name="Connecteur droit 537"/>
                            <wp:cNvGraphicFramePr/>
                            <a:graphic xmlns:a="http://schemas.openxmlformats.org/drawingml/2006/main">
                              <a:graphicData uri="http://schemas.microsoft.com/office/word/2010/wordprocessingShape">
                                <wps:wsp>
                                  <wps:cNvCnPr/>
                                  <wps:spPr>
                                    <a:xfrm>
                                      <a:off x="0" y="0"/>
                                      <a:ext cx="0" cy="323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97148D" id="Connecteur droit 537" o:spid="_x0000_s1026" style="position:absolute;z-index:252248064;visibility:visible;mso-wrap-style:square;mso-wrap-distance-left:9pt;mso-wrap-distance-top:0;mso-wrap-distance-right:9pt;mso-wrap-distance-bottom:0;mso-position-horizontal:absolute;mso-position-horizontal-relative:text;mso-position-vertical:absolute;mso-position-vertical-relative:text" from="490.85pt,14.9pt" to="490.85pt,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" strokecolor="black [3213]"/>
                        </w:pict>
                      </mc:Fallback>
                    </mc:AlternateContent>
                  </w:r>
                </w:p>
                <w:p w:rsidR="00F04EEF" w:rsidRDefault="0099351E">
                  <w:pPr>
                    <w:pBdr>
                      <w:top w:val="single" w:sz="4" w:space="1" w:color="auto"/>
                      <w:left w:val="single" w:sz="4" w:space="4" w:color="auto"/>
                      <w:bottom w:val="single" w:sz="4" w:space="1" w:color="auto"/>
                      <w:right w:val="single" w:sz="4" w:space="4" w:color="auto"/>
                    </w:pBdr>
                    <w:jc w:val="both"/>
                    <w:rPr>
                      <w:b/>
                    </w:rPr>
                  </w:pPr>
                  <w:r>
                    <w:rPr>
                      <w:b/>
                    </w:rPr>
                    <w:sym w:font="Wingdings" w:char="F047"/>
                  </w:r>
                  <w:r>
                    <w:rPr>
                      <w:b/>
                    </w:rPr>
                    <w:t xml:space="preserve"> Une école ne peut valablement accepter un enfant dans l’enseignement spécialisé que lorsqu’elle est en possession de l’attestation d’orientation.</w:t>
                  </w:r>
                </w:p>
                <w:p w:rsidR="00F04EEF" w:rsidRDefault="00F04EEF">
                  <w:pPr>
                    <w:jc w:val="both"/>
                  </w:pPr>
                </w:p>
                <w:p w:rsidR="00F04EEF" w:rsidRDefault="0099351E">
                  <w:pPr>
                    <w:jc w:val="both"/>
                  </w:pPr>
                  <w:r>
                    <w:t>Au moment où l'élève quitte l'établissement d'enseignement spécialisé, l'attestation est restituée à la (les) personne(s) investie(s) de l’autorité parentale, à sa demande.</w:t>
                  </w:r>
                </w:p>
                <w:p w:rsidR="00F04EEF" w:rsidRDefault="0099351E">
                  <w:pPr>
                    <w:jc w:val="both"/>
                  </w:pPr>
                  <w:r>
                    <w:t>Sinon, elle est transmise au chef du nouvel établissement d'enseignement spécialisé fréquenté par l'élève, sans attendre le passage du vérificateur.</w:t>
                  </w:r>
                </w:p>
                <w:p w:rsidR="00F04EEF" w:rsidRDefault="00F04EEF">
                  <w:pPr>
                    <w:tabs>
                      <w:tab w:val="left" w:pos="709"/>
                    </w:tabs>
                    <w:jc w:val="both"/>
                    <w:rPr>
                      <w:b/>
                    </w:rPr>
                  </w:pPr>
                </w:p>
                <w:p w:rsidR="00F04EEF" w:rsidRDefault="0099351E">
                  <w:pPr>
                    <w:pBdr>
                      <w:top w:val="single" w:sz="4" w:space="1" w:color="auto"/>
                      <w:left w:val="single" w:sz="4" w:space="4" w:color="auto"/>
                      <w:bottom w:val="single" w:sz="4" w:space="1" w:color="auto"/>
                      <w:right w:val="single" w:sz="4" w:space="4" w:color="auto"/>
                    </w:pBdr>
                    <w:tabs>
                      <w:tab w:val="left" w:pos="709"/>
                    </w:tabs>
                    <w:jc w:val="both"/>
                    <w:rPr>
                      <w:b/>
                      <w:caps/>
                    </w:rPr>
                  </w:pPr>
                  <w:r>
                    <w:rPr>
                      <w:b/>
                      <w:u w:val="single"/>
                    </w:rPr>
                    <w:t>Rappel de la réglementation</w:t>
                  </w:r>
                  <w:r>
                    <w:rPr>
                      <w:b/>
                      <w:caps/>
                    </w:rPr>
                    <w:t xml:space="preserve"> : </w:t>
                  </w:r>
                </w:p>
                <w:p w:rsidR="00F04EEF" w:rsidRDefault="0099351E">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L’article 12, § 3 du </w:t>
                  </w:r>
                  <w:hyperlink r:id="rId227"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rsidR="00F04EEF" w:rsidRDefault="00F04EEF">
                  <w:pPr>
                    <w:pBdr>
                      <w:top w:val="single" w:sz="4" w:space="1" w:color="000000"/>
                      <w:left w:val="single" w:sz="4" w:space="4" w:color="000000"/>
                      <w:bottom w:val="single" w:sz="4" w:space="1" w:color="auto"/>
                      <w:right w:val="single" w:sz="4" w:space="4" w:color="000000"/>
                    </w:pBdr>
                    <w:jc w:val="both"/>
                    <w:rPr>
                      <w:rFonts w:cs="Arial"/>
                    </w:rPr>
                  </w:pPr>
                </w:p>
                <w:p w:rsidR="00F04EEF" w:rsidRDefault="0099351E">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F04EEF" w:rsidRDefault="00F04EEF">
                  <w:pPr>
                    <w:pBdr>
                      <w:top w:val="single" w:sz="4" w:space="1" w:color="000000"/>
                      <w:left w:val="single" w:sz="4" w:space="4" w:color="000000"/>
                      <w:bottom w:val="single" w:sz="4" w:space="1" w:color="auto"/>
                      <w:right w:val="single" w:sz="4" w:space="4" w:color="000000"/>
                    </w:pBdr>
                    <w:rPr>
                      <w:rFonts w:cs="Arial"/>
                    </w:rPr>
                  </w:pPr>
                </w:p>
                <w:p w:rsidR="00F04EEF" w:rsidRDefault="0099351E">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p>
                <w:p w:rsidR="00F04EEF" w:rsidRDefault="00F04EEF">
                  <w:pPr>
                    <w:tabs>
                      <w:tab w:val="left" w:pos="1031"/>
                    </w:tabs>
                    <w:jc w:val="both"/>
                  </w:pPr>
                </w:p>
                <w:p w:rsidR="00F04EEF" w:rsidRDefault="0099351E">
                  <w:pPr>
                    <w:tabs>
                      <w:tab w:val="left" w:pos="1031"/>
                    </w:tabs>
                    <w:jc w:val="both"/>
                  </w:pPr>
                  <w:r>
                    <w:t>Le Gouvernement peut accorder une dérogation annuelle à une école d’enseignement secondaire spécialisé qui accepte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 et sur avis favorable du Conseil Général pour l’Enseignement Secondaire.</w:t>
                  </w:r>
                </w:p>
                <w:p w:rsidR="00F04EEF" w:rsidRDefault="00F04EEF">
                  <w:pPr>
                    <w:tabs>
                      <w:tab w:val="left" w:pos="1031"/>
                    </w:tabs>
                    <w:jc w:val="both"/>
                  </w:pPr>
                </w:p>
                <w:p w:rsidR="00F04EEF" w:rsidRDefault="0099351E">
                  <w:pPr>
                    <w:tabs>
                      <w:tab w:val="left" w:pos="1031"/>
                    </w:tabs>
                    <w:jc w:val="both"/>
                  </w:pPr>
                  <w:r>
                    <w:t>L’école d’enseignement spécialisé qui accepte d’inscrire cet élève, bénéficie, pour l’élève concerné, pour l’année scolaire en cours, du taux de subvention, ou de la dotation, et des périodes d’accompagnement générées par le nombre guide relatif au type d’enseignement mentionné sur l’attestation d’orientation de l’élève concerné.</w:t>
                  </w:r>
                </w:p>
                <w:p w:rsidR="00F04EEF" w:rsidRDefault="00F04EEF">
                  <w:pPr>
                    <w:tabs>
                      <w:tab w:val="left" w:pos="1031"/>
                    </w:tabs>
                    <w:jc w:val="both"/>
                  </w:pPr>
                </w:p>
                <w:p w:rsidR="00F04EEF" w:rsidRDefault="0099351E">
                  <w:pPr>
                    <w:tabs>
                      <w:tab w:val="left" w:pos="1031"/>
                    </w:tabs>
                    <w:jc w:val="both"/>
                  </w:pPr>
                  <w:r>
                    <w:t>Durant la période dérogatoire, l’élève est considéré comme régulièrement inscrit.</w:t>
                  </w:r>
                </w:p>
                <w:p w:rsidR="00F04EEF" w:rsidRDefault="0099351E">
                  <w:pPr>
                    <w:tabs>
                      <w:tab w:val="left" w:pos="1031"/>
                    </w:tabs>
                    <w:jc w:val="both"/>
                  </w:pPr>
                  <w:r>
                    <w:rPr>
                      <w:noProof/>
                      <w:lang w:eastAsia="fr-BE"/>
                    </w:rPr>
                    <mc:AlternateContent>
                      <mc:Choice Requires="wps">
                        <w:drawing>
                          <wp:anchor distT="0" distB="0" distL="114300" distR="114300" simplePos="0" relativeHeight="252249088" behindDoc="0" locked="0" layoutInCell="1" allowOverlap="1">
                            <wp:simplePos x="0" y="0"/>
                            <wp:positionH relativeFrom="column">
                              <wp:posOffset>6205220</wp:posOffset>
                            </wp:positionH>
                            <wp:positionV relativeFrom="paragraph">
                              <wp:posOffset>163195</wp:posOffset>
                            </wp:positionV>
                            <wp:extent cx="0" cy="238125"/>
                            <wp:effectExtent l="0" t="0" r="19050" b="28575"/>
                            <wp:wrapNone/>
                            <wp:docPr id="538" name="Connecteur droit 538"/>
                            <wp:cNvGraphicFramePr/>
                            <a:graphic xmlns:a="http://schemas.openxmlformats.org/drawingml/2006/main">
                              <a:graphicData uri="http://schemas.microsoft.com/office/word/2010/wordprocessingShape">
                                <wps:wsp>
                                  <wps:cNvCnPr/>
                                  <wps:spPr>
                                    <a:xfrm>
                                      <a:off x="0" y="0"/>
                                      <a:ext cx="0" cy="2381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F298D6" id="Connecteur droit 538" o:spid="_x0000_s1026" style="position:absolute;z-index:252249088;visibility:visible;mso-wrap-style:square;mso-wrap-distance-left:9pt;mso-wrap-distance-top:0;mso-wrap-distance-right:9pt;mso-wrap-distance-bottom:0;mso-position-horizontal:absolute;mso-position-horizontal-relative:text;mso-position-vertical:absolute;mso-position-vertical-relative:text" from="488.6pt,12.85pt" to="488.6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" strokecolor="black [3213]"/>
                        </w:pict>
                      </mc:Fallback>
                    </mc:AlternateContent>
                  </w:r>
                </w:p>
                <w:p w:rsidR="00F04EEF" w:rsidRDefault="0099351E">
                  <w:pPr>
                    <w:tabs>
                      <w:tab w:val="left" w:pos="1031"/>
                    </w:tabs>
                    <w:jc w:val="both"/>
                  </w:pPr>
                  <w:r>
                    <w:t xml:space="preserve">La dérogation est à demander chaque année pour chaque élève concerné via </w:t>
                  </w:r>
                  <w:r>
                    <w:rPr>
                      <w:rStyle w:val="Lienhypertexte"/>
                      <w:rFonts w:cs="Arial"/>
                    </w:rPr>
                    <w:t>l’annexe 2.</w:t>
                  </w:r>
                </w:p>
                <w:p w:rsidR="00F04EEF" w:rsidRDefault="00F04EEF">
                  <w:pPr>
                    <w:tabs>
                      <w:tab w:val="left" w:pos="1031"/>
                    </w:tabs>
                    <w:jc w:val="both"/>
                  </w:pPr>
                </w:p>
                <w:p w:rsidR="00F04EEF" w:rsidRDefault="0099351E">
                  <w:pPr>
                    <w:pStyle w:val="Titre3"/>
                    <w:rPr>
                      <w:sz w:val="22"/>
                      <w:szCs w:val="22"/>
                    </w:rPr>
                  </w:pPr>
                  <w:bookmarkStart w:id="3318" w:name="__RefHeading__285_957262308"/>
                  <w:bookmarkStart w:id="3319" w:name="_2._Age_d'admission"/>
                  <w:bookmarkStart w:id="3320" w:name="_Toc291075429"/>
                  <w:bookmarkStart w:id="3321" w:name="_Toc291075853"/>
                  <w:bookmarkStart w:id="3322" w:name="_Toc291076277"/>
                  <w:bookmarkStart w:id="3323" w:name="_Toc291076701"/>
                  <w:bookmarkStart w:id="3324" w:name="_Toc291077125"/>
                  <w:bookmarkStart w:id="3325" w:name="_Toc293651968"/>
                  <w:bookmarkStart w:id="3326" w:name="_Toc293653551"/>
                  <w:bookmarkStart w:id="3327" w:name="_Toc293654162"/>
                  <w:bookmarkStart w:id="3328" w:name="_Toc294004742"/>
                  <w:bookmarkStart w:id="3329" w:name="_Toc294185238"/>
                  <w:bookmarkStart w:id="3330" w:name="_Toc324166068"/>
                  <w:bookmarkStart w:id="3331" w:name="_Toc324767104"/>
                  <w:bookmarkStart w:id="3332" w:name="_Toc453314494"/>
                  <w:bookmarkStart w:id="3333" w:name="_Toc454980529"/>
                  <w:bookmarkStart w:id="3334" w:name="_Toc47708570"/>
                  <w:bookmarkEnd w:id="3318"/>
                  <w:bookmarkEnd w:id="3319"/>
                  <w:r>
                    <w:rPr>
                      <w:sz w:val="22"/>
                      <w:szCs w:val="22"/>
                    </w:rPr>
                    <w:t>2. Age d'admission et de maintien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rsidR="00F04EEF" w:rsidRDefault="00F04EEF">
                  <w:pPr>
                    <w:jc w:val="both"/>
                  </w:pPr>
                  <w:bookmarkStart w:id="3335" w:name="_2.1._Dans_l’enseignement"/>
                  <w:bookmarkStart w:id="3336" w:name="_2.3._Dans_l'enseignement"/>
                  <w:bookmarkEnd w:id="3335"/>
                  <w:bookmarkEnd w:id="3336"/>
                </w:p>
                <w:p w:rsidR="00F04EEF" w:rsidRDefault="0099351E">
                  <w:pPr>
                    <w:numPr>
                      <w:ilvl w:val="0"/>
                      <w:numId w:val="13"/>
                    </w:numPr>
                    <w:suppressAutoHyphens/>
                    <w:ind w:left="360" w:hanging="360"/>
                    <w:jc w:val="both"/>
                    <w:rPr>
                      <w:u w:val="single"/>
                    </w:rPr>
                  </w:pPr>
                  <w:r>
                    <w:rPr>
                      <w:u w:val="single"/>
                    </w:rPr>
                    <w:t>Admission</w:t>
                  </w:r>
                </w:p>
                <w:p w:rsidR="00F04EEF" w:rsidRDefault="00F04EEF">
                  <w:pPr>
                    <w:tabs>
                      <w:tab w:val="left" w:pos="142"/>
                      <w:tab w:val="left" w:pos="1031"/>
                    </w:tabs>
                    <w:jc w:val="both"/>
                    <w:rPr>
                      <w:b/>
                      <w:u w:val="single"/>
                    </w:rPr>
                  </w:pPr>
                </w:p>
                <w:p w:rsidR="00F04EEF" w:rsidRDefault="0099351E">
                  <w:pPr>
                    <w:tabs>
                      <w:tab w:val="left" w:pos="-284"/>
                    </w:tabs>
                    <w:jc w:val="both"/>
                  </w:pPr>
                  <w:r>
                    <w:t>Les élèves peuvent être admis dans l'enseignement secondaire spécialisé :</w:t>
                  </w:r>
                </w:p>
                <w:p w:rsidR="00F04EEF" w:rsidRDefault="0099351E">
                  <w:pPr>
                    <w:numPr>
                      <w:ilvl w:val="0"/>
                      <w:numId w:val="3"/>
                    </w:numPr>
                    <w:tabs>
                      <w:tab w:val="clear" w:pos="357"/>
                      <w:tab w:val="left" w:pos="-284"/>
                      <w:tab w:val="num" w:pos="993"/>
                    </w:tabs>
                    <w:suppressAutoHyphens/>
                    <w:ind w:left="1000" w:hanging="433"/>
                    <w:jc w:val="both"/>
                  </w:pPr>
                  <w:r>
                    <w:t>soit après les vacances d'été de l'année civile au cours de laquelle ils atteignent l'âge de 13 ans ;</w:t>
                  </w:r>
                </w:p>
                <w:p w:rsidR="00F04EEF" w:rsidRDefault="0099351E">
                  <w:pPr>
                    <w:numPr>
                      <w:ilvl w:val="0"/>
                      <w:numId w:val="3"/>
                    </w:numPr>
                    <w:tabs>
                      <w:tab w:val="clear" w:pos="357"/>
                      <w:tab w:val="left" w:pos="-284"/>
                      <w:tab w:val="num" w:pos="993"/>
                    </w:tabs>
                    <w:suppressAutoHyphens/>
                    <w:ind w:left="1000" w:hanging="433"/>
                    <w:jc w:val="both"/>
                  </w:pPr>
                  <w:r>
                    <w:t>soit, sur base d'un avis motivé du conseil de classe joint au rapport d'inscription, après les vacances d'été de l'année civile au cours de laquelle ils atteignent l'âge de 12 ans</w:t>
                  </w:r>
                </w:p>
                <w:p w:rsidR="00F04EEF" w:rsidRDefault="0099351E">
                  <w:pPr>
                    <w:numPr>
                      <w:ilvl w:val="0"/>
                      <w:numId w:val="3"/>
                    </w:numPr>
                    <w:tabs>
                      <w:tab w:val="clear" w:pos="357"/>
                      <w:tab w:val="left" w:pos="-284"/>
                      <w:tab w:val="num" w:pos="993"/>
                    </w:tabs>
                    <w:suppressAutoHyphens/>
                    <w:ind w:left="1000" w:hanging="433"/>
                    <w:jc w:val="both"/>
                  </w:pPr>
                  <w:r>
                    <w:rPr>
                      <w:noProof/>
                      <w:lang w:eastAsia="fr-BE"/>
                    </w:rPr>
                    <mc:AlternateContent>
                      <mc:Choice Requires="wps">
                        <w:drawing>
                          <wp:anchor distT="0" distB="0" distL="114300" distR="114300" simplePos="0" relativeHeight="252250112" behindDoc="0" locked="0" layoutInCell="1" allowOverlap="1">
                            <wp:simplePos x="0" y="0"/>
                            <wp:positionH relativeFrom="column">
                              <wp:posOffset>6205220</wp:posOffset>
                            </wp:positionH>
                            <wp:positionV relativeFrom="paragraph">
                              <wp:posOffset>262255</wp:posOffset>
                            </wp:positionV>
                            <wp:extent cx="0" cy="381000"/>
                            <wp:effectExtent l="0" t="0" r="19050" b="19050"/>
                            <wp:wrapNone/>
                            <wp:docPr id="539" name="Connecteur droit 539"/>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385C1F" id="Connecteur droit 539" o:spid="_x0000_s1026" style="position:absolute;z-index:252250112;visibility:visible;mso-wrap-style:square;mso-wrap-distance-left:9pt;mso-wrap-distance-top:0;mso-wrap-distance-right:9pt;mso-wrap-distance-bottom:0;mso-position-horizontal:absolute;mso-position-horizontal-relative:text;mso-position-vertical:absolute;mso-position-vertical-relative:text" from="488.6pt,20.65pt" to="488.6pt,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" strokecolor="black [3213]"/>
                        </w:pict>
                      </mc:Fallback>
                    </mc:AlternateContent>
                  </w:r>
                  <w:r>
                    <w:t xml:space="preserve">sous réserve de respecter les conditions d’âge, une inscription dans l’enseignement spécialisé peut avoir lieu à tout moment de l’année. </w:t>
                  </w:r>
                </w:p>
                <w:p w:rsidR="00F04EEF" w:rsidRDefault="0099351E">
                  <w:pPr>
                    <w:numPr>
                      <w:ilvl w:val="0"/>
                      <w:numId w:val="3"/>
                    </w:numPr>
                    <w:tabs>
                      <w:tab w:val="clear" w:pos="357"/>
                      <w:tab w:val="left" w:pos="-284"/>
                      <w:tab w:val="num" w:pos="993"/>
                    </w:tabs>
                    <w:suppressAutoHyphens/>
                    <w:ind w:left="1000" w:hanging="433"/>
                    <w:jc w:val="both"/>
                  </w:pPr>
                  <w:r>
                    <w:t>Les élèves de l’enseignement secondaire de forme 4 : les conditions d’âge sont identiques à celles de l’enseignement secondaire ordinaire</w:t>
                  </w:r>
                </w:p>
                <w:p w:rsidR="00F04EEF" w:rsidRDefault="00F04EEF">
                  <w:pPr>
                    <w:tabs>
                      <w:tab w:val="left" w:pos="-284"/>
                    </w:tabs>
                    <w:jc w:val="both"/>
                  </w:pPr>
                </w:p>
                <w:p w:rsidR="00F04EEF" w:rsidRDefault="0099351E">
                  <w:pPr>
                    <w:numPr>
                      <w:ilvl w:val="1"/>
                      <w:numId w:val="3"/>
                    </w:numPr>
                    <w:suppressAutoHyphens/>
                    <w:jc w:val="both"/>
                    <w:rPr>
                      <w:u w:val="single"/>
                    </w:rPr>
                  </w:pPr>
                  <w:r>
                    <w:rPr>
                      <w:u w:val="single"/>
                    </w:rPr>
                    <w:t>Maintien au-delà de 21 ans</w:t>
                  </w:r>
                </w:p>
                <w:p w:rsidR="00F04EEF" w:rsidRDefault="00F04EEF">
                  <w:pPr>
                    <w:tabs>
                      <w:tab w:val="left" w:pos="-284"/>
                    </w:tabs>
                    <w:jc w:val="both"/>
                  </w:pPr>
                </w:p>
                <w:p w:rsidR="00F04EEF" w:rsidRDefault="0099351E">
                  <w:pPr>
                    <w:tabs>
                      <w:tab w:val="left" w:pos="-284"/>
                    </w:tabs>
                    <w:jc w:val="both"/>
                  </w:pPr>
                  <w:r>
                    <w:t xml:space="preserve">Les élèves âgés de plus de 21 ans peuvent être maintenus dans l'enseignement secondaire spécialisé, année scolaire par année scolaire, par décision du Gouvernement, suivant les modalités fixées par le </w:t>
                  </w:r>
                  <w:hyperlink w:anchor="_Chapitre_18_:" w:history="1">
                    <w:r>
                      <w:rPr>
                        <w:rStyle w:val="Lienhypertexte"/>
                        <w:rFonts w:cs="Arial"/>
                      </w:rPr>
                      <w:t>chapitre 18 </w:t>
                    </w:r>
                  </w:hyperlink>
                  <w:r>
                    <w:t>: Introduction des demandes de dérogation d’âge pour les élèves d’enseignement spécialisé.</w:t>
                  </w:r>
                </w:p>
                <w:p w:rsidR="00F04EEF" w:rsidRDefault="00F04EEF">
                  <w:pPr>
                    <w:tabs>
                      <w:tab w:val="left" w:pos="-284"/>
                    </w:tabs>
                    <w:jc w:val="both"/>
                  </w:pPr>
                </w:p>
                <w:p w:rsidR="00F04EEF" w:rsidRDefault="0099351E">
                  <w:pPr>
                    <w:tabs>
                      <w:tab w:val="left" w:pos="-284"/>
                    </w:tabs>
                    <w:jc w:val="both"/>
                  </w:pPr>
                  <w:r>
                    <w:t>Toutefois, les élèves de forme 3 qui commencent la 3</w:t>
                  </w:r>
                  <w:r>
                    <w:rPr>
                      <w:vertAlign w:val="superscript"/>
                    </w:rPr>
                    <w:t>ème</w:t>
                  </w:r>
                  <w:r>
                    <w:t xml:space="preserve"> phase pour la 1</w:t>
                  </w:r>
                  <w:r>
                    <w:rPr>
                      <w:vertAlign w:val="superscript"/>
                    </w:rPr>
                    <w:t>ère</w:t>
                  </w:r>
                  <w:r>
                    <w:t xml:space="preserve"> fois sont considérés comme élèves réguliers sans qu’il soit nécessaire de solliciter une dérogation.</w:t>
                  </w:r>
                </w:p>
                <w:p w:rsidR="00F04EEF" w:rsidRDefault="00F04EEF">
                  <w:pPr>
                    <w:jc w:val="both"/>
                  </w:pPr>
                </w:p>
                <w:p w:rsidR="00F04EEF" w:rsidRDefault="00F04EEF">
                  <w:bookmarkStart w:id="3337" w:name="_Toc291075444"/>
                  <w:bookmarkStart w:id="3338" w:name="_Toc291075868"/>
                  <w:bookmarkStart w:id="3339" w:name="_Toc291076292"/>
                  <w:bookmarkStart w:id="3340" w:name="_Toc291076716"/>
                  <w:bookmarkStart w:id="3341" w:name="_Toc291077140"/>
                  <w:bookmarkStart w:id="3342" w:name="_Toc293651983"/>
                  <w:bookmarkStart w:id="3343" w:name="_Toc293653566"/>
                  <w:bookmarkStart w:id="3344" w:name="_Toc293654177"/>
                  <w:bookmarkStart w:id="3345" w:name="_Toc294004757"/>
                  <w:bookmarkStart w:id="3346" w:name="_Toc294185253"/>
                  <w:bookmarkStart w:id="3347" w:name="_Toc324166083"/>
                  <w:bookmarkStart w:id="3348" w:name="_Toc324767119"/>
                  <w:bookmarkStart w:id="3349" w:name="_Toc453314508"/>
                  <w:bookmarkStart w:id="3350" w:name="_Toc454980543"/>
                </w:p>
                <w:p w:rsidR="00F04EEF" w:rsidRDefault="0099351E">
                  <w:pPr>
                    <w:pStyle w:val="Titre3"/>
                    <w:rPr>
                      <w:sz w:val="22"/>
                      <w:szCs w:val="22"/>
                    </w:rPr>
                  </w:pPr>
                  <w:bookmarkStart w:id="3351" w:name="_Toc47708571"/>
                  <w:r>
                    <w:rPr>
                      <w:sz w:val="22"/>
                      <w:szCs w:val="22"/>
                    </w:rPr>
                    <w:t>3. Annexes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rsidR="00F04EEF" w:rsidRDefault="00F04EEF">
                  <w:pPr>
                    <w:jc w:val="both"/>
                  </w:pPr>
                </w:p>
                <w:p w:rsidR="00F04EEF" w:rsidRDefault="0099351E">
                  <w:r>
                    <w:br w:type="page"/>
                  </w:r>
                </w:p>
                <w:p w:rsidR="00F04EEF" w:rsidRDefault="0099351E">
                  <w:pPr>
                    <w:pStyle w:val="Titre4"/>
                  </w:pPr>
                  <w:bookmarkStart w:id="3352" w:name="_Annexe_1_:_14"/>
                  <w:bookmarkStart w:id="3353" w:name="_Toc453314511"/>
                  <w:bookmarkStart w:id="3354" w:name="_Toc454980545"/>
                  <w:bookmarkEnd w:id="3352"/>
                  <w:r>
                    <w:t>Annexe 1 : Passage anticipé dans l’enseignement secondaire spécialisé</w:t>
                  </w:r>
                  <w:bookmarkEnd w:id="3353"/>
                  <w:bookmarkEnd w:id="3354"/>
                </w:p>
                <w:p w:rsidR="00F04EEF" w:rsidRDefault="00F04EEF">
                  <w:pPr>
                    <w:jc w:val="center"/>
                    <w:rPr>
                      <w:b/>
                      <w:u w:val="single"/>
                    </w:rPr>
                  </w:pPr>
                </w:p>
                <w:p w:rsidR="00F04EEF" w:rsidRDefault="0099351E">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r>
                    <w:rPr>
                      <w:b/>
                    </w:rPr>
                    <w:t>ENSEIGNEMENT SPECIALISE</w:t>
                  </w:r>
                </w:p>
                <w:p w:rsidR="00F04EEF" w:rsidRDefault="0099351E">
                  <w:pPr>
                    <w:pStyle w:val="Corpsdetexte"/>
                    <w:jc w:val="center"/>
                    <w:rPr>
                      <w:b w:val="0"/>
                      <w:szCs w:val="22"/>
                    </w:rPr>
                  </w:pPr>
                  <w:r>
                    <w:rPr>
                      <w:b w:val="0"/>
                      <w:szCs w:val="22"/>
                    </w:rPr>
                    <w:t>(Article 15§1er du décret du 3 mars 2004)</w:t>
                  </w:r>
                </w:p>
                <w:p w:rsidR="00F04EEF" w:rsidRDefault="00F04EEF">
                  <w:pPr>
                    <w:pStyle w:val="Corpsdetexte"/>
                    <w:jc w:val="center"/>
                    <w:rPr>
                      <w:szCs w:val="22"/>
                    </w:rPr>
                  </w:pPr>
                </w:p>
                <w:p w:rsidR="00F04EEF" w:rsidRDefault="0099351E">
                  <w:pPr>
                    <w:pStyle w:val="Corpsdetexte"/>
                    <w:jc w:val="center"/>
                    <w:rPr>
                      <w:szCs w:val="22"/>
                    </w:rPr>
                  </w:pPr>
                  <w:r>
                    <w:rPr>
                      <w:szCs w:val="22"/>
                    </w:rPr>
                    <w:t>COMMUNAUTE FRANCAISE</w:t>
                  </w:r>
                </w:p>
                <w:p w:rsidR="00F04EEF" w:rsidRDefault="00F04EEF">
                  <w:pPr>
                    <w:pStyle w:val="Corpsdetexte"/>
                    <w:jc w:val="both"/>
                    <w:rPr>
                      <w:b w:val="0"/>
                      <w:szCs w:val="22"/>
                    </w:rPr>
                  </w:pP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ETABLISSEMENT : </w:t>
                  </w:r>
                </w:p>
                <w:p w:rsidR="00F04EEF" w:rsidRDefault="00F04EEF">
                  <w:pPr>
                    <w:pStyle w:val="Corpsdetexte"/>
                    <w:jc w:val="both"/>
                    <w:rPr>
                      <w:szCs w:val="22"/>
                    </w:rPr>
                  </w:pPr>
                </w:p>
                <w:p w:rsidR="00F04EEF" w:rsidRDefault="00F04EEF">
                  <w:pPr>
                    <w:pStyle w:val="Corpsdetexte"/>
                    <w:jc w:val="both"/>
                    <w:rPr>
                      <w:szCs w:val="22"/>
                    </w:rPr>
                  </w:pPr>
                </w:p>
                <w:p w:rsidR="00F04EEF" w:rsidRDefault="0099351E">
                  <w:pPr>
                    <w:pStyle w:val="Corpsdetexte"/>
                    <w:jc w:val="both"/>
                    <w:rPr>
                      <w:b w:val="0"/>
                      <w:szCs w:val="22"/>
                    </w:rPr>
                  </w:pPr>
                  <w:r>
                    <w:rPr>
                      <w:b w:val="0"/>
                      <w:szCs w:val="22"/>
                    </w:rPr>
                    <w:t>Numéro FASE :</w:t>
                  </w:r>
                </w:p>
                <w:p w:rsidR="00F04EEF" w:rsidRDefault="00F04EEF">
                  <w:pPr>
                    <w:pStyle w:val="Corpsdetexte"/>
                    <w:jc w:val="both"/>
                    <w:rPr>
                      <w:szCs w:val="22"/>
                    </w:rPr>
                  </w:pPr>
                </w:p>
                <w:p w:rsidR="00F04EEF" w:rsidRDefault="00F04EEF">
                  <w:pPr>
                    <w:pStyle w:val="Corpsdetexte"/>
                    <w:jc w:val="both"/>
                    <w:rPr>
                      <w:szCs w:val="22"/>
                    </w:rPr>
                  </w:pPr>
                </w:p>
                <w:p w:rsidR="00F04EEF" w:rsidRDefault="0099351E">
                  <w:pPr>
                    <w:pStyle w:val="Corpsdetexte"/>
                    <w:ind w:firstLine="11"/>
                    <w:jc w:val="both"/>
                    <w:rPr>
                      <w:b w:val="0"/>
                      <w:szCs w:val="22"/>
                    </w:rPr>
                  </w:pPr>
                  <w:r>
                    <w:rPr>
                      <w:b w:val="0"/>
                      <w:szCs w:val="22"/>
                    </w:rPr>
                    <w:t xml:space="preserve">(NOM-Prénom)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 xml:space="preserve">, Président du Conseil de classe, certifie que le Conseil de classe – qui s’est réuni le </w:t>
                  </w:r>
                  <w:r>
                    <w:rPr>
                      <w:b w:val="0"/>
                      <w:szCs w:val="22"/>
                    </w:rPr>
                    <w:tab/>
                  </w:r>
                  <w:r>
                    <w:rPr>
                      <w:b w:val="0"/>
                      <w:szCs w:val="22"/>
                    </w:rPr>
                    <w:tab/>
                  </w:r>
                  <w:r>
                    <w:rPr>
                      <w:b w:val="0"/>
                      <w:szCs w:val="22"/>
                    </w:rPr>
                    <w:tab/>
                  </w:r>
                </w:p>
                <w:p w:rsidR="00F04EEF" w:rsidRDefault="0099351E">
                  <w:pPr>
                    <w:pStyle w:val="Corpsdetexte"/>
                    <w:jc w:val="both"/>
                    <w:rPr>
                      <w:b w:val="0"/>
                      <w:szCs w:val="22"/>
                    </w:rPr>
                  </w:pPr>
                  <w:r>
                    <w:rPr>
                      <w:b w:val="0"/>
                      <w:szCs w:val="22"/>
                    </w:rPr>
                    <w:t>s’est prononcé pour le passage anticipé au niveau secondaire spécialisé de l’élève suivant :</w:t>
                  </w:r>
                </w:p>
                <w:p w:rsidR="00F04EEF" w:rsidRDefault="00F04EEF">
                  <w:pPr>
                    <w:pStyle w:val="Corpsdetexte"/>
                    <w:jc w:val="both"/>
                    <w:rPr>
                      <w:b w:val="0"/>
                      <w:szCs w:val="22"/>
                    </w:rPr>
                  </w:pP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NOM :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PRENOM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Type d’enseignement spécialisé : </w:t>
                  </w:r>
                </w:p>
                <w:p w:rsidR="00F04EEF" w:rsidRDefault="00F04EEF">
                  <w:pPr>
                    <w:pStyle w:val="Corpsdetexte"/>
                    <w:jc w:val="both"/>
                    <w:rPr>
                      <w:b w:val="0"/>
                      <w:szCs w:val="22"/>
                    </w:rPr>
                  </w:pPr>
                </w:p>
                <w:p w:rsidR="00F04EEF" w:rsidRDefault="00F04EEF">
                  <w:pPr>
                    <w:pStyle w:val="Corpsdetexte"/>
                    <w:ind w:firstLine="1134"/>
                    <w:jc w:val="both"/>
                    <w:rPr>
                      <w:b w:val="0"/>
                      <w:szCs w:val="22"/>
                    </w:rPr>
                  </w:pPr>
                </w:p>
                <w:p w:rsidR="00F04EEF" w:rsidRDefault="00F04EEF">
                  <w:pPr>
                    <w:pStyle w:val="Corpsdetexte"/>
                    <w:ind w:firstLine="1134"/>
                    <w:jc w:val="both"/>
                    <w:rPr>
                      <w:b w:val="0"/>
                      <w:szCs w:val="22"/>
                    </w:rPr>
                  </w:pPr>
                </w:p>
                <w:p w:rsidR="00F04EEF" w:rsidRDefault="00F04EEF">
                  <w:pPr>
                    <w:pStyle w:val="Corpsdetexte"/>
                    <w:ind w:firstLine="1134"/>
                    <w:jc w:val="both"/>
                    <w:rPr>
                      <w:b w:val="0"/>
                      <w:szCs w:val="22"/>
                    </w:rPr>
                  </w:pPr>
                </w:p>
                <w:p w:rsidR="00F04EEF" w:rsidRDefault="00F04EEF">
                  <w:pPr>
                    <w:pStyle w:val="Corpsdetexte"/>
                    <w:ind w:firstLine="1134"/>
                    <w:jc w:val="both"/>
                    <w:rPr>
                      <w:szCs w:val="22"/>
                    </w:rPr>
                  </w:pPr>
                </w:p>
                <w:p w:rsidR="00F04EEF" w:rsidRDefault="0099351E">
                  <w:pPr>
                    <w:pStyle w:val="Corpsdetexte"/>
                    <w:jc w:val="both"/>
                    <w:rPr>
                      <w:b w:val="0"/>
                      <w:szCs w:val="22"/>
                    </w:rPr>
                  </w:pPr>
                  <w:r>
                    <w:rPr>
                      <w:b w:val="0"/>
                      <w:szCs w:val="22"/>
                      <w:u w:val="single"/>
                    </w:rPr>
                    <w:t>Cette décision est fondée sur le(s) motif(s) suivant(s)</w:t>
                  </w:r>
                  <w:r>
                    <w:rPr>
                      <w:b w:val="0"/>
                      <w:szCs w:val="22"/>
                    </w:rPr>
                    <w:t> :</w:t>
                  </w: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99351E">
                  <w:pPr>
                    <w:pStyle w:val="Corpsdetexte"/>
                    <w:jc w:val="both"/>
                    <w:rPr>
                      <w:b w:val="0"/>
                      <w:szCs w:val="22"/>
                    </w:rPr>
                  </w:pPr>
                  <w:r>
                    <w:rPr>
                      <w:b w:val="0"/>
                      <w:szCs w:val="22"/>
                    </w:rPr>
                    <w:t>Le (La) Président(e),</w:t>
                  </w:r>
                </w:p>
                <w:p w:rsidR="00F04EEF" w:rsidRDefault="0099351E">
                  <w:pPr>
                    <w:pStyle w:val="Titre4"/>
                  </w:pPr>
                  <w:bookmarkStart w:id="3355" w:name="_Annexe_4_:_1"/>
                  <w:bookmarkStart w:id="3356" w:name="_Annexe_3_:"/>
                  <w:bookmarkEnd w:id="3355"/>
                  <w:bookmarkEnd w:id="3356"/>
                  <w:r>
                    <w:br w:type="page"/>
                  </w:r>
                  <w:bookmarkStart w:id="3357" w:name="_Toc453314512"/>
                  <w:bookmarkStart w:id="3358" w:name="_Toc454980546"/>
                  <w:r>
                    <w:t>Annexe 2 : Dérogation annuelle à l’inscription – élève relevant d’un autre type ou d’une autre forme  d’enseignement</w:t>
                  </w:r>
                  <w:bookmarkEnd w:id="3357"/>
                  <w:bookmarkEnd w:id="3358"/>
                </w:p>
                <w:p w:rsidR="00F04EEF" w:rsidRDefault="00F04EEF">
                  <w:pPr>
                    <w:jc w:val="both"/>
                    <w:rPr>
                      <w:i/>
                    </w:rPr>
                  </w:pPr>
                </w:p>
                <w:p w:rsidR="00F04EEF" w:rsidRDefault="0099351E">
                  <w:pPr>
                    <w:pStyle w:val="Corpsdetexte"/>
                    <w:widowControl/>
                    <w:ind w:left="3261"/>
                    <w:rPr>
                      <w:b w:val="0"/>
                      <w:bCs/>
                      <w:szCs w:val="22"/>
                    </w:rPr>
                  </w:pPr>
                  <w:r>
                    <w:rPr>
                      <w:b w:val="0"/>
                      <w:bCs/>
                      <w:szCs w:val="22"/>
                    </w:rPr>
                    <w:t>Conseil général pour l’enseignement secondaire</w:t>
                  </w:r>
                </w:p>
                <w:p w:rsidR="00F04EEF" w:rsidRDefault="0099351E">
                  <w:pPr>
                    <w:pStyle w:val="Corpsdetexte"/>
                    <w:widowControl/>
                    <w:ind w:left="3261"/>
                    <w:rPr>
                      <w:b w:val="0"/>
                      <w:bCs/>
                      <w:szCs w:val="22"/>
                    </w:rPr>
                  </w:pPr>
                  <w:r>
                    <w:rPr>
                      <w:b w:val="0"/>
                      <w:bCs/>
                      <w:szCs w:val="22"/>
                    </w:rPr>
                    <w:t>Monsieur Patrick MALCOTTE </w:t>
                  </w:r>
                </w:p>
                <w:p w:rsidR="00F04EEF" w:rsidRDefault="0099351E">
                  <w:pPr>
                    <w:pStyle w:val="Corpsdetexte"/>
                    <w:widowControl/>
                    <w:ind w:left="3261"/>
                    <w:rPr>
                      <w:b w:val="0"/>
                      <w:bCs/>
                      <w:szCs w:val="22"/>
                    </w:rPr>
                  </w:pPr>
                  <w:r>
                    <w:rPr>
                      <w:b w:val="0"/>
                      <w:bCs/>
                      <w:szCs w:val="22"/>
                    </w:rPr>
                    <w:t>Bureau 2F250</w:t>
                  </w:r>
                </w:p>
                <w:p w:rsidR="00F04EEF" w:rsidRDefault="0099351E">
                  <w:pPr>
                    <w:pStyle w:val="Corpsdetexte"/>
                    <w:widowControl/>
                    <w:ind w:left="3261"/>
                    <w:rPr>
                      <w:b w:val="0"/>
                      <w:bCs/>
                      <w:szCs w:val="22"/>
                    </w:rPr>
                  </w:pPr>
                  <w:r>
                    <w:rPr>
                      <w:b w:val="0"/>
                      <w:bCs/>
                      <w:szCs w:val="22"/>
                    </w:rPr>
                    <w:t>Rue Adolphe Lavallée, 1</w:t>
                  </w:r>
                </w:p>
                <w:p w:rsidR="00F04EEF" w:rsidRDefault="0099351E">
                  <w:pPr>
                    <w:pStyle w:val="Corpsdetexte"/>
                    <w:ind w:left="3261"/>
                    <w:rPr>
                      <w:b w:val="0"/>
                      <w:szCs w:val="22"/>
                    </w:rPr>
                  </w:pPr>
                  <w:r>
                    <w:rPr>
                      <w:b w:val="0"/>
                      <w:szCs w:val="22"/>
                    </w:rPr>
                    <w:t>1080   BRUXELLES</w:t>
                  </w:r>
                </w:p>
                <w:p w:rsidR="00F04EEF" w:rsidRDefault="00F04EEF">
                  <w:pPr>
                    <w:jc w:val="both"/>
                    <w:rPr>
                      <w:i/>
                    </w:rPr>
                  </w:pPr>
                </w:p>
                <w:p w:rsidR="00F04EEF" w:rsidRDefault="0099351E">
                  <w:pPr>
                    <w:jc w:val="both"/>
                    <w:rPr>
                      <w:i/>
                    </w:rPr>
                  </w:pPr>
                  <w:r>
                    <w:rPr>
                      <w:i/>
                    </w:rPr>
                    <w:t>Base légale : article 15ter du décret du 3 mars 2004 organisant l’enseignement spécialisé - Dérogation permettant à une école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w:t>
                  </w:r>
                </w:p>
                <w:p w:rsidR="00F04EEF" w:rsidRDefault="00F04EEF">
                  <w:pPr>
                    <w:jc w:val="both"/>
                    <w:rPr>
                      <w:i/>
                    </w:rPr>
                  </w:pPr>
                </w:p>
                <w:p w:rsidR="00F04EEF" w:rsidRDefault="0099351E">
                  <w:pPr>
                    <w:jc w:val="both"/>
                  </w:pPr>
                  <w:r>
                    <w:t xml:space="preserve">Cette dérogation annuelle est accordée à UN établissement scolaire donc en cas de changement d’école, l’établissement scolaire d’arrivée devra introduire une nouvelle demande de dérogation « autres types ». </w:t>
                  </w:r>
                </w:p>
                <w:p w:rsidR="00F04EEF" w:rsidRDefault="00F04EEF">
                  <w:pPr>
                    <w:jc w:val="both"/>
                  </w:pPr>
                </w:p>
                <w:p w:rsidR="00F04EEF" w:rsidRDefault="0099351E">
                  <w:pPr>
                    <w:jc w:val="both"/>
                    <w:rPr>
                      <w:b/>
                    </w:rPr>
                  </w:pPr>
                  <w:r>
                    <w:rPr>
                      <w:b/>
                    </w:rPr>
                    <w:t xml:space="preserve">Les demandes de dérogation « autre type » ou « autre forme » doivent systématiquement être accompagnées de l’attestation d’orientation des élèves. </w:t>
                  </w:r>
                </w:p>
                <w:p w:rsidR="00F04EEF" w:rsidRDefault="00F04EEF">
                  <w:pPr>
                    <w:jc w:val="both"/>
                    <w:rPr>
                      <w:i/>
                    </w:rPr>
                  </w:pPr>
                </w:p>
                <w:p w:rsidR="00F04EEF" w:rsidRDefault="00F04EEF">
                  <w:pPr>
                    <w:jc w:val="both"/>
                    <w:rPr>
                      <w:i/>
                    </w:rPr>
                  </w:pPr>
                </w:p>
                <w:tbl>
                  <w:tblPr>
                    <w:tblpPr w:leftFromText="141" w:rightFromText="141" w:vertAnchor="text" w:horzAnchor="margin" w:tblpY="65"/>
                    <w:tblW w:w="985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53"/>
                  </w:tblGrid>
                  <w:tr w:rsidR="00F04EEF">
                    <w:tc>
                      <w:tcPr>
                        <w:tcW w:w="9853" w:type="dxa"/>
                        <w:tcBorders>
                          <w:top w:val="single" w:sz="4" w:space="0" w:color="auto"/>
                          <w:bottom w:val="single" w:sz="4" w:space="0" w:color="auto"/>
                        </w:tcBorders>
                      </w:tcPr>
                      <w:p w:rsidR="00F04EEF" w:rsidRDefault="0099351E">
                        <w:pPr>
                          <w:pStyle w:val="Corpsdetexte"/>
                          <w:widowControl/>
                          <w:tabs>
                            <w:tab w:val="left" w:pos="4200"/>
                          </w:tabs>
                          <w:snapToGrid w:val="0"/>
                          <w:ind w:right="239"/>
                          <w:jc w:val="both"/>
                          <w:rPr>
                            <w:b w:val="0"/>
                            <w:szCs w:val="22"/>
                          </w:rPr>
                        </w:pPr>
                        <w:r>
                          <w:rPr>
                            <w:b w:val="0"/>
                            <w:szCs w:val="22"/>
                            <w:u w:val="single"/>
                          </w:rPr>
                          <w:t>Etablissement d’enseignement spécialisé concerné</w:t>
                        </w:r>
                        <w:r>
                          <w:rPr>
                            <w:b w:val="0"/>
                            <w:szCs w:val="22"/>
                          </w:rPr>
                          <w:t> :</w:t>
                        </w:r>
                      </w:p>
                      <w:p w:rsidR="00F04EEF" w:rsidRDefault="0099351E">
                        <w:pPr>
                          <w:pStyle w:val="Corpsdetexte"/>
                          <w:widowControl/>
                          <w:tabs>
                            <w:tab w:val="left" w:pos="4200"/>
                          </w:tabs>
                          <w:ind w:right="239"/>
                          <w:jc w:val="both"/>
                          <w:rPr>
                            <w:b w:val="0"/>
                            <w:szCs w:val="22"/>
                          </w:rPr>
                        </w:pPr>
                        <w:r>
                          <w:rPr>
                            <w:b w:val="0"/>
                            <w:szCs w:val="22"/>
                          </w:rPr>
                          <w:t>N° FASE :</w:t>
                        </w:r>
                      </w:p>
                      <w:p w:rsidR="00F04EEF" w:rsidRDefault="0099351E">
                        <w:pPr>
                          <w:pStyle w:val="Corpsdetexte"/>
                          <w:widowControl/>
                          <w:tabs>
                            <w:tab w:val="left" w:pos="4200"/>
                          </w:tabs>
                          <w:ind w:right="239"/>
                          <w:jc w:val="both"/>
                          <w:rPr>
                            <w:b w:val="0"/>
                            <w:szCs w:val="22"/>
                          </w:rPr>
                        </w:pPr>
                        <w:r>
                          <w:rPr>
                            <w:b w:val="0"/>
                            <w:szCs w:val="22"/>
                          </w:rPr>
                          <w:t xml:space="preserve">Dénomination : </w:t>
                        </w:r>
                      </w:p>
                      <w:p w:rsidR="00F04EEF" w:rsidRDefault="0099351E">
                        <w:pPr>
                          <w:pStyle w:val="Corpsdetexte"/>
                          <w:widowControl/>
                          <w:tabs>
                            <w:tab w:val="left" w:pos="4200"/>
                          </w:tabs>
                          <w:ind w:right="239"/>
                          <w:jc w:val="both"/>
                          <w:rPr>
                            <w:b w:val="0"/>
                            <w:szCs w:val="22"/>
                          </w:rPr>
                        </w:pPr>
                        <w:r>
                          <w:rPr>
                            <w:b w:val="0"/>
                            <w:szCs w:val="22"/>
                          </w:rPr>
                          <w:t>Adresse :</w:t>
                        </w:r>
                      </w:p>
                      <w:p w:rsidR="00F04EEF" w:rsidRDefault="0099351E">
                        <w:pPr>
                          <w:pStyle w:val="Corpsdetexte"/>
                          <w:widowControl/>
                          <w:tabs>
                            <w:tab w:val="left" w:pos="4200"/>
                          </w:tabs>
                          <w:ind w:right="239"/>
                          <w:jc w:val="both"/>
                          <w:rPr>
                            <w:b w:val="0"/>
                            <w:szCs w:val="22"/>
                          </w:rPr>
                        </w:pPr>
                        <w:r>
                          <w:rPr>
                            <w:b w:val="0"/>
                            <w:szCs w:val="22"/>
                          </w:rPr>
                          <w:t xml:space="preserve">Code postal :                  </w:t>
                        </w:r>
                      </w:p>
                      <w:p w:rsidR="00F04EEF" w:rsidRDefault="0099351E">
                        <w:pPr>
                          <w:pStyle w:val="Corpsdetexte"/>
                          <w:widowControl/>
                          <w:tabs>
                            <w:tab w:val="left" w:pos="4200"/>
                          </w:tabs>
                          <w:ind w:right="239"/>
                          <w:jc w:val="both"/>
                          <w:rPr>
                            <w:b w:val="0"/>
                            <w:szCs w:val="22"/>
                          </w:rPr>
                        </w:pPr>
                        <w:r>
                          <w:rPr>
                            <w:b w:val="0"/>
                            <w:szCs w:val="22"/>
                          </w:rPr>
                          <w:t>Localité:</w:t>
                        </w:r>
                      </w:p>
                    </w:tc>
                  </w:tr>
                </w:tbl>
                <w:p w:rsidR="00F04EEF" w:rsidRDefault="00F04EEF">
                  <w:pPr>
                    <w:tabs>
                      <w:tab w:val="left" w:pos="1134"/>
                    </w:tabs>
                    <w:jc w:val="both"/>
                    <w:rPr>
                      <w:b/>
                    </w:rPr>
                  </w:pP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rPr>
                      <w:u w:val="single"/>
                    </w:rPr>
                  </w:pPr>
                  <w:r>
                    <w:rPr>
                      <w:u w:val="single"/>
                    </w:rPr>
                    <w:t>Élève concerné(e) :</w:t>
                  </w: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t>NOM:                                                   Prénom :                                  Date de naissance :</w:t>
                  </w:r>
                </w:p>
                <w:p w:rsidR="00F04EEF" w:rsidRDefault="00F04EEF">
                  <w:pPr>
                    <w:pBdr>
                      <w:top w:val="single" w:sz="4" w:space="1" w:color="000000"/>
                      <w:left w:val="single" w:sz="4" w:space="4" w:color="000000"/>
                      <w:bottom w:val="single" w:sz="4" w:space="1" w:color="000000"/>
                      <w:right w:val="single" w:sz="4" w:space="21" w:color="000000"/>
                    </w:pBdr>
                    <w:tabs>
                      <w:tab w:val="left" w:pos="1134"/>
                    </w:tabs>
                    <w:ind w:right="239"/>
                    <w:jc w:val="both"/>
                  </w:pP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Type d’enseignement renseigné sur l’attestation d’orientation (joindre une copie de l’attestation d’orientation) : 1 - 2 – 3 – 4 – 5 – 6 – 7 – 8 </w:t>
                  </w: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t>Pour l’enseignement secondaire, forme d’enseignement décidée par le Conseil de classe : 1 – 2 – 3 - 4</w:t>
                  </w: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t>Parcours de l’élève (écoles antérieures, niveaux, formes et/ou types d’enseignement fréquentés)</w:t>
                  </w: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rPr>
                      <w:noProof/>
                      <w:lang w:eastAsia="fr-BE"/>
                    </w:rPr>
                    <mc:AlternateContent>
                      <mc:Choice Requires="wps">
                        <w:drawing>
                          <wp:anchor distT="0" distB="0" distL="114300" distR="114300" simplePos="0" relativeHeight="252252160" behindDoc="0" locked="0" layoutInCell="1" allowOverlap="1">
                            <wp:simplePos x="0" y="0"/>
                            <wp:positionH relativeFrom="column">
                              <wp:posOffset>6410325</wp:posOffset>
                            </wp:positionH>
                            <wp:positionV relativeFrom="paragraph">
                              <wp:posOffset>241935</wp:posOffset>
                            </wp:positionV>
                            <wp:extent cx="0" cy="381000"/>
                            <wp:effectExtent l="0" t="0" r="19050" b="19050"/>
                            <wp:wrapNone/>
                            <wp:docPr id="540" name="Connecteur droit 540"/>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349C93" id="Connecteur droit 540" o:spid="_x0000_s1026" style="position:absolute;z-index:252252160;visibility:visible;mso-wrap-style:square;mso-wrap-distance-left:9pt;mso-wrap-distance-top:0;mso-wrap-distance-right:9pt;mso-wrap-distance-bottom:0;mso-position-horizontal:absolute;mso-position-horizontal-relative:text;mso-position-vertical:absolute;mso-position-vertical-relative:text" from="504.75pt,19.05pt" to="504.75pt,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" strokecolor="black [3213]"/>
                        </w:pict>
                      </mc:Fallback>
                    </mc:AlternateContent>
                  </w: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2019-2020 : </w:t>
                  </w:r>
                </w:p>
                <w:p w:rsidR="00F04EEF" w:rsidRDefault="00F04EEF">
                  <w:pPr>
                    <w:pBdr>
                      <w:top w:val="single" w:sz="4" w:space="1" w:color="000000"/>
                      <w:left w:val="single" w:sz="4" w:space="4" w:color="000000"/>
                      <w:bottom w:val="single" w:sz="4" w:space="1" w:color="000000"/>
                      <w:right w:val="single" w:sz="4" w:space="21" w:color="000000"/>
                    </w:pBdr>
                    <w:tabs>
                      <w:tab w:val="left" w:pos="1134"/>
                    </w:tabs>
                    <w:ind w:right="239"/>
                    <w:jc w:val="both"/>
                  </w:pP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t>2018-2019 :</w:t>
                  </w:r>
                </w:p>
                <w:p w:rsidR="00F04EEF" w:rsidRDefault="00F04EEF">
                  <w:pPr>
                    <w:pBdr>
                      <w:top w:val="single" w:sz="4" w:space="1" w:color="000000"/>
                      <w:left w:val="single" w:sz="4" w:space="4" w:color="000000"/>
                      <w:bottom w:val="single" w:sz="4" w:space="1" w:color="000000"/>
                      <w:right w:val="single" w:sz="4" w:space="21" w:color="000000"/>
                    </w:pBdr>
                    <w:tabs>
                      <w:tab w:val="left" w:pos="1134"/>
                    </w:tabs>
                    <w:ind w:right="239"/>
                    <w:jc w:val="both"/>
                  </w:pP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rPr>
                      <w:noProof/>
                      <w:lang w:eastAsia="fr-BE"/>
                    </w:rPr>
                    <mc:AlternateContent>
                      <mc:Choice Requires="wps">
                        <w:drawing>
                          <wp:anchor distT="0" distB="0" distL="114300" distR="114300" simplePos="0" relativeHeight="252254208" behindDoc="0" locked="0" layoutInCell="1" allowOverlap="1">
                            <wp:simplePos x="0" y="0"/>
                            <wp:positionH relativeFrom="column">
                              <wp:posOffset>6414770</wp:posOffset>
                            </wp:positionH>
                            <wp:positionV relativeFrom="paragraph">
                              <wp:posOffset>211455</wp:posOffset>
                            </wp:positionV>
                            <wp:extent cx="0" cy="219075"/>
                            <wp:effectExtent l="0" t="0" r="19050" b="28575"/>
                            <wp:wrapNone/>
                            <wp:docPr id="541" name="Connecteur droit 541"/>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2CF1C99" id="Connecteur droit 541" o:spid="_x0000_s1026" style="position:absolute;z-index:252254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5.1pt,16.65pt" to="505.1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" strokecolor="black [3213]"/>
                        </w:pict>
                      </mc:Fallback>
                    </mc:AlternateContent>
                  </w:r>
                  <w:r>
                    <w:t>2017-2018 :</w:t>
                  </w:r>
                </w:p>
                <w:p w:rsidR="00F04EEF" w:rsidRDefault="00F04EEF">
                  <w:pPr>
                    <w:pBdr>
                      <w:top w:val="single" w:sz="4" w:space="1" w:color="000000"/>
                      <w:left w:val="single" w:sz="4" w:space="4" w:color="000000"/>
                      <w:bottom w:val="single" w:sz="4" w:space="1" w:color="000000"/>
                      <w:right w:val="single" w:sz="4" w:space="21" w:color="000000"/>
                    </w:pBdr>
                    <w:tabs>
                      <w:tab w:val="left" w:pos="1134"/>
                    </w:tabs>
                    <w:ind w:right="239"/>
                    <w:jc w:val="both"/>
                  </w:pPr>
                </w:p>
                <w:p w:rsidR="00F04EEF" w:rsidRDefault="0099351E">
                  <w:pPr>
                    <w:pBdr>
                      <w:top w:val="single" w:sz="4" w:space="1" w:color="000000"/>
                      <w:left w:val="single" w:sz="4" w:space="4" w:color="000000"/>
                      <w:bottom w:val="single" w:sz="4" w:space="1" w:color="000000"/>
                      <w:right w:val="single" w:sz="4" w:space="21" w:color="000000"/>
                    </w:pBdr>
                    <w:tabs>
                      <w:tab w:val="left" w:pos="1134"/>
                    </w:tabs>
                    <w:ind w:right="239"/>
                    <w:jc w:val="both"/>
                  </w:pPr>
                  <w:r>
                    <w:t>Dérogation demandée pour l’année scolaire: 2020-2021</w:t>
                  </w:r>
                </w:p>
                <w:p w:rsidR="00F04EEF" w:rsidRDefault="00F04EEF">
                  <w:pPr>
                    <w:pBdr>
                      <w:top w:val="single" w:sz="4" w:space="1" w:color="000000"/>
                      <w:left w:val="single" w:sz="4" w:space="4" w:color="000000"/>
                      <w:bottom w:val="single" w:sz="4" w:space="1" w:color="000000"/>
                      <w:right w:val="single" w:sz="4" w:space="21" w:color="000000"/>
                    </w:pBdr>
                    <w:tabs>
                      <w:tab w:val="left" w:pos="1134"/>
                    </w:tabs>
                    <w:ind w:right="239"/>
                    <w:jc w:val="both"/>
                  </w:pPr>
                </w:p>
                <w:p w:rsidR="00F04EEF" w:rsidRDefault="00F04EEF">
                  <w:pPr>
                    <w:tabs>
                      <w:tab w:val="left" w:pos="1134"/>
                    </w:tabs>
                    <w:ind w:right="239"/>
                    <w:jc w:val="both"/>
                  </w:pPr>
                </w:p>
                <w:tbl>
                  <w:tblPr>
                    <w:tblW w:w="9853" w:type="dxa"/>
                    <w:tblInd w:w="-25" w:type="dxa"/>
                    <w:tblLayout w:type="fixed"/>
                    <w:tblLook w:val="0000" w:firstRow="0" w:lastRow="0" w:firstColumn="0" w:lastColumn="0" w:noHBand="0" w:noVBand="0"/>
                  </w:tblPr>
                  <w:tblGrid>
                    <w:gridCol w:w="9853"/>
                  </w:tblGrid>
                  <w:tr w:rsidR="00F04EEF">
                    <w:tc>
                      <w:tcPr>
                        <w:tcW w:w="9853"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jc w:val="both"/>
                        </w:pPr>
                        <w:r>
                          <w:rPr>
                            <w:u w:val="single"/>
                          </w:rPr>
                          <w:t>Eléments étayant le manque d’offre empêchant la scolarisation de l’élève</w:t>
                        </w:r>
                        <w:r>
                          <w:t> :</w:t>
                        </w:r>
                      </w:p>
                      <w:p w:rsidR="00F04EEF" w:rsidRDefault="00F04EEF">
                        <w:pPr>
                          <w:tabs>
                            <w:tab w:val="left" w:pos="1134"/>
                          </w:tabs>
                          <w:jc w:val="both"/>
                        </w:pPr>
                      </w:p>
                      <w:p w:rsidR="00F04EEF" w:rsidRDefault="00F04EEF">
                        <w:pPr>
                          <w:tabs>
                            <w:tab w:val="left" w:pos="1134"/>
                          </w:tabs>
                          <w:jc w:val="both"/>
                        </w:pPr>
                      </w:p>
                      <w:p w:rsidR="00F04EEF" w:rsidRDefault="00F04EEF">
                        <w:pPr>
                          <w:autoSpaceDE w:val="0"/>
                          <w:autoSpaceDN w:val="0"/>
                          <w:adjustRightInd w:val="0"/>
                          <w:jc w:val="both"/>
                          <w:rPr>
                            <w:lang w:eastAsia="fr-FR"/>
                          </w:rPr>
                        </w:pPr>
                      </w:p>
                    </w:tc>
                  </w:tr>
                </w:tbl>
                <w:p w:rsidR="00F04EEF" w:rsidRDefault="00F04EEF">
                  <w:pPr>
                    <w:tabs>
                      <w:tab w:val="left" w:pos="1134"/>
                    </w:tabs>
                    <w:jc w:val="both"/>
                  </w:pPr>
                </w:p>
                <w:p w:rsidR="00F04EEF" w:rsidRDefault="0099351E">
                  <w:pPr>
                    <w:tabs>
                      <w:tab w:val="left" w:pos="1134"/>
                    </w:tabs>
                    <w:jc w:val="both"/>
                  </w:pPr>
                  <w:r>
                    <w:br w:type="page"/>
                  </w:r>
                </w:p>
                <w:p w:rsidR="00F04EEF" w:rsidRDefault="0099351E">
                  <w:pPr>
                    <w:pBdr>
                      <w:top w:val="single" w:sz="4" w:space="1" w:color="auto"/>
                      <w:left w:val="single" w:sz="4" w:space="4" w:color="auto"/>
                      <w:bottom w:val="single" w:sz="4" w:space="1" w:color="auto"/>
                      <w:right w:val="single" w:sz="4" w:space="4" w:color="auto"/>
                    </w:pBdr>
                    <w:tabs>
                      <w:tab w:val="left" w:pos="1134"/>
                    </w:tabs>
                    <w:jc w:val="both"/>
                  </w:pPr>
                  <w:r>
                    <w:rPr>
                      <w:u w:val="single"/>
                    </w:rPr>
                    <w:t>Dispositions pratiques et pédagogiques prises en vue d’accueillir l’élève</w:t>
                  </w:r>
                  <w:r>
                    <w:t> :</w:t>
                  </w:r>
                </w:p>
                <w:p w:rsidR="00F04EEF" w:rsidRDefault="00F04EEF">
                  <w:pPr>
                    <w:pBdr>
                      <w:top w:val="single" w:sz="4" w:space="1" w:color="auto"/>
                      <w:left w:val="single" w:sz="4" w:space="4" w:color="auto"/>
                      <w:bottom w:val="single" w:sz="4" w:space="1" w:color="auto"/>
                      <w:right w:val="single" w:sz="4" w:space="4" w:color="auto"/>
                    </w:pBdr>
                    <w:tabs>
                      <w:tab w:val="left" w:pos="1134"/>
                    </w:tabs>
                    <w:jc w:val="both"/>
                  </w:pPr>
                </w:p>
                <w:p w:rsidR="00F04EEF" w:rsidRDefault="00F04EEF">
                  <w:pPr>
                    <w:pBdr>
                      <w:top w:val="single" w:sz="4" w:space="1" w:color="auto"/>
                      <w:left w:val="single" w:sz="4" w:space="4" w:color="auto"/>
                      <w:bottom w:val="single" w:sz="4" w:space="1" w:color="auto"/>
                      <w:right w:val="single" w:sz="4" w:space="4" w:color="auto"/>
                    </w:pBdr>
                    <w:tabs>
                      <w:tab w:val="left" w:pos="1134"/>
                    </w:tabs>
                    <w:jc w:val="both"/>
                  </w:pPr>
                </w:p>
                <w:p w:rsidR="00F04EEF" w:rsidRDefault="00F04EEF">
                  <w:pPr>
                    <w:pBdr>
                      <w:top w:val="single" w:sz="4" w:space="1" w:color="auto"/>
                      <w:left w:val="single" w:sz="4" w:space="4" w:color="auto"/>
                      <w:bottom w:val="single" w:sz="4" w:space="1" w:color="auto"/>
                      <w:right w:val="single" w:sz="4" w:space="4" w:color="auto"/>
                    </w:pBdr>
                    <w:tabs>
                      <w:tab w:val="left" w:pos="1134"/>
                    </w:tabs>
                    <w:jc w:val="both"/>
                  </w:pPr>
                </w:p>
                <w:p w:rsidR="00F04EEF" w:rsidRDefault="00F04EEF">
                  <w:pPr>
                    <w:tabs>
                      <w:tab w:val="left" w:pos="1134"/>
                    </w:tabs>
                    <w:jc w:val="both"/>
                  </w:pPr>
                </w:p>
                <w:p w:rsidR="00F04EEF" w:rsidRDefault="00F04EEF">
                  <w:pPr>
                    <w:tabs>
                      <w:tab w:val="left" w:pos="1134"/>
                    </w:tabs>
                    <w:jc w:val="both"/>
                  </w:pPr>
                </w:p>
                <w:p w:rsidR="00F04EEF" w:rsidRDefault="00F04EEF">
                  <w:pPr>
                    <w:tabs>
                      <w:tab w:val="left" w:pos="1134"/>
                    </w:tabs>
                    <w:jc w:val="both"/>
                  </w:pPr>
                </w:p>
                <w:tbl>
                  <w:tblPr>
                    <w:tblW w:w="9790" w:type="dxa"/>
                    <w:tblInd w:w="108" w:type="dxa"/>
                    <w:tblLayout w:type="fixed"/>
                    <w:tblLook w:val="0000" w:firstRow="0" w:lastRow="0" w:firstColumn="0" w:lastColumn="0" w:noHBand="0" w:noVBand="0"/>
                  </w:tblPr>
                  <w:tblGrid>
                    <w:gridCol w:w="1843"/>
                    <w:gridCol w:w="4707"/>
                    <w:gridCol w:w="3240"/>
                  </w:tblGrid>
                  <w:tr w:rsidR="00F04EEF">
                    <w:tc>
                      <w:tcPr>
                        <w:tcW w:w="1843"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Date</w:t>
                        </w:r>
                      </w:p>
                    </w:tc>
                    <w:tc>
                      <w:tcPr>
                        <w:tcW w:w="4707"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Nom de la Direction</w:t>
                        </w:r>
                      </w:p>
                    </w:tc>
                    <w:tc>
                      <w:tcPr>
                        <w:tcW w:w="3240"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snapToGrid w:val="0"/>
                          <w:jc w:val="both"/>
                        </w:pPr>
                        <w:r>
                          <w:t>Signature</w:t>
                        </w:r>
                      </w:p>
                    </w:tc>
                  </w:tr>
                  <w:tr w:rsidR="00F04EEF">
                    <w:tc>
                      <w:tcPr>
                        <w:tcW w:w="1843"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tc>
                    <w:tc>
                      <w:tcPr>
                        <w:tcW w:w="4707"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tc>
                    <w:tc>
                      <w:tcPr>
                        <w:tcW w:w="3240"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jc w:val="both"/>
                        </w:pPr>
                      </w:p>
                    </w:tc>
                  </w:tr>
                </w:tbl>
                <w:p w:rsidR="00F04EEF" w:rsidRDefault="00F04EEF">
                  <w:pPr>
                    <w:pStyle w:val="Corpsdetexte"/>
                    <w:jc w:val="center"/>
                    <w:rPr>
                      <w:b w:val="0"/>
                      <w:szCs w:val="22"/>
                      <w:lang w:val="fr-FR"/>
                    </w:rPr>
                  </w:pPr>
                </w:p>
                <w:tbl>
                  <w:tblPr>
                    <w:tblW w:w="9790" w:type="dxa"/>
                    <w:tblInd w:w="108" w:type="dxa"/>
                    <w:tblLayout w:type="fixed"/>
                    <w:tblLook w:val="0000" w:firstRow="0" w:lastRow="0" w:firstColumn="0" w:lastColumn="0" w:noHBand="0" w:noVBand="0"/>
                  </w:tblPr>
                  <w:tblGrid>
                    <w:gridCol w:w="1843"/>
                    <w:gridCol w:w="4707"/>
                    <w:gridCol w:w="3240"/>
                  </w:tblGrid>
                  <w:tr w:rsidR="00F04EEF">
                    <w:tc>
                      <w:tcPr>
                        <w:tcW w:w="1843"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Date</w:t>
                        </w:r>
                      </w:p>
                    </w:tc>
                    <w:tc>
                      <w:tcPr>
                        <w:tcW w:w="4707"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Nom et qualité de la personne investie de l’autorité parentale</w:t>
                        </w:r>
                      </w:p>
                    </w:tc>
                    <w:tc>
                      <w:tcPr>
                        <w:tcW w:w="3240" w:type="dxa"/>
                        <w:tcBorders>
                          <w:top w:val="single" w:sz="4" w:space="0" w:color="000000"/>
                          <w:left w:val="single" w:sz="4" w:space="0" w:color="000000"/>
                          <w:bottom w:val="single" w:sz="4" w:space="0" w:color="000000"/>
                          <w:right w:val="single" w:sz="4" w:space="0" w:color="000000"/>
                        </w:tcBorders>
                      </w:tcPr>
                      <w:p w:rsidR="00F04EEF" w:rsidRDefault="0099351E">
                        <w:pPr>
                          <w:tabs>
                            <w:tab w:val="left" w:pos="1134"/>
                          </w:tabs>
                          <w:snapToGrid w:val="0"/>
                          <w:jc w:val="both"/>
                        </w:pPr>
                        <w:r>
                          <w:t>Signature</w:t>
                        </w:r>
                      </w:p>
                    </w:tc>
                  </w:tr>
                  <w:tr w:rsidR="00F04EEF">
                    <w:tc>
                      <w:tcPr>
                        <w:tcW w:w="1843"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tc>
                    <w:tc>
                      <w:tcPr>
                        <w:tcW w:w="4707" w:type="dxa"/>
                        <w:tcBorders>
                          <w:top w:val="single" w:sz="4" w:space="0" w:color="000000"/>
                          <w:left w:val="single" w:sz="4" w:space="0" w:color="000000"/>
                          <w:bottom w:val="single" w:sz="4" w:space="0" w:color="000000"/>
                        </w:tcBorders>
                      </w:tcPr>
                      <w:p w:rsidR="00F04EEF" w:rsidRDefault="00F04EEF">
                        <w:pPr>
                          <w:tabs>
                            <w:tab w:val="left" w:pos="1134"/>
                          </w:tabs>
                          <w:snapToGrid w:val="0"/>
                          <w:jc w:val="both"/>
                        </w:pPr>
                      </w:p>
                      <w:p w:rsidR="00F04EEF" w:rsidRDefault="00F04EEF">
                        <w:pPr>
                          <w:tabs>
                            <w:tab w:val="left" w:pos="1134"/>
                          </w:tabs>
                          <w:snapToGrid w:val="0"/>
                          <w:jc w:val="both"/>
                        </w:pPr>
                      </w:p>
                    </w:tc>
                    <w:tc>
                      <w:tcPr>
                        <w:tcW w:w="3240" w:type="dxa"/>
                        <w:tcBorders>
                          <w:top w:val="single" w:sz="4" w:space="0" w:color="000000"/>
                          <w:left w:val="single" w:sz="4" w:space="0" w:color="000000"/>
                          <w:bottom w:val="single" w:sz="4" w:space="0" w:color="000000"/>
                          <w:right w:val="single" w:sz="4" w:space="0" w:color="000000"/>
                        </w:tcBorders>
                      </w:tcPr>
                      <w:p w:rsidR="00F04EEF" w:rsidRDefault="00F04EEF">
                        <w:pPr>
                          <w:tabs>
                            <w:tab w:val="left" w:pos="1134"/>
                          </w:tabs>
                          <w:snapToGrid w:val="0"/>
                          <w:jc w:val="both"/>
                        </w:pPr>
                      </w:p>
                      <w:p w:rsidR="00F04EEF" w:rsidRDefault="00F04EEF">
                        <w:pPr>
                          <w:tabs>
                            <w:tab w:val="left" w:pos="1134"/>
                          </w:tabs>
                          <w:jc w:val="both"/>
                        </w:pPr>
                      </w:p>
                    </w:tc>
                  </w:tr>
                </w:tbl>
                <w:p w:rsidR="00F04EEF" w:rsidRDefault="0099351E">
                  <w:pPr>
                    <w:rPr>
                      <w:b/>
                    </w:rPr>
                  </w:pPr>
                  <w:r>
                    <w:rPr>
                      <w:b/>
                    </w:rPr>
                    <w:br w:type="page"/>
                  </w:r>
                </w:p>
                <w:p w:rsidR="00F04EEF" w:rsidRDefault="0099351E">
                  <w:pPr>
                    <w:pStyle w:val="Titre4"/>
                  </w:pPr>
                  <w:bookmarkStart w:id="3359" w:name="_Annexe_5_:_2"/>
                  <w:bookmarkStart w:id="3360" w:name="_Annexe_4_:"/>
                  <w:bookmarkStart w:id="3361" w:name="_Toc453314513"/>
                  <w:bookmarkStart w:id="3362" w:name="_Toc454980547"/>
                  <w:bookmarkEnd w:id="3359"/>
                  <w:bookmarkEnd w:id="3360"/>
                  <w:r>
                    <w:t>Annexe 3 : Attestation de fréquentation d’un établissement d’enseignement spécialisé à l’attention d’une structure d’accueil</w:t>
                  </w:r>
                  <w:bookmarkEnd w:id="3361"/>
                  <w:bookmarkEnd w:id="3362"/>
                </w:p>
                <w:p w:rsidR="00F04EEF" w:rsidRDefault="00F04EEF">
                  <w:pPr>
                    <w:jc w:val="center"/>
                  </w:pPr>
                </w:p>
                <w:p w:rsidR="00F04EEF" w:rsidRDefault="0099351E">
                  <w:pPr>
                    <w:jc w:val="center"/>
                    <w:rPr>
                      <w:b/>
                      <w:caps/>
                    </w:rPr>
                  </w:pPr>
                  <w:r>
                    <w:rPr>
                      <w:b/>
                      <w:caps/>
                    </w:rPr>
                    <w:t>Communauté française</w:t>
                  </w:r>
                </w:p>
                <w:p w:rsidR="00F04EEF" w:rsidRDefault="00F04EEF">
                  <w:pPr>
                    <w:jc w:val="center"/>
                  </w:pPr>
                </w:p>
                <w:p w:rsidR="00F04EEF" w:rsidRDefault="00F04EEF">
                  <w:pPr>
                    <w:pStyle w:val="Titre"/>
                    <w:spacing w:line="240" w:lineRule="auto"/>
                    <w:jc w:val="both"/>
                    <w:rPr>
                      <w:sz w:val="22"/>
                      <w:szCs w:val="22"/>
                    </w:rPr>
                  </w:pPr>
                </w:p>
                <w:p w:rsidR="00F04EEF" w:rsidRDefault="00F04EEF">
                  <w:pPr>
                    <w:jc w:val="both"/>
                  </w:pPr>
                </w:p>
                <w:p w:rsidR="00F04EEF" w:rsidRDefault="0099351E">
                  <w:pPr>
                    <w:jc w:val="both"/>
                  </w:pPr>
                  <w:r>
                    <w:t>DENOMINATION ET SIEGE DE L’ETABLISSEMENT</w:t>
                  </w:r>
                </w:p>
                <w:p w:rsidR="00F04EEF" w:rsidRDefault="00F04EEF">
                  <w:pPr>
                    <w:jc w:val="both"/>
                  </w:pPr>
                </w:p>
                <w:p w:rsidR="00F04EEF" w:rsidRDefault="00F04EEF">
                  <w:pPr>
                    <w:jc w:val="both"/>
                  </w:pPr>
                </w:p>
                <w:p w:rsidR="00F04EEF" w:rsidRDefault="00F04EEF">
                  <w:pPr>
                    <w:jc w:val="both"/>
                  </w:pPr>
                </w:p>
                <w:p w:rsidR="00F04EEF" w:rsidRDefault="0099351E">
                  <w:pPr>
                    <w:jc w:val="both"/>
                  </w:pPr>
                  <w:r>
                    <w:t>Numéro FASE :</w:t>
                  </w:r>
                </w:p>
                <w:p w:rsidR="00F04EEF" w:rsidRDefault="00F04EEF">
                  <w:pPr>
                    <w:jc w:val="both"/>
                  </w:pPr>
                </w:p>
                <w:p w:rsidR="00F04EEF" w:rsidRDefault="0099351E">
                  <w:pPr>
                    <w:jc w:val="both"/>
                  </w:pPr>
                  <w:r>
                    <w:t xml:space="preserve">Je soussigné(e) </w:t>
                  </w:r>
                </w:p>
                <w:p w:rsidR="00F04EEF" w:rsidRDefault="00F04EEF">
                  <w:pPr>
                    <w:jc w:val="both"/>
                  </w:pPr>
                </w:p>
                <w:p w:rsidR="00F04EEF" w:rsidRDefault="0099351E">
                  <w:pPr>
                    <w:jc w:val="both"/>
                  </w:pPr>
                  <w:r>
                    <w:t>Chef(fe) de l’établissement susmentionné, atteste que</w:t>
                  </w:r>
                </w:p>
                <w:p w:rsidR="00F04EEF" w:rsidRDefault="00F04EEF">
                  <w:pPr>
                    <w:jc w:val="both"/>
                  </w:pPr>
                </w:p>
                <w:p w:rsidR="00F04EEF" w:rsidRDefault="0099351E">
                  <w:pPr>
                    <w:jc w:val="both"/>
                  </w:pPr>
                  <w:r>
                    <w:t xml:space="preserve">(NOM , Prénom) </w:t>
                  </w:r>
                </w:p>
                <w:p w:rsidR="00F04EEF" w:rsidRDefault="00F04EEF">
                  <w:pPr>
                    <w:jc w:val="both"/>
                  </w:pPr>
                </w:p>
                <w:p w:rsidR="00F04EEF" w:rsidRDefault="0099351E">
                  <w:pPr>
                    <w:jc w:val="both"/>
                  </w:pPr>
                  <w:r>
                    <w:t xml:space="preserve">Né(e) le </w:t>
                  </w:r>
                  <w:r>
                    <w:tab/>
                  </w:r>
                  <w:r>
                    <w:tab/>
                  </w:r>
                  <w:r>
                    <w:tab/>
                  </w:r>
                  <w:r>
                    <w:tab/>
                  </w:r>
                  <w:r>
                    <w:tab/>
                  </w:r>
                  <w:r>
                    <w:tab/>
                  </w:r>
                  <w:r>
                    <w:tab/>
                    <w:t xml:space="preserve">, à </w:t>
                  </w:r>
                </w:p>
                <w:p w:rsidR="00F04EEF" w:rsidRDefault="00F04EEF">
                  <w:pPr>
                    <w:jc w:val="both"/>
                  </w:pPr>
                </w:p>
                <w:p w:rsidR="00F04EEF" w:rsidRDefault="0099351E">
                  <w:pPr>
                    <w:jc w:val="both"/>
                  </w:pPr>
                  <w:r>
                    <w:t>suit les cours au sein de notre établissement pendant l’année scolaire 20…. – 20…. et relève des niveau, type et forme suivants :</w:t>
                  </w:r>
                </w:p>
                <w:p w:rsidR="00F04EEF" w:rsidRDefault="00F04EEF">
                  <w:pPr>
                    <w:jc w:val="both"/>
                  </w:pPr>
                </w:p>
                <w:p w:rsidR="00F04EEF" w:rsidRDefault="00F04EE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F04EEF">
                    <w:tc>
                      <w:tcPr>
                        <w:tcW w:w="3070" w:type="dxa"/>
                      </w:tcPr>
                      <w:p w:rsidR="00F04EEF" w:rsidRDefault="0099351E">
                        <w:pPr>
                          <w:jc w:val="both"/>
                        </w:pPr>
                        <w:r>
                          <w:t>Niveau</w:t>
                        </w:r>
                      </w:p>
                    </w:tc>
                    <w:tc>
                      <w:tcPr>
                        <w:tcW w:w="3071" w:type="dxa"/>
                      </w:tcPr>
                      <w:p w:rsidR="00F04EEF" w:rsidRDefault="0099351E">
                        <w:pPr>
                          <w:jc w:val="both"/>
                        </w:pPr>
                        <w:r>
                          <w:t>Type</w:t>
                        </w:r>
                      </w:p>
                    </w:tc>
                    <w:tc>
                      <w:tcPr>
                        <w:tcW w:w="3071" w:type="dxa"/>
                      </w:tcPr>
                      <w:p w:rsidR="00F04EEF" w:rsidRDefault="0099351E">
                        <w:pPr>
                          <w:jc w:val="both"/>
                        </w:pPr>
                        <w:r>
                          <w:t>Forme</w:t>
                        </w:r>
                      </w:p>
                    </w:tc>
                  </w:tr>
                  <w:tr w:rsidR="00F04EEF">
                    <w:tc>
                      <w:tcPr>
                        <w:tcW w:w="3070" w:type="dxa"/>
                      </w:tcPr>
                      <w:p w:rsidR="00F04EEF" w:rsidRDefault="0099351E">
                        <w:pPr>
                          <w:jc w:val="both"/>
                        </w:pPr>
                        <w:r>
                          <w:t>Fondamental</w:t>
                        </w:r>
                      </w:p>
                    </w:tc>
                    <w:tc>
                      <w:tcPr>
                        <w:tcW w:w="3071" w:type="dxa"/>
                      </w:tcPr>
                      <w:p w:rsidR="00F04EEF" w:rsidRDefault="00F04EEF">
                        <w:pPr>
                          <w:jc w:val="both"/>
                        </w:pPr>
                      </w:p>
                    </w:tc>
                    <w:tc>
                      <w:tcPr>
                        <w:tcW w:w="3071" w:type="dxa"/>
                        <w:shd w:val="thinDiagCross" w:color="auto" w:fill="auto"/>
                      </w:tcPr>
                      <w:p w:rsidR="00F04EEF" w:rsidRDefault="00F04EEF">
                        <w:pPr>
                          <w:jc w:val="both"/>
                        </w:pPr>
                      </w:p>
                    </w:tc>
                  </w:tr>
                  <w:tr w:rsidR="00F04EEF">
                    <w:tc>
                      <w:tcPr>
                        <w:tcW w:w="3070" w:type="dxa"/>
                      </w:tcPr>
                      <w:p w:rsidR="00F04EEF" w:rsidRDefault="0099351E">
                        <w:pPr>
                          <w:jc w:val="both"/>
                        </w:pPr>
                        <w:r>
                          <w:t>Secondaire</w:t>
                        </w:r>
                      </w:p>
                    </w:tc>
                    <w:tc>
                      <w:tcPr>
                        <w:tcW w:w="3071" w:type="dxa"/>
                      </w:tcPr>
                      <w:p w:rsidR="00F04EEF" w:rsidRDefault="00F04EEF">
                        <w:pPr>
                          <w:jc w:val="both"/>
                        </w:pPr>
                      </w:p>
                    </w:tc>
                    <w:tc>
                      <w:tcPr>
                        <w:tcW w:w="3071" w:type="dxa"/>
                        <w:shd w:val="clear" w:color="auto" w:fill="FFFFFF"/>
                      </w:tcPr>
                      <w:p w:rsidR="00F04EEF" w:rsidRDefault="00F04EEF">
                        <w:pPr>
                          <w:jc w:val="both"/>
                        </w:pPr>
                      </w:p>
                    </w:tc>
                  </w:tr>
                </w:tbl>
                <w:p w:rsidR="00F04EEF" w:rsidRDefault="00F04EEF">
                  <w:pPr>
                    <w:jc w:val="both"/>
                  </w:pPr>
                </w:p>
                <w:p w:rsidR="00F04EEF" w:rsidRDefault="00F04EEF">
                  <w:pPr>
                    <w:jc w:val="both"/>
                  </w:pPr>
                </w:p>
                <w:p w:rsidR="00F04EEF" w:rsidRDefault="0099351E">
                  <w:pPr>
                    <w:jc w:val="both"/>
                  </w:pPr>
                  <w:r>
                    <w:t>Sceau de l’établissement</w:t>
                  </w:r>
                  <w:r>
                    <w:tab/>
                  </w:r>
                  <w:r>
                    <w:tab/>
                  </w:r>
                  <w:r>
                    <w:tab/>
                  </w:r>
                  <w:r>
                    <w:tab/>
                  </w:r>
                  <w:r>
                    <w:tab/>
                  </w:r>
                  <w:r>
                    <w:tab/>
                    <w:t>Lieu et date</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t>Le (La) Chef(fe) d’établissement</w:t>
                  </w:r>
                </w:p>
                <w:p w:rsidR="00F04EEF" w:rsidRDefault="0099351E">
                  <w:pPr>
                    <w:jc w:val="both"/>
                  </w:pPr>
                  <w:r>
                    <w:t>(NOM et signature)</w:t>
                  </w:r>
                </w:p>
                <w:p w:rsidR="00F04EEF" w:rsidRDefault="00F04EEF">
                  <w:pPr>
                    <w:jc w:val="both"/>
                  </w:pPr>
                </w:p>
                <w:p w:rsidR="00F04EEF" w:rsidRDefault="00F04EEF">
                  <w:pPr>
                    <w:pStyle w:val="Corpsdetexte"/>
                    <w:ind w:firstLine="567"/>
                    <w:jc w:val="both"/>
                    <w:rPr>
                      <w:szCs w:val="22"/>
                    </w:rPr>
                  </w:pPr>
                </w:p>
                <w:p w:rsidR="00F04EEF" w:rsidRDefault="0099351E">
                  <w:pPr>
                    <w:pStyle w:val="Corpsdetexte"/>
                    <w:ind w:firstLine="567"/>
                    <w:jc w:val="both"/>
                    <w:rPr>
                      <w:szCs w:val="22"/>
                    </w:rPr>
                  </w:pPr>
                  <w:r>
                    <w:rPr>
                      <w:szCs w:val="22"/>
                    </w:rPr>
                    <w:br w:type="page"/>
                  </w:r>
                </w:p>
                <w:p w:rsidR="00F04EEF" w:rsidRDefault="0099351E">
                  <w:pPr>
                    <w:pStyle w:val="Titre4"/>
                  </w:pPr>
                  <w:bookmarkStart w:id="3363" w:name="_Annexe_6_:"/>
                  <w:bookmarkStart w:id="3364" w:name="_Toc453314514"/>
                  <w:bookmarkStart w:id="3365" w:name="_Toc454980548"/>
                  <w:bookmarkEnd w:id="3363"/>
                  <w:r>
                    <w:t>Annexe 4 : Attestation de changement de forme dans l’enseignement secondaire spécialisé</w:t>
                  </w:r>
                  <w:bookmarkEnd w:id="3364"/>
                  <w:bookmarkEnd w:id="3365"/>
                </w:p>
                <w:p w:rsidR="00F04EEF" w:rsidRDefault="00F04EEF">
                  <w:pPr>
                    <w:jc w:val="center"/>
                    <w:rPr>
                      <w:b/>
                      <w:u w:val="single"/>
                    </w:rPr>
                  </w:pPr>
                </w:p>
                <w:p w:rsidR="00F04EEF" w:rsidRDefault="0099351E">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r>
                    <w:rPr>
                      <w:b/>
                    </w:rPr>
                    <w:t>ENSEIGNEMENT SPECIALISE</w:t>
                  </w:r>
                </w:p>
                <w:p w:rsidR="00F04EEF" w:rsidRDefault="00F04EEF">
                  <w:pPr>
                    <w:pStyle w:val="Corpsdetexte"/>
                    <w:jc w:val="center"/>
                    <w:rPr>
                      <w:b w:val="0"/>
                      <w:szCs w:val="22"/>
                    </w:rPr>
                  </w:pPr>
                </w:p>
                <w:p w:rsidR="00F04EEF" w:rsidRDefault="0099351E">
                  <w:pPr>
                    <w:pStyle w:val="Corpsdetexte"/>
                    <w:jc w:val="center"/>
                    <w:rPr>
                      <w:szCs w:val="22"/>
                    </w:rPr>
                  </w:pPr>
                  <w:r>
                    <w:rPr>
                      <w:szCs w:val="22"/>
                    </w:rPr>
                    <w:t>COMMUNAUTE FRANCAISE</w:t>
                  </w:r>
                </w:p>
                <w:p w:rsidR="00F04EEF" w:rsidRDefault="00F04EEF">
                  <w:pPr>
                    <w:pStyle w:val="Corpsdetexte"/>
                    <w:jc w:val="both"/>
                    <w:rPr>
                      <w:b w:val="0"/>
                      <w:szCs w:val="22"/>
                    </w:rPr>
                  </w:pP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ETABLISSEMENT : </w:t>
                  </w: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99351E">
                  <w:pPr>
                    <w:pStyle w:val="Corpsdetexte"/>
                    <w:jc w:val="both"/>
                    <w:rPr>
                      <w:b w:val="0"/>
                      <w:szCs w:val="22"/>
                    </w:rPr>
                  </w:pPr>
                  <w:r>
                    <w:rPr>
                      <w:b w:val="0"/>
                      <w:szCs w:val="22"/>
                    </w:rPr>
                    <w:t>Numéro FASE :</w:t>
                  </w:r>
                </w:p>
                <w:p w:rsidR="00F04EEF" w:rsidRDefault="00F04EEF">
                  <w:pPr>
                    <w:pStyle w:val="Corpsdetexte"/>
                    <w:jc w:val="both"/>
                    <w:rPr>
                      <w:szCs w:val="22"/>
                    </w:rPr>
                  </w:pPr>
                </w:p>
                <w:p w:rsidR="00F04EEF" w:rsidRDefault="0099351E">
                  <w:pPr>
                    <w:pStyle w:val="Corpsdetexte"/>
                    <w:ind w:firstLine="11"/>
                    <w:jc w:val="both"/>
                    <w:rPr>
                      <w:b w:val="0"/>
                      <w:szCs w:val="22"/>
                    </w:rPr>
                  </w:pPr>
                  <w:r>
                    <w:rPr>
                      <w:b w:val="0"/>
                      <w:szCs w:val="22"/>
                    </w:rPr>
                    <w:t xml:space="preserve">(NOM-Prénom) </w:t>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r>
                  <w:r>
                    <w:rPr>
                      <w:b w:val="0"/>
                      <w:szCs w:val="22"/>
                    </w:rPr>
                    <w:tab/>
                    <w:t xml:space="preserve">, Président(e) du Conseil de classe, </w:t>
                  </w:r>
                </w:p>
                <w:p w:rsidR="00F04EEF" w:rsidRDefault="00F04EEF">
                  <w:pPr>
                    <w:pStyle w:val="Corpsdetexte"/>
                    <w:ind w:firstLine="11"/>
                    <w:jc w:val="both"/>
                    <w:rPr>
                      <w:b w:val="0"/>
                      <w:szCs w:val="22"/>
                    </w:rPr>
                  </w:pPr>
                </w:p>
                <w:p w:rsidR="00F04EEF" w:rsidRDefault="0099351E">
                  <w:pPr>
                    <w:pStyle w:val="Corpsdetexte"/>
                    <w:ind w:firstLine="11"/>
                    <w:jc w:val="both"/>
                    <w:rPr>
                      <w:b w:val="0"/>
                      <w:szCs w:val="22"/>
                    </w:rPr>
                  </w:pPr>
                  <w:r>
                    <w:rPr>
                      <w:b w:val="0"/>
                      <w:szCs w:val="22"/>
                    </w:rPr>
                    <w:t xml:space="preserve">certifie que le Conseil de classe – qui s’est réuni le </w:t>
                  </w:r>
                  <w:r>
                    <w:rPr>
                      <w:b w:val="0"/>
                      <w:szCs w:val="22"/>
                    </w:rPr>
                    <w:tab/>
                  </w:r>
                  <w:r>
                    <w:rPr>
                      <w:b w:val="0"/>
                      <w:szCs w:val="22"/>
                    </w:rPr>
                    <w:tab/>
                  </w:r>
                  <w:r>
                    <w:rPr>
                      <w:b w:val="0"/>
                      <w:szCs w:val="22"/>
                    </w:rPr>
                    <w:tab/>
                    <w:t>- s’est prononcé pour le changement de forme de l’élève suivant :</w:t>
                  </w:r>
                </w:p>
                <w:p w:rsidR="00F04EEF" w:rsidRDefault="00F04EEF">
                  <w:pPr>
                    <w:pStyle w:val="Corpsdetexte"/>
                    <w:jc w:val="both"/>
                    <w:rPr>
                      <w:b w:val="0"/>
                      <w:szCs w:val="22"/>
                    </w:rPr>
                  </w:pP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NOM :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PRENOM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 xml:space="preserve">Type d’enseignement spécialisé :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Ancienne forme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Nouvelle forme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Niveau :</w:t>
                  </w:r>
                </w:p>
                <w:p w:rsidR="00F04EEF" w:rsidRDefault="00F04EEF">
                  <w:pPr>
                    <w:pStyle w:val="Corpsdetexte"/>
                    <w:jc w:val="both"/>
                    <w:rPr>
                      <w:b w:val="0"/>
                      <w:szCs w:val="22"/>
                    </w:rPr>
                  </w:pPr>
                </w:p>
                <w:p w:rsidR="00F04EEF" w:rsidRDefault="0099351E">
                  <w:pPr>
                    <w:pStyle w:val="Corpsdetexte"/>
                    <w:jc w:val="both"/>
                    <w:rPr>
                      <w:b w:val="0"/>
                      <w:szCs w:val="22"/>
                    </w:rPr>
                  </w:pPr>
                  <w:r>
                    <w:rPr>
                      <w:b w:val="0"/>
                      <w:szCs w:val="22"/>
                    </w:rPr>
                    <w:t>Phase :</w:t>
                  </w:r>
                </w:p>
                <w:p w:rsidR="00F04EEF" w:rsidRDefault="00F04EEF">
                  <w:pPr>
                    <w:pStyle w:val="Corpsdetexte"/>
                    <w:ind w:firstLine="1134"/>
                    <w:jc w:val="both"/>
                    <w:rPr>
                      <w:b w:val="0"/>
                      <w:szCs w:val="22"/>
                    </w:rPr>
                  </w:pPr>
                </w:p>
                <w:p w:rsidR="00F04EEF" w:rsidRDefault="00F04EEF">
                  <w:pPr>
                    <w:pStyle w:val="Corpsdetexte"/>
                    <w:ind w:firstLine="1134"/>
                    <w:jc w:val="both"/>
                    <w:rPr>
                      <w:szCs w:val="22"/>
                    </w:rPr>
                  </w:pPr>
                </w:p>
                <w:p w:rsidR="00F04EEF" w:rsidRDefault="0099351E">
                  <w:pPr>
                    <w:pStyle w:val="Corpsdetexte"/>
                    <w:jc w:val="both"/>
                    <w:rPr>
                      <w:b w:val="0"/>
                      <w:szCs w:val="22"/>
                    </w:rPr>
                  </w:pPr>
                  <w:r>
                    <w:rPr>
                      <w:b w:val="0"/>
                      <w:szCs w:val="22"/>
                      <w:u w:val="single"/>
                    </w:rPr>
                    <w:t>Cette décision est fondée sur le(s) motif(s) suivant(s)</w:t>
                  </w:r>
                  <w:r>
                    <w:rPr>
                      <w:b w:val="0"/>
                      <w:szCs w:val="22"/>
                    </w:rPr>
                    <w:t> :</w:t>
                  </w: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F04EEF">
                  <w:pPr>
                    <w:pStyle w:val="Corpsdetexte"/>
                    <w:jc w:val="both"/>
                    <w:rPr>
                      <w:szCs w:val="22"/>
                    </w:rPr>
                  </w:pPr>
                </w:p>
                <w:p w:rsidR="00F04EEF" w:rsidRDefault="0099351E">
                  <w:pPr>
                    <w:pStyle w:val="Corpsdetexte"/>
                    <w:jc w:val="both"/>
                    <w:rPr>
                      <w:b w:val="0"/>
                      <w:szCs w:val="22"/>
                    </w:rPr>
                  </w:pPr>
                  <w:r>
                    <w:rPr>
                      <w:b w:val="0"/>
                      <w:szCs w:val="22"/>
                    </w:rPr>
                    <w:t>Le (La) Président(e),</w:t>
                  </w:r>
                </w:p>
                <w:p w:rsidR="00F04EEF" w:rsidRDefault="0099351E">
                  <w:pPr>
                    <w:rPr>
                      <w:rFonts w:eastAsia="Times New Roman" w:cs="Arial"/>
                      <w:b/>
                      <w:lang w:eastAsia="ar-SA"/>
                    </w:rPr>
                  </w:pPr>
                  <w:r>
                    <w:br w:type="page"/>
                  </w:r>
                </w:p>
                <w:p w:rsidR="00F04EEF" w:rsidRDefault="00F04EEF">
                  <w:pPr>
                    <w:jc w:val="both"/>
                    <w:rPr>
                      <w:b/>
                      <w:sz w:val="24"/>
                      <w:szCs w:val="24"/>
                      <w:u w:val="single"/>
                    </w:rPr>
                    <w:sectPr w:rsidR="00F04EEF">
                      <w:type w:val="nextColumn"/>
                      <w:pgSz w:w="11906" w:h="16838"/>
                      <w:pgMar w:top="1134" w:right="1134" w:bottom="1134" w:left="1418" w:header="709" w:footer="142" w:gutter="0"/>
                      <w:cols w:space="720"/>
                      <w:docGrid w:linePitch="299"/>
                    </w:sectPr>
                  </w:pPr>
                </w:p>
                <w:p w:rsidR="00F04EEF" w:rsidRDefault="0099351E">
                  <w:pPr>
                    <w:pStyle w:val="Titre4"/>
                  </w:pPr>
                  <w:bookmarkStart w:id="3366" w:name="_Annexe_6_:_2"/>
                  <w:bookmarkEnd w:id="3366"/>
                  <w:r>
                    <w:t>Annexe 5 : Liste alphabétique de tous les élèves de nationalité étrangère hors union européenne</w:t>
                  </w:r>
                </w:p>
                <w:p w:rsidR="00F04EEF" w:rsidRDefault="00F04EEF"/>
                <w:p w:rsidR="00F04EEF" w:rsidRDefault="0099351E">
                  <w:r>
                    <w:t xml:space="preserve">INSCRITS AU : </w:t>
                  </w:r>
                  <w:r>
                    <w:sym w:font="Wingdings" w:char="F06F"/>
                  </w:r>
                  <w:r>
                    <w:t xml:space="preserve"> 1</w:t>
                  </w:r>
                  <w:r>
                    <w:rPr>
                      <w:vertAlign w:val="superscript"/>
                    </w:rPr>
                    <w:t>er</w:t>
                  </w:r>
                  <w:r>
                    <w:t xml:space="preserve"> OCTOBRE / </w:t>
                  </w:r>
                  <w:r>
                    <w:sym w:font="Wingdings" w:char="F06F"/>
                  </w:r>
                  <w:r>
                    <w:t xml:space="preserve"> 15 JANVIER</w:t>
                  </w:r>
                </w:p>
                <w:p w:rsidR="00F04EEF" w:rsidRDefault="00F04EEF"/>
                <w:p w:rsidR="00F04EEF" w:rsidRDefault="0099351E">
                  <w:r>
                    <w:t>Dénomination et adresse de l’établissement :</w:t>
                  </w:r>
                </w:p>
                <w:p w:rsidR="00F04EEF" w:rsidRDefault="00F04EEF"/>
                <w:p w:rsidR="00F04EEF" w:rsidRDefault="0099351E">
                  <w:r>
                    <w:t>N° matricule :</w:t>
                  </w:r>
                </w:p>
                <w:p w:rsidR="00F04EEF" w:rsidRDefault="00F04EEF"/>
                <w:p w:rsidR="00F04EEF" w:rsidRDefault="0099351E">
                  <w:r>
                    <w:t>N°téléphone :</w:t>
                  </w:r>
                </w:p>
                <w:p w:rsidR="00F04EEF" w:rsidRDefault="00F04EEF"/>
                <w:p w:rsidR="00F04EEF" w:rsidRDefault="00F04EEF"/>
                <w:p w:rsidR="00F04EEF" w:rsidRDefault="00F04E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751"/>
                    <w:gridCol w:w="989"/>
                    <w:gridCol w:w="856"/>
                    <w:gridCol w:w="1236"/>
                    <w:gridCol w:w="1128"/>
                    <w:gridCol w:w="1032"/>
                    <w:gridCol w:w="845"/>
                    <w:gridCol w:w="1075"/>
                    <w:gridCol w:w="846"/>
                    <w:gridCol w:w="895"/>
                    <w:gridCol w:w="1172"/>
                    <w:gridCol w:w="1348"/>
                    <w:gridCol w:w="1244"/>
                  </w:tblGrid>
                  <w:tr w:rsidR="00F04EEF">
                    <w:tc>
                      <w:tcPr>
                        <w:tcW w:w="803" w:type="dxa"/>
                        <w:shd w:val="clear" w:color="auto" w:fill="D9D9D9"/>
                      </w:tcPr>
                      <w:p w:rsidR="00F04EEF" w:rsidRDefault="0099351E">
                        <w:pPr>
                          <w:jc w:val="center"/>
                          <w:rPr>
                            <w:b/>
                          </w:rPr>
                        </w:pPr>
                        <w:r>
                          <w:rPr>
                            <w:b/>
                          </w:rPr>
                          <w:t>1</w:t>
                        </w:r>
                      </w:p>
                    </w:tc>
                    <w:tc>
                      <w:tcPr>
                        <w:tcW w:w="751" w:type="dxa"/>
                        <w:shd w:val="clear" w:color="auto" w:fill="D9D9D9"/>
                      </w:tcPr>
                      <w:p w:rsidR="00F04EEF" w:rsidRDefault="0099351E">
                        <w:pPr>
                          <w:jc w:val="center"/>
                          <w:rPr>
                            <w:b/>
                          </w:rPr>
                        </w:pPr>
                        <w:r>
                          <w:rPr>
                            <w:b/>
                          </w:rPr>
                          <w:t>2</w:t>
                        </w:r>
                      </w:p>
                    </w:tc>
                    <w:tc>
                      <w:tcPr>
                        <w:tcW w:w="989" w:type="dxa"/>
                        <w:shd w:val="clear" w:color="auto" w:fill="D9D9D9"/>
                      </w:tcPr>
                      <w:p w:rsidR="00F04EEF" w:rsidRDefault="0099351E">
                        <w:pPr>
                          <w:jc w:val="center"/>
                          <w:rPr>
                            <w:b/>
                          </w:rPr>
                        </w:pPr>
                        <w:r>
                          <w:rPr>
                            <w:b/>
                          </w:rPr>
                          <w:t>3</w:t>
                        </w:r>
                      </w:p>
                    </w:tc>
                    <w:tc>
                      <w:tcPr>
                        <w:tcW w:w="856" w:type="dxa"/>
                        <w:shd w:val="clear" w:color="auto" w:fill="D9D9D9"/>
                      </w:tcPr>
                      <w:p w:rsidR="00F04EEF" w:rsidRDefault="0099351E">
                        <w:pPr>
                          <w:jc w:val="center"/>
                          <w:rPr>
                            <w:b/>
                          </w:rPr>
                        </w:pPr>
                        <w:r>
                          <w:rPr>
                            <w:b/>
                          </w:rPr>
                          <w:t>4</w:t>
                        </w:r>
                      </w:p>
                    </w:tc>
                    <w:tc>
                      <w:tcPr>
                        <w:tcW w:w="1236" w:type="dxa"/>
                        <w:shd w:val="clear" w:color="auto" w:fill="D9D9D9"/>
                      </w:tcPr>
                      <w:p w:rsidR="00F04EEF" w:rsidRDefault="0099351E">
                        <w:pPr>
                          <w:jc w:val="center"/>
                          <w:rPr>
                            <w:b/>
                          </w:rPr>
                        </w:pPr>
                        <w:r>
                          <w:rPr>
                            <w:b/>
                          </w:rPr>
                          <w:t>5</w:t>
                        </w:r>
                      </w:p>
                    </w:tc>
                    <w:tc>
                      <w:tcPr>
                        <w:tcW w:w="1128" w:type="dxa"/>
                        <w:shd w:val="clear" w:color="auto" w:fill="D9D9D9"/>
                      </w:tcPr>
                      <w:p w:rsidR="00F04EEF" w:rsidRDefault="0099351E">
                        <w:pPr>
                          <w:jc w:val="center"/>
                          <w:rPr>
                            <w:b/>
                          </w:rPr>
                        </w:pPr>
                        <w:r>
                          <w:rPr>
                            <w:b/>
                          </w:rPr>
                          <w:t>6</w:t>
                        </w:r>
                      </w:p>
                    </w:tc>
                    <w:tc>
                      <w:tcPr>
                        <w:tcW w:w="1032" w:type="dxa"/>
                        <w:shd w:val="clear" w:color="auto" w:fill="D9D9D9"/>
                      </w:tcPr>
                      <w:p w:rsidR="00F04EEF" w:rsidRDefault="0099351E">
                        <w:pPr>
                          <w:jc w:val="center"/>
                          <w:rPr>
                            <w:b/>
                          </w:rPr>
                        </w:pPr>
                        <w:r>
                          <w:rPr>
                            <w:b/>
                          </w:rPr>
                          <w:t>7</w:t>
                        </w:r>
                      </w:p>
                    </w:tc>
                    <w:tc>
                      <w:tcPr>
                        <w:tcW w:w="845" w:type="dxa"/>
                        <w:shd w:val="clear" w:color="auto" w:fill="D9D9D9"/>
                      </w:tcPr>
                      <w:p w:rsidR="00F04EEF" w:rsidRDefault="0099351E">
                        <w:pPr>
                          <w:jc w:val="center"/>
                          <w:rPr>
                            <w:b/>
                          </w:rPr>
                        </w:pPr>
                        <w:r>
                          <w:rPr>
                            <w:b/>
                          </w:rPr>
                          <w:t>8</w:t>
                        </w:r>
                      </w:p>
                    </w:tc>
                    <w:tc>
                      <w:tcPr>
                        <w:tcW w:w="1075" w:type="dxa"/>
                        <w:shd w:val="clear" w:color="auto" w:fill="D9D9D9"/>
                      </w:tcPr>
                      <w:p w:rsidR="00F04EEF" w:rsidRDefault="0099351E">
                        <w:pPr>
                          <w:jc w:val="center"/>
                          <w:rPr>
                            <w:b/>
                          </w:rPr>
                        </w:pPr>
                        <w:r>
                          <w:rPr>
                            <w:b/>
                          </w:rPr>
                          <w:t>9</w:t>
                        </w:r>
                      </w:p>
                    </w:tc>
                    <w:tc>
                      <w:tcPr>
                        <w:tcW w:w="846" w:type="dxa"/>
                        <w:shd w:val="clear" w:color="auto" w:fill="D9D9D9"/>
                      </w:tcPr>
                      <w:p w:rsidR="00F04EEF" w:rsidRDefault="0099351E">
                        <w:pPr>
                          <w:jc w:val="center"/>
                          <w:rPr>
                            <w:b/>
                          </w:rPr>
                        </w:pPr>
                        <w:r>
                          <w:rPr>
                            <w:b/>
                          </w:rPr>
                          <w:t>10</w:t>
                        </w:r>
                      </w:p>
                    </w:tc>
                    <w:tc>
                      <w:tcPr>
                        <w:tcW w:w="895" w:type="dxa"/>
                        <w:shd w:val="clear" w:color="auto" w:fill="D9D9D9"/>
                      </w:tcPr>
                      <w:p w:rsidR="00F04EEF" w:rsidRDefault="0099351E">
                        <w:pPr>
                          <w:jc w:val="center"/>
                          <w:rPr>
                            <w:b/>
                          </w:rPr>
                        </w:pPr>
                        <w:r>
                          <w:rPr>
                            <w:b/>
                          </w:rPr>
                          <w:t>11</w:t>
                        </w:r>
                      </w:p>
                    </w:tc>
                    <w:tc>
                      <w:tcPr>
                        <w:tcW w:w="1172" w:type="dxa"/>
                        <w:shd w:val="clear" w:color="auto" w:fill="D9D9D9"/>
                      </w:tcPr>
                      <w:p w:rsidR="00F04EEF" w:rsidRDefault="0099351E">
                        <w:pPr>
                          <w:jc w:val="center"/>
                          <w:rPr>
                            <w:b/>
                          </w:rPr>
                        </w:pPr>
                        <w:r>
                          <w:rPr>
                            <w:b/>
                          </w:rPr>
                          <w:t>12</w:t>
                        </w:r>
                      </w:p>
                    </w:tc>
                    <w:tc>
                      <w:tcPr>
                        <w:tcW w:w="1348" w:type="dxa"/>
                        <w:shd w:val="clear" w:color="auto" w:fill="D9D9D9"/>
                      </w:tcPr>
                      <w:p w:rsidR="00F04EEF" w:rsidRDefault="0099351E">
                        <w:pPr>
                          <w:jc w:val="center"/>
                          <w:rPr>
                            <w:b/>
                          </w:rPr>
                        </w:pPr>
                        <w:r>
                          <w:rPr>
                            <w:b/>
                          </w:rPr>
                          <w:t>13</w:t>
                        </w:r>
                      </w:p>
                    </w:tc>
                    <w:tc>
                      <w:tcPr>
                        <w:tcW w:w="1244" w:type="dxa"/>
                        <w:shd w:val="clear" w:color="auto" w:fill="D9D9D9"/>
                      </w:tcPr>
                      <w:p w:rsidR="00F04EEF" w:rsidRDefault="0099351E">
                        <w:pPr>
                          <w:jc w:val="center"/>
                          <w:rPr>
                            <w:b/>
                          </w:rPr>
                        </w:pPr>
                        <w:r>
                          <w:rPr>
                            <w:b/>
                          </w:rPr>
                          <w:t>14</w:t>
                        </w:r>
                      </w:p>
                    </w:tc>
                  </w:tr>
                  <w:tr w:rsidR="00F04EEF">
                    <w:tc>
                      <w:tcPr>
                        <w:tcW w:w="803" w:type="dxa"/>
                        <w:shd w:val="clear" w:color="auto" w:fill="D9D9D9"/>
                        <w:vAlign w:val="center"/>
                      </w:tcPr>
                      <w:p w:rsidR="00F04EEF" w:rsidRDefault="0099351E">
                        <w:pPr>
                          <w:jc w:val="center"/>
                        </w:pPr>
                        <w:r>
                          <w:t>N° ordre</w:t>
                        </w:r>
                      </w:p>
                    </w:tc>
                    <w:tc>
                      <w:tcPr>
                        <w:tcW w:w="751" w:type="dxa"/>
                        <w:shd w:val="clear" w:color="auto" w:fill="D9D9D9"/>
                        <w:vAlign w:val="center"/>
                      </w:tcPr>
                      <w:p w:rsidR="00F04EEF" w:rsidRDefault="0099351E">
                        <w:pPr>
                          <w:jc w:val="center"/>
                        </w:pPr>
                        <w:r>
                          <w:t>Nom</w:t>
                        </w:r>
                      </w:p>
                    </w:tc>
                    <w:tc>
                      <w:tcPr>
                        <w:tcW w:w="989" w:type="dxa"/>
                        <w:shd w:val="clear" w:color="auto" w:fill="D9D9D9"/>
                        <w:vAlign w:val="center"/>
                      </w:tcPr>
                      <w:p w:rsidR="00F04EEF" w:rsidRDefault="0099351E">
                        <w:pPr>
                          <w:jc w:val="center"/>
                        </w:pPr>
                        <w:r>
                          <w:t>Prénom</w:t>
                        </w:r>
                      </w:p>
                    </w:tc>
                    <w:tc>
                      <w:tcPr>
                        <w:tcW w:w="856" w:type="dxa"/>
                        <w:shd w:val="clear" w:color="auto" w:fill="D9D9D9"/>
                        <w:vAlign w:val="center"/>
                      </w:tcPr>
                      <w:p w:rsidR="00F04EEF" w:rsidRDefault="0099351E">
                        <w:pPr>
                          <w:jc w:val="center"/>
                        </w:pPr>
                        <w:r>
                          <w:t>Classe</w:t>
                        </w:r>
                      </w:p>
                    </w:tc>
                    <w:tc>
                      <w:tcPr>
                        <w:tcW w:w="1236" w:type="dxa"/>
                        <w:shd w:val="clear" w:color="auto" w:fill="D9D9D9"/>
                        <w:vAlign w:val="center"/>
                      </w:tcPr>
                      <w:p w:rsidR="00F04EEF" w:rsidRDefault="0099351E">
                        <w:pPr>
                          <w:jc w:val="center"/>
                        </w:pPr>
                        <w:r>
                          <w:t>Nationalité</w:t>
                        </w:r>
                      </w:p>
                    </w:tc>
                    <w:tc>
                      <w:tcPr>
                        <w:tcW w:w="1128" w:type="dxa"/>
                        <w:shd w:val="clear" w:color="auto" w:fill="D9D9D9"/>
                        <w:vAlign w:val="center"/>
                      </w:tcPr>
                      <w:p w:rsidR="00F04EEF" w:rsidRDefault="0099351E">
                        <w:pPr>
                          <w:jc w:val="center"/>
                        </w:pPr>
                        <w:r>
                          <w:t>Date de naissance</w:t>
                        </w:r>
                      </w:p>
                    </w:tc>
                    <w:tc>
                      <w:tcPr>
                        <w:tcW w:w="1032" w:type="dxa"/>
                        <w:shd w:val="clear" w:color="auto" w:fill="D9D9D9"/>
                        <w:vAlign w:val="center"/>
                      </w:tcPr>
                      <w:p w:rsidR="00F04EEF" w:rsidRDefault="0099351E">
                        <w:pPr>
                          <w:jc w:val="center"/>
                        </w:pPr>
                        <w:r>
                          <w:t>Domicile des parents (localité)</w:t>
                        </w:r>
                      </w:p>
                    </w:tc>
                    <w:tc>
                      <w:tcPr>
                        <w:tcW w:w="845" w:type="dxa"/>
                        <w:shd w:val="clear" w:color="auto" w:fill="D9D9D9"/>
                        <w:vAlign w:val="center"/>
                      </w:tcPr>
                      <w:p w:rsidR="00F04EEF" w:rsidRDefault="0099351E">
                        <w:pPr>
                          <w:jc w:val="center"/>
                        </w:pPr>
                        <w:r>
                          <w:t>Date limite du permis de séjour</w:t>
                        </w:r>
                      </w:p>
                    </w:tc>
                    <w:tc>
                      <w:tcPr>
                        <w:tcW w:w="1075" w:type="dxa"/>
                        <w:shd w:val="clear" w:color="auto" w:fill="D9D9D9"/>
                        <w:vAlign w:val="center"/>
                      </w:tcPr>
                      <w:p w:rsidR="00F04EEF" w:rsidRDefault="0099351E">
                        <w:pPr>
                          <w:jc w:val="center"/>
                        </w:pPr>
                        <w:r>
                          <w:t>Droits constatés</w:t>
                        </w:r>
                      </w:p>
                    </w:tc>
                    <w:tc>
                      <w:tcPr>
                        <w:tcW w:w="846" w:type="dxa"/>
                        <w:shd w:val="clear" w:color="auto" w:fill="D9D9D9"/>
                        <w:vAlign w:val="center"/>
                      </w:tcPr>
                      <w:p w:rsidR="00F04EEF" w:rsidRDefault="0099351E">
                        <w:pPr>
                          <w:jc w:val="center"/>
                        </w:pPr>
                        <w:r>
                          <w:t xml:space="preserve">Droits perçus </w:t>
                        </w:r>
                      </w:p>
                    </w:tc>
                    <w:tc>
                      <w:tcPr>
                        <w:tcW w:w="895" w:type="dxa"/>
                        <w:shd w:val="clear" w:color="auto" w:fill="D9D9D9"/>
                        <w:vAlign w:val="center"/>
                      </w:tcPr>
                      <w:p w:rsidR="00F04EEF" w:rsidRDefault="0099351E">
                        <w:pPr>
                          <w:jc w:val="center"/>
                        </w:pPr>
                        <w:r>
                          <w:t>Somme versée</w:t>
                        </w:r>
                      </w:p>
                    </w:tc>
                    <w:tc>
                      <w:tcPr>
                        <w:tcW w:w="1172" w:type="dxa"/>
                        <w:shd w:val="clear" w:color="auto" w:fill="D9D9D9"/>
                        <w:vAlign w:val="center"/>
                      </w:tcPr>
                      <w:p w:rsidR="00F04EEF" w:rsidRDefault="0099351E">
                        <w:pPr>
                          <w:jc w:val="center"/>
                        </w:pPr>
                        <w:r>
                          <w:t>Date du versement</w:t>
                        </w:r>
                      </w:p>
                    </w:tc>
                    <w:tc>
                      <w:tcPr>
                        <w:tcW w:w="1348" w:type="dxa"/>
                        <w:shd w:val="clear" w:color="auto" w:fill="D9D9D9"/>
                        <w:vAlign w:val="center"/>
                      </w:tcPr>
                      <w:p w:rsidR="00F04EEF" w:rsidRDefault="0099351E">
                        <w:pPr>
                          <w:jc w:val="center"/>
                        </w:pPr>
                        <w:r>
                          <w:t>Motif d’exemption</w:t>
                        </w:r>
                      </w:p>
                    </w:tc>
                    <w:tc>
                      <w:tcPr>
                        <w:tcW w:w="1244" w:type="dxa"/>
                        <w:shd w:val="clear" w:color="auto" w:fill="D9D9D9"/>
                        <w:vAlign w:val="center"/>
                      </w:tcPr>
                      <w:p w:rsidR="00F04EEF" w:rsidRDefault="0099351E">
                        <w:pPr>
                          <w:jc w:val="center"/>
                        </w:pPr>
                        <w:r>
                          <w:t>Réservé au vérificateur</w:t>
                        </w:r>
                      </w:p>
                    </w:tc>
                  </w:tr>
                  <w:tr w:rsidR="00F04EEF">
                    <w:tc>
                      <w:tcPr>
                        <w:tcW w:w="803" w:type="dxa"/>
                      </w:tcPr>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tc>
                    <w:tc>
                      <w:tcPr>
                        <w:tcW w:w="751" w:type="dxa"/>
                      </w:tcPr>
                      <w:p w:rsidR="00F04EEF" w:rsidRDefault="00F04EEF"/>
                    </w:tc>
                    <w:tc>
                      <w:tcPr>
                        <w:tcW w:w="989" w:type="dxa"/>
                      </w:tcPr>
                      <w:p w:rsidR="00F04EEF" w:rsidRDefault="00F04EEF"/>
                    </w:tc>
                    <w:tc>
                      <w:tcPr>
                        <w:tcW w:w="856" w:type="dxa"/>
                      </w:tcPr>
                      <w:p w:rsidR="00F04EEF" w:rsidRDefault="00F04EEF"/>
                    </w:tc>
                    <w:tc>
                      <w:tcPr>
                        <w:tcW w:w="1236" w:type="dxa"/>
                      </w:tcPr>
                      <w:p w:rsidR="00F04EEF" w:rsidRDefault="00F04EEF"/>
                    </w:tc>
                    <w:tc>
                      <w:tcPr>
                        <w:tcW w:w="1128" w:type="dxa"/>
                      </w:tcPr>
                      <w:p w:rsidR="00F04EEF" w:rsidRDefault="00F04EEF"/>
                    </w:tc>
                    <w:tc>
                      <w:tcPr>
                        <w:tcW w:w="1032" w:type="dxa"/>
                      </w:tcPr>
                      <w:p w:rsidR="00F04EEF" w:rsidRDefault="00F04EEF"/>
                    </w:tc>
                    <w:tc>
                      <w:tcPr>
                        <w:tcW w:w="845" w:type="dxa"/>
                      </w:tcPr>
                      <w:p w:rsidR="00F04EEF" w:rsidRDefault="00F04EEF"/>
                    </w:tc>
                    <w:tc>
                      <w:tcPr>
                        <w:tcW w:w="1075" w:type="dxa"/>
                      </w:tcPr>
                      <w:p w:rsidR="00F04EEF" w:rsidRDefault="00F04EEF"/>
                    </w:tc>
                    <w:tc>
                      <w:tcPr>
                        <w:tcW w:w="846" w:type="dxa"/>
                      </w:tcPr>
                      <w:p w:rsidR="00F04EEF" w:rsidRDefault="00F04EEF"/>
                    </w:tc>
                    <w:tc>
                      <w:tcPr>
                        <w:tcW w:w="895" w:type="dxa"/>
                      </w:tcPr>
                      <w:p w:rsidR="00F04EEF" w:rsidRDefault="00F04EEF"/>
                    </w:tc>
                    <w:tc>
                      <w:tcPr>
                        <w:tcW w:w="1172" w:type="dxa"/>
                      </w:tcPr>
                      <w:p w:rsidR="00F04EEF" w:rsidRDefault="00F04EEF"/>
                    </w:tc>
                    <w:tc>
                      <w:tcPr>
                        <w:tcW w:w="1348" w:type="dxa"/>
                      </w:tcPr>
                      <w:p w:rsidR="00F04EEF" w:rsidRDefault="00F04EEF"/>
                    </w:tc>
                    <w:tc>
                      <w:tcPr>
                        <w:tcW w:w="1244" w:type="dxa"/>
                      </w:tcPr>
                      <w:p w:rsidR="00F04EEF" w:rsidRDefault="00F04EEF"/>
                    </w:tc>
                  </w:tr>
                </w:tbl>
                <w:p w:rsidR="00F04EEF" w:rsidRDefault="00F04EEF"/>
                <w:p w:rsidR="00F04EEF" w:rsidRDefault="00F04EEF">
                  <w:pPr>
                    <w:tabs>
                      <w:tab w:val="left" w:pos="6663"/>
                    </w:tabs>
                  </w:pPr>
                </w:p>
                <w:p w:rsidR="00F04EEF" w:rsidRDefault="0099351E">
                  <w:pPr>
                    <w:tabs>
                      <w:tab w:val="left" w:pos="6663"/>
                    </w:tabs>
                  </w:pPr>
                  <w:r>
                    <w:t>Certifié exact le : …</w:t>
                  </w:r>
                  <w:r>
                    <w:tab/>
                    <w:t>Certifié exact le : …</w:t>
                  </w:r>
                </w:p>
                <w:p w:rsidR="00F04EEF" w:rsidRDefault="0099351E">
                  <w:pPr>
                    <w:tabs>
                      <w:tab w:val="left" w:pos="6663"/>
                    </w:tabs>
                  </w:pPr>
                  <w:r>
                    <w:t>Le Vérificateur</w:t>
                  </w:r>
                  <w:r>
                    <w:tab/>
                    <w:t>Le Chef d’Etablissement</w:t>
                  </w:r>
                </w:p>
                <w:p w:rsidR="00F04EEF" w:rsidRDefault="0099351E">
                  <w:r>
                    <w:br w:type="page"/>
                  </w:r>
                </w:p>
                <w:p w:rsidR="00F04EEF" w:rsidRDefault="00F04EEF">
                  <w:pPr>
                    <w:sectPr w:rsidR="00F04EEF">
                      <w:pgSz w:w="16838" w:h="11906" w:orient="landscape"/>
                      <w:pgMar w:top="1418" w:right="1134" w:bottom="1134" w:left="1134" w:header="709" w:footer="142" w:gutter="0"/>
                      <w:cols w:space="720"/>
                      <w:docGrid w:linePitch="299"/>
                    </w:sectPr>
                  </w:pPr>
                </w:p>
                <w:p w:rsidR="00F04EEF" w:rsidRDefault="00F04EEF">
                  <w:pPr>
                    <w:rPr>
                      <w:rFonts w:eastAsia="Times New Roman" w:cs="Arial"/>
                      <w:b/>
                      <w:lang w:eastAsia="ar-SA"/>
                    </w:rPr>
                  </w:pPr>
                </w:p>
                <w:p w:rsidR="00F04EEF" w:rsidRDefault="0099351E">
                  <w:pPr>
                    <w:pStyle w:val="Titre2"/>
                  </w:pPr>
                  <w:bookmarkStart w:id="3367" w:name="_Chapitre_16_:"/>
                  <w:bookmarkStart w:id="3368" w:name="_Toc477623831"/>
                  <w:bookmarkStart w:id="3369" w:name="_Toc477767696"/>
                  <w:bookmarkStart w:id="3370" w:name="_Toc47708572"/>
                  <w:bookmarkEnd w:id="3367"/>
                  <w:r>
                    <w:t>Chapitre</w:t>
                  </w:r>
                  <w:bookmarkEnd w:id="3368"/>
                  <w:bookmarkEnd w:id="3369"/>
                  <w:r>
                    <w:t xml:space="preserve"> 16 : </w:t>
                  </w:r>
                  <w:bookmarkStart w:id="3371" w:name="_Toc477623832"/>
                  <w:bookmarkStart w:id="3372" w:name="_Toc477767697"/>
                  <w:r>
                    <w:t>La Vérification de la population scolaire et de la comptabilité</w:t>
                  </w:r>
                  <w:bookmarkEnd w:id="3371"/>
                  <w:bookmarkEnd w:id="3372"/>
                  <w:bookmarkEnd w:id="3370"/>
                </w:p>
                <w:p w:rsidR="00F04EEF" w:rsidRDefault="00F04EEF">
                  <w:pPr>
                    <w:pStyle w:val="Corpsdetexte"/>
                    <w:ind w:firstLine="567"/>
                    <w:jc w:val="both"/>
                    <w:rPr>
                      <w:szCs w:val="22"/>
                    </w:rPr>
                  </w:pPr>
                </w:p>
                <w:p w:rsidR="00F04EEF" w:rsidRDefault="00F04EEF">
                  <w:pPr>
                    <w:pStyle w:val="Corpsdetexte"/>
                    <w:ind w:firstLine="567"/>
                    <w:jc w:val="both"/>
                    <w:rPr>
                      <w:szCs w:val="22"/>
                    </w:rPr>
                  </w:pPr>
                </w:p>
                <w:p w:rsidR="00F04EEF" w:rsidRDefault="00F04EEF">
                  <w:pPr>
                    <w:pStyle w:val="Corpsdetexte"/>
                    <w:ind w:firstLine="567"/>
                    <w:jc w:val="both"/>
                    <w:rPr>
                      <w:szCs w:val="22"/>
                    </w:rPr>
                  </w:pPr>
                </w:p>
                <w:p w:rsidR="00F04EEF" w:rsidRDefault="0099351E">
                  <w:pPr>
                    <w:rPr>
                      <w:b/>
                      <w:u w:val="single"/>
                    </w:rPr>
                  </w:pPr>
                  <w:r>
                    <w:rPr>
                      <w:b/>
                      <w:u w:val="single"/>
                    </w:rPr>
                    <w:t xml:space="preserve">Bases légales : </w:t>
                  </w:r>
                </w:p>
                <w:p w:rsidR="00F04EEF" w:rsidRDefault="00F04EEF">
                  <w:pPr>
                    <w:rPr>
                      <w:b/>
                      <w:u w:val="single"/>
                    </w:rPr>
                  </w:pPr>
                </w:p>
                <w:p w:rsidR="00F04EEF" w:rsidRDefault="00F42422">
                  <w:pPr>
                    <w:numPr>
                      <w:ilvl w:val="0"/>
                      <w:numId w:val="51"/>
                    </w:numPr>
                    <w:suppressAutoHyphens/>
                    <w:ind w:left="284" w:hanging="284"/>
                    <w:jc w:val="both"/>
                    <w:rPr>
                      <w:bCs/>
                      <w:iCs/>
                    </w:rPr>
                  </w:pPr>
                  <w:hyperlink r:id="rId228" w:history="1">
                    <w:r w:rsidR="0099351E">
                      <w:rPr>
                        <w:rStyle w:val="Lienhypertexte"/>
                        <w:rFonts w:cs="Arial"/>
                        <w:bCs/>
                        <w:iCs/>
                      </w:rPr>
                      <w:t>Décret du 8 mars 2007 relatif au service général de l’inspection, au service de conseil et de soutien pédagogiques de l’enseignement organisé par la Communauté française</w:t>
                    </w:r>
                  </w:hyperlink>
                </w:p>
                <w:p w:rsidR="00F04EEF" w:rsidRDefault="00F42422">
                  <w:pPr>
                    <w:numPr>
                      <w:ilvl w:val="0"/>
                      <w:numId w:val="51"/>
                    </w:numPr>
                    <w:suppressAutoHyphens/>
                    <w:ind w:left="284" w:hanging="284"/>
                    <w:jc w:val="both"/>
                    <w:rPr>
                      <w:bCs/>
                      <w:iCs/>
                    </w:rPr>
                  </w:pPr>
                  <w:hyperlink r:id="rId229" w:history="1">
                    <w:r w:rsidR="0099351E">
                      <w:rPr>
                        <w:rStyle w:val="Lienhypertexte"/>
                        <w:rFonts w:cs="CenturySchoolbook,Bold"/>
                        <w:bCs/>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F04EEF" w:rsidRDefault="00F42422">
                  <w:pPr>
                    <w:pStyle w:val="Paragraphedeliste"/>
                    <w:numPr>
                      <w:ilvl w:val="0"/>
                      <w:numId w:val="264"/>
                    </w:numPr>
                    <w:ind w:left="284" w:hanging="284"/>
                    <w:jc w:val="both"/>
                    <w:rPr>
                      <w:rFonts w:ascii="Calibri" w:hAnsi="Calibri" w:cs="Calibri"/>
                      <w:color w:val="00B050"/>
                      <w:sz w:val="22"/>
                      <w:szCs w:val="22"/>
                    </w:rPr>
                  </w:pPr>
                  <w:hyperlink r:id="rId230" w:history="1">
                    <w:r w:rsidR="0099351E">
                      <w:rPr>
                        <w:rStyle w:val="Lienhypertexte"/>
                        <w:rFonts w:ascii="Calibri" w:hAnsi="Calibri" w:cs="Calibri"/>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F04EEF" w:rsidRDefault="00F04EEF">
                  <w:pPr>
                    <w:rPr>
                      <w:color w:val="00B050"/>
                    </w:rPr>
                  </w:pPr>
                </w:p>
                <w:p w:rsidR="00F04EEF" w:rsidRDefault="0099351E">
                  <w:pPr>
                    <w:pBdr>
                      <w:top w:val="single" w:sz="4" w:space="1" w:color="000000"/>
                      <w:left w:val="single" w:sz="4" w:space="4" w:color="000000"/>
                      <w:bottom w:val="single" w:sz="4" w:space="1" w:color="000000"/>
                      <w:right w:val="single" w:sz="4" w:space="4" w:color="000000"/>
                    </w:pBdr>
                    <w:jc w:val="both"/>
                    <w:rPr>
                      <w:b/>
                    </w:rPr>
                  </w:pPr>
                  <w:r>
                    <w:rPr>
                      <w:b/>
                      <w:u w:val="single"/>
                    </w:rPr>
                    <w:t>Remarque préliminaire </w:t>
                  </w:r>
                  <w:r>
                    <w:rPr>
                      <w:b/>
                    </w:rPr>
                    <w:t xml:space="preserve">: </w:t>
                  </w:r>
                  <w:r>
                    <w:t>la correspondance destinée au vérificateur doit lui être adressée directement à son domicile.</w:t>
                  </w:r>
                </w:p>
                <w:p w:rsidR="00F04EEF" w:rsidRDefault="00F04EEF">
                  <w:pPr>
                    <w:jc w:val="both"/>
                    <w:rPr>
                      <w:b/>
                    </w:rPr>
                  </w:pPr>
                </w:p>
                <w:p w:rsidR="00F04EEF" w:rsidRDefault="00F04EEF">
                  <w:pPr>
                    <w:jc w:val="both"/>
                    <w:rPr>
                      <w:b/>
                    </w:rPr>
                  </w:pPr>
                </w:p>
                <w:p w:rsidR="00F04EEF" w:rsidRDefault="0099351E">
                  <w:pPr>
                    <w:pStyle w:val="Titre3"/>
                    <w:rPr>
                      <w:sz w:val="22"/>
                      <w:szCs w:val="22"/>
                    </w:rPr>
                  </w:pPr>
                  <w:bookmarkStart w:id="3373" w:name="_1._Les_vérificateurs"/>
                  <w:bookmarkStart w:id="3374" w:name="__RefHeading__277_957262308"/>
                  <w:bookmarkStart w:id="3375" w:name="_Toc291075423"/>
                  <w:bookmarkStart w:id="3376" w:name="_Toc291075847"/>
                  <w:bookmarkStart w:id="3377" w:name="_Toc291076271"/>
                  <w:bookmarkStart w:id="3378" w:name="_Toc291076695"/>
                  <w:bookmarkStart w:id="3379" w:name="_Toc291077119"/>
                  <w:bookmarkStart w:id="3380" w:name="_Toc293651962"/>
                  <w:bookmarkStart w:id="3381" w:name="_Toc293653545"/>
                  <w:bookmarkStart w:id="3382" w:name="_Toc293654156"/>
                  <w:bookmarkStart w:id="3383" w:name="_Toc294004736"/>
                  <w:bookmarkStart w:id="3384" w:name="_Toc294185232"/>
                  <w:bookmarkStart w:id="3385" w:name="_Toc324166062"/>
                  <w:bookmarkStart w:id="3386" w:name="_Toc324767098"/>
                  <w:bookmarkStart w:id="3387" w:name="_Toc453314486"/>
                  <w:bookmarkStart w:id="3388" w:name="_Toc454980521"/>
                  <w:bookmarkStart w:id="3389" w:name="_Toc478740711"/>
                  <w:bookmarkStart w:id="3390" w:name="_Toc47708573"/>
                  <w:bookmarkEnd w:id="3373"/>
                  <w:bookmarkEnd w:id="3374"/>
                  <w:r>
                    <w:rPr>
                      <w:bCs/>
                      <w:sz w:val="22"/>
                      <w:szCs w:val="22"/>
                    </w:rPr>
                    <w:t xml:space="preserve">1. </w:t>
                  </w:r>
                  <w:bookmarkStart w:id="3391" w:name="_1.1._Les_Vérificateurs"/>
                  <w:bookmarkStart w:id="3392" w:name="_Toc291075424"/>
                  <w:bookmarkStart w:id="3393" w:name="_Toc291075848"/>
                  <w:bookmarkStart w:id="3394" w:name="_Toc291076272"/>
                  <w:bookmarkStart w:id="3395" w:name="_Toc291076696"/>
                  <w:bookmarkStart w:id="3396" w:name="_Toc291077120"/>
                  <w:bookmarkStart w:id="3397" w:name="_Toc293651963"/>
                  <w:bookmarkStart w:id="3398" w:name="_Toc293653546"/>
                  <w:bookmarkStart w:id="3399" w:name="_Toc293654157"/>
                  <w:bookmarkStart w:id="3400" w:name="_Toc294004737"/>
                  <w:bookmarkStart w:id="3401" w:name="_Toc294185233"/>
                  <w:bookmarkStart w:id="3402" w:name="_Toc324166063"/>
                  <w:bookmarkStart w:id="3403" w:name="_Toc324767099"/>
                  <w:bookmarkStart w:id="3404" w:name="_Toc324767957"/>
                  <w:bookmarkEnd w:id="3375"/>
                  <w:bookmarkEnd w:id="3376"/>
                  <w:bookmarkEnd w:id="3377"/>
                  <w:bookmarkEnd w:id="3378"/>
                  <w:bookmarkEnd w:id="3379"/>
                  <w:bookmarkEnd w:id="3380"/>
                  <w:bookmarkEnd w:id="3381"/>
                  <w:bookmarkEnd w:id="3382"/>
                  <w:bookmarkEnd w:id="3383"/>
                  <w:bookmarkEnd w:id="3384"/>
                  <w:bookmarkEnd w:id="3385"/>
                  <w:bookmarkEnd w:id="3386"/>
                  <w:bookmarkEnd w:id="3391"/>
                  <w:r>
                    <w:rPr>
                      <w:sz w:val="22"/>
                      <w:szCs w:val="22"/>
                    </w:rPr>
                    <w:t>Les vérificateurs de la population scolaire</w:t>
                  </w:r>
                  <w:bookmarkEnd w:id="3387"/>
                  <w:bookmarkEnd w:id="3388"/>
                  <w:bookmarkEnd w:id="3389"/>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390"/>
                </w:p>
                <w:p w:rsidR="00F04EEF" w:rsidRDefault="0099351E">
                  <w:pPr>
                    <w:jc w:val="both"/>
                    <w:rPr>
                      <w:lang w:val="fr-FR"/>
                    </w:rPr>
                  </w:pPr>
                  <w:r>
                    <w:rPr>
                      <w:noProof/>
                      <w:lang w:eastAsia="fr-BE"/>
                    </w:rPr>
                    <mc:AlternateContent>
                      <mc:Choice Requires="wps">
                        <w:drawing>
                          <wp:anchor distT="0" distB="0" distL="114300" distR="114300" simplePos="0" relativeHeight="252255232" behindDoc="0" locked="0" layoutInCell="1" allowOverlap="1">
                            <wp:simplePos x="0" y="0"/>
                            <wp:positionH relativeFrom="column">
                              <wp:posOffset>6271895</wp:posOffset>
                            </wp:positionH>
                            <wp:positionV relativeFrom="paragraph">
                              <wp:posOffset>1875790</wp:posOffset>
                            </wp:positionV>
                            <wp:extent cx="0" cy="285750"/>
                            <wp:effectExtent l="0" t="0" r="19050" b="19050"/>
                            <wp:wrapNone/>
                            <wp:docPr id="542" name="Connecteur droit 542"/>
                            <wp:cNvGraphicFramePr/>
                            <a:graphic xmlns:a="http://schemas.openxmlformats.org/drawingml/2006/main">
                              <a:graphicData uri="http://schemas.microsoft.com/office/word/2010/wordprocessingShape">
                                <wps:wsp>
                                  <wps:cNvCnPr/>
                                  <wps:spPr>
                                    <a:xfrm>
                                      <a:off x="0" y="0"/>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50F7C1" id="Connecteur droit 542" o:spid="_x0000_s1026" style="position:absolute;z-index:252255232;visibility:visible;mso-wrap-style:square;mso-wrap-distance-left:9pt;mso-wrap-distance-top:0;mso-wrap-distance-right:9pt;mso-wrap-distance-bottom:0;mso-position-horizontal:absolute;mso-position-horizontal-relative:text;mso-position-vertical:absolute;mso-position-vertical-relative:text" from="493.85pt,147.7pt" to="493.85pt,1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0"/>
                    <w:gridCol w:w="4684"/>
                  </w:tblGrid>
                  <w:tr w:rsidR="00F04EEF">
                    <w:tc>
                      <w:tcPr>
                        <w:tcW w:w="4660" w:type="dxa"/>
                        <w:tcBorders>
                          <w:bottom w:val="single" w:sz="4" w:space="0" w:color="auto"/>
                        </w:tcBorders>
                      </w:tcPr>
                      <w:p w:rsidR="00F04EEF" w:rsidRDefault="00F04EEF">
                        <w:pPr>
                          <w:jc w:val="center"/>
                          <w:rPr>
                            <w:lang w:val="nb-NO"/>
                          </w:rPr>
                        </w:pPr>
                      </w:p>
                      <w:p w:rsidR="00F04EEF" w:rsidRDefault="0099351E">
                        <w:pPr>
                          <w:jc w:val="center"/>
                          <w:rPr>
                            <w:lang w:val="nb-NO"/>
                          </w:rPr>
                        </w:pPr>
                        <w:r>
                          <w:rPr>
                            <w:lang w:val="nb-NO"/>
                          </w:rPr>
                          <w:t>Benoît DENEIRE : Gradué</w:t>
                        </w:r>
                      </w:p>
                      <w:p w:rsidR="00F04EEF" w:rsidRDefault="0099351E">
                        <w:pPr>
                          <w:jc w:val="center"/>
                        </w:pPr>
                        <w:r>
                          <w:t>Rue de la Croix, 17</w:t>
                        </w:r>
                      </w:p>
                      <w:p w:rsidR="00F04EEF" w:rsidRDefault="0099351E">
                        <w:pPr>
                          <w:jc w:val="center"/>
                          <w:rPr>
                            <w:lang w:val="nl-BE"/>
                          </w:rPr>
                        </w:pPr>
                        <w:r>
                          <w:rPr>
                            <w:lang w:val="nl-BE"/>
                          </w:rPr>
                          <w:t>7608   WIERS</w:t>
                        </w:r>
                      </w:p>
                      <w:p w:rsidR="00F04EEF" w:rsidRDefault="0099351E">
                        <w:pPr>
                          <w:jc w:val="center"/>
                          <w:rPr>
                            <w:lang w:val="pt-PT"/>
                          </w:rPr>
                        </w:pPr>
                        <w:r>
                          <w:rPr>
                            <w:lang w:val="pt-PT"/>
                          </w:rPr>
                          <w:t>GSM : 0479/88.00.05</w:t>
                        </w:r>
                      </w:p>
                      <w:p w:rsidR="00F04EEF" w:rsidRDefault="0099351E">
                        <w:pPr>
                          <w:jc w:val="center"/>
                          <w:rPr>
                            <w:lang w:val="pt-PT"/>
                          </w:rPr>
                        </w:pPr>
                        <w:r>
                          <w:rPr>
                            <w:bCs/>
                          </w:rPr>
                          <w:sym w:font="Wingdings" w:char="F03A"/>
                        </w:r>
                        <w:r>
                          <w:rPr>
                            <w:bCs/>
                            <w:lang w:val="nl-BE"/>
                          </w:rPr>
                          <w:t xml:space="preserve"> : </w:t>
                        </w:r>
                        <w:hyperlink r:id="rId231" w:history="1">
                          <w:r>
                            <w:rPr>
                              <w:rStyle w:val="Lienhypertexte"/>
                              <w:rFonts w:cs="Arial"/>
                              <w:lang w:val="pt-PT"/>
                            </w:rPr>
                            <w:t>benoit.deneire@cfwb.be</w:t>
                          </w:r>
                        </w:hyperlink>
                      </w:p>
                      <w:p w:rsidR="00F04EEF" w:rsidRDefault="00F04EEF">
                        <w:pPr>
                          <w:jc w:val="center"/>
                          <w:rPr>
                            <w:lang w:val="nl-BE"/>
                          </w:rPr>
                        </w:pPr>
                      </w:p>
                    </w:tc>
                    <w:tc>
                      <w:tcPr>
                        <w:tcW w:w="4684" w:type="dxa"/>
                        <w:tcBorders>
                          <w:bottom w:val="single" w:sz="4" w:space="0" w:color="auto"/>
                        </w:tcBorders>
                      </w:tcPr>
                      <w:p w:rsidR="00F04EEF" w:rsidRDefault="00F04EEF">
                        <w:pPr>
                          <w:jc w:val="center"/>
                          <w:rPr>
                            <w:lang w:val="nl-BE"/>
                          </w:rPr>
                        </w:pPr>
                      </w:p>
                      <w:p w:rsidR="00F04EEF" w:rsidRDefault="0099351E">
                        <w:pPr>
                          <w:jc w:val="center"/>
                        </w:pPr>
                        <w:r>
                          <w:t>Carine COSARO : Graduée</w:t>
                        </w:r>
                      </w:p>
                      <w:p w:rsidR="00F04EEF" w:rsidRDefault="0099351E">
                        <w:pPr>
                          <w:jc w:val="center"/>
                        </w:pPr>
                        <w:r>
                          <w:t>Place Communale, 9</w:t>
                        </w:r>
                      </w:p>
                      <w:p w:rsidR="00F04EEF" w:rsidRDefault="0099351E">
                        <w:pPr>
                          <w:jc w:val="center"/>
                          <w:rPr>
                            <w:lang w:val="nl-BE"/>
                          </w:rPr>
                        </w:pPr>
                        <w:r>
                          <w:rPr>
                            <w:lang w:val="nl-BE"/>
                          </w:rPr>
                          <w:t>7350   HENSIES</w:t>
                        </w:r>
                      </w:p>
                      <w:p w:rsidR="00F04EEF" w:rsidRDefault="0099351E">
                        <w:pPr>
                          <w:jc w:val="center"/>
                          <w:rPr>
                            <w:lang w:val="pt-PT"/>
                          </w:rPr>
                        </w:pPr>
                        <w:r>
                          <w:rPr>
                            <w:lang w:val="pt-PT"/>
                          </w:rPr>
                          <w:t>GSM : 0479/54.33.77</w:t>
                        </w:r>
                      </w:p>
                      <w:p w:rsidR="00F04EEF" w:rsidRDefault="0099351E">
                        <w:pPr>
                          <w:jc w:val="center"/>
                          <w:rPr>
                            <w:lang w:val="pt-PT"/>
                          </w:rPr>
                        </w:pPr>
                        <w:r>
                          <w:rPr>
                            <w:bCs/>
                          </w:rPr>
                          <w:sym w:font="Wingdings" w:char="F03A"/>
                        </w:r>
                        <w:r>
                          <w:rPr>
                            <w:bCs/>
                            <w:lang w:val="nl-BE"/>
                          </w:rPr>
                          <w:t xml:space="preserve"> : </w:t>
                        </w:r>
                        <w:hyperlink r:id="rId232" w:history="1">
                          <w:r>
                            <w:rPr>
                              <w:rStyle w:val="Lienhypertexte"/>
                              <w:rFonts w:cs="Arial"/>
                              <w:lang w:val="pt-PT"/>
                            </w:rPr>
                            <w:t>carine.cosaro@cfwb.be</w:t>
                          </w:r>
                        </w:hyperlink>
                      </w:p>
                      <w:p w:rsidR="00F04EEF" w:rsidRDefault="00F04EEF">
                        <w:pPr>
                          <w:jc w:val="center"/>
                          <w:rPr>
                            <w:lang w:val="nl-BE"/>
                          </w:rPr>
                        </w:pPr>
                      </w:p>
                    </w:tc>
                  </w:tr>
                  <w:tr w:rsidR="00F04EEF">
                    <w:tc>
                      <w:tcPr>
                        <w:tcW w:w="4660" w:type="dxa"/>
                        <w:tcBorders>
                          <w:top w:val="single" w:sz="4" w:space="0" w:color="auto"/>
                          <w:left w:val="single" w:sz="4" w:space="0" w:color="auto"/>
                          <w:bottom w:val="single" w:sz="4" w:space="0" w:color="auto"/>
                          <w:right w:val="single" w:sz="4" w:space="0" w:color="auto"/>
                        </w:tcBorders>
                      </w:tcPr>
                      <w:p w:rsidR="00F04EEF" w:rsidRDefault="00F04EEF">
                        <w:pPr>
                          <w:jc w:val="center"/>
                          <w:rPr>
                            <w:lang w:val="nl-BE"/>
                          </w:rPr>
                        </w:pPr>
                      </w:p>
                      <w:p w:rsidR="00F04EEF" w:rsidRDefault="0099351E">
                        <w:pPr>
                          <w:jc w:val="center"/>
                        </w:pPr>
                        <w:r>
                          <w:t>Marie-Françoise BOULONNE : Graduée</w:t>
                        </w:r>
                      </w:p>
                      <w:p w:rsidR="00F04EEF" w:rsidRDefault="0099351E">
                        <w:pPr>
                          <w:jc w:val="center"/>
                        </w:pPr>
                        <w:r>
                          <w:t>Avenue des Alliés, 55</w:t>
                        </w:r>
                      </w:p>
                      <w:p w:rsidR="00F04EEF" w:rsidRDefault="0099351E">
                        <w:pPr>
                          <w:jc w:val="center"/>
                          <w:rPr>
                            <w:lang w:val="en-US"/>
                          </w:rPr>
                        </w:pPr>
                        <w:r>
                          <w:rPr>
                            <w:lang w:val="en-US"/>
                          </w:rPr>
                          <w:t>7540 KAIN</w:t>
                        </w:r>
                      </w:p>
                      <w:p w:rsidR="00F04EEF" w:rsidRDefault="0099351E">
                        <w:pPr>
                          <w:jc w:val="center"/>
                          <w:rPr>
                            <w:lang w:val="en-US"/>
                          </w:rPr>
                        </w:pPr>
                        <w:r>
                          <w:rPr>
                            <w:lang w:val="en-US"/>
                          </w:rPr>
                          <w:t xml:space="preserve">GSM : 0476/97.40.42 </w:t>
                        </w:r>
                      </w:p>
                      <w:p w:rsidR="00F04EEF" w:rsidRDefault="0099351E">
                        <w:pPr>
                          <w:jc w:val="center"/>
                          <w:rPr>
                            <w:b/>
                            <w:lang w:val="en-US"/>
                          </w:rPr>
                        </w:pPr>
                        <w:r>
                          <w:rPr>
                            <w:bCs/>
                          </w:rPr>
                          <w:sym w:font="Wingdings" w:char="F03A"/>
                        </w:r>
                        <w:r>
                          <w:rPr>
                            <w:bCs/>
                            <w:lang w:val="en-US"/>
                          </w:rPr>
                          <w:t xml:space="preserve"> : </w:t>
                        </w:r>
                        <w:hyperlink r:id="rId233" w:history="1">
                          <w:r>
                            <w:rPr>
                              <w:rStyle w:val="Lienhypertexte"/>
                              <w:bCs/>
                              <w:lang w:val="en-US"/>
                            </w:rPr>
                            <w:t>marie-francoise.boulonne@cfwb.be</w:t>
                          </w:r>
                        </w:hyperlink>
                      </w:p>
                      <w:p w:rsidR="00F04EEF" w:rsidRDefault="00F04EEF">
                        <w:pPr>
                          <w:jc w:val="center"/>
                          <w:rPr>
                            <w:lang w:val="en-US"/>
                          </w:rPr>
                        </w:pPr>
                      </w:p>
                    </w:tc>
                    <w:tc>
                      <w:tcPr>
                        <w:tcW w:w="4684" w:type="dxa"/>
                        <w:tcBorders>
                          <w:top w:val="single" w:sz="4" w:space="0" w:color="auto"/>
                          <w:left w:val="single" w:sz="4" w:space="0" w:color="auto"/>
                          <w:bottom w:val="single" w:sz="4" w:space="0" w:color="auto"/>
                          <w:right w:val="single" w:sz="4" w:space="0" w:color="auto"/>
                        </w:tcBorders>
                        <w:vAlign w:val="center"/>
                      </w:tcPr>
                      <w:p w:rsidR="00F04EEF" w:rsidRDefault="0099351E">
                        <w:pPr>
                          <w:jc w:val="center"/>
                        </w:pPr>
                        <w:r>
                          <w:t>Samantha MATHAEY : Graduée</w:t>
                        </w:r>
                      </w:p>
                      <w:p w:rsidR="00F04EEF" w:rsidRDefault="0099351E">
                        <w:pPr>
                          <w:jc w:val="center"/>
                        </w:pPr>
                        <w:r>
                          <w:t>Rue François Dimanche, 25</w:t>
                        </w:r>
                      </w:p>
                      <w:p w:rsidR="00F04EEF" w:rsidRDefault="0099351E">
                        <w:pPr>
                          <w:jc w:val="center"/>
                          <w:rPr>
                            <w:lang w:val="en-US"/>
                          </w:rPr>
                        </w:pPr>
                        <w:r>
                          <w:rPr>
                            <w:lang w:val="en-US"/>
                          </w:rPr>
                          <w:t>6250 ROSELIES</w:t>
                        </w:r>
                      </w:p>
                      <w:p w:rsidR="00F04EEF" w:rsidRDefault="0099351E">
                        <w:pPr>
                          <w:jc w:val="center"/>
                          <w:rPr>
                            <w:lang w:val="en-US"/>
                          </w:rPr>
                        </w:pPr>
                        <w:r>
                          <w:rPr>
                            <w:lang w:val="en-US"/>
                          </w:rPr>
                          <w:t>Gsm : 0483/30.36.83</w:t>
                        </w:r>
                      </w:p>
                      <w:p w:rsidR="00F04EEF" w:rsidRDefault="0099351E">
                        <w:pPr>
                          <w:jc w:val="center"/>
                          <w:rPr>
                            <w:b/>
                            <w:lang w:val="en-US"/>
                          </w:rPr>
                        </w:pPr>
                        <w:r>
                          <w:rPr>
                            <w:bCs/>
                          </w:rPr>
                          <w:sym w:font="Wingdings" w:char="F03A"/>
                        </w:r>
                        <w:r>
                          <w:rPr>
                            <w:bCs/>
                            <w:lang w:val="en-US"/>
                          </w:rPr>
                          <w:t xml:space="preserve"> : </w:t>
                        </w:r>
                        <w:hyperlink r:id="rId234" w:history="1">
                          <w:r>
                            <w:rPr>
                              <w:rStyle w:val="Lienhypertexte"/>
                              <w:bCs/>
                              <w:lang w:val="en-US"/>
                            </w:rPr>
                            <w:t>samantha.mathaey@cfwb.be</w:t>
                          </w:r>
                        </w:hyperlink>
                      </w:p>
                      <w:p w:rsidR="00F04EEF" w:rsidRDefault="00F04EEF">
                        <w:pPr>
                          <w:jc w:val="center"/>
                          <w:rPr>
                            <w:lang w:val="en-US"/>
                          </w:rPr>
                        </w:pPr>
                      </w:p>
                    </w:tc>
                  </w:tr>
                </w:tbl>
                <w:p w:rsidR="00F04EEF" w:rsidRDefault="0099351E">
                  <w:pPr>
                    <w:jc w:val="both"/>
                    <w:rPr>
                      <w:lang w:val="pt-PT"/>
                    </w:rPr>
                  </w:pPr>
                  <w:r>
                    <w:rPr>
                      <w:noProof/>
                      <w:lang w:eastAsia="fr-BE"/>
                    </w:rPr>
                    <mc:AlternateContent>
                      <mc:Choice Requires="wps">
                        <w:drawing>
                          <wp:anchor distT="0" distB="0" distL="114300" distR="114300" simplePos="0" relativeHeight="252256256" behindDoc="0" locked="0" layoutInCell="1" allowOverlap="1">
                            <wp:simplePos x="0" y="0"/>
                            <wp:positionH relativeFrom="column">
                              <wp:posOffset>6271895</wp:posOffset>
                            </wp:positionH>
                            <wp:positionV relativeFrom="paragraph">
                              <wp:posOffset>31750</wp:posOffset>
                            </wp:positionV>
                            <wp:extent cx="0" cy="504825"/>
                            <wp:effectExtent l="0" t="0" r="19050" b="28575"/>
                            <wp:wrapNone/>
                            <wp:docPr id="543" name="Connecteur droit 543"/>
                            <wp:cNvGraphicFramePr/>
                            <a:graphic xmlns:a="http://schemas.openxmlformats.org/drawingml/2006/main">
                              <a:graphicData uri="http://schemas.microsoft.com/office/word/2010/wordprocessingShape">
                                <wps:wsp>
                                  <wps:cNvCnPr/>
                                  <wps:spPr>
                                    <a:xfrm>
                                      <a:off x="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D7775FB" id="Connecteur droit 543" o:spid="_x0000_s1026" style="position:absolute;z-index:252256256;visibility:visible;mso-wrap-style:square;mso-wrap-distance-left:9pt;mso-wrap-distance-top:0;mso-wrap-distance-right:9pt;mso-wrap-distance-bottom:0;mso-position-horizontal:absolute;mso-position-horizontal-relative:text;mso-position-vertical:absolute;mso-position-vertical-relative:text" from="493.85pt,2.5pt" to="493.85pt,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" strokecolor="black [3213]"/>
                        </w:pict>
                      </mc:Fallback>
                    </mc:AlternateContent>
                  </w:r>
                </w:p>
                <w:p w:rsidR="00F04EEF" w:rsidRDefault="0099351E">
                  <w:pPr>
                    <w:jc w:val="both"/>
                    <w:rPr>
                      <w:lang w:val="pt-PT"/>
                    </w:rPr>
                  </w:pPr>
                  <w:r>
                    <w:rPr>
                      <w:lang w:val="pt-PT"/>
                    </w:rPr>
                    <w:t xml:space="preserve">Une 5ème vérificatrice renforcera l’équipe, il s’agit de </w:t>
                  </w:r>
                  <w:r>
                    <w:t>Madame Virginie</w:t>
                  </w:r>
                  <w:r>
                    <w:rPr>
                      <w:lang w:val="pt-PT"/>
                    </w:rPr>
                    <w:t xml:space="preserve"> DUPONT.</w:t>
                  </w:r>
                </w:p>
                <w:p w:rsidR="00F04EEF" w:rsidRDefault="0099351E">
                  <w:pPr>
                    <w:jc w:val="both"/>
                    <w:rPr>
                      <w:lang w:val="pt-PT"/>
                    </w:rPr>
                  </w:pPr>
                  <w:r>
                    <w:rPr>
                      <w:lang w:val="pt-PT"/>
                    </w:rPr>
                    <w:t xml:space="preserve">La liste des zones géographiques qui lui seront attribuées sera déterminée dans le courant de l’année scolaire 2020-2021. </w:t>
                  </w:r>
                </w:p>
                <w:p w:rsidR="00F04EEF" w:rsidRDefault="00F04EEF">
                  <w:pPr>
                    <w:jc w:val="both"/>
                    <w:rPr>
                      <w:lang w:val="pt-PT"/>
                    </w:rPr>
                  </w:pPr>
                </w:p>
                <w:p w:rsidR="00F04EEF" w:rsidRDefault="0099351E">
                  <w:pPr>
                    <w:pBdr>
                      <w:top w:val="single" w:sz="4" w:space="1" w:color="auto"/>
                      <w:left w:val="single" w:sz="4" w:space="4" w:color="auto"/>
                      <w:bottom w:val="single" w:sz="4" w:space="1" w:color="auto"/>
                      <w:right w:val="single" w:sz="4" w:space="4" w:color="auto"/>
                    </w:pBdr>
                    <w:jc w:val="both"/>
                    <w:rPr>
                      <w:b/>
                      <w:lang w:val="pt-PT"/>
                    </w:rPr>
                  </w:pPr>
                  <w:r>
                    <w:rPr>
                      <w:b/>
                      <w:u w:val="single"/>
                      <w:lang w:val="pt-PT"/>
                    </w:rPr>
                    <w:t>Remarque:</w:t>
                  </w:r>
                  <w:r>
                    <w:rPr>
                      <w:b/>
                      <w:lang w:val="pt-PT"/>
                    </w:rPr>
                    <w:t xml:space="preserve"> </w:t>
                  </w:r>
                  <w:r>
                    <w:rPr>
                      <w:lang w:val="pt-PT"/>
                    </w:rPr>
                    <w:t>les établissements scolaires disposent d’un délai de 10 jours ouvrables, à dater du lendemain de la visite du (de la) vérificateur (trice) dans l’école, pour lui faire parvenir les documents nécessaires à la finalisation de son rapport.</w:t>
                  </w:r>
                </w:p>
                <w:p w:rsidR="00F04EEF" w:rsidRDefault="00F04EEF">
                  <w:bookmarkStart w:id="3405" w:name="_1.2._Service_de"/>
                  <w:bookmarkStart w:id="3406" w:name="_Toc291075425"/>
                  <w:bookmarkStart w:id="3407" w:name="_Toc291075849"/>
                  <w:bookmarkStart w:id="3408" w:name="_Toc291076273"/>
                  <w:bookmarkStart w:id="3409" w:name="_Toc291076697"/>
                  <w:bookmarkStart w:id="3410" w:name="_Toc291077121"/>
                  <w:bookmarkStart w:id="3411" w:name="_Toc293651964"/>
                  <w:bookmarkStart w:id="3412" w:name="_Toc293653547"/>
                  <w:bookmarkStart w:id="3413" w:name="_Toc293654158"/>
                  <w:bookmarkStart w:id="3414" w:name="_Toc294004738"/>
                  <w:bookmarkStart w:id="3415" w:name="_Toc294185234"/>
                  <w:bookmarkStart w:id="3416" w:name="_Toc324166064"/>
                  <w:bookmarkStart w:id="3417" w:name="_Toc324767100"/>
                  <w:bookmarkStart w:id="3418" w:name="_Toc324767958"/>
                  <w:bookmarkEnd w:id="3405"/>
                </w:p>
                <w:p w:rsidR="00F04EEF" w:rsidRDefault="0099351E">
                  <w:pPr>
                    <w:pBdr>
                      <w:top w:val="single" w:sz="4" w:space="1" w:color="auto"/>
                      <w:left w:val="single" w:sz="4" w:space="4" w:color="auto"/>
                      <w:bottom w:val="single" w:sz="4" w:space="1" w:color="auto"/>
                      <w:right w:val="single" w:sz="4" w:space="4" w:color="auto"/>
                    </w:pBdr>
                    <w:jc w:val="both"/>
                    <w:rPr>
                      <w:b/>
                      <w:lang w:val="pt-PT"/>
                    </w:rPr>
                  </w:pPr>
                  <w:r>
                    <w:rPr>
                      <w:lang w:val="pt-PT"/>
                    </w:rPr>
                    <w:sym w:font="Wingdings" w:char="F047"/>
                  </w:r>
                  <w:r>
                    <w:rPr>
                      <w:lang w:val="pt-PT"/>
                    </w:rPr>
                    <w:t xml:space="preserve">  </w:t>
                  </w:r>
                  <w:r>
                    <w:rPr>
                      <w:b/>
                      <w:lang w:val="pt-PT"/>
                    </w:rPr>
                    <w:t>Tout chef d’établissement doit assurer la responsabilité du pilotage de tout document administratif.  A ce titre, il doit faire preuve de vigilance et de proactivité afin que les retards dans la production des pièces ne se reproduisent plus.</w:t>
                  </w:r>
                </w:p>
                <w:p w:rsidR="00F04EEF" w:rsidRDefault="0099351E">
                  <w:pPr>
                    <w:pBdr>
                      <w:top w:val="single" w:sz="4" w:space="1" w:color="auto"/>
                      <w:left w:val="single" w:sz="4" w:space="4" w:color="auto"/>
                      <w:bottom w:val="single" w:sz="4" w:space="1" w:color="auto"/>
                      <w:right w:val="single" w:sz="4" w:space="4" w:color="auto"/>
                    </w:pBdr>
                    <w:jc w:val="both"/>
                    <w:rPr>
                      <w:b/>
                    </w:rPr>
                  </w:pPr>
                  <w:r>
                    <w:rPr>
                      <w:b/>
                    </w:rPr>
                    <w:t xml:space="preserve">Tout chef d’établissement est autorisé à transmettre une copie de l’attestation d’orientation à un Administrateur d’internat, de home d’accueil ou de home d’accueil permanent. </w:t>
                  </w:r>
                </w:p>
                <w:p w:rsidR="00F04EEF" w:rsidRDefault="00F04EEF"/>
                <w:p w:rsidR="00F04EEF" w:rsidRDefault="00F04EEF"/>
                <w:p w:rsidR="00F04EEF" w:rsidRDefault="0099351E">
                  <w:pPr>
                    <w:pStyle w:val="Titre4"/>
                  </w:pPr>
                  <w:bookmarkStart w:id="3419" w:name="_1.1._Le_rôle"/>
                  <w:bookmarkEnd w:id="3419"/>
                  <w:r>
                    <w:t>1.1. Le rôle du vérificateur et les finalités du contrôle de la population scolaire</w:t>
                  </w:r>
                </w:p>
                <w:p w:rsidR="00F04EEF" w:rsidRDefault="00F04EEF">
                  <w:pPr>
                    <w:pStyle w:val="Titre4"/>
                  </w:pPr>
                </w:p>
                <w:p w:rsidR="00F04EEF" w:rsidRDefault="0099351E">
                  <w:pPr>
                    <w:pBdr>
                      <w:right w:val="single" w:sz="4" w:space="4" w:color="auto"/>
                    </w:pBdr>
                    <w:rPr>
                      <w:rFonts w:cs="Calibri"/>
                    </w:rPr>
                  </w:pPr>
                  <w:r>
                    <w:rPr>
                      <w:rFonts w:cs="Calibri"/>
                    </w:rPr>
                    <w:t>Le vérificateur est un agent de l’administration chargé du contrôle des populations scolaires.</w:t>
                  </w:r>
                </w:p>
                <w:p w:rsidR="00F04EEF" w:rsidRDefault="00F04EEF">
                  <w:pPr>
                    <w:pBdr>
                      <w:right w:val="single" w:sz="4" w:space="4" w:color="auto"/>
                    </w:pBdr>
                    <w:rPr>
                      <w:rFonts w:cs="Calibri"/>
                    </w:rPr>
                  </w:pPr>
                </w:p>
                <w:p w:rsidR="00F04EEF" w:rsidRDefault="0099351E">
                  <w:pPr>
                    <w:pBdr>
                      <w:right w:val="single" w:sz="4" w:space="4" w:color="auto"/>
                    </w:pBdr>
                    <w:jc w:val="both"/>
                    <w:rPr>
                      <w:rFonts w:cs="Calibri"/>
                    </w:rPr>
                  </w:pPr>
                  <w:r>
                    <w:rPr>
                      <w:rFonts w:cs="Calibri"/>
                    </w:rPr>
                    <w:t>Le contrôle de la population scolaire vise à recenser le nombre d’élèves « admissibles », c’est-à-dire régulièrement inscrits conformément aux prescrits réglementaires, dans les écoles et implantations, dans le but de :</w:t>
                  </w:r>
                </w:p>
                <w:p w:rsidR="00F04EEF" w:rsidRDefault="0099351E">
                  <w:pPr>
                    <w:pStyle w:val="Paragraphedeliste"/>
                    <w:numPr>
                      <w:ilvl w:val="0"/>
                      <w:numId w:val="260"/>
                    </w:numPr>
                    <w:pBdr>
                      <w:right w:val="single" w:sz="4" w:space="4" w:color="auto"/>
                    </w:pBdr>
                    <w:jc w:val="both"/>
                    <w:rPr>
                      <w:rFonts w:ascii="Calibri" w:eastAsia="Calibri" w:hAnsi="Calibri" w:cs="Calibri"/>
                      <w:sz w:val="22"/>
                      <w:szCs w:val="22"/>
                      <w:lang w:eastAsia="en-US"/>
                    </w:rPr>
                  </w:pPr>
                  <w:r>
                    <w:rPr>
                      <w:rFonts w:ascii="Calibri" w:eastAsia="Calibri" w:hAnsi="Calibri" w:cs="Calibri"/>
                      <w:sz w:val="22"/>
                      <w:szCs w:val="22"/>
                      <w:lang w:eastAsia="en-US"/>
                    </w:rPr>
                    <w:t>vérifier que les minima de populations scolaires eu égard aux normes de rationalisation/programmation sont atteints ;</w:t>
                  </w:r>
                </w:p>
                <w:p w:rsidR="00F04EEF" w:rsidRDefault="0099351E">
                  <w:pPr>
                    <w:pStyle w:val="Paragraphedeliste"/>
                    <w:numPr>
                      <w:ilvl w:val="0"/>
                      <w:numId w:val="260"/>
                    </w:numPr>
                    <w:pBdr>
                      <w:right w:val="single" w:sz="4" w:space="4" w:color="auto"/>
                    </w:pBdr>
                    <w:jc w:val="both"/>
                    <w:rPr>
                      <w:rFonts w:ascii="Calibri" w:eastAsia="Calibri" w:hAnsi="Calibri" w:cs="Calibri"/>
                      <w:sz w:val="22"/>
                      <w:szCs w:val="22"/>
                      <w:lang w:eastAsia="en-US"/>
                    </w:rPr>
                  </w:pPr>
                  <w:r>
                    <w:rPr>
                      <w:rFonts w:ascii="Calibri" w:eastAsia="Calibri" w:hAnsi="Calibri" w:cs="Calibri"/>
                      <w:sz w:val="22"/>
                      <w:szCs w:val="22"/>
                      <w:lang w:eastAsia="en-US"/>
                    </w:rPr>
                    <w:t>déterminer le capital-périodes dans l’enseignement secondaire, pour le personnel enseignant, paramédical, social, psychologique, administratif et auxiliaire d’éducation ;</w:t>
                  </w:r>
                </w:p>
                <w:p w:rsidR="00F04EEF" w:rsidRDefault="0099351E">
                  <w:pPr>
                    <w:pStyle w:val="Paragraphedeliste"/>
                    <w:numPr>
                      <w:ilvl w:val="0"/>
                      <w:numId w:val="260"/>
                    </w:numPr>
                    <w:pBdr>
                      <w:right w:val="single" w:sz="4" w:space="4" w:color="auto"/>
                    </w:pBdr>
                    <w:jc w:val="both"/>
                    <w:rPr>
                      <w:rFonts w:ascii="Calibri" w:eastAsia="Calibri" w:hAnsi="Calibri" w:cs="Calibri"/>
                      <w:sz w:val="22"/>
                      <w:szCs w:val="22"/>
                      <w:lang w:eastAsia="en-US"/>
                    </w:rPr>
                  </w:pPr>
                  <w:r>
                    <w:rPr>
                      <w:rFonts w:ascii="Calibri" w:eastAsia="Calibri" w:hAnsi="Calibri" w:cs="Calibri"/>
                      <w:sz w:val="22"/>
                      <w:szCs w:val="22"/>
                      <w:lang w:eastAsia="en-US"/>
                    </w:rPr>
                    <w:t>vérifier les augmentations de populations scolaires de 10 % au cours de l’année scolaire ;</w:t>
                  </w:r>
                </w:p>
                <w:p w:rsidR="00F04EEF" w:rsidRDefault="0099351E">
                  <w:pPr>
                    <w:pStyle w:val="Paragraphedeliste"/>
                    <w:numPr>
                      <w:ilvl w:val="0"/>
                      <w:numId w:val="260"/>
                    </w:numPr>
                    <w:pBdr>
                      <w:right w:val="single" w:sz="4" w:space="4" w:color="auto"/>
                    </w:pBdr>
                    <w:jc w:val="both"/>
                    <w:rPr>
                      <w:rFonts w:ascii="Calibri" w:eastAsia="Calibri" w:hAnsi="Calibri" w:cs="Calibri"/>
                      <w:sz w:val="22"/>
                      <w:szCs w:val="22"/>
                      <w:lang w:eastAsia="en-US"/>
                    </w:rPr>
                  </w:pPr>
                  <w:r>
                    <w:rPr>
                      <w:rFonts w:ascii="Calibri" w:eastAsia="Calibri" w:hAnsi="Calibri" w:cs="Calibri"/>
                      <w:sz w:val="22"/>
                      <w:szCs w:val="22"/>
                      <w:lang w:eastAsia="en-US"/>
                    </w:rPr>
                    <w:t>calculer les dotations ou les subventions de fonctionnement.  C’est aussi sur ce nombre d’élèves, particulièrement sur leur identité et leur présence au sein du registre national, que s’effectue le contrôle annuel de la Cour des comptes imposé par la loi du 23 mai 2000 relatif au financement des Communautés et des Régions.</w:t>
                  </w:r>
                </w:p>
                <w:p w:rsidR="00F04EEF" w:rsidRDefault="00F04EEF">
                  <w:pPr>
                    <w:pStyle w:val="Titre4"/>
                  </w:pPr>
                </w:p>
                <w:p w:rsidR="00F04EEF" w:rsidRDefault="00F04EEF">
                  <w:pPr>
                    <w:pStyle w:val="Titre4"/>
                  </w:pPr>
                </w:p>
                <w:p w:rsidR="00F04EEF" w:rsidRDefault="0099351E">
                  <w:pPr>
                    <w:pStyle w:val="Titre4"/>
                  </w:pPr>
                  <w:bookmarkStart w:id="3420" w:name="_1.2._Les_modalités"/>
                  <w:bookmarkEnd w:id="3420"/>
                  <w:r>
                    <w:t>1.2. Les modalités de contrôle</w:t>
                  </w:r>
                </w:p>
                <w:p w:rsidR="00F04EEF" w:rsidRDefault="00F04EEF">
                  <w:pPr>
                    <w:pBdr>
                      <w:right w:val="single" w:sz="4" w:space="4" w:color="auto"/>
                    </w:pBdr>
                    <w:jc w:val="both"/>
                    <w:rPr>
                      <w:rFonts w:cs="Calibri"/>
                    </w:rPr>
                  </w:pPr>
                </w:p>
                <w:p w:rsidR="00F04EEF" w:rsidRDefault="0099351E">
                  <w:pPr>
                    <w:pBdr>
                      <w:right w:val="single" w:sz="4" w:space="4" w:color="auto"/>
                    </w:pBdr>
                    <w:jc w:val="both"/>
                    <w:rPr>
                      <w:rFonts w:cs="Calibri"/>
                    </w:rPr>
                  </w:pPr>
                  <w:r>
                    <w:rPr>
                      <w:rFonts w:cs="Calibri"/>
                    </w:rPr>
                    <w:t>La vérification et la consultation des documents se déroulent au sein de l’établissement scolaire.  Le vérificateur doit, dans l’exercice de sa mission, rester courtois en toute circonstance.  Il en va de même pour les membres du personnel de l’établissement scolaire.</w:t>
                  </w:r>
                </w:p>
                <w:p w:rsidR="00F04EEF" w:rsidRDefault="00F04EEF">
                  <w:pPr>
                    <w:rPr>
                      <w:rFonts w:cs="Calibri"/>
                    </w:rPr>
                  </w:pPr>
                </w:p>
                <w:p w:rsidR="00F04EEF" w:rsidRDefault="0099351E">
                  <w:pPr>
                    <w:pStyle w:val="Retraitcorpsdetexte3"/>
                    <w:spacing w:after="0"/>
                    <w:ind w:left="0"/>
                    <w:jc w:val="both"/>
                    <w:rPr>
                      <w:rFonts w:ascii="Calibri" w:hAnsi="Calibri" w:cs="Calibri"/>
                      <w:sz w:val="22"/>
                      <w:szCs w:val="22"/>
                    </w:rPr>
                  </w:pPr>
                  <w:bookmarkStart w:id="3421" w:name="_1.1._Les_modalités"/>
                  <w:bookmarkEnd w:id="3421"/>
                  <w:r>
                    <w:rPr>
                      <w:rFonts w:ascii="Calibri" w:hAnsi="Calibri" w:cs="Calibri"/>
                      <w:sz w:val="22"/>
                      <w:szCs w:val="22"/>
                    </w:rPr>
                    <w:t>Pour permettre à la direction de l’établissement de se préparer à sa visite, le vérificateur prendra contact avec elle afin de fixer une date disponible commune à laquelle il pourra effectuer son contrôle.</w:t>
                  </w:r>
                </w:p>
                <w:p w:rsidR="00F04EEF" w:rsidRDefault="00F04EEF">
                  <w:pPr>
                    <w:pStyle w:val="Retraitcorpsdetexte3"/>
                    <w:spacing w:after="0"/>
                    <w:ind w:left="0"/>
                    <w:jc w:val="both"/>
                    <w:rPr>
                      <w:rFonts w:ascii="Calibri" w:hAnsi="Calibri" w:cs="Calibri"/>
                      <w:sz w:val="22"/>
                      <w:szCs w:val="22"/>
                    </w:rPr>
                  </w:pPr>
                </w:p>
                <w:p w:rsidR="00F04EEF" w:rsidRDefault="0099351E">
                  <w:pPr>
                    <w:jc w:val="both"/>
                    <w:rPr>
                      <w:rFonts w:eastAsia="Times New Roman" w:cs="Calibri"/>
                      <w:lang w:eastAsia="ar-SA"/>
                    </w:rPr>
                  </w:pPr>
                  <w:r>
                    <w:rPr>
                      <w:rFonts w:eastAsia="Times New Roman" w:cs="Calibri"/>
                      <w:lang w:eastAsia="ar-SA"/>
                    </w:rPr>
                    <w:t>Cependant, le vérificateur reste habilité à effectuer son contrôle à l’improviste, c’est-à-dire sans prise de rendez-vous préalable, au sein de l’établissement scolaire ainsi qu’au sein de chacune de ses implantations, et ce à tout moment de l’année. Il peut exercer cette visite seul ou accompagné d’autre(s) membre(s) des services du gouvernement.</w:t>
                  </w:r>
                </w:p>
                <w:p w:rsidR="00F04EEF" w:rsidRDefault="00F04EEF">
                  <w:pPr>
                    <w:jc w:val="both"/>
                    <w:rPr>
                      <w:rFonts w:cs="Calibri"/>
                    </w:rPr>
                  </w:pPr>
                </w:p>
                <w:p w:rsidR="00F04EEF" w:rsidRDefault="0099351E">
                  <w:pPr>
                    <w:pStyle w:val="Retraitcorpsdetexte3"/>
                    <w:spacing w:after="0"/>
                    <w:ind w:left="0"/>
                    <w:jc w:val="both"/>
                    <w:rPr>
                      <w:rFonts w:ascii="Calibri" w:hAnsi="Calibri" w:cs="Calibri"/>
                    </w:rPr>
                  </w:pPr>
                  <w:r>
                    <w:rPr>
                      <w:rFonts w:ascii="Calibri" w:hAnsi="Calibri" w:cs="Calibri"/>
                      <w:sz w:val="22"/>
                      <w:szCs w:val="22"/>
                      <w:lang w:eastAsia="fr-FR"/>
                    </w:rPr>
                    <w:t xml:space="preserve">Le vérificateur est aussi habilité à faire l’appel dans une classe dans le but d’effectuer un contrôle de registre. </w:t>
                  </w:r>
                </w:p>
                <w:p w:rsidR="00F04EEF" w:rsidRDefault="0099351E">
                  <w:pPr>
                    <w:pStyle w:val="Retraitcorpsdetexte3"/>
                    <w:spacing w:after="0"/>
                    <w:ind w:left="0"/>
                    <w:jc w:val="both"/>
                    <w:rPr>
                      <w:rFonts w:ascii="Calibri" w:hAnsi="Calibri" w:cs="Calibri"/>
                      <w:sz w:val="22"/>
                      <w:szCs w:val="22"/>
                      <w:lang w:eastAsia="fr-FR"/>
                    </w:rPr>
                  </w:pPr>
                  <w:r>
                    <w:rPr>
                      <w:rFonts w:ascii="Calibri" w:hAnsi="Calibri" w:cs="Calibri"/>
                      <w:sz w:val="22"/>
                      <w:szCs w:val="22"/>
                      <w:lang w:eastAsia="fr-FR"/>
                    </w:rPr>
                    <w:t xml:space="preserve">Les visites de classes se font à l’improviste. Elles ne seront pas prévues à l’avance et ne se feront pas en même temps que le contrôle normal. </w:t>
                  </w:r>
                </w:p>
                <w:p w:rsidR="00F04EEF" w:rsidRDefault="0099351E">
                  <w:pPr>
                    <w:jc w:val="both"/>
                    <w:rPr>
                      <w:rFonts w:cs="Calibri"/>
                    </w:rPr>
                  </w:pPr>
                  <w:r>
                    <w:rPr>
                      <w:rFonts w:ascii="Calibri" w:hAnsi="Calibri" w:cs="Calibri"/>
                      <w:noProof/>
                      <w:lang w:eastAsia="fr-BE"/>
                    </w:rPr>
                    <mc:AlternateContent>
                      <mc:Choice Requires="wps">
                        <w:drawing>
                          <wp:anchor distT="0" distB="0" distL="114300" distR="114300" simplePos="0" relativeHeight="252257280" behindDoc="0" locked="0" layoutInCell="1" allowOverlap="1">
                            <wp:simplePos x="0" y="0"/>
                            <wp:positionH relativeFrom="column">
                              <wp:posOffset>6014720</wp:posOffset>
                            </wp:positionH>
                            <wp:positionV relativeFrom="paragraph">
                              <wp:posOffset>191770</wp:posOffset>
                            </wp:positionV>
                            <wp:extent cx="0" cy="1314450"/>
                            <wp:effectExtent l="0" t="0" r="19050" b="19050"/>
                            <wp:wrapNone/>
                            <wp:docPr id="544" name="Connecteur droit 544"/>
                            <wp:cNvGraphicFramePr/>
                            <a:graphic xmlns:a="http://schemas.openxmlformats.org/drawingml/2006/main">
                              <a:graphicData uri="http://schemas.microsoft.com/office/word/2010/wordprocessingShape">
                                <wps:wsp>
                                  <wps:cNvCnPr/>
                                  <wps:spPr>
                                    <a:xfrm>
                                      <a:off x="0" y="0"/>
                                      <a:ext cx="0" cy="1314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EBEB26" id="Connecteur droit 544" o:spid="_x0000_s1026" style="position:absolute;z-index:252257280;visibility:visible;mso-wrap-style:square;mso-wrap-distance-left:9pt;mso-wrap-distance-top:0;mso-wrap-distance-right:9pt;mso-wrap-distance-bottom:0;mso-position-horizontal:absolute;mso-position-horizontal-relative:text;mso-position-vertical:absolute;mso-position-vertical-relative:text" from="473.6pt,15.1pt" to="473.6pt,1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" strokecolor="black [3213]"/>
                        </w:pict>
                      </mc:Fallback>
                    </mc:AlternateContent>
                  </w:r>
                </w:p>
                <w:p w:rsidR="00F04EEF" w:rsidRDefault="0099351E">
                  <w:pPr>
                    <w:pStyle w:val="Retraitcorpsdetexte3"/>
                    <w:spacing w:after="0"/>
                    <w:ind w:left="0"/>
                    <w:jc w:val="both"/>
                    <w:rPr>
                      <w:rFonts w:ascii="Calibri" w:hAnsi="Calibri" w:cs="Calibri"/>
                      <w:sz w:val="22"/>
                      <w:szCs w:val="22"/>
                      <w:lang w:eastAsia="fr-FR"/>
                    </w:rPr>
                  </w:pPr>
                  <w:r>
                    <w:rPr>
                      <w:rFonts w:ascii="Calibri" w:hAnsi="Calibri" w:cs="Calibri"/>
                      <w:sz w:val="22"/>
                      <w:szCs w:val="22"/>
                      <w:lang w:eastAsia="fr-FR"/>
                    </w:rPr>
                    <w:t>Pour le comptage des élèves au 30 septembre, les vérificateurs devront contrôler le registre des présences portant uniquement sur la période du 1</w:t>
                  </w:r>
                  <w:r>
                    <w:rPr>
                      <w:rFonts w:ascii="Calibri" w:hAnsi="Calibri" w:cs="Calibri"/>
                      <w:sz w:val="22"/>
                      <w:szCs w:val="22"/>
                      <w:vertAlign w:val="superscript"/>
                      <w:lang w:eastAsia="fr-FR"/>
                    </w:rPr>
                    <w:t>er</w:t>
                  </w:r>
                  <w:r>
                    <w:rPr>
                      <w:rFonts w:ascii="Calibri" w:hAnsi="Calibri" w:cs="Calibri"/>
                      <w:sz w:val="22"/>
                      <w:szCs w:val="22"/>
                      <w:lang w:eastAsia="fr-FR"/>
                    </w:rPr>
                    <w:t xml:space="preserve"> septembre au 30 septembre sauf en cas de présomption de fraude ou de comptage exceptionnel (10%, …).</w:t>
                  </w:r>
                </w:p>
                <w:p w:rsidR="00F04EEF" w:rsidRDefault="0099351E">
                  <w:pPr>
                    <w:pStyle w:val="Retraitcorpsdetexte3"/>
                    <w:spacing w:after="0"/>
                    <w:ind w:left="0"/>
                    <w:jc w:val="both"/>
                    <w:rPr>
                      <w:rFonts w:ascii="Calibri" w:hAnsi="Calibri" w:cs="Calibri"/>
                      <w:sz w:val="22"/>
                      <w:szCs w:val="22"/>
                      <w:lang w:eastAsia="fr-FR"/>
                    </w:rPr>
                  </w:pPr>
                  <w:r>
                    <w:rPr>
                      <w:rFonts w:ascii="Calibri" w:hAnsi="Calibri" w:cs="Calibri"/>
                      <w:sz w:val="22"/>
                      <w:szCs w:val="22"/>
                      <w:lang w:eastAsia="fr-FR"/>
                    </w:rPr>
                    <w:t>Dans l’hypothèse où au 31 janvier au plus tard, les vérificateurs n’ont pas été en mesure de procéder au contrôle du comptage du 30 septembre, ils seront tenus d’indiquer dans leur rapport la mention « non contrôlé » et devront s’en tenir aux listes des présences transmises par les écoles.</w:t>
                  </w:r>
                </w:p>
                <w:p w:rsidR="00F04EEF" w:rsidRDefault="00F04EEF">
                  <w:pPr>
                    <w:pStyle w:val="Retraitcorpsdetexte3"/>
                    <w:spacing w:after="0"/>
                    <w:ind w:left="0"/>
                    <w:jc w:val="both"/>
                    <w:rPr>
                      <w:rFonts w:ascii="Calibri" w:hAnsi="Calibri" w:cs="Calibri"/>
                      <w:sz w:val="22"/>
                      <w:szCs w:val="22"/>
                      <w:lang w:eastAsia="fr-FR"/>
                    </w:rPr>
                  </w:pPr>
                </w:p>
                <w:p w:rsidR="00F04EEF" w:rsidRDefault="0099351E">
                  <w:pPr>
                    <w:pStyle w:val="Retraitcorpsdetexte3"/>
                    <w:spacing w:after="0"/>
                    <w:ind w:left="0"/>
                    <w:jc w:val="both"/>
                    <w:rPr>
                      <w:rFonts w:ascii="Calibri" w:hAnsi="Calibri" w:cs="Calibri"/>
                      <w:sz w:val="22"/>
                      <w:szCs w:val="22"/>
                      <w:lang w:eastAsia="fr-FR"/>
                    </w:rPr>
                  </w:pPr>
                  <w:r>
                    <w:rPr>
                      <w:rFonts w:ascii="Calibri" w:hAnsi="Calibri" w:cs="Calibri"/>
                      <w:sz w:val="22"/>
                      <w:szCs w:val="22"/>
                      <w:lang w:eastAsia="fr-FR"/>
                    </w:rPr>
                    <w:t>A partir du 1</w:t>
                  </w:r>
                  <w:r>
                    <w:rPr>
                      <w:rFonts w:ascii="Calibri" w:hAnsi="Calibri" w:cs="Calibri"/>
                      <w:sz w:val="22"/>
                      <w:szCs w:val="22"/>
                      <w:vertAlign w:val="superscript"/>
                      <w:lang w:eastAsia="fr-FR"/>
                    </w:rPr>
                    <w:t>er</w:t>
                  </w:r>
                  <w:r>
                    <w:rPr>
                      <w:rFonts w:ascii="Calibri" w:hAnsi="Calibri" w:cs="Calibri"/>
                      <w:sz w:val="22"/>
                      <w:szCs w:val="22"/>
                      <w:lang w:eastAsia="fr-FR"/>
                    </w:rPr>
                    <w:t xml:space="preserve"> février les vérificateurs devront se concentrer uniquement sur le comptage du 15 janvier.</w:t>
                  </w:r>
                </w:p>
                <w:p w:rsidR="00F04EEF" w:rsidRDefault="00F04EEF">
                  <w:pPr>
                    <w:pStyle w:val="Retraitcorpsdetexte3"/>
                    <w:spacing w:after="0"/>
                    <w:ind w:left="0"/>
                    <w:jc w:val="both"/>
                    <w:rPr>
                      <w:rFonts w:ascii="Calibri" w:hAnsi="Calibri" w:cs="Calibri"/>
                      <w:sz w:val="22"/>
                      <w:szCs w:val="22"/>
                      <w:lang w:eastAsia="fr-FR"/>
                    </w:rPr>
                  </w:pPr>
                </w:p>
                <w:p w:rsidR="00F04EEF" w:rsidRDefault="0099351E">
                  <w:pPr>
                    <w:pStyle w:val="Retraitcorpsdetexte3"/>
                    <w:pBdr>
                      <w:right w:val="single" w:sz="4" w:space="4" w:color="auto"/>
                    </w:pBdr>
                    <w:spacing w:after="0"/>
                    <w:ind w:left="0"/>
                    <w:jc w:val="both"/>
                    <w:rPr>
                      <w:rFonts w:ascii="Calibri" w:hAnsi="Calibri" w:cs="Calibri"/>
                      <w:sz w:val="22"/>
                      <w:szCs w:val="22"/>
                    </w:rPr>
                  </w:pPr>
                  <w:r>
                    <w:rPr>
                      <w:rFonts w:ascii="Calibri" w:hAnsi="Calibri" w:cs="Calibri"/>
                      <w:sz w:val="22"/>
                      <w:szCs w:val="22"/>
                    </w:rPr>
                    <w:t>Le vérificateur possède un pouvoir de constatation et non de décision.</w:t>
                  </w:r>
                </w:p>
                <w:p w:rsidR="00F04EEF" w:rsidRDefault="00F04EEF">
                  <w:pPr>
                    <w:pStyle w:val="Retraitcorpsdetexte3"/>
                    <w:spacing w:after="0"/>
                    <w:ind w:left="0"/>
                    <w:jc w:val="both"/>
                    <w:rPr>
                      <w:rFonts w:ascii="Calibri" w:hAnsi="Calibri" w:cs="Calibri"/>
                      <w:sz w:val="22"/>
                      <w:szCs w:val="22"/>
                      <w:lang w:eastAsia="fr-FR"/>
                    </w:rPr>
                  </w:pPr>
                </w:p>
                <w:p w:rsidR="00F04EEF" w:rsidRDefault="0099351E">
                  <w:pPr>
                    <w:pStyle w:val="Retraitcorpsdetexte3"/>
                    <w:pBdr>
                      <w:right w:val="single" w:sz="4" w:space="4" w:color="auto"/>
                    </w:pBdr>
                    <w:spacing w:after="0"/>
                    <w:ind w:left="0"/>
                    <w:jc w:val="both"/>
                    <w:rPr>
                      <w:rFonts w:ascii="Calibri" w:hAnsi="Calibri" w:cs="Calibri"/>
                      <w:sz w:val="22"/>
                      <w:szCs w:val="22"/>
                    </w:rPr>
                  </w:pPr>
                  <w:r>
                    <w:rPr>
                      <w:rFonts w:ascii="Calibri" w:hAnsi="Calibri" w:cs="Calibri"/>
                      <w:sz w:val="22"/>
                      <w:szCs w:val="22"/>
                    </w:rPr>
                    <w:t>En cas de contestation sur la vérification ou le contenu du rapport, le directeur d’école pour le réseau WB-e, le Pouvoir organisateur ou son délégué pour les réseaux subventionnés, sont invités à signaler leurs points de désaccord par écrit à :</w:t>
                  </w:r>
                </w:p>
                <w:p w:rsidR="00F04EEF" w:rsidRDefault="00F04EEF">
                  <w:pPr>
                    <w:autoSpaceDE w:val="0"/>
                    <w:rPr>
                      <w:rFonts w:cs="Calibri"/>
                    </w:rPr>
                  </w:pPr>
                </w:p>
                <w:p w:rsidR="00F04EEF" w:rsidRDefault="0099351E">
                  <w:pPr>
                    <w:pBdr>
                      <w:top w:val="single" w:sz="4" w:space="1" w:color="auto"/>
                      <w:left w:val="single" w:sz="4" w:space="4" w:color="auto"/>
                      <w:bottom w:val="single" w:sz="4" w:space="1" w:color="auto"/>
                      <w:right w:val="single" w:sz="4" w:space="4" w:color="auto"/>
                    </w:pBdr>
                    <w:jc w:val="center"/>
                    <w:rPr>
                      <w:rFonts w:cs="Calibri"/>
                    </w:rPr>
                  </w:pPr>
                  <w:r>
                    <w:rPr>
                      <w:rFonts w:cs="Calibri"/>
                    </w:rP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jc w:val="center"/>
                    <w:rPr>
                      <w:rFonts w:cs="Calibri"/>
                    </w:rPr>
                  </w:pPr>
                  <w:r>
                    <w:rPr>
                      <w:rFonts w:cs="Calibri"/>
                    </w:rPr>
                    <w:t>Service de l’enseignement spécialisé</w:t>
                  </w:r>
                </w:p>
                <w:p w:rsidR="00F04EEF" w:rsidRDefault="0099351E">
                  <w:pPr>
                    <w:pBdr>
                      <w:top w:val="single" w:sz="4" w:space="1" w:color="auto"/>
                      <w:left w:val="single" w:sz="4" w:space="4" w:color="auto"/>
                      <w:bottom w:val="single" w:sz="4" w:space="1" w:color="auto"/>
                      <w:right w:val="single" w:sz="4" w:space="4" w:color="auto"/>
                    </w:pBdr>
                    <w:jc w:val="center"/>
                    <w:rPr>
                      <w:rFonts w:cs="Calibri"/>
                      <w:color w:val="000000"/>
                    </w:rPr>
                  </w:pPr>
                  <w:r>
                    <w:rPr>
                      <w:rFonts w:cs="Calibri"/>
                      <w:color w:val="000000"/>
                    </w:rPr>
                    <w:t>Monsieur William FUCHS</w:t>
                  </w:r>
                </w:p>
                <w:p w:rsidR="00F04EEF" w:rsidRDefault="0099351E">
                  <w:pPr>
                    <w:pBdr>
                      <w:top w:val="single" w:sz="4" w:space="1" w:color="auto"/>
                      <w:left w:val="single" w:sz="4" w:space="4" w:color="auto"/>
                      <w:bottom w:val="single" w:sz="4" w:space="1" w:color="auto"/>
                      <w:right w:val="single" w:sz="4" w:space="4" w:color="auto"/>
                    </w:pBdr>
                    <w:jc w:val="center"/>
                    <w:rPr>
                      <w:rFonts w:cs="Calibri"/>
                    </w:rPr>
                  </w:pPr>
                  <w:r>
                    <w:rPr>
                      <w:rFonts w:cs="Calibri"/>
                    </w:rPr>
                    <w:t>Bureau 2F255</w:t>
                  </w:r>
                </w:p>
                <w:p w:rsidR="00F04EEF" w:rsidRDefault="0099351E">
                  <w:pPr>
                    <w:pBdr>
                      <w:top w:val="single" w:sz="4" w:space="1" w:color="auto"/>
                      <w:left w:val="single" w:sz="4" w:space="4" w:color="auto"/>
                      <w:bottom w:val="single" w:sz="4" w:space="1" w:color="auto"/>
                      <w:right w:val="single" w:sz="4" w:space="4" w:color="auto"/>
                    </w:pBdr>
                    <w:jc w:val="center"/>
                    <w:rPr>
                      <w:rFonts w:cs="Calibri"/>
                    </w:rPr>
                  </w:pPr>
                  <w:r>
                    <w:rPr>
                      <w:rFonts w:cs="Calibri"/>
                    </w:rPr>
                    <w:t>Rue Adolphe Lavallée, 1</w:t>
                  </w:r>
                </w:p>
                <w:p w:rsidR="00F04EEF" w:rsidRDefault="0099351E">
                  <w:pPr>
                    <w:pBdr>
                      <w:top w:val="single" w:sz="4" w:space="1" w:color="auto"/>
                      <w:left w:val="single" w:sz="4" w:space="4" w:color="auto"/>
                      <w:bottom w:val="single" w:sz="4" w:space="1" w:color="auto"/>
                      <w:right w:val="single" w:sz="4" w:space="4" w:color="auto"/>
                    </w:pBdr>
                    <w:jc w:val="center"/>
                    <w:rPr>
                      <w:rFonts w:cs="Calibri"/>
                    </w:rPr>
                  </w:pPr>
                  <w:r>
                    <w:rPr>
                      <w:rFonts w:cs="Calibri"/>
                    </w:rPr>
                    <w:t>1080   BRUXELLES</w:t>
                  </w:r>
                </w:p>
                <w:p w:rsidR="00F04EEF" w:rsidRDefault="0099351E">
                  <w:pPr>
                    <w:pBdr>
                      <w:top w:val="single" w:sz="4" w:space="1" w:color="auto"/>
                      <w:left w:val="single" w:sz="4" w:space="4" w:color="auto"/>
                      <w:bottom w:val="single" w:sz="4" w:space="1" w:color="auto"/>
                      <w:right w:val="single" w:sz="4" w:space="4" w:color="auto"/>
                    </w:pBdr>
                    <w:jc w:val="center"/>
                    <w:rPr>
                      <w:rFonts w:cs="Calibri"/>
                      <w:lang w:val="fr-FR"/>
                    </w:rPr>
                  </w:pPr>
                  <w:r>
                    <w:rPr>
                      <w:rFonts w:cs="Calibri"/>
                    </w:rPr>
                    <w:sym w:font="Wingdings" w:char="F028"/>
                  </w:r>
                  <w:r>
                    <w:rPr>
                      <w:rFonts w:cs="Calibri"/>
                      <w:lang w:val="fr-FR"/>
                    </w:rPr>
                    <w:t> : 02/690.83.94</w:t>
                  </w:r>
                </w:p>
                <w:p w:rsidR="00F04EEF" w:rsidRDefault="0099351E">
                  <w:pPr>
                    <w:pBdr>
                      <w:top w:val="single" w:sz="4" w:space="1" w:color="auto"/>
                      <w:left w:val="single" w:sz="4" w:space="4" w:color="auto"/>
                      <w:bottom w:val="single" w:sz="4" w:space="1" w:color="auto"/>
                      <w:right w:val="single" w:sz="4" w:space="4" w:color="auto"/>
                    </w:pBdr>
                    <w:jc w:val="center"/>
                    <w:rPr>
                      <w:rFonts w:cs="Calibri"/>
                      <w:lang w:val="fr-FR"/>
                    </w:rPr>
                  </w:pPr>
                  <w:r>
                    <w:rPr>
                      <w:rFonts w:cs="Calibri"/>
                      <w:bCs/>
                    </w:rPr>
                    <w:sym w:font="Wingdings" w:char="F03A"/>
                  </w:r>
                  <w:r>
                    <w:rPr>
                      <w:rFonts w:cs="Calibri"/>
                      <w:bCs/>
                      <w:lang w:val="fr-FR"/>
                    </w:rPr>
                    <w:t> </w:t>
                  </w:r>
                  <w:r>
                    <w:rPr>
                      <w:rFonts w:cs="Calibri"/>
                      <w:lang w:val="fr-FR"/>
                    </w:rPr>
                    <w:t xml:space="preserve"> </w:t>
                  </w:r>
                  <w:hyperlink r:id="rId235" w:history="1">
                    <w:r>
                      <w:rPr>
                        <w:rStyle w:val="Lienhypertexte"/>
                        <w:rFonts w:cs="Calibri"/>
                        <w:lang w:val="fr-FR"/>
                      </w:rPr>
                      <w:t>william.fuchs@cfwb.be</w:t>
                    </w:r>
                  </w:hyperlink>
                  <w:r>
                    <w:rPr>
                      <w:rFonts w:cs="Calibri"/>
                      <w:b/>
                      <w:lang w:val="fr-FR"/>
                    </w:rPr>
                    <w:t xml:space="preserve"> </w:t>
                  </w:r>
                </w:p>
                <w:p w:rsidR="00F04EEF" w:rsidRDefault="00F04EEF">
                  <w:pPr>
                    <w:tabs>
                      <w:tab w:val="left" w:pos="-420"/>
                    </w:tabs>
                    <w:rPr>
                      <w:rFonts w:cs="Calibri"/>
                      <w:highlight w:val="cyan"/>
                      <w:lang w:val="fr-FR"/>
                    </w:rPr>
                  </w:pPr>
                </w:p>
                <w:p w:rsidR="00F04EEF" w:rsidRDefault="00F04EEF">
                  <w:pPr>
                    <w:pStyle w:val="Retraitcorpsdetexte3"/>
                    <w:spacing w:after="0"/>
                    <w:ind w:left="0"/>
                    <w:rPr>
                      <w:rFonts w:ascii="Calibri Light" w:hAnsi="Calibri Light"/>
                      <w:sz w:val="22"/>
                      <w:szCs w:val="22"/>
                      <w:highlight w:val="cyan"/>
                      <w:lang w:eastAsia="fr-FR"/>
                    </w:rPr>
                  </w:pPr>
                </w:p>
                <w:p w:rsidR="00F04EEF" w:rsidRDefault="0099351E">
                  <w:pPr>
                    <w:pStyle w:val="Titre4"/>
                  </w:pPr>
                  <w:bookmarkStart w:id="3422" w:name="_1.3._Les_fraudes"/>
                  <w:bookmarkEnd w:id="3422"/>
                  <w:r>
                    <w:t>1.3. Les fraudes à l’inscription</w:t>
                  </w:r>
                </w:p>
                <w:p w:rsidR="00F04EEF" w:rsidRDefault="00F04EEF"/>
                <w:p w:rsidR="00F04EEF" w:rsidRDefault="0099351E">
                  <w:pPr>
                    <w:rPr>
                      <w:rFonts w:cs="Calibri"/>
                    </w:rPr>
                  </w:pPr>
                  <w:r>
                    <w:rPr>
                      <w:rFonts w:cs="Calibri"/>
                    </w:rPr>
                    <w:t>Les différents types de fraudes à l’inscription sont :</w:t>
                  </w:r>
                </w:p>
                <w:p w:rsidR="00F04EEF" w:rsidRDefault="0099351E">
                  <w:pPr>
                    <w:pStyle w:val="Paragraphedeliste"/>
                    <w:numPr>
                      <w:ilvl w:val="0"/>
                      <w:numId w:val="343"/>
                    </w:numPr>
                    <w:pBdr>
                      <w:right w:val="single" w:sz="4" w:space="4" w:color="auto"/>
                    </w:pBdr>
                    <w:rPr>
                      <w:rFonts w:ascii="Calibri" w:eastAsia="Calibri" w:hAnsi="Calibri" w:cs="Calibri"/>
                      <w:sz w:val="22"/>
                      <w:szCs w:val="22"/>
                      <w:lang w:eastAsia="en-US"/>
                    </w:rPr>
                  </w:pPr>
                  <w:r>
                    <w:rPr>
                      <w:rFonts w:ascii="Calibri" w:eastAsia="Calibri" w:hAnsi="Calibri" w:cs="Calibri"/>
                      <w:sz w:val="22"/>
                      <w:szCs w:val="22"/>
                      <w:lang w:eastAsia="en-US"/>
                    </w:rPr>
                    <w:t>Inscription d’un élève dans les registres d’une école ou d’une implantation alors que l’élève en fréquente une autre.</w:t>
                  </w:r>
                </w:p>
                <w:p w:rsidR="00F04EEF" w:rsidRDefault="0099351E">
                  <w:pPr>
                    <w:pStyle w:val="Paragraphedeliste"/>
                    <w:numPr>
                      <w:ilvl w:val="0"/>
                      <w:numId w:val="343"/>
                    </w:numPr>
                    <w:pBdr>
                      <w:right w:val="single" w:sz="4" w:space="4" w:color="auto"/>
                    </w:pBdr>
                    <w:rPr>
                      <w:rFonts w:ascii="Calibri" w:eastAsia="Calibri" w:hAnsi="Calibri" w:cs="Calibri"/>
                      <w:sz w:val="22"/>
                      <w:szCs w:val="22"/>
                      <w:lang w:eastAsia="en-US"/>
                    </w:rPr>
                  </w:pPr>
                  <w:r>
                    <w:rPr>
                      <w:rFonts w:ascii="Calibri" w:eastAsia="Calibri" w:hAnsi="Calibri" w:cs="Calibri"/>
                      <w:sz w:val="22"/>
                      <w:szCs w:val="22"/>
                      <w:lang w:eastAsia="en-US"/>
                    </w:rPr>
                    <w:t>Pointer présent un élève dans le registre de fréquentation alors que ce même élève a quitté l’établissement.</w:t>
                  </w:r>
                </w:p>
                <w:p w:rsidR="00F04EEF" w:rsidRDefault="0099351E">
                  <w:pPr>
                    <w:pStyle w:val="Paragraphedeliste"/>
                    <w:numPr>
                      <w:ilvl w:val="0"/>
                      <w:numId w:val="343"/>
                    </w:numPr>
                    <w:pBdr>
                      <w:right w:val="single" w:sz="4" w:space="4" w:color="auto"/>
                    </w:pBdr>
                    <w:rPr>
                      <w:rFonts w:ascii="Calibri" w:eastAsia="Calibri" w:hAnsi="Calibri" w:cs="Calibri"/>
                      <w:sz w:val="22"/>
                      <w:szCs w:val="22"/>
                      <w:lang w:eastAsia="en-US"/>
                    </w:rPr>
                  </w:pPr>
                  <w:r>
                    <w:rPr>
                      <w:rFonts w:ascii="Calibri" w:eastAsia="Calibri" w:hAnsi="Calibri" w:cs="Calibri"/>
                      <w:sz w:val="22"/>
                      <w:szCs w:val="22"/>
                      <w:lang w:eastAsia="en-US"/>
                    </w:rPr>
                    <w:t>Elèves pointés le même jour dans les registres de deux écoles différentes.</w:t>
                  </w:r>
                </w:p>
                <w:p w:rsidR="00F04EEF" w:rsidRDefault="0099351E">
                  <w:pPr>
                    <w:pStyle w:val="Paragraphedeliste"/>
                    <w:numPr>
                      <w:ilvl w:val="0"/>
                      <w:numId w:val="343"/>
                    </w:numPr>
                    <w:pBdr>
                      <w:right w:val="single" w:sz="4" w:space="4" w:color="auto"/>
                    </w:pBdr>
                    <w:rPr>
                      <w:rFonts w:ascii="Calibri" w:eastAsia="Calibri" w:hAnsi="Calibri" w:cs="Calibri"/>
                      <w:sz w:val="22"/>
                      <w:szCs w:val="22"/>
                      <w:lang w:eastAsia="en-US"/>
                    </w:rPr>
                  </w:pPr>
                  <w:r>
                    <w:rPr>
                      <w:rFonts w:ascii="Calibri" w:eastAsia="Calibri" w:hAnsi="Calibri" w:cs="Calibri"/>
                      <w:sz w:val="22"/>
                      <w:szCs w:val="22"/>
                      <w:lang w:eastAsia="en-US"/>
                    </w:rPr>
                    <w:t>Manipulations dans les choix des cours philosophiques des élèves dans le but d’influencer le calcul des groupes.</w:t>
                  </w:r>
                </w:p>
                <w:p w:rsidR="00F04EEF" w:rsidRDefault="00F04EEF">
                  <w:pPr>
                    <w:pBdr>
                      <w:right w:val="single" w:sz="4" w:space="4" w:color="auto"/>
                    </w:pBdr>
                    <w:rPr>
                      <w:rFonts w:cs="Calibri"/>
                    </w:rPr>
                  </w:pPr>
                </w:p>
                <w:p w:rsidR="00F04EEF" w:rsidRDefault="0099351E">
                  <w:pPr>
                    <w:pBdr>
                      <w:right w:val="single" w:sz="4" w:space="4" w:color="auto"/>
                    </w:pBdr>
                    <w:rPr>
                      <w:rFonts w:cs="Calibri"/>
                    </w:rPr>
                  </w:pPr>
                  <w:r>
                    <w:rPr>
                      <w:rFonts w:cs="Calibri"/>
                    </w:rPr>
                    <w:t>La liste ci-dessus est non exhaustive.</w:t>
                  </w:r>
                </w:p>
                <w:p w:rsidR="00F04EEF" w:rsidRDefault="00F04EEF">
                  <w:pPr>
                    <w:pBdr>
                      <w:right w:val="single" w:sz="4" w:space="4" w:color="auto"/>
                    </w:pBdr>
                    <w:rPr>
                      <w:rFonts w:cs="Calibri"/>
                    </w:rPr>
                  </w:pPr>
                </w:p>
                <w:p w:rsidR="00F04EEF" w:rsidRDefault="0099351E">
                  <w:pPr>
                    <w:pBdr>
                      <w:right w:val="single" w:sz="4" w:space="4" w:color="auto"/>
                    </w:pBdr>
                    <w:jc w:val="both"/>
                    <w:rPr>
                      <w:rFonts w:cs="Calibri"/>
                    </w:rPr>
                  </w:pPr>
                  <w:r>
                    <w:rPr>
                      <w:rFonts w:cs="Calibri"/>
                    </w:rPr>
                    <w:t>Conformément à l’article 29 du Code d’instruction criminelle, tout fonctionnaire ou officier public, qui, dans l’exercice de ses fonctions, acquerra la connaissance d’un crime ou d’un délit, sera tenu d’en donner avis sur-le-champ au Procureur du Roi du tribunal dans le ressort duquel ce crime ou délit aura été commis, et de transmettre à ce magistrat tous les renseignements, procès-verbaux et actes qui y sont relatifs.</w:t>
                  </w:r>
                </w:p>
                <w:p w:rsidR="00F04EEF" w:rsidRDefault="00F04EEF">
                  <w:pPr>
                    <w:pBdr>
                      <w:right w:val="single" w:sz="4" w:space="4" w:color="auto"/>
                    </w:pBdr>
                    <w:rPr>
                      <w:rFonts w:cs="Calibri"/>
                    </w:rPr>
                  </w:pPr>
                </w:p>
                <w:p w:rsidR="00F04EEF" w:rsidRDefault="0099351E">
                  <w:pPr>
                    <w:pBdr>
                      <w:right w:val="single" w:sz="4" w:space="4" w:color="auto"/>
                    </w:pBdr>
                    <w:jc w:val="both"/>
                    <w:rPr>
                      <w:rFonts w:cs="Calibri"/>
                    </w:rPr>
                  </w:pPr>
                  <w:r>
                    <w:rPr>
                      <w:rFonts w:cs="Calibri"/>
                    </w:rPr>
                    <w:t>Conformément à l’article 35 de la loi du 29 mai 1959 modifiant certaines dispositions de la législation de l’enseignement, et sans préjudice des poursuites pénales auxquelles elle peut donner lieu :</w:t>
                  </w:r>
                </w:p>
                <w:p w:rsidR="00F04EEF" w:rsidRDefault="0099351E">
                  <w:pPr>
                    <w:pStyle w:val="Paragraphedeliste"/>
                    <w:numPr>
                      <w:ilvl w:val="0"/>
                      <w:numId w:val="344"/>
                    </w:numPr>
                    <w:pBdr>
                      <w:right w:val="single" w:sz="4" w:space="4" w:color="auto"/>
                    </w:pBdr>
                    <w:jc w:val="both"/>
                    <w:rPr>
                      <w:rFonts w:ascii="Calibri" w:hAnsi="Calibri" w:cs="Calibri"/>
                      <w:sz w:val="22"/>
                      <w:szCs w:val="22"/>
                    </w:rPr>
                  </w:pPr>
                  <w:r>
                    <w:rPr>
                      <w:rFonts w:ascii="Calibri" w:hAnsi="Calibri" w:cs="Calibri"/>
                      <w:sz w:val="22"/>
                      <w:szCs w:val="22"/>
                    </w:rPr>
                    <w:t xml:space="preserve">toute déclaration fausse ou inexacte faite dans le but d’influencer le calcul du montant des subventions est considérée comme fraude à l’inscription et peut entraîner la </w:t>
                  </w:r>
                  <w:r>
                    <w:rPr>
                      <w:rFonts w:ascii="Calibri" w:hAnsi="Calibri" w:cs="Calibri"/>
                      <w:b/>
                      <w:sz w:val="22"/>
                      <w:szCs w:val="22"/>
                    </w:rPr>
                    <w:t>privation des subventions</w:t>
                  </w:r>
                  <w:r>
                    <w:rPr>
                      <w:rFonts w:ascii="Calibri" w:hAnsi="Calibri" w:cs="Calibri"/>
                      <w:sz w:val="22"/>
                      <w:szCs w:val="22"/>
                    </w:rPr>
                    <w:t xml:space="preserve"> pour l’école concernée pendant une période maximale de 6 mois ;</w:t>
                  </w:r>
                </w:p>
                <w:p w:rsidR="00F04EEF" w:rsidRDefault="0099351E">
                  <w:pPr>
                    <w:pStyle w:val="Paragraphedeliste"/>
                    <w:numPr>
                      <w:ilvl w:val="0"/>
                      <w:numId w:val="344"/>
                    </w:numPr>
                    <w:pBdr>
                      <w:right w:val="single" w:sz="4" w:space="4" w:color="auto"/>
                    </w:pBdr>
                    <w:jc w:val="both"/>
                    <w:rPr>
                      <w:rFonts w:ascii="Calibri" w:eastAsia="Calibri" w:hAnsi="Calibri" w:cs="Calibri"/>
                    </w:rPr>
                  </w:pPr>
                  <w:r>
                    <w:rPr>
                      <w:rFonts w:ascii="Calibri" w:eastAsia="Calibri" w:hAnsi="Calibri" w:cs="Calibri"/>
                      <w:b/>
                      <w:sz w:val="22"/>
                      <w:szCs w:val="22"/>
                    </w:rPr>
                    <w:t xml:space="preserve">la restitution des sommes </w:t>
                  </w:r>
                  <w:r>
                    <w:rPr>
                      <w:rFonts w:ascii="Calibri" w:eastAsia="Calibri" w:hAnsi="Calibri" w:cs="Calibri"/>
                      <w:sz w:val="22"/>
                      <w:szCs w:val="22"/>
                    </w:rPr>
                    <w:t>qui auraient été indûment versées à titre de subvention sera exigée</w:t>
                  </w:r>
                  <w:r>
                    <w:rPr>
                      <w:rFonts w:ascii="Calibri" w:eastAsia="Calibri" w:hAnsi="Calibri" w:cs="Calibri"/>
                    </w:rPr>
                    <w:t>.</w:t>
                  </w:r>
                </w:p>
                <w:p w:rsidR="00F04EEF" w:rsidRDefault="00F04EEF">
                  <w:pPr>
                    <w:pBdr>
                      <w:right w:val="single" w:sz="4" w:space="8" w:color="auto"/>
                    </w:pBdr>
                    <w:rPr>
                      <w:rFonts w:cs="Calibri"/>
                    </w:rPr>
                  </w:pPr>
                </w:p>
                <w:p w:rsidR="00F04EEF" w:rsidRDefault="0099351E">
                  <w:pPr>
                    <w:pBdr>
                      <w:right w:val="single" w:sz="4" w:space="8" w:color="auto"/>
                    </w:pBdr>
                    <w:jc w:val="both"/>
                    <w:rPr>
                      <w:rFonts w:cs="Calibri"/>
                    </w:rPr>
                  </w:pPr>
                  <w:r>
                    <w:rPr>
                      <w:rFonts w:cs="Calibri"/>
                    </w:rPr>
                    <w:t>Par ailleurs, en vertu de l’article 3 de l’arrêté royal n°5 du 18 avril 1967, tout Pouvoir organisateur qui ne respecte pas les conditions d’octroi de la subvention est tenu de rembourser sans délai le montant de celle-ci.</w:t>
                  </w:r>
                </w:p>
                <w:p w:rsidR="00F04EEF" w:rsidRDefault="00F04EEF">
                  <w:pPr>
                    <w:rPr>
                      <w:rFonts w:ascii="Calibri Light" w:hAnsi="Calibri Light"/>
                    </w:rPr>
                  </w:pPr>
                </w:p>
                <w:p w:rsidR="00F04EEF" w:rsidRDefault="00F04EEF">
                  <w:pPr>
                    <w:rPr>
                      <w:rFonts w:ascii="Calibri Light" w:hAnsi="Calibri Light"/>
                    </w:rPr>
                  </w:pPr>
                </w:p>
                <w:p w:rsidR="00F04EEF" w:rsidRDefault="0099351E">
                  <w:pPr>
                    <w:pStyle w:val="Titre4"/>
                  </w:pPr>
                  <w:bookmarkStart w:id="3423" w:name="_1.4._Documents_à"/>
                  <w:bookmarkEnd w:id="3423"/>
                  <w:r>
                    <w:t>1.4. Documents à tenir à la disposition du vérificateur</w:t>
                  </w:r>
                </w:p>
                <w:p w:rsidR="00F04EEF" w:rsidRDefault="00F04EEF">
                  <w:pPr>
                    <w:jc w:val="both"/>
                  </w:pPr>
                </w:p>
                <w:p w:rsidR="00F04EEF" w:rsidRDefault="0099351E">
                  <w:pPr>
                    <w:jc w:val="both"/>
                  </w:pPr>
                  <w:r>
                    <w:t xml:space="preserve">Vous trouverez ci-joint une liste </w:t>
                  </w:r>
                  <w:r>
                    <w:rPr>
                      <w:b/>
                    </w:rPr>
                    <w:t>non exhaustive</w:t>
                  </w:r>
                  <w:r>
                    <w:t xml:space="preserve"> des documents à tenir à disposition des vérificateurs, avec mention du chapitre y relatif.  </w:t>
                  </w:r>
                </w:p>
                <w:p w:rsidR="00F04EEF" w:rsidRDefault="00F04EEF">
                  <w:pPr>
                    <w:jc w:val="both"/>
                  </w:pPr>
                </w:p>
                <w:p w:rsidR="00F04EEF" w:rsidRDefault="0099351E">
                  <w:pPr>
                    <w:pStyle w:val="TM3"/>
                    <w:numPr>
                      <w:ilvl w:val="0"/>
                      <w:numId w:val="241"/>
                    </w:numPr>
                    <w:ind w:left="567" w:hanging="425"/>
                    <w:rPr>
                      <w:szCs w:val="22"/>
                    </w:rPr>
                  </w:pPr>
                  <w:r>
                    <w:rPr>
                      <w:szCs w:val="22"/>
                    </w:rPr>
                    <w:t xml:space="preserve">Fiche individuelle d'inscription (voir ci-dessous </w:t>
                  </w:r>
                  <w:r>
                    <w:rPr>
                      <w:rStyle w:val="Lienhypertexte"/>
                      <w:szCs w:val="22"/>
                    </w:rPr>
                    <w:t>point 1.4.1.</w:t>
                  </w:r>
                  <w:r>
                    <w:rPr>
                      <w:szCs w:val="22"/>
                    </w:rPr>
                    <w:t>)</w:t>
                  </w:r>
                </w:p>
                <w:p w:rsidR="00F04EEF" w:rsidRDefault="0099351E">
                  <w:pPr>
                    <w:pStyle w:val="TM3"/>
                    <w:numPr>
                      <w:ilvl w:val="0"/>
                      <w:numId w:val="241"/>
                    </w:numPr>
                    <w:ind w:left="567" w:hanging="425"/>
                    <w:rPr>
                      <w:szCs w:val="22"/>
                    </w:rPr>
                  </w:pPr>
                  <w:r>
                    <w:rPr>
                      <w:szCs w:val="22"/>
                    </w:rPr>
                    <w:t xml:space="preserve">Registres de présences des élèves (voir ci-dessous </w:t>
                  </w:r>
                  <w:hyperlink w:anchor="_Chapitre_16_:" w:history="1">
                    <w:r>
                      <w:rPr>
                        <w:rStyle w:val="Lienhypertexte"/>
                        <w:szCs w:val="22"/>
                      </w:rPr>
                      <w:t>point</w:t>
                    </w:r>
                  </w:hyperlink>
                  <w:r>
                    <w:rPr>
                      <w:rStyle w:val="Lienhypertexte"/>
                      <w:szCs w:val="22"/>
                    </w:rPr>
                    <w:t xml:space="preserve"> 1.4.2.</w:t>
                  </w:r>
                  <w:r>
                    <w:rPr>
                      <w:szCs w:val="22"/>
                    </w:rPr>
                    <w:t>)</w:t>
                  </w:r>
                </w:p>
                <w:p w:rsidR="00F04EEF" w:rsidRDefault="0099351E">
                  <w:pPr>
                    <w:pStyle w:val="TM3"/>
                    <w:numPr>
                      <w:ilvl w:val="0"/>
                      <w:numId w:val="241"/>
                    </w:numPr>
                    <w:ind w:left="567" w:hanging="425"/>
                    <w:rPr>
                      <w:szCs w:val="22"/>
                    </w:rPr>
                  </w:pPr>
                  <w:r>
                    <w:rPr>
                      <w:szCs w:val="22"/>
                    </w:rPr>
                    <w:t xml:space="preserve">Dossier individuel des élèves qui comprend les documents suivants : </w:t>
                  </w:r>
                </w:p>
                <w:p w:rsidR="00F04EEF" w:rsidRDefault="0099351E">
                  <w:pPr>
                    <w:numPr>
                      <w:ilvl w:val="1"/>
                      <w:numId w:val="241"/>
                    </w:numPr>
                    <w:tabs>
                      <w:tab w:val="left" w:pos="900"/>
                    </w:tabs>
                    <w:suppressAutoHyphens/>
                    <w:jc w:val="both"/>
                  </w:pPr>
                  <w:r>
                    <w:t>L'attestation d'orientation et le protocole justificatif (</w:t>
                  </w:r>
                  <w:hyperlink w:anchor="_Chapitre_1_:" w:history="1">
                    <w:r>
                      <w:rPr>
                        <w:rStyle w:val="Lienhypertexte"/>
                      </w:rPr>
                      <w:t>chapitre 1</w:t>
                    </w:r>
                  </w:hyperlink>
                  <w:r>
                    <w:t xml:space="preserve">) </w:t>
                  </w:r>
                </w:p>
                <w:p w:rsidR="00F04EEF" w:rsidRDefault="0099351E">
                  <w:pPr>
                    <w:numPr>
                      <w:ilvl w:val="1"/>
                      <w:numId w:val="241"/>
                    </w:numPr>
                    <w:tabs>
                      <w:tab w:val="left" w:pos="900"/>
                    </w:tabs>
                    <w:suppressAutoHyphens/>
                    <w:jc w:val="both"/>
                  </w:pPr>
                  <w:r>
                    <w:t>L’annexe à l’attestation d’admission (pédagogies adaptées) (</w:t>
                  </w:r>
                  <w:hyperlink w:anchor="_Chapitre_14_:" w:history="1">
                    <w:r>
                      <w:t>Chapitre 14</w:t>
                    </w:r>
                  </w:hyperlink>
                  <w:r>
                    <w:t xml:space="preserve">) </w:t>
                  </w:r>
                </w:p>
                <w:p w:rsidR="00F04EEF" w:rsidRDefault="0099351E">
                  <w:pPr>
                    <w:numPr>
                      <w:ilvl w:val="1"/>
                      <w:numId w:val="241"/>
                    </w:numPr>
                    <w:tabs>
                      <w:tab w:val="left" w:pos="900"/>
                    </w:tabs>
                    <w:suppressAutoHyphens/>
                    <w:jc w:val="both"/>
                  </w:pPr>
                  <w:r>
                    <w:t>Le choix religion/morale non confessionnelle (</w:t>
                  </w:r>
                  <w:hyperlink w:anchor="_Chapitre_16_:" w:history="1">
                    <w:r>
                      <w:rPr>
                        <w:rStyle w:val="Lienhypertexte"/>
                      </w:rPr>
                      <w:t xml:space="preserve">chapitre </w:t>
                    </w:r>
                  </w:hyperlink>
                  <w:r>
                    <w:t>)</w:t>
                  </w:r>
                </w:p>
                <w:p w:rsidR="00F04EEF" w:rsidRDefault="0099351E">
                  <w:pPr>
                    <w:numPr>
                      <w:ilvl w:val="1"/>
                      <w:numId w:val="241"/>
                    </w:numPr>
                    <w:tabs>
                      <w:tab w:val="left" w:pos="900"/>
                    </w:tabs>
                    <w:suppressAutoHyphens/>
                    <w:jc w:val="both"/>
                  </w:pPr>
                  <w:r>
                    <w:t>L’avis motivé du conseil de classe en cas de passage anticipé de l’enseignement primaire spécialisé vers l’enseignement secondaire spécialisé (chapitre 15)</w:t>
                  </w:r>
                </w:p>
                <w:p w:rsidR="00F04EEF" w:rsidRDefault="0099351E">
                  <w:pPr>
                    <w:numPr>
                      <w:ilvl w:val="1"/>
                      <w:numId w:val="241"/>
                    </w:numPr>
                    <w:tabs>
                      <w:tab w:val="left" w:pos="900"/>
                    </w:tabs>
                    <w:suppressAutoHyphens/>
                    <w:jc w:val="both"/>
                  </w:pPr>
                  <w:r>
                    <w:t>L’attestation de changement de forme (chapitre 15)</w:t>
                  </w:r>
                </w:p>
                <w:p w:rsidR="00F04EEF" w:rsidRDefault="0099351E">
                  <w:pPr>
                    <w:numPr>
                      <w:ilvl w:val="1"/>
                      <w:numId w:val="241"/>
                    </w:numPr>
                    <w:tabs>
                      <w:tab w:val="left" w:pos="900"/>
                    </w:tabs>
                    <w:suppressAutoHyphens/>
                    <w:jc w:val="both"/>
                  </w:pPr>
                  <w:r>
                    <w:t>Les documents justificatifs d'absence (</w:t>
                  </w:r>
                  <w:hyperlink w:anchor="_Chapitre_1_:" w:history="1">
                    <w:r>
                      <w:rPr>
                        <w:rStyle w:val="Lienhypertexte"/>
                      </w:rPr>
                      <w:t>chapitre 1</w:t>
                    </w:r>
                  </w:hyperlink>
                  <w:r>
                    <w:t>)</w:t>
                  </w:r>
                </w:p>
                <w:p w:rsidR="00F04EEF" w:rsidRDefault="0099351E">
                  <w:pPr>
                    <w:numPr>
                      <w:ilvl w:val="1"/>
                      <w:numId w:val="241"/>
                    </w:numPr>
                    <w:jc w:val="both"/>
                  </w:pPr>
                  <w:r>
                    <w:t>Dossiers d’absences de longue durée (</w:t>
                  </w:r>
                  <w:hyperlink w:anchor="_Chapitre_16_:" w:history="1">
                    <w:r>
                      <w:rPr>
                        <w:rStyle w:val="Lienhypertexte"/>
                      </w:rPr>
                      <w:t>chapitre 1</w:t>
                    </w:r>
                  </w:hyperlink>
                  <w:r>
                    <w:t>)</w:t>
                  </w:r>
                </w:p>
                <w:p w:rsidR="00F04EEF" w:rsidRDefault="0099351E">
                  <w:pPr>
                    <w:numPr>
                      <w:ilvl w:val="1"/>
                      <w:numId w:val="241"/>
                    </w:numPr>
                    <w:jc w:val="both"/>
                  </w:pPr>
                  <w:r>
                    <w:rPr>
                      <w:noProof/>
                      <w:lang w:eastAsia="fr-BE"/>
                    </w:rPr>
                    <mc:AlternateContent>
                      <mc:Choice Requires="wps">
                        <w:drawing>
                          <wp:anchor distT="0" distB="0" distL="114300" distR="114300" simplePos="0" relativeHeight="252258304" behindDoc="0" locked="0" layoutInCell="1" allowOverlap="1">
                            <wp:simplePos x="0" y="0"/>
                            <wp:positionH relativeFrom="column">
                              <wp:posOffset>6005195</wp:posOffset>
                            </wp:positionH>
                            <wp:positionV relativeFrom="paragraph">
                              <wp:posOffset>182880</wp:posOffset>
                            </wp:positionV>
                            <wp:extent cx="0" cy="219075"/>
                            <wp:effectExtent l="0" t="0" r="19050" b="28575"/>
                            <wp:wrapNone/>
                            <wp:docPr id="546" name="Connecteur droit 546"/>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D72EC9" id="Connecteur droit 546" o:spid="_x0000_s1026" style="position:absolute;z-index:252258304;visibility:visible;mso-wrap-style:square;mso-wrap-distance-left:9pt;mso-wrap-distance-top:0;mso-wrap-distance-right:9pt;mso-wrap-distance-bottom:0;mso-position-horizontal:absolute;mso-position-horizontal-relative:text;mso-position-vertical:absolute;mso-position-vertical-relative:text" from="472.85pt,14.4pt" to="472.85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" strokecolor="black [3213]"/>
                        </w:pict>
                      </mc:Fallback>
                    </mc:AlternateContent>
                  </w:r>
                  <w:r>
                    <w:t>Dénonciations d’absences d’élèves en âge d’obligation scolaire : convocation des parents, signalements au service du droit à l’inscription,… (</w:t>
                  </w:r>
                  <w:hyperlink w:anchor="_Chapitre_1_:" w:history="1">
                    <w:r>
                      <w:rPr>
                        <w:rStyle w:val="Lienhypertexte"/>
                      </w:rPr>
                      <w:t>chapitre 1</w:t>
                    </w:r>
                  </w:hyperlink>
                  <w:r>
                    <w:t>)</w:t>
                  </w:r>
                </w:p>
                <w:p w:rsidR="00F04EEF" w:rsidRDefault="0099351E">
                  <w:pPr>
                    <w:pStyle w:val="TM3"/>
                    <w:numPr>
                      <w:ilvl w:val="1"/>
                      <w:numId w:val="241"/>
                    </w:numPr>
                    <w:rPr>
                      <w:szCs w:val="22"/>
                    </w:rPr>
                  </w:pPr>
                  <w:r>
                    <w:rPr>
                      <w:szCs w:val="22"/>
                    </w:rPr>
                    <w:t>Registre matricule des élèves (voir ci-dessous point 1.4.3.</w:t>
                  </w:r>
                  <w:r>
                    <w:rPr>
                      <w:rFonts w:cs="Times New Roman"/>
                      <w:szCs w:val="22"/>
                    </w:rPr>
                    <w:t>)</w:t>
                  </w:r>
                </w:p>
                <w:p w:rsidR="00F04EEF" w:rsidRDefault="0099351E">
                  <w:pPr>
                    <w:pStyle w:val="TM3"/>
                    <w:numPr>
                      <w:ilvl w:val="1"/>
                      <w:numId w:val="241"/>
                    </w:numPr>
                    <w:rPr>
                      <w:szCs w:val="22"/>
                    </w:rPr>
                  </w:pPr>
                  <w:r>
                    <w:rPr>
                      <w:szCs w:val="22"/>
                    </w:rPr>
                    <w:t>Registre des procès-verbaux des conseils de classe (</w:t>
                  </w:r>
                  <w:hyperlink w:anchor="_Chapitre_16_:" w:history="1">
                    <w:r>
                      <w:rPr>
                        <w:rStyle w:val="Lienhypertexte"/>
                        <w:szCs w:val="22"/>
                      </w:rPr>
                      <w:t>voir</w:t>
                    </w:r>
                  </w:hyperlink>
                  <w:r>
                    <w:rPr>
                      <w:rStyle w:val="Lienhypertexte"/>
                      <w:szCs w:val="22"/>
                    </w:rPr>
                    <w:t xml:space="preserve"> ci-dessous point 1.4.4.</w:t>
                  </w:r>
                  <w:r>
                    <w:rPr>
                      <w:rFonts w:cs="Times New Roman"/>
                      <w:szCs w:val="22"/>
                    </w:rPr>
                    <w:t>)</w:t>
                  </w:r>
                </w:p>
                <w:p w:rsidR="00F04EEF" w:rsidRDefault="0099351E">
                  <w:pPr>
                    <w:pStyle w:val="TM3"/>
                    <w:numPr>
                      <w:ilvl w:val="1"/>
                      <w:numId w:val="241"/>
                    </w:numPr>
                    <w:jc w:val="left"/>
                    <w:rPr>
                      <w:szCs w:val="22"/>
                    </w:rPr>
                  </w:pPr>
                  <w:r>
                    <w:rPr>
                      <w:szCs w:val="22"/>
                    </w:rPr>
                    <w:t>Dérogations d’âge (</w:t>
                  </w:r>
                  <w:hyperlink w:anchor="_Chapitre_18_:" w:history="1">
                    <w:r>
                      <w:rPr>
                        <w:rStyle w:val="Lienhypertexte"/>
                        <w:szCs w:val="22"/>
                      </w:rPr>
                      <w:t>chapitre 18</w:t>
                    </w:r>
                  </w:hyperlink>
                  <w:r>
                    <w:rPr>
                      <w:szCs w:val="22"/>
                    </w:rPr>
                    <w:t>)</w:t>
                  </w:r>
                </w:p>
                <w:p w:rsidR="00F04EEF" w:rsidRDefault="0099351E">
                  <w:pPr>
                    <w:pStyle w:val="TM3"/>
                    <w:numPr>
                      <w:ilvl w:val="1"/>
                      <w:numId w:val="241"/>
                    </w:numPr>
                    <w:rPr>
                      <w:szCs w:val="22"/>
                    </w:rPr>
                  </w:pPr>
                  <w:r>
                    <w:rPr>
                      <w:szCs w:val="22"/>
                    </w:rPr>
                    <w:t>Dossier d’intégration de l’élève (copie des protocoles, des bilans, …) (</w:t>
                  </w:r>
                  <w:hyperlink w:anchor="_Chapitre_13_:" w:history="1">
                    <w:r>
                      <w:rPr>
                        <w:rStyle w:val="Lienhypertexte"/>
                        <w:szCs w:val="22"/>
                      </w:rPr>
                      <w:t>chapitre 13</w:t>
                    </w:r>
                  </w:hyperlink>
                  <w:r>
                    <w:rPr>
                      <w:szCs w:val="22"/>
                    </w:rPr>
                    <w:t>)</w:t>
                  </w:r>
                </w:p>
                <w:p w:rsidR="00F04EEF" w:rsidRDefault="0099351E">
                  <w:pPr>
                    <w:pStyle w:val="TM3"/>
                    <w:numPr>
                      <w:ilvl w:val="1"/>
                      <w:numId w:val="241"/>
                    </w:numPr>
                    <w:rPr>
                      <w:szCs w:val="22"/>
                    </w:rPr>
                  </w:pPr>
                  <w:r>
                    <w:rPr>
                      <w:szCs w:val="22"/>
                    </w:rPr>
                    <w:t>Attestations de placement (</w:t>
                  </w:r>
                  <w:hyperlink w:anchor="_Chapitre_1_:" w:history="1">
                    <w:r>
                      <w:rPr>
                        <w:rStyle w:val="Lienhypertexte"/>
                        <w:szCs w:val="22"/>
                      </w:rPr>
                      <w:t>chapitre 1</w:t>
                    </w:r>
                  </w:hyperlink>
                  <w:r>
                    <w:rPr>
                      <w:szCs w:val="22"/>
                    </w:rPr>
                    <w:t>)</w:t>
                  </w:r>
                </w:p>
                <w:p w:rsidR="00F04EEF" w:rsidRDefault="0099351E">
                  <w:pPr>
                    <w:pStyle w:val="TM3"/>
                    <w:numPr>
                      <w:ilvl w:val="1"/>
                      <w:numId w:val="241"/>
                    </w:numPr>
                    <w:rPr>
                      <w:szCs w:val="22"/>
                    </w:rPr>
                  </w:pPr>
                  <w:r>
                    <w:rPr>
                      <w:szCs w:val="22"/>
                    </w:rPr>
                    <w:t xml:space="preserve">Attestations délivrées par le conseiller ou le directeur de l’Aide à la Jeunesse </w:t>
                  </w:r>
                  <w:r>
                    <w:rPr>
                      <w:szCs w:val="22"/>
                    </w:rPr>
                    <w:br w:type="textWrapping" w:clear="all"/>
                    <w:t>(</w:t>
                  </w:r>
                  <w:hyperlink w:anchor="_Chapitre_1_:" w:history="1">
                    <w:r>
                      <w:rPr>
                        <w:rStyle w:val="Lienhypertexte"/>
                        <w:szCs w:val="22"/>
                      </w:rPr>
                      <w:t>chapitre 1</w:t>
                    </w:r>
                  </w:hyperlink>
                  <w:r>
                    <w:rPr>
                      <w:szCs w:val="22"/>
                    </w:rPr>
                    <w:t>)</w:t>
                  </w:r>
                </w:p>
                <w:p w:rsidR="00F04EEF" w:rsidRDefault="0099351E">
                  <w:pPr>
                    <w:pStyle w:val="TM3"/>
                    <w:numPr>
                      <w:ilvl w:val="1"/>
                      <w:numId w:val="241"/>
                    </w:numPr>
                    <w:rPr>
                      <w:szCs w:val="22"/>
                    </w:rPr>
                  </w:pPr>
                  <w:r>
                    <w:rPr>
                      <w:szCs w:val="22"/>
                    </w:rPr>
                    <w:t xml:space="preserve">Refus d’inscription ou de réinscription : attestation de demande d’inscription </w:t>
                  </w:r>
                  <w:r>
                    <w:rPr>
                      <w:szCs w:val="22"/>
                    </w:rPr>
                    <w:br w:type="textWrapping" w:clear="all"/>
                    <w:t>(</w:t>
                  </w:r>
                  <w:hyperlink w:anchor="_Chapitre_1_:" w:history="1">
                    <w:r>
                      <w:rPr>
                        <w:rStyle w:val="Lienhypertexte"/>
                        <w:szCs w:val="22"/>
                      </w:rPr>
                      <w:t>chapitre 1</w:t>
                    </w:r>
                  </w:hyperlink>
                  <w:r>
                    <w:rPr>
                      <w:szCs w:val="22"/>
                    </w:rPr>
                    <w:t>)</w:t>
                  </w:r>
                </w:p>
                <w:p w:rsidR="00F04EEF" w:rsidRDefault="0099351E">
                  <w:pPr>
                    <w:pStyle w:val="TM3"/>
                    <w:numPr>
                      <w:ilvl w:val="1"/>
                      <w:numId w:val="241"/>
                    </w:numPr>
                    <w:rPr>
                      <w:szCs w:val="22"/>
                    </w:rPr>
                  </w:pPr>
                  <w:r>
                    <w:rPr>
                      <w:szCs w:val="22"/>
                    </w:rPr>
                    <w:t>Exclusions : dossiers disciplinaires et signalement des exclusions (</w:t>
                  </w:r>
                  <w:hyperlink w:anchor="_Chapitre_1_:" w:history="1">
                    <w:r>
                      <w:rPr>
                        <w:rStyle w:val="Lienhypertexte"/>
                        <w:szCs w:val="22"/>
                      </w:rPr>
                      <w:t>chapitre 1</w:t>
                    </w:r>
                  </w:hyperlink>
                  <w:r>
                    <w:rPr>
                      <w:szCs w:val="22"/>
                    </w:rPr>
                    <w:t>)</w:t>
                  </w:r>
                </w:p>
                <w:p w:rsidR="00F04EEF" w:rsidRDefault="0099351E">
                  <w:pPr>
                    <w:pStyle w:val="Paragraphedeliste"/>
                    <w:numPr>
                      <w:ilvl w:val="1"/>
                      <w:numId w:val="241"/>
                    </w:numPr>
                    <w:rPr>
                      <w:rFonts w:ascii="Calibri" w:hAnsi="Calibri" w:cs="Calibri"/>
                      <w:sz w:val="22"/>
                      <w:szCs w:val="22"/>
                    </w:rPr>
                  </w:pPr>
                  <w:r>
                    <w:rPr>
                      <w:rFonts w:ascii="Calibri" w:hAnsi="Calibri" w:cs="Calibri"/>
                      <w:sz w:val="22"/>
                      <w:szCs w:val="22"/>
                    </w:rPr>
                    <w:t>Formulaire de changement d’école (</w:t>
                  </w:r>
                  <w:hyperlink w:anchor="_Chapitre_1_:" w:history="1">
                    <w:r>
                      <w:rPr>
                        <w:rStyle w:val="Lienhypertexte"/>
                        <w:rFonts w:ascii="Calibri" w:hAnsi="Calibri" w:cs="Calibri"/>
                        <w:szCs w:val="22"/>
                      </w:rPr>
                      <w:t>Chapitre 1</w:t>
                    </w:r>
                  </w:hyperlink>
                  <w:r>
                    <w:rPr>
                      <w:rFonts w:ascii="Calibri" w:hAnsi="Calibri" w:cs="Calibri"/>
                      <w:sz w:val="22"/>
                      <w:szCs w:val="22"/>
                    </w:rPr>
                    <w:t xml:space="preserve">) </w:t>
                  </w:r>
                </w:p>
                <w:p w:rsidR="00F04EEF" w:rsidRDefault="0099351E">
                  <w:pPr>
                    <w:pStyle w:val="Paragraphedeliste"/>
                    <w:numPr>
                      <w:ilvl w:val="1"/>
                      <w:numId w:val="241"/>
                    </w:numPr>
                    <w:pBdr>
                      <w:right w:val="single" w:sz="4" w:space="4" w:color="auto"/>
                    </w:pBdr>
                    <w:rPr>
                      <w:rFonts w:ascii="Calibri" w:hAnsi="Calibri" w:cs="Calibri"/>
                      <w:sz w:val="22"/>
                      <w:szCs w:val="22"/>
                    </w:rPr>
                  </w:pPr>
                  <w:r>
                    <w:rPr>
                      <w:rFonts w:ascii="Calibri" w:hAnsi="Calibri" w:cs="Calibri"/>
                      <w:sz w:val="22"/>
                      <w:szCs w:val="22"/>
                    </w:rPr>
                    <w:t>Convention de scolarité à temps partiel (voir ci-dessous point 1.4.6).</w:t>
                  </w:r>
                </w:p>
                <w:p w:rsidR="00F04EEF" w:rsidRDefault="0099351E">
                  <w:pPr>
                    <w:pStyle w:val="Paragraphedeliste"/>
                    <w:numPr>
                      <w:ilvl w:val="1"/>
                      <w:numId w:val="241"/>
                    </w:numPr>
                    <w:pBdr>
                      <w:right w:val="single" w:sz="4" w:space="4" w:color="auto"/>
                    </w:pBdr>
                    <w:rPr>
                      <w:rFonts w:ascii="Calibri" w:hAnsi="Calibri" w:cs="Calibri"/>
                      <w:sz w:val="22"/>
                      <w:szCs w:val="22"/>
                    </w:rPr>
                  </w:pPr>
                  <w:r>
                    <w:rPr>
                      <w:rFonts w:ascii="Calibri" w:hAnsi="Calibri" w:cs="Calibri"/>
                      <w:sz w:val="22"/>
                      <w:szCs w:val="22"/>
                    </w:rPr>
                    <w:t>L’attestation de fréquentation de l’école d’origine</w:t>
                  </w:r>
                  <w:r>
                    <w:rPr>
                      <w:rStyle w:val="Appelnotedebasdep"/>
                      <w:rFonts w:ascii="Calibri" w:hAnsi="Calibri"/>
                      <w:sz w:val="22"/>
                      <w:szCs w:val="22"/>
                    </w:rPr>
                    <w:footnoteReference w:id="161"/>
                  </w:r>
                  <w:r>
                    <w:rPr>
                      <w:rFonts w:ascii="Calibri" w:hAnsi="Calibri" w:cs="Calibri"/>
                      <w:sz w:val="22"/>
                      <w:szCs w:val="22"/>
                    </w:rPr>
                    <w:t xml:space="preserve">  </w:t>
                  </w:r>
                  <w:r>
                    <w:rPr>
                      <w:rStyle w:val="Appelnotedebasdep"/>
                      <w:rFonts w:ascii="Calibri" w:hAnsi="Calibri"/>
                      <w:sz w:val="22"/>
                      <w:szCs w:val="22"/>
                    </w:rPr>
                    <w:footnoteReference w:id="162"/>
                  </w:r>
                  <w:r>
                    <w:rPr>
                      <w:rFonts w:ascii="Calibri" w:hAnsi="Calibri" w:cs="Calibri"/>
                      <w:sz w:val="22"/>
                      <w:szCs w:val="22"/>
                    </w:rPr>
                    <w:t xml:space="preserve">  </w:t>
                  </w:r>
                  <w:r>
                    <w:rPr>
                      <w:rStyle w:val="Appelnotedebasdep"/>
                      <w:rFonts w:ascii="Calibri" w:hAnsi="Calibri"/>
                      <w:sz w:val="22"/>
                      <w:szCs w:val="22"/>
                    </w:rPr>
                    <w:footnoteReference w:id="163"/>
                  </w:r>
                  <w:r>
                    <w:rPr>
                      <w:rFonts w:ascii="Calibri" w:hAnsi="Calibri" w:cs="Calibri"/>
                      <w:sz w:val="22"/>
                      <w:szCs w:val="22"/>
                    </w:rPr>
                    <w:t>.</w:t>
                  </w:r>
                </w:p>
                <w:p w:rsidR="00F04EEF" w:rsidRDefault="0099351E">
                  <w:pPr>
                    <w:pStyle w:val="Paragraphedeliste"/>
                    <w:numPr>
                      <w:ilvl w:val="1"/>
                      <w:numId w:val="241"/>
                    </w:numPr>
                    <w:pBdr>
                      <w:right w:val="single" w:sz="4" w:space="4" w:color="auto"/>
                    </w:pBdr>
                    <w:rPr>
                      <w:rFonts w:ascii="Calibri" w:hAnsi="Calibri" w:cs="Calibri"/>
                      <w:sz w:val="22"/>
                      <w:szCs w:val="22"/>
                    </w:rPr>
                  </w:pPr>
                  <w:r>
                    <w:rPr>
                      <w:rFonts w:ascii="Calibri" w:hAnsi="Calibri" w:cs="Calibri"/>
                      <w:sz w:val="22"/>
                      <w:szCs w:val="22"/>
                    </w:rPr>
                    <w:t>Attestation d’obtention ou de non obtention du CEB dans le cas où l’élève était orienté dans l’enseignement de type 8 en primaire.</w:t>
                  </w:r>
                </w:p>
                <w:p w:rsidR="00F04EEF" w:rsidRDefault="0099351E">
                  <w:pPr>
                    <w:pStyle w:val="Paragraphedeliste"/>
                    <w:numPr>
                      <w:ilvl w:val="1"/>
                      <w:numId w:val="241"/>
                    </w:numPr>
                    <w:pBdr>
                      <w:right w:val="single" w:sz="4" w:space="4" w:color="auto"/>
                    </w:pBdr>
                    <w:rPr>
                      <w:rFonts w:ascii="Calibri" w:hAnsi="Calibri" w:cs="Calibri"/>
                      <w:sz w:val="22"/>
                      <w:szCs w:val="22"/>
                    </w:rPr>
                  </w:pPr>
                  <w:r>
                    <w:rPr>
                      <w:rFonts w:ascii="Calibri" w:hAnsi="Calibri" w:cs="Calibri"/>
                      <w:sz w:val="22"/>
                      <w:szCs w:val="22"/>
                    </w:rPr>
                    <w:t xml:space="preserve"> Conventions passées dans le cadre de l’alternance (chapitre 28).</w:t>
                  </w:r>
                </w:p>
                <w:p w:rsidR="00F04EEF" w:rsidRDefault="0099351E">
                  <w:pPr>
                    <w:pStyle w:val="Paragraphedeliste"/>
                    <w:numPr>
                      <w:ilvl w:val="1"/>
                      <w:numId w:val="241"/>
                    </w:numPr>
                    <w:pBdr>
                      <w:right w:val="single" w:sz="4" w:space="4" w:color="auto"/>
                    </w:pBdr>
                    <w:rPr>
                      <w:rFonts w:ascii="Calibri" w:hAnsi="Calibri" w:cs="Calibri"/>
                      <w:sz w:val="22"/>
                      <w:szCs w:val="22"/>
                    </w:rPr>
                  </w:pPr>
                  <w:r>
                    <w:rPr>
                      <w:rFonts w:ascii="Calibri" w:hAnsi="Calibri" w:cs="Calibri"/>
                      <w:sz w:val="22"/>
                      <w:szCs w:val="22"/>
                    </w:rPr>
                    <w:t>Conventions de stage (chapitre 29).</w:t>
                  </w:r>
                </w:p>
                <w:p w:rsidR="00F04EEF" w:rsidRDefault="00F04EEF">
                  <w:pPr>
                    <w:pStyle w:val="Paragraphedeliste"/>
                    <w:pBdr>
                      <w:right w:val="single" w:sz="4" w:space="4" w:color="auto"/>
                    </w:pBdr>
                    <w:rPr>
                      <w:rFonts w:ascii="Calibri" w:hAnsi="Calibri" w:cs="Calibri"/>
                      <w:sz w:val="22"/>
                      <w:szCs w:val="22"/>
                      <w:highlight w:val="cyan"/>
                    </w:rPr>
                  </w:pPr>
                </w:p>
                <w:p w:rsidR="00F04EEF" w:rsidRDefault="0099351E">
                  <w:pPr>
                    <w:pStyle w:val="TM3"/>
                    <w:numPr>
                      <w:ilvl w:val="0"/>
                      <w:numId w:val="241"/>
                    </w:numPr>
                    <w:rPr>
                      <w:szCs w:val="22"/>
                    </w:rPr>
                  </w:pPr>
                  <w:r>
                    <w:rPr>
                      <w:noProof/>
                      <w:lang w:eastAsia="fr-BE"/>
                    </w:rPr>
                    <mc:AlternateContent>
                      <mc:Choice Requires="wps">
                        <w:drawing>
                          <wp:anchor distT="0" distB="0" distL="114300" distR="114300" simplePos="0" relativeHeight="252260352" behindDoc="0" locked="0" layoutInCell="1" allowOverlap="1">
                            <wp:simplePos x="0" y="0"/>
                            <wp:positionH relativeFrom="column">
                              <wp:posOffset>6024245</wp:posOffset>
                            </wp:positionH>
                            <wp:positionV relativeFrom="paragraph">
                              <wp:posOffset>3905885</wp:posOffset>
                            </wp:positionV>
                            <wp:extent cx="0" cy="685800"/>
                            <wp:effectExtent l="0" t="0" r="19050" b="19050"/>
                            <wp:wrapNone/>
                            <wp:docPr id="547" name="Connecteur droit 547"/>
                            <wp:cNvGraphicFramePr/>
                            <a:graphic xmlns:a="http://schemas.openxmlformats.org/drawingml/2006/main">
                              <a:graphicData uri="http://schemas.microsoft.com/office/word/2010/wordprocessingShape">
                                <wps:wsp>
                                  <wps:cNvCnPr/>
                                  <wps:spPr>
                                    <a:xfrm>
                                      <a:off x="0" y="0"/>
                                      <a:ext cx="0" cy="685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62FE9DF" id="Connecteur droit 547" o:spid="_x0000_s1026" style="position:absolute;z-index:252260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74.35pt,307.55pt" to="474.35pt,36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" strokecolor="black [3213]"/>
                        </w:pict>
                      </mc:Fallback>
                    </mc:AlternateContent>
                  </w:r>
                  <w:r>
                    <w:rPr>
                      <w:szCs w:val="22"/>
                    </w:rPr>
                    <w:br w:type="page"/>
                    <w:t>Pour les internats, homes d'accueil et homes d’accueil permanent (voir ci-dessous point 1.7.):</w:t>
                  </w:r>
                </w:p>
                <w:p w:rsidR="00F04EEF" w:rsidRDefault="0099351E">
                  <w:pPr>
                    <w:pStyle w:val="TM3"/>
                    <w:numPr>
                      <w:ilvl w:val="1"/>
                      <w:numId w:val="241"/>
                    </w:numPr>
                    <w:rPr>
                      <w:szCs w:val="22"/>
                    </w:rPr>
                  </w:pPr>
                  <w:r>
                    <w:rPr>
                      <w:szCs w:val="22"/>
                    </w:rPr>
                    <w:t>Le dossier administratif individuel comprenant la fiche d’inscription, une copie de l’attestation CPMS, une attestation de fréquentation de l’année scolaire en cours de l’établissement d’enseignement.</w:t>
                  </w:r>
                </w:p>
                <w:p w:rsidR="00F04EEF" w:rsidRDefault="0099351E">
                  <w:pPr>
                    <w:pStyle w:val="TM3"/>
                    <w:numPr>
                      <w:ilvl w:val="1"/>
                      <w:numId w:val="241"/>
                    </w:numPr>
                    <w:rPr>
                      <w:szCs w:val="22"/>
                    </w:rPr>
                  </w:pPr>
                  <w:r>
                    <w:rPr>
                      <w:szCs w:val="22"/>
                    </w:rPr>
                    <w:t>Le registre de présences</w:t>
                  </w:r>
                </w:p>
                <w:p w:rsidR="00F04EEF" w:rsidRDefault="0099351E">
                  <w:pPr>
                    <w:numPr>
                      <w:ilvl w:val="0"/>
                      <w:numId w:val="241"/>
                    </w:numPr>
                    <w:jc w:val="both"/>
                  </w:pPr>
                  <w:r>
                    <w:t>Dossier de l’élève en enseignement de type 5 (</w:t>
                  </w:r>
                  <w:hyperlink w:anchor="_chapitre_12_:" w:history="1">
                    <w:r>
                      <w:rPr>
                        <w:rStyle w:val="Lienhypertexte"/>
                        <w:rFonts w:cs="Arial"/>
                      </w:rPr>
                      <w:t>chapitre 12</w:t>
                    </w:r>
                  </w:hyperlink>
                  <w:r>
                    <w:t>)</w:t>
                  </w:r>
                </w:p>
                <w:p w:rsidR="00F04EEF" w:rsidRDefault="0099351E">
                  <w:pPr>
                    <w:numPr>
                      <w:ilvl w:val="0"/>
                      <w:numId w:val="241"/>
                    </w:numPr>
                    <w:suppressAutoHyphens/>
                    <w:jc w:val="both"/>
                  </w:pPr>
                  <w:r>
                    <w:t>Tableau comportant le nom des élèves de nationalité étrangère (hors UE) qui ne font pas l’objet d’une exemption du paiement du droit d’inscription spécifique</w:t>
                  </w:r>
                  <w:r>
                    <w:rPr>
                      <w:rStyle w:val="Appelnotedebasdep"/>
                    </w:rPr>
                    <w:footnoteReference w:id="164"/>
                  </w:r>
                  <w:r>
                    <w:t>(chapitre 15)</w:t>
                  </w:r>
                </w:p>
                <w:p w:rsidR="00F04EEF" w:rsidRDefault="00F04EEF"/>
                <w:p w:rsidR="00F04EEF" w:rsidRDefault="0099351E">
                  <w:pPr>
                    <w:pBdr>
                      <w:right w:val="single" w:sz="4" w:space="1" w:color="auto"/>
                    </w:pBdr>
                    <w:jc w:val="both"/>
                  </w:pPr>
                  <w:r>
                    <w:t>Lors de l’inscription, le directeur d’école doit réclamer une copie d’un document officiel qui va permettre de compléter les champs suivants :</w:t>
                  </w:r>
                </w:p>
                <w:p w:rsidR="00F04EEF" w:rsidRDefault="00F04EEF">
                  <w:pPr>
                    <w:pBdr>
                      <w:right w:val="single" w:sz="4" w:space="1" w:color="auto"/>
                    </w:pBdr>
                  </w:pPr>
                </w:p>
                <w:p w:rsidR="00F04EEF" w:rsidRDefault="0099351E">
                  <w:pPr>
                    <w:numPr>
                      <w:ilvl w:val="0"/>
                      <w:numId w:val="64"/>
                    </w:numPr>
                    <w:pBdr>
                      <w:right w:val="single" w:sz="4" w:space="1" w:color="auto"/>
                    </w:pBdr>
                    <w:suppressAutoHyphens/>
                    <w:ind w:left="927" w:right="-2"/>
                    <w:jc w:val="both"/>
                  </w:pPr>
                  <w:r>
                    <w:t>le nom de l’élève ;</w:t>
                  </w:r>
                </w:p>
                <w:p w:rsidR="00F04EEF" w:rsidRDefault="0099351E">
                  <w:pPr>
                    <w:numPr>
                      <w:ilvl w:val="0"/>
                      <w:numId w:val="64"/>
                    </w:numPr>
                    <w:pBdr>
                      <w:right w:val="single" w:sz="4" w:space="1" w:color="auto"/>
                    </w:pBdr>
                    <w:suppressAutoHyphens/>
                    <w:ind w:left="927" w:right="-2"/>
                    <w:jc w:val="both"/>
                  </w:pPr>
                  <w:r>
                    <w:t>le prénom de l’élève ;</w:t>
                  </w:r>
                </w:p>
                <w:p w:rsidR="00F04EEF" w:rsidRDefault="0099351E">
                  <w:pPr>
                    <w:numPr>
                      <w:ilvl w:val="0"/>
                      <w:numId w:val="64"/>
                    </w:numPr>
                    <w:pBdr>
                      <w:right w:val="single" w:sz="4" w:space="1" w:color="auto"/>
                    </w:pBdr>
                    <w:suppressAutoHyphens/>
                    <w:ind w:left="927" w:right="-2"/>
                    <w:jc w:val="both"/>
                  </w:pPr>
                  <w:r>
                    <w:t>la date de naissance ou le numéro de registre national de l’élève.</w:t>
                  </w:r>
                </w:p>
                <w:p w:rsidR="00F04EEF" w:rsidRDefault="00F04EEF">
                  <w:pPr>
                    <w:pBdr>
                      <w:right w:val="single" w:sz="4" w:space="1" w:color="auto"/>
                    </w:pBdr>
                    <w:ind w:right="-2"/>
                    <w:jc w:val="both"/>
                  </w:pPr>
                </w:p>
                <w:p w:rsidR="00F04EEF" w:rsidRDefault="0099351E">
                  <w:pPr>
                    <w:pBdr>
                      <w:right w:val="single" w:sz="4" w:space="1" w:color="auto"/>
                    </w:pBdr>
                    <w:ind w:right="-2"/>
                    <w:jc w:val="both"/>
                  </w:pPr>
                  <w:r>
                    <w:t>Ces documents officiels feront l’objet d’un contrôle du vérificateur.</w:t>
                  </w:r>
                </w:p>
                <w:p w:rsidR="00F04EEF" w:rsidRDefault="00F04EEF">
                  <w:pPr>
                    <w:pBdr>
                      <w:right w:val="single" w:sz="4" w:space="1" w:color="auto"/>
                    </w:pBdr>
                    <w:ind w:right="-2"/>
                    <w:jc w:val="both"/>
                  </w:pPr>
                </w:p>
                <w:p w:rsidR="00F04EEF" w:rsidRDefault="0099351E">
                  <w:pPr>
                    <w:pBdr>
                      <w:right w:val="single" w:sz="4" w:space="1" w:color="auto"/>
                    </w:pBdr>
                    <w:ind w:right="-2"/>
                    <w:jc w:val="both"/>
                  </w:pPr>
                  <w:r>
                    <w:t>Par document officiel, il faut entendre tout écrit produit par une autorité officielle belge ou étrangère qui atteste de l’identité exacte et complète de l’élève ainsi que de sa date de naissance.</w:t>
                  </w:r>
                </w:p>
                <w:p w:rsidR="00F04EEF" w:rsidRDefault="00F04EEF">
                  <w:pPr>
                    <w:pBdr>
                      <w:right w:val="single" w:sz="4" w:space="1" w:color="auto"/>
                    </w:pBdr>
                    <w:ind w:right="-2"/>
                    <w:jc w:val="both"/>
                  </w:pPr>
                </w:p>
                <w:p w:rsidR="00F04EEF" w:rsidRDefault="0099351E">
                  <w:pPr>
                    <w:pBdr>
                      <w:right w:val="single" w:sz="4" w:space="1" w:color="auto"/>
                    </w:pBdr>
                    <w:ind w:right="-2"/>
                    <w:jc w:val="both"/>
                  </w:pPr>
                  <w:r>
                    <w:t>A titre d’exemples:</w:t>
                  </w:r>
                </w:p>
                <w:p w:rsidR="00F04EEF" w:rsidRDefault="00F04EEF">
                  <w:pPr>
                    <w:pBdr>
                      <w:right w:val="single" w:sz="4" w:space="1" w:color="auto"/>
                    </w:pBdr>
                    <w:ind w:right="-2"/>
                    <w:jc w:val="both"/>
                  </w:pPr>
                </w:p>
                <w:p w:rsidR="00F04EEF" w:rsidRDefault="0099351E">
                  <w:pPr>
                    <w:numPr>
                      <w:ilvl w:val="0"/>
                      <w:numId w:val="65"/>
                    </w:numPr>
                    <w:pBdr>
                      <w:right w:val="single" w:sz="4" w:space="1" w:color="auto"/>
                    </w:pBdr>
                    <w:suppressAutoHyphens/>
                    <w:ind w:left="927" w:right="-2"/>
                    <w:jc w:val="both"/>
                  </w:pPr>
                  <w:r>
                    <w:t>une carte d'identité belge ou étrangère ;</w:t>
                  </w:r>
                </w:p>
                <w:p w:rsidR="00F04EEF" w:rsidRDefault="0099351E">
                  <w:pPr>
                    <w:numPr>
                      <w:ilvl w:val="0"/>
                      <w:numId w:val="65"/>
                    </w:numPr>
                    <w:pBdr>
                      <w:right w:val="single" w:sz="4" w:space="1" w:color="auto"/>
                    </w:pBdr>
                    <w:suppressAutoHyphens/>
                    <w:ind w:left="927" w:right="-2"/>
                    <w:jc w:val="both"/>
                  </w:pPr>
                  <w:r>
                    <w:t>une petite carte d’identité blanche (en Belgique) ;</w:t>
                  </w:r>
                </w:p>
                <w:p w:rsidR="00F04EEF" w:rsidRDefault="0099351E">
                  <w:pPr>
                    <w:numPr>
                      <w:ilvl w:val="0"/>
                      <w:numId w:val="65"/>
                    </w:numPr>
                    <w:pBdr>
                      <w:right w:val="single" w:sz="4" w:space="1" w:color="auto"/>
                    </w:pBdr>
                    <w:suppressAutoHyphens/>
                    <w:ind w:left="927"/>
                    <w:jc w:val="both"/>
                  </w:pPr>
                  <w:r>
                    <w:t>un passeport des parents avec le nom des enfants ;</w:t>
                  </w:r>
                </w:p>
                <w:p w:rsidR="00F04EEF" w:rsidRDefault="0099351E">
                  <w:pPr>
                    <w:numPr>
                      <w:ilvl w:val="0"/>
                      <w:numId w:val="65"/>
                    </w:numPr>
                    <w:pBdr>
                      <w:right w:val="single" w:sz="4" w:space="1" w:color="auto"/>
                    </w:pBdr>
                    <w:suppressAutoHyphens/>
                    <w:ind w:left="927"/>
                    <w:jc w:val="both"/>
                  </w:pPr>
                  <w:r>
                    <w:t>un extrait d’acte de naissance ;</w:t>
                  </w:r>
                </w:p>
                <w:p w:rsidR="00F04EEF" w:rsidRDefault="0099351E">
                  <w:pPr>
                    <w:numPr>
                      <w:ilvl w:val="0"/>
                      <w:numId w:val="65"/>
                    </w:numPr>
                    <w:pBdr>
                      <w:right w:val="single" w:sz="4" w:space="1" w:color="auto"/>
                    </w:pBdr>
                    <w:suppressAutoHyphens/>
                    <w:ind w:left="927"/>
                    <w:jc w:val="both"/>
                  </w:pPr>
                  <w:r>
                    <w:t>une composition de ménage ;</w:t>
                  </w:r>
                </w:p>
                <w:p w:rsidR="00F04EEF" w:rsidRDefault="0099351E">
                  <w:pPr>
                    <w:numPr>
                      <w:ilvl w:val="0"/>
                      <w:numId w:val="65"/>
                    </w:numPr>
                    <w:pBdr>
                      <w:right w:val="single" w:sz="4" w:space="1" w:color="auto"/>
                    </w:pBdr>
                    <w:suppressAutoHyphens/>
                    <w:ind w:left="927"/>
                    <w:jc w:val="both"/>
                  </w:pPr>
                  <w:r>
                    <w:t>un document officiel d'identité faisant apparaître que les parents font partie du personnel d'ambassade, de l'OTAN ou du SHAPE ;</w:t>
                  </w:r>
                </w:p>
                <w:p w:rsidR="00F04EEF" w:rsidRDefault="0099351E">
                  <w:pPr>
                    <w:numPr>
                      <w:ilvl w:val="0"/>
                      <w:numId w:val="65"/>
                    </w:numPr>
                    <w:pBdr>
                      <w:right w:val="single" w:sz="4" w:space="1" w:color="auto"/>
                    </w:pBdr>
                    <w:suppressAutoHyphens/>
                    <w:ind w:left="927"/>
                    <w:jc w:val="both"/>
                  </w:pPr>
                  <w:r>
                    <w:t>une attestation officielle ou annexe émanant du Ministère de l’intérieur ou du Commissariat général aux réfugiés et aux apatrides.</w:t>
                  </w:r>
                </w:p>
                <w:p w:rsidR="00F04EEF" w:rsidRDefault="00F04EEF">
                  <w:pPr>
                    <w:pBdr>
                      <w:right w:val="single" w:sz="4" w:space="1" w:color="auto"/>
                    </w:pBdr>
                    <w:suppressAutoHyphens/>
                    <w:ind w:left="927"/>
                    <w:jc w:val="both"/>
                  </w:pPr>
                </w:p>
                <w:p w:rsidR="00F04EEF" w:rsidRDefault="00F04EEF">
                  <w:pPr>
                    <w:pBdr>
                      <w:right w:val="single" w:sz="4" w:space="1" w:color="auto"/>
                    </w:pBdr>
                    <w:suppressAutoHyphens/>
                    <w:ind w:left="927"/>
                    <w:jc w:val="both"/>
                  </w:pPr>
                </w:p>
                <w:p w:rsidR="00F04EEF" w:rsidRDefault="0099351E">
                  <w:pPr>
                    <w:pStyle w:val="Titre4"/>
                  </w:pPr>
                  <w:bookmarkStart w:id="3424" w:name="_1.4.1._Fiche_individuelle"/>
                  <w:bookmarkStart w:id="3425" w:name="_Toc291075434"/>
                  <w:bookmarkStart w:id="3426" w:name="_Toc291075858"/>
                  <w:bookmarkStart w:id="3427" w:name="_Toc291076282"/>
                  <w:bookmarkStart w:id="3428" w:name="_Toc291076706"/>
                  <w:bookmarkStart w:id="3429" w:name="_Toc291077130"/>
                  <w:bookmarkStart w:id="3430" w:name="_Toc293651973"/>
                  <w:bookmarkStart w:id="3431" w:name="_Toc293653556"/>
                  <w:bookmarkStart w:id="3432" w:name="_Toc293654167"/>
                  <w:bookmarkStart w:id="3433" w:name="_Toc294004747"/>
                  <w:bookmarkStart w:id="3434" w:name="_Toc294185243"/>
                  <w:bookmarkStart w:id="3435" w:name="_Toc324166073"/>
                  <w:bookmarkStart w:id="3436" w:name="_Toc324767109"/>
                  <w:bookmarkStart w:id="3437" w:name="_Toc324767967"/>
                  <w:bookmarkStart w:id="3438" w:name="_Toc453314499"/>
                  <w:bookmarkStart w:id="3439" w:name="_Toc454980534"/>
                  <w:bookmarkEnd w:id="3424"/>
                  <w:r>
                    <w:t>1.4.1. Fiche individuelle d'inscription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rsidR="00F04EEF" w:rsidRDefault="00F04EEF">
                  <w:pPr>
                    <w:pBdr>
                      <w:right w:val="single" w:sz="4" w:space="1" w:color="auto"/>
                    </w:pBdr>
                    <w:jc w:val="both"/>
                  </w:pPr>
                </w:p>
                <w:p w:rsidR="00F04EEF" w:rsidRDefault="0099351E">
                  <w:pPr>
                    <w:pBdr>
                      <w:right w:val="single" w:sz="4" w:space="1" w:color="auto"/>
                    </w:pBdr>
                    <w:jc w:val="both"/>
                  </w:pPr>
                  <w:r>
                    <w:t>Les fiches doivent être classées alphabétiquement par section, groupe/finalité, métier et année d'études au niveau secondaire.</w:t>
                  </w:r>
                </w:p>
                <w:p w:rsidR="00F04EEF" w:rsidRDefault="00F04EEF">
                  <w:pPr>
                    <w:pBdr>
                      <w:right w:val="single" w:sz="4" w:space="1" w:color="auto"/>
                    </w:pBdr>
                    <w:jc w:val="both"/>
                  </w:pPr>
                </w:p>
                <w:p w:rsidR="00F04EEF" w:rsidRDefault="0099351E">
                  <w:pPr>
                    <w:pBdr>
                      <w:right w:val="single" w:sz="4" w:space="1" w:color="auto"/>
                    </w:pBdr>
                    <w:jc w:val="both"/>
                  </w:pPr>
                  <w:r>
                    <w:t>Les fiches des élèves entrés après le 30</w:t>
                  </w:r>
                  <w:r>
                    <w:rPr>
                      <w:vertAlign w:val="superscript"/>
                    </w:rPr>
                    <w:t xml:space="preserve">ème </w:t>
                  </w:r>
                  <w:r>
                    <w:t>jour le seront dans l'ordre chronologique de leur arrivée.</w:t>
                  </w:r>
                </w:p>
                <w:p w:rsidR="00F04EEF" w:rsidRDefault="00F04EEF">
                  <w:pPr>
                    <w:pBdr>
                      <w:right w:val="single" w:sz="4" w:space="1" w:color="auto"/>
                    </w:pBdr>
                    <w:jc w:val="both"/>
                  </w:pPr>
                </w:p>
                <w:p w:rsidR="00F04EEF" w:rsidRDefault="0099351E">
                  <w:pPr>
                    <w:pBdr>
                      <w:right w:val="single" w:sz="4" w:space="1" w:color="auto"/>
                    </w:pBdr>
                    <w:jc w:val="both"/>
                  </w:pPr>
                  <w:r>
                    <w:t>Remarque : Les dossiers individuels des élèves sont classés dans le même ordre que les fiches.</w:t>
                  </w:r>
                </w:p>
                <w:p w:rsidR="00F04EEF" w:rsidRDefault="00F04EEF">
                  <w:pPr>
                    <w:pBdr>
                      <w:right w:val="single" w:sz="4" w:space="1" w:color="auto"/>
                    </w:pBdr>
                    <w:jc w:val="both"/>
                    <w:rPr>
                      <w:highlight w:val="cyan"/>
                    </w:rPr>
                  </w:pPr>
                </w:p>
                <w:p w:rsidR="00F04EEF" w:rsidRDefault="00F04EEF">
                  <w:pPr>
                    <w:pBdr>
                      <w:right w:val="single" w:sz="4" w:space="1" w:color="auto"/>
                    </w:pBdr>
                    <w:jc w:val="both"/>
                    <w:rPr>
                      <w:highlight w:val="cyan"/>
                    </w:rPr>
                  </w:pPr>
                </w:p>
                <w:p w:rsidR="00F04EEF" w:rsidRDefault="0099351E">
                  <w:pPr>
                    <w:pStyle w:val="Titre4"/>
                    <w:rPr>
                      <w:rStyle w:val="CarCar5"/>
                      <w:rFonts w:ascii="Calibri Light" w:hAnsi="Calibri Light"/>
                      <w:b/>
                      <w:lang w:eastAsia="en-US"/>
                    </w:rPr>
                  </w:pPr>
                  <w:bookmarkStart w:id="3440" w:name="_3.2._Registres_de"/>
                  <w:bookmarkStart w:id="3441" w:name="_1.4.2._Registres_de"/>
                  <w:bookmarkStart w:id="3442" w:name="_Toc291075435"/>
                  <w:bookmarkStart w:id="3443" w:name="_Toc291075859"/>
                  <w:bookmarkStart w:id="3444" w:name="_Toc291076283"/>
                  <w:bookmarkStart w:id="3445" w:name="_Toc291076707"/>
                  <w:bookmarkStart w:id="3446" w:name="_Toc291077131"/>
                  <w:bookmarkStart w:id="3447" w:name="_Toc293651974"/>
                  <w:bookmarkStart w:id="3448" w:name="_Toc293653557"/>
                  <w:bookmarkStart w:id="3449" w:name="_Toc293654168"/>
                  <w:bookmarkStart w:id="3450" w:name="_Toc294004748"/>
                  <w:bookmarkStart w:id="3451" w:name="_Toc294185244"/>
                  <w:bookmarkStart w:id="3452" w:name="_Toc324166074"/>
                  <w:bookmarkStart w:id="3453" w:name="_Toc324767110"/>
                  <w:bookmarkStart w:id="3454" w:name="_Toc324767968"/>
                  <w:bookmarkStart w:id="3455" w:name="_Toc453314500"/>
                  <w:bookmarkStart w:id="3456" w:name="_Toc454980535"/>
                  <w:bookmarkEnd w:id="3440"/>
                  <w:bookmarkEnd w:id="3441"/>
                  <w:r>
                    <w:rPr>
                      <w:highlight w:val="cyan"/>
                    </w:rPr>
                    <w:br w:type="page"/>
                  </w:r>
                  <w:r>
                    <w:t>1.4</w:t>
                  </w:r>
                  <w:r>
                    <w:rPr>
                      <w:rStyle w:val="CarCar5"/>
                      <w:rFonts w:ascii="Calibri Light" w:hAnsi="Calibri Light"/>
                      <w:b/>
                      <w:lang w:eastAsia="en-US"/>
                    </w:rPr>
                    <w:t>.2. Registres de présences des élèves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rsidR="00F04EEF" w:rsidRDefault="00F04EEF">
                  <w:pPr>
                    <w:pBdr>
                      <w:right w:val="single" w:sz="4" w:space="1" w:color="auto"/>
                    </w:pBdr>
                    <w:tabs>
                      <w:tab w:val="left" w:pos="1031"/>
                      <w:tab w:val="left" w:pos="1292"/>
                      <w:tab w:val="left" w:pos="1440"/>
                    </w:tabs>
                    <w:jc w:val="both"/>
                    <w:rPr>
                      <w:b/>
                    </w:rPr>
                  </w:pPr>
                </w:p>
                <w:p w:rsidR="00F04EEF" w:rsidRDefault="0099351E">
                  <w:pPr>
                    <w:pBdr>
                      <w:right w:val="single" w:sz="4" w:space="1" w:color="auto"/>
                    </w:pBdr>
                    <w:jc w:val="both"/>
                  </w:pPr>
                  <w:r>
                    <w:t>Les registres de présences sont tenus dans le même ordre que ci-dessus.</w:t>
                  </w:r>
                </w:p>
                <w:p w:rsidR="00F04EEF" w:rsidRDefault="00F04EEF">
                  <w:pPr>
                    <w:pBdr>
                      <w:right w:val="single" w:sz="4" w:space="1" w:color="auto"/>
                    </w:pBdr>
                    <w:jc w:val="both"/>
                  </w:pPr>
                </w:p>
                <w:p w:rsidR="00F04EEF" w:rsidRDefault="0099351E">
                  <w:pPr>
                    <w:pBdr>
                      <w:right w:val="single" w:sz="4" w:space="1" w:color="auto"/>
                    </w:pBdr>
                    <w:jc w:val="both"/>
                  </w:pPr>
                  <w:r>
                    <w:t xml:space="preserve">A chaque début de mois, il est possible de reprendre les élèves suivant l'ordre alphabétique général.  </w:t>
                  </w:r>
                </w:p>
                <w:p w:rsidR="00F04EEF" w:rsidRDefault="0099351E">
                  <w:pPr>
                    <w:pBdr>
                      <w:right w:val="single" w:sz="4" w:space="1" w:color="auto"/>
                    </w:pBdr>
                    <w:jc w:val="both"/>
                  </w:pPr>
                  <w:r>
                    <w:t>Dans ce cas, les fiches et les dossiers élèves respectent le même ordre.</w:t>
                  </w:r>
                </w:p>
                <w:p w:rsidR="00F04EEF" w:rsidRDefault="00F04EEF">
                  <w:pPr>
                    <w:pBdr>
                      <w:right w:val="single" w:sz="4" w:space="1" w:color="auto"/>
                    </w:pBdr>
                    <w:jc w:val="both"/>
                  </w:pPr>
                </w:p>
                <w:p w:rsidR="00F04EEF" w:rsidRDefault="0099351E">
                  <w:pPr>
                    <w:pBdr>
                      <w:right w:val="single" w:sz="4" w:space="1" w:color="auto"/>
                    </w:pBdr>
                    <w:jc w:val="both"/>
                  </w:pPr>
                  <w:r>
                    <w:t>Les registres doivent être complétés tous les jours lors de la première heure de cours du matin et de l'après-midi.</w:t>
                  </w:r>
                </w:p>
                <w:p w:rsidR="00F04EEF" w:rsidRDefault="00F04EEF">
                  <w:pPr>
                    <w:pBdr>
                      <w:right w:val="single" w:sz="4" w:space="1" w:color="auto"/>
                    </w:pBdr>
                    <w:jc w:val="both"/>
                  </w:pPr>
                </w:p>
                <w:p w:rsidR="00F04EEF" w:rsidRDefault="0099351E">
                  <w:pPr>
                    <w:pBdr>
                      <w:right w:val="single" w:sz="4" w:space="1" w:color="auto"/>
                    </w:pBdr>
                    <w:jc w:val="both"/>
                  </w:pPr>
                  <w:r>
                    <w:t>Les élèves absents sont signalés par la lettre "a" affectée le cas échéant :</w:t>
                  </w:r>
                </w:p>
                <w:p w:rsidR="00F04EEF" w:rsidRDefault="00F04EEF">
                  <w:pPr>
                    <w:pBdr>
                      <w:right w:val="single" w:sz="4" w:space="1" w:color="auto"/>
                    </w:pBdr>
                    <w:jc w:val="both"/>
                  </w:pPr>
                </w:p>
                <w:p w:rsidR="00F04EEF" w:rsidRDefault="0099351E">
                  <w:pPr>
                    <w:numPr>
                      <w:ilvl w:val="0"/>
                      <w:numId w:val="4"/>
                    </w:numPr>
                    <w:pBdr>
                      <w:right w:val="single" w:sz="4" w:space="1" w:color="auto"/>
                    </w:pBdr>
                    <w:tabs>
                      <w:tab w:val="clear" w:pos="357"/>
                      <w:tab w:val="num" w:pos="900"/>
                    </w:tabs>
                    <w:suppressAutoHyphens/>
                    <w:ind w:left="0" w:firstLine="0"/>
                    <w:jc w:val="both"/>
                  </w:pPr>
                  <w:r>
                    <w:t>de l'exposant "r", lorsque l'élève est en retard ;</w:t>
                  </w:r>
                </w:p>
                <w:p w:rsidR="00F04EEF" w:rsidRDefault="0099351E">
                  <w:pPr>
                    <w:numPr>
                      <w:ilvl w:val="0"/>
                      <w:numId w:val="4"/>
                    </w:numPr>
                    <w:pBdr>
                      <w:right w:val="single" w:sz="4" w:space="1" w:color="auto"/>
                    </w:pBdr>
                    <w:tabs>
                      <w:tab w:val="clear" w:pos="357"/>
                      <w:tab w:val="num" w:pos="900"/>
                    </w:tabs>
                    <w:suppressAutoHyphens/>
                    <w:ind w:left="0" w:firstLine="0"/>
                    <w:jc w:val="both"/>
                  </w:pPr>
                  <w:r>
                    <w:t>de l'exposant "e", dès que l'absence est excusée ;</w:t>
                  </w:r>
                </w:p>
                <w:p w:rsidR="00F04EEF" w:rsidRDefault="0099351E">
                  <w:pPr>
                    <w:numPr>
                      <w:ilvl w:val="0"/>
                      <w:numId w:val="4"/>
                    </w:numPr>
                    <w:pBdr>
                      <w:right w:val="single" w:sz="4" w:space="1" w:color="auto"/>
                    </w:pBdr>
                    <w:tabs>
                      <w:tab w:val="clear" w:pos="357"/>
                      <w:tab w:val="num" w:pos="900"/>
                    </w:tabs>
                    <w:suppressAutoHyphens/>
                    <w:ind w:left="0" w:firstLine="0"/>
                    <w:jc w:val="both"/>
                  </w:pPr>
                  <w:r>
                    <w:t>de l'exposant "m", lorsque l'absence est justifiée par un certificat médical.</w:t>
                  </w:r>
                </w:p>
                <w:p w:rsidR="00F04EEF" w:rsidRDefault="00F04EEF">
                  <w:pPr>
                    <w:pBdr>
                      <w:right w:val="single" w:sz="4" w:space="1" w:color="auto"/>
                    </w:pBdr>
                    <w:jc w:val="both"/>
                  </w:pPr>
                </w:p>
                <w:p w:rsidR="00F04EEF" w:rsidRDefault="0099351E">
                  <w:pPr>
                    <w:pBdr>
                      <w:right w:val="single" w:sz="4" w:space="1" w:color="auto"/>
                    </w:pBdr>
                    <w:jc w:val="both"/>
                  </w:pPr>
                  <w:r>
                    <w:t xml:space="preserve">Le registre matricule d’inscription doit être conservé indéfiniment dans l’école et le registre de fréquentation durant 30 ans. En cas de fusion d’écoles ou d’absorption d’une école par une autre, la conservation des registres est assurée par le directeur d’école de la nouvelle entité ainsi constituée. </w:t>
                  </w:r>
                </w:p>
                <w:p w:rsidR="00F04EEF" w:rsidRDefault="00F04EEF">
                  <w:pPr>
                    <w:pBdr>
                      <w:right w:val="single" w:sz="4" w:space="1" w:color="auto"/>
                    </w:pBdr>
                    <w:tabs>
                      <w:tab w:val="left" w:pos="1031"/>
                      <w:tab w:val="left" w:pos="1292"/>
                      <w:tab w:val="left" w:pos="1440"/>
                    </w:tabs>
                    <w:jc w:val="both"/>
                  </w:pPr>
                </w:p>
                <w:p w:rsidR="00F04EEF" w:rsidRDefault="00F04EEF">
                  <w:pPr>
                    <w:pBdr>
                      <w:right w:val="single" w:sz="4" w:space="1" w:color="auto"/>
                    </w:pBdr>
                    <w:tabs>
                      <w:tab w:val="left" w:pos="1031"/>
                      <w:tab w:val="left" w:pos="1292"/>
                      <w:tab w:val="left" w:pos="1440"/>
                    </w:tabs>
                    <w:jc w:val="both"/>
                  </w:pPr>
                </w:p>
                <w:p w:rsidR="00F04EEF" w:rsidRDefault="0099351E">
                  <w:pPr>
                    <w:pStyle w:val="Titre4"/>
                    <w:rPr>
                      <w:rStyle w:val="CarCar5"/>
                      <w:rFonts w:ascii="Calibri Light" w:hAnsi="Calibri Light"/>
                      <w:b/>
                      <w:lang w:eastAsia="en-US"/>
                    </w:rPr>
                  </w:pPr>
                  <w:bookmarkStart w:id="3457" w:name="_3.3._Dossier_individuel"/>
                  <w:bookmarkStart w:id="3458" w:name="_1.4.3._Registre_matricule"/>
                  <w:bookmarkEnd w:id="3457"/>
                  <w:bookmarkEnd w:id="3458"/>
                  <w:r>
                    <w:t>1.4</w:t>
                  </w:r>
                  <w:r>
                    <w:rPr>
                      <w:rStyle w:val="CarCar5"/>
                      <w:rFonts w:ascii="Calibri Light" w:hAnsi="Calibri Light"/>
                      <w:b/>
                      <w:lang w:eastAsia="en-US"/>
                    </w:rPr>
                    <w:t>.3. Registre matricule des élèves</w:t>
                  </w:r>
                </w:p>
                <w:p w:rsidR="00F04EEF" w:rsidRDefault="00F04EEF">
                  <w:pPr>
                    <w:pBdr>
                      <w:right w:val="single" w:sz="4" w:space="1" w:color="auto"/>
                    </w:pBdr>
                    <w:jc w:val="both"/>
                  </w:pPr>
                </w:p>
                <w:p w:rsidR="00F04EEF" w:rsidRDefault="0099351E">
                  <w:pPr>
                    <w:pBdr>
                      <w:right w:val="single" w:sz="4" w:space="1" w:color="auto"/>
                    </w:pBdr>
                    <w:jc w:val="both"/>
                  </w:pPr>
                  <w:r>
                    <w:t xml:space="preserve">Ce registre contient la liste </w:t>
                  </w:r>
                  <w:r>
                    <w:rPr>
                      <w:u w:val="single"/>
                    </w:rPr>
                    <w:t>alphabétique</w:t>
                  </w:r>
                  <w:r>
                    <w:t xml:space="preserve"> des élèves.</w:t>
                  </w:r>
                </w:p>
                <w:p w:rsidR="00F04EEF" w:rsidRDefault="00F04EEF">
                  <w:pPr>
                    <w:pBdr>
                      <w:right w:val="single" w:sz="4" w:space="1" w:color="auto"/>
                    </w:pBdr>
                    <w:jc w:val="both"/>
                  </w:pPr>
                </w:p>
                <w:p w:rsidR="00F04EEF" w:rsidRDefault="0099351E">
                  <w:pPr>
                    <w:pBdr>
                      <w:right w:val="single" w:sz="4" w:space="1" w:color="auto"/>
                    </w:pBdr>
                    <w:jc w:val="both"/>
                  </w:pPr>
                  <w:r>
                    <w:t>Cette liste est arrêtée une première fois le 30 septembre de l'année scolaire. Elle l'est ensuite mois par mois.</w:t>
                  </w:r>
                </w:p>
                <w:p w:rsidR="00F04EEF" w:rsidRDefault="00F04EEF">
                  <w:pPr>
                    <w:pBdr>
                      <w:right w:val="single" w:sz="4" w:space="1" w:color="auto"/>
                    </w:pBdr>
                    <w:jc w:val="both"/>
                  </w:pPr>
                </w:p>
                <w:p w:rsidR="00F04EEF" w:rsidRDefault="0099351E">
                  <w:pPr>
                    <w:pBdr>
                      <w:right w:val="single" w:sz="4" w:space="1" w:color="auto"/>
                    </w:pBdr>
                    <w:jc w:val="both"/>
                  </w:pPr>
                  <w:r>
                    <w:t xml:space="preserve">Le registre est divisé en colonnes correspondant aux rubriques suivantes : </w:t>
                  </w:r>
                </w:p>
                <w:p w:rsidR="00F04EEF" w:rsidRDefault="00F04EEF">
                  <w:pPr>
                    <w:pBdr>
                      <w:right w:val="single" w:sz="4" w:space="1" w:color="auto"/>
                    </w:pBdr>
                    <w:jc w:val="both"/>
                    <w:rPr>
                      <w:rFonts w:cs="Calibri"/>
                    </w:rPr>
                  </w:pPr>
                </w:p>
                <w:p w:rsidR="00F04EEF" w:rsidRDefault="0099351E">
                  <w:pPr>
                    <w:pStyle w:val="Paragraphedeliste"/>
                    <w:numPr>
                      <w:ilvl w:val="0"/>
                      <w:numId w:val="238"/>
                    </w:numPr>
                    <w:pBdr>
                      <w:right w:val="single" w:sz="4" w:space="1" w:color="auto"/>
                    </w:pBdr>
                    <w:jc w:val="both"/>
                    <w:rPr>
                      <w:rFonts w:ascii="Calibri" w:hAnsi="Calibri" w:cs="Calibri"/>
                      <w:sz w:val="22"/>
                      <w:szCs w:val="22"/>
                    </w:rPr>
                  </w:pPr>
                  <w:r>
                    <w:rPr>
                      <w:rFonts w:ascii="Calibri" w:hAnsi="Calibri" w:cs="Calibri"/>
                      <w:sz w:val="22"/>
                      <w:szCs w:val="22"/>
                    </w:rPr>
                    <w:t>numéro d'ordre ;</w:t>
                  </w:r>
                </w:p>
                <w:p w:rsidR="00F04EEF" w:rsidRDefault="0099351E">
                  <w:pPr>
                    <w:pStyle w:val="Paragraphedeliste"/>
                    <w:numPr>
                      <w:ilvl w:val="0"/>
                      <w:numId w:val="238"/>
                    </w:numPr>
                    <w:pBdr>
                      <w:right w:val="single" w:sz="4" w:space="1" w:color="auto"/>
                    </w:pBdr>
                    <w:jc w:val="both"/>
                    <w:rPr>
                      <w:rFonts w:ascii="Calibri" w:hAnsi="Calibri" w:cs="Calibri"/>
                      <w:sz w:val="22"/>
                      <w:szCs w:val="22"/>
                    </w:rPr>
                  </w:pPr>
                  <w:r>
                    <w:rPr>
                      <w:rFonts w:ascii="Calibri" w:hAnsi="Calibri" w:cs="Calibri"/>
                      <w:sz w:val="22"/>
                      <w:szCs w:val="22"/>
                    </w:rPr>
                    <w:t>nom et prénom des élèves ;</w:t>
                  </w:r>
                </w:p>
                <w:p w:rsidR="00F04EEF" w:rsidRDefault="0099351E">
                  <w:pPr>
                    <w:pStyle w:val="Paragraphedeliste"/>
                    <w:numPr>
                      <w:ilvl w:val="0"/>
                      <w:numId w:val="238"/>
                    </w:numPr>
                    <w:pBdr>
                      <w:right w:val="single" w:sz="4" w:space="1" w:color="auto"/>
                    </w:pBdr>
                    <w:jc w:val="both"/>
                    <w:rPr>
                      <w:rFonts w:ascii="Calibri" w:hAnsi="Calibri" w:cs="Calibri"/>
                      <w:sz w:val="22"/>
                      <w:szCs w:val="22"/>
                    </w:rPr>
                  </w:pPr>
                  <w:r>
                    <w:rPr>
                      <w:rFonts w:ascii="Calibri" w:hAnsi="Calibri" w:cs="Calibri"/>
                      <w:sz w:val="22"/>
                      <w:szCs w:val="22"/>
                    </w:rPr>
                    <w:t xml:space="preserve">lieu et date de naissance ; </w:t>
                  </w:r>
                </w:p>
                <w:p w:rsidR="00F04EEF" w:rsidRDefault="0099351E">
                  <w:pPr>
                    <w:pStyle w:val="Paragraphedeliste"/>
                    <w:numPr>
                      <w:ilvl w:val="0"/>
                      <w:numId w:val="238"/>
                    </w:numPr>
                    <w:pBdr>
                      <w:right w:val="single" w:sz="4" w:space="1" w:color="auto"/>
                    </w:pBdr>
                    <w:jc w:val="both"/>
                    <w:rPr>
                      <w:rFonts w:ascii="Calibri" w:hAnsi="Calibri" w:cs="Calibri"/>
                      <w:sz w:val="22"/>
                      <w:szCs w:val="22"/>
                    </w:rPr>
                  </w:pPr>
                  <w:r>
                    <w:rPr>
                      <w:rFonts w:ascii="Calibri" w:hAnsi="Calibri" w:cs="Calibri"/>
                      <w:sz w:val="22"/>
                      <w:szCs w:val="22"/>
                    </w:rPr>
                    <w:t xml:space="preserve">date d'entrée ; </w:t>
                  </w:r>
                </w:p>
                <w:p w:rsidR="00F04EEF" w:rsidRDefault="0099351E">
                  <w:pPr>
                    <w:pStyle w:val="Paragraphedeliste"/>
                    <w:numPr>
                      <w:ilvl w:val="0"/>
                      <w:numId w:val="238"/>
                    </w:numPr>
                    <w:pBdr>
                      <w:right w:val="single" w:sz="4" w:space="1" w:color="auto"/>
                    </w:pBdr>
                    <w:jc w:val="both"/>
                    <w:rPr>
                      <w:rFonts w:ascii="Calibri" w:hAnsi="Calibri" w:cs="Calibri"/>
                      <w:sz w:val="22"/>
                      <w:szCs w:val="22"/>
                    </w:rPr>
                  </w:pPr>
                  <w:r>
                    <w:rPr>
                      <w:rFonts w:ascii="Calibri" w:hAnsi="Calibri" w:cs="Calibri"/>
                      <w:sz w:val="22"/>
                      <w:szCs w:val="22"/>
                    </w:rPr>
                    <w:t xml:space="preserve">type d'enseignement ; </w:t>
                  </w:r>
                </w:p>
                <w:p w:rsidR="00F04EEF" w:rsidRDefault="0099351E">
                  <w:pPr>
                    <w:pStyle w:val="Paragraphedeliste"/>
                    <w:numPr>
                      <w:ilvl w:val="0"/>
                      <w:numId w:val="238"/>
                    </w:numPr>
                    <w:pBdr>
                      <w:right w:val="single" w:sz="4" w:space="1" w:color="auto"/>
                    </w:pBdr>
                    <w:jc w:val="both"/>
                    <w:rPr>
                      <w:rFonts w:ascii="Calibri" w:hAnsi="Calibri" w:cs="Calibri"/>
                      <w:sz w:val="22"/>
                      <w:szCs w:val="22"/>
                    </w:rPr>
                  </w:pPr>
                  <w:r>
                    <w:rPr>
                      <w:rFonts w:ascii="Calibri" w:hAnsi="Calibri" w:cs="Calibri"/>
                      <w:sz w:val="22"/>
                      <w:szCs w:val="22"/>
                    </w:rPr>
                    <w:t>secteur et phase ;</w:t>
                  </w:r>
                </w:p>
                <w:p w:rsidR="00F04EEF" w:rsidRDefault="0099351E">
                  <w:pPr>
                    <w:pStyle w:val="Paragraphedeliste"/>
                    <w:numPr>
                      <w:ilvl w:val="0"/>
                      <w:numId w:val="238"/>
                    </w:numPr>
                    <w:pBdr>
                      <w:right w:val="single" w:sz="4" w:space="1" w:color="auto"/>
                    </w:pBdr>
                    <w:jc w:val="both"/>
                    <w:rPr>
                      <w:rFonts w:ascii="Calibri" w:hAnsi="Calibri" w:cs="Calibri"/>
                      <w:sz w:val="22"/>
                      <w:szCs w:val="22"/>
                    </w:rPr>
                  </w:pPr>
                  <w:r>
                    <w:rPr>
                      <w:rFonts w:ascii="Calibri" w:hAnsi="Calibri" w:cs="Calibri"/>
                      <w:sz w:val="22"/>
                      <w:szCs w:val="22"/>
                    </w:rPr>
                    <w:t>observations.</w:t>
                  </w:r>
                </w:p>
                <w:p w:rsidR="00F04EEF" w:rsidRDefault="00F04EEF">
                  <w:pPr>
                    <w:pBdr>
                      <w:right w:val="single" w:sz="4" w:space="1" w:color="auto"/>
                    </w:pBdr>
                    <w:jc w:val="both"/>
                    <w:rPr>
                      <w:rFonts w:cs="Calibri"/>
                    </w:rPr>
                  </w:pPr>
                </w:p>
                <w:p w:rsidR="00F04EEF" w:rsidRDefault="0099351E">
                  <w:pPr>
                    <w:pBdr>
                      <w:right w:val="single" w:sz="4" w:space="1" w:color="auto"/>
                    </w:pBdr>
                    <w:jc w:val="both"/>
                  </w:pPr>
                  <w:r>
                    <w:t>Dans cette dernière colonne doivent être signalé(e)s les dates de sortie, les changements de secteur, etc.</w:t>
                  </w:r>
                </w:p>
                <w:p w:rsidR="00F04EEF" w:rsidRDefault="00F04EEF">
                  <w:pPr>
                    <w:pBdr>
                      <w:right w:val="single" w:sz="4" w:space="1" w:color="auto"/>
                    </w:pBdr>
                    <w:jc w:val="both"/>
                  </w:pPr>
                </w:p>
                <w:p w:rsidR="00F04EEF" w:rsidRDefault="0099351E">
                  <w:pPr>
                    <w:pBdr>
                      <w:right w:val="single" w:sz="4" w:space="1" w:color="auto"/>
                    </w:pBdr>
                    <w:jc w:val="both"/>
                    <w:rPr>
                      <w:u w:val="single"/>
                    </w:rPr>
                  </w:pPr>
                  <w:r>
                    <w:t xml:space="preserve">Une gestion informatisée du registre matricule peut être utilisée si le programme comporte des informations identiques et des clés de sécurité empêchant la modification a posteriori des données encodées.  </w:t>
                  </w:r>
                  <w:r>
                    <w:rPr>
                      <w:u w:val="single"/>
                    </w:rPr>
                    <w:t>Cette gestion doit faire l’objet d’un accord préalable du service de Vérification.</w:t>
                  </w:r>
                </w:p>
                <w:p w:rsidR="00F04EEF" w:rsidRDefault="00F04EEF">
                  <w:pPr>
                    <w:pBdr>
                      <w:right w:val="single" w:sz="4" w:space="1" w:color="auto"/>
                    </w:pBdr>
                    <w:tabs>
                      <w:tab w:val="left" w:pos="1031"/>
                      <w:tab w:val="left" w:pos="1292"/>
                      <w:tab w:val="left" w:pos="1440"/>
                    </w:tabs>
                    <w:jc w:val="both"/>
                  </w:pPr>
                </w:p>
                <w:p w:rsidR="00F04EEF" w:rsidRDefault="00F04EEF">
                  <w:pPr>
                    <w:pBdr>
                      <w:right w:val="single" w:sz="4" w:space="1" w:color="auto"/>
                    </w:pBdr>
                    <w:tabs>
                      <w:tab w:val="left" w:pos="1031"/>
                      <w:tab w:val="left" w:pos="1292"/>
                      <w:tab w:val="left" w:pos="1440"/>
                    </w:tabs>
                    <w:jc w:val="both"/>
                  </w:pPr>
                </w:p>
                <w:p w:rsidR="00F04EEF" w:rsidRDefault="0099351E">
                  <w:pPr>
                    <w:pStyle w:val="Titre4"/>
                  </w:pPr>
                  <w:bookmarkStart w:id="3459" w:name="_1.4.4._Registre_des"/>
                  <w:bookmarkEnd w:id="3459"/>
                  <w:r>
                    <w:t>1.4.4. Registre des procès-verbaux des conseils de classe</w:t>
                  </w:r>
                </w:p>
                <w:p w:rsidR="00F04EEF" w:rsidRDefault="00F04EEF">
                  <w:pPr>
                    <w:pBdr>
                      <w:right w:val="single" w:sz="4" w:space="1" w:color="auto"/>
                    </w:pBdr>
                    <w:tabs>
                      <w:tab w:val="left" w:pos="1031"/>
                      <w:tab w:val="left" w:pos="1292"/>
                      <w:tab w:val="left" w:pos="1440"/>
                    </w:tabs>
                    <w:jc w:val="both"/>
                  </w:pPr>
                </w:p>
                <w:p w:rsidR="00F04EEF" w:rsidRDefault="0099351E">
                  <w:pPr>
                    <w:pBdr>
                      <w:right w:val="single" w:sz="4" w:space="1" w:color="auto"/>
                    </w:pBdr>
                    <w:jc w:val="both"/>
                  </w:pPr>
                  <w:r>
                    <w:t>Tous les documents relatifs aux conseils de classe restent en permanence dans l'établissement à la disposition de la vérification.</w:t>
                  </w:r>
                </w:p>
                <w:p w:rsidR="00F04EEF" w:rsidRDefault="00F04EEF">
                  <w:pPr>
                    <w:pBdr>
                      <w:right w:val="single" w:sz="4" w:space="1" w:color="auto"/>
                    </w:pBdr>
                    <w:jc w:val="both"/>
                  </w:pPr>
                </w:p>
                <w:p w:rsidR="00F04EEF" w:rsidRDefault="0099351E">
                  <w:pPr>
                    <w:pBdr>
                      <w:right w:val="single" w:sz="4" w:space="1" w:color="auto"/>
                    </w:pBdr>
                    <w:jc w:val="both"/>
                  </w:pPr>
                  <w:r>
                    <w:t>Les admissions d'élèves dans une classe déterminée, les passages de classe, l'organisation des classes ainsi que les passages d’une forme d’enseignement dans une autre sont de la compétence du conseil de classe assisté de l'organisme chargé de la guidance.</w:t>
                  </w:r>
                </w:p>
                <w:p w:rsidR="00F04EEF" w:rsidRDefault="00F04EEF">
                  <w:pPr>
                    <w:pBdr>
                      <w:right w:val="single" w:sz="4" w:space="1" w:color="auto"/>
                    </w:pBdr>
                    <w:jc w:val="both"/>
                    <w:rPr>
                      <w:highlight w:val="cyan"/>
                    </w:rPr>
                  </w:pPr>
                </w:p>
                <w:p w:rsidR="00F04EEF" w:rsidRDefault="0099351E">
                  <w:pPr>
                    <w:pBdr>
                      <w:right w:val="single" w:sz="4" w:space="1" w:color="auto"/>
                    </w:pBdr>
                    <w:jc w:val="both"/>
                  </w:pPr>
                  <w:r>
                    <w:t>Toutes les décisions sont consignées dans le registre des procès-verbaux des conseils de classe.</w:t>
                  </w:r>
                </w:p>
                <w:p w:rsidR="00F04EEF" w:rsidRDefault="00F04EEF">
                  <w:pPr>
                    <w:pBdr>
                      <w:right w:val="single" w:sz="4" w:space="1" w:color="auto"/>
                    </w:pBdr>
                    <w:jc w:val="both"/>
                  </w:pPr>
                </w:p>
                <w:p w:rsidR="00F04EEF" w:rsidRDefault="0099351E">
                  <w:pPr>
                    <w:pBdr>
                      <w:right w:val="single" w:sz="4" w:space="1" w:color="auto"/>
                    </w:pBdr>
                    <w:jc w:val="both"/>
                  </w:pPr>
                  <w:r>
                    <w:t>Si le passage d'un élève d’un secteur à un autre ou d’une année d’étude à une autre s'impose dans le courant de l'année scolaire, il est procédé de la même manière.</w:t>
                  </w:r>
                </w:p>
                <w:p w:rsidR="00F04EEF" w:rsidRDefault="00F04EEF">
                  <w:pPr>
                    <w:pBdr>
                      <w:right w:val="single" w:sz="4" w:space="1" w:color="auto"/>
                    </w:pBdr>
                    <w:tabs>
                      <w:tab w:val="left" w:pos="1031"/>
                      <w:tab w:val="left" w:pos="1292"/>
                      <w:tab w:val="left" w:pos="1440"/>
                    </w:tabs>
                    <w:jc w:val="both"/>
                  </w:pPr>
                </w:p>
                <w:p w:rsidR="00F04EEF" w:rsidRDefault="00F04EEF">
                  <w:pPr>
                    <w:pBdr>
                      <w:right w:val="single" w:sz="4" w:space="1" w:color="auto"/>
                    </w:pBdr>
                    <w:tabs>
                      <w:tab w:val="left" w:pos="1031"/>
                      <w:tab w:val="left" w:pos="1292"/>
                      <w:tab w:val="left" w:pos="1440"/>
                    </w:tabs>
                    <w:jc w:val="both"/>
                  </w:pPr>
                </w:p>
                <w:p w:rsidR="00F04EEF" w:rsidRDefault="0099351E">
                  <w:pPr>
                    <w:pStyle w:val="Titre4"/>
                  </w:pPr>
                  <w:bookmarkStart w:id="3460" w:name="_1.4.5._Enseignement_de"/>
                  <w:bookmarkEnd w:id="3460"/>
                  <w:r>
                    <w:t>1.4.5. Enseignement de forme 4</w:t>
                  </w:r>
                </w:p>
                <w:p w:rsidR="00F04EEF" w:rsidRDefault="00F04EEF">
                  <w:pPr>
                    <w:pBdr>
                      <w:right w:val="single" w:sz="4" w:space="1" w:color="auto"/>
                    </w:pBdr>
                    <w:tabs>
                      <w:tab w:val="left" w:pos="1031"/>
                      <w:tab w:val="left" w:pos="1292"/>
                      <w:tab w:val="left" w:pos="1440"/>
                    </w:tabs>
                    <w:jc w:val="both"/>
                  </w:pPr>
                </w:p>
                <w:p w:rsidR="00F04EEF" w:rsidRDefault="0099351E">
                  <w:pPr>
                    <w:pBdr>
                      <w:right w:val="single" w:sz="4" w:space="1" w:color="auto"/>
                    </w:pBdr>
                    <w:jc w:val="both"/>
                  </w:pPr>
                  <w:r>
                    <w:t>L'enseignement de forme 4 est soumis, en ce qui concerne les structures et la sanction des études, aux dispositions de l'Arrêté Royal du 29 juin 1984 tel qu'il a été modifié.</w:t>
                  </w:r>
                </w:p>
                <w:p w:rsidR="00F04EEF" w:rsidRDefault="00F04EEF">
                  <w:pPr>
                    <w:pBdr>
                      <w:right w:val="single" w:sz="4" w:space="1" w:color="auto"/>
                    </w:pBdr>
                    <w:jc w:val="both"/>
                  </w:pPr>
                </w:p>
                <w:p w:rsidR="00F04EEF" w:rsidRDefault="0099351E">
                  <w:pPr>
                    <w:pBdr>
                      <w:right w:val="single" w:sz="4" w:space="1" w:color="auto"/>
                    </w:pBdr>
                    <w:jc w:val="both"/>
                  </w:pPr>
                  <w:r>
                    <w:t>Un élève, porteur d'un diplôme ou d'un certificat d'études obtenu selon un régime étranger ou d'une attestation d'études passées et d'examens subis dans un établissement d'enseignement de régime étranger, peut être inscrit sous réserve jusqu'à décision sur l'équivalence des études.</w:t>
                  </w:r>
                </w:p>
                <w:p w:rsidR="00F04EEF" w:rsidRDefault="00F04EEF">
                  <w:pPr>
                    <w:pBdr>
                      <w:right w:val="single" w:sz="4" w:space="1" w:color="auto"/>
                    </w:pBdr>
                    <w:tabs>
                      <w:tab w:val="left" w:pos="1031"/>
                      <w:tab w:val="left" w:pos="1292"/>
                      <w:tab w:val="left" w:pos="1440"/>
                    </w:tabs>
                    <w:jc w:val="both"/>
                  </w:pPr>
                </w:p>
                <w:p w:rsidR="00F04EEF" w:rsidRDefault="00F04EEF">
                  <w:pPr>
                    <w:pBdr>
                      <w:right w:val="single" w:sz="4" w:space="1" w:color="auto"/>
                    </w:pBdr>
                    <w:tabs>
                      <w:tab w:val="left" w:pos="1031"/>
                      <w:tab w:val="left" w:pos="1292"/>
                      <w:tab w:val="left" w:pos="1440"/>
                    </w:tabs>
                    <w:jc w:val="both"/>
                  </w:pPr>
                </w:p>
                <w:p w:rsidR="00F04EEF" w:rsidRDefault="0099351E">
                  <w:pPr>
                    <w:pStyle w:val="Titre4"/>
                  </w:pPr>
                  <w:bookmarkStart w:id="3461" w:name="_1.4.6._Documents_concernant"/>
                  <w:bookmarkEnd w:id="3461"/>
                  <w:r>
                    <w:t>1.4.6. Documents concernant la scolarisation à temps partiel</w:t>
                  </w:r>
                </w:p>
                <w:p w:rsidR="00F04EEF" w:rsidRDefault="00F04EEF">
                  <w:pPr>
                    <w:pBdr>
                      <w:right w:val="single" w:sz="4" w:space="1" w:color="auto"/>
                    </w:pBdr>
                    <w:tabs>
                      <w:tab w:val="left" w:pos="1031"/>
                      <w:tab w:val="left" w:pos="1292"/>
                      <w:tab w:val="left" w:pos="1440"/>
                    </w:tabs>
                    <w:jc w:val="both"/>
                  </w:pPr>
                </w:p>
                <w:p w:rsidR="00F04EEF" w:rsidRDefault="0099351E">
                  <w:pPr>
                    <w:pBdr>
                      <w:right w:val="single" w:sz="4" w:space="1" w:color="auto"/>
                    </w:pBdr>
                    <w:tabs>
                      <w:tab w:val="left" w:pos="1031"/>
                      <w:tab w:val="left" w:pos="1292"/>
                      <w:tab w:val="left" w:pos="1440"/>
                    </w:tabs>
                    <w:jc w:val="both"/>
                  </w:pPr>
                  <w:r>
                    <w:t>L’annexe dûment complétée doit figurer dans le dossier de tout élève fréquentant au maximum durant 4 demi-jours par semaine une structure subventionnée et agréée par l’AVIQ, la COCOF ou l’INAMI.</w:t>
                  </w:r>
                </w:p>
                <w:p w:rsidR="00F04EEF" w:rsidRDefault="0099351E">
                  <w:pPr>
                    <w:pBdr>
                      <w:right w:val="single" w:sz="4" w:space="1" w:color="auto"/>
                    </w:pBdr>
                    <w:tabs>
                      <w:tab w:val="left" w:pos="1031"/>
                      <w:tab w:val="left" w:pos="1292"/>
                      <w:tab w:val="left" w:pos="1440"/>
                    </w:tabs>
                    <w:jc w:val="both"/>
                  </w:pPr>
                  <w:r>
                    <w:t>Cette annexe se trouve dans la circulaire n°</w:t>
                  </w:r>
                  <w:hyperlink r:id="rId236" w:history="1">
                    <w:r>
                      <w:rPr>
                        <w:rStyle w:val="Lienhypertexte"/>
                      </w:rPr>
                      <w:t>6295 du 4/08/2017 relative à la scolarisation à temps partiel des élèves mineurs dans l’enseignement spécialisé fondamental et secondaire</w:t>
                    </w:r>
                  </w:hyperlink>
                  <w:r>
                    <w:t>.</w:t>
                  </w:r>
                </w:p>
                <w:p w:rsidR="00F04EEF" w:rsidRDefault="00F04EEF">
                  <w:pPr>
                    <w:pBdr>
                      <w:right w:val="single" w:sz="4" w:space="1" w:color="auto"/>
                    </w:pBdr>
                    <w:tabs>
                      <w:tab w:val="left" w:pos="1031"/>
                      <w:tab w:val="left" w:pos="1292"/>
                      <w:tab w:val="left" w:pos="1440"/>
                    </w:tabs>
                    <w:jc w:val="both"/>
                  </w:pPr>
                </w:p>
                <w:p w:rsidR="00F04EEF" w:rsidRDefault="00F04EEF">
                  <w:pPr>
                    <w:pBdr>
                      <w:right w:val="single" w:sz="4" w:space="1" w:color="auto"/>
                    </w:pBdr>
                    <w:tabs>
                      <w:tab w:val="left" w:pos="1031"/>
                      <w:tab w:val="left" w:pos="1292"/>
                      <w:tab w:val="left" w:pos="1440"/>
                    </w:tabs>
                    <w:jc w:val="both"/>
                  </w:pPr>
                </w:p>
                <w:p w:rsidR="00F04EEF" w:rsidRDefault="0099351E">
                  <w:pPr>
                    <w:pStyle w:val="Titre4"/>
                  </w:pPr>
                  <w:bookmarkStart w:id="3462" w:name="_1.4.7._Enfants_en"/>
                  <w:bookmarkEnd w:id="3462"/>
                  <w:r>
                    <w:t>1.4.7. Enfants en séjour illégal</w:t>
                  </w:r>
                </w:p>
                <w:p w:rsidR="00F04EEF" w:rsidRDefault="00F04EEF">
                  <w:pPr>
                    <w:pBdr>
                      <w:right w:val="single" w:sz="4" w:space="1" w:color="auto"/>
                    </w:pBdr>
                    <w:tabs>
                      <w:tab w:val="left" w:pos="1031"/>
                      <w:tab w:val="left" w:pos="1292"/>
                      <w:tab w:val="left" w:pos="1440"/>
                    </w:tabs>
                    <w:jc w:val="both"/>
                  </w:pPr>
                </w:p>
                <w:p w:rsidR="00F04EEF" w:rsidRDefault="0099351E">
                  <w:pPr>
                    <w:pBdr>
                      <w:right w:val="single" w:sz="4" w:space="1" w:color="auto"/>
                    </w:pBdr>
                    <w:tabs>
                      <w:tab w:val="left" w:pos="1031"/>
                      <w:tab w:val="left" w:pos="1292"/>
                      <w:tab w:val="left" w:pos="1440"/>
                    </w:tabs>
                    <w:jc w:val="both"/>
                  </w:pPr>
                  <w:r>
                    <w:t>Les mineurs séjournant illégalement en Belgique sont pris en compte pour l’encadrement, les dotations et les subventions dans les mêmes conditions que les autres élèves.</w:t>
                  </w:r>
                </w:p>
                <w:p w:rsidR="00F04EEF" w:rsidRDefault="00F04EEF">
                  <w:pPr>
                    <w:pBdr>
                      <w:right w:val="single" w:sz="4" w:space="1" w:color="auto"/>
                    </w:pBdr>
                    <w:tabs>
                      <w:tab w:val="left" w:pos="1031"/>
                      <w:tab w:val="left" w:pos="1292"/>
                      <w:tab w:val="left" w:pos="1440"/>
                    </w:tabs>
                    <w:jc w:val="both"/>
                  </w:pPr>
                </w:p>
                <w:p w:rsidR="00F04EEF" w:rsidRDefault="00F04EEF">
                  <w:pPr>
                    <w:pBdr>
                      <w:right w:val="single" w:sz="4" w:space="1" w:color="auto"/>
                    </w:pBdr>
                    <w:tabs>
                      <w:tab w:val="left" w:pos="1031"/>
                      <w:tab w:val="left" w:pos="1292"/>
                      <w:tab w:val="left" w:pos="1440"/>
                    </w:tabs>
                    <w:jc w:val="both"/>
                  </w:pPr>
                </w:p>
                <w:p w:rsidR="00F04EEF" w:rsidRDefault="0099351E">
                  <w:pPr>
                    <w:pStyle w:val="Titre4"/>
                  </w:pPr>
                  <w:bookmarkStart w:id="3463" w:name="_1.5._Transmission_des"/>
                  <w:bookmarkEnd w:id="3463"/>
                  <w:r>
                    <w:t>1.5. Transmission des dossiers élèves</w:t>
                  </w:r>
                </w:p>
                <w:p w:rsidR="00F04EEF" w:rsidRDefault="00F04EEF">
                  <w:pPr>
                    <w:pBdr>
                      <w:right w:val="single" w:sz="4" w:space="1" w:color="auto"/>
                    </w:pBdr>
                    <w:tabs>
                      <w:tab w:val="left" w:pos="1031"/>
                      <w:tab w:val="left" w:pos="1292"/>
                      <w:tab w:val="left" w:pos="1440"/>
                    </w:tabs>
                    <w:jc w:val="both"/>
                  </w:pPr>
                </w:p>
                <w:p w:rsidR="00F04EEF" w:rsidRDefault="0099351E">
                  <w:pPr>
                    <w:pBdr>
                      <w:right w:val="single" w:sz="4" w:space="1" w:color="auto"/>
                    </w:pBdr>
                    <w:jc w:val="both"/>
                  </w:pPr>
                  <w:r>
                    <w:t>Le chef d'établissement est tenu de remettre immédiatement l'attestation de fréquentation et éventuellement de réussite à tout élève quittant son établissement en cours d'année scolaire ou qui ne s'y réinscrit pas.</w:t>
                  </w:r>
                </w:p>
                <w:p w:rsidR="00F04EEF" w:rsidRDefault="00F04EEF">
                  <w:pPr>
                    <w:pBdr>
                      <w:right w:val="single" w:sz="4" w:space="1" w:color="auto"/>
                    </w:pBdr>
                    <w:jc w:val="both"/>
                  </w:pPr>
                </w:p>
                <w:p w:rsidR="00F04EEF" w:rsidRDefault="0099351E">
                  <w:pPr>
                    <w:pBdr>
                      <w:right w:val="single" w:sz="4" w:space="1" w:color="auto"/>
                    </w:pBdr>
                    <w:jc w:val="both"/>
                  </w:pPr>
                  <w:r>
                    <w:t>Sur accord de l’élève majeur, des parents ou de la personne investie de l’autorité parentale, l'attestation d’orientation peut être transmise directement à l'établissement qui accueille l'élève lors d'un changement d'établissement, en même temps que le dossier complet. (Protocole justificatif, avis de maintien, attestations de fréquentation et de réussite, documents d'identité).</w:t>
                  </w:r>
                </w:p>
                <w:p w:rsidR="00F04EEF" w:rsidRDefault="0099351E">
                  <w:pPr>
                    <w:pBdr>
                      <w:right w:val="single" w:sz="4" w:space="1" w:color="auto"/>
                    </w:pBdr>
                    <w:jc w:val="both"/>
                  </w:pPr>
                  <w:r>
                    <w:t>Sinon, elle est restituée à une des personnes mentionnées ci-dessus.</w:t>
                  </w:r>
                </w:p>
                <w:p w:rsidR="00F04EEF" w:rsidRDefault="00F04EEF">
                  <w:pPr>
                    <w:pBdr>
                      <w:right w:val="single" w:sz="4" w:space="1" w:color="auto"/>
                    </w:pBdr>
                    <w:jc w:val="both"/>
                  </w:pPr>
                </w:p>
                <w:p w:rsidR="00F04EEF" w:rsidRDefault="0099351E">
                  <w:pPr>
                    <w:pBdr>
                      <w:right w:val="single" w:sz="4" w:space="1" w:color="auto"/>
                    </w:pBdr>
                    <w:jc w:val="both"/>
                  </w:pPr>
                  <w:r>
                    <w:t xml:space="preserve">Le rapport d’inscription doit être transmis dans la huitaine à l’école d’accueil. </w:t>
                  </w:r>
                </w:p>
                <w:p w:rsidR="00F04EEF" w:rsidRDefault="00F04EEF">
                  <w:pPr>
                    <w:pBdr>
                      <w:right w:val="single" w:sz="4" w:space="1" w:color="auto"/>
                    </w:pBdr>
                    <w:jc w:val="both"/>
                  </w:pPr>
                </w:p>
                <w:p w:rsidR="00F04EEF" w:rsidRDefault="0099351E">
                  <w:pPr>
                    <w:pBdr>
                      <w:right w:val="single" w:sz="4" w:space="1" w:color="auto"/>
                    </w:pBdr>
                    <w:jc w:val="both"/>
                    <w:rPr>
                      <w:b/>
                    </w:rPr>
                  </w:pPr>
                  <w:r>
                    <w:rPr>
                      <w:b/>
                    </w:rPr>
                    <w:t>Une copie du dossier est toujours conservée au sein de l'établissement quitté.</w:t>
                  </w:r>
                </w:p>
                <w:p w:rsidR="00F04EEF" w:rsidRDefault="00F04EEF">
                  <w:pPr>
                    <w:pBdr>
                      <w:right w:val="single" w:sz="4" w:space="1" w:color="auto"/>
                    </w:pBdr>
                    <w:jc w:val="both"/>
                  </w:pPr>
                </w:p>
                <w:p w:rsidR="00F04EEF" w:rsidRDefault="00F04EEF">
                  <w:pPr>
                    <w:pBdr>
                      <w:right w:val="single" w:sz="4" w:space="1" w:color="auto"/>
                    </w:pBdr>
                    <w:jc w:val="both"/>
                  </w:pPr>
                </w:p>
                <w:p w:rsidR="00F04EEF" w:rsidRDefault="0099351E">
                  <w:pPr>
                    <w:pStyle w:val="Titre4"/>
                  </w:pPr>
                  <w:bookmarkStart w:id="3464" w:name="_1.6._Enseignement_de"/>
                  <w:bookmarkEnd w:id="3464"/>
                  <w:r>
                    <w:t xml:space="preserve">1.6. Enseignement de type 5 </w:t>
                  </w:r>
                </w:p>
                <w:p w:rsidR="00F04EEF" w:rsidRDefault="00F04EEF">
                  <w:pPr>
                    <w:pBdr>
                      <w:right w:val="single" w:sz="4" w:space="1" w:color="auto"/>
                    </w:pBdr>
                    <w:tabs>
                      <w:tab w:val="left" w:pos="1031"/>
                      <w:tab w:val="left" w:pos="1292"/>
                      <w:tab w:val="left" w:pos="1440"/>
                    </w:tabs>
                    <w:jc w:val="both"/>
                    <w:rPr>
                      <w:b/>
                    </w:rPr>
                  </w:pPr>
                </w:p>
                <w:p w:rsidR="00F04EEF" w:rsidRDefault="0099351E">
                  <w:pPr>
                    <w:pBdr>
                      <w:right w:val="single" w:sz="4" w:space="1" w:color="auto"/>
                    </w:pBdr>
                    <w:jc w:val="both"/>
                  </w:pPr>
                  <w:r>
                    <w:t xml:space="preserve">Les formalités administratives pour l'entrée, le séjour et la sortie des élèves fréquentant l'enseignement spécialisé de type 5 sont  reprises dans le </w:t>
                  </w:r>
                  <w:hyperlink w:anchor="_chapitre_12_:" w:history="1">
                    <w:r>
                      <w:rPr>
                        <w:rStyle w:val="Lienhypertexte"/>
                        <w:rFonts w:cs="Arial"/>
                      </w:rPr>
                      <w:t>chapitre 12</w:t>
                    </w:r>
                  </w:hyperlink>
                  <w:r>
                    <w:t xml:space="preserve"> des présentes directives et recommandations.</w:t>
                  </w:r>
                </w:p>
                <w:p w:rsidR="00F04EEF" w:rsidRDefault="00F04EEF">
                  <w:pPr>
                    <w:pBdr>
                      <w:right w:val="single" w:sz="4" w:space="1" w:color="auto"/>
                    </w:pBdr>
                    <w:tabs>
                      <w:tab w:val="left" w:pos="1031"/>
                      <w:tab w:val="left" w:pos="1292"/>
                      <w:tab w:val="left" w:pos="1440"/>
                    </w:tabs>
                    <w:jc w:val="both"/>
                    <w:rPr>
                      <w:highlight w:val="cyan"/>
                    </w:rPr>
                  </w:pPr>
                </w:p>
                <w:p w:rsidR="00F04EEF" w:rsidRDefault="00F04EEF">
                  <w:pPr>
                    <w:pBdr>
                      <w:right w:val="single" w:sz="4" w:space="1" w:color="auto"/>
                    </w:pBdr>
                    <w:tabs>
                      <w:tab w:val="left" w:pos="1031"/>
                      <w:tab w:val="left" w:pos="1292"/>
                      <w:tab w:val="left" w:pos="1440"/>
                    </w:tabs>
                    <w:jc w:val="both"/>
                    <w:rPr>
                      <w:highlight w:val="cyan"/>
                    </w:rPr>
                  </w:pPr>
                </w:p>
                <w:p w:rsidR="00F04EEF" w:rsidRDefault="0099351E">
                  <w:pPr>
                    <w:pStyle w:val="Titre4"/>
                  </w:pPr>
                  <w:bookmarkStart w:id="3465" w:name="_1.7._Internats,_homes"/>
                  <w:bookmarkEnd w:id="3465"/>
                  <w:r>
                    <w:t>1.7. Internats, homes d'accueil et homes d’accueil permanent</w:t>
                  </w:r>
                </w:p>
                <w:p w:rsidR="00F04EEF" w:rsidRDefault="00F04EEF">
                  <w:pPr>
                    <w:pBdr>
                      <w:right w:val="single" w:sz="4" w:space="1" w:color="auto"/>
                    </w:pBdr>
                    <w:tabs>
                      <w:tab w:val="left" w:pos="1031"/>
                      <w:tab w:val="left" w:pos="1292"/>
                      <w:tab w:val="left" w:pos="1440"/>
                    </w:tabs>
                    <w:ind w:hanging="1031"/>
                    <w:jc w:val="both"/>
                  </w:pPr>
                </w:p>
                <w:p w:rsidR="00F04EEF" w:rsidRDefault="0099351E">
                  <w:pPr>
                    <w:numPr>
                      <w:ilvl w:val="0"/>
                      <w:numId w:val="9"/>
                    </w:numPr>
                    <w:pBdr>
                      <w:right w:val="single" w:sz="4" w:space="1" w:color="auto"/>
                    </w:pBdr>
                    <w:suppressAutoHyphens/>
                    <w:jc w:val="both"/>
                    <w:rPr>
                      <w:u w:val="single"/>
                    </w:rPr>
                  </w:pPr>
                  <w:r>
                    <w:rPr>
                      <w:u w:val="single"/>
                    </w:rPr>
                    <w:t>Le dossier administratif individuel</w:t>
                  </w:r>
                </w:p>
                <w:p w:rsidR="00F04EEF" w:rsidRDefault="00F04EEF">
                  <w:pPr>
                    <w:pBdr>
                      <w:right w:val="single" w:sz="4" w:space="1" w:color="auto"/>
                    </w:pBdr>
                    <w:jc w:val="both"/>
                  </w:pPr>
                </w:p>
                <w:p w:rsidR="00F04EEF" w:rsidRDefault="0099351E">
                  <w:pPr>
                    <w:pBdr>
                      <w:right w:val="single" w:sz="4" w:space="1" w:color="auto"/>
                    </w:pBdr>
                    <w:jc w:val="both"/>
                  </w:pPr>
                  <w:r>
                    <w:t>Dans un internat ou dans un home d'accueil, ce dossier doit comporter :</w:t>
                  </w:r>
                </w:p>
                <w:p w:rsidR="00F04EEF" w:rsidRDefault="00F04EEF">
                  <w:pPr>
                    <w:pBdr>
                      <w:right w:val="single" w:sz="4" w:space="1" w:color="auto"/>
                    </w:pBdr>
                    <w:jc w:val="both"/>
                  </w:pPr>
                </w:p>
                <w:p w:rsidR="00F04EEF" w:rsidRDefault="0099351E">
                  <w:pPr>
                    <w:pStyle w:val="Paragraphedeliste"/>
                    <w:numPr>
                      <w:ilvl w:val="0"/>
                      <w:numId w:val="239"/>
                    </w:numPr>
                    <w:pBdr>
                      <w:right w:val="single" w:sz="4" w:space="1" w:color="auto"/>
                    </w:pBdr>
                    <w:tabs>
                      <w:tab w:val="clear" w:pos="851"/>
                      <w:tab w:val="num" w:pos="1276"/>
                    </w:tabs>
                    <w:ind w:left="1276" w:hanging="425"/>
                    <w:jc w:val="both"/>
                    <w:rPr>
                      <w:rFonts w:ascii="Calibri" w:hAnsi="Calibri" w:cs="Calibri"/>
                      <w:sz w:val="22"/>
                      <w:szCs w:val="22"/>
                    </w:rPr>
                  </w:pPr>
                  <w:r>
                    <w:rPr>
                      <w:rFonts w:ascii="Calibri" w:hAnsi="Calibri" w:cs="Calibri"/>
                      <w:sz w:val="22"/>
                      <w:szCs w:val="22"/>
                    </w:rPr>
                    <w:t>la fiche d'inscription ;</w:t>
                  </w:r>
                </w:p>
                <w:p w:rsidR="00F04EEF" w:rsidRDefault="0099351E">
                  <w:pPr>
                    <w:pStyle w:val="Paragraphedeliste"/>
                    <w:numPr>
                      <w:ilvl w:val="0"/>
                      <w:numId w:val="239"/>
                    </w:numPr>
                    <w:pBdr>
                      <w:right w:val="single" w:sz="4" w:space="1" w:color="auto"/>
                    </w:pBdr>
                    <w:tabs>
                      <w:tab w:val="clear" w:pos="851"/>
                      <w:tab w:val="num" w:pos="1276"/>
                    </w:tabs>
                    <w:ind w:left="1276" w:hanging="425"/>
                    <w:jc w:val="both"/>
                    <w:rPr>
                      <w:rFonts w:ascii="Calibri" w:hAnsi="Calibri" w:cs="Calibri"/>
                      <w:sz w:val="22"/>
                      <w:szCs w:val="22"/>
                    </w:rPr>
                  </w:pPr>
                  <w:r>
                    <w:rPr>
                      <w:rFonts w:ascii="Calibri" w:hAnsi="Calibri" w:cs="Calibri"/>
                      <w:sz w:val="22"/>
                      <w:szCs w:val="22"/>
                    </w:rPr>
                    <w:t>une copie de l'attestation d’orientation ;</w:t>
                  </w:r>
                </w:p>
                <w:p w:rsidR="00F04EEF" w:rsidRDefault="0099351E">
                  <w:pPr>
                    <w:pStyle w:val="Paragraphedeliste"/>
                    <w:numPr>
                      <w:ilvl w:val="0"/>
                      <w:numId w:val="239"/>
                    </w:numPr>
                    <w:pBdr>
                      <w:right w:val="single" w:sz="4" w:space="1" w:color="auto"/>
                    </w:pBdr>
                    <w:tabs>
                      <w:tab w:val="clear" w:pos="851"/>
                      <w:tab w:val="num" w:pos="1276"/>
                    </w:tabs>
                    <w:ind w:left="1276" w:hanging="425"/>
                    <w:jc w:val="both"/>
                    <w:rPr>
                      <w:rFonts w:ascii="Calibri" w:hAnsi="Calibri" w:cs="Calibri"/>
                      <w:sz w:val="22"/>
                      <w:szCs w:val="22"/>
                    </w:rPr>
                  </w:pPr>
                  <w:r>
                    <w:rPr>
                      <w:rFonts w:ascii="Calibri" w:hAnsi="Calibri" w:cs="Calibri"/>
                      <w:sz w:val="22"/>
                      <w:szCs w:val="22"/>
                    </w:rPr>
                    <w:t xml:space="preserve">une attestation de fréquentation de l’année scolaire en cours rédigée par l'établissement d'enseignement fréquenté (chapitre 15 </w:t>
                  </w:r>
                  <w:hyperlink w:anchor="_Annexe_5_:_2" w:history="1">
                    <w:r>
                      <w:rPr>
                        <w:rStyle w:val="Lienhypertexte"/>
                        <w:rFonts w:ascii="Calibri" w:hAnsi="Calibri" w:cs="Calibri"/>
                        <w:szCs w:val="22"/>
                      </w:rPr>
                      <w:t>annexe 3</w:t>
                    </w:r>
                  </w:hyperlink>
                  <w:r>
                    <w:rPr>
                      <w:rFonts w:ascii="Calibri" w:hAnsi="Calibri" w:cs="Calibri"/>
                      <w:sz w:val="22"/>
                      <w:szCs w:val="22"/>
                    </w:rPr>
                    <w:t>).</w:t>
                  </w:r>
                </w:p>
                <w:p w:rsidR="00F04EEF" w:rsidRDefault="00F04EEF">
                  <w:pPr>
                    <w:pBdr>
                      <w:right w:val="single" w:sz="4" w:space="1" w:color="auto"/>
                    </w:pBdr>
                    <w:tabs>
                      <w:tab w:val="left" w:pos="1031"/>
                      <w:tab w:val="left" w:pos="1292"/>
                      <w:tab w:val="left" w:pos="1440"/>
                    </w:tabs>
                    <w:jc w:val="both"/>
                  </w:pPr>
                </w:p>
                <w:p w:rsidR="00F04EEF" w:rsidRDefault="0099351E">
                  <w:pPr>
                    <w:numPr>
                      <w:ilvl w:val="0"/>
                      <w:numId w:val="9"/>
                    </w:numPr>
                    <w:pBdr>
                      <w:right w:val="single" w:sz="4" w:space="1" w:color="auto"/>
                    </w:pBdr>
                    <w:suppressAutoHyphens/>
                    <w:jc w:val="both"/>
                    <w:rPr>
                      <w:u w:val="single"/>
                    </w:rPr>
                  </w:pPr>
                  <w:r>
                    <w:rPr>
                      <w:u w:val="single"/>
                    </w:rPr>
                    <w:t>Le registre de présences</w:t>
                  </w:r>
                </w:p>
                <w:p w:rsidR="00F04EEF" w:rsidRDefault="00F04EEF">
                  <w:pPr>
                    <w:pBdr>
                      <w:right w:val="single" w:sz="4" w:space="1" w:color="auto"/>
                    </w:pBdr>
                    <w:jc w:val="both"/>
                  </w:pPr>
                </w:p>
                <w:p w:rsidR="00F04EEF" w:rsidRDefault="0099351E">
                  <w:pPr>
                    <w:pStyle w:val="Paragraphedeliste"/>
                    <w:numPr>
                      <w:ilvl w:val="0"/>
                      <w:numId w:val="240"/>
                    </w:numPr>
                    <w:pBdr>
                      <w:right w:val="single" w:sz="4" w:space="1" w:color="auto"/>
                    </w:pBdr>
                    <w:tabs>
                      <w:tab w:val="clear" w:pos="567"/>
                      <w:tab w:val="num" w:pos="1276"/>
                    </w:tabs>
                    <w:ind w:left="1276" w:hanging="425"/>
                    <w:jc w:val="both"/>
                    <w:rPr>
                      <w:rFonts w:ascii="Calibri" w:hAnsi="Calibri" w:cs="Calibri"/>
                      <w:sz w:val="22"/>
                      <w:szCs w:val="22"/>
                    </w:rPr>
                  </w:pPr>
                  <w:r>
                    <w:rPr>
                      <w:rFonts w:ascii="Calibri" w:hAnsi="Calibri" w:cs="Calibri"/>
                      <w:sz w:val="22"/>
                      <w:szCs w:val="22"/>
                    </w:rPr>
                    <w:t>pour l'internat de semaine, ce registre est le même que celui tenu dans les classes ;</w:t>
                  </w:r>
                </w:p>
                <w:p w:rsidR="00F04EEF" w:rsidRDefault="0099351E">
                  <w:pPr>
                    <w:pStyle w:val="Paragraphedeliste"/>
                    <w:numPr>
                      <w:ilvl w:val="0"/>
                      <w:numId w:val="240"/>
                    </w:numPr>
                    <w:pBdr>
                      <w:right w:val="single" w:sz="4" w:space="1" w:color="auto"/>
                    </w:pBdr>
                    <w:tabs>
                      <w:tab w:val="clear" w:pos="567"/>
                      <w:tab w:val="num" w:pos="1276"/>
                    </w:tabs>
                    <w:ind w:left="1276" w:hanging="425"/>
                    <w:jc w:val="both"/>
                    <w:rPr>
                      <w:rFonts w:ascii="Calibri" w:hAnsi="Calibri" w:cs="Calibri"/>
                      <w:sz w:val="22"/>
                      <w:szCs w:val="22"/>
                      <w:u w:val="single"/>
                    </w:rPr>
                  </w:pPr>
                  <w:r>
                    <w:rPr>
                      <w:rFonts w:ascii="Calibri" w:hAnsi="Calibri" w:cs="Calibri"/>
                      <w:sz w:val="22"/>
                      <w:szCs w:val="22"/>
                    </w:rPr>
                    <w:t xml:space="preserve">pour l'accueil permanent, le modèle n'est pas imposé. Sa présentation doit cependant permettre le contrôle des tableaux récapitulatifs des présences prises en considération pour le calcul des moyennes de l'année par sexe, type, niveau et forme. </w:t>
                  </w:r>
                  <w:r>
                    <w:rPr>
                      <w:rFonts w:ascii="Calibri" w:hAnsi="Calibri" w:cs="Calibri"/>
                      <w:sz w:val="22"/>
                      <w:szCs w:val="22"/>
                      <w:u w:val="single"/>
                    </w:rPr>
                    <w:t>Elle doit faire l’objet d’un accord préalable du service de Vérification.</w:t>
                  </w:r>
                </w:p>
                <w:p w:rsidR="00F04EEF" w:rsidRDefault="00F04EEF">
                  <w:pPr>
                    <w:pBdr>
                      <w:right w:val="single" w:sz="4" w:space="1" w:color="auto"/>
                    </w:pBdr>
                    <w:tabs>
                      <w:tab w:val="left" w:pos="1031"/>
                      <w:tab w:val="left" w:pos="1292"/>
                      <w:tab w:val="left" w:pos="1440"/>
                    </w:tabs>
                    <w:jc w:val="both"/>
                    <w:rPr>
                      <w:highlight w:val="yellow"/>
                    </w:rPr>
                  </w:pPr>
                </w:p>
                <w:p w:rsidR="00F04EEF" w:rsidRDefault="00F04EEF">
                  <w:pPr>
                    <w:pBdr>
                      <w:right w:val="single" w:sz="4" w:space="1" w:color="auto"/>
                    </w:pBdr>
                    <w:tabs>
                      <w:tab w:val="left" w:pos="1031"/>
                      <w:tab w:val="left" w:pos="1292"/>
                      <w:tab w:val="left" w:pos="1440"/>
                    </w:tabs>
                    <w:jc w:val="both"/>
                  </w:pPr>
                </w:p>
                <w:p w:rsidR="00F04EEF" w:rsidRDefault="0099351E">
                  <w:pPr>
                    <w:pStyle w:val="Titre4"/>
                  </w:pPr>
                  <w:bookmarkStart w:id="3466" w:name="_1.8._Comptabilisation_des"/>
                  <w:bookmarkEnd w:id="3466"/>
                  <w:r>
                    <w:t xml:space="preserve">1.8. Comptabilisation des élèves </w:t>
                  </w:r>
                </w:p>
                <w:p w:rsidR="00F04EEF" w:rsidRDefault="00F04EEF">
                  <w:pPr>
                    <w:tabs>
                      <w:tab w:val="left" w:pos="1031"/>
                      <w:tab w:val="left" w:pos="1292"/>
                      <w:tab w:val="left" w:pos="1440"/>
                    </w:tabs>
                    <w:jc w:val="both"/>
                  </w:pPr>
                </w:p>
                <w:p w:rsidR="00F04EEF" w:rsidRDefault="0099351E">
                  <w:pPr>
                    <w:jc w:val="both"/>
                  </w:pPr>
                  <w:bookmarkStart w:id="3467" w:name="_3.10._Comptabilisation_des"/>
                  <w:bookmarkEnd w:id="3467"/>
                  <w:r>
                    <w:t>Pour être comptabilisé, l’élève doit, d’une part, être régulièrement inscrit c’est-à-dire satisfaire aux conditions d’âge et d’admission et, d’autre part, fréquenter régulièrement l’école.</w:t>
                  </w:r>
                </w:p>
                <w:p w:rsidR="00F04EEF" w:rsidRDefault="00F04EEF">
                  <w:pPr>
                    <w:jc w:val="both"/>
                  </w:pPr>
                </w:p>
                <w:p w:rsidR="00F04EEF" w:rsidRDefault="0099351E">
                  <w:pPr>
                    <w:jc w:val="both"/>
                  </w:pPr>
                  <w:r>
                    <w:rPr>
                      <w:noProof/>
                      <w:lang w:eastAsia="fr-BE"/>
                    </w:rPr>
                    <mc:AlternateContent>
                      <mc:Choice Requires="wps">
                        <w:drawing>
                          <wp:anchor distT="0" distB="0" distL="114300" distR="114300" simplePos="0" relativeHeight="252261376" behindDoc="0" locked="0" layoutInCell="1" allowOverlap="1">
                            <wp:simplePos x="0" y="0"/>
                            <wp:positionH relativeFrom="column">
                              <wp:posOffset>5995670</wp:posOffset>
                            </wp:positionH>
                            <wp:positionV relativeFrom="paragraph">
                              <wp:posOffset>146050</wp:posOffset>
                            </wp:positionV>
                            <wp:extent cx="0" cy="200025"/>
                            <wp:effectExtent l="0" t="0" r="19050" b="28575"/>
                            <wp:wrapNone/>
                            <wp:docPr id="548" name="Connecteur droit 548"/>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C38181" id="Connecteur droit 548" o:spid="_x0000_s1026" style="position:absolute;z-index:252261376;visibility:visible;mso-wrap-style:square;mso-wrap-distance-left:9pt;mso-wrap-distance-top:0;mso-wrap-distance-right:9pt;mso-wrap-distance-bottom:0;mso-position-horizontal:absolute;mso-position-horizontal-relative:text;mso-position-vertical:absolute;mso-position-vertical-relative:text" from="472.1pt,11.5pt" to="472.1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" strokecolor="black [3213]"/>
                        </w:pict>
                      </mc:Fallback>
                    </mc:AlternateContent>
                  </w:r>
                  <w:r>
                    <w:t>Le chef d’établissement doit rester attentif aux absences non justifiées et doit impérativement signaler au Service du Droit à l’Instruction, au plus tard le premier jour ouvrable qui suit, les élèves qui se sont absentés 9 demi-jours de manière injustifiée. Toute nouvelle absence injustifiée doit être signalée mensuellement selon les mêmes procédures.</w:t>
                  </w:r>
                </w:p>
                <w:p w:rsidR="00F04EEF" w:rsidRDefault="00F04EEF">
                  <w:pPr>
                    <w:jc w:val="both"/>
                  </w:pPr>
                </w:p>
                <w:p w:rsidR="00F04EEF" w:rsidRDefault="0099351E">
                  <w:pPr>
                    <w:jc w:val="both"/>
                  </w:pPr>
                  <w:r>
                    <w:t>Cette formalité, prévue dans l’intérêt de l’élève, permettra par ailleurs de le comptabiliser comme s’il avait fréquenté régulièrement les cours.</w:t>
                  </w:r>
                </w:p>
                <w:p w:rsidR="00F04EEF" w:rsidRDefault="0099351E">
                  <w:pPr>
                    <w:jc w:val="both"/>
                  </w:pPr>
                  <w:r>
                    <w:rPr>
                      <w:noProof/>
                      <w:lang w:eastAsia="fr-BE"/>
                    </w:rPr>
                    <mc:AlternateContent>
                      <mc:Choice Requires="wps">
                        <w:drawing>
                          <wp:anchor distT="0" distB="0" distL="114300" distR="114300" simplePos="0" relativeHeight="252262400" behindDoc="0" locked="0" layoutInCell="1" allowOverlap="1">
                            <wp:simplePos x="0" y="0"/>
                            <wp:positionH relativeFrom="column">
                              <wp:posOffset>5995670</wp:posOffset>
                            </wp:positionH>
                            <wp:positionV relativeFrom="paragraph">
                              <wp:posOffset>104774</wp:posOffset>
                            </wp:positionV>
                            <wp:extent cx="0" cy="1704975"/>
                            <wp:effectExtent l="0" t="0" r="19050" b="28575"/>
                            <wp:wrapNone/>
                            <wp:docPr id="549" name="Connecteur droit 549"/>
                            <wp:cNvGraphicFramePr/>
                            <a:graphic xmlns:a="http://schemas.openxmlformats.org/drawingml/2006/main">
                              <a:graphicData uri="http://schemas.microsoft.com/office/word/2010/wordprocessingShape">
                                <wps:wsp>
                                  <wps:cNvCnPr/>
                                  <wps:spPr>
                                    <a:xfrm>
                                      <a:off x="0" y="0"/>
                                      <a:ext cx="0" cy="1704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CCD3E0" id="Connecteur droit 549" o:spid="_x0000_s1026" style="position:absolute;z-index:252262400;visibility:visible;mso-wrap-style:square;mso-wrap-distance-left:9pt;mso-wrap-distance-top:0;mso-wrap-distance-right:9pt;mso-wrap-distance-bottom:0;mso-position-horizontal:absolute;mso-position-horizontal-relative:text;mso-position-vertical:absolute;mso-position-vertical-relative:text" from="472.1pt,8.25pt" to="472.1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" strokecolor="black [3213]"/>
                        </w:pict>
                      </mc:Fallback>
                    </mc:AlternateContent>
                  </w:r>
                </w:p>
                <w:p w:rsidR="00F04EEF" w:rsidRDefault="0099351E">
                  <w:pPr>
                    <w:jc w:val="both"/>
                  </w:pPr>
                  <w:r>
                    <w:t xml:space="preserve">En outre, pour les élèves majeurs, le chef d’établissement doit rester attentif aux absences non justifiées de ces élèves. Lorsque l’élève majeur est en absence injustifiée, le chef d’établissement doit faire preuve de vigilance, de proactivité et d’investissement afin que l’élève majeur puisse réintégrer l’école dans les meilleurs délais. Un simple courrier ou un simple courriel ne suffit pas.  </w:t>
                  </w:r>
                </w:p>
                <w:p w:rsidR="00F04EEF" w:rsidRDefault="0099351E">
                  <w:pPr>
                    <w:jc w:val="both"/>
                  </w:pPr>
                  <w:r>
                    <w:t>Les absences injustifiées seront prises en compte à partir du cinquième jour ouvrable.</w:t>
                  </w:r>
                </w:p>
                <w:p w:rsidR="00F04EEF" w:rsidRDefault="00F04EEF">
                  <w:pPr>
                    <w:jc w:val="both"/>
                  </w:pPr>
                </w:p>
                <w:p w:rsidR="00F04EEF" w:rsidRDefault="0099351E">
                  <w:pPr>
                    <w:jc w:val="both"/>
                  </w:pPr>
                  <w:r>
                    <w:t>En cas de litige entre un établissement scolaire et le service de la vérification de la population scolaire, le chef d’établissement devra exposer de manière claire et circonstanciée ledit litige, documents à l’appui, en vue d’être soumis à la Direction générale de l’Enseignement obligatoire qui statuera.</w:t>
                  </w:r>
                </w:p>
                <w:p w:rsidR="00F04EEF" w:rsidRDefault="00F04EEF">
                  <w:pPr>
                    <w:jc w:val="both"/>
                  </w:pPr>
                </w:p>
                <w:p w:rsidR="00F04EEF" w:rsidRDefault="00F04EEF">
                  <w:pPr>
                    <w:jc w:val="both"/>
                  </w:pPr>
                </w:p>
                <w:p w:rsidR="00F04EEF" w:rsidRDefault="0099351E">
                  <w:pPr>
                    <w:jc w:val="both"/>
                    <w:rPr>
                      <w:b/>
                      <w:bCs/>
                    </w:rPr>
                  </w:pPr>
                  <w:r>
                    <w:rPr>
                      <w:b/>
                      <w:bCs/>
                    </w:rPr>
                    <w:t>Consignes particulières pour la tenue des registres durant le mois de septembre :</w:t>
                  </w:r>
                </w:p>
                <w:p w:rsidR="00F04EEF" w:rsidRDefault="00F04EEF">
                  <w:pPr>
                    <w:jc w:val="both"/>
                  </w:pPr>
                </w:p>
                <w:p w:rsidR="00F04EEF" w:rsidRDefault="0099351E">
                  <w:pPr>
                    <w:jc w:val="both"/>
                  </w:pPr>
                  <w:r>
                    <w:t>Un élève inscrit dans une école en date du 30 juin et qui ne se représente pas le 1</w:t>
                  </w:r>
                  <w:r>
                    <w:rPr>
                      <w:vertAlign w:val="superscript"/>
                    </w:rPr>
                    <w:t>er</w:t>
                  </w:r>
                  <w:r>
                    <w:t xml:space="preserve"> septembre suivant doit figurer dans le relevé des élèves inscrits, en début du registre de fréquentation et dans le relevé de la page du mois de septembre si :</w:t>
                  </w:r>
                </w:p>
                <w:p w:rsidR="00F04EEF" w:rsidRDefault="00F04EEF">
                  <w:pPr>
                    <w:jc w:val="both"/>
                  </w:pPr>
                </w:p>
                <w:p w:rsidR="00F04EEF" w:rsidRDefault="0099351E">
                  <w:pPr>
                    <w:pStyle w:val="Paragraphedeliste"/>
                    <w:numPr>
                      <w:ilvl w:val="0"/>
                      <w:numId w:val="67"/>
                    </w:numPr>
                    <w:suppressAutoHyphens w:val="0"/>
                    <w:ind w:left="1134" w:hanging="425"/>
                    <w:jc w:val="both"/>
                    <w:rPr>
                      <w:rFonts w:ascii="Calibri" w:hAnsi="Calibri" w:cs="Calibri"/>
                      <w:sz w:val="22"/>
                      <w:szCs w:val="22"/>
                    </w:rPr>
                  </w:pPr>
                  <w:r>
                    <w:rPr>
                      <w:rFonts w:ascii="Calibri" w:hAnsi="Calibri" w:cs="Calibri"/>
                      <w:sz w:val="22"/>
                      <w:szCs w:val="22"/>
                    </w:rPr>
                    <w:t>son inscription n’a pas été retirée ;</w:t>
                  </w:r>
                </w:p>
                <w:p w:rsidR="00F04EEF" w:rsidRDefault="0099351E">
                  <w:pPr>
                    <w:pStyle w:val="Paragraphedeliste"/>
                    <w:numPr>
                      <w:ilvl w:val="0"/>
                      <w:numId w:val="67"/>
                    </w:numPr>
                    <w:suppressAutoHyphens w:val="0"/>
                    <w:ind w:left="1134" w:hanging="425"/>
                    <w:jc w:val="both"/>
                    <w:rPr>
                      <w:rFonts w:ascii="Calibri" w:hAnsi="Calibri" w:cs="Calibri"/>
                      <w:sz w:val="22"/>
                      <w:szCs w:val="22"/>
                    </w:rPr>
                  </w:pPr>
                  <w:r>
                    <w:rPr>
                      <w:rFonts w:ascii="Calibri" w:hAnsi="Calibri" w:cs="Calibri"/>
                      <w:sz w:val="22"/>
                      <w:szCs w:val="22"/>
                    </w:rPr>
                    <w:t>s’il n’a pas fait l’objet d’un changement d’école en fin d’année scolaire précédente ;</w:t>
                  </w:r>
                </w:p>
                <w:p w:rsidR="00F04EEF" w:rsidRDefault="00F04EEF">
                  <w:pPr>
                    <w:jc w:val="both"/>
                  </w:pPr>
                </w:p>
                <w:p w:rsidR="00F04EEF" w:rsidRDefault="0099351E">
                  <w:pPr>
                    <w:jc w:val="both"/>
                  </w:pPr>
                  <w:r>
                    <w:rPr>
                      <w:noProof/>
                      <w:lang w:eastAsia="fr-BE"/>
                    </w:rPr>
                    <mc:AlternateContent>
                      <mc:Choice Requires="wps">
                        <w:drawing>
                          <wp:anchor distT="0" distB="0" distL="114300" distR="114300" simplePos="0" relativeHeight="252263424" behindDoc="0" locked="0" layoutInCell="1" allowOverlap="1">
                            <wp:simplePos x="0" y="0"/>
                            <wp:positionH relativeFrom="column">
                              <wp:posOffset>6005195</wp:posOffset>
                            </wp:positionH>
                            <wp:positionV relativeFrom="paragraph">
                              <wp:posOffset>184785</wp:posOffset>
                            </wp:positionV>
                            <wp:extent cx="0" cy="180975"/>
                            <wp:effectExtent l="0" t="0" r="19050" b="28575"/>
                            <wp:wrapNone/>
                            <wp:docPr id="550" name="Connecteur droit 550"/>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821F4F" id="Connecteur droit 550" o:spid="_x0000_s1026" style="position:absolute;z-index:252263424;visibility:visible;mso-wrap-style:square;mso-wrap-distance-left:9pt;mso-wrap-distance-top:0;mso-wrap-distance-right:9pt;mso-wrap-distance-bottom:0;mso-position-horizontal:absolute;mso-position-horizontal-relative:text;mso-position-vertical:absolute;mso-position-vertical-relative:text" from="472.85pt,14.55pt" to="472.8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" strokecolor="black [3213]"/>
                        </w:pict>
                      </mc:Fallback>
                    </mc:AlternateContent>
                  </w:r>
                  <w:r>
                    <w:t>Dès que cet élève compte 9 demi-jours d’absence injustifiée, le chef d’établissement le signale impérativement auprès du service du droit à l’instruction.</w:t>
                  </w:r>
                </w:p>
                <w:p w:rsidR="00F04EEF" w:rsidRDefault="00F04EEF">
                  <w:pPr>
                    <w:jc w:val="both"/>
                  </w:pPr>
                </w:p>
                <w:p w:rsidR="00F04EEF" w:rsidRDefault="0099351E">
                  <w:pPr>
                    <w:jc w:val="both"/>
                  </w:pPr>
                  <w:r>
                    <w:t>Si cet élève est en absence injustifiée durant tout le mois de septembre, son inscription doit être clôturée et il doit être sorti du registre matricule des inscriptions et du registre de fréquentation avant le 30 septembre. Il ne pourra en aucun cas être repris dans les différentes collectes de populations scolaires du 30 septembre : comptage des élèves et calcul de l’encadrement.</w:t>
                  </w:r>
                </w:p>
                <w:p w:rsidR="00F04EEF" w:rsidRDefault="00F04EEF">
                  <w:pPr>
                    <w:jc w:val="both"/>
                  </w:pPr>
                </w:p>
                <w:p w:rsidR="00F04EEF" w:rsidRDefault="0099351E">
                  <w:pPr>
                    <w:jc w:val="both"/>
                  </w:pPr>
                  <w:r>
                    <w:t>De plus, le chef d’établissement fera un dernier signalement au service du droit à l’instruction en précisant que cet élève ne s’est jamais présenté dans l’établissement depuis le début de l’année scolaire et que dès lors son inscription doit être clôturée.</w:t>
                  </w:r>
                </w:p>
                <w:p w:rsidR="00F04EEF" w:rsidRDefault="0099351E">
                  <w:pPr>
                    <w:jc w:val="both"/>
                  </w:pPr>
                  <w:r>
                    <w:rPr>
                      <w:noProof/>
                      <w:lang w:eastAsia="fr-BE"/>
                    </w:rPr>
                    <mc:AlternateContent>
                      <mc:Choice Requires="wps">
                        <w:drawing>
                          <wp:anchor distT="0" distB="0" distL="114300" distR="114300" simplePos="0" relativeHeight="252264448" behindDoc="0" locked="0" layoutInCell="1" allowOverlap="1">
                            <wp:simplePos x="0" y="0"/>
                            <wp:positionH relativeFrom="column">
                              <wp:posOffset>6005195</wp:posOffset>
                            </wp:positionH>
                            <wp:positionV relativeFrom="paragraph">
                              <wp:posOffset>185420</wp:posOffset>
                            </wp:positionV>
                            <wp:extent cx="0" cy="247650"/>
                            <wp:effectExtent l="0" t="0" r="19050" b="19050"/>
                            <wp:wrapNone/>
                            <wp:docPr id="552" name="Connecteur droit 552"/>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1520B7" id="Connecteur droit 552" o:spid="_x0000_s1026" style="position:absolute;z-index:252264448;visibility:visible;mso-wrap-style:square;mso-wrap-distance-left:9pt;mso-wrap-distance-top:0;mso-wrap-distance-right:9pt;mso-wrap-distance-bottom:0;mso-position-horizontal:absolute;mso-position-horizontal-relative:text;mso-position-vertical:absolute;mso-position-vertical-relative:text" from="472.85pt,14.6pt" to="472.85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" strokecolor="black [3213]"/>
                        </w:pict>
                      </mc:Fallback>
                    </mc:AlternateContent>
                  </w:r>
                </w:p>
                <w:p w:rsidR="00F04EEF" w:rsidRDefault="0099351E">
                  <w:pPr>
                    <w:jc w:val="both"/>
                  </w:pPr>
                  <w:r>
                    <w:t>En outre, les élèves majeurs comptabilisant au moins un demi-jour de présence seront comptabilisés pour le comptage du 30 septembre.</w:t>
                  </w:r>
                </w:p>
                <w:p w:rsidR="00F04EEF" w:rsidRDefault="00F04EEF">
                  <w:pPr>
                    <w:tabs>
                      <w:tab w:val="left" w:pos="1031"/>
                      <w:tab w:val="left" w:pos="1292"/>
                      <w:tab w:val="left" w:pos="1440"/>
                    </w:tabs>
                    <w:jc w:val="both"/>
                  </w:pPr>
                </w:p>
                <w:p w:rsidR="00F04EEF" w:rsidRDefault="00F04EEF">
                  <w:pPr>
                    <w:tabs>
                      <w:tab w:val="left" w:pos="1031"/>
                      <w:tab w:val="left" w:pos="1292"/>
                      <w:tab w:val="left" w:pos="1440"/>
                    </w:tabs>
                    <w:jc w:val="both"/>
                  </w:pPr>
                </w:p>
                <w:p w:rsidR="00F04EEF" w:rsidRDefault="0099351E">
                  <w:pPr>
                    <w:pStyle w:val="Titre3"/>
                    <w:rPr>
                      <w:sz w:val="22"/>
                      <w:szCs w:val="22"/>
                    </w:rPr>
                  </w:pPr>
                  <w:bookmarkStart w:id="3468" w:name="_1.2._Liste_des"/>
                  <w:bookmarkStart w:id="3469" w:name="_1.2._La_liste"/>
                  <w:bookmarkStart w:id="3470" w:name="_2._Le_service"/>
                  <w:bookmarkStart w:id="3471" w:name="_Toc453314489"/>
                  <w:bookmarkStart w:id="3472" w:name="_Toc454980524"/>
                  <w:bookmarkStart w:id="3473" w:name="_Toc478740714"/>
                  <w:bookmarkStart w:id="3474" w:name="_Toc47708574"/>
                  <w:bookmarkEnd w:id="3468"/>
                  <w:bookmarkEnd w:id="3469"/>
                  <w:bookmarkEnd w:id="3470"/>
                  <w:r>
                    <w:rPr>
                      <w:sz w:val="22"/>
                      <w:szCs w:val="22"/>
                    </w:rPr>
                    <w:t>2. Le service de la vérification comptable</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71"/>
                  <w:bookmarkEnd w:id="3472"/>
                  <w:bookmarkEnd w:id="3473"/>
                  <w:bookmarkEnd w:id="3474"/>
                </w:p>
                <w:p w:rsidR="00F04EEF" w:rsidRDefault="00F04EEF"/>
                <w:p w:rsidR="00F04EEF" w:rsidRDefault="0099351E">
                  <w:pPr>
                    <w:pBdr>
                      <w:right w:val="single" w:sz="4" w:space="4" w:color="auto"/>
                    </w:pBdr>
                    <w:jc w:val="both"/>
                  </w:pPr>
                  <w:r>
                    <w:t>Le vérificateur comptable est l’agent de l’administration chargé du contrôle de l’utilisation des dotations et des subventions de fonctionnement dans les écoles.  Les aspects comptables de son travail ne sont pas abordés dans le cadre de cette circulaire.</w:t>
                  </w:r>
                </w:p>
                <w:p w:rsidR="00F04EEF" w:rsidRDefault="00F04EEF">
                  <w:pPr>
                    <w:pStyle w:val="Notedebasdepage"/>
                    <w:rPr>
                      <w:lang w:val="pt-PT"/>
                    </w:rPr>
                  </w:pPr>
                </w:p>
                <w:p w:rsidR="00F04EEF" w:rsidRDefault="0099351E">
                  <w:pPr>
                    <w:tabs>
                      <w:tab w:val="left" w:pos="709"/>
                      <w:tab w:val="left" w:pos="1303"/>
                      <w:tab w:val="left" w:pos="1586"/>
                      <w:tab w:val="left" w:pos="1813"/>
                      <w:tab w:val="left" w:pos="3174"/>
                      <w:tab w:val="left" w:pos="3967"/>
                      <w:tab w:val="left" w:pos="4591"/>
                      <w:tab w:val="left" w:pos="4818"/>
                    </w:tabs>
                    <w:jc w:val="both"/>
                    <w:rPr>
                      <w:bCs/>
                      <w:iCs/>
                    </w:rPr>
                  </w:pPr>
                  <w:r>
                    <w:rPr>
                      <w:bCs/>
                      <w:iCs/>
                    </w:rPr>
                    <w:t>Les compétences du service de l’inspection en matière de respect des conditions d’hygiène et de salubrité des bâtiments scolaires subventionnés ont été transférées au service de la vérification comptable en vertu du 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p>
                <w:p w:rsidR="00F04EEF" w:rsidRDefault="00F04EEF">
                  <w:pPr>
                    <w:tabs>
                      <w:tab w:val="left" w:pos="709"/>
                      <w:tab w:val="left" w:pos="1303"/>
                      <w:tab w:val="left" w:pos="1586"/>
                      <w:tab w:val="left" w:pos="1813"/>
                      <w:tab w:val="left" w:pos="3174"/>
                      <w:tab w:val="left" w:pos="3967"/>
                      <w:tab w:val="left" w:pos="4591"/>
                      <w:tab w:val="left" w:pos="4818"/>
                    </w:tabs>
                    <w:jc w:val="both"/>
                    <w:rPr>
                      <w:bCs/>
                      <w:iCs/>
                    </w:rPr>
                  </w:pPr>
                </w:p>
                <w:p w:rsidR="00F04EEF" w:rsidRDefault="0099351E">
                  <w:pPr>
                    <w:pStyle w:val="NormalWeb"/>
                    <w:rPr>
                      <w:rFonts w:ascii="Calibri Light" w:hAnsi="Calibri Light"/>
                      <w:color w:val="555555"/>
                      <w:szCs w:val="22"/>
                      <w:lang w:val="fr-FR" w:eastAsia="fr-FR"/>
                    </w:rPr>
                  </w:pPr>
                  <w:r>
                    <w:rPr>
                      <w:rFonts w:ascii="Calibri Light" w:hAnsi="Calibri Light"/>
                      <w:bCs/>
                      <w:iCs/>
                      <w:szCs w:val="22"/>
                    </w:rPr>
                    <w:t xml:space="preserve">Il y a lieu de se référer à la </w:t>
                  </w:r>
                  <w:hyperlink r:id="rId237" w:history="1">
                    <w:r>
                      <w:rPr>
                        <w:rStyle w:val="Lienhypertexte"/>
                        <w:rFonts w:ascii="Calibri Light" w:hAnsi="Calibri Light"/>
                        <w:bCs/>
                        <w:szCs w:val="22"/>
                        <w:lang w:val="fr-FR" w:eastAsia="fr-FR"/>
                      </w:rPr>
                      <w:t>Circulaire 4375 du 4 avril 2013 relative à l’adresse électronique mise à disposition des établissements pour contacter le Service de la vérification comptable</w:t>
                    </w:r>
                  </w:hyperlink>
                  <w:r>
                    <w:rPr>
                      <w:rFonts w:ascii="Calibri Light" w:hAnsi="Calibri Light"/>
                      <w:color w:val="555555"/>
                      <w:szCs w:val="22"/>
                      <w:lang w:val="fr-FR" w:eastAsia="fr-FR"/>
                    </w:rPr>
                    <w:t xml:space="preserve"> </w:t>
                  </w:r>
                </w:p>
                <w:p w:rsidR="00F04EEF" w:rsidRDefault="00F04EEF">
                  <w:pPr>
                    <w:tabs>
                      <w:tab w:val="left" w:pos="709"/>
                      <w:tab w:val="left" w:pos="1303"/>
                      <w:tab w:val="left" w:pos="1586"/>
                      <w:tab w:val="left" w:pos="1813"/>
                      <w:tab w:val="left" w:pos="3174"/>
                      <w:tab w:val="left" w:pos="3967"/>
                      <w:tab w:val="left" w:pos="4591"/>
                      <w:tab w:val="left" w:pos="4818"/>
                    </w:tabs>
                    <w:jc w:val="both"/>
                    <w:rPr>
                      <w:bCs/>
                      <w:iCs/>
                      <w:lang w:val="fr-FR"/>
                    </w:rPr>
                  </w:pPr>
                </w:p>
                <w:p w:rsidR="00F04EEF" w:rsidRDefault="00F04EEF">
                  <w:pPr>
                    <w:tabs>
                      <w:tab w:val="left" w:pos="709"/>
                      <w:tab w:val="left" w:pos="1303"/>
                      <w:tab w:val="left" w:pos="1586"/>
                      <w:tab w:val="left" w:pos="1813"/>
                      <w:tab w:val="left" w:pos="3174"/>
                      <w:tab w:val="left" w:pos="3967"/>
                      <w:tab w:val="left" w:pos="4591"/>
                      <w:tab w:val="left" w:pos="4818"/>
                    </w:tabs>
                    <w:jc w:val="both"/>
                    <w:rPr>
                      <w:bCs/>
                      <w:iCs/>
                      <w:lang w:val="fr-FR"/>
                    </w:rPr>
                  </w:pPr>
                </w:p>
                <w:p w:rsidR="00F04EEF" w:rsidRDefault="00F04EEF">
                  <w:pPr>
                    <w:tabs>
                      <w:tab w:val="left" w:pos="709"/>
                      <w:tab w:val="left" w:pos="1303"/>
                      <w:tab w:val="left" w:pos="1586"/>
                      <w:tab w:val="left" w:pos="1813"/>
                      <w:tab w:val="left" w:pos="3174"/>
                      <w:tab w:val="left" w:pos="3967"/>
                      <w:tab w:val="left" w:pos="4591"/>
                      <w:tab w:val="left" w:pos="4818"/>
                    </w:tabs>
                    <w:jc w:val="both"/>
                    <w:rPr>
                      <w:bCs/>
                      <w:iCs/>
                      <w:lang w:val="fr-FR"/>
                    </w:rPr>
                  </w:pPr>
                </w:p>
                <w:p w:rsidR="00F04EEF" w:rsidRDefault="0099351E">
                  <w:pPr>
                    <w:rPr>
                      <w:b/>
                      <w:u w:val="single"/>
                      <w:lang w:val="fr-FR"/>
                    </w:rPr>
                  </w:pPr>
                  <w:bookmarkStart w:id="3475" w:name="_3._Liste_des"/>
                  <w:bookmarkStart w:id="3476" w:name="_Toc478740715"/>
                  <w:bookmarkEnd w:id="3475"/>
                  <w:r>
                    <w:rPr>
                      <w:lang w:val="fr-FR"/>
                    </w:rPr>
                    <w:br w:type="page"/>
                  </w:r>
                </w:p>
                <w:p w:rsidR="00F04EEF" w:rsidRDefault="0099351E">
                  <w:pPr>
                    <w:pStyle w:val="Titre3"/>
                    <w:rPr>
                      <w:sz w:val="22"/>
                      <w:szCs w:val="22"/>
                      <w:lang w:val="fr-FR"/>
                    </w:rPr>
                  </w:pPr>
                  <w:bookmarkStart w:id="3477" w:name="_3._Liste_des_1"/>
                  <w:bookmarkStart w:id="3478" w:name="_Toc47708575"/>
                  <w:bookmarkEnd w:id="3477"/>
                  <w:r>
                    <w:rPr>
                      <w:sz w:val="22"/>
                      <w:szCs w:val="22"/>
                      <w:lang w:val="fr-FR"/>
                    </w:rPr>
                    <w:t>3. Liste des zones géographique par vérificateur</w:t>
                  </w:r>
                  <w:bookmarkEnd w:id="3476"/>
                  <w:bookmarkEnd w:id="3478"/>
                </w:p>
                <w:p w:rsidR="00F04EEF" w:rsidRDefault="00F04EEF">
                  <w:pPr>
                    <w:rPr>
                      <w:lang w:val="fr-FR"/>
                    </w:rPr>
                  </w:pPr>
                </w:p>
                <w:tbl>
                  <w:tblPr>
                    <w:tblW w:w="10168" w:type="dxa"/>
                    <w:tblCellMar>
                      <w:left w:w="70" w:type="dxa"/>
                      <w:right w:w="70" w:type="dxa"/>
                    </w:tblCellMar>
                    <w:tblLook w:val="04A0" w:firstRow="1" w:lastRow="0" w:firstColumn="1" w:lastColumn="0" w:noHBand="0" w:noVBand="1"/>
                  </w:tblPr>
                  <w:tblGrid>
                    <w:gridCol w:w="1120"/>
                    <w:gridCol w:w="2561"/>
                    <w:gridCol w:w="2977"/>
                    <w:gridCol w:w="628"/>
                    <w:gridCol w:w="2882"/>
                  </w:tblGrid>
                  <w:tr w:rsidR="00F04EEF">
                    <w:trPr>
                      <w:cantSplit/>
                      <w:trHeight w:val="288"/>
                      <w:tblHeader/>
                    </w:trPr>
                    <w:tc>
                      <w:tcPr>
                        <w:tcW w:w="10168"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F04EEF" w:rsidRDefault="0099351E">
                        <w:pPr>
                          <w:jc w:val="center"/>
                          <w:rPr>
                            <w:rFonts w:eastAsia="Times New Roman" w:cs="Calibri"/>
                            <w:b/>
                            <w:bCs/>
                            <w:color w:val="000000"/>
                            <w:lang w:eastAsia="fr-BE"/>
                          </w:rPr>
                        </w:pPr>
                        <w:r>
                          <w:rPr>
                            <w:b/>
                            <w:lang w:val="fr-FR"/>
                          </w:rPr>
                          <w:t>Benoît DENEIRE</w:t>
                        </w:r>
                      </w:p>
                    </w:tc>
                  </w:tr>
                  <w:tr w:rsidR="00F04EEF">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CP</w:t>
                        </w:r>
                      </w:p>
                    </w:tc>
                    <w:tc>
                      <w:tcPr>
                        <w:tcW w:w="2882"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Localité</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ALEXANDRE HERLIN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Dilbeek,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1082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BERCHEM-SAINTE-AGATHE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MARRONNIERS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Zaman, 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FOREST</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TREMPLIN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Lusambo,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FOREST</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JOIE DE VIVRE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Jean-Joseph Crocq,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JETTE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DECOUVERTE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Louis de Brouckère, 29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GANSHOREN</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266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BOURGEONS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Van Overbeke,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GANSHOREN</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300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CIME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Merode, 398-400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FOREST</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CHAMP TOURNESOLS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Henri Van Bortonne,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JETTE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354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NICOLAS SMELTEN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MOLENBEEK-SAINT-JEAN</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376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CORDEE (fondamental)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Dries, 27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FOREST</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377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DU PARVIS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Louis Coenen,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SAINT-GILLES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391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 GABRIEL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Secours, 39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1210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SAINT-JOSSE-TEN-NOODE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STS JEAN &amp; NICOLAS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d'Anethan, 33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SCHAERBEEK</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795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Viviers au Bois, 50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7970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BELOEIL</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CENTRE JEAN HERBET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Faubourg de Charleroi, 3B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6041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GOSSELIES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Beaumont, 266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MARCHIENNE-AU-PONT</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Débarcadère, 100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MARCINELLE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960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CERISIERS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Tombe, 307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MARCINELLE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961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BOIS MARCELLE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Nalinnes, 630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MARCINELLE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971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MONTIGNIES-SUR-SAMBRE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972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SOLEIL LEVANT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Grimard, 175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MONTIGNIES-SUR-SAMBRE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MONTIGNIES-SUR-SAMBRE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1022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MURETS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Hubert Bayet,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COURCELLES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Larsimont, 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TRAZEGNIES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1062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EXUPERY FOND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LEERNES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EXUPERY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LEERNES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CORDEE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Culots, 28</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FONTAINE-L'EVEQUE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ARTISANALE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Wilmet,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MONTIGNY-LE-TILLEUL</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AMI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Gustave Boel, 25A</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LOUVIERE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EPSIS Roger Roch</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Auguste Brichant, 60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LOUVIERE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L'ENVOLEE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Pensionnat, 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HOUDENG-AIMERIES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Temple,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LOUVIERE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CLAIR LOGIS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Baume, 114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LOUVIERE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PIOLET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Franco-Belge, 55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LOUVIERE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Auguste Guerlement, 34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ANDERLUES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1487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Auguste Guerlement, 36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ANDERLUES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1511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REGIONALE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Clerfayt, 104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7131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WAUDREZ</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1531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STE CHRETIENNE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CHIMAY</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1532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STE CHRETIENNE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CHIMAY</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ARTHUR REGNIERS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lang w:val="nl-BE"/>
                          </w:rPr>
                        </w:pPr>
                        <w:r>
                          <w:rPr>
                            <w:rFonts w:cs="Calibri"/>
                            <w:color w:val="000000"/>
                            <w:lang w:val="nl-BE"/>
                          </w:rPr>
                          <w:t>Rue E. Drory Van Den Eynde,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6543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BIENNE-LEZ-HAPPART</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MOMIGNIES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MOMIGNIES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PIERRE DANAUX</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Crombouly, 74B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6530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THUIN</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1585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BRUYERES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Sanatorium, 74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6120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JAMIOULX</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1638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EPSIS Le Foyer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de Roucourt, 11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7601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ROUCOURT</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1739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PORTE 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Couvent,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7903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BLICQUY</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1740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FRANCOIS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Saint Martin, 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7900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LEUZE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2109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PETITE ECOLE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Churchill, 79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4420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MONTEGNEE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CLAIRVAL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Terre aux Ris,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6940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BARVAUX</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CLAIRVAL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Terre aux Ris,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6940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BARVAUX</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2607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Alliés, 32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6953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FORRIERES</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2981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REUMONJOIE/CLAIR VAL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de Reumont, 143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5020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MALONNE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2982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REUMONJOIE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de Reumont, 171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5020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MALONNE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2983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BERTHUIN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Fond de Malonne, 120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5020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MALONNE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3134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Calamine, 32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5600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PHILIPPEVILLE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3136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NOTRE DAME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Récollets,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5600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PHILIPPEVILLE</w:t>
                        </w:r>
                      </w:p>
                    </w:tc>
                  </w:tr>
                  <w:tr w:rsidR="00F04EEF">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95629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ARNAUD FRAITEUR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MOLENBEEK-ST-JEAN</w:t>
                        </w:r>
                      </w:p>
                    </w:tc>
                  </w:tr>
                </w:tbl>
                <w:p w:rsidR="00F04EEF" w:rsidRDefault="0099351E">
                  <w:pPr>
                    <w:rPr>
                      <w:lang w:val="fr-FR"/>
                    </w:rPr>
                  </w:pPr>
                  <w:r>
                    <w:rPr>
                      <w:lang w:val="fr-FR"/>
                    </w:rPr>
                    <w:br w:type="page"/>
                  </w:r>
                </w:p>
                <w:tbl>
                  <w:tblPr>
                    <w:tblW w:w="9835" w:type="dxa"/>
                    <w:tblCellMar>
                      <w:left w:w="70" w:type="dxa"/>
                      <w:right w:w="70" w:type="dxa"/>
                    </w:tblCellMar>
                    <w:tblLook w:val="04A0" w:firstRow="1" w:lastRow="0" w:firstColumn="1" w:lastColumn="0" w:noHBand="0" w:noVBand="1"/>
                  </w:tblPr>
                  <w:tblGrid>
                    <w:gridCol w:w="846"/>
                    <w:gridCol w:w="2693"/>
                    <w:gridCol w:w="3119"/>
                    <w:gridCol w:w="850"/>
                    <w:gridCol w:w="2327"/>
                  </w:tblGrid>
                  <w:tr w:rsidR="00F04EEF">
                    <w:trPr>
                      <w:cantSplit/>
                      <w:trHeight w:val="288"/>
                      <w:tblHeader/>
                    </w:trPr>
                    <w:tc>
                      <w:tcPr>
                        <w:tcW w:w="9835"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F04EEF" w:rsidRDefault="0099351E">
                        <w:pPr>
                          <w:jc w:val="center"/>
                          <w:rPr>
                            <w:rFonts w:eastAsia="Times New Roman" w:cs="Calibri"/>
                            <w:b/>
                            <w:bCs/>
                            <w:color w:val="000000"/>
                            <w:lang w:eastAsia="fr-BE"/>
                          </w:rPr>
                        </w:pPr>
                        <w:r>
                          <w:rPr>
                            <w:b/>
                            <w:lang w:val="fr-FR"/>
                          </w:rPr>
                          <w:t>Carine COSARO</w:t>
                        </w:r>
                      </w:p>
                    </w:tc>
                  </w:tr>
                  <w:tr w:rsidR="00F04EEF">
                    <w:trPr>
                      <w:cantSplit/>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Fase</w:t>
                        </w:r>
                      </w:p>
                    </w:tc>
                    <w:tc>
                      <w:tcPr>
                        <w:tcW w:w="2693"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Nom abrégé</w:t>
                        </w:r>
                      </w:p>
                    </w:tc>
                    <w:tc>
                      <w:tcPr>
                        <w:tcW w:w="3119"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Adresse</w:t>
                        </w:r>
                      </w:p>
                    </w:tc>
                    <w:tc>
                      <w:tcPr>
                        <w:tcW w:w="850"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CP</w:t>
                        </w:r>
                      </w:p>
                    </w:tc>
                    <w:tc>
                      <w:tcPr>
                        <w:tcW w:w="2327"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Localité</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Vétérinaires,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ANDERLECHT</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CHANTERELLE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Blaes,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BRUXELLES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CHARLES GHEUDE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Tanneurs, 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BRUXELLES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NOTRE DAME DE JOIE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Ernest Allard,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BRUXELLES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VLAESENDAEL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François Vekemans, 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NEDER-OVER-HEEMBEEK</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PARC ASTRID</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 Madrid,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BRUXELLES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JULES ANSPACH</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Vautour,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BRUXELLES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PAGODES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 Versailles, 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LAEKEN</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195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ROBERT DUBOIS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Jean-Joseph Crocq,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LAEKEN</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330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FAMILLE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Jean Jacquet, 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1081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KOEKELBERG</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MANOIR D'ANJOU</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Drève d'Argenteuil, 10C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WATERLOO</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L'ECOLE DE LA MAISON FAMILIALE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Soleil levant,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BRAINE-L'ALLEUD</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Guéménée, 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BRAINE-L'ALLEUD</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METIERS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du Malgras,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NIVELLES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670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 La Rochefoucault,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RIXENSART</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GRAND TOUR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Venelle de Terlongval, 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WAVRE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MOINEAUX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Venelle de Terlongval, 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WAVRE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726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CHARDONS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Acacias,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CHASTRE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CLAIRS VALLONS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Mont Saint-Guibert, 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OTTIGNIES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L'ESCALE FONDAM.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OTTIGNIES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768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JEAN BOSCO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Venelle des Sorbiers,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CHASTRE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L'EAU VIVE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Mine,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7012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FLENU</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1198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L'OREE DU 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Impasse de la Chapelle,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HAVRE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SAINT-VINCENT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France, 39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7034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OBOURG</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L'ESPERANCE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Joncquois,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L'ARBRE VERT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du Roeulx, 122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CPESM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Temple,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7011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GHLIN</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EPSESCF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Plat Rie, 345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QUAREGNON</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1288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CORDEE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Berchon,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WASMES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CLAIRIERE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Berchon, 161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WASMES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PLEIN AIR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Berchon, 163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WASMES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ROSERAIE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 la Houssière,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BRAINE-LE-COMTE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1407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SNARK</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Vivier, 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HOUDENG-AIMERIES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1409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ROCAILLES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Salvotte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HOUDENG-AIMERIES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à Rocs,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SOIGNIES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du Roeulx,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SOIGNIES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1541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IMCE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Maubeuge, 170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6560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ERQUELINNES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1990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IESPSCF E.MEYLAERS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Nicolas Spiroux, 62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GRIVEGNEE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2161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NOTRE DAME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l'Institut,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4632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CEREXHE-HEUSEUX</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2265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JOSEPH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Victor David, 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LIMBOURG</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2266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JOSEPH (primaire)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Victor David, 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LIMBOURG</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2810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FORGES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Quai de l'Industrie, 28C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5590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CINEY</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2811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CAPUCINES 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du Rond-Point, 12a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5580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ROCHEFORT</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2813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Saint-Pierre,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5590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CINEY</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2845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Cardijn,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5364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SCHALTIN</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3108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Roly,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MARIEMBOURG</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3122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DOMINIQUE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de l'Hôtel de Ville,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5620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FLORENNES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JEAN-BAPT. HERMAN</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d'Omezée,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5600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OMEZEE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4804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IRSA T6 et 8</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Waterloo, 1508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5697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L'ESCALPADE (fondamental)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Ferme des Bruyères, 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1348</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LOUVAIN-LA-NEUVE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5865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COLLINE DE L'EVEIL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Boulevard Ernest Solvay, 244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5982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des Pagodes, 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LAEKEN</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9999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CASCADES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Rieu du Cœur,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QUAREGNON</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 Les Acacias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Albert Thomas,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ANDRIMONT</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HAPCF Comblain-au-Pont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Sosson,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4170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COMBLAIN-AU-PONT</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MILMORT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Fexhe, 76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4041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MILMORT</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Mariembourg</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Roly,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MARIEMBOURG</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95077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ESCALE SECONDAIRE N°1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OTTIGNIES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95259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Ados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Heembeek, 127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BRUXELLES</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95316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CAPUCINES 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du Rond-Point, 12b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5580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ROCHEFORT</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95381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ESCALE SECONDAIRE N°2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 J. Pastur, 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95382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ESCALPADE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Albert 1er,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LIMAL</w:t>
                        </w:r>
                      </w:p>
                    </w:tc>
                  </w:tr>
                  <w:tr w:rsidR="00F04EEF">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95527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L'ESCALE FONDAM. 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Reine Fabiola,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OTTIGNIES</w:t>
                        </w:r>
                      </w:p>
                    </w:tc>
                  </w:tr>
                </w:tbl>
                <w:p w:rsidR="00F04EEF" w:rsidRDefault="00F04EEF">
                  <w:pPr>
                    <w:rPr>
                      <w:lang w:val="fr-FR"/>
                    </w:rPr>
                  </w:pPr>
                </w:p>
                <w:p w:rsidR="00F04EEF" w:rsidRDefault="0099351E">
                  <w:pPr>
                    <w:rPr>
                      <w:lang w:val="fr-FR"/>
                    </w:rPr>
                  </w:pPr>
                  <w:r>
                    <w:rPr>
                      <w:lang w:val="fr-FR"/>
                    </w:rPr>
                    <w:br w:type="page"/>
                  </w:r>
                </w:p>
                <w:tbl>
                  <w:tblPr>
                    <w:tblW w:w="9807" w:type="dxa"/>
                    <w:tblLayout w:type="fixed"/>
                    <w:tblCellMar>
                      <w:left w:w="70" w:type="dxa"/>
                      <w:right w:w="70" w:type="dxa"/>
                    </w:tblCellMar>
                    <w:tblLook w:val="04A0" w:firstRow="1" w:lastRow="0" w:firstColumn="1" w:lastColumn="0" w:noHBand="0" w:noVBand="1"/>
                  </w:tblPr>
                  <w:tblGrid>
                    <w:gridCol w:w="1129"/>
                    <w:gridCol w:w="2694"/>
                    <w:gridCol w:w="2988"/>
                    <w:gridCol w:w="697"/>
                    <w:gridCol w:w="2299"/>
                  </w:tblGrid>
                  <w:tr w:rsidR="00F04EEF">
                    <w:trPr>
                      <w:cantSplit/>
                      <w:trHeight w:val="288"/>
                      <w:tblHeader/>
                    </w:trPr>
                    <w:tc>
                      <w:tcPr>
                        <w:tcW w:w="9807"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F04EEF" w:rsidRDefault="0099351E">
                        <w:pPr>
                          <w:jc w:val="center"/>
                          <w:rPr>
                            <w:rFonts w:eastAsia="Times New Roman" w:cs="Calibri"/>
                            <w:b/>
                            <w:bCs/>
                            <w:color w:val="000000"/>
                            <w:lang w:eastAsia="fr-BE"/>
                          </w:rPr>
                        </w:pPr>
                        <w:r>
                          <w:rPr>
                            <w:b/>
                            <w:lang w:val="fr-FR"/>
                          </w:rPr>
                          <w:t>Samantha MATHAEY</w:t>
                        </w:r>
                      </w:p>
                    </w:tc>
                  </w:tr>
                  <w:tr w:rsidR="00F04EEF">
                    <w:trPr>
                      <w:cantSplit/>
                      <w:trHeight w:val="288"/>
                      <w:tblHeader/>
                    </w:trPr>
                    <w:tc>
                      <w:tcPr>
                        <w:tcW w:w="1129"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Fase</w:t>
                        </w:r>
                      </w:p>
                    </w:tc>
                    <w:tc>
                      <w:tcPr>
                        <w:tcW w:w="2694"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Nom abrégé</w:t>
                        </w:r>
                      </w:p>
                    </w:tc>
                    <w:tc>
                      <w:tcPr>
                        <w:tcW w:w="2988"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Adresse</w:t>
                        </w:r>
                      </w:p>
                    </w:tc>
                    <w:tc>
                      <w:tcPr>
                        <w:tcW w:w="697"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CP</w:t>
                        </w:r>
                      </w:p>
                    </w:tc>
                    <w:tc>
                      <w:tcPr>
                        <w:tcW w:w="2299" w:type="dxa"/>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Localité</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DESIRE DENUIT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du Catty,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LASNE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Loverval, 262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6200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CHATELET</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MONT CHEVREUIL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François Dimanche, 42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ROSELIES</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1584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Boutis, 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6120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NALINNES</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CHATEAU VERT (fond.)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BEN-AHIN</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CHATEAU VERT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BEN-AHIN</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STE CLAIRE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Larrons, 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HUY</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1865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ROCHES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Grottes, 20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4170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COMBLAIN-AU-PONT</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1906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CENTRE SPECIALISE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Jean Jaurès,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HERSTAL</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1989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 VINCENT FERRER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Boulevard de Froidmont, 10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2054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PARC ASTRID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Quai de Wallonie,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2056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LEOPOLD MOTTET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Sainte-Walburge,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2057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FONTAINEBLEAU</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Fexhe,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2060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ROBERT BRASSEUR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Jean d'Outremeuse, 57</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2061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IRHOV SECONDAIRE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Monulphe, 80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2062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CENTRE MAGHIN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Maghin,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2063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CASTORS A</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Sainte-Marguerite, 318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TRIXHES III</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Roi Albert, 102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4102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OUGREE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Davy,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SERAING</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SAINTE MARIE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Merlot, 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SERAING</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2138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BUISSONNIERE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Petit-Bourgogne, 21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SERAING</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2164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INST PROVINCIAL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Paul d'Andrimont, 24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4630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MICHEROUX</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2179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PARENTHESE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Berneau,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VISE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2197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 SAIVE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Champs,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4671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SAIVE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2210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L'ENVOL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Herdier,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FLEMALLE-HAUTE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2235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Albert de T'Serclaes,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4821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ANDRIMONT</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2300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EDOUARD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Route de l'Amblève, 88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4987</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STOUMONT</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2311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ÉCUREUILS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Hovémont, 32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4910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THEUX</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2350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EESSCF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Wallons, 59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VERVIERS</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2351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MAURICE HEUSE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Heusy, 98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VERVIERS</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2470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EPESLA</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Bastogne, 33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6700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ARLON</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 Croix-Blanche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Chapelle, 131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BASTOGNE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MARDASSON (primaire)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Maies, 29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BASTOGNE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2512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MARDASSON (secondaire)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Maies, 29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BASTOGNE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2533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EPESP</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 xml:space="preserve">Rue Dinez, 1 </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6661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HOUFFALIZE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2543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IESPSCF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Château, 19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6690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VIELSALM</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2574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VAL D'AISNE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Briscol, 12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6997</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EREZEE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2598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Mionvaux, 33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6900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WAHA - MARLOIE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2599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Mionvaux, 35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6900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WAHA - MARLOIE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2728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PROVIDENCE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Saint-Antoine, 199A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6740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ETALLE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2765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EPESP</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Nouvelle, 28B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6760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ETHE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2828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 « Le Caillou »</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d'Huart, 156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CINEY</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2881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VINCENT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Colonel Tachet des Combes, 15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5530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YVOIR</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2899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LAMBERT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d'Anton, 302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BONNEVILLE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Ciney, 246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ANDENNE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Sedent,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JAMBES</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2985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STE CLAIRE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l'Institut, 30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5004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BOUGE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3013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SITREE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Pierre Houbotte,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VEDRIN</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3014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 NICOLAS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Balart, 44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NAMUR</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3015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PLEIN AIR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Baron Fallon, 34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NAMUR</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3076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Mazy, 27A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5030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GEMBLOUX</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3086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Bosquet, 75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5060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AUVELAIS</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3145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IRHOV FONDAMENTAL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Monulphe, 78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5334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MARLOIE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Libert, 12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6900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MARCHE-EN-FAMENNE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5741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PETITE SOURCE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Wavre, 94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BOSSUT</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5870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CREVE-COEUR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Crève-Cœur,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FLEMALLE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 Piombino,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FLEMALLE-HAUTE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SAIVE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Champs,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4671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SAIVE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LIEGE-COINTE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Julien d'Andrimont, 26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HAPCF Saint-Mard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Morel, 71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6762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SAINT-MARD</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HAPCF Ciney</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d'Huart, 156 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CINEY</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95276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JEANNE ROMBAUT T1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Bonne Nouvelle 7b 1étage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95397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JOËLLE ROBINS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Quai de Wallonie,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LIEGE</w:t>
                        </w:r>
                      </w:p>
                    </w:tc>
                  </w:tr>
                  <w:tr w:rsidR="00F04EEF">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95630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L'EMBELLIE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Virée,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6880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BERTRIX</w:t>
                        </w:r>
                      </w:p>
                    </w:tc>
                  </w:tr>
                </w:tbl>
                <w:p w:rsidR="00F04EEF" w:rsidRDefault="00F04EEF">
                  <w:pPr>
                    <w:rPr>
                      <w:lang w:val="fr-FR"/>
                    </w:rPr>
                  </w:pPr>
                </w:p>
                <w:p w:rsidR="00F04EEF" w:rsidRDefault="0099351E">
                  <w:pPr>
                    <w:rPr>
                      <w:lang w:val="fr-FR"/>
                    </w:rPr>
                  </w:pPr>
                  <w:r>
                    <w:rPr>
                      <w:lang w:val="fr-FR"/>
                    </w:rPr>
                    <w:br w:type="page"/>
                  </w:r>
                </w:p>
                <w:tbl>
                  <w:tblPr>
                    <w:tblW w:w="5231" w:type="pct"/>
                    <w:tblCellMar>
                      <w:left w:w="70" w:type="dxa"/>
                      <w:right w:w="70" w:type="dxa"/>
                    </w:tblCellMar>
                    <w:tblLook w:val="04A0" w:firstRow="1" w:lastRow="0" w:firstColumn="1" w:lastColumn="0" w:noHBand="0" w:noVBand="1"/>
                  </w:tblPr>
                  <w:tblGrid>
                    <w:gridCol w:w="980"/>
                    <w:gridCol w:w="2424"/>
                    <w:gridCol w:w="2968"/>
                    <w:gridCol w:w="712"/>
                    <w:gridCol w:w="2692"/>
                  </w:tblGrid>
                  <w:tr w:rsidR="00F04EEF">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F04EEF" w:rsidRDefault="0099351E">
                        <w:pPr>
                          <w:jc w:val="center"/>
                          <w:rPr>
                            <w:rFonts w:eastAsia="Times New Roman" w:cs="Calibri"/>
                            <w:b/>
                            <w:bCs/>
                            <w:color w:val="000000"/>
                            <w:lang w:eastAsia="fr-BE"/>
                          </w:rPr>
                        </w:pPr>
                        <w:r>
                          <w:rPr>
                            <w:b/>
                            <w:lang w:val="fr-FR"/>
                          </w:rPr>
                          <w:t>Marie-Françoise BOULONNE</w:t>
                        </w:r>
                      </w:p>
                    </w:tc>
                  </w:tr>
                  <w:tr w:rsidR="00F04EEF">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rsidR="00F04EEF" w:rsidRDefault="0099351E">
                        <w:pPr>
                          <w:jc w:val="center"/>
                          <w:rPr>
                            <w:rFonts w:eastAsia="Times New Roman" w:cs="Calibri"/>
                            <w:b/>
                            <w:bCs/>
                            <w:color w:val="000000"/>
                            <w:lang w:eastAsia="fr-BE"/>
                          </w:rPr>
                        </w:pPr>
                        <w:r>
                          <w:rPr>
                            <w:rFonts w:eastAsia="Times New Roman" w:cs="Calibri"/>
                            <w:b/>
                            <w:bCs/>
                            <w:color w:val="000000"/>
                            <w:lang w:eastAsia="fr-BE"/>
                          </w:rPr>
                          <w:t>Localité</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SUREAUX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Boulevard Sylvain Dupuis, 112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ANDERLECHT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ACACIAS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Place Séverine, 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ANDERLECHT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STE BERNADETTE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AUDERGHEM</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Charles Schaller, 87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AUDERGHEM</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STE BERNADETTE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AUDERGHEM</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CARREFOURS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Fétis, 29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ETTERBEEK</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219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CBIMC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Père Eudore Devroye,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ETTERBEEK</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NAVIGATEURS - L'ECOLE EN MOUVEMENT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des Éperons d'Or,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IXELLES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ETOILE DU BERGER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Croix, 39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IXELLES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301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EDMOND PEETERS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Viaduc, 97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IXELLES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CHAZAL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Chazal,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SCHAERBEEK</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436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VALLEE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Grande Rue au Bois, 78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SCHAERBEEK</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471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BLES D'OR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Dieweg, 57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472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IRSA T7</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473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MERLO</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Merlo,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IRSA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475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DECROLY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476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ICPP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Polders, 51-53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481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DECROLY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UCCLE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CLAIRIERE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WATERMAEL-BOITSFORT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CLAIRIERE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WATERMAEL-BOITSFORT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524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ECOLE INTEGREE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Rive, 99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WOLUWE-SAINT-LAMBERT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525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CHARMILLE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 la Charmille,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WOLUWE-SAINT-LAMBERT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526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CETD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Albert Dumont, 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WOLUWE-SAINT-LAMBERT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JOLI BOIS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Val des Epinettes, 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1150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WOLUWE-SAINT-PIERRE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787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ITESS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Boulevard du Château,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ATH</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806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SAINTE-GERTRUDE (sec.)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Bauffe,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BRUGELETTE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807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SAINTE-GERTRUDE (fond.)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de Wisbecq,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BRUGELETTE</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828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IEPSESCF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Route de Lessines, 27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7911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FRASNES-LEZ-BUISSENAL</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1316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HENRI - AUBIERS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des Châteaux, 74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COMINES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Coquinie, 285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MOUSCRON</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TREMPLIN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Bouverie, 25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MOUSCRON</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BENGALIS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Rolleghem, 166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MOUSCRON</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1444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LESSINES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1445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AUDACIEUX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Parvis Saint Roch,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LESSINES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1622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TRIEUX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Cornet,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LEERS-NORD</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1623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LA GOELETTE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Mitoyen, 12B</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ESTAIMPUIS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1691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Co'Kain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KAIN</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1692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SAULCHOIR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des Combattants,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7503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FROYENNES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1693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Crampon, 43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TOURNAI</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1714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ILM</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Chaussée de Lille, 198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TOURNAI</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1720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 TREFLE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Lannoy, 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PECQ</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1752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Velbruck, 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AMAY</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1754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d'Ampsin,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AMAY</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1829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CASTORS ANS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Zoning, 120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4430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1850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JEAN XXIII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Cité Cowette,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4610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BEYNE-HEUSAY</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1859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JEAN XXIII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Basse Méhagne, 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EMBOURG</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1904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HENRI RIKIR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Fexhe, 76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MILMORT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1905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AU VERT VINAVE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Bouxthay,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VOTTEM</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1991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ANDREA JADOULLE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 Vaussale,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4031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ANGLEUR</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2390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JOSEPH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Émile Lejeune, 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4250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GEER</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2391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ST JOSEPH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Emile Lejeune, 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4250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GEER</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2400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ORCHIDEES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Huy, 28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4280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HANNUT</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2766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Morel, 71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SAINT-MARD</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5149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Saulchoir, 56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KAIN</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5163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Pecq</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Lannoy, 52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PECQ</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9997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HACF 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KAIN</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9998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HAPCF Lessines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LESSINES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95442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LIVENTOURNE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Avenue Reine Fabiola, 28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1340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OTTIGNIES</w:t>
                        </w:r>
                      </w:p>
                    </w:tc>
                  </w:tr>
                  <w:tr w:rsidR="00F04EEF">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95464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EEFS LES ASTRÔN'AUTES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Rue du Trône, 111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F04EEF" w:rsidRDefault="0099351E">
                        <w:pPr>
                          <w:rPr>
                            <w:rFonts w:cs="Calibri"/>
                            <w:color w:val="000000"/>
                          </w:rPr>
                        </w:pPr>
                        <w:r>
                          <w:rPr>
                            <w:rFonts w:cs="Calibri"/>
                            <w:color w:val="000000"/>
                          </w:rPr>
                          <w:t>IXELLES</w:t>
                        </w:r>
                      </w:p>
                    </w:tc>
                  </w:tr>
                </w:tbl>
                <w:p w:rsidR="00F04EEF" w:rsidRDefault="00F04EEF">
                  <w:pPr>
                    <w:rPr>
                      <w:lang w:val="fr-FR"/>
                    </w:rPr>
                  </w:pPr>
                </w:p>
                <w:p w:rsidR="00F04EEF" w:rsidRDefault="00F04EEF">
                  <w:pPr>
                    <w:rPr>
                      <w:lang w:val="fr-FR"/>
                    </w:rPr>
                  </w:pPr>
                </w:p>
                <w:p w:rsidR="00F04EEF" w:rsidRDefault="0099351E">
                  <w:pPr>
                    <w:rPr>
                      <w:lang w:val="fr-FR"/>
                    </w:rPr>
                  </w:pPr>
                  <w:r>
                    <w:rPr>
                      <w:lang w:val="fr-FR"/>
                    </w:rPr>
                    <w:br w:type="page"/>
                  </w:r>
                </w:p>
                <w:p w:rsidR="00F04EEF" w:rsidRDefault="0099351E">
                  <w:pPr>
                    <w:pStyle w:val="Titre3"/>
                    <w:rPr>
                      <w:sz w:val="22"/>
                      <w:szCs w:val="22"/>
                      <w:lang w:val="fr-FR"/>
                    </w:rPr>
                  </w:pPr>
                  <w:bookmarkStart w:id="3479" w:name="_4._Foire_aux"/>
                  <w:bookmarkStart w:id="3480" w:name="_Toc47708576"/>
                  <w:bookmarkEnd w:id="3479"/>
                  <w:r>
                    <w:rPr>
                      <w:sz w:val="22"/>
                      <w:szCs w:val="22"/>
                      <w:lang w:val="fr-FR"/>
                    </w:rPr>
                    <w:t>4. Foire aux questions</w:t>
                  </w:r>
                  <w:bookmarkEnd w:id="3480"/>
                </w:p>
                <w:p w:rsidR="00F04EEF" w:rsidRDefault="00F04EEF">
                  <w:pPr>
                    <w:jc w:val="both"/>
                    <w:rPr>
                      <w:lang w:val="fr-FR"/>
                    </w:rPr>
                  </w:pPr>
                </w:p>
                <w:p w:rsidR="00F04EEF" w:rsidRDefault="0099351E">
                  <w:pPr>
                    <w:jc w:val="both"/>
                    <w:rPr>
                      <w:b/>
                    </w:rPr>
                  </w:pPr>
                  <w:r>
                    <w:rPr>
                      <w:b/>
                    </w:rPr>
                    <w:t xml:space="preserve">1) S’il y a un recomptage à la baisse au 30/09, le chef d’établissement ou le PO doit-il mettre fin au contrat voire placer le membre du personnel en disponibilité par défaut d’emploi après le 30/09 ou après le passage du vérificateur? </w:t>
                  </w:r>
                </w:p>
                <w:p w:rsidR="00F04EEF" w:rsidRDefault="0099351E">
                  <w:pPr>
                    <w:jc w:val="both"/>
                  </w:pPr>
                  <w:r>
                    <w:t xml:space="preserve">La direction ou le PO doit prendre les dispositions nécessaires pour mettre fin au contrat ou placer le membre du personnel en disponibilité par défaut d’emploi dès le 30/09. </w:t>
                  </w:r>
                </w:p>
                <w:p w:rsidR="00F04EEF" w:rsidRDefault="0099351E">
                  <w:pPr>
                    <w:jc w:val="both"/>
                  </w:pPr>
                  <w:r>
                    <w:t>A partir du 01/10 c’est le nouveau capital période qui prendra cours. Si la direction ou le PO souhaite conserver son personnel jusqu’au passage du vérificateur ce sera le PO de l’école qui devra assumer le paiement du traitement du membre du personnel à due concurrence.</w:t>
                  </w:r>
                </w:p>
                <w:p w:rsidR="00F04EEF" w:rsidRDefault="00F04EEF">
                  <w:pPr>
                    <w:jc w:val="both"/>
                  </w:pPr>
                </w:p>
                <w:p w:rsidR="00F04EEF" w:rsidRDefault="0099351E">
                  <w:pPr>
                    <w:jc w:val="both"/>
                    <w:rPr>
                      <w:b/>
                    </w:rPr>
                  </w:pPr>
                  <w:r>
                    <w:rPr>
                      <w:b/>
                    </w:rPr>
                    <w:t xml:space="preserve">2) Lorsqu’il n’y a pas de variation de 5% au 30/09 et que le vérificateur viendrait à décompter un ou plusieurs élèves et que l’école serait suite au décompte des élèves en variation à la baisse, que se passe-t-il si la direction a conservé tout son personnel ? </w:t>
                  </w:r>
                </w:p>
                <w:p w:rsidR="00F04EEF" w:rsidRDefault="0099351E">
                  <w:pPr>
                    <w:jc w:val="both"/>
                  </w:pPr>
                  <w:r>
                    <w:t>Ce sera le PO de l’école qui devra prendre en charge la différence.</w:t>
                  </w:r>
                </w:p>
                <w:p w:rsidR="00F04EEF" w:rsidRDefault="00F04EEF">
                  <w:pPr>
                    <w:jc w:val="both"/>
                  </w:pPr>
                </w:p>
                <w:p w:rsidR="00F04EEF" w:rsidRDefault="0099351E">
                  <w:pPr>
                    <w:jc w:val="both"/>
                    <w:rPr>
                      <w:b/>
                    </w:rPr>
                  </w:pPr>
                  <w:r>
                    <w:rPr>
                      <w:b/>
                    </w:rPr>
                    <w:t>3) Un élève inscrit dans une école spécialisée et dans une école de type 5 est-il comptabilisable dans les deux écoles ?</w:t>
                  </w:r>
                </w:p>
                <w:p w:rsidR="00F04EEF" w:rsidRDefault="0099351E">
                  <w:pPr>
                    <w:jc w:val="both"/>
                  </w:pPr>
                  <w:r>
                    <w:t>Un élève qui relève de l’enseignement spécialisé de type 3 par exemple et qui est relève également de l’enseignement spécialisé de type 5 bénéficie d’une double inscription. Il est comptabilisé dans les deux écoles pour autant que l’école d’origine de type 3 ait un certificat médical couvrant l’élève pour la période du comptage. Il compte dans l’école de type 3 pour le comptage enseignant mais pas pour le paramédical (car il en bénéficie déjà dans l’école de type 5) sauf dérogation accordée par le Gouvernement pour des élèves externes en raison de leur handicap.</w:t>
                  </w:r>
                </w:p>
                <w:p w:rsidR="00F04EEF" w:rsidRDefault="00F04EEF">
                  <w:pPr>
                    <w:jc w:val="both"/>
                  </w:pPr>
                </w:p>
                <w:p w:rsidR="00F04EEF" w:rsidRDefault="0099351E">
                  <w:pPr>
                    <w:jc w:val="both"/>
                    <w:rPr>
                      <w:b/>
                    </w:rPr>
                  </w:pPr>
                  <w:r>
                    <w:rPr>
                      <w:b/>
                    </w:rPr>
                    <w:t>4) Lorsqu’un élève est en « enseignement à domicile », la direction peut-elle utiliser les périodes dès le 1er septembre ou doit-elle attendre le comptage de la population scolaire au 30 septembre ?</w:t>
                  </w:r>
                </w:p>
                <w:p w:rsidR="00F04EEF" w:rsidRDefault="0099351E">
                  <w:pPr>
                    <w:jc w:val="both"/>
                  </w:pPr>
                  <w:r>
                    <w:t>Si la commission consultative a marqué son accord pour l’année scolaire en cours (dérogation à demander s’il n’y a pas d’accord pour l’année scolaire en cours), la direction peut utiliser les périodes dès le 1er septembre. Un élève à domicile est comptabilisable s’il est considéré comme régulier (selon le décret du spécialisé) mais l’élève à domicile n’étant pas repris dans la dépêche du 15/01 de l’année scolaire passée qui détermine l’encadrement au 1</w:t>
                  </w:r>
                  <w:r>
                    <w:rPr>
                      <w:vertAlign w:val="superscript"/>
                    </w:rPr>
                    <w:t>er</w:t>
                  </w:r>
                  <w:r>
                    <w:t xml:space="preserve"> septembre suivant, l’élève à domicile sera comptabilisé dans la dépêche du 30/09. On peut donc considérer que les périodes pour l’élève à domicile sont valables dès le 1er septembre.</w:t>
                  </w:r>
                </w:p>
                <w:p w:rsidR="00F04EEF" w:rsidRDefault="00F04EEF">
                  <w:pPr>
                    <w:jc w:val="both"/>
                  </w:pPr>
                </w:p>
                <w:p w:rsidR="00F04EEF" w:rsidRDefault="0099351E">
                  <w:pPr>
                    <w:jc w:val="both"/>
                    <w:rPr>
                      <w:b/>
                    </w:rPr>
                  </w:pPr>
                  <w:r>
                    <w:rPr>
                      <w:b/>
                    </w:rPr>
                    <w:t xml:space="preserve">5) Un élève qui a 12 ans et qui n’a jamais fréquenté un établissement d’enseignement spécialisé peut-il être inscrit dans un établissement d’enseignement secondaire spécialisé ? </w:t>
                  </w:r>
                </w:p>
                <w:p w:rsidR="00F04EEF" w:rsidRDefault="0099351E">
                  <w:pPr>
                    <w:jc w:val="both"/>
                  </w:pPr>
                  <w:r>
                    <w:t xml:space="preserve">Pour toute nouvelle inscription d’un élève dans une école spécialisée, la direction de l’école doit avoir une attestation d’orientation pour l’élève. La direction de l’école se réfèrera au niveau indiqué sur l’attestation d’orientation émise par le CPMS ou par le médecin habilité à délivrer une attestation d’orientation. Si l’attestation d’orientation mentionne que l’élève relève du niveau fondamental par exemple, l’élève ne pourra pas être inscrit dans une école secondaire spécialisée. </w:t>
                  </w:r>
                </w:p>
                <w:p w:rsidR="00F04EEF" w:rsidRDefault="00F04EEF">
                  <w:pPr>
                    <w:jc w:val="both"/>
                  </w:pPr>
                </w:p>
                <w:p w:rsidR="00F04EEF" w:rsidRDefault="0099351E">
                  <w:pPr>
                    <w:jc w:val="both"/>
                  </w:pPr>
                  <w:r>
                    <w:t>Cela est identique pour un élève en âge d’être inscrit dans l’enseignement primaire spécialisé et qui serait toujours de niveau maternel sur l’attestation d’orientation, il doit dans ce cas être comptabilisé dans le niveau maternel.</w:t>
                  </w:r>
                </w:p>
                <w:p w:rsidR="00F04EEF" w:rsidRDefault="00F04EEF">
                  <w:pPr>
                    <w:jc w:val="both"/>
                  </w:pPr>
                </w:p>
                <w:p w:rsidR="00F04EEF" w:rsidRDefault="00F04EEF">
                  <w:pPr>
                    <w:jc w:val="both"/>
                  </w:pPr>
                </w:p>
                <w:p w:rsidR="00F04EEF" w:rsidRDefault="0099351E">
                  <w:pPr>
                    <w:jc w:val="both"/>
                    <w:rPr>
                      <w:b/>
                    </w:rPr>
                  </w:pPr>
                  <w:r>
                    <w:rPr>
                      <w:b/>
                    </w:rPr>
                    <w:br w:type="page"/>
                    <w:t>6) Quand faut-il faire un registre de fréquentation dans l’école d’enseignement spécialisé pour les élèves en intégration ?</w:t>
                  </w:r>
                </w:p>
                <w:p w:rsidR="00F04EEF" w:rsidRDefault="0099351E">
                  <w:pPr>
                    <w:jc w:val="both"/>
                  </w:pPr>
                  <w:r>
                    <w:t>Les présences de tous les élèves intégrés doivent être reprises dans un registre de fréquentation avec les justificatifs d’absences. Si un élève est en absence injustifiée et qu’il a atteint le quota de nombre de demi-jours d’absence injustifiée, c’est à la direction de l’établissement d’enseignement spécialisé de faire le(s) signalement(s) à la DGEO.</w:t>
                  </w:r>
                </w:p>
                <w:p w:rsidR="00F04EEF" w:rsidRDefault="00F04EEF">
                  <w:pPr>
                    <w:jc w:val="both"/>
                  </w:pPr>
                </w:p>
                <w:p w:rsidR="00F04EEF" w:rsidRDefault="0099351E">
                  <w:pPr>
                    <w:jc w:val="both"/>
                    <w:rPr>
                      <w:b/>
                    </w:rPr>
                  </w:pPr>
                  <w:r>
                    <w:rPr>
                      <w:b/>
                    </w:rPr>
                    <w:t>7) Que faut-il présenter comme document pour un élève débutant l’intégration ?</w:t>
                  </w:r>
                </w:p>
                <w:p w:rsidR="00F04EEF" w:rsidRDefault="0099351E">
                  <w:pPr>
                    <w:jc w:val="both"/>
                  </w:pPr>
                  <w:r>
                    <w:t>Le dossier administratif complet de l’élève (identique au dossier d’un élève inscrit dans l’école) et le protocole d’intégration (annexe 2).</w:t>
                  </w:r>
                </w:p>
                <w:p w:rsidR="00F04EEF" w:rsidRDefault="00F04EEF">
                  <w:pPr>
                    <w:jc w:val="both"/>
                    <w:rPr>
                      <w:lang w:val="fr-FR"/>
                    </w:rPr>
                  </w:pPr>
                </w:p>
                <w:p w:rsidR="00F04EEF" w:rsidRDefault="0099351E">
                  <w:pPr>
                    <w:jc w:val="both"/>
                    <w:rPr>
                      <w:b/>
                    </w:rPr>
                  </w:pPr>
                  <w:r>
                    <w:rPr>
                      <w:b/>
                    </w:rPr>
                    <w:t>8) Peut-on modifier une attestation de type vers le T5 ?</w:t>
                  </w:r>
                </w:p>
                <w:p w:rsidR="00F04EEF" w:rsidRDefault="00F04EEF">
                  <w:pPr>
                    <w:jc w:val="both"/>
                  </w:pPr>
                </w:p>
                <w:p w:rsidR="00F04EEF" w:rsidRDefault="0099351E">
                  <w:pPr>
                    <w:jc w:val="both"/>
                  </w:pPr>
                  <w:r>
                    <w:t>Non, une nouvelle attestation doit être rédigée par un pédiatre ou un médecin-chef de clinique.</w:t>
                  </w:r>
                </w:p>
                <w:p w:rsidR="00F04EEF" w:rsidRDefault="00F04EEF">
                  <w:pPr>
                    <w:jc w:val="both"/>
                  </w:pPr>
                </w:p>
                <w:p w:rsidR="00F04EEF" w:rsidRDefault="0099351E">
                  <w:pPr>
                    <w:jc w:val="both"/>
                    <w:rPr>
                      <w:b/>
                    </w:rPr>
                  </w:pPr>
                  <w:r>
                    <w:rPr>
                      <w:b/>
                    </w:rPr>
                    <w:t xml:space="preserve">9) Je n’arrive pas à dénoncer par le formulaire électronique un élève proche de sa majorité. </w:t>
                  </w:r>
                </w:p>
                <w:p w:rsidR="00F04EEF" w:rsidRDefault="00F04EEF">
                  <w:pPr>
                    <w:jc w:val="both"/>
                  </w:pPr>
                </w:p>
                <w:p w:rsidR="00F04EEF" w:rsidRDefault="0099351E">
                  <w:pPr>
                    <w:jc w:val="both"/>
                    <w:rPr>
                      <w:color w:val="0A0A0A"/>
                      <w:spacing w:val="2"/>
                    </w:rPr>
                  </w:pPr>
                  <w:r>
                    <w:rPr>
                      <w:color w:val="0A0A0A"/>
                      <w:spacing w:val="2"/>
                    </w:rPr>
                    <w:t>Si l’élève atteint par exemple l’âge de 18 ans le 31 décembre 2018, l’obligation scolaire s’arrête au 30/06/2018. Ainsi à partir du 1</w:t>
                  </w:r>
                  <w:r>
                    <w:rPr>
                      <w:color w:val="0A0A0A"/>
                      <w:spacing w:val="2"/>
                      <w:vertAlign w:val="superscript"/>
                    </w:rPr>
                    <w:t>er</w:t>
                  </w:r>
                  <w:r>
                    <w:rPr>
                      <w:color w:val="0A0A0A"/>
                      <w:spacing w:val="2"/>
                    </w:rPr>
                    <w:t xml:space="preserve"> septembre 2018, il n’est plus soumis à l’obligation scolaire et par conséquent, l’application n’enregistrera plus ses absences injustifiées éventuelles.</w:t>
                  </w:r>
                </w:p>
                <w:p w:rsidR="00F04EEF" w:rsidRDefault="00F04EEF">
                  <w:pPr>
                    <w:jc w:val="both"/>
                    <w:rPr>
                      <w:color w:val="0A0A0A"/>
                      <w:spacing w:val="2"/>
                    </w:rPr>
                  </w:pPr>
                </w:p>
                <w:p w:rsidR="00F04EEF" w:rsidRDefault="0099351E">
                  <w:pPr>
                    <w:jc w:val="both"/>
                    <w:rPr>
                      <w:b/>
                    </w:rPr>
                  </w:pPr>
                  <w:r>
                    <w:rPr>
                      <w:b/>
                    </w:rPr>
                    <w:t>10) Quand doit-on rédiger une attestation « changement de forme » dans l’enseignement secondaire spécialisé ?</w:t>
                  </w:r>
                </w:p>
                <w:p w:rsidR="00F04EEF" w:rsidRDefault="00F04EEF">
                  <w:pPr>
                    <w:jc w:val="both"/>
                  </w:pPr>
                </w:p>
                <w:p w:rsidR="00F04EEF" w:rsidRDefault="0099351E">
                  <w:pPr>
                    <w:jc w:val="both"/>
                  </w:pPr>
                  <w:r>
                    <w:t>Cette attestation ne doit être rédigée que si l’élève change de forme au sein de son école, elle émane du conseil de classe qui décide du changement.</w:t>
                  </w:r>
                </w:p>
                <w:p w:rsidR="00F04EEF" w:rsidRDefault="0099351E">
                  <w:pPr>
                    <w:jc w:val="both"/>
                  </w:pPr>
                  <w:r>
                    <w:t xml:space="preserve">Lorsque l’élève change d’établissement scolaire, l’école d’origine n’est pas tenue de  rédiger ladite attestation. En effet, le type mentionné sur l’attestation détermine intrinsèquement  la forme ou les formes dont l’élève est susceptible de relever. </w:t>
                  </w:r>
                </w:p>
                <w:p w:rsidR="00F04EEF" w:rsidRDefault="00F04EEF">
                  <w:pPr>
                    <w:jc w:val="both"/>
                  </w:pPr>
                </w:p>
                <w:p w:rsidR="00F04EEF" w:rsidRDefault="0099351E">
                  <w:pPr>
                    <w:jc w:val="both"/>
                    <w:rPr>
                      <w:rFonts w:cs="Calibri Light"/>
                      <w:b/>
                      <w:bCs/>
                    </w:rPr>
                  </w:pPr>
                  <w:r>
                    <w:rPr>
                      <w:rFonts w:cs="Calibri Light"/>
                      <w:b/>
                      <w:bCs/>
                    </w:rPr>
                    <w:t>11) Quand doit-on demander une dérogation d’âge pour raison pédagogique ?</w:t>
                  </w:r>
                </w:p>
                <w:p w:rsidR="00F04EEF" w:rsidRDefault="00F04EEF">
                  <w:pPr>
                    <w:jc w:val="both"/>
                    <w:rPr>
                      <w:rFonts w:cs="Calibri Light"/>
                    </w:rPr>
                  </w:pPr>
                </w:p>
                <w:p w:rsidR="00F04EEF" w:rsidRDefault="0099351E">
                  <w:pPr>
                    <w:jc w:val="both"/>
                    <w:rPr>
                      <w:rFonts w:cs="Calibri Light"/>
                    </w:rPr>
                  </w:pPr>
                  <w:r>
                    <w:rPr>
                      <w:rFonts w:cs="Calibri Light"/>
                    </w:rPr>
                    <w:t>Pour obtenir la dérogation, l’élève doit remplir les conditions suivantes :</w:t>
                  </w:r>
                </w:p>
                <w:p w:rsidR="00F04EEF" w:rsidRDefault="0099351E">
                  <w:pPr>
                    <w:pStyle w:val="Paragraphedeliste"/>
                    <w:numPr>
                      <w:ilvl w:val="0"/>
                      <w:numId w:val="67"/>
                    </w:numPr>
                    <w:suppressAutoHyphens w:val="0"/>
                    <w:jc w:val="both"/>
                    <w:rPr>
                      <w:rFonts w:ascii="Calibri Light" w:hAnsi="Calibri Light" w:cs="Calibri Light"/>
                      <w:sz w:val="22"/>
                      <w:szCs w:val="22"/>
                    </w:rPr>
                  </w:pPr>
                  <w:r>
                    <w:rPr>
                      <w:rFonts w:ascii="Calibri Light" w:hAnsi="Calibri Light" w:cs="Calibri Light"/>
                      <w:sz w:val="22"/>
                      <w:szCs w:val="22"/>
                    </w:rPr>
                    <w:t>avoir plus de 21 ans AVANT le 31 août de l’année scolaire en cours ;</w:t>
                  </w:r>
                </w:p>
                <w:p w:rsidR="00F04EEF" w:rsidRDefault="0099351E">
                  <w:pPr>
                    <w:pStyle w:val="Paragraphedeliste"/>
                    <w:numPr>
                      <w:ilvl w:val="0"/>
                      <w:numId w:val="67"/>
                    </w:numPr>
                    <w:suppressAutoHyphens w:val="0"/>
                    <w:jc w:val="both"/>
                    <w:rPr>
                      <w:rFonts w:ascii="Calibri Light" w:hAnsi="Calibri Light" w:cs="Calibri Light"/>
                      <w:sz w:val="22"/>
                      <w:szCs w:val="22"/>
                    </w:rPr>
                  </w:pPr>
                  <w:r>
                    <w:rPr>
                      <w:rFonts w:ascii="Calibri Light" w:hAnsi="Calibri Light" w:cs="Calibri Light"/>
                      <w:sz w:val="22"/>
                      <w:szCs w:val="22"/>
                    </w:rPr>
                    <w:t>avoir déjà suivi une 3</w:t>
                  </w:r>
                  <w:r>
                    <w:rPr>
                      <w:rFonts w:ascii="Calibri Light" w:hAnsi="Calibri Light" w:cs="Calibri Light"/>
                      <w:sz w:val="22"/>
                      <w:szCs w:val="22"/>
                      <w:vertAlign w:val="superscript"/>
                    </w:rPr>
                    <w:t>ème</w:t>
                  </w:r>
                  <w:r>
                    <w:rPr>
                      <w:rFonts w:ascii="Calibri Light" w:hAnsi="Calibri Light" w:cs="Calibri Light"/>
                      <w:sz w:val="22"/>
                      <w:szCs w:val="22"/>
                    </w:rPr>
                    <w:t xml:space="preserve"> phase dans toute sa scolarité.</w:t>
                  </w:r>
                </w:p>
                <w:p w:rsidR="00F04EEF" w:rsidRDefault="00F04EEF">
                  <w:pPr>
                    <w:pStyle w:val="Paragraphedeliste"/>
                    <w:ind w:left="660"/>
                    <w:jc w:val="both"/>
                    <w:rPr>
                      <w:rFonts w:ascii="Calibri Light" w:hAnsi="Calibri Light" w:cs="Calibri Light"/>
                      <w:sz w:val="22"/>
                      <w:szCs w:val="22"/>
                    </w:rPr>
                  </w:pPr>
                </w:p>
                <w:p w:rsidR="00F04EEF" w:rsidRDefault="0099351E">
                  <w:pPr>
                    <w:jc w:val="both"/>
                    <w:rPr>
                      <w:rFonts w:cs="Calibri Light"/>
                    </w:rPr>
                  </w:pPr>
                  <w:r>
                    <w:rPr>
                      <w:rFonts w:cs="Calibri Light"/>
                    </w:rPr>
                    <w:t>En aucun cas la dérogation ne sera acceptée :</w:t>
                  </w:r>
                </w:p>
                <w:p w:rsidR="00F04EEF" w:rsidRDefault="0099351E">
                  <w:pPr>
                    <w:pStyle w:val="Paragraphedeliste"/>
                    <w:numPr>
                      <w:ilvl w:val="0"/>
                      <w:numId w:val="67"/>
                    </w:numPr>
                    <w:suppressAutoHyphens w:val="0"/>
                    <w:jc w:val="both"/>
                    <w:rPr>
                      <w:rFonts w:ascii="Calibri Light" w:hAnsi="Calibri Light" w:cs="Calibri Light"/>
                      <w:sz w:val="22"/>
                      <w:szCs w:val="22"/>
                    </w:rPr>
                  </w:pPr>
                  <w:r>
                    <w:rPr>
                      <w:rFonts w:ascii="Calibri Light" w:hAnsi="Calibri Light" w:cs="Calibri Light"/>
                      <w:sz w:val="22"/>
                      <w:szCs w:val="22"/>
                    </w:rPr>
                    <w:t>pour un changement de secteur professionnel ;</w:t>
                  </w:r>
                </w:p>
                <w:p w:rsidR="00F04EEF" w:rsidRDefault="0099351E">
                  <w:pPr>
                    <w:pStyle w:val="Paragraphedeliste"/>
                    <w:numPr>
                      <w:ilvl w:val="0"/>
                      <w:numId w:val="67"/>
                    </w:numPr>
                    <w:suppressAutoHyphens w:val="0"/>
                    <w:jc w:val="both"/>
                    <w:rPr>
                      <w:rFonts w:ascii="Calibri Light" w:hAnsi="Calibri Light" w:cs="Calibri Light"/>
                      <w:sz w:val="22"/>
                      <w:szCs w:val="22"/>
                    </w:rPr>
                  </w:pPr>
                  <w:r>
                    <w:rPr>
                      <w:rFonts w:ascii="Calibri Light" w:hAnsi="Calibri Light" w:cs="Calibri Light"/>
                      <w:sz w:val="22"/>
                      <w:szCs w:val="22"/>
                    </w:rPr>
                    <w:t>pour un changement de groupe professionnel ;</w:t>
                  </w:r>
                </w:p>
                <w:p w:rsidR="00F04EEF" w:rsidRDefault="0099351E">
                  <w:pPr>
                    <w:ind w:left="300"/>
                    <w:jc w:val="both"/>
                    <w:rPr>
                      <w:rFonts w:cs="Calibri Light"/>
                    </w:rPr>
                  </w:pPr>
                  <w:r>
                    <w:rPr>
                      <w:rFonts w:cs="Calibri Light"/>
                    </w:rPr>
                    <w:t>En effet, le Décret organisant l’enseignement spécialisé ne le prévoit pas.</w:t>
                  </w:r>
                </w:p>
                <w:p w:rsidR="00F04EEF" w:rsidRDefault="00F04EEF">
                  <w:pPr>
                    <w:ind w:left="300"/>
                    <w:jc w:val="both"/>
                    <w:rPr>
                      <w:rFonts w:cs="Calibri Light"/>
                    </w:rPr>
                  </w:pPr>
                </w:p>
                <w:p w:rsidR="00F04EEF" w:rsidRDefault="0099351E">
                  <w:pPr>
                    <w:jc w:val="both"/>
                    <w:rPr>
                      <w:rFonts w:cs="Calibri Light"/>
                      <w:b/>
                      <w:bCs/>
                    </w:rPr>
                  </w:pPr>
                  <w:r>
                    <w:rPr>
                      <w:rFonts w:cs="Calibri Light"/>
                      <w:b/>
                      <w:bCs/>
                    </w:rPr>
                    <w:t>12) Un élève n’a jamais entamé de 3</w:t>
                  </w:r>
                  <w:r>
                    <w:rPr>
                      <w:rFonts w:cs="Calibri Light"/>
                      <w:b/>
                      <w:bCs/>
                      <w:vertAlign w:val="superscript"/>
                    </w:rPr>
                    <w:t>ème</w:t>
                  </w:r>
                  <w:r>
                    <w:rPr>
                      <w:rFonts w:cs="Calibri Light"/>
                      <w:b/>
                      <w:bCs/>
                    </w:rPr>
                    <w:t xml:space="preserve"> phase. Il est toujours en seconde phase à l’âge de 22 ans. Doit-on demander une dérogation pour des raisons pédagogiques ?</w:t>
                  </w:r>
                </w:p>
                <w:p w:rsidR="00F04EEF" w:rsidRDefault="00F04EEF">
                  <w:pPr>
                    <w:jc w:val="both"/>
                    <w:rPr>
                      <w:rFonts w:cs="Calibri Light"/>
                    </w:rPr>
                  </w:pPr>
                </w:p>
                <w:p w:rsidR="00F04EEF" w:rsidRDefault="0099351E">
                  <w:pPr>
                    <w:jc w:val="both"/>
                    <w:rPr>
                      <w:rFonts w:cs="Calibri Light"/>
                    </w:rPr>
                  </w:pPr>
                  <w:r>
                    <w:rPr>
                      <w:rFonts w:cs="Calibri Light"/>
                    </w:rPr>
                    <w:t>Non. Il faut qu’il ait commencé une 3</w:t>
                  </w:r>
                  <w:r>
                    <w:rPr>
                      <w:rFonts w:cs="Calibri Light"/>
                      <w:vertAlign w:val="superscript"/>
                    </w:rPr>
                    <w:t>ème</w:t>
                  </w:r>
                  <w:r>
                    <w:rPr>
                      <w:rFonts w:cs="Calibri Light"/>
                    </w:rPr>
                    <w:t xml:space="preserve"> phase pour demande</w:t>
                  </w:r>
                  <w:r>
                    <w:rPr>
                      <w:rFonts w:cs="Calibri Light"/>
                      <w:color w:val="1F497D"/>
                    </w:rPr>
                    <w:t>r</w:t>
                  </w:r>
                  <w:r>
                    <w:rPr>
                      <w:rFonts w:cs="Calibri Light"/>
                    </w:rPr>
                    <w:t xml:space="preserve"> la dérogation pour raisons pédagogiques.</w:t>
                  </w:r>
                </w:p>
                <w:p w:rsidR="00F04EEF" w:rsidRDefault="00F04EEF">
                  <w:pPr>
                    <w:jc w:val="both"/>
                    <w:rPr>
                      <w:rFonts w:cs="Calibri Light"/>
                    </w:rPr>
                  </w:pPr>
                </w:p>
                <w:p w:rsidR="00F04EEF" w:rsidRDefault="0099351E">
                  <w:pPr>
                    <w:jc w:val="both"/>
                    <w:rPr>
                      <w:rFonts w:cs="Calibri Light"/>
                      <w:b/>
                      <w:bCs/>
                    </w:rPr>
                  </w:pPr>
                  <w:r>
                    <w:rPr>
                      <w:rFonts w:cs="Calibri Light"/>
                      <w:b/>
                      <w:bCs/>
                    </w:rPr>
                    <w:br w:type="page"/>
                    <w:t>13) Un de mes élèves a réussi les qualifications de « commis de salle » et « commis de cuisine ». Il souhaiterait poursuivre une nouvelle formation d’« aide-électricien ». J’ai donc introduit une demande de dérogation mais l’Administration l’a refusée. Pour quelles raisons ?</w:t>
                  </w:r>
                </w:p>
                <w:p w:rsidR="00F04EEF" w:rsidRDefault="00F04EEF">
                  <w:pPr>
                    <w:jc w:val="both"/>
                    <w:rPr>
                      <w:rFonts w:cs="Calibri Light"/>
                    </w:rPr>
                  </w:pPr>
                </w:p>
                <w:p w:rsidR="00F04EEF" w:rsidRDefault="0099351E">
                  <w:pPr>
                    <w:jc w:val="both"/>
                    <w:rPr>
                      <w:rFonts w:cs="Calibri Light"/>
                    </w:rPr>
                  </w:pPr>
                  <w:r>
                    <w:rPr>
                      <w:rFonts w:cs="Calibri Light"/>
                    </w:rPr>
                    <w:t>Le Décret organisant l’enseignement spécialisé ne prévoit pas qu’un élève change de secteur et/ou de groupe professionnel.</w:t>
                  </w:r>
                </w:p>
                <w:p w:rsidR="00F04EEF" w:rsidRDefault="00F04EEF">
                  <w:pPr>
                    <w:jc w:val="both"/>
                    <w:rPr>
                      <w:rFonts w:cs="Calibri Light"/>
                    </w:rPr>
                  </w:pPr>
                </w:p>
                <w:p w:rsidR="00F04EEF" w:rsidRDefault="0099351E">
                  <w:pPr>
                    <w:jc w:val="both"/>
                    <w:rPr>
                      <w:rFonts w:cs="Calibri Light"/>
                      <w:b/>
                      <w:bCs/>
                    </w:rPr>
                  </w:pPr>
                  <w:r>
                    <w:rPr>
                      <w:rFonts w:cs="Calibri Light"/>
                      <w:b/>
                      <w:bCs/>
                    </w:rPr>
                    <w:t>14) Est-ce qu’un élève âgé de plus de 21 ans peut obtenir autant de dérogation pour raisons pédagogiques qu’il le souhaite ?</w:t>
                  </w:r>
                </w:p>
                <w:p w:rsidR="00F04EEF" w:rsidRDefault="00F04EEF">
                  <w:pPr>
                    <w:jc w:val="both"/>
                    <w:rPr>
                      <w:rFonts w:cs="Calibri Light"/>
                    </w:rPr>
                  </w:pPr>
                </w:p>
                <w:p w:rsidR="00F04EEF" w:rsidRDefault="0099351E">
                  <w:pPr>
                    <w:jc w:val="both"/>
                    <w:rPr>
                      <w:rFonts w:cs="Calibri Light"/>
                    </w:rPr>
                  </w:pPr>
                  <w:r>
                    <w:rPr>
                      <w:rFonts w:cs="Calibri Light"/>
                    </w:rPr>
                    <w:t>Oui, tant qu’il reste dans le même secteur/groupe professionnel. Le Décret organisant l’enseignement spécialisé ne prévoit pas un nombre de dérogation limité.</w:t>
                  </w:r>
                </w:p>
                <w:p w:rsidR="00F04EEF" w:rsidRDefault="00F04EEF">
                  <w:pPr>
                    <w:jc w:val="both"/>
                  </w:pPr>
                </w:p>
                <w:p w:rsidR="00F04EEF" w:rsidRDefault="0099351E">
                  <w:pPr>
                    <w:jc w:val="both"/>
                    <w:rPr>
                      <w:b/>
                    </w:rPr>
                  </w:pPr>
                  <w:r>
                    <w:rPr>
                      <w:b/>
                    </w:rPr>
                    <w:t>15) Quand doit-on rédiger un « avis de réorientation dans un autre secteur en cours de deuxième phase » ?</w:t>
                  </w:r>
                </w:p>
                <w:p w:rsidR="00F04EEF" w:rsidRDefault="00F04EEF">
                  <w:pPr>
                    <w:jc w:val="both"/>
                  </w:pPr>
                </w:p>
                <w:p w:rsidR="00F04EEF" w:rsidRDefault="0099351E">
                  <w:pPr>
                    <w:jc w:val="both"/>
                  </w:pPr>
                  <w:r>
                    <w:t>Seulement si l’élève change de secteur dans son école.</w:t>
                  </w:r>
                </w:p>
                <w:p w:rsidR="00F04EEF" w:rsidRDefault="0099351E">
                  <w:pPr>
                    <w:jc w:val="both"/>
                  </w:pPr>
                  <w:r>
                    <w:t>S’il vient d’une école où il était dans un autre secteur, la Direction de sa nouvelle école établira une attestation de compétences acquises au cours de la 1</w:t>
                  </w:r>
                  <w:r>
                    <w:rPr>
                      <w:vertAlign w:val="superscript"/>
                    </w:rPr>
                    <w:t>ère</w:t>
                  </w:r>
                  <w:r>
                    <w:t xml:space="preserve"> phase.</w:t>
                  </w:r>
                </w:p>
                <w:p w:rsidR="00F04EEF" w:rsidRDefault="00F04EEF">
                  <w:pPr>
                    <w:rPr>
                      <w:lang w:val="fr-FR"/>
                    </w:rPr>
                  </w:pPr>
                </w:p>
                <w:p w:rsidR="00F04EEF" w:rsidRDefault="0099351E">
                  <w:pPr>
                    <w:rPr>
                      <w:rFonts w:eastAsiaTheme="minorEastAsia"/>
                      <w:lang w:eastAsia="fr-BE"/>
                    </w:rPr>
                  </w:pPr>
                  <w:r>
                    <w:rPr>
                      <w:rFonts w:eastAsiaTheme="minorEastAsia"/>
                      <w:lang w:eastAsia="fr-BE"/>
                    </w:rPr>
                    <w:br w:type="page"/>
                  </w:r>
                </w:p>
                <w:p w:rsidR="00F04EEF" w:rsidRDefault="0099351E">
                  <w:pPr>
                    <w:pStyle w:val="Titre2"/>
                  </w:pPr>
                  <w:bookmarkStart w:id="3481" w:name="_Chapitre_17_:"/>
                  <w:bookmarkStart w:id="3482" w:name="_Toc478740717"/>
                  <w:bookmarkStart w:id="3483" w:name="_Toc47708577"/>
                  <w:bookmarkEnd w:id="3481"/>
                  <w:r>
                    <w:t>Chapitre 17 : Modèles des attestations de fréquentation délivrées dans l’enseignement  secondaire spécialisé de forme 1 et de forme 2</w:t>
                  </w:r>
                  <w:bookmarkEnd w:id="3482"/>
                  <w:bookmarkEnd w:id="3483"/>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99351E">
                  <w:pPr>
                    <w:rPr>
                      <w:rFonts w:cs="Century Schoolbook"/>
                      <w:b/>
                      <w:bCs/>
                      <w:color w:val="000000"/>
                      <w:u w:val="single"/>
                      <w:lang w:val="fr-FR" w:eastAsia="fr-FR"/>
                    </w:rPr>
                  </w:pPr>
                  <w:r>
                    <w:rPr>
                      <w:rFonts w:cs="Century Schoolbook"/>
                      <w:b/>
                      <w:bCs/>
                      <w:color w:val="000000"/>
                      <w:u w:val="single"/>
                      <w:lang w:val="fr-FR" w:eastAsia="fr-FR"/>
                    </w:rPr>
                    <w:t xml:space="preserve">Bases légales : </w:t>
                  </w:r>
                </w:p>
                <w:p w:rsidR="00F04EEF" w:rsidRDefault="00F04EEF">
                  <w:pPr>
                    <w:jc w:val="center"/>
                    <w:rPr>
                      <w:rFonts w:cs="Century Schoolbook"/>
                      <w:b/>
                      <w:bCs/>
                      <w:color w:val="000000"/>
                      <w:lang w:val="fr-FR" w:eastAsia="fr-FR"/>
                    </w:rPr>
                  </w:pPr>
                </w:p>
                <w:p w:rsidR="00F04EEF" w:rsidRDefault="00F42422">
                  <w:pPr>
                    <w:numPr>
                      <w:ilvl w:val="0"/>
                      <w:numId w:val="52"/>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38" w:history="1">
                    <w:r w:rsidR="0099351E">
                      <w:rPr>
                        <w:rStyle w:val="Lienhypertexte"/>
                        <w:rFonts w:cs="Arial"/>
                      </w:rPr>
                      <w:t>Décret du 3 mars 2004 organisant l’enseignement spécialisé</w:t>
                    </w:r>
                  </w:hyperlink>
                  <w:r w:rsidR="0099351E">
                    <w:t>.</w:t>
                  </w:r>
                </w:p>
                <w:p w:rsidR="00F04EEF" w:rsidRDefault="0099351E">
                  <w:pPr>
                    <w:numPr>
                      <w:ilvl w:val="0"/>
                      <w:numId w:val="52"/>
                    </w:numPr>
                    <w:suppressAutoHyphens/>
                    <w:jc w:val="both"/>
                    <w:rPr>
                      <w:rStyle w:val="Lienhypertexte"/>
                      <w:rFonts w:cstheme="minorBidi"/>
                    </w:rPr>
                  </w:pPr>
                  <w:r>
                    <w:rPr>
                      <w:rFonts w:cs="Century Schoolbook"/>
                      <w:bCs/>
                      <w:lang w:val="fr-FR" w:eastAsia="fr-FR"/>
                    </w:rPr>
                    <w:fldChar w:fldCharType="begin"/>
                  </w:r>
                  <w:r>
                    <w:rPr>
                      <w:rFonts w:cs="Century Schoolbook"/>
                      <w:bCs/>
                      <w:lang w:val="fr-FR" w:eastAsia="fr-FR"/>
                    </w:rPr>
                    <w:instrText xml:space="preserve"> HYPERLINK "http://www.gallilex.cfwb.be/document/pdf/30975_000.pdf" </w:instrText>
                  </w:r>
                  <w:r>
                    <w:rPr>
                      <w:rFonts w:cs="Century Schoolbook"/>
                      <w:bCs/>
                      <w:lang w:val="fr-FR" w:eastAsia="fr-FR"/>
                    </w:rPr>
                    <w:fldChar w:fldCharType="separate"/>
                  </w:r>
                  <w:r>
                    <w:rPr>
                      <w:rStyle w:val="Lienhypertexte"/>
                      <w:rFonts w:cs="Century Schoolbook"/>
                      <w:bCs/>
                      <w:lang w:val="fr-FR" w:eastAsia="fr-FR"/>
                    </w:rPr>
                    <w:t>Arrêté du Gouvernement de la Communauté française du 23 juin 2006 fixant les modèles d’attestations délivrées dans l’Enseignement spécialisé.</w:t>
                  </w:r>
                </w:p>
                <w:p w:rsidR="00F04EEF" w:rsidRDefault="0099351E">
                  <w:r>
                    <w:rPr>
                      <w:rFonts w:cs="Century Schoolbook"/>
                      <w:bCs/>
                      <w:lang w:val="fr-FR" w:eastAsia="fr-FR"/>
                    </w:rPr>
                    <w:fldChar w:fldCharType="end"/>
                  </w:r>
                </w:p>
                <w:p w:rsidR="00F04EEF" w:rsidRDefault="00F04EEF"/>
                <w:p w:rsidR="00F04EEF" w:rsidRDefault="00F04EEF"/>
                <w:p w:rsidR="00F04EEF" w:rsidRDefault="00F04EEF"/>
                <w:p w:rsidR="00F04EEF" w:rsidRDefault="0099351E">
                  <w:r>
                    <w:br w:type="page"/>
                  </w:r>
                </w:p>
                <w:p w:rsidR="00F04EEF" w:rsidRDefault="00F04EEF"/>
                <w:p w:rsidR="00F04EEF" w:rsidRDefault="00F04EEF">
                  <w:pPr>
                    <w:jc w:val="both"/>
                  </w:pPr>
                  <w:bookmarkStart w:id="3484" w:name="_Annexe_1_:_16"/>
                  <w:bookmarkEnd w:id="3484"/>
                </w:p>
                <w:p w:rsidR="00F04EEF" w:rsidRDefault="0099351E">
                  <w:pPr>
                    <w:pStyle w:val="Titre4"/>
                  </w:pPr>
                  <w:bookmarkStart w:id="3485" w:name="_Toc453314543"/>
                  <w:bookmarkStart w:id="3486" w:name="_Toc454980575"/>
                  <w:r>
                    <w:t>Annexe 1 : Attestation de fréquentation de l’enseignement spécialisé secondaire de forme 1</w:t>
                  </w:r>
                  <w:bookmarkEnd w:id="3485"/>
                  <w:bookmarkEnd w:id="3486"/>
                </w:p>
                <w:p w:rsidR="00F04EEF" w:rsidRDefault="00F04EEF">
                  <w:pPr>
                    <w:jc w:val="center"/>
                    <w:rPr>
                      <w:caps/>
                    </w:rPr>
                  </w:pPr>
                </w:p>
                <w:p w:rsidR="00F04EEF" w:rsidRDefault="0099351E">
                  <w:pPr>
                    <w:jc w:val="center"/>
                    <w:rPr>
                      <w:b/>
                      <w:caps/>
                    </w:rPr>
                  </w:pPr>
                  <w:r>
                    <w:rPr>
                      <w:b/>
                      <w:caps/>
                    </w:rPr>
                    <w:t>Communauté française</w:t>
                  </w:r>
                </w:p>
                <w:p w:rsidR="00F04EEF" w:rsidRDefault="00F04EEF">
                  <w:pPr>
                    <w:jc w:val="both"/>
                  </w:pPr>
                </w:p>
                <w:p w:rsidR="00F04EEF" w:rsidRDefault="00F04EEF">
                  <w:pPr>
                    <w:jc w:val="both"/>
                  </w:pPr>
                </w:p>
                <w:p w:rsidR="00F04EEF" w:rsidRDefault="0099351E">
                  <w:pPr>
                    <w:jc w:val="both"/>
                    <w:rPr>
                      <w:caps/>
                    </w:rPr>
                  </w:pPr>
                  <w:r>
                    <w:rPr>
                      <w:caps/>
                    </w:rPr>
                    <w:t>Dénomination et siège de l’établissement :</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t>Numéro FASE :</w:t>
                  </w:r>
                </w:p>
                <w:p w:rsidR="00F04EEF" w:rsidRDefault="00F04EEF">
                  <w:pPr>
                    <w:jc w:val="both"/>
                  </w:pPr>
                </w:p>
                <w:p w:rsidR="00F04EEF" w:rsidRDefault="00F04EEF">
                  <w:pPr>
                    <w:jc w:val="both"/>
                  </w:pPr>
                </w:p>
                <w:p w:rsidR="00F04EEF" w:rsidRDefault="0099351E">
                  <w:pPr>
                    <w:jc w:val="both"/>
                  </w:pPr>
                  <w:r>
                    <w:t xml:space="preserve">Je soussigné(e) </w:t>
                  </w:r>
                </w:p>
                <w:p w:rsidR="00F04EEF" w:rsidRDefault="00F04EEF">
                  <w:pPr>
                    <w:jc w:val="both"/>
                  </w:pPr>
                </w:p>
                <w:p w:rsidR="00F04EEF" w:rsidRDefault="0099351E">
                  <w:pPr>
                    <w:jc w:val="both"/>
                  </w:pPr>
                  <w:r>
                    <w:t>Chef(fe) de l’établissement susmentionné, atteste que</w:t>
                  </w:r>
                </w:p>
                <w:p w:rsidR="00F04EEF" w:rsidRDefault="00F04EEF">
                  <w:pPr>
                    <w:jc w:val="both"/>
                  </w:pPr>
                </w:p>
                <w:p w:rsidR="00F04EEF" w:rsidRDefault="0099351E">
                  <w:pPr>
                    <w:jc w:val="both"/>
                  </w:pPr>
                  <w:r>
                    <w:t xml:space="preserve">(NOM, Prénom) </w:t>
                  </w:r>
                </w:p>
                <w:p w:rsidR="00F04EEF" w:rsidRDefault="00F04EEF">
                  <w:pPr>
                    <w:jc w:val="both"/>
                  </w:pPr>
                </w:p>
                <w:p w:rsidR="00F04EEF" w:rsidRDefault="0099351E">
                  <w:pPr>
                    <w:tabs>
                      <w:tab w:val="left" w:pos="5812"/>
                    </w:tabs>
                    <w:jc w:val="both"/>
                  </w:pPr>
                  <w:r>
                    <w:t>né(e) le</w:t>
                  </w:r>
                  <w:r>
                    <w:tab/>
                    <w:t xml:space="preserve">, à </w:t>
                  </w:r>
                </w:p>
                <w:p w:rsidR="00F04EEF" w:rsidRDefault="00F04EEF">
                  <w:pPr>
                    <w:tabs>
                      <w:tab w:val="left" w:pos="5812"/>
                    </w:tabs>
                    <w:jc w:val="both"/>
                  </w:pPr>
                </w:p>
                <w:p w:rsidR="00F04EEF" w:rsidRDefault="0099351E">
                  <w:pPr>
                    <w:tabs>
                      <w:tab w:val="left" w:pos="5812"/>
                    </w:tabs>
                    <w:jc w:val="both"/>
                  </w:pPr>
                  <w:r>
                    <w:t>a suivi en qualité d’élève régulier(e) entre le                             et le                                  les cours de l’enseignement spécialisé secondaire d’adaptation sociale de plein exercice dans l’établissement ci-dessus</w:t>
                  </w:r>
                </w:p>
                <w:p w:rsidR="00F04EEF" w:rsidRDefault="00F04EEF">
                  <w:pPr>
                    <w:tabs>
                      <w:tab w:val="left" w:pos="5812"/>
                    </w:tabs>
                    <w:jc w:val="both"/>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présente attestation est délivrée en exécution de l’article 49 du Décret du 3 mars 2004 organisant l’enseignement spécialisé</w:t>
                  </w:r>
                </w:p>
                <w:p w:rsidR="00F04EEF" w:rsidRDefault="00F04EEF">
                  <w:pPr>
                    <w:tabs>
                      <w:tab w:val="left" w:pos="5812"/>
                    </w:tabs>
                    <w:jc w:val="both"/>
                  </w:pPr>
                </w:p>
                <w:p w:rsidR="00F04EEF" w:rsidRDefault="00F04EEF">
                  <w:pPr>
                    <w:tabs>
                      <w:tab w:val="left" w:pos="5812"/>
                    </w:tabs>
                    <w:jc w:val="both"/>
                  </w:pPr>
                </w:p>
                <w:p w:rsidR="00F04EEF" w:rsidRDefault="0099351E">
                  <w:pPr>
                    <w:tabs>
                      <w:tab w:val="left" w:pos="5812"/>
                    </w:tabs>
                    <w:jc w:val="both"/>
                  </w:pPr>
                  <w:r>
                    <w:t>Sceau de l’établissement :</w:t>
                  </w:r>
                  <w:r>
                    <w:tab/>
                    <w:t>Lieu et date :</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r>
                    <w:t>Le (La) Chef(fe) d’établissement :</w:t>
                  </w:r>
                  <w:r>
                    <w:br/>
                    <w:t>(NOM et signature)</w:t>
                  </w:r>
                </w:p>
                <w:p w:rsidR="00F04EEF" w:rsidRDefault="00F04EEF">
                  <w:pPr>
                    <w:jc w:val="both"/>
                  </w:pPr>
                </w:p>
                <w:p w:rsidR="00F04EEF" w:rsidRDefault="0099351E">
                  <w:pPr>
                    <w:jc w:val="both"/>
                  </w:pPr>
                  <w:r>
                    <w:br w:type="page"/>
                  </w:r>
                </w:p>
                <w:p w:rsidR="00F04EEF" w:rsidRDefault="00F04EEF">
                  <w:pPr>
                    <w:jc w:val="both"/>
                  </w:pPr>
                </w:p>
                <w:p w:rsidR="00F04EEF" w:rsidRDefault="0099351E">
                  <w:pPr>
                    <w:pStyle w:val="Titre4"/>
                  </w:pPr>
                  <w:bookmarkStart w:id="3487" w:name="_Toc453314544"/>
                  <w:bookmarkStart w:id="3488" w:name="_Toc454980576"/>
                  <w:r>
                    <w:t>Annexe 2 : Attestation de fréquentation de l’enseignement spécialisé secondaire de forme 2</w:t>
                  </w:r>
                  <w:bookmarkEnd w:id="3487"/>
                  <w:bookmarkEnd w:id="3488"/>
                </w:p>
                <w:p w:rsidR="00F04EEF" w:rsidRDefault="00F04EEF">
                  <w:pPr>
                    <w:jc w:val="center"/>
                    <w:rPr>
                      <w:caps/>
                    </w:rPr>
                  </w:pPr>
                </w:p>
                <w:p w:rsidR="00F04EEF" w:rsidRDefault="0099351E">
                  <w:pPr>
                    <w:jc w:val="center"/>
                    <w:rPr>
                      <w:b/>
                      <w:caps/>
                    </w:rPr>
                  </w:pPr>
                  <w:r>
                    <w:rPr>
                      <w:b/>
                      <w:caps/>
                    </w:rPr>
                    <w:t>Communauté française</w:t>
                  </w:r>
                </w:p>
                <w:p w:rsidR="00F04EEF" w:rsidRDefault="00F04EEF">
                  <w:pPr>
                    <w:jc w:val="both"/>
                  </w:pPr>
                </w:p>
                <w:p w:rsidR="00F04EEF" w:rsidRDefault="00F04EEF">
                  <w:pPr>
                    <w:jc w:val="both"/>
                  </w:pPr>
                </w:p>
                <w:p w:rsidR="00F04EEF" w:rsidRDefault="0099351E">
                  <w:pPr>
                    <w:jc w:val="both"/>
                  </w:pPr>
                  <w:r>
                    <w:t>DENOMINATION ET SIEGE DE L’ETABLISSEMENT</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t>Numéro FASE :</w:t>
                  </w:r>
                </w:p>
                <w:p w:rsidR="00F04EEF" w:rsidRDefault="00F04EEF">
                  <w:pPr>
                    <w:jc w:val="both"/>
                  </w:pPr>
                </w:p>
                <w:p w:rsidR="00F04EEF" w:rsidRDefault="0099351E">
                  <w:pPr>
                    <w:jc w:val="both"/>
                  </w:pPr>
                  <w:r>
                    <w:t xml:space="preserve">Je soussigné(e) </w:t>
                  </w:r>
                </w:p>
                <w:p w:rsidR="00F04EEF" w:rsidRDefault="00F04EEF">
                  <w:pPr>
                    <w:jc w:val="both"/>
                  </w:pPr>
                </w:p>
                <w:p w:rsidR="00F04EEF" w:rsidRDefault="0099351E">
                  <w:pPr>
                    <w:jc w:val="both"/>
                  </w:pPr>
                  <w:r>
                    <w:t>Chef(fe) de l’établissement susmentionné, atteste que</w:t>
                  </w:r>
                </w:p>
                <w:p w:rsidR="00F04EEF" w:rsidRDefault="00F04EEF">
                  <w:pPr>
                    <w:jc w:val="both"/>
                  </w:pPr>
                </w:p>
                <w:p w:rsidR="00F04EEF" w:rsidRDefault="0099351E">
                  <w:pPr>
                    <w:jc w:val="both"/>
                  </w:pPr>
                  <w:r>
                    <w:t xml:space="preserve">(NOM, Prénom) </w:t>
                  </w:r>
                </w:p>
                <w:p w:rsidR="00F04EEF" w:rsidRDefault="00F04EEF">
                  <w:pPr>
                    <w:jc w:val="both"/>
                  </w:pPr>
                </w:p>
                <w:p w:rsidR="00F04EEF" w:rsidRDefault="0099351E">
                  <w:pPr>
                    <w:tabs>
                      <w:tab w:val="left" w:pos="5812"/>
                    </w:tabs>
                    <w:jc w:val="both"/>
                  </w:pPr>
                  <w:r>
                    <w:t>né(e) le</w:t>
                  </w:r>
                  <w:r>
                    <w:tab/>
                    <w:t xml:space="preserve">, à </w:t>
                  </w:r>
                </w:p>
                <w:p w:rsidR="00F04EEF" w:rsidRDefault="00F04EEF">
                  <w:pPr>
                    <w:tabs>
                      <w:tab w:val="left" w:pos="5812"/>
                    </w:tabs>
                    <w:jc w:val="both"/>
                  </w:pPr>
                </w:p>
                <w:p w:rsidR="00F04EEF" w:rsidRDefault="0099351E">
                  <w:pPr>
                    <w:tabs>
                      <w:tab w:val="left" w:pos="5812"/>
                    </w:tabs>
                    <w:jc w:val="both"/>
                  </w:pPr>
                  <w:r>
                    <w:t>a suivi en qualité d’élève régulier(e) entre le                             et le                                  les cours de de l’enseignement spécialisé secondaire d’adaptation sociale et professionnelle de plein exercice dans l’établissement ci-dessus</w:t>
                  </w:r>
                </w:p>
                <w:p w:rsidR="00F04EEF" w:rsidRDefault="00F04EEF">
                  <w:pPr>
                    <w:tabs>
                      <w:tab w:val="left" w:pos="5812"/>
                    </w:tabs>
                    <w:jc w:val="both"/>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présente attestation est délivrée en exécution de l’article 53 du Décret du 3 mars 2004 organisant l’enseignement spécialisé</w:t>
                  </w:r>
                </w:p>
                <w:p w:rsidR="00F04EEF" w:rsidRDefault="00F04EEF">
                  <w:pPr>
                    <w:tabs>
                      <w:tab w:val="left" w:pos="5812"/>
                    </w:tabs>
                    <w:jc w:val="both"/>
                  </w:pPr>
                </w:p>
                <w:p w:rsidR="00F04EEF" w:rsidRDefault="00F04EEF">
                  <w:pPr>
                    <w:tabs>
                      <w:tab w:val="left" w:pos="5812"/>
                    </w:tabs>
                    <w:jc w:val="both"/>
                  </w:pPr>
                </w:p>
                <w:p w:rsidR="00F04EEF" w:rsidRDefault="0099351E">
                  <w:pPr>
                    <w:tabs>
                      <w:tab w:val="left" w:pos="5812"/>
                    </w:tabs>
                    <w:jc w:val="both"/>
                  </w:pPr>
                  <w:r>
                    <w:t>Sceau de l’établissement :</w:t>
                  </w:r>
                  <w:r>
                    <w:tab/>
                    <w:t>Lieu et date :</w:t>
                  </w:r>
                </w:p>
                <w:p w:rsidR="00F04EEF" w:rsidRDefault="00F04EEF">
                  <w:pPr>
                    <w:tabs>
                      <w:tab w:val="left" w:pos="5812"/>
                    </w:tabs>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t xml:space="preserve">Le (La) Chef(fe) d’établissement : </w:t>
                  </w:r>
                </w:p>
                <w:p w:rsidR="00F04EEF" w:rsidRDefault="0099351E">
                  <w:pPr>
                    <w:jc w:val="both"/>
                  </w:pPr>
                  <w:r>
                    <w:t>(NOM et signature)</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br w:type="page"/>
                  </w:r>
                </w:p>
                <w:p w:rsidR="00F04EEF" w:rsidRDefault="0099351E">
                  <w:pPr>
                    <w:pStyle w:val="Titre4"/>
                  </w:pPr>
                  <w:bookmarkStart w:id="3489" w:name="_Toc453314545"/>
                  <w:bookmarkStart w:id="3490" w:name="_Toc454980577"/>
                  <w:r>
                    <w:t>Annexe 3 : Attestation de compétences acquises</w:t>
                  </w:r>
                  <w:bookmarkEnd w:id="3489"/>
                  <w:bookmarkEnd w:id="3490"/>
                </w:p>
                <w:p w:rsidR="00F04EEF" w:rsidRDefault="00F04EEF">
                  <w:pPr>
                    <w:jc w:val="center"/>
                  </w:pPr>
                </w:p>
                <w:p w:rsidR="00F04EEF" w:rsidRDefault="0099351E">
                  <w:pPr>
                    <w:jc w:val="center"/>
                    <w:rPr>
                      <w:b/>
                    </w:rPr>
                  </w:pPr>
                  <w:r>
                    <w:rPr>
                      <w:b/>
                    </w:rPr>
                    <w:t>ENSEIGNEMENT SECONDAIRE SPECIALISE DE FORME 2</w:t>
                  </w:r>
                </w:p>
                <w:p w:rsidR="00F04EEF" w:rsidRDefault="0099351E">
                  <w:pPr>
                    <w:jc w:val="center"/>
                  </w:pPr>
                  <w:r>
                    <w:t>(Décret du 3 mars 2004)</w:t>
                  </w:r>
                </w:p>
                <w:p w:rsidR="00F04EEF" w:rsidRDefault="00F04EEF">
                  <w:pPr>
                    <w:jc w:val="center"/>
                    <w:rPr>
                      <w:b/>
                    </w:rPr>
                  </w:pPr>
                </w:p>
                <w:p w:rsidR="00F04EEF" w:rsidRDefault="0099351E">
                  <w:pPr>
                    <w:jc w:val="center"/>
                    <w:rPr>
                      <w:b/>
                    </w:rPr>
                  </w:pPr>
                  <w:r>
                    <w:rPr>
                      <w:b/>
                    </w:rPr>
                    <w:t>COMMUNAUTE FRANCAISE</w:t>
                  </w:r>
                </w:p>
                <w:p w:rsidR="00F04EEF" w:rsidRDefault="00F04EEF">
                  <w:pPr>
                    <w:jc w:val="both"/>
                  </w:pPr>
                </w:p>
                <w:p w:rsidR="00F04EEF" w:rsidRDefault="00F04EEF">
                  <w:pPr>
                    <w:jc w:val="both"/>
                  </w:pPr>
                </w:p>
                <w:p w:rsidR="00F04EEF" w:rsidRDefault="0099351E">
                  <w:pPr>
                    <w:jc w:val="both"/>
                  </w:pPr>
                  <w:r>
                    <w:t>DENOMINATION ET SIEGE DE L'ETABLISSEMENT:</w:t>
                  </w:r>
                </w:p>
                <w:p w:rsidR="00F04EEF" w:rsidRDefault="00F04EEF">
                  <w:pPr>
                    <w:pStyle w:val="Pieddepage"/>
                    <w:tabs>
                      <w:tab w:val="clear" w:pos="4819"/>
                      <w:tab w:val="clear" w:pos="9071"/>
                    </w:tabs>
                    <w:jc w:val="both"/>
                    <w:rPr>
                      <w:rFonts w:asciiTheme="majorHAnsi" w:hAnsiTheme="majorHAnsi"/>
                      <w:sz w:val="22"/>
                      <w:szCs w:val="22"/>
                    </w:rPr>
                  </w:pPr>
                </w:p>
                <w:p w:rsidR="00F04EEF" w:rsidRDefault="00F04EEF">
                  <w:pPr>
                    <w:jc w:val="both"/>
                  </w:pPr>
                </w:p>
                <w:p w:rsidR="00F04EEF" w:rsidRDefault="00F04EEF">
                  <w:pPr>
                    <w:jc w:val="both"/>
                  </w:pPr>
                </w:p>
                <w:p w:rsidR="00F04EEF" w:rsidRDefault="0099351E">
                  <w:pPr>
                    <w:jc w:val="both"/>
                  </w:pPr>
                  <w:r>
                    <w:t>Numéro FASE :</w:t>
                  </w:r>
                </w:p>
                <w:p w:rsidR="00F04EEF" w:rsidRDefault="00F04EEF">
                  <w:pPr>
                    <w:jc w:val="both"/>
                  </w:pPr>
                </w:p>
                <w:p w:rsidR="00F04EEF" w:rsidRDefault="00F04EEF">
                  <w:pPr>
                    <w:jc w:val="both"/>
                  </w:pPr>
                </w:p>
                <w:p w:rsidR="00F04EEF" w:rsidRDefault="0099351E">
                  <w:pPr>
                    <w:jc w:val="both"/>
                  </w:pPr>
                  <w:r>
                    <w:t xml:space="preserve">Je soussigné(e) </w:t>
                  </w:r>
                </w:p>
                <w:p w:rsidR="00F04EEF" w:rsidRDefault="00F04EEF">
                  <w:pPr>
                    <w:jc w:val="both"/>
                  </w:pPr>
                </w:p>
                <w:p w:rsidR="00F04EEF" w:rsidRDefault="0099351E">
                  <w:pPr>
                    <w:jc w:val="both"/>
                  </w:pPr>
                  <w:r>
                    <w:t>Chef(fe) de l'établissement susmentionné certifie que l'élève :</w:t>
                  </w:r>
                </w:p>
                <w:p w:rsidR="00F04EEF" w:rsidRDefault="00F04EEF">
                  <w:pPr>
                    <w:jc w:val="both"/>
                  </w:pPr>
                </w:p>
                <w:p w:rsidR="00F04EEF" w:rsidRDefault="0099351E">
                  <w:pPr>
                    <w:jc w:val="both"/>
                  </w:pPr>
                  <w:r>
                    <w:t xml:space="preserve">(NOM, Prénom) : </w:t>
                  </w:r>
                </w:p>
                <w:p w:rsidR="00F04EEF" w:rsidRDefault="00F04EEF">
                  <w:pPr>
                    <w:jc w:val="both"/>
                  </w:pPr>
                </w:p>
                <w:p w:rsidR="00F04EEF" w:rsidRDefault="0099351E">
                  <w:pPr>
                    <w:tabs>
                      <w:tab w:val="left" w:pos="5387"/>
                    </w:tabs>
                    <w:jc w:val="both"/>
                  </w:pPr>
                  <w:r>
                    <w:t xml:space="preserve">né(e) le </w:t>
                  </w:r>
                  <w:r>
                    <w:tab/>
                    <w:t xml:space="preserve">, à </w:t>
                  </w:r>
                </w:p>
                <w:p w:rsidR="00F04EEF" w:rsidRDefault="00F04EEF">
                  <w:pPr>
                    <w:tabs>
                      <w:tab w:val="left" w:pos="5387"/>
                    </w:tabs>
                    <w:jc w:val="both"/>
                  </w:pPr>
                </w:p>
                <w:p w:rsidR="00F04EEF" w:rsidRDefault="0099351E">
                  <w:pPr>
                    <w:tabs>
                      <w:tab w:val="left" w:pos="3686"/>
                      <w:tab w:val="left" w:pos="5387"/>
                    </w:tabs>
                    <w:jc w:val="both"/>
                  </w:pPr>
                  <w:r>
                    <w:t xml:space="preserve">a suivi du </w:t>
                  </w:r>
                  <w:r>
                    <w:tab/>
                    <w:t>au les cours de l'enseignement secondaire spécialisé de forme 2 de plein exercice dans l'établissement susmentionné.</w:t>
                  </w:r>
                </w:p>
                <w:p w:rsidR="00F04EEF" w:rsidRDefault="00F04EEF">
                  <w:pPr>
                    <w:tabs>
                      <w:tab w:val="left" w:pos="5387"/>
                    </w:tabs>
                    <w:jc w:val="both"/>
                  </w:pPr>
                </w:p>
                <w:p w:rsidR="00F04EEF" w:rsidRDefault="0099351E">
                  <w:pPr>
                    <w:tabs>
                      <w:tab w:val="left" w:pos="5387"/>
                    </w:tabs>
                    <w:ind w:right="-144"/>
                    <w:jc w:val="both"/>
                  </w:pPr>
                  <w:r>
                    <w:t xml:space="preserve">A cette date, l'élève était inscrit(e) en </w:t>
                  </w:r>
                  <w:r>
                    <w:tab/>
                    <w:t>phase</w:t>
                  </w:r>
                </w:p>
                <w:p w:rsidR="00F04EEF" w:rsidRDefault="00F04EEF">
                  <w:pPr>
                    <w:tabs>
                      <w:tab w:val="left" w:pos="5387"/>
                    </w:tabs>
                    <w:jc w:val="both"/>
                  </w:pPr>
                </w:p>
                <w:p w:rsidR="00F04EEF" w:rsidRDefault="0099351E">
                  <w:pPr>
                    <w:tabs>
                      <w:tab w:val="left" w:pos="5387"/>
                    </w:tabs>
                    <w:jc w:val="both"/>
                  </w:pPr>
                  <w:r>
                    <w:t>et a acquis les compétences décrites dans le document annexe.</w:t>
                  </w:r>
                </w:p>
                <w:p w:rsidR="00F04EEF" w:rsidRDefault="00F04EEF">
                  <w:pPr>
                    <w:tabs>
                      <w:tab w:val="left" w:pos="5387"/>
                    </w:tabs>
                    <w:jc w:val="both"/>
                  </w:pPr>
                </w:p>
                <w:p w:rsidR="00F04EEF" w:rsidRDefault="0099351E">
                  <w:pPr>
                    <w:tabs>
                      <w:tab w:val="left" w:pos="5387"/>
                    </w:tabs>
                    <w:jc w:val="both"/>
                  </w:pPr>
                  <w:r>
                    <w:t>La présente attestation est délivrée en exécution de l'article 53 du Décret du 3 mars 2004 organisant l'Enseignement spécialisé.</w:t>
                  </w:r>
                </w:p>
                <w:p w:rsidR="00F04EEF" w:rsidRDefault="00F04EEF">
                  <w:pPr>
                    <w:tabs>
                      <w:tab w:val="left" w:pos="5387"/>
                    </w:tabs>
                    <w:jc w:val="both"/>
                  </w:pPr>
                </w:p>
                <w:p w:rsidR="00F04EEF" w:rsidRDefault="00F04EEF">
                  <w:pPr>
                    <w:tabs>
                      <w:tab w:val="left" w:pos="5387"/>
                    </w:tabs>
                    <w:jc w:val="both"/>
                  </w:pPr>
                </w:p>
                <w:p w:rsidR="00F04EEF" w:rsidRDefault="0099351E">
                  <w:pPr>
                    <w:tabs>
                      <w:tab w:val="left" w:pos="5387"/>
                    </w:tabs>
                    <w:jc w:val="both"/>
                  </w:pPr>
                  <w:r>
                    <w:t xml:space="preserve">Délivrée à </w:t>
                  </w:r>
                  <w:r>
                    <w:tab/>
                    <w:t xml:space="preserve">, le </w:t>
                  </w:r>
                </w:p>
                <w:p w:rsidR="00F04EEF" w:rsidRDefault="00F04EEF">
                  <w:pPr>
                    <w:tabs>
                      <w:tab w:val="left" w:pos="5387"/>
                    </w:tabs>
                    <w:jc w:val="both"/>
                  </w:pPr>
                </w:p>
                <w:p w:rsidR="00F04EEF" w:rsidRDefault="00F04EEF">
                  <w:pPr>
                    <w:tabs>
                      <w:tab w:val="left" w:pos="5387"/>
                    </w:tabs>
                    <w:jc w:val="both"/>
                  </w:pPr>
                </w:p>
                <w:p w:rsidR="00F04EEF" w:rsidRDefault="0099351E">
                  <w:pPr>
                    <w:tabs>
                      <w:tab w:val="left" w:pos="5387"/>
                    </w:tabs>
                  </w:pPr>
                  <w:r>
                    <w:t>Sceau de l'établissement :</w:t>
                  </w:r>
                  <w:r>
                    <w:tab/>
                    <w:t>Le (La) Chef(fe) d'établissement :</w:t>
                  </w:r>
                </w:p>
                <w:p w:rsidR="00F04EEF" w:rsidRDefault="00F04EEF">
                  <w:pPr>
                    <w:jc w:val="both"/>
                  </w:pPr>
                </w:p>
                <w:p w:rsidR="00F04EEF" w:rsidRDefault="00F04EEF">
                  <w:pPr>
                    <w:jc w:val="both"/>
                  </w:pPr>
                </w:p>
                <w:p w:rsidR="00F04EEF" w:rsidRDefault="00F04EEF">
                  <w:pPr>
                    <w:jc w:val="both"/>
                  </w:pPr>
                </w:p>
                <w:p w:rsidR="00F04EEF" w:rsidRDefault="0099351E">
                  <w:pPr>
                    <w:jc w:val="both"/>
                  </w:pPr>
                  <w:r>
                    <w:t>(Ce document comporte</w:t>
                  </w:r>
                  <w:r>
                    <w:tab/>
                  </w:r>
                  <w:r>
                    <w:tab/>
                    <w:t>pages)</w:t>
                  </w:r>
                </w:p>
                <w:p w:rsidR="00F04EEF" w:rsidRDefault="00F04EEF">
                  <w:pPr>
                    <w:jc w:val="both"/>
                  </w:pPr>
                </w:p>
                <w:p w:rsidR="00F04EEF" w:rsidRDefault="00F04EEF">
                  <w:pPr>
                    <w:jc w:val="both"/>
                  </w:pPr>
                </w:p>
                <w:p w:rsidR="00F04EEF" w:rsidRDefault="0099351E">
                  <w:pPr>
                    <w:jc w:val="both"/>
                  </w:pPr>
                  <w:r>
                    <w:br w:type="page"/>
                  </w:r>
                </w:p>
                <w:sdt>
                  <w:sdtPr>
                    <w:rPr>
                      <w:rFonts w:asciiTheme="majorHAnsi" w:eastAsiaTheme="minorHAnsi" w:hAnsiTheme="majorHAnsi"/>
                      <w:lang w:eastAsia="en-US"/>
                    </w:rPr>
                    <w:id w:val="-1226288555"/>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pPr>
                      <w:bookmarkStart w:id="3491" w:name="_Chapitre_18_:"/>
                      <w:bookmarkStart w:id="3492" w:name="_Toc477623843"/>
                      <w:bookmarkStart w:id="3493" w:name="_Toc477767710"/>
                      <w:bookmarkStart w:id="3494" w:name="_Toc47708578"/>
                      <w:bookmarkEnd w:id="3491"/>
                      <w:r>
                        <w:t>Chapitre</w:t>
                      </w:r>
                      <w:bookmarkEnd w:id="3492"/>
                      <w:bookmarkEnd w:id="3493"/>
                      <w:r>
                        <w:t xml:space="preserve"> 18 :</w:t>
                      </w:r>
                      <w:bookmarkStart w:id="3495" w:name="_Toc477623844"/>
                      <w:bookmarkStart w:id="3496" w:name="_Toc477767711"/>
                      <w:r>
                        <w:t xml:space="preserve"> Introduction des demandes de dérogation d’âge</w:t>
                      </w:r>
                      <w:bookmarkEnd w:id="3495"/>
                      <w:bookmarkEnd w:id="3496"/>
                      <w:bookmarkEnd w:id="3494"/>
                    </w:p>
                    <w:p w:rsidR="00F04EEF" w:rsidRDefault="00F04EEF"/>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rPr>
                      <w:b/>
                      <w:u w:val="single"/>
                    </w:rPr>
                  </w:pPr>
                  <w:r>
                    <w:rPr>
                      <w:b/>
                      <w:u w:val="single"/>
                    </w:rPr>
                    <w:t>Bases légales :</w:t>
                  </w:r>
                </w:p>
                <w:p w:rsidR="00F04EEF" w:rsidRDefault="00F04EEF">
                  <w:pPr>
                    <w:rPr>
                      <w:b/>
                      <w:u w:val="single"/>
                    </w:rPr>
                  </w:pPr>
                </w:p>
                <w:p w:rsidR="00F04EEF" w:rsidRDefault="00F42422">
                  <w:pPr>
                    <w:numPr>
                      <w:ilvl w:val="0"/>
                      <w:numId w:val="53"/>
                    </w:numPr>
                    <w:suppressAutoHyphens/>
                  </w:pPr>
                  <w:hyperlink r:id="rId239" w:history="1">
                    <w:r w:rsidR="0099351E">
                      <w:rPr>
                        <w:rStyle w:val="Lienhypertexte"/>
                        <w:rFonts w:cs="Arial"/>
                      </w:rPr>
                      <w:t>Arrêté Royal du 29 juin 1984 relatif à l’organisation de l’enseignement secondaire</w:t>
                    </w:r>
                  </w:hyperlink>
                </w:p>
                <w:p w:rsidR="00F04EEF" w:rsidRDefault="00F42422">
                  <w:pPr>
                    <w:numPr>
                      <w:ilvl w:val="0"/>
                      <w:numId w:val="53"/>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40" w:history="1">
                    <w:r w:rsidR="0099351E">
                      <w:rPr>
                        <w:rStyle w:val="Lienhypertexte"/>
                        <w:rFonts w:cs="Arial"/>
                      </w:rPr>
                      <w:t>Décret du 3 mars 2004 organisant l’enseignement spécialisé</w:t>
                    </w:r>
                  </w:hyperlink>
                </w:p>
                <w:p w:rsidR="00F04EEF" w:rsidRDefault="00F04EEF"/>
                <w:p w:rsidR="00F04EEF" w:rsidRDefault="00F42422">
                  <w:pPr>
                    <w:jc w:val="both"/>
                    <w:rPr>
                      <w:color w:val="000000"/>
                    </w:rPr>
                  </w:pPr>
                  <w:hyperlink w:anchor="_Annexe_3_:_5" w:history="1">
                    <w:r w:rsidR="0099351E">
                      <w:rPr>
                        <w:rStyle w:val="Lienhypertexte"/>
                        <w:rFonts w:cs="Arial"/>
                      </w:rPr>
                      <w:t>L’annexe 1</w:t>
                    </w:r>
                  </w:hyperlink>
                  <w:r w:rsidR="0099351E">
                    <w:rPr>
                      <w:rStyle w:val="Lienhypertexte"/>
                      <w:rFonts w:cs="Arial"/>
                      <w:color w:val="auto"/>
                      <w:u w:val="none"/>
                    </w:rPr>
                    <w:t xml:space="preserve"> </w:t>
                  </w:r>
                  <w:r w:rsidR="0099351E">
                    <w:rPr>
                      <w:color w:val="000000"/>
                    </w:rPr>
                    <w:t>: demande de dérogation pour un élève âgé de plus de 21 ans pour des raisons pédagogiques  est à renvoyer à l’adresse suivante :</w:t>
                  </w:r>
                </w:p>
                <w:p w:rsidR="00F04EEF" w:rsidRDefault="00F04EEF">
                  <w:pPr>
                    <w:jc w:val="both"/>
                    <w:rPr>
                      <w:color w:val="000000"/>
                    </w:rPr>
                  </w:pPr>
                </w:p>
                <w:p w:rsidR="00F04EEF" w:rsidRDefault="0099351E">
                  <w:pPr>
                    <w:jc w:val="center"/>
                    <w:rPr>
                      <w:color w:val="0000FF"/>
                      <w:u w:val="single"/>
                    </w:rPr>
                  </w:pPr>
                  <w:r>
                    <w:rPr>
                      <w:color w:val="0000FF"/>
                    </w:rPr>
                    <w:t>derogations_age_specialise@cfwb.be</w:t>
                  </w:r>
                </w:p>
                <w:p w:rsidR="00F04EEF" w:rsidRDefault="00F04EEF">
                  <w:pPr>
                    <w:widowControl w:val="0"/>
                    <w:tabs>
                      <w:tab w:val="left" w:pos="181"/>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s>
                    <w:ind w:right="-1"/>
                    <w:rPr>
                      <w:color w:val="000000"/>
                    </w:rPr>
                  </w:pPr>
                </w:p>
                <w:p w:rsidR="00F04EEF" w:rsidRDefault="0099351E">
                  <w:pPr>
                    <w:pBdr>
                      <w:top w:val="single" w:sz="4" w:space="1" w:color="auto"/>
                      <w:left w:val="single" w:sz="4" w:space="4" w:color="auto"/>
                      <w:bottom w:val="single" w:sz="4" w:space="1" w:color="auto"/>
                      <w:right w:val="single" w:sz="4" w:space="4" w:color="auto"/>
                    </w:pBdr>
                    <w:jc w:val="both"/>
                  </w:pPr>
                  <w:r>
                    <w:rPr>
                      <w:b/>
                      <w:u w:val="single"/>
                    </w:rPr>
                    <w:t>Remarque :</w:t>
                  </w:r>
                  <w:r>
                    <w:rPr>
                      <w:b/>
                    </w:rPr>
                    <w:t xml:space="preserve"> vous devez introduire les annexes 1, 3 et 4 par mail, en lieu et place de la voie postale, avec demande d’accusé de réception électronique.</w:t>
                  </w:r>
                </w:p>
                <w:p w:rsidR="00F04EEF" w:rsidRDefault="00F04EEF">
                  <w:pPr>
                    <w:widowControl w:val="0"/>
                    <w:ind w:right="-249"/>
                    <w:jc w:val="both"/>
                  </w:pPr>
                </w:p>
                <w:p w:rsidR="00F04EEF" w:rsidRDefault="0099351E">
                  <w:pPr>
                    <w:pStyle w:val="Titre3"/>
                    <w:rPr>
                      <w:sz w:val="22"/>
                      <w:szCs w:val="22"/>
                    </w:rPr>
                  </w:pPr>
                  <w:bookmarkStart w:id="3497" w:name="_1._Dispositions_générales"/>
                  <w:bookmarkStart w:id="3498" w:name="_Toc453314560"/>
                  <w:bookmarkStart w:id="3499" w:name="_Toc454980592"/>
                  <w:bookmarkStart w:id="3500" w:name="_Toc47708579"/>
                  <w:bookmarkEnd w:id="3497"/>
                  <w:r>
                    <w:rPr>
                      <w:sz w:val="22"/>
                      <w:szCs w:val="22"/>
                    </w:rPr>
                    <w:t>1. Dispositions générales</w:t>
                  </w:r>
                  <w:bookmarkEnd w:id="3498"/>
                  <w:bookmarkEnd w:id="3499"/>
                  <w:bookmarkEnd w:id="3500"/>
                </w:p>
                <w:p w:rsidR="00F04EEF" w:rsidRDefault="00F04EEF">
                  <w:pPr>
                    <w:widowControl w:val="0"/>
                    <w:ind w:right="16"/>
                    <w:jc w:val="both"/>
                  </w:pPr>
                </w:p>
                <w:p w:rsidR="00F04EEF" w:rsidRDefault="0099351E">
                  <w:pPr>
                    <w:widowControl w:val="0"/>
                    <w:ind w:right="16"/>
                    <w:jc w:val="both"/>
                  </w:pPr>
                  <w:r>
                    <w:t xml:space="preserve">Les enfants et les adolescents peuvent être inscrits comme élèves réguliers sur la base d’un rapport d’inscription : </w:t>
                  </w:r>
                </w:p>
                <w:p w:rsidR="00F04EEF" w:rsidRDefault="00F04EEF">
                  <w:pPr>
                    <w:widowControl w:val="0"/>
                    <w:ind w:right="16"/>
                    <w:jc w:val="both"/>
                  </w:pPr>
                </w:p>
                <w:p w:rsidR="00F04EEF" w:rsidRDefault="0099351E">
                  <w:pPr>
                    <w:pStyle w:val="Paragraphedeliste"/>
                    <w:widowControl w:val="0"/>
                    <w:numPr>
                      <w:ilvl w:val="0"/>
                      <w:numId w:val="242"/>
                    </w:numPr>
                    <w:ind w:right="16"/>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Après les vacances d’été de l’année civile au cours de laquelle ils atteignent l’âge de 13 ans. </w:t>
                  </w:r>
                </w:p>
                <w:p w:rsidR="00F04EEF" w:rsidRDefault="0099351E">
                  <w:pPr>
                    <w:pStyle w:val="Paragraphedeliste"/>
                    <w:widowControl w:val="0"/>
                    <w:numPr>
                      <w:ilvl w:val="0"/>
                      <w:numId w:val="242"/>
                    </w:numPr>
                    <w:ind w:right="16"/>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Sur la base d’un avis motivé du Conseil de classe joint au rapport d’inscription après les vacances d’été de l’année civile à partir de laquelle ils atteignent l’âge de 12 ans. </w:t>
                  </w:r>
                </w:p>
                <w:p w:rsidR="00F04EEF" w:rsidRDefault="00F04EEF">
                  <w:bookmarkStart w:id="3501" w:name="_Toc453314561"/>
                  <w:bookmarkStart w:id="3502" w:name="_Toc454980593"/>
                </w:p>
                <w:p w:rsidR="00F04EEF" w:rsidRDefault="0099351E">
                  <w:pPr>
                    <w:pStyle w:val="Titre3"/>
                    <w:rPr>
                      <w:sz w:val="22"/>
                      <w:szCs w:val="22"/>
                    </w:rPr>
                  </w:pPr>
                  <w:bookmarkStart w:id="3503" w:name="_Toc47708580"/>
                  <w:r>
                    <w:rPr>
                      <w:sz w:val="22"/>
                      <w:szCs w:val="22"/>
                    </w:rPr>
                    <w:t>2. Types de dérogation</w:t>
                  </w:r>
                  <w:bookmarkEnd w:id="3501"/>
                  <w:bookmarkEnd w:id="3502"/>
                  <w:bookmarkEnd w:id="3503"/>
                </w:p>
                <w:p w:rsidR="00F04EEF" w:rsidRDefault="00F04EEF">
                  <w:pPr>
                    <w:widowControl w:val="0"/>
                    <w:tabs>
                      <w:tab w:val="left" w:pos="714"/>
                    </w:tabs>
                    <w:ind w:right="-1"/>
                    <w:jc w:val="both"/>
                    <w:rPr>
                      <w:i/>
                    </w:rPr>
                  </w:pPr>
                </w:p>
                <w:p w:rsidR="00F04EEF" w:rsidRDefault="0099351E">
                  <w:pPr>
                    <w:pStyle w:val="Titre4"/>
                  </w:pPr>
                  <w:bookmarkStart w:id="3504" w:name="_2.3._Demandes_de"/>
                  <w:bookmarkStart w:id="3505" w:name="_2.1._Demandes_de"/>
                  <w:bookmarkStart w:id="3506" w:name="_Toc453314566"/>
                  <w:bookmarkStart w:id="3507" w:name="_Toc454980598"/>
                  <w:bookmarkEnd w:id="3504"/>
                  <w:bookmarkEnd w:id="3505"/>
                  <w:r>
                    <w:t>2.1. Demandes de dérogation pour des raisons pédagogiques</w:t>
                  </w:r>
                  <w:bookmarkEnd w:id="3506"/>
                  <w:bookmarkEnd w:id="3507"/>
                </w:p>
                <w:p w:rsidR="00F04EEF" w:rsidRDefault="00F04EEF">
                  <w:pPr>
                    <w:ind w:right="-1"/>
                  </w:pPr>
                </w:p>
                <w:p w:rsidR="00F04EEF" w:rsidRDefault="0099351E">
                  <w:pPr>
                    <w:ind w:right="-1"/>
                    <w:jc w:val="both"/>
                  </w:pPr>
                  <w:r>
                    <w:t>Ces demandes de dérogation concernent les élèves de l’enseignement spécialisé de forme 3 conformément à l’article 15 §§2 et 3 du Décret du 3 mars 2004 organisant l'enseignement spécialisé.</w:t>
                  </w:r>
                </w:p>
                <w:p w:rsidR="00F04EEF" w:rsidRDefault="00F04EEF">
                  <w:pPr>
                    <w:widowControl w:val="0"/>
                    <w:tabs>
                      <w:tab w:val="left" w:pos="714"/>
                    </w:tabs>
                    <w:ind w:right="-1"/>
                    <w:jc w:val="both"/>
                  </w:pPr>
                </w:p>
                <w:p w:rsidR="00F04EEF" w:rsidRDefault="0099351E">
                  <w:pPr>
                    <w:widowControl w:val="0"/>
                    <w:ind w:right="-1"/>
                    <w:jc w:val="both"/>
                  </w:pPr>
                  <w:r>
                    <w:rPr>
                      <w:noProof/>
                      <w:lang w:eastAsia="fr-BE"/>
                    </w:rPr>
                    <mc:AlternateContent>
                      <mc:Choice Requires="wps">
                        <w:drawing>
                          <wp:anchor distT="0" distB="0" distL="114300" distR="114300" simplePos="0" relativeHeight="252265472" behindDoc="0" locked="0" layoutInCell="1" allowOverlap="1">
                            <wp:simplePos x="0" y="0"/>
                            <wp:positionH relativeFrom="column">
                              <wp:posOffset>6252845</wp:posOffset>
                            </wp:positionH>
                            <wp:positionV relativeFrom="paragraph">
                              <wp:posOffset>164465</wp:posOffset>
                            </wp:positionV>
                            <wp:extent cx="0" cy="180975"/>
                            <wp:effectExtent l="0" t="0" r="19050" b="28575"/>
                            <wp:wrapNone/>
                            <wp:docPr id="32" name="Connecteur droit 32"/>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AC1B4D" id="Connecteur droit 32" o:spid="_x0000_s1026" style="position:absolute;z-index:252265472;visibility:visible;mso-wrap-style:square;mso-wrap-distance-left:9pt;mso-wrap-distance-top:0;mso-wrap-distance-right:9pt;mso-wrap-distance-bottom:0;mso-position-horizontal:absolute;mso-position-horizontal-relative:text;mso-position-vertical:absolute;mso-position-vertical-relative:text" from="492.35pt,12.95pt" to="492.3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" strokecolor="black [3213]"/>
                        </w:pict>
                      </mc:Fallback>
                    </mc:AlternateContent>
                  </w:r>
                  <w:r>
                    <w:t xml:space="preserve">La dérogation est </w:t>
                  </w:r>
                  <w:r>
                    <w:rPr>
                      <w:b/>
                      <w:u w:val="single"/>
                    </w:rPr>
                    <w:t>requise</w:t>
                  </w:r>
                  <w:r>
                    <w:t xml:space="preserve"> pour tout élève </w:t>
                  </w:r>
                  <w:r>
                    <w:rPr>
                      <w:b/>
                    </w:rPr>
                    <w:t>engagé dans un cycle de formation</w:t>
                  </w:r>
                  <w:r>
                    <w:t xml:space="preserve"> conduisant à l’obtention d’un certificat de qualification ou d’un certificat d’enseignement secondaire inférieur équivalent au certificat d’enseignement secondaire du deuxième degré (CE2D) et qui a atteint l’âge de 21 ans le 31 août précédant la rentrée scolaire pour laquelle la dérogation est sollicitée.</w:t>
                  </w:r>
                </w:p>
                <w:p w:rsidR="00F04EEF" w:rsidRDefault="00F04EEF">
                  <w:pPr>
                    <w:widowControl w:val="0"/>
                    <w:ind w:right="-1"/>
                    <w:jc w:val="both"/>
                    <w:rPr>
                      <w:color w:val="000000"/>
                    </w:rPr>
                  </w:pPr>
                </w:p>
                <w:p w:rsidR="00F04EEF" w:rsidRDefault="0099351E">
                  <w:pPr>
                    <w:widowControl w:val="0"/>
                    <w:ind w:right="-1"/>
                    <w:jc w:val="both"/>
                    <w:rPr>
                      <w:color w:val="000000"/>
                    </w:rPr>
                  </w:pPr>
                  <w:r>
                    <w:rPr>
                      <w:color w:val="000000"/>
                    </w:rPr>
                    <w:t>Lorsque la demande de dérogation est accordée par l’Administration, celle-ci est valable jusqu’au terme du cycle de formation de l’élève.</w:t>
                  </w:r>
                </w:p>
                <w:p w:rsidR="00F04EEF" w:rsidRDefault="00F04EEF">
                  <w:pPr>
                    <w:widowControl w:val="0"/>
                    <w:ind w:right="-1"/>
                    <w:jc w:val="both"/>
                    <w:rPr>
                      <w:color w:val="000000"/>
                    </w:rPr>
                  </w:pPr>
                </w:p>
                <w:p w:rsidR="00F04EEF" w:rsidRDefault="0099351E">
                  <w:pPr>
                    <w:widowControl w:val="0"/>
                    <w:ind w:right="-1"/>
                    <w:jc w:val="both"/>
                    <w:rPr>
                      <w:color w:val="000000"/>
                    </w:rPr>
                  </w:pPr>
                  <w:r>
                    <w:rPr>
                      <w:color w:val="000000"/>
                    </w:rPr>
                    <w:t xml:space="preserve">Toutefois, les élèves qui commencent </w:t>
                  </w:r>
                  <w:r>
                    <w:rPr>
                      <w:b/>
                      <w:color w:val="000000"/>
                    </w:rPr>
                    <w:t>une troisième phase</w:t>
                  </w:r>
                  <w:r>
                    <w:rPr>
                      <w:color w:val="000000"/>
                    </w:rPr>
                    <w:t xml:space="preserve"> dans l’enseignement secondaire spécialisé de forme 3 pour </w:t>
                  </w:r>
                  <w:r>
                    <w:rPr>
                      <w:b/>
                      <w:color w:val="000000"/>
                    </w:rPr>
                    <w:t>la première fois</w:t>
                  </w:r>
                  <w:r>
                    <w:rPr>
                      <w:color w:val="000000"/>
                    </w:rPr>
                    <w:t xml:space="preserve"> peuvent être inscrits comme élèves réguliers, il n’y a </w:t>
                  </w:r>
                  <w:r>
                    <w:rPr>
                      <w:b/>
                      <w:color w:val="000000"/>
                    </w:rPr>
                    <w:t>pas de demande de dérogation à introduire.</w:t>
                  </w:r>
                </w:p>
                <w:p w:rsidR="00F04EEF" w:rsidRDefault="00F04EEF">
                  <w:pPr>
                    <w:widowControl w:val="0"/>
                    <w:ind w:right="-1"/>
                    <w:jc w:val="both"/>
                    <w:rPr>
                      <w:u w:val="single"/>
                    </w:rPr>
                  </w:pPr>
                </w:p>
                <w:p w:rsidR="00F04EEF" w:rsidRDefault="0099351E">
                  <w:pPr>
                    <w:rPr>
                      <w:rFonts w:eastAsia="Times New Roman" w:cs="Arial"/>
                      <w:b/>
                      <w:u w:val="single"/>
                      <w:lang w:eastAsia="ar-SA"/>
                    </w:rPr>
                  </w:pPr>
                  <w:bookmarkStart w:id="3508" w:name="_2.3.1._Introduction_de"/>
                  <w:bookmarkStart w:id="3509" w:name="_Toc453314567"/>
                  <w:bookmarkStart w:id="3510" w:name="_Toc454980599"/>
                  <w:bookmarkEnd w:id="3508"/>
                  <w:r>
                    <w:br w:type="page"/>
                  </w:r>
                </w:p>
                <w:p w:rsidR="00F04EEF" w:rsidRDefault="0099351E">
                  <w:pPr>
                    <w:pStyle w:val="Titre5"/>
                  </w:pPr>
                  <w:r>
                    <w:t>2.1.1. Introduction de la demande de dérogation pour des raisons pédagogiques</w:t>
                  </w:r>
                  <w:bookmarkEnd w:id="3509"/>
                  <w:bookmarkEnd w:id="3510"/>
                </w:p>
                <w:p w:rsidR="00F04EEF" w:rsidRDefault="00F04EEF">
                  <w:pPr>
                    <w:widowControl w:val="0"/>
                    <w:ind w:right="-1"/>
                    <w:jc w:val="both"/>
                  </w:pPr>
                </w:p>
                <w:p w:rsidR="00F04EEF" w:rsidRDefault="0099351E">
                  <w:pPr>
                    <w:widowControl w:val="0"/>
                    <w:ind w:right="-1"/>
                    <w:jc w:val="both"/>
                  </w:pPr>
                  <w:r>
                    <w:rPr>
                      <w:b/>
                    </w:rPr>
                    <w:t>Le chef d’établissement</w:t>
                  </w:r>
                  <w:r>
                    <w:t xml:space="preserve"> remplit </w:t>
                  </w:r>
                  <w:hyperlink w:anchor="_Annexe_3_:_5" w:history="1">
                    <w:r>
                      <w:rPr>
                        <w:rStyle w:val="Lienhypertexte"/>
                        <w:rFonts w:cs="Arial"/>
                      </w:rPr>
                      <w:t>l’annexe 1</w:t>
                    </w:r>
                  </w:hyperlink>
                  <w:r>
                    <w:rPr>
                      <w:b/>
                    </w:rPr>
                    <w:t>, en 1 SEUL exemplaire non agrafé</w:t>
                  </w:r>
                  <w:r>
                    <w:t>. L’élève majeur, les parents, ou la personne investie de l’autorité parentale, doit/doivent signer l’annexe.</w:t>
                  </w:r>
                </w:p>
                <w:p w:rsidR="00F04EEF" w:rsidRDefault="00F04EEF">
                  <w:pPr>
                    <w:widowControl w:val="0"/>
                    <w:ind w:right="-1"/>
                    <w:jc w:val="both"/>
                  </w:pPr>
                </w:p>
                <w:p w:rsidR="00F04EEF" w:rsidRDefault="0099351E">
                  <w:pPr>
                    <w:jc w:val="both"/>
                    <w:rPr>
                      <w:u w:val="single"/>
                    </w:rPr>
                  </w:pPr>
                  <w:r>
                    <w:t xml:space="preserve">La demande de dérogation est introduite dès que les conditions mentionnées </w:t>
                  </w:r>
                  <w:r>
                    <w:rPr>
                      <w:i/>
                    </w:rPr>
                    <w:t>supra</w:t>
                  </w:r>
                  <w:r>
                    <w:t xml:space="preserve"> sont remplies et est adressée à </w:t>
                  </w:r>
                  <w:r>
                    <w:rPr>
                      <w:color w:val="0000FF"/>
                    </w:rPr>
                    <w:t>derogations_age_specialise@cfwb.be</w:t>
                  </w:r>
                  <w:r>
                    <w:t xml:space="preserve">, au plus tard </w:t>
                  </w:r>
                  <w:r>
                    <w:rPr>
                      <w:b/>
                    </w:rPr>
                    <w:t>le 4 JUILLET</w:t>
                  </w:r>
                  <w:r>
                    <w:t xml:space="preserve">, à l’adresse mentionnée également </w:t>
                  </w:r>
                  <w:r>
                    <w:rPr>
                      <w:i/>
                    </w:rPr>
                    <w:t>supra</w:t>
                  </w:r>
                  <w:r>
                    <w:t>, afin de recueillir l’avis du Conseil de classe de fin d’année scolaire.</w:t>
                  </w:r>
                </w:p>
                <w:p w:rsidR="00F04EEF" w:rsidRDefault="00F04EEF">
                  <w:pPr>
                    <w:widowControl w:val="0"/>
                    <w:ind w:right="-1"/>
                    <w:jc w:val="both"/>
                  </w:pPr>
                </w:p>
                <w:p w:rsidR="00F04EEF" w:rsidRDefault="0099351E">
                  <w:pPr>
                    <w:widowControl w:val="0"/>
                    <w:ind w:right="-1"/>
                    <w:jc w:val="both"/>
                  </w:pPr>
                  <w:r>
                    <w:t xml:space="preserve">Le dossier de l’élève doit être complet pour être pris en considération. Le délai fixé doit être </w:t>
                  </w:r>
                  <w:r>
                    <w:rPr>
                      <w:i/>
                      <w:u w:val="single"/>
                    </w:rPr>
                    <w:t xml:space="preserve">strictement </w:t>
                  </w:r>
                  <w:r>
                    <w:t>respecté.</w:t>
                  </w:r>
                </w:p>
                <w:p w:rsidR="00F04EEF" w:rsidRDefault="00F04EEF">
                  <w:pPr>
                    <w:widowControl w:val="0"/>
                    <w:ind w:right="-1"/>
                    <w:jc w:val="both"/>
                  </w:pPr>
                </w:p>
                <w:p w:rsidR="00F04EEF" w:rsidRDefault="0099351E">
                  <w:pPr>
                    <w:pStyle w:val="Titre5"/>
                  </w:pPr>
                  <w:bookmarkStart w:id="3511" w:name="_2.3.2._Suivi_de"/>
                  <w:bookmarkStart w:id="3512" w:name="_Toc453314568"/>
                  <w:bookmarkStart w:id="3513" w:name="_Toc454980600"/>
                  <w:bookmarkEnd w:id="3511"/>
                  <w:r>
                    <w:t>2.1.2. Suivi de la demande de dérogation pour des raisons pédagogiques</w:t>
                  </w:r>
                  <w:bookmarkEnd w:id="3512"/>
                  <w:bookmarkEnd w:id="3513"/>
                </w:p>
                <w:p w:rsidR="00F04EEF" w:rsidRDefault="00F04EEF">
                  <w:pPr>
                    <w:widowControl w:val="0"/>
                    <w:ind w:right="-1"/>
                    <w:jc w:val="both"/>
                  </w:pPr>
                </w:p>
                <w:p w:rsidR="00F04EEF" w:rsidRDefault="0099351E">
                  <w:pPr>
                    <w:widowControl w:val="0"/>
                    <w:ind w:right="-1"/>
                    <w:jc w:val="both"/>
                  </w:pPr>
                  <w:r>
                    <w:t>L’Administration statue sur les dossiers et transmet sa décision aux établissements.</w:t>
                  </w:r>
                </w:p>
                <w:p w:rsidR="00F04EEF" w:rsidRDefault="00F04EEF">
                  <w:pPr>
                    <w:widowControl w:val="0"/>
                    <w:ind w:right="-1" w:hanging="11"/>
                    <w:jc w:val="both"/>
                  </w:pPr>
                </w:p>
                <w:p w:rsidR="00F04EEF" w:rsidRDefault="0099351E">
                  <w:pPr>
                    <w:widowControl w:val="0"/>
                    <w:ind w:right="-1"/>
                    <w:jc w:val="both"/>
                    <w:rPr>
                      <w:b/>
                      <w:u w:val="single"/>
                    </w:rPr>
                  </w:pPr>
                  <w:r>
                    <w:rPr>
                      <w:b/>
                      <w:u w:val="single"/>
                    </w:rPr>
                    <w:t>Remarques :</w:t>
                  </w:r>
                </w:p>
                <w:p w:rsidR="00F04EEF" w:rsidRDefault="00F04EEF">
                  <w:pPr>
                    <w:widowControl w:val="0"/>
                    <w:ind w:right="-1"/>
                    <w:jc w:val="both"/>
                    <w:rPr>
                      <w:b/>
                    </w:rPr>
                  </w:pPr>
                </w:p>
                <w:p w:rsidR="00F04EEF" w:rsidRDefault="0099351E">
                  <w:pPr>
                    <w:widowControl w:val="0"/>
                    <w:ind w:right="-1"/>
                    <w:jc w:val="both"/>
                    <w:rPr>
                      <w:b/>
                    </w:rPr>
                  </w:pPr>
                  <w:r>
                    <w:rPr>
                      <w:b/>
                    </w:rPr>
                    <w:t>Concernant l’élève :</w:t>
                  </w:r>
                </w:p>
                <w:p w:rsidR="00F04EEF" w:rsidRDefault="0099351E">
                  <w:pPr>
                    <w:pStyle w:val="Paragraphedeliste"/>
                    <w:widowControl w:val="0"/>
                    <w:numPr>
                      <w:ilvl w:val="0"/>
                      <w:numId w:val="228"/>
                    </w:numPr>
                    <w:ind w:right="-1"/>
                    <w:jc w:val="both"/>
                    <w:rPr>
                      <w:rFonts w:asciiTheme="minorHAnsi" w:hAnsiTheme="minorHAnsi" w:cstheme="minorHAnsi"/>
                      <w:sz w:val="22"/>
                      <w:szCs w:val="22"/>
                    </w:rPr>
                  </w:pPr>
                  <w:r>
                    <w:rPr>
                      <w:rFonts w:asciiTheme="minorHAnsi" w:hAnsiTheme="minorHAnsi" w:cstheme="minorHAnsi"/>
                      <w:sz w:val="22"/>
                      <w:szCs w:val="22"/>
                    </w:rPr>
                    <w:t>L’obligation de l’inscription auprès du FOREM ou d’ACTIRIS, dès le 1</w:t>
                  </w:r>
                  <w:r>
                    <w:rPr>
                      <w:rFonts w:asciiTheme="minorHAnsi" w:hAnsiTheme="minorHAnsi" w:cstheme="minorHAnsi"/>
                      <w:sz w:val="22"/>
                      <w:szCs w:val="22"/>
                      <w:vertAlign w:val="superscript"/>
                    </w:rPr>
                    <w:t>er</w:t>
                  </w:r>
                  <w:r>
                    <w:rPr>
                      <w:rFonts w:asciiTheme="minorHAnsi" w:hAnsiTheme="minorHAnsi" w:cstheme="minorHAnsi"/>
                      <w:sz w:val="22"/>
                      <w:szCs w:val="22"/>
                    </w:rPr>
                    <w:t xml:space="preserve"> juillet, est portée à la connaissance des intéressés par les directions des établissements d’enseignement spécialisé.</w:t>
                  </w:r>
                </w:p>
                <w:p w:rsidR="00F04EEF" w:rsidRDefault="0099351E">
                  <w:pPr>
                    <w:pStyle w:val="Paragraphedeliste"/>
                    <w:widowControl w:val="0"/>
                    <w:numPr>
                      <w:ilvl w:val="0"/>
                      <w:numId w:val="228"/>
                    </w:numPr>
                    <w:ind w:right="-1"/>
                    <w:jc w:val="both"/>
                    <w:rPr>
                      <w:rFonts w:asciiTheme="minorHAnsi" w:hAnsiTheme="minorHAnsi" w:cstheme="minorHAnsi"/>
                      <w:b/>
                    </w:rPr>
                  </w:pPr>
                  <w:r>
                    <w:rPr>
                      <w:rFonts w:asciiTheme="minorHAnsi" w:hAnsiTheme="minorHAnsi" w:cstheme="minorHAnsi"/>
                      <w:sz w:val="22"/>
                      <w:szCs w:val="22"/>
                    </w:rPr>
                    <w:t>Cette obligation DOIT être rappelée à l'élève, ainsi qu'à ses parents ou représentants, à l’issue de sa scolarité.</w:t>
                  </w:r>
                </w:p>
                <w:p w:rsidR="00F04EEF" w:rsidRDefault="0099351E">
                  <w:pPr>
                    <w:widowControl w:val="0"/>
                    <w:suppressAutoHyphens/>
                    <w:ind w:right="-1"/>
                    <w:jc w:val="both"/>
                    <w:rPr>
                      <w:b/>
                    </w:rPr>
                  </w:pPr>
                  <w:r>
                    <w:rPr>
                      <w:b/>
                    </w:rPr>
                    <w:t>Concernant le formulaire :</w:t>
                  </w:r>
                </w:p>
                <w:p w:rsidR="00F04EEF" w:rsidRDefault="0099351E">
                  <w:pPr>
                    <w:widowControl w:val="0"/>
                    <w:numPr>
                      <w:ilvl w:val="0"/>
                      <w:numId w:val="227"/>
                    </w:numPr>
                    <w:suppressAutoHyphens/>
                    <w:ind w:right="-1"/>
                  </w:pPr>
                  <w:r>
                    <w:t>Tout dossier de demande de dérogation,</w:t>
                  </w:r>
                  <w:r>
                    <w:rPr>
                      <w:u w:val="single"/>
                    </w:rPr>
                    <w:t xml:space="preserve"> incomplet</w:t>
                  </w:r>
                  <w:r>
                    <w:t xml:space="preserve">, ne sera pas pris en considération et sera renvoyé à l’établissement. </w:t>
                  </w:r>
                  <w:r>
                    <w:br/>
                  </w:r>
                  <w:r>
                    <w:rPr>
                      <w:b/>
                      <w:w w:val="97"/>
                    </w:rPr>
                    <w:t>(</w:t>
                  </w:r>
                  <w:r>
                    <w:rPr>
                      <w:b/>
                      <w:i/>
                      <w:w w:val="97"/>
                    </w:rPr>
                    <w:t>La mention « </w:t>
                  </w:r>
                  <w:r>
                    <w:rPr>
                      <w:b/>
                      <w:i/>
                      <w:w w:val="97"/>
                      <w:u w:val="single"/>
                    </w:rPr>
                    <w:t>avis favorable afin de passer la qualification X</w:t>
                  </w:r>
                  <w:r>
                    <w:rPr>
                      <w:b/>
                      <w:i/>
                      <w:w w:val="97"/>
                    </w:rPr>
                    <w:t> » est insuffisante !</w:t>
                  </w:r>
                  <w:r>
                    <w:rPr>
                      <w:b/>
                      <w:w w:val="97"/>
                    </w:rPr>
                    <w:t>)</w:t>
                  </w:r>
                </w:p>
                <w:p w:rsidR="00F04EEF" w:rsidRDefault="0099351E">
                  <w:pPr>
                    <w:widowControl w:val="0"/>
                    <w:numPr>
                      <w:ilvl w:val="0"/>
                      <w:numId w:val="227"/>
                    </w:numPr>
                    <w:suppressAutoHyphens/>
                    <w:ind w:right="-1"/>
                    <w:jc w:val="both"/>
                  </w:pPr>
                  <w:r>
                    <w:t>La décision du conseil de classe ET la décision du centre de guidance doivent être dactylographiées ainsi que dûment circonstanciées.</w:t>
                  </w:r>
                </w:p>
                <w:p w:rsidR="00F04EEF" w:rsidRDefault="0099351E">
                  <w:pPr>
                    <w:widowControl w:val="0"/>
                    <w:numPr>
                      <w:ilvl w:val="0"/>
                      <w:numId w:val="227"/>
                    </w:numPr>
                    <w:suppressAutoHyphens/>
                    <w:ind w:right="-1"/>
                    <w:jc w:val="both"/>
                  </w:pPr>
                  <w:r>
                    <w:t>Les signatures calligraphiées de la Direction et du responsable du centre de guidance doivent obligatoirement être apposées sur le formulaire.</w:t>
                  </w:r>
                  <w:hyperlink w:anchor="_Annexe_1_:_4" w:history="1"/>
                </w:p>
                <w:p w:rsidR="00F04EEF" w:rsidRDefault="0099351E">
                  <w:pPr>
                    <w:widowControl w:val="0"/>
                    <w:numPr>
                      <w:ilvl w:val="0"/>
                      <w:numId w:val="227"/>
                    </w:numPr>
                    <w:suppressAutoHyphens/>
                    <w:ind w:right="-1"/>
                    <w:jc w:val="both"/>
                  </w:pPr>
                  <w:r>
                    <w:t>Les demandes de dérogation peuvent être introduites par mail, avec demande d’accusé de réception, via l’adresse mail administrative.</w:t>
                  </w:r>
                </w:p>
                <w:p w:rsidR="00F04EEF" w:rsidRDefault="00F04EEF">
                  <w:pPr>
                    <w:ind w:right="-1"/>
                  </w:pPr>
                  <w:bookmarkStart w:id="3514" w:name="_Annexe_1_:_9"/>
                  <w:bookmarkEnd w:id="3514"/>
                </w:p>
                <w:p w:rsidR="00F04EEF" w:rsidRDefault="0099351E">
                  <w:pPr>
                    <w:pStyle w:val="Titre4"/>
                  </w:pPr>
                  <w:bookmarkStart w:id="3515" w:name="_2.4._Demande_de"/>
                  <w:bookmarkStart w:id="3516" w:name="_Toc453314569"/>
                  <w:bookmarkStart w:id="3517" w:name="_Toc454980601"/>
                  <w:bookmarkEnd w:id="3515"/>
                  <w:r>
                    <w:t>2.2.</w:t>
                  </w:r>
                  <w:bookmarkStart w:id="3518" w:name="_5._Demandes_concernant"/>
                  <w:bookmarkEnd w:id="3518"/>
                  <w:r>
                    <w:t xml:space="preserve"> Demande de dérogation pour des raisons NON pédagogiques</w:t>
                  </w:r>
                  <w:bookmarkEnd w:id="3516"/>
                  <w:bookmarkEnd w:id="3517"/>
                  <w:r>
                    <w:t> </w:t>
                  </w:r>
                </w:p>
                <w:p w:rsidR="00F04EEF" w:rsidRDefault="00F04EEF">
                  <w:pPr>
                    <w:jc w:val="both"/>
                  </w:pPr>
                </w:p>
                <w:p w:rsidR="00F04EEF" w:rsidRDefault="0099351E">
                  <w:pPr>
                    <w:jc w:val="both"/>
                  </w:pPr>
                  <w:r>
                    <w:t xml:space="preserve">La convention 2020-2021 reprenant les critères de prise en charge et de subventionnement des élèves, âgés de plus de 21 ans, relevant des formes 1 et 2 de l’enseignement secondaire spécialisé a été signée entre la Communauté française et la Commission communautaire française et a fait l’objet de la </w:t>
                  </w:r>
                  <w:hyperlink r:id="rId241" w:history="1">
                    <w:r>
                      <w:rPr>
                        <w:rStyle w:val="Lienhypertexte"/>
                        <w:rFonts w:cstheme="minorBidi"/>
                      </w:rPr>
                      <w:t>circulaire n° 6506</w:t>
                    </w:r>
                  </w:hyperlink>
                  <w:r>
                    <w:t xml:space="preserve"> du 29 janvier 2018.</w:t>
                  </w:r>
                </w:p>
                <w:p w:rsidR="00F04EEF" w:rsidRDefault="00F04EEF">
                  <w:pPr>
                    <w:jc w:val="both"/>
                  </w:pPr>
                </w:p>
                <w:p w:rsidR="00F04EEF" w:rsidRDefault="0099351E">
                  <w:pPr>
                    <w:jc w:val="both"/>
                  </w:pPr>
                  <w:r>
                    <w:t>Le Service bruxellois francophone des personnes handicapées (SGS PHARE) intervient pour l’année scolaire 2020-2021 à raison de 10.000 euros par personne handicapée âgée de plus de 21 ans qui fréquente effectivement au cours de l’année scolaire un enseignement spécialisé de forme 1 ou 2 en raison d’une absence de place en centre de jour moyennant le respect de certaines conditions précisées dans la convention et la circulaire susmentionnées.</w:t>
                  </w:r>
                </w:p>
                <w:p w:rsidR="00F04EEF" w:rsidRDefault="00F04EEF">
                  <w:pPr>
                    <w:jc w:val="both"/>
                  </w:pPr>
                </w:p>
                <w:p w:rsidR="00F04EEF" w:rsidRDefault="0099351E">
                  <w:pPr>
                    <w:jc w:val="both"/>
                  </w:pPr>
                  <w:r>
                    <w:t>La Région wallonne n’intervient pas dans le coût de l’accueil de ces personnes handicapées âgées de plus de 21 ans domiciliées en Région wallonne qui fréquentent effectivement un enseignement spécialisé de forme 1 ou de forme 2.</w:t>
                  </w:r>
                </w:p>
                <w:p w:rsidR="00F04EEF" w:rsidRDefault="00F04EEF">
                  <w:pPr>
                    <w:jc w:val="both"/>
                  </w:pPr>
                </w:p>
                <w:p w:rsidR="00F04EEF" w:rsidRDefault="0099351E">
                  <w:pPr>
                    <w:jc w:val="both"/>
                  </w:pPr>
                  <w:r>
                    <w:t>Une nouvelle circulaire paraîtra dans le courant de l’année 2020 pour l’année scolaire 2020-2021.</w:t>
                  </w:r>
                </w:p>
                <w:p w:rsidR="00F04EEF" w:rsidRDefault="00F04EEF">
                  <w:pPr>
                    <w:jc w:val="both"/>
                  </w:pPr>
                </w:p>
                <w:p w:rsidR="00F04EEF" w:rsidRDefault="0099351E">
                  <w:pPr>
                    <w:pStyle w:val="Titre3"/>
                    <w:rPr>
                      <w:sz w:val="22"/>
                      <w:szCs w:val="22"/>
                    </w:rPr>
                  </w:pPr>
                  <w:bookmarkStart w:id="3519" w:name="_Toc453314570"/>
                  <w:bookmarkStart w:id="3520" w:name="_Toc454980602"/>
                  <w:bookmarkStart w:id="3521" w:name="_Toc47708581"/>
                  <w:r>
                    <w:rPr>
                      <w:sz w:val="22"/>
                      <w:szCs w:val="22"/>
                    </w:rPr>
                    <w:t>3. Annexe</w:t>
                  </w:r>
                  <w:bookmarkEnd w:id="3519"/>
                  <w:bookmarkEnd w:id="3520"/>
                  <w:r>
                    <w:rPr>
                      <w:sz w:val="22"/>
                      <w:szCs w:val="22"/>
                    </w:rPr>
                    <w:t>s</w:t>
                  </w:r>
                  <w:bookmarkEnd w:id="3521"/>
                </w:p>
                <w:p w:rsidR="00F04EEF" w:rsidRDefault="0099351E">
                  <w:bookmarkStart w:id="3522" w:name="_Annexe_1_:_17"/>
                  <w:bookmarkEnd w:id="3522"/>
                  <w:r>
                    <w:br w:type="page"/>
                  </w:r>
                  <w:bookmarkStart w:id="3523" w:name="_Annexe_3_:_2"/>
                  <w:bookmarkStart w:id="3524" w:name="_Toc453314573"/>
                  <w:bookmarkStart w:id="3525" w:name="_Toc454980605"/>
                  <w:bookmarkEnd w:id="3523"/>
                  <w:r>
                    <w:t xml:space="preserve"> </w:t>
                  </w:r>
                </w:p>
                <w:p w:rsidR="00F04EEF" w:rsidRDefault="0099351E">
                  <w:pPr>
                    <w:pStyle w:val="Titre4"/>
                  </w:pPr>
                  <w:bookmarkStart w:id="3526" w:name="_Annexe_3_:_5"/>
                  <w:bookmarkEnd w:id="3526"/>
                  <w:r>
                    <w:t>Annexe 1 : Demande de dérogation pour un élève âgé de plus de vingt et un an pour des raisons pédagogiques</w:t>
                  </w:r>
                  <w:bookmarkEnd w:id="3524"/>
                  <w:bookmarkEnd w:id="3525"/>
                </w:p>
                <w:p w:rsidR="00F04EEF" w:rsidRDefault="00F04EEF">
                  <w:pPr>
                    <w:widowControl w:val="0"/>
                    <w:ind w:right="-250"/>
                    <w:jc w:val="both"/>
                  </w:pPr>
                </w:p>
                <w:p w:rsidR="00F04EEF" w:rsidRDefault="0099351E">
                  <w:pPr>
                    <w:jc w:val="center"/>
                    <w:rPr>
                      <w:b/>
                    </w:rPr>
                  </w:pPr>
                  <w:r>
                    <w:rPr>
                      <w:b/>
                    </w:rPr>
                    <w:t>ETABLISSEMENT SCOLAIRE INTRODUISANT LA DEMANDE :</w:t>
                  </w:r>
                </w:p>
                <w:p w:rsidR="00F04EEF" w:rsidRDefault="00F04EEF">
                  <w:pPr>
                    <w:jc w:val="center"/>
                    <w:rPr>
                      <w:b/>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9"/>
                    <w:gridCol w:w="1811"/>
                    <w:gridCol w:w="844"/>
                    <w:gridCol w:w="1958"/>
                    <w:gridCol w:w="809"/>
                    <w:gridCol w:w="1185"/>
                    <w:gridCol w:w="1650"/>
                  </w:tblGrid>
                  <w:tr w:rsidR="00F04EEF">
                    <w:tc>
                      <w:tcPr>
                        <w:tcW w:w="1949" w:type="dxa"/>
                      </w:tcPr>
                      <w:p w:rsidR="00F04EEF" w:rsidRDefault="0099351E">
                        <w:pPr>
                          <w:jc w:val="center"/>
                        </w:pPr>
                        <w:r>
                          <w:rPr>
                            <w:b/>
                          </w:rPr>
                          <w:t>NOM de la direction</w:t>
                        </w:r>
                      </w:p>
                    </w:tc>
                    <w:tc>
                      <w:tcPr>
                        <w:tcW w:w="1811" w:type="dxa"/>
                      </w:tcPr>
                      <w:p w:rsidR="00F04EEF" w:rsidRDefault="0099351E">
                        <w:pPr>
                          <w:jc w:val="center"/>
                        </w:pPr>
                        <w:r>
                          <w:t>Prénom de la Direction</w:t>
                        </w:r>
                      </w:p>
                    </w:tc>
                    <w:tc>
                      <w:tcPr>
                        <w:tcW w:w="844" w:type="dxa"/>
                      </w:tcPr>
                      <w:p w:rsidR="00F04EEF" w:rsidRDefault="0099351E">
                        <w:pPr>
                          <w:jc w:val="center"/>
                        </w:pPr>
                        <w:r>
                          <w:t>N° FASE</w:t>
                        </w:r>
                      </w:p>
                    </w:tc>
                    <w:tc>
                      <w:tcPr>
                        <w:tcW w:w="1958" w:type="dxa"/>
                      </w:tcPr>
                      <w:p w:rsidR="00F04EEF" w:rsidRDefault="0099351E">
                        <w:pPr>
                          <w:jc w:val="center"/>
                        </w:pPr>
                        <w:r>
                          <w:t>Adresse</w:t>
                        </w:r>
                      </w:p>
                    </w:tc>
                    <w:tc>
                      <w:tcPr>
                        <w:tcW w:w="809" w:type="dxa"/>
                      </w:tcPr>
                      <w:p w:rsidR="00F04EEF" w:rsidRDefault="0099351E">
                        <w:pPr>
                          <w:jc w:val="center"/>
                        </w:pPr>
                        <w:r>
                          <w:t>CP</w:t>
                        </w:r>
                      </w:p>
                    </w:tc>
                    <w:tc>
                      <w:tcPr>
                        <w:tcW w:w="1185" w:type="dxa"/>
                      </w:tcPr>
                      <w:p w:rsidR="00F04EEF" w:rsidRDefault="0099351E">
                        <w:pPr>
                          <w:jc w:val="center"/>
                        </w:pPr>
                        <w:r>
                          <w:t>LOCALITE</w:t>
                        </w:r>
                      </w:p>
                    </w:tc>
                    <w:tc>
                      <w:tcPr>
                        <w:tcW w:w="1650" w:type="dxa"/>
                      </w:tcPr>
                      <w:p w:rsidR="00F04EEF" w:rsidRDefault="0099351E">
                        <w:pPr>
                          <w:jc w:val="center"/>
                        </w:pPr>
                        <w:r>
                          <w:t>Numéro de téléphone</w:t>
                        </w:r>
                      </w:p>
                    </w:tc>
                  </w:tr>
                  <w:tr w:rsidR="00F04EEF">
                    <w:tc>
                      <w:tcPr>
                        <w:tcW w:w="1949" w:type="dxa"/>
                      </w:tcPr>
                      <w:p w:rsidR="00F04EEF" w:rsidRDefault="00F04EEF">
                        <w:pPr>
                          <w:jc w:val="center"/>
                        </w:pPr>
                      </w:p>
                    </w:tc>
                    <w:tc>
                      <w:tcPr>
                        <w:tcW w:w="1811" w:type="dxa"/>
                      </w:tcPr>
                      <w:p w:rsidR="00F04EEF" w:rsidRDefault="00F04EEF">
                        <w:pPr>
                          <w:jc w:val="center"/>
                        </w:pPr>
                      </w:p>
                    </w:tc>
                    <w:tc>
                      <w:tcPr>
                        <w:tcW w:w="844" w:type="dxa"/>
                      </w:tcPr>
                      <w:p w:rsidR="00F04EEF" w:rsidRDefault="00F04EEF">
                        <w:pPr>
                          <w:jc w:val="center"/>
                        </w:pPr>
                      </w:p>
                    </w:tc>
                    <w:tc>
                      <w:tcPr>
                        <w:tcW w:w="1958" w:type="dxa"/>
                      </w:tcPr>
                      <w:p w:rsidR="00F04EEF" w:rsidRDefault="00F04EEF">
                        <w:pPr>
                          <w:jc w:val="center"/>
                        </w:pPr>
                      </w:p>
                    </w:tc>
                    <w:tc>
                      <w:tcPr>
                        <w:tcW w:w="809" w:type="dxa"/>
                      </w:tcPr>
                      <w:p w:rsidR="00F04EEF" w:rsidRDefault="00F04EEF">
                        <w:pPr>
                          <w:jc w:val="center"/>
                        </w:pPr>
                      </w:p>
                    </w:tc>
                    <w:tc>
                      <w:tcPr>
                        <w:tcW w:w="1185" w:type="dxa"/>
                      </w:tcPr>
                      <w:p w:rsidR="00F04EEF" w:rsidRDefault="00F04EEF">
                        <w:pPr>
                          <w:jc w:val="center"/>
                        </w:pPr>
                      </w:p>
                    </w:tc>
                    <w:tc>
                      <w:tcPr>
                        <w:tcW w:w="1650" w:type="dxa"/>
                      </w:tcPr>
                      <w:p w:rsidR="00F04EEF" w:rsidRDefault="00F04EEF">
                        <w:pPr>
                          <w:jc w:val="center"/>
                        </w:pPr>
                      </w:p>
                    </w:tc>
                  </w:tr>
                </w:tbl>
                <w:p w:rsidR="00F04EEF" w:rsidRDefault="00F04EEF">
                  <w:pPr>
                    <w:jc w:val="center"/>
                  </w:pPr>
                </w:p>
                <w:p w:rsidR="00F04EEF" w:rsidRDefault="0099351E">
                  <w:pPr>
                    <w:jc w:val="center"/>
                    <w:rPr>
                      <w:b/>
                    </w:rPr>
                  </w:pPr>
                  <w:r>
                    <w:rPr>
                      <w:b/>
                    </w:rPr>
                    <w:t>RESPONSABLE AYANT PRIS EN CHARGE LE DOSSIER DE L’ELEVE :</w:t>
                  </w:r>
                </w:p>
                <w:p w:rsidR="00F04EEF" w:rsidRDefault="00F04EEF">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3"/>
                    <w:gridCol w:w="2236"/>
                    <w:gridCol w:w="2279"/>
                    <w:gridCol w:w="2336"/>
                  </w:tblGrid>
                  <w:tr w:rsidR="00F04EEF">
                    <w:tc>
                      <w:tcPr>
                        <w:tcW w:w="2493" w:type="dxa"/>
                      </w:tcPr>
                      <w:p w:rsidR="00F04EEF" w:rsidRDefault="0099351E">
                        <w:pPr>
                          <w:jc w:val="center"/>
                        </w:pPr>
                        <w:r>
                          <w:rPr>
                            <w:b/>
                          </w:rPr>
                          <w:t>NOM du responsable</w:t>
                        </w:r>
                      </w:p>
                    </w:tc>
                    <w:tc>
                      <w:tcPr>
                        <w:tcW w:w="2236" w:type="dxa"/>
                      </w:tcPr>
                      <w:p w:rsidR="00F04EEF" w:rsidRDefault="0099351E">
                        <w:pPr>
                          <w:jc w:val="center"/>
                        </w:pPr>
                        <w:r>
                          <w:t>Prénom</w:t>
                        </w:r>
                      </w:p>
                    </w:tc>
                    <w:tc>
                      <w:tcPr>
                        <w:tcW w:w="2279" w:type="dxa"/>
                      </w:tcPr>
                      <w:p w:rsidR="00F04EEF" w:rsidRDefault="0099351E">
                        <w:pPr>
                          <w:jc w:val="center"/>
                        </w:pPr>
                        <w:r>
                          <w:t>Fonction</w:t>
                        </w:r>
                      </w:p>
                    </w:tc>
                    <w:tc>
                      <w:tcPr>
                        <w:tcW w:w="2336" w:type="dxa"/>
                      </w:tcPr>
                      <w:p w:rsidR="00F04EEF" w:rsidRDefault="0099351E">
                        <w:pPr>
                          <w:jc w:val="center"/>
                        </w:pPr>
                        <w:r>
                          <w:t>Numéro de téléphone</w:t>
                        </w:r>
                      </w:p>
                    </w:tc>
                  </w:tr>
                  <w:tr w:rsidR="00F04EEF">
                    <w:tc>
                      <w:tcPr>
                        <w:tcW w:w="2493" w:type="dxa"/>
                      </w:tcPr>
                      <w:p w:rsidR="00F04EEF" w:rsidRDefault="00F04EEF">
                        <w:pPr>
                          <w:jc w:val="center"/>
                        </w:pPr>
                      </w:p>
                    </w:tc>
                    <w:tc>
                      <w:tcPr>
                        <w:tcW w:w="2236" w:type="dxa"/>
                      </w:tcPr>
                      <w:p w:rsidR="00F04EEF" w:rsidRDefault="00F04EEF">
                        <w:pPr>
                          <w:jc w:val="center"/>
                        </w:pPr>
                      </w:p>
                    </w:tc>
                    <w:tc>
                      <w:tcPr>
                        <w:tcW w:w="2279" w:type="dxa"/>
                      </w:tcPr>
                      <w:p w:rsidR="00F04EEF" w:rsidRDefault="00F04EEF">
                        <w:pPr>
                          <w:jc w:val="center"/>
                        </w:pPr>
                      </w:p>
                    </w:tc>
                    <w:tc>
                      <w:tcPr>
                        <w:tcW w:w="2336" w:type="dxa"/>
                      </w:tcPr>
                      <w:p w:rsidR="00F04EEF" w:rsidRDefault="00F04EEF">
                        <w:pPr>
                          <w:jc w:val="center"/>
                        </w:pPr>
                      </w:p>
                    </w:tc>
                  </w:tr>
                </w:tbl>
                <w:p w:rsidR="00F04EEF" w:rsidRDefault="00F04EEF">
                  <w:pPr>
                    <w:jc w:val="center"/>
                    <w:rPr>
                      <w:b/>
                    </w:rPr>
                  </w:pPr>
                </w:p>
                <w:p w:rsidR="00F04EEF" w:rsidRDefault="0099351E">
                  <w:pPr>
                    <w:jc w:val="center"/>
                    <w:rPr>
                      <w:b/>
                    </w:rPr>
                  </w:pPr>
                  <w:r>
                    <w:rPr>
                      <w:b/>
                    </w:rPr>
                    <w:t>INFORMATIONS CONCERNANT L’ELEVE :</w:t>
                  </w:r>
                </w:p>
                <w:tbl>
                  <w:tblPr>
                    <w:tblStyle w:val="Grilledutableau"/>
                    <w:tblW w:w="9912" w:type="dxa"/>
                    <w:tblLook w:val="04A0" w:firstRow="1" w:lastRow="0" w:firstColumn="1" w:lastColumn="0" w:noHBand="0" w:noVBand="1"/>
                  </w:tblPr>
                  <w:tblGrid>
                    <w:gridCol w:w="5240"/>
                    <w:gridCol w:w="851"/>
                    <w:gridCol w:w="3821"/>
                  </w:tblGrid>
                  <w:tr w:rsidR="00F04EEF">
                    <w:tc>
                      <w:tcPr>
                        <w:tcW w:w="5240" w:type="dxa"/>
                      </w:tcPr>
                      <w:p w:rsidR="00F04EEF" w:rsidRDefault="0099351E">
                        <w:pPr>
                          <w:jc w:val="center"/>
                          <w:rPr>
                            <w:b/>
                          </w:rPr>
                        </w:pPr>
                        <w:r>
                          <w:rPr>
                            <w:b/>
                          </w:rPr>
                          <w:t xml:space="preserve">NOM </w:t>
                        </w:r>
                      </w:p>
                    </w:tc>
                    <w:tc>
                      <w:tcPr>
                        <w:tcW w:w="4672" w:type="dxa"/>
                        <w:gridSpan w:val="2"/>
                      </w:tcPr>
                      <w:p w:rsidR="00F04EEF" w:rsidRDefault="00F04EEF">
                        <w:pPr>
                          <w:jc w:val="center"/>
                          <w:rPr>
                            <w:b/>
                          </w:rPr>
                        </w:pPr>
                      </w:p>
                    </w:tc>
                  </w:tr>
                  <w:tr w:rsidR="00F04EEF">
                    <w:tc>
                      <w:tcPr>
                        <w:tcW w:w="5240" w:type="dxa"/>
                      </w:tcPr>
                      <w:p w:rsidR="00F04EEF" w:rsidRDefault="0099351E">
                        <w:pPr>
                          <w:jc w:val="center"/>
                          <w:rPr>
                            <w:b/>
                          </w:rPr>
                        </w:pPr>
                        <w:r>
                          <w:rPr>
                            <w:b/>
                          </w:rPr>
                          <w:t xml:space="preserve">Prénom </w:t>
                        </w:r>
                      </w:p>
                    </w:tc>
                    <w:tc>
                      <w:tcPr>
                        <w:tcW w:w="4672" w:type="dxa"/>
                        <w:gridSpan w:val="2"/>
                      </w:tcPr>
                      <w:p w:rsidR="00F04EEF" w:rsidRDefault="00F04EEF">
                        <w:pPr>
                          <w:jc w:val="center"/>
                          <w:rPr>
                            <w:b/>
                          </w:rPr>
                        </w:pPr>
                      </w:p>
                    </w:tc>
                  </w:tr>
                  <w:tr w:rsidR="00F04EEF">
                    <w:tc>
                      <w:tcPr>
                        <w:tcW w:w="5240" w:type="dxa"/>
                      </w:tcPr>
                      <w:p w:rsidR="00F04EEF" w:rsidRDefault="0099351E">
                        <w:pPr>
                          <w:jc w:val="center"/>
                        </w:pPr>
                        <w:r>
                          <w:t>Sexe</w:t>
                        </w:r>
                      </w:p>
                    </w:tc>
                    <w:tc>
                      <w:tcPr>
                        <w:tcW w:w="4672" w:type="dxa"/>
                        <w:gridSpan w:val="2"/>
                      </w:tcPr>
                      <w:p w:rsidR="00F04EEF" w:rsidRDefault="00F04EEF">
                        <w:pPr>
                          <w:jc w:val="center"/>
                          <w:rPr>
                            <w:b/>
                          </w:rPr>
                        </w:pPr>
                      </w:p>
                    </w:tc>
                  </w:tr>
                  <w:tr w:rsidR="00F04EEF">
                    <w:tc>
                      <w:tcPr>
                        <w:tcW w:w="5240" w:type="dxa"/>
                      </w:tcPr>
                      <w:p w:rsidR="00F04EEF" w:rsidRDefault="0099351E">
                        <w:pPr>
                          <w:jc w:val="center"/>
                        </w:pPr>
                        <w:r>
                          <w:t>Date de naissance</w:t>
                        </w:r>
                      </w:p>
                    </w:tc>
                    <w:tc>
                      <w:tcPr>
                        <w:tcW w:w="4672" w:type="dxa"/>
                        <w:gridSpan w:val="2"/>
                      </w:tcPr>
                      <w:p w:rsidR="00F04EEF" w:rsidRDefault="00F04EEF">
                        <w:pPr>
                          <w:jc w:val="center"/>
                          <w:rPr>
                            <w:b/>
                          </w:rPr>
                        </w:pPr>
                      </w:p>
                    </w:tc>
                  </w:tr>
                  <w:tr w:rsidR="00F04EEF">
                    <w:tc>
                      <w:tcPr>
                        <w:tcW w:w="6091" w:type="dxa"/>
                        <w:gridSpan w:val="2"/>
                      </w:tcPr>
                      <w:p w:rsidR="00F04EEF" w:rsidRDefault="0099351E">
                        <w:pPr>
                          <w:jc w:val="center"/>
                          <w:rPr>
                            <w:b/>
                          </w:rPr>
                        </w:pPr>
                        <w:r>
                          <w:rPr>
                            <w:b/>
                          </w:rPr>
                          <w:t>L’élève a-t-il déjà obtenu un certificat de qualification ?</w:t>
                        </w:r>
                      </w:p>
                    </w:tc>
                    <w:tc>
                      <w:tcPr>
                        <w:tcW w:w="3821" w:type="dxa"/>
                      </w:tcPr>
                      <w:p w:rsidR="00F04EEF" w:rsidRDefault="0099351E">
                        <w:pPr>
                          <w:jc w:val="center"/>
                          <w:rPr>
                            <w:b/>
                          </w:rPr>
                        </w:pPr>
                        <w:r>
                          <w:rPr>
                            <w:b/>
                          </w:rPr>
                          <w:t>OUI  -  NON</w:t>
                        </w:r>
                      </w:p>
                    </w:tc>
                  </w:tr>
                  <w:tr w:rsidR="00F04EEF">
                    <w:tc>
                      <w:tcPr>
                        <w:tcW w:w="5240" w:type="dxa"/>
                      </w:tcPr>
                      <w:p w:rsidR="00F04EEF" w:rsidRDefault="0099351E">
                        <w:pPr>
                          <w:jc w:val="center"/>
                        </w:pPr>
                        <w:r>
                          <w:t>Nombre de CQ obtenu</w:t>
                        </w:r>
                      </w:p>
                    </w:tc>
                    <w:tc>
                      <w:tcPr>
                        <w:tcW w:w="4672" w:type="dxa"/>
                        <w:gridSpan w:val="2"/>
                      </w:tcPr>
                      <w:p w:rsidR="00F04EEF" w:rsidRDefault="00F04EEF">
                        <w:pPr>
                          <w:rPr>
                            <w:b/>
                          </w:rPr>
                        </w:pPr>
                      </w:p>
                    </w:tc>
                  </w:tr>
                  <w:tr w:rsidR="00F04EEF">
                    <w:tc>
                      <w:tcPr>
                        <w:tcW w:w="5240" w:type="dxa"/>
                      </w:tcPr>
                      <w:p w:rsidR="00F04EEF" w:rsidRDefault="0099351E">
                        <w:pPr>
                          <w:widowControl w:val="0"/>
                          <w:tabs>
                            <w:tab w:val="left" w:pos="-1056"/>
                            <w:tab w:val="left" w:pos="-348"/>
                          </w:tabs>
                          <w:jc w:val="center"/>
                        </w:pPr>
                        <w:r>
                          <w:rPr>
                            <w:b/>
                          </w:rPr>
                          <w:t xml:space="preserve">Intitulé(s) précis - </w:t>
                        </w:r>
                        <w:r>
                          <w:t>féminisé si nécessaire</w:t>
                        </w:r>
                      </w:p>
                      <w:p w:rsidR="00F04EEF" w:rsidRDefault="0099351E">
                        <w:pPr>
                          <w:widowControl w:val="0"/>
                          <w:tabs>
                            <w:tab w:val="left" w:pos="-1056"/>
                            <w:tab w:val="left" w:pos="-348"/>
                          </w:tabs>
                          <w:jc w:val="center"/>
                        </w:pPr>
                        <w:r>
                          <w:t>+</w:t>
                        </w:r>
                      </w:p>
                      <w:p w:rsidR="00F04EEF" w:rsidRDefault="0099351E">
                        <w:pPr>
                          <w:jc w:val="center"/>
                        </w:pPr>
                        <w:r>
                          <w:t>Date d’obtention du CQ</w:t>
                        </w:r>
                      </w:p>
                    </w:tc>
                    <w:tc>
                      <w:tcPr>
                        <w:tcW w:w="4672" w:type="dxa"/>
                        <w:gridSpan w:val="2"/>
                      </w:tcPr>
                      <w:p w:rsidR="00F04EEF" w:rsidRDefault="0099351E">
                        <w:pPr>
                          <w:rPr>
                            <w:b/>
                          </w:rPr>
                        </w:pPr>
                        <w:r>
                          <w:rPr>
                            <w:b/>
                          </w:rPr>
                          <w:t xml:space="preserve">A) </w:t>
                        </w:r>
                      </w:p>
                      <w:p w:rsidR="00F04EEF" w:rsidRDefault="00F04EEF">
                        <w:pPr>
                          <w:rPr>
                            <w:b/>
                          </w:rPr>
                        </w:pPr>
                      </w:p>
                      <w:p w:rsidR="00F04EEF" w:rsidRDefault="0099351E">
                        <w:pPr>
                          <w:rPr>
                            <w:b/>
                          </w:rPr>
                        </w:pPr>
                        <w:r>
                          <w:rPr>
                            <w:b/>
                          </w:rPr>
                          <w:t>B)</w:t>
                        </w:r>
                      </w:p>
                    </w:tc>
                  </w:tr>
                  <w:tr w:rsidR="00F04EEF">
                    <w:tc>
                      <w:tcPr>
                        <w:tcW w:w="5240" w:type="dxa"/>
                      </w:tcPr>
                      <w:p w:rsidR="00F04EEF" w:rsidRDefault="0099351E">
                        <w:pPr>
                          <w:jc w:val="center"/>
                        </w:pPr>
                        <w:r>
                          <w:rPr>
                            <w:b/>
                          </w:rPr>
                          <w:t>Date et signature</w:t>
                        </w:r>
                        <w:r>
                          <w:t xml:space="preserve"> de la personne exerçant l’autorité parentale ou signature de l’élève</w:t>
                        </w:r>
                      </w:p>
                    </w:tc>
                    <w:tc>
                      <w:tcPr>
                        <w:tcW w:w="4672" w:type="dxa"/>
                        <w:gridSpan w:val="2"/>
                      </w:tcPr>
                      <w:p w:rsidR="00F04EEF" w:rsidRDefault="0099351E">
                        <w:pPr>
                          <w:pStyle w:val="Paragraphedeliste"/>
                          <w:ind w:left="720"/>
                          <w:rPr>
                            <w:rFonts w:asciiTheme="majorHAnsi" w:hAnsiTheme="majorHAnsi"/>
                            <w:b/>
                            <w:sz w:val="22"/>
                            <w:szCs w:val="22"/>
                            <w:lang w:eastAsia="fr-BE"/>
                          </w:rPr>
                        </w:pPr>
                        <w:r>
                          <w:rPr>
                            <w:rFonts w:asciiTheme="majorHAnsi" w:hAnsiTheme="majorHAnsi"/>
                            <w:b/>
                            <w:sz w:val="22"/>
                            <w:szCs w:val="22"/>
                            <w:lang w:eastAsia="fr-BE"/>
                          </w:rPr>
                          <w:t>DATE :</w:t>
                        </w:r>
                      </w:p>
                      <w:p w:rsidR="00F04EEF" w:rsidRDefault="00F04EEF">
                        <w:pPr>
                          <w:pStyle w:val="Paragraphedeliste"/>
                          <w:ind w:left="720"/>
                          <w:rPr>
                            <w:rFonts w:asciiTheme="majorHAnsi" w:hAnsiTheme="majorHAnsi"/>
                            <w:b/>
                            <w:sz w:val="22"/>
                            <w:szCs w:val="22"/>
                            <w:lang w:eastAsia="fr-BE"/>
                          </w:rPr>
                        </w:pPr>
                      </w:p>
                      <w:p w:rsidR="00F04EEF" w:rsidRDefault="0099351E">
                        <w:pPr>
                          <w:pStyle w:val="Paragraphedeliste"/>
                          <w:ind w:left="720"/>
                          <w:rPr>
                            <w:rFonts w:asciiTheme="majorHAnsi" w:hAnsiTheme="majorHAnsi"/>
                            <w:b/>
                            <w:sz w:val="22"/>
                            <w:szCs w:val="22"/>
                            <w:lang w:eastAsia="fr-BE"/>
                          </w:rPr>
                        </w:pPr>
                        <w:r>
                          <w:rPr>
                            <w:rFonts w:asciiTheme="majorHAnsi" w:hAnsiTheme="majorHAnsi"/>
                            <w:b/>
                            <w:sz w:val="22"/>
                            <w:szCs w:val="22"/>
                            <w:lang w:eastAsia="fr-BE"/>
                          </w:rPr>
                          <w:t>SIGNATURE</w:t>
                        </w:r>
                      </w:p>
                      <w:p w:rsidR="00F04EEF" w:rsidRDefault="00F04EEF">
                        <w:pPr>
                          <w:pStyle w:val="Paragraphedeliste"/>
                          <w:ind w:left="720"/>
                          <w:rPr>
                            <w:rFonts w:asciiTheme="majorHAnsi" w:hAnsiTheme="majorHAnsi"/>
                            <w:b/>
                            <w:sz w:val="22"/>
                            <w:szCs w:val="22"/>
                            <w:lang w:eastAsia="fr-BE"/>
                          </w:rPr>
                        </w:pPr>
                      </w:p>
                      <w:p w:rsidR="00F04EEF" w:rsidRDefault="00F04EEF">
                        <w:pPr>
                          <w:pStyle w:val="Paragraphedeliste"/>
                          <w:ind w:left="720"/>
                          <w:rPr>
                            <w:rFonts w:asciiTheme="majorHAnsi" w:hAnsiTheme="majorHAnsi"/>
                            <w:b/>
                            <w:sz w:val="22"/>
                            <w:szCs w:val="22"/>
                            <w:lang w:eastAsia="fr-BE"/>
                          </w:rPr>
                        </w:pPr>
                      </w:p>
                    </w:tc>
                  </w:tr>
                </w:tbl>
                <w:p w:rsidR="00F04EEF" w:rsidRDefault="00F04EEF">
                  <w:pPr>
                    <w:jc w:val="center"/>
                    <w:rPr>
                      <w:b/>
                    </w:rPr>
                  </w:pPr>
                </w:p>
                <w:p w:rsidR="00F04EEF" w:rsidRDefault="0099351E">
                  <w:pPr>
                    <w:jc w:val="center"/>
                  </w:pPr>
                  <w:r>
                    <w:rPr>
                      <w:b/>
                    </w:rPr>
                    <w:t>PARCOURS</w:t>
                  </w:r>
                  <w:r>
                    <w:rPr>
                      <w:b/>
                      <w:u w:val="single"/>
                    </w:rPr>
                    <w:t xml:space="preserve"> CHRONOLOGIQUE</w:t>
                  </w:r>
                  <w:r>
                    <w:rPr>
                      <w:b/>
                    </w:rPr>
                    <w:t xml:space="preserve"> </w:t>
                  </w:r>
                  <w:r>
                    <w:t>(</w:t>
                  </w:r>
                  <w:r>
                    <w:rPr>
                      <w:u w:val="single"/>
                    </w:rPr>
                    <w:t>5 dernières années</w:t>
                  </w:r>
                  <w:r>
                    <w:t>)</w:t>
                  </w:r>
                  <w:r>
                    <w:rPr>
                      <w:b/>
                    </w:rPr>
                    <w:t xml:space="preserve"> DE L'ELEVE DANS L'ENSEIGNEMENT SPECIALISE - </w:t>
                  </w:r>
                  <w:r>
                    <w:rPr>
                      <w:i/>
                      <w:u w:val="single"/>
                    </w:rPr>
                    <w:t>(Précisez si c’est de l’ordinaire ou du spécialisé</w:t>
                  </w:r>
                  <w:r>
                    <w:t>)</w:t>
                  </w:r>
                </w:p>
                <w:p w:rsidR="00F04EEF" w:rsidRDefault="00F04EEF">
                  <w:pPr>
                    <w:jc w:val="center"/>
                    <w:rPr>
                      <w:b/>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08"/>
                    <w:gridCol w:w="708"/>
                    <w:gridCol w:w="747"/>
                    <w:gridCol w:w="1681"/>
                    <w:gridCol w:w="1431"/>
                    <w:gridCol w:w="1414"/>
                    <w:gridCol w:w="874"/>
                    <w:gridCol w:w="1802"/>
                  </w:tblGrid>
                  <w:tr w:rsidR="00F04EEF">
                    <w:tc>
                      <w:tcPr>
                        <w:tcW w:w="1418" w:type="dxa"/>
                      </w:tcPr>
                      <w:p w:rsidR="00F04EEF" w:rsidRDefault="0099351E">
                        <w:pPr>
                          <w:jc w:val="center"/>
                        </w:pPr>
                        <w:r>
                          <w:t>Année scolaire</w:t>
                        </w:r>
                      </w:p>
                    </w:tc>
                    <w:tc>
                      <w:tcPr>
                        <w:tcW w:w="709" w:type="dxa"/>
                      </w:tcPr>
                      <w:p w:rsidR="00F04EEF" w:rsidRDefault="0099351E">
                        <w:pPr>
                          <w:jc w:val="center"/>
                          <w:rPr>
                            <w:b/>
                          </w:rPr>
                        </w:pPr>
                        <w:r>
                          <w:t xml:space="preserve">Type </w:t>
                        </w:r>
                      </w:p>
                    </w:tc>
                    <w:tc>
                      <w:tcPr>
                        <w:tcW w:w="722" w:type="dxa"/>
                      </w:tcPr>
                      <w:p w:rsidR="00F04EEF" w:rsidRDefault="0099351E">
                        <w:pPr>
                          <w:jc w:val="center"/>
                          <w:rPr>
                            <w:b/>
                          </w:rPr>
                        </w:pPr>
                        <w:r>
                          <w:t>Phase</w:t>
                        </w:r>
                      </w:p>
                    </w:tc>
                    <w:tc>
                      <w:tcPr>
                        <w:tcW w:w="1687" w:type="dxa"/>
                      </w:tcPr>
                      <w:p w:rsidR="00F04EEF" w:rsidRDefault="0099351E">
                        <w:pPr>
                          <w:widowControl w:val="0"/>
                          <w:tabs>
                            <w:tab w:val="left" w:pos="-1056"/>
                            <w:tab w:val="left" w:pos="-348"/>
                          </w:tabs>
                          <w:snapToGrid w:val="0"/>
                          <w:jc w:val="center"/>
                        </w:pPr>
                        <w:r>
                          <w:t>Secteur professionnel</w:t>
                        </w:r>
                      </w:p>
                      <w:p w:rsidR="00F04EEF" w:rsidRDefault="0099351E">
                        <w:pPr>
                          <w:jc w:val="center"/>
                          <w:rPr>
                            <w:b/>
                          </w:rPr>
                        </w:pPr>
                        <w:r>
                          <w:rPr>
                            <w:b/>
                          </w:rPr>
                          <w:t>(intitulé précis)</w:t>
                        </w:r>
                      </w:p>
                    </w:tc>
                    <w:tc>
                      <w:tcPr>
                        <w:tcW w:w="1418" w:type="dxa"/>
                      </w:tcPr>
                      <w:p w:rsidR="00F04EEF" w:rsidRDefault="0099351E">
                        <w:pPr>
                          <w:jc w:val="center"/>
                          <w:rPr>
                            <w:b/>
                          </w:rPr>
                        </w:pPr>
                        <w:r>
                          <w:t>Groupe professionnel</w:t>
                        </w:r>
                        <w:r>
                          <w:rPr>
                            <w:b/>
                          </w:rPr>
                          <w:t xml:space="preserve"> (intitulé précis)</w:t>
                        </w:r>
                      </w:p>
                    </w:tc>
                    <w:tc>
                      <w:tcPr>
                        <w:tcW w:w="1418" w:type="dxa"/>
                      </w:tcPr>
                      <w:p w:rsidR="00F04EEF" w:rsidRDefault="0099351E">
                        <w:pPr>
                          <w:jc w:val="center"/>
                          <w:rPr>
                            <w:b/>
                          </w:rPr>
                        </w:pPr>
                        <w:r>
                          <w:t xml:space="preserve">Métier </w:t>
                        </w:r>
                        <w:r>
                          <w:rPr>
                            <w:b/>
                          </w:rPr>
                          <w:t>(intitulé précis &amp; féminisé si nécessaire)</w:t>
                        </w:r>
                      </w:p>
                    </w:tc>
                    <w:tc>
                      <w:tcPr>
                        <w:tcW w:w="874" w:type="dxa"/>
                      </w:tcPr>
                      <w:p w:rsidR="00F04EEF" w:rsidRDefault="0099351E">
                        <w:pPr>
                          <w:jc w:val="center"/>
                          <w:rPr>
                            <w:b/>
                          </w:rPr>
                        </w:pPr>
                        <w:r>
                          <w:t>N°FASE</w:t>
                        </w:r>
                      </w:p>
                    </w:tc>
                    <w:tc>
                      <w:tcPr>
                        <w:tcW w:w="1819" w:type="dxa"/>
                      </w:tcPr>
                      <w:p w:rsidR="00F04EEF" w:rsidRDefault="0099351E">
                        <w:pPr>
                          <w:jc w:val="center"/>
                        </w:pPr>
                        <w:r>
                          <w:t>Adresse complète</w:t>
                        </w:r>
                      </w:p>
                    </w:tc>
                  </w:tr>
                  <w:tr w:rsidR="00F04EEF">
                    <w:tc>
                      <w:tcPr>
                        <w:tcW w:w="1418" w:type="dxa"/>
                      </w:tcPr>
                      <w:p w:rsidR="00F04EEF" w:rsidRDefault="0099351E">
                        <w:pPr>
                          <w:jc w:val="center"/>
                        </w:pPr>
                        <w:r>
                          <w:t>Situation actuelle</w:t>
                        </w:r>
                      </w:p>
                    </w:tc>
                    <w:tc>
                      <w:tcPr>
                        <w:tcW w:w="709" w:type="dxa"/>
                      </w:tcPr>
                      <w:p w:rsidR="00F04EEF" w:rsidRDefault="00F04EEF">
                        <w:pPr>
                          <w:jc w:val="center"/>
                        </w:pPr>
                      </w:p>
                    </w:tc>
                    <w:tc>
                      <w:tcPr>
                        <w:tcW w:w="722" w:type="dxa"/>
                      </w:tcPr>
                      <w:p w:rsidR="00F04EEF" w:rsidRDefault="00F04EEF">
                        <w:pPr>
                          <w:jc w:val="center"/>
                        </w:pPr>
                      </w:p>
                    </w:tc>
                    <w:tc>
                      <w:tcPr>
                        <w:tcW w:w="1687" w:type="dxa"/>
                      </w:tcPr>
                      <w:p w:rsidR="00F04EEF" w:rsidRDefault="00F04EEF">
                        <w:pPr>
                          <w:widowControl w:val="0"/>
                          <w:tabs>
                            <w:tab w:val="left" w:pos="-1056"/>
                            <w:tab w:val="left" w:pos="-348"/>
                          </w:tabs>
                          <w:snapToGrid w:val="0"/>
                          <w:jc w:val="center"/>
                        </w:pPr>
                      </w:p>
                    </w:tc>
                    <w:tc>
                      <w:tcPr>
                        <w:tcW w:w="1418" w:type="dxa"/>
                      </w:tcPr>
                      <w:p w:rsidR="00F04EEF" w:rsidRDefault="00F04EEF">
                        <w:pPr>
                          <w:jc w:val="center"/>
                        </w:pPr>
                      </w:p>
                    </w:tc>
                    <w:tc>
                      <w:tcPr>
                        <w:tcW w:w="1418" w:type="dxa"/>
                      </w:tcPr>
                      <w:p w:rsidR="00F04EEF" w:rsidRDefault="00F04EEF">
                        <w:pPr>
                          <w:jc w:val="center"/>
                        </w:pPr>
                      </w:p>
                    </w:tc>
                    <w:tc>
                      <w:tcPr>
                        <w:tcW w:w="874" w:type="dxa"/>
                      </w:tcPr>
                      <w:p w:rsidR="00F04EEF" w:rsidRDefault="00F04EEF">
                        <w:pPr>
                          <w:jc w:val="center"/>
                        </w:pPr>
                      </w:p>
                    </w:tc>
                    <w:tc>
                      <w:tcPr>
                        <w:tcW w:w="1819" w:type="dxa"/>
                      </w:tcPr>
                      <w:p w:rsidR="00F04EEF" w:rsidRDefault="00F04EEF">
                        <w:pPr>
                          <w:jc w:val="center"/>
                          <w:rPr>
                            <w:b/>
                          </w:rPr>
                        </w:pPr>
                      </w:p>
                    </w:tc>
                  </w:tr>
                  <w:tr w:rsidR="00F04EEF">
                    <w:tc>
                      <w:tcPr>
                        <w:tcW w:w="1418" w:type="dxa"/>
                      </w:tcPr>
                      <w:p w:rsidR="00F04EEF" w:rsidRDefault="00F04EEF">
                        <w:pPr>
                          <w:jc w:val="center"/>
                        </w:pPr>
                      </w:p>
                    </w:tc>
                    <w:tc>
                      <w:tcPr>
                        <w:tcW w:w="709" w:type="dxa"/>
                      </w:tcPr>
                      <w:p w:rsidR="00F04EEF" w:rsidRDefault="00F04EEF">
                        <w:pPr>
                          <w:jc w:val="center"/>
                        </w:pPr>
                      </w:p>
                    </w:tc>
                    <w:tc>
                      <w:tcPr>
                        <w:tcW w:w="722" w:type="dxa"/>
                      </w:tcPr>
                      <w:p w:rsidR="00F04EEF" w:rsidRDefault="00F04EEF">
                        <w:pPr>
                          <w:jc w:val="center"/>
                        </w:pPr>
                      </w:p>
                    </w:tc>
                    <w:tc>
                      <w:tcPr>
                        <w:tcW w:w="1687" w:type="dxa"/>
                      </w:tcPr>
                      <w:p w:rsidR="00F04EEF" w:rsidRDefault="00F04EEF">
                        <w:pPr>
                          <w:widowControl w:val="0"/>
                          <w:tabs>
                            <w:tab w:val="left" w:pos="-1056"/>
                            <w:tab w:val="left" w:pos="-348"/>
                          </w:tabs>
                          <w:snapToGrid w:val="0"/>
                          <w:jc w:val="center"/>
                        </w:pPr>
                      </w:p>
                    </w:tc>
                    <w:tc>
                      <w:tcPr>
                        <w:tcW w:w="1418" w:type="dxa"/>
                      </w:tcPr>
                      <w:p w:rsidR="00F04EEF" w:rsidRDefault="00F04EEF">
                        <w:pPr>
                          <w:jc w:val="center"/>
                        </w:pPr>
                      </w:p>
                    </w:tc>
                    <w:tc>
                      <w:tcPr>
                        <w:tcW w:w="1418" w:type="dxa"/>
                      </w:tcPr>
                      <w:p w:rsidR="00F04EEF" w:rsidRDefault="00F04EEF">
                        <w:pPr>
                          <w:jc w:val="center"/>
                        </w:pPr>
                      </w:p>
                    </w:tc>
                    <w:tc>
                      <w:tcPr>
                        <w:tcW w:w="874" w:type="dxa"/>
                      </w:tcPr>
                      <w:p w:rsidR="00F04EEF" w:rsidRDefault="00F04EEF">
                        <w:pPr>
                          <w:jc w:val="center"/>
                        </w:pPr>
                      </w:p>
                    </w:tc>
                    <w:tc>
                      <w:tcPr>
                        <w:tcW w:w="1819" w:type="dxa"/>
                      </w:tcPr>
                      <w:p w:rsidR="00F04EEF" w:rsidRDefault="00F04EEF">
                        <w:pPr>
                          <w:jc w:val="center"/>
                          <w:rPr>
                            <w:b/>
                          </w:rPr>
                        </w:pPr>
                      </w:p>
                    </w:tc>
                  </w:tr>
                  <w:tr w:rsidR="00F04EEF">
                    <w:tc>
                      <w:tcPr>
                        <w:tcW w:w="1418" w:type="dxa"/>
                      </w:tcPr>
                      <w:p w:rsidR="00F04EEF" w:rsidRDefault="00F04EEF">
                        <w:pPr>
                          <w:jc w:val="center"/>
                        </w:pPr>
                      </w:p>
                    </w:tc>
                    <w:tc>
                      <w:tcPr>
                        <w:tcW w:w="709" w:type="dxa"/>
                      </w:tcPr>
                      <w:p w:rsidR="00F04EEF" w:rsidRDefault="00F04EEF">
                        <w:pPr>
                          <w:jc w:val="center"/>
                        </w:pPr>
                      </w:p>
                    </w:tc>
                    <w:tc>
                      <w:tcPr>
                        <w:tcW w:w="722" w:type="dxa"/>
                      </w:tcPr>
                      <w:p w:rsidR="00F04EEF" w:rsidRDefault="00F04EEF">
                        <w:pPr>
                          <w:jc w:val="center"/>
                        </w:pPr>
                      </w:p>
                    </w:tc>
                    <w:tc>
                      <w:tcPr>
                        <w:tcW w:w="1687" w:type="dxa"/>
                      </w:tcPr>
                      <w:p w:rsidR="00F04EEF" w:rsidRDefault="00F04EEF">
                        <w:pPr>
                          <w:widowControl w:val="0"/>
                          <w:tabs>
                            <w:tab w:val="left" w:pos="-1056"/>
                            <w:tab w:val="left" w:pos="-348"/>
                          </w:tabs>
                          <w:snapToGrid w:val="0"/>
                          <w:jc w:val="center"/>
                        </w:pPr>
                      </w:p>
                    </w:tc>
                    <w:tc>
                      <w:tcPr>
                        <w:tcW w:w="1418" w:type="dxa"/>
                      </w:tcPr>
                      <w:p w:rsidR="00F04EEF" w:rsidRDefault="00F04EEF">
                        <w:pPr>
                          <w:jc w:val="center"/>
                        </w:pPr>
                      </w:p>
                    </w:tc>
                    <w:tc>
                      <w:tcPr>
                        <w:tcW w:w="1418" w:type="dxa"/>
                      </w:tcPr>
                      <w:p w:rsidR="00F04EEF" w:rsidRDefault="00F04EEF">
                        <w:pPr>
                          <w:jc w:val="center"/>
                        </w:pPr>
                      </w:p>
                    </w:tc>
                    <w:tc>
                      <w:tcPr>
                        <w:tcW w:w="874" w:type="dxa"/>
                      </w:tcPr>
                      <w:p w:rsidR="00F04EEF" w:rsidRDefault="00F04EEF">
                        <w:pPr>
                          <w:jc w:val="center"/>
                        </w:pPr>
                      </w:p>
                    </w:tc>
                    <w:tc>
                      <w:tcPr>
                        <w:tcW w:w="1819" w:type="dxa"/>
                      </w:tcPr>
                      <w:p w:rsidR="00F04EEF" w:rsidRDefault="00F04EEF">
                        <w:pPr>
                          <w:jc w:val="center"/>
                          <w:rPr>
                            <w:b/>
                          </w:rPr>
                        </w:pPr>
                      </w:p>
                    </w:tc>
                  </w:tr>
                  <w:tr w:rsidR="00F04EEF">
                    <w:tc>
                      <w:tcPr>
                        <w:tcW w:w="1418" w:type="dxa"/>
                      </w:tcPr>
                      <w:p w:rsidR="00F04EEF" w:rsidRDefault="00F04EEF">
                        <w:pPr>
                          <w:jc w:val="center"/>
                        </w:pPr>
                      </w:p>
                    </w:tc>
                    <w:tc>
                      <w:tcPr>
                        <w:tcW w:w="709" w:type="dxa"/>
                      </w:tcPr>
                      <w:p w:rsidR="00F04EEF" w:rsidRDefault="00F04EEF">
                        <w:pPr>
                          <w:jc w:val="center"/>
                        </w:pPr>
                      </w:p>
                    </w:tc>
                    <w:tc>
                      <w:tcPr>
                        <w:tcW w:w="722" w:type="dxa"/>
                      </w:tcPr>
                      <w:p w:rsidR="00F04EEF" w:rsidRDefault="00F04EEF">
                        <w:pPr>
                          <w:jc w:val="center"/>
                        </w:pPr>
                      </w:p>
                    </w:tc>
                    <w:tc>
                      <w:tcPr>
                        <w:tcW w:w="1687" w:type="dxa"/>
                      </w:tcPr>
                      <w:p w:rsidR="00F04EEF" w:rsidRDefault="00F04EEF">
                        <w:pPr>
                          <w:widowControl w:val="0"/>
                          <w:tabs>
                            <w:tab w:val="left" w:pos="-1056"/>
                            <w:tab w:val="left" w:pos="-348"/>
                          </w:tabs>
                          <w:snapToGrid w:val="0"/>
                          <w:jc w:val="center"/>
                        </w:pPr>
                      </w:p>
                    </w:tc>
                    <w:tc>
                      <w:tcPr>
                        <w:tcW w:w="1418" w:type="dxa"/>
                      </w:tcPr>
                      <w:p w:rsidR="00F04EEF" w:rsidRDefault="00F04EEF">
                        <w:pPr>
                          <w:jc w:val="center"/>
                        </w:pPr>
                      </w:p>
                    </w:tc>
                    <w:tc>
                      <w:tcPr>
                        <w:tcW w:w="1418" w:type="dxa"/>
                      </w:tcPr>
                      <w:p w:rsidR="00F04EEF" w:rsidRDefault="00F04EEF">
                        <w:pPr>
                          <w:jc w:val="center"/>
                        </w:pPr>
                      </w:p>
                    </w:tc>
                    <w:tc>
                      <w:tcPr>
                        <w:tcW w:w="874" w:type="dxa"/>
                      </w:tcPr>
                      <w:p w:rsidR="00F04EEF" w:rsidRDefault="00F04EEF">
                        <w:pPr>
                          <w:jc w:val="center"/>
                        </w:pPr>
                      </w:p>
                    </w:tc>
                    <w:tc>
                      <w:tcPr>
                        <w:tcW w:w="1819" w:type="dxa"/>
                      </w:tcPr>
                      <w:p w:rsidR="00F04EEF" w:rsidRDefault="00F04EEF">
                        <w:pPr>
                          <w:jc w:val="center"/>
                          <w:rPr>
                            <w:b/>
                          </w:rPr>
                        </w:pPr>
                      </w:p>
                    </w:tc>
                  </w:tr>
                  <w:tr w:rsidR="00F04EEF">
                    <w:tc>
                      <w:tcPr>
                        <w:tcW w:w="1418" w:type="dxa"/>
                      </w:tcPr>
                      <w:p w:rsidR="00F04EEF" w:rsidRDefault="00F04EEF">
                        <w:pPr>
                          <w:jc w:val="center"/>
                        </w:pPr>
                      </w:p>
                    </w:tc>
                    <w:tc>
                      <w:tcPr>
                        <w:tcW w:w="709" w:type="dxa"/>
                      </w:tcPr>
                      <w:p w:rsidR="00F04EEF" w:rsidRDefault="00F04EEF">
                        <w:pPr>
                          <w:jc w:val="center"/>
                        </w:pPr>
                      </w:p>
                    </w:tc>
                    <w:tc>
                      <w:tcPr>
                        <w:tcW w:w="722" w:type="dxa"/>
                      </w:tcPr>
                      <w:p w:rsidR="00F04EEF" w:rsidRDefault="00F04EEF">
                        <w:pPr>
                          <w:jc w:val="center"/>
                        </w:pPr>
                      </w:p>
                    </w:tc>
                    <w:tc>
                      <w:tcPr>
                        <w:tcW w:w="1687" w:type="dxa"/>
                      </w:tcPr>
                      <w:p w:rsidR="00F04EEF" w:rsidRDefault="00F04EEF">
                        <w:pPr>
                          <w:widowControl w:val="0"/>
                          <w:tabs>
                            <w:tab w:val="left" w:pos="-1056"/>
                            <w:tab w:val="left" w:pos="-348"/>
                          </w:tabs>
                          <w:snapToGrid w:val="0"/>
                          <w:jc w:val="center"/>
                        </w:pPr>
                      </w:p>
                    </w:tc>
                    <w:tc>
                      <w:tcPr>
                        <w:tcW w:w="1418" w:type="dxa"/>
                      </w:tcPr>
                      <w:p w:rsidR="00F04EEF" w:rsidRDefault="00F04EEF">
                        <w:pPr>
                          <w:jc w:val="center"/>
                        </w:pPr>
                      </w:p>
                    </w:tc>
                    <w:tc>
                      <w:tcPr>
                        <w:tcW w:w="1418" w:type="dxa"/>
                      </w:tcPr>
                      <w:p w:rsidR="00F04EEF" w:rsidRDefault="00F04EEF">
                        <w:pPr>
                          <w:jc w:val="center"/>
                        </w:pPr>
                      </w:p>
                    </w:tc>
                    <w:tc>
                      <w:tcPr>
                        <w:tcW w:w="874" w:type="dxa"/>
                      </w:tcPr>
                      <w:p w:rsidR="00F04EEF" w:rsidRDefault="00F04EEF">
                        <w:pPr>
                          <w:jc w:val="center"/>
                        </w:pPr>
                      </w:p>
                    </w:tc>
                    <w:tc>
                      <w:tcPr>
                        <w:tcW w:w="1819" w:type="dxa"/>
                      </w:tcPr>
                      <w:p w:rsidR="00F04EEF" w:rsidRDefault="00F04EEF">
                        <w:pPr>
                          <w:jc w:val="center"/>
                          <w:rPr>
                            <w:b/>
                          </w:rPr>
                        </w:pPr>
                      </w:p>
                    </w:tc>
                  </w:tr>
                  <w:tr w:rsidR="00F04EEF">
                    <w:tc>
                      <w:tcPr>
                        <w:tcW w:w="1418" w:type="dxa"/>
                      </w:tcPr>
                      <w:p w:rsidR="00F04EEF" w:rsidRDefault="00F04EEF">
                        <w:pPr>
                          <w:jc w:val="center"/>
                        </w:pPr>
                      </w:p>
                    </w:tc>
                    <w:tc>
                      <w:tcPr>
                        <w:tcW w:w="709" w:type="dxa"/>
                      </w:tcPr>
                      <w:p w:rsidR="00F04EEF" w:rsidRDefault="00F04EEF">
                        <w:pPr>
                          <w:jc w:val="center"/>
                        </w:pPr>
                      </w:p>
                    </w:tc>
                    <w:tc>
                      <w:tcPr>
                        <w:tcW w:w="722" w:type="dxa"/>
                      </w:tcPr>
                      <w:p w:rsidR="00F04EEF" w:rsidRDefault="00F04EEF">
                        <w:pPr>
                          <w:jc w:val="center"/>
                        </w:pPr>
                      </w:p>
                    </w:tc>
                    <w:tc>
                      <w:tcPr>
                        <w:tcW w:w="1687" w:type="dxa"/>
                      </w:tcPr>
                      <w:p w:rsidR="00F04EEF" w:rsidRDefault="00F04EEF">
                        <w:pPr>
                          <w:widowControl w:val="0"/>
                          <w:tabs>
                            <w:tab w:val="left" w:pos="-1056"/>
                            <w:tab w:val="left" w:pos="-348"/>
                          </w:tabs>
                          <w:snapToGrid w:val="0"/>
                          <w:jc w:val="center"/>
                        </w:pPr>
                      </w:p>
                    </w:tc>
                    <w:tc>
                      <w:tcPr>
                        <w:tcW w:w="1418" w:type="dxa"/>
                      </w:tcPr>
                      <w:p w:rsidR="00F04EEF" w:rsidRDefault="00F04EEF">
                        <w:pPr>
                          <w:jc w:val="center"/>
                        </w:pPr>
                      </w:p>
                    </w:tc>
                    <w:tc>
                      <w:tcPr>
                        <w:tcW w:w="1418" w:type="dxa"/>
                      </w:tcPr>
                      <w:p w:rsidR="00F04EEF" w:rsidRDefault="00F04EEF">
                        <w:pPr>
                          <w:jc w:val="center"/>
                        </w:pPr>
                      </w:p>
                    </w:tc>
                    <w:tc>
                      <w:tcPr>
                        <w:tcW w:w="874" w:type="dxa"/>
                      </w:tcPr>
                      <w:p w:rsidR="00F04EEF" w:rsidRDefault="00F04EEF">
                        <w:pPr>
                          <w:jc w:val="center"/>
                        </w:pPr>
                      </w:p>
                    </w:tc>
                    <w:tc>
                      <w:tcPr>
                        <w:tcW w:w="1819" w:type="dxa"/>
                      </w:tcPr>
                      <w:p w:rsidR="00F04EEF" w:rsidRDefault="00F04EEF">
                        <w:pPr>
                          <w:jc w:val="center"/>
                          <w:rPr>
                            <w:b/>
                          </w:rPr>
                        </w:pPr>
                      </w:p>
                    </w:tc>
                  </w:tr>
                </w:tbl>
                <w:p w:rsidR="00F04EEF" w:rsidRDefault="00F04EEF">
                  <w:pPr>
                    <w:widowControl w:val="0"/>
                    <w:ind w:right="-250"/>
                    <w:jc w:val="center"/>
                    <w:rPr>
                      <w:b/>
                    </w:rPr>
                  </w:pPr>
                </w:p>
                <w:p w:rsidR="00F04EEF" w:rsidRDefault="0099351E">
                  <w:pPr>
                    <w:rPr>
                      <w:b/>
                    </w:rPr>
                  </w:pPr>
                  <w:r>
                    <w:rPr>
                      <w:b/>
                    </w:rPr>
                    <w:br w:type="page"/>
                  </w:r>
                </w:p>
                <w:p w:rsidR="00F04EEF" w:rsidRDefault="00F04EEF">
                  <w:pPr>
                    <w:widowControl w:val="0"/>
                    <w:ind w:right="-250"/>
                    <w:jc w:val="center"/>
                    <w:rPr>
                      <w:b/>
                    </w:rPr>
                  </w:pPr>
                </w:p>
                <w:p w:rsidR="00F04EEF" w:rsidRDefault="0099351E">
                  <w:pPr>
                    <w:jc w:val="center"/>
                    <w:rPr>
                      <w:b/>
                    </w:rPr>
                  </w:pPr>
                  <w:r>
                    <w:rPr>
                      <w:b/>
                    </w:rPr>
                    <w:t xml:space="preserve">MOTIVATION(S) DU CONSEIL DE CLASSE </w:t>
                  </w:r>
                  <w:r>
                    <w:rPr>
                      <w:b/>
                      <w:i/>
                      <w:u w:val="single"/>
                    </w:rPr>
                    <w:t>assisté</w:t>
                  </w:r>
                  <w:r>
                    <w:rPr>
                      <w:b/>
                    </w:rPr>
                    <w:t xml:space="preserve"> de L'ORGANISME DE GUIDANCE et MOTIF(S) de la demande</w:t>
                  </w:r>
                </w:p>
                <w:p w:rsidR="00F04EEF" w:rsidRDefault="00F04EEF">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9"/>
                    <w:gridCol w:w="4665"/>
                  </w:tblGrid>
                  <w:tr w:rsidR="00F04EEF">
                    <w:tc>
                      <w:tcPr>
                        <w:tcW w:w="9344" w:type="dxa"/>
                        <w:gridSpan w:val="2"/>
                      </w:tcPr>
                      <w:p w:rsidR="00F04EEF" w:rsidRDefault="0099351E">
                        <w:pPr>
                          <w:widowControl w:val="0"/>
                          <w:tabs>
                            <w:tab w:val="left" w:pos="-1056"/>
                            <w:tab w:val="left" w:pos="-348"/>
                          </w:tabs>
                          <w:rPr>
                            <w:b/>
                          </w:rPr>
                        </w:pPr>
                        <w:r>
                          <w:rPr>
                            <w:b/>
                          </w:rPr>
                          <w:t xml:space="preserve">ATTENTION - RAPPELS: </w:t>
                        </w:r>
                      </w:p>
                      <w:p w:rsidR="00F04EEF" w:rsidRDefault="0099351E">
                        <w:pPr>
                          <w:pStyle w:val="Paragraphedeliste"/>
                          <w:widowControl w:val="0"/>
                          <w:numPr>
                            <w:ilvl w:val="0"/>
                            <w:numId w:val="256"/>
                          </w:numPr>
                          <w:tabs>
                            <w:tab w:val="left" w:pos="-1056"/>
                            <w:tab w:val="left" w:pos="-348"/>
                          </w:tabs>
                          <w:rPr>
                            <w:rFonts w:asciiTheme="majorHAnsi" w:hAnsiTheme="majorHAnsi"/>
                            <w:sz w:val="22"/>
                            <w:szCs w:val="22"/>
                          </w:rPr>
                        </w:pPr>
                        <w:r>
                          <w:rPr>
                            <w:rFonts w:asciiTheme="majorHAnsi" w:hAnsiTheme="majorHAnsi"/>
                            <w:sz w:val="22"/>
                            <w:szCs w:val="22"/>
                          </w:rPr>
                          <w:t xml:space="preserve">une argumentation détaillée de la demande est </w:t>
                        </w:r>
                        <w:r>
                          <w:rPr>
                            <w:rFonts w:asciiTheme="majorHAnsi" w:hAnsiTheme="majorHAnsi"/>
                            <w:b/>
                            <w:sz w:val="22"/>
                            <w:szCs w:val="22"/>
                          </w:rPr>
                          <w:t>obligatoire</w:t>
                        </w:r>
                        <w:r>
                          <w:rPr>
                            <w:rFonts w:asciiTheme="majorHAnsi" w:hAnsiTheme="majorHAnsi"/>
                            <w:sz w:val="22"/>
                            <w:szCs w:val="22"/>
                          </w:rPr>
                          <w:t xml:space="preserve">. </w:t>
                        </w:r>
                      </w:p>
                      <w:p w:rsidR="00F04EEF" w:rsidRDefault="0099351E">
                        <w:pPr>
                          <w:pStyle w:val="Paragraphedeliste"/>
                          <w:widowControl w:val="0"/>
                          <w:numPr>
                            <w:ilvl w:val="0"/>
                            <w:numId w:val="256"/>
                          </w:numPr>
                          <w:tabs>
                            <w:tab w:val="left" w:pos="-1056"/>
                            <w:tab w:val="left" w:pos="-348"/>
                          </w:tabs>
                          <w:rPr>
                            <w:rFonts w:asciiTheme="majorHAnsi" w:hAnsiTheme="majorHAnsi"/>
                            <w:sz w:val="22"/>
                            <w:szCs w:val="22"/>
                          </w:rPr>
                        </w:pPr>
                        <w:r>
                          <w:rPr>
                            <w:rFonts w:asciiTheme="majorHAnsi" w:hAnsiTheme="majorHAnsi"/>
                            <w:sz w:val="22"/>
                            <w:szCs w:val="22"/>
                          </w:rPr>
                          <w:t xml:space="preserve">seul un </w:t>
                        </w:r>
                        <w:r>
                          <w:rPr>
                            <w:rFonts w:asciiTheme="majorHAnsi" w:hAnsiTheme="majorHAnsi"/>
                            <w:b/>
                            <w:sz w:val="22"/>
                            <w:szCs w:val="22"/>
                          </w:rPr>
                          <w:t>avis favorable</w:t>
                        </w:r>
                        <w:r>
                          <w:rPr>
                            <w:rFonts w:asciiTheme="majorHAnsi" w:hAnsiTheme="majorHAnsi"/>
                            <w:sz w:val="22"/>
                            <w:szCs w:val="22"/>
                          </w:rPr>
                          <w:t xml:space="preserve"> est renvoyé à l’Administration.</w:t>
                        </w:r>
                      </w:p>
                      <w:p w:rsidR="00F04EEF" w:rsidRDefault="0099351E">
                        <w:pPr>
                          <w:pStyle w:val="Paragraphedeliste"/>
                          <w:widowControl w:val="0"/>
                          <w:numPr>
                            <w:ilvl w:val="0"/>
                            <w:numId w:val="256"/>
                          </w:numPr>
                          <w:tabs>
                            <w:tab w:val="left" w:pos="-1056"/>
                            <w:tab w:val="left" w:pos="-348"/>
                          </w:tabs>
                          <w:rPr>
                            <w:rFonts w:asciiTheme="majorHAnsi" w:hAnsiTheme="majorHAnsi"/>
                            <w:sz w:val="22"/>
                            <w:szCs w:val="22"/>
                          </w:rPr>
                        </w:pPr>
                        <w:r>
                          <w:rPr>
                            <w:rFonts w:asciiTheme="majorHAnsi" w:hAnsiTheme="majorHAnsi"/>
                            <w:sz w:val="22"/>
                            <w:szCs w:val="22"/>
                          </w:rPr>
                          <w:t>la mention « </w:t>
                        </w:r>
                        <w:r>
                          <w:rPr>
                            <w:rFonts w:asciiTheme="majorHAnsi" w:hAnsiTheme="majorHAnsi"/>
                            <w:i/>
                            <w:sz w:val="22"/>
                            <w:szCs w:val="22"/>
                          </w:rPr>
                          <w:t>afin d’obtenir une qualification « X</w:t>
                        </w:r>
                        <w:r>
                          <w:rPr>
                            <w:rFonts w:asciiTheme="majorHAnsi" w:hAnsiTheme="majorHAnsi"/>
                            <w:sz w:val="22"/>
                            <w:szCs w:val="22"/>
                          </w:rPr>
                          <w:t xml:space="preserve"> » </w:t>
                        </w:r>
                        <w:r>
                          <w:rPr>
                            <w:rFonts w:asciiTheme="majorHAnsi" w:hAnsiTheme="majorHAnsi"/>
                            <w:b/>
                            <w:sz w:val="22"/>
                            <w:szCs w:val="22"/>
                          </w:rPr>
                          <w:t>n’est pas une justification</w:t>
                        </w:r>
                        <w:r>
                          <w:rPr>
                            <w:rFonts w:asciiTheme="majorHAnsi" w:hAnsiTheme="majorHAnsi"/>
                            <w:sz w:val="22"/>
                            <w:szCs w:val="22"/>
                          </w:rPr>
                          <w:t xml:space="preserve"> suffisante !</w:t>
                        </w:r>
                      </w:p>
                      <w:p w:rsidR="00F04EEF" w:rsidRDefault="0099351E">
                        <w:pPr>
                          <w:pStyle w:val="Paragraphedeliste"/>
                          <w:widowControl w:val="0"/>
                          <w:numPr>
                            <w:ilvl w:val="0"/>
                            <w:numId w:val="256"/>
                          </w:numPr>
                          <w:tabs>
                            <w:tab w:val="left" w:pos="-1056"/>
                            <w:tab w:val="left" w:pos="-348"/>
                          </w:tabs>
                          <w:rPr>
                            <w:rFonts w:asciiTheme="majorHAnsi" w:hAnsiTheme="majorHAnsi"/>
                            <w:sz w:val="22"/>
                            <w:szCs w:val="22"/>
                          </w:rPr>
                        </w:pPr>
                        <w:r>
                          <w:rPr>
                            <w:rFonts w:asciiTheme="majorHAnsi" w:hAnsiTheme="majorHAnsi"/>
                            <w:sz w:val="22"/>
                            <w:szCs w:val="22"/>
                          </w:rPr>
                          <w:t>joindre le PIA ou le PIT !</w:t>
                        </w:r>
                      </w:p>
                      <w:p w:rsidR="00F04EEF" w:rsidRDefault="0099351E">
                        <w:pPr>
                          <w:pStyle w:val="Paragraphedeliste"/>
                          <w:widowControl w:val="0"/>
                          <w:numPr>
                            <w:ilvl w:val="0"/>
                            <w:numId w:val="256"/>
                          </w:numPr>
                          <w:tabs>
                            <w:tab w:val="left" w:pos="-1056"/>
                            <w:tab w:val="left" w:pos="-348"/>
                          </w:tabs>
                          <w:rPr>
                            <w:rFonts w:asciiTheme="majorHAnsi" w:hAnsiTheme="majorHAnsi"/>
                            <w:sz w:val="22"/>
                            <w:szCs w:val="22"/>
                          </w:rPr>
                        </w:pPr>
                        <w:r>
                          <w:rPr>
                            <w:rFonts w:asciiTheme="majorHAnsi" w:hAnsiTheme="majorHAnsi"/>
                            <w:sz w:val="22"/>
                            <w:szCs w:val="22"/>
                          </w:rPr>
                          <w:t xml:space="preserve">l’élève ou la personne investie de l’autorité parentale </w:t>
                        </w:r>
                        <w:r>
                          <w:rPr>
                            <w:rFonts w:asciiTheme="majorHAnsi" w:hAnsiTheme="majorHAnsi"/>
                            <w:b/>
                            <w:sz w:val="22"/>
                            <w:szCs w:val="22"/>
                          </w:rPr>
                          <w:t>doit</w:t>
                        </w:r>
                        <w:r>
                          <w:rPr>
                            <w:rFonts w:asciiTheme="majorHAnsi" w:hAnsiTheme="majorHAnsi"/>
                            <w:sz w:val="22"/>
                            <w:szCs w:val="22"/>
                          </w:rPr>
                          <w:t xml:space="preserve"> signer le document.</w:t>
                        </w:r>
                      </w:p>
                      <w:p w:rsidR="00F04EEF" w:rsidRDefault="00F04EEF">
                        <w:pPr>
                          <w:pStyle w:val="Paragraphedeliste"/>
                          <w:widowControl w:val="0"/>
                          <w:tabs>
                            <w:tab w:val="left" w:pos="-1056"/>
                            <w:tab w:val="left" w:pos="-348"/>
                          </w:tabs>
                          <w:ind w:left="720"/>
                          <w:rPr>
                            <w:rFonts w:asciiTheme="majorHAnsi" w:hAnsiTheme="majorHAnsi"/>
                            <w:sz w:val="22"/>
                            <w:szCs w:val="22"/>
                          </w:rPr>
                        </w:pPr>
                      </w:p>
                      <w:p w:rsidR="00F04EEF" w:rsidRDefault="00F04EEF">
                        <w:pPr>
                          <w:widowControl w:val="0"/>
                          <w:tabs>
                            <w:tab w:val="left" w:pos="-1056"/>
                            <w:tab w:val="left" w:pos="-348"/>
                          </w:tabs>
                          <w:jc w:val="center"/>
                          <w:rPr>
                            <w:b/>
                            <w:u w:val="single"/>
                          </w:rPr>
                        </w:pPr>
                      </w:p>
                      <w:p w:rsidR="00F04EEF" w:rsidRDefault="0099351E">
                        <w:pPr>
                          <w:widowControl w:val="0"/>
                          <w:tabs>
                            <w:tab w:val="left" w:pos="-1056"/>
                            <w:tab w:val="left" w:pos="-348"/>
                          </w:tabs>
                          <w:rPr>
                            <w:b/>
                          </w:rPr>
                        </w:pPr>
                        <w:r>
                          <w:rPr>
                            <w:b/>
                          </w:rPr>
                          <w:t xml:space="preserve">Motivation(s) ET motif(s) de la demande: </w:t>
                        </w:r>
                      </w:p>
                      <w:p w:rsidR="00F04EEF" w:rsidRDefault="00F04EEF">
                        <w:pPr>
                          <w:widowControl w:val="0"/>
                          <w:tabs>
                            <w:tab w:val="left" w:pos="-1056"/>
                            <w:tab w:val="left" w:pos="-348"/>
                          </w:tabs>
                          <w:rPr>
                            <w:b/>
                          </w:rPr>
                        </w:pPr>
                      </w:p>
                      <w:p w:rsidR="00F04EEF" w:rsidRDefault="0099351E">
                        <w:pPr>
                          <w:widowControl w:val="0"/>
                          <w:tabs>
                            <w:tab w:val="left" w:pos="-1056"/>
                            <w:tab w:val="left" w:pos="-348"/>
                          </w:tabs>
                          <w:jc w:val="both"/>
                          <w:rPr>
                            <w:i/>
                          </w:rPr>
                        </w:pPr>
                        <w:r>
                          <w:rPr>
                            <w:i/>
                          </w:rPr>
                          <w:t>Votre demande doit répondre au minimum à ces interrogations :</w:t>
                        </w:r>
                      </w:p>
                      <w:p w:rsidR="00F04EEF" w:rsidRDefault="0099351E">
                        <w:pPr>
                          <w:widowControl w:val="0"/>
                          <w:tabs>
                            <w:tab w:val="left" w:pos="-1056"/>
                            <w:tab w:val="left" w:pos="-348"/>
                          </w:tabs>
                          <w:jc w:val="both"/>
                          <w:rPr>
                            <w:i/>
                          </w:rPr>
                        </w:pPr>
                        <w:r>
                          <w:rPr>
                            <w:i/>
                          </w:rPr>
                          <w:t>L’élève est-il motivé à poursuivre son parcours scolaire ? S’engage-t-il à se rendre au cours de manière assidue ?</w:t>
                        </w:r>
                      </w:p>
                      <w:p w:rsidR="00F04EEF" w:rsidRDefault="0099351E">
                        <w:pPr>
                          <w:widowControl w:val="0"/>
                          <w:tabs>
                            <w:tab w:val="left" w:pos="-1056"/>
                            <w:tab w:val="left" w:pos="-348"/>
                          </w:tabs>
                          <w:jc w:val="both"/>
                          <w:rPr>
                            <w:i/>
                          </w:rPr>
                        </w:pPr>
                        <w:r>
                          <w:rPr>
                            <w:i/>
                          </w:rPr>
                          <w:t>Est-ce l’élève ou la personne investie de l’autorité parentale qui a introduit la demande ?</w:t>
                        </w:r>
                      </w:p>
                      <w:p w:rsidR="00F04EEF" w:rsidRDefault="0099351E">
                        <w:pPr>
                          <w:widowControl w:val="0"/>
                          <w:tabs>
                            <w:tab w:val="left" w:pos="-1056"/>
                            <w:tab w:val="left" w:pos="-348"/>
                          </w:tabs>
                          <w:jc w:val="both"/>
                          <w:rPr>
                            <w:i/>
                          </w:rPr>
                        </w:pPr>
                        <w:r>
                          <w:rPr>
                            <w:i/>
                          </w:rPr>
                          <w:t>L’élève est-il soutenu pleinement dans sa démarche par les équipes éducatives/parents/CPMS et de quelles manières ?</w:t>
                        </w:r>
                      </w:p>
                      <w:p w:rsidR="00F04EEF" w:rsidRDefault="0099351E">
                        <w:pPr>
                          <w:widowControl w:val="0"/>
                          <w:tabs>
                            <w:tab w:val="left" w:pos="-1056"/>
                            <w:tab w:val="left" w:pos="-348"/>
                          </w:tabs>
                          <w:jc w:val="both"/>
                          <w:rPr>
                            <w:i/>
                          </w:rPr>
                        </w:pPr>
                        <w:r>
                          <w:rPr>
                            <w:i/>
                          </w:rPr>
                          <w:t xml:space="preserve"> Quelles s(er)ont les dispositifs mis en place par les équipes éducatives afin d’aider l’élève dans sa demande de maintien ? </w:t>
                        </w:r>
                      </w:p>
                      <w:p w:rsidR="00F04EEF" w:rsidRDefault="0099351E">
                        <w:pPr>
                          <w:widowControl w:val="0"/>
                          <w:tabs>
                            <w:tab w:val="left" w:pos="-1056"/>
                            <w:tab w:val="left" w:pos="-348"/>
                          </w:tabs>
                          <w:jc w:val="both"/>
                          <w:rPr>
                            <w:i/>
                          </w:rPr>
                        </w:pPr>
                        <w:r>
                          <w:rPr>
                            <w:i/>
                          </w:rPr>
                          <w:t xml:space="preserve">Que devra-t-il entamer/approfondir/découvrir/apprendre etc. afin de réussir sa qualification ? </w:t>
                        </w:r>
                      </w:p>
                      <w:p w:rsidR="00F04EEF" w:rsidRDefault="0099351E">
                        <w:pPr>
                          <w:widowControl w:val="0"/>
                          <w:tabs>
                            <w:tab w:val="left" w:pos="-1056"/>
                            <w:tab w:val="left" w:pos="-348"/>
                          </w:tabs>
                          <w:jc w:val="both"/>
                          <w:rPr>
                            <w:i/>
                          </w:rPr>
                        </w:pPr>
                        <w:r>
                          <w:rPr>
                            <w:i/>
                          </w:rPr>
                          <w:t>Pour quelles raisons n’a-t-il pas pu réussir sa qualification initialement? Dans quel métier souhaite-t-il se qualifier ?</w:t>
                        </w:r>
                      </w:p>
                      <w:p w:rsidR="00F04EEF" w:rsidRDefault="00F04EEF">
                        <w:pPr>
                          <w:widowControl w:val="0"/>
                          <w:tabs>
                            <w:tab w:val="left" w:pos="-1056"/>
                            <w:tab w:val="left" w:pos="-348"/>
                          </w:tabs>
                          <w:rPr>
                            <w:b/>
                          </w:rPr>
                        </w:pPr>
                      </w:p>
                      <w:p w:rsidR="00F04EEF" w:rsidRDefault="00F04EEF">
                        <w:pPr>
                          <w:widowControl w:val="0"/>
                          <w:tabs>
                            <w:tab w:val="left" w:pos="-1056"/>
                            <w:tab w:val="left" w:pos="-348"/>
                          </w:tabs>
                          <w:rPr>
                            <w:b/>
                          </w:rPr>
                        </w:pPr>
                      </w:p>
                    </w:tc>
                  </w:tr>
                  <w:tr w:rsidR="00F04EEF">
                    <w:tc>
                      <w:tcPr>
                        <w:tcW w:w="4679" w:type="dxa"/>
                      </w:tcPr>
                      <w:p w:rsidR="00F04EEF" w:rsidRDefault="0099351E">
                        <w:pPr>
                          <w:widowControl w:val="0"/>
                          <w:tabs>
                            <w:tab w:val="left" w:pos="-1056"/>
                            <w:tab w:val="left" w:pos="-348"/>
                          </w:tabs>
                          <w:jc w:val="center"/>
                          <w:rPr>
                            <w:b/>
                          </w:rPr>
                        </w:pPr>
                        <w:r>
                          <w:t>Date, signature, NOM et prénom du (de la) Chef(fe) d’établissement</w:t>
                        </w:r>
                      </w:p>
                    </w:tc>
                    <w:tc>
                      <w:tcPr>
                        <w:tcW w:w="4665" w:type="dxa"/>
                      </w:tcPr>
                      <w:p w:rsidR="00F04EEF" w:rsidRDefault="0099351E">
                        <w:pPr>
                          <w:widowControl w:val="0"/>
                          <w:tabs>
                            <w:tab w:val="left" w:pos="-1056"/>
                            <w:tab w:val="left" w:pos="-348"/>
                          </w:tabs>
                          <w:jc w:val="center"/>
                        </w:pPr>
                        <w:r>
                          <w:t>Date, signature, NOM et prénom du représentant de l’Organisme de guidance</w:t>
                        </w:r>
                      </w:p>
                      <w:p w:rsidR="00F04EEF" w:rsidRDefault="00F04EEF">
                        <w:pPr>
                          <w:widowControl w:val="0"/>
                          <w:tabs>
                            <w:tab w:val="left" w:pos="-1056"/>
                            <w:tab w:val="left" w:pos="-348"/>
                          </w:tabs>
                          <w:jc w:val="center"/>
                        </w:pPr>
                      </w:p>
                      <w:p w:rsidR="00F04EEF" w:rsidRDefault="00F04EEF">
                        <w:pPr>
                          <w:widowControl w:val="0"/>
                          <w:tabs>
                            <w:tab w:val="left" w:pos="-1056"/>
                            <w:tab w:val="left" w:pos="-348"/>
                          </w:tabs>
                          <w:jc w:val="center"/>
                        </w:pPr>
                      </w:p>
                      <w:p w:rsidR="00F04EEF" w:rsidRDefault="00F04EEF">
                        <w:pPr>
                          <w:widowControl w:val="0"/>
                          <w:tabs>
                            <w:tab w:val="left" w:pos="-1056"/>
                            <w:tab w:val="left" w:pos="-348"/>
                          </w:tabs>
                          <w:jc w:val="center"/>
                        </w:pPr>
                      </w:p>
                    </w:tc>
                  </w:tr>
                </w:tbl>
                <w:p w:rsidR="00F04EEF" w:rsidRDefault="0099351E">
                  <w:bookmarkStart w:id="3527" w:name="_Annexe_4_:_2"/>
                  <w:bookmarkEnd w:id="3527"/>
                  <w:r>
                    <w:br w:type="page"/>
                  </w:r>
                </w:p>
                <w:p w:rsidR="00F04EEF" w:rsidRDefault="00F04EEF"/>
                <w:sdt>
                  <w:sdtPr>
                    <w:id w:val="-1584680894"/>
                    <w:docPartObj>
                      <w:docPartGallery w:val="Cover Pages"/>
                      <w:docPartUnique/>
                    </w:docPartObj>
                  </w:sdtPr>
                  <w:sdtEndPr/>
                  <w:sdtContent>
                    <w:p w:rsidR="00F04EEF" w:rsidRDefault="00F04EEF"/>
                    <w:p w:rsidR="00F04EEF" w:rsidRDefault="0099351E">
                      <w:pPr>
                        <w:pStyle w:val="Titre2"/>
                      </w:pPr>
                      <w:bookmarkStart w:id="3528" w:name="_Chapitre_19_:"/>
                      <w:bookmarkStart w:id="3529" w:name="_Toc477623856"/>
                      <w:bookmarkStart w:id="3530" w:name="_Toc477767727"/>
                      <w:bookmarkStart w:id="3531" w:name="_Toc47708582"/>
                      <w:bookmarkEnd w:id="3528"/>
                      <w:r>
                        <w:t>Chapitre</w:t>
                      </w:r>
                      <w:bookmarkEnd w:id="3529"/>
                      <w:bookmarkEnd w:id="3530"/>
                      <w:r>
                        <w:t xml:space="preserve"> 19 :</w:t>
                      </w:r>
                      <w:bookmarkStart w:id="3532" w:name="_Toc477623857"/>
                      <w:bookmarkStart w:id="3533" w:name="_Toc477767728"/>
                      <w:r>
                        <w:t xml:space="preserve"> Liste des organismes habilités à délivrer et/ou à modifier les documents nécessaires à l’inscription en enseignement spécialisé</w:t>
                      </w:r>
                      <w:bookmarkEnd w:id="3532"/>
                      <w:bookmarkEnd w:id="3533"/>
                      <w:bookmarkEnd w:id="3531"/>
                    </w:p>
                    <w:p w:rsidR="00F04EEF" w:rsidRDefault="00F04EEF">
                      <w:pPr>
                        <w:rPr>
                          <w:lang w:eastAsia="fr-BE"/>
                        </w:rPr>
                      </w:pPr>
                    </w:p>
                    <w:p w:rsidR="00F04EEF" w:rsidRDefault="00F04EEF">
                      <w:pPr>
                        <w:pStyle w:val="Sansinterligne"/>
                        <w:rPr>
                          <w:rFonts w:asciiTheme="majorHAnsi" w:hAnsiTheme="majorHAnsi"/>
                        </w:rPr>
                      </w:pPr>
                    </w:p>
                    <w:p w:rsidR="00F04EEF" w:rsidRDefault="0099351E">
                      <w:pPr>
                        <w:rPr>
                          <w:rFonts w:eastAsiaTheme="minorEastAsia"/>
                          <w:lang w:eastAsia="fr-BE"/>
                        </w:rPr>
                      </w:pPr>
                      <w:r>
                        <w:rPr>
                          <w:rFonts w:eastAsiaTheme="minorEastAsia"/>
                          <w:lang w:eastAsia="fr-BE"/>
                        </w:rPr>
                        <w:t>Bases légales :</w:t>
                      </w:r>
                    </w:p>
                    <w:p w:rsidR="00F04EEF" w:rsidRDefault="00F42422">
                      <w:pPr>
                        <w:numPr>
                          <w:ilvl w:val="0"/>
                          <w:numId w:val="53"/>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42" w:history="1">
                        <w:r w:rsidR="0099351E">
                          <w:rPr>
                            <w:rStyle w:val="Lienhypertexte"/>
                            <w:rFonts w:cs="Arial"/>
                          </w:rPr>
                          <w:t>Décret du 3 mars 2004 organisant l’enseignement spécialisé</w:t>
                        </w:r>
                      </w:hyperlink>
                    </w:p>
                    <w:p w:rsidR="00F04EEF" w:rsidRDefault="00F42422">
                      <w:pPr>
                        <w:pStyle w:val="Paragraphedeliste"/>
                        <w:numPr>
                          <w:ilvl w:val="0"/>
                          <w:numId w:val="264"/>
                        </w:numPr>
                        <w:ind w:left="284" w:hanging="284"/>
                        <w:rPr>
                          <w:rFonts w:asciiTheme="majorHAnsi" w:hAnsiTheme="majorHAnsi"/>
                          <w:color w:val="00B050"/>
                          <w:sz w:val="22"/>
                          <w:szCs w:val="22"/>
                        </w:rPr>
                      </w:pPr>
                      <w:hyperlink r:id="rId243" w:history="1">
                        <w:r w:rsidR="0099351E">
                          <w:rPr>
                            <w:rStyle w:val="Lienhypertexte"/>
                            <w:rFonts w:asciiTheme="majorHAnsi" w:hAnsiTheme="majorHAnsi" w:cs="Arial"/>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F04EEF" w:rsidRDefault="00F04EEF">
                      <w:pPr>
                        <w:rPr>
                          <w:rFonts w:eastAsiaTheme="minorEastAsia"/>
                          <w:lang w:eastAsia="fr-BE"/>
                        </w:rPr>
                      </w:pPr>
                    </w:p>
                    <w:p w:rsidR="00F04EEF" w:rsidRDefault="00F04EEF">
                      <w:pPr>
                        <w:rPr>
                          <w:rFonts w:eastAsiaTheme="minorEastAsia"/>
                          <w:lang w:eastAsia="fr-BE"/>
                        </w:rPr>
                      </w:pPr>
                    </w:p>
                    <w:p w:rsidR="00F04EEF" w:rsidRDefault="0099351E">
                      <w:pPr>
                        <w:rPr>
                          <w:rFonts w:eastAsiaTheme="minorEastAsia"/>
                          <w:lang w:eastAsia="fr-BE"/>
                        </w:rPr>
                      </w:pPr>
                      <w:r>
                        <w:rPr>
                          <w:noProof/>
                          <w:lang w:eastAsia="fr-BE"/>
                        </w:rPr>
                        <mc:AlternateContent>
                          <mc:Choice Requires="wps">
                            <w:drawing>
                              <wp:anchor distT="0" distB="0" distL="114300" distR="114300" simplePos="0" relativeHeight="251787264" behindDoc="0" locked="0" layoutInCell="1" allowOverlap="1">
                                <wp:simplePos x="0" y="0"/>
                                <wp:positionH relativeFrom="page">
                                  <wp:posOffset>999490</wp:posOffset>
                                </wp:positionH>
                                <wp:positionV relativeFrom="margin">
                                  <wp:posOffset>1697355</wp:posOffset>
                                </wp:positionV>
                                <wp:extent cx="5943600" cy="914400"/>
                                <wp:effectExtent l="0" t="0" r="0" b="0"/>
                                <wp:wrapNone/>
                                <wp:docPr id="517" name="Zone de texte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04EEF" w:rsidRDefault="00F04EEF">
                                            <w:pPr>
                                              <w:pStyle w:val="Sansinterligne"/>
                                              <w:spacing w:before="120"/>
                                              <w:rPr>
                                                <w:color w:val="4F81BD" w:themeColor="accent1"/>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14:sizeRelV relativeFrom="page">
                                  <wp14:pctHeight>0</wp14:pctHeight>
                                </wp14:sizeRelV>
                              </wp:anchor>
                            </w:drawing>
                          </mc:Choice>
                          <mc:Fallback>
                            <w:pict>
                              <v:shape id="Zone de texte 517" o:spid="_x0000_s1072" type="#_x0000_t202" style="position:absolute;margin-left:78.7pt;margin-top:133.65pt;width:468pt;height:1in;z-index:251787264;visibility:visible;mso-wrap-style:square;mso-width-percent:765;mso-height-percent:0;mso-wrap-distance-left:9pt;mso-wrap-distance-top:0;mso-wrap-distance-right:9pt;mso-wrap-distance-bottom:0;mso-position-horizontal:absolute;mso-position-horizontal-relative:page;mso-position-vertical:absolute;mso-position-vertical-relative:margin;mso-width-percent:765;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" filled="f" stroked="f" strokeweight=".5pt">
                                <v:path arrowok="t"/>
                                <v:textbox style="mso-fit-shape-to-text:t">
                                  <w:txbxContent>
                                    <w:p>
                                      <w:pPr>
                                        <w:pStyle w:val="Sansinterligne"/>
                                        <w:spacing w:before="120"/>
                                        <w:rPr>
                                          <w:color w:val="4F81BD" w:themeColor="accent1"/>
                                          <w:sz w:val="36"/>
                                          <w:szCs w:val="36"/>
                                        </w:rPr>
                                      </w:pPr>
                                    </w:p>
                                  </w:txbxContent>
                                </v:textbox>
                                <w10:wrap anchorx="page" anchory="margin"/>
                              </v:shape>
                            </w:pict>
                          </mc:Fallback>
                        </mc:AlternateContent>
                      </w:r>
                    </w:p>
                  </w:sdtContent>
                </w:sdt>
                <w:p w:rsidR="00F04EEF" w:rsidRDefault="0099351E">
                  <w:pPr>
                    <w:pStyle w:val="Titre3"/>
                    <w:rPr>
                      <w:sz w:val="22"/>
                      <w:szCs w:val="22"/>
                    </w:rPr>
                  </w:pPr>
                  <w:bookmarkStart w:id="3534" w:name="_Toc414352927"/>
                  <w:bookmarkStart w:id="3535" w:name="_Toc453836951"/>
                  <w:bookmarkStart w:id="3536" w:name="_Toc47708583"/>
                  <w:r>
                    <w:rPr>
                      <w:sz w:val="22"/>
                      <w:szCs w:val="22"/>
                    </w:rPr>
                    <w:t>1. Généralités</w:t>
                  </w:r>
                  <w:bookmarkEnd w:id="3534"/>
                  <w:bookmarkEnd w:id="3535"/>
                  <w:bookmarkEnd w:id="3536"/>
                </w:p>
                <w:p w:rsidR="00F04EEF" w:rsidRDefault="00F04EEF">
                  <w:pPr>
                    <w:tabs>
                      <w:tab w:val="left" w:pos="0"/>
                    </w:tabs>
                    <w:jc w:val="both"/>
                    <w:rPr>
                      <w:rFonts w:cs="Arial"/>
                      <w:spacing w:val="-2"/>
                    </w:rPr>
                  </w:pPr>
                </w:p>
                <w:p w:rsidR="00F04EEF" w:rsidRDefault="0099351E">
                  <w:pPr>
                    <w:tabs>
                      <w:tab w:val="left" w:pos="0"/>
                    </w:tabs>
                    <w:jc w:val="both"/>
                    <w:rPr>
                      <w:rFonts w:cs="Arial"/>
                      <w:spacing w:val="-2"/>
                    </w:rPr>
                  </w:pPr>
                  <w:r>
                    <w:rPr>
                      <w:rFonts w:cs="Arial"/>
                      <w:spacing w:val="-2"/>
                    </w:rPr>
                    <w:t>La liste ci-dessous se subdivise en quatre parties :</w:t>
                  </w:r>
                </w:p>
                <w:p w:rsidR="00F04EEF" w:rsidRDefault="00F04EEF">
                  <w:pPr>
                    <w:tabs>
                      <w:tab w:val="left" w:pos="0"/>
                    </w:tabs>
                    <w:jc w:val="both"/>
                    <w:rPr>
                      <w:rFonts w:cs="Arial"/>
                      <w:spacing w:val="-2"/>
                    </w:rPr>
                  </w:pPr>
                </w:p>
                <w:p w:rsidR="00F04EEF" w:rsidRDefault="0099351E">
                  <w:pPr>
                    <w:numPr>
                      <w:ilvl w:val="0"/>
                      <w:numId w:val="68"/>
                    </w:numPr>
                    <w:tabs>
                      <w:tab w:val="left" w:pos="0"/>
                    </w:tabs>
                    <w:suppressAutoHyphens/>
                    <w:jc w:val="both"/>
                    <w:rPr>
                      <w:rFonts w:cs="Arial"/>
                      <w:spacing w:val="-2"/>
                    </w:rPr>
                  </w:pPr>
                  <w:r>
                    <w:rPr>
                      <w:rFonts w:cs="Arial"/>
                      <w:spacing w:val="-2"/>
                    </w:rPr>
                    <w:t>les centres P.M.S. de l’enseignement spécialisé</w:t>
                  </w:r>
                </w:p>
                <w:p w:rsidR="00F04EEF" w:rsidRDefault="0099351E">
                  <w:pPr>
                    <w:numPr>
                      <w:ilvl w:val="0"/>
                      <w:numId w:val="68"/>
                    </w:numPr>
                    <w:tabs>
                      <w:tab w:val="left" w:pos="0"/>
                    </w:tabs>
                    <w:suppressAutoHyphens/>
                    <w:jc w:val="both"/>
                    <w:rPr>
                      <w:rFonts w:cs="Arial"/>
                      <w:spacing w:val="-2"/>
                    </w:rPr>
                  </w:pPr>
                  <w:r>
                    <w:rPr>
                      <w:rFonts w:cs="Arial"/>
                      <w:spacing w:val="-2"/>
                    </w:rPr>
                    <w:t>les centres P.M.S. de l’enseignement ordinaire</w:t>
                  </w:r>
                </w:p>
                <w:p w:rsidR="00F04EEF" w:rsidRDefault="0099351E">
                  <w:pPr>
                    <w:numPr>
                      <w:ilvl w:val="0"/>
                      <w:numId w:val="68"/>
                    </w:numPr>
                    <w:tabs>
                      <w:tab w:val="left" w:pos="0"/>
                    </w:tabs>
                    <w:suppressAutoHyphens/>
                    <w:jc w:val="both"/>
                    <w:rPr>
                      <w:rFonts w:cs="Arial"/>
                      <w:spacing w:val="-2"/>
                    </w:rPr>
                  </w:pPr>
                  <w:r>
                    <w:rPr>
                      <w:rFonts w:cs="Arial"/>
                      <w:spacing w:val="-2"/>
                    </w:rPr>
                    <w:t>les organismes agréés</w:t>
                  </w:r>
                </w:p>
                <w:p w:rsidR="00F04EEF" w:rsidRDefault="00F04EEF">
                  <w:pPr>
                    <w:tabs>
                      <w:tab w:val="left" w:pos="0"/>
                    </w:tabs>
                    <w:jc w:val="both"/>
                    <w:rPr>
                      <w:rFonts w:cs="Arial"/>
                      <w:spacing w:val="-2"/>
                    </w:rPr>
                  </w:pPr>
                </w:p>
                <w:p w:rsidR="00F04EEF" w:rsidRDefault="0099351E">
                  <w:pPr>
                    <w:tabs>
                      <w:tab w:val="left" w:pos="0"/>
                    </w:tabs>
                    <w:jc w:val="both"/>
                    <w:rPr>
                      <w:rFonts w:cs="Arial"/>
                      <w:spacing w:val="-2"/>
                    </w:rPr>
                  </w:pPr>
                  <w:r>
                    <w:rPr>
                      <w:rFonts w:cs="Arial"/>
                      <w:spacing w:val="-2"/>
                    </w:rPr>
                    <w:t>Pour toutes modifications à apporter à cette liste, vous pouvez prendre contact avec</w:t>
                  </w:r>
                </w:p>
                <w:p w:rsidR="00F04EEF" w:rsidRDefault="00F04EEF">
                  <w:pPr>
                    <w:tabs>
                      <w:tab w:val="left" w:pos="0"/>
                    </w:tabs>
                    <w:jc w:val="both"/>
                    <w:rPr>
                      <w:rFonts w:cs="Arial"/>
                      <w:spacing w:val="-2"/>
                    </w:rPr>
                  </w:pPr>
                </w:p>
                <w:p w:rsidR="00F04EEF" w:rsidRDefault="0099351E">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spacing w:val="-2"/>
                    </w:rPr>
                    <w:t>Madame Marie BORMANN</w:t>
                  </w:r>
                </w:p>
                <w:p w:rsidR="00F04EEF" w:rsidRDefault="0099351E">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rPr>
                    <w:sym w:font="Wingdings" w:char="F028"/>
                  </w:r>
                  <w:r>
                    <w:rPr>
                      <w:rFonts w:cs="Arial"/>
                    </w:rPr>
                    <w:t xml:space="preserve"> : </w:t>
                  </w:r>
                  <w:r>
                    <w:rPr>
                      <w:rFonts w:cs="Arial"/>
                      <w:spacing w:val="-2"/>
                    </w:rPr>
                    <w:t>02/413.26.36</w:t>
                  </w:r>
                </w:p>
                <w:p w:rsidR="00F04EEF" w:rsidRDefault="0099351E">
                  <w:pPr>
                    <w:pBdr>
                      <w:top w:val="single" w:sz="4" w:space="1" w:color="auto"/>
                      <w:left w:val="single" w:sz="4" w:space="4" w:color="auto"/>
                      <w:bottom w:val="single" w:sz="4" w:space="1" w:color="auto"/>
                      <w:right w:val="single" w:sz="4" w:space="4" w:color="auto"/>
                    </w:pBdr>
                    <w:tabs>
                      <w:tab w:val="left" w:pos="0"/>
                    </w:tabs>
                    <w:jc w:val="center"/>
                  </w:pPr>
                  <w:r>
                    <w:rPr>
                      <w:rFonts w:cs="Arial"/>
                      <w:bCs/>
                    </w:rPr>
                    <w:sym w:font="Wingdings" w:char="F03A"/>
                  </w:r>
                  <w:r>
                    <w:rPr>
                      <w:rFonts w:cs="Arial"/>
                      <w:bCs/>
                    </w:rPr>
                    <w:t> :</w:t>
                  </w:r>
                  <w:r>
                    <w:t xml:space="preserve"> </w:t>
                  </w:r>
                  <w:hyperlink r:id="rId244" w:history="1">
                    <w:r>
                      <w:rPr>
                        <w:rStyle w:val="Lienhypertexte"/>
                      </w:rPr>
                      <w:t>marie.bormann@cfwb.be</w:t>
                    </w:r>
                  </w:hyperlink>
                </w:p>
                <w:p w:rsidR="00F04EEF" w:rsidRDefault="00F04EEF">
                  <w:pPr>
                    <w:rPr>
                      <w:rFonts w:cs="Arial"/>
                    </w:rPr>
                  </w:pPr>
                </w:p>
                <w:p w:rsidR="00F04EEF" w:rsidRDefault="0099351E">
                  <w:r>
                    <w:rPr>
                      <w:rFonts w:cs="Arial"/>
                    </w:rPr>
                    <w:t xml:space="preserve">Vous pouvez également prendre contact avec Madame </w:t>
                  </w:r>
                  <w:r>
                    <w:t xml:space="preserve">Natalia MOLANO VASQUEZ (02/690.83.39.) </w:t>
                  </w:r>
                  <w:hyperlink r:id="rId245" w:history="1">
                    <w:r>
                      <w:rPr>
                        <w:rStyle w:val="Lienhypertexte"/>
                        <w:rFonts w:cstheme="minorBidi"/>
                        <w:szCs w:val="18"/>
                        <w:shd w:val="clear" w:color="auto" w:fill="F5F5F5"/>
                      </w:rPr>
                      <w:t>natalia.molano-vasquez@cfwb.be</w:t>
                    </w:r>
                  </w:hyperlink>
                  <w:r>
                    <w:rPr>
                      <w:rFonts w:ascii="Roboto" w:hAnsi="Roboto"/>
                      <w:color w:val="333333"/>
                      <w:sz w:val="18"/>
                      <w:szCs w:val="18"/>
                      <w:shd w:val="clear" w:color="auto" w:fill="F5F5F5"/>
                    </w:rPr>
                    <w:t xml:space="preserve"> </w:t>
                  </w:r>
                  <w:r>
                    <w:t xml:space="preserve">, responsable des CPMS au sein de l’Administration. </w:t>
                  </w:r>
                </w:p>
                <w:p w:rsidR="00F04EEF" w:rsidRDefault="00F04EEF">
                  <w:pPr>
                    <w:jc w:val="both"/>
                    <w:rPr>
                      <w:rFonts w:cs="Arial"/>
                    </w:rPr>
                  </w:pPr>
                </w:p>
                <w:p w:rsidR="00F04EEF" w:rsidRDefault="0099351E">
                  <w:pPr>
                    <w:pStyle w:val="Titre3"/>
                    <w:rPr>
                      <w:sz w:val="22"/>
                      <w:szCs w:val="22"/>
                    </w:rPr>
                  </w:pPr>
                  <w:bookmarkStart w:id="3537" w:name="_Toc414352928"/>
                  <w:bookmarkStart w:id="3538" w:name="_Toc453836952"/>
                  <w:bookmarkStart w:id="3539" w:name="_Toc47708584"/>
                  <w:r>
                    <w:rPr>
                      <w:sz w:val="22"/>
                      <w:szCs w:val="22"/>
                    </w:rPr>
                    <w:t>2. Rappel</w:t>
                  </w:r>
                  <w:bookmarkEnd w:id="3537"/>
                  <w:bookmarkEnd w:id="3538"/>
                  <w:bookmarkEnd w:id="3539"/>
                </w:p>
                <w:p w:rsidR="00F04EEF" w:rsidRDefault="00F04EEF">
                  <w:pPr>
                    <w:jc w:val="both"/>
                    <w:rPr>
                      <w:rFonts w:cs="Arial"/>
                      <w:b/>
                    </w:rPr>
                  </w:pPr>
                </w:p>
                <w:p w:rsidR="00F04EEF" w:rsidRDefault="0099351E">
                  <w:pPr>
                    <w:jc w:val="both"/>
                    <w:rPr>
                      <w:rFonts w:cs="Arial"/>
                    </w:rPr>
                  </w:pPr>
                  <w:r>
                    <w:rPr>
                      <w:rFonts w:ascii="Times New Roman" w:hAnsi="Times New Roman" w:cs="Times New Roman"/>
                      <w:b/>
                    </w:rPr>
                    <w:t>▪</w:t>
                  </w:r>
                  <w:r>
                    <w:rPr>
                      <w:rFonts w:cs="Arial"/>
                      <w:b/>
                    </w:rPr>
                    <w:t xml:space="preserve"> </w:t>
                  </w:r>
                  <w:r>
                    <w:rPr>
                      <w:rFonts w:cs="Arial"/>
                    </w:rPr>
                    <w:t xml:space="preserve">Le </w:t>
                  </w:r>
                  <w:r>
                    <w:rPr>
                      <w:rFonts w:cs="Arial"/>
                      <w:b/>
                    </w:rPr>
                    <w:t>rapport d’inscription</w:t>
                  </w:r>
                  <w:r>
                    <w:rPr>
                      <w:rFonts w:cs="Arial"/>
                    </w:rPr>
                    <w:t xml:space="preserve"> d’un élève dans l’enseignement spécialisé </w:t>
                  </w:r>
                  <w:r>
                    <w:rPr>
                      <w:rFonts w:cs="Arial"/>
                      <w:b/>
                    </w:rPr>
                    <w:t>ne peut pas être</w:t>
                  </w:r>
                  <w:r>
                    <w:rPr>
                      <w:rFonts w:cs="Arial"/>
                    </w:rPr>
                    <w:t xml:space="preserve"> rédigé par un CPMS de l’enseignement </w:t>
                  </w:r>
                  <w:r>
                    <w:rPr>
                      <w:rFonts w:cs="Arial"/>
                      <w:b/>
                    </w:rPr>
                    <w:t>spécialisé</w:t>
                  </w:r>
                  <w:r>
                    <w:rPr>
                      <w:rFonts w:cs="Arial"/>
                    </w:rPr>
                    <w:t xml:space="preserve"> mais bien par les </w:t>
                  </w:r>
                  <w:r>
                    <w:rPr>
                      <w:rFonts w:cs="Arial"/>
                      <w:b/>
                    </w:rPr>
                    <w:t>autres organismes habilités</w:t>
                  </w:r>
                  <w:r>
                    <w:rPr>
                      <w:rFonts w:cs="Arial"/>
                    </w:rPr>
                    <w:t xml:space="preserve">. </w:t>
                  </w:r>
                </w:p>
                <w:p w:rsidR="00F04EEF" w:rsidRDefault="00F04EEF">
                  <w:pPr>
                    <w:jc w:val="both"/>
                    <w:rPr>
                      <w:rFonts w:cs="Arial"/>
                    </w:rPr>
                  </w:pPr>
                </w:p>
                <w:p w:rsidR="00F04EEF" w:rsidRDefault="0099351E">
                  <w:pPr>
                    <w:jc w:val="both"/>
                  </w:pPr>
                  <w:r>
                    <w:rPr>
                      <w:rFonts w:ascii="Times New Roman" w:hAnsi="Times New Roman" w:cs="Times New Roman"/>
                    </w:rPr>
                    <w:t>▪</w:t>
                  </w:r>
                  <w:r>
                    <w:rPr>
                      <w:rFonts w:cs="Arial"/>
                    </w:rPr>
                    <w:t xml:space="preserve"> L’</w:t>
                  </w:r>
                  <w:r>
                    <w:rPr>
                      <w:rFonts w:cs="Arial"/>
                      <w:b/>
                    </w:rPr>
                    <w:t xml:space="preserve">annexe </w:t>
                  </w:r>
                  <w:r>
                    <w:rPr>
                      <w:rFonts w:cs="Arial"/>
                    </w:rPr>
                    <w:t xml:space="preserve">à l’attestation d’orientation </w:t>
                  </w:r>
                  <w:r>
                    <w:rPr>
                      <w:rFonts w:cs="Arial"/>
                      <w:b/>
                    </w:rPr>
                    <w:t>peut être</w:t>
                  </w:r>
                  <w:r>
                    <w:rPr>
                      <w:rFonts w:cs="Arial"/>
                    </w:rPr>
                    <w:t xml:space="preserve"> rédigée par un CPMS </w:t>
                  </w:r>
                  <w:r>
                    <w:rPr>
                      <w:rFonts w:cs="Arial"/>
                      <w:b/>
                    </w:rPr>
                    <w:t>ordinaire</w:t>
                  </w:r>
                  <w:r>
                    <w:rPr>
                      <w:rFonts w:cs="Arial"/>
                    </w:rPr>
                    <w:t xml:space="preserve">, un CPMS </w:t>
                  </w:r>
                  <w:r>
                    <w:rPr>
                      <w:rFonts w:cs="Arial"/>
                      <w:b/>
                    </w:rPr>
                    <w:t xml:space="preserve">spécialisé, </w:t>
                  </w:r>
                  <w:r>
                    <w:rPr>
                      <w:rFonts w:cs="Arial"/>
                    </w:rPr>
                    <w:t>ou un</w:t>
                  </w:r>
                  <w:r>
                    <w:rPr>
                      <w:rFonts w:cs="Arial"/>
                      <w:b/>
                    </w:rPr>
                    <w:t xml:space="preserve"> organisme privé habilité</w:t>
                  </w:r>
                  <w:r>
                    <w:rPr>
                      <w:rStyle w:val="Appelnotedebasdep"/>
                      <w:b/>
                    </w:rPr>
                    <w:footnoteReference w:id="165"/>
                  </w:r>
                  <w:r>
                    <w:rPr>
                      <w:rFonts w:cs="Arial"/>
                    </w:rPr>
                    <w:t xml:space="preserve">. Le contenu et les destinataires du rapport d’inscription sont précisés dans la </w:t>
                  </w:r>
                  <w:r>
                    <w:t xml:space="preserve">Circulaire n° 4392 du 22 avril 2013: </w:t>
                  </w:r>
                  <w:hyperlink r:id="rId246" w:history="1">
                    <w:r>
                      <w:rPr>
                        <w:rStyle w:val="Lienhypertexte"/>
                      </w:rPr>
                      <w:t>« Rapport d’inscription dans l’enseignement spécialisé : Contenu et destinataires</w:t>
                    </w:r>
                  </w:hyperlink>
                  <w:r>
                    <w:t>»</w:t>
                  </w:r>
                </w:p>
                <w:p w:rsidR="00F04EEF" w:rsidRDefault="00F04EEF">
                  <w:pPr>
                    <w:jc w:val="both"/>
                    <w:rPr>
                      <w:rFonts w:cs="Arial"/>
                    </w:rPr>
                  </w:pPr>
                </w:p>
                <w:p w:rsidR="00F04EEF" w:rsidRDefault="0099351E">
                  <w:pPr>
                    <w:jc w:val="both"/>
                    <w:rPr>
                      <w:spacing w:val="-3"/>
                    </w:rPr>
                  </w:pPr>
                  <w:r>
                    <w:rPr>
                      <w:spacing w:val="-3"/>
                    </w:rPr>
                    <w:t>Aucune inscription ne pouvant avoir lieu sans la production de l’attestation, il convient aux chefs d’établissement d’insister auprès des parents sur la nécessité d’obtenir ladite attestation, celle-ci leur ayant été remise.</w:t>
                  </w:r>
                </w:p>
                <w:p w:rsidR="00F04EEF" w:rsidRDefault="00F04EEF">
                  <w:pPr>
                    <w:jc w:val="both"/>
                    <w:rPr>
                      <w:spacing w:val="-3"/>
                    </w:rPr>
                  </w:pPr>
                </w:p>
                <w:p w:rsidR="00F04EEF" w:rsidRDefault="0099351E">
                  <w:pPr>
                    <w:jc w:val="both"/>
                    <w:rPr>
                      <w:spacing w:val="-3"/>
                    </w:rPr>
                  </w:pPr>
                  <w:r>
                    <w:rPr>
                      <w:spacing w:val="-3"/>
                    </w:rPr>
                    <w:t>Dans les huit jours qui suivent l’inscription d’un élève dans un établissement d’enseignement spécialisé, le chef d’établissement transmet une copie de l’attestation à l’organisme de guidance.</w:t>
                  </w:r>
                </w:p>
                <w:p w:rsidR="00F04EEF" w:rsidRDefault="00F04EEF">
                  <w:pPr>
                    <w:jc w:val="both"/>
                    <w:rPr>
                      <w:rFonts w:cs="Arial"/>
                    </w:rPr>
                  </w:pPr>
                </w:p>
                <w:p w:rsidR="00F04EEF" w:rsidRDefault="0099351E">
                  <w:pPr>
                    <w:jc w:val="both"/>
                    <w:rPr>
                      <w:spacing w:val="-3"/>
                    </w:rPr>
                  </w:pPr>
                  <w:r>
                    <w:rPr>
                      <w:spacing w:val="-3"/>
                    </w:rPr>
                    <w:t xml:space="preserve">Après réception de l’attestation, des mains des parents ou des personnes investies de l’autorité parentale lors de l’inscription dans un établissement d’enseignement spécialisé, le chef d’établissement d’enseignement spécialisé est dans l’obligation de demander l’envoi des exemplaires du protocole justificatif, dans les trente jours qui suivent l’inscription, conformément au modèle en </w:t>
                  </w:r>
                  <w:hyperlink w:anchor="_Annexe_1_:_15" w:history="1">
                    <w:r>
                      <w:rPr>
                        <w:rStyle w:val="Lienhypertexte"/>
                        <w:spacing w:val="-3"/>
                      </w:rPr>
                      <w:t>annexe 1</w:t>
                    </w:r>
                  </w:hyperlink>
                  <w:r>
                    <w:rPr>
                      <w:spacing w:val="-3"/>
                    </w:rPr>
                    <w:t xml:space="preserve"> en mentionnant, outre l’adresse de son école, celle de l’organisme chargé de la guidance de cet établissement.</w:t>
                  </w:r>
                </w:p>
                <w:p w:rsidR="00F04EEF" w:rsidRDefault="00F04EEF">
                  <w:pPr>
                    <w:jc w:val="both"/>
                  </w:pPr>
                </w:p>
                <w:p w:rsidR="00F04EEF" w:rsidRDefault="0099351E">
                  <w:pPr>
                    <w:jc w:val="both"/>
                    <w:rPr>
                      <w:spacing w:val="-3"/>
                    </w:rPr>
                  </w:pPr>
                  <w:r>
                    <w:rPr>
                      <w:spacing w:val="-3"/>
                    </w:rPr>
                    <w:t>Les organismes ou les médecins qui sont autorisés à délivrer des rapports sont tenus de remettre le protocole justificatif aux destinataires, dans les trente jours qui suivent la date de la demande du chef d’établissement.</w:t>
                  </w:r>
                </w:p>
                <w:p w:rsidR="00F04EEF" w:rsidRDefault="00F04EEF">
                  <w:pPr>
                    <w:jc w:val="both"/>
                    <w:rPr>
                      <w:rFonts w:cs="Arial"/>
                    </w:rPr>
                  </w:pPr>
                </w:p>
                <w:p w:rsidR="00F04EEF" w:rsidRDefault="0099351E">
                  <w:pPr>
                    <w:jc w:val="both"/>
                    <w:rPr>
                      <w:spacing w:val="-3"/>
                    </w:rPr>
                  </w:pPr>
                  <w:r>
                    <w:rPr>
                      <w:rFonts w:cs="Arial"/>
                    </w:rPr>
                    <w:t xml:space="preserve">En cas de </w:t>
                  </w:r>
                  <w:r>
                    <w:rPr>
                      <w:rFonts w:cs="Arial"/>
                      <w:b/>
                    </w:rPr>
                    <w:t>modification d’attestation</w:t>
                  </w:r>
                  <w:r>
                    <w:rPr>
                      <w:rFonts w:cs="Arial"/>
                    </w:rPr>
                    <w:t xml:space="preserve">, le document modifié </w:t>
                  </w:r>
                  <w:r>
                    <w:rPr>
                      <w:spacing w:val="-3"/>
                    </w:rPr>
                    <w:t xml:space="preserve">est remis par le Centre PMS aux parents ou aux personnes investies de l’autorité parentale qui la transmettent au chef d’établissement concerné. Le changement de type ne peut être effectif qu’à partir du moment où les parents ou les personnes investies de l’autorité parentale ont remis l’attestation modifiée au chef d’établissement de l’école d’enseignement spécialisé. Le rapport motivé est établi en deux exemplaires destinés respectivement au chef d’établissement d’enseignement spécialisé où l’élève est/sera inscrit et à la direction de l’organisme chargé de la guidance de cet établissement, sauf s’il s’agit du même organisme. Le chef de l’établissement d’enseignement spécialisé est dans l’obligation de demander l’envoi des exemplaires du rapport motivé conformément au modèle en </w:t>
                  </w:r>
                  <w:hyperlink w:anchor="_Annexe_2_:_1" w:history="1">
                    <w:r>
                      <w:rPr>
                        <w:rStyle w:val="Lienhypertexte"/>
                        <w:rFonts w:cstheme="minorBidi"/>
                        <w:spacing w:val="-3"/>
                      </w:rPr>
                      <w:t>annexe 2</w:t>
                    </w:r>
                  </w:hyperlink>
                  <w:r>
                    <w:rPr>
                      <w:spacing w:val="-3"/>
                    </w:rPr>
                    <w:t xml:space="preserve"> au présent arrêté en mentionnant, outre l’adresse de son école, celle de l’organisme chargé de la guidance de son établissement.</w:t>
                  </w:r>
                </w:p>
                <w:p w:rsidR="00F04EEF" w:rsidRDefault="00F04EEF">
                  <w:pPr>
                    <w:jc w:val="both"/>
                    <w:rPr>
                      <w:spacing w:val="-3"/>
                    </w:rPr>
                  </w:pPr>
                </w:p>
                <w:p w:rsidR="00F04EEF" w:rsidRDefault="0099351E">
                  <w:pPr>
                    <w:jc w:val="both"/>
                    <w:rPr>
                      <w:spacing w:val="-3"/>
                    </w:rPr>
                  </w:pPr>
                  <w:r>
                    <w:rPr>
                      <w:spacing w:val="-3"/>
                    </w:rPr>
                    <w:t>Seul le CPMS de l’établissement scolaire, dans lequel l’élève est inscrit peut modifier une attestation d’orientation sauf lorsqu’il s’agit d’élèves relevant de l’enseignement spécialisé de type 5.</w:t>
                  </w:r>
                </w:p>
                <w:p w:rsidR="00F04EEF" w:rsidRDefault="00F04EEF">
                  <w:pPr>
                    <w:jc w:val="both"/>
                    <w:rPr>
                      <w:rFonts w:cs="Arial"/>
                    </w:rPr>
                  </w:pPr>
                </w:p>
                <w:p w:rsidR="00F04EEF" w:rsidRDefault="0099351E">
                  <w:pPr>
                    <w:pBdr>
                      <w:top w:val="single" w:sz="4" w:space="1" w:color="000000"/>
                      <w:left w:val="single" w:sz="4" w:space="4" w:color="000000"/>
                      <w:bottom w:val="single" w:sz="4" w:space="1" w:color="000000"/>
                      <w:right w:val="single" w:sz="4" w:space="4" w:color="000000"/>
                    </w:pBdr>
                    <w:jc w:val="both"/>
                    <w:rPr>
                      <w:rFonts w:cs="Arial"/>
                      <w:b/>
                      <w:spacing w:val="-2"/>
                      <w:u w:val="single"/>
                    </w:rPr>
                  </w:pPr>
                  <w:r>
                    <w:rPr>
                      <w:rFonts w:cs="Arial"/>
                      <w:b/>
                      <w:spacing w:val="-2"/>
                      <w:u w:val="single"/>
                    </w:rPr>
                    <w:t>Remarque :</w:t>
                  </w:r>
                  <w:r>
                    <w:rPr>
                      <w:rFonts w:cs="Arial"/>
                      <w:b/>
                      <w:spacing w:val="-2"/>
                    </w:rPr>
                    <w:t xml:space="preserve"> </w:t>
                  </w:r>
                  <w:r>
                    <w:rPr>
                      <w:rFonts w:cs="Arial"/>
                      <w:spacing w:val="-2"/>
                    </w:rPr>
                    <w:t xml:space="preserve">l’établissement scolaire doit vérifier que l’attestation d’orientation </w:t>
                  </w:r>
                  <w:r>
                    <w:rPr>
                      <w:rFonts w:cs="Arial"/>
                      <w:spacing w:val="-2"/>
                      <w:u w:val="single"/>
                    </w:rPr>
                    <w:t>émane bien d’un organisme habilité</w:t>
                  </w:r>
                  <w:r>
                    <w:rPr>
                      <w:rFonts w:cs="Arial"/>
                      <w:spacing w:val="-2"/>
                    </w:rPr>
                    <w:t xml:space="preserve"> à délivrer le rapport d’inscription d’un élève dans l’enseignement spécialisé.</w:t>
                  </w:r>
                </w:p>
                <w:p w:rsidR="00F04EEF" w:rsidRDefault="00F04EEF"/>
                <w:p w:rsidR="00F04EEF" w:rsidRDefault="0099351E">
                  <w:pPr>
                    <w:pStyle w:val="Titre3"/>
                    <w:rPr>
                      <w:sz w:val="22"/>
                      <w:szCs w:val="22"/>
                    </w:rPr>
                  </w:pPr>
                  <w:bookmarkStart w:id="3540" w:name="_3._Nota_Bene:"/>
                  <w:bookmarkStart w:id="3541" w:name="_3._Listes"/>
                  <w:bookmarkStart w:id="3542" w:name="_Toc414352929"/>
                  <w:bookmarkStart w:id="3543" w:name="_Toc453836953"/>
                  <w:bookmarkStart w:id="3544" w:name="_Toc47708585"/>
                  <w:bookmarkEnd w:id="3540"/>
                  <w:bookmarkEnd w:id="3541"/>
                  <w:r>
                    <w:rPr>
                      <w:sz w:val="22"/>
                      <w:szCs w:val="22"/>
                    </w:rPr>
                    <w:t>3. Listes</w:t>
                  </w:r>
                  <w:bookmarkEnd w:id="3542"/>
                  <w:bookmarkEnd w:id="3543"/>
                  <w:bookmarkEnd w:id="3544"/>
                </w:p>
                <w:p w:rsidR="00F04EEF" w:rsidRDefault="00F04EEF"/>
                <w:p w:rsidR="00F04EEF" w:rsidRDefault="0099351E">
                  <w:r>
                    <w:t xml:space="preserve">Les listes des organismes habilités à délivrer les attestations et autres documents sont jointes ci-après, au </w:t>
                  </w:r>
                  <w:hyperlink w:anchor="_4._Annexes_1" w:history="1">
                    <w:r>
                      <w:rPr>
                        <w:rStyle w:val="Lienhypertexte"/>
                        <w:rFonts w:cstheme="minorBidi"/>
                      </w:rPr>
                      <w:t>point 4</w:t>
                    </w:r>
                  </w:hyperlink>
                  <w:r>
                    <w:t>, Annexes.</w:t>
                  </w:r>
                </w:p>
                <w:p w:rsidR="00F04EEF" w:rsidRDefault="00F04EEF"/>
                <w:p w:rsidR="00F04EEF" w:rsidRDefault="0099351E">
                  <w:pPr>
                    <w:jc w:val="both"/>
                  </w:pPr>
                  <w:r>
                    <w:t xml:space="preserve">Les attestations d’orientation vers l’enseignement spécialisé délivrées par la Communauté flamande ou la Communauté germanophone ne sont pas reconnues en Communauté française (voir </w:t>
                  </w:r>
                  <w:hyperlink w:anchor="_Annexe_7_:_3" w:history="1">
                    <w:r>
                      <w:rPr>
                        <w:rStyle w:val="Lienhypertexte"/>
                        <w:rFonts w:cstheme="minorBidi"/>
                      </w:rPr>
                      <w:t>annexe 7</w:t>
                    </w:r>
                  </w:hyperlink>
                  <w:r>
                    <w:t>)</w:t>
                  </w:r>
                </w:p>
                <w:p w:rsidR="00F04EEF" w:rsidRDefault="00F04EEF"/>
                <w:p w:rsidR="00F04EEF" w:rsidRDefault="0099351E">
                  <w:r>
                    <w:t xml:space="preserve">A titre informatif : </w:t>
                  </w:r>
                </w:p>
                <w:p w:rsidR="00F04EEF" w:rsidRDefault="00F04EEF"/>
                <w:p w:rsidR="00F04EEF" w:rsidRDefault="0099351E">
                  <w:pPr>
                    <w:ind w:right="680"/>
                    <w:rPr>
                      <w:rStyle w:val="Lienhypertexte"/>
                    </w:rPr>
                  </w:pPr>
                  <w:r>
                    <w:t>Concernant la Communauté germanophone : http://</w:t>
                  </w:r>
                  <w:hyperlink r:id="rId247" w:history="1">
                    <w:r>
                      <w:rPr>
                        <w:rStyle w:val="Lienhypertexte"/>
                      </w:rPr>
                      <w:t>www.dglive.be/desktopdefault.aspx/tabid345/711_read-11518/</w:t>
                    </w:r>
                  </w:hyperlink>
                </w:p>
                <w:p w:rsidR="00F04EEF" w:rsidRDefault="00F04EEF">
                  <w:pPr>
                    <w:ind w:right="680"/>
                    <w:rPr>
                      <w:rStyle w:val="Lienhypertexte"/>
                    </w:rPr>
                  </w:pPr>
                </w:p>
                <w:p w:rsidR="00F04EEF" w:rsidRDefault="0099351E">
                  <w:pPr>
                    <w:ind w:right="680"/>
                    <w:jc w:val="both"/>
                  </w:pPr>
                  <w:r>
                    <w:t xml:space="preserve">Concernant la Communauté flamande : </w:t>
                  </w:r>
                </w:p>
                <w:p w:rsidR="00F04EEF" w:rsidRDefault="00F42422">
                  <w:pPr>
                    <w:rPr>
                      <w:rStyle w:val="Lienhypertexte"/>
                      <w:rFonts w:cstheme="minorBidi"/>
                    </w:rPr>
                  </w:pPr>
                  <w:hyperlink r:id="rId248" w:history="1">
                    <w:r w:rsidR="0099351E">
                      <w:rPr>
                        <w:rStyle w:val="Lienhypertexte"/>
                        <w:rFonts w:cstheme="minorBidi"/>
                      </w:rPr>
                      <w:t>https://onderwijs.vlaanderen.be/</w:t>
                    </w:r>
                  </w:hyperlink>
                </w:p>
                <w:p w:rsidR="00F04EEF" w:rsidRDefault="00F04EEF"/>
                <w:p w:rsidR="00F04EEF" w:rsidRDefault="0099351E">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b/>
                      <w:u w:val="single"/>
                      <w:lang w:val="fr-FR" w:eastAsia="fr-FR"/>
                    </w:rPr>
                    <w:t>Remarque :</w:t>
                  </w:r>
                  <w:r>
                    <w:rPr>
                      <w:rFonts w:cs="Arial"/>
                      <w:b/>
                      <w:lang w:val="fr-FR" w:eastAsia="fr-FR"/>
                    </w:rPr>
                    <w:t xml:space="preserve"> </w:t>
                  </w:r>
                  <w:r>
                    <w:rPr>
                      <w:rFonts w:cs="Arial"/>
                      <w:lang w:val="fr-FR" w:eastAsia="fr-FR"/>
                    </w:rPr>
                    <w:t>dans l’hypothèse où un centre serait créé au cours de l’année scolaire, celui-ci serait ajouté à la liste qui figure sur le site enseignement.be.</w:t>
                  </w:r>
                </w:p>
                <w:p w:rsidR="00F04EEF" w:rsidRDefault="0099351E">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lang w:val="fr-FR" w:eastAsia="fr-FR"/>
                    </w:rPr>
                    <w:t>Les demandes doivent être adressées avant le 15 février.</w:t>
                  </w:r>
                </w:p>
                <w:p w:rsidR="00F04EEF" w:rsidRDefault="00F04EEF">
                  <w:pPr>
                    <w:rPr>
                      <w:lang w:val="fr-FR"/>
                    </w:rPr>
                  </w:pPr>
                </w:p>
                <w:p w:rsidR="00F04EEF" w:rsidRDefault="0099351E">
                  <w:pPr>
                    <w:pStyle w:val="Titre3"/>
                    <w:rPr>
                      <w:rFonts w:cs="Arial"/>
                      <w:sz w:val="22"/>
                      <w:szCs w:val="22"/>
                    </w:rPr>
                  </w:pPr>
                  <w:bookmarkStart w:id="3545" w:name="_4._Annexes_1"/>
                  <w:bookmarkStart w:id="3546" w:name="_Toc414352930"/>
                  <w:bookmarkStart w:id="3547" w:name="_Toc453836954"/>
                  <w:bookmarkStart w:id="3548" w:name="_Toc47708586"/>
                  <w:bookmarkEnd w:id="3545"/>
                  <w:r>
                    <w:rPr>
                      <w:sz w:val="22"/>
                      <w:szCs w:val="22"/>
                    </w:rPr>
                    <w:t>4. Annexes</w:t>
                  </w:r>
                  <w:bookmarkEnd w:id="3546"/>
                  <w:bookmarkEnd w:id="3547"/>
                  <w:bookmarkEnd w:id="3548"/>
                  <w:r>
                    <w:rPr>
                      <w:rFonts w:cs="Arial"/>
                      <w:sz w:val="22"/>
                      <w:szCs w:val="22"/>
                    </w:rPr>
                    <w:br w:type="page"/>
                  </w:r>
                </w:p>
                <w:p w:rsidR="00F04EEF" w:rsidRDefault="0099351E">
                  <w:pPr>
                    <w:pStyle w:val="Titre4"/>
                  </w:pPr>
                  <w:bookmarkStart w:id="3549" w:name="_Annexe_1_:_15"/>
                  <w:bookmarkStart w:id="3550" w:name="_Toc414352931"/>
                  <w:bookmarkStart w:id="3551" w:name="_Toc453836955"/>
                  <w:bookmarkEnd w:id="3549"/>
                  <w:r>
                    <w:t>Annexe 1 : Transmission du protocole justificatif pluridisciplinaire</w:t>
                  </w:r>
                  <w:bookmarkEnd w:id="3550"/>
                  <w:bookmarkEnd w:id="3551"/>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Je soussigné(e)</w:t>
                  </w:r>
                </w:p>
                <w:p w:rsidR="00F04EEF" w:rsidRDefault="0099351E">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2160"/>
                    </w:tabs>
                    <w:autoSpaceDE w:val="0"/>
                    <w:autoSpaceDN w:val="0"/>
                    <w:adjustRightInd w:val="0"/>
                    <w:spacing w:before="112"/>
                    <w:jc w:val="both"/>
                    <w:rPr>
                      <w:rFonts w:cs="Arial"/>
                    </w:rPr>
                  </w:pPr>
                  <w:r>
                    <w:rPr>
                      <w:rFonts w:cs="Arial"/>
                    </w:rPr>
                    <w:t>Numéro FASE :</w:t>
                  </w:r>
                </w:p>
                <w:p w:rsidR="00F04EEF" w:rsidRDefault="0099351E">
                  <w:pPr>
                    <w:widowControl w:val="0"/>
                    <w:tabs>
                      <w:tab w:val="center" w:pos="-2160"/>
                    </w:tabs>
                    <w:autoSpaceDE w:val="0"/>
                    <w:autoSpaceDN w:val="0"/>
                    <w:adjustRightInd w:val="0"/>
                    <w:spacing w:before="112"/>
                    <w:jc w:val="both"/>
                    <w:rPr>
                      <w:rFonts w:cs="Arial"/>
                    </w:rPr>
                  </w:pPr>
                  <w:r>
                    <w:rPr>
                      <w:rFonts w:cs="Arial"/>
                    </w:rPr>
                    <w:t>Dénomination :</w:t>
                  </w:r>
                </w:p>
                <w:p w:rsidR="00F04EEF" w:rsidRDefault="0099351E">
                  <w:pPr>
                    <w:widowControl w:val="0"/>
                    <w:tabs>
                      <w:tab w:val="center" w:pos="-2160"/>
                    </w:tabs>
                    <w:autoSpaceDE w:val="0"/>
                    <w:autoSpaceDN w:val="0"/>
                    <w:adjustRightInd w:val="0"/>
                    <w:spacing w:before="112"/>
                    <w:jc w:val="both"/>
                    <w:rPr>
                      <w:rFonts w:cs="Arial"/>
                    </w:rPr>
                  </w:pPr>
                  <w:r>
                    <w:rPr>
                      <w:rFonts w:cs="Arial"/>
                    </w:rPr>
                    <w:t>Adresse :</w:t>
                  </w:r>
                </w:p>
                <w:p w:rsidR="00F04EEF" w:rsidRDefault="0099351E">
                  <w:pPr>
                    <w:widowControl w:val="0"/>
                    <w:tabs>
                      <w:tab w:val="center" w:pos="-2160"/>
                    </w:tabs>
                    <w:autoSpaceDE w:val="0"/>
                    <w:autoSpaceDN w:val="0"/>
                    <w:adjustRightInd w:val="0"/>
                    <w:spacing w:before="112"/>
                    <w:jc w:val="both"/>
                    <w:rPr>
                      <w:rFonts w:cs="Arial"/>
                    </w:rPr>
                  </w:pPr>
                  <w:r>
                    <w:rPr>
                      <w:rFonts w:cs="Arial"/>
                    </w:rPr>
                    <w:t>CP et LOCALITE</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ai l’honneur de demander à la Direction du CPMS ou de l’organisme agréé ou du médecin spécialiste le rapport motivé justificatif de l’orientation en enseignement spécialisé.</w:t>
                  </w:r>
                </w:p>
                <w:p w:rsidR="00F04EEF" w:rsidRDefault="0099351E">
                  <w:pPr>
                    <w:widowControl w:val="0"/>
                    <w:tabs>
                      <w:tab w:val="center" w:pos="4962"/>
                    </w:tabs>
                    <w:autoSpaceDE w:val="0"/>
                    <w:autoSpaceDN w:val="0"/>
                    <w:adjustRightInd w:val="0"/>
                    <w:spacing w:before="112"/>
                    <w:jc w:val="both"/>
                    <w:rPr>
                      <w:rFonts w:cs="Arial"/>
                    </w:rPr>
                  </w:pPr>
                  <w:r>
                    <w:rPr>
                      <w:rFonts w:cs="Arial"/>
                    </w:rPr>
                    <w:t>NOM de l’élève :</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date de naissance :</w:t>
                  </w:r>
                </w:p>
                <w:p w:rsidR="00F04EEF" w:rsidRDefault="00F04EEF">
                  <w:pPr>
                    <w:widowControl w:val="0"/>
                    <w:tabs>
                      <w:tab w:val="center" w:pos="4962"/>
                    </w:tabs>
                    <w:autoSpaceDE w:val="0"/>
                    <w:autoSpaceDN w:val="0"/>
                    <w:adjustRightInd w:val="0"/>
                    <w:spacing w:before="112"/>
                    <w:jc w:val="both"/>
                    <w:rPr>
                      <w:rFonts w:cs="Arial"/>
                    </w:rPr>
                  </w:pP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 xml:space="preserve">Dénomination : </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Adresse :</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CP et LOCALITE :</w:t>
                  </w:r>
                </w:p>
                <w:p w:rsidR="00F04EEF" w:rsidRDefault="0099351E">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rsidR="00F04EEF" w:rsidRDefault="00F04EEF">
                  <w:pPr>
                    <w:widowControl w:val="0"/>
                    <w:tabs>
                      <w:tab w:val="center" w:pos="4962"/>
                    </w:tabs>
                    <w:autoSpaceDE w:val="0"/>
                    <w:autoSpaceDN w:val="0"/>
                    <w:adjustRightInd w:val="0"/>
                    <w:spacing w:before="112"/>
                    <w:jc w:val="both"/>
                    <w:rPr>
                      <w:rFonts w:cs="Arial"/>
                    </w:rPr>
                  </w:pPr>
                </w:p>
                <w:p w:rsidR="00F04EEF" w:rsidRDefault="00F04EEF">
                  <w:pPr>
                    <w:widowControl w:val="0"/>
                    <w:tabs>
                      <w:tab w:val="center" w:pos="4962"/>
                    </w:tabs>
                    <w:autoSpaceDE w:val="0"/>
                    <w:autoSpaceDN w:val="0"/>
                    <w:adjustRightInd w:val="0"/>
                    <w:spacing w:before="112"/>
                    <w:jc w:val="both"/>
                    <w:rPr>
                      <w:rFonts w:cs="Arial"/>
                    </w:rPr>
                  </w:pPr>
                </w:p>
                <w:p w:rsidR="00F04EEF" w:rsidRDefault="00F04EEF">
                  <w:pPr>
                    <w:widowControl w:val="0"/>
                    <w:tabs>
                      <w:tab w:val="center" w:pos="4962"/>
                    </w:tabs>
                    <w:autoSpaceDE w:val="0"/>
                    <w:autoSpaceDN w:val="0"/>
                    <w:adjustRightInd w:val="0"/>
                    <w:spacing w:before="112"/>
                    <w:jc w:val="both"/>
                    <w:rPr>
                      <w:rFonts w:cs="Arial"/>
                    </w:rPr>
                  </w:pPr>
                </w:p>
                <w:p w:rsidR="00F04EEF" w:rsidRDefault="00F04EEF">
                  <w:pPr>
                    <w:widowControl w:val="0"/>
                    <w:tabs>
                      <w:tab w:val="center" w:pos="4962"/>
                    </w:tabs>
                    <w:autoSpaceDE w:val="0"/>
                    <w:autoSpaceDN w:val="0"/>
                    <w:adjustRightInd w:val="0"/>
                    <w:spacing w:before="112"/>
                    <w:jc w:val="both"/>
                    <w:rPr>
                      <w:rFonts w:cs="Arial"/>
                    </w:rPr>
                  </w:pP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Date et signature :</w:t>
                  </w:r>
                </w:p>
                <w:p w:rsidR="00F04EEF" w:rsidRDefault="0099351E">
                  <w:pPr>
                    <w:widowControl w:val="0"/>
                    <w:tabs>
                      <w:tab w:val="center" w:pos="4962"/>
                    </w:tabs>
                    <w:autoSpaceDE w:val="0"/>
                    <w:autoSpaceDN w:val="0"/>
                    <w:adjustRightInd w:val="0"/>
                    <w:spacing w:before="112"/>
                    <w:jc w:val="both"/>
                    <w:rPr>
                      <w:rFonts w:cs="Arial"/>
                    </w:rPr>
                  </w:pPr>
                  <w:r>
                    <w:rPr>
                      <w:rFonts w:cs="Arial"/>
                    </w:rPr>
                    <w:br w:type="page"/>
                  </w:r>
                </w:p>
                <w:p w:rsidR="00F04EEF" w:rsidRDefault="0099351E">
                  <w:pPr>
                    <w:pStyle w:val="Titre4"/>
                  </w:pPr>
                  <w:bookmarkStart w:id="3552" w:name="_Annexe_2_:_1"/>
                  <w:bookmarkStart w:id="3553" w:name="_Toc414352932"/>
                  <w:bookmarkStart w:id="3554" w:name="_Toc453836956"/>
                  <w:bookmarkEnd w:id="3552"/>
                  <w:r>
                    <w:t>Annexe 2 : Transmission du rapport motivé justificatif du changement de type d’enseignement spécialisé</w:t>
                  </w:r>
                  <w:bookmarkEnd w:id="3553"/>
                  <w:bookmarkEnd w:id="3554"/>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Je soussigné(e)</w:t>
                  </w:r>
                </w:p>
                <w:p w:rsidR="00F04EEF" w:rsidRDefault="0099351E">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rsidR="00F04EEF" w:rsidRDefault="00F04EEF">
                  <w:pPr>
                    <w:widowControl w:val="0"/>
                    <w:tabs>
                      <w:tab w:val="center" w:pos="-2160"/>
                    </w:tabs>
                    <w:autoSpaceDE w:val="0"/>
                    <w:autoSpaceDN w:val="0"/>
                    <w:adjustRightInd w:val="0"/>
                    <w:spacing w:before="112"/>
                    <w:jc w:val="both"/>
                    <w:rPr>
                      <w:rFonts w:cs="Arial"/>
                    </w:rPr>
                  </w:pPr>
                </w:p>
                <w:p w:rsidR="00F04EEF" w:rsidRDefault="0099351E">
                  <w:pPr>
                    <w:widowControl w:val="0"/>
                    <w:tabs>
                      <w:tab w:val="center" w:pos="-2160"/>
                    </w:tabs>
                    <w:autoSpaceDE w:val="0"/>
                    <w:autoSpaceDN w:val="0"/>
                    <w:adjustRightInd w:val="0"/>
                    <w:spacing w:before="112"/>
                    <w:jc w:val="both"/>
                    <w:rPr>
                      <w:rFonts w:cs="Arial"/>
                    </w:rPr>
                  </w:pPr>
                  <w:r>
                    <w:rPr>
                      <w:rFonts w:cs="Arial"/>
                    </w:rPr>
                    <w:t>Numéro FASE :</w:t>
                  </w:r>
                </w:p>
                <w:p w:rsidR="00F04EEF" w:rsidRDefault="0099351E">
                  <w:pPr>
                    <w:widowControl w:val="0"/>
                    <w:tabs>
                      <w:tab w:val="center" w:pos="-2160"/>
                    </w:tabs>
                    <w:autoSpaceDE w:val="0"/>
                    <w:autoSpaceDN w:val="0"/>
                    <w:adjustRightInd w:val="0"/>
                    <w:spacing w:before="112"/>
                    <w:jc w:val="both"/>
                    <w:rPr>
                      <w:rFonts w:cs="Arial"/>
                    </w:rPr>
                  </w:pPr>
                  <w:r>
                    <w:rPr>
                      <w:rFonts w:cs="Arial"/>
                    </w:rPr>
                    <w:t>Dénomination :</w:t>
                  </w:r>
                </w:p>
                <w:p w:rsidR="00F04EEF" w:rsidRDefault="0099351E">
                  <w:pPr>
                    <w:widowControl w:val="0"/>
                    <w:tabs>
                      <w:tab w:val="center" w:pos="-2160"/>
                    </w:tabs>
                    <w:autoSpaceDE w:val="0"/>
                    <w:autoSpaceDN w:val="0"/>
                    <w:adjustRightInd w:val="0"/>
                    <w:spacing w:before="112"/>
                    <w:jc w:val="both"/>
                    <w:rPr>
                      <w:rFonts w:cs="Arial"/>
                    </w:rPr>
                  </w:pPr>
                  <w:r>
                    <w:rPr>
                      <w:rFonts w:cs="Arial"/>
                    </w:rPr>
                    <w:t>Adresse :</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CP et LOCALITE</w:t>
                  </w:r>
                </w:p>
                <w:p w:rsidR="00F04EEF" w:rsidRDefault="0099351E">
                  <w:pPr>
                    <w:widowControl w:val="0"/>
                    <w:tabs>
                      <w:tab w:val="center" w:pos="4962"/>
                    </w:tabs>
                    <w:autoSpaceDE w:val="0"/>
                    <w:autoSpaceDN w:val="0"/>
                    <w:adjustRightInd w:val="0"/>
                    <w:spacing w:before="112"/>
                    <w:jc w:val="both"/>
                    <w:rPr>
                      <w:rFonts w:cs="Arial"/>
                    </w:rPr>
                  </w:pPr>
                  <w:r>
                    <w:rPr>
                      <w:rFonts w:cs="Arial"/>
                    </w:rPr>
                    <w:t>ai l’honneur de demander à la Direction du CPMS le rapport motivé justificatif du changement de type concernant.</w:t>
                  </w:r>
                </w:p>
                <w:p w:rsidR="00F04EEF" w:rsidRDefault="0099351E">
                  <w:pPr>
                    <w:widowControl w:val="0"/>
                    <w:tabs>
                      <w:tab w:val="center" w:pos="4962"/>
                    </w:tabs>
                    <w:autoSpaceDE w:val="0"/>
                    <w:autoSpaceDN w:val="0"/>
                    <w:adjustRightInd w:val="0"/>
                    <w:spacing w:before="112"/>
                    <w:jc w:val="both"/>
                    <w:rPr>
                      <w:rFonts w:cs="Arial"/>
                    </w:rPr>
                  </w:pPr>
                  <w:r>
                    <w:rPr>
                      <w:rFonts w:cs="Arial"/>
                    </w:rPr>
                    <w:t>NOM de l’élève :</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Date de naissance :</w:t>
                  </w:r>
                </w:p>
                <w:p w:rsidR="00F04EEF" w:rsidRDefault="00F04EEF">
                  <w:pPr>
                    <w:widowControl w:val="0"/>
                    <w:tabs>
                      <w:tab w:val="center" w:pos="4962"/>
                    </w:tabs>
                    <w:autoSpaceDE w:val="0"/>
                    <w:autoSpaceDN w:val="0"/>
                    <w:adjustRightInd w:val="0"/>
                    <w:spacing w:before="112"/>
                    <w:jc w:val="both"/>
                    <w:rPr>
                      <w:rFonts w:cs="Arial"/>
                    </w:rPr>
                  </w:pP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r>
                    <w:rPr>
                      <w:rStyle w:val="Appelnotedebasdep"/>
                    </w:rPr>
                    <w:footnoteReference w:id="166"/>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 xml:space="preserve">Dénomination : </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Adresse :</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rsidR="00F04EEF" w:rsidRDefault="00F04EEF">
                  <w:pPr>
                    <w:widowControl w:val="0"/>
                    <w:tabs>
                      <w:tab w:val="center" w:pos="4962"/>
                    </w:tabs>
                    <w:autoSpaceDE w:val="0"/>
                    <w:autoSpaceDN w:val="0"/>
                    <w:adjustRightInd w:val="0"/>
                    <w:spacing w:before="112"/>
                    <w:jc w:val="both"/>
                    <w:rPr>
                      <w:rFonts w:cs="Arial"/>
                    </w:rPr>
                  </w:pPr>
                </w:p>
                <w:p w:rsidR="00F04EEF" w:rsidRDefault="0099351E">
                  <w:pPr>
                    <w:widowControl w:val="0"/>
                    <w:tabs>
                      <w:tab w:val="center" w:pos="4962"/>
                    </w:tabs>
                    <w:autoSpaceDE w:val="0"/>
                    <w:autoSpaceDN w:val="0"/>
                    <w:adjustRightInd w:val="0"/>
                    <w:spacing w:before="112"/>
                    <w:jc w:val="both"/>
                    <w:rPr>
                      <w:rFonts w:cs="Arial"/>
                    </w:rPr>
                  </w:pPr>
                  <w:r>
                    <w:rPr>
                      <w:rFonts w:cs="Arial"/>
                    </w:rPr>
                    <w:t>Date et signature :</w:t>
                  </w:r>
                </w:p>
                <w:p w:rsidR="00F04EEF" w:rsidRDefault="00F04EEF">
                  <w:pPr>
                    <w:sectPr w:rsidR="00F04EEF">
                      <w:headerReference w:type="default" r:id="rId249"/>
                      <w:footerReference w:type="default" r:id="rId250"/>
                      <w:type w:val="nextColumn"/>
                      <w:pgSz w:w="11906" w:h="16838"/>
                      <w:pgMar w:top="1134" w:right="1134" w:bottom="1134" w:left="1418" w:header="709" w:footer="142" w:gutter="0"/>
                      <w:cols w:space="720"/>
                      <w:docGrid w:linePitch="299"/>
                    </w:sectPr>
                  </w:pPr>
                </w:p>
                <w:p w:rsidR="00F04EEF" w:rsidRDefault="0099351E">
                  <w:pPr>
                    <w:pStyle w:val="Titre4"/>
                  </w:pPr>
                  <w:bookmarkStart w:id="3555" w:name="_Annexe_3_:_1"/>
                  <w:bookmarkStart w:id="3556" w:name="_Toc9428424"/>
                  <w:bookmarkEnd w:id="3555"/>
                  <w:r>
                    <w:t>Annexe 3 : Liste des centres psycho-médico-sociaux de l’enseignement SPECIALISE</w:t>
                  </w:r>
                  <w:bookmarkEnd w:id="3556"/>
                  <w:r>
                    <w:t xml:space="preserve">  </w:t>
                  </w:r>
                </w:p>
                <w:p w:rsidR="00F04EEF" w:rsidRDefault="0099351E">
                  <w:pPr>
                    <w:ind w:right="391"/>
                    <w:jc w:val="center"/>
                    <w:rPr>
                      <w:rFonts w:ascii="Arial" w:hAnsi="Arial" w:cs="Arial"/>
                      <w:b/>
                      <w:bCs/>
                    </w:rPr>
                  </w:pPr>
                  <w:r>
                    <w:tab/>
                  </w:r>
                </w:p>
                <w:tbl>
                  <w:tblPr>
                    <w:tblW w:w="14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410"/>
                    <w:gridCol w:w="2126"/>
                    <w:gridCol w:w="1454"/>
                    <w:gridCol w:w="3649"/>
                    <w:gridCol w:w="1665"/>
                  </w:tblGrid>
                  <w:tr w:rsidR="00F04EEF">
                    <w:trPr>
                      <w:cantSplit/>
                      <w:trHeight w:val="557"/>
                    </w:trPr>
                    <w:tc>
                      <w:tcPr>
                        <w:tcW w:w="14276" w:type="dxa"/>
                        <w:gridSpan w:val="6"/>
                        <w:shd w:val="clear" w:color="auto" w:fill="EEECE1" w:themeFill="background2"/>
                        <w:vAlign w:val="center"/>
                      </w:tcPr>
                      <w:p w:rsidR="00F04EEF" w:rsidRDefault="0099351E">
                        <w:pPr>
                          <w:jc w:val="center"/>
                          <w:rPr>
                            <w:rFonts w:cs="Arial"/>
                            <w:b/>
                            <w:sz w:val="36"/>
                            <w:szCs w:val="36"/>
                          </w:rPr>
                        </w:pPr>
                        <w:r>
                          <w:rPr>
                            <w:rFonts w:cs="Arial"/>
                            <w:b/>
                            <w:bCs/>
                            <w:sz w:val="36"/>
                            <w:szCs w:val="36"/>
                          </w:rPr>
                          <w:t>CPMS SPÉCIALISÉS</w:t>
                        </w:r>
                      </w:p>
                    </w:tc>
                  </w:tr>
                  <w:tr w:rsidR="00F04EEF">
                    <w:trPr>
                      <w:gridAfter w:val="1"/>
                      <w:wAfter w:w="1665" w:type="dxa"/>
                      <w:cantSplit/>
                      <w:trHeight w:val="410"/>
                    </w:trPr>
                    <w:tc>
                      <w:tcPr>
                        <w:tcW w:w="2972" w:type="dxa"/>
                        <w:vAlign w:val="center"/>
                      </w:tcPr>
                      <w:p w:rsidR="00F04EEF" w:rsidRDefault="0099351E">
                        <w:pPr>
                          <w:spacing w:before="240"/>
                          <w:jc w:val="center"/>
                          <w:rPr>
                            <w:rFonts w:ascii="Georgia" w:hAnsi="Georgia" w:cs="Arial"/>
                            <w:b/>
                          </w:rPr>
                        </w:pPr>
                        <w:r>
                          <w:rPr>
                            <w:rFonts w:ascii="Georgia" w:hAnsi="Georgia" w:cs="Arial"/>
                            <w:b/>
                          </w:rPr>
                          <w:t>Nom</w:t>
                        </w:r>
                      </w:p>
                    </w:tc>
                    <w:tc>
                      <w:tcPr>
                        <w:tcW w:w="2410" w:type="dxa"/>
                        <w:vAlign w:val="center"/>
                      </w:tcPr>
                      <w:p w:rsidR="00F04EEF" w:rsidRDefault="0099351E">
                        <w:pPr>
                          <w:spacing w:before="240"/>
                          <w:jc w:val="center"/>
                          <w:rPr>
                            <w:rFonts w:ascii="Georgia" w:hAnsi="Georgia" w:cs="Arial"/>
                            <w:b/>
                          </w:rPr>
                        </w:pPr>
                        <w:r>
                          <w:rPr>
                            <w:rFonts w:ascii="Georgia" w:hAnsi="Georgia" w:cs="Arial"/>
                            <w:b/>
                          </w:rPr>
                          <w:t>Adresse</w:t>
                        </w:r>
                      </w:p>
                    </w:tc>
                    <w:tc>
                      <w:tcPr>
                        <w:tcW w:w="2126" w:type="dxa"/>
                        <w:tcBorders>
                          <w:right w:val="single" w:sz="4" w:space="0" w:color="auto"/>
                        </w:tcBorders>
                        <w:vAlign w:val="center"/>
                      </w:tcPr>
                      <w:p w:rsidR="00F04EEF" w:rsidRDefault="0099351E">
                        <w:pPr>
                          <w:spacing w:before="240"/>
                          <w:jc w:val="center"/>
                          <w:rPr>
                            <w:rFonts w:ascii="Georgia" w:hAnsi="Georgia" w:cs="Arial"/>
                            <w:b/>
                          </w:rPr>
                        </w:pPr>
                        <w:r>
                          <w:rPr>
                            <w:rFonts w:ascii="Georgia" w:hAnsi="Georgia" w:cs="Arial"/>
                            <w:b/>
                          </w:rPr>
                          <w:t>Localité</w:t>
                        </w:r>
                      </w:p>
                    </w:tc>
                    <w:tc>
                      <w:tcPr>
                        <w:tcW w:w="1454" w:type="dxa"/>
                        <w:tcBorders>
                          <w:top w:val="single" w:sz="4" w:space="0" w:color="auto"/>
                          <w:left w:val="single" w:sz="4" w:space="0" w:color="auto"/>
                          <w:bottom w:val="single" w:sz="4" w:space="0" w:color="auto"/>
                          <w:right w:val="single" w:sz="4" w:space="0" w:color="auto"/>
                        </w:tcBorders>
                      </w:tcPr>
                      <w:p w:rsidR="00F04EEF" w:rsidRDefault="0099351E">
                        <w:pPr>
                          <w:spacing w:before="240"/>
                          <w:jc w:val="center"/>
                          <w:rPr>
                            <w:rFonts w:ascii="Georgia" w:hAnsi="Georgia" w:cs="Arial"/>
                            <w:b/>
                          </w:rPr>
                        </w:pPr>
                        <w:r>
                          <w:rPr>
                            <w:rFonts w:ascii="Georgia" w:hAnsi="Georgia" w:cs="Arial"/>
                            <w:b/>
                          </w:rPr>
                          <w:t>Tel.</w:t>
                        </w:r>
                      </w:p>
                    </w:tc>
                    <w:tc>
                      <w:tcPr>
                        <w:tcW w:w="3649" w:type="dxa"/>
                        <w:tcBorders>
                          <w:left w:val="single" w:sz="4" w:space="0" w:color="auto"/>
                        </w:tcBorders>
                        <w:vAlign w:val="center"/>
                      </w:tcPr>
                      <w:p w:rsidR="00F04EEF" w:rsidRDefault="0099351E">
                        <w:pPr>
                          <w:spacing w:before="240"/>
                          <w:jc w:val="center"/>
                          <w:rPr>
                            <w:rFonts w:ascii="Georgia" w:hAnsi="Georgia" w:cs="Arial"/>
                            <w:b/>
                          </w:rPr>
                        </w:pPr>
                        <w:r>
                          <w:rPr>
                            <w:rFonts w:ascii="Georgia" w:hAnsi="Georgia" w:cs="Arial"/>
                            <w:b/>
                          </w:rPr>
                          <w:t>Arrondissement</w:t>
                        </w:r>
                      </w:p>
                    </w:tc>
                  </w:tr>
                  <w:tr w:rsidR="00F04EEF">
                    <w:trPr>
                      <w:gridAfter w:val="1"/>
                      <w:wAfter w:w="1665" w:type="dxa"/>
                      <w:cantSplit/>
                      <w:trHeight w:val="397"/>
                    </w:trPr>
                    <w:tc>
                      <w:tcPr>
                        <w:tcW w:w="2972" w:type="dxa"/>
                        <w:vAlign w:val="center"/>
                      </w:tcPr>
                      <w:p w:rsidR="00F04EEF" w:rsidRDefault="0099351E">
                        <w:pPr>
                          <w:snapToGrid w:val="0"/>
                          <w:rPr>
                            <w:rFonts w:ascii="Arial" w:hAnsi="Arial" w:cs="Arial"/>
                            <w:sz w:val="20"/>
                            <w:szCs w:val="20"/>
                          </w:rPr>
                        </w:pPr>
                        <w:r>
                          <w:rPr>
                            <w:rFonts w:ascii="Arial" w:hAnsi="Arial" w:cs="Arial"/>
                            <w:sz w:val="20"/>
                            <w:szCs w:val="20"/>
                          </w:rPr>
                          <w:t>CPMS BRUXELLES V</w:t>
                        </w:r>
                      </w:p>
                    </w:tc>
                    <w:tc>
                      <w:tcPr>
                        <w:tcW w:w="2410" w:type="dxa"/>
                        <w:vAlign w:val="center"/>
                      </w:tcPr>
                      <w:p w:rsidR="00F04EEF" w:rsidRDefault="0099351E">
                        <w:pPr>
                          <w:snapToGrid w:val="0"/>
                          <w:rPr>
                            <w:rFonts w:ascii="Arial" w:hAnsi="Arial" w:cs="Arial"/>
                            <w:sz w:val="20"/>
                            <w:szCs w:val="20"/>
                          </w:rPr>
                        </w:pPr>
                        <w:r>
                          <w:rPr>
                            <w:rFonts w:ascii="Arial" w:hAnsi="Arial" w:cs="Arial"/>
                            <w:sz w:val="20"/>
                            <w:szCs w:val="20"/>
                          </w:rPr>
                          <w:t>Rue Philippe de Champagne, 52</w:t>
                        </w:r>
                      </w:p>
                    </w:tc>
                    <w:tc>
                      <w:tcPr>
                        <w:tcW w:w="2126" w:type="dxa"/>
                        <w:vAlign w:val="center"/>
                      </w:tcPr>
                      <w:p w:rsidR="00F04EEF" w:rsidRDefault="0099351E">
                        <w:pPr>
                          <w:snapToGrid w:val="0"/>
                          <w:rPr>
                            <w:rFonts w:ascii="Arial" w:hAnsi="Arial" w:cs="Arial"/>
                            <w:sz w:val="20"/>
                            <w:szCs w:val="20"/>
                          </w:rPr>
                        </w:pPr>
                        <w:r>
                          <w:rPr>
                            <w:rFonts w:ascii="Arial" w:hAnsi="Arial" w:cs="Arial"/>
                            <w:sz w:val="20"/>
                            <w:szCs w:val="20"/>
                          </w:rPr>
                          <w:t>1000 BRUXELLES</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02/548.05.30</w:t>
                        </w:r>
                      </w:p>
                    </w:tc>
                    <w:tc>
                      <w:tcPr>
                        <w:tcW w:w="3649" w:type="dxa"/>
                        <w:vAlign w:val="center"/>
                      </w:tcPr>
                      <w:p w:rsidR="00F04EEF" w:rsidRDefault="0099351E">
                        <w:pPr>
                          <w:snapToGrid w:val="0"/>
                          <w:jc w:val="center"/>
                          <w:rPr>
                            <w:rFonts w:ascii="Arial" w:hAnsi="Arial" w:cs="Arial"/>
                            <w:b/>
                            <w:bCs/>
                            <w:sz w:val="20"/>
                            <w:szCs w:val="20"/>
                          </w:rPr>
                        </w:pPr>
                        <w:r>
                          <w:rPr>
                            <w:rFonts w:ascii="Arial" w:hAnsi="Arial" w:cs="Arial"/>
                            <w:b/>
                            <w:bCs/>
                            <w:sz w:val="20"/>
                            <w:szCs w:val="20"/>
                          </w:rPr>
                          <w:t>Région de Bruxelles - Capitale</w:t>
                        </w:r>
                      </w:p>
                    </w:tc>
                  </w:tr>
                  <w:tr w:rsidR="00F04EEF">
                    <w:trPr>
                      <w:gridAfter w:val="1"/>
                      <w:wAfter w:w="1665" w:type="dxa"/>
                      <w:cantSplit/>
                      <w:trHeight w:val="397"/>
                    </w:trPr>
                    <w:tc>
                      <w:tcPr>
                        <w:tcW w:w="2972" w:type="dxa"/>
                        <w:vAlign w:val="center"/>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vAlign w:val="center"/>
                      </w:tcPr>
                      <w:p w:rsidR="00F04EEF" w:rsidRDefault="0099351E">
                        <w:pPr>
                          <w:snapToGrid w:val="0"/>
                          <w:rPr>
                            <w:rFonts w:ascii="Arial" w:hAnsi="Arial" w:cs="Arial"/>
                            <w:sz w:val="20"/>
                            <w:szCs w:val="20"/>
                          </w:rPr>
                        </w:pPr>
                        <w:r>
                          <w:rPr>
                            <w:rFonts w:ascii="Arial" w:hAnsi="Arial" w:cs="Arial"/>
                            <w:sz w:val="20"/>
                            <w:szCs w:val="20"/>
                          </w:rPr>
                          <w:t>Avenue Schaller, 89</w:t>
                        </w:r>
                      </w:p>
                    </w:tc>
                    <w:tc>
                      <w:tcPr>
                        <w:tcW w:w="2126" w:type="dxa"/>
                        <w:vAlign w:val="center"/>
                      </w:tcPr>
                      <w:p w:rsidR="00F04EEF" w:rsidRDefault="0099351E">
                        <w:pPr>
                          <w:snapToGrid w:val="0"/>
                          <w:rPr>
                            <w:rFonts w:ascii="Arial" w:hAnsi="Arial" w:cs="Arial"/>
                            <w:sz w:val="20"/>
                            <w:szCs w:val="20"/>
                          </w:rPr>
                        </w:pPr>
                        <w:r>
                          <w:rPr>
                            <w:rFonts w:ascii="Arial" w:hAnsi="Arial" w:cs="Arial"/>
                            <w:sz w:val="20"/>
                            <w:szCs w:val="20"/>
                          </w:rPr>
                          <w:t>1160 AUDERGHEM</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02/673.70.87</w:t>
                        </w:r>
                      </w:p>
                    </w:tc>
                    <w:tc>
                      <w:tcPr>
                        <w:tcW w:w="3649" w:type="dxa"/>
                        <w:vAlign w:val="center"/>
                      </w:tcPr>
                      <w:p w:rsidR="00F04EEF" w:rsidRDefault="0099351E">
                        <w:pPr>
                          <w:snapToGrid w:val="0"/>
                          <w:jc w:val="center"/>
                          <w:rPr>
                            <w:rFonts w:ascii="Arial" w:hAnsi="Arial" w:cs="Arial"/>
                            <w:b/>
                            <w:bCs/>
                            <w:sz w:val="20"/>
                            <w:szCs w:val="20"/>
                          </w:rPr>
                        </w:pPr>
                        <w:r>
                          <w:rPr>
                            <w:rFonts w:ascii="Arial" w:hAnsi="Arial" w:cs="Arial"/>
                            <w:b/>
                            <w:bCs/>
                            <w:sz w:val="20"/>
                            <w:szCs w:val="20"/>
                          </w:rPr>
                          <w:t>Région de Bruxelles - Capitale</w:t>
                        </w:r>
                      </w:p>
                    </w:tc>
                  </w:tr>
                  <w:tr w:rsidR="00F04EEF">
                    <w:trPr>
                      <w:gridAfter w:val="1"/>
                      <w:wAfter w:w="1665" w:type="dxa"/>
                      <w:cantSplit/>
                      <w:trHeight w:val="397"/>
                    </w:trPr>
                    <w:tc>
                      <w:tcPr>
                        <w:tcW w:w="2972" w:type="dxa"/>
                        <w:vAlign w:val="center"/>
                      </w:tcPr>
                      <w:p w:rsidR="00F04EEF" w:rsidRDefault="0099351E">
                        <w:pPr>
                          <w:snapToGrid w:val="0"/>
                          <w:rPr>
                            <w:rFonts w:ascii="Arial" w:hAnsi="Arial" w:cs="Arial"/>
                            <w:sz w:val="20"/>
                            <w:szCs w:val="20"/>
                          </w:rPr>
                        </w:pPr>
                        <w:r>
                          <w:rPr>
                            <w:rFonts w:ascii="Arial" w:hAnsi="Arial" w:cs="Arial"/>
                            <w:sz w:val="20"/>
                            <w:szCs w:val="20"/>
                          </w:rPr>
                          <w:t>CPMS Spécialisé libre Uccle I</w:t>
                        </w:r>
                      </w:p>
                    </w:tc>
                    <w:tc>
                      <w:tcPr>
                        <w:tcW w:w="2410" w:type="dxa"/>
                        <w:vAlign w:val="center"/>
                      </w:tcPr>
                      <w:p w:rsidR="00F04EEF" w:rsidRDefault="0099351E">
                        <w:pPr>
                          <w:snapToGrid w:val="0"/>
                          <w:rPr>
                            <w:rFonts w:ascii="Arial" w:hAnsi="Arial" w:cs="Arial"/>
                            <w:sz w:val="20"/>
                            <w:szCs w:val="20"/>
                          </w:rPr>
                        </w:pPr>
                        <w:r>
                          <w:rPr>
                            <w:rFonts w:ascii="Arial" w:hAnsi="Arial" w:cs="Arial"/>
                            <w:sz w:val="20"/>
                            <w:szCs w:val="20"/>
                          </w:rPr>
                          <w:t>Ch. de Waterloo, 1510</w:t>
                        </w:r>
                      </w:p>
                    </w:tc>
                    <w:tc>
                      <w:tcPr>
                        <w:tcW w:w="2126" w:type="dxa"/>
                        <w:vAlign w:val="center"/>
                      </w:tcPr>
                      <w:p w:rsidR="00F04EEF" w:rsidRDefault="0099351E">
                        <w:pPr>
                          <w:snapToGrid w:val="0"/>
                          <w:rPr>
                            <w:rFonts w:ascii="Arial" w:hAnsi="Arial" w:cs="Arial"/>
                            <w:sz w:val="20"/>
                            <w:szCs w:val="20"/>
                          </w:rPr>
                        </w:pPr>
                        <w:r>
                          <w:rPr>
                            <w:rFonts w:ascii="Arial" w:hAnsi="Arial" w:cs="Arial"/>
                            <w:sz w:val="20"/>
                            <w:szCs w:val="20"/>
                          </w:rPr>
                          <w:t>1180 UCCLE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rsidR="00F04EEF" w:rsidRDefault="0099351E">
                        <w:pPr>
                          <w:snapToGrid w:val="0"/>
                          <w:jc w:val="center"/>
                          <w:rPr>
                            <w:rFonts w:ascii="Arial" w:hAnsi="Arial" w:cs="Arial"/>
                            <w:b/>
                            <w:bCs/>
                            <w:sz w:val="20"/>
                            <w:szCs w:val="20"/>
                          </w:rPr>
                        </w:pPr>
                        <w:r>
                          <w:rPr>
                            <w:rFonts w:ascii="Arial" w:hAnsi="Arial" w:cs="Arial"/>
                            <w:b/>
                            <w:bCs/>
                            <w:sz w:val="20"/>
                            <w:szCs w:val="20"/>
                          </w:rPr>
                          <w:t>Région de Bruxelles - Capitale</w:t>
                        </w:r>
                      </w:p>
                    </w:tc>
                  </w:tr>
                  <w:tr w:rsidR="00F04EEF">
                    <w:trPr>
                      <w:gridAfter w:val="1"/>
                      <w:wAfter w:w="1665" w:type="dxa"/>
                      <w:cantSplit/>
                      <w:trHeight w:val="397"/>
                    </w:trPr>
                    <w:tc>
                      <w:tcPr>
                        <w:tcW w:w="2972" w:type="dxa"/>
                        <w:vAlign w:val="center"/>
                      </w:tcPr>
                      <w:p w:rsidR="00F04EEF" w:rsidRDefault="0099351E">
                        <w:pPr>
                          <w:snapToGrid w:val="0"/>
                          <w:rPr>
                            <w:rFonts w:ascii="Arial" w:hAnsi="Arial" w:cs="Arial"/>
                            <w:sz w:val="20"/>
                            <w:szCs w:val="20"/>
                          </w:rPr>
                        </w:pPr>
                        <w:r>
                          <w:rPr>
                            <w:rFonts w:ascii="Arial" w:hAnsi="Arial" w:cs="Arial"/>
                            <w:sz w:val="20"/>
                            <w:szCs w:val="20"/>
                          </w:rPr>
                          <w:t>CPMS Spécialisé libre Uccle II</w:t>
                        </w:r>
                      </w:p>
                    </w:tc>
                    <w:tc>
                      <w:tcPr>
                        <w:tcW w:w="2410" w:type="dxa"/>
                        <w:vAlign w:val="center"/>
                      </w:tcPr>
                      <w:p w:rsidR="00F04EEF" w:rsidRDefault="0099351E">
                        <w:pPr>
                          <w:snapToGrid w:val="0"/>
                          <w:rPr>
                            <w:rFonts w:ascii="Arial" w:hAnsi="Arial" w:cs="Arial"/>
                            <w:sz w:val="20"/>
                            <w:szCs w:val="20"/>
                          </w:rPr>
                        </w:pPr>
                        <w:r>
                          <w:rPr>
                            <w:rFonts w:ascii="Arial" w:hAnsi="Arial" w:cs="Arial"/>
                            <w:sz w:val="20"/>
                            <w:szCs w:val="20"/>
                          </w:rPr>
                          <w:t>Ch. de Waterloo, 1510</w:t>
                        </w:r>
                      </w:p>
                    </w:tc>
                    <w:tc>
                      <w:tcPr>
                        <w:tcW w:w="2126" w:type="dxa"/>
                        <w:vAlign w:val="center"/>
                      </w:tcPr>
                      <w:p w:rsidR="00F04EEF" w:rsidRDefault="0099351E">
                        <w:pPr>
                          <w:snapToGrid w:val="0"/>
                          <w:rPr>
                            <w:rFonts w:ascii="Arial" w:hAnsi="Arial" w:cs="Arial"/>
                            <w:sz w:val="20"/>
                            <w:szCs w:val="20"/>
                          </w:rPr>
                        </w:pPr>
                        <w:r>
                          <w:rPr>
                            <w:rFonts w:ascii="Arial" w:hAnsi="Arial" w:cs="Arial"/>
                            <w:sz w:val="20"/>
                            <w:szCs w:val="20"/>
                          </w:rPr>
                          <w:t>1180 UCCLE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rsidR="00F04EEF" w:rsidRDefault="0099351E">
                        <w:pPr>
                          <w:snapToGrid w:val="0"/>
                          <w:jc w:val="center"/>
                          <w:rPr>
                            <w:rFonts w:ascii="Arial" w:hAnsi="Arial" w:cs="Arial"/>
                            <w:b/>
                            <w:bCs/>
                            <w:sz w:val="20"/>
                            <w:szCs w:val="20"/>
                          </w:rPr>
                        </w:pPr>
                        <w:r>
                          <w:rPr>
                            <w:rFonts w:ascii="Arial" w:hAnsi="Arial" w:cs="Arial"/>
                            <w:b/>
                            <w:bCs/>
                            <w:sz w:val="20"/>
                            <w:szCs w:val="20"/>
                          </w:rPr>
                          <w:t>Région de Bruxelles - Capitale</w:t>
                        </w:r>
                      </w:p>
                    </w:tc>
                  </w:tr>
                  <w:tr w:rsidR="00F04EEF">
                    <w:trPr>
                      <w:gridAfter w:val="1"/>
                      <w:wAfter w:w="1665" w:type="dxa"/>
                      <w:cantSplit/>
                      <w:trHeight w:val="397"/>
                    </w:trPr>
                    <w:tc>
                      <w:tcPr>
                        <w:tcW w:w="2972" w:type="dxa"/>
                        <w:vAlign w:val="center"/>
                      </w:tcPr>
                      <w:p w:rsidR="00F04EEF" w:rsidRDefault="0099351E">
                        <w:pPr>
                          <w:snapToGrid w:val="0"/>
                          <w:rPr>
                            <w:rFonts w:ascii="Arial" w:hAnsi="Arial" w:cs="Arial"/>
                            <w:sz w:val="20"/>
                            <w:szCs w:val="20"/>
                          </w:rPr>
                        </w:pPr>
                        <w:r>
                          <w:rPr>
                            <w:rFonts w:ascii="Arial" w:hAnsi="Arial" w:cs="Arial"/>
                            <w:sz w:val="20"/>
                            <w:szCs w:val="20"/>
                          </w:rPr>
                          <w:t>Centre PMS Communal IV</w:t>
                        </w:r>
                      </w:p>
                    </w:tc>
                    <w:tc>
                      <w:tcPr>
                        <w:tcW w:w="2410" w:type="dxa"/>
                        <w:vAlign w:val="center"/>
                      </w:tcPr>
                      <w:p w:rsidR="00F04EEF" w:rsidRDefault="0099351E">
                        <w:pPr>
                          <w:snapToGrid w:val="0"/>
                          <w:rPr>
                            <w:rFonts w:ascii="Arial" w:hAnsi="Arial" w:cs="Arial"/>
                            <w:sz w:val="20"/>
                            <w:szCs w:val="20"/>
                          </w:rPr>
                        </w:pPr>
                        <w:r>
                          <w:rPr>
                            <w:rFonts w:ascii="Arial" w:hAnsi="Arial" w:cs="Arial"/>
                            <w:sz w:val="20"/>
                            <w:szCs w:val="20"/>
                          </w:rPr>
                          <w:t>Rue Beeckman, 27</w:t>
                        </w:r>
                      </w:p>
                    </w:tc>
                    <w:tc>
                      <w:tcPr>
                        <w:tcW w:w="2126" w:type="dxa"/>
                        <w:vAlign w:val="center"/>
                      </w:tcPr>
                      <w:p w:rsidR="00F04EEF" w:rsidRDefault="0099351E">
                        <w:pPr>
                          <w:snapToGrid w:val="0"/>
                          <w:rPr>
                            <w:rFonts w:ascii="Arial" w:hAnsi="Arial" w:cs="Arial"/>
                            <w:sz w:val="20"/>
                            <w:szCs w:val="20"/>
                          </w:rPr>
                        </w:pPr>
                        <w:r>
                          <w:rPr>
                            <w:rFonts w:ascii="Arial" w:hAnsi="Arial" w:cs="Arial"/>
                            <w:sz w:val="20"/>
                            <w:szCs w:val="20"/>
                          </w:rPr>
                          <w:t>4000 LIEGE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04/222.04.93</w:t>
                        </w:r>
                      </w:p>
                    </w:tc>
                    <w:tc>
                      <w:tcPr>
                        <w:tcW w:w="3649" w:type="dxa"/>
                        <w:vAlign w:val="center"/>
                      </w:tcPr>
                      <w:p w:rsidR="00F04EEF" w:rsidRDefault="0099351E">
                        <w:pPr>
                          <w:snapToGrid w:val="0"/>
                          <w:jc w:val="center"/>
                          <w:rPr>
                            <w:rFonts w:ascii="Arial" w:hAnsi="Arial" w:cs="Arial"/>
                            <w:b/>
                            <w:bCs/>
                            <w:sz w:val="20"/>
                            <w:szCs w:val="20"/>
                          </w:rPr>
                        </w:pPr>
                        <w:r>
                          <w:rPr>
                            <w:rFonts w:ascii="Arial" w:hAnsi="Arial" w:cs="Arial"/>
                            <w:b/>
                            <w:bCs/>
                            <w:sz w:val="20"/>
                            <w:szCs w:val="20"/>
                          </w:rPr>
                          <w:t>Province de Liège</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tcPr>
                      <w:p w:rsidR="00F04EEF" w:rsidRDefault="0099351E">
                        <w:pPr>
                          <w:snapToGrid w:val="0"/>
                          <w:rPr>
                            <w:rFonts w:ascii="Arial" w:hAnsi="Arial" w:cs="Arial"/>
                            <w:sz w:val="20"/>
                            <w:szCs w:val="20"/>
                          </w:rPr>
                        </w:pPr>
                        <w:r>
                          <w:rPr>
                            <w:rFonts w:ascii="Arial" w:hAnsi="Arial" w:cs="Arial"/>
                            <w:sz w:val="20"/>
                            <w:szCs w:val="20"/>
                          </w:rPr>
                          <w:t>Grand’Route, 197</w:t>
                        </w:r>
                      </w:p>
                    </w:tc>
                    <w:tc>
                      <w:tcPr>
                        <w:tcW w:w="2126" w:type="dxa"/>
                      </w:tcPr>
                      <w:p w:rsidR="00F04EEF" w:rsidRDefault="0099351E">
                        <w:pPr>
                          <w:snapToGrid w:val="0"/>
                          <w:rPr>
                            <w:rFonts w:ascii="Arial" w:hAnsi="Arial" w:cs="Arial"/>
                            <w:sz w:val="20"/>
                            <w:szCs w:val="20"/>
                          </w:rPr>
                        </w:pPr>
                        <w:r>
                          <w:rPr>
                            <w:rFonts w:ascii="Arial" w:hAnsi="Arial" w:cs="Arial"/>
                            <w:sz w:val="20"/>
                            <w:szCs w:val="20"/>
                          </w:rPr>
                          <w:t>4400 FLEMALLE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04/233.65.84</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de Liège</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tcPr>
                      <w:p w:rsidR="00F04EEF" w:rsidRDefault="0099351E">
                        <w:pPr>
                          <w:snapToGrid w:val="0"/>
                          <w:rPr>
                            <w:rFonts w:ascii="Arial" w:hAnsi="Arial" w:cs="Arial"/>
                            <w:sz w:val="20"/>
                            <w:szCs w:val="20"/>
                          </w:rPr>
                        </w:pPr>
                        <w:r>
                          <w:rPr>
                            <w:rFonts w:ascii="Arial" w:hAnsi="Arial" w:cs="Arial"/>
                            <w:sz w:val="20"/>
                            <w:szCs w:val="20"/>
                          </w:rPr>
                          <w:t>Rue des Wallons, 42</w:t>
                        </w:r>
                      </w:p>
                    </w:tc>
                    <w:tc>
                      <w:tcPr>
                        <w:tcW w:w="2126" w:type="dxa"/>
                      </w:tcPr>
                      <w:p w:rsidR="00F04EEF" w:rsidRDefault="0099351E">
                        <w:pPr>
                          <w:snapToGrid w:val="0"/>
                          <w:rPr>
                            <w:rFonts w:ascii="Arial" w:hAnsi="Arial" w:cs="Arial"/>
                            <w:sz w:val="20"/>
                            <w:szCs w:val="20"/>
                          </w:rPr>
                        </w:pPr>
                        <w:r>
                          <w:rPr>
                            <w:rFonts w:ascii="Arial" w:hAnsi="Arial" w:cs="Arial"/>
                            <w:sz w:val="20"/>
                            <w:szCs w:val="20"/>
                          </w:rPr>
                          <w:t>4800 VERVIERS</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087/32.10.80</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de Liège</w:t>
                        </w:r>
                      </w:p>
                    </w:tc>
                  </w:tr>
                  <w:tr w:rsidR="00F04EEF">
                    <w:trPr>
                      <w:gridAfter w:val="1"/>
                      <w:wAfter w:w="1665" w:type="dxa"/>
                      <w:cantSplit/>
                      <w:trHeight w:val="397"/>
                    </w:trPr>
                    <w:tc>
                      <w:tcPr>
                        <w:tcW w:w="2972" w:type="dxa"/>
                        <w:vAlign w:val="center"/>
                      </w:tcPr>
                      <w:p w:rsidR="00F04EEF" w:rsidRDefault="0099351E">
                        <w:pPr>
                          <w:snapToGrid w:val="0"/>
                          <w:rPr>
                            <w:rFonts w:ascii="Arial" w:hAnsi="Arial" w:cs="Arial"/>
                            <w:sz w:val="20"/>
                            <w:szCs w:val="20"/>
                          </w:rPr>
                        </w:pPr>
                        <w:r>
                          <w:rPr>
                            <w:rFonts w:ascii="Arial" w:hAnsi="Arial" w:cs="Arial"/>
                            <w:sz w:val="20"/>
                            <w:szCs w:val="20"/>
                          </w:rPr>
                          <w:t>CPMS Spécialisé libre</w:t>
                        </w:r>
                      </w:p>
                    </w:tc>
                    <w:tc>
                      <w:tcPr>
                        <w:tcW w:w="2410" w:type="dxa"/>
                        <w:vAlign w:val="center"/>
                      </w:tcPr>
                      <w:p w:rsidR="00F04EEF" w:rsidRDefault="0099351E">
                        <w:pPr>
                          <w:snapToGrid w:val="0"/>
                          <w:rPr>
                            <w:rFonts w:ascii="Arial" w:hAnsi="Arial" w:cs="Arial"/>
                            <w:sz w:val="20"/>
                            <w:szCs w:val="20"/>
                          </w:rPr>
                        </w:pPr>
                        <w:r>
                          <w:rPr>
                            <w:rFonts w:ascii="Arial" w:hAnsi="Arial" w:cs="Arial"/>
                            <w:sz w:val="20"/>
                            <w:szCs w:val="20"/>
                          </w:rPr>
                          <w:t>Rue du Lombard, 24</w:t>
                        </w:r>
                      </w:p>
                    </w:tc>
                    <w:tc>
                      <w:tcPr>
                        <w:tcW w:w="2126" w:type="dxa"/>
                        <w:vAlign w:val="center"/>
                      </w:tcPr>
                      <w:p w:rsidR="00F04EEF" w:rsidRDefault="0099351E">
                        <w:pPr>
                          <w:snapToGrid w:val="0"/>
                          <w:rPr>
                            <w:rFonts w:ascii="Arial" w:hAnsi="Arial" w:cs="Arial"/>
                            <w:sz w:val="20"/>
                            <w:szCs w:val="20"/>
                          </w:rPr>
                        </w:pPr>
                        <w:r>
                          <w:rPr>
                            <w:rFonts w:ascii="Arial" w:hAnsi="Arial" w:cs="Arial"/>
                            <w:sz w:val="20"/>
                            <w:szCs w:val="20"/>
                          </w:rPr>
                          <w:t>5000 NAMUR</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081/22.90.90</w:t>
                        </w:r>
                      </w:p>
                    </w:tc>
                    <w:tc>
                      <w:tcPr>
                        <w:tcW w:w="3649" w:type="dxa"/>
                        <w:vAlign w:val="center"/>
                      </w:tcPr>
                      <w:p w:rsidR="00F04EEF" w:rsidRDefault="0099351E">
                        <w:pPr>
                          <w:snapToGrid w:val="0"/>
                          <w:jc w:val="center"/>
                          <w:rPr>
                            <w:rFonts w:ascii="Arial" w:hAnsi="Arial" w:cs="Arial"/>
                            <w:b/>
                            <w:bCs/>
                            <w:sz w:val="20"/>
                            <w:szCs w:val="20"/>
                          </w:rPr>
                        </w:pPr>
                        <w:r>
                          <w:rPr>
                            <w:rFonts w:ascii="Arial" w:hAnsi="Arial" w:cs="Arial"/>
                            <w:b/>
                            <w:bCs/>
                            <w:sz w:val="20"/>
                            <w:szCs w:val="20"/>
                          </w:rPr>
                          <w:t>Province de Namur</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tcPr>
                      <w:p w:rsidR="00F04EEF" w:rsidRDefault="0099351E">
                        <w:pPr>
                          <w:snapToGrid w:val="0"/>
                          <w:rPr>
                            <w:rFonts w:ascii="Arial" w:hAnsi="Arial" w:cs="Arial"/>
                            <w:sz w:val="20"/>
                            <w:szCs w:val="20"/>
                          </w:rPr>
                        </w:pPr>
                        <w:r>
                          <w:rPr>
                            <w:rFonts w:ascii="Arial" w:hAnsi="Arial" w:cs="Arial"/>
                            <w:sz w:val="20"/>
                            <w:szCs w:val="20"/>
                          </w:rPr>
                          <w:t>Rue de Géronsart, 160</w:t>
                        </w:r>
                      </w:p>
                    </w:tc>
                    <w:tc>
                      <w:tcPr>
                        <w:tcW w:w="2126" w:type="dxa"/>
                      </w:tcPr>
                      <w:p w:rsidR="00F04EEF" w:rsidRDefault="0099351E">
                        <w:pPr>
                          <w:snapToGrid w:val="0"/>
                          <w:rPr>
                            <w:rFonts w:ascii="Arial" w:hAnsi="Arial" w:cs="Arial"/>
                            <w:sz w:val="20"/>
                            <w:szCs w:val="20"/>
                          </w:rPr>
                        </w:pPr>
                        <w:r>
                          <w:rPr>
                            <w:rFonts w:ascii="Arial" w:hAnsi="Arial" w:cs="Arial"/>
                            <w:sz w:val="20"/>
                            <w:szCs w:val="20"/>
                          </w:rPr>
                          <w:t>5100 JAMBES</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081/33.16.10</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de Namur</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tcPr>
                      <w:p w:rsidR="00F04EEF" w:rsidRDefault="0099351E">
                        <w:pPr>
                          <w:snapToGrid w:val="0"/>
                          <w:rPr>
                            <w:rFonts w:ascii="Arial" w:hAnsi="Arial" w:cs="Arial"/>
                            <w:sz w:val="20"/>
                            <w:szCs w:val="20"/>
                          </w:rPr>
                        </w:pPr>
                        <w:r>
                          <w:rPr>
                            <w:rFonts w:ascii="Arial" w:hAnsi="Arial" w:cs="Arial"/>
                            <w:sz w:val="20"/>
                            <w:szCs w:val="20"/>
                          </w:rPr>
                          <w:t>Rue de la Calamine, 36</w:t>
                        </w:r>
                      </w:p>
                    </w:tc>
                    <w:tc>
                      <w:tcPr>
                        <w:tcW w:w="2126" w:type="dxa"/>
                      </w:tcPr>
                      <w:p w:rsidR="00F04EEF" w:rsidRDefault="0099351E">
                        <w:pPr>
                          <w:snapToGrid w:val="0"/>
                          <w:rPr>
                            <w:rFonts w:ascii="Arial" w:hAnsi="Arial" w:cs="Arial"/>
                            <w:sz w:val="20"/>
                            <w:szCs w:val="20"/>
                          </w:rPr>
                        </w:pPr>
                        <w:r>
                          <w:rPr>
                            <w:rFonts w:ascii="Arial" w:hAnsi="Arial" w:cs="Arial"/>
                            <w:sz w:val="20"/>
                            <w:szCs w:val="20"/>
                          </w:rPr>
                          <w:t>5600 PHILIPPEVILLE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071/66.75.03</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de Namur</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tcPr>
                      <w:p w:rsidR="00F04EEF" w:rsidRDefault="0099351E">
                        <w:pPr>
                          <w:snapToGrid w:val="0"/>
                          <w:rPr>
                            <w:rFonts w:ascii="Arial" w:hAnsi="Arial" w:cs="Arial"/>
                            <w:sz w:val="20"/>
                            <w:szCs w:val="20"/>
                          </w:rPr>
                        </w:pPr>
                        <w:r>
                          <w:rPr>
                            <w:rFonts w:ascii="Arial" w:hAnsi="Arial" w:cs="Arial"/>
                            <w:sz w:val="20"/>
                            <w:szCs w:val="20"/>
                          </w:rPr>
                          <w:t>Rue Mionvaux, 35</w:t>
                        </w:r>
                      </w:p>
                    </w:tc>
                    <w:tc>
                      <w:tcPr>
                        <w:tcW w:w="2126" w:type="dxa"/>
                      </w:tcPr>
                      <w:p w:rsidR="00F04EEF" w:rsidRDefault="0099351E">
                        <w:pPr>
                          <w:snapToGrid w:val="0"/>
                          <w:rPr>
                            <w:rFonts w:ascii="Arial" w:hAnsi="Arial" w:cs="Arial"/>
                            <w:sz w:val="20"/>
                            <w:szCs w:val="20"/>
                          </w:rPr>
                        </w:pPr>
                        <w:r>
                          <w:rPr>
                            <w:rFonts w:ascii="Arial" w:hAnsi="Arial" w:cs="Arial"/>
                            <w:sz w:val="20"/>
                            <w:szCs w:val="20"/>
                          </w:rPr>
                          <w:t>6900 MARLOIE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084/31.26.54</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Luxembourg</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Spécialisé provincial</w:t>
                        </w:r>
                      </w:p>
                    </w:tc>
                    <w:tc>
                      <w:tcPr>
                        <w:tcW w:w="2410" w:type="dxa"/>
                      </w:tcPr>
                      <w:p w:rsidR="00F04EEF" w:rsidRDefault="0099351E">
                        <w:pPr>
                          <w:snapToGrid w:val="0"/>
                          <w:rPr>
                            <w:rFonts w:ascii="Arial" w:hAnsi="Arial" w:cs="Arial"/>
                            <w:sz w:val="20"/>
                            <w:szCs w:val="20"/>
                          </w:rPr>
                        </w:pPr>
                        <w:r>
                          <w:rPr>
                            <w:rFonts w:ascii="Arial" w:hAnsi="Arial" w:cs="Arial"/>
                            <w:sz w:val="20"/>
                            <w:szCs w:val="20"/>
                          </w:rPr>
                          <w:t>Avenue M. Meurée, 24</w:t>
                        </w:r>
                      </w:p>
                    </w:tc>
                    <w:tc>
                      <w:tcPr>
                        <w:tcW w:w="2126" w:type="dxa"/>
                      </w:tcPr>
                      <w:p w:rsidR="00F04EEF" w:rsidRDefault="0099351E">
                        <w:pPr>
                          <w:snapToGrid w:val="0"/>
                          <w:rPr>
                            <w:rFonts w:ascii="Arial" w:hAnsi="Arial" w:cs="Arial"/>
                            <w:sz w:val="20"/>
                            <w:szCs w:val="20"/>
                          </w:rPr>
                        </w:pPr>
                        <w:r>
                          <w:rPr>
                            <w:rFonts w:ascii="Arial" w:hAnsi="Arial" w:cs="Arial"/>
                            <w:sz w:val="20"/>
                            <w:szCs w:val="20"/>
                          </w:rPr>
                          <w:t>6001 MARCINELLE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071/43.32.83</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Hainaut</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tcPr>
                      <w:p w:rsidR="00F04EEF" w:rsidRDefault="0099351E">
                        <w:pPr>
                          <w:snapToGrid w:val="0"/>
                          <w:rPr>
                            <w:rFonts w:ascii="Arial" w:hAnsi="Arial" w:cs="Arial"/>
                            <w:sz w:val="20"/>
                            <w:szCs w:val="20"/>
                          </w:rPr>
                        </w:pPr>
                        <w:r>
                          <w:rPr>
                            <w:rFonts w:ascii="Arial" w:hAnsi="Arial" w:cs="Arial"/>
                            <w:sz w:val="20"/>
                            <w:szCs w:val="20"/>
                          </w:rPr>
                          <w:t>Rue des Gravelles, 49</w:t>
                        </w:r>
                      </w:p>
                    </w:tc>
                    <w:tc>
                      <w:tcPr>
                        <w:tcW w:w="2126" w:type="dxa"/>
                      </w:tcPr>
                      <w:p w:rsidR="00F04EEF" w:rsidRDefault="0099351E">
                        <w:pPr>
                          <w:snapToGrid w:val="0"/>
                          <w:rPr>
                            <w:rFonts w:ascii="Arial" w:hAnsi="Arial" w:cs="Arial"/>
                            <w:sz w:val="20"/>
                            <w:szCs w:val="20"/>
                          </w:rPr>
                        </w:pPr>
                        <w:r>
                          <w:rPr>
                            <w:rFonts w:ascii="Arial" w:hAnsi="Arial" w:cs="Arial"/>
                            <w:sz w:val="20"/>
                            <w:szCs w:val="20"/>
                          </w:rPr>
                          <w:t>6200 CHATELET</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071/38.86.56</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Hainaut</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de la Communauté française</w:t>
                        </w:r>
                      </w:p>
                    </w:tc>
                    <w:tc>
                      <w:tcPr>
                        <w:tcW w:w="2410" w:type="dxa"/>
                      </w:tcPr>
                      <w:p w:rsidR="00F04EEF" w:rsidRDefault="0099351E">
                        <w:pPr>
                          <w:snapToGrid w:val="0"/>
                          <w:rPr>
                            <w:rFonts w:ascii="Arial" w:hAnsi="Arial" w:cs="Arial"/>
                            <w:sz w:val="20"/>
                            <w:szCs w:val="20"/>
                          </w:rPr>
                        </w:pPr>
                        <w:r>
                          <w:rPr>
                            <w:rFonts w:ascii="Arial" w:hAnsi="Arial" w:cs="Arial"/>
                            <w:sz w:val="20"/>
                            <w:szCs w:val="20"/>
                          </w:rPr>
                          <w:t>Chaussée du Roeulx, 122</w:t>
                        </w:r>
                      </w:p>
                    </w:tc>
                    <w:tc>
                      <w:tcPr>
                        <w:tcW w:w="2126" w:type="dxa"/>
                      </w:tcPr>
                      <w:p w:rsidR="00F04EEF" w:rsidRDefault="0099351E">
                        <w:pPr>
                          <w:snapToGrid w:val="0"/>
                          <w:rPr>
                            <w:rFonts w:ascii="Arial" w:hAnsi="Arial" w:cs="Arial"/>
                            <w:sz w:val="20"/>
                            <w:szCs w:val="20"/>
                          </w:rPr>
                        </w:pPr>
                        <w:r>
                          <w:rPr>
                            <w:rFonts w:ascii="Arial" w:hAnsi="Arial" w:cs="Arial"/>
                            <w:sz w:val="20"/>
                            <w:szCs w:val="20"/>
                          </w:rPr>
                          <w:t>7000 MONS</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065/35.36.53</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Hainaut</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Spécialisé provincial</w:t>
                        </w:r>
                      </w:p>
                    </w:tc>
                    <w:tc>
                      <w:tcPr>
                        <w:tcW w:w="2410" w:type="dxa"/>
                      </w:tcPr>
                      <w:p w:rsidR="00F04EEF" w:rsidRDefault="0099351E">
                        <w:pPr>
                          <w:snapToGrid w:val="0"/>
                          <w:rPr>
                            <w:rFonts w:ascii="Arial" w:hAnsi="Arial" w:cs="Arial"/>
                            <w:sz w:val="20"/>
                            <w:szCs w:val="20"/>
                          </w:rPr>
                        </w:pPr>
                        <w:r>
                          <w:rPr>
                            <w:rFonts w:ascii="Arial" w:hAnsi="Arial" w:cs="Arial"/>
                            <w:sz w:val="20"/>
                            <w:szCs w:val="20"/>
                          </w:rPr>
                          <w:t>Rue Paul Pastur, 33</w:t>
                        </w:r>
                      </w:p>
                    </w:tc>
                    <w:tc>
                      <w:tcPr>
                        <w:tcW w:w="2126" w:type="dxa"/>
                      </w:tcPr>
                      <w:p w:rsidR="00F04EEF" w:rsidRDefault="0099351E">
                        <w:pPr>
                          <w:snapToGrid w:val="0"/>
                          <w:rPr>
                            <w:rFonts w:ascii="Arial" w:hAnsi="Arial" w:cs="Arial"/>
                            <w:sz w:val="20"/>
                            <w:szCs w:val="20"/>
                          </w:rPr>
                        </w:pPr>
                        <w:r>
                          <w:rPr>
                            <w:rFonts w:ascii="Arial" w:hAnsi="Arial" w:cs="Arial"/>
                            <w:sz w:val="20"/>
                            <w:szCs w:val="20"/>
                          </w:rPr>
                          <w:t>7100 LA LOUVIERE</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064/22.53.45</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Hainaut</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Spécialisé libre</w:t>
                        </w:r>
                      </w:p>
                    </w:tc>
                    <w:tc>
                      <w:tcPr>
                        <w:tcW w:w="2410" w:type="dxa"/>
                      </w:tcPr>
                      <w:p w:rsidR="00F04EEF" w:rsidRDefault="0099351E">
                        <w:pPr>
                          <w:snapToGrid w:val="0"/>
                          <w:rPr>
                            <w:rFonts w:ascii="Arial" w:hAnsi="Arial" w:cs="Arial"/>
                            <w:sz w:val="20"/>
                            <w:szCs w:val="20"/>
                          </w:rPr>
                        </w:pPr>
                        <w:r>
                          <w:rPr>
                            <w:rFonts w:ascii="Arial" w:hAnsi="Arial" w:cs="Arial"/>
                            <w:sz w:val="20"/>
                            <w:szCs w:val="20"/>
                          </w:rPr>
                          <w:t>Rue des Jésuites, 29</w:t>
                        </w:r>
                      </w:p>
                    </w:tc>
                    <w:tc>
                      <w:tcPr>
                        <w:tcW w:w="2126" w:type="dxa"/>
                      </w:tcPr>
                      <w:p w:rsidR="00F04EEF" w:rsidRDefault="0099351E">
                        <w:pPr>
                          <w:snapToGrid w:val="0"/>
                          <w:rPr>
                            <w:rFonts w:ascii="Arial" w:hAnsi="Arial" w:cs="Arial"/>
                            <w:sz w:val="20"/>
                            <w:szCs w:val="20"/>
                          </w:rPr>
                        </w:pPr>
                        <w:r>
                          <w:rPr>
                            <w:rFonts w:ascii="Arial" w:hAnsi="Arial" w:cs="Arial"/>
                            <w:sz w:val="20"/>
                            <w:szCs w:val="20"/>
                          </w:rPr>
                          <w:t>7500 TOURNAI</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069/22.03.73</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Hainaut</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Spécialisé libre</w:t>
                        </w:r>
                      </w:p>
                    </w:tc>
                    <w:tc>
                      <w:tcPr>
                        <w:tcW w:w="2410" w:type="dxa"/>
                      </w:tcPr>
                      <w:p w:rsidR="00F04EEF" w:rsidRDefault="0099351E">
                        <w:pPr>
                          <w:snapToGrid w:val="0"/>
                          <w:rPr>
                            <w:rFonts w:ascii="Arial" w:hAnsi="Arial" w:cs="Arial"/>
                            <w:sz w:val="20"/>
                            <w:szCs w:val="20"/>
                          </w:rPr>
                        </w:pPr>
                        <w:r>
                          <w:rPr>
                            <w:rFonts w:ascii="Arial" w:hAnsi="Arial" w:cs="Arial"/>
                            <w:sz w:val="20"/>
                            <w:szCs w:val="20"/>
                          </w:rPr>
                          <w:t>Rue du Luxembourg, 37</w:t>
                        </w:r>
                      </w:p>
                    </w:tc>
                    <w:tc>
                      <w:tcPr>
                        <w:tcW w:w="2126" w:type="dxa"/>
                      </w:tcPr>
                      <w:p w:rsidR="00F04EEF" w:rsidRDefault="0099351E">
                        <w:pPr>
                          <w:snapToGrid w:val="0"/>
                          <w:rPr>
                            <w:rFonts w:ascii="Arial" w:hAnsi="Arial" w:cs="Arial"/>
                            <w:sz w:val="20"/>
                            <w:szCs w:val="20"/>
                          </w:rPr>
                        </w:pPr>
                        <w:r>
                          <w:rPr>
                            <w:rFonts w:ascii="Arial" w:hAnsi="Arial" w:cs="Arial"/>
                            <w:sz w:val="20"/>
                            <w:szCs w:val="20"/>
                          </w:rPr>
                          <w:t>7700 MOUSCRON</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056/34.70.06</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Hainaut</w:t>
                        </w:r>
                      </w:p>
                    </w:tc>
                  </w:tr>
                  <w:tr w:rsidR="00F04EEF">
                    <w:trPr>
                      <w:gridAfter w:val="1"/>
                      <w:wAfter w:w="1665" w:type="dxa"/>
                      <w:cantSplit/>
                      <w:trHeight w:val="397"/>
                    </w:trPr>
                    <w:tc>
                      <w:tcPr>
                        <w:tcW w:w="2972" w:type="dxa"/>
                      </w:tcPr>
                      <w:p w:rsidR="00F04EEF" w:rsidRDefault="0099351E">
                        <w:pPr>
                          <w:snapToGrid w:val="0"/>
                          <w:rPr>
                            <w:rFonts w:ascii="Arial" w:hAnsi="Arial" w:cs="Arial"/>
                            <w:sz w:val="20"/>
                            <w:szCs w:val="20"/>
                          </w:rPr>
                        </w:pPr>
                        <w:r>
                          <w:rPr>
                            <w:rFonts w:ascii="Arial" w:hAnsi="Arial" w:cs="Arial"/>
                            <w:sz w:val="20"/>
                            <w:szCs w:val="20"/>
                          </w:rPr>
                          <w:t>CPMS Spécialisé libre</w:t>
                        </w:r>
                      </w:p>
                    </w:tc>
                    <w:tc>
                      <w:tcPr>
                        <w:tcW w:w="2410" w:type="dxa"/>
                      </w:tcPr>
                      <w:p w:rsidR="00F04EEF" w:rsidRDefault="0099351E">
                        <w:pPr>
                          <w:snapToGrid w:val="0"/>
                          <w:rPr>
                            <w:rFonts w:ascii="Arial" w:hAnsi="Arial" w:cs="Arial"/>
                            <w:sz w:val="20"/>
                            <w:szCs w:val="20"/>
                          </w:rPr>
                        </w:pPr>
                        <w:r>
                          <w:rPr>
                            <w:rFonts w:ascii="Arial" w:hAnsi="Arial" w:cs="Arial"/>
                            <w:sz w:val="20"/>
                            <w:szCs w:val="20"/>
                          </w:rPr>
                          <w:t>Ch. de Valenciennes, 199</w:t>
                        </w:r>
                      </w:p>
                    </w:tc>
                    <w:tc>
                      <w:tcPr>
                        <w:tcW w:w="2126" w:type="dxa"/>
                      </w:tcPr>
                      <w:p w:rsidR="00F04EEF" w:rsidRDefault="0099351E">
                        <w:pPr>
                          <w:snapToGrid w:val="0"/>
                          <w:rPr>
                            <w:rFonts w:ascii="Arial" w:hAnsi="Arial" w:cs="Arial"/>
                            <w:sz w:val="20"/>
                            <w:szCs w:val="20"/>
                          </w:rPr>
                        </w:pPr>
                        <w:r>
                          <w:rPr>
                            <w:rFonts w:ascii="Arial" w:hAnsi="Arial" w:cs="Arial"/>
                            <w:sz w:val="20"/>
                            <w:szCs w:val="20"/>
                          </w:rPr>
                          <w:t>7801 IRCHONWELZ</w:t>
                        </w:r>
                      </w:p>
                    </w:tc>
                    <w:tc>
                      <w:tcPr>
                        <w:tcW w:w="1454" w:type="dxa"/>
                      </w:tcPr>
                      <w:p w:rsidR="00F04EEF" w:rsidRDefault="0099351E">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068/66.55.30</w:t>
                        </w:r>
                      </w:p>
                    </w:tc>
                    <w:tc>
                      <w:tcPr>
                        <w:tcW w:w="3649" w:type="dxa"/>
                      </w:tcPr>
                      <w:p w:rsidR="00F04EEF" w:rsidRDefault="0099351E">
                        <w:pPr>
                          <w:snapToGrid w:val="0"/>
                          <w:jc w:val="center"/>
                          <w:rPr>
                            <w:rFonts w:ascii="Arial" w:hAnsi="Arial" w:cs="Arial"/>
                            <w:b/>
                            <w:bCs/>
                            <w:sz w:val="20"/>
                            <w:szCs w:val="20"/>
                          </w:rPr>
                        </w:pPr>
                        <w:r>
                          <w:rPr>
                            <w:rFonts w:ascii="Arial" w:hAnsi="Arial" w:cs="Arial"/>
                            <w:b/>
                            <w:bCs/>
                            <w:sz w:val="20"/>
                            <w:szCs w:val="20"/>
                          </w:rPr>
                          <w:t>Province du Hainaut</w:t>
                        </w:r>
                      </w:p>
                    </w:tc>
                  </w:tr>
                </w:tbl>
                <w:p w:rsidR="00F04EEF" w:rsidRDefault="0099351E">
                  <w:pPr>
                    <w:pStyle w:val="Titre4"/>
                  </w:pPr>
                  <w:bookmarkStart w:id="3557" w:name="_Annexe_4_:_3"/>
                  <w:bookmarkStart w:id="3558" w:name="_Toc9428425"/>
                  <w:bookmarkEnd w:id="3557"/>
                  <w:r>
                    <w:t xml:space="preserve">Annexe 4 : Liste des centres psycho-médico-sociaux </w:t>
                  </w:r>
                  <w:bookmarkEnd w:id="3558"/>
                  <w:r>
                    <w:t xml:space="preserve">MIXTES </w:t>
                  </w:r>
                </w:p>
                <w:p w:rsidR="00F04EEF" w:rsidRDefault="00F04E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861"/>
                    <w:gridCol w:w="2487"/>
                    <w:gridCol w:w="1806"/>
                    <w:gridCol w:w="2759"/>
                    <w:gridCol w:w="1638"/>
                  </w:tblGrid>
                  <w:tr w:rsidR="00F04EEF">
                    <w:trPr>
                      <w:cantSplit/>
                      <w:trHeight w:val="589"/>
                    </w:trPr>
                    <w:tc>
                      <w:tcPr>
                        <w:tcW w:w="14276" w:type="dxa"/>
                        <w:gridSpan w:val="6"/>
                        <w:shd w:val="clear" w:color="auto" w:fill="EEECE1" w:themeFill="background2"/>
                      </w:tcPr>
                      <w:p w:rsidR="00F04EEF" w:rsidRDefault="0099351E">
                        <w:pPr>
                          <w:jc w:val="center"/>
                          <w:rPr>
                            <w:rFonts w:ascii="Georgia" w:hAnsi="Georgia" w:cs="Arial"/>
                            <w:b/>
                          </w:rPr>
                        </w:pPr>
                        <w:bookmarkStart w:id="3559" w:name="_Annexe_5:_Liste"/>
                        <w:bookmarkEnd w:id="3559"/>
                        <w:r>
                          <w:rPr>
                            <w:rFonts w:cs="Arial"/>
                            <w:b/>
                            <w:bCs/>
                            <w:sz w:val="36"/>
                            <w:szCs w:val="36"/>
                          </w:rPr>
                          <w:t>CPMS MIXTES</w:t>
                        </w:r>
                      </w:p>
                    </w:tc>
                  </w:tr>
                  <w:tr w:rsidR="00F04EEF">
                    <w:trPr>
                      <w:gridAfter w:val="1"/>
                      <w:wAfter w:w="1638" w:type="dxa"/>
                      <w:cantSplit/>
                      <w:trHeight w:val="397"/>
                    </w:trPr>
                    <w:tc>
                      <w:tcPr>
                        <w:tcW w:w="2725" w:type="dxa"/>
                        <w:vAlign w:val="center"/>
                      </w:tcPr>
                      <w:p w:rsidR="00F04EEF" w:rsidRDefault="0099351E">
                        <w:pPr>
                          <w:jc w:val="center"/>
                          <w:rPr>
                            <w:rFonts w:ascii="Georgia" w:hAnsi="Georgia" w:cs="Arial"/>
                            <w:b/>
                          </w:rPr>
                        </w:pPr>
                        <w:r>
                          <w:rPr>
                            <w:rFonts w:ascii="Georgia" w:hAnsi="Georgia" w:cs="Arial"/>
                            <w:b/>
                          </w:rPr>
                          <w:t>Nom</w:t>
                        </w:r>
                      </w:p>
                    </w:tc>
                    <w:tc>
                      <w:tcPr>
                        <w:tcW w:w="2861" w:type="dxa"/>
                        <w:vAlign w:val="center"/>
                      </w:tcPr>
                      <w:p w:rsidR="00F04EEF" w:rsidRDefault="0099351E">
                        <w:pPr>
                          <w:jc w:val="center"/>
                          <w:rPr>
                            <w:rFonts w:ascii="Georgia" w:hAnsi="Georgia" w:cs="Arial"/>
                            <w:b/>
                          </w:rPr>
                        </w:pPr>
                        <w:r>
                          <w:rPr>
                            <w:rFonts w:ascii="Georgia" w:hAnsi="Georgia" w:cs="Arial"/>
                            <w:b/>
                          </w:rPr>
                          <w:t>Adresse</w:t>
                        </w:r>
                      </w:p>
                    </w:tc>
                    <w:tc>
                      <w:tcPr>
                        <w:tcW w:w="2487" w:type="dxa"/>
                        <w:vAlign w:val="center"/>
                      </w:tcPr>
                      <w:p w:rsidR="00F04EEF" w:rsidRDefault="0099351E">
                        <w:pPr>
                          <w:jc w:val="center"/>
                          <w:rPr>
                            <w:rFonts w:ascii="Georgia" w:hAnsi="Georgia" w:cs="Arial"/>
                            <w:b/>
                          </w:rPr>
                        </w:pPr>
                        <w:r>
                          <w:rPr>
                            <w:rFonts w:ascii="Georgia" w:hAnsi="Georgia" w:cs="Arial"/>
                            <w:b/>
                          </w:rPr>
                          <w:t>Localité</w:t>
                        </w:r>
                      </w:p>
                    </w:tc>
                    <w:tc>
                      <w:tcPr>
                        <w:tcW w:w="1806" w:type="dxa"/>
                      </w:tcPr>
                      <w:p w:rsidR="00F04EEF" w:rsidRDefault="0099351E">
                        <w:pPr>
                          <w:spacing w:before="120"/>
                          <w:jc w:val="center"/>
                          <w:rPr>
                            <w:rFonts w:ascii="Georgia" w:hAnsi="Georgia" w:cs="Arial"/>
                            <w:b/>
                          </w:rPr>
                        </w:pPr>
                        <w:r>
                          <w:rPr>
                            <w:rFonts w:ascii="Georgia" w:hAnsi="Georgia" w:cs="Arial"/>
                            <w:b/>
                          </w:rPr>
                          <w:t>Tel.</w:t>
                        </w:r>
                      </w:p>
                    </w:tc>
                    <w:tc>
                      <w:tcPr>
                        <w:tcW w:w="2759" w:type="dxa"/>
                        <w:vAlign w:val="center"/>
                      </w:tcPr>
                      <w:p w:rsidR="00F04EEF" w:rsidRDefault="0099351E">
                        <w:pPr>
                          <w:jc w:val="center"/>
                          <w:rPr>
                            <w:rFonts w:ascii="Georgia" w:hAnsi="Georgia" w:cs="Arial"/>
                            <w:b/>
                          </w:rPr>
                        </w:pPr>
                        <w:r>
                          <w:rPr>
                            <w:rFonts w:ascii="Georgia" w:hAnsi="Georgia" w:cs="Arial"/>
                            <w:b/>
                          </w:rPr>
                          <w:t>Arrondissement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COCOF 1</w:t>
                        </w:r>
                      </w:p>
                    </w:tc>
                    <w:tc>
                      <w:tcPr>
                        <w:tcW w:w="2861" w:type="dxa"/>
                        <w:vAlign w:val="center"/>
                      </w:tcPr>
                      <w:p w:rsidR="00F04EEF" w:rsidRDefault="0099351E">
                        <w:pPr>
                          <w:snapToGrid w:val="0"/>
                          <w:rPr>
                            <w:rFonts w:ascii="Georgia" w:hAnsi="Georgia" w:cs="Arial"/>
                          </w:rPr>
                        </w:pPr>
                        <w:r>
                          <w:rPr>
                            <w:rFonts w:ascii="Georgia" w:hAnsi="Georgia" w:cs="Arial"/>
                          </w:rPr>
                          <w:t>Rue du Meiboom, 14 – 3ème étage</w:t>
                        </w:r>
                      </w:p>
                    </w:tc>
                    <w:tc>
                      <w:tcPr>
                        <w:tcW w:w="2487" w:type="dxa"/>
                        <w:vAlign w:val="center"/>
                      </w:tcPr>
                      <w:p w:rsidR="00F04EEF" w:rsidRDefault="0099351E">
                        <w:pPr>
                          <w:snapToGrid w:val="0"/>
                          <w:rPr>
                            <w:rFonts w:ascii="Georgia" w:hAnsi="Georgia" w:cs="Arial"/>
                          </w:rPr>
                        </w:pPr>
                        <w:r>
                          <w:rPr>
                            <w:rFonts w:ascii="Georgia" w:hAnsi="Georgia" w:cs="Arial"/>
                          </w:rPr>
                          <w:t>1000 BRUXELLES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02/800.86.60</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COCOF 2</w:t>
                        </w:r>
                      </w:p>
                    </w:tc>
                    <w:tc>
                      <w:tcPr>
                        <w:tcW w:w="2861" w:type="dxa"/>
                        <w:vAlign w:val="center"/>
                      </w:tcPr>
                      <w:p w:rsidR="00F04EEF" w:rsidRDefault="0099351E">
                        <w:pPr>
                          <w:snapToGrid w:val="0"/>
                          <w:rPr>
                            <w:rFonts w:ascii="Georgia" w:hAnsi="Georgia" w:cs="Arial"/>
                          </w:rPr>
                        </w:pPr>
                        <w:r>
                          <w:rPr>
                            <w:rFonts w:ascii="Georgia" w:hAnsi="Georgia" w:cs="Arial"/>
                          </w:rPr>
                          <w:t>Rue du Meiboom, 14 – 4ème étage</w:t>
                        </w:r>
                      </w:p>
                    </w:tc>
                    <w:tc>
                      <w:tcPr>
                        <w:tcW w:w="2487" w:type="dxa"/>
                        <w:vAlign w:val="center"/>
                      </w:tcPr>
                      <w:p w:rsidR="00F04EEF" w:rsidRDefault="0099351E">
                        <w:pPr>
                          <w:snapToGrid w:val="0"/>
                          <w:rPr>
                            <w:rFonts w:ascii="Georgia" w:hAnsi="Georgia" w:cs="Arial"/>
                          </w:rPr>
                        </w:pPr>
                        <w:r>
                          <w:rPr>
                            <w:rFonts w:ascii="Georgia" w:hAnsi="Georgia" w:cs="Arial"/>
                          </w:rPr>
                          <w:t>1000 BRUXELLES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02/800.86.77</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COCOF 3</w:t>
                        </w:r>
                      </w:p>
                    </w:tc>
                    <w:tc>
                      <w:tcPr>
                        <w:tcW w:w="2861" w:type="dxa"/>
                        <w:vAlign w:val="center"/>
                      </w:tcPr>
                      <w:p w:rsidR="00F04EEF" w:rsidRDefault="0099351E">
                        <w:pPr>
                          <w:snapToGrid w:val="0"/>
                          <w:rPr>
                            <w:rFonts w:ascii="Georgia" w:hAnsi="Georgia" w:cs="Arial"/>
                          </w:rPr>
                        </w:pPr>
                        <w:r>
                          <w:rPr>
                            <w:rFonts w:ascii="Georgia" w:hAnsi="Georgia" w:cs="Arial"/>
                          </w:rPr>
                          <w:t>Rue du Meiboom, 14 – 4ème étage</w:t>
                        </w:r>
                      </w:p>
                    </w:tc>
                    <w:tc>
                      <w:tcPr>
                        <w:tcW w:w="2487" w:type="dxa"/>
                        <w:vAlign w:val="center"/>
                      </w:tcPr>
                      <w:p w:rsidR="00F04EEF" w:rsidRDefault="0099351E">
                        <w:pPr>
                          <w:snapToGrid w:val="0"/>
                          <w:rPr>
                            <w:rFonts w:ascii="Georgia" w:hAnsi="Georgia" w:cs="Arial"/>
                          </w:rPr>
                        </w:pPr>
                        <w:r>
                          <w:rPr>
                            <w:rFonts w:ascii="Georgia" w:hAnsi="Georgia" w:cs="Arial"/>
                          </w:rPr>
                          <w:t>1000 BRUXELLES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02/800.86.81</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COCOF 4</w:t>
                        </w:r>
                      </w:p>
                    </w:tc>
                    <w:tc>
                      <w:tcPr>
                        <w:tcW w:w="2861" w:type="dxa"/>
                        <w:vAlign w:val="center"/>
                      </w:tcPr>
                      <w:p w:rsidR="00F04EEF" w:rsidRDefault="0099351E">
                        <w:pPr>
                          <w:snapToGrid w:val="0"/>
                          <w:rPr>
                            <w:rFonts w:ascii="Georgia" w:hAnsi="Georgia" w:cs="Arial"/>
                          </w:rPr>
                        </w:pPr>
                        <w:r>
                          <w:rPr>
                            <w:rFonts w:ascii="Georgia" w:hAnsi="Georgia" w:cs="Arial"/>
                          </w:rPr>
                          <w:t>Rue du Meiboom, 14 – 3ème étage</w:t>
                        </w:r>
                      </w:p>
                    </w:tc>
                    <w:tc>
                      <w:tcPr>
                        <w:tcW w:w="2487" w:type="dxa"/>
                        <w:vAlign w:val="center"/>
                      </w:tcPr>
                      <w:p w:rsidR="00F04EEF" w:rsidRDefault="0099351E">
                        <w:pPr>
                          <w:snapToGrid w:val="0"/>
                          <w:rPr>
                            <w:rFonts w:ascii="Georgia" w:hAnsi="Georgia" w:cs="Arial"/>
                          </w:rPr>
                        </w:pPr>
                        <w:r>
                          <w:rPr>
                            <w:rFonts w:ascii="Georgia" w:hAnsi="Georgia" w:cs="Arial"/>
                          </w:rPr>
                          <w:t>1000 BRUXELLES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02/800.86.45</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COCOF 5</w:t>
                        </w:r>
                      </w:p>
                    </w:tc>
                    <w:tc>
                      <w:tcPr>
                        <w:tcW w:w="2861" w:type="dxa"/>
                        <w:vAlign w:val="center"/>
                      </w:tcPr>
                      <w:p w:rsidR="00F04EEF" w:rsidRDefault="0099351E">
                        <w:pPr>
                          <w:snapToGrid w:val="0"/>
                          <w:rPr>
                            <w:rFonts w:ascii="Georgia" w:hAnsi="Georgia" w:cs="Arial"/>
                          </w:rPr>
                        </w:pPr>
                        <w:r>
                          <w:rPr>
                            <w:rFonts w:ascii="Georgia" w:hAnsi="Georgia" w:cs="Arial"/>
                          </w:rPr>
                          <w:t>Rue du Meiboom, 14 – 6</w:t>
                        </w:r>
                        <w:r>
                          <w:rPr>
                            <w:rFonts w:ascii="Georgia" w:hAnsi="Georgia" w:cs="Arial"/>
                            <w:vertAlign w:val="superscript"/>
                          </w:rPr>
                          <w:t>ème</w:t>
                        </w:r>
                        <w:r>
                          <w:rPr>
                            <w:rFonts w:ascii="Georgia" w:hAnsi="Georgia" w:cs="Arial"/>
                          </w:rPr>
                          <w:t xml:space="preserve"> étage</w:t>
                        </w:r>
                      </w:p>
                    </w:tc>
                    <w:tc>
                      <w:tcPr>
                        <w:tcW w:w="2487" w:type="dxa"/>
                        <w:vAlign w:val="center"/>
                      </w:tcPr>
                      <w:p w:rsidR="00F04EEF" w:rsidRDefault="0099351E">
                        <w:pPr>
                          <w:snapToGrid w:val="0"/>
                          <w:rPr>
                            <w:rFonts w:ascii="Georgia" w:hAnsi="Georgia" w:cs="Arial"/>
                          </w:rPr>
                        </w:pPr>
                        <w:r>
                          <w:rPr>
                            <w:rFonts w:ascii="Georgia" w:hAnsi="Georgia" w:cs="Arial"/>
                          </w:rPr>
                          <w:t>1001 BRUXELLES</w:t>
                        </w:r>
                      </w:p>
                    </w:tc>
                    <w:tc>
                      <w:tcPr>
                        <w:tcW w:w="1806"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02/800.86.81</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Communal I</w:t>
                        </w:r>
                      </w:p>
                    </w:tc>
                    <w:tc>
                      <w:tcPr>
                        <w:tcW w:w="2861" w:type="dxa"/>
                        <w:vAlign w:val="center"/>
                      </w:tcPr>
                      <w:p w:rsidR="00F04EEF" w:rsidRDefault="0099351E">
                        <w:pPr>
                          <w:snapToGrid w:val="0"/>
                          <w:rPr>
                            <w:rFonts w:ascii="Georgia" w:hAnsi="Georgia" w:cs="Arial"/>
                          </w:rPr>
                        </w:pPr>
                        <w:r>
                          <w:rPr>
                            <w:rFonts w:ascii="Georgia" w:hAnsi="Georgia" w:cs="Arial"/>
                          </w:rPr>
                          <w:t>Rue Vifquin, 2</w:t>
                        </w:r>
                      </w:p>
                    </w:tc>
                    <w:tc>
                      <w:tcPr>
                        <w:tcW w:w="2487" w:type="dxa"/>
                        <w:vAlign w:val="center"/>
                      </w:tcPr>
                      <w:p w:rsidR="00F04EEF" w:rsidRDefault="0099351E">
                        <w:pPr>
                          <w:snapToGrid w:val="0"/>
                          <w:rPr>
                            <w:rFonts w:ascii="Georgia" w:hAnsi="Georgia" w:cs="Arial"/>
                          </w:rPr>
                        </w:pPr>
                        <w:r>
                          <w:rPr>
                            <w:rFonts w:ascii="Georgia" w:hAnsi="Georgia" w:cs="Arial"/>
                          </w:rPr>
                          <w:t>1030 SCHAERBEEK</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02/240.32.64</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de la Communauté française</w:t>
                        </w:r>
                      </w:p>
                    </w:tc>
                    <w:tc>
                      <w:tcPr>
                        <w:tcW w:w="2861" w:type="dxa"/>
                        <w:vAlign w:val="center"/>
                      </w:tcPr>
                      <w:p w:rsidR="00F04EEF" w:rsidRDefault="0099351E">
                        <w:pPr>
                          <w:snapToGrid w:val="0"/>
                          <w:rPr>
                            <w:rFonts w:ascii="Georgia" w:hAnsi="Georgia" w:cs="Arial"/>
                          </w:rPr>
                        </w:pPr>
                        <w:r>
                          <w:rPr>
                            <w:rFonts w:ascii="Georgia" w:hAnsi="Georgia" w:cs="Arial"/>
                          </w:rPr>
                          <w:t>Avenue de l’Armée, 117</w:t>
                        </w:r>
                      </w:p>
                    </w:tc>
                    <w:tc>
                      <w:tcPr>
                        <w:tcW w:w="2487" w:type="dxa"/>
                        <w:vAlign w:val="center"/>
                      </w:tcPr>
                      <w:p w:rsidR="00F04EEF" w:rsidRDefault="0099351E">
                        <w:pPr>
                          <w:snapToGrid w:val="0"/>
                          <w:rPr>
                            <w:rFonts w:ascii="Georgia" w:hAnsi="Georgia" w:cs="Arial"/>
                          </w:rPr>
                        </w:pPr>
                        <w:r>
                          <w:rPr>
                            <w:rFonts w:ascii="Georgia" w:hAnsi="Georgia" w:cs="Arial"/>
                          </w:rPr>
                          <w:t>1040 ETTERBEEK</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02/734.44.38</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Communal</w:t>
                        </w:r>
                      </w:p>
                    </w:tc>
                    <w:tc>
                      <w:tcPr>
                        <w:tcW w:w="2861" w:type="dxa"/>
                        <w:vAlign w:val="center"/>
                      </w:tcPr>
                      <w:p w:rsidR="00F04EEF" w:rsidRDefault="0099351E">
                        <w:pPr>
                          <w:snapToGrid w:val="0"/>
                          <w:rPr>
                            <w:rFonts w:ascii="Georgia" w:hAnsi="Georgia" w:cs="Arial"/>
                          </w:rPr>
                        </w:pPr>
                        <w:r>
                          <w:rPr>
                            <w:rFonts w:ascii="Georgia" w:hAnsi="Georgia" w:cs="Arial"/>
                          </w:rPr>
                          <w:t>Rue Fétis, 37</w:t>
                        </w:r>
                      </w:p>
                    </w:tc>
                    <w:tc>
                      <w:tcPr>
                        <w:tcW w:w="2487" w:type="dxa"/>
                        <w:vAlign w:val="center"/>
                      </w:tcPr>
                      <w:p w:rsidR="00F04EEF" w:rsidRDefault="0099351E">
                        <w:pPr>
                          <w:snapToGrid w:val="0"/>
                          <w:rPr>
                            <w:rFonts w:ascii="Georgia" w:hAnsi="Georgia" w:cs="Arial"/>
                          </w:rPr>
                        </w:pPr>
                        <w:r>
                          <w:rPr>
                            <w:rFonts w:ascii="Georgia" w:hAnsi="Georgia" w:cs="Arial"/>
                          </w:rPr>
                          <w:t>1040 ETTERBEEK</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02/627.08.20</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Communal</w:t>
                        </w:r>
                      </w:p>
                    </w:tc>
                    <w:tc>
                      <w:tcPr>
                        <w:tcW w:w="2861" w:type="dxa"/>
                        <w:vAlign w:val="center"/>
                      </w:tcPr>
                      <w:p w:rsidR="00F04EEF" w:rsidRDefault="0099351E">
                        <w:pPr>
                          <w:snapToGrid w:val="0"/>
                          <w:rPr>
                            <w:rFonts w:ascii="Georgia" w:hAnsi="Georgia" w:cs="Arial"/>
                          </w:rPr>
                        </w:pPr>
                        <w:r>
                          <w:rPr>
                            <w:rFonts w:ascii="Georgia" w:hAnsi="Georgia" w:cs="Arial"/>
                          </w:rPr>
                          <w:t>Rue de la Crèche, 6</w:t>
                        </w:r>
                      </w:p>
                    </w:tc>
                    <w:tc>
                      <w:tcPr>
                        <w:tcW w:w="2487" w:type="dxa"/>
                        <w:vAlign w:val="center"/>
                      </w:tcPr>
                      <w:p w:rsidR="00F04EEF" w:rsidRDefault="0099351E">
                        <w:pPr>
                          <w:snapToGrid w:val="0"/>
                          <w:rPr>
                            <w:rFonts w:ascii="Georgia" w:hAnsi="Georgia" w:cs="Arial"/>
                          </w:rPr>
                        </w:pPr>
                        <w:r>
                          <w:rPr>
                            <w:rFonts w:ascii="Georgia" w:hAnsi="Georgia" w:cs="Arial"/>
                          </w:rPr>
                          <w:t>1050 IXELLES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02/515.79.51</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 BRUXELLES III</w:t>
                        </w:r>
                      </w:p>
                    </w:tc>
                    <w:tc>
                      <w:tcPr>
                        <w:tcW w:w="2861" w:type="dxa"/>
                        <w:vAlign w:val="center"/>
                      </w:tcPr>
                      <w:p w:rsidR="00F04EEF" w:rsidRDefault="0099351E">
                        <w:pPr>
                          <w:snapToGrid w:val="0"/>
                          <w:rPr>
                            <w:rFonts w:ascii="Georgia" w:hAnsi="Georgia" w:cs="Arial"/>
                          </w:rPr>
                        </w:pPr>
                        <w:r>
                          <w:rPr>
                            <w:rFonts w:ascii="Georgia" w:hAnsi="Georgia" w:cs="Arial"/>
                          </w:rPr>
                          <w:t>Rue Malibran, 47-49</w:t>
                        </w:r>
                      </w:p>
                    </w:tc>
                    <w:tc>
                      <w:tcPr>
                        <w:tcW w:w="2487" w:type="dxa"/>
                        <w:vAlign w:val="center"/>
                      </w:tcPr>
                      <w:p w:rsidR="00F04EEF" w:rsidRDefault="0099351E">
                        <w:pPr>
                          <w:snapToGrid w:val="0"/>
                          <w:rPr>
                            <w:rFonts w:ascii="Georgia" w:hAnsi="Georgia" w:cs="Arial"/>
                          </w:rPr>
                        </w:pPr>
                        <w:r>
                          <w:rPr>
                            <w:rFonts w:ascii="Georgia" w:hAnsi="Georgia" w:cs="Arial"/>
                          </w:rPr>
                          <w:t>1050 IXELLES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02/647.17.45</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Communal</w:t>
                        </w:r>
                      </w:p>
                    </w:tc>
                    <w:tc>
                      <w:tcPr>
                        <w:tcW w:w="2861" w:type="dxa"/>
                        <w:vAlign w:val="center"/>
                      </w:tcPr>
                      <w:p w:rsidR="00F04EEF" w:rsidRDefault="0099351E">
                        <w:pPr>
                          <w:snapToGrid w:val="0"/>
                          <w:rPr>
                            <w:rFonts w:ascii="Georgia" w:hAnsi="Georgia" w:cs="Arial"/>
                          </w:rPr>
                        </w:pPr>
                        <w:r>
                          <w:rPr>
                            <w:rFonts w:ascii="Georgia" w:hAnsi="Georgia" w:cs="Arial"/>
                          </w:rPr>
                          <w:t>Rue des étudiants, 14</w:t>
                        </w:r>
                      </w:p>
                    </w:tc>
                    <w:tc>
                      <w:tcPr>
                        <w:tcW w:w="2487" w:type="dxa"/>
                        <w:vAlign w:val="center"/>
                      </w:tcPr>
                      <w:p w:rsidR="00F04EEF" w:rsidRDefault="0099351E">
                        <w:pPr>
                          <w:snapToGrid w:val="0"/>
                          <w:rPr>
                            <w:rFonts w:ascii="Georgia" w:hAnsi="Georgia" w:cs="Arial"/>
                          </w:rPr>
                        </w:pPr>
                        <w:r>
                          <w:rPr>
                            <w:rFonts w:ascii="Georgia" w:hAnsi="Georgia" w:cs="Arial"/>
                          </w:rPr>
                          <w:t>1060 SAINT - GILLES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02/563.11.00.01</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 WOLUWE II</w:t>
                        </w:r>
                      </w:p>
                    </w:tc>
                    <w:tc>
                      <w:tcPr>
                        <w:tcW w:w="2861" w:type="dxa"/>
                        <w:vAlign w:val="center"/>
                      </w:tcPr>
                      <w:p w:rsidR="00F04EEF" w:rsidRDefault="0099351E">
                        <w:pPr>
                          <w:snapToGrid w:val="0"/>
                          <w:rPr>
                            <w:rFonts w:ascii="Georgia" w:hAnsi="Georgia" w:cs="Arial"/>
                          </w:rPr>
                        </w:pPr>
                        <w:r>
                          <w:rPr>
                            <w:rFonts w:ascii="Georgia" w:hAnsi="Georgia" w:cs="Arial"/>
                          </w:rPr>
                          <w:t>Place de l’Alma ; 3 bte 9</w:t>
                        </w:r>
                      </w:p>
                    </w:tc>
                    <w:tc>
                      <w:tcPr>
                        <w:tcW w:w="2487" w:type="dxa"/>
                        <w:vAlign w:val="center"/>
                      </w:tcPr>
                      <w:p w:rsidR="00F04EEF" w:rsidRDefault="0099351E">
                        <w:pPr>
                          <w:snapToGrid w:val="0"/>
                          <w:rPr>
                            <w:rFonts w:ascii="Georgia" w:hAnsi="Georgia" w:cs="Arial"/>
                          </w:rPr>
                        </w:pPr>
                        <w:r>
                          <w:rPr>
                            <w:rFonts w:ascii="Georgia" w:hAnsi="Georgia" w:cs="Arial"/>
                          </w:rPr>
                          <w:t>1200 WOLUME–SAINT-LAMBERT</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02/764.30.46</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provincial</w:t>
                        </w:r>
                      </w:p>
                    </w:tc>
                    <w:tc>
                      <w:tcPr>
                        <w:tcW w:w="2861" w:type="dxa"/>
                        <w:vAlign w:val="center"/>
                      </w:tcPr>
                      <w:p w:rsidR="00F04EEF" w:rsidRDefault="0099351E">
                        <w:pPr>
                          <w:snapToGrid w:val="0"/>
                          <w:rPr>
                            <w:rFonts w:ascii="Georgia" w:hAnsi="Georgia" w:cs="Arial"/>
                          </w:rPr>
                        </w:pPr>
                        <w:r>
                          <w:rPr>
                            <w:rFonts w:ascii="Georgia" w:hAnsi="Georgia" w:cs="Arial"/>
                          </w:rPr>
                          <w:t>Avenue Bohy, 51</w:t>
                        </w:r>
                      </w:p>
                    </w:tc>
                    <w:tc>
                      <w:tcPr>
                        <w:tcW w:w="2487" w:type="dxa"/>
                        <w:vAlign w:val="center"/>
                      </w:tcPr>
                      <w:p w:rsidR="00F04EEF" w:rsidRDefault="0099351E">
                        <w:pPr>
                          <w:snapToGrid w:val="0"/>
                          <w:rPr>
                            <w:rFonts w:ascii="Georgia" w:hAnsi="Georgia" w:cs="Arial"/>
                          </w:rPr>
                        </w:pPr>
                        <w:r>
                          <w:rPr>
                            <w:rFonts w:ascii="Georgia" w:hAnsi="Georgia" w:cs="Arial"/>
                          </w:rPr>
                          <w:t>1300 WAVRE</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010/48.81.36</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Province du Brabant-Wallon</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 WAVRE I</w:t>
                        </w:r>
                      </w:p>
                    </w:tc>
                    <w:tc>
                      <w:tcPr>
                        <w:tcW w:w="2861" w:type="dxa"/>
                        <w:vAlign w:val="center"/>
                      </w:tcPr>
                      <w:p w:rsidR="00F04EEF" w:rsidRDefault="0099351E">
                        <w:pPr>
                          <w:snapToGrid w:val="0"/>
                          <w:rPr>
                            <w:rFonts w:ascii="Georgia" w:hAnsi="Georgia" w:cs="Arial"/>
                          </w:rPr>
                        </w:pPr>
                        <w:r>
                          <w:rPr>
                            <w:rFonts w:ascii="Georgia" w:hAnsi="Georgia" w:cs="Arial"/>
                          </w:rPr>
                          <w:t>Rue Théophile Piat, 22</w:t>
                        </w:r>
                      </w:p>
                    </w:tc>
                    <w:tc>
                      <w:tcPr>
                        <w:tcW w:w="2487" w:type="dxa"/>
                        <w:vAlign w:val="center"/>
                      </w:tcPr>
                      <w:p w:rsidR="00F04EEF" w:rsidRDefault="0099351E">
                        <w:pPr>
                          <w:snapToGrid w:val="0"/>
                          <w:rPr>
                            <w:rFonts w:ascii="Georgia" w:hAnsi="Georgia" w:cs="Arial"/>
                          </w:rPr>
                        </w:pPr>
                        <w:r>
                          <w:rPr>
                            <w:rFonts w:ascii="Georgia" w:hAnsi="Georgia" w:cs="Arial"/>
                          </w:rPr>
                          <w:t>1300 WAVRE</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010/22.47.09</w:t>
                        </w:r>
                      </w:p>
                    </w:tc>
                    <w:tc>
                      <w:tcPr>
                        <w:tcW w:w="2759" w:type="dxa"/>
                      </w:tcPr>
                      <w:p w:rsidR="00F04EEF" w:rsidRDefault="0099351E">
                        <w:pPr>
                          <w:snapToGrid w:val="0"/>
                          <w:jc w:val="center"/>
                          <w:rPr>
                            <w:rFonts w:ascii="Georgia" w:hAnsi="Georgia" w:cs="Arial"/>
                            <w:b/>
                            <w:bCs/>
                          </w:rPr>
                        </w:pPr>
                        <w:r>
                          <w:rPr>
                            <w:rFonts w:ascii="Georgia" w:hAnsi="Georgia" w:cs="Arial"/>
                            <w:b/>
                            <w:bCs/>
                          </w:rPr>
                          <w:t>Province du Brabant-Wallon</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 WAVRE II</w:t>
                        </w:r>
                      </w:p>
                    </w:tc>
                    <w:tc>
                      <w:tcPr>
                        <w:tcW w:w="2861" w:type="dxa"/>
                        <w:vAlign w:val="center"/>
                      </w:tcPr>
                      <w:p w:rsidR="00F04EEF" w:rsidRDefault="0099351E">
                        <w:pPr>
                          <w:snapToGrid w:val="0"/>
                          <w:rPr>
                            <w:rFonts w:ascii="Georgia" w:hAnsi="Georgia" w:cs="Arial"/>
                          </w:rPr>
                        </w:pPr>
                        <w:r>
                          <w:rPr>
                            <w:rFonts w:ascii="Georgia" w:hAnsi="Georgia" w:cs="Arial"/>
                          </w:rPr>
                          <w:t>Rue Théophile Piat, 22</w:t>
                        </w:r>
                      </w:p>
                    </w:tc>
                    <w:tc>
                      <w:tcPr>
                        <w:tcW w:w="2487" w:type="dxa"/>
                        <w:vAlign w:val="center"/>
                      </w:tcPr>
                      <w:p w:rsidR="00F04EEF" w:rsidRDefault="0099351E">
                        <w:pPr>
                          <w:snapToGrid w:val="0"/>
                          <w:rPr>
                            <w:rFonts w:ascii="Georgia" w:hAnsi="Georgia" w:cs="Arial"/>
                          </w:rPr>
                        </w:pPr>
                        <w:r>
                          <w:rPr>
                            <w:rFonts w:ascii="Georgia" w:hAnsi="Georgia" w:cs="Arial"/>
                          </w:rPr>
                          <w:t>1300 WAVRE</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010/24.10.09</w:t>
                        </w:r>
                      </w:p>
                    </w:tc>
                    <w:tc>
                      <w:tcPr>
                        <w:tcW w:w="2759" w:type="dxa"/>
                      </w:tcPr>
                      <w:p w:rsidR="00F04EEF" w:rsidRDefault="0099351E">
                        <w:pPr>
                          <w:snapToGrid w:val="0"/>
                          <w:jc w:val="center"/>
                          <w:rPr>
                            <w:rFonts w:ascii="Georgia" w:hAnsi="Georgia" w:cs="Arial"/>
                            <w:b/>
                            <w:bCs/>
                          </w:rPr>
                        </w:pPr>
                        <w:r>
                          <w:rPr>
                            <w:rFonts w:ascii="Georgia" w:hAnsi="Georgia" w:cs="Arial"/>
                            <w:b/>
                            <w:bCs/>
                          </w:rPr>
                          <w:t>Province du Brabant-Wallon</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w:t>
                        </w:r>
                      </w:p>
                    </w:tc>
                    <w:tc>
                      <w:tcPr>
                        <w:tcW w:w="2861" w:type="dxa"/>
                        <w:vAlign w:val="center"/>
                      </w:tcPr>
                      <w:p w:rsidR="00F04EEF" w:rsidRDefault="0099351E">
                        <w:pPr>
                          <w:snapToGrid w:val="0"/>
                          <w:rPr>
                            <w:rFonts w:ascii="Georgia" w:hAnsi="Georgia" w:cs="Arial"/>
                          </w:rPr>
                        </w:pPr>
                        <w:r>
                          <w:rPr>
                            <w:rFonts w:ascii="Georgia" w:hAnsi="Georgia" w:cs="Arial"/>
                          </w:rPr>
                          <w:t>Rue des Liégeois, 7</w:t>
                        </w:r>
                      </w:p>
                    </w:tc>
                    <w:tc>
                      <w:tcPr>
                        <w:tcW w:w="2487" w:type="dxa"/>
                        <w:vAlign w:val="center"/>
                      </w:tcPr>
                      <w:p w:rsidR="00F04EEF" w:rsidRDefault="0099351E">
                        <w:pPr>
                          <w:snapToGrid w:val="0"/>
                          <w:rPr>
                            <w:rFonts w:ascii="Georgia" w:hAnsi="Georgia" w:cs="Arial"/>
                          </w:rPr>
                        </w:pPr>
                        <w:r>
                          <w:rPr>
                            <w:rFonts w:ascii="Georgia" w:hAnsi="Georgia" w:cs="Arial"/>
                          </w:rPr>
                          <w:t xml:space="preserve">1348 LOUVAIN–LA–NEUVE </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010/41.47.93</w:t>
                        </w:r>
                      </w:p>
                    </w:tc>
                    <w:tc>
                      <w:tcPr>
                        <w:tcW w:w="2759" w:type="dxa"/>
                      </w:tcPr>
                      <w:p w:rsidR="00F04EEF" w:rsidRDefault="0099351E">
                        <w:pPr>
                          <w:snapToGrid w:val="0"/>
                          <w:jc w:val="center"/>
                          <w:rPr>
                            <w:rFonts w:ascii="Georgia" w:hAnsi="Georgia" w:cs="Arial"/>
                            <w:b/>
                            <w:bCs/>
                          </w:rPr>
                        </w:pPr>
                        <w:r>
                          <w:rPr>
                            <w:rFonts w:ascii="Georgia" w:hAnsi="Georgia" w:cs="Arial"/>
                            <w:b/>
                            <w:bCs/>
                          </w:rPr>
                          <w:t>Province du Brabant-Wallon</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w:t>
                        </w:r>
                      </w:p>
                    </w:tc>
                    <w:tc>
                      <w:tcPr>
                        <w:tcW w:w="2861" w:type="dxa"/>
                        <w:vAlign w:val="center"/>
                      </w:tcPr>
                      <w:p w:rsidR="00F04EEF" w:rsidRDefault="0099351E">
                        <w:pPr>
                          <w:snapToGrid w:val="0"/>
                          <w:rPr>
                            <w:rFonts w:ascii="Georgia" w:hAnsi="Georgia" w:cs="Arial"/>
                          </w:rPr>
                        </w:pPr>
                        <w:r>
                          <w:rPr>
                            <w:rFonts w:ascii="Georgia" w:hAnsi="Georgia" w:cs="Arial"/>
                          </w:rPr>
                          <w:t>Place de Noucelles, 7</w:t>
                        </w:r>
                      </w:p>
                    </w:tc>
                    <w:tc>
                      <w:tcPr>
                        <w:tcW w:w="2487" w:type="dxa"/>
                        <w:vAlign w:val="center"/>
                      </w:tcPr>
                      <w:p w:rsidR="00F04EEF" w:rsidRDefault="0099351E">
                        <w:pPr>
                          <w:snapToGrid w:val="0"/>
                          <w:rPr>
                            <w:rFonts w:ascii="Georgia" w:hAnsi="Georgia" w:cs="Arial"/>
                          </w:rPr>
                        </w:pPr>
                        <w:r>
                          <w:rPr>
                            <w:rFonts w:ascii="Georgia" w:hAnsi="Georgia" w:cs="Arial"/>
                          </w:rPr>
                          <w:t xml:space="preserve">1440 WAUTHIER–BRAINE </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02/366.40.02</w:t>
                        </w:r>
                      </w:p>
                    </w:tc>
                    <w:tc>
                      <w:tcPr>
                        <w:tcW w:w="2759" w:type="dxa"/>
                      </w:tcPr>
                      <w:p w:rsidR="00F04EEF" w:rsidRDefault="0099351E">
                        <w:pPr>
                          <w:snapToGrid w:val="0"/>
                          <w:jc w:val="center"/>
                          <w:rPr>
                            <w:rFonts w:ascii="Georgia" w:hAnsi="Georgia" w:cs="Arial"/>
                            <w:b/>
                            <w:bCs/>
                          </w:rPr>
                        </w:pPr>
                        <w:r>
                          <w:rPr>
                            <w:rFonts w:ascii="Georgia" w:hAnsi="Georgia" w:cs="Arial"/>
                            <w:b/>
                            <w:bCs/>
                          </w:rPr>
                          <w:t>Province du Brabant-Wallon</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 LIEGE V</w:t>
                        </w:r>
                      </w:p>
                    </w:tc>
                    <w:tc>
                      <w:tcPr>
                        <w:tcW w:w="2861" w:type="dxa"/>
                        <w:vAlign w:val="center"/>
                      </w:tcPr>
                      <w:p w:rsidR="00F04EEF" w:rsidRDefault="0099351E">
                        <w:pPr>
                          <w:snapToGrid w:val="0"/>
                          <w:rPr>
                            <w:rFonts w:ascii="Georgia" w:hAnsi="Georgia" w:cs="Arial"/>
                          </w:rPr>
                        </w:pPr>
                        <w:r>
                          <w:rPr>
                            <w:rFonts w:ascii="Georgia" w:hAnsi="Georgia" w:cs="Arial"/>
                          </w:rPr>
                          <w:t>Bd de Laveleye, 78</w:t>
                        </w:r>
                      </w:p>
                    </w:tc>
                    <w:tc>
                      <w:tcPr>
                        <w:tcW w:w="2487" w:type="dxa"/>
                        <w:vAlign w:val="center"/>
                      </w:tcPr>
                      <w:p w:rsidR="00F04EEF" w:rsidRDefault="0099351E">
                        <w:pPr>
                          <w:snapToGrid w:val="0"/>
                          <w:rPr>
                            <w:rFonts w:ascii="Georgia" w:hAnsi="Georgia" w:cs="Arial"/>
                          </w:rPr>
                        </w:pPr>
                        <w:r>
                          <w:rPr>
                            <w:rFonts w:ascii="Georgia" w:hAnsi="Georgia" w:cs="Arial"/>
                          </w:rPr>
                          <w:t>4000 LIEGE</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04/254.24.14</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Libre LIEGE IV</w:t>
                        </w:r>
                      </w:p>
                    </w:tc>
                    <w:tc>
                      <w:tcPr>
                        <w:tcW w:w="2861" w:type="dxa"/>
                        <w:vAlign w:val="center"/>
                      </w:tcPr>
                      <w:p w:rsidR="00F04EEF" w:rsidRDefault="0099351E">
                        <w:pPr>
                          <w:snapToGrid w:val="0"/>
                          <w:rPr>
                            <w:rFonts w:ascii="Georgia" w:hAnsi="Georgia" w:cs="Arial"/>
                          </w:rPr>
                        </w:pPr>
                        <w:r>
                          <w:rPr>
                            <w:rFonts w:ascii="Georgia" w:hAnsi="Georgia" w:cs="Arial"/>
                          </w:rPr>
                          <w:t>Rue Vaudrée 231</w:t>
                        </w:r>
                      </w:p>
                    </w:tc>
                    <w:tc>
                      <w:tcPr>
                        <w:tcW w:w="2487" w:type="dxa"/>
                        <w:vAlign w:val="center"/>
                      </w:tcPr>
                      <w:p w:rsidR="00F04EEF" w:rsidRDefault="0099351E">
                        <w:pPr>
                          <w:snapToGrid w:val="0"/>
                          <w:rPr>
                            <w:rFonts w:ascii="Georgia" w:hAnsi="Georgia" w:cs="Arial"/>
                          </w:rPr>
                        </w:pPr>
                        <w:r>
                          <w:rPr>
                            <w:rFonts w:ascii="Georgia" w:hAnsi="Georgia" w:cs="Arial"/>
                          </w:rPr>
                          <w:t>4031 ANGLEUR</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04/223.03.59</w:t>
                        </w:r>
                      </w:p>
                    </w:tc>
                    <w:tc>
                      <w:tcPr>
                        <w:tcW w:w="2759"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provincial HERSTAL I</w:t>
                        </w:r>
                      </w:p>
                    </w:tc>
                    <w:tc>
                      <w:tcPr>
                        <w:tcW w:w="2861" w:type="dxa"/>
                        <w:vAlign w:val="center"/>
                      </w:tcPr>
                      <w:p w:rsidR="00F04EEF" w:rsidRDefault="0099351E">
                        <w:pPr>
                          <w:snapToGrid w:val="0"/>
                          <w:rPr>
                            <w:rFonts w:ascii="Georgia" w:hAnsi="Georgia" w:cs="Arial"/>
                          </w:rPr>
                        </w:pPr>
                        <w:r>
                          <w:rPr>
                            <w:rFonts w:ascii="Georgia" w:hAnsi="Georgia" w:cs="Arial"/>
                          </w:rPr>
                          <w:t>Bd Albert 1er, 80</w:t>
                        </w:r>
                      </w:p>
                    </w:tc>
                    <w:tc>
                      <w:tcPr>
                        <w:tcW w:w="2487" w:type="dxa"/>
                        <w:vAlign w:val="center"/>
                      </w:tcPr>
                      <w:p w:rsidR="00F04EEF" w:rsidRDefault="0099351E">
                        <w:pPr>
                          <w:snapToGrid w:val="0"/>
                          <w:rPr>
                            <w:rFonts w:ascii="Georgia" w:hAnsi="Georgia" w:cs="Arial"/>
                          </w:rPr>
                        </w:pPr>
                        <w:r>
                          <w:rPr>
                            <w:rFonts w:ascii="Georgia" w:hAnsi="Georgia" w:cs="Arial"/>
                          </w:rPr>
                          <w:t>4040 HERSTAL</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04/248.42.57</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provincial HERSTAL II</w:t>
                        </w:r>
                      </w:p>
                    </w:tc>
                    <w:tc>
                      <w:tcPr>
                        <w:tcW w:w="2861" w:type="dxa"/>
                        <w:vAlign w:val="center"/>
                      </w:tcPr>
                      <w:p w:rsidR="00F04EEF" w:rsidRDefault="0099351E">
                        <w:pPr>
                          <w:snapToGrid w:val="0"/>
                          <w:rPr>
                            <w:rFonts w:ascii="Georgia" w:hAnsi="Georgia" w:cs="Arial"/>
                          </w:rPr>
                        </w:pPr>
                        <w:r>
                          <w:rPr>
                            <w:rFonts w:ascii="Georgia" w:hAnsi="Georgia" w:cs="Arial"/>
                          </w:rPr>
                          <w:t>Rue Grands Puits, 49</w:t>
                        </w:r>
                      </w:p>
                    </w:tc>
                    <w:tc>
                      <w:tcPr>
                        <w:tcW w:w="2487" w:type="dxa"/>
                        <w:vAlign w:val="center"/>
                      </w:tcPr>
                      <w:p w:rsidR="00F04EEF" w:rsidRDefault="0099351E">
                        <w:pPr>
                          <w:snapToGrid w:val="0"/>
                          <w:rPr>
                            <w:rFonts w:ascii="Georgia" w:hAnsi="Georgia" w:cs="Arial"/>
                          </w:rPr>
                        </w:pPr>
                        <w:r>
                          <w:rPr>
                            <w:rFonts w:ascii="Georgia" w:hAnsi="Georgia" w:cs="Arial"/>
                          </w:rPr>
                          <w:t>4040 HERSTAL</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04/237.90.00</w:t>
                        </w:r>
                      </w:p>
                    </w:tc>
                    <w:tc>
                      <w:tcPr>
                        <w:tcW w:w="2759"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tcPr>
                      <w:p w:rsidR="00F04EEF" w:rsidRDefault="0099351E">
                        <w:pPr>
                          <w:snapToGrid w:val="0"/>
                          <w:rPr>
                            <w:rFonts w:ascii="Georgia" w:hAnsi="Georgia" w:cs="Arial"/>
                          </w:rPr>
                        </w:pPr>
                        <w:r>
                          <w:rPr>
                            <w:rFonts w:ascii="Georgia" w:hAnsi="Georgia" w:cs="Arial"/>
                          </w:rPr>
                          <w:t>CPMS provincial SERAING I</w:t>
                        </w:r>
                      </w:p>
                    </w:tc>
                    <w:tc>
                      <w:tcPr>
                        <w:tcW w:w="2861" w:type="dxa"/>
                        <w:vAlign w:val="center"/>
                      </w:tcPr>
                      <w:p w:rsidR="00F04EEF" w:rsidRDefault="0099351E">
                        <w:pPr>
                          <w:snapToGrid w:val="0"/>
                          <w:rPr>
                            <w:rFonts w:ascii="Georgia" w:hAnsi="Georgia" w:cs="Arial"/>
                          </w:rPr>
                        </w:pPr>
                        <w:r>
                          <w:rPr>
                            <w:rFonts w:ascii="Georgia" w:hAnsi="Georgia" w:cs="Arial"/>
                          </w:rPr>
                          <w:t>Rue de la Province, 21</w:t>
                        </w:r>
                      </w:p>
                    </w:tc>
                    <w:tc>
                      <w:tcPr>
                        <w:tcW w:w="2487" w:type="dxa"/>
                        <w:vAlign w:val="center"/>
                      </w:tcPr>
                      <w:p w:rsidR="00F04EEF" w:rsidRDefault="0099351E">
                        <w:pPr>
                          <w:snapToGrid w:val="0"/>
                          <w:rPr>
                            <w:rFonts w:ascii="Georgia" w:hAnsi="Georgia" w:cs="Arial"/>
                          </w:rPr>
                        </w:pPr>
                        <w:r>
                          <w:rPr>
                            <w:rFonts w:ascii="Georgia" w:hAnsi="Georgia" w:cs="Arial"/>
                          </w:rPr>
                          <w:t>4100 SERAING</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04/330.73.80</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provincial HUY I</w:t>
                        </w:r>
                      </w:p>
                    </w:tc>
                    <w:tc>
                      <w:tcPr>
                        <w:tcW w:w="2861" w:type="dxa"/>
                        <w:vAlign w:val="center"/>
                      </w:tcPr>
                      <w:p w:rsidR="00F04EEF" w:rsidRDefault="0099351E">
                        <w:pPr>
                          <w:snapToGrid w:val="0"/>
                          <w:rPr>
                            <w:rFonts w:ascii="Georgia" w:hAnsi="Georgia" w:cs="Arial"/>
                          </w:rPr>
                        </w:pPr>
                        <w:r>
                          <w:rPr>
                            <w:rFonts w:ascii="Georgia" w:hAnsi="Georgia" w:cs="Arial"/>
                          </w:rPr>
                          <w:t>Rue Saint-Pierre, 50</w:t>
                        </w:r>
                      </w:p>
                    </w:tc>
                    <w:tc>
                      <w:tcPr>
                        <w:tcW w:w="2487" w:type="dxa"/>
                        <w:vAlign w:val="center"/>
                      </w:tcPr>
                      <w:p w:rsidR="00F04EEF" w:rsidRDefault="0099351E">
                        <w:pPr>
                          <w:snapToGrid w:val="0"/>
                          <w:rPr>
                            <w:rFonts w:ascii="Georgia" w:hAnsi="Georgia" w:cs="Arial"/>
                          </w:rPr>
                        </w:pPr>
                        <w:r>
                          <w:rPr>
                            <w:rFonts w:ascii="Georgia" w:hAnsi="Georgia" w:cs="Arial"/>
                          </w:rPr>
                          <w:t>4500 HUY</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085/27.84.77</w:t>
                        </w:r>
                      </w:p>
                    </w:tc>
                    <w:tc>
                      <w:tcPr>
                        <w:tcW w:w="2759"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HUY II</w:t>
                        </w:r>
                      </w:p>
                    </w:tc>
                    <w:tc>
                      <w:tcPr>
                        <w:tcW w:w="2861" w:type="dxa"/>
                        <w:vAlign w:val="center"/>
                      </w:tcPr>
                      <w:p w:rsidR="00F04EEF" w:rsidRDefault="0099351E">
                        <w:pPr>
                          <w:snapToGrid w:val="0"/>
                          <w:rPr>
                            <w:rFonts w:ascii="Georgia" w:hAnsi="Georgia" w:cs="Arial"/>
                          </w:rPr>
                        </w:pPr>
                        <w:r>
                          <w:rPr>
                            <w:rFonts w:ascii="Georgia" w:hAnsi="Georgia" w:cs="Arial"/>
                          </w:rPr>
                          <w:t>Rue des Augustins, 44</w:t>
                        </w:r>
                      </w:p>
                    </w:tc>
                    <w:tc>
                      <w:tcPr>
                        <w:tcW w:w="2487" w:type="dxa"/>
                        <w:vAlign w:val="center"/>
                      </w:tcPr>
                      <w:p w:rsidR="00F04EEF" w:rsidRDefault="0099351E">
                        <w:pPr>
                          <w:snapToGrid w:val="0"/>
                          <w:rPr>
                            <w:rFonts w:ascii="Georgia" w:hAnsi="Georgia" w:cs="Arial"/>
                          </w:rPr>
                        </w:pPr>
                        <w:r>
                          <w:rPr>
                            <w:rFonts w:ascii="Georgia" w:hAnsi="Georgia" w:cs="Arial"/>
                          </w:rPr>
                          <w:t>4500 HUY</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085/23.11.39</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provincial VERVIERS II</w:t>
                        </w:r>
                      </w:p>
                    </w:tc>
                    <w:tc>
                      <w:tcPr>
                        <w:tcW w:w="2861" w:type="dxa"/>
                        <w:vAlign w:val="center"/>
                      </w:tcPr>
                      <w:p w:rsidR="00F04EEF" w:rsidRDefault="0099351E">
                        <w:pPr>
                          <w:snapToGrid w:val="0"/>
                          <w:rPr>
                            <w:rFonts w:ascii="Georgia" w:hAnsi="Georgia" w:cs="Arial"/>
                          </w:rPr>
                        </w:pPr>
                        <w:r>
                          <w:rPr>
                            <w:rFonts w:ascii="Georgia" w:hAnsi="Georgia" w:cs="Arial"/>
                          </w:rPr>
                          <w:t>Rue aux laines, 69 A</w:t>
                        </w:r>
                      </w:p>
                    </w:tc>
                    <w:tc>
                      <w:tcPr>
                        <w:tcW w:w="2487" w:type="dxa"/>
                        <w:vAlign w:val="center"/>
                      </w:tcPr>
                      <w:p w:rsidR="00F04EEF" w:rsidRDefault="0099351E">
                        <w:pPr>
                          <w:snapToGrid w:val="0"/>
                          <w:rPr>
                            <w:rFonts w:ascii="Georgia" w:hAnsi="Georgia" w:cs="Arial"/>
                          </w:rPr>
                        </w:pPr>
                        <w:r>
                          <w:rPr>
                            <w:rFonts w:ascii="Georgia" w:hAnsi="Georgia" w:cs="Arial"/>
                          </w:rPr>
                          <w:t>4800 VERVIERS</w:t>
                        </w:r>
                      </w:p>
                    </w:tc>
                    <w:tc>
                      <w:tcPr>
                        <w:tcW w:w="1806" w:type="dxa"/>
                      </w:tcPr>
                      <w:p w:rsidR="00F04EEF" w:rsidRDefault="0099351E">
                        <w:pPr>
                          <w:jc w:val="both"/>
                          <w:rPr>
                            <w:rFonts w:ascii="Georgia" w:eastAsia="Times New Roman" w:hAnsi="Georgia" w:cs="Arial"/>
                            <w:lang w:eastAsia="fr-BE"/>
                          </w:rPr>
                        </w:pPr>
                        <w:r>
                          <w:rPr>
                            <w:rFonts w:ascii="Georgia" w:eastAsia="Times New Roman" w:hAnsi="Georgia" w:cs="Arial"/>
                            <w:lang w:eastAsia="fr-BE"/>
                          </w:rPr>
                          <w:t>04/279.67.33</w:t>
                        </w:r>
                      </w:p>
                    </w:tc>
                    <w:tc>
                      <w:tcPr>
                        <w:tcW w:w="2759"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VERVIERS II</w:t>
                        </w:r>
                      </w:p>
                    </w:tc>
                    <w:tc>
                      <w:tcPr>
                        <w:tcW w:w="2861" w:type="dxa"/>
                        <w:vAlign w:val="center"/>
                      </w:tcPr>
                      <w:p w:rsidR="00F04EEF" w:rsidRDefault="0099351E">
                        <w:pPr>
                          <w:snapToGrid w:val="0"/>
                          <w:rPr>
                            <w:rFonts w:ascii="Georgia" w:hAnsi="Georgia" w:cs="Arial"/>
                          </w:rPr>
                        </w:pPr>
                        <w:r>
                          <w:rPr>
                            <w:rFonts w:ascii="Georgia" w:hAnsi="Georgia" w:cs="Arial"/>
                          </w:rPr>
                          <w:t>Rue Laoureux, 34</w:t>
                        </w:r>
                      </w:p>
                    </w:tc>
                    <w:tc>
                      <w:tcPr>
                        <w:tcW w:w="2487" w:type="dxa"/>
                        <w:vAlign w:val="center"/>
                      </w:tcPr>
                      <w:p w:rsidR="00F04EEF" w:rsidRDefault="0099351E">
                        <w:pPr>
                          <w:snapToGrid w:val="0"/>
                          <w:rPr>
                            <w:rFonts w:ascii="Georgia" w:hAnsi="Georgia" w:cs="Arial"/>
                          </w:rPr>
                        </w:pPr>
                        <w:r>
                          <w:rPr>
                            <w:rFonts w:ascii="Georgia" w:hAnsi="Georgia" w:cs="Arial"/>
                          </w:rPr>
                          <w:t>4800 VERVIERS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087/32.27.41</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VERVIERS III</w:t>
                        </w:r>
                      </w:p>
                    </w:tc>
                    <w:tc>
                      <w:tcPr>
                        <w:tcW w:w="2861" w:type="dxa"/>
                        <w:vAlign w:val="center"/>
                      </w:tcPr>
                      <w:p w:rsidR="00F04EEF" w:rsidRDefault="0099351E">
                        <w:pPr>
                          <w:snapToGrid w:val="0"/>
                          <w:rPr>
                            <w:rFonts w:ascii="Georgia" w:hAnsi="Georgia" w:cs="Arial"/>
                          </w:rPr>
                        </w:pPr>
                        <w:r>
                          <w:rPr>
                            <w:rFonts w:ascii="Georgia" w:hAnsi="Georgia" w:cs="Arial"/>
                          </w:rPr>
                          <w:t>Rue Laoureux, 32</w:t>
                        </w:r>
                      </w:p>
                    </w:tc>
                    <w:tc>
                      <w:tcPr>
                        <w:tcW w:w="2487" w:type="dxa"/>
                        <w:vAlign w:val="center"/>
                      </w:tcPr>
                      <w:p w:rsidR="00F04EEF" w:rsidRDefault="0099351E">
                        <w:pPr>
                          <w:snapToGrid w:val="0"/>
                          <w:rPr>
                            <w:rFonts w:ascii="Georgia" w:hAnsi="Georgia" w:cs="Arial"/>
                          </w:rPr>
                        </w:pPr>
                        <w:r>
                          <w:rPr>
                            <w:rFonts w:ascii="Georgia" w:hAnsi="Georgia" w:cs="Arial"/>
                          </w:rPr>
                          <w:t>4800 VERVIERS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087/32.27.41</w:t>
                        </w:r>
                      </w:p>
                    </w:tc>
                    <w:tc>
                      <w:tcPr>
                        <w:tcW w:w="2759"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JAMBES I</w:t>
                        </w:r>
                      </w:p>
                    </w:tc>
                    <w:tc>
                      <w:tcPr>
                        <w:tcW w:w="2861" w:type="dxa"/>
                        <w:vAlign w:val="center"/>
                      </w:tcPr>
                      <w:p w:rsidR="00F04EEF" w:rsidRDefault="0099351E">
                        <w:pPr>
                          <w:snapToGrid w:val="0"/>
                          <w:rPr>
                            <w:rFonts w:ascii="Georgia" w:hAnsi="Georgia" w:cs="Arial"/>
                          </w:rPr>
                        </w:pPr>
                        <w:r>
                          <w:rPr>
                            <w:rFonts w:ascii="Georgia" w:hAnsi="Georgia" w:cs="Arial"/>
                          </w:rPr>
                          <w:t>Rue de Coppin, 10</w:t>
                        </w:r>
                      </w:p>
                    </w:tc>
                    <w:tc>
                      <w:tcPr>
                        <w:tcW w:w="2487" w:type="dxa"/>
                        <w:vAlign w:val="center"/>
                      </w:tcPr>
                      <w:p w:rsidR="00F04EEF" w:rsidRDefault="0099351E">
                        <w:pPr>
                          <w:snapToGrid w:val="0"/>
                          <w:rPr>
                            <w:rFonts w:ascii="Georgia" w:hAnsi="Georgia" w:cs="Arial"/>
                          </w:rPr>
                        </w:pPr>
                        <w:r>
                          <w:rPr>
                            <w:rFonts w:ascii="Georgia" w:hAnsi="Georgia" w:cs="Arial"/>
                          </w:rPr>
                          <w:t>5100 JAMBES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081/30.50.27</w:t>
                        </w:r>
                      </w:p>
                    </w:tc>
                    <w:tc>
                      <w:tcPr>
                        <w:tcW w:w="2759"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JAMBES III</w:t>
                        </w:r>
                      </w:p>
                    </w:tc>
                    <w:tc>
                      <w:tcPr>
                        <w:tcW w:w="2861" w:type="dxa"/>
                        <w:vAlign w:val="center"/>
                      </w:tcPr>
                      <w:p w:rsidR="00F04EEF" w:rsidRDefault="0099351E">
                        <w:pPr>
                          <w:snapToGrid w:val="0"/>
                          <w:rPr>
                            <w:rFonts w:ascii="Georgia" w:hAnsi="Georgia" w:cs="Arial"/>
                          </w:rPr>
                        </w:pPr>
                        <w:r>
                          <w:rPr>
                            <w:rFonts w:ascii="Georgia" w:hAnsi="Georgia" w:cs="Arial"/>
                          </w:rPr>
                          <w:t>Rue de Dave, 55</w:t>
                        </w:r>
                      </w:p>
                    </w:tc>
                    <w:tc>
                      <w:tcPr>
                        <w:tcW w:w="2487" w:type="dxa"/>
                        <w:vAlign w:val="center"/>
                      </w:tcPr>
                      <w:p w:rsidR="00F04EEF" w:rsidRDefault="0099351E">
                        <w:pPr>
                          <w:snapToGrid w:val="0"/>
                          <w:rPr>
                            <w:rFonts w:ascii="Georgia" w:hAnsi="Georgia" w:cs="Arial"/>
                          </w:rPr>
                        </w:pPr>
                        <w:r>
                          <w:rPr>
                            <w:rFonts w:ascii="Georgia" w:hAnsi="Georgia" w:cs="Arial"/>
                          </w:rPr>
                          <w:t>5100 JAMBES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081/30.27.00</w:t>
                        </w:r>
                      </w:p>
                    </w:tc>
                    <w:tc>
                      <w:tcPr>
                        <w:tcW w:w="2759"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provincial</w:t>
                        </w:r>
                      </w:p>
                    </w:tc>
                    <w:tc>
                      <w:tcPr>
                        <w:tcW w:w="2861" w:type="dxa"/>
                        <w:vAlign w:val="center"/>
                      </w:tcPr>
                      <w:p w:rsidR="00F04EEF" w:rsidRDefault="0099351E">
                        <w:pPr>
                          <w:snapToGrid w:val="0"/>
                          <w:rPr>
                            <w:rFonts w:ascii="Georgia" w:hAnsi="Georgia" w:cs="Arial"/>
                          </w:rPr>
                        </w:pPr>
                        <w:r>
                          <w:rPr>
                            <w:rFonts w:ascii="Georgia" w:hAnsi="Georgia" w:cs="Arial"/>
                          </w:rPr>
                          <w:t>Rue Walter Sœur, 66</w:t>
                        </w:r>
                      </w:p>
                    </w:tc>
                    <w:tc>
                      <w:tcPr>
                        <w:tcW w:w="2487" w:type="dxa"/>
                        <w:vAlign w:val="center"/>
                      </w:tcPr>
                      <w:p w:rsidR="00F04EEF" w:rsidRDefault="0099351E">
                        <w:pPr>
                          <w:snapToGrid w:val="0"/>
                          <w:rPr>
                            <w:rFonts w:ascii="Georgia" w:hAnsi="Georgia" w:cs="Arial"/>
                          </w:rPr>
                        </w:pPr>
                        <w:r>
                          <w:rPr>
                            <w:rFonts w:ascii="Georgia" w:hAnsi="Georgia" w:cs="Arial"/>
                          </w:rPr>
                          <w:t>5590 CINEY</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081/77.68.26</w:t>
                        </w:r>
                      </w:p>
                    </w:tc>
                    <w:tc>
                      <w:tcPr>
                        <w:tcW w:w="2759"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 xml:space="preserve">CPMS Libre </w:t>
                        </w:r>
                      </w:p>
                    </w:tc>
                    <w:tc>
                      <w:tcPr>
                        <w:tcW w:w="2861" w:type="dxa"/>
                        <w:vAlign w:val="center"/>
                      </w:tcPr>
                      <w:p w:rsidR="00F04EEF" w:rsidRDefault="0099351E">
                        <w:pPr>
                          <w:snapToGrid w:val="0"/>
                          <w:rPr>
                            <w:rFonts w:ascii="Georgia" w:hAnsi="Georgia" w:cs="Arial"/>
                          </w:rPr>
                        </w:pPr>
                        <w:r>
                          <w:rPr>
                            <w:rFonts w:ascii="Georgia" w:hAnsi="Georgia" w:cs="Arial"/>
                          </w:rPr>
                          <w:t>Rue Capitaine Lekeux, 14/1</w:t>
                        </w:r>
                      </w:p>
                    </w:tc>
                    <w:tc>
                      <w:tcPr>
                        <w:tcW w:w="2487" w:type="dxa"/>
                        <w:vAlign w:val="center"/>
                      </w:tcPr>
                      <w:p w:rsidR="00F04EEF" w:rsidRDefault="0099351E">
                        <w:pPr>
                          <w:snapToGrid w:val="0"/>
                          <w:rPr>
                            <w:rFonts w:ascii="Georgia" w:hAnsi="Georgia" w:cs="Arial"/>
                          </w:rPr>
                        </w:pPr>
                        <w:r>
                          <w:rPr>
                            <w:rFonts w:ascii="Georgia" w:hAnsi="Georgia" w:cs="Arial"/>
                          </w:rPr>
                          <w:t>6690 VIELSAM</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080/21.55.31</w:t>
                        </w:r>
                      </w:p>
                    </w:tc>
                    <w:tc>
                      <w:tcPr>
                        <w:tcW w:w="2759"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 xml:space="preserve">CPMS Libre </w:t>
                        </w:r>
                      </w:p>
                    </w:tc>
                    <w:tc>
                      <w:tcPr>
                        <w:tcW w:w="2861" w:type="dxa"/>
                        <w:vAlign w:val="center"/>
                      </w:tcPr>
                      <w:p w:rsidR="00F04EEF" w:rsidRDefault="0099351E">
                        <w:pPr>
                          <w:snapToGrid w:val="0"/>
                          <w:rPr>
                            <w:rFonts w:ascii="Georgia" w:hAnsi="Georgia" w:cs="Arial"/>
                          </w:rPr>
                        </w:pPr>
                        <w:r>
                          <w:rPr>
                            <w:rFonts w:ascii="Georgia" w:hAnsi="Georgia" w:cs="Arial"/>
                          </w:rPr>
                          <w:t>Rue des déportés, 129</w:t>
                        </w:r>
                      </w:p>
                    </w:tc>
                    <w:tc>
                      <w:tcPr>
                        <w:tcW w:w="2487" w:type="dxa"/>
                        <w:vAlign w:val="center"/>
                      </w:tcPr>
                      <w:p w:rsidR="00F04EEF" w:rsidRDefault="0099351E">
                        <w:pPr>
                          <w:snapToGrid w:val="0"/>
                          <w:rPr>
                            <w:rFonts w:ascii="Georgia" w:hAnsi="Georgia" w:cs="Arial"/>
                          </w:rPr>
                        </w:pPr>
                        <w:r>
                          <w:rPr>
                            <w:rFonts w:ascii="Georgia" w:hAnsi="Georgia" w:cs="Arial"/>
                          </w:rPr>
                          <w:t>6700 ARLON</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063/22.70.54</w:t>
                        </w:r>
                      </w:p>
                    </w:tc>
                    <w:tc>
                      <w:tcPr>
                        <w:tcW w:w="2759"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VIRTON I</w:t>
                        </w:r>
                      </w:p>
                    </w:tc>
                    <w:tc>
                      <w:tcPr>
                        <w:tcW w:w="2861" w:type="dxa"/>
                        <w:vAlign w:val="center"/>
                      </w:tcPr>
                      <w:p w:rsidR="00F04EEF" w:rsidRDefault="0099351E">
                        <w:pPr>
                          <w:snapToGrid w:val="0"/>
                          <w:rPr>
                            <w:rFonts w:ascii="Georgia" w:hAnsi="Georgia" w:cs="Arial"/>
                          </w:rPr>
                        </w:pPr>
                        <w:r>
                          <w:rPr>
                            <w:rFonts w:ascii="Georgia" w:hAnsi="Georgia" w:cs="Arial"/>
                          </w:rPr>
                          <w:t>Rue sur – le – Terme, 27</w:t>
                        </w:r>
                      </w:p>
                    </w:tc>
                    <w:tc>
                      <w:tcPr>
                        <w:tcW w:w="2487" w:type="dxa"/>
                        <w:vAlign w:val="center"/>
                      </w:tcPr>
                      <w:p w:rsidR="00F04EEF" w:rsidRDefault="0099351E">
                        <w:pPr>
                          <w:snapToGrid w:val="0"/>
                          <w:rPr>
                            <w:rFonts w:ascii="Georgia" w:hAnsi="Georgia" w:cs="Arial"/>
                          </w:rPr>
                        </w:pPr>
                        <w:r>
                          <w:rPr>
                            <w:rFonts w:ascii="Georgia" w:hAnsi="Georgia" w:cs="Arial"/>
                          </w:rPr>
                          <w:t>6760 VIRTON</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063/57.89.91</w:t>
                        </w:r>
                      </w:p>
                    </w:tc>
                    <w:tc>
                      <w:tcPr>
                        <w:tcW w:w="2759"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MARCHE II</w:t>
                        </w:r>
                      </w:p>
                    </w:tc>
                    <w:tc>
                      <w:tcPr>
                        <w:tcW w:w="2861" w:type="dxa"/>
                        <w:vAlign w:val="center"/>
                      </w:tcPr>
                      <w:p w:rsidR="00F04EEF" w:rsidRDefault="0099351E">
                        <w:pPr>
                          <w:snapToGrid w:val="0"/>
                          <w:rPr>
                            <w:rFonts w:ascii="Georgia" w:hAnsi="Georgia" w:cs="Arial"/>
                          </w:rPr>
                        </w:pPr>
                        <w:r>
                          <w:rPr>
                            <w:rFonts w:ascii="Georgia" w:hAnsi="Georgia" w:cs="Arial"/>
                          </w:rPr>
                          <w:t>Rue Erène, 1</w:t>
                        </w:r>
                      </w:p>
                    </w:tc>
                    <w:tc>
                      <w:tcPr>
                        <w:tcW w:w="2487" w:type="dxa"/>
                        <w:vAlign w:val="center"/>
                      </w:tcPr>
                      <w:p w:rsidR="00F04EEF" w:rsidRDefault="0099351E">
                        <w:pPr>
                          <w:snapToGrid w:val="0"/>
                          <w:rPr>
                            <w:rFonts w:ascii="Georgia" w:hAnsi="Georgia" w:cs="Arial"/>
                          </w:rPr>
                        </w:pPr>
                        <w:r>
                          <w:rPr>
                            <w:rFonts w:ascii="Georgia" w:hAnsi="Georgia" w:cs="Arial"/>
                          </w:rPr>
                          <w:t>6900 MARCHE</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084/32.06.80</w:t>
                        </w:r>
                      </w:p>
                    </w:tc>
                    <w:tc>
                      <w:tcPr>
                        <w:tcW w:w="2759"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CHARLEROI II</w:t>
                        </w:r>
                      </w:p>
                    </w:tc>
                    <w:tc>
                      <w:tcPr>
                        <w:tcW w:w="2861" w:type="dxa"/>
                        <w:vAlign w:val="center"/>
                      </w:tcPr>
                      <w:p w:rsidR="00F04EEF" w:rsidRDefault="0099351E">
                        <w:pPr>
                          <w:snapToGrid w:val="0"/>
                          <w:rPr>
                            <w:rFonts w:ascii="Georgia" w:hAnsi="Georgia" w:cs="Arial"/>
                          </w:rPr>
                        </w:pPr>
                        <w:r>
                          <w:rPr>
                            <w:rFonts w:ascii="Georgia" w:hAnsi="Georgia" w:cs="Arial"/>
                          </w:rPr>
                          <w:t>Route de Beaumont, 71</w:t>
                        </w:r>
                      </w:p>
                    </w:tc>
                    <w:tc>
                      <w:tcPr>
                        <w:tcW w:w="2487" w:type="dxa"/>
                        <w:vAlign w:val="center"/>
                      </w:tcPr>
                      <w:p w:rsidR="00F04EEF" w:rsidRDefault="0099351E">
                        <w:pPr>
                          <w:snapToGrid w:val="0"/>
                          <w:rPr>
                            <w:rFonts w:ascii="Georgia" w:hAnsi="Georgia" w:cs="Arial"/>
                          </w:rPr>
                        </w:pPr>
                        <w:r>
                          <w:rPr>
                            <w:rFonts w:ascii="Georgia" w:hAnsi="Georgia" w:cs="Arial"/>
                          </w:rPr>
                          <w:t xml:space="preserve">6030 MARCHIENNE–AU–PONT </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071/51.53.51</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CHARLEROI III</w:t>
                        </w:r>
                      </w:p>
                    </w:tc>
                    <w:tc>
                      <w:tcPr>
                        <w:tcW w:w="2861" w:type="dxa"/>
                        <w:vAlign w:val="center"/>
                      </w:tcPr>
                      <w:p w:rsidR="00F04EEF" w:rsidRDefault="0099351E">
                        <w:pPr>
                          <w:snapToGrid w:val="0"/>
                          <w:rPr>
                            <w:rFonts w:ascii="Georgia" w:hAnsi="Georgia" w:cs="Arial"/>
                          </w:rPr>
                        </w:pPr>
                        <w:r>
                          <w:rPr>
                            <w:rFonts w:ascii="Georgia" w:hAnsi="Georgia" w:cs="Arial"/>
                          </w:rPr>
                          <w:t>Rue de l’Est, 10</w:t>
                        </w:r>
                      </w:p>
                    </w:tc>
                    <w:tc>
                      <w:tcPr>
                        <w:tcW w:w="2487" w:type="dxa"/>
                        <w:vAlign w:val="center"/>
                      </w:tcPr>
                      <w:p w:rsidR="00F04EEF" w:rsidRDefault="0099351E">
                        <w:pPr>
                          <w:snapToGrid w:val="0"/>
                          <w:rPr>
                            <w:rFonts w:ascii="Georgia" w:hAnsi="Georgia" w:cs="Arial"/>
                          </w:rPr>
                        </w:pPr>
                        <w:r>
                          <w:rPr>
                            <w:rFonts w:ascii="Georgia" w:hAnsi="Georgia" w:cs="Arial"/>
                          </w:rPr>
                          <w:t>6041 GOSSELIES</w:t>
                        </w:r>
                      </w:p>
                    </w:tc>
                    <w:tc>
                      <w:tcPr>
                        <w:tcW w:w="1806" w:type="dxa"/>
                      </w:tcPr>
                      <w:p w:rsidR="00F04EEF" w:rsidRDefault="0099351E">
                        <w:pPr>
                          <w:snapToGrid w:val="0"/>
                          <w:rPr>
                            <w:rFonts w:ascii="Georgia" w:eastAsia="Times New Roman" w:hAnsi="Georgia" w:cs="Arial"/>
                            <w:lang w:eastAsia="fr-BE"/>
                          </w:rPr>
                        </w:pPr>
                        <w:r>
                          <w:rPr>
                            <w:rFonts w:ascii="Georgia" w:eastAsia="Times New Roman" w:hAnsi="Georgia" w:cs="Arial"/>
                            <w:lang w:eastAsia="fr-BE"/>
                          </w:rPr>
                          <w:t>071/51.63.84</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CHARLEROI IV</w:t>
                        </w:r>
                      </w:p>
                    </w:tc>
                    <w:tc>
                      <w:tcPr>
                        <w:tcW w:w="2861" w:type="dxa"/>
                        <w:vAlign w:val="center"/>
                      </w:tcPr>
                      <w:p w:rsidR="00F04EEF" w:rsidRDefault="0099351E">
                        <w:pPr>
                          <w:snapToGrid w:val="0"/>
                          <w:rPr>
                            <w:rFonts w:ascii="Georgia" w:hAnsi="Georgia" w:cs="Arial"/>
                          </w:rPr>
                        </w:pPr>
                        <w:r>
                          <w:rPr>
                            <w:rFonts w:ascii="Georgia" w:hAnsi="Georgia" w:cs="Arial"/>
                          </w:rPr>
                          <w:t>Route de Beaumont, 71</w:t>
                        </w:r>
                      </w:p>
                    </w:tc>
                    <w:tc>
                      <w:tcPr>
                        <w:tcW w:w="2487" w:type="dxa"/>
                        <w:vAlign w:val="center"/>
                      </w:tcPr>
                      <w:p w:rsidR="00F04EEF" w:rsidRDefault="0099351E">
                        <w:pPr>
                          <w:snapToGrid w:val="0"/>
                          <w:rPr>
                            <w:rFonts w:ascii="Georgia" w:hAnsi="Georgia" w:cs="Arial"/>
                          </w:rPr>
                        </w:pPr>
                        <w:r>
                          <w:rPr>
                            <w:rFonts w:ascii="Georgia" w:hAnsi="Georgia" w:cs="Arial"/>
                          </w:rPr>
                          <w:t>6030 MARCHIENNE- AU- PONT</w:t>
                        </w:r>
                      </w:p>
                    </w:tc>
                    <w:tc>
                      <w:tcPr>
                        <w:tcW w:w="1806" w:type="dxa"/>
                      </w:tcPr>
                      <w:p w:rsidR="00F04EEF" w:rsidRDefault="0099351E">
                        <w:pPr>
                          <w:snapToGrid w:val="0"/>
                          <w:rPr>
                            <w:rFonts w:ascii="Georgia" w:hAnsi="Georgia" w:cs="Arial"/>
                            <w:b/>
                            <w:bCs/>
                          </w:rPr>
                        </w:pPr>
                        <w:r>
                          <w:rPr>
                            <w:rFonts w:ascii="Georgia" w:eastAsia="Times New Roman" w:hAnsi="Georgia" w:cs="Arial"/>
                            <w:lang w:eastAsia="fr-BE"/>
                          </w:rPr>
                          <w:t>071/44.50.70</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CHARLEROI V</w:t>
                        </w:r>
                      </w:p>
                    </w:tc>
                    <w:tc>
                      <w:tcPr>
                        <w:tcW w:w="2861" w:type="dxa"/>
                        <w:vAlign w:val="center"/>
                      </w:tcPr>
                      <w:p w:rsidR="00F04EEF" w:rsidRDefault="0099351E">
                        <w:pPr>
                          <w:snapToGrid w:val="0"/>
                          <w:rPr>
                            <w:rFonts w:ascii="Georgia" w:hAnsi="Georgia" w:cs="Arial"/>
                          </w:rPr>
                        </w:pPr>
                        <w:r>
                          <w:rPr>
                            <w:rFonts w:ascii="Georgia" w:hAnsi="Georgia" w:cs="Arial"/>
                          </w:rPr>
                          <w:t>Rue de l’Est, 10</w:t>
                        </w:r>
                      </w:p>
                    </w:tc>
                    <w:tc>
                      <w:tcPr>
                        <w:tcW w:w="2487" w:type="dxa"/>
                        <w:vAlign w:val="center"/>
                      </w:tcPr>
                      <w:p w:rsidR="00F04EEF" w:rsidRDefault="0099351E">
                        <w:pPr>
                          <w:snapToGrid w:val="0"/>
                          <w:rPr>
                            <w:rFonts w:ascii="Georgia" w:hAnsi="Georgia" w:cs="Arial"/>
                          </w:rPr>
                        </w:pPr>
                        <w:r>
                          <w:rPr>
                            <w:rFonts w:ascii="Georgia" w:hAnsi="Georgia" w:cs="Arial"/>
                          </w:rPr>
                          <w:t>6041 GOSSELIES</w:t>
                        </w:r>
                      </w:p>
                    </w:tc>
                    <w:tc>
                      <w:tcPr>
                        <w:tcW w:w="1806" w:type="dxa"/>
                      </w:tcPr>
                      <w:p w:rsidR="00F04EEF" w:rsidRDefault="0099351E">
                        <w:pPr>
                          <w:snapToGrid w:val="0"/>
                          <w:rPr>
                            <w:rFonts w:ascii="Georgia" w:hAnsi="Georgia" w:cs="Arial"/>
                            <w:b/>
                            <w:bCs/>
                          </w:rPr>
                        </w:pPr>
                        <w:r>
                          <w:rPr>
                            <w:rFonts w:ascii="Georgia" w:eastAsia="Times New Roman" w:hAnsi="Georgia" w:cs="Arial"/>
                            <w:lang w:eastAsia="fr-BE"/>
                          </w:rPr>
                          <w:t>071/37.20.05</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 xml:space="preserve">CPMS Libre </w:t>
                        </w:r>
                      </w:p>
                    </w:tc>
                    <w:tc>
                      <w:tcPr>
                        <w:tcW w:w="2861" w:type="dxa"/>
                        <w:vAlign w:val="center"/>
                      </w:tcPr>
                      <w:p w:rsidR="00F04EEF" w:rsidRDefault="0099351E">
                        <w:pPr>
                          <w:snapToGrid w:val="0"/>
                          <w:rPr>
                            <w:rFonts w:ascii="Georgia" w:hAnsi="Georgia" w:cs="Arial"/>
                          </w:rPr>
                        </w:pPr>
                        <w:r>
                          <w:rPr>
                            <w:rFonts w:ascii="Georgia" w:hAnsi="Georgia" w:cs="Arial"/>
                          </w:rPr>
                          <w:t>Rue Fromenteau, 18</w:t>
                        </w:r>
                      </w:p>
                    </w:tc>
                    <w:tc>
                      <w:tcPr>
                        <w:tcW w:w="2487" w:type="dxa"/>
                        <w:vAlign w:val="center"/>
                      </w:tcPr>
                      <w:p w:rsidR="00F04EEF" w:rsidRDefault="0099351E">
                        <w:pPr>
                          <w:snapToGrid w:val="0"/>
                          <w:rPr>
                            <w:rFonts w:ascii="Georgia" w:hAnsi="Georgia" w:cs="Arial"/>
                          </w:rPr>
                        </w:pPr>
                        <w:r>
                          <w:rPr>
                            <w:rFonts w:ascii="Georgia" w:hAnsi="Georgia" w:cs="Arial"/>
                          </w:rPr>
                          <w:t>6460 CHIMAY</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060/21.14.17</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 xml:space="preserve">CPMS Libre </w:t>
                        </w:r>
                      </w:p>
                    </w:tc>
                    <w:tc>
                      <w:tcPr>
                        <w:tcW w:w="2861" w:type="dxa"/>
                        <w:vAlign w:val="center"/>
                      </w:tcPr>
                      <w:p w:rsidR="00F04EEF" w:rsidRDefault="0099351E">
                        <w:pPr>
                          <w:snapToGrid w:val="0"/>
                          <w:rPr>
                            <w:rFonts w:ascii="Georgia" w:hAnsi="Georgia" w:cs="Arial"/>
                          </w:rPr>
                        </w:pPr>
                        <w:r>
                          <w:rPr>
                            <w:rFonts w:ascii="Georgia" w:hAnsi="Georgia" w:cs="Arial"/>
                          </w:rPr>
                          <w:t>Rue des Combattants, 95</w:t>
                        </w:r>
                      </w:p>
                    </w:tc>
                    <w:tc>
                      <w:tcPr>
                        <w:tcW w:w="2487" w:type="dxa"/>
                        <w:vAlign w:val="center"/>
                      </w:tcPr>
                      <w:p w:rsidR="00F04EEF" w:rsidRDefault="0099351E">
                        <w:pPr>
                          <w:snapToGrid w:val="0"/>
                          <w:rPr>
                            <w:rFonts w:ascii="Georgia" w:hAnsi="Georgia" w:cs="Arial"/>
                          </w:rPr>
                        </w:pPr>
                        <w:r>
                          <w:rPr>
                            <w:rFonts w:ascii="Georgia" w:hAnsi="Georgia" w:cs="Arial"/>
                          </w:rPr>
                          <w:t xml:space="preserve">6560 ERQUELINNES </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071/55.66.56</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SOIGNIES II</w:t>
                        </w:r>
                      </w:p>
                    </w:tc>
                    <w:tc>
                      <w:tcPr>
                        <w:tcW w:w="2861" w:type="dxa"/>
                        <w:vAlign w:val="center"/>
                      </w:tcPr>
                      <w:p w:rsidR="00F04EEF" w:rsidRDefault="0099351E">
                        <w:pPr>
                          <w:snapToGrid w:val="0"/>
                          <w:rPr>
                            <w:rFonts w:ascii="Georgia" w:hAnsi="Georgia" w:cs="Arial"/>
                          </w:rPr>
                        </w:pPr>
                        <w:r>
                          <w:rPr>
                            <w:rFonts w:ascii="Georgia" w:hAnsi="Georgia" w:cs="Arial"/>
                          </w:rPr>
                          <w:t>Ruelle Scaffart</w:t>
                        </w:r>
                      </w:p>
                    </w:tc>
                    <w:tc>
                      <w:tcPr>
                        <w:tcW w:w="2487" w:type="dxa"/>
                        <w:vAlign w:val="center"/>
                      </w:tcPr>
                      <w:p w:rsidR="00F04EEF" w:rsidRDefault="0099351E">
                        <w:pPr>
                          <w:snapToGrid w:val="0"/>
                          <w:rPr>
                            <w:rFonts w:ascii="Georgia" w:hAnsi="Georgia" w:cs="Arial"/>
                          </w:rPr>
                        </w:pPr>
                        <w:r>
                          <w:rPr>
                            <w:rFonts w:ascii="Georgia" w:hAnsi="Georgia" w:cs="Arial"/>
                          </w:rPr>
                          <w:t>7060 SOIGNIES</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067/33.44.52</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638" w:type="dxa"/>
                      <w:cantSplit/>
                      <w:trHeight w:val="397"/>
                    </w:trPr>
                    <w:tc>
                      <w:tcPr>
                        <w:tcW w:w="2725" w:type="dxa"/>
                        <w:vAlign w:val="center"/>
                      </w:tcPr>
                      <w:p w:rsidR="00F04EEF" w:rsidRDefault="0099351E">
                        <w:pPr>
                          <w:snapToGrid w:val="0"/>
                          <w:rPr>
                            <w:rFonts w:ascii="Georgia" w:hAnsi="Georgia" w:cs="Arial"/>
                          </w:rPr>
                        </w:pPr>
                        <w:r>
                          <w:rPr>
                            <w:rFonts w:ascii="Georgia" w:hAnsi="Georgia" w:cs="Arial"/>
                          </w:rPr>
                          <w:t>CPMS Libre HORNU II</w:t>
                        </w:r>
                      </w:p>
                    </w:tc>
                    <w:tc>
                      <w:tcPr>
                        <w:tcW w:w="2861" w:type="dxa"/>
                        <w:vAlign w:val="center"/>
                      </w:tcPr>
                      <w:p w:rsidR="00F04EEF" w:rsidRDefault="0099351E">
                        <w:pPr>
                          <w:snapToGrid w:val="0"/>
                          <w:rPr>
                            <w:rFonts w:ascii="Georgia" w:hAnsi="Georgia" w:cs="Arial"/>
                          </w:rPr>
                        </w:pPr>
                        <w:r>
                          <w:rPr>
                            <w:rFonts w:ascii="Georgia" w:hAnsi="Georgia" w:cs="Arial"/>
                          </w:rPr>
                          <w:t>Rue A. Demot, 9</w:t>
                        </w:r>
                      </w:p>
                    </w:tc>
                    <w:tc>
                      <w:tcPr>
                        <w:tcW w:w="2487" w:type="dxa"/>
                        <w:vAlign w:val="center"/>
                      </w:tcPr>
                      <w:p w:rsidR="00F04EEF" w:rsidRDefault="0099351E">
                        <w:pPr>
                          <w:snapToGrid w:val="0"/>
                          <w:rPr>
                            <w:rFonts w:ascii="Georgia" w:hAnsi="Georgia" w:cs="Arial"/>
                          </w:rPr>
                        </w:pPr>
                        <w:r>
                          <w:rPr>
                            <w:rFonts w:ascii="Georgia" w:hAnsi="Georgia" w:cs="Arial"/>
                          </w:rPr>
                          <w:t>7301 HORNU</w:t>
                        </w:r>
                      </w:p>
                    </w:tc>
                    <w:tc>
                      <w:tcPr>
                        <w:tcW w:w="1806" w:type="dxa"/>
                      </w:tcPr>
                      <w:p w:rsidR="00F04EEF" w:rsidRDefault="0099351E">
                        <w:pPr>
                          <w:rPr>
                            <w:rFonts w:ascii="Georgia" w:eastAsia="Times New Roman" w:hAnsi="Georgia" w:cs="Arial"/>
                            <w:lang w:eastAsia="fr-BE"/>
                          </w:rPr>
                        </w:pPr>
                        <w:r>
                          <w:rPr>
                            <w:rFonts w:ascii="Georgia" w:eastAsia="Times New Roman" w:hAnsi="Georgia" w:cs="Arial"/>
                            <w:lang w:eastAsia="fr-BE"/>
                          </w:rPr>
                          <w:t>065/80.34.74</w:t>
                        </w:r>
                      </w:p>
                    </w:tc>
                    <w:tc>
                      <w:tcPr>
                        <w:tcW w:w="2759" w:type="dxa"/>
                      </w:tcPr>
                      <w:p w:rsidR="00F04EEF" w:rsidRDefault="0099351E">
                        <w:pPr>
                          <w:snapToGrid w:val="0"/>
                          <w:jc w:val="center"/>
                          <w:rPr>
                            <w:rFonts w:ascii="Georgia" w:hAnsi="Georgia" w:cs="Arial"/>
                            <w:b/>
                            <w:bCs/>
                          </w:rPr>
                        </w:pPr>
                        <w:r>
                          <w:rPr>
                            <w:rFonts w:ascii="Georgia" w:hAnsi="Georgia" w:cs="Arial"/>
                            <w:b/>
                            <w:bCs/>
                          </w:rPr>
                          <w:t>Province du Hainaut</w:t>
                        </w:r>
                      </w:p>
                    </w:tc>
                  </w:tr>
                </w:tbl>
                <w:p w:rsidR="00F04EEF" w:rsidRDefault="00F04EEF">
                  <w:pPr>
                    <w:rPr>
                      <w:b/>
                      <w:u w:val="single"/>
                    </w:rPr>
                  </w:pPr>
                </w:p>
                <w:p w:rsidR="00F04EEF" w:rsidRDefault="0099351E">
                  <w:pPr>
                    <w:pStyle w:val="Titre4"/>
                  </w:pPr>
                  <w:bookmarkStart w:id="3560" w:name="_Annexe_5_:_4"/>
                  <w:bookmarkEnd w:id="3560"/>
                  <w:r>
                    <w:br w:type="page"/>
                    <w:t>Annexe 5 : Liste des centres psycho-medico-sociaux de l’enseignement ORDINAIRE</w:t>
                  </w:r>
                </w:p>
                <w:p w:rsidR="00F04EEF" w:rsidRDefault="00F04EEF">
                  <w:pPr>
                    <w:ind w:right="391"/>
                    <w:rPr>
                      <w:rFonts w:ascii="Arial" w:hAnsi="Arial" w:cs="Arial"/>
                      <w:b/>
                      <w:bCs/>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7"/>
                    <w:gridCol w:w="2802"/>
                    <w:gridCol w:w="2328"/>
                    <w:gridCol w:w="1594"/>
                    <w:gridCol w:w="3562"/>
                    <w:gridCol w:w="1588"/>
                  </w:tblGrid>
                  <w:tr w:rsidR="00F04EEF">
                    <w:trPr>
                      <w:cantSplit/>
                      <w:trHeight w:val="397"/>
                    </w:trPr>
                    <w:tc>
                      <w:tcPr>
                        <w:tcW w:w="15021" w:type="dxa"/>
                        <w:gridSpan w:val="6"/>
                        <w:shd w:val="clear" w:color="auto" w:fill="EEECE1" w:themeFill="background2"/>
                      </w:tcPr>
                      <w:p w:rsidR="00F04EEF" w:rsidRDefault="0099351E">
                        <w:pPr>
                          <w:ind w:right="391"/>
                          <w:jc w:val="center"/>
                          <w:rPr>
                            <w:rFonts w:ascii="Georgia" w:hAnsi="Georgia" w:cs="Arial"/>
                            <w:b/>
                            <w:bCs/>
                            <w:sz w:val="36"/>
                            <w:szCs w:val="36"/>
                          </w:rPr>
                        </w:pPr>
                        <w:r>
                          <w:rPr>
                            <w:rFonts w:ascii="Georgia" w:hAnsi="Georgia" w:cs="Arial"/>
                            <w:b/>
                            <w:bCs/>
                            <w:sz w:val="36"/>
                            <w:szCs w:val="36"/>
                          </w:rPr>
                          <w:t>CPMS ORDINAIRE</w:t>
                        </w:r>
                      </w:p>
                      <w:p w:rsidR="00F04EEF" w:rsidRDefault="00F04EEF">
                        <w:pPr>
                          <w:ind w:right="391"/>
                          <w:jc w:val="center"/>
                          <w:rPr>
                            <w:rFonts w:ascii="Georgia" w:hAnsi="Georgia" w:cs="Arial"/>
                            <w:b/>
                            <w:bCs/>
                          </w:rPr>
                        </w:pPr>
                      </w:p>
                    </w:tc>
                  </w:tr>
                  <w:tr w:rsidR="00F04EEF">
                    <w:trPr>
                      <w:gridAfter w:val="1"/>
                      <w:wAfter w:w="1588" w:type="dxa"/>
                      <w:cantSplit/>
                      <w:trHeight w:val="397"/>
                    </w:trPr>
                    <w:tc>
                      <w:tcPr>
                        <w:tcW w:w="3147" w:type="dxa"/>
                      </w:tcPr>
                      <w:p w:rsidR="00F04EEF" w:rsidRDefault="0099351E">
                        <w:pPr>
                          <w:ind w:right="391"/>
                          <w:jc w:val="center"/>
                          <w:rPr>
                            <w:rFonts w:ascii="Georgia" w:hAnsi="Georgia" w:cs="Arial"/>
                            <w:b/>
                            <w:bCs/>
                          </w:rPr>
                        </w:pPr>
                        <w:r>
                          <w:rPr>
                            <w:rFonts w:ascii="Georgia" w:hAnsi="Georgia" w:cs="Arial"/>
                            <w:b/>
                            <w:bCs/>
                          </w:rPr>
                          <w:t>Nom</w:t>
                        </w:r>
                      </w:p>
                    </w:tc>
                    <w:tc>
                      <w:tcPr>
                        <w:tcW w:w="2802" w:type="dxa"/>
                      </w:tcPr>
                      <w:p w:rsidR="00F04EEF" w:rsidRDefault="0099351E">
                        <w:pPr>
                          <w:ind w:right="391"/>
                          <w:jc w:val="center"/>
                          <w:rPr>
                            <w:rFonts w:ascii="Georgia" w:hAnsi="Georgia" w:cs="Arial"/>
                            <w:b/>
                            <w:bCs/>
                          </w:rPr>
                        </w:pPr>
                        <w:r>
                          <w:rPr>
                            <w:rFonts w:ascii="Georgia" w:hAnsi="Georgia" w:cs="Arial"/>
                            <w:b/>
                            <w:bCs/>
                          </w:rPr>
                          <w:t>Adresse</w:t>
                        </w:r>
                      </w:p>
                    </w:tc>
                    <w:tc>
                      <w:tcPr>
                        <w:tcW w:w="2328" w:type="dxa"/>
                      </w:tcPr>
                      <w:p w:rsidR="00F04EEF" w:rsidRDefault="0099351E">
                        <w:pPr>
                          <w:ind w:right="391"/>
                          <w:jc w:val="center"/>
                          <w:rPr>
                            <w:rFonts w:ascii="Georgia" w:hAnsi="Georgia" w:cs="Arial"/>
                            <w:b/>
                            <w:bCs/>
                          </w:rPr>
                        </w:pPr>
                        <w:r>
                          <w:rPr>
                            <w:rFonts w:ascii="Georgia" w:hAnsi="Georgia" w:cs="Arial"/>
                            <w:b/>
                            <w:bCs/>
                          </w:rPr>
                          <w:t>Localité</w:t>
                        </w:r>
                      </w:p>
                    </w:tc>
                    <w:tc>
                      <w:tcPr>
                        <w:tcW w:w="1594" w:type="dxa"/>
                      </w:tcPr>
                      <w:p w:rsidR="00F04EEF" w:rsidRDefault="0099351E">
                        <w:pPr>
                          <w:spacing w:before="120"/>
                          <w:jc w:val="center"/>
                          <w:rPr>
                            <w:rFonts w:ascii="Georgia" w:hAnsi="Georgia" w:cs="Arial"/>
                            <w:b/>
                          </w:rPr>
                        </w:pPr>
                        <w:r>
                          <w:rPr>
                            <w:rFonts w:ascii="Georgia" w:hAnsi="Georgia" w:cs="Arial"/>
                            <w:b/>
                          </w:rPr>
                          <w:t>Tel.</w:t>
                        </w:r>
                      </w:p>
                    </w:tc>
                    <w:tc>
                      <w:tcPr>
                        <w:tcW w:w="3562" w:type="dxa"/>
                      </w:tcPr>
                      <w:p w:rsidR="00F04EEF" w:rsidRDefault="0099351E">
                        <w:pPr>
                          <w:jc w:val="center"/>
                          <w:rPr>
                            <w:rFonts w:ascii="Georgia" w:hAnsi="Georgia" w:cs="Arial"/>
                            <w:b/>
                            <w:bCs/>
                          </w:rPr>
                        </w:pPr>
                        <w:r>
                          <w:rPr>
                            <w:rFonts w:ascii="Georgia" w:hAnsi="Georgia" w:cs="Arial"/>
                            <w:b/>
                            <w:bCs/>
                          </w:rPr>
                          <w:t>Arrondissement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Communal II </w:t>
                        </w:r>
                      </w:p>
                    </w:tc>
                    <w:tc>
                      <w:tcPr>
                        <w:tcW w:w="2802" w:type="dxa"/>
                        <w:vAlign w:val="center"/>
                      </w:tcPr>
                      <w:p w:rsidR="00F04EEF" w:rsidRDefault="0099351E">
                        <w:pPr>
                          <w:snapToGrid w:val="0"/>
                          <w:rPr>
                            <w:rFonts w:ascii="Georgia" w:hAnsi="Georgia" w:cs="Arial"/>
                          </w:rPr>
                        </w:pPr>
                        <w:r>
                          <w:rPr>
                            <w:rFonts w:ascii="Georgia" w:hAnsi="Georgia" w:cs="Arial"/>
                          </w:rPr>
                          <w:t xml:space="preserve">Rue Melsens, 38 </w:t>
                        </w:r>
                      </w:p>
                    </w:tc>
                    <w:tc>
                      <w:tcPr>
                        <w:tcW w:w="2328" w:type="dxa"/>
                        <w:vAlign w:val="center"/>
                      </w:tcPr>
                      <w:p w:rsidR="00F04EEF" w:rsidRDefault="0099351E">
                        <w:pPr>
                          <w:snapToGrid w:val="0"/>
                          <w:rPr>
                            <w:rFonts w:ascii="Georgia" w:hAnsi="Georgia" w:cs="Arial"/>
                          </w:rPr>
                        </w:pPr>
                        <w:r>
                          <w:rPr>
                            <w:rFonts w:ascii="Georgia" w:hAnsi="Georgia" w:cs="Arial"/>
                          </w:rPr>
                          <w:t xml:space="preserve">1000 BRUXELLES </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02/276.63.20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Communal III </w:t>
                        </w:r>
                      </w:p>
                    </w:tc>
                    <w:tc>
                      <w:tcPr>
                        <w:tcW w:w="2802" w:type="dxa"/>
                        <w:vAlign w:val="center"/>
                      </w:tcPr>
                      <w:p w:rsidR="00F04EEF" w:rsidRDefault="0099351E">
                        <w:pPr>
                          <w:snapToGrid w:val="0"/>
                          <w:rPr>
                            <w:rFonts w:ascii="Georgia" w:hAnsi="Georgia" w:cs="Arial"/>
                          </w:rPr>
                        </w:pPr>
                        <w:r>
                          <w:rPr>
                            <w:rFonts w:ascii="Georgia" w:hAnsi="Georgia" w:cs="Arial"/>
                          </w:rPr>
                          <w:t>Quai aux barques, 6</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02/210.18.10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Communal IV</w:t>
                        </w:r>
                      </w:p>
                    </w:tc>
                    <w:tc>
                      <w:tcPr>
                        <w:tcW w:w="2802" w:type="dxa"/>
                        <w:vAlign w:val="center"/>
                      </w:tcPr>
                      <w:p w:rsidR="00F04EEF" w:rsidRDefault="0099351E">
                        <w:pPr>
                          <w:snapToGrid w:val="0"/>
                          <w:rPr>
                            <w:rFonts w:ascii="Georgia" w:hAnsi="Georgia" w:cs="Arial"/>
                          </w:rPr>
                        </w:pPr>
                        <w:r>
                          <w:rPr>
                            <w:rFonts w:ascii="Georgia" w:hAnsi="Georgia" w:cs="Arial"/>
                          </w:rPr>
                          <w:t>Rue Philippe de Champagne, 52</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02/548.05.10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BRUXELLES I</w:t>
                        </w:r>
                      </w:p>
                    </w:tc>
                    <w:tc>
                      <w:tcPr>
                        <w:tcW w:w="2802" w:type="dxa"/>
                        <w:vAlign w:val="center"/>
                      </w:tcPr>
                      <w:p w:rsidR="00F04EEF" w:rsidRDefault="0099351E">
                        <w:pPr>
                          <w:snapToGrid w:val="0"/>
                          <w:rPr>
                            <w:rFonts w:ascii="Georgia" w:hAnsi="Georgia" w:cs="Arial"/>
                          </w:rPr>
                        </w:pPr>
                        <w:r>
                          <w:rPr>
                            <w:rFonts w:ascii="Georgia" w:hAnsi="Georgia" w:cs="Arial"/>
                          </w:rPr>
                          <w:t>Rue de Dinant, 39</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02/512.98.36</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BRUXELLES II</w:t>
                        </w:r>
                      </w:p>
                    </w:tc>
                    <w:tc>
                      <w:tcPr>
                        <w:tcW w:w="2802" w:type="dxa"/>
                        <w:vAlign w:val="center"/>
                      </w:tcPr>
                      <w:p w:rsidR="00F04EEF" w:rsidRDefault="0099351E">
                        <w:pPr>
                          <w:snapToGrid w:val="0"/>
                          <w:rPr>
                            <w:rFonts w:ascii="Georgia" w:hAnsi="Georgia" w:cs="Arial"/>
                          </w:rPr>
                        </w:pPr>
                        <w:r>
                          <w:rPr>
                            <w:rFonts w:ascii="Georgia" w:hAnsi="Georgia" w:cs="Arial"/>
                          </w:rPr>
                          <w:t>Rue de Dinant, 39</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02/512.87.17</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BRUXELLES Sud</w:t>
                        </w:r>
                      </w:p>
                    </w:tc>
                    <w:tc>
                      <w:tcPr>
                        <w:tcW w:w="2802" w:type="dxa"/>
                        <w:vAlign w:val="center"/>
                      </w:tcPr>
                      <w:p w:rsidR="00F04EEF" w:rsidRDefault="0099351E">
                        <w:pPr>
                          <w:snapToGrid w:val="0"/>
                          <w:rPr>
                            <w:rFonts w:ascii="Georgia" w:hAnsi="Georgia" w:cs="Arial"/>
                          </w:rPr>
                        </w:pPr>
                        <w:r>
                          <w:rPr>
                            <w:rFonts w:ascii="Georgia" w:hAnsi="Georgia" w:cs="Arial"/>
                          </w:rPr>
                          <w:t>Rue de Dinant, 39</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02/344.57.54</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BRUXELLES Nord</w:t>
                        </w:r>
                      </w:p>
                    </w:tc>
                    <w:tc>
                      <w:tcPr>
                        <w:tcW w:w="2802" w:type="dxa"/>
                        <w:vAlign w:val="center"/>
                      </w:tcPr>
                      <w:p w:rsidR="00F04EEF" w:rsidRDefault="0099351E">
                        <w:pPr>
                          <w:snapToGrid w:val="0"/>
                          <w:rPr>
                            <w:rFonts w:ascii="Georgia" w:hAnsi="Georgia" w:cs="Arial"/>
                          </w:rPr>
                        </w:pPr>
                        <w:r>
                          <w:rPr>
                            <w:rFonts w:ascii="Georgia" w:hAnsi="Georgia" w:cs="Arial"/>
                          </w:rPr>
                          <w:t>Rue de Dinant, 39</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02/512.87.17</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BRUXELLES Nord Ouest</w:t>
                        </w:r>
                      </w:p>
                    </w:tc>
                    <w:tc>
                      <w:tcPr>
                        <w:tcW w:w="2802" w:type="dxa"/>
                        <w:vAlign w:val="center"/>
                      </w:tcPr>
                      <w:p w:rsidR="00F04EEF" w:rsidRDefault="0099351E">
                        <w:pPr>
                          <w:snapToGrid w:val="0"/>
                          <w:rPr>
                            <w:rFonts w:ascii="Georgia" w:hAnsi="Georgia" w:cs="Arial"/>
                          </w:rPr>
                        </w:pPr>
                        <w:r>
                          <w:rPr>
                            <w:rFonts w:ascii="Georgia" w:hAnsi="Georgia" w:cs="Arial"/>
                          </w:rPr>
                          <w:t>Rue de Dinant, 39</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02/512.65.78</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Communal I</w:t>
                        </w:r>
                      </w:p>
                    </w:tc>
                    <w:tc>
                      <w:tcPr>
                        <w:tcW w:w="2802" w:type="dxa"/>
                        <w:vAlign w:val="center"/>
                      </w:tcPr>
                      <w:p w:rsidR="00F04EEF" w:rsidRDefault="0099351E">
                        <w:pPr>
                          <w:snapToGrid w:val="0"/>
                          <w:rPr>
                            <w:rFonts w:ascii="Georgia" w:hAnsi="Georgia" w:cs="Arial"/>
                          </w:rPr>
                        </w:pPr>
                        <w:r>
                          <w:rPr>
                            <w:rFonts w:ascii="Georgia" w:hAnsi="Georgia" w:cs="Arial"/>
                          </w:rPr>
                          <w:t>Rue Melsens,38</w:t>
                        </w:r>
                      </w:p>
                    </w:tc>
                    <w:tc>
                      <w:tcPr>
                        <w:tcW w:w="2328" w:type="dxa"/>
                        <w:vAlign w:val="center"/>
                      </w:tcPr>
                      <w:p w:rsidR="00F04EEF" w:rsidRDefault="0099351E">
                        <w:pPr>
                          <w:snapToGrid w:val="0"/>
                          <w:rPr>
                            <w:rFonts w:ascii="Georgia" w:hAnsi="Georgia" w:cs="Arial"/>
                          </w:rPr>
                        </w:pPr>
                        <w:r>
                          <w:rPr>
                            <w:rFonts w:ascii="Georgia" w:hAnsi="Georgia" w:cs="Arial"/>
                          </w:rPr>
                          <w:t>1000 BRUXELLES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02/279.63.00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Communal</w:t>
                        </w:r>
                      </w:p>
                    </w:tc>
                    <w:tc>
                      <w:tcPr>
                        <w:tcW w:w="2802" w:type="dxa"/>
                        <w:vAlign w:val="center"/>
                      </w:tcPr>
                      <w:p w:rsidR="00F04EEF" w:rsidRDefault="0099351E">
                        <w:pPr>
                          <w:snapToGrid w:val="0"/>
                          <w:rPr>
                            <w:rFonts w:ascii="Georgia" w:hAnsi="Georgia" w:cs="Arial"/>
                          </w:rPr>
                        </w:pPr>
                        <w:r>
                          <w:rPr>
                            <w:rFonts w:ascii="Georgia" w:hAnsi="Georgia" w:cs="Arial"/>
                          </w:rPr>
                          <w:t>Rue Vifquin, 2</w:t>
                        </w:r>
                      </w:p>
                    </w:tc>
                    <w:tc>
                      <w:tcPr>
                        <w:tcW w:w="2328" w:type="dxa"/>
                        <w:vAlign w:val="center"/>
                      </w:tcPr>
                      <w:p w:rsidR="00F04EEF" w:rsidRDefault="0099351E">
                        <w:pPr>
                          <w:snapToGrid w:val="0"/>
                          <w:rPr>
                            <w:rFonts w:ascii="Georgia" w:hAnsi="Georgia" w:cs="Arial"/>
                          </w:rPr>
                        </w:pPr>
                        <w:r>
                          <w:rPr>
                            <w:rFonts w:ascii="Georgia" w:hAnsi="Georgia" w:cs="Arial"/>
                          </w:rPr>
                          <w:t>1030 SCHAERBEEK</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02/240.32.64</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du onze Novembre, 57</w:t>
                        </w:r>
                      </w:p>
                    </w:tc>
                    <w:tc>
                      <w:tcPr>
                        <w:tcW w:w="2328" w:type="dxa"/>
                        <w:vAlign w:val="center"/>
                      </w:tcPr>
                      <w:p w:rsidR="00F04EEF" w:rsidRDefault="0099351E">
                        <w:pPr>
                          <w:snapToGrid w:val="0"/>
                          <w:rPr>
                            <w:rFonts w:ascii="Georgia" w:hAnsi="Georgia" w:cs="Arial"/>
                          </w:rPr>
                        </w:pPr>
                        <w:r>
                          <w:rPr>
                            <w:rFonts w:ascii="Georgia" w:hAnsi="Georgia" w:cs="Arial"/>
                          </w:rPr>
                          <w:t>1040 ETTERBEEK</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02/513.20.55</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SAINT-GILLES I</w:t>
                        </w:r>
                      </w:p>
                    </w:tc>
                    <w:tc>
                      <w:tcPr>
                        <w:tcW w:w="2802" w:type="dxa"/>
                        <w:vAlign w:val="center"/>
                      </w:tcPr>
                      <w:p w:rsidR="00F04EEF" w:rsidRDefault="0099351E">
                        <w:pPr>
                          <w:snapToGrid w:val="0"/>
                          <w:rPr>
                            <w:rFonts w:ascii="Georgia" w:hAnsi="Georgia" w:cs="Arial"/>
                          </w:rPr>
                        </w:pPr>
                        <w:r>
                          <w:rPr>
                            <w:rFonts w:ascii="Georgia" w:hAnsi="Georgia" w:cs="Arial"/>
                          </w:rPr>
                          <w:t>Rue de l’Eglise, 59</w:t>
                        </w:r>
                      </w:p>
                    </w:tc>
                    <w:tc>
                      <w:tcPr>
                        <w:tcW w:w="2328" w:type="dxa"/>
                        <w:vAlign w:val="center"/>
                      </w:tcPr>
                      <w:p w:rsidR="00F04EEF" w:rsidRDefault="0099351E">
                        <w:pPr>
                          <w:snapToGrid w:val="0"/>
                          <w:rPr>
                            <w:rFonts w:ascii="Georgia" w:hAnsi="Georgia" w:cs="Arial"/>
                          </w:rPr>
                        </w:pPr>
                        <w:r>
                          <w:rPr>
                            <w:rFonts w:ascii="Georgia" w:hAnsi="Georgia" w:cs="Arial"/>
                          </w:rPr>
                          <w:t>1060 SAINT-GILLES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02/541.81.48</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SAINT-GILLES II</w:t>
                        </w:r>
                      </w:p>
                    </w:tc>
                    <w:tc>
                      <w:tcPr>
                        <w:tcW w:w="2802" w:type="dxa"/>
                        <w:vAlign w:val="center"/>
                      </w:tcPr>
                      <w:p w:rsidR="00F04EEF" w:rsidRDefault="0099351E">
                        <w:pPr>
                          <w:snapToGrid w:val="0"/>
                          <w:rPr>
                            <w:rFonts w:ascii="Georgia" w:hAnsi="Georgia" w:cs="Arial"/>
                          </w:rPr>
                        </w:pPr>
                        <w:r>
                          <w:rPr>
                            <w:rFonts w:ascii="Georgia" w:hAnsi="Georgia" w:cs="Arial"/>
                          </w:rPr>
                          <w:t>Rue de l’Eglise, 59</w:t>
                        </w:r>
                      </w:p>
                    </w:tc>
                    <w:tc>
                      <w:tcPr>
                        <w:tcW w:w="2328" w:type="dxa"/>
                        <w:vAlign w:val="center"/>
                      </w:tcPr>
                      <w:p w:rsidR="00F04EEF" w:rsidRDefault="0099351E">
                        <w:pPr>
                          <w:snapToGrid w:val="0"/>
                          <w:rPr>
                            <w:rFonts w:ascii="Georgia" w:hAnsi="Georgia" w:cs="Arial"/>
                          </w:rPr>
                        </w:pPr>
                        <w:r>
                          <w:rPr>
                            <w:rFonts w:ascii="Georgia" w:hAnsi="Georgia" w:cs="Arial"/>
                          </w:rPr>
                          <w:t>1060 SAINT-GILLES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02/541.81.38</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SAINT-GILLES III</w:t>
                        </w:r>
                      </w:p>
                    </w:tc>
                    <w:tc>
                      <w:tcPr>
                        <w:tcW w:w="2802" w:type="dxa"/>
                        <w:vAlign w:val="center"/>
                      </w:tcPr>
                      <w:p w:rsidR="00F04EEF" w:rsidRDefault="0099351E">
                        <w:pPr>
                          <w:snapToGrid w:val="0"/>
                          <w:rPr>
                            <w:rFonts w:ascii="Georgia" w:hAnsi="Georgia" w:cs="Arial"/>
                          </w:rPr>
                        </w:pPr>
                        <w:r>
                          <w:rPr>
                            <w:rFonts w:ascii="Georgia" w:hAnsi="Georgia" w:cs="Arial"/>
                          </w:rPr>
                          <w:t>Rue de l’Eglise, 59</w:t>
                        </w:r>
                      </w:p>
                    </w:tc>
                    <w:tc>
                      <w:tcPr>
                        <w:tcW w:w="2328" w:type="dxa"/>
                        <w:vAlign w:val="center"/>
                      </w:tcPr>
                      <w:p w:rsidR="00F04EEF" w:rsidRDefault="0099351E">
                        <w:pPr>
                          <w:snapToGrid w:val="0"/>
                          <w:rPr>
                            <w:rFonts w:ascii="Georgia" w:hAnsi="Georgia" w:cs="Arial"/>
                          </w:rPr>
                        </w:pPr>
                        <w:r>
                          <w:rPr>
                            <w:rFonts w:ascii="Georgia" w:hAnsi="Georgia" w:cs="Arial"/>
                          </w:rPr>
                          <w:t>1060 SAINT-GILLES</w:t>
                        </w:r>
                      </w:p>
                    </w:tc>
                    <w:tc>
                      <w:tcPr>
                        <w:tcW w:w="1594" w:type="dxa"/>
                      </w:tcPr>
                      <w:p w:rsidR="00F04EEF" w:rsidRDefault="0099351E">
                        <w:pPr>
                          <w:snapToGrid w:val="0"/>
                          <w:rPr>
                            <w:rFonts w:ascii="Georgia" w:eastAsia="Times New Roman" w:hAnsi="Georgia" w:cs="Arial"/>
                            <w:lang w:eastAsia="fr-BE"/>
                          </w:rPr>
                        </w:pPr>
                        <w:r>
                          <w:rPr>
                            <w:rFonts w:ascii="Georgia" w:eastAsia="Times New Roman" w:hAnsi="Georgia" w:cs="Arial"/>
                            <w:lang w:eastAsia="fr-BE"/>
                          </w:rPr>
                          <w:t>02/541.81.48</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Marie de Hongrie, 60A</w:t>
                        </w:r>
                      </w:p>
                    </w:tc>
                    <w:tc>
                      <w:tcPr>
                        <w:tcW w:w="2328" w:type="dxa"/>
                        <w:vAlign w:val="center"/>
                      </w:tcPr>
                      <w:p w:rsidR="00F04EEF" w:rsidRDefault="0099351E">
                        <w:pPr>
                          <w:snapToGrid w:val="0"/>
                          <w:rPr>
                            <w:rFonts w:ascii="Georgia" w:hAnsi="Georgia" w:cs="Arial"/>
                          </w:rPr>
                        </w:pPr>
                        <w:r>
                          <w:rPr>
                            <w:rFonts w:ascii="Georgia" w:hAnsi="Georgia" w:cs="Arial"/>
                          </w:rPr>
                          <w:t>1083 GANSHOREN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02/468.39.38</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Communal  </w:t>
                        </w:r>
                      </w:p>
                    </w:tc>
                    <w:tc>
                      <w:tcPr>
                        <w:tcW w:w="2802" w:type="dxa"/>
                        <w:vAlign w:val="center"/>
                      </w:tcPr>
                      <w:p w:rsidR="00F04EEF" w:rsidRDefault="0099351E">
                        <w:pPr>
                          <w:snapToGrid w:val="0"/>
                          <w:rPr>
                            <w:rFonts w:ascii="Georgia" w:hAnsi="Georgia" w:cs="Arial"/>
                          </w:rPr>
                        </w:pPr>
                        <w:r>
                          <w:rPr>
                            <w:rFonts w:ascii="Georgia" w:hAnsi="Georgia" w:cs="Arial"/>
                          </w:rPr>
                          <w:t>Chaussée de St-Job, 683</w:t>
                        </w:r>
                      </w:p>
                    </w:tc>
                    <w:tc>
                      <w:tcPr>
                        <w:tcW w:w="2328" w:type="dxa"/>
                        <w:vAlign w:val="center"/>
                      </w:tcPr>
                      <w:p w:rsidR="00F04EEF" w:rsidRDefault="0099351E">
                        <w:pPr>
                          <w:snapToGrid w:val="0"/>
                          <w:rPr>
                            <w:rFonts w:ascii="Georgia" w:hAnsi="Georgia" w:cs="Arial"/>
                          </w:rPr>
                        </w:pPr>
                        <w:r>
                          <w:rPr>
                            <w:rFonts w:ascii="Georgia" w:hAnsi="Georgia" w:cs="Arial"/>
                          </w:rPr>
                          <w:t>1180 UCCLE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02/348.65.25</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UCCLE A</w:t>
                        </w:r>
                      </w:p>
                    </w:tc>
                    <w:tc>
                      <w:tcPr>
                        <w:tcW w:w="2802" w:type="dxa"/>
                        <w:vAlign w:val="center"/>
                      </w:tcPr>
                      <w:p w:rsidR="00F04EEF" w:rsidRDefault="0099351E">
                        <w:pPr>
                          <w:snapToGrid w:val="0"/>
                          <w:rPr>
                            <w:rFonts w:ascii="Georgia" w:hAnsi="Georgia" w:cs="Arial"/>
                          </w:rPr>
                        </w:pPr>
                        <w:r>
                          <w:rPr>
                            <w:rFonts w:ascii="Georgia" w:hAnsi="Georgia" w:cs="Arial"/>
                          </w:rPr>
                          <w:t>Avenue J. et P. Carsoel, 2</w:t>
                        </w:r>
                      </w:p>
                    </w:tc>
                    <w:tc>
                      <w:tcPr>
                        <w:tcW w:w="2328" w:type="dxa"/>
                        <w:vAlign w:val="center"/>
                      </w:tcPr>
                      <w:p w:rsidR="00F04EEF" w:rsidRDefault="0099351E">
                        <w:pPr>
                          <w:snapToGrid w:val="0"/>
                          <w:rPr>
                            <w:rFonts w:ascii="Georgia" w:hAnsi="Georgia" w:cs="Arial"/>
                          </w:rPr>
                        </w:pPr>
                        <w:r>
                          <w:rPr>
                            <w:rFonts w:ascii="Georgia" w:hAnsi="Georgia" w:cs="Arial"/>
                          </w:rPr>
                          <w:t>1180 UCCLE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02/374.72.79</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UCCLE B</w:t>
                        </w:r>
                      </w:p>
                    </w:tc>
                    <w:tc>
                      <w:tcPr>
                        <w:tcW w:w="2802" w:type="dxa"/>
                        <w:vAlign w:val="center"/>
                      </w:tcPr>
                      <w:p w:rsidR="00F04EEF" w:rsidRDefault="0099351E">
                        <w:pPr>
                          <w:snapToGrid w:val="0"/>
                          <w:rPr>
                            <w:rFonts w:ascii="Georgia" w:hAnsi="Georgia" w:cs="Arial"/>
                          </w:rPr>
                        </w:pPr>
                        <w:r>
                          <w:rPr>
                            <w:rFonts w:ascii="Georgia" w:hAnsi="Georgia" w:cs="Arial"/>
                          </w:rPr>
                          <w:t>Avenue Coghen, 217</w:t>
                        </w:r>
                      </w:p>
                    </w:tc>
                    <w:tc>
                      <w:tcPr>
                        <w:tcW w:w="2328" w:type="dxa"/>
                        <w:vAlign w:val="center"/>
                      </w:tcPr>
                      <w:p w:rsidR="00F04EEF" w:rsidRDefault="0099351E">
                        <w:pPr>
                          <w:snapToGrid w:val="0"/>
                          <w:rPr>
                            <w:rFonts w:ascii="Georgia" w:hAnsi="Georgia" w:cs="Arial"/>
                          </w:rPr>
                        </w:pPr>
                        <w:r>
                          <w:rPr>
                            <w:rFonts w:ascii="Georgia" w:hAnsi="Georgia" w:cs="Arial"/>
                          </w:rPr>
                          <w:t>1180 UCCLE</w:t>
                        </w:r>
                      </w:p>
                    </w:tc>
                    <w:tc>
                      <w:tcPr>
                        <w:tcW w:w="1594" w:type="dxa"/>
                      </w:tcPr>
                      <w:p w:rsidR="00F04EEF" w:rsidRDefault="0099351E">
                        <w:pPr>
                          <w:snapToGrid w:val="0"/>
                          <w:jc w:val="center"/>
                          <w:rPr>
                            <w:rFonts w:ascii="Georgia" w:hAnsi="Georgia" w:cs="Arial"/>
                            <w:b/>
                            <w:bCs/>
                          </w:rPr>
                        </w:pPr>
                        <w:r>
                          <w:rPr>
                            <w:rFonts w:ascii="Georgia" w:eastAsia="Times New Roman" w:hAnsi="Georgia" w:cs="Arial"/>
                            <w:lang w:eastAsia="fr-BE"/>
                          </w:rPr>
                          <w:t>02/226.41.30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Kamerdelle, 15</w:t>
                        </w:r>
                      </w:p>
                    </w:tc>
                    <w:tc>
                      <w:tcPr>
                        <w:tcW w:w="2328" w:type="dxa"/>
                        <w:vAlign w:val="center"/>
                      </w:tcPr>
                      <w:p w:rsidR="00F04EEF" w:rsidRDefault="0099351E">
                        <w:pPr>
                          <w:snapToGrid w:val="0"/>
                          <w:rPr>
                            <w:rFonts w:ascii="Georgia" w:hAnsi="Georgia" w:cs="Arial"/>
                          </w:rPr>
                        </w:pPr>
                        <w:r>
                          <w:rPr>
                            <w:rFonts w:ascii="Georgia" w:hAnsi="Georgia" w:cs="Arial"/>
                          </w:rPr>
                          <w:t>1180 UCCLE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02/374.89.10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d’ETTERBEEK</w:t>
                        </w:r>
                      </w:p>
                    </w:tc>
                    <w:tc>
                      <w:tcPr>
                        <w:tcW w:w="2802" w:type="dxa"/>
                        <w:vAlign w:val="center"/>
                      </w:tcPr>
                      <w:p w:rsidR="00F04EEF" w:rsidRDefault="0099351E">
                        <w:pPr>
                          <w:snapToGrid w:val="0"/>
                          <w:rPr>
                            <w:rFonts w:ascii="Georgia" w:hAnsi="Georgia" w:cs="Arial"/>
                          </w:rPr>
                        </w:pPr>
                        <w:r>
                          <w:rPr>
                            <w:rFonts w:ascii="Georgia" w:hAnsi="Georgia" w:cs="Arial"/>
                          </w:rPr>
                          <w:t>Place de l’Alma, 3bte 9</w:t>
                        </w:r>
                      </w:p>
                    </w:tc>
                    <w:tc>
                      <w:tcPr>
                        <w:tcW w:w="2328" w:type="dxa"/>
                        <w:vAlign w:val="center"/>
                      </w:tcPr>
                      <w:p w:rsidR="00F04EEF" w:rsidRDefault="0099351E">
                        <w:pPr>
                          <w:snapToGrid w:val="0"/>
                          <w:rPr>
                            <w:rFonts w:ascii="Georgia" w:hAnsi="Georgia" w:cs="Arial"/>
                          </w:rPr>
                        </w:pPr>
                        <w:r>
                          <w:rPr>
                            <w:rFonts w:ascii="Georgia" w:hAnsi="Georgia" w:cs="Arial"/>
                          </w:rPr>
                          <w:t>1200 WOLUWE-ST-LAMBERT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02/896.54.51</w:t>
                        </w:r>
                      </w:p>
                      <w:p w:rsidR="00F04EEF" w:rsidRDefault="0099351E">
                        <w:pPr>
                          <w:rPr>
                            <w:rFonts w:ascii="Georgia" w:eastAsia="Times New Roman" w:hAnsi="Georgia" w:cs="Arial"/>
                            <w:lang w:eastAsia="fr-BE"/>
                          </w:rPr>
                        </w:pPr>
                        <w:r>
                          <w:rPr>
                            <w:rFonts w:ascii="Georgia" w:eastAsia="Times New Roman" w:hAnsi="Georgia" w:cs="Arial"/>
                            <w:lang w:eastAsia="fr-BE"/>
                          </w:rPr>
                          <w:t>02/896.54.50</w:t>
                        </w:r>
                      </w:p>
                      <w:p w:rsidR="00F04EEF" w:rsidRDefault="00F04EEF">
                        <w:pPr>
                          <w:rPr>
                            <w:rFonts w:ascii="Georgia" w:eastAsia="Times New Roman" w:hAnsi="Georgia" w:cs="Arial"/>
                            <w:lang w:eastAsia="fr-BE"/>
                          </w:rPr>
                        </w:pP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d’IXELLES</w:t>
                        </w:r>
                      </w:p>
                    </w:tc>
                    <w:tc>
                      <w:tcPr>
                        <w:tcW w:w="2802" w:type="dxa"/>
                        <w:vAlign w:val="center"/>
                      </w:tcPr>
                      <w:p w:rsidR="00F04EEF" w:rsidRDefault="0099351E">
                        <w:pPr>
                          <w:snapToGrid w:val="0"/>
                          <w:rPr>
                            <w:rFonts w:ascii="Georgia" w:hAnsi="Georgia" w:cs="Arial"/>
                          </w:rPr>
                        </w:pPr>
                        <w:r>
                          <w:rPr>
                            <w:rFonts w:ascii="Georgia" w:hAnsi="Georgia" w:cs="Arial"/>
                          </w:rPr>
                          <w:t>Place de l’Alma, 3bte 9</w:t>
                        </w:r>
                      </w:p>
                    </w:tc>
                    <w:tc>
                      <w:tcPr>
                        <w:tcW w:w="2328" w:type="dxa"/>
                        <w:vAlign w:val="center"/>
                      </w:tcPr>
                      <w:p w:rsidR="00F04EEF" w:rsidRDefault="0099351E">
                        <w:pPr>
                          <w:snapToGrid w:val="0"/>
                          <w:rPr>
                            <w:rFonts w:ascii="Georgia" w:hAnsi="Georgia" w:cs="Arial"/>
                          </w:rPr>
                        </w:pPr>
                        <w:r>
                          <w:rPr>
                            <w:rFonts w:ascii="Georgia" w:hAnsi="Georgia" w:cs="Arial"/>
                          </w:rPr>
                          <w:t>1200 WOLUWE-ST-LAMBERT</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02/896.54.45</w:t>
                        </w:r>
                      </w:p>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02/896.54.44</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de SCHAERBEEK</w:t>
                        </w:r>
                      </w:p>
                    </w:tc>
                    <w:tc>
                      <w:tcPr>
                        <w:tcW w:w="2802" w:type="dxa"/>
                        <w:vAlign w:val="center"/>
                      </w:tcPr>
                      <w:p w:rsidR="00F04EEF" w:rsidRDefault="0099351E">
                        <w:pPr>
                          <w:snapToGrid w:val="0"/>
                          <w:rPr>
                            <w:rFonts w:ascii="Georgia" w:hAnsi="Georgia" w:cs="Arial"/>
                          </w:rPr>
                        </w:pPr>
                        <w:r>
                          <w:rPr>
                            <w:rFonts w:ascii="Georgia" w:hAnsi="Georgia" w:cs="Arial"/>
                          </w:rPr>
                          <w:t>Place de l’Alma, 3bte 9</w:t>
                        </w:r>
                      </w:p>
                    </w:tc>
                    <w:tc>
                      <w:tcPr>
                        <w:tcW w:w="2328" w:type="dxa"/>
                        <w:vAlign w:val="center"/>
                      </w:tcPr>
                      <w:p w:rsidR="00F04EEF" w:rsidRDefault="0099351E">
                        <w:pPr>
                          <w:snapToGrid w:val="0"/>
                          <w:rPr>
                            <w:rFonts w:ascii="Georgia" w:hAnsi="Georgia" w:cs="Arial"/>
                          </w:rPr>
                        </w:pPr>
                        <w:r>
                          <w:rPr>
                            <w:rFonts w:ascii="Georgia" w:hAnsi="Georgia" w:cs="Arial"/>
                          </w:rPr>
                          <w:t>1200 WOLUWE-ST-LAMBERT</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02/896.54.49</w:t>
                        </w:r>
                      </w:p>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02/896.54.48</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WOLUWE I</w:t>
                        </w:r>
                      </w:p>
                    </w:tc>
                    <w:tc>
                      <w:tcPr>
                        <w:tcW w:w="2802" w:type="dxa"/>
                        <w:vAlign w:val="center"/>
                      </w:tcPr>
                      <w:p w:rsidR="00F04EEF" w:rsidRDefault="0099351E">
                        <w:pPr>
                          <w:snapToGrid w:val="0"/>
                          <w:rPr>
                            <w:rFonts w:ascii="Georgia" w:hAnsi="Georgia" w:cs="Arial"/>
                          </w:rPr>
                        </w:pPr>
                        <w:r>
                          <w:rPr>
                            <w:rFonts w:ascii="Georgia" w:hAnsi="Georgia" w:cs="Arial"/>
                          </w:rPr>
                          <w:t>Place de l’Alma, 3bte 9</w:t>
                        </w:r>
                      </w:p>
                    </w:tc>
                    <w:tc>
                      <w:tcPr>
                        <w:tcW w:w="2328" w:type="dxa"/>
                        <w:vAlign w:val="center"/>
                      </w:tcPr>
                      <w:p w:rsidR="00F04EEF" w:rsidRDefault="0099351E">
                        <w:pPr>
                          <w:snapToGrid w:val="0"/>
                          <w:rPr>
                            <w:rFonts w:ascii="Georgia" w:hAnsi="Georgia" w:cs="Arial"/>
                          </w:rPr>
                        </w:pPr>
                        <w:r>
                          <w:rPr>
                            <w:rFonts w:ascii="Georgia" w:hAnsi="Georgia" w:cs="Arial"/>
                          </w:rPr>
                          <w:t>1200 WOLUWE-ST-LAMBERT</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02/896.54.43</w:t>
                        </w:r>
                      </w:p>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02/896.54.42</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WOLUWE II</w:t>
                        </w:r>
                      </w:p>
                    </w:tc>
                    <w:tc>
                      <w:tcPr>
                        <w:tcW w:w="2802" w:type="dxa"/>
                        <w:vAlign w:val="center"/>
                      </w:tcPr>
                      <w:p w:rsidR="00F04EEF" w:rsidRDefault="0099351E">
                        <w:pPr>
                          <w:snapToGrid w:val="0"/>
                          <w:rPr>
                            <w:rFonts w:ascii="Georgia" w:hAnsi="Georgia" w:cs="Arial"/>
                          </w:rPr>
                        </w:pPr>
                        <w:r>
                          <w:rPr>
                            <w:rFonts w:ascii="Georgia" w:hAnsi="Georgia" w:cs="Arial"/>
                          </w:rPr>
                          <w:t>Place de l’Alma, 3bte 9</w:t>
                        </w:r>
                      </w:p>
                    </w:tc>
                    <w:tc>
                      <w:tcPr>
                        <w:tcW w:w="2328" w:type="dxa"/>
                        <w:vAlign w:val="center"/>
                      </w:tcPr>
                      <w:p w:rsidR="00F04EEF" w:rsidRDefault="0099351E">
                        <w:pPr>
                          <w:snapToGrid w:val="0"/>
                          <w:rPr>
                            <w:rFonts w:ascii="Georgia" w:hAnsi="Georgia" w:cs="Arial"/>
                          </w:rPr>
                        </w:pPr>
                        <w:r>
                          <w:rPr>
                            <w:rFonts w:ascii="Georgia" w:hAnsi="Georgia" w:cs="Arial"/>
                          </w:rPr>
                          <w:t>1200 WOLUWE-ST-LAMBERT</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02/896.54.47</w:t>
                        </w:r>
                      </w:p>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02/896.54.46</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WOLUWE III</w:t>
                        </w:r>
                      </w:p>
                    </w:tc>
                    <w:tc>
                      <w:tcPr>
                        <w:tcW w:w="2802" w:type="dxa"/>
                        <w:vAlign w:val="center"/>
                      </w:tcPr>
                      <w:p w:rsidR="00F04EEF" w:rsidRDefault="0099351E">
                        <w:pPr>
                          <w:snapToGrid w:val="0"/>
                          <w:rPr>
                            <w:rFonts w:ascii="Georgia" w:hAnsi="Georgia" w:cs="Arial"/>
                          </w:rPr>
                        </w:pPr>
                        <w:r>
                          <w:rPr>
                            <w:rFonts w:ascii="Georgia" w:hAnsi="Georgia" w:cs="Arial"/>
                          </w:rPr>
                          <w:t>Place de l’Alma, 3bte 9</w:t>
                        </w:r>
                      </w:p>
                    </w:tc>
                    <w:tc>
                      <w:tcPr>
                        <w:tcW w:w="2328" w:type="dxa"/>
                        <w:vAlign w:val="center"/>
                      </w:tcPr>
                      <w:p w:rsidR="00F04EEF" w:rsidRDefault="0099351E">
                        <w:pPr>
                          <w:snapToGrid w:val="0"/>
                          <w:rPr>
                            <w:rFonts w:ascii="Georgia" w:hAnsi="Georgia" w:cs="Arial"/>
                          </w:rPr>
                        </w:pPr>
                        <w:r>
                          <w:rPr>
                            <w:rFonts w:ascii="Georgia" w:hAnsi="Georgia" w:cs="Arial"/>
                          </w:rPr>
                          <w:t>1200 WOLUWE-ST-LAMBERT</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02/896.54.53</w:t>
                        </w:r>
                      </w:p>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02/896.54.52</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Jacques Brel, 30</w:t>
                        </w:r>
                      </w:p>
                    </w:tc>
                    <w:tc>
                      <w:tcPr>
                        <w:tcW w:w="2328" w:type="dxa"/>
                        <w:vAlign w:val="center"/>
                      </w:tcPr>
                      <w:p w:rsidR="00F04EEF" w:rsidRDefault="0099351E">
                        <w:pPr>
                          <w:snapToGrid w:val="0"/>
                          <w:rPr>
                            <w:rFonts w:ascii="Georgia" w:hAnsi="Georgia" w:cs="Arial"/>
                          </w:rPr>
                        </w:pPr>
                        <w:r>
                          <w:rPr>
                            <w:rFonts w:ascii="Georgia" w:hAnsi="Georgia" w:cs="Arial"/>
                          </w:rPr>
                          <w:t>1200 WOLUWE-ST-LAMBERT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02/762.60.23</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Région de Bruxelles - Capitale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Chaussée de Louvain, 72</w:t>
                        </w:r>
                      </w:p>
                    </w:tc>
                    <w:tc>
                      <w:tcPr>
                        <w:tcW w:w="2328" w:type="dxa"/>
                        <w:vAlign w:val="center"/>
                      </w:tcPr>
                      <w:p w:rsidR="00F04EEF" w:rsidRDefault="0099351E">
                        <w:pPr>
                          <w:snapToGrid w:val="0"/>
                          <w:rPr>
                            <w:rFonts w:ascii="Georgia" w:hAnsi="Georgia" w:cs="Arial"/>
                          </w:rPr>
                        </w:pPr>
                        <w:r>
                          <w:rPr>
                            <w:rFonts w:ascii="Georgia" w:hAnsi="Georgia" w:cs="Arial"/>
                          </w:rPr>
                          <w:t>1300 WAVRE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010/22.30.90</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WAVRE III</w:t>
                        </w:r>
                      </w:p>
                    </w:tc>
                    <w:tc>
                      <w:tcPr>
                        <w:tcW w:w="2802" w:type="dxa"/>
                        <w:vAlign w:val="center"/>
                      </w:tcPr>
                      <w:p w:rsidR="00F04EEF" w:rsidRDefault="0099351E">
                        <w:pPr>
                          <w:snapToGrid w:val="0"/>
                          <w:rPr>
                            <w:rFonts w:ascii="Georgia" w:hAnsi="Georgia" w:cs="Arial"/>
                          </w:rPr>
                        </w:pPr>
                        <w:r>
                          <w:rPr>
                            <w:rFonts w:ascii="Georgia" w:hAnsi="Georgia" w:cs="Arial"/>
                          </w:rPr>
                          <w:t>Route Provinciale, 213</w:t>
                        </w:r>
                      </w:p>
                    </w:tc>
                    <w:tc>
                      <w:tcPr>
                        <w:tcW w:w="2328" w:type="dxa"/>
                        <w:vAlign w:val="center"/>
                      </w:tcPr>
                      <w:p w:rsidR="00F04EEF" w:rsidRDefault="0099351E">
                        <w:pPr>
                          <w:snapToGrid w:val="0"/>
                          <w:rPr>
                            <w:rFonts w:ascii="Georgia" w:hAnsi="Georgia" w:cs="Arial"/>
                          </w:rPr>
                        </w:pPr>
                        <w:r>
                          <w:rPr>
                            <w:rFonts w:ascii="Georgia" w:hAnsi="Georgia" w:cs="Arial"/>
                          </w:rPr>
                          <w:t>1301 BIERGES</w:t>
                        </w:r>
                      </w:p>
                    </w:tc>
                    <w:tc>
                      <w:tcPr>
                        <w:tcW w:w="1594" w:type="dxa"/>
                      </w:tcPr>
                      <w:p w:rsidR="00F04EEF" w:rsidRDefault="0099351E">
                        <w:pPr>
                          <w:snapToGrid w:val="0"/>
                          <w:jc w:val="center"/>
                          <w:rPr>
                            <w:rFonts w:ascii="Georgia" w:hAnsi="Georgia" w:cs="Arial"/>
                            <w:b/>
                            <w:bCs/>
                          </w:rPr>
                        </w:pPr>
                        <w:r>
                          <w:rPr>
                            <w:rFonts w:ascii="Georgia" w:eastAsia="Times New Roman" w:hAnsi="Georgia" w:cs="Arial"/>
                            <w:lang w:eastAsia="fr-BE"/>
                          </w:rPr>
                          <w:t>010/40.01.50</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provincial BRABANT III</w:t>
                        </w:r>
                      </w:p>
                    </w:tc>
                    <w:tc>
                      <w:tcPr>
                        <w:tcW w:w="2802" w:type="dxa"/>
                        <w:vAlign w:val="center"/>
                      </w:tcPr>
                      <w:p w:rsidR="00F04EEF" w:rsidRDefault="0099351E">
                        <w:pPr>
                          <w:snapToGrid w:val="0"/>
                          <w:rPr>
                            <w:rFonts w:ascii="Georgia" w:hAnsi="Georgia" w:cs="Arial"/>
                          </w:rPr>
                        </w:pPr>
                        <w:r>
                          <w:rPr>
                            <w:rFonts w:ascii="Georgia" w:hAnsi="Georgia" w:cs="Arial"/>
                          </w:rPr>
                          <w:t>Chaussée de Tirlemont, 87</w:t>
                        </w:r>
                      </w:p>
                    </w:tc>
                    <w:tc>
                      <w:tcPr>
                        <w:tcW w:w="2328" w:type="dxa"/>
                        <w:vAlign w:val="center"/>
                      </w:tcPr>
                      <w:p w:rsidR="00F04EEF" w:rsidRDefault="0099351E">
                        <w:pPr>
                          <w:snapToGrid w:val="0"/>
                          <w:rPr>
                            <w:rFonts w:ascii="Georgia" w:hAnsi="Georgia" w:cs="Arial"/>
                          </w:rPr>
                        </w:pPr>
                        <w:r>
                          <w:rPr>
                            <w:rFonts w:ascii="Georgia" w:hAnsi="Georgia" w:cs="Arial"/>
                          </w:rPr>
                          <w:t>1370 JODOIGNE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010/81.35.64</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Chaussée de Charleroi, 31A</w:t>
                        </w:r>
                      </w:p>
                    </w:tc>
                    <w:tc>
                      <w:tcPr>
                        <w:tcW w:w="2328" w:type="dxa"/>
                        <w:vAlign w:val="center"/>
                      </w:tcPr>
                      <w:p w:rsidR="00F04EEF" w:rsidRDefault="0099351E">
                        <w:pPr>
                          <w:snapToGrid w:val="0"/>
                          <w:rPr>
                            <w:rFonts w:ascii="Georgia" w:hAnsi="Georgia" w:cs="Arial"/>
                          </w:rPr>
                        </w:pPr>
                        <w:r>
                          <w:rPr>
                            <w:rFonts w:ascii="Georgia" w:hAnsi="Georgia" w:cs="Arial"/>
                          </w:rPr>
                          <w:t>1370 JODOIGNE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010/81.26.27</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du Burlet, 23</w:t>
                        </w:r>
                      </w:p>
                    </w:tc>
                    <w:tc>
                      <w:tcPr>
                        <w:tcW w:w="2328" w:type="dxa"/>
                        <w:vAlign w:val="center"/>
                      </w:tcPr>
                      <w:p w:rsidR="00F04EEF" w:rsidRDefault="0099351E">
                        <w:pPr>
                          <w:snapToGrid w:val="0"/>
                          <w:rPr>
                            <w:rFonts w:ascii="Georgia" w:hAnsi="Georgia" w:cs="Arial"/>
                          </w:rPr>
                        </w:pPr>
                        <w:r>
                          <w:rPr>
                            <w:rFonts w:ascii="Georgia" w:hAnsi="Georgia" w:cs="Arial"/>
                          </w:rPr>
                          <w:t>1400 NIVELLES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067/21.40.55</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provincial BRABANT IV</w:t>
                        </w:r>
                      </w:p>
                    </w:tc>
                    <w:tc>
                      <w:tcPr>
                        <w:tcW w:w="2802" w:type="dxa"/>
                        <w:vAlign w:val="center"/>
                      </w:tcPr>
                      <w:p w:rsidR="00F04EEF" w:rsidRDefault="0099351E">
                        <w:pPr>
                          <w:snapToGrid w:val="0"/>
                          <w:rPr>
                            <w:rFonts w:ascii="Georgia" w:hAnsi="Georgia" w:cs="Arial"/>
                          </w:rPr>
                        </w:pPr>
                        <w:r>
                          <w:rPr>
                            <w:rFonts w:ascii="Georgia" w:hAnsi="Georgia" w:cs="Arial"/>
                          </w:rPr>
                          <w:t>Rue Demulder, 10</w:t>
                        </w:r>
                      </w:p>
                    </w:tc>
                    <w:tc>
                      <w:tcPr>
                        <w:tcW w:w="2328" w:type="dxa"/>
                        <w:vAlign w:val="center"/>
                      </w:tcPr>
                      <w:p w:rsidR="00F04EEF" w:rsidRDefault="0099351E">
                        <w:pPr>
                          <w:snapToGrid w:val="0"/>
                          <w:rPr>
                            <w:rFonts w:ascii="Georgia" w:hAnsi="Georgia" w:cs="Arial"/>
                          </w:rPr>
                        </w:pPr>
                        <w:r>
                          <w:rPr>
                            <w:rFonts w:ascii="Georgia" w:hAnsi="Georgia" w:cs="Arial"/>
                          </w:rPr>
                          <w:t>1400 NIVELLES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067/21.79.21</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Rue F. Lebon, 34</w:t>
                        </w:r>
                      </w:p>
                    </w:tc>
                    <w:tc>
                      <w:tcPr>
                        <w:tcW w:w="2328" w:type="dxa"/>
                        <w:vAlign w:val="center"/>
                      </w:tcPr>
                      <w:p w:rsidR="00F04EEF" w:rsidRDefault="0099351E">
                        <w:pPr>
                          <w:snapToGrid w:val="0"/>
                          <w:rPr>
                            <w:rFonts w:ascii="Georgia" w:hAnsi="Georgia" w:cs="Arial"/>
                          </w:rPr>
                        </w:pPr>
                        <w:r>
                          <w:rPr>
                            <w:rFonts w:ascii="Georgia" w:hAnsi="Georgia" w:cs="Arial"/>
                          </w:rPr>
                          <w:t>1400 NIVELLES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067/21.44.22</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Chaussée Reine Astrid, 79</w:t>
                        </w:r>
                      </w:p>
                    </w:tc>
                    <w:tc>
                      <w:tcPr>
                        <w:tcW w:w="2328" w:type="dxa"/>
                        <w:vAlign w:val="center"/>
                      </w:tcPr>
                      <w:p w:rsidR="00F04EEF" w:rsidRDefault="0099351E">
                        <w:pPr>
                          <w:snapToGrid w:val="0"/>
                          <w:rPr>
                            <w:rFonts w:ascii="Georgia" w:hAnsi="Georgia" w:cs="Arial"/>
                          </w:rPr>
                        </w:pPr>
                        <w:r>
                          <w:rPr>
                            <w:rFonts w:ascii="Georgia" w:hAnsi="Georgia" w:cs="Arial"/>
                          </w:rPr>
                          <w:t>1420 BRAINE L ALLEUD</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02/384.51.36</w:t>
                        </w:r>
                      </w:p>
                    </w:tc>
                    <w:tc>
                      <w:tcPr>
                        <w:tcW w:w="3562" w:type="dxa"/>
                      </w:tcPr>
                      <w:p w:rsidR="00F04EEF" w:rsidRDefault="0099351E">
                        <w:pPr>
                          <w:snapToGrid w:val="0"/>
                          <w:jc w:val="center"/>
                          <w:rPr>
                            <w:rFonts w:ascii="Georgia" w:hAnsi="Georgia" w:cs="Arial"/>
                            <w:b/>
                            <w:bCs/>
                          </w:rPr>
                        </w:pPr>
                        <w:r>
                          <w:rPr>
                            <w:rFonts w:ascii="Georgia" w:hAnsi="Georgia" w:cs="Arial"/>
                            <w:b/>
                            <w:bCs/>
                          </w:rPr>
                          <w:t>Province du Brabant- Wallon</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Saint-Léonard, 378</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04/227.11.71</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Quai de Rome, 43</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04/365.32.85</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Communal I</w:t>
                        </w:r>
                      </w:p>
                    </w:tc>
                    <w:tc>
                      <w:tcPr>
                        <w:tcW w:w="2802" w:type="dxa"/>
                        <w:vAlign w:val="center"/>
                      </w:tcPr>
                      <w:p w:rsidR="00F04EEF" w:rsidRDefault="0099351E">
                        <w:pPr>
                          <w:snapToGrid w:val="0"/>
                          <w:rPr>
                            <w:rFonts w:ascii="Georgia" w:hAnsi="Georgia" w:cs="Arial"/>
                          </w:rPr>
                        </w:pPr>
                        <w:r>
                          <w:rPr>
                            <w:rFonts w:ascii="Georgia" w:hAnsi="Georgia" w:cs="Arial"/>
                          </w:rPr>
                          <w:t>Rue Beeckman, 27</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04/222.04.93</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Communal III</w:t>
                        </w:r>
                      </w:p>
                    </w:tc>
                    <w:tc>
                      <w:tcPr>
                        <w:tcW w:w="2802" w:type="dxa"/>
                        <w:vAlign w:val="center"/>
                      </w:tcPr>
                      <w:p w:rsidR="00F04EEF" w:rsidRDefault="0099351E">
                        <w:pPr>
                          <w:snapToGrid w:val="0"/>
                          <w:rPr>
                            <w:rFonts w:ascii="Georgia" w:hAnsi="Georgia" w:cs="Arial"/>
                          </w:rPr>
                        </w:pPr>
                        <w:r>
                          <w:rPr>
                            <w:rFonts w:ascii="Georgia" w:hAnsi="Georgia" w:cs="Arial"/>
                          </w:rPr>
                          <w:t>Rue Beeckman, 29</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04/223.79.34</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Communal IV</w:t>
                        </w:r>
                      </w:p>
                    </w:tc>
                    <w:tc>
                      <w:tcPr>
                        <w:tcW w:w="2802" w:type="dxa"/>
                        <w:vAlign w:val="center"/>
                      </w:tcPr>
                      <w:p w:rsidR="00F04EEF" w:rsidRDefault="0099351E">
                        <w:pPr>
                          <w:snapToGrid w:val="0"/>
                          <w:rPr>
                            <w:rFonts w:ascii="Georgia" w:hAnsi="Georgia" w:cs="Arial"/>
                          </w:rPr>
                        </w:pPr>
                        <w:r>
                          <w:rPr>
                            <w:rFonts w:ascii="Georgia" w:hAnsi="Georgia" w:cs="Arial"/>
                          </w:rPr>
                          <w:t>Rue Beeckman, 27</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04/222.04.93</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LIEGE II</w:t>
                        </w:r>
                      </w:p>
                    </w:tc>
                    <w:tc>
                      <w:tcPr>
                        <w:tcW w:w="2802" w:type="dxa"/>
                        <w:vAlign w:val="center"/>
                      </w:tcPr>
                      <w:p w:rsidR="00F04EEF" w:rsidRDefault="0099351E">
                        <w:pPr>
                          <w:snapToGrid w:val="0"/>
                          <w:rPr>
                            <w:rFonts w:ascii="Georgia" w:hAnsi="Georgia" w:cs="Arial"/>
                          </w:rPr>
                        </w:pPr>
                        <w:r>
                          <w:rPr>
                            <w:rFonts w:ascii="Georgia" w:hAnsi="Georgia" w:cs="Arial"/>
                          </w:rPr>
                          <w:t>Boulevard de Laveleye, 78</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04/252.15.63</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LIEGE III</w:t>
                        </w:r>
                      </w:p>
                    </w:tc>
                    <w:tc>
                      <w:tcPr>
                        <w:tcW w:w="2802" w:type="dxa"/>
                        <w:vAlign w:val="center"/>
                      </w:tcPr>
                      <w:p w:rsidR="00F04EEF" w:rsidRDefault="0099351E">
                        <w:pPr>
                          <w:snapToGrid w:val="0"/>
                          <w:rPr>
                            <w:rFonts w:ascii="Georgia" w:hAnsi="Georgia" w:cs="Arial"/>
                          </w:rPr>
                        </w:pPr>
                        <w:r>
                          <w:rPr>
                            <w:rFonts w:ascii="Georgia" w:hAnsi="Georgia" w:cs="Arial"/>
                          </w:rPr>
                          <w:t>Rue Louvrex, 70</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04/254.97.40</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LIEGE VI</w:t>
                        </w:r>
                      </w:p>
                    </w:tc>
                    <w:tc>
                      <w:tcPr>
                        <w:tcW w:w="2802" w:type="dxa"/>
                        <w:vAlign w:val="center"/>
                      </w:tcPr>
                      <w:p w:rsidR="00F04EEF" w:rsidRDefault="0099351E">
                        <w:pPr>
                          <w:snapToGrid w:val="0"/>
                          <w:rPr>
                            <w:rFonts w:ascii="Georgia" w:hAnsi="Georgia" w:cs="Arial"/>
                          </w:rPr>
                        </w:pPr>
                        <w:r>
                          <w:rPr>
                            <w:rFonts w:ascii="Georgia" w:hAnsi="Georgia" w:cs="Arial"/>
                          </w:rPr>
                          <w:t>Rue Louvrex, 70</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04/254.97.40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LIEGE VII</w:t>
                        </w:r>
                      </w:p>
                    </w:tc>
                    <w:tc>
                      <w:tcPr>
                        <w:tcW w:w="2802" w:type="dxa"/>
                        <w:vAlign w:val="center"/>
                      </w:tcPr>
                      <w:p w:rsidR="00F04EEF" w:rsidRDefault="0099351E">
                        <w:pPr>
                          <w:snapToGrid w:val="0"/>
                          <w:rPr>
                            <w:rFonts w:ascii="Georgia" w:hAnsi="Georgia" w:cs="Arial"/>
                          </w:rPr>
                        </w:pPr>
                        <w:r>
                          <w:rPr>
                            <w:rFonts w:ascii="Georgia" w:hAnsi="Georgia" w:cs="Arial"/>
                          </w:rPr>
                          <w:t>Rue Louvrex, 70</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04/254.97.40</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LIEGE X</w:t>
                        </w:r>
                      </w:p>
                    </w:tc>
                    <w:tc>
                      <w:tcPr>
                        <w:tcW w:w="2802" w:type="dxa"/>
                        <w:vAlign w:val="center"/>
                      </w:tcPr>
                      <w:p w:rsidR="00F04EEF" w:rsidRDefault="0099351E">
                        <w:pPr>
                          <w:snapToGrid w:val="0"/>
                          <w:rPr>
                            <w:rFonts w:ascii="Georgia" w:hAnsi="Georgia" w:cs="Arial"/>
                          </w:rPr>
                        </w:pPr>
                        <w:r>
                          <w:rPr>
                            <w:rFonts w:ascii="Georgia" w:hAnsi="Georgia" w:cs="Arial"/>
                          </w:rPr>
                          <w:t>Rue Louvrex, 70</w:t>
                        </w:r>
                      </w:p>
                    </w:tc>
                    <w:tc>
                      <w:tcPr>
                        <w:tcW w:w="2328" w:type="dxa"/>
                        <w:vAlign w:val="center"/>
                      </w:tcPr>
                      <w:p w:rsidR="00F04EEF" w:rsidRDefault="0099351E">
                        <w:pPr>
                          <w:snapToGrid w:val="0"/>
                          <w:rPr>
                            <w:rFonts w:ascii="Georgia" w:hAnsi="Georgia" w:cs="Arial"/>
                          </w:rPr>
                        </w:pPr>
                        <w:r>
                          <w:rPr>
                            <w:rFonts w:ascii="Georgia" w:hAnsi="Georgia" w:cs="Arial"/>
                          </w:rPr>
                          <w:t>4000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04/254.97.40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Communal II</w:t>
                        </w:r>
                      </w:p>
                    </w:tc>
                    <w:tc>
                      <w:tcPr>
                        <w:tcW w:w="2802" w:type="dxa"/>
                        <w:vAlign w:val="center"/>
                      </w:tcPr>
                      <w:p w:rsidR="00F04EEF" w:rsidRDefault="0099351E">
                        <w:pPr>
                          <w:snapToGrid w:val="0"/>
                          <w:rPr>
                            <w:rFonts w:ascii="Georgia" w:hAnsi="Georgia" w:cs="Arial"/>
                          </w:rPr>
                        </w:pPr>
                        <w:r>
                          <w:rPr>
                            <w:rFonts w:ascii="Georgia" w:hAnsi="Georgia" w:cs="Arial"/>
                          </w:rPr>
                          <w:t>Rue Georges Simenon, 13</w:t>
                        </w:r>
                      </w:p>
                    </w:tc>
                    <w:tc>
                      <w:tcPr>
                        <w:tcW w:w="2328" w:type="dxa"/>
                        <w:vAlign w:val="center"/>
                      </w:tcPr>
                      <w:p w:rsidR="00F04EEF" w:rsidRDefault="0099351E">
                        <w:pPr>
                          <w:snapToGrid w:val="0"/>
                          <w:rPr>
                            <w:rFonts w:ascii="Georgia" w:hAnsi="Georgia" w:cs="Arial"/>
                          </w:rPr>
                        </w:pPr>
                        <w:r>
                          <w:rPr>
                            <w:rFonts w:ascii="Georgia" w:hAnsi="Georgia" w:cs="Arial"/>
                          </w:rPr>
                          <w:t>4020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04/341.40.14</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AYWAILLE</w:t>
                        </w:r>
                      </w:p>
                    </w:tc>
                    <w:tc>
                      <w:tcPr>
                        <w:tcW w:w="2802" w:type="dxa"/>
                        <w:vAlign w:val="center"/>
                      </w:tcPr>
                      <w:p w:rsidR="00F04EEF" w:rsidRDefault="0099351E">
                        <w:pPr>
                          <w:snapToGrid w:val="0"/>
                          <w:rPr>
                            <w:rFonts w:ascii="Georgia" w:hAnsi="Georgia" w:cs="Arial"/>
                          </w:rPr>
                        </w:pPr>
                        <w:r>
                          <w:rPr>
                            <w:rFonts w:ascii="Georgia" w:hAnsi="Georgia" w:cs="Arial"/>
                          </w:rPr>
                          <w:t>Boulevard de Laveleye, 78</w:t>
                        </w:r>
                      </w:p>
                    </w:tc>
                    <w:tc>
                      <w:tcPr>
                        <w:tcW w:w="2328" w:type="dxa"/>
                        <w:vAlign w:val="center"/>
                      </w:tcPr>
                      <w:p w:rsidR="00F04EEF" w:rsidRDefault="0099351E">
                        <w:pPr>
                          <w:snapToGrid w:val="0"/>
                          <w:rPr>
                            <w:rFonts w:ascii="Georgia" w:hAnsi="Georgia" w:cs="Arial"/>
                          </w:rPr>
                        </w:pPr>
                        <w:r>
                          <w:rPr>
                            <w:rFonts w:ascii="Georgia" w:hAnsi="Georgia" w:cs="Arial"/>
                          </w:rPr>
                          <w:t>4020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04/247.29.77</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LIEGE I</w:t>
                        </w:r>
                      </w:p>
                    </w:tc>
                    <w:tc>
                      <w:tcPr>
                        <w:tcW w:w="2802" w:type="dxa"/>
                        <w:vAlign w:val="center"/>
                      </w:tcPr>
                      <w:p w:rsidR="00F04EEF" w:rsidRDefault="0099351E">
                        <w:pPr>
                          <w:snapToGrid w:val="0"/>
                          <w:rPr>
                            <w:rFonts w:ascii="Georgia" w:hAnsi="Georgia" w:cs="Arial"/>
                          </w:rPr>
                        </w:pPr>
                        <w:r>
                          <w:rPr>
                            <w:rFonts w:ascii="Georgia" w:hAnsi="Georgia" w:cs="Arial"/>
                          </w:rPr>
                          <w:t>Boulevard de Laveleye, 78</w:t>
                        </w:r>
                      </w:p>
                    </w:tc>
                    <w:tc>
                      <w:tcPr>
                        <w:tcW w:w="2328" w:type="dxa"/>
                        <w:vAlign w:val="center"/>
                      </w:tcPr>
                      <w:p w:rsidR="00F04EEF" w:rsidRDefault="0099351E">
                        <w:pPr>
                          <w:snapToGrid w:val="0"/>
                          <w:rPr>
                            <w:rFonts w:ascii="Georgia" w:hAnsi="Georgia" w:cs="Arial"/>
                          </w:rPr>
                        </w:pPr>
                        <w:r>
                          <w:rPr>
                            <w:rFonts w:ascii="Georgia" w:hAnsi="Georgia" w:cs="Arial"/>
                          </w:rPr>
                          <w:t>4020 LIEGE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04/254.24.14</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provincial LIEGE</w:t>
                        </w:r>
                      </w:p>
                    </w:tc>
                    <w:tc>
                      <w:tcPr>
                        <w:tcW w:w="2802" w:type="dxa"/>
                        <w:vAlign w:val="center"/>
                      </w:tcPr>
                      <w:p w:rsidR="00F04EEF" w:rsidRDefault="0099351E">
                        <w:pPr>
                          <w:snapToGrid w:val="0"/>
                          <w:rPr>
                            <w:rFonts w:ascii="Georgia" w:hAnsi="Georgia" w:cs="Arial"/>
                          </w:rPr>
                        </w:pPr>
                        <w:r>
                          <w:rPr>
                            <w:rFonts w:ascii="Georgia" w:hAnsi="Georgia" w:cs="Arial"/>
                          </w:rPr>
                          <w:t>Place Coronmeuse, 21 – 1er étage</w:t>
                        </w:r>
                      </w:p>
                    </w:tc>
                    <w:tc>
                      <w:tcPr>
                        <w:tcW w:w="2328" w:type="dxa"/>
                        <w:vAlign w:val="center"/>
                      </w:tcPr>
                      <w:p w:rsidR="00F04EEF" w:rsidRDefault="0099351E">
                        <w:pPr>
                          <w:snapToGrid w:val="0"/>
                          <w:rPr>
                            <w:rFonts w:ascii="Georgia" w:hAnsi="Georgia" w:cs="Arial"/>
                          </w:rPr>
                        </w:pPr>
                        <w:r>
                          <w:rPr>
                            <w:rFonts w:ascii="Georgia" w:hAnsi="Georgia" w:cs="Arial"/>
                          </w:rPr>
                          <w:t>4040 HERSTAL</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04/248.80.61</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du Marais, 35</w:t>
                        </w:r>
                      </w:p>
                    </w:tc>
                    <w:tc>
                      <w:tcPr>
                        <w:tcW w:w="2328" w:type="dxa"/>
                        <w:vAlign w:val="center"/>
                      </w:tcPr>
                      <w:p w:rsidR="00F04EEF" w:rsidRDefault="0099351E">
                        <w:pPr>
                          <w:snapToGrid w:val="0"/>
                          <w:rPr>
                            <w:rFonts w:ascii="Georgia" w:hAnsi="Georgia" w:cs="Arial"/>
                          </w:rPr>
                        </w:pPr>
                        <w:r>
                          <w:rPr>
                            <w:rFonts w:ascii="Georgia" w:hAnsi="Georgia" w:cs="Arial"/>
                          </w:rPr>
                          <w:t>4100 SERAING</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04/336.66.79</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provincial SERAING II</w:t>
                        </w:r>
                      </w:p>
                    </w:tc>
                    <w:tc>
                      <w:tcPr>
                        <w:tcW w:w="2802" w:type="dxa"/>
                        <w:vAlign w:val="center"/>
                      </w:tcPr>
                      <w:p w:rsidR="00F04EEF" w:rsidRDefault="0099351E">
                        <w:pPr>
                          <w:snapToGrid w:val="0"/>
                          <w:rPr>
                            <w:rFonts w:ascii="Georgia" w:hAnsi="Georgia" w:cs="Arial"/>
                          </w:rPr>
                        </w:pPr>
                        <w:r>
                          <w:rPr>
                            <w:rFonts w:ascii="Georgia" w:hAnsi="Georgia" w:cs="Arial"/>
                          </w:rPr>
                          <w:t>Avenue de la Concorde, 212</w:t>
                        </w:r>
                      </w:p>
                    </w:tc>
                    <w:tc>
                      <w:tcPr>
                        <w:tcW w:w="2328" w:type="dxa"/>
                        <w:vAlign w:val="center"/>
                      </w:tcPr>
                      <w:p w:rsidR="00F04EEF" w:rsidRDefault="0099351E">
                        <w:pPr>
                          <w:snapToGrid w:val="0"/>
                          <w:rPr>
                            <w:rFonts w:ascii="Georgia" w:hAnsi="Georgia" w:cs="Arial"/>
                          </w:rPr>
                        </w:pPr>
                        <w:r>
                          <w:rPr>
                            <w:rFonts w:ascii="Georgia" w:hAnsi="Georgia" w:cs="Arial"/>
                          </w:rPr>
                          <w:t>4100 SERAING</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04/237.36.60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Gustave Renier, 19</w:t>
                        </w:r>
                      </w:p>
                    </w:tc>
                    <w:tc>
                      <w:tcPr>
                        <w:tcW w:w="2328" w:type="dxa"/>
                        <w:vAlign w:val="center"/>
                      </w:tcPr>
                      <w:p w:rsidR="00F04EEF" w:rsidRDefault="0099351E">
                        <w:pPr>
                          <w:snapToGrid w:val="0"/>
                          <w:rPr>
                            <w:rFonts w:ascii="Georgia" w:hAnsi="Georgia" w:cs="Arial"/>
                          </w:rPr>
                        </w:pPr>
                        <w:r>
                          <w:rPr>
                            <w:rFonts w:ascii="Georgia" w:hAnsi="Georgia" w:cs="Arial"/>
                          </w:rPr>
                          <w:t>4300 WAREMME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019/32.26.41</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vAlign w:val="center"/>
                      </w:tcPr>
                      <w:p w:rsidR="00F04EEF" w:rsidRDefault="0099351E">
                        <w:pPr>
                          <w:snapToGrid w:val="0"/>
                          <w:rPr>
                            <w:rFonts w:ascii="Georgia" w:hAnsi="Georgia" w:cs="Arial"/>
                          </w:rPr>
                        </w:pPr>
                        <w:r>
                          <w:rPr>
                            <w:rFonts w:ascii="Georgia" w:hAnsi="Georgia" w:cs="Arial"/>
                          </w:rPr>
                          <w:t>Rue E. de Sélys Longchamps, 33</w:t>
                        </w:r>
                      </w:p>
                    </w:tc>
                    <w:tc>
                      <w:tcPr>
                        <w:tcW w:w="2328" w:type="dxa"/>
                        <w:vAlign w:val="center"/>
                      </w:tcPr>
                      <w:p w:rsidR="00F04EEF" w:rsidRDefault="0099351E">
                        <w:pPr>
                          <w:snapToGrid w:val="0"/>
                          <w:rPr>
                            <w:rFonts w:ascii="Georgia" w:hAnsi="Georgia" w:cs="Arial"/>
                          </w:rPr>
                        </w:pPr>
                        <w:r>
                          <w:rPr>
                            <w:rFonts w:ascii="Georgia" w:hAnsi="Georgia" w:cs="Arial"/>
                          </w:rPr>
                          <w:t>4300 WAREMME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019/32.26.12</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Centre de Hesbaye</w:t>
                        </w:r>
                      </w:p>
                    </w:tc>
                    <w:tc>
                      <w:tcPr>
                        <w:tcW w:w="2802" w:type="dxa"/>
                        <w:vAlign w:val="center"/>
                      </w:tcPr>
                      <w:p w:rsidR="00F04EEF" w:rsidRDefault="0099351E">
                        <w:pPr>
                          <w:snapToGrid w:val="0"/>
                          <w:rPr>
                            <w:rFonts w:ascii="Georgia" w:hAnsi="Georgia" w:cs="Arial"/>
                          </w:rPr>
                        </w:pPr>
                        <w:r>
                          <w:rPr>
                            <w:rFonts w:ascii="Georgia" w:hAnsi="Georgia" w:cs="Arial"/>
                          </w:rPr>
                          <w:t>Rue Joseph Wauters, 41A</w:t>
                        </w:r>
                      </w:p>
                    </w:tc>
                    <w:tc>
                      <w:tcPr>
                        <w:tcW w:w="2328" w:type="dxa"/>
                        <w:vAlign w:val="center"/>
                      </w:tcPr>
                      <w:p w:rsidR="00F04EEF" w:rsidRDefault="0099351E">
                        <w:pPr>
                          <w:snapToGrid w:val="0"/>
                          <w:rPr>
                            <w:rFonts w:ascii="Georgia" w:hAnsi="Georgia" w:cs="Arial"/>
                          </w:rPr>
                        </w:pPr>
                        <w:r>
                          <w:rPr>
                            <w:rFonts w:ascii="Georgia" w:hAnsi="Georgia" w:cs="Arial"/>
                          </w:rPr>
                          <w:t>4300 WAREMME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019/67.78.64</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des Augustins, 11</w:t>
                        </w:r>
                      </w:p>
                    </w:tc>
                    <w:tc>
                      <w:tcPr>
                        <w:tcW w:w="2328" w:type="dxa"/>
                        <w:vAlign w:val="center"/>
                      </w:tcPr>
                      <w:p w:rsidR="00F04EEF" w:rsidRDefault="0099351E">
                        <w:pPr>
                          <w:snapToGrid w:val="0"/>
                          <w:rPr>
                            <w:rFonts w:ascii="Georgia" w:hAnsi="Georgia" w:cs="Arial"/>
                          </w:rPr>
                        </w:pPr>
                        <w:r>
                          <w:rPr>
                            <w:rFonts w:ascii="Georgia" w:hAnsi="Georgia" w:cs="Arial"/>
                          </w:rPr>
                          <w:t>4500 HUY</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085/21.34.88</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provincial HUY II</w:t>
                        </w:r>
                      </w:p>
                    </w:tc>
                    <w:tc>
                      <w:tcPr>
                        <w:tcW w:w="2802" w:type="dxa"/>
                        <w:vAlign w:val="center"/>
                      </w:tcPr>
                      <w:p w:rsidR="00F04EEF" w:rsidRDefault="0099351E">
                        <w:pPr>
                          <w:snapToGrid w:val="0"/>
                          <w:rPr>
                            <w:rFonts w:ascii="Georgia" w:hAnsi="Georgia" w:cs="Arial"/>
                          </w:rPr>
                        </w:pPr>
                        <w:r>
                          <w:rPr>
                            <w:rFonts w:ascii="Georgia" w:hAnsi="Georgia" w:cs="Arial"/>
                          </w:rPr>
                          <w:t>Rue Saint-Pierre, 48</w:t>
                        </w:r>
                      </w:p>
                    </w:tc>
                    <w:tc>
                      <w:tcPr>
                        <w:tcW w:w="2328" w:type="dxa"/>
                        <w:vAlign w:val="center"/>
                      </w:tcPr>
                      <w:p w:rsidR="00F04EEF" w:rsidRDefault="0099351E">
                        <w:pPr>
                          <w:snapToGrid w:val="0"/>
                          <w:rPr>
                            <w:rFonts w:ascii="Georgia" w:hAnsi="Georgia" w:cs="Arial"/>
                          </w:rPr>
                        </w:pPr>
                        <w:r>
                          <w:rPr>
                            <w:rFonts w:ascii="Georgia" w:hAnsi="Georgia" w:cs="Arial"/>
                          </w:rPr>
                          <w:t>4500 HUY</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085/21.13.75</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HUY I</w:t>
                        </w:r>
                      </w:p>
                    </w:tc>
                    <w:tc>
                      <w:tcPr>
                        <w:tcW w:w="2802" w:type="dxa"/>
                        <w:vAlign w:val="center"/>
                      </w:tcPr>
                      <w:p w:rsidR="00F04EEF" w:rsidRDefault="0099351E">
                        <w:pPr>
                          <w:snapToGrid w:val="0"/>
                          <w:rPr>
                            <w:rFonts w:ascii="Georgia" w:hAnsi="Georgia" w:cs="Arial"/>
                          </w:rPr>
                        </w:pPr>
                        <w:r>
                          <w:rPr>
                            <w:rFonts w:ascii="Georgia" w:hAnsi="Georgia" w:cs="Arial"/>
                          </w:rPr>
                          <w:t>Rue des Augustins, 44</w:t>
                        </w:r>
                      </w:p>
                    </w:tc>
                    <w:tc>
                      <w:tcPr>
                        <w:tcW w:w="2328" w:type="dxa"/>
                        <w:vAlign w:val="center"/>
                      </w:tcPr>
                      <w:p w:rsidR="00F04EEF" w:rsidRDefault="0099351E">
                        <w:pPr>
                          <w:snapToGrid w:val="0"/>
                          <w:rPr>
                            <w:rFonts w:ascii="Georgia" w:hAnsi="Georgia" w:cs="Arial"/>
                          </w:rPr>
                        </w:pPr>
                        <w:r>
                          <w:rPr>
                            <w:rFonts w:ascii="Georgia" w:hAnsi="Georgia" w:cs="Arial"/>
                          </w:rPr>
                          <w:t>4500 HUY</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085-21 29 14</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de la Wade, 9</w:t>
                        </w:r>
                      </w:p>
                    </w:tc>
                    <w:tc>
                      <w:tcPr>
                        <w:tcW w:w="2328" w:type="dxa"/>
                        <w:vAlign w:val="center"/>
                      </w:tcPr>
                      <w:p w:rsidR="00F04EEF" w:rsidRDefault="0099351E">
                        <w:pPr>
                          <w:snapToGrid w:val="0"/>
                          <w:rPr>
                            <w:rFonts w:ascii="Georgia" w:hAnsi="Georgia" w:cs="Arial"/>
                          </w:rPr>
                        </w:pPr>
                        <w:r>
                          <w:rPr>
                            <w:rFonts w:ascii="Georgia" w:hAnsi="Georgia" w:cs="Arial"/>
                          </w:rPr>
                          <w:t>4600 VISE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04/379.33.22</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LIEGE VIII</w:t>
                        </w:r>
                      </w:p>
                    </w:tc>
                    <w:tc>
                      <w:tcPr>
                        <w:tcW w:w="2802" w:type="dxa"/>
                        <w:vAlign w:val="center"/>
                      </w:tcPr>
                      <w:p w:rsidR="00F04EEF" w:rsidRDefault="0099351E">
                        <w:pPr>
                          <w:snapToGrid w:val="0"/>
                          <w:rPr>
                            <w:rFonts w:ascii="Georgia" w:hAnsi="Georgia" w:cs="Arial"/>
                          </w:rPr>
                        </w:pPr>
                        <w:r>
                          <w:rPr>
                            <w:rFonts w:ascii="Georgia" w:hAnsi="Georgia" w:cs="Arial"/>
                          </w:rPr>
                          <w:t>Rue de Mons, 14</w:t>
                        </w:r>
                      </w:p>
                    </w:tc>
                    <w:tc>
                      <w:tcPr>
                        <w:tcW w:w="2328" w:type="dxa"/>
                        <w:vAlign w:val="center"/>
                      </w:tcPr>
                      <w:p w:rsidR="00F04EEF" w:rsidRDefault="0099351E">
                        <w:pPr>
                          <w:snapToGrid w:val="0"/>
                          <w:rPr>
                            <w:rFonts w:ascii="Georgia" w:hAnsi="Georgia" w:cs="Arial"/>
                          </w:rPr>
                        </w:pPr>
                        <w:r>
                          <w:rPr>
                            <w:rFonts w:ascii="Georgia" w:hAnsi="Georgia" w:cs="Arial"/>
                          </w:rPr>
                          <w:t>4600 VISE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04/379.28.13</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du Palais, 27 bte 5</w:t>
                        </w:r>
                      </w:p>
                    </w:tc>
                    <w:tc>
                      <w:tcPr>
                        <w:tcW w:w="2328" w:type="dxa"/>
                        <w:vAlign w:val="center"/>
                      </w:tcPr>
                      <w:p w:rsidR="00F04EEF" w:rsidRDefault="0099351E">
                        <w:pPr>
                          <w:snapToGrid w:val="0"/>
                          <w:rPr>
                            <w:rFonts w:ascii="Georgia" w:hAnsi="Georgia" w:cs="Arial"/>
                          </w:rPr>
                        </w:pPr>
                        <w:r>
                          <w:rPr>
                            <w:rFonts w:ascii="Georgia" w:hAnsi="Georgia" w:cs="Arial"/>
                          </w:rPr>
                          <w:t>4800 VERVIERS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087/22.57.93</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provincial VERVIERS I</w:t>
                        </w:r>
                      </w:p>
                    </w:tc>
                    <w:tc>
                      <w:tcPr>
                        <w:tcW w:w="2802" w:type="dxa"/>
                        <w:vAlign w:val="center"/>
                      </w:tcPr>
                      <w:p w:rsidR="00F04EEF" w:rsidRDefault="0099351E">
                        <w:pPr>
                          <w:snapToGrid w:val="0"/>
                          <w:rPr>
                            <w:rFonts w:ascii="Georgia" w:hAnsi="Georgia" w:cs="Arial"/>
                          </w:rPr>
                        </w:pPr>
                        <w:r>
                          <w:rPr>
                            <w:rFonts w:ascii="Georgia" w:hAnsi="Georgia" w:cs="Arial"/>
                          </w:rPr>
                          <w:t>Rue aux laines, 69A</w:t>
                        </w:r>
                      </w:p>
                    </w:tc>
                    <w:tc>
                      <w:tcPr>
                        <w:tcW w:w="2328" w:type="dxa"/>
                        <w:vAlign w:val="center"/>
                      </w:tcPr>
                      <w:p w:rsidR="00F04EEF" w:rsidRDefault="0099351E">
                        <w:pPr>
                          <w:snapToGrid w:val="0"/>
                          <w:rPr>
                            <w:rFonts w:ascii="Georgia" w:hAnsi="Georgia" w:cs="Arial"/>
                          </w:rPr>
                        </w:pPr>
                        <w:r>
                          <w:rPr>
                            <w:rFonts w:ascii="Georgia" w:hAnsi="Georgia" w:cs="Arial"/>
                          </w:rPr>
                          <w:t>4800 VERVIERS</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087/31 00 19</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VERVIERS I</w:t>
                        </w:r>
                      </w:p>
                    </w:tc>
                    <w:tc>
                      <w:tcPr>
                        <w:tcW w:w="2802" w:type="dxa"/>
                        <w:vAlign w:val="center"/>
                      </w:tcPr>
                      <w:p w:rsidR="00F04EEF" w:rsidRDefault="0099351E">
                        <w:pPr>
                          <w:snapToGrid w:val="0"/>
                          <w:rPr>
                            <w:rFonts w:ascii="Georgia" w:hAnsi="Georgia" w:cs="Arial"/>
                          </w:rPr>
                        </w:pPr>
                        <w:r>
                          <w:rPr>
                            <w:rFonts w:ascii="Georgia" w:hAnsi="Georgia" w:cs="Arial"/>
                          </w:rPr>
                          <w:t>Rue Laoureux, 32</w:t>
                        </w:r>
                      </w:p>
                    </w:tc>
                    <w:tc>
                      <w:tcPr>
                        <w:tcW w:w="2328" w:type="dxa"/>
                        <w:vAlign w:val="center"/>
                      </w:tcPr>
                      <w:p w:rsidR="00F04EEF" w:rsidRDefault="0099351E">
                        <w:pPr>
                          <w:snapToGrid w:val="0"/>
                          <w:rPr>
                            <w:rFonts w:ascii="Georgia" w:hAnsi="Georgia" w:cs="Arial"/>
                          </w:rPr>
                        </w:pPr>
                        <w:r>
                          <w:rPr>
                            <w:rFonts w:ascii="Georgia" w:hAnsi="Georgia" w:cs="Arial"/>
                          </w:rPr>
                          <w:t>4800 VERVIERS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087/32.27.41</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de Sclessin, 2</w:t>
                        </w:r>
                      </w:p>
                    </w:tc>
                    <w:tc>
                      <w:tcPr>
                        <w:tcW w:w="2328" w:type="dxa"/>
                        <w:vAlign w:val="center"/>
                      </w:tcPr>
                      <w:p w:rsidR="00F04EEF" w:rsidRDefault="0099351E">
                        <w:pPr>
                          <w:snapToGrid w:val="0"/>
                          <w:rPr>
                            <w:rFonts w:ascii="Georgia" w:hAnsi="Georgia" w:cs="Arial"/>
                          </w:rPr>
                        </w:pPr>
                        <w:r>
                          <w:rPr>
                            <w:rFonts w:ascii="Georgia" w:hAnsi="Georgia" w:cs="Arial"/>
                          </w:rPr>
                          <w:t>4900 SPA</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087/77.13.28</w:t>
                        </w:r>
                      </w:p>
                    </w:tc>
                    <w:tc>
                      <w:tcPr>
                        <w:tcW w:w="3562" w:type="dxa"/>
                      </w:tcPr>
                      <w:p w:rsidR="00F04EEF" w:rsidRDefault="0099351E">
                        <w:pPr>
                          <w:snapToGrid w:val="0"/>
                          <w:jc w:val="center"/>
                          <w:rPr>
                            <w:rFonts w:ascii="Georgia" w:hAnsi="Georgia" w:cs="Arial"/>
                            <w:b/>
                            <w:bCs/>
                          </w:rPr>
                        </w:pPr>
                        <w:r>
                          <w:rPr>
                            <w:rFonts w:ascii="Georgia" w:hAnsi="Georgia" w:cs="Arial"/>
                            <w:b/>
                            <w:bCs/>
                          </w:rPr>
                          <w:t>Province de Liège</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de Bruxelles, 34 B</w:t>
                        </w:r>
                      </w:p>
                    </w:tc>
                    <w:tc>
                      <w:tcPr>
                        <w:tcW w:w="2328" w:type="dxa"/>
                        <w:vAlign w:val="center"/>
                      </w:tcPr>
                      <w:p w:rsidR="00F04EEF" w:rsidRDefault="0099351E">
                        <w:pPr>
                          <w:snapToGrid w:val="0"/>
                          <w:rPr>
                            <w:rFonts w:ascii="Georgia" w:hAnsi="Georgia" w:cs="Arial"/>
                          </w:rPr>
                        </w:pPr>
                        <w:r>
                          <w:rPr>
                            <w:rFonts w:ascii="Georgia" w:hAnsi="Georgia" w:cs="Arial"/>
                          </w:rPr>
                          <w:t>5000 NAMUR</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081/22.81.79</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vAlign w:val="center"/>
                      </w:tcPr>
                      <w:p w:rsidR="00F04EEF" w:rsidRDefault="0099351E">
                        <w:pPr>
                          <w:snapToGrid w:val="0"/>
                          <w:rPr>
                            <w:rFonts w:ascii="Georgia" w:hAnsi="Georgia" w:cs="Arial"/>
                          </w:rPr>
                        </w:pPr>
                        <w:r>
                          <w:rPr>
                            <w:rFonts w:ascii="Georgia" w:hAnsi="Georgia" w:cs="Arial"/>
                          </w:rPr>
                          <w:t>Rue Château des Balances, 3B</w:t>
                        </w:r>
                      </w:p>
                    </w:tc>
                    <w:tc>
                      <w:tcPr>
                        <w:tcW w:w="2328" w:type="dxa"/>
                        <w:vAlign w:val="center"/>
                      </w:tcPr>
                      <w:p w:rsidR="00F04EEF" w:rsidRDefault="0099351E">
                        <w:pPr>
                          <w:snapToGrid w:val="0"/>
                          <w:rPr>
                            <w:rFonts w:ascii="Georgia" w:hAnsi="Georgia" w:cs="Arial"/>
                          </w:rPr>
                        </w:pPr>
                        <w:r>
                          <w:rPr>
                            <w:rFonts w:ascii="Georgia" w:hAnsi="Georgia" w:cs="Arial"/>
                          </w:rPr>
                          <w:t>5000 NAMUR</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081/77.67.09</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NAMUR I</w:t>
                        </w:r>
                      </w:p>
                    </w:tc>
                    <w:tc>
                      <w:tcPr>
                        <w:tcW w:w="2802" w:type="dxa"/>
                        <w:vAlign w:val="center"/>
                      </w:tcPr>
                      <w:p w:rsidR="00F04EEF" w:rsidRDefault="0099351E">
                        <w:pPr>
                          <w:snapToGrid w:val="0"/>
                          <w:rPr>
                            <w:rFonts w:ascii="Georgia" w:hAnsi="Georgia" w:cs="Arial"/>
                          </w:rPr>
                        </w:pPr>
                        <w:r>
                          <w:rPr>
                            <w:rFonts w:ascii="Georgia" w:hAnsi="Georgia" w:cs="Arial"/>
                          </w:rPr>
                          <w:t>Rue du Lombard, 24</w:t>
                        </w:r>
                      </w:p>
                    </w:tc>
                    <w:tc>
                      <w:tcPr>
                        <w:tcW w:w="2328" w:type="dxa"/>
                        <w:vAlign w:val="center"/>
                      </w:tcPr>
                      <w:p w:rsidR="00F04EEF" w:rsidRDefault="0099351E">
                        <w:pPr>
                          <w:snapToGrid w:val="0"/>
                          <w:rPr>
                            <w:rFonts w:ascii="Georgia" w:hAnsi="Georgia" w:cs="Arial"/>
                          </w:rPr>
                        </w:pPr>
                        <w:r>
                          <w:rPr>
                            <w:rFonts w:ascii="Georgia" w:hAnsi="Georgia" w:cs="Arial"/>
                          </w:rPr>
                          <w:t>5000 NAMUR</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081/22.38.30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NAMUR II</w:t>
                        </w:r>
                      </w:p>
                    </w:tc>
                    <w:tc>
                      <w:tcPr>
                        <w:tcW w:w="2802" w:type="dxa"/>
                        <w:vAlign w:val="center"/>
                      </w:tcPr>
                      <w:p w:rsidR="00F04EEF" w:rsidRDefault="0099351E">
                        <w:pPr>
                          <w:snapToGrid w:val="0"/>
                          <w:rPr>
                            <w:rFonts w:ascii="Georgia" w:hAnsi="Georgia" w:cs="Arial"/>
                          </w:rPr>
                        </w:pPr>
                        <w:r>
                          <w:rPr>
                            <w:rFonts w:ascii="Georgia" w:hAnsi="Georgia" w:cs="Arial"/>
                          </w:rPr>
                          <w:t>Rue du Lombard, 24</w:t>
                        </w:r>
                      </w:p>
                    </w:tc>
                    <w:tc>
                      <w:tcPr>
                        <w:tcW w:w="2328" w:type="dxa"/>
                        <w:vAlign w:val="center"/>
                      </w:tcPr>
                      <w:p w:rsidR="00F04EEF" w:rsidRDefault="0099351E">
                        <w:pPr>
                          <w:snapToGrid w:val="0"/>
                          <w:rPr>
                            <w:rFonts w:ascii="Georgia" w:hAnsi="Georgia" w:cs="Arial"/>
                          </w:rPr>
                        </w:pPr>
                        <w:r>
                          <w:rPr>
                            <w:rFonts w:ascii="Georgia" w:hAnsi="Georgia" w:cs="Arial"/>
                          </w:rPr>
                          <w:t>5000 NAMUR</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081/22.34.71</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NAMUR III</w:t>
                        </w:r>
                      </w:p>
                    </w:tc>
                    <w:tc>
                      <w:tcPr>
                        <w:tcW w:w="2802" w:type="dxa"/>
                        <w:vAlign w:val="center"/>
                      </w:tcPr>
                      <w:p w:rsidR="00F04EEF" w:rsidRDefault="0099351E">
                        <w:pPr>
                          <w:snapToGrid w:val="0"/>
                          <w:rPr>
                            <w:rFonts w:ascii="Georgia" w:hAnsi="Georgia" w:cs="Arial"/>
                          </w:rPr>
                        </w:pPr>
                        <w:r>
                          <w:rPr>
                            <w:rFonts w:ascii="Georgia" w:hAnsi="Georgia" w:cs="Arial"/>
                          </w:rPr>
                          <w:t>Rue du Lombard, 24</w:t>
                        </w:r>
                      </w:p>
                    </w:tc>
                    <w:tc>
                      <w:tcPr>
                        <w:tcW w:w="2328" w:type="dxa"/>
                        <w:vAlign w:val="center"/>
                      </w:tcPr>
                      <w:p w:rsidR="00F04EEF" w:rsidRDefault="0099351E">
                        <w:pPr>
                          <w:snapToGrid w:val="0"/>
                          <w:rPr>
                            <w:rFonts w:ascii="Georgia" w:hAnsi="Georgia" w:cs="Arial"/>
                          </w:rPr>
                        </w:pPr>
                        <w:r>
                          <w:rPr>
                            <w:rFonts w:ascii="Georgia" w:hAnsi="Georgia" w:cs="Arial"/>
                          </w:rPr>
                          <w:t>5000 NAMUR</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081/22.39.36</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Entrée Jacques, 68</w:t>
                        </w:r>
                      </w:p>
                    </w:tc>
                    <w:tc>
                      <w:tcPr>
                        <w:tcW w:w="2328" w:type="dxa"/>
                        <w:vAlign w:val="center"/>
                      </w:tcPr>
                      <w:p w:rsidR="00F04EEF" w:rsidRDefault="0099351E">
                        <w:pPr>
                          <w:snapToGrid w:val="0"/>
                          <w:rPr>
                            <w:rFonts w:ascii="Georgia" w:hAnsi="Georgia" w:cs="Arial"/>
                          </w:rPr>
                        </w:pPr>
                        <w:r>
                          <w:rPr>
                            <w:rFonts w:ascii="Georgia" w:hAnsi="Georgia" w:cs="Arial"/>
                          </w:rPr>
                          <w:t>5030 GEMBLOUX </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081/61.48.08</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Rue des Sartinets, 22</w:t>
                        </w:r>
                      </w:p>
                    </w:tc>
                    <w:tc>
                      <w:tcPr>
                        <w:tcW w:w="2328" w:type="dxa"/>
                        <w:vAlign w:val="center"/>
                      </w:tcPr>
                      <w:p w:rsidR="00F04EEF" w:rsidRDefault="0099351E">
                        <w:pPr>
                          <w:snapToGrid w:val="0"/>
                          <w:rPr>
                            <w:rFonts w:ascii="Georgia" w:hAnsi="Georgia" w:cs="Arial"/>
                          </w:rPr>
                        </w:pPr>
                        <w:r>
                          <w:rPr>
                            <w:rFonts w:ascii="Georgia" w:hAnsi="Georgia" w:cs="Arial"/>
                          </w:rPr>
                          <w:t>5060 AUVELAIS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071/74.11.57</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Reine Elisabeth, 26</w:t>
                        </w:r>
                      </w:p>
                    </w:tc>
                    <w:tc>
                      <w:tcPr>
                        <w:tcW w:w="2328" w:type="dxa"/>
                        <w:vAlign w:val="center"/>
                      </w:tcPr>
                      <w:p w:rsidR="00F04EEF" w:rsidRDefault="0099351E">
                        <w:pPr>
                          <w:snapToGrid w:val="0"/>
                          <w:rPr>
                            <w:rFonts w:ascii="Georgia" w:hAnsi="Georgia" w:cs="Arial"/>
                          </w:rPr>
                        </w:pPr>
                        <w:r>
                          <w:rPr>
                            <w:rFonts w:ascii="Georgia" w:hAnsi="Georgia" w:cs="Arial"/>
                          </w:rPr>
                          <w:t>5060 TAMINES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071/77.24.22</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provincial Tamines Gembloux</w:t>
                        </w:r>
                      </w:p>
                    </w:tc>
                    <w:tc>
                      <w:tcPr>
                        <w:tcW w:w="2802" w:type="dxa"/>
                        <w:vAlign w:val="center"/>
                      </w:tcPr>
                      <w:p w:rsidR="00F04EEF" w:rsidRDefault="0099351E">
                        <w:pPr>
                          <w:snapToGrid w:val="0"/>
                          <w:rPr>
                            <w:rFonts w:ascii="Georgia" w:hAnsi="Georgia" w:cs="Arial"/>
                          </w:rPr>
                        </w:pPr>
                        <w:r>
                          <w:rPr>
                            <w:rFonts w:ascii="Georgia" w:hAnsi="Georgia" w:cs="Arial"/>
                          </w:rPr>
                          <w:t>Rue Duculot, 11</w:t>
                        </w:r>
                      </w:p>
                    </w:tc>
                    <w:tc>
                      <w:tcPr>
                        <w:tcW w:w="2328" w:type="dxa"/>
                        <w:vAlign w:val="center"/>
                      </w:tcPr>
                      <w:p w:rsidR="00F04EEF" w:rsidRDefault="0099351E">
                        <w:pPr>
                          <w:snapToGrid w:val="0"/>
                          <w:rPr>
                            <w:rFonts w:ascii="Georgia" w:hAnsi="Georgia" w:cs="Arial"/>
                          </w:rPr>
                        </w:pPr>
                        <w:r>
                          <w:rPr>
                            <w:rFonts w:ascii="Georgia" w:hAnsi="Georgia" w:cs="Arial"/>
                          </w:rPr>
                          <w:t>5060 TAMINES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071/26.99.05 081/77.67.94</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JAMBES II</w:t>
                        </w:r>
                      </w:p>
                    </w:tc>
                    <w:tc>
                      <w:tcPr>
                        <w:tcW w:w="2802" w:type="dxa"/>
                        <w:vAlign w:val="center"/>
                      </w:tcPr>
                      <w:p w:rsidR="00F04EEF" w:rsidRDefault="0099351E">
                        <w:pPr>
                          <w:snapToGrid w:val="0"/>
                          <w:rPr>
                            <w:rFonts w:ascii="Georgia" w:hAnsi="Georgia" w:cs="Arial"/>
                          </w:rPr>
                        </w:pPr>
                        <w:r>
                          <w:rPr>
                            <w:rFonts w:ascii="Georgia" w:hAnsi="Georgia" w:cs="Arial"/>
                          </w:rPr>
                          <w:t>Rue Tillieux, 5</w:t>
                        </w:r>
                      </w:p>
                    </w:tc>
                    <w:tc>
                      <w:tcPr>
                        <w:tcW w:w="2328" w:type="dxa"/>
                        <w:vAlign w:val="center"/>
                      </w:tcPr>
                      <w:p w:rsidR="00F04EEF" w:rsidRDefault="0099351E">
                        <w:pPr>
                          <w:snapToGrid w:val="0"/>
                          <w:rPr>
                            <w:rFonts w:ascii="Georgia" w:hAnsi="Georgia" w:cs="Arial"/>
                          </w:rPr>
                        </w:pPr>
                        <w:r>
                          <w:rPr>
                            <w:rFonts w:ascii="Georgia" w:hAnsi="Georgia" w:cs="Arial"/>
                          </w:rPr>
                          <w:t>5100 JAMBES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081/30.75.07</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vAlign w:val="center"/>
                      </w:tcPr>
                      <w:p w:rsidR="00F04EEF" w:rsidRDefault="0099351E">
                        <w:pPr>
                          <w:snapToGrid w:val="0"/>
                          <w:rPr>
                            <w:rFonts w:ascii="Georgia" w:hAnsi="Georgia" w:cs="Arial"/>
                          </w:rPr>
                        </w:pPr>
                        <w:r>
                          <w:rPr>
                            <w:rFonts w:ascii="Georgia" w:hAnsi="Georgia" w:cs="Arial"/>
                          </w:rPr>
                          <w:t>Rue de l’Hôpital, 23</w:t>
                        </w:r>
                      </w:p>
                    </w:tc>
                    <w:tc>
                      <w:tcPr>
                        <w:tcW w:w="2328" w:type="dxa"/>
                        <w:vAlign w:val="center"/>
                      </w:tcPr>
                      <w:p w:rsidR="00F04EEF" w:rsidRDefault="0099351E">
                        <w:pPr>
                          <w:snapToGrid w:val="0"/>
                          <w:rPr>
                            <w:rFonts w:ascii="Georgia" w:hAnsi="Georgia" w:cs="Arial"/>
                          </w:rPr>
                        </w:pPr>
                        <w:r>
                          <w:rPr>
                            <w:rFonts w:ascii="Georgia" w:hAnsi="Georgia" w:cs="Arial"/>
                          </w:rPr>
                          <w:t>5300 ANDENNE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081/77.68.32</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Saint-Pierre, 139</w:t>
                        </w:r>
                      </w:p>
                    </w:tc>
                    <w:tc>
                      <w:tcPr>
                        <w:tcW w:w="2328" w:type="dxa"/>
                        <w:vAlign w:val="center"/>
                      </w:tcPr>
                      <w:p w:rsidR="00F04EEF" w:rsidRDefault="0099351E">
                        <w:pPr>
                          <w:snapToGrid w:val="0"/>
                          <w:rPr>
                            <w:rFonts w:ascii="Georgia" w:hAnsi="Georgia" w:cs="Arial"/>
                          </w:rPr>
                        </w:pPr>
                        <w:r>
                          <w:rPr>
                            <w:rFonts w:ascii="Georgia" w:hAnsi="Georgia" w:cs="Arial"/>
                          </w:rPr>
                          <w:t>5500 DINANT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082/22.29.73</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Avenue Franchet d’Esperey, 9</w:t>
                        </w:r>
                      </w:p>
                    </w:tc>
                    <w:tc>
                      <w:tcPr>
                        <w:tcW w:w="2328" w:type="dxa"/>
                        <w:vAlign w:val="center"/>
                      </w:tcPr>
                      <w:p w:rsidR="00F04EEF" w:rsidRDefault="0099351E">
                        <w:pPr>
                          <w:snapToGrid w:val="0"/>
                          <w:rPr>
                            <w:rFonts w:ascii="Georgia" w:hAnsi="Georgia" w:cs="Arial"/>
                          </w:rPr>
                        </w:pPr>
                        <w:r>
                          <w:rPr>
                            <w:rFonts w:ascii="Georgia" w:hAnsi="Georgia" w:cs="Arial"/>
                          </w:rPr>
                          <w:t>5500 DINANT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082/22.29.31</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vAlign w:val="center"/>
                      </w:tcPr>
                      <w:p w:rsidR="00F04EEF" w:rsidRDefault="0099351E">
                        <w:pPr>
                          <w:snapToGrid w:val="0"/>
                          <w:rPr>
                            <w:rFonts w:ascii="Georgia" w:hAnsi="Georgia" w:cs="Arial"/>
                          </w:rPr>
                        </w:pPr>
                        <w:r>
                          <w:rPr>
                            <w:rFonts w:ascii="Georgia" w:hAnsi="Georgia" w:cs="Arial"/>
                          </w:rPr>
                          <w:t>Rue de l’Aubépine, 61</w:t>
                        </w:r>
                      </w:p>
                    </w:tc>
                    <w:tc>
                      <w:tcPr>
                        <w:tcW w:w="2328" w:type="dxa"/>
                        <w:vAlign w:val="center"/>
                      </w:tcPr>
                      <w:p w:rsidR="00F04EEF" w:rsidRDefault="0099351E">
                        <w:pPr>
                          <w:snapToGrid w:val="0"/>
                          <w:rPr>
                            <w:rFonts w:ascii="Georgia" w:hAnsi="Georgia" w:cs="Arial"/>
                          </w:rPr>
                        </w:pPr>
                        <w:r>
                          <w:rPr>
                            <w:rFonts w:ascii="Georgia" w:hAnsi="Georgia" w:cs="Arial"/>
                          </w:rPr>
                          <w:t>5570 BEAURAING</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081/77.68.28</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vAlign w:val="center"/>
                      </w:tcPr>
                      <w:p w:rsidR="00F04EEF" w:rsidRDefault="0099351E">
                        <w:pPr>
                          <w:snapToGrid w:val="0"/>
                          <w:rPr>
                            <w:rFonts w:ascii="Georgia" w:hAnsi="Georgia" w:cs="Arial"/>
                          </w:rPr>
                        </w:pPr>
                        <w:r>
                          <w:rPr>
                            <w:rFonts w:ascii="Georgia" w:hAnsi="Georgia" w:cs="Arial"/>
                          </w:rPr>
                          <w:t>Rue G. de Cambrai, 18</w:t>
                        </w:r>
                      </w:p>
                    </w:tc>
                    <w:tc>
                      <w:tcPr>
                        <w:tcW w:w="2328" w:type="dxa"/>
                        <w:vAlign w:val="center"/>
                      </w:tcPr>
                      <w:p w:rsidR="00F04EEF" w:rsidRDefault="0099351E">
                        <w:pPr>
                          <w:snapToGrid w:val="0"/>
                          <w:rPr>
                            <w:rFonts w:ascii="Georgia" w:hAnsi="Georgia" w:cs="Arial"/>
                          </w:rPr>
                        </w:pPr>
                        <w:r>
                          <w:rPr>
                            <w:rFonts w:ascii="Georgia" w:hAnsi="Georgia" w:cs="Arial"/>
                          </w:rPr>
                          <w:t>5620 FLORENNES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081/77.68.30</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du Bercet, 2</w:t>
                        </w:r>
                      </w:p>
                    </w:tc>
                    <w:tc>
                      <w:tcPr>
                        <w:tcW w:w="2328" w:type="dxa"/>
                        <w:vAlign w:val="center"/>
                      </w:tcPr>
                      <w:p w:rsidR="00F04EEF" w:rsidRDefault="0099351E">
                        <w:pPr>
                          <w:snapToGrid w:val="0"/>
                          <w:rPr>
                            <w:rFonts w:ascii="Georgia" w:hAnsi="Georgia" w:cs="Arial"/>
                          </w:rPr>
                        </w:pPr>
                        <w:r>
                          <w:rPr>
                            <w:rFonts w:ascii="Georgia" w:hAnsi="Georgia" w:cs="Arial"/>
                          </w:rPr>
                          <w:t>5660 COUVIN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060/34.42.68</w:t>
                        </w:r>
                      </w:p>
                    </w:tc>
                    <w:tc>
                      <w:tcPr>
                        <w:tcW w:w="3562" w:type="dxa"/>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Rue de la Gare, 43</w:t>
                        </w:r>
                      </w:p>
                    </w:tc>
                    <w:tc>
                      <w:tcPr>
                        <w:tcW w:w="2328" w:type="dxa"/>
                        <w:vAlign w:val="center"/>
                      </w:tcPr>
                      <w:p w:rsidR="00F04EEF" w:rsidRDefault="0099351E">
                        <w:pPr>
                          <w:snapToGrid w:val="0"/>
                          <w:rPr>
                            <w:rFonts w:ascii="Georgia" w:hAnsi="Georgia" w:cs="Arial"/>
                          </w:rPr>
                        </w:pPr>
                        <w:r>
                          <w:rPr>
                            <w:rFonts w:ascii="Georgia" w:hAnsi="Georgia" w:cs="Arial"/>
                          </w:rPr>
                          <w:t>5660 COUVIN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060/34.48.89</w:t>
                        </w:r>
                      </w:p>
                    </w:tc>
                    <w:tc>
                      <w:tcPr>
                        <w:tcW w:w="3562" w:type="dxa"/>
                        <w:vAlign w:val="center"/>
                      </w:tcPr>
                      <w:p w:rsidR="00F04EEF" w:rsidRDefault="0099351E">
                        <w:pPr>
                          <w:snapToGrid w:val="0"/>
                          <w:jc w:val="center"/>
                          <w:rPr>
                            <w:rFonts w:ascii="Georgia" w:hAnsi="Georgia" w:cs="Arial"/>
                            <w:b/>
                            <w:bCs/>
                          </w:rPr>
                        </w:pPr>
                        <w:r>
                          <w:rPr>
                            <w:rFonts w:ascii="Georgia" w:hAnsi="Georgia" w:cs="Arial"/>
                            <w:b/>
                            <w:bCs/>
                          </w:rPr>
                          <w:t>Province de Namur</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Rue de Maies, 1</w:t>
                        </w:r>
                      </w:p>
                    </w:tc>
                    <w:tc>
                      <w:tcPr>
                        <w:tcW w:w="2328" w:type="dxa"/>
                        <w:vAlign w:val="center"/>
                      </w:tcPr>
                      <w:p w:rsidR="00F04EEF" w:rsidRDefault="0099351E">
                        <w:pPr>
                          <w:snapToGrid w:val="0"/>
                          <w:rPr>
                            <w:rFonts w:ascii="Georgia" w:hAnsi="Georgia" w:cs="Arial"/>
                          </w:rPr>
                        </w:pPr>
                        <w:r>
                          <w:rPr>
                            <w:rFonts w:ascii="Georgia" w:hAnsi="Georgia" w:cs="Arial"/>
                          </w:rPr>
                          <w:t>6600 BASTOGNE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061/21.63.33</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de Sesselich, 61</w:t>
                        </w:r>
                      </w:p>
                    </w:tc>
                    <w:tc>
                      <w:tcPr>
                        <w:tcW w:w="2328" w:type="dxa"/>
                        <w:vAlign w:val="center"/>
                      </w:tcPr>
                      <w:p w:rsidR="00F04EEF" w:rsidRDefault="0099351E">
                        <w:pPr>
                          <w:snapToGrid w:val="0"/>
                          <w:rPr>
                            <w:rFonts w:ascii="Georgia" w:hAnsi="Georgia" w:cs="Arial"/>
                          </w:rPr>
                        </w:pPr>
                        <w:r>
                          <w:rPr>
                            <w:rFonts w:ascii="Georgia" w:hAnsi="Georgia" w:cs="Arial"/>
                          </w:rPr>
                          <w:t>6700 ARLON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063/22.02.47</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Faubourg d’Arival, 39</w:t>
                        </w:r>
                      </w:p>
                    </w:tc>
                    <w:tc>
                      <w:tcPr>
                        <w:tcW w:w="2328" w:type="dxa"/>
                        <w:vAlign w:val="center"/>
                      </w:tcPr>
                      <w:p w:rsidR="00F04EEF" w:rsidRDefault="0099351E">
                        <w:pPr>
                          <w:snapToGrid w:val="0"/>
                          <w:rPr>
                            <w:rFonts w:ascii="Georgia" w:hAnsi="Georgia" w:cs="Arial"/>
                          </w:rPr>
                        </w:pPr>
                        <w:r>
                          <w:rPr>
                            <w:rFonts w:ascii="Georgia" w:hAnsi="Georgia" w:cs="Arial"/>
                          </w:rPr>
                          <w:t>6760 VIRTON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063/57.72.07</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VIRTON II</w:t>
                        </w:r>
                      </w:p>
                    </w:tc>
                    <w:tc>
                      <w:tcPr>
                        <w:tcW w:w="2802" w:type="dxa"/>
                        <w:vAlign w:val="center"/>
                      </w:tcPr>
                      <w:p w:rsidR="00F04EEF" w:rsidRDefault="0099351E">
                        <w:pPr>
                          <w:snapToGrid w:val="0"/>
                          <w:rPr>
                            <w:rFonts w:ascii="Georgia" w:hAnsi="Georgia" w:cs="Arial"/>
                          </w:rPr>
                        </w:pPr>
                        <w:r>
                          <w:rPr>
                            <w:rFonts w:ascii="Georgia" w:hAnsi="Georgia" w:cs="Arial"/>
                          </w:rPr>
                          <w:t>Rue Croix-le-Maire, 17</w:t>
                        </w:r>
                      </w:p>
                    </w:tc>
                    <w:tc>
                      <w:tcPr>
                        <w:tcW w:w="2328" w:type="dxa"/>
                        <w:vAlign w:val="center"/>
                      </w:tcPr>
                      <w:p w:rsidR="00F04EEF" w:rsidRDefault="0099351E">
                        <w:pPr>
                          <w:snapToGrid w:val="0"/>
                          <w:rPr>
                            <w:rFonts w:ascii="Georgia" w:hAnsi="Georgia" w:cs="Arial"/>
                          </w:rPr>
                        </w:pPr>
                        <w:r>
                          <w:rPr>
                            <w:rFonts w:ascii="Georgia" w:hAnsi="Georgia" w:cs="Arial"/>
                          </w:rPr>
                          <w:t>6760 VIRTON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063/57.89.92</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de la Gare, 10</w:t>
                        </w:r>
                      </w:p>
                    </w:tc>
                    <w:tc>
                      <w:tcPr>
                        <w:tcW w:w="2328" w:type="dxa"/>
                        <w:vAlign w:val="center"/>
                      </w:tcPr>
                      <w:p w:rsidR="00F04EEF" w:rsidRDefault="0099351E">
                        <w:pPr>
                          <w:snapToGrid w:val="0"/>
                          <w:rPr>
                            <w:rFonts w:ascii="Georgia" w:hAnsi="Georgia" w:cs="Arial"/>
                          </w:rPr>
                        </w:pPr>
                        <w:r>
                          <w:rPr>
                            <w:rFonts w:ascii="Georgia" w:hAnsi="Georgia" w:cs="Arial"/>
                          </w:rPr>
                          <w:t>6840 NEUFCHATEAU</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061/27.74.58</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Rue des Charmes, 3</w:t>
                        </w:r>
                      </w:p>
                    </w:tc>
                    <w:tc>
                      <w:tcPr>
                        <w:tcW w:w="2328" w:type="dxa"/>
                        <w:vAlign w:val="center"/>
                      </w:tcPr>
                      <w:p w:rsidR="00F04EEF" w:rsidRDefault="0099351E">
                        <w:pPr>
                          <w:snapToGrid w:val="0"/>
                          <w:rPr>
                            <w:rFonts w:ascii="Georgia" w:hAnsi="Georgia" w:cs="Arial"/>
                          </w:rPr>
                        </w:pPr>
                        <w:r>
                          <w:rPr>
                            <w:rFonts w:ascii="Georgia" w:hAnsi="Georgia" w:cs="Arial"/>
                          </w:rPr>
                          <w:t>6840 NEUFCHATEAU</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061/27.14.38</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vAlign w:val="center"/>
                      </w:tcPr>
                      <w:p w:rsidR="00F04EEF" w:rsidRDefault="0099351E">
                        <w:pPr>
                          <w:snapToGrid w:val="0"/>
                          <w:rPr>
                            <w:rFonts w:ascii="Georgia" w:hAnsi="Georgia" w:cs="Arial"/>
                          </w:rPr>
                        </w:pPr>
                        <w:r>
                          <w:rPr>
                            <w:rFonts w:ascii="Georgia" w:hAnsi="Georgia" w:cs="Arial"/>
                          </w:rPr>
                          <w:t>Rue de la Fontaine, 29</w:t>
                        </w:r>
                      </w:p>
                    </w:tc>
                    <w:tc>
                      <w:tcPr>
                        <w:tcW w:w="2328" w:type="dxa"/>
                        <w:vAlign w:val="center"/>
                      </w:tcPr>
                      <w:p w:rsidR="00F04EEF" w:rsidRDefault="0099351E">
                        <w:pPr>
                          <w:snapToGrid w:val="0"/>
                          <w:rPr>
                            <w:rFonts w:ascii="Georgia" w:hAnsi="Georgia" w:cs="Arial"/>
                          </w:rPr>
                        </w:pPr>
                        <w:r>
                          <w:rPr>
                            <w:rFonts w:ascii="Georgia" w:hAnsi="Georgia" w:cs="Arial"/>
                          </w:rPr>
                          <w:t>6870 SAINT-HUBERT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061/61.23.63</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de la Toison d’Or, 75</w:t>
                        </w:r>
                      </w:p>
                    </w:tc>
                    <w:tc>
                      <w:tcPr>
                        <w:tcW w:w="2328" w:type="dxa"/>
                        <w:vAlign w:val="center"/>
                      </w:tcPr>
                      <w:p w:rsidR="00F04EEF" w:rsidRDefault="0099351E">
                        <w:pPr>
                          <w:snapToGrid w:val="0"/>
                          <w:rPr>
                            <w:rFonts w:ascii="Georgia" w:hAnsi="Georgia" w:cs="Arial"/>
                          </w:rPr>
                        </w:pPr>
                        <w:r>
                          <w:rPr>
                            <w:rFonts w:ascii="Georgia" w:hAnsi="Georgia" w:cs="Arial"/>
                          </w:rPr>
                          <w:t>6900 MARCHE-EN-FAMENNE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084/31.11.39</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MARCHE I</w:t>
                        </w:r>
                      </w:p>
                    </w:tc>
                    <w:tc>
                      <w:tcPr>
                        <w:tcW w:w="2802" w:type="dxa"/>
                        <w:vAlign w:val="center"/>
                      </w:tcPr>
                      <w:p w:rsidR="00F04EEF" w:rsidRDefault="0099351E">
                        <w:pPr>
                          <w:snapToGrid w:val="0"/>
                          <w:rPr>
                            <w:rFonts w:ascii="Georgia" w:hAnsi="Georgia" w:cs="Arial"/>
                          </w:rPr>
                        </w:pPr>
                        <w:r>
                          <w:rPr>
                            <w:rFonts w:ascii="Georgia" w:hAnsi="Georgia" w:cs="Arial"/>
                          </w:rPr>
                          <w:t>Avenue de la Toison d’Or, 72</w:t>
                        </w:r>
                      </w:p>
                    </w:tc>
                    <w:tc>
                      <w:tcPr>
                        <w:tcW w:w="2328" w:type="dxa"/>
                        <w:vAlign w:val="center"/>
                      </w:tcPr>
                      <w:p w:rsidR="00F04EEF" w:rsidRDefault="0099351E">
                        <w:pPr>
                          <w:snapToGrid w:val="0"/>
                          <w:rPr>
                            <w:rFonts w:ascii="Georgia" w:hAnsi="Georgia" w:cs="Arial"/>
                          </w:rPr>
                        </w:pPr>
                        <w:r>
                          <w:rPr>
                            <w:rFonts w:ascii="Georgia" w:hAnsi="Georgia" w:cs="Arial"/>
                          </w:rPr>
                          <w:t>6900 MARCHE-EN-FAMENNE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084/31.10.82</w:t>
                        </w:r>
                      </w:p>
                    </w:tc>
                    <w:tc>
                      <w:tcPr>
                        <w:tcW w:w="3562" w:type="dxa"/>
                      </w:tcPr>
                      <w:p w:rsidR="00F04EEF" w:rsidRDefault="0099351E">
                        <w:pPr>
                          <w:snapToGrid w:val="0"/>
                          <w:jc w:val="center"/>
                          <w:rPr>
                            <w:rFonts w:ascii="Georgia" w:hAnsi="Georgia" w:cs="Arial"/>
                            <w:b/>
                            <w:bCs/>
                          </w:rPr>
                        </w:pPr>
                        <w:r>
                          <w:rPr>
                            <w:rFonts w:ascii="Georgia" w:hAnsi="Georgia" w:cs="Arial"/>
                            <w:b/>
                            <w:bCs/>
                          </w:rPr>
                          <w:t>Province du Luxembourg</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Rue de la Science, 38</w:t>
                        </w:r>
                      </w:p>
                    </w:tc>
                    <w:tc>
                      <w:tcPr>
                        <w:tcW w:w="2328" w:type="dxa"/>
                        <w:vAlign w:val="center"/>
                      </w:tcPr>
                      <w:p w:rsidR="00F04EEF" w:rsidRDefault="0099351E">
                        <w:pPr>
                          <w:snapToGrid w:val="0"/>
                          <w:rPr>
                            <w:rFonts w:ascii="Georgia" w:hAnsi="Georgia" w:cs="Arial"/>
                          </w:rPr>
                        </w:pPr>
                        <w:r>
                          <w:rPr>
                            <w:rFonts w:ascii="Georgia" w:hAnsi="Georgia" w:cs="Arial"/>
                          </w:rPr>
                          <w:t>6000 CHARLEROI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071/20.11.70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UTPP – CPMS CHARLEROI I</w:t>
                        </w:r>
                      </w:p>
                    </w:tc>
                    <w:tc>
                      <w:tcPr>
                        <w:tcW w:w="2802" w:type="dxa"/>
                        <w:vAlign w:val="center"/>
                      </w:tcPr>
                      <w:p w:rsidR="00F04EEF" w:rsidRDefault="0099351E">
                        <w:pPr>
                          <w:snapToGrid w:val="0"/>
                          <w:rPr>
                            <w:rFonts w:ascii="Georgia" w:hAnsi="Georgia" w:cs="Arial"/>
                          </w:rPr>
                        </w:pPr>
                        <w:r>
                          <w:rPr>
                            <w:rFonts w:ascii="Georgia" w:hAnsi="Georgia" w:cs="Arial"/>
                          </w:rPr>
                          <w:t>Square Hiernaux, 2</w:t>
                        </w:r>
                      </w:p>
                    </w:tc>
                    <w:tc>
                      <w:tcPr>
                        <w:tcW w:w="2328" w:type="dxa"/>
                        <w:vAlign w:val="center"/>
                      </w:tcPr>
                      <w:p w:rsidR="00F04EEF" w:rsidRDefault="0099351E">
                        <w:pPr>
                          <w:snapToGrid w:val="0"/>
                          <w:rPr>
                            <w:rFonts w:ascii="Georgia" w:hAnsi="Georgia" w:cs="Arial"/>
                          </w:rPr>
                        </w:pPr>
                        <w:r>
                          <w:rPr>
                            <w:rFonts w:ascii="Georgia" w:hAnsi="Georgia" w:cs="Arial"/>
                          </w:rPr>
                          <w:t>6000 CHARLEROI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071/53.12.45</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CHARLEROI  II</w:t>
                        </w:r>
                      </w:p>
                    </w:tc>
                    <w:tc>
                      <w:tcPr>
                        <w:tcW w:w="2802" w:type="dxa"/>
                        <w:vAlign w:val="center"/>
                      </w:tcPr>
                      <w:p w:rsidR="00F04EEF" w:rsidRDefault="0099351E">
                        <w:pPr>
                          <w:snapToGrid w:val="0"/>
                          <w:rPr>
                            <w:rFonts w:ascii="Georgia" w:hAnsi="Georgia" w:cs="Arial"/>
                          </w:rPr>
                        </w:pPr>
                        <w:r>
                          <w:rPr>
                            <w:rFonts w:ascii="Georgia" w:hAnsi="Georgia" w:cs="Arial"/>
                          </w:rPr>
                          <w:t>Rue de la Régence, 19</w:t>
                        </w:r>
                      </w:p>
                    </w:tc>
                    <w:tc>
                      <w:tcPr>
                        <w:tcW w:w="2328" w:type="dxa"/>
                        <w:vAlign w:val="center"/>
                      </w:tcPr>
                      <w:p w:rsidR="00F04EEF" w:rsidRDefault="0099351E">
                        <w:pPr>
                          <w:snapToGrid w:val="0"/>
                          <w:rPr>
                            <w:rFonts w:ascii="Georgia" w:hAnsi="Georgia" w:cs="Arial"/>
                          </w:rPr>
                        </w:pPr>
                        <w:r>
                          <w:rPr>
                            <w:rFonts w:ascii="Georgia" w:hAnsi="Georgia" w:cs="Arial"/>
                          </w:rPr>
                          <w:t>6000 CHARLEROI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071/23.62.70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CHARLEROI III</w:t>
                        </w:r>
                      </w:p>
                    </w:tc>
                    <w:tc>
                      <w:tcPr>
                        <w:tcW w:w="2802" w:type="dxa"/>
                        <w:vAlign w:val="center"/>
                      </w:tcPr>
                      <w:p w:rsidR="00F04EEF" w:rsidRDefault="0099351E">
                        <w:pPr>
                          <w:snapToGrid w:val="0"/>
                          <w:rPr>
                            <w:rFonts w:ascii="Georgia" w:hAnsi="Georgia" w:cs="Arial"/>
                          </w:rPr>
                        </w:pPr>
                        <w:r>
                          <w:rPr>
                            <w:rFonts w:ascii="Georgia" w:hAnsi="Georgia" w:cs="Arial"/>
                          </w:rPr>
                          <w:t>Cité Juvénile, Square Hiernaux, 2 -6ème étage</w:t>
                        </w:r>
                      </w:p>
                    </w:tc>
                    <w:tc>
                      <w:tcPr>
                        <w:tcW w:w="2328" w:type="dxa"/>
                        <w:vAlign w:val="center"/>
                      </w:tcPr>
                      <w:p w:rsidR="00F04EEF" w:rsidRDefault="0099351E">
                        <w:pPr>
                          <w:snapToGrid w:val="0"/>
                          <w:rPr>
                            <w:rFonts w:ascii="Georgia" w:hAnsi="Georgia" w:cs="Arial"/>
                          </w:rPr>
                        </w:pPr>
                        <w:r>
                          <w:rPr>
                            <w:rFonts w:ascii="Georgia" w:hAnsi="Georgia" w:cs="Arial"/>
                          </w:rPr>
                          <w:t>6000 CHARLEROI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071/53.15.17</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CHARLEROI I</w:t>
                        </w:r>
                      </w:p>
                    </w:tc>
                    <w:tc>
                      <w:tcPr>
                        <w:tcW w:w="2802" w:type="dxa"/>
                        <w:vAlign w:val="center"/>
                      </w:tcPr>
                      <w:p w:rsidR="00F04EEF" w:rsidRDefault="0099351E">
                        <w:pPr>
                          <w:snapToGrid w:val="0"/>
                          <w:rPr>
                            <w:rFonts w:ascii="Georgia" w:hAnsi="Georgia" w:cs="Arial"/>
                          </w:rPr>
                        </w:pPr>
                        <w:r>
                          <w:rPr>
                            <w:rFonts w:ascii="Georgia" w:hAnsi="Georgia" w:cs="Arial"/>
                          </w:rPr>
                          <w:t>Route de Beaumont, 71</w:t>
                        </w:r>
                      </w:p>
                    </w:tc>
                    <w:tc>
                      <w:tcPr>
                        <w:tcW w:w="2328" w:type="dxa"/>
                        <w:vAlign w:val="center"/>
                      </w:tcPr>
                      <w:p w:rsidR="00F04EEF" w:rsidRDefault="0099351E">
                        <w:pPr>
                          <w:snapToGrid w:val="0"/>
                          <w:rPr>
                            <w:rFonts w:ascii="Georgia" w:hAnsi="Georgia" w:cs="Arial"/>
                          </w:rPr>
                        </w:pPr>
                        <w:r>
                          <w:rPr>
                            <w:rFonts w:ascii="Georgia" w:hAnsi="Georgia" w:cs="Arial"/>
                          </w:rPr>
                          <w:t>6030 MARCHIENNE-AU-PONT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071/51.61.27</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Faubourg de Bruxelles, 110</w:t>
                        </w:r>
                      </w:p>
                    </w:tc>
                    <w:tc>
                      <w:tcPr>
                        <w:tcW w:w="2328" w:type="dxa"/>
                        <w:vAlign w:val="center"/>
                      </w:tcPr>
                      <w:p w:rsidR="00F04EEF" w:rsidRDefault="0099351E">
                        <w:pPr>
                          <w:snapToGrid w:val="0"/>
                          <w:rPr>
                            <w:rFonts w:ascii="Georgia" w:hAnsi="Georgia" w:cs="Arial"/>
                          </w:rPr>
                        </w:pPr>
                        <w:r>
                          <w:rPr>
                            <w:rFonts w:ascii="Georgia" w:hAnsi="Georgia" w:cs="Arial"/>
                          </w:rPr>
                          <w:t>6041 GOSSELIES</w:t>
                        </w:r>
                      </w:p>
                    </w:tc>
                    <w:tc>
                      <w:tcPr>
                        <w:tcW w:w="1594" w:type="dxa"/>
                      </w:tcPr>
                      <w:p w:rsidR="00F04EEF" w:rsidRDefault="0099351E">
                        <w:pPr>
                          <w:snapToGrid w:val="0"/>
                          <w:jc w:val="center"/>
                          <w:rPr>
                            <w:rFonts w:ascii="Georgia" w:eastAsia="Times New Roman" w:hAnsi="Georgia" w:cs="Arial"/>
                            <w:lang w:eastAsia="fr-BE"/>
                          </w:rPr>
                        </w:pPr>
                        <w:r>
                          <w:rPr>
                            <w:rFonts w:ascii="Georgia" w:eastAsia="Times New Roman" w:hAnsi="Georgia" w:cs="Arial"/>
                            <w:lang w:eastAsia="fr-BE"/>
                          </w:rPr>
                          <w:t>071/35 52 57</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CHATELET I</w:t>
                        </w:r>
                      </w:p>
                    </w:tc>
                    <w:tc>
                      <w:tcPr>
                        <w:tcW w:w="2802" w:type="dxa"/>
                        <w:vAlign w:val="center"/>
                      </w:tcPr>
                      <w:p w:rsidR="00F04EEF" w:rsidRDefault="0099351E">
                        <w:pPr>
                          <w:snapToGrid w:val="0"/>
                          <w:rPr>
                            <w:rFonts w:ascii="Georgia" w:hAnsi="Georgia" w:cs="Arial"/>
                          </w:rPr>
                        </w:pPr>
                        <w:r>
                          <w:rPr>
                            <w:rFonts w:ascii="Georgia" w:hAnsi="Georgia" w:cs="Arial"/>
                          </w:rPr>
                          <w:t>Rue du Collège, 43</w:t>
                        </w:r>
                      </w:p>
                    </w:tc>
                    <w:tc>
                      <w:tcPr>
                        <w:tcW w:w="2328" w:type="dxa"/>
                        <w:vAlign w:val="center"/>
                      </w:tcPr>
                      <w:p w:rsidR="00F04EEF" w:rsidRDefault="0099351E">
                        <w:pPr>
                          <w:snapToGrid w:val="0"/>
                          <w:rPr>
                            <w:rFonts w:ascii="Georgia" w:hAnsi="Georgia" w:cs="Arial"/>
                          </w:rPr>
                        </w:pPr>
                        <w:r>
                          <w:rPr>
                            <w:rFonts w:ascii="Georgia" w:hAnsi="Georgia" w:cs="Arial"/>
                          </w:rPr>
                          <w:t>6200 CHATELET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071/38.35.96</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CHATELET II</w:t>
                        </w:r>
                      </w:p>
                    </w:tc>
                    <w:tc>
                      <w:tcPr>
                        <w:tcW w:w="2802" w:type="dxa"/>
                        <w:vAlign w:val="center"/>
                      </w:tcPr>
                      <w:p w:rsidR="00F04EEF" w:rsidRDefault="0099351E">
                        <w:pPr>
                          <w:snapToGrid w:val="0"/>
                          <w:rPr>
                            <w:rFonts w:ascii="Georgia" w:hAnsi="Georgia" w:cs="Arial"/>
                          </w:rPr>
                        </w:pPr>
                        <w:r>
                          <w:rPr>
                            <w:rFonts w:ascii="Georgia" w:hAnsi="Georgia" w:cs="Arial"/>
                          </w:rPr>
                          <w:t>Rue de la Station, 164</w:t>
                        </w:r>
                      </w:p>
                    </w:tc>
                    <w:tc>
                      <w:tcPr>
                        <w:tcW w:w="2328" w:type="dxa"/>
                        <w:vAlign w:val="center"/>
                      </w:tcPr>
                      <w:p w:rsidR="00F04EEF" w:rsidRDefault="0099351E">
                        <w:pPr>
                          <w:snapToGrid w:val="0"/>
                          <w:rPr>
                            <w:rFonts w:ascii="Georgia" w:hAnsi="Georgia" w:cs="Arial"/>
                          </w:rPr>
                        </w:pPr>
                        <w:r>
                          <w:rPr>
                            <w:rFonts w:ascii="Georgia" w:hAnsi="Georgia" w:cs="Arial"/>
                          </w:rPr>
                          <w:t>6200 CHATELET</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071/38.69.69</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Drève des Alliés, 9A</w:t>
                        </w:r>
                      </w:p>
                    </w:tc>
                    <w:tc>
                      <w:tcPr>
                        <w:tcW w:w="2328" w:type="dxa"/>
                        <w:vAlign w:val="center"/>
                      </w:tcPr>
                      <w:p w:rsidR="00F04EEF" w:rsidRDefault="0099351E">
                        <w:pPr>
                          <w:snapToGrid w:val="0"/>
                          <w:rPr>
                            <w:rFonts w:ascii="Georgia" w:hAnsi="Georgia" w:cs="Arial"/>
                          </w:rPr>
                        </w:pPr>
                        <w:r>
                          <w:rPr>
                            <w:rFonts w:ascii="Georgia" w:hAnsi="Georgia" w:cs="Arial"/>
                          </w:rPr>
                          <w:t>6530 THUIN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071/59.15.64</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vAlign w:val="center"/>
                      </w:tcPr>
                      <w:p w:rsidR="00F04EEF" w:rsidRDefault="0099351E">
                        <w:pPr>
                          <w:snapToGrid w:val="0"/>
                          <w:rPr>
                            <w:rFonts w:ascii="Georgia" w:hAnsi="Georgia" w:cs="Arial"/>
                          </w:rPr>
                        </w:pPr>
                        <w:r>
                          <w:rPr>
                            <w:rFonts w:ascii="Georgia" w:hAnsi="Georgia" w:cs="Arial"/>
                          </w:rPr>
                          <w:t>Rue A. Liégeois, 9</w:t>
                        </w:r>
                      </w:p>
                    </w:tc>
                    <w:tc>
                      <w:tcPr>
                        <w:tcW w:w="2328" w:type="dxa"/>
                        <w:vAlign w:val="center"/>
                      </w:tcPr>
                      <w:p w:rsidR="00F04EEF" w:rsidRDefault="0099351E">
                        <w:pPr>
                          <w:snapToGrid w:val="0"/>
                          <w:rPr>
                            <w:rFonts w:ascii="Georgia" w:hAnsi="Georgia" w:cs="Arial"/>
                          </w:rPr>
                        </w:pPr>
                        <w:r>
                          <w:rPr>
                            <w:rFonts w:ascii="Georgia" w:hAnsi="Georgia" w:cs="Arial"/>
                          </w:rPr>
                          <w:t>6530 THUIN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071/59.02.46</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vAlign w:val="center"/>
                      </w:tcPr>
                      <w:p w:rsidR="00F04EEF" w:rsidRDefault="0099351E">
                        <w:pPr>
                          <w:snapToGrid w:val="0"/>
                          <w:rPr>
                            <w:rFonts w:ascii="Georgia" w:hAnsi="Georgia" w:cs="Arial"/>
                          </w:rPr>
                        </w:pPr>
                        <w:r>
                          <w:rPr>
                            <w:rFonts w:ascii="Georgia" w:hAnsi="Georgia" w:cs="Arial"/>
                          </w:rPr>
                          <w:t>Avenue du Champs de Mars, 2</w:t>
                        </w:r>
                      </w:p>
                    </w:tc>
                    <w:tc>
                      <w:tcPr>
                        <w:tcW w:w="2328" w:type="dxa"/>
                        <w:vAlign w:val="center"/>
                      </w:tcPr>
                      <w:p w:rsidR="00F04EEF" w:rsidRDefault="0099351E">
                        <w:pPr>
                          <w:snapToGrid w:val="0"/>
                          <w:rPr>
                            <w:rFonts w:ascii="Georgia" w:hAnsi="Georgia" w:cs="Arial"/>
                          </w:rPr>
                        </w:pPr>
                        <w:r>
                          <w:rPr>
                            <w:rFonts w:ascii="Georgia" w:hAnsi="Georgia" w:cs="Arial"/>
                          </w:rPr>
                          <w:t>7000 MONS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065/84.80.14</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vAlign w:val="center"/>
                      </w:tcPr>
                      <w:p w:rsidR="00F04EEF" w:rsidRDefault="0099351E">
                        <w:pPr>
                          <w:snapToGrid w:val="0"/>
                          <w:rPr>
                            <w:rFonts w:ascii="Georgia" w:hAnsi="Georgia" w:cs="Arial"/>
                          </w:rPr>
                        </w:pPr>
                        <w:r>
                          <w:rPr>
                            <w:rFonts w:ascii="Georgia" w:hAnsi="Georgia" w:cs="Arial"/>
                          </w:rPr>
                          <w:t>Résidence Robersart, Rue de la Grande Triperie, 21</w:t>
                        </w:r>
                      </w:p>
                    </w:tc>
                    <w:tc>
                      <w:tcPr>
                        <w:tcW w:w="2328" w:type="dxa"/>
                        <w:vAlign w:val="center"/>
                      </w:tcPr>
                      <w:p w:rsidR="00F04EEF" w:rsidRDefault="0099351E">
                        <w:pPr>
                          <w:snapToGrid w:val="0"/>
                          <w:rPr>
                            <w:rFonts w:ascii="Georgia" w:hAnsi="Georgia" w:cs="Arial"/>
                          </w:rPr>
                        </w:pPr>
                        <w:r>
                          <w:rPr>
                            <w:rFonts w:ascii="Georgia" w:hAnsi="Georgia" w:cs="Arial"/>
                          </w:rPr>
                          <w:t>7000 MONS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065/39.41.70 (71 ou 72)</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Mons 2</w:t>
                        </w:r>
                      </w:p>
                    </w:tc>
                    <w:tc>
                      <w:tcPr>
                        <w:tcW w:w="2802" w:type="dxa"/>
                        <w:vAlign w:val="center"/>
                      </w:tcPr>
                      <w:p w:rsidR="00F04EEF" w:rsidRDefault="0099351E">
                        <w:pPr>
                          <w:snapToGrid w:val="0"/>
                          <w:rPr>
                            <w:rFonts w:ascii="Georgia" w:hAnsi="Georgia" w:cs="Arial"/>
                          </w:rPr>
                        </w:pPr>
                        <w:r>
                          <w:rPr>
                            <w:rFonts w:ascii="Georgia" w:hAnsi="Georgia" w:cs="Arial"/>
                          </w:rPr>
                          <w:t>Rue de la Grande Triperie, 21</w:t>
                        </w:r>
                      </w:p>
                    </w:tc>
                    <w:tc>
                      <w:tcPr>
                        <w:tcW w:w="2328" w:type="dxa"/>
                        <w:vAlign w:val="center"/>
                      </w:tcPr>
                      <w:p w:rsidR="00F04EEF" w:rsidRDefault="0099351E">
                        <w:pPr>
                          <w:snapToGrid w:val="0"/>
                          <w:rPr>
                            <w:rFonts w:ascii="Georgia" w:hAnsi="Georgia" w:cs="Arial"/>
                          </w:rPr>
                        </w:pPr>
                        <w:r>
                          <w:rPr>
                            <w:rFonts w:ascii="Georgia" w:hAnsi="Georgia" w:cs="Arial"/>
                          </w:rPr>
                          <w:t>7000 MONS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065/39.41.70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MONS I</w:t>
                        </w:r>
                      </w:p>
                    </w:tc>
                    <w:tc>
                      <w:tcPr>
                        <w:tcW w:w="2802" w:type="dxa"/>
                        <w:vAlign w:val="center"/>
                      </w:tcPr>
                      <w:p w:rsidR="00F04EEF" w:rsidRDefault="0099351E">
                        <w:pPr>
                          <w:snapToGrid w:val="0"/>
                          <w:rPr>
                            <w:rFonts w:ascii="Georgia" w:hAnsi="Georgia" w:cs="Arial"/>
                          </w:rPr>
                        </w:pPr>
                        <w:r>
                          <w:rPr>
                            <w:rFonts w:ascii="Georgia" w:hAnsi="Georgia" w:cs="Arial"/>
                          </w:rPr>
                          <w:t>Rue du Joncquois, 122</w:t>
                        </w:r>
                      </w:p>
                    </w:tc>
                    <w:tc>
                      <w:tcPr>
                        <w:tcW w:w="2328" w:type="dxa"/>
                        <w:vAlign w:val="center"/>
                      </w:tcPr>
                      <w:p w:rsidR="00F04EEF" w:rsidRDefault="0099351E">
                        <w:pPr>
                          <w:snapToGrid w:val="0"/>
                          <w:rPr>
                            <w:rFonts w:ascii="Georgia" w:hAnsi="Georgia" w:cs="Arial"/>
                          </w:rPr>
                        </w:pPr>
                        <w:r>
                          <w:rPr>
                            <w:rFonts w:ascii="Georgia" w:hAnsi="Georgia" w:cs="Arial"/>
                          </w:rPr>
                          <w:t>7000 MONS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065/33.70.85</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MONS II</w:t>
                        </w:r>
                      </w:p>
                    </w:tc>
                    <w:tc>
                      <w:tcPr>
                        <w:tcW w:w="2802" w:type="dxa"/>
                        <w:vAlign w:val="center"/>
                      </w:tcPr>
                      <w:p w:rsidR="00F04EEF" w:rsidRDefault="0099351E">
                        <w:pPr>
                          <w:snapToGrid w:val="0"/>
                          <w:rPr>
                            <w:rFonts w:ascii="Georgia" w:hAnsi="Georgia" w:cs="Arial"/>
                          </w:rPr>
                        </w:pPr>
                        <w:r>
                          <w:rPr>
                            <w:rFonts w:ascii="Georgia" w:hAnsi="Georgia" w:cs="Arial"/>
                          </w:rPr>
                          <w:t>Rue du Joncquois, 122</w:t>
                        </w:r>
                      </w:p>
                    </w:tc>
                    <w:tc>
                      <w:tcPr>
                        <w:tcW w:w="2328" w:type="dxa"/>
                        <w:vAlign w:val="center"/>
                      </w:tcPr>
                      <w:p w:rsidR="00F04EEF" w:rsidRDefault="0099351E">
                        <w:pPr>
                          <w:snapToGrid w:val="0"/>
                          <w:rPr>
                            <w:rFonts w:ascii="Georgia" w:hAnsi="Georgia" w:cs="Arial"/>
                          </w:rPr>
                        </w:pPr>
                        <w:r>
                          <w:rPr>
                            <w:rFonts w:ascii="Georgia" w:hAnsi="Georgia" w:cs="Arial"/>
                          </w:rPr>
                          <w:t>7000 MONS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065/31.38.78</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tcPr>
                      <w:p w:rsidR="00F04EEF" w:rsidRDefault="0099351E">
                        <w:pPr>
                          <w:snapToGrid w:val="0"/>
                          <w:rPr>
                            <w:rFonts w:ascii="Georgia" w:hAnsi="Georgia" w:cs="Arial"/>
                          </w:rPr>
                        </w:pPr>
                        <w:r>
                          <w:rPr>
                            <w:rFonts w:ascii="Georgia" w:hAnsi="Georgia" w:cs="Arial"/>
                          </w:rPr>
                          <w:t>Rue Léon Hachez, 38</w:t>
                        </w:r>
                      </w:p>
                    </w:tc>
                    <w:tc>
                      <w:tcPr>
                        <w:tcW w:w="2328" w:type="dxa"/>
                      </w:tcPr>
                      <w:p w:rsidR="00F04EEF" w:rsidRDefault="0099351E">
                        <w:pPr>
                          <w:snapToGrid w:val="0"/>
                          <w:rPr>
                            <w:rFonts w:ascii="Georgia" w:hAnsi="Georgia" w:cs="Arial"/>
                          </w:rPr>
                        </w:pPr>
                        <w:r>
                          <w:rPr>
                            <w:rFonts w:ascii="Georgia" w:hAnsi="Georgia" w:cs="Arial"/>
                          </w:rPr>
                          <w:t>7060 SOIGNIES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067/33.57.85</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Rue de la Régence, 25</w:t>
                        </w:r>
                      </w:p>
                    </w:tc>
                    <w:tc>
                      <w:tcPr>
                        <w:tcW w:w="2328" w:type="dxa"/>
                      </w:tcPr>
                      <w:p w:rsidR="00F04EEF" w:rsidRDefault="0099351E">
                        <w:pPr>
                          <w:snapToGrid w:val="0"/>
                          <w:rPr>
                            <w:rFonts w:ascii="Georgia" w:hAnsi="Georgia" w:cs="Arial"/>
                          </w:rPr>
                        </w:pPr>
                        <w:r>
                          <w:rPr>
                            <w:rFonts w:ascii="Georgia" w:hAnsi="Georgia" w:cs="Arial"/>
                          </w:rPr>
                          <w:t>7060 SOIGNIES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067/33.33.08</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SOIGNIES I</w:t>
                        </w:r>
                      </w:p>
                    </w:tc>
                    <w:tc>
                      <w:tcPr>
                        <w:tcW w:w="2802" w:type="dxa"/>
                      </w:tcPr>
                      <w:p w:rsidR="00F04EEF" w:rsidRDefault="0099351E">
                        <w:pPr>
                          <w:snapToGrid w:val="0"/>
                          <w:rPr>
                            <w:rFonts w:ascii="Georgia" w:hAnsi="Georgia" w:cs="Arial"/>
                          </w:rPr>
                        </w:pPr>
                        <w:r>
                          <w:rPr>
                            <w:rFonts w:ascii="Georgia" w:hAnsi="Georgia" w:cs="Arial"/>
                          </w:rPr>
                          <w:t>Ruelle Scaffart</w:t>
                        </w:r>
                      </w:p>
                    </w:tc>
                    <w:tc>
                      <w:tcPr>
                        <w:tcW w:w="2328" w:type="dxa"/>
                      </w:tcPr>
                      <w:p w:rsidR="00F04EEF" w:rsidRDefault="0099351E">
                        <w:pPr>
                          <w:snapToGrid w:val="0"/>
                          <w:rPr>
                            <w:rFonts w:ascii="Georgia" w:hAnsi="Georgia" w:cs="Arial"/>
                          </w:rPr>
                        </w:pPr>
                        <w:r>
                          <w:rPr>
                            <w:rFonts w:ascii="Georgia" w:hAnsi="Georgia" w:cs="Arial"/>
                          </w:rPr>
                          <w:t>7060 SOIGNIES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067/33.36.42</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Rue du Parc, 87</w:t>
                        </w:r>
                      </w:p>
                    </w:tc>
                    <w:tc>
                      <w:tcPr>
                        <w:tcW w:w="2328" w:type="dxa"/>
                      </w:tcPr>
                      <w:p w:rsidR="00F04EEF" w:rsidRDefault="0099351E">
                        <w:pPr>
                          <w:snapToGrid w:val="0"/>
                          <w:rPr>
                            <w:rFonts w:ascii="Georgia" w:hAnsi="Georgia" w:cs="Arial"/>
                          </w:rPr>
                        </w:pPr>
                        <w:r>
                          <w:rPr>
                            <w:rFonts w:ascii="Georgia" w:hAnsi="Georgia" w:cs="Arial"/>
                          </w:rPr>
                          <w:t>7100 LA LOUVIERE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064/22.26.71</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tcPr>
                      <w:p w:rsidR="00F04EEF" w:rsidRDefault="0099351E">
                        <w:pPr>
                          <w:snapToGrid w:val="0"/>
                          <w:rPr>
                            <w:rFonts w:ascii="Georgia" w:hAnsi="Georgia" w:cs="Arial"/>
                          </w:rPr>
                        </w:pPr>
                        <w:r>
                          <w:rPr>
                            <w:rFonts w:ascii="Georgia" w:hAnsi="Georgia" w:cs="Arial"/>
                          </w:rPr>
                          <w:t>Rue Warocqué, 88</w:t>
                        </w:r>
                      </w:p>
                    </w:tc>
                    <w:tc>
                      <w:tcPr>
                        <w:tcW w:w="2328" w:type="dxa"/>
                      </w:tcPr>
                      <w:p w:rsidR="00F04EEF" w:rsidRDefault="0099351E">
                        <w:pPr>
                          <w:snapToGrid w:val="0"/>
                          <w:rPr>
                            <w:rFonts w:ascii="Georgia" w:hAnsi="Georgia" w:cs="Arial"/>
                          </w:rPr>
                        </w:pPr>
                        <w:r>
                          <w:rPr>
                            <w:rFonts w:ascii="Georgia" w:hAnsi="Georgia" w:cs="Arial"/>
                          </w:rPr>
                          <w:t>7100 LA LOUVIERE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064/22.58.74</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Rue de Bruxelles, 14-16</w:t>
                        </w:r>
                      </w:p>
                    </w:tc>
                    <w:tc>
                      <w:tcPr>
                        <w:tcW w:w="2328" w:type="dxa"/>
                      </w:tcPr>
                      <w:p w:rsidR="00F04EEF" w:rsidRDefault="0099351E">
                        <w:pPr>
                          <w:snapToGrid w:val="0"/>
                          <w:rPr>
                            <w:rFonts w:ascii="Georgia" w:hAnsi="Georgia" w:cs="Arial"/>
                          </w:rPr>
                        </w:pPr>
                        <w:r>
                          <w:rPr>
                            <w:rFonts w:ascii="Georgia" w:hAnsi="Georgia" w:cs="Arial"/>
                          </w:rPr>
                          <w:t>7130 BINCHE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064/33.28.55</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tcPr>
                      <w:p w:rsidR="00F04EEF" w:rsidRDefault="0099351E">
                        <w:pPr>
                          <w:snapToGrid w:val="0"/>
                          <w:rPr>
                            <w:rFonts w:ascii="Georgia" w:hAnsi="Georgia" w:cs="Arial"/>
                          </w:rPr>
                        </w:pPr>
                        <w:r>
                          <w:rPr>
                            <w:rFonts w:ascii="Georgia" w:hAnsi="Georgia" w:cs="Arial"/>
                          </w:rPr>
                          <w:t>Avenue Marie-José, 48</w:t>
                        </w:r>
                      </w:p>
                    </w:tc>
                    <w:tc>
                      <w:tcPr>
                        <w:tcW w:w="2328" w:type="dxa"/>
                      </w:tcPr>
                      <w:p w:rsidR="00F04EEF" w:rsidRDefault="0099351E">
                        <w:pPr>
                          <w:snapToGrid w:val="0"/>
                          <w:rPr>
                            <w:rFonts w:ascii="Georgia" w:hAnsi="Georgia" w:cs="Arial"/>
                          </w:rPr>
                        </w:pPr>
                        <w:r>
                          <w:rPr>
                            <w:rFonts w:ascii="Georgia" w:hAnsi="Georgia" w:cs="Arial"/>
                          </w:rPr>
                          <w:t>7130 BINCHE</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064/33.73.24</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Rue de l’Enseignement, 12</w:t>
                        </w:r>
                      </w:p>
                    </w:tc>
                    <w:tc>
                      <w:tcPr>
                        <w:tcW w:w="2328" w:type="dxa"/>
                      </w:tcPr>
                      <w:p w:rsidR="00F04EEF" w:rsidRDefault="0099351E">
                        <w:pPr>
                          <w:snapToGrid w:val="0"/>
                          <w:rPr>
                            <w:rFonts w:ascii="Georgia" w:hAnsi="Georgia" w:cs="Arial"/>
                          </w:rPr>
                        </w:pPr>
                        <w:r>
                          <w:rPr>
                            <w:rFonts w:ascii="Georgia" w:hAnsi="Georgia" w:cs="Arial"/>
                          </w:rPr>
                          <w:t>7140 MORLANWELZ</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064/31.25.25</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tcPr>
                      <w:p w:rsidR="00F04EEF" w:rsidRDefault="0099351E">
                        <w:pPr>
                          <w:snapToGrid w:val="0"/>
                          <w:rPr>
                            <w:rFonts w:ascii="Georgia" w:hAnsi="Georgia" w:cs="Arial"/>
                          </w:rPr>
                        </w:pPr>
                        <w:r>
                          <w:rPr>
                            <w:rFonts w:ascii="Georgia" w:hAnsi="Georgia" w:cs="Arial"/>
                          </w:rPr>
                          <w:t>Rue Léon Moyaux, 82</w:t>
                        </w:r>
                      </w:p>
                    </w:tc>
                    <w:tc>
                      <w:tcPr>
                        <w:tcW w:w="2328" w:type="dxa"/>
                      </w:tcPr>
                      <w:p w:rsidR="00F04EEF" w:rsidRDefault="0099351E">
                        <w:pPr>
                          <w:snapToGrid w:val="0"/>
                          <w:rPr>
                            <w:rFonts w:ascii="Georgia" w:hAnsi="Georgia" w:cs="Arial"/>
                          </w:rPr>
                        </w:pPr>
                        <w:r>
                          <w:rPr>
                            <w:rFonts w:ascii="Georgia" w:hAnsi="Georgia" w:cs="Arial"/>
                          </w:rPr>
                          <w:t>7140 MORLANWELZ</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064/44.45.50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HORNU I</w:t>
                        </w:r>
                      </w:p>
                    </w:tc>
                    <w:tc>
                      <w:tcPr>
                        <w:tcW w:w="2802" w:type="dxa"/>
                      </w:tcPr>
                      <w:p w:rsidR="00F04EEF" w:rsidRDefault="0099351E">
                        <w:pPr>
                          <w:snapToGrid w:val="0"/>
                          <w:rPr>
                            <w:rFonts w:ascii="Georgia" w:hAnsi="Georgia" w:cs="Arial"/>
                          </w:rPr>
                        </w:pPr>
                        <w:r>
                          <w:rPr>
                            <w:rFonts w:ascii="Georgia" w:hAnsi="Georgia" w:cs="Arial"/>
                          </w:rPr>
                          <w:t>Rue A. Demot, 9</w:t>
                        </w:r>
                      </w:p>
                    </w:tc>
                    <w:tc>
                      <w:tcPr>
                        <w:tcW w:w="2328" w:type="dxa"/>
                      </w:tcPr>
                      <w:p w:rsidR="00F04EEF" w:rsidRDefault="0099351E">
                        <w:pPr>
                          <w:snapToGrid w:val="0"/>
                          <w:rPr>
                            <w:rFonts w:ascii="Georgia" w:hAnsi="Georgia" w:cs="Arial"/>
                          </w:rPr>
                        </w:pPr>
                        <w:r>
                          <w:rPr>
                            <w:rFonts w:ascii="Georgia" w:hAnsi="Georgia" w:cs="Arial"/>
                          </w:rPr>
                          <w:t>7301 HORNU</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065/78.28.90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Place Albert-Elisabeth, 50</w:t>
                        </w:r>
                      </w:p>
                    </w:tc>
                    <w:tc>
                      <w:tcPr>
                        <w:tcW w:w="2328" w:type="dxa"/>
                      </w:tcPr>
                      <w:p w:rsidR="00F04EEF" w:rsidRDefault="0099351E">
                        <w:pPr>
                          <w:snapToGrid w:val="0"/>
                          <w:rPr>
                            <w:rFonts w:ascii="Georgia" w:hAnsi="Georgia" w:cs="Arial"/>
                          </w:rPr>
                        </w:pPr>
                        <w:r>
                          <w:rPr>
                            <w:rFonts w:ascii="Georgia" w:hAnsi="Georgia" w:cs="Arial"/>
                          </w:rPr>
                          <w:t>7330 SAINT-GHISLAIN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065/76.40.30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tcPr>
                      <w:p w:rsidR="00F04EEF" w:rsidRDefault="0099351E">
                        <w:pPr>
                          <w:snapToGrid w:val="0"/>
                          <w:rPr>
                            <w:rFonts w:ascii="Georgia" w:hAnsi="Georgia" w:cs="Arial"/>
                          </w:rPr>
                        </w:pPr>
                        <w:r>
                          <w:rPr>
                            <w:rFonts w:ascii="Georgia" w:hAnsi="Georgia" w:cs="Arial"/>
                          </w:rPr>
                          <w:t>Rue de l’Athénée, 37</w:t>
                        </w:r>
                      </w:p>
                    </w:tc>
                    <w:tc>
                      <w:tcPr>
                        <w:tcW w:w="2328" w:type="dxa"/>
                      </w:tcPr>
                      <w:p w:rsidR="00F04EEF" w:rsidRDefault="0099351E">
                        <w:pPr>
                          <w:snapToGrid w:val="0"/>
                          <w:rPr>
                            <w:rFonts w:ascii="Georgia" w:hAnsi="Georgia" w:cs="Arial"/>
                          </w:rPr>
                        </w:pPr>
                        <w:r>
                          <w:rPr>
                            <w:rFonts w:ascii="Georgia" w:hAnsi="Georgia" w:cs="Arial"/>
                          </w:rPr>
                          <w:t>7370 DOUR</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065/65.38.93</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tcPr>
                      <w:p w:rsidR="00F04EEF" w:rsidRDefault="0099351E">
                        <w:pPr>
                          <w:snapToGrid w:val="0"/>
                          <w:rPr>
                            <w:rFonts w:ascii="Georgia" w:hAnsi="Georgia" w:cs="Arial"/>
                          </w:rPr>
                        </w:pPr>
                        <w:r>
                          <w:rPr>
                            <w:rFonts w:ascii="Georgia" w:hAnsi="Georgia" w:cs="Arial"/>
                          </w:rPr>
                          <w:t>Rue Beyaert, 39</w:t>
                        </w:r>
                      </w:p>
                    </w:tc>
                    <w:tc>
                      <w:tcPr>
                        <w:tcW w:w="2328" w:type="dxa"/>
                      </w:tcPr>
                      <w:p w:rsidR="00F04EEF" w:rsidRDefault="0099351E">
                        <w:pPr>
                          <w:snapToGrid w:val="0"/>
                          <w:rPr>
                            <w:rFonts w:ascii="Georgia" w:hAnsi="Georgia" w:cs="Arial"/>
                          </w:rPr>
                        </w:pPr>
                        <w:r>
                          <w:rPr>
                            <w:rFonts w:ascii="Georgia" w:hAnsi="Georgia" w:cs="Arial"/>
                          </w:rPr>
                          <w:t>7500 TOURNAI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069/22.51.39</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Rue Royale, 87</w:t>
                        </w:r>
                      </w:p>
                    </w:tc>
                    <w:tc>
                      <w:tcPr>
                        <w:tcW w:w="2328" w:type="dxa"/>
                      </w:tcPr>
                      <w:p w:rsidR="00F04EEF" w:rsidRDefault="0099351E">
                        <w:pPr>
                          <w:snapToGrid w:val="0"/>
                          <w:rPr>
                            <w:rFonts w:ascii="Georgia" w:hAnsi="Georgia" w:cs="Arial"/>
                          </w:rPr>
                        </w:pPr>
                        <w:r>
                          <w:rPr>
                            <w:rFonts w:ascii="Georgia" w:hAnsi="Georgia" w:cs="Arial"/>
                          </w:rPr>
                          <w:t>7500 TOURNAI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069/55.37.10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TOURNAI I</w:t>
                        </w:r>
                      </w:p>
                    </w:tc>
                    <w:tc>
                      <w:tcPr>
                        <w:tcW w:w="2802" w:type="dxa"/>
                      </w:tcPr>
                      <w:p w:rsidR="00F04EEF" w:rsidRDefault="0099351E">
                        <w:pPr>
                          <w:snapToGrid w:val="0"/>
                          <w:rPr>
                            <w:rFonts w:ascii="Georgia" w:hAnsi="Georgia" w:cs="Arial"/>
                          </w:rPr>
                        </w:pPr>
                        <w:r>
                          <w:rPr>
                            <w:rFonts w:ascii="Georgia" w:hAnsi="Georgia" w:cs="Arial"/>
                          </w:rPr>
                          <w:t>Rue des Sœurs de la Charité, 6</w:t>
                        </w:r>
                      </w:p>
                    </w:tc>
                    <w:tc>
                      <w:tcPr>
                        <w:tcW w:w="2328" w:type="dxa"/>
                      </w:tcPr>
                      <w:p w:rsidR="00F04EEF" w:rsidRDefault="0099351E">
                        <w:pPr>
                          <w:snapToGrid w:val="0"/>
                          <w:rPr>
                            <w:rFonts w:ascii="Georgia" w:hAnsi="Georgia" w:cs="Arial"/>
                          </w:rPr>
                        </w:pPr>
                        <w:r>
                          <w:rPr>
                            <w:rFonts w:ascii="Georgia" w:hAnsi="Georgia" w:cs="Arial"/>
                          </w:rPr>
                          <w:t>7500 TOURNAI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069/22.19.63</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TOURNAI II</w:t>
                        </w:r>
                      </w:p>
                    </w:tc>
                    <w:tc>
                      <w:tcPr>
                        <w:tcW w:w="2802" w:type="dxa"/>
                      </w:tcPr>
                      <w:p w:rsidR="00F04EEF" w:rsidRDefault="0099351E">
                        <w:pPr>
                          <w:snapToGrid w:val="0"/>
                          <w:rPr>
                            <w:rFonts w:ascii="Georgia" w:hAnsi="Georgia" w:cs="Arial"/>
                          </w:rPr>
                        </w:pPr>
                        <w:r>
                          <w:rPr>
                            <w:rFonts w:ascii="Georgia" w:hAnsi="Georgia" w:cs="Arial"/>
                          </w:rPr>
                          <w:t>Rue Childéric, 29</w:t>
                        </w:r>
                      </w:p>
                    </w:tc>
                    <w:tc>
                      <w:tcPr>
                        <w:tcW w:w="2328" w:type="dxa"/>
                      </w:tcPr>
                      <w:p w:rsidR="00F04EEF" w:rsidRDefault="0099351E">
                        <w:pPr>
                          <w:snapToGrid w:val="0"/>
                          <w:rPr>
                            <w:rFonts w:ascii="Georgia" w:hAnsi="Georgia" w:cs="Arial"/>
                          </w:rPr>
                        </w:pPr>
                        <w:r>
                          <w:rPr>
                            <w:rFonts w:ascii="Georgia" w:hAnsi="Georgia" w:cs="Arial"/>
                          </w:rPr>
                          <w:t>7500 TOURNAI</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069/22.97.83</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Rue Verte Chasse, 7</w:t>
                        </w:r>
                      </w:p>
                    </w:tc>
                    <w:tc>
                      <w:tcPr>
                        <w:tcW w:w="2328" w:type="dxa"/>
                      </w:tcPr>
                      <w:p w:rsidR="00F04EEF" w:rsidRDefault="0099351E">
                        <w:pPr>
                          <w:snapToGrid w:val="0"/>
                          <w:rPr>
                            <w:rFonts w:ascii="Georgia" w:hAnsi="Georgia" w:cs="Arial"/>
                          </w:rPr>
                        </w:pPr>
                        <w:r>
                          <w:rPr>
                            <w:rFonts w:ascii="Georgia" w:hAnsi="Georgia" w:cs="Arial"/>
                          </w:rPr>
                          <w:t>7600 PERUWELZ</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069/53.27.00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tcPr>
                      <w:p w:rsidR="00F04EEF" w:rsidRDefault="0099351E">
                        <w:pPr>
                          <w:snapToGrid w:val="0"/>
                          <w:rPr>
                            <w:rFonts w:ascii="Georgia" w:hAnsi="Georgia" w:cs="Arial"/>
                          </w:rPr>
                        </w:pPr>
                        <w:r>
                          <w:rPr>
                            <w:rFonts w:ascii="Georgia" w:hAnsi="Georgia" w:cs="Arial"/>
                          </w:rPr>
                          <w:t>Rue des Américains, 20</w:t>
                        </w:r>
                      </w:p>
                    </w:tc>
                    <w:tc>
                      <w:tcPr>
                        <w:tcW w:w="2328" w:type="dxa"/>
                      </w:tcPr>
                      <w:p w:rsidR="00F04EEF" w:rsidRDefault="0099351E">
                        <w:pPr>
                          <w:snapToGrid w:val="0"/>
                          <w:rPr>
                            <w:rFonts w:ascii="Georgia" w:hAnsi="Georgia" w:cs="Arial"/>
                          </w:rPr>
                        </w:pPr>
                        <w:r>
                          <w:rPr>
                            <w:rFonts w:ascii="Georgia" w:hAnsi="Georgia" w:cs="Arial"/>
                          </w:rPr>
                          <w:t>7600 PERUWELZ</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069/44.35.11</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Rue du Télégraphe, 4</w:t>
                        </w:r>
                      </w:p>
                    </w:tc>
                    <w:tc>
                      <w:tcPr>
                        <w:tcW w:w="2328" w:type="dxa"/>
                      </w:tcPr>
                      <w:p w:rsidR="00F04EEF" w:rsidRDefault="0099351E">
                        <w:pPr>
                          <w:snapToGrid w:val="0"/>
                          <w:rPr>
                            <w:rFonts w:ascii="Georgia" w:hAnsi="Georgia" w:cs="Arial"/>
                          </w:rPr>
                        </w:pPr>
                        <w:r>
                          <w:rPr>
                            <w:rFonts w:ascii="Georgia" w:hAnsi="Georgia" w:cs="Arial"/>
                          </w:rPr>
                          <w:t>7700 MOUSCRON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056/48.18.90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MOUSCRON I</w:t>
                        </w:r>
                      </w:p>
                    </w:tc>
                    <w:tc>
                      <w:tcPr>
                        <w:tcW w:w="2802" w:type="dxa"/>
                      </w:tcPr>
                      <w:p w:rsidR="00F04EEF" w:rsidRDefault="0099351E">
                        <w:pPr>
                          <w:snapToGrid w:val="0"/>
                          <w:rPr>
                            <w:rFonts w:ascii="Georgia" w:hAnsi="Georgia" w:cs="Arial"/>
                          </w:rPr>
                        </w:pPr>
                        <w:r>
                          <w:rPr>
                            <w:rFonts w:ascii="Georgia" w:hAnsi="Georgia" w:cs="Arial"/>
                          </w:rPr>
                          <w:t>Rue Saint-Joseph, 6</w:t>
                        </w:r>
                      </w:p>
                    </w:tc>
                    <w:tc>
                      <w:tcPr>
                        <w:tcW w:w="2328" w:type="dxa"/>
                      </w:tcPr>
                      <w:p w:rsidR="00F04EEF" w:rsidRDefault="0099351E">
                        <w:pPr>
                          <w:snapToGrid w:val="0"/>
                          <w:rPr>
                            <w:rFonts w:ascii="Georgia" w:hAnsi="Georgia" w:cs="Arial"/>
                          </w:rPr>
                        </w:pPr>
                        <w:r>
                          <w:rPr>
                            <w:rFonts w:ascii="Georgia" w:hAnsi="Georgia" w:cs="Arial"/>
                          </w:rPr>
                          <w:t>7700 MOUSCRON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056/39.16.20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Libre MOUSCRON II</w:t>
                        </w:r>
                      </w:p>
                    </w:tc>
                    <w:tc>
                      <w:tcPr>
                        <w:tcW w:w="2802" w:type="dxa"/>
                      </w:tcPr>
                      <w:p w:rsidR="00F04EEF" w:rsidRDefault="0099351E">
                        <w:pPr>
                          <w:snapToGrid w:val="0"/>
                          <w:rPr>
                            <w:rFonts w:ascii="Georgia" w:hAnsi="Georgia" w:cs="Arial"/>
                          </w:rPr>
                        </w:pPr>
                        <w:r>
                          <w:rPr>
                            <w:rFonts w:ascii="Georgia" w:hAnsi="Georgia" w:cs="Arial"/>
                          </w:rPr>
                          <w:t>Rue Saint-Joseph, 6</w:t>
                        </w:r>
                      </w:p>
                    </w:tc>
                    <w:tc>
                      <w:tcPr>
                        <w:tcW w:w="2328" w:type="dxa"/>
                      </w:tcPr>
                      <w:p w:rsidR="00F04EEF" w:rsidRDefault="0099351E">
                        <w:pPr>
                          <w:snapToGrid w:val="0"/>
                          <w:rPr>
                            <w:rFonts w:ascii="Georgia" w:hAnsi="Georgia" w:cs="Arial"/>
                          </w:rPr>
                        </w:pPr>
                        <w:r>
                          <w:rPr>
                            <w:rFonts w:ascii="Georgia" w:hAnsi="Georgia" w:cs="Arial"/>
                          </w:rPr>
                          <w:t>7700 MOUSCRON</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056/39.16.04</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Libre </w:t>
                        </w:r>
                      </w:p>
                    </w:tc>
                    <w:tc>
                      <w:tcPr>
                        <w:tcW w:w="2802" w:type="dxa"/>
                      </w:tcPr>
                      <w:p w:rsidR="00F04EEF" w:rsidRDefault="0099351E">
                        <w:pPr>
                          <w:snapToGrid w:val="0"/>
                          <w:rPr>
                            <w:rFonts w:ascii="Georgia" w:hAnsi="Georgia" w:cs="Arial"/>
                          </w:rPr>
                        </w:pPr>
                        <w:r>
                          <w:rPr>
                            <w:rFonts w:ascii="Georgia" w:hAnsi="Georgia" w:cs="Arial"/>
                          </w:rPr>
                          <w:t>Rue de Wervicq, 14</w:t>
                        </w:r>
                      </w:p>
                    </w:tc>
                    <w:tc>
                      <w:tcPr>
                        <w:tcW w:w="2328" w:type="dxa"/>
                      </w:tcPr>
                      <w:p w:rsidR="00F04EEF" w:rsidRDefault="0099351E">
                        <w:pPr>
                          <w:snapToGrid w:val="0"/>
                          <w:rPr>
                            <w:rFonts w:ascii="Georgia" w:hAnsi="Georgia" w:cs="Arial"/>
                          </w:rPr>
                        </w:pPr>
                        <w:r>
                          <w:rPr>
                            <w:rFonts w:ascii="Georgia" w:hAnsi="Georgia" w:cs="Arial"/>
                          </w:rPr>
                          <w:t>7780 COMINES</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056/48.30.90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CPMS de la Communauté française</w:t>
                        </w:r>
                      </w:p>
                    </w:tc>
                    <w:tc>
                      <w:tcPr>
                        <w:tcW w:w="2802" w:type="dxa"/>
                      </w:tcPr>
                      <w:p w:rsidR="00F04EEF" w:rsidRDefault="0099351E">
                        <w:pPr>
                          <w:snapToGrid w:val="0"/>
                          <w:rPr>
                            <w:rFonts w:ascii="Georgia" w:hAnsi="Georgia" w:cs="Arial"/>
                          </w:rPr>
                        </w:pPr>
                        <w:r>
                          <w:rPr>
                            <w:rFonts w:ascii="Georgia" w:hAnsi="Georgia" w:cs="Arial"/>
                          </w:rPr>
                          <w:t>Boulevard de l’Hôpital, 32</w:t>
                        </w:r>
                      </w:p>
                    </w:tc>
                    <w:tc>
                      <w:tcPr>
                        <w:tcW w:w="2328" w:type="dxa"/>
                      </w:tcPr>
                      <w:p w:rsidR="00F04EEF" w:rsidRDefault="0099351E">
                        <w:pPr>
                          <w:snapToGrid w:val="0"/>
                          <w:rPr>
                            <w:rFonts w:ascii="Georgia" w:hAnsi="Georgia" w:cs="Arial"/>
                          </w:rPr>
                        </w:pPr>
                        <w:r>
                          <w:rPr>
                            <w:rFonts w:ascii="Georgia" w:hAnsi="Georgia" w:cs="Arial"/>
                          </w:rPr>
                          <w:t>7800 ATH</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068/84.29.19</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snapToGrid w:val="0"/>
                          <w:rPr>
                            <w:rFonts w:ascii="Georgia" w:hAnsi="Georgia" w:cs="Arial"/>
                          </w:rPr>
                        </w:pPr>
                        <w:r>
                          <w:rPr>
                            <w:rFonts w:ascii="Georgia" w:hAnsi="Georgia" w:cs="Arial"/>
                          </w:rPr>
                          <w:t xml:space="preserve">CPMS provincial </w:t>
                        </w:r>
                      </w:p>
                    </w:tc>
                    <w:tc>
                      <w:tcPr>
                        <w:tcW w:w="2802" w:type="dxa"/>
                      </w:tcPr>
                      <w:p w:rsidR="00F04EEF" w:rsidRDefault="0099351E">
                        <w:pPr>
                          <w:snapToGrid w:val="0"/>
                          <w:rPr>
                            <w:rFonts w:ascii="Georgia" w:hAnsi="Georgia" w:cs="Arial"/>
                          </w:rPr>
                        </w:pPr>
                        <w:r>
                          <w:rPr>
                            <w:rFonts w:ascii="Georgia" w:hAnsi="Georgia" w:cs="Arial"/>
                          </w:rPr>
                          <w:t>Boulevard de l’Est, 24</w:t>
                        </w:r>
                      </w:p>
                    </w:tc>
                    <w:tc>
                      <w:tcPr>
                        <w:tcW w:w="2328" w:type="dxa"/>
                      </w:tcPr>
                      <w:p w:rsidR="00F04EEF" w:rsidRDefault="0099351E">
                        <w:pPr>
                          <w:snapToGrid w:val="0"/>
                          <w:rPr>
                            <w:rFonts w:ascii="Georgia" w:hAnsi="Georgia" w:cs="Arial"/>
                          </w:rPr>
                        </w:pPr>
                        <w:r>
                          <w:rPr>
                            <w:rFonts w:ascii="Georgia" w:hAnsi="Georgia" w:cs="Arial"/>
                          </w:rPr>
                          <w:t>7800 ATH</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068/26.50.80</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r w:rsidR="00F04EEF">
                    <w:trPr>
                      <w:gridAfter w:val="1"/>
                      <w:wAfter w:w="1588" w:type="dxa"/>
                      <w:cantSplit/>
                      <w:trHeight w:val="397"/>
                    </w:trPr>
                    <w:tc>
                      <w:tcPr>
                        <w:tcW w:w="3147" w:type="dxa"/>
                        <w:vAlign w:val="center"/>
                      </w:tcPr>
                      <w:p w:rsidR="00F04EEF" w:rsidRDefault="0099351E">
                        <w:pPr>
                          <w:rPr>
                            <w:rFonts w:ascii="Georgia" w:hAnsi="Georgia" w:cs="Arial"/>
                          </w:rPr>
                        </w:pPr>
                        <w:r>
                          <w:rPr>
                            <w:rFonts w:ascii="Georgia" w:eastAsia="Times New Roman" w:hAnsi="Georgia" w:cs="Arial"/>
                            <w:color w:val="000000"/>
                            <w:lang w:eastAsia="fr-BE"/>
                          </w:rPr>
                          <w:t>CPMS Libre</w:t>
                        </w:r>
                        <w:r>
                          <w:rPr>
                            <w:rFonts w:ascii="Georgia" w:hAnsi="Georgia" w:cs="Arial"/>
                          </w:rPr>
                          <w:t xml:space="preserve"> </w:t>
                        </w:r>
                      </w:p>
                    </w:tc>
                    <w:tc>
                      <w:tcPr>
                        <w:tcW w:w="2802" w:type="dxa"/>
                      </w:tcPr>
                      <w:p w:rsidR="00F04EEF" w:rsidRDefault="0099351E">
                        <w:pPr>
                          <w:snapToGrid w:val="0"/>
                          <w:rPr>
                            <w:rFonts w:ascii="Georgia" w:hAnsi="Georgia" w:cs="Arial"/>
                          </w:rPr>
                        </w:pPr>
                        <w:r>
                          <w:rPr>
                            <w:rFonts w:ascii="Georgia" w:hAnsi="Georgia" w:cs="Arial"/>
                          </w:rPr>
                          <w:t>Rue Paul Pastur, 104</w:t>
                        </w:r>
                      </w:p>
                    </w:tc>
                    <w:tc>
                      <w:tcPr>
                        <w:tcW w:w="2328" w:type="dxa"/>
                      </w:tcPr>
                      <w:p w:rsidR="00F04EEF" w:rsidRDefault="0099351E">
                        <w:pPr>
                          <w:snapToGrid w:val="0"/>
                          <w:rPr>
                            <w:rFonts w:ascii="Georgia" w:hAnsi="Georgia" w:cs="Arial"/>
                          </w:rPr>
                        </w:pPr>
                        <w:r>
                          <w:rPr>
                            <w:rFonts w:ascii="Georgia" w:hAnsi="Georgia" w:cs="Arial"/>
                          </w:rPr>
                          <w:t>7800 ATH</w:t>
                        </w:r>
                      </w:p>
                    </w:tc>
                    <w:tc>
                      <w:tcPr>
                        <w:tcW w:w="1594" w:type="dxa"/>
                      </w:tcPr>
                      <w:p w:rsidR="00F04EEF" w:rsidRDefault="0099351E">
                        <w:pPr>
                          <w:rPr>
                            <w:rFonts w:ascii="Georgia" w:eastAsia="Times New Roman" w:hAnsi="Georgia" w:cs="Arial"/>
                            <w:lang w:eastAsia="fr-BE"/>
                          </w:rPr>
                        </w:pPr>
                        <w:r>
                          <w:rPr>
                            <w:rFonts w:ascii="Georgia" w:eastAsia="Times New Roman" w:hAnsi="Georgia" w:cs="Arial"/>
                            <w:lang w:eastAsia="fr-BE"/>
                          </w:rPr>
                          <w:t>068/28.34.47</w:t>
                        </w:r>
                      </w:p>
                    </w:tc>
                    <w:tc>
                      <w:tcPr>
                        <w:tcW w:w="3562" w:type="dxa"/>
                      </w:tcPr>
                      <w:p w:rsidR="00F04EEF" w:rsidRDefault="0099351E">
                        <w:pPr>
                          <w:snapToGrid w:val="0"/>
                          <w:jc w:val="center"/>
                          <w:rPr>
                            <w:rFonts w:ascii="Georgia" w:hAnsi="Georgia" w:cs="Arial"/>
                            <w:b/>
                            <w:bCs/>
                          </w:rPr>
                        </w:pPr>
                        <w:r>
                          <w:rPr>
                            <w:rFonts w:ascii="Georgia" w:hAnsi="Georgia" w:cs="Arial"/>
                            <w:b/>
                            <w:bCs/>
                          </w:rPr>
                          <w:t>Province du Hainaut</w:t>
                        </w:r>
                      </w:p>
                    </w:tc>
                  </w:tr>
                </w:tbl>
                <w:p w:rsidR="00F04EEF" w:rsidRDefault="0099351E">
                  <w:pPr>
                    <w:rPr>
                      <w:b/>
                      <w:u w:val="single"/>
                    </w:rPr>
                  </w:pPr>
                  <w:r>
                    <w:rPr>
                      <w:b/>
                      <w:u w:val="single"/>
                    </w:rPr>
                    <w:br w:type="page"/>
                  </w:r>
                </w:p>
                <w:p w:rsidR="00F04EEF" w:rsidRDefault="0099351E">
                  <w:pPr>
                    <w:pStyle w:val="Titre4"/>
                  </w:pPr>
                  <w:bookmarkStart w:id="3561" w:name="_Annexe_6_:_3"/>
                  <w:bookmarkStart w:id="3562" w:name="_Ref11401681"/>
                  <w:bookmarkStart w:id="3563" w:name="_Ref11401989"/>
                  <w:bookmarkStart w:id="3564" w:name="_Ref11401995"/>
                  <w:bookmarkStart w:id="3565" w:name="_Ref11401998"/>
                  <w:bookmarkStart w:id="3566" w:name="_Ref11402003"/>
                  <w:bookmarkStart w:id="3567" w:name="_Ref11402006"/>
                  <w:bookmarkStart w:id="3568" w:name="_Ref11402011"/>
                  <w:bookmarkStart w:id="3569" w:name="_Ref11402248"/>
                  <w:bookmarkStart w:id="3570" w:name="_Ref11402298"/>
                  <w:bookmarkEnd w:id="3561"/>
                  <w:r>
                    <w:t>Annexe 6 : Liste des organismes habilités</w:t>
                  </w:r>
                  <w:bookmarkEnd w:id="3562"/>
                  <w:bookmarkEnd w:id="3563"/>
                  <w:bookmarkEnd w:id="3564"/>
                  <w:bookmarkEnd w:id="3565"/>
                  <w:bookmarkEnd w:id="3566"/>
                  <w:bookmarkEnd w:id="3567"/>
                  <w:bookmarkEnd w:id="3568"/>
                  <w:bookmarkEnd w:id="3569"/>
                  <w:bookmarkEnd w:id="3570"/>
                  <w:r>
                    <w:t xml:space="preserve"> </w:t>
                  </w:r>
                </w:p>
                <w:p w:rsidR="00F04EEF" w:rsidRDefault="00F04EEF"/>
                <w:tbl>
                  <w:tblPr>
                    <w:tblW w:w="15528" w:type="dxa"/>
                    <w:jc w:val="center"/>
                    <w:tblLayout w:type="fixed"/>
                    <w:tblCellMar>
                      <w:left w:w="70" w:type="dxa"/>
                      <w:right w:w="70" w:type="dxa"/>
                    </w:tblCellMar>
                    <w:tblLook w:val="0000" w:firstRow="0" w:lastRow="0" w:firstColumn="0" w:lastColumn="0" w:noHBand="0" w:noVBand="0"/>
                  </w:tblPr>
                  <w:tblGrid>
                    <w:gridCol w:w="3782"/>
                    <w:gridCol w:w="3076"/>
                    <w:gridCol w:w="2350"/>
                    <w:gridCol w:w="2378"/>
                    <w:gridCol w:w="2165"/>
                    <w:gridCol w:w="1777"/>
                  </w:tblGrid>
                  <w:tr w:rsidR="00F04EEF">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tcPr>
                      <w:p w:rsidR="00F04EEF" w:rsidRDefault="0099351E">
                        <w:pPr>
                          <w:spacing w:after="200" w:line="276" w:lineRule="auto"/>
                          <w:jc w:val="center"/>
                          <w:rPr>
                            <w:rFonts w:ascii="Calibri" w:eastAsia="Times New Roman" w:hAnsi="Calibri" w:cs="Arial"/>
                            <w:b/>
                            <w:bCs/>
                            <w:sz w:val="36"/>
                            <w:lang w:eastAsia="fr-BE"/>
                          </w:rPr>
                        </w:pPr>
                        <w:r>
                          <w:rPr>
                            <w:rFonts w:eastAsia="Times New Roman" w:cs="Arial"/>
                            <w:b/>
                            <w:bCs/>
                            <w:sz w:val="36"/>
                            <w:lang w:eastAsia="fr-BE"/>
                          </w:rPr>
                          <w:t>ORGANISMES HABILITES</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F04EEF" w:rsidRDefault="00F04EEF">
                        <w:pPr>
                          <w:ind w:right="391"/>
                          <w:jc w:val="center"/>
                          <w:rPr>
                            <w:rFonts w:ascii="Arial" w:eastAsia="Times New Roman" w:hAnsi="Arial" w:cs="Arial"/>
                            <w:b/>
                            <w:bCs/>
                            <w:szCs w:val="20"/>
                            <w:lang w:eastAsia="fr-FR"/>
                          </w:rPr>
                        </w:pPr>
                      </w:p>
                      <w:p w:rsidR="00F04EEF" w:rsidRDefault="0099351E">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Dénomination</w:t>
                        </w:r>
                      </w:p>
                    </w:tc>
                    <w:tc>
                      <w:tcPr>
                        <w:tcW w:w="3076" w:type="dxa"/>
                        <w:tcBorders>
                          <w:top w:val="single" w:sz="4" w:space="0" w:color="000000"/>
                          <w:left w:val="single" w:sz="4" w:space="0" w:color="000000"/>
                          <w:bottom w:val="single" w:sz="4" w:space="0" w:color="000000"/>
                        </w:tcBorders>
                        <w:shd w:val="clear" w:color="auto" w:fill="auto"/>
                        <w:vAlign w:val="bottom"/>
                      </w:tcPr>
                      <w:p w:rsidR="00F04EEF" w:rsidRDefault="0099351E">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Adresse</w:t>
                        </w:r>
                      </w:p>
                    </w:tc>
                    <w:tc>
                      <w:tcPr>
                        <w:tcW w:w="2350" w:type="dxa"/>
                        <w:tcBorders>
                          <w:top w:val="single" w:sz="4" w:space="0" w:color="000000"/>
                          <w:left w:val="single" w:sz="4" w:space="0" w:color="000000"/>
                          <w:bottom w:val="single" w:sz="4" w:space="0" w:color="000000"/>
                        </w:tcBorders>
                        <w:shd w:val="clear" w:color="auto" w:fill="auto"/>
                        <w:vAlign w:val="bottom"/>
                      </w:tcPr>
                      <w:p w:rsidR="00F04EEF" w:rsidRDefault="0099351E">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04EEF" w:rsidRDefault="0099351E">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F04EEF">
                        <w:pPr>
                          <w:ind w:right="391"/>
                          <w:jc w:val="center"/>
                          <w:rPr>
                            <w:rFonts w:ascii="Arial" w:eastAsia="Times New Roman" w:hAnsi="Arial" w:cs="Arial"/>
                            <w:bCs/>
                            <w:szCs w:val="20"/>
                            <w:lang w:eastAsia="fr-FR"/>
                          </w:rPr>
                        </w:pPr>
                      </w:p>
                      <w:p w:rsidR="00F04EEF" w:rsidRDefault="0099351E">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 xml:space="preserve">Tél </w:t>
                        </w: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ind w:right="391"/>
                          <w:jc w:val="center"/>
                          <w:rPr>
                            <w:rFonts w:ascii="Arial" w:eastAsia="Times New Roman" w:hAnsi="Arial" w:cs="Arial"/>
                            <w:b/>
                            <w:bCs/>
                            <w:szCs w:val="20"/>
                            <w:lang w:eastAsia="fr-FR"/>
                          </w:rPr>
                        </w:pPr>
                      </w:p>
                      <w:p w:rsidR="00F04EEF" w:rsidRDefault="0099351E">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Types</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U.L.B.</w:t>
                        </w:r>
                      </w:p>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SSM ULB Equipe infanto juvénile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Haute, 293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sym w:font="Wingdings" w:char="F028"/>
                        </w:r>
                        <w:r>
                          <w:rPr>
                            <w:rFonts w:ascii="Arial" w:eastAsia="Times New Roman" w:hAnsi="Arial" w:cs="Arial"/>
                            <w:color w:val="000000"/>
                            <w:sz w:val="20"/>
                            <w:szCs w:val="20"/>
                            <w:lang w:eastAsia="fr-FR"/>
                          </w:rPr>
                          <w:t xml:space="preserve"> 02/503.15.56</w:t>
                        </w:r>
                      </w:p>
                      <w:p w:rsidR="00F04EEF" w:rsidRDefault="00F04EEF">
                        <w:pPr>
                          <w:snapToGrid w:val="0"/>
                          <w:rPr>
                            <w:rFonts w:ascii="Arial" w:eastAsia="Times New Roman" w:hAnsi="Arial" w:cs="Arial"/>
                            <w:color w:val="000000"/>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color w:val="000000"/>
                            <w:sz w:val="20"/>
                            <w:szCs w:val="20"/>
                            <w:lang w:eastAsia="fr-FR"/>
                          </w:rPr>
                        </w:pPr>
                        <w:r>
                          <w:rPr>
                            <w:rFonts w:ascii="Arial" w:eastAsia="Times New Roman" w:hAnsi="Arial" w:cs="Arial"/>
                            <w:b/>
                            <w:color w:val="000000"/>
                            <w:sz w:val="20"/>
                            <w:szCs w:val="20"/>
                            <w:lang w:eastAsia="fr-FR"/>
                          </w:rPr>
                          <w:t>1-3-5-8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SE.SA.ME.» de la Ville de Bruxelles</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du Canal, 61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color w:val="000000"/>
                            <w:sz w:val="20"/>
                            <w:szCs w:val="20"/>
                            <w:lang w:eastAsia="fr-FR"/>
                          </w:rPr>
                        </w:pPr>
                      </w:p>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02/279.63.42</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sz w:val="20"/>
                            <w:szCs w:val="20"/>
                            <w:lang w:eastAsia="fr-FR"/>
                          </w:rPr>
                        </w:pPr>
                        <w:r>
                          <w:rPr>
                            <w:rFonts w:ascii="Arial" w:eastAsia="Times New Roman" w:hAnsi="Arial" w:cs="Arial"/>
                            <w:sz w:val="20"/>
                            <w:szCs w:val="20"/>
                            <w:lang w:eastAsia="fr-FR"/>
                          </w:rPr>
                          <w:t xml:space="preserve">Service médico-psychologique </w:t>
                        </w:r>
                      </w:p>
                      <w:p w:rsidR="00F04EEF" w:rsidRDefault="0099351E">
                        <w:pPr>
                          <w:rPr>
                            <w:rFonts w:ascii="Arial" w:eastAsia="Times New Roman" w:hAnsi="Arial" w:cs="Arial"/>
                            <w:sz w:val="20"/>
                            <w:szCs w:val="20"/>
                            <w:lang w:eastAsia="fr-FR"/>
                          </w:rPr>
                        </w:pPr>
                        <w:r>
                          <w:rPr>
                            <w:rFonts w:ascii="Arial" w:eastAsia="Times New Roman" w:hAnsi="Arial" w:cs="Arial"/>
                            <w:sz w:val="20"/>
                            <w:szCs w:val="20"/>
                            <w:lang w:eastAsia="fr-FR"/>
                          </w:rPr>
                          <w:t>CHU SAINT- PIERRE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Haute, 322 Bâtiment 208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sz w:val="20"/>
                            <w:szCs w:val="20"/>
                            <w:lang w:eastAsia="fr-FR"/>
                          </w:rPr>
                        </w:pPr>
                      </w:p>
                      <w:p w:rsidR="00F04EEF" w:rsidRDefault="0099351E">
                        <w:pPr>
                          <w:rPr>
                            <w:rFonts w:ascii="Arial" w:eastAsia="Times New Roman" w:hAnsi="Arial" w:cs="Arial"/>
                            <w:sz w:val="20"/>
                            <w:szCs w:val="20"/>
                            <w:lang w:eastAsia="fr-FR"/>
                          </w:rPr>
                        </w:pPr>
                        <w:r>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sz w:val="20"/>
                            <w:szCs w:val="20"/>
                            <w:lang w:eastAsia="fr-FR"/>
                          </w:rPr>
                        </w:pPr>
                        <w:r>
                          <w:rPr>
                            <w:rFonts w:ascii="Arial" w:eastAsia="Times New Roman" w:hAnsi="Arial" w:cs="Arial"/>
                            <w:sz w:val="20"/>
                            <w:szCs w:val="20"/>
                            <w:lang w:eastAsia="fr-FR"/>
                          </w:rPr>
                          <w:t xml:space="preserve">CHU SAINT-PIERRE </w:t>
                        </w:r>
                      </w:p>
                      <w:p w:rsidR="00F04EEF" w:rsidRDefault="0099351E">
                        <w:pPr>
                          <w:rPr>
                            <w:rFonts w:ascii="Arial" w:eastAsia="Times New Roman" w:hAnsi="Arial" w:cs="Arial"/>
                            <w:sz w:val="20"/>
                            <w:szCs w:val="20"/>
                            <w:lang w:eastAsia="fr-FR"/>
                          </w:rPr>
                        </w:pPr>
                        <w:r>
                          <w:rPr>
                            <w:rFonts w:ascii="Arial" w:eastAsia="Times New Roman" w:hAnsi="Arial" w:cs="Arial"/>
                            <w:sz w:val="20"/>
                            <w:szCs w:val="20"/>
                            <w:lang w:eastAsia="fr-FR"/>
                          </w:rPr>
                          <w:t xml:space="preserve">Service de Pédiatrie – Consultation de neuropédiatrie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Haute, 322 Bâtiment 208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sz w:val="20"/>
                            <w:szCs w:val="20"/>
                            <w:lang w:eastAsia="fr-FR"/>
                          </w:rPr>
                        </w:pPr>
                      </w:p>
                      <w:p w:rsidR="00F04EEF" w:rsidRDefault="0099351E">
                        <w:pPr>
                          <w:rPr>
                            <w:rFonts w:ascii="Arial" w:eastAsia="Times New Roman" w:hAnsi="Arial" w:cs="Arial"/>
                            <w:sz w:val="20"/>
                            <w:szCs w:val="20"/>
                            <w:lang w:eastAsia="fr-FR"/>
                          </w:rPr>
                        </w:pPr>
                        <w:r>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Rivage Den Zaet</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l’Association, 15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color w:val="000000"/>
                            <w:sz w:val="20"/>
                            <w:szCs w:val="20"/>
                            <w:lang w:eastAsia="fr-FR"/>
                          </w:rPr>
                        </w:pPr>
                      </w:p>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02/550.06.70</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H.U.D.E.R.F Hôpital universitaire pour Enfants Reine Fabiola</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J. J. Crocq, 15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Hôpital Universitaire pour enfants Reine Fabiola – consultations pédopsychiatriques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J. J. Crocq, 15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1020 LAEKEN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1-2-2 teach-3-6 (autisme avec déficience visuelle)- 7-8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Service de Santé Mentale Champ de la Couronne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du Champ de la Couronne, 73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02/410.01.95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médical Europe Lambermont – Service de Neurologie pédiatrique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des Pensées, 1-5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02/434.24.11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rPr>
                            <w:rFonts w:ascii="Arial" w:eastAsia="Times New Roman" w:hAnsi="Arial" w:cs="Arial"/>
                            <w:sz w:val="20"/>
                            <w:szCs w:val="20"/>
                            <w:lang w:eastAsia="fr-FR"/>
                          </w:rPr>
                        </w:pPr>
                        <w:r>
                          <w:rPr>
                            <w:rFonts w:ascii="Arial" w:eastAsia="Times New Roman" w:hAnsi="Arial" w:cs="Arial"/>
                            <w:sz w:val="20"/>
                            <w:szCs w:val="20"/>
                            <w:lang w:eastAsia="fr-FR"/>
                          </w:rPr>
                          <w:t>La Gerbe, A.S.B.L.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Rue Thiéfry, 45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val="en-GB" w:eastAsia="fr-FR"/>
                          </w:rPr>
                        </w:pPr>
                        <w:r>
                          <w:rPr>
                            <w:rFonts w:ascii="Arial" w:eastAsia="Times New Roman" w:hAnsi="Arial" w:cs="Arial"/>
                            <w:bCs/>
                            <w:sz w:val="20"/>
                            <w:szCs w:val="20"/>
                            <w:lang w:val="en-GB"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02/216.74.75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C.B.I.M.C., a.s.b.l.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P. Eudore Devroye, 14</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02/789.69.20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1-2-4-8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d’Etterbeek</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Theux, 32</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uppressAutoHyphens/>
                          <w:snapToGrid w:val="0"/>
                          <w:rPr>
                            <w:rFonts w:ascii="Arial" w:eastAsia="Arial" w:hAnsi="Arial" w:cs="Arial"/>
                            <w:bCs/>
                            <w:sz w:val="20"/>
                            <w:szCs w:val="20"/>
                            <w:lang w:val="fr-FR" w:eastAsia="ar-SA"/>
                          </w:rPr>
                        </w:pPr>
                        <w:r>
                          <w:rPr>
                            <w:rFonts w:ascii="Arial" w:eastAsia="Arial" w:hAnsi="Arial" w:cs="Arial"/>
                            <w:bCs/>
                            <w:sz w:val="20"/>
                            <w:szCs w:val="20"/>
                            <w:lang w:val="fr-FR" w:eastAsia="ar-SA"/>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02/646.14.10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d'Ixelles-département enfants, adolescents, familles</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Sans Souci, 114</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02/515.79.01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Médico-Psychologique du Service Social Juif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Ducpétiaux, 68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02/538.14.44</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Sectorisé de St-Gilles</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la Victoire, 26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02/542.58.58</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Clinique Sainte Anne Saint Remi – CHIREC Service de Neurologie pédiatrique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Boulevard Jules Graindor, 66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02/434.38.24</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A.S.B.L. L'ETE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d'Aumale, 21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02/526.85.48</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Hôpital Erasme- Clinique de Neurologie Pédiatrique - Service de pédiatrie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Route de Lennik, 808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02/555.69.78</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"L'étoile Polaire" Centre de Réadaptation Fonctionnelle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l'Etoile Polaire, 20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val="en-GB" w:eastAsia="fr-FR"/>
                          </w:rPr>
                        </w:pPr>
                        <w:r>
                          <w:rPr>
                            <w:rFonts w:ascii="Arial" w:eastAsia="Times New Roman" w:hAnsi="Arial" w:cs="Arial"/>
                            <w:bCs/>
                            <w:sz w:val="20"/>
                            <w:szCs w:val="20"/>
                            <w:lang w:val="en-GB" w:eastAsia="fr-FR"/>
                          </w:rPr>
                          <w:t>1082 BERCHEM-SAINTE-AGATHE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02/468.11.00</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Le Chien Vert</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Eggerickx, 28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1150 WOLUWE-SAINT-PIERRE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02/762.58.15</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snapToGrid w:val="0"/>
                          <w:jc w:val="center"/>
                          <w:rPr>
                            <w:rFonts w:ascii="Arial" w:eastAsia="Times New Roman" w:hAnsi="Arial" w:cs="Arial"/>
                            <w:b/>
                            <w:bCs/>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Hôpital Delta-Chirec Service de Neurologie pédiatrique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Boulevard du Triomphe, 201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02/434.81.37</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paramédical multidisciplinaire du développement de l’enfant et de l’adolescent – CHIREC – Site Delta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Boulevard du Triomphe, 201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02/434.81.04</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color w:val="000000"/>
                            <w:sz w:val="20"/>
                            <w:szCs w:val="20"/>
                            <w:lang w:val="fr-FR" w:eastAsia="fr-FR"/>
                          </w:rPr>
                        </w:pPr>
                      </w:p>
                      <w:p w:rsidR="00F04EEF" w:rsidRDefault="0099351E">
                        <w:pPr>
                          <w:snapToGrid w:val="0"/>
                          <w:rPr>
                            <w:rFonts w:ascii="Arial" w:eastAsia="Times New Roman" w:hAnsi="Arial" w:cs="Arial"/>
                            <w:color w:val="000000"/>
                            <w:sz w:val="20"/>
                            <w:szCs w:val="20"/>
                            <w:lang w:val="fr-FR" w:eastAsia="fr-FR"/>
                          </w:rPr>
                        </w:pPr>
                        <w:r>
                          <w:rPr>
                            <w:rFonts w:ascii="Arial" w:eastAsia="Times New Roman" w:hAnsi="Arial" w:cs="Arial"/>
                            <w:color w:val="000000"/>
                            <w:sz w:val="20"/>
                            <w:szCs w:val="20"/>
                            <w:lang w:val="fr-FR" w:eastAsia="fr-FR"/>
                          </w:rPr>
                          <w:t xml:space="preserve">Service de Santé Mentale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 Vénerie, 19</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1170 WATERMAEL BOITSFORT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02/672.78.12</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fr-FR" w:eastAsia="fr-FR"/>
                          </w:rPr>
                        </w:pPr>
                        <w:r>
                          <w:rPr>
                            <w:rFonts w:ascii="Arial" w:eastAsia="Times New Roman" w:hAnsi="Arial" w:cs="Arial"/>
                            <w:color w:val="000000"/>
                            <w:sz w:val="20"/>
                            <w:szCs w:val="20"/>
                            <w:lang w:val="fr-FR" w:eastAsia="fr-FR"/>
                          </w:rPr>
                          <w:t>Centre pour handicapés sensoriels A.S.B.L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de Waterloo, 1510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02/374.30.72</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de Guidance pour Enfants et Adolescents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Bel Air, 88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02/343.22.84</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Maison pour Jeunes Filles</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Basse, 71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02/374.66.70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 xml:space="preserve">Centre Médical d’Audio-Phonie A.S.B.L.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Rue de Lusambo, 35-39</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02/332.33.23</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F04EEF">
                        <w:pPr>
                          <w:tabs>
                            <w:tab w:val="center" w:pos="4536"/>
                          </w:tabs>
                          <w:snapToGrid w:val="0"/>
                          <w:rPr>
                            <w:rFonts w:ascii="Arial" w:eastAsia="Times New Roman" w:hAnsi="Arial" w:cs="Arial"/>
                            <w:b/>
                            <w:bCs/>
                            <w:sz w:val="20"/>
                            <w:szCs w:val="20"/>
                            <w:lang w:val="fr-FR" w:eastAsia="fr-FR"/>
                          </w:rPr>
                        </w:pPr>
                      </w:p>
                      <w:p w:rsidR="00F04EEF" w:rsidRDefault="0099351E">
                        <w:pPr>
                          <w:tabs>
                            <w:tab w:val="center" w:pos="4536"/>
                          </w:tabs>
                          <w:rPr>
                            <w:rFonts w:ascii="Arial" w:eastAsia="Times New Roman" w:hAnsi="Arial" w:cs="Arial"/>
                            <w:bCs/>
                            <w:sz w:val="20"/>
                            <w:szCs w:val="20"/>
                            <w:lang w:val="fr-FR" w:eastAsia="fr-FR"/>
                          </w:rPr>
                        </w:pPr>
                        <w:r>
                          <w:rPr>
                            <w:rFonts w:ascii="Arial" w:eastAsia="Times New Roman" w:hAnsi="Arial" w:cs="Arial"/>
                            <w:bCs/>
                            <w:sz w:val="20"/>
                            <w:szCs w:val="20"/>
                            <w:lang w:val="fr-FR" w:eastAsia="fr-FR"/>
                          </w:rPr>
                          <w:t>Centre de Santé Mentale « L’Adret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Avenue Albert, 135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02/344.32.93</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d'Audiophonologie des Cliniques Universitaires Saint-Luc</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Clos Chapelle aux Champs, 30, Bte 3027</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02/764.32.53</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Cliniques universitaires Saint-Luc Centre de référence en IMOC</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Hippocrate, 10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02/764.16.71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1-2-4-8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Service de psychiatrie infanto-juvénile Cliniques universitaires St-Luc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Avenue Hippocrate, 10 </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02/764.20.41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Revalidation neuropédiatrique et neuropsychologique infantile des Cliniques universitaires de Saint-Luc</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Hippocrate, 10 Bte 2030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02/764.10.62</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"Chapelle aux Champs"</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Clos Chapelle-aux-Champs, 30, Bte 3026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02/764.31.20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"Comprendre et parler » A.S.B.L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 Rive, 101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02/770.04.40</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7</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Le WOPS - Centre de santé mentale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Chaussée de Roodebeek, 471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02/762.97.20</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"Le Méridien"</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du Méridien, 68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tabs>
                            <w:tab w:val="center" w:pos="4536"/>
                          </w:tabs>
                          <w:snapToGrid w:val="0"/>
                          <w:rPr>
                            <w:rFonts w:ascii="Arial" w:eastAsia="Times New Roman" w:hAnsi="Arial" w:cs="Arial"/>
                            <w:bCs/>
                            <w:sz w:val="20"/>
                            <w:szCs w:val="20"/>
                            <w:lang w:val="nl-NL" w:eastAsia="fr-FR"/>
                          </w:rPr>
                        </w:pPr>
                        <w:r>
                          <w:rPr>
                            <w:rFonts w:ascii="Arial" w:eastAsia="Times New Roman" w:hAnsi="Arial" w:cs="Arial"/>
                            <w:bCs/>
                            <w:sz w:val="20"/>
                            <w:szCs w:val="20"/>
                            <w:lang w:val="nl-NL" w:eastAsia="fr-FR"/>
                          </w:rPr>
                          <w:t>1210 SAINT-JOSSE-TEN-NODE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02/218.56.08</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p w:rsidR="00F04EEF" w:rsidRDefault="00F04EEF">
                        <w:pPr>
                          <w:snapToGrid w:val="0"/>
                          <w:rPr>
                            <w:rFonts w:ascii="Arial" w:eastAsia="Times New Roman" w:hAnsi="Arial" w:cs="Arial"/>
                            <w:b/>
                            <w:bCs/>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Wavre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du Belloy, 45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sz w:val="20"/>
                            <w:szCs w:val="20"/>
                            <w:lang w:eastAsia="fr-FR"/>
                          </w:rPr>
                        </w:pPr>
                        <w:r>
                          <w:rPr>
                            <w:rFonts w:ascii="Arial" w:eastAsia="Times New Roman" w:hAnsi="Arial" w:cs="Arial"/>
                            <w:caps/>
                            <w:sz w:val="20"/>
                            <w:szCs w:val="20"/>
                            <w:lang w:eastAsia="fr-FR"/>
                          </w:rPr>
                          <w:t>1300 WAVRE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010/22.54.03</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S.A.S.P.E. « Reine Astrid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de la Reine, 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sz w:val="20"/>
                            <w:szCs w:val="20"/>
                            <w:lang w:eastAsia="fr-FR"/>
                          </w:rPr>
                        </w:pPr>
                        <w:r>
                          <w:rPr>
                            <w:rFonts w:ascii="Arial" w:eastAsia="Times New Roman" w:hAnsi="Arial" w:cs="Arial"/>
                            <w:caps/>
                            <w:sz w:val="20"/>
                            <w:szCs w:val="20"/>
                            <w:lang w:eastAsia="fr-FR"/>
                          </w:rPr>
                          <w:t>1310 LA HULPE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02/656.08.00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Neurologique William Lennox- service de neuropédiatrie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Allée de Clerlande, 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010/43.02.11</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Grand Place 43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1348 Louvain-la-Neuve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010/47.44.08</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la Province du Brabant wallon</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de Tirlemont, 89</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1370 JODOIGNE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p w:rsidR="00F04EEF" w:rsidRDefault="00F04EEF">
                        <w:pPr>
                          <w:snapToGrid w:val="0"/>
                          <w:rPr>
                            <w:rFonts w:ascii="Arial" w:eastAsia="Times New Roman" w:hAnsi="Arial" w:cs="Arial"/>
                            <w:b/>
                            <w:bCs/>
                            <w:sz w:val="20"/>
                            <w:szCs w:val="20"/>
                            <w:lang w:eastAsia="fr-FR"/>
                          </w:rPr>
                        </w:pP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010/81.31.01</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SSM Tandem</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Samiette, 70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067/28.11.50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la Province du Brabant wallon</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de Bruxelles, 55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067/21.91.24</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SAFRANS ASBL – Service de santé mentale agréé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Jules Hans, 43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1420 Braine-l'Alleud</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02/384.68.46</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18"/>
                            <w:szCs w:val="18"/>
                            <w:lang w:eastAsia="fr-FR"/>
                          </w:rPr>
                        </w:pPr>
                        <w:r>
                          <w:rPr>
                            <w:rFonts w:ascii="Arial" w:eastAsia="Times New Roman" w:hAnsi="Arial" w:cs="Arial"/>
                            <w:color w:val="000000"/>
                            <w:sz w:val="18"/>
                            <w:szCs w:val="18"/>
                            <w:lang w:eastAsia="fr-FR"/>
                          </w:rPr>
                          <w:t>Institution Publique de la Protection de la Jeunesse à régimes ouvert et fermé de la Communauté française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des Boignées, 13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1440 Wauthier-Braine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02/367.85.00</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d'Observation et d'Orientation</w:t>
                        </w:r>
                      </w:p>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Suzanne Van Durme ASBL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du Golf, 44b</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1640 RHODE-SAINT-GENESE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Flamand</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02/358.28.50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Grand Hôpital de Charleroi – Centre de réadaptation fonctionnelle infantile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Grand Rue, 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 xml:space="preserve">6000 CHARLEROI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071/10.36.60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Réadaptation Ouïe et Parole de l’ISPP de Charleroi</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nl-NL" w:eastAsia="fr-FR"/>
                          </w:rPr>
                        </w:pPr>
                        <w:r>
                          <w:rPr>
                            <w:rFonts w:ascii="Arial" w:eastAsia="Times New Roman" w:hAnsi="Arial" w:cs="Arial"/>
                            <w:color w:val="000000"/>
                            <w:sz w:val="20"/>
                            <w:szCs w:val="20"/>
                            <w:lang w:val="nl-NL" w:eastAsia="fr-FR"/>
                          </w:rPr>
                          <w:t>Bld Zoé Drion, 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fr-FR" w:eastAsia="fr-FR"/>
                          </w:rPr>
                        </w:pPr>
                        <w:r>
                          <w:rPr>
                            <w:rFonts w:ascii="Arial" w:eastAsia="Times New Roman" w:hAnsi="Arial" w:cs="Arial"/>
                            <w:color w:val="000000"/>
                            <w:sz w:val="20"/>
                            <w:szCs w:val="20"/>
                            <w:lang w:val="fr-FR"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071/92.29.22</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1-2-8</w:t>
                        </w:r>
                      </w:p>
                    </w:tc>
                  </w:tr>
                  <w:tr w:rsidR="00F04EEF">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A.S.B.L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Léon Bernus, 22</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071/31.63.78</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"La Pioche"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Royale, 95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6030 MARCHIENNE-AU-PONT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071/31.18.92</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I.P.P.J. de Jumet</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l'Institut Dogniaux, 85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6040 JUMET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071/34.01.06</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d'Observation et de Guidance, A.S.B.L.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Rue de l'Abbaye d'Aulne, </w:t>
                        </w:r>
                        <w:smartTag w:uri="urn:schemas-microsoft-com:office:smarttags" w:element="metricconverter">
                          <w:smartTagPr>
                            <w:attr w:name="ProductID" w:val="1 C"/>
                          </w:smartTagPr>
                          <w:r>
                            <w:rPr>
                              <w:rFonts w:ascii="Arial" w:eastAsia="Times New Roman" w:hAnsi="Arial" w:cs="Arial"/>
                              <w:color w:val="000000"/>
                              <w:sz w:val="20"/>
                              <w:szCs w:val="20"/>
                              <w:lang w:eastAsia="fr-FR"/>
                            </w:rPr>
                            <w:t>1 C</w:t>
                          </w:r>
                        </w:smartTag>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6142 LEERNES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071/51.55.43</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S.S.M. Centre d'Accueil Psycho-Social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du Collège, 39</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6200 CHATELET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071/38.46.38</w:t>
                        </w: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ascii="Arial" w:eastAsia="Times New Roman" w:hAnsi="Arial" w:cs="Arial"/>
                            <w:b/>
                            <w:bCs/>
                            <w:color w:val="FF0000"/>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CHR Mons Hainaut – Service de pédopsychiatrie « Les Haubans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Baudouin de Constantinople, 5</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065/44.95.21</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Le Padelin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des Arbalestriers, 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065/35.71.78</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de Référence en Autisme « Jean-Charles Salmon »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Brisselot, 11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065/87.94.60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Centre Hospitalier Universitaire de TIVOLI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Max Buset, 34</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7100 LA LOUVIERE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064/27.61.11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ascii="Arial" w:eastAsia="Times New Roman" w:hAnsi="Arial" w:cs="Arial"/>
                            <w:b/>
                            <w:bCs/>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Bruxelles, 18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7130 BINCHE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064/33.63.68</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 de Saint-Ghislain</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l'Abbaye, 29/31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7330 SAINT-GHISLAIN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065/46.54.06</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 de Colfontaine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Maubeuge, 7</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7340 COLFONTAINE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065/71.10.30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 de Tournai</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l'Athénée, 21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7500 TOURNAI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069/22.72.48</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La Passerelle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Square Saint Julien, 21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7800 ATH</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068/28.55.01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es-ES" w:eastAsia="fr-FR"/>
                          </w:rPr>
                        </w:pPr>
                        <w:r>
                          <w:rPr>
                            <w:rFonts w:ascii="Arial" w:eastAsia="Times New Roman" w:hAnsi="Arial" w:cs="Arial"/>
                            <w:sz w:val="20"/>
                            <w:szCs w:val="20"/>
                            <w:lang w:val="es-ES" w:eastAsia="fr-FR"/>
                          </w:rPr>
                          <w:t>C.R.H. de la Citadelle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Boulevard du 12e de Ligne, 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04/321.69.81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Groupe Santé CHC -  service de pédiatrie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Boulevard Patience et Beaujonc, 2</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color w:val="000000"/>
                            <w:sz w:val="20"/>
                            <w:szCs w:val="20"/>
                            <w:lang w:eastAsia="fr-FR"/>
                          </w:rPr>
                        </w:pPr>
                      </w:p>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04/224.81.11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val="pl-PL" w:eastAsia="fr-FR"/>
                          </w:rPr>
                        </w:pPr>
                        <w:r>
                          <w:rPr>
                            <w:rFonts w:ascii="Arial" w:eastAsia="Times New Roman" w:hAnsi="Arial" w:cs="Arial"/>
                            <w:color w:val="000000"/>
                            <w:sz w:val="20"/>
                            <w:szCs w:val="20"/>
                            <w:lang w:val="pl-PL" w:eastAsia="fr-FR"/>
                          </w:rPr>
                          <w:t>Service de Santé mentale PSYCHO-J asbl</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Hors Château, 59</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color w:val="000000"/>
                            <w:sz w:val="20"/>
                            <w:szCs w:val="20"/>
                            <w:lang w:eastAsia="fr-FR"/>
                          </w:rPr>
                        </w:pPr>
                      </w:p>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04/223.55.08</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Universitaire « Enfants-Parents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Lambert Le Bègue, 16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F04EEF">
                        <w:pPr>
                          <w:snapToGrid w:val="0"/>
                          <w:rPr>
                            <w:rFonts w:ascii="Arial" w:eastAsia="Times New Roman" w:hAnsi="Arial" w:cs="Arial"/>
                            <w:color w:val="000000"/>
                            <w:sz w:val="20"/>
                            <w:szCs w:val="20"/>
                            <w:lang w:eastAsia="fr-FR"/>
                          </w:rPr>
                        </w:pPr>
                      </w:p>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04/223.41.12</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F04EEF">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pour enfants, adolescents et adultes</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Saint-Lambert, 84 (1</w:t>
                        </w:r>
                        <w:r>
                          <w:rPr>
                            <w:rFonts w:ascii="Arial" w:eastAsia="Times New Roman" w:hAnsi="Arial" w:cs="Arial"/>
                            <w:color w:val="000000"/>
                            <w:sz w:val="20"/>
                            <w:szCs w:val="20"/>
                            <w:vertAlign w:val="superscript"/>
                            <w:lang w:eastAsia="fr-FR"/>
                          </w:rPr>
                          <w:t>er</w:t>
                        </w:r>
                        <w:r>
                          <w:rPr>
                            <w:rFonts w:ascii="Arial" w:eastAsia="Times New Roman" w:hAnsi="Arial" w:cs="Arial"/>
                            <w:color w:val="000000"/>
                            <w:sz w:val="20"/>
                            <w:szCs w:val="20"/>
                            <w:lang w:eastAsia="fr-FR"/>
                          </w:rPr>
                          <w:t xml:space="preserve"> étage)</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4040 HERSTAL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04/240.04.08</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Waremme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Guillaume Joachim, 49</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4300 WAREMME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019/32.47.92</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"Le Taquet"</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Churchill, 28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04/364.06.85</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Place Arthur Botty, 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4550 NANDRIN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085/51.24.15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ascii="Arial" w:eastAsia="Times New Roman" w:hAnsi="Arial" w:cs="Arial"/>
                            <w:b/>
                            <w:bCs/>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Le Méridien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 Fontaine, 53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4600 VISE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04/379.32.62</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Soumagne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l'Egalité, 250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4630 SOUMAGE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04/377.46.65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La Source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Rue du Ponçay 1 </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4680 OUPEYE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04/264.33.09</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Familial d'Education</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des Déportés, 30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087/22.13.92</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Centre de guidance - Service de Santé Mentale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Dinant, 20-22</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087/22.16.45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ascii="Arial" w:eastAsia="Times New Roman" w:hAnsi="Arial" w:cs="Arial"/>
                            <w:b/>
                            <w:bCs/>
                            <w:color w:val="FF0000"/>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Institution publique Protection de la Jeunesse de Fraipont</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sur le Bois, 113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4870 FRAIPONT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087/26.02.10</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Hôpital psychiatrique « La Clairière »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Route des Ardoisières, 100</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6880 BERTRIX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Luxembourg</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061/22.17.11</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 xml:space="preserve">1-2-3-5 </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Service de Santé mentale de la Province de Namur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Château des Balances, 3 bis</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081/77.67.12</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Centre d'Aide Educative </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Baron Fallon, 34</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081/74.39.89</w:t>
                        </w: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ascii="Arial" w:eastAsia="Times New Roman" w:hAnsi="Arial" w:cs="Arial"/>
                            <w:b/>
                            <w:bCs/>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Institution publique de Protection de la Jeunesse</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Bricgniot, 196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5002 SAINT-SERVAIS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081/73.18.10</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ASBL “Mon Aencre à moi”</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Place Baudouin 1</w:t>
                        </w:r>
                        <w:r>
                          <w:rPr>
                            <w:rFonts w:ascii="Arial" w:eastAsia="Times New Roman" w:hAnsi="Arial" w:cs="Arial"/>
                            <w:sz w:val="20"/>
                            <w:szCs w:val="20"/>
                            <w:vertAlign w:val="superscript"/>
                            <w:lang w:eastAsia="fr-FR"/>
                          </w:rPr>
                          <w:t>er</w:t>
                        </w:r>
                        <w:r>
                          <w:rPr>
                            <w:rFonts w:ascii="Arial" w:eastAsia="Times New Roman" w:hAnsi="Arial" w:cs="Arial"/>
                            <w:sz w:val="20"/>
                            <w:szCs w:val="20"/>
                            <w:lang w:eastAsia="fr-FR"/>
                          </w:rPr>
                          <w:t>, 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5004 BOUGE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081/21.20.94</w:t>
                        </w:r>
                      </w:p>
                    </w:tc>
                    <w:tc>
                      <w:tcPr>
                        <w:tcW w:w="1777" w:type="dxa"/>
                        <w:tcBorders>
                          <w:top w:val="single" w:sz="4" w:space="0" w:color="000000"/>
                          <w:left w:val="single" w:sz="4" w:space="0" w:color="000000"/>
                          <w:bottom w:val="single" w:sz="4" w:space="0" w:color="000000"/>
                          <w:right w:val="single" w:sz="4" w:space="0" w:color="000000"/>
                        </w:tcBorders>
                      </w:tcPr>
                      <w:p w:rsidR="00F04EEF" w:rsidRDefault="00F04EEF">
                        <w:pPr>
                          <w:snapToGrid w:val="0"/>
                          <w:rPr>
                            <w:rFonts w:ascii="Arial" w:eastAsia="Times New Roman" w:hAnsi="Arial" w:cs="Arial"/>
                            <w:b/>
                            <w:bCs/>
                            <w:sz w:val="20"/>
                            <w:szCs w:val="20"/>
                            <w:lang w:eastAsia="fr-FR"/>
                          </w:rPr>
                        </w:pP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Chaussée de Tirlemont, 14A</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5030 GEMBLOUX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081/77.67.93</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Duculot, 11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5060 TAMINES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081/77.68.40</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l'Hôpital, 23</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5300 ANDENNE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081/77.68.38</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pacing w:after="200" w:line="276" w:lineRule="auto"/>
                          <w:jc w:val="center"/>
                          <w:rPr>
                            <w:rFonts w:ascii="Arial" w:eastAsia="Times New Roman" w:hAnsi="Arial" w:cs="Arial"/>
                            <w:b/>
                            <w:bCs/>
                            <w:sz w:val="20"/>
                            <w:szCs w:val="20"/>
                            <w:lang w:eastAsia="fr-FR"/>
                          </w:rPr>
                        </w:pPr>
                        <w:r>
                          <w:rPr>
                            <w:rFonts w:eastAsia="Times New Roman" w:cs="Arial"/>
                            <w:b/>
                            <w:bCs/>
                            <w:sz w:val="36"/>
                            <w:lang w:eastAsia="fr-BE"/>
                          </w:rPr>
                          <w:t>ORGANISMES HABILITES</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Organisme Psycho-Médico-Social de Schaltin</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Cardijn, 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5364 SCHALTIN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081/61.11.68</w:t>
                        </w:r>
                      </w:p>
                      <w:p w:rsidR="00F04EEF" w:rsidRDefault="00F04EEF">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Alexandre Daoust, 72</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5500 DINANT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081/77.68.37</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l’Aubépines, 61</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5570 BEAURAING</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081/77.68.27</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Walter Sœur, 66</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5590 CINEY</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081/77.68.25</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 Gérard de Cambrai, 18</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5620 FLORENNES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081/77.68.31</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F04EE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Ruelle Cracsot, 12</w:t>
                        </w:r>
                      </w:p>
                    </w:tc>
                    <w:tc>
                      <w:tcPr>
                        <w:tcW w:w="2350" w:type="dxa"/>
                        <w:tcBorders>
                          <w:top w:val="single" w:sz="4" w:space="0" w:color="000000"/>
                          <w:left w:val="single" w:sz="4" w:space="0" w:color="000000"/>
                          <w:bottom w:val="single" w:sz="4" w:space="0" w:color="000000"/>
                        </w:tcBorders>
                        <w:shd w:val="clear" w:color="auto" w:fill="auto"/>
                        <w:vAlign w:val="center"/>
                      </w:tcPr>
                      <w:p w:rsidR="00F04EEF" w:rsidRDefault="0099351E">
                        <w:pPr>
                          <w:snapToGrid w:val="0"/>
                          <w:rPr>
                            <w:rFonts w:ascii="Arial" w:eastAsia="Times New Roman" w:hAnsi="Arial" w:cs="Arial"/>
                            <w:sz w:val="20"/>
                            <w:szCs w:val="20"/>
                            <w:lang w:eastAsia="fr-FR"/>
                          </w:rPr>
                        </w:pPr>
                        <w:r>
                          <w:rPr>
                            <w:rFonts w:ascii="Arial" w:eastAsia="Times New Roman" w:hAnsi="Arial" w:cs="Arial"/>
                            <w:sz w:val="20"/>
                            <w:szCs w:val="20"/>
                            <w:lang w:eastAsia="fr-FR"/>
                          </w:rPr>
                          <w:t>5660 COUVIN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081/77.68.24</w:t>
                        </w:r>
                      </w:p>
                    </w:tc>
                    <w:tc>
                      <w:tcPr>
                        <w:tcW w:w="1777" w:type="dxa"/>
                        <w:tcBorders>
                          <w:top w:val="single" w:sz="4" w:space="0" w:color="000000"/>
                          <w:left w:val="single" w:sz="4" w:space="0" w:color="000000"/>
                          <w:bottom w:val="single" w:sz="4" w:space="0" w:color="000000"/>
                          <w:right w:val="single" w:sz="4" w:space="0" w:color="000000"/>
                        </w:tcBorders>
                      </w:tcPr>
                      <w:p w:rsidR="00F04EEF" w:rsidRDefault="0099351E">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w:t>
                        </w:r>
                      </w:p>
                    </w:tc>
                  </w:tr>
                </w:tbl>
                <w:p w:rsidR="00F04EEF" w:rsidRDefault="00F04EEF"/>
                <w:p w:rsidR="00F04EEF" w:rsidRDefault="00F04EEF"/>
                <w:p w:rsidR="00F04EEF" w:rsidRDefault="00F04EEF"/>
                <w:p w:rsidR="00F04EEF" w:rsidRDefault="00F04EEF"/>
                <w:p w:rsidR="00F04EEF" w:rsidRDefault="00F04EEF"/>
                <w:p w:rsidR="00F04EEF" w:rsidRDefault="00F04EEF"/>
                <w:p w:rsidR="00F04EEF" w:rsidRDefault="0099351E">
                  <w:pPr>
                    <w:sectPr w:rsidR="00F04EEF">
                      <w:footerReference w:type="default" r:id="rId251"/>
                      <w:type w:val="nextColumn"/>
                      <w:pgSz w:w="16838" w:h="11906" w:orient="landscape"/>
                      <w:pgMar w:top="1134" w:right="1134" w:bottom="1134" w:left="1418" w:header="709" w:footer="142" w:gutter="0"/>
                      <w:cols w:space="720"/>
                      <w:docGrid w:linePitch="299"/>
                    </w:sectPr>
                  </w:pPr>
                  <w:r>
                    <w:br w:type="page"/>
                  </w:r>
                </w:p>
                <w:p w:rsidR="00F04EEF" w:rsidRDefault="0099351E">
                  <w:pPr>
                    <w:pStyle w:val="Titre4"/>
                  </w:pPr>
                  <w:bookmarkStart w:id="3571" w:name="_Annexe_7_:_3"/>
                  <w:bookmarkEnd w:id="3571"/>
                  <w:r>
                    <w:t xml:space="preserve">Annexe 7 : Circulaire 6495 </w:t>
                  </w:r>
                </w:p>
                <w:p w:rsidR="00F04EEF" w:rsidRDefault="00F04EEF">
                  <w:pPr>
                    <w:rPr>
                      <w:rFonts w:eastAsiaTheme="minorEastAsia"/>
                      <w:lang w:eastAsia="fr-BE"/>
                    </w:rPr>
                  </w:pPr>
                </w:p>
                <w:tbl>
                  <w:tblPr>
                    <w:tblStyle w:val="TableGrid1"/>
                    <w:tblW w:w="9287" w:type="dxa"/>
                    <w:tblInd w:w="-107" w:type="dxa"/>
                    <w:tblCellMar>
                      <w:top w:w="30" w:type="dxa"/>
                      <w:left w:w="138" w:type="dxa"/>
                      <w:right w:w="115" w:type="dxa"/>
                    </w:tblCellMar>
                    <w:tblLook w:val="04A0" w:firstRow="1" w:lastRow="0" w:firstColumn="1" w:lastColumn="0" w:noHBand="0" w:noVBand="1"/>
                  </w:tblPr>
                  <w:tblGrid>
                    <w:gridCol w:w="9287"/>
                  </w:tblGrid>
                  <w:tr w:rsidR="00F04EEF">
                    <w:trPr>
                      <w:trHeight w:val="1626"/>
                    </w:trPr>
                    <w:tc>
                      <w:tcPr>
                        <w:tcW w:w="9287" w:type="dxa"/>
                        <w:tcBorders>
                          <w:top w:val="single" w:sz="24" w:space="0" w:color="000000"/>
                          <w:left w:val="single" w:sz="24" w:space="0" w:color="000000"/>
                          <w:bottom w:val="nil"/>
                          <w:right w:val="single" w:sz="24" w:space="0" w:color="000000"/>
                        </w:tcBorders>
                      </w:tcPr>
                      <w:p w:rsidR="00F04EEF" w:rsidRDefault="0099351E">
                        <w:pPr>
                          <w:tabs>
                            <w:tab w:val="center" w:pos="1637"/>
                            <w:tab w:val="center" w:pos="2644"/>
                            <w:tab w:val="center" w:pos="7987"/>
                          </w:tabs>
                          <w:rPr>
                            <w:rFonts w:ascii="Calibri" w:eastAsia="Calibri" w:hAnsi="Calibri" w:cs="Calibri"/>
                            <w:color w:val="000000"/>
                          </w:rPr>
                        </w:pPr>
                        <w:r>
                          <w:rPr>
                            <w:rFonts w:ascii="Calibri" w:eastAsia="Calibri" w:hAnsi="Calibri" w:cs="Calibri"/>
                            <w:noProof/>
                            <w:color w:val="000000"/>
                          </w:rPr>
                          <w:drawing>
                            <wp:anchor distT="0" distB="0" distL="114300" distR="114300" simplePos="0" relativeHeight="252034048" behindDoc="0" locked="0" layoutInCell="1" allowOverlap="0">
                              <wp:simplePos x="0" y="0"/>
                              <wp:positionH relativeFrom="column">
                                <wp:posOffset>87351</wp:posOffset>
                              </wp:positionH>
                              <wp:positionV relativeFrom="paragraph">
                                <wp:posOffset>-18882</wp:posOffset>
                              </wp:positionV>
                              <wp:extent cx="849630" cy="958850"/>
                              <wp:effectExtent l="0" t="0" r="0" b="0"/>
                              <wp:wrapSquare wrapText="bothSides"/>
                              <wp:docPr id="4935"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52" cstate="print"/>
                                      <a:stretch>
                                        <a:fillRect/>
                                      </a:stretch>
                                    </pic:blipFill>
                                    <pic:spPr>
                                      <a:xfrm>
                                        <a:off x="0" y="0"/>
                                        <a:ext cx="849630" cy="958850"/>
                                      </a:xfrm>
                                      <a:prstGeom prst="rect">
                                        <a:avLst/>
                                      </a:prstGeom>
                                    </pic:spPr>
                                  </pic:pic>
                                </a:graphicData>
                              </a:graphic>
                            </wp:anchor>
                          </w:drawing>
                        </w:r>
                        <w:r>
                          <w:rPr>
                            <w:rFonts w:ascii="Calibri" w:eastAsia="Calibri" w:hAnsi="Calibri" w:cs="Calibri"/>
                            <w:color w:val="000000"/>
                          </w:rPr>
                          <w:tab/>
                        </w: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Circulaire 6495 </w:t>
                        </w:r>
                        <w:r>
                          <w:rPr>
                            <w:rFonts w:ascii="Georgia" w:eastAsia="Georgia" w:hAnsi="Georgia" w:cs="Georgia"/>
                            <w:color w:val="000000"/>
                            <w:sz w:val="20"/>
                          </w:rPr>
                          <w:tab/>
                          <w:t xml:space="preserve">du 16/01/2018 </w:t>
                        </w:r>
                      </w:p>
                      <w:p w:rsidR="00F04EEF" w:rsidRDefault="0099351E">
                        <w:pPr>
                          <w:ind w:left="1637"/>
                          <w:rPr>
                            <w:rFonts w:ascii="Calibri" w:eastAsia="Calibri" w:hAnsi="Calibri" w:cs="Calibri"/>
                            <w:color w:val="000000"/>
                          </w:rPr>
                        </w:pP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 </w:t>
                        </w:r>
                      </w:p>
                      <w:p w:rsidR="00F04EEF" w:rsidRDefault="0099351E">
                        <w:pPr>
                          <w:ind w:left="1964"/>
                          <w:rPr>
                            <w:rFonts w:ascii="Calibri" w:eastAsia="Calibri" w:hAnsi="Calibri" w:cs="Calibri"/>
                            <w:color w:val="000000"/>
                          </w:rPr>
                        </w:pPr>
                        <w:r>
                          <w:rPr>
                            <w:rFonts w:ascii="Georgia" w:eastAsia="Georgia" w:hAnsi="Georgia" w:cs="Georgia"/>
                            <w:b/>
                            <w:color w:val="000000"/>
                            <w:sz w:val="20"/>
                          </w:rPr>
                          <w:t xml:space="preserve">CIRCULAIRE RELATIVE A L’INSCRIPTION DANS </w:t>
                        </w:r>
                      </w:p>
                      <w:p w:rsidR="00F04EEF" w:rsidRDefault="0099351E">
                        <w:pPr>
                          <w:ind w:left="1964"/>
                          <w:rPr>
                            <w:rFonts w:ascii="Calibri" w:eastAsia="Calibri" w:hAnsi="Calibri" w:cs="Calibri"/>
                            <w:color w:val="000000"/>
                          </w:rPr>
                        </w:pPr>
                        <w:r>
                          <w:rPr>
                            <w:rFonts w:ascii="Georgia" w:eastAsia="Georgia" w:hAnsi="Georgia" w:cs="Georgia"/>
                            <w:b/>
                            <w:color w:val="000000"/>
                            <w:sz w:val="20"/>
                          </w:rPr>
                          <w:t xml:space="preserve">L’ENSEIGNEMENT FRANCOPHONE D’ELEVES SCOLARISES EN </w:t>
                        </w:r>
                      </w:p>
                      <w:p w:rsidR="00F04EEF" w:rsidRDefault="0099351E">
                        <w:pPr>
                          <w:ind w:left="1964"/>
                          <w:rPr>
                            <w:rFonts w:ascii="Calibri" w:eastAsia="Calibri" w:hAnsi="Calibri" w:cs="Calibri"/>
                            <w:color w:val="000000"/>
                          </w:rPr>
                        </w:pPr>
                        <w:r>
                          <w:rPr>
                            <w:rFonts w:ascii="Georgia" w:eastAsia="Georgia" w:hAnsi="Georgia" w:cs="Georgia"/>
                            <w:b/>
                            <w:color w:val="000000"/>
                            <w:sz w:val="20"/>
                          </w:rPr>
                          <w:t xml:space="preserve">COMMUNAUTE FLAMANDE OU EN COMMUNAUTE </w:t>
                        </w:r>
                      </w:p>
                      <w:p w:rsidR="00F04EEF" w:rsidRDefault="0099351E">
                        <w:pPr>
                          <w:ind w:left="1964"/>
                          <w:rPr>
                            <w:rFonts w:ascii="Calibri" w:eastAsia="Calibri" w:hAnsi="Calibri" w:cs="Calibri"/>
                            <w:color w:val="000000"/>
                          </w:rPr>
                        </w:pPr>
                        <w:r>
                          <w:rPr>
                            <w:rFonts w:ascii="Georgia" w:eastAsia="Georgia" w:hAnsi="Georgia" w:cs="Georgia"/>
                            <w:b/>
                            <w:color w:val="000000"/>
                            <w:sz w:val="20"/>
                          </w:rPr>
                          <w:t xml:space="preserve">GERMANOPHONE ET POUR LESQUELS UNE ATTESTATION </w:t>
                        </w:r>
                      </w:p>
                      <w:p w:rsidR="00F04EEF" w:rsidRDefault="0099351E">
                        <w:pPr>
                          <w:ind w:left="1964"/>
                          <w:rPr>
                            <w:rFonts w:ascii="Calibri" w:eastAsia="Calibri" w:hAnsi="Calibri" w:cs="Calibri"/>
                            <w:color w:val="000000"/>
                          </w:rPr>
                        </w:pPr>
                        <w:r>
                          <w:rPr>
                            <w:rFonts w:ascii="Georgia" w:eastAsia="Georgia" w:hAnsi="Georgia" w:cs="Georgia"/>
                            <w:b/>
                            <w:color w:val="000000"/>
                            <w:sz w:val="20"/>
                          </w:rPr>
                          <w:t xml:space="preserve">D’ENTREE EN ENSEIGNEMENT SPECIALISE EST REQUISE </w:t>
                        </w:r>
                      </w:p>
                    </w:tc>
                  </w:tr>
                  <w:tr w:rsidR="00F04EEF">
                    <w:trPr>
                      <w:trHeight w:val="260"/>
                    </w:trPr>
                    <w:tc>
                      <w:tcPr>
                        <w:tcW w:w="9287" w:type="dxa"/>
                        <w:tcBorders>
                          <w:top w:val="nil"/>
                          <w:left w:val="single" w:sz="24" w:space="0" w:color="000000"/>
                          <w:bottom w:val="single" w:sz="24" w:space="0" w:color="000000"/>
                          <w:right w:val="single" w:sz="24" w:space="0" w:color="000000"/>
                        </w:tcBorders>
                      </w:tcPr>
                      <w:p w:rsidR="00F04EEF" w:rsidRDefault="0099351E">
                        <w:pPr>
                          <w:ind w:left="1964"/>
                          <w:rPr>
                            <w:rFonts w:ascii="Calibri" w:eastAsia="Calibri" w:hAnsi="Calibri" w:cs="Calibri"/>
                            <w:color w:val="000000"/>
                          </w:rPr>
                        </w:pPr>
                        <w:r>
                          <w:rPr>
                            <w:rFonts w:ascii="Georgia" w:eastAsia="Georgia" w:hAnsi="Georgia" w:cs="Georgia"/>
                            <w:color w:val="000000"/>
                            <w:sz w:val="20"/>
                          </w:rPr>
                          <w:t xml:space="preserve"> </w:t>
                        </w:r>
                      </w:p>
                    </w:tc>
                  </w:tr>
                </w:tbl>
                <w:p w:rsidR="00F04EEF" w:rsidRDefault="0099351E">
                  <w:pPr>
                    <w:spacing w:line="259" w:lineRule="auto"/>
                    <w:ind w:left="2"/>
                    <w:rPr>
                      <w:rFonts w:ascii="Calibri" w:eastAsia="Calibri" w:hAnsi="Calibri" w:cs="Calibri"/>
                      <w:color w:val="000000"/>
                      <w:lang w:eastAsia="fr-BE"/>
                    </w:rPr>
                  </w:pPr>
                  <w:r>
                    <w:rPr>
                      <w:rFonts w:ascii="Georgia" w:eastAsia="Georgia" w:hAnsi="Georgia" w:cs="Georgia"/>
                      <w:color w:val="000000"/>
                      <w:sz w:val="20"/>
                      <w:lang w:eastAsia="fr-BE"/>
                    </w:rPr>
                    <w:t xml:space="preserve"> </w:t>
                  </w:r>
                </w:p>
                <w:p w:rsidR="00F04EEF" w:rsidRDefault="0099351E">
                  <w:pPr>
                    <w:spacing w:line="259" w:lineRule="auto"/>
                    <w:ind w:left="1162"/>
                    <w:jc w:val="center"/>
                    <w:rPr>
                      <w:rFonts w:ascii="Calibri" w:eastAsia="Calibri" w:hAnsi="Calibri" w:cs="Calibri"/>
                      <w:color w:val="000000"/>
                      <w:lang w:eastAsia="fr-BE"/>
                    </w:rPr>
                  </w:pPr>
                  <w:r>
                    <w:rPr>
                      <w:rFonts w:ascii="Calibri" w:eastAsia="Calibri" w:hAnsi="Calibri" w:cs="Calibri"/>
                      <w:noProof/>
                      <w:color w:val="000000"/>
                      <w:lang w:eastAsia="fr-BE"/>
                    </w:rPr>
                    <mc:AlternateContent>
                      <mc:Choice Requires="wpg">
                        <w:drawing>
                          <wp:anchor distT="0" distB="0" distL="114300" distR="114300" simplePos="0" relativeHeight="252035072" behindDoc="1" locked="0" layoutInCell="1" allowOverlap="1">
                            <wp:simplePos x="0" y="0"/>
                            <wp:positionH relativeFrom="column">
                              <wp:posOffset>2304415</wp:posOffset>
                            </wp:positionH>
                            <wp:positionV relativeFrom="paragraph">
                              <wp:posOffset>-20320</wp:posOffset>
                            </wp:positionV>
                            <wp:extent cx="3909695" cy="121920"/>
                            <wp:effectExtent l="0" t="0" r="5715" b="3175"/>
                            <wp:wrapNone/>
                            <wp:docPr id="1" name="Group 4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9695" cy="121920"/>
                                      <a:chOff x="0" y="0"/>
                                      <a:chExt cx="39096" cy="1219"/>
                                    </a:xfrm>
                                  </wpg:grpSpPr>
                                  <wps:wsp>
                                    <wps:cNvPr id="2" name="Shape 5709"/>
                                    <wps:cNvSpPr>
                                      <a:spLocks/>
                                    </wps:cNvSpPr>
                                    <wps:spPr bwMode="auto">
                                      <a:xfrm>
                                        <a:off x="2270" y="63"/>
                                        <a:ext cx="36293" cy="1156"/>
                                      </a:xfrm>
                                      <a:custGeom>
                                        <a:avLst/>
                                        <a:gdLst>
                                          <a:gd name="T0" fmla="*/ 0 w 3629279"/>
                                          <a:gd name="T1" fmla="*/ 0 h 115570"/>
                                          <a:gd name="T2" fmla="*/ 3629279 w 3629279"/>
                                          <a:gd name="T3" fmla="*/ 0 h 115570"/>
                                          <a:gd name="T4" fmla="*/ 3629279 w 3629279"/>
                                          <a:gd name="T5" fmla="*/ 115570 h 115570"/>
                                          <a:gd name="T6" fmla="*/ 0 w 3629279"/>
                                          <a:gd name="T7" fmla="*/ 115570 h 115570"/>
                                          <a:gd name="T8" fmla="*/ 0 w 3629279"/>
                                          <a:gd name="T9" fmla="*/ 0 h 115570"/>
                                          <a:gd name="T10" fmla="*/ 0 w 3629279"/>
                                          <a:gd name="T11" fmla="*/ 0 h 115570"/>
                                          <a:gd name="T12" fmla="*/ 3629279 w 3629279"/>
                                          <a:gd name="T13" fmla="*/ 115570 h 115570"/>
                                        </a:gdLst>
                                        <a:ahLst/>
                                        <a:cxnLst>
                                          <a:cxn ang="0">
                                            <a:pos x="T0" y="T1"/>
                                          </a:cxn>
                                          <a:cxn ang="0">
                                            <a:pos x="T2" y="T3"/>
                                          </a:cxn>
                                          <a:cxn ang="0">
                                            <a:pos x="T4" y="T5"/>
                                          </a:cxn>
                                          <a:cxn ang="0">
                                            <a:pos x="T6" y="T7"/>
                                          </a:cxn>
                                          <a:cxn ang="0">
                                            <a:pos x="T8" y="T9"/>
                                          </a:cxn>
                                        </a:cxnLst>
                                        <a:rect l="T10" t="T11" r="T12" b="T13"/>
                                        <a:pathLst>
                                          <a:path w="3629279" h="115570">
                                            <a:moveTo>
                                              <a:pt x="0" y="0"/>
                                            </a:moveTo>
                                            <a:lnTo>
                                              <a:pt x="3629279" y="0"/>
                                            </a:lnTo>
                                            <a:lnTo>
                                              <a:pt x="3629279" y="115570"/>
                                            </a:lnTo>
                                            <a:lnTo>
                                              <a:pt x="0" y="115570"/>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 name="Shape 5710"/>
                                    <wps:cNvSpPr>
                                      <a:spLocks/>
                                    </wps:cNvSpPr>
                                    <wps:spPr bwMode="auto">
                                      <a:xfrm>
                                        <a:off x="0" y="0"/>
                                        <a:ext cx="39035" cy="91"/>
                                      </a:xfrm>
                                      <a:custGeom>
                                        <a:avLst/>
                                        <a:gdLst>
                                          <a:gd name="T0" fmla="*/ 0 w 3903599"/>
                                          <a:gd name="T1" fmla="*/ 0 h 9144"/>
                                          <a:gd name="T2" fmla="*/ 3903599 w 3903599"/>
                                          <a:gd name="T3" fmla="*/ 0 h 9144"/>
                                          <a:gd name="T4" fmla="*/ 3903599 w 3903599"/>
                                          <a:gd name="T5" fmla="*/ 9144 h 9144"/>
                                          <a:gd name="T6" fmla="*/ 0 w 3903599"/>
                                          <a:gd name="T7" fmla="*/ 9144 h 9144"/>
                                          <a:gd name="T8" fmla="*/ 0 w 3903599"/>
                                          <a:gd name="T9" fmla="*/ 0 h 9144"/>
                                          <a:gd name="T10" fmla="*/ 0 w 3903599"/>
                                          <a:gd name="T11" fmla="*/ 0 h 9144"/>
                                          <a:gd name="T12" fmla="*/ 3903599 w 3903599"/>
                                          <a:gd name="T13" fmla="*/ 9144 h 9144"/>
                                        </a:gdLst>
                                        <a:ahLst/>
                                        <a:cxnLst>
                                          <a:cxn ang="0">
                                            <a:pos x="T0" y="T1"/>
                                          </a:cxn>
                                          <a:cxn ang="0">
                                            <a:pos x="T2" y="T3"/>
                                          </a:cxn>
                                          <a:cxn ang="0">
                                            <a:pos x="T4" y="T5"/>
                                          </a:cxn>
                                          <a:cxn ang="0">
                                            <a:pos x="T6" y="T7"/>
                                          </a:cxn>
                                          <a:cxn ang="0">
                                            <a:pos x="T8" y="T9"/>
                                          </a:cxn>
                                        </a:cxnLst>
                                        <a:rect l="T10" t="T11" r="T12" b="T13"/>
                                        <a:pathLst>
                                          <a:path w="3903599" h="9144">
                                            <a:moveTo>
                                              <a:pt x="0" y="0"/>
                                            </a:moveTo>
                                            <a:lnTo>
                                              <a:pt x="3903599" y="0"/>
                                            </a:lnTo>
                                            <a:lnTo>
                                              <a:pt x="3903599"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 name="Shape 5711"/>
                                    <wps:cNvSpPr>
                                      <a:spLocks/>
                                    </wps:cNvSpPr>
                                    <wps:spPr bwMode="auto">
                                      <a:xfrm>
                                        <a:off x="39035" y="0"/>
                                        <a:ext cx="92" cy="91"/>
                                      </a:xfrm>
                                      <a:custGeom>
                                        <a:avLst/>
                                        <a:gdLst>
                                          <a:gd name="T0" fmla="*/ 0 w 9144"/>
                                          <a:gd name="T1" fmla="*/ 0 h 9144"/>
                                          <a:gd name="T2" fmla="*/ 9144 w 9144"/>
                                          <a:gd name="T3" fmla="*/ 0 h 9144"/>
                                          <a:gd name="T4" fmla="*/ 9144 w 9144"/>
                                          <a:gd name="T5" fmla="*/ 9144 h 9144"/>
                                          <a:gd name="T6" fmla="*/ 0 w 9144"/>
                                          <a:gd name="T7" fmla="*/ 9144 h 9144"/>
                                          <a:gd name="T8" fmla="*/ 0 w 9144"/>
                                          <a:gd name="T9" fmla="*/ 0 h 9144"/>
                                          <a:gd name="T10" fmla="*/ 0 w 9144"/>
                                          <a:gd name="T11" fmla="*/ 0 h 9144"/>
                                          <a:gd name="T12" fmla="*/ 9144 w 9144"/>
                                          <a:gd name="T13" fmla="*/ 9144 h 9144"/>
                                        </a:gdLst>
                                        <a:ahLst/>
                                        <a:cxnLst>
                                          <a:cxn ang="0">
                                            <a:pos x="T0" y="T1"/>
                                          </a:cxn>
                                          <a:cxn ang="0">
                                            <a:pos x="T2" y="T3"/>
                                          </a:cxn>
                                          <a:cxn ang="0">
                                            <a:pos x="T4" y="T5"/>
                                          </a:cxn>
                                          <a:cxn ang="0">
                                            <a:pos x="T6" y="T7"/>
                                          </a:cxn>
                                          <a:cxn ang="0">
                                            <a:pos x="T8" y="T9"/>
                                          </a:cxn>
                                        </a:cxnLst>
                                        <a:rect l="T10" t="T11" r="T12" b="T13"/>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F4F182" id="Group 4944" o:spid="_x0000_s1026" style="position:absolute;margin-left:181.45pt;margin-top:-1.6pt;width:307.85pt;height:9.6pt;z-index:-251281408" coordsize="39096,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">
                            <v:shape id="Shape 5709" o:spid="_x0000_s1027" style="position:absolute;left:2270;top:63;width:36293;height:1156;visibility:visible;mso-wrap-style:square;v-text-anchor:top" coordsize="3629279,11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wdcIA&#10;AADaAAAADwAAAGRycy9kb3ducmV2LnhtbESPT4vCMBTE7wt+h/AEb2uqB3GrUcR/VNmLWjw/mmdb&#10;bF5qE7V+e7Ow4HGYmd8w03lrKvGgxpWWFQz6EQjizOqScwXpafM9BuE8ssbKMil4kYP5rPM1xVjb&#10;Jx/ocfS5CBB2MSoovK9jKV1WkEHXtzVx8C62MeiDbHKpG3wGuKnkMIpG0mDJYaHAmpYFZdfj3ShI&#10;Vvdlekl29e/anXeD7Q9ubuleqV63XUxAeGr9J/zfTrSCIfxdCT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fB1wgAAANoAAAAPAAAAAAAAAAAAAAAAAJgCAABkcnMvZG93&#10;bnJldi54bWxQSwUGAAAAAAQABAD1AAAAhwMAAAAA&#10;" path="m,l3629279,r,115570l,115570,,e" fillcolor="#d9d9d9" stroked="f" strokeweight="0">
                              <v:stroke miterlimit="83231f" joinstyle="miter"/>
                              <v:path arrowok="t" o:connecttype="custom" o:connectlocs="0,0;36293,0;36293,1156;0,1156;0,0" o:connectangles="0,0,0,0,0" textboxrect="0,0,3629279,115570"/>
                            </v:shape>
                            <v:shape id="Shape 5710" o:spid="_x0000_s1028" style="position:absolute;width:39035;height:91;visibility:visible;mso-wrap-style:square;v-text-anchor:top" coordsize="390359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3r8IA&#10;AADaAAAADwAAAGRycy9kb3ducmV2LnhtbESPX2vCQBDE3wt+h2MLvtVLFUpNPUVEpRRfjFJ8XHKb&#10;P5jbC7k1pt++VxD6OMzMb5jFanCN6qkLtWcDr5MEFHHubc2lgfNp9/IOKgiyxcYzGfihAKvl6GmB&#10;qfV3PlKfSakihEOKBiqRNtU65BU5DBPfEkev8J1DibIrte3wHuGu0dMkedMOa44LFba0qSi/Zjdn&#10;QK7f+HUpDsciu+G63+J8f8nFmPHzsP4AJTTIf/jR/rQGZvB3Jd4A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9DevwgAAANoAAAAPAAAAAAAAAAAAAAAAAJgCAABkcnMvZG93&#10;bnJldi54bWxQSwUGAAAAAAQABAD1AAAAhwMAAAAA&#10;" path="m,l3903599,r,9144l,9144,,e" fillcolor="black" stroked="f" strokeweight="0">
                              <v:stroke miterlimit="83231f" joinstyle="miter"/>
                              <v:path arrowok="t" o:connecttype="custom" o:connectlocs="0,0;39035,0;39035,91;0,91;0,0" o:connectangles="0,0,0,0,0" textboxrect="0,0,3903599,9144"/>
                            </v:shape>
                            <v:shape id="Shape 5711" o:spid="_x0000_s1029" style="position:absolute;left:39035;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F9csMA&#10;AADaAAAADwAAAGRycy9kb3ducmV2LnhtbESPQWvCQBSE74X+h+UJvTUbbZE2ugmlVfQmpgWvj+wz&#10;G8y+Ddk1if/eLRR6HGbmG2ZdTLYVA/W+caxgnqQgiCunG64V/Hxvn99A+ICssXVMCm7kocgfH9aY&#10;aTfykYYy1CJC2GeowITQZVL6ypBFn7iOOHpn11sMUfa11D2OEW5buUjTpbTYcFww2NGnoepSXq2C&#10;E8/fd7fD9mv/MhzGy8Isx2mDSj3Npo8ViEBT+A//tfdawSv8Xok3QO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F9csMAAADaAAAADwAAAAAAAAAAAAAAAACYAgAAZHJzL2Rv&#10;d25yZXYueG1sUEsFBgAAAAAEAAQA9QAAAIgDAAAAAA==&#10;" path="m,l9144,r,9144l,9144,,e" fillcolor="black" stroked="f" strokeweight="0">
                              <v:stroke miterlimit="83231f" joinstyle="miter"/>
                              <v:path arrowok="t" o:connecttype="custom" o:connectlocs="0,0;92,0;92,91;0,91;0,0" o:connectangles="0,0,0,0,0" textboxrect="0,0,9144,9144"/>
                            </v:shape>
                          </v:group>
                        </w:pict>
                      </mc:Fallback>
                    </mc:AlternateContent>
                  </w:r>
                  <w:r>
                    <w:rPr>
                      <w:rFonts w:ascii="Georgia" w:eastAsia="Georgia" w:hAnsi="Georgia" w:cs="Georgia"/>
                      <w:b/>
                      <w:color w:val="000000"/>
                      <w:sz w:val="16"/>
                      <w:lang w:eastAsia="fr-BE"/>
                    </w:rPr>
                    <w:t>Destinataires de la circulaire</w:t>
                  </w:r>
                  <w:r>
                    <w:rPr>
                      <w:rFonts w:ascii="Georgia" w:eastAsia="Georgia" w:hAnsi="Georgia" w:cs="Georgia"/>
                      <w:color w:val="000000"/>
                      <w:sz w:val="16"/>
                      <w:lang w:eastAsia="fr-BE"/>
                    </w:rPr>
                    <w:t xml:space="preserve"> </w:t>
                  </w:r>
                </w:p>
                <w:p w:rsidR="00F04EEF" w:rsidRDefault="0099351E">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rsidR="00F04EEF" w:rsidRDefault="0099351E">
                  <w:pPr>
                    <w:tabs>
                      <w:tab w:val="center" w:pos="3786"/>
                      <w:tab w:val="center" w:pos="6080"/>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 </w:t>
                  </w:r>
                  <w:r>
                    <w:rPr>
                      <w:rFonts w:ascii="Georgia" w:eastAsia="Georgia" w:hAnsi="Georgia" w:cs="Georgia"/>
                      <w:color w:val="000000"/>
                      <w:sz w:val="16"/>
                      <w:lang w:eastAsia="fr-BE"/>
                    </w:rPr>
                    <w:tab/>
                    <w:t xml:space="preserve">Madame la Ministre chargée de l’Education,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 Madame la Ministre-Présidente, Membre du Collège de la Commission communautaire française, chargée de l’Enseignement, </w:t>
                  </w:r>
                </w:p>
                <w:p w:rsidR="00F04EEF" w:rsidRDefault="0099351E">
                  <w:pPr>
                    <w:tabs>
                      <w:tab w:val="center" w:pos="3833"/>
                      <w:tab w:val="center" w:pos="5180"/>
                    </w:tabs>
                    <w:spacing w:line="259"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Collège provincial,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 Mesdames et Messieurs les Bourgmestres et Echevin-e-s de l’Instruction publique,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Chefs d’établissement des écoles organisées ou subventionnées par la Fédération Wallonie-Bruxelles, d’enseignement spécialisé, maternel, primaire, fondamental, secondaire, de plein exercice ou en alternance,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spécialisé maternel, primaire, fondamental, secondaire, de plein exercice ou en alternance, </w:t>
                  </w:r>
                </w:p>
                <w:p w:rsidR="00F04EEF" w:rsidRDefault="0099351E">
                  <w:pPr>
                    <w:tabs>
                      <w:tab w:val="center" w:pos="3874"/>
                      <w:tab w:val="center" w:pos="4838"/>
                      <w:tab w:val="center" w:pos="5832"/>
                      <w:tab w:val="center" w:pos="6632"/>
                      <w:tab w:val="right" w:pos="9245"/>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Aux  </w:t>
                  </w:r>
                  <w:r>
                    <w:rPr>
                      <w:rFonts w:ascii="Georgia" w:eastAsia="Georgia" w:hAnsi="Georgia" w:cs="Georgia"/>
                      <w:color w:val="000000"/>
                      <w:sz w:val="16"/>
                      <w:lang w:eastAsia="fr-BE"/>
                    </w:rPr>
                    <w:tab/>
                    <w:t xml:space="preserve">Pouvoirs </w:t>
                  </w:r>
                  <w:r>
                    <w:rPr>
                      <w:rFonts w:ascii="Georgia" w:eastAsia="Georgia" w:hAnsi="Georgia" w:cs="Georgia"/>
                      <w:color w:val="000000"/>
                      <w:sz w:val="16"/>
                      <w:lang w:eastAsia="fr-BE"/>
                    </w:rPr>
                    <w:tab/>
                    <w:t xml:space="preserve">organisateurs </w:t>
                  </w:r>
                  <w:r>
                    <w:rPr>
                      <w:rFonts w:ascii="Georgia" w:eastAsia="Georgia" w:hAnsi="Georgia" w:cs="Georgia"/>
                      <w:color w:val="000000"/>
                      <w:sz w:val="16"/>
                      <w:lang w:eastAsia="fr-BE"/>
                    </w:rPr>
                    <w:tab/>
                    <w:t xml:space="preserve">des </w:t>
                  </w:r>
                  <w:r>
                    <w:rPr>
                      <w:rFonts w:ascii="Georgia" w:eastAsia="Georgia" w:hAnsi="Georgia" w:cs="Georgia"/>
                      <w:color w:val="000000"/>
                      <w:sz w:val="16"/>
                      <w:lang w:eastAsia="fr-BE"/>
                    </w:rPr>
                    <w:tab/>
                    <w:t xml:space="preserve">Centres-Psycho-Médico-Sociaux </w:t>
                  </w:r>
                </w:p>
                <w:p w:rsidR="00F04EEF" w:rsidRDefault="0099351E">
                  <w:pPr>
                    <w:spacing w:after="4" w:line="248" w:lineRule="auto"/>
                    <w:ind w:left="4525"/>
                    <w:jc w:val="both"/>
                    <w:rPr>
                      <w:rFonts w:ascii="Calibri" w:eastAsia="Calibri" w:hAnsi="Calibri" w:cs="Calibri"/>
                      <w:color w:val="000000"/>
                      <w:lang w:eastAsia="fr-BE"/>
                    </w:rPr>
                  </w:pPr>
                  <w:r>
                    <w:rPr>
                      <w:rFonts w:ascii="Georgia" w:eastAsia="Georgia" w:hAnsi="Georgia" w:cs="Georgia"/>
                      <w:color w:val="000000"/>
                      <w:sz w:val="16"/>
                      <w:lang w:eastAsia="fr-BE"/>
                    </w:rPr>
                    <w:t xml:space="preserve">ordinaires </w:t>
                  </w:r>
                  <w:r>
                    <w:rPr>
                      <w:rFonts w:ascii="Georgia" w:eastAsia="Georgia" w:hAnsi="Georgia" w:cs="Georgia"/>
                      <w:color w:val="000000"/>
                      <w:sz w:val="16"/>
                      <w:lang w:eastAsia="fr-BE"/>
                    </w:rPr>
                    <w:tab/>
                    <w:t xml:space="preserve">et </w:t>
                  </w:r>
                  <w:r>
                    <w:rPr>
                      <w:rFonts w:ascii="Georgia" w:eastAsia="Georgia" w:hAnsi="Georgia" w:cs="Georgia"/>
                      <w:color w:val="000000"/>
                      <w:sz w:val="16"/>
                      <w:lang w:eastAsia="fr-BE"/>
                    </w:rPr>
                    <w:tab/>
                    <w:t xml:space="preserve">spécialisés </w:t>
                  </w:r>
                  <w:r>
                    <w:rPr>
                      <w:rFonts w:ascii="Georgia" w:eastAsia="Georgia" w:hAnsi="Georgia" w:cs="Georgia"/>
                      <w:color w:val="000000"/>
                      <w:sz w:val="16"/>
                      <w:lang w:eastAsia="fr-BE"/>
                    </w:rPr>
                    <w:tab/>
                    <w:t xml:space="preserve">subventionnés </w:t>
                  </w:r>
                  <w:r>
                    <w:rPr>
                      <w:rFonts w:ascii="Georgia" w:eastAsia="Georgia" w:hAnsi="Georgia" w:cs="Georgia"/>
                      <w:color w:val="000000"/>
                      <w:sz w:val="16"/>
                      <w:lang w:eastAsia="fr-BE"/>
                    </w:rPr>
                    <w:tab/>
                    <w:t xml:space="preserve">par </w:t>
                  </w:r>
                  <w:r>
                    <w:rPr>
                      <w:rFonts w:ascii="Georgia" w:eastAsia="Georgia" w:hAnsi="Georgia" w:cs="Georgia"/>
                      <w:color w:val="000000"/>
                      <w:sz w:val="16"/>
                      <w:lang w:eastAsia="fr-BE"/>
                    </w:rPr>
                    <w:tab/>
                    <w:t xml:space="preserve">la </w:t>
                  </w:r>
                  <w:r>
                    <w:rPr>
                      <w:rFonts w:ascii="Georgia" w:eastAsia="Georgia" w:hAnsi="Georgia" w:cs="Georgia"/>
                      <w:color w:val="000000"/>
                      <w:sz w:val="16"/>
                      <w:lang w:eastAsia="fr-BE"/>
                    </w:rPr>
                    <w:tab/>
                    <w:t xml:space="preserve">Fédération Wallonie-Bruxelles,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Directions des Centres-Psycho-Médico-Sociaux ordinaires et spécialisés, organisés par la Fédération Wallonie-Bruxelles ainsi qu’aux organismes agréés,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Aux Présidents et Secrétaires des Commissions consultatives de l’Enseignement spécialisé. </w:t>
                  </w:r>
                </w:p>
                <w:p w:rsidR="00F04EEF" w:rsidRDefault="0099351E">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rsidR="00F04EEF" w:rsidRDefault="0099351E">
                  <w:pPr>
                    <w:spacing w:line="259" w:lineRule="auto"/>
                    <w:ind w:right="228"/>
                    <w:jc w:val="center"/>
                    <w:rPr>
                      <w:rFonts w:ascii="Calibri" w:eastAsia="Calibri" w:hAnsi="Calibri" w:cs="Calibri"/>
                      <w:color w:val="000000"/>
                      <w:lang w:eastAsia="fr-BE"/>
                    </w:rPr>
                  </w:pPr>
                  <w:r>
                    <w:rPr>
                      <w:rFonts w:ascii="Georgia" w:eastAsia="Georgia" w:hAnsi="Georgia" w:cs="Georgia"/>
                      <w:b/>
                      <w:color w:val="000000"/>
                      <w:sz w:val="16"/>
                      <w:u w:val="single" w:color="000000"/>
                      <w:lang w:eastAsia="fr-BE"/>
                    </w:rPr>
                    <w:t>Pour information</w:t>
                  </w:r>
                  <w:r>
                    <w:rPr>
                      <w:rFonts w:ascii="Georgia" w:eastAsia="Georgia" w:hAnsi="Georgia" w:cs="Georgia"/>
                      <w:b/>
                      <w:color w:val="000000"/>
                      <w:sz w:val="16"/>
                      <w:lang w:eastAsia="fr-BE"/>
                    </w:rPr>
                    <w:t xml:space="preserve"> : </w:t>
                  </w:r>
                </w:p>
                <w:p w:rsidR="00F04EEF" w:rsidRDefault="0099351E">
                  <w:pPr>
                    <w:spacing w:line="259" w:lineRule="auto"/>
                    <w:ind w:left="3733"/>
                    <w:rPr>
                      <w:rFonts w:ascii="Calibri" w:eastAsia="Calibri" w:hAnsi="Calibri" w:cs="Calibri"/>
                      <w:color w:val="000000"/>
                      <w:lang w:eastAsia="fr-BE"/>
                    </w:rPr>
                  </w:pPr>
                  <w:r>
                    <w:rPr>
                      <w:rFonts w:ascii="Georgia" w:eastAsia="Georgia" w:hAnsi="Georgia" w:cs="Georgia"/>
                      <w:b/>
                      <w:color w:val="000000"/>
                      <w:sz w:val="16"/>
                      <w:lang w:eastAsia="fr-BE"/>
                    </w:rPr>
                    <w:t xml:space="preserve"> </w:t>
                  </w:r>
                </w:p>
                <w:p w:rsidR="00F04EEF" w:rsidRDefault="0099351E">
                  <w:pPr>
                    <w:spacing w:after="4" w:line="248" w:lineRule="auto"/>
                    <w:ind w:left="4520" w:hanging="802"/>
                    <w:jc w:val="both"/>
                    <w:rPr>
                      <w:rFonts w:ascii="Calibri" w:eastAsia="Calibri" w:hAnsi="Calibri" w:cs="Calibri"/>
                      <w:color w:val="000000"/>
                      <w:lang w:eastAsia="fr-BE"/>
                    </w:rPr>
                  </w:pPr>
                  <w:r>
                    <w:rPr>
                      <w:rFonts w:ascii="Calibri" w:eastAsia="Calibri" w:hAnsi="Calibri" w:cs="Calibri"/>
                      <w:noProof/>
                      <w:color w:val="000000"/>
                      <w:lang w:eastAsia="fr-BE"/>
                    </w:rPr>
                    <w:drawing>
                      <wp:anchor distT="0" distB="0" distL="114300" distR="114300" simplePos="0" relativeHeight="252036096" behindDoc="1" locked="0" layoutInCell="1" allowOverlap="0">
                        <wp:simplePos x="0" y="0"/>
                        <wp:positionH relativeFrom="column">
                          <wp:posOffset>-78536</wp:posOffset>
                        </wp:positionH>
                        <wp:positionV relativeFrom="paragraph">
                          <wp:posOffset>-3259949</wp:posOffset>
                        </wp:positionV>
                        <wp:extent cx="6708648" cy="6053328"/>
                        <wp:effectExtent l="0" t="0" r="0" b="0"/>
                        <wp:wrapNone/>
                        <wp:docPr id="5556" name="Picture 5556"/>
                        <wp:cNvGraphicFramePr/>
                        <a:graphic xmlns:a="http://schemas.openxmlformats.org/drawingml/2006/main">
                          <a:graphicData uri="http://schemas.openxmlformats.org/drawingml/2006/picture">
                            <pic:pic xmlns:pic="http://schemas.openxmlformats.org/drawingml/2006/picture">
                              <pic:nvPicPr>
                                <pic:cNvPr id="5556" name="Picture 5556"/>
                                <pic:cNvPicPr/>
                              </pic:nvPicPr>
                              <pic:blipFill>
                                <a:blip r:embed="rId253" cstate="print"/>
                                <a:stretch>
                                  <a:fillRect/>
                                </a:stretch>
                              </pic:blipFill>
                              <pic:spPr>
                                <a:xfrm>
                                  <a:off x="0" y="0"/>
                                  <a:ext cx="6708648" cy="6053328"/>
                                </a:xfrm>
                                <a:prstGeom prst="rect">
                                  <a:avLst/>
                                </a:prstGeom>
                              </pic:spPr>
                            </pic:pic>
                          </a:graphicData>
                        </a:graphic>
                      </wp:anchor>
                    </w:drawing>
                  </w:r>
                  <w:r>
                    <w:rPr>
                      <w:rFonts w:ascii="Georgia" w:eastAsia="Georgia" w:hAnsi="Georgia" w:cs="Georgia"/>
                      <w:color w:val="000000"/>
                      <w:sz w:val="16"/>
                      <w:lang w:eastAsia="fr-BE"/>
                    </w:rPr>
                    <w:t xml:space="preserve">Aux Chefs d’établissement des écoles organisées ou subventionnées par la Fédération Wallonie-Bruxelles, d’enseignement ordinaire, maternel, primaire, fondamental, secondaire, de plein exercice ou en alternance,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ordinaire maternel, primaire, fondamental, secondaire, de plein exercice ou en alternance,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Membres du Service général de l'Inspection de l’enseignement    spécialisé, maternel, primaire, fondamental, secondaire, de plein exercice ou en alternance, </w:t>
                  </w:r>
                </w:p>
                <w:p w:rsidR="00F04EEF" w:rsidRDefault="0099351E">
                  <w:pPr>
                    <w:spacing w:line="259" w:lineRule="auto"/>
                    <w:ind w:left="1955"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Vérificateurs de l'enseignement spécialisé, </w:t>
                  </w:r>
                </w:p>
                <w:p w:rsidR="00F04EEF" w:rsidRDefault="0099351E">
                  <w:pPr>
                    <w:spacing w:line="259" w:lineRule="auto"/>
                    <w:ind w:left="1955" w:right="291"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Fédérations d’associations de parents, </w:t>
                  </w:r>
                </w:p>
                <w:p w:rsidR="00F04EEF" w:rsidRDefault="0099351E">
                  <w:pPr>
                    <w:spacing w:after="4" w:line="248" w:lineRule="auto"/>
                    <w:ind w:left="3718"/>
                    <w:jc w:val="both"/>
                    <w:rPr>
                      <w:rFonts w:ascii="Calibri" w:eastAsia="Calibri" w:hAnsi="Calibri" w:cs="Calibri"/>
                      <w:color w:val="000000"/>
                      <w:lang w:eastAsia="fr-BE"/>
                    </w:rPr>
                  </w:pPr>
                  <w:r>
                    <w:rPr>
                      <w:rFonts w:ascii="Georgia" w:eastAsia="Georgia" w:hAnsi="Georgia" w:cs="Georgia"/>
                      <w:color w:val="000000"/>
                      <w:sz w:val="16"/>
                      <w:lang w:eastAsia="fr-BE"/>
                    </w:rPr>
                    <w:t xml:space="preserve">Aux            Organes de représentation et de coordination des Pouvoirs  </w:t>
                  </w:r>
                </w:p>
                <w:p w:rsidR="00F04EEF" w:rsidRDefault="0099351E">
                  <w:pPr>
                    <w:spacing w:line="259" w:lineRule="auto"/>
                    <w:ind w:left="1955" w:right="1910"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                    Organisateurs, </w:t>
                  </w:r>
                </w:p>
                <w:p w:rsidR="00F04EEF" w:rsidRDefault="0099351E">
                  <w:pPr>
                    <w:spacing w:after="4" w:line="248" w:lineRule="auto"/>
                    <w:ind w:left="4520" w:hanging="802"/>
                    <w:jc w:val="both"/>
                    <w:rPr>
                      <w:rFonts w:ascii="Calibri" w:eastAsia="Calibri" w:hAnsi="Calibri" w:cs="Calibri"/>
                      <w:color w:val="000000"/>
                      <w:lang w:eastAsia="fr-BE"/>
                    </w:rPr>
                  </w:pP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Service général de l’Enseignement organisé par la Fédération Wallonie-Bruxelles, </w:t>
                  </w:r>
                </w:p>
                <w:p w:rsidR="00F04EEF" w:rsidRDefault="0099351E">
                  <w:pPr>
                    <w:spacing w:line="237" w:lineRule="auto"/>
                    <w:ind w:left="3733" w:right="99"/>
                    <w:rPr>
                      <w:rFonts w:ascii="Calibri" w:eastAsia="Calibri" w:hAnsi="Calibri" w:cs="Calibri"/>
                      <w:color w:val="000000"/>
                      <w:lang w:eastAsia="fr-BE"/>
                    </w:rPr>
                  </w:pPr>
                  <w:r>
                    <w:rPr>
                      <w:rFonts w:ascii="Georgia" w:eastAsia="Georgia" w:hAnsi="Georgia" w:cs="Georgia"/>
                      <w:color w:val="000000"/>
                      <w:sz w:val="16"/>
                      <w:lang w:eastAsia="fr-BE"/>
                    </w:rPr>
                    <w:t xml:space="preserve">Aux            Membres du Conseil supérieur de l'enseignement spécialisé, Aux            Membres du Conseil général de concertation pour  l'enseignement                     spécialisé. </w:t>
                  </w:r>
                </w:p>
                <w:p w:rsidR="00F04EEF" w:rsidRDefault="0099351E">
                  <w:pPr>
                    <w:spacing w:line="259" w:lineRule="auto"/>
                    <w:ind w:left="1955" w:right="1184"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Organisations syndicales, </w:t>
                  </w:r>
                </w:p>
                <w:p w:rsidR="00F04EEF" w:rsidRDefault="0099351E">
                  <w:pPr>
                    <w:spacing w:after="252"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tbl>
                  <w:tblPr>
                    <w:tblStyle w:val="TableGrid1"/>
                    <w:tblW w:w="6402" w:type="dxa"/>
                    <w:tblInd w:w="761" w:type="dxa"/>
                    <w:tblLook w:val="04A0" w:firstRow="1" w:lastRow="0" w:firstColumn="1" w:lastColumn="0" w:noHBand="0" w:noVBand="1"/>
                  </w:tblPr>
                  <w:tblGrid>
                    <w:gridCol w:w="6402"/>
                    <w:gridCol w:w="6"/>
                  </w:tblGrid>
                  <w:tr w:rsidR="00F04EEF">
                    <w:trPr>
                      <w:trHeight w:val="1118"/>
                    </w:trPr>
                    <w:tc>
                      <w:tcPr>
                        <w:tcW w:w="2079" w:type="dxa"/>
                        <w:tcBorders>
                          <w:top w:val="nil"/>
                          <w:left w:val="nil"/>
                          <w:bottom w:val="nil"/>
                          <w:right w:val="nil"/>
                        </w:tcBorders>
                      </w:tcPr>
                      <w:tbl>
                        <w:tblPr>
                          <w:tblStyle w:val="TableGrid1"/>
                          <w:tblpPr w:leftFromText="141" w:rightFromText="141" w:vertAnchor="text" w:horzAnchor="margin" w:tblpY="166"/>
                          <w:tblW w:w="6402" w:type="dxa"/>
                          <w:tblInd w:w="0" w:type="dxa"/>
                          <w:tblLook w:val="04A0" w:firstRow="1" w:lastRow="0" w:firstColumn="1" w:lastColumn="0" w:noHBand="0" w:noVBand="1"/>
                        </w:tblPr>
                        <w:tblGrid>
                          <w:gridCol w:w="2079"/>
                          <w:gridCol w:w="4323"/>
                        </w:tblGrid>
                        <w:tr w:rsidR="00F04EEF">
                          <w:trPr>
                            <w:trHeight w:val="1118"/>
                          </w:trPr>
                          <w:tc>
                            <w:tcPr>
                              <w:tcW w:w="2079" w:type="dxa"/>
                            </w:tcPr>
                            <w:p w:rsidR="00F04EEF" w:rsidRDefault="0099351E">
                              <w:pPr>
                                <w:rPr>
                                  <w:rFonts w:ascii="Calibri" w:eastAsia="Calibri" w:hAnsi="Calibri" w:cs="Calibri"/>
                                  <w:color w:val="000000"/>
                                </w:rPr>
                              </w:pPr>
                              <w:r>
                                <w:rPr>
                                  <w:rFonts w:ascii="Georgia" w:eastAsia="Georgia" w:hAnsi="Georgia" w:cs="Georgia"/>
                                  <w:color w:val="000000"/>
                                  <w:sz w:val="20"/>
                                </w:rPr>
                                <w:t xml:space="preserve">Ministre / </w:t>
                              </w:r>
                            </w:p>
                            <w:p w:rsidR="00F04EEF" w:rsidRDefault="0099351E">
                              <w:pPr>
                                <w:rPr>
                                  <w:rFonts w:ascii="Calibri" w:eastAsia="Calibri" w:hAnsi="Calibri" w:cs="Calibri"/>
                                  <w:color w:val="000000"/>
                                </w:rPr>
                              </w:pPr>
                              <w:r>
                                <w:rPr>
                                  <w:rFonts w:ascii="Georgia" w:eastAsia="Georgia" w:hAnsi="Georgia" w:cs="Georgia"/>
                                  <w:color w:val="000000"/>
                                  <w:sz w:val="20"/>
                                </w:rPr>
                                <w:t xml:space="preserve">Administration : </w:t>
                              </w:r>
                            </w:p>
                          </w:tc>
                          <w:tc>
                            <w:tcPr>
                              <w:tcW w:w="4323" w:type="dxa"/>
                            </w:tcPr>
                            <w:p w:rsidR="00F04EEF" w:rsidRDefault="0099351E">
                              <w:pPr>
                                <w:rPr>
                                  <w:rFonts w:ascii="Calibri" w:eastAsia="Calibri" w:hAnsi="Calibri" w:cs="Calibri"/>
                                  <w:color w:val="000000"/>
                                </w:rPr>
                              </w:pPr>
                              <w:r>
                                <w:rPr>
                                  <w:rFonts w:ascii="Georgia" w:eastAsia="Georgia" w:hAnsi="Georgia" w:cs="Georgia"/>
                                  <w:color w:val="000000"/>
                                  <w:sz w:val="20"/>
                                </w:rPr>
                                <w:t xml:space="preserve">Administration générale de l’Enseignement  </w:t>
                              </w:r>
                            </w:p>
                            <w:p w:rsidR="00F04EEF" w:rsidRDefault="0099351E">
                              <w:pPr>
                                <w:rPr>
                                  <w:rFonts w:ascii="Calibri" w:eastAsia="Calibri" w:hAnsi="Calibri" w:cs="Calibri"/>
                                  <w:color w:val="000000"/>
                                </w:rPr>
                              </w:pPr>
                              <w:r>
                                <w:rPr>
                                  <w:rFonts w:ascii="Georgia" w:eastAsia="Georgia" w:hAnsi="Georgia" w:cs="Georgia"/>
                                  <w:noProof/>
                                  <w:color w:val="000000"/>
                                  <w:sz w:val="16"/>
                                </w:rPr>
                                <mc:AlternateContent>
                                  <mc:Choice Requires="wps">
                                    <w:drawing>
                                      <wp:anchor distT="0" distB="0" distL="114300" distR="114300" simplePos="0" relativeHeight="252037120" behindDoc="1" locked="0" layoutInCell="1" allowOverlap="1">
                                        <wp:simplePos x="0" y="0"/>
                                        <wp:positionH relativeFrom="column">
                                          <wp:posOffset>-2169160</wp:posOffset>
                                        </wp:positionH>
                                        <wp:positionV relativeFrom="paragraph">
                                          <wp:posOffset>269240</wp:posOffset>
                                        </wp:positionV>
                                        <wp:extent cx="6284595" cy="974090"/>
                                        <wp:effectExtent l="0" t="0" r="1270" b="6350"/>
                                        <wp:wrapNone/>
                                        <wp:docPr id="4934" name="Zone de texte 4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4595" cy="974090"/>
                                                </a:xfrm>
                                                <a:prstGeom prst="rect">
                                                  <a:avLst/>
                                                </a:prstGeom>
                                                <a:solidFill>
                                                  <a:sysClr val="window" lastClr="FFFFFF"/>
                                                </a:solidFill>
                                                <a:ln w="6350">
                                                  <a:noFill/>
                                                </a:ln>
                                                <a:effectLst/>
                                              </wps:spPr>
                                              <wps:txbx>
                                                <w:txbxContent>
                                                  <w:p w:rsidR="00F04EEF" w:rsidRDefault="0099351E">
                                                    <w:pPr>
                                                      <w:rPr>
                                                        <w:b/>
                                                      </w:rPr>
                                                    </w:pPr>
                                                    <w:r>
                                                      <w:rPr>
                                                        <w:b/>
                                                        <w:lang w:eastAsia="fr-BE"/>
                                                      </w:rPr>
                                                      <w:t xml:space="preserve">Personnes de contact </w:t>
                                                    </w:r>
                                                  </w:p>
                                                  <w:p w:rsidR="00F04EEF" w:rsidRDefault="0099351E">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F04EEF">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rsidR="00F04EEF" w:rsidRDefault="0099351E">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rsidR="00F04EEF" w:rsidRDefault="0099351E">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rsidR="00F04EEF" w:rsidRDefault="0099351E">
                                                          <w:pPr>
                                                            <w:ind w:left="1"/>
                                                            <w:rPr>
                                                              <w:rFonts w:ascii="Calibri" w:eastAsia="Calibri" w:hAnsi="Calibri" w:cs="Calibri"/>
                                                              <w:color w:val="000000"/>
                                                            </w:rPr>
                                                          </w:pPr>
                                                          <w:r>
                                                            <w:rPr>
                                                              <w:rFonts w:ascii="Georgia" w:eastAsia="Georgia" w:hAnsi="Georgia" w:cs="Georgia"/>
                                                              <w:color w:val="000000"/>
                                                              <w:sz w:val="20"/>
                                                            </w:rPr>
                                                            <w:t xml:space="preserve">Email </w:t>
                                                          </w:r>
                                                        </w:p>
                                                      </w:tc>
                                                    </w:tr>
                                                    <w:tr w:rsidR="00F04EEF">
                                                      <w:trPr>
                                                        <w:trHeight w:val="239"/>
                                                      </w:trPr>
                                                      <w:tc>
                                                        <w:tcPr>
                                                          <w:tcW w:w="3071" w:type="dxa"/>
                                                          <w:tcBorders>
                                                            <w:top w:val="dashed" w:sz="4" w:space="0" w:color="000000"/>
                                                            <w:left w:val="dashed" w:sz="4" w:space="0" w:color="000000"/>
                                                            <w:bottom w:val="dashed" w:sz="4" w:space="0" w:color="000000"/>
                                                            <w:right w:val="dashed" w:sz="4" w:space="0" w:color="000000"/>
                                                          </w:tcBorders>
                                                        </w:tcPr>
                                                        <w:p w:rsidR="00F04EEF" w:rsidRDefault="0099351E">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rsidR="00F04EEF" w:rsidRDefault="0099351E">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rsidR="00F04EEF" w:rsidRDefault="0099351E">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F04EEF">
                                                      <w:trPr>
                                                        <w:trHeight w:val="238"/>
                                                      </w:trPr>
                                                      <w:tc>
                                                        <w:tcPr>
                                                          <w:tcW w:w="3071" w:type="dxa"/>
                                                          <w:tcBorders>
                                                            <w:top w:val="dashed" w:sz="4" w:space="0" w:color="000000"/>
                                                            <w:left w:val="dashed" w:sz="4" w:space="0" w:color="000000"/>
                                                            <w:bottom w:val="dashed" w:sz="4" w:space="0" w:color="000000"/>
                                                            <w:right w:val="dashed" w:sz="4" w:space="0" w:color="000000"/>
                                                          </w:tcBorders>
                                                        </w:tcPr>
                                                        <w:p w:rsidR="00F04EEF" w:rsidRDefault="0099351E">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rsidR="00F04EEF" w:rsidRDefault="0099351E">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rsidR="00F04EEF" w:rsidRDefault="0099351E">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rsidR="00F04EEF" w:rsidRDefault="00F04E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4934" o:spid="_x0000_s1073" type="#_x0000_t202" style="position:absolute;margin-left:-170.8pt;margin-top:21.2pt;width:494.85pt;height:76.7pt;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" fillcolor="window" stroked="f" strokeweight=".5pt">
                                        <v:path arrowok="t"/>
                                        <v:textbox>
                                          <w:txbxContent>
                                            <w:p>
                                              <w:pPr>
                                                <w:rPr>
                                                  <w:b/>
                                                </w:rPr>
                                              </w:pPr>
                                              <w:r>
                                                <w:rPr>
                                                  <w:b/>
                                                  <w:lang w:eastAsia="fr-BE"/>
                                                </w:rPr>
                                                <w:t xml:space="preserve">Personnes de contact </w:t>
                                              </w:r>
                                            </w:p>
                                            <w:p>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pPr>
                                                      <w:ind w:left="1"/>
                                                      <w:rPr>
                                                        <w:rFonts w:ascii="Calibri" w:eastAsia="Calibri" w:hAnsi="Calibri" w:cs="Calibri"/>
                                                        <w:color w:val="000000"/>
                                                      </w:rPr>
                                                    </w:pPr>
                                                    <w:r>
                                                      <w:rPr>
                                                        <w:rFonts w:ascii="Georgia" w:eastAsia="Georgia" w:hAnsi="Georgia" w:cs="Georgia"/>
                                                        <w:color w:val="000000"/>
                                                        <w:sz w:val="20"/>
                                                      </w:rPr>
                                                      <w:t xml:space="preserve">Email </w:t>
                                                    </w:r>
                                                  </w:p>
                                                </w:tc>
                                              </w:tr>
                                              <w:tr>
                                                <w:trPr>
                                                  <w:trHeight w:val="239"/>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trPr>
                                                  <w:trHeight w:val="238"/>
                                                </w:trPr>
                                                <w:tc>
                                                  <w:tcPr>
                                                    <w:tcW w:w="3071" w:type="dxa"/>
                                                    <w:tcBorders>
                                                      <w:top w:val="dashed" w:sz="4" w:space="0" w:color="000000"/>
                                                      <w:left w:val="dashed" w:sz="4" w:space="0" w:color="000000"/>
                                                      <w:bottom w:val="dashed" w:sz="4" w:space="0" w:color="000000"/>
                                                      <w:right w:val="dashed" w:sz="4" w:space="0" w:color="000000"/>
                                                    </w:tcBorders>
                                                  </w:tcPr>
                                                  <w:p>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txbxContent>
                                        </v:textbox>
                                      </v:shape>
                                    </w:pict>
                                  </mc:Fallback>
                                </mc:AlternateContent>
                              </w:r>
                              <w:r>
                                <w:rPr>
                                  <w:rFonts w:ascii="Georgia" w:eastAsia="Georgia" w:hAnsi="Georgia" w:cs="Georgia"/>
                                  <w:color w:val="000000"/>
                                  <w:sz w:val="20"/>
                                </w:rPr>
                                <w:t xml:space="preserve">Direction générale de l’enseignement obligatoire Mme Lise-Anne Hanse, Directrice générale </w:t>
                              </w:r>
                            </w:p>
                          </w:tc>
                        </w:tr>
                      </w:tbl>
                      <w:p w:rsidR="00F04EEF" w:rsidRDefault="00F04EEF">
                        <w:pPr>
                          <w:rPr>
                            <w:rFonts w:ascii="Calibri" w:eastAsia="Calibri" w:hAnsi="Calibri" w:cs="Calibri"/>
                            <w:color w:val="000000"/>
                          </w:rPr>
                        </w:pPr>
                      </w:p>
                    </w:tc>
                    <w:tc>
                      <w:tcPr>
                        <w:tcW w:w="4323" w:type="dxa"/>
                        <w:tcBorders>
                          <w:top w:val="nil"/>
                          <w:left w:val="nil"/>
                          <w:bottom w:val="nil"/>
                          <w:right w:val="nil"/>
                        </w:tcBorders>
                      </w:tcPr>
                      <w:p w:rsidR="00F04EEF" w:rsidRDefault="0099351E">
                        <w:pPr>
                          <w:rPr>
                            <w:rFonts w:ascii="Calibri" w:eastAsia="Calibri" w:hAnsi="Calibri" w:cs="Calibri"/>
                            <w:color w:val="000000"/>
                          </w:rPr>
                        </w:pPr>
                        <w:r>
                          <w:rPr>
                            <w:rFonts w:ascii="Georgia" w:eastAsia="Georgia" w:hAnsi="Georgia" w:cs="Georgia"/>
                            <w:color w:val="000000"/>
                            <w:sz w:val="20"/>
                          </w:rPr>
                          <w:t xml:space="preserve"> </w:t>
                        </w:r>
                      </w:p>
                    </w:tc>
                  </w:tr>
                </w:tbl>
                <w:p w:rsidR="00F04EEF" w:rsidRDefault="00F04EEF">
                  <w:pPr>
                    <w:spacing w:line="259" w:lineRule="auto"/>
                    <w:rPr>
                      <w:rFonts w:ascii="Calibri" w:eastAsia="Calibri" w:hAnsi="Calibri" w:cs="Calibri"/>
                      <w:color w:val="000000"/>
                      <w:lang w:eastAsia="fr-BE"/>
                    </w:rPr>
                  </w:pPr>
                </w:p>
                <w:p w:rsidR="00F04EEF" w:rsidRDefault="0099351E">
                  <w:pPr>
                    <w:spacing w:line="259" w:lineRule="auto"/>
                    <w:ind w:left="2"/>
                    <w:rPr>
                      <w:rFonts w:ascii="Calibri" w:eastAsia="Calibri" w:hAnsi="Calibri" w:cs="Calibri"/>
                      <w:color w:val="000000"/>
                      <w:lang w:eastAsia="fr-BE"/>
                    </w:rPr>
                  </w:pP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Madame, Monsieur,</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rsidR="00F04EEF" w:rsidRDefault="0099351E">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Je vous remercie de l’attention que vous porterez à la présente circulaire et vous en souhaite bonne lecture. </w:t>
                  </w:r>
                </w:p>
                <w:p w:rsidR="00F04EEF" w:rsidRDefault="00F04EEF">
                  <w:pPr>
                    <w:spacing w:after="177" w:line="259" w:lineRule="auto"/>
                    <w:rPr>
                      <w:rFonts w:ascii="Calibri" w:eastAsia="Calibri" w:hAnsi="Calibri" w:cs="Calibri"/>
                      <w:color w:val="000000"/>
                      <w:lang w:eastAsia="fr-BE"/>
                    </w:rPr>
                  </w:pPr>
                </w:p>
                <w:p w:rsidR="00F04EEF" w:rsidRDefault="00F04EEF">
                  <w:pPr>
                    <w:spacing w:after="177" w:line="259" w:lineRule="auto"/>
                    <w:rPr>
                      <w:rFonts w:ascii="Calibri" w:eastAsia="Calibri" w:hAnsi="Calibri" w:cs="Calibri"/>
                      <w:color w:val="000000"/>
                      <w:lang w:eastAsia="fr-BE"/>
                    </w:rPr>
                  </w:pPr>
                </w:p>
                <w:p w:rsidR="00F04EEF" w:rsidRDefault="0099351E">
                  <w:pPr>
                    <w:spacing w:after="177" w:line="259" w:lineRule="auto"/>
                    <w:ind w:right="1274"/>
                    <w:jc w:val="right"/>
                    <w:rPr>
                      <w:rFonts w:ascii="Calibri" w:eastAsia="Calibri" w:hAnsi="Calibri" w:cs="Calibri"/>
                      <w:b/>
                      <w:color w:val="000000"/>
                      <w:lang w:eastAsia="fr-BE"/>
                    </w:rPr>
                  </w:pPr>
                  <w:r>
                    <w:rPr>
                      <w:rFonts w:ascii="Calibri" w:eastAsia="Calibri" w:hAnsi="Calibri" w:cs="Calibri"/>
                      <w:b/>
                      <w:color w:val="000000"/>
                      <w:lang w:eastAsia="fr-BE"/>
                    </w:rPr>
                    <w:t xml:space="preserve">La Ministre de l’Education,  </w:t>
                  </w:r>
                </w:p>
                <w:p w:rsidR="00F04EEF" w:rsidRDefault="00F04EEF">
                  <w:pPr>
                    <w:spacing w:after="177" w:line="259" w:lineRule="auto"/>
                    <w:ind w:right="1143"/>
                    <w:jc w:val="right"/>
                    <w:rPr>
                      <w:rFonts w:ascii="Calibri" w:eastAsia="Calibri" w:hAnsi="Calibri" w:cs="Calibri"/>
                      <w:color w:val="000000"/>
                      <w:lang w:eastAsia="fr-BE"/>
                    </w:rPr>
                  </w:pPr>
                </w:p>
                <w:p w:rsidR="00F04EEF" w:rsidRDefault="0099351E">
                  <w:pPr>
                    <w:spacing w:after="177" w:line="259" w:lineRule="auto"/>
                    <w:ind w:left="5672"/>
                    <w:rPr>
                      <w:rFonts w:ascii="Calibri" w:eastAsia="Calibri" w:hAnsi="Calibri" w:cs="Calibri"/>
                      <w:color w:val="000000"/>
                      <w:lang w:eastAsia="fr-BE"/>
                    </w:rPr>
                  </w:pPr>
                  <w:r>
                    <w:rPr>
                      <w:rFonts w:ascii="Calibri" w:eastAsia="Calibri" w:hAnsi="Calibri" w:cs="Calibri"/>
                      <w:b/>
                      <w:color w:val="000000"/>
                      <w:lang w:eastAsia="fr-BE"/>
                    </w:rPr>
                    <w:t>Caroline DESIR</w:t>
                  </w:r>
                </w:p>
                <w:p w:rsidR="00F04EEF" w:rsidRDefault="0099351E">
                  <w:pPr>
                    <w:spacing w:line="259" w:lineRule="auto"/>
                    <w:rPr>
                      <w:rFonts w:ascii="Calibri" w:eastAsia="Calibri" w:hAnsi="Calibri" w:cs="Calibri"/>
                      <w:color w:val="000000"/>
                      <w:lang w:eastAsia="fr-BE"/>
                    </w:rPr>
                  </w:pPr>
                  <w:r>
                    <w:rPr>
                      <w:rFonts w:ascii="Calibri" w:eastAsia="Calibri" w:hAnsi="Calibri" w:cs="Calibri"/>
                      <w:color w:val="000000"/>
                      <w:lang w:eastAsia="fr-BE"/>
                    </w:rPr>
                    <w:t xml:space="preserve"> </w:t>
                  </w:r>
                </w:p>
                <w:p w:rsidR="00F04EEF" w:rsidRDefault="00F04EEF">
                  <w:pPr>
                    <w:rPr>
                      <w:rFonts w:eastAsiaTheme="minorEastAsia"/>
                      <w:lang w:eastAsia="fr-BE"/>
                    </w:rPr>
                  </w:pPr>
                </w:p>
                <w:sdt>
                  <w:sdtPr>
                    <w:id w:val="1701888571"/>
                    <w:docPartObj>
                      <w:docPartGallery w:val="Cover Pages"/>
                      <w:docPartUnique/>
                    </w:docPartObj>
                  </w:sdtPr>
                  <w:sdtEndPr/>
                  <w:sdtContent>
                    <w:p w:rsidR="00F04EEF" w:rsidRDefault="00F04EEF"/>
                    <w:p w:rsidR="00F04EEF" w:rsidRDefault="0099351E">
                      <w:pPr>
                        <w:pStyle w:val="Titre2"/>
                      </w:pPr>
                      <w:bookmarkStart w:id="3572" w:name="_Toc477623865"/>
                      <w:bookmarkStart w:id="3573" w:name="_Toc477767736"/>
                      <w:bookmarkStart w:id="3574" w:name="_Toc47708587"/>
                      <w:r>
                        <w:t>Chapitre</w:t>
                      </w:r>
                      <w:bookmarkEnd w:id="3572"/>
                      <w:bookmarkEnd w:id="3573"/>
                      <w:r>
                        <w:t xml:space="preserve"> 20 : </w:t>
                      </w:r>
                      <w:bookmarkStart w:id="3575" w:name="_Toc477623866"/>
                      <w:bookmarkStart w:id="3576" w:name="_Toc477767737"/>
                      <w:r>
                        <w:t>Objets produits ou services rendus par un établissement scolaire d’enseignement spécialisé</w:t>
                      </w:r>
                      <w:bookmarkEnd w:id="3575"/>
                      <w:bookmarkEnd w:id="3576"/>
                      <w:bookmarkEnd w:id="3574"/>
                    </w:p>
                    <w:p w:rsidR="00F04EEF" w:rsidRDefault="00F04EEF"/>
                    <w:p w:rsidR="00F04EEF" w:rsidRDefault="00F04EEF"/>
                    <w:p w:rsidR="00F04EEF" w:rsidRDefault="00F04EEF"/>
                    <w:p w:rsidR="00F04EEF" w:rsidRDefault="00F42422">
                      <w:pPr>
                        <w:rPr>
                          <w:rFonts w:eastAsiaTheme="minorEastAsia"/>
                          <w:lang w:eastAsia="fr-BE"/>
                        </w:rPr>
                      </w:pPr>
                    </w:p>
                  </w:sdtContent>
                </w:sdt>
                <w:p w:rsidR="00F04EEF" w:rsidRDefault="0099351E">
                  <w:pPr>
                    <w:jc w:val="both"/>
                    <w:rPr>
                      <w:b/>
                      <w:u w:val="single"/>
                    </w:rPr>
                  </w:pPr>
                  <w:r>
                    <w:rPr>
                      <w:b/>
                      <w:u w:val="single"/>
                    </w:rPr>
                    <w:t>Bases légales :</w:t>
                  </w:r>
                </w:p>
                <w:p w:rsidR="00F04EEF" w:rsidRDefault="00F04EEF">
                  <w:pPr>
                    <w:jc w:val="both"/>
                    <w:rPr>
                      <w:b/>
                      <w:u w:val="single"/>
                    </w:rPr>
                  </w:pPr>
                </w:p>
                <w:p w:rsidR="00F04EEF" w:rsidRDefault="00F42422">
                  <w:pPr>
                    <w:numPr>
                      <w:ilvl w:val="0"/>
                      <w:numId w:val="122"/>
                    </w:numPr>
                    <w:ind w:right="-45"/>
                    <w:jc w:val="both"/>
                  </w:pPr>
                  <w:hyperlink r:id="rId254" w:history="1">
                    <w:r w:rsidR="0099351E">
                      <w:rPr>
                        <w:rStyle w:val="Lienhypertexte"/>
                      </w:rPr>
                      <w:t>Loi du 29 mai 1959 modifiant certaines dispositions de la législation de l’enseignement.</w:t>
                    </w:r>
                  </w:hyperlink>
                </w:p>
                <w:p w:rsidR="00F04EEF" w:rsidRDefault="00F42422">
                  <w:pPr>
                    <w:numPr>
                      <w:ilvl w:val="0"/>
                      <w:numId w:val="122"/>
                    </w:numPr>
                    <w:ind w:right="-45"/>
                    <w:jc w:val="both"/>
                  </w:pPr>
                  <w:hyperlink r:id="rId255" w:history="1">
                    <w:r w:rsidR="0099351E">
                      <w:rPr>
                        <w:rStyle w:val="Lienhypertexte"/>
                      </w:rPr>
                      <w:t>L’arrêté royal du 12 février 1976 fixant les conditions auxquelles les objets produits ou les services rendus par un établissement d'enseignement peuvent être aliénés ou loués.</w:t>
                    </w:r>
                  </w:hyperlink>
                </w:p>
                <w:p w:rsidR="00F04EEF" w:rsidRDefault="00F42422">
                  <w:pPr>
                    <w:numPr>
                      <w:ilvl w:val="0"/>
                      <w:numId w:val="122"/>
                    </w:numPr>
                    <w:ind w:right="-45"/>
                    <w:jc w:val="both"/>
                    <w:rPr>
                      <w:b/>
                    </w:rPr>
                  </w:pPr>
                  <w:hyperlink r:id="rId256" w:history="1">
                    <w:r w:rsidR="0099351E">
                      <w:rPr>
                        <w:rStyle w:val="Lienhypertexte"/>
                      </w:rPr>
                      <w:t>L’arrêté ministériel du 12 juillet 1977 exécutant l'arrêté royal du 12 février 1976 fixant les conditions auxquelles les objets produits ou les services rendus par un établissement d'enseignement peuvent être aliénés ou loué.</w:t>
                    </w:r>
                  </w:hyperlink>
                </w:p>
                <w:p w:rsidR="00F04EEF" w:rsidRDefault="00F04EEF">
                  <w:pPr>
                    <w:rPr>
                      <w:rFonts w:cs="Arial"/>
                    </w:rPr>
                  </w:pPr>
                </w:p>
                <w:p w:rsidR="00F04EEF" w:rsidRDefault="00F04EEF">
                  <w:pPr>
                    <w:rPr>
                      <w:rFonts w:cs="Arial"/>
                    </w:rPr>
                  </w:pPr>
                </w:p>
                <w:p w:rsidR="00F04EEF" w:rsidRDefault="0099351E">
                  <w:pPr>
                    <w:pStyle w:val="Titre3"/>
                    <w:rPr>
                      <w:sz w:val="22"/>
                      <w:szCs w:val="22"/>
                    </w:rPr>
                  </w:pPr>
                  <w:bookmarkStart w:id="3577" w:name="_1._Principes"/>
                  <w:bookmarkStart w:id="3578" w:name="_Toc414352986"/>
                  <w:bookmarkStart w:id="3579" w:name="_Toc453837011"/>
                  <w:bookmarkStart w:id="3580" w:name="_Toc47708588"/>
                  <w:bookmarkEnd w:id="3577"/>
                  <w:r>
                    <w:rPr>
                      <w:sz w:val="22"/>
                      <w:szCs w:val="22"/>
                    </w:rPr>
                    <w:t>1. Principes</w:t>
                  </w:r>
                  <w:bookmarkEnd w:id="3578"/>
                  <w:bookmarkEnd w:id="3579"/>
                  <w:bookmarkEnd w:id="3580"/>
                </w:p>
                <w:p w:rsidR="00F04EEF" w:rsidRDefault="00F04EEF">
                  <w:pPr>
                    <w:jc w:val="both"/>
                  </w:pPr>
                </w:p>
                <w:p w:rsidR="00F04EEF" w:rsidRDefault="0099351E">
                  <w:pPr>
                    <w:ind w:right="-45"/>
                    <w:jc w:val="both"/>
                  </w:pPr>
                  <w:r>
                    <w:t>Pour rappel, toute pratique déloyale et toute activité commerciale dans les établissements d'enseignement sont interdites.</w:t>
                  </w:r>
                </w:p>
                <w:p w:rsidR="00F04EEF" w:rsidRDefault="00F04EEF">
                  <w:pPr>
                    <w:autoSpaceDE w:val="0"/>
                    <w:autoSpaceDN w:val="0"/>
                    <w:adjustRightInd w:val="0"/>
                    <w:ind w:right="-45"/>
                    <w:jc w:val="both"/>
                  </w:pPr>
                </w:p>
                <w:p w:rsidR="00F04EEF" w:rsidRDefault="0099351E">
                  <w:pPr>
                    <w:ind w:right="-45"/>
                    <w:jc w:val="both"/>
                  </w:pPr>
                  <w:r>
                    <w:t>Cependant, l’</w:t>
                  </w:r>
                  <w:hyperlink r:id="rId257" w:history="1">
                    <w:r>
                      <w:rPr>
                        <w:rStyle w:val="Lienhypertexte"/>
                      </w:rPr>
                      <w:t>article 12 ter de la loi du 29 mai 1959</w:t>
                    </w:r>
                  </w:hyperlink>
                  <w:r>
                    <w:t xml:space="preserve"> précise que : « </w:t>
                  </w:r>
                  <w:r>
                    <w:rPr>
                      <w:i/>
                    </w:rPr>
                    <w:t>Par arrêté royal délibéré en Conseil des Ministres, le Roi fixe d'une manière uniforme pour tous les réseaux d'enseignement les conditions auxquelles des objets produits ou des services rendus par un établissement scolaire peuvent être aliénés ou loués</w:t>
                  </w:r>
                  <w:r>
                    <w:t>. »</w:t>
                  </w:r>
                </w:p>
                <w:p w:rsidR="00F04EEF" w:rsidRDefault="00F04EEF">
                  <w:pPr>
                    <w:jc w:val="both"/>
                  </w:pPr>
                </w:p>
                <w:p w:rsidR="00F04EEF" w:rsidRDefault="0099351E">
                  <w:pPr>
                    <w:jc w:val="both"/>
                  </w:pPr>
                  <w:r>
                    <w:t>La fabrication, la location d’objet ou la fourniture de services doit respecter les conditions suivantes :</w:t>
                  </w:r>
                </w:p>
                <w:p w:rsidR="00F04EEF" w:rsidRDefault="00F04EEF">
                  <w:pPr>
                    <w:jc w:val="both"/>
                  </w:pPr>
                </w:p>
                <w:p w:rsidR="00F04EEF" w:rsidRDefault="0099351E">
                  <w:pPr>
                    <w:numPr>
                      <w:ilvl w:val="0"/>
                      <w:numId w:val="114"/>
                    </w:numPr>
                    <w:ind w:left="927"/>
                    <w:jc w:val="both"/>
                  </w:pPr>
                  <w:r>
                    <w:t>Le travail doit correspondre à la spécialité de la section dans laquelle il sera réalisé ;</w:t>
                  </w:r>
                </w:p>
                <w:p w:rsidR="00F04EEF" w:rsidRDefault="0099351E">
                  <w:pPr>
                    <w:numPr>
                      <w:ilvl w:val="0"/>
                      <w:numId w:val="114"/>
                    </w:numPr>
                    <w:ind w:left="927"/>
                    <w:jc w:val="both"/>
                  </w:pPr>
                  <w:r>
                    <w:t>Le travail doit être justifié du point de vue pédagogique et être intégré dans le programme normal de la section dans laquelle il est réalisé ;</w:t>
                  </w:r>
                </w:p>
                <w:p w:rsidR="00F04EEF" w:rsidRDefault="0099351E">
                  <w:pPr>
                    <w:numPr>
                      <w:ilvl w:val="0"/>
                      <w:numId w:val="114"/>
                    </w:numPr>
                    <w:ind w:left="927"/>
                    <w:jc w:val="both"/>
                  </w:pPr>
                  <w:r>
                    <w:t>Le travail ne peut donner lieu à des contrats commerciaux qui concurrencent l’industrie ou l’artisanat de la région ;</w:t>
                  </w:r>
                </w:p>
                <w:p w:rsidR="00F04EEF" w:rsidRDefault="0099351E">
                  <w:pPr>
                    <w:numPr>
                      <w:ilvl w:val="0"/>
                      <w:numId w:val="114"/>
                    </w:numPr>
                    <w:ind w:left="927"/>
                    <w:jc w:val="both"/>
                  </w:pPr>
                  <w:r>
                    <w:t>Si une production en série est nécessaire à la formation, elle doit être limitée au strict minimum indispensable à cette formation ;</w:t>
                  </w:r>
                </w:p>
                <w:p w:rsidR="00F04EEF" w:rsidRDefault="0099351E">
                  <w:pPr>
                    <w:numPr>
                      <w:ilvl w:val="0"/>
                      <w:numId w:val="114"/>
                    </w:numPr>
                    <w:ind w:left="927"/>
                    <w:jc w:val="both"/>
                  </w:pPr>
                  <w:r>
                    <w:t>Le travail doit être exécuté dans les ateliers, dans les locaux de pratique professionnelle ou dans d’autres lieux pédagogiquement justifiés pendant les heures normales de cours et sous la surveillance des professeurs concernés.</w:t>
                  </w:r>
                </w:p>
                <w:p w:rsidR="00F04EEF" w:rsidRDefault="00F04EEF">
                  <w:pPr>
                    <w:jc w:val="both"/>
                  </w:pPr>
                </w:p>
                <w:p w:rsidR="00F04EEF" w:rsidRDefault="0099351E">
                  <w:pPr>
                    <w:ind w:right="-45"/>
                    <w:jc w:val="both"/>
                  </w:pPr>
                  <w:r>
                    <w:t>Ne sont pas concernés par ce chapitre :</w:t>
                  </w:r>
                </w:p>
                <w:p w:rsidR="00F04EEF" w:rsidRDefault="00F04EEF">
                  <w:pPr>
                    <w:ind w:right="-45"/>
                    <w:jc w:val="both"/>
                  </w:pPr>
                </w:p>
                <w:p w:rsidR="00F04EEF" w:rsidRDefault="0099351E">
                  <w:pPr>
                    <w:numPr>
                      <w:ilvl w:val="1"/>
                      <w:numId w:val="114"/>
                    </w:numPr>
                    <w:tabs>
                      <w:tab w:val="clear" w:pos="1440"/>
                      <w:tab w:val="num" w:pos="700"/>
                    </w:tabs>
                    <w:ind w:left="300" w:right="-45" w:hanging="300"/>
                    <w:jc w:val="both"/>
                  </w:pPr>
                  <w:r>
                    <w:t>Les stages prévus à l'horaire hebdomadaire normal d'une école et qui sont obligatoires pour l'obtention d'un titre ;</w:t>
                  </w:r>
                </w:p>
                <w:p w:rsidR="00F04EEF" w:rsidRDefault="0099351E">
                  <w:pPr>
                    <w:numPr>
                      <w:ilvl w:val="1"/>
                      <w:numId w:val="114"/>
                    </w:numPr>
                    <w:tabs>
                      <w:tab w:val="clear" w:pos="1440"/>
                      <w:tab w:val="num" w:pos="700"/>
                    </w:tabs>
                    <w:ind w:left="300" w:right="-45" w:hanging="300"/>
                    <w:jc w:val="both"/>
                    <w:rPr>
                      <w:color w:val="000000"/>
                    </w:rPr>
                  </w:pPr>
                  <w:r>
                    <w:t xml:space="preserve">Les stages effectués par les élèves des sections de nursing dans un institut hospitalier, </w:t>
                  </w:r>
                  <w:r>
                    <w:rPr>
                      <w:color w:val="000000"/>
                    </w:rPr>
                    <w:t>dans la mesure toutefois où les heures sont valorisées dans le cadre du plan comptable</w:t>
                  </w:r>
                  <w:r>
                    <w:t xml:space="preserve"> prévu par la loi du 23 décembre 1963 </w:t>
                  </w:r>
                  <w:r>
                    <w:rPr>
                      <w:rStyle w:val="Appelnotedebasdep"/>
                    </w:rPr>
                    <w:footnoteReference w:id="167"/>
                  </w:r>
                  <w:r>
                    <w:t xml:space="preserve"> et où le montant est versé à l'école pour être utilisé au profit des élèves</w:t>
                  </w:r>
                  <w:r>
                    <w:rPr>
                      <w:color w:val="000000"/>
                    </w:rPr>
                    <w:t>.  Cela concerne tous les élèves du secteur paramédical effectuant un stage dans un institut hospitalier.</w:t>
                  </w:r>
                </w:p>
                <w:p w:rsidR="00F04EEF" w:rsidRDefault="00F04EEF">
                  <w:pPr>
                    <w:jc w:val="both"/>
                  </w:pPr>
                </w:p>
                <w:p w:rsidR="00F04EEF" w:rsidRDefault="0099351E">
                  <w:pPr>
                    <w:pStyle w:val="Titre3"/>
                    <w:rPr>
                      <w:sz w:val="22"/>
                      <w:szCs w:val="22"/>
                    </w:rPr>
                  </w:pPr>
                  <w:bookmarkStart w:id="3581" w:name="_2._Destination_du"/>
                  <w:bookmarkStart w:id="3582" w:name="_Toc414352987"/>
                  <w:bookmarkStart w:id="3583" w:name="_Toc453837012"/>
                  <w:bookmarkStart w:id="3584" w:name="_Toc47708589"/>
                  <w:bookmarkEnd w:id="3581"/>
                  <w:r>
                    <w:rPr>
                      <w:sz w:val="22"/>
                      <w:szCs w:val="22"/>
                    </w:rPr>
                    <w:t>2. Destination du bien ou du service</w:t>
                  </w:r>
                  <w:bookmarkEnd w:id="3582"/>
                  <w:bookmarkEnd w:id="3583"/>
                  <w:bookmarkEnd w:id="3584"/>
                </w:p>
                <w:p w:rsidR="00F04EEF" w:rsidRDefault="00F04EEF">
                  <w:pPr>
                    <w:jc w:val="both"/>
                  </w:pPr>
                </w:p>
                <w:p w:rsidR="00F04EEF" w:rsidRDefault="0099351E">
                  <w:pPr>
                    <w:jc w:val="both"/>
                  </w:pPr>
                  <w:r>
                    <w:t>Les objets fabriqués n’ayant qu’une valeur marchande minime deviennent la propriété de l’élève qui les a fabriqués ou sont, si possible, réutilisés comme matière première.</w:t>
                  </w:r>
                </w:p>
                <w:p w:rsidR="00F04EEF" w:rsidRDefault="00F04EEF">
                  <w:pPr>
                    <w:jc w:val="both"/>
                  </w:pPr>
                </w:p>
                <w:p w:rsidR="00F04EEF" w:rsidRDefault="0099351E">
                  <w:pPr>
                    <w:jc w:val="both"/>
                  </w:pPr>
                  <w:r>
                    <w:t>Les objets fabriqués ayant réellement une valeur marchande restent la propriété de l’établissement ou peuvent être vendus ou loués, et les services peuvent être fournis aux personnes reprises ci-dessous, dans l’ordre de préférence suivant :</w:t>
                  </w:r>
                </w:p>
                <w:p w:rsidR="00F04EEF" w:rsidRDefault="00F04EEF">
                  <w:pPr>
                    <w:jc w:val="both"/>
                  </w:pPr>
                </w:p>
                <w:p w:rsidR="00F04EEF" w:rsidRDefault="0099351E">
                  <w:pPr>
                    <w:numPr>
                      <w:ilvl w:val="0"/>
                      <w:numId w:val="115"/>
                    </w:numPr>
                    <w:ind w:left="927" w:right="-45"/>
                    <w:jc w:val="both"/>
                  </w:pPr>
                  <w:r>
                    <w:t>Les élèves qui ont fabriqué l'objet ou qui ont fourni le service ;</w:t>
                  </w:r>
                </w:p>
                <w:p w:rsidR="00F04EEF" w:rsidRDefault="0099351E">
                  <w:pPr>
                    <w:numPr>
                      <w:ilvl w:val="0"/>
                      <w:numId w:val="115"/>
                    </w:numPr>
                    <w:autoSpaceDE w:val="0"/>
                    <w:autoSpaceDN w:val="0"/>
                    <w:adjustRightInd w:val="0"/>
                    <w:ind w:left="927" w:right="-45"/>
                    <w:jc w:val="both"/>
                  </w:pPr>
                  <w:r>
                    <w:t>Les autres élèves de l'établissement ;</w:t>
                  </w:r>
                </w:p>
                <w:p w:rsidR="00F04EEF" w:rsidRDefault="0099351E">
                  <w:pPr>
                    <w:numPr>
                      <w:ilvl w:val="0"/>
                      <w:numId w:val="115"/>
                    </w:numPr>
                    <w:autoSpaceDE w:val="0"/>
                    <w:autoSpaceDN w:val="0"/>
                    <w:adjustRightInd w:val="0"/>
                    <w:ind w:left="927" w:right="-45"/>
                    <w:jc w:val="both"/>
                  </w:pPr>
                  <w:r>
                    <w:t>Le personnel de l'établissement, y compris le personnel administratif, le personnel de maîtrise, gens de métier et de service ;</w:t>
                  </w:r>
                </w:p>
                <w:p w:rsidR="00F04EEF" w:rsidRDefault="0099351E">
                  <w:pPr>
                    <w:numPr>
                      <w:ilvl w:val="0"/>
                      <w:numId w:val="115"/>
                    </w:numPr>
                    <w:autoSpaceDE w:val="0"/>
                    <w:autoSpaceDN w:val="0"/>
                    <w:adjustRightInd w:val="0"/>
                    <w:ind w:left="927" w:right="-45"/>
                    <w:jc w:val="both"/>
                  </w:pPr>
                  <w:r>
                    <w:t>Le pouvoir organisateur de l'établissement;</w:t>
                  </w:r>
                </w:p>
                <w:p w:rsidR="00F04EEF" w:rsidRDefault="0099351E">
                  <w:pPr>
                    <w:numPr>
                      <w:ilvl w:val="0"/>
                      <w:numId w:val="115"/>
                    </w:numPr>
                    <w:autoSpaceDE w:val="0"/>
                    <w:autoSpaceDN w:val="0"/>
                    <w:adjustRightInd w:val="0"/>
                    <w:ind w:left="927" w:right="-45"/>
                    <w:jc w:val="both"/>
                  </w:pPr>
                  <w:r>
                    <w:t>Les associations qui défendent les intérêts de l'école, telles que les associations de parents, les groupements d'anciens élèves, les amicales ;</w:t>
                  </w:r>
                </w:p>
                <w:p w:rsidR="00F04EEF" w:rsidRDefault="0099351E">
                  <w:pPr>
                    <w:numPr>
                      <w:ilvl w:val="0"/>
                      <w:numId w:val="115"/>
                    </w:numPr>
                    <w:tabs>
                      <w:tab w:val="left" w:pos="1980"/>
                    </w:tabs>
                    <w:autoSpaceDE w:val="0"/>
                    <w:autoSpaceDN w:val="0"/>
                    <w:adjustRightInd w:val="0"/>
                    <w:ind w:left="927" w:right="-45"/>
                    <w:jc w:val="both"/>
                  </w:pPr>
                  <w:r>
                    <w:t>D'autres établissements organisés ou subventionnés par la Fédération Wallonie-Bruxelles ;</w:t>
                  </w:r>
                </w:p>
                <w:p w:rsidR="00F04EEF" w:rsidRDefault="0099351E">
                  <w:pPr>
                    <w:numPr>
                      <w:ilvl w:val="0"/>
                      <w:numId w:val="115"/>
                    </w:numPr>
                    <w:ind w:left="927"/>
                    <w:jc w:val="both"/>
                  </w:pPr>
                  <w:r>
                    <w:t>D'autres personnes physiques ou morales.</w:t>
                  </w:r>
                </w:p>
                <w:p w:rsidR="00F04EEF" w:rsidRDefault="00F04EEF">
                  <w:pPr>
                    <w:jc w:val="both"/>
                  </w:pPr>
                </w:p>
                <w:p w:rsidR="00F04EEF" w:rsidRDefault="0099351E">
                  <w:pPr>
                    <w:jc w:val="both"/>
                  </w:pPr>
                  <w:r>
                    <w:t>On entend par :</w:t>
                  </w:r>
                </w:p>
                <w:p w:rsidR="00F04EEF" w:rsidRDefault="0099351E">
                  <w:pPr>
                    <w:jc w:val="both"/>
                  </w:pPr>
                  <w:r>
                    <w:rPr>
                      <w:noProof/>
                      <w:lang w:eastAsia="fr-BE"/>
                    </w:rPr>
                    <mc:AlternateContent>
                      <mc:Choice Requires="wps">
                        <w:drawing>
                          <wp:anchor distT="0" distB="0" distL="114300" distR="114300" simplePos="0" relativeHeight="252266496" behindDoc="0" locked="0" layoutInCell="1" allowOverlap="1">
                            <wp:simplePos x="0" y="0"/>
                            <wp:positionH relativeFrom="column">
                              <wp:posOffset>5700395</wp:posOffset>
                            </wp:positionH>
                            <wp:positionV relativeFrom="paragraph">
                              <wp:posOffset>139065</wp:posOffset>
                            </wp:positionV>
                            <wp:extent cx="0" cy="152400"/>
                            <wp:effectExtent l="0" t="0" r="19050" b="19050"/>
                            <wp:wrapNone/>
                            <wp:docPr id="545" name="Connecteur droit 545"/>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0F5EF1" id="Connecteur droit 545" o:spid="_x0000_s1026" style="position:absolute;z-index:252266496;visibility:visible;mso-wrap-style:square;mso-wrap-distance-left:9pt;mso-wrap-distance-top:0;mso-wrap-distance-right:9pt;mso-wrap-distance-bottom:0;mso-position-horizontal:absolute;mso-position-horizontal-relative:text;mso-position-vertical:absolute;mso-position-vertical-relative:text" from="448.85pt,10.95pt" to="448.8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" strokecolor="black [3213]"/>
                        </w:pict>
                      </mc:Fallback>
                    </mc:AlternateContent>
                  </w:r>
                </w:p>
                <w:p w:rsidR="00F04EEF" w:rsidRDefault="0099351E">
                  <w:pPr>
                    <w:numPr>
                      <w:ilvl w:val="0"/>
                      <w:numId w:val="116"/>
                    </w:numPr>
                    <w:ind w:left="360"/>
                    <w:jc w:val="both"/>
                  </w:pPr>
                  <w:r>
                    <w:t>valeur marchande minime : un objet dont la valeur n’atteint pas 25,41 euros</w:t>
                  </w:r>
                  <w:r>
                    <w:rPr>
                      <w:rStyle w:val="Appelnotedebasdep"/>
                    </w:rPr>
                    <w:footnoteReference w:id="168"/>
                  </w:r>
                  <w:r>
                    <w:t> ;</w:t>
                  </w:r>
                </w:p>
                <w:p w:rsidR="00F04EEF" w:rsidRDefault="0099351E">
                  <w:pPr>
                    <w:numPr>
                      <w:ilvl w:val="0"/>
                      <w:numId w:val="116"/>
                    </w:numPr>
                    <w:ind w:left="360"/>
                    <w:jc w:val="both"/>
                  </w:pPr>
                  <w:r>
                    <w:rPr>
                      <w:noProof/>
                      <w:lang w:eastAsia="fr-BE"/>
                    </w:rPr>
                    <mc:AlternateContent>
                      <mc:Choice Requires="wps">
                        <w:drawing>
                          <wp:anchor distT="0" distB="0" distL="114300" distR="114300" simplePos="0" relativeHeight="252268544" behindDoc="0" locked="0" layoutInCell="1" allowOverlap="1">
                            <wp:simplePos x="0" y="0"/>
                            <wp:positionH relativeFrom="column">
                              <wp:posOffset>5700395</wp:posOffset>
                            </wp:positionH>
                            <wp:positionV relativeFrom="paragraph">
                              <wp:posOffset>28575</wp:posOffset>
                            </wp:positionV>
                            <wp:extent cx="0" cy="152400"/>
                            <wp:effectExtent l="0" t="0" r="19050" b="19050"/>
                            <wp:wrapNone/>
                            <wp:docPr id="553" name="Connecteur droit 553"/>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158F17" id="Connecteur droit 553" o:spid="_x0000_s1026" style="position:absolute;z-index:252268544;visibility:visible;mso-wrap-style:square;mso-wrap-distance-left:9pt;mso-wrap-distance-top:0;mso-wrap-distance-right:9pt;mso-wrap-distance-bottom:0;mso-position-horizontal:absolute;mso-position-horizontal-relative:text;mso-position-vertical:absolute;mso-position-vertical-relative:text" from="448.85pt,2.25pt" to="448.8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" strokecolor="black [3213]"/>
                        </w:pict>
                      </mc:Fallback>
                    </mc:AlternateContent>
                  </w:r>
                  <w:r>
                    <w:t>valeur marchande réelle : un objet dont la valeur est supérieure ou égale à 25,41 euros</w:t>
                  </w:r>
                  <w:r>
                    <w:rPr>
                      <w:rStyle w:val="Appelnotedebasdep"/>
                    </w:rPr>
                    <w:footnoteReference w:id="169"/>
                  </w:r>
                  <w:r>
                    <w:t>.</w:t>
                  </w:r>
                </w:p>
                <w:p w:rsidR="00F04EEF" w:rsidRDefault="00F04EEF">
                  <w:pPr>
                    <w:jc w:val="both"/>
                  </w:pPr>
                </w:p>
                <w:p w:rsidR="00F04EEF" w:rsidRDefault="0099351E">
                  <w:pPr>
                    <w:pStyle w:val="Titre3"/>
                    <w:rPr>
                      <w:sz w:val="22"/>
                      <w:szCs w:val="22"/>
                    </w:rPr>
                  </w:pPr>
                  <w:bookmarkStart w:id="3585" w:name="_3._Vente_ou"/>
                  <w:bookmarkStart w:id="3586" w:name="_Toc414352988"/>
                  <w:bookmarkStart w:id="3587" w:name="_Toc453837013"/>
                  <w:bookmarkStart w:id="3588" w:name="_Toc47708590"/>
                  <w:bookmarkEnd w:id="3585"/>
                  <w:r>
                    <w:rPr>
                      <w:sz w:val="22"/>
                      <w:szCs w:val="22"/>
                    </w:rPr>
                    <w:t>3. Vente ou location des objets fabriqués et fourniture de services</w:t>
                  </w:r>
                  <w:bookmarkEnd w:id="3586"/>
                  <w:bookmarkEnd w:id="3587"/>
                  <w:bookmarkEnd w:id="3588"/>
                </w:p>
                <w:p w:rsidR="00F04EEF" w:rsidRDefault="00F04EEF">
                  <w:pPr>
                    <w:jc w:val="both"/>
                  </w:pPr>
                </w:p>
                <w:p w:rsidR="00F04EEF" w:rsidRDefault="0099351E">
                  <w:pPr>
                    <w:jc w:val="both"/>
                  </w:pPr>
                  <w:r>
                    <w:t>Les objets fabriqués et les services fournis ne peuvent être vendus ou loués que contre rétribution.</w:t>
                  </w:r>
                </w:p>
                <w:p w:rsidR="00F04EEF" w:rsidRDefault="00F04EEF">
                  <w:pPr>
                    <w:jc w:val="both"/>
                  </w:pPr>
                </w:p>
                <w:p w:rsidR="00F04EEF" w:rsidRDefault="0099351E">
                  <w:pPr>
                    <w:jc w:val="both"/>
                  </w:pPr>
                  <w:r>
                    <w:t>Cette rétribution sera égale :</w:t>
                  </w:r>
                </w:p>
                <w:p w:rsidR="00F04EEF" w:rsidRDefault="00F04EEF">
                  <w:pPr>
                    <w:jc w:val="both"/>
                  </w:pPr>
                </w:p>
                <w:p w:rsidR="00F04EEF" w:rsidRDefault="0099351E">
                  <w:pPr>
                    <w:numPr>
                      <w:ilvl w:val="0"/>
                      <w:numId w:val="117"/>
                    </w:numPr>
                    <w:ind w:left="360"/>
                    <w:jc w:val="both"/>
                  </w:pPr>
                  <w:r>
                    <w:t>pour les élèves qui ont fabriqué l’objet : au prix des matières premières utilisées ;</w:t>
                  </w:r>
                </w:p>
                <w:p w:rsidR="00F04EEF" w:rsidRDefault="0099351E">
                  <w:pPr>
                    <w:numPr>
                      <w:ilvl w:val="0"/>
                      <w:numId w:val="117"/>
                    </w:numPr>
                    <w:ind w:left="360"/>
                    <w:jc w:val="both"/>
                  </w:pPr>
                  <w:r>
                    <w:t>pour les autres élèves, le personnel de l’établissement (y compris personnel administratif, personnel de maîtrise, gens de métier et de service), le Pouvoir organisateur, les associations défendant l’école et les autres établissements : pour les objets, 40 % au moins de la valeur marchande ordinaire et pour les services, à un prix couvrant les débours et s’élevant au moins à 40 % de la valeur marchande ordinaire de ces services ;</w:t>
                  </w:r>
                </w:p>
                <w:p w:rsidR="00F04EEF" w:rsidRDefault="0099351E">
                  <w:pPr>
                    <w:numPr>
                      <w:ilvl w:val="0"/>
                      <w:numId w:val="117"/>
                    </w:numPr>
                    <w:ind w:left="360"/>
                    <w:jc w:val="both"/>
                  </w:pPr>
                  <w:r>
                    <w:t>pour les autres personnes physiques ou morales : pour les objets, 60 % au moins de la valeur marchande ordinaire et pour les services, à un prix couvrant les débours et s’élevant au moins à 60 % de la valeur marchande ordinaire de ces services</w:t>
                  </w:r>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jc w:val="both"/>
                    <w:rPr>
                      <w:b/>
                    </w:rPr>
                  </w:pPr>
                  <w:r>
                    <w:rPr>
                      <w:b/>
                    </w:rPr>
                    <w:t xml:space="preserve">Remarque : </w:t>
                  </w:r>
                  <w:r>
                    <w:t>pour les puces 2 et 3, la rétribution ne peut, en aucun cas, être inférieure au prix des matières premières employées, augmenté de 30 %.</w:t>
                  </w:r>
                </w:p>
                <w:p w:rsidR="00F04EEF" w:rsidRDefault="00F04EEF">
                  <w:pPr>
                    <w:jc w:val="both"/>
                  </w:pPr>
                </w:p>
                <w:p w:rsidR="00F04EEF" w:rsidRDefault="0099351E">
                  <w:pPr>
                    <w:ind w:right="-45"/>
                    <w:jc w:val="both"/>
                  </w:pPr>
                  <w:r>
                    <w:t xml:space="preserve">Des dérogations à ces règles pour certaines sections ou orientations d’études sont possibles mais nécessitent l’intervention du Ministre compétent. </w:t>
                  </w:r>
                </w:p>
                <w:p w:rsidR="00F04EEF" w:rsidRDefault="0099351E">
                  <w:pPr>
                    <w:ind w:right="55"/>
                    <w:jc w:val="both"/>
                  </w:pPr>
                  <w:r>
                    <w:rPr>
                      <w:noProof/>
                      <w:lang w:eastAsia="fr-BE"/>
                    </w:rPr>
                    <mc:AlternateContent>
                      <mc:Choice Requires="wps">
                        <w:drawing>
                          <wp:anchor distT="0" distB="0" distL="114300" distR="114300" simplePos="0" relativeHeight="252269568" behindDoc="0" locked="0" layoutInCell="1" allowOverlap="1">
                            <wp:simplePos x="0" y="0"/>
                            <wp:positionH relativeFrom="column">
                              <wp:posOffset>6071870</wp:posOffset>
                            </wp:positionH>
                            <wp:positionV relativeFrom="paragraph">
                              <wp:posOffset>782320</wp:posOffset>
                            </wp:positionV>
                            <wp:extent cx="0" cy="190500"/>
                            <wp:effectExtent l="0" t="0" r="19050" b="19050"/>
                            <wp:wrapNone/>
                            <wp:docPr id="555" name="Connecteur droit 555"/>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27AF37" id="Connecteur droit 555" o:spid="_x0000_s1026" style="position:absolute;z-index:252269568;visibility:visible;mso-wrap-style:square;mso-wrap-distance-left:9pt;mso-wrap-distance-top:0;mso-wrap-distance-right:9pt;mso-wrap-distance-bottom:0;mso-position-horizontal:absolute;mso-position-horizontal-relative:text;mso-position-vertical:absolute;mso-position-vertical-relative:text" from="478.1pt,61.6pt" to="478.1pt,7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" strokecolor="black [3213]"/>
                        </w:pict>
                      </mc:Fallback>
                    </mc:AlternateContent>
                  </w:r>
                </w:p>
                <w:p w:rsidR="00F04EEF" w:rsidRDefault="0099351E">
                  <w:pPr>
                    <w:ind w:right="-45"/>
                    <w:jc w:val="both"/>
                  </w:pPr>
                  <w:r>
                    <w:t>L</w:t>
                  </w:r>
                  <w:r>
                    <w:rPr>
                      <w:color w:val="000000"/>
                    </w:rPr>
                    <w:t>orsque la valeur marchande ordinaire n’est pas connue, une valeur marchande fictive est fixée à trois fois le prix des matières premières employées.</w:t>
                  </w:r>
                </w:p>
                <w:p w:rsidR="00F04EEF" w:rsidRDefault="00F04EEF">
                  <w:pPr>
                    <w:ind w:right="-45"/>
                    <w:jc w:val="both"/>
                  </w:pPr>
                </w:p>
                <w:p w:rsidR="00F04EEF" w:rsidRDefault="0099351E">
                  <w:pPr>
                    <w:ind w:right="-45"/>
                    <w:jc w:val="both"/>
                  </w:pPr>
                  <w:r>
                    <w:rPr>
                      <w:noProof/>
                      <w:lang w:eastAsia="fr-BE"/>
                    </w:rPr>
                    <mc:AlternateContent>
                      <mc:Choice Requires="wps">
                        <w:drawing>
                          <wp:anchor distT="0" distB="0" distL="114300" distR="114300" simplePos="0" relativeHeight="252271616" behindDoc="0" locked="0" layoutInCell="1" allowOverlap="1">
                            <wp:simplePos x="0" y="0"/>
                            <wp:positionH relativeFrom="column">
                              <wp:posOffset>6191250</wp:posOffset>
                            </wp:positionH>
                            <wp:positionV relativeFrom="paragraph">
                              <wp:posOffset>160655</wp:posOffset>
                            </wp:positionV>
                            <wp:extent cx="0" cy="152400"/>
                            <wp:effectExtent l="0" t="0" r="19050" b="19050"/>
                            <wp:wrapNone/>
                            <wp:docPr id="556" name="Connecteur droit 556"/>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E6263F3" id="Connecteur droit 556" o:spid="_x0000_s1026" style="position:absolute;z-index:252271616;visibility:visible;mso-wrap-style:square;mso-wrap-distance-left:9pt;mso-wrap-distance-top:0;mso-wrap-distance-right:9pt;mso-wrap-distance-bottom:0;mso-position-horizontal:absolute;mso-position-horizontal-relative:text;mso-position-vertical:absolute;mso-position-vertical-relative:text" from="487.5pt,12.65pt" to="487.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" strokecolor="black [3213]"/>
                        </w:pict>
                      </mc:Fallback>
                    </mc:AlternateContent>
                  </w:r>
                  <w:r>
                    <w:t>Pour le groupe "hôtellerie", la valeur marchande ordinaire des repas dans les écoles de plein exercice et les cours  de promotion sociale est fixée à 16,94 euros</w:t>
                  </w:r>
                  <w:r>
                    <w:rPr>
                      <w:rStyle w:val="Appelnotedebasdep"/>
                    </w:rPr>
                    <w:footnoteReference w:id="170"/>
                  </w:r>
                  <w:r>
                    <w:t xml:space="preserve"> (boissons non comprises).</w:t>
                  </w:r>
                  <w:r>
                    <w:rPr>
                      <w:noProof/>
                      <w:lang w:eastAsia="fr-BE"/>
                    </w:rPr>
                    <w:t xml:space="preserve"> </w:t>
                  </w:r>
                </w:p>
                <w:p w:rsidR="00F04EEF" w:rsidRDefault="00F04EEF">
                  <w:pPr>
                    <w:ind w:right="-45"/>
                    <w:jc w:val="both"/>
                  </w:pPr>
                </w:p>
                <w:p w:rsidR="00F04EEF" w:rsidRDefault="0099351E">
                  <w:pPr>
                    <w:ind w:right="-45"/>
                    <w:jc w:val="both"/>
                  </w:pPr>
                  <w:r>
                    <w:t>Des modalités sont prévues en ce qui concerne le paiement de ce prix, ainsi :</w:t>
                  </w:r>
                </w:p>
                <w:p w:rsidR="00F04EEF" w:rsidRDefault="00F04EEF">
                  <w:pPr>
                    <w:ind w:right="-45"/>
                    <w:jc w:val="both"/>
                  </w:pPr>
                </w:p>
                <w:p w:rsidR="00F04EEF" w:rsidRDefault="0099351E">
                  <w:pPr>
                    <w:numPr>
                      <w:ilvl w:val="0"/>
                      <w:numId w:val="120"/>
                    </w:numPr>
                    <w:ind w:left="360" w:right="-45"/>
                    <w:jc w:val="both"/>
                  </w:pPr>
                  <w:r>
                    <w:t>Les membres du personnel enseignant en service à la préparation ou à la distribution ainsi que les élèves participant à ce service, s'acquittent du prix du repas à l'aide du ticket au taux du restaurant scolaire.</w:t>
                  </w:r>
                </w:p>
                <w:p w:rsidR="00F04EEF" w:rsidRDefault="0099351E">
                  <w:pPr>
                    <w:numPr>
                      <w:ilvl w:val="0"/>
                      <w:numId w:val="120"/>
                    </w:numPr>
                    <w:ind w:left="360" w:right="-45"/>
                    <w:jc w:val="both"/>
                  </w:pPr>
                  <w:r>
                    <w:rPr>
                      <w:noProof/>
                      <w:lang w:eastAsia="fr-BE"/>
                    </w:rPr>
                    <mc:AlternateContent>
                      <mc:Choice Requires="wps">
                        <w:drawing>
                          <wp:anchor distT="0" distB="0" distL="114300" distR="114300" simplePos="0" relativeHeight="252273664" behindDoc="0" locked="0" layoutInCell="1" allowOverlap="1">
                            <wp:simplePos x="0" y="0"/>
                            <wp:positionH relativeFrom="column">
                              <wp:posOffset>6191250</wp:posOffset>
                            </wp:positionH>
                            <wp:positionV relativeFrom="paragraph">
                              <wp:posOffset>338455</wp:posOffset>
                            </wp:positionV>
                            <wp:extent cx="0" cy="152400"/>
                            <wp:effectExtent l="0" t="0" r="19050" b="19050"/>
                            <wp:wrapNone/>
                            <wp:docPr id="557" name="Connecteur droit 557"/>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6FA9F5" id="Connecteur droit 557" o:spid="_x0000_s1026" style="position:absolute;z-index:252273664;visibility:visible;mso-wrap-style:square;mso-wrap-distance-left:9pt;mso-wrap-distance-top:0;mso-wrap-distance-right:9pt;mso-wrap-distance-bottom:0;mso-position-horizontal:absolute;mso-position-horizontal-relative:text;mso-position-vertical:absolute;mso-position-vertical-relative:text" from="487.5pt,26.65pt" to="487.5pt,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" strokecolor="black [3213]"/>
                        </w:pict>
                      </mc:Fallback>
                    </mc:AlternateContent>
                  </w:r>
                  <w:r>
                    <w:t>Les autres élèves ainsi que le personnel de l’établissement (y compris personnel administratif, personnel de maîtrise, gens de métier et de service), le pouvoir organisateur, les associations défendant l’école et les autres établissements, payent au moins 40% de la valeur marchande ou 6,78 euros</w:t>
                  </w:r>
                  <w:r>
                    <w:rPr>
                      <w:rStyle w:val="Appelnotedebasdep"/>
                    </w:rPr>
                    <w:footnoteReference w:id="171"/>
                  </w:r>
                  <w:r>
                    <w:t xml:space="preserve">. </w:t>
                  </w:r>
                </w:p>
                <w:p w:rsidR="00F04EEF" w:rsidRDefault="0099351E">
                  <w:pPr>
                    <w:numPr>
                      <w:ilvl w:val="0"/>
                      <w:numId w:val="120"/>
                    </w:numPr>
                    <w:ind w:left="360" w:right="-45"/>
                    <w:jc w:val="both"/>
                  </w:pPr>
                  <w:r>
                    <w:rPr>
                      <w:noProof/>
                      <w:lang w:eastAsia="fr-BE"/>
                    </w:rPr>
                    <mc:AlternateContent>
                      <mc:Choice Requires="wps">
                        <w:drawing>
                          <wp:anchor distT="0" distB="0" distL="114300" distR="114300" simplePos="0" relativeHeight="252275712" behindDoc="0" locked="0" layoutInCell="1" allowOverlap="1">
                            <wp:simplePos x="0" y="0"/>
                            <wp:positionH relativeFrom="column">
                              <wp:posOffset>6191250</wp:posOffset>
                            </wp:positionH>
                            <wp:positionV relativeFrom="paragraph">
                              <wp:posOffset>183515</wp:posOffset>
                            </wp:positionV>
                            <wp:extent cx="0" cy="152400"/>
                            <wp:effectExtent l="0" t="0" r="19050" b="19050"/>
                            <wp:wrapNone/>
                            <wp:docPr id="558" name="Connecteur droit 558"/>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2B534D" id="Connecteur droit 558" o:spid="_x0000_s1026" style="position:absolute;z-index:252275712;visibility:visible;mso-wrap-style:square;mso-wrap-distance-left:9pt;mso-wrap-distance-top:0;mso-wrap-distance-right:9pt;mso-wrap-distance-bottom:0;mso-position-horizontal:absolute;mso-position-horizontal-relative:text;mso-position-vertical:absolute;mso-position-vertical-relative:text" from="487.5pt,14.45pt" to="487.5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" strokecolor="black [3213]"/>
                        </w:pict>
                      </mc:Fallback>
                    </mc:AlternateContent>
                  </w:r>
                  <w:r>
                    <w:t xml:space="preserve">Les personnes physiques ou morales payent au moins 60% de la valeur marchande ou </w:t>
                  </w:r>
                  <w:r>
                    <w:br/>
                    <w:t>10,16 euros</w:t>
                  </w:r>
                  <w:r>
                    <w:rPr>
                      <w:rStyle w:val="Appelnotedebasdep"/>
                    </w:rPr>
                    <w:footnoteReference w:id="172"/>
                  </w:r>
                  <w:r>
                    <w:t>.</w:t>
                  </w:r>
                </w:p>
                <w:p w:rsidR="00F04EEF" w:rsidRDefault="00F04EEF">
                  <w:pPr>
                    <w:ind w:right="-45"/>
                    <w:jc w:val="both"/>
                  </w:pPr>
                </w:p>
                <w:p w:rsidR="00F04EEF" w:rsidRDefault="0099351E">
                  <w:pPr>
                    <w:ind w:right="-45"/>
                    <w:jc w:val="both"/>
                  </w:pPr>
                  <w:r>
                    <w:t>La rétribution afférente aux denrées alimentaires et aux articles de consommation produits ou travaillés dans les groupes "agriculture, horticulture, boucherie, charcuterie, boulangerie, pâtisserie, confiserie, chocolaterie, ...", est fixée par le chef de l'établissement chaque fois qu'il n'est pas possible de déterminer le prix des matières premières ou la valeur marchande ordinaire.</w:t>
                  </w:r>
                </w:p>
                <w:p w:rsidR="00F04EEF" w:rsidRDefault="00F04EEF">
                  <w:pPr>
                    <w:ind w:right="-45"/>
                    <w:jc w:val="both"/>
                  </w:pPr>
                </w:p>
                <w:p w:rsidR="00F04EEF" w:rsidRDefault="0099351E">
                  <w:pPr>
                    <w:pStyle w:val="Titre3"/>
                    <w:rPr>
                      <w:sz w:val="22"/>
                      <w:szCs w:val="22"/>
                    </w:rPr>
                  </w:pPr>
                  <w:bookmarkStart w:id="3589" w:name="_Toc414352989"/>
                  <w:bookmarkStart w:id="3590" w:name="_Toc453837014"/>
                  <w:bookmarkStart w:id="3591" w:name="_Toc47708591"/>
                  <w:r>
                    <w:rPr>
                      <w:sz w:val="22"/>
                      <w:szCs w:val="22"/>
                    </w:rPr>
                    <w:t>4. Utilisation du bénéfice de la vente ou de la location</w:t>
                  </w:r>
                  <w:bookmarkEnd w:id="3589"/>
                  <w:bookmarkEnd w:id="3590"/>
                  <w:bookmarkEnd w:id="3591"/>
                </w:p>
                <w:p w:rsidR="00F04EEF" w:rsidRDefault="00F04EEF">
                  <w:pPr>
                    <w:ind w:right="-45"/>
                    <w:jc w:val="both"/>
                  </w:pPr>
                </w:p>
                <w:p w:rsidR="00F04EEF" w:rsidRDefault="0099351E">
                  <w:pPr>
                    <w:ind w:right="-45"/>
                    <w:jc w:val="both"/>
                  </w:pPr>
                  <w:r>
                    <w:t>L’utilisation du bénéfice suite à la vente ou à la location des objets fabriqués et à la fourniture de service n’est pas laissée à la discrétion de l’établissement.</w:t>
                  </w:r>
                </w:p>
                <w:p w:rsidR="00F04EEF" w:rsidRDefault="00F04EEF">
                  <w:pPr>
                    <w:ind w:right="-45"/>
                    <w:jc w:val="both"/>
                  </w:pPr>
                </w:p>
                <w:p w:rsidR="00F04EEF" w:rsidRDefault="0099351E">
                  <w:pPr>
                    <w:ind w:right="-45"/>
                    <w:jc w:val="both"/>
                  </w:pPr>
                  <w:r>
                    <w:t>Un document comptable doit être établi pour chaque bénéfice retiré de ces ventes, location ou fourniture.  Ce bénéfice doit être affecté à l’achat de matières premières.</w:t>
                  </w:r>
                </w:p>
                <w:p w:rsidR="00F04EEF" w:rsidRDefault="00F04EEF">
                  <w:pPr>
                    <w:ind w:right="-45"/>
                    <w:jc w:val="both"/>
                  </w:pPr>
                </w:p>
                <w:p w:rsidR="00F04EEF" w:rsidRDefault="0099351E">
                  <w:pPr>
                    <w:ind w:right="-45"/>
                    <w:jc w:val="both"/>
                  </w:pPr>
                  <w:r>
                    <w:t xml:space="preserve">Les documents comptables doivent respecter les prescrits ci-dessous : </w:t>
                  </w:r>
                </w:p>
                <w:p w:rsidR="00F04EEF" w:rsidRDefault="00F04EEF">
                  <w:pPr>
                    <w:ind w:right="-45"/>
                    <w:jc w:val="both"/>
                  </w:pPr>
                </w:p>
                <w:p w:rsidR="00F04EEF" w:rsidRDefault="0099351E">
                  <w:pPr>
                    <w:numPr>
                      <w:ilvl w:val="0"/>
                      <w:numId w:val="119"/>
                    </w:numPr>
                    <w:ind w:left="360" w:right="-45"/>
                    <w:jc w:val="both"/>
                  </w:pPr>
                  <w:r>
                    <w:t xml:space="preserve">pour l’enseignement </w:t>
                  </w:r>
                  <w:r>
                    <w:rPr>
                      <w:color w:val="000000"/>
                    </w:rPr>
                    <w:t>officiel</w:t>
                  </w:r>
                  <w:r>
                    <w:t xml:space="preserve"> subventionné, les recettes et dépenses doivent être inscrites conformément à ce qui est prévu par les dispositions de l’arrêté de contrôle du 2 août 1973.</w:t>
                  </w:r>
                </w:p>
                <w:p w:rsidR="00F04EEF" w:rsidRDefault="0099351E">
                  <w:pPr>
                    <w:numPr>
                      <w:ilvl w:val="0"/>
                      <w:numId w:val="118"/>
                    </w:numPr>
                    <w:ind w:left="360" w:right="-45"/>
                    <w:jc w:val="both"/>
                    <w:rPr>
                      <w:color w:val="000000"/>
                    </w:rPr>
                  </w:pPr>
                  <w:r>
                    <w:rPr>
                      <w:color w:val="000000"/>
                    </w:rPr>
                    <w:t>pour l’enseignement libre subventionné, les recettes et dépenses doivent être inscrites conformément à ce qui est prévu par les dispositions de la loi du 17 juillet 1975 relative à  la comptabilité et aux comptes annuels des entreprises.</w:t>
                  </w:r>
                </w:p>
                <w:p w:rsidR="00F04EEF" w:rsidRDefault="0099351E">
                  <w:pPr>
                    <w:numPr>
                      <w:ilvl w:val="0"/>
                      <w:numId w:val="118"/>
                    </w:numPr>
                    <w:autoSpaceDE w:val="0"/>
                    <w:autoSpaceDN w:val="0"/>
                    <w:adjustRightInd w:val="0"/>
                    <w:ind w:left="360" w:right="-45"/>
                    <w:jc w:val="both"/>
                    <w:rPr>
                      <w:color w:val="000000"/>
                    </w:rPr>
                  </w:pPr>
                  <w:r>
                    <w:t xml:space="preserve">pour l’enseignement organisé, les recettes et les dépenses doivent être </w:t>
                  </w:r>
                  <w:r>
                    <w:rPr>
                      <w:color w:val="000000"/>
                    </w:rPr>
                    <w:t>inscrites dans une rubrique séparée de la comptabilité et des comptes de l'intendance, tel que le prévoit l’article 6, alinéa 3 de l’arrêté royal du 12 février 1976.</w:t>
                  </w:r>
                </w:p>
                <w:p w:rsidR="00F04EEF" w:rsidRDefault="00F04EEF">
                  <w:pPr>
                    <w:jc w:val="both"/>
                  </w:pPr>
                </w:p>
                <w:p w:rsidR="00F04EEF" w:rsidRDefault="0099351E">
                  <w:pPr>
                    <w:ind w:right="-45"/>
                    <w:jc w:val="both"/>
                  </w:pPr>
                  <w:r>
                    <w:t>Les bénéfices retirés d’opérations contraires aux dispositions prévues ci-dessus, peuvent être déduits, par décision du Ministre compétent, sur le montant des subventions de fonctionnement qu’un établissement reçoit.</w:t>
                  </w:r>
                  <w:r>
                    <w:rPr>
                      <w:noProof/>
                      <w:lang w:eastAsia="fr-BE"/>
                    </w:rPr>
                    <w:t xml:space="preserve"> </w:t>
                  </w:r>
                </w:p>
                <w:p w:rsidR="00F04EEF" w:rsidRDefault="00F04EEF">
                  <w:pPr>
                    <w:jc w:val="both"/>
                  </w:pPr>
                </w:p>
                <w:p w:rsidR="00F04EEF" w:rsidRDefault="0099351E">
                  <w:r>
                    <w:br w:type="page"/>
                  </w:r>
                </w:p>
                <w:p w:rsidR="00F04EEF" w:rsidRDefault="0099351E">
                  <w:pPr>
                    <w:jc w:val="both"/>
                  </w:pPr>
                  <w:r>
                    <w:t>Pour toutes informations complémentaires, vous pouvez contacter :</w:t>
                  </w:r>
                </w:p>
                <w:p w:rsidR="00F04EEF" w:rsidRDefault="00F04EEF">
                  <w:pPr>
                    <w:jc w:val="both"/>
                  </w:pP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Direction générale de l’Enseignement obligatoire</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noProof/>
                      <w:lang w:eastAsia="fr-BE"/>
                    </w:rPr>
                    <mc:AlternateContent>
                      <mc:Choice Requires="wps">
                        <w:drawing>
                          <wp:anchor distT="0" distB="0" distL="114300" distR="114300" simplePos="0" relativeHeight="252277760" behindDoc="0" locked="0" layoutInCell="1" allowOverlap="1">
                            <wp:simplePos x="0" y="0"/>
                            <wp:positionH relativeFrom="column">
                              <wp:posOffset>6186170</wp:posOffset>
                            </wp:positionH>
                            <wp:positionV relativeFrom="paragraph">
                              <wp:posOffset>528319</wp:posOffset>
                            </wp:positionV>
                            <wp:extent cx="0" cy="352425"/>
                            <wp:effectExtent l="0" t="0" r="19050" b="28575"/>
                            <wp:wrapNone/>
                            <wp:docPr id="559" name="Connecteur droit 559"/>
                            <wp:cNvGraphicFramePr/>
                            <a:graphic xmlns:a="http://schemas.openxmlformats.org/drawingml/2006/main">
                              <a:graphicData uri="http://schemas.microsoft.com/office/word/2010/wordprocessingShape">
                                <wps:wsp>
                                  <wps:cNvCnPr/>
                                  <wps:spPr>
                                    <a:xfrm>
                                      <a:off x="0" y="0"/>
                                      <a:ext cx="0" cy="352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398907C" id="Connecteur droit 559" o:spid="_x0000_s1026" style="position:absolute;z-index:252277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7.1pt,41.6pt" to="487.1pt,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" strokecolor="black [3213]"/>
                        </w:pict>
                      </mc:Fallback>
                    </mc:AlternateContent>
                  </w:r>
                  <w:r>
                    <w:rPr>
                      <w:b w:val="0"/>
                      <w:szCs w:val="22"/>
                    </w:rPr>
                    <w:t>Service de l’Enseignement spécialisé</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Madame Véronique ROMBAUT</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Bureau 2F251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Rue Adolphe Lavallée, 1</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b w:val="0"/>
                      <w:szCs w:val="22"/>
                    </w:rPr>
                    <w:t>1080 Bruxelles</w:t>
                  </w:r>
                </w:p>
                <w:p w:rsidR="00F04EEF" w:rsidRDefault="0099351E">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Pr>
                      <w:szCs w:val="22"/>
                    </w:rPr>
                    <w:sym w:font="Wingdings" w:char="F028"/>
                  </w:r>
                  <w:r>
                    <w:rPr>
                      <w:szCs w:val="22"/>
                    </w:rPr>
                    <w:t> </w:t>
                  </w:r>
                  <w:r>
                    <w:rPr>
                      <w:b w:val="0"/>
                      <w:szCs w:val="22"/>
                    </w:rPr>
                    <w:t xml:space="preserve">02/690.83.99 - </w:t>
                  </w:r>
                  <w:r>
                    <w:rPr>
                      <w:bCs/>
                      <w:szCs w:val="22"/>
                    </w:rPr>
                    <w:sym w:font="Wingdings" w:char="F03A"/>
                  </w:r>
                  <w:r>
                    <w:rPr>
                      <w:bCs/>
                      <w:szCs w:val="22"/>
                    </w:rPr>
                    <w:t xml:space="preserve"> : </w:t>
                  </w:r>
                  <w:hyperlink r:id="rId258" w:history="1">
                    <w:r>
                      <w:rPr>
                        <w:rStyle w:val="Lienhypertexte"/>
                        <w:b w:val="0"/>
                        <w:szCs w:val="22"/>
                      </w:rPr>
                      <w:t>veronique.rombaut@cfwb.be</w:t>
                    </w:r>
                  </w:hyperlink>
                </w:p>
                <w:p w:rsidR="00F04EEF" w:rsidRDefault="00F04EEF">
                  <w:pPr>
                    <w:rPr>
                      <w:rFonts w:cs="Arial"/>
                    </w:rPr>
                  </w:pPr>
                </w:p>
                <w:sdt>
                  <w:sdtPr>
                    <w:rPr>
                      <w:rFonts w:asciiTheme="majorHAnsi" w:eastAsiaTheme="minorHAnsi" w:hAnsiTheme="majorHAnsi" w:cs="Times New Roman"/>
                      <w:color w:val="0000FF"/>
                      <w:u w:val="single"/>
                      <w:lang w:eastAsia="en-US"/>
                    </w:rPr>
                    <w:id w:val="-528724743"/>
                    <w:docPartObj>
                      <w:docPartGallery w:val="Cover Pages"/>
                      <w:docPartUnique/>
                    </w:docPartObj>
                  </w:sdtPr>
                  <w:sdtEndPr>
                    <w:rPr>
                      <w:rFonts w:asciiTheme="minorHAnsi" w:hAnsiTheme="minorHAnsi"/>
                    </w:rPr>
                  </w:sdtEndPr>
                  <w:sdtContent>
                    <w:bookmarkStart w:id="3592" w:name="_Chapitre_21_:" w:displacedByCustomXml="prev"/>
                    <w:bookmarkEnd w:id="3592" w:displacedByCustomXml="prev"/>
                    <w:p w:rsidR="00F04EEF" w:rsidRDefault="00F04EEF">
                      <w:pPr>
                        <w:pStyle w:val="Sansinterligne"/>
                        <w:rPr>
                          <w:rFonts w:asciiTheme="majorHAnsi" w:eastAsiaTheme="minorHAnsi" w:hAnsiTheme="majorHAnsi"/>
                          <w:lang w:eastAsia="en-US"/>
                        </w:rPr>
                      </w:pPr>
                    </w:p>
                    <w:p w:rsidR="00F04EEF" w:rsidRDefault="0099351E">
                      <w:pPr>
                        <w:rPr>
                          <w:rFonts w:asciiTheme="majorHAnsi" w:hAnsiTheme="majorHAnsi"/>
                        </w:rPr>
                      </w:pPr>
                      <w:r>
                        <w:rPr>
                          <w:rFonts w:asciiTheme="majorHAnsi" w:hAnsiTheme="majorHAnsi"/>
                        </w:rPr>
                        <w:br w:type="page"/>
                      </w:r>
                    </w:p>
                    <w:p w:rsidR="00F04EEF" w:rsidRDefault="00F04EEF">
                      <w:pPr>
                        <w:pStyle w:val="Sansinterligne"/>
                      </w:pPr>
                    </w:p>
                    <w:p w:rsidR="00F04EEF" w:rsidRDefault="0099351E">
                      <w:pPr>
                        <w:pStyle w:val="Titre2"/>
                      </w:pPr>
                      <w:bookmarkStart w:id="3593" w:name="_Toc477623872"/>
                      <w:bookmarkStart w:id="3594" w:name="_Toc477767743"/>
                      <w:bookmarkStart w:id="3595" w:name="_Toc47708592"/>
                      <w:r>
                        <w:t>Chapitre</w:t>
                      </w:r>
                      <w:bookmarkEnd w:id="3593"/>
                      <w:bookmarkEnd w:id="3594"/>
                      <w:r>
                        <w:t xml:space="preserve"> 21 : </w:t>
                      </w:r>
                      <w:bookmarkStart w:id="3596" w:name="_Toc477623873"/>
                      <w:bookmarkStart w:id="3597" w:name="_Toc477767744"/>
                      <w:r>
                        <w:t>Les Commissions consultatives</w:t>
                      </w:r>
                      <w:bookmarkEnd w:id="3596"/>
                      <w:bookmarkEnd w:id="3597"/>
                      <w:bookmarkEnd w:id="3595"/>
                    </w:p>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jc w:val="both"/>
                    <w:rPr>
                      <w:b/>
                      <w:u w:val="single"/>
                    </w:rPr>
                  </w:pPr>
                  <w:r>
                    <w:rPr>
                      <w:b/>
                      <w:u w:val="single"/>
                    </w:rPr>
                    <w:t>Bases légales :</w:t>
                  </w:r>
                </w:p>
                <w:p w:rsidR="00F04EEF" w:rsidRDefault="00F04EEF">
                  <w:pPr>
                    <w:jc w:val="both"/>
                    <w:rPr>
                      <w:b/>
                      <w:u w:val="single"/>
                    </w:rPr>
                  </w:pPr>
                </w:p>
                <w:p w:rsidR="00F04EEF" w:rsidRDefault="00F42422">
                  <w:pPr>
                    <w:numPr>
                      <w:ilvl w:val="0"/>
                      <w:numId w:val="132"/>
                    </w:numPr>
                    <w:tabs>
                      <w:tab w:val="clear" w:pos="720"/>
                    </w:tabs>
                    <w:ind w:left="360"/>
                    <w:jc w:val="both"/>
                  </w:pPr>
                  <w:hyperlink r:id="rId259" w:history="1">
                    <w:r w:rsidR="0099351E">
                      <w:rPr>
                        <w:rStyle w:val="Lienhypertexte"/>
                        <w:rFonts w:cstheme="minorBidi"/>
                      </w:rPr>
                      <w:t>Décret du 3 mars 2004 organisant l’enseignement spécialisé </w:t>
                    </w:r>
                  </w:hyperlink>
                  <w:r w:rsidR="0099351E">
                    <w:t>;</w:t>
                  </w:r>
                </w:p>
                <w:p w:rsidR="00F04EEF" w:rsidRDefault="00F42422">
                  <w:pPr>
                    <w:numPr>
                      <w:ilvl w:val="0"/>
                      <w:numId w:val="132"/>
                    </w:numPr>
                    <w:tabs>
                      <w:tab w:val="clear" w:pos="720"/>
                    </w:tabs>
                    <w:ind w:left="360"/>
                    <w:jc w:val="both"/>
                  </w:pPr>
                  <w:hyperlink r:id="rId260" w:history="1">
                    <w:r w:rsidR="0099351E">
                      <w:rPr>
                        <w:rStyle w:val="Lienhypertexte"/>
                        <w:rFonts w:cstheme="minorBidi"/>
                      </w:rPr>
                      <w:t>Arrêté du gouvernement du 2 juin 2004 définissant les modalités de fonctionnement des commissions consultatives de l’enseignement spécialisé </w:t>
                    </w:r>
                  </w:hyperlink>
                  <w:r w:rsidR="0099351E">
                    <w:t>;</w:t>
                  </w:r>
                </w:p>
                <w:p w:rsidR="00F04EEF" w:rsidRDefault="00F42422">
                  <w:pPr>
                    <w:numPr>
                      <w:ilvl w:val="0"/>
                      <w:numId w:val="132"/>
                    </w:numPr>
                    <w:tabs>
                      <w:tab w:val="clear" w:pos="720"/>
                    </w:tabs>
                    <w:ind w:left="360"/>
                    <w:jc w:val="both"/>
                  </w:pPr>
                  <w:hyperlink r:id="rId261" w:history="1">
                    <w:r w:rsidR="0099351E">
                      <w:rPr>
                        <w:rStyle w:val="Lienhypertexte"/>
                        <w:rFonts w:cstheme="minorBidi"/>
                      </w:rPr>
                      <w:t>Arrêtés du gouvernement du 8 octobre 2009 et  du 23 décembre 2010 définissant la composition des commissions consultatives de l’enseignement spécialisé </w:t>
                    </w:r>
                  </w:hyperlink>
                  <w:r w:rsidR="0099351E">
                    <w:t>;</w:t>
                  </w:r>
                </w:p>
                <w:p w:rsidR="00F04EEF" w:rsidRDefault="0099351E">
                  <w:pPr>
                    <w:numPr>
                      <w:ilvl w:val="0"/>
                      <w:numId w:val="132"/>
                    </w:numPr>
                    <w:tabs>
                      <w:tab w:val="clear" w:pos="720"/>
                    </w:tabs>
                    <w:ind w:left="360"/>
                    <w:jc w:val="both"/>
                  </w:pPr>
                  <w:r>
                    <w:t>Décret du 26 mars 2009 portant diverses dispositions en matière d’enseignement en alternance, d’enseignement spécialisé et d’enseignement de promotion sociale.</w:t>
                  </w:r>
                </w:p>
                <w:p w:rsidR="00F04EEF" w:rsidRDefault="00F04EEF">
                  <w:pPr>
                    <w:tabs>
                      <w:tab w:val="left" w:pos="1753"/>
                    </w:tabs>
                    <w:jc w:val="both"/>
                  </w:pPr>
                </w:p>
                <w:p w:rsidR="00F04EEF" w:rsidRDefault="0099351E">
                  <w:pPr>
                    <w:pStyle w:val="Titre3"/>
                    <w:rPr>
                      <w:sz w:val="22"/>
                      <w:szCs w:val="22"/>
                    </w:rPr>
                  </w:pPr>
                  <w:bookmarkStart w:id="3598" w:name="_Toc324767319"/>
                  <w:bookmarkStart w:id="3599" w:name="_Toc412204236"/>
                  <w:bookmarkStart w:id="3600" w:name="_Toc453837061"/>
                  <w:bookmarkStart w:id="3601" w:name="_Toc47708593"/>
                  <w:r>
                    <w:rPr>
                      <w:sz w:val="22"/>
                      <w:szCs w:val="22"/>
                    </w:rPr>
                    <w:t>1. Commissions consultatives</w:t>
                  </w:r>
                  <w:bookmarkEnd w:id="3598"/>
                  <w:bookmarkEnd w:id="3599"/>
                  <w:bookmarkEnd w:id="3600"/>
                  <w:bookmarkEnd w:id="3601"/>
                </w:p>
                <w:p w:rsidR="00F04EEF" w:rsidRDefault="00F04EEF">
                  <w:pPr>
                    <w:jc w:val="both"/>
                    <w:rPr>
                      <w:b/>
                    </w:rPr>
                  </w:pPr>
                </w:p>
                <w:p w:rsidR="00F04EEF" w:rsidRDefault="0099351E">
                  <w:pPr>
                    <w:jc w:val="both"/>
                  </w:pPr>
                  <w:r>
                    <w:t>Dix commissions consultatives ont été créées par le Gouvernement (une par zone).</w:t>
                  </w:r>
                </w:p>
                <w:p w:rsidR="00F04EEF" w:rsidRDefault="0099351E">
                  <w:pPr>
                    <w:jc w:val="both"/>
                  </w:pPr>
                  <w:r>
                    <w:t>Chaque commission est présidée par un(e) inspecteur (trice) du service d’inspection de l’enseignement spécialisé.</w:t>
                  </w:r>
                </w:p>
                <w:p w:rsidR="00F04EEF" w:rsidRDefault="0099351E">
                  <w:pPr>
                    <w:jc w:val="both"/>
                  </w:pPr>
                  <w:r>
                    <w:t>Chaque commission comprend neuf membres effectifs dont un membre du service d’inspection de l’enseignement fondamental</w:t>
                  </w:r>
                  <w:r>
                    <w:rPr>
                      <w:color w:val="FF0000"/>
                    </w:rPr>
                    <w:t xml:space="preserve"> </w:t>
                  </w:r>
                  <w:r>
                    <w:t>ordinaire.</w:t>
                  </w:r>
                </w:p>
                <w:p w:rsidR="00F04EEF" w:rsidRDefault="0099351E">
                  <w:pPr>
                    <w:jc w:val="both"/>
                  </w:pPr>
                  <w:r>
                    <w:t>Le secrétariat des commissions est assuré par un(e) chargé(e) de mission, désigné(e) par le Gouvernement.</w:t>
                  </w:r>
                </w:p>
                <w:p w:rsidR="00F04EEF" w:rsidRDefault="0099351E">
                  <w:pPr>
                    <w:jc w:val="both"/>
                  </w:pPr>
                  <w:r>
                    <w:t>La liste des différentes commissions consultatives et de leur présidence se trouve au point 6 du présent chapitre.</w:t>
                  </w:r>
                </w:p>
                <w:p w:rsidR="00F04EEF" w:rsidRDefault="00F04EEF">
                  <w:pPr>
                    <w:jc w:val="both"/>
                  </w:pPr>
                </w:p>
                <w:p w:rsidR="00F04EEF" w:rsidRDefault="0099351E">
                  <w:pPr>
                    <w:pStyle w:val="Titre3"/>
                    <w:rPr>
                      <w:sz w:val="22"/>
                      <w:szCs w:val="22"/>
                    </w:rPr>
                  </w:pPr>
                  <w:bookmarkStart w:id="3602" w:name="_Toc324767320"/>
                  <w:bookmarkStart w:id="3603" w:name="_Toc412204237"/>
                  <w:bookmarkStart w:id="3604" w:name="_Toc453837062"/>
                  <w:bookmarkStart w:id="3605" w:name="_Toc47708594"/>
                  <w:r>
                    <w:rPr>
                      <w:sz w:val="22"/>
                      <w:szCs w:val="22"/>
                    </w:rPr>
                    <w:t>2. Missions des commissions consultatives</w:t>
                  </w:r>
                  <w:bookmarkEnd w:id="3602"/>
                  <w:bookmarkEnd w:id="3603"/>
                  <w:bookmarkEnd w:id="3604"/>
                  <w:bookmarkEnd w:id="3605"/>
                </w:p>
                <w:p w:rsidR="00F04EEF" w:rsidRDefault="00F04EEF">
                  <w:pPr>
                    <w:pStyle w:val="Retraitcorpsdetexte"/>
                    <w:ind w:left="0"/>
                    <w:rPr>
                      <w:rFonts w:asciiTheme="majorHAnsi" w:hAnsiTheme="majorHAnsi"/>
                      <w:b/>
                      <w:szCs w:val="22"/>
                    </w:rPr>
                  </w:pPr>
                </w:p>
                <w:p w:rsidR="00F04EEF" w:rsidRDefault="0099351E">
                  <w:pPr>
                    <w:pStyle w:val="Retraitcorpsdetexte"/>
                    <w:ind w:left="0" w:firstLine="0"/>
                    <w:rPr>
                      <w:rFonts w:asciiTheme="minorHAnsi" w:hAnsiTheme="minorHAnsi" w:cstheme="minorHAnsi"/>
                      <w:szCs w:val="22"/>
                    </w:rPr>
                  </w:pPr>
                  <w:r>
                    <w:rPr>
                      <w:rFonts w:asciiTheme="minorHAnsi" w:hAnsiTheme="minorHAnsi" w:cstheme="minorHAnsi"/>
                      <w:szCs w:val="22"/>
                    </w:rPr>
                    <w:t xml:space="preserve">Fixées par le décret organisant l'Enseignement spécialisé du 3 mars 2004, chapitre IX, article 125, complété par l’article 22 du décret du 26 mars 2009. </w:t>
                  </w:r>
                </w:p>
                <w:p w:rsidR="00F04EEF" w:rsidRDefault="00F04EEF">
                  <w:pPr>
                    <w:jc w:val="both"/>
                  </w:pPr>
                </w:p>
                <w:p w:rsidR="00F04EEF" w:rsidRDefault="0099351E">
                  <w:pPr>
                    <w:tabs>
                      <w:tab w:val="num" w:pos="540"/>
                      <w:tab w:val="left" w:pos="1383"/>
                    </w:tabs>
                    <w:jc w:val="both"/>
                  </w:pPr>
                  <w:r>
                    <w:t>Les commissions consultatives ont pour mission de donner un avis motivé dans les cas repris dans le tableau ci-dessous :</w:t>
                  </w:r>
                </w:p>
                <w:p w:rsidR="00F04EEF" w:rsidRDefault="0099351E">
                  <w:r>
                    <w:br w:type="page"/>
                  </w:r>
                </w:p>
                <w:p w:rsidR="00F04EEF" w:rsidRDefault="00F04EEF">
                  <w:pPr>
                    <w:tabs>
                      <w:tab w:val="num" w:pos="540"/>
                      <w:tab w:val="left" w:pos="1383"/>
                    </w:tabs>
                    <w:jc w:val="both"/>
                  </w:pPr>
                </w:p>
                <w:tbl>
                  <w:tblPr>
                    <w:tblW w:w="9950" w:type="dxa"/>
                    <w:jc w:val="center"/>
                    <w:tblBorders>
                      <w:top w:val="double" w:sz="6" w:space="0" w:color="auto"/>
                      <w:left w:val="double" w:sz="6" w:space="0" w:color="auto"/>
                      <w:bottom w:val="double" w:sz="6" w:space="0" w:color="auto"/>
                      <w:right w:val="double" w:sz="6" w:space="0" w:color="auto"/>
                    </w:tblBorders>
                    <w:tblLayout w:type="fixed"/>
                    <w:tblCellMar>
                      <w:left w:w="62" w:type="dxa"/>
                      <w:right w:w="62" w:type="dxa"/>
                    </w:tblCellMar>
                    <w:tblLook w:val="0000" w:firstRow="0" w:lastRow="0" w:firstColumn="0" w:lastColumn="0" w:noHBand="0" w:noVBand="0"/>
                  </w:tblPr>
                  <w:tblGrid>
                    <w:gridCol w:w="5270"/>
                    <w:gridCol w:w="4680"/>
                  </w:tblGrid>
                  <w:tr w:rsidR="00F04EEF">
                    <w:trPr>
                      <w:trHeight w:val="488"/>
                      <w:jc w:val="center"/>
                    </w:trPr>
                    <w:tc>
                      <w:tcPr>
                        <w:tcW w:w="5270" w:type="dxa"/>
                        <w:tcBorders>
                          <w:top w:val="double" w:sz="6" w:space="0" w:color="auto"/>
                          <w:bottom w:val="single" w:sz="6" w:space="0" w:color="auto"/>
                          <w:right w:val="single" w:sz="6" w:space="0" w:color="auto"/>
                        </w:tcBorders>
                        <w:shd w:val="clear" w:color="auto" w:fill="F3F3F3"/>
                      </w:tcPr>
                      <w:p w:rsidR="00F04EEF" w:rsidRDefault="0099351E">
                        <w:pPr>
                          <w:ind w:right="117"/>
                          <w:jc w:val="center"/>
                          <w:rPr>
                            <w:b/>
                          </w:rPr>
                        </w:pPr>
                        <w:r>
                          <w:rPr>
                            <w:b/>
                          </w:rPr>
                          <w:br w:type="page"/>
                          <w:t>Personnes pouvant introduire une demande d’avis</w:t>
                        </w:r>
                      </w:p>
                    </w:tc>
                    <w:tc>
                      <w:tcPr>
                        <w:tcW w:w="4680" w:type="dxa"/>
                        <w:tcBorders>
                          <w:top w:val="double" w:sz="6" w:space="0" w:color="auto"/>
                          <w:left w:val="single" w:sz="6" w:space="0" w:color="auto"/>
                          <w:bottom w:val="single" w:sz="6" w:space="0" w:color="auto"/>
                        </w:tcBorders>
                        <w:shd w:val="clear" w:color="auto" w:fill="F3F3F3"/>
                      </w:tcPr>
                      <w:p w:rsidR="00F04EEF" w:rsidRDefault="0099351E">
                        <w:pPr>
                          <w:ind w:right="117"/>
                          <w:jc w:val="center"/>
                        </w:pPr>
                        <w:r>
                          <w:rPr>
                            <w:b/>
                          </w:rPr>
                          <w:t>Concernant</w:t>
                        </w:r>
                      </w:p>
                    </w:tc>
                  </w:tr>
                  <w:tr w:rsidR="00F04EEF">
                    <w:trPr>
                      <w:trHeight w:val="403"/>
                      <w:jc w:val="center"/>
                    </w:trPr>
                    <w:tc>
                      <w:tcPr>
                        <w:tcW w:w="5270" w:type="dxa"/>
                        <w:tcBorders>
                          <w:top w:val="nil"/>
                          <w:bottom w:val="single" w:sz="6" w:space="0" w:color="auto"/>
                          <w:right w:val="single" w:sz="6" w:space="0" w:color="auto"/>
                        </w:tcBorders>
                      </w:tcPr>
                      <w:p w:rsidR="00F04EEF" w:rsidRDefault="0099351E">
                        <w:pPr>
                          <w:numPr>
                            <w:ilvl w:val="0"/>
                            <w:numId w:val="133"/>
                          </w:numPr>
                          <w:tabs>
                            <w:tab w:val="clear" w:pos="720"/>
                          </w:tabs>
                          <w:ind w:left="0" w:right="117"/>
                          <w:jc w:val="both"/>
                        </w:pPr>
                        <w:r>
                          <w:t>Chef de famille ou membre de l’inspection scolaire de la CF</w:t>
                        </w:r>
                      </w:p>
                      <w:p w:rsidR="00F04EEF" w:rsidRDefault="00F04EEF">
                        <w:pPr>
                          <w:tabs>
                            <w:tab w:val="left" w:pos="222"/>
                          </w:tabs>
                          <w:ind w:right="117" w:hanging="360"/>
                          <w:jc w:val="both"/>
                        </w:pPr>
                      </w:p>
                    </w:tc>
                    <w:tc>
                      <w:tcPr>
                        <w:tcW w:w="4680" w:type="dxa"/>
                        <w:tcBorders>
                          <w:top w:val="nil"/>
                          <w:left w:val="single" w:sz="6" w:space="0" w:color="auto"/>
                          <w:bottom w:val="single" w:sz="6" w:space="0" w:color="auto"/>
                        </w:tcBorders>
                      </w:tcPr>
                      <w:p w:rsidR="00F04EEF" w:rsidRDefault="0099351E">
                        <w:pPr>
                          <w:ind w:right="117"/>
                          <w:jc w:val="both"/>
                        </w:pPr>
                        <w:r>
                          <w:t>l’aptitude qu’a un élève à besoins spécifiques à recevoir l’enseignement spécialisé lorsqu’il ne fréquente aucune école</w:t>
                        </w:r>
                      </w:p>
                    </w:tc>
                  </w:tr>
                  <w:tr w:rsidR="00F04EEF">
                    <w:trPr>
                      <w:trHeight w:val="403"/>
                      <w:jc w:val="center"/>
                    </w:trPr>
                    <w:tc>
                      <w:tcPr>
                        <w:tcW w:w="5270" w:type="dxa"/>
                        <w:tcBorders>
                          <w:top w:val="single" w:sz="6" w:space="0" w:color="auto"/>
                          <w:bottom w:val="single" w:sz="4" w:space="0" w:color="auto"/>
                          <w:right w:val="single" w:sz="6" w:space="0" w:color="auto"/>
                        </w:tcBorders>
                      </w:tcPr>
                      <w:p w:rsidR="00F04EEF" w:rsidRDefault="0099351E">
                        <w:pPr>
                          <w:numPr>
                            <w:ilvl w:val="0"/>
                            <w:numId w:val="133"/>
                          </w:numPr>
                          <w:tabs>
                            <w:tab w:val="clear" w:pos="720"/>
                          </w:tabs>
                          <w:ind w:left="0" w:right="117"/>
                          <w:jc w:val="both"/>
                        </w:pPr>
                        <w:r>
                          <w:t>Chef de famille ou  membre de l’inspection scolaire de la CF</w:t>
                        </w:r>
                      </w:p>
                    </w:tc>
                    <w:tc>
                      <w:tcPr>
                        <w:tcW w:w="4680" w:type="dxa"/>
                        <w:tcBorders>
                          <w:top w:val="single" w:sz="6" w:space="0" w:color="auto"/>
                          <w:left w:val="single" w:sz="6" w:space="0" w:color="auto"/>
                          <w:bottom w:val="single" w:sz="4" w:space="0" w:color="auto"/>
                        </w:tcBorders>
                      </w:tcPr>
                      <w:p w:rsidR="00F04EEF" w:rsidRDefault="0099351E">
                        <w:pPr>
                          <w:ind w:right="117"/>
                          <w:jc w:val="both"/>
                        </w:pPr>
                        <w:r>
                          <w:t>l’opportunité de faire dispenser l’enseignement à domicile à un élève à besoins spécifiques qui ne peut se déplacer ou être transporté en raison de la nature ou de la gravité de son handicap (¹)</w:t>
                        </w:r>
                      </w:p>
                    </w:tc>
                  </w:tr>
                  <w:tr w:rsidR="00F04EEF">
                    <w:trPr>
                      <w:trHeight w:val="1223"/>
                      <w:jc w:val="center"/>
                    </w:trPr>
                    <w:tc>
                      <w:tcPr>
                        <w:tcW w:w="5270" w:type="dxa"/>
                        <w:tcBorders>
                          <w:top w:val="single" w:sz="4" w:space="0" w:color="auto"/>
                          <w:bottom w:val="single" w:sz="4" w:space="0" w:color="auto"/>
                          <w:right w:val="single" w:sz="6" w:space="0" w:color="auto"/>
                        </w:tcBorders>
                      </w:tcPr>
                      <w:p w:rsidR="00F04EEF" w:rsidRDefault="0099351E">
                        <w:pPr>
                          <w:numPr>
                            <w:ilvl w:val="0"/>
                            <w:numId w:val="133"/>
                          </w:numPr>
                          <w:tabs>
                            <w:tab w:val="clear" w:pos="720"/>
                          </w:tabs>
                          <w:ind w:left="0" w:right="117"/>
                          <w:jc w:val="both"/>
                        </w:pPr>
                        <w:r>
                          <w:t>Chef de famille, membre de l’inspection scolaire de la CF, chef d’établissement d’enseignement ordinaire ou médecin responsable d’une équipe chargée de l’inspection médicale scolaire</w:t>
                        </w:r>
                      </w:p>
                    </w:tc>
                    <w:tc>
                      <w:tcPr>
                        <w:tcW w:w="4680" w:type="dxa"/>
                        <w:tcBorders>
                          <w:top w:val="single" w:sz="4" w:space="0" w:color="auto"/>
                          <w:left w:val="single" w:sz="6" w:space="0" w:color="auto"/>
                          <w:bottom w:val="single" w:sz="4" w:space="0" w:color="auto"/>
                        </w:tcBorders>
                      </w:tcPr>
                      <w:p w:rsidR="00F04EEF" w:rsidRDefault="0099351E">
                        <w:pPr>
                          <w:ind w:right="117"/>
                          <w:jc w:val="both"/>
                        </w:pPr>
                        <w:r>
                          <w:t>l’opportunité de transférer dans un établissement d’enseignement spécialisé un élève inscrit dans un établissement d’enseignement ordinaire.</w:t>
                        </w:r>
                      </w:p>
                    </w:tc>
                  </w:tr>
                  <w:tr w:rsidR="00F04EEF">
                    <w:trPr>
                      <w:trHeight w:val="881"/>
                      <w:jc w:val="center"/>
                    </w:trPr>
                    <w:tc>
                      <w:tcPr>
                        <w:tcW w:w="5270" w:type="dxa"/>
                        <w:tcBorders>
                          <w:top w:val="single" w:sz="4" w:space="0" w:color="auto"/>
                          <w:bottom w:val="single" w:sz="6" w:space="0" w:color="auto"/>
                          <w:right w:val="single" w:sz="6" w:space="0" w:color="auto"/>
                        </w:tcBorders>
                      </w:tcPr>
                      <w:p w:rsidR="00F04EEF" w:rsidRDefault="0099351E">
                        <w:pPr>
                          <w:tabs>
                            <w:tab w:val="left" w:pos="222"/>
                          </w:tabs>
                          <w:ind w:right="117"/>
                          <w:jc w:val="both"/>
                        </w:pPr>
                        <w:r>
                          <w:t>Chef de famille, membre de l’inspection scolaire de la CF ou chef d’établissement d’enseignement spécialisé</w:t>
                        </w:r>
                      </w:p>
                    </w:tc>
                    <w:tc>
                      <w:tcPr>
                        <w:tcW w:w="4680" w:type="dxa"/>
                        <w:tcBorders>
                          <w:top w:val="single" w:sz="4" w:space="0" w:color="auto"/>
                          <w:left w:val="single" w:sz="6" w:space="0" w:color="auto"/>
                          <w:bottom w:val="single" w:sz="6" w:space="0" w:color="auto"/>
                        </w:tcBorders>
                      </w:tcPr>
                      <w:p w:rsidR="00F04EEF" w:rsidRDefault="0099351E">
                        <w:pPr>
                          <w:ind w:right="117"/>
                          <w:jc w:val="both"/>
                        </w:pPr>
                        <w:r>
                          <w:t>l’opportunité de transférer dans un établissement d’enseignement ordinaire un élève inscrit dans un établissement d’enseignement spécialisé.</w:t>
                        </w:r>
                      </w:p>
                    </w:tc>
                  </w:tr>
                  <w:tr w:rsidR="00F04EEF">
                    <w:trPr>
                      <w:trHeight w:val="1374"/>
                      <w:jc w:val="center"/>
                    </w:trPr>
                    <w:tc>
                      <w:tcPr>
                        <w:tcW w:w="5270" w:type="dxa"/>
                        <w:tcBorders>
                          <w:top w:val="single" w:sz="6" w:space="0" w:color="auto"/>
                          <w:bottom w:val="single" w:sz="6" w:space="0" w:color="auto"/>
                          <w:right w:val="single" w:sz="6" w:space="0" w:color="auto"/>
                        </w:tcBorders>
                      </w:tcPr>
                      <w:p w:rsidR="00F04EEF" w:rsidRDefault="0099351E">
                        <w:pPr>
                          <w:numPr>
                            <w:ilvl w:val="0"/>
                            <w:numId w:val="133"/>
                          </w:numPr>
                          <w:tabs>
                            <w:tab w:val="clear" w:pos="720"/>
                          </w:tabs>
                          <w:ind w:left="0" w:right="117"/>
                          <w:jc w:val="both"/>
                        </w:pPr>
                        <w:r>
                          <w:t>Chef de famille, membre de l’inspection scolaire de la CF, chef d’établissement d’enseignement spécialisé ou médecin responsable d’une équipe chargée de l’inspection médicale scolaire</w:t>
                        </w:r>
                      </w:p>
                    </w:tc>
                    <w:tc>
                      <w:tcPr>
                        <w:tcW w:w="4680" w:type="dxa"/>
                        <w:tcBorders>
                          <w:top w:val="single" w:sz="6" w:space="0" w:color="auto"/>
                          <w:left w:val="single" w:sz="6" w:space="0" w:color="auto"/>
                          <w:bottom w:val="single" w:sz="6" w:space="0" w:color="auto"/>
                        </w:tcBorders>
                      </w:tcPr>
                      <w:p w:rsidR="00F04EEF" w:rsidRDefault="0099351E">
                        <w:pPr>
                          <w:ind w:right="117"/>
                          <w:jc w:val="both"/>
                        </w:pPr>
                        <w:r>
                          <w:t>l’opportunité de transférer un élève à besoins spécifiques d’un établissement d’enseignement spécialisé dans un autre type d’enseignement spécialisé mieux approprié.</w:t>
                        </w:r>
                      </w:p>
                    </w:tc>
                  </w:tr>
                  <w:tr w:rsidR="00F04EEF">
                    <w:trPr>
                      <w:trHeight w:val="1428"/>
                      <w:jc w:val="center"/>
                    </w:trPr>
                    <w:tc>
                      <w:tcPr>
                        <w:tcW w:w="5270" w:type="dxa"/>
                        <w:tcBorders>
                          <w:top w:val="single" w:sz="6" w:space="0" w:color="auto"/>
                          <w:bottom w:val="single" w:sz="6" w:space="0" w:color="auto"/>
                          <w:right w:val="single" w:sz="6" w:space="0" w:color="auto"/>
                        </w:tcBorders>
                      </w:tcPr>
                      <w:p w:rsidR="00F04EEF" w:rsidRDefault="0099351E">
                        <w:pPr>
                          <w:numPr>
                            <w:ilvl w:val="0"/>
                            <w:numId w:val="133"/>
                          </w:numPr>
                          <w:tabs>
                            <w:tab w:val="clear" w:pos="720"/>
                          </w:tabs>
                          <w:ind w:left="0" w:right="117"/>
                          <w:jc w:val="both"/>
                        </w:pPr>
                        <w:r>
                          <w:t>Chef de famille ou chef d’un établissement d’enseignement spécialisé</w:t>
                        </w:r>
                      </w:p>
                    </w:tc>
                    <w:tc>
                      <w:tcPr>
                        <w:tcW w:w="4680" w:type="dxa"/>
                        <w:tcBorders>
                          <w:top w:val="single" w:sz="6" w:space="0" w:color="auto"/>
                          <w:left w:val="single" w:sz="6" w:space="0" w:color="auto"/>
                          <w:bottom w:val="single" w:sz="6" w:space="0" w:color="auto"/>
                        </w:tcBorders>
                      </w:tcPr>
                      <w:p w:rsidR="00F04EEF" w:rsidRDefault="0099351E">
                        <w:pPr>
                          <w:ind w:right="117"/>
                          <w:jc w:val="both"/>
                        </w:pPr>
                        <w:r>
                          <w:t>l’opportunité de dispenser un enfant ou un adolescent à besoins spécifiques de toute obligation scolaire</w:t>
                        </w:r>
                      </w:p>
                      <w:p w:rsidR="00F04EEF" w:rsidRDefault="0099351E">
                        <w:pPr>
                          <w:ind w:right="117"/>
                          <w:jc w:val="both"/>
                        </w:pPr>
                        <w:r>
                          <w:t>(Dans ce cas, l’avis est communiqué au Gouvernement qui peut en accorder la dispense)</w:t>
                        </w:r>
                      </w:p>
                    </w:tc>
                  </w:tr>
                  <w:tr w:rsidR="00F04EEF">
                    <w:trPr>
                      <w:trHeight w:val="1677"/>
                      <w:jc w:val="center"/>
                    </w:trPr>
                    <w:tc>
                      <w:tcPr>
                        <w:tcW w:w="5270" w:type="dxa"/>
                        <w:tcBorders>
                          <w:top w:val="single" w:sz="6" w:space="0" w:color="auto"/>
                          <w:bottom w:val="double" w:sz="6" w:space="0" w:color="auto"/>
                          <w:right w:val="single" w:sz="6" w:space="0" w:color="auto"/>
                        </w:tcBorders>
                      </w:tcPr>
                      <w:p w:rsidR="00F04EEF" w:rsidRDefault="0099351E">
                        <w:pPr>
                          <w:numPr>
                            <w:ilvl w:val="0"/>
                            <w:numId w:val="133"/>
                          </w:numPr>
                          <w:tabs>
                            <w:tab w:val="clear" w:pos="720"/>
                          </w:tabs>
                          <w:ind w:left="0" w:right="117"/>
                          <w:jc w:val="both"/>
                          <w:rPr>
                            <w:b/>
                          </w:rPr>
                        </w:pPr>
                        <w:r>
                          <w:t xml:space="preserve">Chef de la Cellule des accidents du travail de l’enseignement </w:t>
                        </w:r>
                        <w:r>
                          <w:rPr>
                            <w:b/>
                          </w:rPr>
                          <w:t>(²)</w:t>
                        </w:r>
                      </w:p>
                      <w:p w:rsidR="00F04EEF" w:rsidRDefault="00F04EEF">
                        <w:pPr>
                          <w:ind w:right="117"/>
                          <w:jc w:val="both"/>
                        </w:pPr>
                      </w:p>
                      <w:p w:rsidR="00F04EEF" w:rsidRDefault="00F04EEF">
                        <w:pPr>
                          <w:ind w:right="117"/>
                          <w:jc w:val="both"/>
                        </w:pPr>
                      </w:p>
                    </w:tc>
                    <w:tc>
                      <w:tcPr>
                        <w:tcW w:w="4680" w:type="dxa"/>
                        <w:tcBorders>
                          <w:top w:val="single" w:sz="6" w:space="0" w:color="auto"/>
                          <w:left w:val="single" w:sz="6" w:space="0" w:color="auto"/>
                          <w:bottom w:val="double" w:sz="6" w:space="0" w:color="auto"/>
                        </w:tcBorders>
                      </w:tcPr>
                      <w:p w:rsidR="00F04EEF" w:rsidRDefault="0099351E">
                        <w:pPr>
                          <w:ind w:right="117"/>
                          <w:jc w:val="both"/>
                        </w:pPr>
                        <w:r>
                          <w:t>La capacité de discernement d’un élève de l’enseignement spécialisé qui a commis un acte de violence ou qui est suspecté d’en avoir commis. L’avis précise si l’élève avait une capacité de discernement normale au moment des faits ou s’il n’en avait pas.</w:t>
                        </w:r>
                      </w:p>
                      <w:p w:rsidR="00F04EEF" w:rsidRDefault="0099351E">
                        <w:pPr>
                          <w:ind w:right="117"/>
                          <w:jc w:val="both"/>
                        </w:pPr>
                        <w:r>
                          <w:t xml:space="preserve">Cet avis peut être demandé </w:t>
                        </w:r>
                        <w:r>
                          <w:rPr>
                            <w:b/>
                            <w:bCs/>
                          </w:rPr>
                          <w:t xml:space="preserve">uniquement </w:t>
                        </w:r>
                        <w:r>
                          <w:t>en vue de l’application de l’article 14 de la loi du 3 juillet 1967 sur la prévention ou la réparation des dommages résultant des accidents du travail et des maladies professionnelles dans le secteur public.</w:t>
                        </w:r>
                      </w:p>
                    </w:tc>
                  </w:tr>
                </w:tbl>
                <w:p w:rsidR="00F04EEF" w:rsidRDefault="00F04EEF">
                  <w:pPr>
                    <w:ind w:hanging="360"/>
                    <w:jc w:val="both"/>
                  </w:pPr>
                </w:p>
                <w:p w:rsidR="00F04EEF" w:rsidRDefault="0099351E">
                  <w:pPr>
                    <w:tabs>
                      <w:tab w:val="left" w:pos="540"/>
                    </w:tabs>
                    <w:ind w:hanging="540"/>
                    <w:jc w:val="both"/>
                  </w:pPr>
                  <w:r>
                    <w:t>(¹)</w:t>
                  </w:r>
                  <w:r>
                    <w:tab/>
                    <w:t>Il s’agit ici d’un enseignement spécialisé dispensé à domicile et non de l’enseignement à domicile tel que prévu par le décret du 25.04.2008 fixant les conditions pour pouvoir satisfaire à l’obligation scolaire en dehors de l’enseignement organisé ou subventionné par la Communauté française.</w:t>
                  </w:r>
                </w:p>
                <w:p w:rsidR="00F04EEF" w:rsidRDefault="00F04EEF">
                  <w:pPr>
                    <w:jc w:val="both"/>
                  </w:pPr>
                </w:p>
                <w:p w:rsidR="00F04EEF" w:rsidRDefault="0099351E">
                  <w:pPr>
                    <w:tabs>
                      <w:tab w:val="left" w:pos="540"/>
                    </w:tabs>
                    <w:ind w:hanging="540"/>
                    <w:jc w:val="both"/>
                  </w:pPr>
                  <w:r>
                    <w:t>(²)</w:t>
                  </w:r>
                  <w:r>
                    <w:tab/>
                    <w:t>Dans cette situation, les documents nécessaires au traitement de la demande seront fournis par l’établissement scolaire</w:t>
                  </w:r>
                </w:p>
                <w:p w:rsidR="00F04EEF" w:rsidRDefault="0099351E">
                  <w:pPr>
                    <w:ind w:firstLine="540"/>
                    <w:jc w:val="both"/>
                    <w:rPr>
                      <w:b/>
                    </w:rPr>
                  </w:pPr>
                  <w:r>
                    <w:rPr>
                      <w:rFonts w:ascii="Times New Roman" w:hAnsi="Times New Roman" w:cs="Times New Roman"/>
                      <w:b/>
                    </w:rPr>
                    <w:t>□</w:t>
                  </w:r>
                  <w:r>
                    <w:rPr>
                      <w:rFonts w:cs="Cambria"/>
                      <w:b/>
                    </w:rPr>
                    <w:t> </w:t>
                  </w:r>
                  <w:r>
                    <w:rPr>
                      <w:b/>
                    </w:rPr>
                    <w:t>: avis du conseil de classe</w:t>
                  </w:r>
                </w:p>
                <w:p w:rsidR="00F04EEF" w:rsidRDefault="0099351E">
                  <w:pPr>
                    <w:ind w:firstLine="540"/>
                    <w:jc w:val="both"/>
                    <w:rPr>
                      <w:b/>
                    </w:rPr>
                  </w:pPr>
                  <w:r>
                    <w:rPr>
                      <w:rFonts w:ascii="Times New Roman" w:hAnsi="Times New Roman" w:cs="Times New Roman"/>
                      <w:b/>
                    </w:rPr>
                    <w:t>□</w:t>
                  </w:r>
                  <w:r>
                    <w:rPr>
                      <w:rFonts w:cs="Cambria"/>
                      <w:b/>
                    </w:rPr>
                    <w:t> </w:t>
                  </w:r>
                  <w:r>
                    <w:rPr>
                      <w:b/>
                    </w:rPr>
                    <w:t xml:space="preserve">: dossier disciplinaire </w:t>
                  </w:r>
                  <w:r>
                    <w:rPr>
                      <w:rFonts w:cs="Cambria"/>
                      <w:b/>
                    </w:rPr>
                    <w:t>é</w:t>
                  </w:r>
                  <w:r>
                    <w:rPr>
                      <w:b/>
                    </w:rPr>
                    <w:t>ventuel</w:t>
                  </w:r>
                </w:p>
                <w:p w:rsidR="00F04EEF" w:rsidRDefault="0099351E">
                  <w:pPr>
                    <w:ind w:firstLine="540"/>
                    <w:jc w:val="both"/>
                    <w:rPr>
                      <w:b/>
                    </w:rPr>
                  </w:pPr>
                  <w:r>
                    <w:rPr>
                      <w:rFonts w:ascii="Times New Roman" w:hAnsi="Times New Roman" w:cs="Times New Roman"/>
                      <w:b/>
                    </w:rPr>
                    <w:t>□</w:t>
                  </w:r>
                  <w:r>
                    <w:rPr>
                      <w:rFonts w:cs="Cambria"/>
                      <w:b/>
                    </w:rPr>
                    <w:t> </w:t>
                  </w:r>
                  <w:r>
                    <w:rPr>
                      <w:b/>
                    </w:rPr>
                    <w:t>: documents d</w:t>
                  </w:r>
                  <w:r>
                    <w:rPr>
                      <w:rFonts w:cs="Cambria"/>
                      <w:b/>
                    </w:rPr>
                    <w:t>’</w:t>
                  </w:r>
                  <w:r>
                    <w:rPr>
                      <w:b/>
                    </w:rPr>
                    <w:t>orientation vers l</w:t>
                  </w:r>
                  <w:r>
                    <w:rPr>
                      <w:rFonts w:cs="Cambria"/>
                      <w:b/>
                    </w:rPr>
                    <w:t>’</w:t>
                  </w:r>
                  <w:r>
                    <w:rPr>
                      <w:b/>
                    </w:rPr>
                    <w:t>enseignement sp</w:t>
                  </w:r>
                  <w:r>
                    <w:rPr>
                      <w:rFonts w:cs="Cambria"/>
                      <w:b/>
                    </w:rPr>
                    <w:t>é</w:t>
                  </w:r>
                  <w:r>
                    <w:rPr>
                      <w:b/>
                    </w:rPr>
                    <w:t>cialis</w:t>
                  </w:r>
                  <w:r>
                    <w:rPr>
                      <w:rFonts w:cs="Cambria"/>
                      <w:b/>
                    </w:rPr>
                    <w:t>é</w:t>
                  </w:r>
                </w:p>
                <w:p w:rsidR="00F04EEF" w:rsidRDefault="0099351E">
                  <w:pPr>
                    <w:ind w:firstLine="540"/>
                    <w:jc w:val="both"/>
                    <w:rPr>
                      <w:b/>
                    </w:rPr>
                  </w:pPr>
                  <w:r>
                    <w:rPr>
                      <w:rFonts w:ascii="Times New Roman" w:hAnsi="Times New Roman" w:cs="Times New Roman"/>
                      <w:b/>
                    </w:rPr>
                    <w:t>□</w:t>
                  </w:r>
                  <w:r>
                    <w:rPr>
                      <w:rFonts w:cs="Cambria"/>
                      <w:b/>
                    </w:rPr>
                    <w:t> </w:t>
                  </w:r>
                  <w:r>
                    <w:rPr>
                      <w:b/>
                    </w:rPr>
                    <w:t>: PIA</w:t>
                  </w:r>
                </w:p>
                <w:p w:rsidR="00F04EEF" w:rsidRDefault="0099351E">
                  <w:r>
                    <w:br w:type="page"/>
                  </w:r>
                </w:p>
                <w:p w:rsidR="00F04EEF" w:rsidRDefault="00F04EEF">
                  <w:pPr>
                    <w:jc w:val="both"/>
                  </w:pPr>
                </w:p>
                <w:p w:rsidR="00F04EEF" w:rsidRDefault="0099351E">
                  <w:pPr>
                    <w:pStyle w:val="Titre4"/>
                  </w:pPr>
                  <w:bookmarkStart w:id="3606" w:name="_Toc324767321"/>
                  <w:bookmarkStart w:id="3607" w:name="_Toc324768179"/>
                  <w:bookmarkStart w:id="3608" w:name="_Toc412204238"/>
                  <w:bookmarkStart w:id="3609" w:name="_Toc453837063"/>
                  <w:r>
                    <w:t>2.1. Rapport d’activité</w:t>
                  </w:r>
                  <w:bookmarkEnd w:id="3606"/>
                  <w:bookmarkEnd w:id="3607"/>
                  <w:bookmarkEnd w:id="3608"/>
                  <w:bookmarkEnd w:id="3609"/>
                </w:p>
                <w:p w:rsidR="00F04EEF" w:rsidRDefault="00F04EEF">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F04EEF" w:rsidRDefault="0099351E">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 xml:space="preserve">Chaque année, pour le 30 juin, les présidents des commissions consultatives de l’enseignement spécialisé adressent un rapport d’activité au Gouvernement et une copie au Conseil Général pour l’Enseignement Secondaire.  </w:t>
                  </w:r>
                </w:p>
                <w:p w:rsidR="00F04EEF" w:rsidRDefault="00F04EEF">
                  <w:pPr>
                    <w:jc w:val="both"/>
                  </w:pPr>
                </w:p>
                <w:p w:rsidR="00F04EEF" w:rsidRDefault="0099351E">
                  <w:pPr>
                    <w:pStyle w:val="Titre3"/>
                    <w:rPr>
                      <w:sz w:val="22"/>
                      <w:szCs w:val="22"/>
                    </w:rPr>
                  </w:pPr>
                  <w:bookmarkStart w:id="3610" w:name="_3._Introduction_des"/>
                  <w:bookmarkStart w:id="3611" w:name="_Toc324767322"/>
                  <w:bookmarkStart w:id="3612" w:name="_Toc412204239"/>
                  <w:bookmarkStart w:id="3613" w:name="_Toc453837064"/>
                  <w:bookmarkStart w:id="3614" w:name="_Toc47708595"/>
                  <w:bookmarkEnd w:id="3610"/>
                  <w:r>
                    <w:rPr>
                      <w:sz w:val="22"/>
                      <w:szCs w:val="22"/>
                    </w:rPr>
                    <w:t>3. Introduction des demandes</w:t>
                  </w:r>
                  <w:bookmarkEnd w:id="3611"/>
                  <w:bookmarkEnd w:id="3612"/>
                  <w:bookmarkEnd w:id="3613"/>
                  <w:bookmarkEnd w:id="3614"/>
                </w:p>
                <w:p w:rsidR="00F04EEF" w:rsidRDefault="00F04EEF">
                  <w:pPr>
                    <w:jc w:val="both"/>
                  </w:pPr>
                </w:p>
                <w:p w:rsidR="00F04EEF" w:rsidRDefault="0099351E">
                  <w:r>
                    <w:t>Les dossiers complets dûment motivés doivent être introduits par l’intermédiaire du formulaire de demande adéquat repris</w:t>
                  </w:r>
                  <w:r>
                    <w:rPr>
                      <w:color w:val="FF0000"/>
                    </w:rPr>
                    <w:t xml:space="preserve"> </w:t>
                  </w:r>
                  <w:r>
                    <w:t>en annexe auprès de :</w:t>
                  </w:r>
                </w:p>
                <w:p w:rsidR="00F04EEF" w:rsidRDefault="00F04EEF">
                  <w:pPr>
                    <w:autoSpaceDE w:val="0"/>
                    <w:jc w:val="both"/>
                  </w:pPr>
                </w:p>
                <w:p w:rsidR="00F04EEF" w:rsidRDefault="0099351E">
                  <w:pPr>
                    <w:pBdr>
                      <w:top w:val="single" w:sz="4" w:space="1" w:color="auto"/>
                      <w:left w:val="single" w:sz="4" w:space="4" w:color="auto"/>
                      <w:bottom w:val="single" w:sz="4" w:space="1" w:color="auto"/>
                      <w:right w:val="single" w:sz="4" w:space="4" w:color="auto"/>
                    </w:pBdr>
                    <w:jc w:val="center"/>
                  </w:pPr>
                  <w: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jc w:val="center"/>
                  </w:pPr>
                  <w:r>
                    <w:t>Service de l’enseignement spécialisé</w:t>
                  </w:r>
                </w:p>
                <w:p w:rsidR="00F04EEF" w:rsidRDefault="0099351E">
                  <w:pPr>
                    <w:pBdr>
                      <w:top w:val="single" w:sz="4" w:space="1" w:color="auto"/>
                      <w:left w:val="single" w:sz="4" w:space="4" w:color="auto"/>
                      <w:bottom w:val="single" w:sz="4" w:space="1" w:color="auto"/>
                      <w:right w:val="single" w:sz="4" w:space="4" w:color="auto"/>
                    </w:pBdr>
                    <w:jc w:val="center"/>
                    <w:rPr>
                      <w:color w:val="000000"/>
                    </w:rPr>
                  </w:pPr>
                  <w:r>
                    <w:rPr>
                      <w:color w:val="000000"/>
                    </w:rPr>
                    <w:t>Madame Nathalie DUJARDIN</w:t>
                  </w:r>
                </w:p>
                <w:p w:rsidR="00F04EEF" w:rsidRDefault="0099351E">
                  <w:pPr>
                    <w:pBdr>
                      <w:top w:val="single" w:sz="4" w:space="1" w:color="auto"/>
                      <w:left w:val="single" w:sz="4" w:space="4" w:color="auto"/>
                      <w:bottom w:val="single" w:sz="4" w:space="1" w:color="auto"/>
                      <w:right w:val="single" w:sz="4" w:space="4" w:color="auto"/>
                    </w:pBdr>
                    <w:jc w:val="center"/>
                  </w:pPr>
                  <w:r>
                    <w:t>Bureau 2F250</w:t>
                  </w:r>
                </w:p>
                <w:p w:rsidR="00F04EEF" w:rsidRDefault="0099351E">
                  <w:pPr>
                    <w:pBdr>
                      <w:top w:val="single" w:sz="4" w:space="1" w:color="auto"/>
                      <w:left w:val="single" w:sz="4" w:space="4" w:color="auto"/>
                      <w:bottom w:val="single" w:sz="4" w:space="1" w:color="auto"/>
                      <w:right w:val="single" w:sz="4" w:space="4" w:color="auto"/>
                    </w:pBdr>
                    <w:jc w:val="center"/>
                  </w:pPr>
                  <w:r>
                    <w:t>Rue Adolphe Lavallée, 1</w:t>
                  </w:r>
                </w:p>
                <w:p w:rsidR="00F04EEF" w:rsidRDefault="0099351E">
                  <w:pPr>
                    <w:pBdr>
                      <w:top w:val="single" w:sz="4" w:space="1" w:color="auto"/>
                      <w:left w:val="single" w:sz="4" w:space="4" w:color="auto"/>
                      <w:bottom w:val="single" w:sz="4" w:space="1" w:color="auto"/>
                      <w:right w:val="single" w:sz="4" w:space="4" w:color="auto"/>
                    </w:pBdr>
                    <w:jc w:val="center"/>
                  </w:pPr>
                  <w:r>
                    <w:t>1080   BRUXELLES</w:t>
                  </w:r>
                </w:p>
                <w:p w:rsidR="00F04EEF" w:rsidRDefault="0099351E">
                  <w:pPr>
                    <w:pBdr>
                      <w:top w:val="single" w:sz="4" w:space="1" w:color="auto"/>
                      <w:left w:val="single" w:sz="4" w:space="4" w:color="auto"/>
                      <w:bottom w:val="single" w:sz="4" w:space="1" w:color="auto"/>
                      <w:right w:val="single" w:sz="4" w:space="4" w:color="auto"/>
                    </w:pBdr>
                    <w:jc w:val="center"/>
                    <w:rPr>
                      <w:lang w:val="fr-FR"/>
                    </w:rPr>
                  </w:pPr>
                  <w:r>
                    <w:sym w:font="Wingdings" w:char="F028"/>
                  </w:r>
                  <w:r>
                    <w:rPr>
                      <w:lang w:val="fr-FR"/>
                    </w:rPr>
                    <w:t> : 02/690.88.59 – GSM : 0472/94.31.95</w:t>
                  </w:r>
                </w:p>
                <w:p w:rsidR="00F04EEF" w:rsidRDefault="0099351E">
                  <w:pPr>
                    <w:pBdr>
                      <w:top w:val="single" w:sz="4" w:space="1" w:color="auto"/>
                      <w:left w:val="single" w:sz="4" w:space="4" w:color="auto"/>
                      <w:bottom w:val="single" w:sz="4" w:space="1" w:color="auto"/>
                      <w:right w:val="single" w:sz="4" w:space="4" w:color="auto"/>
                    </w:pBdr>
                    <w:jc w:val="center"/>
                    <w:rPr>
                      <w:lang w:val="fr-FR"/>
                    </w:rPr>
                  </w:pPr>
                  <w:r>
                    <w:rPr>
                      <w:bCs/>
                    </w:rPr>
                    <w:sym w:font="Wingdings" w:char="F03A"/>
                  </w:r>
                  <w:r>
                    <w:rPr>
                      <w:bCs/>
                      <w:lang w:val="fr-FR"/>
                    </w:rPr>
                    <w:t> </w:t>
                  </w:r>
                  <w:r>
                    <w:rPr>
                      <w:lang w:val="fr-FR"/>
                    </w:rPr>
                    <w:t xml:space="preserve"> </w:t>
                  </w:r>
                  <w:hyperlink r:id="rId262" w:history="1">
                    <w:r>
                      <w:rPr>
                        <w:rStyle w:val="Lienhypertexte"/>
                        <w:rFonts w:cs="Arial"/>
                        <w:lang w:val="fr-FR"/>
                      </w:rPr>
                      <w:t>nathalie.dujardin@cfwb.be</w:t>
                    </w:r>
                  </w:hyperlink>
                  <w:r>
                    <w:rPr>
                      <w:b/>
                      <w:lang w:val="fr-FR"/>
                    </w:rPr>
                    <w:t xml:space="preserve"> </w:t>
                  </w:r>
                </w:p>
                <w:p w:rsidR="00F04EEF" w:rsidRDefault="00F04EEF">
                  <w:pPr>
                    <w:tabs>
                      <w:tab w:val="left" w:pos="-420"/>
                    </w:tabs>
                    <w:jc w:val="both"/>
                    <w:rPr>
                      <w:lang w:val="fr-FR"/>
                    </w:rPr>
                  </w:pPr>
                </w:p>
                <w:p w:rsidR="00F04EEF" w:rsidRDefault="0099351E">
                  <w:pPr>
                    <w:tabs>
                      <w:tab w:val="left" w:pos="-420"/>
                    </w:tabs>
                    <w:jc w:val="both"/>
                    <w:rPr>
                      <w:b/>
                    </w:rPr>
                  </w:pPr>
                  <w:r>
                    <w:t>Dès la réception d’un dossier, le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Pr>
                      <w:b/>
                    </w:rPr>
                    <w:t xml:space="preserve"> </w:t>
                  </w:r>
                  <w:r>
                    <w:t xml:space="preserve">Les informations à caractère confidentiel sont jointes </w:t>
                  </w:r>
                  <w:r>
                    <w:rPr>
                      <w:b/>
                      <w:u w:val="single"/>
                    </w:rPr>
                    <w:t>sous enveloppe fermée marquée de la mention «confidentiel »</w:t>
                  </w:r>
                  <w:r>
                    <w:rPr>
                      <w:b/>
                    </w:rPr>
                    <w:t>.</w:t>
                  </w:r>
                </w:p>
                <w:p w:rsidR="00F04EEF" w:rsidRDefault="00F04EEF">
                  <w:pPr>
                    <w:tabs>
                      <w:tab w:val="left" w:pos="-420"/>
                    </w:tabs>
                    <w:jc w:val="both"/>
                    <w:rPr>
                      <w:b/>
                    </w:rPr>
                  </w:pPr>
                </w:p>
                <w:p w:rsidR="00F04EEF" w:rsidRDefault="0099351E">
                  <w:pPr>
                    <w:tabs>
                      <w:tab w:val="left" w:pos="-420"/>
                    </w:tabs>
                    <w:jc w:val="both"/>
                    <w:rPr>
                      <w:b/>
                    </w:rPr>
                  </w:pPr>
                  <w:r>
                    <w:t>L’Inspecteur coordonnateur de l’enseignement spécialisé donne  mission et transmet le dossier au président de la Commission consultative du ressort dont dépend la demande d’avis.</w:t>
                  </w:r>
                </w:p>
                <w:p w:rsidR="00F04EEF" w:rsidRDefault="00F04EEF"/>
                <w:p w:rsidR="00F04EEF" w:rsidRDefault="0099351E">
                  <w:pPr>
                    <w:pStyle w:val="Titre3"/>
                    <w:rPr>
                      <w:sz w:val="22"/>
                      <w:szCs w:val="22"/>
                    </w:rPr>
                  </w:pPr>
                  <w:bookmarkStart w:id="3615" w:name="_Toc324767323"/>
                  <w:bookmarkStart w:id="3616" w:name="_Toc412204240"/>
                  <w:bookmarkStart w:id="3617" w:name="_Toc453837065"/>
                  <w:bookmarkStart w:id="3618" w:name="_Toc47708596"/>
                  <w:r>
                    <w:rPr>
                      <w:sz w:val="22"/>
                      <w:szCs w:val="22"/>
                    </w:rPr>
                    <w:t>4. Modalités d’organisation des commissions consultatives</w:t>
                  </w:r>
                  <w:bookmarkEnd w:id="3615"/>
                  <w:bookmarkEnd w:id="3616"/>
                  <w:bookmarkEnd w:id="3617"/>
                  <w:bookmarkEnd w:id="3618"/>
                </w:p>
                <w:p w:rsidR="00F04EEF" w:rsidRDefault="00F04EEF">
                  <w:pPr>
                    <w:jc w:val="both"/>
                  </w:pPr>
                </w:p>
                <w:p w:rsidR="00F04EEF" w:rsidRDefault="0099351E">
                  <w:pPr>
                    <w:jc w:val="both"/>
                  </w:pPr>
                  <w:r>
                    <w:t>Lieu de réunion : déterminé dans un endroit désigné de commun accord avec les membres ;</w:t>
                  </w:r>
                </w:p>
                <w:p w:rsidR="00F04EEF" w:rsidRDefault="0099351E">
                  <w:pPr>
                    <w:jc w:val="both"/>
                  </w:pPr>
                  <w:r>
                    <w:t>Date de réunion et ordre du jour : fixés par le président ;</w:t>
                  </w:r>
                </w:p>
                <w:p w:rsidR="00F04EEF" w:rsidRDefault="0099351E">
                  <w:pPr>
                    <w:jc w:val="both"/>
                  </w:pPr>
                  <w:r>
                    <w:t xml:space="preserve">Convocations : </w:t>
                  </w:r>
                  <w:r>
                    <w:tab/>
                    <w:t>envoyées par le secrétaire de la commission, au moins huit jours calendrier avant la date de la séance prévue ;</w:t>
                  </w:r>
                </w:p>
                <w:p w:rsidR="00F04EEF" w:rsidRDefault="0099351E">
                  <w:pPr>
                    <w:jc w:val="both"/>
                  </w:pPr>
                  <w:r>
                    <w:t>Absence : le membre effectif empêché avertit le président et invite lui-même son suppléant à le remplacer.</w:t>
                  </w:r>
                </w:p>
                <w:p w:rsidR="00F04EEF" w:rsidRDefault="00F04EEF">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rsidR="00F04EEF" w:rsidRDefault="0099351E">
                  <w:pPr>
                    <w:pStyle w:val="Titre3"/>
                    <w:rPr>
                      <w:sz w:val="22"/>
                      <w:szCs w:val="22"/>
                    </w:rPr>
                  </w:pPr>
                  <w:bookmarkStart w:id="3619" w:name="_Toc324767324"/>
                  <w:bookmarkStart w:id="3620" w:name="_Toc412204241"/>
                  <w:bookmarkStart w:id="3621" w:name="_Toc453837066"/>
                  <w:bookmarkStart w:id="3622" w:name="_Toc47708597"/>
                  <w:r>
                    <w:rPr>
                      <w:sz w:val="22"/>
                      <w:szCs w:val="22"/>
                    </w:rPr>
                    <w:t>5. Fonctionnement des commissions consultatives</w:t>
                  </w:r>
                  <w:bookmarkEnd w:id="3619"/>
                  <w:bookmarkEnd w:id="3620"/>
                  <w:bookmarkEnd w:id="3621"/>
                  <w:bookmarkEnd w:id="3622"/>
                  <w:r>
                    <w:rPr>
                      <w:sz w:val="22"/>
                      <w:szCs w:val="22"/>
                    </w:rPr>
                    <w:t xml:space="preserve"> </w:t>
                  </w:r>
                </w:p>
                <w:p w:rsidR="00F04EEF" w:rsidRDefault="00F04EEF">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b/>
                      <w:color w:val="800000"/>
                    </w:rPr>
                  </w:pPr>
                </w:p>
                <w:p w:rsidR="00F04EEF" w:rsidRDefault="0099351E">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r>
                    <w:rPr>
                      <w:u w:val="single"/>
                    </w:rPr>
                    <w:t>Avant de donner son avis</w:t>
                  </w:r>
                  <w:r>
                    <w:t>, la commission consultative de l’Enseignement spécialisé est tenue:</w:t>
                  </w:r>
                </w:p>
                <w:p w:rsidR="00F04EEF" w:rsidRDefault="00F04EEF">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rsidR="00F04EEF" w:rsidRDefault="0099351E">
                  <w:pPr>
                    <w:numPr>
                      <w:ilvl w:val="0"/>
                      <w:numId w:val="132"/>
                    </w:numPr>
                    <w:tabs>
                      <w:tab w:val="clear" w:pos="720"/>
                    </w:tabs>
                    <w:ind w:left="360"/>
                    <w:jc w:val="both"/>
                  </w:pPr>
                  <w:r>
                    <w:t>d’inviter le chef de famille ou le responsable légal à se présenter devant ladite commission afin de faire entendre son point de vue ; celui-ci peut se faire assister par le conseil de son choix ;</w:t>
                  </w:r>
                </w:p>
                <w:p w:rsidR="00F04EEF" w:rsidRDefault="0099351E">
                  <w:pPr>
                    <w:numPr>
                      <w:ilvl w:val="0"/>
                      <w:numId w:val="132"/>
                    </w:numPr>
                    <w:tabs>
                      <w:tab w:val="clear" w:pos="720"/>
                    </w:tabs>
                    <w:ind w:left="360"/>
                  </w:pPr>
                  <w:r>
                    <w:t>de faire établir, le cas échéant, le rapport établi par l’organisme tel que déterminé par l’article 12 du décret du 3 mars 2004.</w:t>
                  </w:r>
                  <w:r>
                    <w:br/>
                  </w:r>
                </w:p>
                <w:p w:rsidR="00F04EEF" w:rsidRDefault="0099351E">
                  <w:r>
                    <w:t>Le chef de famille choisit l’organisme ou le médecin qui établira le rapport.</w:t>
                  </w:r>
                </w:p>
                <w:p w:rsidR="00F04EEF" w:rsidRDefault="00F04EEF">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F04EEF" w:rsidRDefault="0099351E">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Si Le chef de famille ne veut pas être entendu ou refuse de faire examiner son enfant en vue de la rédaction du rapport prévu, la commission se prononcera alors sans que l’enfant ait été examiné.</w:t>
                  </w:r>
                </w:p>
                <w:p w:rsidR="00F04EEF" w:rsidRDefault="0099351E">
                  <w:r>
                    <w:br w:type="page"/>
                  </w:r>
                </w:p>
                <w:p w:rsidR="00F04EEF" w:rsidRDefault="00F04EEF">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F04EEF" w:rsidRDefault="0099351E">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b/>
                    </w:rPr>
                  </w:pPr>
                  <w:r>
                    <w:rPr>
                      <w:b/>
                    </w:rPr>
                    <w:t>La commission consultative de l’enseignement spécialisé communique son avis au chef de famille ou la personne responsable de l'élève par pli recommandé à la poste sauf en ce qui concerne la mission relative à la capacité de discernement d’un élève qui a commis un acte de violence (décret du 26 mars 2009 portant diverses dispositions en matière d’enseignement en alternance, d’enseignement spécialisé et d’enseignement de promotion sociale, article 22 et 23).</w:t>
                  </w:r>
                </w:p>
                <w:p w:rsidR="00F04EEF" w:rsidRDefault="00F04EEF">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F04EEF" w:rsidRDefault="0099351E">
                  <w:pPr>
                    <w:tabs>
                      <w:tab w:val="left" w:pos="-420"/>
                    </w:tabs>
                    <w:jc w:val="both"/>
                  </w:pPr>
                  <w:r>
                    <w:t xml:space="preserve">Si l’enfant semble relever de l’enseignement spécialisé selon les dispositions du Décret du 3 mars 2004 organisant l'Enseignement spécialisé, la commission, </w:t>
                  </w:r>
                  <w:r>
                    <w:rPr>
                      <w:b/>
                      <w:i/>
                    </w:rPr>
                    <w:t>en collaboration avec le PMS de tutelle</w:t>
                  </w:r>
                  <w:r>
                    <w:t>,  indique le type d’enseignement spécialisé qui convient à l’intéressé. Elle fournit la liste complète des établissements des divers réseaux qui dispensent cet enseignement.</w:t>
                  </w:r>
                </w:p>
                <w:p w:rsidR="00F04EEF" w:rsidRDefault="00F04EEF">
                  <w:pPr>
                    <w:tabs>
                      <w:tab w:val="left" w:pos="-420"/>
                    </w:tabs>
                    <w:jc w:val="both"/>
                  </w:pPr>
                </w:p>
                <w:p w:rsidR="00F04EEF" w:rsidRDefault="0099351E">
                  <w:pPr>
                    <w:tabs>
                      <w:tab w:val="left" w:pos="-420"/>
                    </w:tabs>
                    <w:jc w:val="both"/>
                    <w:rPr>
                      <w:i/>
                    </w:rPr>
                  </w:pPr>
                  <w:r>
                    <w:t>Le chef de famille dispose d’un délai de 30 jours pour communiquer sa décision, par pli recommandé à la poste, au président de la commission consultative</w:t>
                  </w:r>
                  <w:r>
                    <w:rPr>
                      <w:i/>
                    </w:rPr>
                    <w:t>. L’absence de courrier est synonyme d’acquiescement.</w:t>
                  </w:r>
                </w:p>
                <w:p w:rsidR="00F04EEF" w:rsidRDefault="00F04EEF">
                  <w:pPr>
                    <w:tabs>
                      <w:tab w:val="left" w:pos="-420"/>
                    </w:tabs>
                    <w:jc w:val="both"/>
                  </w:pPr>
                </w:p>
                <w:p w:rsidR="00F04EEF" w:rsidRDefault="0099351E">
                  <w:pPr>
                    <w:tabs>
                      <w:tab w:val="left" w:pos="-420"/>
                    </w:tabs>
                    <w:jc w:val="both"/>
                  </w:pPr>
                  <w:r>
                    <w:t>Si Le chef de famille oppose une fin de non recevoir à la suggestion de la commission consultative ou s’il n’a pas fait choix d’un établissement, la commission consultative réexamine le cas et communique son avis définitif au chef de famille par lettre recommandée à la poste.</w:t>
                  </w:r>
                </w:p>
                <w:p w:rsidR="00F04EEF" w:rsidRDefault="00F04EEF">
                  <w:pPr>
                    <w:tabs>
                      <w:tab w:val="left" w:pos="-420"/>
                    </w:tabs>
                    <w:jc w:val="both"/>
                  </w:pPr>
                </w:p>
                <w:p w:rsidR="00F04EEF" w:rsidRDefault="0099351E">
                  <w:pPr>
                    <w:tabs>
                      <w:tab w:val="left" w:pos="-420"/>
                    </w:tabs>
                    <w:jc w:val="both"/>
                  </w:pPr>
                  <w:r>
                    <w:t>Si, dans la quinzaine, Le chef de famille n’a pas pris de dispositions conformes ou n’en a pas avisé la commission consultative, celle-ci communique le dossier au Gouvernement qui prend les mesures nécessaires afin de garantir la scolarisation de l’enfant.</w:t>
                  </w:r>
                </w:p>
                <w:p w:rsidR="00F04EEF" w:rsidRDefault="00F04EEF"/>
                <w:p w:rsidR="00F04EEF" w:rsidRDefault="0099351E">
                  <w:pPr>
                    <w:pStyle w:val="Titre3"/>
                    <w:rPr>
                      <w:sz w:val="22"/>
                      <w:szCs w:val="22"/>
                    </w:rPr>
                  </w:pPr>
                  <w:bookmarkStart w:id="3623" w:name="_6._Présidences_des"/>
                  <w:bookmarkStart w:id="3624" w:name="_Toc324767325"/>
                  <w:bookmarkStart w:id="3625" w:name="_Toc412204242"/>
                  <w:bookmarkStart w:id="3626" w:name="_Toc453837067"/>
                  <w:bookmarkStart w:id="3627" w:name="_Toc47708598"/>
                  <w:bookmarkEnd w:id="3623"/>
                  <w:r>
                    <w:rPr>
                      <w:sz w:val="22"/>
                      <w:szCs w:val="22"/>
                    </w:rPr>
                    <w:t>6. Présidences des Commissions consultatives</w:t>
                  </w:r>
                  <w:bookmarkEnd w:id="3624"/>
                  <w:bookmarkEnd w:id="3625"/>
                  <w:bookmarkEnd w:id="3626"/>
                  <w:bookmarkEnd w:id="3627"/>
                </w:p>
                <w:p w:rsidR="00F04EEF" w:rsidRDefault="0099351E">
                  <w:r>
                    <w:rPr>
                      <w:noProof/>
                      <w:lang w:eastAsia="fr-BE"/>
                    </w:rPr>
                    <mc:AlternateContent>
                      <mc:Choice Requires="wps">
                        <w:drawing>
                          <wp:anchor distT="0" distB="0" distL="114300" distR="114300" simplePos="0" relativeHeight="252283904" behindDoc="0" locked="0" layoutInCell="1" allowOverlap="1">
                            <wp:simplePos x="0" y="0"/>
                            <wp:positionH relativeFrom="column">
                              <wp:posOffset>6200775</wp:posOffset>
                            </wp:positionH>
                            <wp:positionV relativeFrom="paragraph">
                              <wp:posOffset>1224915</wp:posOffset>
                            </wp:positionV>
                            <wp:extent cx="0" cy="152400"/>
                            <wp:effectExtent l="0" t="0" r="19050" b="19050"/>
                            <wp:wrapNone/>
                            <wp:docPr id="563" name="Connecteur droit 563"/>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388060" id="Connecteur droit 563" o:spid="_x0000_s1026" style="position:absolute;z-index:252283904;visibility:visible;mso-wrap-style:square;mso-wrap-distance-left:9pt;mso-wrap-distance-top:0;mso-wrap-distance-right:9pt;mso-wrap-distance-bottom:0;mso-position-horizontal:absolute;mso-position-horizontal-relative:text;mso-position-vertical:absolute;mso-position-vertical-relative:text" from="488.25pt,96.45pt" to="488.25pt,1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" strokecolor="black [3213]"/>
                        </w:pict>
                      </mc:Fallback>
                    </mc:AlternateContent>
                  </w:r>
                  <w:r>
                    <w:rPr>
                      <w:noProof/>
                      <w:lang w:eastAsia="fr-BE"/>
                    </w:rPr>
                    <mc:AlternateContent>
                      <mc:Choice Requires="wps">
                        <w:drawing>
                          <wp:anchor distT="0" distB="0" distL="114300" distR="114300" simplePos="0" relativeHeight="252281856" behindDoc="0" locked="0" layoutInCell="1" allowOverlap="1">
                            <wp:simplePos x="0" y="0"/>
                            <wp:positionH relativeFrom="column">
                              <wp:posOffset>6200775</wp:posOffset>
                            </wp:positionH>
                            <wp:positionV relativeFrom="paragraph">
                              <wp:posOffset>824865</wp:posOffset>
                            </wp:positionV>
                            <wp:extent cx="0" cy="152400"/>
                            <wp:effectExtent l="0" t="0" r="19050" b="19050"/>
                            <wp:wrapNone/>
                            <wp:docPr id="562" name="Connecteur droit 562"/>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10AE2B" id="Connecteur droit 562" o:spid="_x0000_s1026" style="position:absolute;z-index:252281856;visibility:visible;mso-wrap-style:square;mso-wrap-distance-left:9pt;mso-wrap-distance-top:0;mso-wrap-distance-right:9pt;mso-wrap-distance-bottom:0;mso-position-horizontal:absolute;mso-position-horizontal-relative:text;mso-position-vertical:absolute;mso-position-vertical-relative:text" from="488.25pt,64.95pt" to="488.25pt,7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" strokecolor="black [3213]"/>
                        </w:pict>
                      </mc:Fallback>
                    </mc:AlternateContent>
                  </w:r>
                  <w:r>
                    <w:rPr>
                      <w:noProof/>
                      <w:lang w:eastAsia="fr-BE"/>
                    </w:rPr>
                    <mc:AlternateContent>
                      <mc:Choice Requires="wps">
                        <w:drawing>
                          <wp:anchor distT="0" distB="0" distL="114300" distR="114300" simplePos="0" relativeHeight="252279808" behindDoc="0" locked="0" layoutInCell="1" allowOverlap="1">
                            <wp:simplePos x="0" y="0"/>
                            <wp:positionH relativeFrom="column">
                              <wp:posOffset>6200775</wp:posOffset>
                            </wp:positionH>
                            <wp:positionV relativeFrom="paragraph">
                              <wp:posOffset>519430</wp:posOffset>
                            </wp:positionV>
                            <wp:extent cx="0" cy="152400"/>
                            <wp:effectExtent l="0" t="0" r="19050" b="19050"/>
                            <wp:wrapNone/>
                            <wp:docPr id="561" name="Connecteur droit 561"/>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47F84E" id="Connecteur droit 561" o:spid="_x0000_s1026" style="position:absolute;z-index:252279808;visibility:visible;mso-wrap-style:square;mso-wrap-distance-left:9pt;mso-wrap-distance-top:0;mso-wrap-distance-right:9pt;mso-wrap-distance-bottom:0;mso-position-horizontal:absolute;mso-position-horizontal-relative:text;mso-position-vertical:absolute;mso-position-vertical-relative:text" from="488.25pt,40.9pt" to="488.25pt,5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" strokecolor="black [3213]"/>
                        </w:pict>
                      </mc:Fallback>
                    </mc:AlternateContent>
                  </w:r>
                </w:p>
                <w:tbl>
                  <w:tblPr>
                    <w:tblW w:w="0" w:type="auto"/>
                    <w:tblCellMar>
                      <w:left w:w="0" w:type="dxa"/>
                      <w:right w:w="0" w:type="dxa"/>
                    </w:tblCellMar>
                    <w:tblLook w:val="04A0" w:firstRow="1" w:lastRow="0" w:firstColumn="1" w:lastColumn="0" w:noHBand="0" w:noVBand="1"/>
                  </w:tblPr>
                  <w:tblGrid>
                    <w:gridCol w:w="3106"/>
                    <w:gridCol w:w="3114"/>
                    <w:gridCol w:w="3114"/>
                  </w:tblGrid>
                  <w:tr w:rsidR="00F04EEF">
                    <w:tc>
                      <w:tcPr>
                        <w:tcW w:w="310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Zone</w:t>
                        </w:r>
                      </w:p>
                    </w:tc>
                    <w:tc>
                      <w:tcPr>
                        <w:tcW w:w="31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effectif</w:t>
                        </w:r>
                      </w:p>
                    </w:tc>
                    <w:tc>
                      <w:tcPr>
                        <w:tcW w:w="31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Suppléant</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Zone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effectif</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Suppléant</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1 : Luxembourg</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Régine GENDARME</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2 : Bxl.</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Françoise REUBRECHT</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Geneviève VANDECASTEELE</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3 : Charleroi</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Olivier HONNORE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Geneviève VANDECASTEELE</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4 : Namur</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Françoise REUBRECHT</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5 : Huy- Waremme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J-P DEGHAYE</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6 : Liège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Thierry HARIGA</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J-P DEGHAYE</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7 :Mons</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Geneviève VANDECASTEELE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Régine GENDARME</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8 : BW</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Paul GERARD</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Olivier HONNORE</w:t>
                        </w:r>
                      </w:p>
                    </w:tc>
                  </w:tr>
                  <w:tr w:rsidR="00F04EEF">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9 :Ht.Occid.</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strike/>
                          </w:rPr>
                        </w:pPr>
                        <w:r>
                          <w:rPr>
                            <w:rFonts w:cstheme="minorHAnsi"/>
                          </w:rPr>
                          <w:t>Régine GENDARME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F04EEF" w:rsidRDefault="0099351E">
                        <w:pPr>
                          <w:rPr>
                            <w:rFonts w:cstheme="minorHAnsi"/>
                          </w:rPr>
                        </w:pPr>
                        <w:r>
                          <w:rPr>
                            <w:rFonts w:cstheme="minorHAnsi"/>
                          </w:rPr>
                          <w:t>Paul GERARD</w:t>
                        </w:r>
                      </w:p>
                    </w:tc>
                  </w:tr>
                </w:tbl>
                <w:p w:rsidR="00F04EEF" w:rsidRDefault="00F04EEF">
                  <w:pPr>
                    <w:rPr>
                      <w:rFonts w:ascii="Calibri" w:hAnsi="Calibri" w:cs="Calibri"/>
                    </w:rPr>
                  </w:pPr>
                </w:p>
                <w:p w:rsidR="00F04EEF" w:rsidRDefault="0099351E">
                  <w:pPr>
                    <w:pStyle w:val="Titre3"/>
                    <w:rPr>
                      <w:sz w:val="22"/>
                      <w:szCs w:val="22"/>
                      <w:lang w:val="fr-FR"/>
                    </w:rPr>
                  </w:pPr>
                  <w:bookmarkStart w:id="3628" w:name="_Toc324767326"/>
                  <w:bookmarkStart w:id="3629" w:name="_Toc412204243"/>
                  <w:bookmarkStart w:id="3630" w:name="_Toc453837068"/>
                  <w:bookmarkStart w:id="3631" w:name="_Toc47708599"/>
                  <w:r>
                    <w:rPr>
                      <w:sz w:val="22"/>
                      <w:szCs w:val="22"/>
                      <w:lang w:val="fr-FR"/>
                    </w:rPr>
                    <w:t>7. Documents utiles au traitement de la situation</w:t>
                  </w:r>
                  <w:bookmarkEnd w:id="3628"/>
                  <w:bookmarkEnd w:id="3629"/>
                  <w:bookmarkEnd w:id="3630"/>
                  <w:bookmarkEnd w:id="3631"/>
                </w:p>
                <w:p w:rsidR="00F04EEF" w:rsidRDefault="00F04EEF">
                  <w:pPr>
                    <w:jc w:val="both"/>
                  </w:pPr>
                </w:p>
                <w:p w:rsidR="00F04EEF" w:rsidRDefault="0099351E">
                  <w:pPr>
                    <w:jc w:val="both"/>
                  </w:pPr>
                  <w:r>
                    <w:t>Formulaires de demande et annexes demandées ci-après. (1 formulaire de demande par objet)</w:t>
                  </w:r>
                </w:p>
                <w:p w:rsidR="00F04EEF" w:rsidRDefault="00F04EEF">
                  <w:pPr>
                    <w:jc w:val="both"/>
                  </w:pPr>
                </w:p>
                <w:p w:rsidR="00F04EEF" w:rsidRDefault="0099351E">
                  <w:pPr>
                    <w:pStyle w:val="Titre3"/>
                    <w:rPr>
                      <w:sz w:val="22"/>
                      <w:szCs w:val="22"/>
                      <w:lang w:val="fr-FR"/>
                    </w:rPr>
                  </w:pPr>
                  <w:bookmarkStart w:id="3632" w:name="_8._Annexes_(7"/>
                  <w:bookmarkStart w:id="3633" w:name="_Toc324767327"/>
                  <w:bookmarkStart w:id="3634" w:name="_Toc412204244"/>
                  <w:bookmarkStart w:id="3635" w:name="_Toc453837069"/>
                  <w:bookmarkStart w:id="3636" w:name="_Toc47708600"/>
                  <w:bookmarkEnd w:id="3632"/>
                  <w:r>
                    <w:rPr>
                      <w:sz w:val="22"/>
                      <w:szCs w:val="22"/>
                      <w:lang w:val="fr-FR"/>
                    </w:rPr>
                    <w:t>8. Annexes (7 situations</w:t>
                  </w:r>
                  <w:bookmarkEnd w:id="3633"/>
                  <w:bookmarkEnd w:id="3634"/>
                  <w:r>
                    <w:rPr>
                      <w:sz w:val="22"/>
                      <w:szCs w:val="22"/>
                      <w:lang w:val="fr-FR"/>
                    </w:rPr>
                    <w:t>)</w:t>
                  </w:r>
                  <w:bookmarkEnd w:id="3635"/>
                  <w:bookmarkEnd w:id="3636"/>
                </w:p>
                <w:p w:rsidR="00F04EEF" w:rsidRDefault="0099351E">
                  <w:pPr>
                    <w:pStyle w:val="Titre4"/>
                  </w:pPr>
                  <w:r>
                    <w:br w:type="page"/>
                  </w:r>
                  <w:bookmarkStart w:id="3637" w:name="_Toc412204245"/>
                  <w:bookmarkStart w:id="3638" w:name="_Toc453837070"/>
                  <w:r>
                    <w:t>Situation n°1 : aptitude qu’a un élève à besoins spécifiques à recevoir l’enseignement spécialisé lorsqu’il ne fréquente aucune école</w:t>
                  </w:r>
                  <w:bookmarkEnd w:id="3637"/>
                  <w:bookmarkEnd w:id="3638"/>
                </w:p>
                <w:p w:rsidR="00F04EEF" w:rsidRDefault="00F04EEF">
                  <w:pPr>
                    <w:jc w:val="center"/>
                  </w:pPr>
                </w:p>
                <w:p w:rsidR="00F04EEF" w:rsidRDefault="0099351E">
                  <w:pPr>
                    <w:rPr>
                      <w:b/>
                    </w:rPr>
                  </w:pPr>
                  <w:r>
                    <w:rPr>
                      <w:b/>
                    </w:rPr>
                    <w:t>Demande introduite par :</w:t>
                  </w:r>
                </w:p>
                <w:p w:rsidR="00F04EEF" w:rsidRDefault="0099351E">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w:t>
                  </w:r>
                  <w:r>
                    <w:rPr>
                      <w:rFonts w:cs="Cambria"/>
                    </w:rPr>
                    <w:t> </w:t>
                  </w:r>
                  <w:r>
                    <w:t xml:space="preserve">: </w:t>
                  </w:r>
                  <w:r>
                    <w:rPr>
                      <w:rFonts w:cs="Cambria"/>
                    </w:rPr>
                    <w:t>à</w:t>
                  </w:r>
                  <w:r>
                    <w:t xml:space="preserve"> pr</w:t>
                  </w:r>
                  <w:r>
                    <w:rPr>
                      <w:rFonts w:cs="Cambria"/>
                    </w:rPr>
                    <w:t>é</w:t>
                  </w:r>
                  <w:r>
                    <w:t>ciser</w:t>
                  </w:r>
                  <w:r>
                    <w:rPr>
                      <w:rFonts w:cs="Cambria"/>
                    </w:rPr>
                    <w:t> </w:t>
                  </w:r>
                  <w:r>
                    <w:t xml:space="preserve">                 )</w:t>
                  </w:r>
                </w:p>
                <w:p w:rsidR="00F04EEF" w:rsidRDefault="0099351E">
                  <w:r>
                    <w:rPr>
                      <w:rFonts w:ascii="Times New Roman" w:hAnsi="Times New Roman" w:cs="Times New Roman"/>
                      <w:b/>
                    </w:rPr>
                    <w:t>□</w:t>
                  </w:r>
                  <w:r>
                    <w:t> : membre de l’inspection scolaire</w:t>
                  </w:r>
                </w:p>
                <w:p w:rsidR="00F04EEF" w:rsidRDefault="0099351E">
                  <w:r>
                    <w:rPr>
                      <w:b/>
                    </w:rPr>
                    <w:t>Identité du demandeur</w:t>
                  </w:r>
                  <w:r>
                    <w:t> :</w:t>
                  </w:r>
                </w:p>
                <w:p w:rsidR="00F04EEF" w:rsidRDefault="0099351E">
                  <w:r>
                    <w:t xml:space="preserve">Nom, prénom : </w:t>
                  </w:r>
                </w:p>
                <w:p w:rsidR="00F04EEF" w:rsidRDefault="0099351E">
                  <w:r>
                    <w:t xml:space="preserve">Adresse : </w:t>
                  </w:r>
                </w:p>
                <w:p w:rsidR="00F04EEF" w:rsidRDefault="00F04EEF"/>
                <w:p w:rsidR="00F04EEF" w:rsidRDefault="00F04EEF"/>
                <w:p w:rsidR="00F04EEF" w:rsidRDefault="0099351E">
                  <w:r>
                    <w:sym w:font="Wingdings" w:char="F028"/>
                  </w:r>
                  <w:r>
                    <w:t> :</w:t>
                  </w:r>
                  <w:r>
                    <w:tab/>
                  </w:r>
                  <w:r>
                    <w:tab/>
                    <w:t>/</w:t>
                  </w:r>
                  <w:r>
                    <w:tab/>
                  </w:r>
                  <w:r>
                    <w:tab/>
                  </w:r>
                  <w:r>
                    <w:tab/>
                  </w:r>
                  <w:r>
                    <w:tab/>
                    <w:t xml:space="preserve">éventuellement : </w:t>
                  </w:r>
                  <w:r>
                    <w:sym w:font="Wingdings" w:char="F03A"/>
                  </w:r>
                  <w:r>
                    <w:t xml:space="preserve"> : </w:t>
                  </w:r>
                </w:p>
                <w:p w:rsidR="00F04EEF" w:rsidRDefault="00F04EEF"/>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F04EEF">
                    <w:tc>
                      <w:tcPr>
                        <w:tcW w:w="10008" w:type="dxa"/>
                        <w:tcBorders>
                          <w:top w:val="single" w:sz="4" w:space="0" w:color="auto"/>
                          <w:bottom w:val="single" w:sz="4" w:space="0" w:color="auto"/>
                        </w:tcBorders>
                      </w:tcPr>
                      <w:p w:rsidR="00F04EEF" w:rsidRDefault="0099351E">
                        <w:pPr>
                          <w:rPr>
                            <w:b/>
                            <w:bCs/>
                            <w:caps/>
                          </w:rPr>
                        </w:pPr>
                        <w:r>
                          <w:rPr>
                            <w:b/>
                            <w:bCs/>
                            <w:caps/>
                          </w:rPr>
                          <w:t>concernE l’ElEve :</w:t>
                        </w:r>
                      </w:p>
                      <w:p w:rsidR="00F04EEF" w:rsidRDefault="0099351E">
                        <w:pPr>
                          <w:rPr>
                            <w:bCs/>
                          </w:rPr>
                        </w:pPr>
                        <w:r>
                          <w:rPr>
                            <w:bCs/>
                          </w:rPr>
                          <w:t>NOM et PRENOM:</w:t>
                        </w:r>
                      </w:p>
                      <w:p w:rsidR="00F04EEF" w:rsidRDefault="0099351E">
                        <w:pPr>
                          <w:jc w:val="both"/>
                          <w:rPr>
                            <w:bCs/>
                          </w:rPr>
                        </w:pPr>
                        <w:r>
                          <w:rPr>
                            <w:bCs/>
                          </w:rPr>
                          <w:t>ADRESSE :</w:t>
                        </w:r>
                      </w:p>
                      <w:p w:rsidR="00F04EEF" w:rsidRDefault="00F04EEF">
                        <w:pPr>
                          <w:jc w:val="both"/>
                          <w:rPr>
                            <w:bCs/>
                          </w:rPr>
                        </w:pPr>
                      </w:p>
                      <w:p w:rsidR="00F04EEF" w:rsidRDefault="0099351E">
                        <w:pPr>
                          <w:jc w:val="both"/>
                          <w:rPr>
                            <w:bCs/>
                          </w:rPr>
                        </w:pPr>
                        <w:r>
                          <w:rPr>
                            <w:bCs/>
                          </w:rPr>
                          <w:t xml:space="preserve">Date de naissance :     /      / </w:t>
                        </w:r>
                      </w:p>
                      <w:p w:rsidR="00F04EEF" w:rsidRDefault="0099351E">
                        <w:pPr>
                          <w:jc w:val="both"/>
                          <w:rPr>
                            <w:bCs/>
                          </w:rPr>
                        </w:pPr>
                        <w:r>
                          <w:rPr>
                            <w:bCs/>
                          </w:rPr>
                          <w:t xml:space="preserve">------------------------------------------------------------------------------------------------- </w:t>
                        </w:r>
                      </w:p>
                      <w:p w:rsidR="00F04EEF" w:rsidRDefault="0099351E">
                        <w:pPr>
                          <w:jc w:val="both"/>
                          <w:rPr>
                            <w:b/>
                            <w:bCs/>
                          </w:rPr>
                        </w:pPr>
                        <w:r>
                          <w:rPr>
                            <w:b/>
                            <w:bCs/>
                          </w:rPr>
                          <w:t>Situation du jeune avant demande d’avis :   à préciser : </w:t>
                        </w:r>
                        <w:r>
                          <w:rPr>
                            <w:b/>
                            <w:bCs/>
                          </w:rPr>
                          <w:sym w:font="Wingdings 2" w:char="F051"/>
                        </w:r>
                      </w:p>
                      <w:p w:rsidR="00F04EEF" w:rsidRDefault="0099351E">
                        <w:pPr>
                          <w:jc w:val="both"/>
                          <w:rPr>
                            <w:bCs/>
                          </w:rPr>
                        </w:pPr>
                        <w:r>
                          <w:rPr>
                            <w:rFonts w:ascii="Times New Roman" w:hAnsi="Times New Roman" w:cs="Times New Roman"/>
                            <w:bCs/>
                          </w:rPr>
                          <w:t>□</w:t>
                        </w:r>
                        <w:r>
                          <w:rPr>
                            <w:rFonts w:cs="Cambria"/>
                            <w:bCs/>
                          </w:rPr>
                          <w:t> </w:t>
                        </w:r>
                        <w:r>
                          <w:rPr>
                            <w:bCs/>
                          </w:rPr>
                          <w:t xml:space="preserve">: maintien </w:t>
                        </w:r>
                        <w:r>
                          <w:rPr>
                            <w:rFonts w:cs="Cambria"/>
                            <w:bCs/>
                          </w:rPr>
                          <w:t>à</w:t>
                        </w:r>
                        <w:r>
                          <w:rPr>
                            <w:bCs/>
                          </w:rPr>
                          <w:t xml:space="preserve"> domicile</w:t>
                        </w:r>
                      </w:p>
                      <w:p w:rsidR="00F04EEF" w:rsidRDefault="0099351E">
                        <w:pPr>
                          <w:jc w:val="both"/>
                          <w:rPr>
                            <w:bCs/>
                          </w:rPr>
                        </w:pPr>
                        <w:r>
                          <w:rPr>
                            <w:rFonts w:ascii="Times New Roman" w:hAnsi="Times New Roman" w:cs="Times New Roman"/>
                            <w:bCs/>
                          </w:rPr>
                          <w:t>□</w:t>
                        </w:r>
                        <w:r>
                          <w:rPr>
                            <w:rFonts w:cs="Cambria"/>
                            <w:bCs/>
                          </w:rPr>
                          <w:t> </w:t>
                        </w:r>
                        <w:r>
                          <w:rPr>
                            <w:bCs/>
                          </w:rPr>
                          <w:t>: hospitalisation</w:t>
                        </w:r>
                      </w:p>
                      <w:p w:rsidR="00F04EEF" w:rsidRDefault="0099351E">
                        <w:pPr>
                          <w:jc w:val="both"/>
                          <w:rPr>
                            <w:bCs/>
                          </w:rPr>
                        </w:pPr>
                        <w:r>
                          <w:rPr>
                            <w:rFonts w:ascii="Times New Roman" w:hAnsi="Times New Roman" w:cs="Times New Roman"/>
                            <w:bCs/>
                          </w:rPr>
                          <w:t>□</w:t>
                        </w:r>
                        <w:r>
                          <w:rPr>
                            <w:rFonts w:cs="Cambria"/>
                            <w:bCs/>
                          </w:rPr>
                          <w:t> </w:t>
                        </w:r>
                        <w:r>
                          <w:rPr>
                            <w:bCs/>
                          </w:rPr>
                          <w:t>: convalescence</w:t>
                        </w:r>
                      </w:p>
                      <w:p w:rsidR="00F04EEF" w:rsidRDefault="0099351E">
                        <w:pPr>
                          <w:jc w:val="both"/>
                          <w:rPr>
                            <w:bCs/>
                          </w:rPr>
                        </w:pPr>
                        <w:r>
                          <w:rPr>
                            <w:rFonts w:ascii="Times New Roman" w:hAnsi="Times New Roman" w:cs="Times New Roman"/>
                            <w:bCs/>
                          </w:rPr>
                          <w:t>□</w:t>
                        </w:r>
                        <w:r>
                          <w:rPr>
                            <w:rFonts w:cs="Cambria"/>
                            <w:bCs/>
                          </w:rPr>
                          <w:t> </w:t>
                        </w:r>
                        <w:r>
                          <w:rPr>
                            <w:bCs/>
                          </w:rPr>
                          <w:t>: service d</w:t>
                        </w:r>
                        <w:r>
                          <w:rPr>
                            <w:rFonts w:cs="Cambria"/>
                            <w:bCs/>
                          </w:rPr>
                          <w:t>’</w:t>
                        </w:r>
                        <w:r>
                          <w:rPr>
                            <w:bCs/>
                          </w:rPr>
                          <w:t>accueil de jour</w:t>
                        </w:r>
                      </w:p>
                      <w:p w:rsidR="00F04EEF" w:rsidRDefault="0099351E">
                        <w:pPr>
                          <w:jc w:val="both"/>
                          <w:rPr>
                            <w:bCs/>
                          </w:rPr>
                        </w:pPr>
                        <w:r>
                          <w:rPr>
                            <w:rFonts w:ascii="Times New Roman" w:hAnsi="Times New Roman" w:cs="Times New Roman"/>
                            <w:bCs/>
                          </w:rPr>
                          <w:t>□</w:t>
                        </w:r>
                        <w:r>
                          <w:rPr>
                            <w:rFonts w:cs="Cambria"/>
                            <w:bCs/>
                          </w:rPr>
                          <w:t> </w:t>
                        </w:r>
                        <w:r>
                          <w:rPr>
                            <w:bCs/>
                          </w:rPr>
                          <w:t xml:space="preserve">: autre </w:t>
                        </w:r>
                        <w:r>
                          <w:rPr>
                            <w:rFonts w:cs="Cambria"/>
                            <w:bCs/>
                          </w:rPr>
                          <w:t>…………………</w:t>
                        </w:r>
                        <w:r>
                          <w:rPr>
                            <w:bCs/>
                          </w:rPr>
                          <w:t>.</w:t>
                        </w:r>
                      </w:p>
                      <w:p w:rsidR="00F04EEF" w:rsidRDefault="0099351E">
                        <w:pPr>
                          <w:jc w:val="both"/>
                          <w:rPr>
                            <w:bCs/>
                          </w:rPr>
                        </w:pPr>
                        <w:r>
                          <w:rPr>
                            <w:bCs/>
                            <w:i/>
                          </w:rPr>
                          <w:t>Si enseignement fréquenté  antérieurement</w:t>
                        </w:r>
                        <w:r>
                          <w:rPr>
                            <w:bCs/>
                          </w:rPr>
                          <w:t> :   à préciser : </w:t>
                        </w:r>
                        <w:r>
                          <w:rPr>
                            <w:bCs/>
                          </w:rPr>
                          <w:sym w:font="Wingdings 2" w:char="F051"/>
                        </w:r>
                        <w:r>
                          <w:rPr>
                            <w:bCs/>
                          </w:rPr>
                          <w:t xml:space="preserve">  </w:t>
                        </w:r>
                      </w:p>
                      <w:p w:rsidR="00F04EEF" w:rsidRDefault="0099351E">
                        <w:pPr>
                          <w:jc w:val="both"/>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F04EEF">
                          <w:tc>
                            <w:tcPr>
                              <w:tcW w:w="4855"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Cs/>
                                </w:rPr>
                              </w:pPr>
                              <w:r>
                                <w:rPr>
                                  <w:bCs/>
                                </w:rPr>
                                <w:t>Niveau : primaire  -    secondaire</w:t>
                              </w:r>
                            </w:p>
                          </w:tc>
                        </w:tr>
                        <w:tr w:rsidR="00F04EEF">
                          <w:tc>
                            <w:tcPr>
                              <w:tcW w:w="485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Type :</w:t>
                              </w:r>
                            </w:p>
                          </w:tc>
                        </w:tr>
                        <w:tr w:rsidR="00F04EEF">
                          <w:tc>
                            <w:tcPr>
                              <w:tcW w:w="4855" w:type="dxa"/>
                              <w:tcBorders>
                                <w:top w:val="single" w:sz="4" w:space="0" w:color="auto"/>
                                <w:left w:val="single" w:sz="4" w:space="0" w:color="auto"/>
                                <w:bottom w:val="single" w:sz="4" w:space="0" w:color="auto"/>
                                <w:right w:val="single" w:sz="4" w:space="0" w:color="auto"/>
                              </w:tcBorders>
                            </w:tcPr>
                            <w:p w:rsidR="00F04EEF" w:rsidRDefault="00F04EEF">
                              <w:pPr>
                                <w:jc w:val="both"/>
                                <w:rPr>
                                  <w:bCs/>
                                </w:rPr>
                              </w:pPr>
                            </w:p>
                          </w:tc>
                          <w:tc>
                            <w:tcPr>
                              <w:tcW w:w="4680"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Maturité :                     Forme :</w:t>
                              </w:r>
                            </w:p>
                          </w:tc>
                        </w:tr>
                      </w:tbl>
                      <w:p w:rsidR="00F04EEF" w:rsidRDefault="00F04EEF">
                        <w:pPr>
                          <w:jc w:val="both"/>
                        </w:pPr>
                      </w:p>
                    </w:tc>
                  </w:tr>
                  <w:tr w:rsidR="00F04EEF">
                    <w:tc>
                      <w:tcPr>
                        <w:tcW w:w="10008"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Ecole fréquentée antérieurement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 </w:t>
                              </w:r>
                              <w:r>
                                <w:rPr>
                                  <w:bCs/>
                                </w:rPr>
                                <w:sym w:font="Wingdings" w:char="F028"/>
                              </w:r>
                              <w:r>
                                <w:rPr>
                                  <w:bCs/>
                                </w:rPr>
                                <w:t xml:space="preserve">: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 xml:space="preserve">Coordonnées du PMS : </w:t>
                              </w:r>
                              <w:r>
                                <w:rPr>
                                  <w:bCs/>
                                </w:rPr>
                                <w:sym w:font="Wingdings" w:char="F028"/>
                              </w:r>
                              <w:r>
                                <w:rPr>
                                  <w:bCs/>
                                </w:rPr>
                                <w:t xml:space="preserve">                                                    </w:t>
                              </w:r>
                              <w:r>
                                <w:rPr>
                                  <w:bCs/>
                                </w:rPr>
                                <w:sym w:font="Wingdings" w:char="F03A"/>
                              </w:r>
                              <w:r>
                                <w:rPr>
                                  <w:bCs/>
                                </w:rPr>
                                <w:t> :</w:t>
                              </w:r>
                            </w:p>
                          </w:tc>
                        </w:tr>
                      </w:tbl>
                      <w:p w:rsidR="00F04EEF" w:rsidRDefault="00F04EEF">
                        <w:pPr>
                          <w:jc w:val="both"/>
                        </w:pPr>
                      </w:p>
                    </w:tc>
                  </w:tr>
                  <w:tr w:rsidR="00F04EEF">
                    <w:tc>
                      <w:tcPr>
                        <w:tcW w:w="10008" w:type="dxa"/>
                        <w:tcBorders>
                          <w:top w:val="single" w:sz="4" w:space="0" w:color="auto"/>
                          <w:bottom w:val="single" w:sz="4" w:space="0" w:color="auto"/>
                        </w:tcBorders>
                      </w:tcPr>
                      <w:p w:rsidR="00F04EEF" w:rsidRDefault="00F04EEF">
                        <w:pPr>
                          <w:jc w:val="both"/>
                          <w:rPr>
                            <w:b/>
                          </w:rPr>
                        </w:pPr>
                      </w:p>
                      <w:p w:rsidR="00F04EEF" w:rsidRDefault="0099351E">
                        <w:pPr>
                          <w:jc w:val="both"/>
                          <w:rPr>
                            <w:b/>
                          </w:rPr>
                        </w:pPr>
                        <w:r>
                          <w:rPr>
                            <w:b/>
                          </w:rPr>
                          <w:t>Documents utiles et/ou nécessaires au traitement de la demande :</w:t>
                        </w:r>
                      </w:p>
                      <w:p w:rsidR="00F04EEF" w:rsidRDefault="0099351E">
                        <w:pPr>
                          <w:jc w:val="both"/>
                        </w:pPr>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rsidR="00F04EEF" w:rsidRDefault="0099351E">
                        <w:pPr>
                          <w:jc w:val="both"/>
                        </w:pPr>
                        <w:r>
                          <w:rPr>
                            <w:rFonts w:ascii="Times New Roman" w:hAnsi="Times New Roman" w:cs="Times New Roman"/>
                          </w:rPr>
                          <w:t>□</w:t>
                        </w:r>
                        <w:r>
                          <w:rPr>
                            <w:rFonts w:cs="Cambria"/>
                          </w:rPr>
                          <w:t> </w:t>
                        </w:r>
                        <w:r>
                          <w:t>: attestation de fr</w:t>
                        </w:r>
                        <w:r>
                          <w:rPr>
                            <w:rFonts w:cs="Cambria"/>
                          </w:rPr>
                          <w:t>é</w:t>
                        </w:r>
                        <w:r>
                          <w:t>quentation d</w:t>
                        </w:r>
                        <w:r>
                          <w:rPr>
                            <w:rFonts w:cs="Cambria"/>
                          </w:rPr>
                          <w:t>’</w:t>
                        </w:r>
                        <w:r>
                          <w:t>un service d</w:t>
                        </w:r>
                        <w:r>
                          <w:rPr>
                            <w:rFonts w:cs="Cambria"/>
                          </w:rPr>
                          <w:t>’</w:t>
                        </w:r>
                        <w:r>
                          <w:t>accueil de jour</w:t>
                        </w:r>
                      </w:p>
                      <w:p w:rsidR="00F04EEF" w:rsidRDefault="0099351E">
                        <w:pPr>
                          <w:jc w:val="both"/>
                          <w:rPr>
                            <w:b/>
                          </w:rPr>
                        </w:pPr>
                        <w:r>
                          <w:t>--------------------------------------------------------------------------------------------------</w:t>
                        </w:r>
                      </w:p>
                      <w:p w:rsidR="00F04EEF" w:rsidRDefault="0099351E">
                        <w:pPr>
                          <w:jc w:val="both"/>
                          <w:rPr>
                            <w:b/>
                          </w:rPr>
                        </w:pPr>
                        <w:r>
                          <w:rPr>
                            <w:b/>
                          </w:rPr>
                          <w:t>DATE :                                                                 SIGNATURE :</w:t>
                        </w:r>
                      </w:p>
                      <w:p w:rsidR="00F04EEF" w:rsidRDefault="00F04EEF">
                        <w:pPr>
                          <w:jc w:val="both"/>
                          <w:rPr>
                            <w:b/>
                          </w:rPr>
                        </w:pPr>
                      </w:p>
                    </w:tc>
                  </w:tr>
                  <w:tr w:rsidR="00F04EEF">
                    <w:tc>
                      <w:tcPr>
                        <w:tcW w:w="10008" w:type="dxa"/>
                        <w:tcBorders>
                          <w:top w:val="single" w:sz="4" w:space="0" w:color="auto"/>
                          <w:left w:val="single" w:sz="4" w:space="0" w:color="auto"/>
                          <w:bottom w:val="single" w:sz="4" w:space="0" w:color="auto"/>
                          <w:right w:val="single" w:sz="4" w:space="0" w:color="auto"/>
                        </w:tcBorders>
                      </w:tcPr>
                      <w:p w:rsidR="00F04EEF" w:rsidRDefault="0099351E">
                        <w:pPr>
                          <w:pBdr>
                            <w:right w:val="single" w:sz="4" w:space="1" w:color="auto"/>
                          </w:pBdr>
                          <w:jc w:val="center"/>
                        </w:pPr>
                        <w:r>
                          <w:rPr>
                            <w:b/>
                          </w:rPr>
                          <w:t>Formulaire de demande d’avis à adresser</w:t>
                        </w:r>
                        <w:r>
                          <w:t> :</w:t>
                        </w:r>
                      </w:p>
                      <w:p w:rsidR="00F04EEF" w:rsidRDefault="0099351E">
                        <w:pPr>
                          <w:pBdr>
                            <w:right w:val="single" w:sz="4" w:space="1" w:color="auto"/>
                          </w:pBdr>
                          <w:jc w:val="center"/>
                        </w:pPr>
                        <w:r>
                          <w:t>Direction générale de l’enseignement obligatoire</w:t>
                        </w:r>
                      </w:p>
                      <w:p w:rsidR="00F04EEF" w:rsidRDefault="0099351E">
                        <w:pPr>
                          <w:pBdr>
                            <w:right w:val="single" w:sz="4" w:space="1" w:color="auto"/>
                          </w:pBdr>
                          <w:jc w:val="center"/>
                        </w:pPr>
                        <w:r>
                          <w:t>Service de l’enseignement spécialisé</w:t>
                        </w:r>
                      </w:p>
                      <w:p w:rsidR="00F04EEF" w:rsidRDefault="0099351E">
                        <w:pPr>
                          <w:pBdr>
                            <w:right w:val="single" w:sz="4" w:space="1" w:color="auto"/>
                          </w:pBdr>
                          <w:jc w:val="center"/>
                          <w:rPr>
                            <w:color w:val="000000"/>
                          </w:rPr>
                        </w:pPr>
                        <w:r>
                          <w:rPr>
                            <w:color w:val="000000"/>
                          </w:rPr>
                          <w:t>Madame Nathalie DUJARDIN</w:t>
                        </w:r>
                      </w:p>
                      <w:p w:rsidR="00F04EEF" w:rsidRDefault="0099351E">
                        <w:pPr>
                          <w:pBdr>
                            <w:right w:val="single" w:sz="4" w:space="1" w:color="auto"/>
                          </w:pBdr>
                          <w:jc w:val="center"/>
                        </w:pPr>
                        <w:r>
                          <w:t>Bureau 2F250</w:t>
                        </w:r>
                      </w:p>
                      <w:p w:rsidR="00F04EEF" w:rsidRDefault="0099351E">
                        <w:pPr>
                          <w:pBdr>
                            <w:right w:val="single" w:sz="4" w:space="1" w:color="auto"/>
                          </w:pBdr>
                          <w:jc w:val="center"/>
                        </w:pPr>
                        <w:r>
                          <w:t>Rue Adolphe Lavallée, 1</w:t>
                        </w:r>
                      </w:p>
                      <w:p w:rsidR="00F04EEF" w:rsidRDefault="0099351E">
                        <w:pPr>
                          <w:pBdr>
                            <w:right w:val="single" w:sz="4" w:space="1" w:color="auto"/>
                          </w:pBdr>
                          <w:jc w:val="center"/>
                        </w:pPr>
                        <w:r>
                          <w:t>1080   BRUXELLES</w:t>
                        </w:r>
                      </w:p>
                      <w:p w:rsidR="00F04EEF" w:rsidRDefault="0099351E">
                        <w:pPr>
                          <w:pBdr>
                            <w:right w:val="single" w:sz="4" w:space="1" w:color="auto"/>
                          </w:pBdr>
                          <w:jc w:val="center"/>
                          <w:rPr>
                            <w:lang w:val="fr-FR"/>
                          </w:rPr>
                        </w:pPr>
                        <w:r>
                          <w:sym w:font="Wingdings" w:char="F028"/>
                        </w:r>
                        <w:r>
                          <w:rPr>
                            <w:lang w:val="fr-FR"/>
                          </w:rPr>
                          <w:t> : 02/690.88.59 – GSM : 0472/94.31.95</w:t>
                        </w:r>
                      </w:p>
                      <w:p w:rsidR="00F04EEF" w:rsidRDefault="0099351E">
                        <w:pPr>
                          <w:pBdr>
                            <w:right w:val="single" w:sz="4" w:space="1" w:color="auto"/>
                          </w:pBdr>
                          <w:jc w:val="center"/>
                          <w:rPr>
                            <w:b/>
                          </w:rPr>
                        </w:pPr>
                        <w:r>
                          <w:rPr>
                            <w:lang w:val="fr-FR"/>
                          </w:rPr>
                          <w:t xml:space="preserve"> </w:t>
                        </w:r>
                        <w:r>
                          <w:rPr>
                            <w:bCs/>
                          </w:rPr>
                          <w:sym w:font="Wingdings" w:char="F03A"/>
                        </w:r>
                        <w:r>
                          <w:rPr>
                            <w:bCs/>
                            <w:lang w:val="fr-FR"/>
                          </w:rPr>
                          <w:t> </w:t>
                        </w:r>
                        <w:r>
                          <w:rPr>
                            <w:lang w:val="fr-FR"/>
                          </w:rPr>
                          <w:t xml:space="preserve"> </w:t>
                        </w:r>
                        <w:hyperlink r:id="rId263" w:history="1">
                          <w:r>
                            <w:rPr>
                              <w:rStyle w:val="Lienhypertexte"/>
                              <w:rFonts w:cs="Arial"/>
                              <w:b/>
                              <w:lang w:val="fr-FR"/>
                            </w:rPr>
                            <w:t>nathalie.dujardin@cfwb.be</w:t>
                          </w:r>
                        </w:hyperlink>
                      </w:p>
                    </w:tc>
                  </w:tr>
                </w:tbl>
                <w:p w:rsidR="00F04EEF" w:rsidRDefault="00F04EEF">
                  <w:pPr>
                    <w:rPr>
                      <w:b/>
                    </w:rPr>
                    <w:sectPr w:rsidR="00F04EEF">
                      <w:footerReference w:type="default" r:id="rId264"/>
                      <w:type w:val="nextColumn"/>
                      <w:pgSz w:w="11906" w:h="16838"/>
                      <w:pgMar w:top="1134" w:right="1134" w:bottom="1134" w:left="1418" w:header="709" w:footer="142" w:gutter="0"/>
                      <w:cols w:space="720"/>
                      <w:docGrid w:linePitch="299"/>
                    </w:sectPr>
                  </w:pPr>
                </w:p>
                <w:p w:rsidR="00F04EEF" w:rsidRDefault="0099351E">
                  <w:pPr>
                    <w:pStyle w:val="Titre4"/>
                  </w:pPr>
                  <w:bookmarkStart w:id="3639" w:name="_Toc412204246"/>
                  <w:bookmarkStart w:id="3640" w:name="_Toc453837071"/>
                  <w:r>
                    <w:t>Situation n°2 : opportunité de faire dispenser l’enseignement à domicile à un élève à besoins spécifiques qui ne peut se déplacer ou être transporté en raison de la gravité de son handicap</w:t>
                  </w:r>
                  <w:bookmarkEnd w:id="3639"/>
                  <w:bookmarkEnd w:id="3640"/>
                </w:p>
                <w:p w:rsidR="00F04EEF" w:rsidRDefault="00F04EEF">
                  <w:pPr>
                    <w:jc w:val="center"/>
                  </w:pPr>
                </w:p>
                <w:p w:rsidR="00F04EEF" w:rsidRDefault="0099351E">
                  <w:pPr>
                    <w:rPr>
                      <w:b/>
                    </w:rPr>
                  </w:pPr>
                  <w:r>
                    <w:rPr>
                      <w:b/>
                    </w:rPr>
                    <w:t>Demande introduite par :</w:t>
                  </w:r>
                </w:p>
                <w:p w:rsidR="00F04EEF" w:rsidRDefault="0099351E">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sidR="00F04EEF" w:rsidRDefault="0099351E">
                  <w:r>
                    <w:rPr>
                      <w:rFonts w:ascii="Times New Roman" w:hAnsi="Times New Roman" w:cs="Times New Roman"/>
                      <w:b/>
                    </w:rPr>
                    <w:t>□</w:t>
                  </w:r>
                  <w:r>
                    <w:t> : membre de l’inspection scolaire</w:t>
                  </w:r>
                </w:p>
                <w:p w:rsidR="00F04EEF" w:rsidRDefault="0099351E">
                  <w:r>
                    <w:rPr>
                      <w:b/>
                    </w:rPr>
                    <w:t>Identité du demandeur</w:t>
                  </w:r>
                  <w:r>
                    <w:t> :</w:t>
                  </w:r>
                </w:p>
                <w:p w:rsidR="00F04EEF" w:rsidRDefault="0099351E">
                  <w:r>
                    <w:t>Nom, prénom :</w:t>
                  </w:r>
                </w:p>
                <w:p w:rsidR="00F04EEF" w:rsidRDefault="0099351E">
                  <w:r>
                    <w:t xml:space="preserve">Adresse : </w:t>
                  </w:r>
                </w:p>
                <w:p w:rsidR="00F04EEF" w:rsidRDefault="00F04EEF"/>
                <w:p w:rsidR="00F04EEF" w:rsidRDefault="0099351E">
                  <w:r>
                    <w:sym w:font="Wingdings" w:char="F028"/>
                  </w:r>
                  <w:r>
                    <w:t> :</w:t>
                  </w:r>
                  <w:r>
                    <w:tab/>
                  </w:r>
                  <w:r>
                    <w:tab/>
                    <w:t>/</w:t>
                  </w:r>
                  <w:r>
                    <w:tab/>
                  </w:r>
                  <w:r>
                    <w:tab/>
                  </w:r>
                  <w:r>
                    <w:tab/>
                  </w:r>
                  <w:r>
                    <w:tab/>
                  </w:r>
                  <w:r>
                    <w:tab/>
                  </w:r>
                  <w:r>
                    <w:sym w:font="Wingdings" w:char="F03A"/>
                  </w:r>
                  <w:r>
                    <w:t> :</w:t>
                  </w:r>
                </w:p>
                <w:p w:rsidR="00F04EEF" w:rsidRDefault="0099351E">
                  <w:r>
                    <w:t>Si identité de la personne responsable différente :</w:t>
                  </w:r>
                </w:p>
                <w:p w:rsidR="00F04EEF" w:rsidRDefault="0099351E">
                  <w:r>
                    <w:t>NOM, PRENOM :</w:t>
                  </w:r>
                </w:p>
                <w:p w:rsidR="00F04EEF" w:rsidRDefault="0099351E">
                  <w:r>
                    <w:t xml:space="preserve">ADRESSE : </w:t>
                  </w:r>
                </w:p>
                <w:p w:rsidR="00F04EEF" w:rsidRDefault="00F04EEF"/>
                <w:p w:rsidR="00F04EEF" w:rsidRDefault="0099351E">
                  <w:r>
                    <w:t> </w:t>
                  </w:r>
                  <w:r>
                    <w:sym w:font="Wingdings" w:char="F028"/>
                  </w:r>
                  <w:r>
                    <w:t xml:space="preserve"> : </w:t>
                  </w:r>
                  <w:r>
                    <w:tab/>
                  </w:r>
                  <w:r>
                    <w:tab/>
                    <w:t>/</w:t>
                  </w:r>
                  <w:r>
                    <w:tab/>
                  </w:r>
                  <w:r>
                    <w:tab/>
                  </w:r>
                  <w:r>
                    <w:tab/>
                  </w:r>
                  <w:r>
                    <w:tab/>
                  </w:r>
                  <w:r>
                    <w:tab/>
                  </w:r>
                  <w:r>
                    <w:sym w:font="Wingdings" w:char="F03A"/>
                  </w:r>
                  <w: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F04EEF">
                    <w:tc>
                      <w:tcPr>
                        <w:tcW w:w="10008" w:type="dxa"/>
                        <w:tcBorders>
                          <w:top w:val="single" w:sz="4" w:space="0" w:color="auto"/>
                          <w:bottom w:val="single" w:sz="4" w:space="0" w:color="auto"/>
                        </w:tcBorders>
                      </w:tcPr>
                      <w:p w:rsidR="00F04EEF" w:rsidRDefault="0099351E">
                        <w:pPr>
                          <w:rPr>
                            <w:bCs/>
                          </w:rPr>
                        </w:pPr>
                        <w:r>
                          <w:rPr>
                            <w:b/>
                            <w:bCs/>
                            <w:caps/>
                          </w:rPr>
                          <w:t>concernE l’ElEve:</w:t>
                        </w:r>
                        <w:r>
                          <w:rPr>
                            <w:bCs/>
                          </w:rPr>
                          <w:br/>
                          <w:t>NOM, PRENOM:</w:t>
                        </w:r>
                      </w:p>
                      <w:p w:rsidR="00F04EEF" w:rsidRDefault="0099351E">
                        <w:pPr>
                          <w:jc w:val="both"/>
                          <w:rPr>
                            <w:bCs/>
                          </w:rPr>
                        </w:pPr>
                        <w:r>
                          <w:rPr>
                            <w:bCs/>
                          </w:rPr>
                          <w:t xml:space="preserve">ADRESSE : </w:t>
                        </w:r>
                      </w:p>
                      <w:p w:rsidR="00F04EEF" w:rsidRDefault="00F04EEF">
                        <w:pPr>
                          <w:jc w:val="both"/>
                          <w:rPr>
                            <w:bCs/>
                          </w:rPr>
                        </w:pPr>
                      </w:p>
                      <w:p w:rsidR="00F04EEF" w:rsidRDefault="0099351E">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Ecole fréquentée au moment de la demande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 xml:space="preserve">Coordonnées du PMS : </w:t>
                              </w:r>
                            </w:p>
                          </w:tc>
                        </w:tr>
                      </w:tbl>
                      <w:p w:rsidR="00F04EEF" w:rsidRDefault="0099351E">
                        <w:pPr>
                          <w:jc w:val="both"/>
                          <w:rPr>
                            <w:bCs/>
                          </w:rPr>
                        </w:pPr>
                        <w:r>
                          <w:rPr>
                            <w:b/>
                            <w:bCs/>
                            <w:i/>
                          </w:rPr>
                          <w:t>Enseignement fréquenté</w:t>
                        </w:r>
                        <w:r>
                          <w:rPr>
                            <w:b/>
                            <w:bCs/>
                          </w:rPr>
                          <w:t> :</w:t>
                        </w:r>
                        <w:r>
                          <w:rPr>
                            <w:bCs/>
                          </w:rPr>
                          <w:t xml:space="preserve">   à préciser : </w:t>
                        </w:r>
                        <w:r>
                          <w:rPr>
                            <w:bCs/>
                          </w:rPr>
                          <w:sym w:font="Wingdings 2" w:char="F051"/>
                        </w:r>
                        <w:r>
                          <w:rPr>
                            <w:bCs/>
                          </w:rPr>
                          <w:t xml:space="preserve">  </w:t>
                        </w:r>
                      </w:p>
                      <w:p w:rsidR="00F04EEF" w:rsidRDefault="0099351E">
                        <w:pPr>
                          <w:jc w:val="both"/>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F04EEF">
                          <w:tc>
                            <w:tcPr>
                              <w:tcW w:w="4855"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Cs/>
                                </w:rPr>
                              </w:pPr>
                              <w:r>
                                <w:rPr>
                                  <w:bCs/>
                                </w:rPr>
                                <w:t>Niveau : primaire  -    secondaire</w:t>
                              </w:r>
                            </w:p>
                          </w:tc>
                        </w:tr>
                        <w:tr w:rsidR="00F04EEF">
                          <w:tc>
                            <w:tcPr>
                              <w:tcW w:w="485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Type :</w:t>
                              </w:r>
                            </w:p>
                          </w:tc>
                        </w:tr>
                        <w:tr w:rsidR="00F04EEF">
                          <w:tc>
                            <w:tcPr>
                              <w:tcW w:w="4855" w:type="dxa"/>
                              <w:tcBorders>
                                <w:top w:val="single" w:sz="4" w:space="0" w:color="auto"/>
                                <w:left w:val="single" w:sz="4" w:space="0" w:color="auto"/>
                                <w:bottom w:val="single" w:sz="4" w:space="0" w:color="auto"/>
                                <w:right w:val="single" w:sz="4" w:space="0" w:color="auto"/>
                              </w:tcBorders>
                            </w:tcPr>
                            <w:p w:rsidR="00F04EEF" w:rsidRDefault="00F04EEF">
                              <w:pPr>
                                <w:jc w:val="both"/>
                                <w:rPr>
                                  <w:bCs/>
                                </w:rPr>
                              </w:pPr>
                            </w:p>
                          </w:tc>
                          <w:tc>
                            <w:tcPr>
                              <w:tcW w:w="4680"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Maturité :                     Forme :</w:t>
                              </w:r>
                            </w:p>
                          </w:tc>
                        </w:tr>
                        <w:tr w:rsidR="00F04EEF">
                          <w:tc>
                            <w:tcPr>
                              <w:tcW w:w="9535" w:type="dxa"/>
                              <w:gridSpan w:val="2"/>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Ecole de type 5 assurant la prise en charge :</w:t>
                              </w:r>
                            </w:p>
                          </w:tc>
                        </w:tr>
                        <w:tr w:rsidR="00F04EEF">
                          <w:tc>
                            <w:tcPr>
                              <w:tcW w:w="9535" w:type="dxa"/>
                              <w:gridSpan w:val="2"/>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gridSpan w:val="2"/>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gridSpan w:val="2"/>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bl>
                      <w:p w:rsidR="00F04EEF" w:rsidRDefault="00F04EEF">
                        <w:pPr>
                          <w:jc w:val="both"/>
                        </w:pPr>
                      </w:p>
                    </w:tc>
                  </w:tr>
                  <w:tr w:rsidR="00F04EEF">
                    <w:tc>
                      <w:tcPr>
                        <w:tcW w:w="10008" w:type="dxa"/>
                        <w:tcBorders>
                          <w:top w:val="single" w:sz="4" w:space="0" w:color="auto"/>
                          <w:bottom w:val="single" w:sz="4" w:space="0" w:color="auto"/>
                        </w:tcBorders>
                      </w:tcPr>
                      <w:p w:rsidR="00F04EEF" w:rsidRDefault="0099351E">
                        <w:pPr>
                          <w:jc w:val="both"/>
                          <w:rPr>
                            <w:b/>
                          </w:rPr>
                        </w:pPr>
                        <w:r>
                          <w:rPr>
                            <w:b/>
                          </w:rPr>
                          <w:t>Documents utiles et/ou nécessaires au traitement de la demande :</w:t>
                        </w:r>
                      </w:p>
                      <w:p w:rsidR="00F04EEF" w:rsidRDefault="0099351E">
                        <w:pPr>
                          <w:jc w:val="both"/>
                        </w:pPr>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rsidR="00F04EEF" w:rsidRDefault="0099351E">
                        <w:pPr>
                          <w:jc w:val="both"/>
                        </w:pPr>
                        <w:r>
                          <w:rPr>
                            <w:rFonts w:ascii="Times New Roman" w:hAnsi="Times New Roman" w:cs="Times New Roman"/>
                          </w:rPr>
                          <w:t>□</w:t>
                        </w:r>
                        <w:r>
                          <w:rPr>
                            <w:rFonts w:cs="Cambria"/>
                          </w:rPr>
                          <w:t> </w:t>
                        </w:r>
                        <w:r>
                          <w:t>: lettre de motivation</w:t>
                        </w:r>
                      </w:p>
                      <w:p w:rsidR="00F04EEF" w:rsidRDefault="0099351E">
                        <w:pPr>
                          <w:jc w:val="both"/>
                        </w:pPr>
                        <w:r>
                          <w:rPr>
                            <w:rFonts w:ascii="Times New Roman" w:hAnsi="Times New Roman" w:cs="Times New Roman"/>
                          </w:rPr>
                          <w:t>□</w:t>
                        </w:r>
                        <w:r>
                          <w:rPr>
                            <w:rFonts w:cs="Cambria"/>
                          </w:rPr>
                          <w:t> </w:t>
                        </w:r>
                        <w:r>
                          <w:t>: projet p</w:t>
                        </w:r>
                        <w:r>
                          <w:rPr>
                            <w:rFonts w:cs="Cambria"/>
                          </w:rPr>
                          <w:t>é</w:t>
                        </w:r>
                        <w:r>
                          <w:t>dagogique sp</w:t>
                        </w:r>
                        <w:r>
                          <w:rPr>
                            <w:rFonts w:cs="Cambria"/>
                          </w:rPr>
                          <w:t>é</w:t>
                        </w:r>
                        <w:r>
                          <w:t>cifique</w:t>
                        </w:r>
                      </w:p>
                      <w:p w:rsidR="00F04EEF" w:rsidRDefault="0099351E">
                        <w:pPr>
                          <w:jc w:val="both"/>
                          <w:rPr>
                            <w:b/>
                          </w:rPr>
                        </w:pPr>
                        <w:r>
                          <w:t>--------------------------------------------------------------------------------------------------</w:t>
                        </w:r>
                      </w:p>
                      <w:p w:rsidR="00F04EEF" w:rsidRDefault="0099351E">
                        <w:pPr>
                          <w:jc w:val="both"/>
                          <w:rPr>
                            <w:b/>
                          </w:rPr>
                        </w:pPr>
                        <w:r>
                          <w:rPr>
                            <w:b/>
                          </w:rPr>
                          <w:t>DATE :                                                                      SIGNATURE :</w:t>
                        </w:r>
                      </w:p>
                    </w:tc>
                  </w:tr>
                  <w:tr w:rsidR="00F04EEF">
                    <w:tc>
                      <w:tcPr>
                        <w:tcW w:w="10008" w:type="dxa"/>
                        <w:tcBorders>
                          <w:top w:val="single" w:sz="4" w:space="0" w:color="auto"/>
                          <w:left w:val="single" w:sz="4" w:space="0" w:color="auto"/>
                          <w:bottom w:val="single" w:sz="4" w:space="0" w:color="auto"/>
                          <w:right w:val="single" w:sz="4" w:space="0" w:color="auto"/>
                        </w:tcBorders>
                      </w:tcPr>
                      <w:p w:rsidR="00F04EEF" w:rsidRDefault="0099351E">
                        <w:pPr>
                          <w:jc w:val="center"/>
                        </w:pPr>
                        <w:r>
                          <w:rPr>
                            <w:b/>
                          </w:rPr>
                          <w:t>Formulaire de demande d’avis à adresser</w:t>
                        </w:r>
                        <w:r>
                          <w:t> :</w:t>
                        </w:r>
                      </w:p>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rPr>
                            <w:color w:val="000000"/>
                          </w:rPr>
                        </w:pPr>
                        <w:r>
                          <w:rPr>
                            <w:color w:val="000000"/>
                          </w:rPr>
                          <w:t>Madame Nathalie DUJARDIN</w:t>
                        </w:r>
                      </w:p>
                      <w:p w:rsidR="00F04EEF" w:rsidRDefault="0099351E">
                        <w:pPr>
                          <w:jc w:val="center"/>
                        </w:pPr>
                        <w:r>
                          <w:t>Bureau 2F250</w:t>
                        </w:r>
                      </w:p>
                      <w:p w:rsidR="00F04EEF" w:rsidRDefault="0099351E">
                        <w:pPr>
                          <w:jc w:val="center"/>
                        </w:pPr>
                        <w:r>
                          <w:t>Rue Adolphe Lavallée, 1</w:t>
                        </w:r>
                      </w:p>
                      <w:p w:rsidR="00F04EEF" w:rsidRDefault="0099351E">
                        <w:pPr>
                          <w:jc w:val="center"/>
                        </w:pPr>
                        <w:r>
                          <w:t>1080   BRUXELLES</w:t>
                        </w:r>
                      </w:p>
                      <w:p w:rsidR="00F04EEF" w:rsidRDefault="0099351E">
                        <w:pPr>
                          <w:jc w:val="center"/>
                          <w:rPr>
                            <w:lang w:val="fr-FR"/>
                          </w:rPr>
                        </w:pPr>
                        <w:r>
                          <w:sym w:font="Wingdings" w:char="F028"/>
                        </w:r>
                        <w:r>
                          <w:rPr>
                            <w:lang w:val="fr-FR"/>
                          </w:rPr>
                          <w:t> : 02/690.88.59 – GSM : 0472/94.31.95</w:t>
                        </w:r>
                      </w:p>
                      <w:p w:rsidR="00F04EEF" w:rsidRDefault="0099351E">
                        <w:pPr>
                          <w:jc w:val="center"/>
                          <w:rPr>
                            <w:b/>
                          </w:rPr>
                        </w:pPr>
                        <w:r>
                          <w:rPr>
                            <w:bCs/>
                          </w:rPr>
                          <w:sym w:font="Wingdings" w:char="F03A"/>
                        </w:r>
                        <w:r>
                          <w:rPr>
                            <w:bCs/>
                            <w:lang w:val="fr-FR"/>
                          </w:rPr>
                          <w:t> </w:t>
                        </w:r>
                        <w:r>
                          <w:rPr>
                            <w:lang w:val="fr-FR"/>
                          </w:rPr>
                          <w:t xml:space="preserve"> </w:t>
                        </w:r>
                        <w:hyperlink r:id="rId265" w:history="1">
                          <w:r>
                            <w:rPr>
                              <w:rStyle w:val="Lienhypertexte"/>
                              <w:rFonts w:cs="Arial"/>
                              <w:b/>
                              <w:lang w:val="fr-FR"/>
                            </w:rPr>
                            <w:t>nathalie.dujardin@cfwb.be</w:t>
                          </w:r>
                        </w:hyperlink>
                      </w:p>
                    </w:tc>
                  </w:tr>
                </w:tbl>
                <w:p w:rsidR="00F04EEF" w:rsidRDefault="00F04EEF">
                  <w:bookmarkStart w:id="3641" w:name="_Toc412204247"/>
                  <w:bookmarkStart w:id="3642" w:name="_Toc453837072"/>
                </w:p>
                <w:p w:rsidR="00F04EEF" w:rsidRDefault="0099351E">
                  <w:pPr>
                    <w:rPr>
                      <w:b/>
                      <w:u w:val="single"/>
                    </w:rPr>
                  </w:pPr>
                  <w:r>
                    <w:br w:type="page"/>
                  </w:r>
                </w:p>
                <w:p w:rsidR="00F04EEF" w:rsidRDefault="0099351E">
                  <w:pPr>
                    <w:pStyle w:val="Titre4"/>
                  </w:pPr>
                  <w:bookmarkStart w:id="3643" w:name="_Situation_n_3"/>
                  <w:bookmarkEnd w:id="3643"/>
                  <w:r>
                    <w:t>Situation n°3 : opportunité de transférer dans un établissement d’enseignement spécialisé un élève inscrit dans un établissement d’enseignement ordinaire</w:t>
                  </w:r>
                  <w:bookmarkEnd w:id="3641"/>
                  <w:bookmarkEnd w:id="3642"/>
                </w:p>
                <w:p w:rsidR="00F04EEF" w:rsidRDefault="00F04EEF">
                  <w:pPr>
                    <w:jc w:val="center"/>
                  </w:pPr>
                </w:p>
                <w:p w:rsidR="00F04EEF" w:rsidRDefault="0099351E">
                  <w:pPr>
                    <w:rPr>
                      <w:b/>
                    </w:rPr>
                  </w:pPr>
                  <w:r>
                    <w:rPr>
                      <w:b/>
                    </w:rPr>
                    <w:t>Demande introduite par :</w:t>
                  </w:r>
                </w:p>
                <w:p w:rsidR="00F04EEF" w:rsidRDefault="0099351E">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à préciser</w:t>
                  </w:r>
                  <w:r>
                    <w:tab/>
                  </w:r>
                  <w:r>
                    <w:tab/>
                    <w:t>)</w:t>
                  </w:r>
                </w:p>
                <w:p w:rsidR="00F04EEF" w:rsidRDefault="0099351E">
                  <w:r>
                    <w:rPr>
                      <w:rFonts w:ascii="Times New Roman" w:hAnsi="Times New Roman" w:cs="Times New Roman"/>
                      <w:b/>
                    </w:rPr>
                    <w:t>□</w:t>
                  </w:r>
                  <w:r>
                    <w:t> : membre de l’inspection scolaire</w:t>
                  </w:r>
                </w:p>
                <w:p w:rsidR="00F04EEF" w:rsidRDefault="0099351E">
                  <w:r>
                    <w:rPr>
                      <w:rFonts w:ascii="Times New Roman" w:hAnsi="Times New Roman" w:cs="Times New Roman"/>
                    </w:rPr>
                    <w:t>□</w:t>
                  </w:r>
                  <w:r>
                    <w:rPr>
                      <w:rFonts w:cs="Cambria"/>
                    </w:rPr>
                    <w:t> </w:t>
                  </w:r>
                  <w:r>
                    <w:t>: chef d</w:t>
                  </w:r>
                  <w:r>
                    <w:rPr>
                      <w:rFonts w:cs="Cambria"/>
                    </w:rPr>
                    <w:t>’é</w:t>
                  </w:r>
                  <w:r>
                    <w:t>tablissement d</w:t>
                  </w:r>
                  <w:r>
                    <w:rPr>
                      <w:rFonts w:cs="Cambria"/>
                    </w:rPr>
                    <w:t>’</w:t>
                  </w:r>
                  <w:r>
                    <w:t>enseignement ordinaire</w:t>
                  </w:r>
                </w:p>
                <w:p w:rsidR="00F04EEF" w:rsidRDefault="0099351E">
                  <w:r>
                    <w:rPr>
                      <w:rFonts w:ascii="Times New Roman" w:hAnsi="Times New Roman" w:cs="Times New Roman"/>
                    </w:rPr>
                    <w:t>□</w:t>
                  </w:r>
                  <w:r>
                    <w:rPr>
                      <w:rFonts w:cs="Cambria"/>
                    </w:rPr>
                    <w:t> </w:t>
                  </w:r>
                  <w:r>
                    <w:t>: m</w:t>
                  </w:r>
                  <w:r>
                    <w:rPr>
                      <w:rFonts w:cs="Cambria"/>
                    </w:rPr>
                    <w:t>é</w:t>
                  </w:r>
                  <w:r>
                    <w:t>decin PSE</w:t>
                  </w:r>
                </w:p>
                <w:p w:rsidR="00F04EEF" w:rsidRDefault="0099351E">
                  <w:r>
                    <w:rPr>
                      <w:b/>
                    </w:rPr>
                    <w:t>Identité du demandeur</w:t>
                  </w:r>
                  <w:r>
                    <w:t> :</w:t>
                  </w:r>
                </w:p>
                <w:p w:rsidR="00F04EEF" w:rsidRDefault="0099351E">
                  <w:r>
                    <w:t xml:space="preserve">Nom, prénom : </w:t>
                  </w:r>
                </w:p>
                <w:p w:rsidR="00F04EEF" w:rsidRDefault="0099351E">
                  <w:r>
                    <w:t xml:space="preserve">Adresse : </w:t>
                  </w:r>
                </w:p>
                <w:p w:rsidR="00F04EEF" w:rsidRDefault="00F04EEF"/>
                <w:p w:rsidR="00F04EEF" w:rsidRDefault="00F04EEF"/>
                <w:p w:rsidR="00F04EEF" w:rsidRDefault="0099351E">
                  <w:r>
                    <w:sym w:font="Wingdings" w:char="F028"/>
                  </w:r>
                  <w:r>
                    <w:t> :</w:t>
                  </w:r>
                  <w:r>
                    <w:tab/>
                  </w:r>
                  <w:r>
                    <w:tab/>
                    <w:t>/</w:t>
                  </w:r>
                  <w:r>
                    <w:tab/>
                  </w:r>
                  <w:r>
                    <w:tab/>
                  </w:r>
                  <w:r>
                    <w:tab/>
                  </w:r>
                  <w:r>
                    <w:tab/>
                  </w:r>
                  <w:r>
                    <w:tab/>
                  </w:r>
                  <w:r>
                    <w:sym w:font="Wingdings" w:char="F03A"/>
                  </w:r>
                  <w: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F04EEF">
                    <w:tc>
                      <w:tcPr>
                        <w:tcW w:w="10008" w:type="dxa"/>
                        <w:tcBorders>
                          <w:top w:val="single" w:sz="4" w:space="0" w:color="auto"/>
                          <w:bottom w:val="single" w:sz="4" w:space="0" w:color="auto"/>
                        </w:tcBorders>
                      </w:tcPr>
                      <w:p w:rsidR="00F04EEF" w:rsidRDefault="0099351E">
                        <w:pPr>
                          <w:rPr>
                            <w:b/>
                            <w:bCs/>
                            <w:caps/>
                          </w:rPr>
                        </w:pPr>
                        <w:r>
                          <w:rPr>
                            <w:b/>
                            <w:bCs/>
                            <w:caps/>
                          </w:rPr>
                          <w:t>concernE l’ElEve :</w:t>
                        </w:r>
                        <w:r>
                          <w:rPr>
                            <w:bCs/>
                          </w:rPr>
                          <w:br/>
                          <w:t>NOM, PRENOM :</w:t>
                        </w:r>
                      </w:p>
                      <w:p w:rsidR="00F04EEF" w:rsidRDefault="0099351E">
                        <w:pPr>
                          <w:jc w:val="both"/>
                          <w:rPr>
                            <w:bCs/>
                          </w:rPr>
                        </w:pPr>
                        <w:r>
                          <w:rPr>
                            <w:bCs/>
                          </w:rPr>
                          <w:t xml:space="preserve">ADRESSE : </w:t>
                        </w:r>
                      </w:p>
                      <w:p w:rsidR="00F04EEF" w:rsidRDefault="00F04EEF">
                        <w:pPr>
                          <w:jc w:val="both"/>
                          <w:rPr>
                            <w:bCs/>
                          </w:rPr>
                        </w:pPr>
                      </w:p>
                      <w:p w:rsidR="00F04EEF" w:rsidRDefault="00F04EEF">
                        <w:pPr>
                          <w:jc w:val="both"/>
                          <w:rPr>
                            <w:bCs/>
                          </w:rPr>
                        </w:pPr>
                      </w:p>
                      <w:p w:rsidR="00F04EEF" w:rsidRDefault="0099351E">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Ecole fréquentée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
                                  <w:bCs/>
                                </w:rPr>
                                <w:t xml:space="preserve">CPMS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Dénomination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Agent de référence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bl>
                      <w:p w:rsidR="00F04EEF" w:rsidRDefault="00F04EEF">
                        <w:pPr>
                          <w:jc w:val="both"/>
                        </w:pPr>
                      </w:p>
                    </w:tc>
                  </w:tr>
                  <w:tr w:rsidR="00F04EEF">
                    <w:tc>
                      <w:tcPr>
                        <w:tcW w:w="10008" w:type="dxa"/>
                        <w:tcBorders>
                          <w:top w:val="single" w:sz="4" w:space="0" w:color="auto"/>
                          <w:bottom w:val="single" w:sz="4" w:space="0" w:color="auto"/>
                        </w:tcBorders>
                      </w:tcPr>
                      <w:p w:rsidR="00F04EEF" w:rsidRDefault="00F04EEF">
                        <w:pPr>
                          <w:jc w:val="both"/>
                          <w:rPr>
                            <w:b/>
                          </w:rPr>
                        </w:pPr>
                      </w:p>
                      <w:p w:rsidR="00F04EEF" w:rsidRDefault="0099351E">
                        <w:pPr>
                          <w:jc w:val="both"/>
                          <w:rPr>
                            <w:b/>
                          </w:rPr>
                        </w:pPr>
                        <w:r>
                          <w:rPr>
                            <w:b/>
                          </w:rPr>
                          <w:t>Documents utiles et/ou nécessaires au traitement de la demande*:</w:t>
                        </w:r>
                      </w:p>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F04EEF">
                          <w:tc>
                            <w:tcPr>
                              <w:tcW w:w="4888"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
                                </w:rPr>
                              </w:pPr>
                              <w:r>
                                <w:rPr>
                                  <w:b/>
                                </w:rPr>
                                <w:t>Enseignement secondaire :</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rPr>
                                  <w:b/>
                                </w:rPr>
                              </w:pPr>
                              <w:r>
                                <w:rPr>
                                  <w:rFonts w:ascii="Times New Roman" w:hAnsi="Times New Roman" w:cs="Times New Roman"/>
                                  <w:b/>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rPr>
                                  <w:b/>
                                </w:rPr>
                              </w:pPr>
                              <w:r>
                                <w:rPr>
                                  <w:rFonts w:ascii="Times New Roman" w:hAnsi="Times New Roman" w:cs="Times New Roman"/>
                                  <w:b/>
                                </w:rPr>
                                <w:t>□</w:t>
                              </w:r>
                              <w:r>
                                <w:rPr>
                                  <w:b/>
                                </w:rPr>
                                <w:t xml:space="preserve"> </w:t>
                              </w:r>
                              <w:r>
                                <w:t>lettre de motivation</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PMS</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PMS</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du conseil de classe</w:t>
                              </w:r>
                            </w:p>
                          </w:tc>
                        </w:tr>
                      </w:tbl>
                      <w:p w:rsidR="00F04EEF" w:rsidRDefault="00F04EEF">
                        <w:pPr>
                          <w:jc w:val="both"/>
                          <w:rPr>
                            <w:b/>
                          </w:rPr>
                        </w:pPr>
                      </w:p>
                      <w:p w:rsidR="00F04EEF" w:rsidRDefault="0099351E">
                        <w:pPr>
                          <w:jc w:val="both"/>
                          <w:rPr>
                            <w:i/>
                          </w:rPr>
                        </w:pPr>
                        <w:r>
                          <w:rPr>
                            <w:rFonts w:ascii="Times New Roman" w:hAnsi="Times New Roman" w:cs="Times New Roman"/>
                            <w:i/>
                          </w:rPr>
                          <w:t>□</w:t>
                        </w:r>
                        <w:r>
                          <w:rPr>
                            <w:i/>
                          </w:rPr>
                          <w:t xml:space="preserve"> </w:t>
                        </w:r>
                        <w:r>
                          <w:rPr>
                            <w:rFonts w:cs="Cambria"/>
                            <w:i/>
                          </w:rPr>
                          <w:t>é</w:t>
                        </w:r>
                        <w:r>
                          <w:rPr>
                            <w:i/>
                          </w:rPr>
                          <w:t xml:space="preserve">ventuellement </w:t>
                        </w:r>
                        <w:r>
                          <w:t>avis de l’école spécialisée contactée</w:t>
                        </w:r>
                      </w:p>
                      <w:p w:rsidR="00F04EEF" w:rsidRDefault="0099351E">
                        <w:pPr>
                          <w:jc w:val="both"/>
                          <w:rPr>
                            <w:b/>
                          </w:rPr>
                        </w:pPr>
                        <w:r>
                          <w:t>--------------------------------------------------------------------------------------------------</w:t>
                        </w:r>
                      </w:p>
                      <w:p w:rsidR="00F04EEF" w:rsidRDefault="0099351E">
                        <w:pPr>
                          <w:jc w:val="both"/>
                          <w:rPr>
                            <w:b/>
                          </w:rPr>
                        </w:pPr>
                        <w:r>
                          <w:rPr>
                            <w:b/>
                          </w:rPr>
                          <w:t>DATE :                                                                           SIGNATURE :</w:t>
                        </w:r>
                      </w:p>
                      <w:p w:rsidR="00F04EEF" w:rsidRDefault="00F04EEF">
                        <w:pPr>
                          <w:jc w:val="both"/>
                          <w:rPr>
                            <w:b/>
                          </w:rPr>
                        </w:pPr>
                      </w:p>
                    </w:tc>
                  </w:tr>
                  <w:tr w:rsidR="00F04EEF">
                    <w:tc>
                      <w:tcPr>
                        <w:tcW w:w="10008" w:type="dxa"/>
                        <w:tcBorders>
                          <w:top w:val="single" w:sz="4" w:space="0" w:color="auto"/>
                          <w:left w:val="single" w:sz="4" w:space="0" w:color="auto"/>
                          <w:bottom w:val="single" w:sz="4" w:space="0" w:color="auto"/>
                          <w:right w:val="single" w:sz="4" w:space="0" w:color="auto"/>
                        </w:tcBorders>
                      </w:tcPr>
                      <w:p w:rsidR="00F04EEF" w:rsidRDefault="0099351E">
                        <w:pPr>
                          <w:jc w:val="center"/>
                        </w:pPr>
                        <w:r>
                          <w:rPr>
                            <w:b/>
                          </w:rPr>
                          <w:t>Formulaire de demande d’avis à adresser</w:t>
                        </w:r>
                        <w:r>
                          <w:t> :</w:t>
                        </w:r>
                      </w:p>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rPr>
                            <w:color w:val="000000"/>
                          </w:rPr>
                        </w:pPr>
                        <w:r>
                          <w:rPr>
                            <w:color w:val="000000"/>
                          </w:rPr>
                          <w:t>Madame Nathalie DUJARDIN</w:t>
                        </w:r>
                      </w:p>
                      <w:p w:rsidR="00F04EEF" w:rsidRDefault="0099351E">
                        <w:pPr>
                          <w:jc w:val="center"/>
                        </w:pPr>
                        <w:r>
                          <w:t>Bureau 2F250</w:t>
                        </w:r>
                      </w:p>
                      <w:p w:rsidR="00F04EEF" w:rsidRDefault="0099351E">
                        <w:pPr>
                          <w:jc w:val="center"/>
                        </w:pPr>
                        <w:r>
                          <w:t>Rue Adolphe Lavallée, 1</w:t>
                        </w:r>
                      </w:p>
                      <w:p w:rsidR="00F04EEF" w:rsidRDefault="0099351E">
                        <w:pPr>
                          <w:jc w:val="center"/>
                        </w:pPr>
                        <w:r>
                          <w:t>1080   BRUXELLES</w:t>
                        </w:r>
                      </w:p>
                      <w:p w:rsidR="00F04EEF" w:rsidRDefault="0099351E">
                        <w:pPr>
                          <w:jc w:val="center"/>
                          <w:rPr>
                            <w:lang w:val="fr-FR"/>
                          </w:rPr>
                        </w:pPr>
                        <w:r>
                          <w:sym w:font="Wingdings" w:char="F028"/>
                        </w:r>
                        <w:r>
                          <w:rPr>
                            <w:lang w:val="fr-FR"/>
                          </w:rPr>
                          <w:t> : 02/690.88.59 – GSM : 0472/94.31.95</w:t>
                        </w:r>
                      </w:p>
                      <w:p w:rsidR="00F04EEF" w:rsidRDefault="0099351E">
                        <w:pPr>
                          <w:jc w:val="center"/>
                          <w:rPr>
                            <w:b/>
                          </w:rPr>
                        </w:pPr>
                        <w:r>
                          <w:rPr>
                            <w:bCs/>
                          </w:rPr>
                          <w:sym w:font="Wingdings" w:char="F03A"/>
                        </w:r>
                        <w:r>
                          <w:rPr>
                            <w:bCs/>
                            <w:lang w:val="fr-FR"/>
                          </w:rPr>
                          <w:t> </w:t>
                        </w:r>
                        <w:r>
                          <w:rPr>
                            <w:lang w:val="fr-FR"/>
                          </w:rPr>
                          <w:t xml:space="preserve"> </w:t>
                        </w:r>
                        <w:hyperlink r:id="rId266" w:history="1">
                          <w:r>
                            <w:rPr>
                              <w:rStyle w:val="Lienhypertexte"/>
                              <w:rFonts w:cs="Arial"/>
                              <w:b/>
                              <w:lang w:val="fr-FR"/>
                            </w:rPr>
                            <w:t>nathalie.dujardin@cfwb.be</w:t>
                          </w:r>
                        </w:hyperlink>
                      </w:p>
                    </w:tc>
                  </w:tr>
                </w:tbl>
                <w:p w:rsidR="00F04EEF" w:rsidRDefault="0099351E">
                  <w:pPr>
                    <w:pBdr>
                      <w:right w:val="single" w:sz="4" w:space="4" w:color="auto"/>
                    </w:pBdr>
                    <w:jc w:val="both"/>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rsidR="00F04EEF" w:rsidRDefault="00F04EEF">
                  <w:pPr>
                    <w:rPr>
                      <w:b/>
                      <w:u w:val="single"/>
                    </w:rPr>
                  </w:pPr>
                </w:p>
                <w:p w:rsidR="00F04EEF" w:rsidRDefault="0099351E">
                  <w:pPr>
                    <w:pStyle w:val="Titre4"/>
                  </w:pPr>
                  <w:bookmarkStart w:id="3644" w:name="_Toc412204248"/>
                  <w:bookmarkStart w:id="3645" w:name="_Toc453837073"/>
                  <w:r>
                    <w:t>Situation n°4 : opportunité de transférer dans un établissement d’enseignement ordinaire un élève inscrit dans un établissement d’enseignement spécialisé</w:t>
                  </w:r>
                  <w:bookmarkEnd w:id="3644"/>
                  <w:bookmarkEnd w:id="3645"/>
                </w:p>
                <w:p w:rsidR="00F04EEF" w:rsidRDefault="00F04EEF">
                  <w:pPr>
                    <w:jc w:val="center"/>
                  </w:pPr>
                </w:p>
                <w:p w:rsidR="00F04EEF" w:rsidRDefault="0099351E">
                  <w:pPr>
                    <w:rPr>
                      <w:b/>
                    </w:rPr>
                  </w:pPr>
                  <w:r>
                    <w:rPr>
                      <w:b/>
                    </w:rPr>
                    <w:t>Demande introduite par :</w:t>
                  </w:r>
                </w:p>
                <w:p w:rsidR="00F04EEF" w:rsidRDefault="0099351E">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sidR="00F04EEF" w:rsidRDefault="0099351E">
                  <w:r>
                    <w:rPr>
                      <w:rFonts w:ascii="Times New Roman" w:hAnsi="Times New Roman" w:cs="Times New Roman"/>
                      <w:b/>
                    </w:rPr>
                    <w:t>□</w:t>
                  </w:r>
                  <w:r>
                    <w:t> : membre de l’inspection scolaire</w:t>
                  </w:r>
                </w:p>
                <w:p w:rsidR="00F04EEF" w:rsidRDefault="0099351E">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sidR="00F04EEF" w:rsidRDefault="00F04EEF"/>
                <w:p w:rsidR="00F04EEF" w:rsidRDefault="0099351E">
                  <w:r>
                    <w:rPr>
                      <w:b/>
                    </w:rPr>
                    <w:t>Identité du demandeur</w:t>
                  </w:r>
                  <w:r>
                    <w:t> :</w:t>
                  </w:r>
                </w:p>
                <w:p w:rsidR="00F04EEF" w:rsidRDefault="0099351E">
                  <w:r>
                    <w:t>Nom, prénom :</w:t>
                  </w:r>
                </w:p>
                <w:p w:rsidR="00F04EEF" w:rsidRDefault="0099351E">
                  <w:r>
                    <w:t xml:space="preserve">Adresse : </w:t>
                  </w:r>
                </w:p>
                <w:p w:rsidR="00F04EEF" w:rsidRDefault="00F04EEF"/>
                <w:p w:rsidR="00F04EEF" w:rsidRDefault="0099351E">
                  <w:r>
                    <w:sym w:font="Wingdings" w:char="F028"/>
                  </w:r>
                  <w:r>
                    <w:t> :</w:t>
                  </w:r>
                  <w:r>
                    <w:tab/>
                  </w:r>
                  <w:r>
                    <w:tab/>
                    <w:t>/</w:t>
                  </w:r>
                  <w:r>
                    <w:tab/>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F04EEF">
                    <w:tc>
                      <w:tcPr>
                        <w:tcW w:w="10008" w:type="dxa"/>
                        <w:tcBorders>
                          <w:top w:val="single" w:sz="4" w:space="0" w:color="auto"/>
                          <w:bottom w:val="single" w:sz="4" w:space="0" w:color="auto"/>
                        </w:tcBorders>
                      </w:tcPr>
                      <w:p w:rsidR="00F04EEF" w:rsidRDefault="0099351E">
                        <w:pPr>
                          <w:rPr>
                            <w:b/>
                            <w:bCs/>
                            <w:caps/>
                          </w:rPr>
                        </w:pPr>
                        <w:r>
                          <w:rPr>
                            <w:b/>
                            <w:bCs/>
                            <w:caps/>
                          </w:rPr>
                          <w:t>concernE l’ElEve :</w:t>
                        </w:r>
                        <w:r>
                          <w:rPr>
                            <w:bCs/>
                          </w:rPr>
                          <w:br/>
                          <w:t>NOM, PRENOM :</w:t>
                        </w:r>
                      </w:p>
                      <w:p w:rsidR="00F04EEF" w:rsidRDefault="0099351E">
                        <w:pPr>
                          <w:jc w:val="both"/>
                          <w:rPr>
                            <w:bCs/>
                          </w:rPr>
                        </w:pPr>
                        <w:r>
                          <w:rPr>
                            <w:bCs/>
                          </w:rPr>
                          <w:t>ADRESSE :</w:t>
                        </w:r>
                      </w:p>
                      <w:p w:rsidR="00F04EEF" w:rsidRDefault="00F04EEF">
                        <w:pPr>
                          <w:jc w:val="both"/>
                          <w:rPr>
                            <w:bCs/>
                          </w:rPr>
                        </w:pPr>
                      </w:p>
                      <w:p w:rsidR="00F04EEF" w:rsidRDefault="00F04EEF">
                        <w:pPr>
                          <w:jc w:val="both"/>
                          <w:rPr>
                            <w:bCs/>
                          </w:rPr>
                        </w:pPr>
                      </w:p>
                      <w:p w:rsidR="00F04EEF" w:rsidRDefault="0099351E">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Ecole fréquentée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
                                  <w:bCs/>
                                </w:rPr>
                                <w:t xml:space="preserve">CPMS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Dénomination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Agent de référence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bl>
                      <w:p w:rsidR="00F04EEF" w:rsidRDefault="00F04EEF">
                        <w:pPr>
                          <w:jc w:val="both"/>
                        </w:pPr>
                      </w:p>
                    </w:tc>
                  </w:tr>
                  <w:tr w:rsidR="00F04EEF">
                    <w:tc>
                      <w:tcPr>
                        <w:tcW w:w="10008" w:type="dxa"/>
                        <w:tcBorders>
                          <w:top w:val="single" w:sz="4" w:space="0" w:color="auto"/>
                          <w:bottom w:val="single" w:sz="4" w:space="0" w:color="auto"/>
                        </w:tcBorders>
                      </w:tcPr>
                      <w:p w:rsidR="00F04EEF" w:rsidRDefault="0099351E">
                        <w:pPr>
                          <w:jc w:val="both"/>
                          <w:rPr>
                            <w:b/>
                          </w:rPr>
                        </w:pPr>
                        <w:r>
                          <w:rPr>
                            <w:b/>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F04EEF">
                          <w:tc>
                            <w:tcPr>
                              <w:tcW w:w="4888"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
                                </w:rPr>
                              </w:pPr>
                              <w:r>
                                <w:rPr>
                                  <w:b/>
                                </w:rPr>
                                <w:t>Enseignement secondaire :</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rPr>
                                  <w:b/>
                                </w:rPr>
                              </w:pPr>
                              <w:r>
                                <w:rPr>
                                  <w:rFonts w:ascii="Times New Roman" w:hAnsi="Times New Roman" w:cs="Times New Roman"/>
                                </w:rPr>
                                <w:t>□</w:t>
                              </w:r>
                              <w:r>
                                <w:t xml:space="preserve"> lettre de motivation</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F04EEF">
                              <w:pPr>
                                <w:jc w:val="both"/>
                              </w:pP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du conseil d</w:t>
                              </w:r>
                              <w:r>
                                <w:rPr>
                                  <w:rFonts w:cs="Cambria"/>
                                </w:rPr>
                                <w:t>’</w:t>
                              </w:r>
                              <w:r>
                                <w:t>admission de l</w:t>
                              </w:r>
                              <w:r>
                                <w:rPr>
                                  <w:rFonts w:cs="Cambria"/>
                                </w:rPr>
                                <w:t>’é</w:t>
                              </w:r>
                              <w:r>
                                <w:t>cole d</w:t>
                              </w:r>
                              <w:r>
                                <w:rPr>
                                  <w:rFonts w:cs="Cambria"/>
                                </w:rPr>
                                <w:t>’</w:t>
                              </w:r>
                              <w:r>
                                <w:t>enseignement secondaire ordinaire</w:t>
                              </w:r>
                            </w:p>
                          </w:tc>
                        </w:tr>
                      </w:tbl>
                      <w:p w:rsidR="00F04EEF" w:rsidRDefault="0099351E">
                        <w:pPr>
                          <w:jc w:val="both"/>
                          <w:rPr>
                            <w:b/>
                          </w:rPr>
                        </w:pPr>
                        <w:r>
                          <w:rPr>
                            <w:b/>
                          </w:rPr>
                          <w:t>DATE :                                                                             SIGNATURE :</w:t>
                        </w:r>
                      </w:p>
                      <w:p w:rsidR="00F04EEF" w:rsidRDefault="00F04EEF">
                        <w:pPr>
                          <w:jc w:val="both"/>
                          <w:rPr>
                            <w:b/>
                          </w:rPr>
                        </w:pPr>
                      </w:p>
                    </w:tc>
                  </w:tr>
                  <w:tr w:rsidR="00F04EEF">
                    <w:tc>
                      <w:tcPr>
                        <w:tcW w:w="10008" w:type="dxa"/>
                        <w:tcBorders>
                          <w:top w:val="single" w:sz="4" w:space="0" w:color="auto"/>
                          <w:left w:val="single" w:sz="4" w:space="0" w:color="auto"/>
                          <w:bottom w:val="single" w:sz="4" w:space="0" w:color="auto"/>
                          <w:right w:val="single" w:sz="4" w:space="0" w:color="auto"/>
                        </w:tcBorders>
                      </w:tcPr>
                      <w:p w:rsidR="00F04EEF" w:rsidRDefault="0099351E">
                        <w:pPr>
                          <w:jc w:val="center"/>
                        </w:pPr>
                        <w:r>
                          <w:rPr>
                            <w:b/>
                          </w:rPr>
                          <w:t>Formulaire de demande d’avis à adresser</w:t>
                        </w:r>
                        <w:r>
                          <w:t> :</w:t>
                        </w:r>
                      </w:p>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rPr>
                            <w:color w:val="000000"/>
                          </w:rPr>
                        </w:pPr>
                        <w:r>
                          <w:rPr>
                            <w:color w:val="000000"/>
                          </w:rPr>
                          <w:t>Madame Nathalie DUJARDIN</w:t>
                        </w:r>
                      </w:p>
                      <w:p w:rsidR="00F04EEF" w:rsidRDefault="0099351E">
                        <w:pPr>
                          <w:jc w:val="center"/>
                        </w:pPr>
                        <w:r>
                          <w:t>Bureau 2F250</w:t>
                        </w:r>
                      </w:p>
                      <w:p w:rsidR="00F04EEF" w:rsidRDefault="0099351E">
                        <w:pPr>
                          <w:jc w:val="center"/>
                        </w:pPr>
                        <w:r>
                          <w:t>Rue Adolphe Lavallée, 1</w:t>
                        </w:r>
                      </w:p>
                      <w:p w:rsidR="00F04EEF" w:rsidRDefault="0099351E">
                        <w:pPr>
                          <w:jc w:val="center"/>
                        </w:pPr>
                        <w:r>
                          <w:t>1080   BRUXELLES</w:t>
                        </w:r>
                      </w:p>
                      <w:p w:rsidR="00F04EEF" w:rsidRDefault="0099351E">
                        <w:pPr>
                          <w:jc w:val="center"/>
                          <w:rPr>
                            <w:lang w:val="fr-FR"/>
                          </w:rPr>
                        </w:pPr>
                        <w:r>
                          <w:sym w:font="Wingdings" w:char="F028"/>
                        </w:r>
                        <w:r>
                          <w:rPr>
                            <w:lang w:val="fr-FR"/>
                          </w:rPr>
                          <w:t> : 02/690.88.59 – GSM : 0472/94.31.95</w:t>
                        </w:r>
                      </w:p>
                      <w:p w:rsidR="00F04EEF" w:rsidRDefault="0099351E">
                        <w:pPr>
                          <w:jc w:val="center"/>
                        </w:pPr>
                        <w:r>
                          <w:rPr>
                            <w:bCs/>
                          </w:rPr>
                          <w:sym w:font="Wingdings" w:char="F03A"/>
                        </w:r>
                        <w:r>
                          <w:rPr>
                            <w:bCs/>
                            <w:lang w:val="fr-FR"/>
                          </w:rPr>
                          <w:t> </w:t>
                        </w:r>
                        <w:r>
                          <w:rPr>
                            <w:lang w:val="fr-FR"/>
                          </w:rPr>
                          <w:t xml:space="preserve"> </w:t>
                        </w:r>
                        <w:hyperlink r:id="rId267" w:history="1">
                          <w:r>
                            <w:rPr>
                              <w:rStyle w:val="Lienhypertexte"/>
                              <w:rFonts w:cs="Arial"/>
                              <w:b/>
                              <w:lang w:val="fr-FR"/>
                            </w:rPr>
                            <w:t>nathalie.dujardin@cfwb.be</w:t>
                          </w:r>
                        </w:hyperlink>
                      </w:p>
                    </w:tc>
                  </w:tr>
                </w:tbl>
                <w:p w:rsidR="00F04EEF" w:rsidRDefault="0099351E">
                  <w:pPr>
                    <w:pBdr>
                      <w:right w:val="single" w:sz="4" w:space="4" w:color="auto"/>
                    </w:pBdr>
                    <w:jc w:val="both"/>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rsidR="00F04EEF" w:rsidRDefault="00F04EEF">
                  <w:pPr>
                    <w:jc w:val="center"/>
                    <w:rPr>
                      <w:b/>
                      <w:u w:val="single"/>
                    </w:rPr>
                  </w:pPr>
                </w:p>
                <w:p w:rsidR="00F04EEF" w:rsidRDefault="0099351E">
                  <w:pPr>
                    <w:pStyle w:val="Titre4"/>
                  </w:pPr>
                  <w:bookmarkStart w:id="3646" w:name="_Toc412204249"/>
                  <w:bookmarkStart w:id="3647" w:name="_Toc453837074"/>
                  <w:r>
                    <w:t>Situation n°5 : opportunité de transférer un élève à besoins spécifiques d’un  établissement d’enseignement spécialisé dans un autre type d’enseignement spécialisé mieux approprié</w:t>
                  </w:r>
                  <w:bookmarkEnd w:id="3646"/>
                  <w:bookmarkEnd w:id="3647"/>
                </w:p>
                <w:p w:rsidR="00F04EEF" w:rsidRDefault="00F04EEF">
                  <w:pPr>
                    <w:jc w:val="center"/>
                  </w:pPr>
                </w:p>
                <w:p w:rsidR="00F04EEF" w:rsidRDefault="0099351E">
                  <w:pPr>
                    <w:rPr>
                      <w:b/>
                    </w:rPr>
                  </w:pPr>
                  <w:r>
                    <w:rPr>
                      <w:b/>
                    </w:rPr>
                    <w:t>Demande introduite par :</w:t>
                  </w:r>
                </w:p>
                <w:p w:rsidR="00F04EEF" w:rsidRDefault="0099351E">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w:t>
                  </w:r>
                </w:p>
                <w:p w:rsidR="00F04EEF" w:rsidRDefault="0099351E">
                  <w:r>
                    <w:rPr>
                      <w:rFonts w:ascii="Times New Roman" w:hAnsi="Times New Roman" w:cs="Times New Roman"/>
                      <w:b/>
                    </w:rPr>
                    <w:t>□</w:t>
                  </w:r>
                  <w:r>
                    <w:t> : membre de l’inspection scolaire</w:t>
                  </w:r>
                </w:p>
                <w:p w:rsidR="00F04EEF" w:rsidRDefault="0099351E">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sidR="00F04EEF" w:rsidRDefault="0099351E">
                  <w:r>
                    <w:rPr>
                      <w:rFonts w:ascii="Times New Roman" w:hAnsi="Times New Roman" w:cs="Times New Roman"/>
                    </w:rPr>
                    <w:t>□</w:t>
                  </w:r>
                  <w:r>
                    <w:rPr>
                      <w:rFonts w:cs="Cambria"/>
                    </w:rPr>
                    <w:t> </w:t>
                  </w:r>
                  <w:r>
                    <w:t>: m</w:t>
                  </w:r>
                  <w:r>
                    <w:rPr>
                      <w:rFonts w:cs="Cambria"/>
                    </w:rPr>
                    <w:t>é</w:t>
                  </w:r>
                  <w:r>
                    <w:t>decin charg</w:t>
                  </w:r>
                  <w:r>
                    <w:rPr>
                      <w:rFonts w:cs="Cambria"/>
                    </w:rPr>
                    <w:t>é</w:t>
                  </w:r>
                  <w:r>
                    <w:t xml:space="preserve"> de l</w:t>
                  </w:r>
                  <w:r>
                    <w:rPr>
                      <w:rFonts w:cs="Cambria"/>
                    </w:rPr>
                    <w:t>’</w:t>
                  </w:r>
                  <w:r>
                    <w:t>inspection m</w:t>
                  </w:r>
                  <w:r>
                    <w:rPr>
                      <w:rFonts w:cs="Cambria"/>
                    </w:rPr>
                    <w:t>é</w:t>
                  </w:r>
                  <w:r>
                    <w:t>dicale scolaire</w:t>
                  </w:r>
                </w:p>
                <w:p w:rsidR="00F04EEF" w:rsidRDefault="00F04EEF">
                  <w:pPr>
                    <w:rPr>
                      <w:b/>
                    </w:rPr>
                  </w:pPr>
                </w:p>
                <w:p w:rsidR="00F04EEF" w:rsidRDefault="0099351E">
                  <w:r>
                    <w:rPr>
                      <w:b/>
                    </w:rPr>
                    <w:t>Identité du demandeur</w:t>
                  </w:r>
                  <w:r>
                    <w:t> :</w:t>
                  </w:r>
                </w:p>
                <w:p w:rsidR="00F04EEF" w:rsidRDefault="0099351E">
                  <w:r>
                    <w:t>Nom, prénom :</w:t>
                  </w:r>
                </w:p>
                <w:p w:rsidR="00F04EEF" w:rsidRDefault="0099351E">
                  <w:r>
                    <w:t xml:space="preserve">Adresse : </w:t>
                  </w:r>
                </w:p>
                <w:p w:rsidR="00F04EEF" w:rsidRDefault="00F04EEF"/>
                <w:p w:rsidR="00F04EEF" w:rsidRDefault="00F04EEF"/>
                <w:p w:rsidR="00F04EEF" w:rsidRDefault="0099351E">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F04EEF">
                    <w:tc>
                      <w:tcPr>
                        <w:tcW w:w="10008" w:type="dxa"/>
                        <w:tcBorders>
                          <w:top w:val="single" w:sz="4" w:space="0" w:color="auto"/>
                          <w:bottom w:val="single" w:sz="4" w:space="0" w:color="auto"/>
                        </w:tcBorders>
                      </w:tcPr>
                      <w:p w:rsidR="00F04EEF" w:rsidRDefault="0099351E">
                        <w:pPr>
                          <w:rPr>
                            <w:b/>
                            <w:bCs/>
                            <w:caps/>
                          </w:rPr>
                        </w:pPr>
                        <w:r>
                          <w:rPr>
                            <w:b/>
                            <w:bCs/>
                            <w:caps/>
                          </w:rPr>
                          <w:t>concernE l’ElEve :</w:t>
                        </w:r>
                        <w:r>
                          <w:rPr>
                            <w:bCs/>
                          </w:rPr>
                          <w:br/>
                          <w:t xml:space="preserve">NOM , PRENOM : </w:t>
                        </w:r>
                      </w:p>
                      <w:p w:rsidR="00F04EEF" w:rsidRDefault="0099351E">
                        <w:pPr>
                          <w:jc w:val="both"/>
                          <w:rPr>
                            <w:bCs/>
                          </w:rPr>
                        </w:pPr>
                        <w:r>
                          <w:rPr>
                            <w:bCs/>
                          </w:rPr>
                          <w:t xml:space="preserve">ADRESSE : </w:t>
                        </w:r>
                      </w:p>
                      <w:p w:rsidR="00F04EEF" w:rsidRDefault="00F04EEF">
                        <w:pPr>
                          <w:jc w:val="both"/>
                          <w:rPr>
                            <w:bCs/>
                          </w:rPr>
                        </w:pPr>
                      </w:p>
                      <w:p w:rsidR="00F04EEF" w:rsidRDefault="00F04EEF">
                        <w:pPr>
                          <w:jc w:val="both"/>
                          <w:rPr>
                            <w:bCs/>
                          </w:rPr>
                        </w:pPr>
                      </w:p>
                      <w:p w:rsidR="00F04EEF" w:rsidRDefault="0099351E">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Ecole fréquentée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
                                  <w:bCs/>
                                </w:rPr>
                                <w:t>CPMS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Dénomination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Agent de référence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bl>
                      <w:p w:rsidR="00F04EEF" w:rsidRDefault="00F04EEF">
                        <w:pPr>
                          <w:jc w:val="both"/>
                        </w:pPr>
                      </w:p>
                    </w:tc>
                  </w:tr>
                  <w:tr w:rsidR="00F04EEF">
                    <w:tc>
                      <w:tcPr>
                        <w:tcW w:w="10008" w:type="dxa"/>
                        <w:tcBorders>
                          <w:top w:val="single" w:sz="4" w:space="0" w:color="auto"/>
                          <w:bottom w:val="single" w:sz="4" w:space="0" w:color="auto"/>
                        </w:tcBorders>
                      </w:tcPr>
                      <w:p w:rsidR="00F04EEF" w:rsidRDefault="00F04EEF">
                        <w:pPr>
                          <w:jc w:val="both"/>
                          <w:rPr>
                            <w:b/>
                          </w:rPr>
                        </w:pPr>
                      </w:p>
                      <w:p w:rsidR="00F04EEF" w:rsidRDefault="0099351E">
                        <w:pPr>
                          <w:jc w:val="both"/>
                          <w:rPr>
                            <w:b/>
                          </w:rPr>
                        </w:pPr>
                        <w:r>
                          <w:rPr>
                            <w:b/>
                          </w:rPr>
                          <w:t>Documents utiles et/ou nécessaires au traitement de la demande* :</w:t>
                        </w:r>
                      </w:p>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F04EEF">
                          <w:tc>
                            <w:tcPr>
                              <w:tcW w:w="4888"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F04EEF" w:rsidRDefault="0099351E">
                              <w:pPr>
                                <w:jc w:val="both"/>
                                <w:rPr>
                                  <w:b/>
                                </w:rPr>
                              </w:pPr>
                              <w:r>
                                <w:rPr>
                                  <w:b/>
                                </w:rPr>
                                <w:t>Enseignement secondaire :</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rPr>
                                  <w:b/>
                                </w:rPr>
                              </w:pPr>
                              <w:r>
                                <w:rPr>
                                  <w:rFonts w:ascii="Times New Roman" w:hAnsi="Times New Roman" w:cs="Times New Roman"/>
                                </w:rPr>
                                <w:t>□</w:t>
                              </w:r>
                              <w:r>
                                <w:t xml:space="preserve">   lettre de motivation</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rsidR="00F04EEF">
                          <w:tc>
                            <w:tcPr>
                              <w:tcW w:w="4888"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F04EEF" w:rsidRDefault="0099351E">
                              <w:pPr>
                                <w:jc w:val="both"/>
                              </w:pPr>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bl>
                      <w:p w:rsidR="00F04EEF" w:rsidRDefault="0099351E">
                        <w:pPr>
                          <w:jc w:val="both"/>
                          <w:rPr>
                            <w:b/>
                          </w:rPr>
                        </w:pPr>
                        <w:r>
                          <w:rPr>
                            <w:b/>
                          </w:rPr>
                          <w:t>DATE :                                                                            SIGNATURE :</w:t>
                        </w:r>
                      </w:p>
                    </w:tc>
                  </w:tr>
                  <w:tr w:rsidR="00F04EEF">
                    <w:tc>
                      <w:tcPr>
                        <w:tcW w:w="10008" w:type="dxa"/>
                        <w:tcBorders>
                          <w:top w:val="single" w:sz="4" w:space="0" w:color="auto"/>
                          <w:left w:val="single" w:sz="4" w:space="0" w:color="auto"/>
                          <w:bottom w:val="single" w:sz="4" w:space="0" w:color="auto"/>
                          <w:right w:val="single" w:sz="4" w:space="0" w:color="auto"/>
                        </w:tcBorders>
                      </w:tcPr>
                      <w:p w:rsidR="00F04EEF" w:rsidRDefault="0099351E">
                        <w:pPr>
                          <w:jc w:val="center"/>
                        </w:pPr>
                        <w:r>
                          <w:rPr>
                            <w:b/>
                          </w:rPr>
                          <w:t>Formulaire de demande d’avis à adresser</w:t>
                        </w:r>
                        <w:r>
                          <w:t> :</w:t>
                        </w:r>
                      </w:p>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rPr>
                            <w:color w:val="000000"/>
                          </w:rPr>
                        </w:pPr>
                        <w:r>
                          <w:rPr>
                            <w:color w:val="000000"/>
                          </w:rPr>
                          <w:t>Madame Nathalie DUJARDIN</w:t>
                        </w:r>
                      </w:p>
                      <w:p w:rsidR="00F04EEF" w:rsidRDefault="0099351E">
                        <w:pPr>
                          <w:jc w:val="center"/>
                        </w:pPr>
                        <w:r>
                          <w:t>Bureau 2F250</w:t>
                        </w:r>
                      </w:p>
                      <w:p w:rsidR="00F04EEF" w:rsidRDefault="0099351E">
                        <w:pPr>
                          <w:jc w:val="center"/>
                        </w:pPr>
                        <w:r>
                          <w:t>Rue Adolphe Lavallée, 1</w:t>
                        </w:r>
                      </w:p>
                      <w:p w:rsidR="00F04EEF" w:rsidRDefault="0099351E">
                        <w:pPr>
                          <w:jc w:val="center"/>
                        </w:pPr>
                        <w:r>
                          <w:t>1080   BRUXELLES</w:t>
                        </w:r>
                      </w:p>
                      <w:p w:rsidR="00F04EEF" w:rsidRDefault="0099351E">
                        <w:pPr>
                          <w:jc w:val="center"/>
                          <w:rPr>
                            <w:lang w:val="fr-FR"/>
                          </w:rPr>
                        </w:pPr>
                        <w:r>
                          <w:sym w:font="Wingdings" w:char="F028"/>
                        </w:r>
                        <w:r>
                          <w:rPr>
                            <w:lang w:val="fr-FR"/>
                          </w:rPr>
                          <w:t> : 02/690.88.59 – GSM : 0472/94.31.95</w:t>
                        </w:r>
                      </w:p>
                      <w:p w:rsidR="00F04EEF" w:rsidRDefault="0099351E">
                        <w:pPr>
                          <w:jc w:val="center"/>
                        </w:pPr>
                        <w:r>
                          <w:rPr>
                            <w:bCs/>
                          </w:rPr>
                          <w:sym w:font="Wingdings" w:char="F03A"/>
                        </w:r>
                        <w:r>
                          <w:rPr>
                            <w:bCs/>
                            <w:lang w:val="fr-FR"/>
                          </w:rPr>
                          <w:t> </w:t>
                        </w:r>
                        <w:r>
                          <w:rPr>
                            <w:lang w:val="fr-FR"/>
                          </w:rPr>
                          <w:t xml:space="preserve"> </w:t>
                        </w:r>
                        <w:hyperlink r:id="rId268" w:history="1">
                          <w:r>
                            <w:rPr>
                              <w:rStyle w:val="Lienhypertexte"/>
                              <w:rFonts w:cs="Arial"/>
                              <w:b/>
                              <w:lang w:val="fr-FR"/>
                            </w:rPr>
                            <w:t>nathalie.dujardin@cfwb.be</w:t>
                          </w:r>
                        </w:hyperlink>
                      </w:p>
                    </w:tc>
                  </w:tr>
                </w:tbl>
                <w:p w:rsidR="00F04EEF" w:rsidRDefault="0099351E">
                  <w:pPr>
                    <w:jc w:val="both"/>
                  </w:pPr>
                  <w:bookmarkStart w:id="3648" w:name="_Toc412204250"/>
                  <w:bookmarkStart w:id="3649" w:name="_Toc453837075"/>
                  <w:r>
                    <w:t>*documents susceptibles d’être communiqués aux parents de l’élève mineur, à toute personne investie de l’autorité parentale qui en assume la garde en fait et en droit, ou à l’élève lui-même s’il est majeur.</w:t>
                  </w:r>
                </w:p>
                <w:p w:rsidR="00F04EEF" w:rsidRDefault="0099351E">
                  <w:pPr>
                    <w:rPr>
                      <w:b/>
                      <w:u w:val="single"/>
                    </w:rPr>
                  </w:pPr>
                  <w:r>
                    <w:br w:type="page"/>
                  </w:r>
                </w:p>
                <w:p w:rsidR="00F04EEF" w:rsidRDefault="0099351E">
                  <w:pPr>
                    <w:pStyle w:val="Titre4"/>
                  </w:pPr>
                  <w:r>
                    <w:t>Situation n°6 : opportunité de dispenser un enfant ou un adolescent à besoins spécifiques de toute obligation scolaire</w:t>
                  </w:r>
                  <w:bookmarkEnd w:id="3648"/>
                  <w:bookmarkEnd w:id="3649"/>
                </w:p>
                <w:p w:rsidR="00F04EEF" w:rsidRDefault="00F04EEF">
                  <w:pPr>
                    <w:jc w:val="center"/>
                  </w:pPr>
                </w:p>
                <w:p w:rsidR="00F04EEF" w:rsidRDefault="0099351E">
                  <w:pPr>
                    <w:rPr>
                      <w:b/>
                    </w:rPr>
                  </w:pPr>
                  <w:r>
                    <w:rPr>
                      <w:b/>
                    </w:rPr>
                    <w:t>Demande introduite par :</w:t>
                  </w:r>
                </w:p>
                <w:p w:rsidR="00F04EEF" w:rsidRDefault="0099351E">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 xml:space="preserve"> )</w:t>
                  </w:r>
                </w:p>
                <w:p w:rsidR="00F04EEF" w:rsidRDefault="0099351E">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sidR="00F04EEF" w:rsidRDefault="00F04EEF">
                  <w:pPr>
                    <w:rPr>
                      <w:b/>
                    </w:rPr>
                  </w:pPr>
                </w:p>
                <w:p w:rsidR="00F04EEF" w:rsidRDefault="0099351E">
                  <w:r>
                    <w:rPr>
                      <w:b/>
                    </w:rPr>
                    <w:t>Identité du demandeur</w:t>
                  </w:r>
                  <w:r>
                    <w:t> :</w:t>
                  </w:r>
                </w:p>
                <w:p w:rsidR="00F04EEF" w:rsidRDefault="0099351E">
                  <w:r>
                    <w:t xml:space="preserve">Nom, prénom : </w:t>
                  </w:r>
                </w:p>
                <w:p w:rsidR="00F04EEF" w:rsidRDefault="0099351E">
                  <w:r>
                    <w:t xml:space="preserve">Adresse : </w:t>
                  </w:r>
                </w:p>
                <w:p w:rsidR="00F04EEF" w:rsidRDefault="00F04EEF"/>
                <w:p w:rsidR="00F04EEF" w:rsidRDefault="00F04EEF"/>
                <w:p w:rsidR="00F04EEF" w:rsidRDefault="0099351E">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F04EEF">
                    <w:tc>
                      <w:tcPr>
                        <w:tcW w:w="10008" w:type="dxa"/>
                        <w:tcBorders>
                          <w:top w:val="single" w:sz="4" w:space="0" w:color="auto"/>
                          <w:bottom w:val="single" w:sz="4" w:space="0" w:color="auto"/>
                        </w:tcBorders>
                      </w:tcPr>
                      <w:p w:rsidR="00F04EEF" w:rsidRDefault="0099351E">
                        <w:pPr>
                          <w:rPr>
                            <w:b/>
                            <w:bCs/>
                            <w:caps/>
                          </w:rPr>
                        </w:pPr>
                        <w:r>
                          <w:rPr>
                            <w:b/>
                            <w:bCs/>
                            <w:caps/>
                          </w:rPr>
                          <w:t>concernE lE  JEUNE :</w:t>
                        </w:r>
                        <w:r>
                          <w:rPr>
                            <w:bCs/>
                          </w:rPr>
                          <w:br/>
                          <w:t xml:space="preserve">NOM, PRENOM : </w:t>
                        </w:r>
                      </w:p>
                      <w:p w:rsidR="00F04EEF" w:rsidRDefault="0099351E">
                        <w:pPr>
                          <w:jc w:val="both"/>
                          <w:rPr>
                            <w:bCs/>
                          </w:rPr>
                        </w:pPr>
                        <w:r>
                          <w:rPr>
                            <w:bCs/>
                          </w:rPr>
                          <w:t>ADRESSE :</w:t>
                        </w:r>
                      </w:p>
                      <w:p w:rsidR="00F04EEF" w:rsidRDefault="00F04EEF">
                        <w:pPr>
                          <w:jc w:val="both"/>
                          <w:rPr>
                            <w:bCs/>
                          </w:rPr>
                        </w:pPr>
                      </w:p>
                      <w:p w:rsidR="00F04EEF" w:rsidRDefault="00F04EEF">
                        <w:pPr>
                          <w:jc w:val="both"/>
                          <w:rPr>
                            <w:bCs/>
                          </w:rPr>
                        </w:pPr>
                      </w:p>
                      <w:p w:rsidR="00F04EEF" w:rsidRDefault="0099351E">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Institution fréquentée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
                                  <w:bCs/>
                                </w:rPr>
                                <w:t>Centre orienteur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Dénomination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Agent de référence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
                                  <w:bCs/>
                                </w:rPr>
                                <w:t>Situation antérieure</w:t>
                              </w:r>
                              <w:r>
                                <w:rPr>
                                  <w:bCs/>
                                </w:rPr>
                                <w:t xml:space="preserve"> (Centre, école, domicile, crèche ,  .. .)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 xml:space="preserve">Coordonnées : </w:t>
                              </w:r>
                            </w:p>
                          </w:tc>
                        </w:tr>
                      </w:tbl>
                      <w:p w:rsidR="00F04EEF" w:rsidRDefault="00F04EEF">
                        <w:pPr>
                          <w:jc w:val="both"/>
                        </w:pPr>
                      </w:p>
                    </w:tc>
                  </w:tr>
                  <w:tr w:rsidR="00F04EEF">
                    <w:tc>
                      <w:tcPr>
                        <w:tcW w:w="10008" w:type="dxa"/>
                        <w:tcBorders>
                          <w:top w:val="single" w:sz="4" w:space="0" w:color="auto"/>
                          <w:bottom w:val="single" w:sz="4" w:space="0" w:color="auto"/>
                        </w:tcBorders>
                      </w:tcPr>
                      <w:p w:rsidR="00F04EEF" w:rsidRDefault="0099351E">
                        <w:pPr>
                          <w:jc w:val="both"/>
                          <w:rPr>
                            <w:b/>
                          </w:rPr>
                        </w:pPr>
                        <w:r>
                          <w:rPr>
                            <w:b/>
                          </w:rPr>
                          <w:t>Documents utiles et/ou</w:t>
                        </w:r>
                        <w:r>
                          <w:rPr>
                            <w:b/>
                            <w:color w:val="FF0000"/>
                          </w:rPr>
                          <w:t xml:space="preserve"> </w:t>
                        </w:r>
                        <w:r>
                          <w:rPr>
                            <w:b/>
                          </w:rPr>
                          <w:t>nécessaires au traitement de la demande* :</w:t>
                        </w:r>
                      </w:p>
                      <w:p w:rsidR="00F04EEF" w:rsidRDefault="0099351E">
                        <w:pPr>
                          <w:jc w:val="both"/>
                        </w:pPr>
                        <w:r>
                          <w:rPr>
                            <w:rFonts w:ascii="Times New Roman" w:hAnsi="Times New Roman" w:cs="Times New Roman"/>
                          </w:rPr>
                          <w:t>□</w:t>
                        </w:r>
                        <w:r>
                          <w:rPr>
                            <w:rFonts w:cs="Cambria"/>
                          </w:rPr>
                          <w:t> </w:t>
                        </w:r>
                        <w:r>
                          <w:t>: rapport d</w:t>
                        </w:r>
                        <w:r>
                          <w:rPr>
                            <w:rFonts w:cs="Cambria"/>
                          </w:rPr>
                          <w:t>’</w:t>
                        </w:r>
                        <w:r>
                          <w:t>un organisme de guidance</w:t>
                        </w:r>
                      </w:p>
                      <w:p w:rsidR="00F04EEF" w:rsidRDefault="0099351E">
                        <w:pPr>
                          <w:jc w:val="both"/>
                        </w:pPr>
                        <w:r>
                          <w:rPr>
                            <w:rFonts w:ascii="Times New Roman" w:hAnsi="Times New Roman" w:cs="Times New Roman"/>
                          </w:rPr>
                          <w:t>□</w:t>
                        </w:r>
                        <w:r>
                          <w:rPr>
                            <w:rFonts w:cs="Cambria"/>
                          </w:rPr>
                          <w:t> </w:t>
                        </w:r>
                        <w:r>
                          <w:t>: avis d</w:t>
                        </w:r>
                        <w:r>
                          <w:rPr>
                            <w:rFonts w:cs="Cambria"/>
                          </w:rPr>
                          <w:t>’</w:t>
                        </w:r>
                        <w:r>
                          <w:t>un m</w:t>
                        </w:r>
                        <w:r>
                          <w:rPr>
                            <w:rFonts w:cs="Cambria"/>
                          </w:rPr>
                          <w:t>é</w:t>
                        </w:r>
                        <w:r>
                          <w:t>decin sp</w:t>
                        </w:r>
                        <w:r>
                          <w:rPr>
                            <w:rFonts w:cs="Cambria"/>
                          </w:rPr>
                          <w:t>é</w:t>
                        </w:r>
                        <w:r>
                          <w:t>cialiste</w:t>
                        </w:r>
                      </w:p>
                      <w:p w:rsidR="00F04EEF" w:rsidRDefault="0099351E">
                        <w:pPr>
                          <w:jc w:val="both"/>
                        </w:pPr>
                        <w:r>
                          <w:rPr>
                            <w:rFonts w:ascii="Times New Roman" w:hAnsi="Times New Roman" w:cs="Times New Roman"/>
                          </w:rPr>
                          <w:t>□</w:t>
                        </w:r>
                        <w:r>
                          <w:rPr>
                            <w:rFonts w:cs="Cambria"/>
                          </w:rPr>
                          <w:t> </w:t>
                        </w:r>
                        <w:r>
                          <w:t>: rapport d</w:t>
                        </w:r>
                        <w:r>
                          <w:rPr>
                            <w:rFonts w:cs="Cambria"/>
                          </w:rPr>
                          <w:t>’é</w:t>
                        </w:r>
                        <w:r>
                          <w:t>volution si dur</w:t>
                        </w:r>
                        <w:r>
                          <w:rPr>
                            <w:rFonts w:cs="Cambria"/>
                          </w:rPr>
                          <w:t>é</w:t>
                        </w:r>
                        <w:r>
                          <w:t>e sup</w:t>
                        </w:r>
                        <w:r>
                          <w:rPr>
                            <w:rFonts w:cs="Cambria"/>
                          </w:rPr>
                          <w:t>é</w:t>
                        </w:r>
                        <w:r>
                          <w:t xml:space="preserve">rieure </w:t>
                        </w:r>
                        <w:r>
                          <w:rPr>
                            <w:rFonts w:cs="Cambria"/>
                          </w:rPr>
                          <w:t>à</w:t>
                        </w:r>
                        <w:r>
                          <w:t xml:space="preserve"> 1 an</w:t>
                        </w:r>
                      </w:p>
                      <w:p w:rsidR="00F04EEF" w:rsidRDefault="0099351E">
                        <w:pPr>
                          <w:jc w:val="both"/>
                        </w:pPr>
                        <w:r>
                          <w:rPr>
                            <w:rFonts w:ascii="Times New Roman" w:hAnsi="Times New Roman" w:cs="Times New Roman"/>
                          </w:rPr>
                          <w:t>□</w:t>
                        </w:r>
                        <w:r>
                          <w:rPr>
                            <w:rFonts w:cs="Cambria"/>
                          </w:rPr>
                          <w:t> </w:t>
                        </w:r>
                        <w:r>
                          <w:t>: projet individuel en cas de prise en charge par une institution</w:t>
                        </w:r>
                      </w:p>
                      <w:p w:rsidR="00F04EEF" w:rsidRDefault="00F04EEF">
                        <w:pPr>
                          <w:jc w:val="both"/>
                        </w:pPr>
                      </w:p>
                      <w:p w:rsidR="00F04EEF" w:rsidRDefault="0099351E">
                        <w:pPr>
                          <w:jc w:val="both"/>
                        </w:pPr>
                        <w:r>
                          <w:rPr>
                            <w:b/>
                            <w:i/>
                          </w:rPr>
                          <w:t xml:space="preserve">Période pour laquelle la dispense est demandée : </w:t>
                        </w:r>
                        <w:r>
                          <w:t>du           /           au          /</w:t>
                        </w:r>
                      </w:p>
                      <w:p w:rsidR="00F04EEF" w:rsidRDefault="0099351E">
                        <w:pPr>
                          <w:jc w:val="both"/>
                          <w:rPr>
                            <w:b/>
                            <w:color w:val="FF9900"/>
                          </w:rPr>
                        </w:pPr>
                        <w:r>
                          <w:rPr>
                            <w:b/>
                            <w:color w:val="FF6600"/>
                          </w:rPr>
                          <w:t>N.B. : la CCES communique l’avis  au service de l’obligation scolaire</w:t>
                        </w:r>
                        <w:r>
                          <w:rPr>
                            <w:b/>
                            <w:color w:val="FF9900"/>
                          </w:rPr>
                          <w:t>.</w:t>
                        </w:r>
                      </w:p>
                      <w:p w:rsidR="00F04EEF" w:rsidRDefault="00F04EEF">
                        <w:pPr>
                          <w:jc w:val="both"/>
                        </w:pPr>
                      </w:p>
                      <w:p w:rsidR="00F04EEF" w:rsidRDefault="0099351E">
                        <w:pPr>
                          <w:jc w:val="both"/>
                          <w:rPr>
                            <w:b/>
                          </w:rPr>
                        </w:pPr>
                        <w:r>
                          <w:rPr>
                            <w:b/>
                          </w:rPr>
                          <w:t>DATE :                                                                            SIGNATURE :</w:t>
                        </w:r>
                      </w:p>
                    </w:tc>
                  </w:tr>
                  <w:tr w:rsidR="00F04EEF">
                    <w:tc>
                      <w:tcPr>
                        <w:tcW w:w="10008" w:type="dxa"/>
                        <w:tcBorders>
                          <w:top w:val="single" w:sz="4" w:space="0" w:color="auto"/>
                          <w:left w:val="single" w:sz="4" w:space="0" w:color="auto"/>
                          <w:bottom w:val="single" w:sz="4" w:space="0" w:color="auto"/>
                          <w:right w:val="single" w:sz="4" w:space="0" w:color="auto"/>
                        </w:tcBorders>
                      </w:tcPr>
                      <w:p w:rsidR="00F04EEF" w:rsidRDefault="0099351E">
                        <w:pPr>
                          <w:jc w:val="center"/>
                        </w:pPr>
                        <w:r>
                          <w:rPr>
                            <w:b/>
                          </w:rPr>
                          <w:t>Formulaire de demande d’avis à adresser</w:t>
                        </w:r>
                        <w:r>
                          <w:t> :</w:t>
                        </w:r>
                      </w:p>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rPr>
                            <w:color w:val="000000"/>
                          </w:rPr>
                        </w:pPr>
                        <w:r>
                          <w:rPr>
                            <w:color w:val="000000"/>
                          </w:rPr>
                          <w:t>Madame Nathalie DUJARDIN</w:t>
                        </w:r>
                      </w:p>
                      <w:p w:rsidR="00F04EEF" w:rsidRDefault="0099351E">
                        <w:pPr>
                          <w:jc w:val="center"/>
                        </w:pPr>
                        <w:r>
                          <w:t>Bureau 2F250</w:t>
                        </w:r>
                      </w:p>
                      <w:p w:rsidR="00F04EEF" w:rsidRDefault="0099351E">
                        <w:pPr>
                          <w:jc w:val="center"/>
                        </w:pPr>
                        <w:r>
                          <w:t>Rue Adolphe Lavallée, 1</w:t>
                        </w:r>
                      </w:p>
                      <w:p w:rsidR="00F04EEF" w:rsidRDefault="0099351E">
                        <w:pPr>
                          <w:jc w:val="center"/>
                        </w:pPr>
                        <w:r>
                          <w:t>1080   BRUXELLES</w:t>
                        </w:r>
                      </w:p>
                      <w:p w:rsidR="00F04EEF" w:rsidRDefault="0099351E">
                        <w:pPr>
                          <w:jc w:val="center"/>
                          <w:rPr>
                            <w:lang w:val="fr-FR"/>
                          </w:rPr>
                        </w:pPr>
                        <w:r>
                          <w:sym w:font="Wingdings" w:char="F028"/>
                        </w:r>
                        <w:r>
                          <w:rPr>
                            <w:lang w:val="fr-FR"/>
                          </w:rPr>
                          <w:t> : 02/690.88.59 – GSM : 0472/94.31.95</w:t>
                        </w:r>
                      </w:p>
                      <w:p w:rsidR="00F04EEF" w:rsidRDefault="0099351E">
                        <w:pPr>
                          <w:jc w:val="center"/>
                        </w:pPr>
                        <w:r>
                          <w:rPr>
                            <w:bCs/>
                          </w:rPr>
                          <w:sym w:font="Wingdings" w:char="F03A"/>
                        </w:r>
                        <w:r>
                          <w:rPr>
                            <w:bCs/>
                            <w:lang w:val="fr-FR"/>
                          </w:rPr>
                          <w:t> </w:t>
                        </w:r>
                        <w:r>
                          <w:rPr>
                            <w:lang w:val="fr-FR"/>
                          </w:rPr>
                          <w:t xml:space="preserve"> </w:t>
                        </w:r>
                        <w:hyperlink r:id="rId269" w:history="1">
                          <w:r>
                            <w:rPr>
                              <w:rStyle w:val="Lienhypertexte"/>
                              <w:rFonts w:cs="Arial"/>
                              <w:b/>
                              <w:lang w:val="fr-FR"/>
                            </w:rPr>
                            <w:t>nathalie.dujardin@cfwb.be</w:t>
                          </w:r>
                        </w:hyperlink>
                      </w:p>
                    </w:tc>
                  </w:tr>
                </w:tbl>
                <w:p w:rsidR="00F04EEF" w:rsidRDefault="0099351E">
                  <w:pPr>
                    <w:pBdr>
                      <w:right w:val="single" w:sz="4" w:space="4" w:color="auto"/>
                    </w:pBdr>
                    <w:jc w:val="both"/>
                    <w:rPr>
                      <w:b/>
                      <w:u w:val="single"/>
                    </w:rPr>
                  </w:pPr>
                  <w:r>
                    <w:t>*documents susceptibles d’être communiqués aux parents de l’élève mineur, à toute personne investie de l’autorité parentale qui en assume la garde en fait et en droit, ou à l’élève lui-même s’il est majeur.</w:t>
                  </w:r>
                </w:p>
                <w:p w:rsidR="00F04EEF" w:rsidRDefault="0099351E">
                  <w:pPr>
                    <w:rPr>
                      <w:b/>
                      <w:u w:val="single"/>
                    </w:rPr>
                  </w:pPr>
                  <w:bookmarkStart w:id="3650" w:name="_Toc412204251"/>
                  <w:bookmarkStart w:id="3651" w:name="_Toc453837076"/>
                  <w:r>
                    <w:br w:type="page"/>
                  </w:r>
                </w:p>
                <w:p w:rsidR="00F04EEF" w:rsidRDefault="0099351E">
                  <w:pPr>
                    <w:pStyle w:val="Titre4"/>
                  </w:pPr>
                  <w:r>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3650"/>
                  <w:bookmarkEnd w:id="3651"/>
                </w:p>
                <w:p w:rsidR="00F04EEF" w:rsidRDefault="00F04EEF">
                  <w:pPr>
                    <w:rPr>
                      <w:b/>
                    </w:rPr>
                  </w:pPr>
                </w:p>
                <w:p w:rsidR="00F04EEF" w:rsidRDefault="0099351E">
                  <w:pPr>
                    <w:pBdr>
                      <w:top w:val="single" w:sz="4" w:space="1" w:color="000000"/>
                      <w:left w:val="single" w:sz="4" w:space="1" w:color="000000"/>
                      <w:bottom w:val="single" w:sz="4" w:space="1" w:color="000000"/>
                      <w:right w:val="single" w:sz="4" w:space="1" w:color="000000"/>
                    </w:pBdr>
                    <w:jc w:val="both"/>
                  </w:pPr>
                  <w:r>
                    <w:rPr>
                      <w:b/>
                    </w:rPr>
                    <w:t xml:space="preserve">Demande introduite par : </w:t>
                  </w:r>
                  <w:r>
                    <w:t>Le chef de la  Cellule des accidents du travail de l’enseignement :</w:t>
                  </w:r>
                </w:p>
                <w:p w:rsidR="00F04EEF" w:rsidRDefault="0099351E">
                  <w:pPr>
                    <w:pBdr>
                      <w:top w:val="single" w:sz="4" w:space="1" w:color="000000"/>
                      <w:left w:val="single" w:sz="4" w:space="1" w:color="000000"/>
                      <w:bottom w:val="single" w:sz="4" w:space="1" w:color="000000"/>
                      <w:right w:val="single" w:sz="4" w:space="1" w:color="000000"/>
                    </w:pBdr>
                    <w:jc w:val="center"/>
                    <w:rPr>
                      <w:lang w:val="fr-FR"/>
                    </w:rPr>
                  </w:pPr>
                  <w:r>
                    <w:rPr>
                      <w:lang w:val="fr-FR"/>
                    </w:rPr>
                    <w:t>Monsieur LAURENT</w:t>
                  </w:r>
                </w:p>
                <w:p w:rsidR="00F04EEF" w:rsidRDefault="0099351E">
                  <w:pPr>
                    <w:pBdr>
                      <w:top w:val="single" w:sz="4" w:space="1" w:color="000000"/>
                      <w:left w:val="single" w:sz="4" w:space="1" w:color="000000"/>
                      <w:bottom w:val="single" w:sz="4" w:space="1" w:color="000000"/>
                      <w:right w:val="single" w:sz="4" w:space="1" w:color="000000"/>
                    </w:pBdr>
                    <w:jc w:val="center"/>
                  </w:pPr>
                  <w:r>
                    <w:t>Boulevard Léopold II, 44</w:t>
                  </w:r>
                </w:p>
                <w:p w:rsidR="00F04EEF" w:rsidRDefault="0099351E">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Local 1</w:t>
                  </w:r>
                  <w:r>
                    <w:rPr>
                      <w:vertAlign w:val="superscript"/>
                      <w:lang w:val="es-ES_tradnl"/>
                    </w:rPr>
                    <w:t xml:space="preserve"> </w:t>
                  </w:r>
                  <w:r>
                    <w:rPr>
                      <w:lang w:val="es-ES_tradnl"/>
                    </w:rPr>
                    <w:t>E 128</w:t>
                  </w:r>
                </w:p>
                <w:p w:rsidR="00F04EEF" w:rsidRDefault="0099351E">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1080   BRUXELLES</w:t>
                  </w:r>
                </w:p>
                <w:p w:rsidR="00F04EEF" w:rsidRDefault="0099351E">
                  <w:pPr>
                    <w:pBdr>
                      <w:top w:val="single" w:sz="4" w:space="1" w:color="000000"/>
                      <w:left w:val="single" w:sz="4" w:space="1" w:color="000000"/>
                      <w:bottom w:val="single" w:sz="4" w:space="1" w:color="000000"/>
                      <w:right w:val="single" w:sz="4" w:space="1" w:color="000000"/>
                    </w:pBdr>
                    <w:jc w:val="center"/>
                    <w:rPr>
                      <w:lang w:val="es-ES_tradnl"/>
                    </w:rPr>
                  </w:pPr>
                  <w:r>
                    <w:sym w:font="Wingdings" w:char="F028"/>
                  </w:r>
                  <w:r>
                    <w:rPr>
                      <w:lang w:val="es-ES_tradnl"/>
                    </w:rPr>
                    <w:t> : 02 / 41 32 773</w:t>
                  </w:r>
                </w:p>
                <w:p w:rsidR="00F04EEF" w:rsidRDefault="0099351E">
                  <w:pPr>
                    <w:pBdr>
                      <w:top w:val="single" w:sz="4" w:space="1" w:color="000000"/>
                      <w:left w:val="single" w:sz="4" w:space="1" w:color="000000"/>
                      <w:bottom w:val="single" w:sz="4" w:space="1" w:color="000000"/>
                      <w:right w:val="single" w:sz="4" w:space="1" w:color="000000"/>
                    </w:pBdr>
                    <w:jc w:val="center"/>
                    <w:rPr>
                      <w:lang w:val="es-ES_tradnl"/>
                    </w:rPr>
                  </w:pPr>
                  <w:r>
                    <w:sym w:font="Wingdings" w:char="F03A"/>
                  </w:r>
                  <w:r>
                    <w:rPr>
                      <w:lang w:val="es-ES_tradnl"/>
                    </w:rPr>
                    <w:t xml:space="preserve"> : </w:t>
                  </w:r>
                  <w:hyperlink r:id="rId270" w:history="1">
                    <w:r>
                      <w:rPr>
                        <w:rStyle w:val="Lienhypertexte"/>
                        <w:rFonts w:cs="Arial"/>
                        <w:lang w:val="es-ES_tradnl"/>
                      </w:rPr>
                      <w:t>francis.vanremoortere@cfwb.be</w:t>
                    </w:r>
                  </w:hyperlink>
                </w:p>
                <w:p w:rsidR="00F04EEF" w:rsidRDefault="00F04EEF">
                  <w:pPr>
                    <w:ind w:hanging="360"/>
                    <w:rPr>
                      <w:b/>
                      <w:lang w:val="es-ES_tradnl"/>
                    </w:rPr>
                  </w:pPr>
                </w:p>
                <w:p w:rsidR="00F04EEF" w:rsidRDefault="0099351E">
                  <w:pPr>
                    <w:ind w:hanging="360"/>
                    <w:rPr>
                      <w:b/>
                    </w:rPr>
                  </w:pPr>
                  <w:r>
                    <w:rPr>
                      <w:b/>
                    </w:rPr>
                    <w:t>Référence dossier :</w:t>
                  </w:r>
                </w:p>
                <w:p w:rsidR="00F04EEF" w:rsidRDefault="00F04EEF">
                  <w:pPr>
                    <w:ind w:hanging="360"/>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F04EEF">
                    <w:tc>
                      <w:tcPr>
                        <w:tcW w:w="10008" w:type="dxa"/>
                        <w:tcBorders>
                          <w:top w:val="single" w:sz="4" w:space="0" w:color="auto"/>
                          <w:bottom w:val="single" w:sz="4" w:space="0" w:color="auto"/>
                        </w:tcBorders>
                      </w:tcPr>
                      <w:p w:rsidR="00F04EEF" w:rsidRDefault="0099351E">
                        <w:pPr>
                          <w:rPr>
                            <w:b/>
                            <w:bCs/>
                            <w:caps/>
                          </w:rPr>
                        </w:pPr>
                        <w:r>
                          <w:rPr>
                            <w:b/>
                            <w:bCs/>
                            <w:caps/>
                          </w:rPr>
                          <w:t>concernE l’ELEve :</w:t>
                        </w:r>
                      </w:p>
                      <w:p w:rsidR="00F04EEF" w:rsidRDefault="0099351E">
                        <w:pPr>
                          <w:rPr>
                            <w:bCs/>
                          </w:rPr>
                        </w:pPr>
                        <w:r>
                          <w:rPr>
                            <w:bCs/>
                          </w:rPr>
                          <w:t>NOM, PRENOM :</w:t>
                        </w:r>
                      </w:p>
                      <w:p w:rsidR="00F04EEF" w:rsidRDefault="0099351E">
                        <w:pPr>
                          <w:jc w:val="both"/>
                          <w:rPr>
                            <w:bCs/>
                          </w:rPr>
                        </w:pPr>
                        <w:r>
                          <w:rPr>
                            <w:bCs/>
                          </w:rPr>
                          <w:t xml:space="preserve">ADRESSE : </w:t>
                        </w:r>
                      </w:p>
                      <w:p w:rsidR="00F04EEF" w:rsidRDefault="00F04EEF">
                        <w:pPr>
                          <w:jc w:val="both"/>
                          <w:rPr>
                            <w:bCs/>
                          </w:rPr>
                        </w:pPr>
                      </w:p>
                      <w:p w:rsidR="00F04EEF" w:rsidRDefault="00F04EEF">
                        <w:pPr>
                          <w:jc w:val="both"/>
                          <w:rPr>
                            <w:bCs/>
                          </w:rPr>
                        </w:pPr>
                      </w:p>
                      <w:p w:rsidR="00F04EEF" w:rsidRDefault="0099351E">
                        <w:pPr>
                          <w:jc w:val="both"/>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Ecole fréquentée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 xml:space="preserve">Niveau :     </w:t>
                              </w:r>
                              <w:r>
                                <w:rPr>
                                  <w:rFonts w:ascii="Times New Roman" w:hAnsi="Times New Roman" w:cs="Times New Roman"/>
                                  <w:bCs/>
                                </w:rPr>
                                <w:t>□</w:t>
                              </w:r>
                              <w:r>
                                <w:rPr>
                                  <w:bCs/>
                                </w:rPr>
                                <w:t xml:space="preserve"> primaire      </w:t>
                              </w:r>
                              <w:r>
                                <w:rPr>
                                  <w:rFonts w:ascii="Times New Roman" w:hAnsi="Times New Roman" w:cs="Times New Roman"/>
                                  <w:bCs/>
                                </w:rPr>
                                <w:t>□</w:t>
                              </w:r>
                              <w:r>
                                <w:rPr>
                                  <w:bCs/>
                                </w:rPr>
                                <w:t xml:space="preserve"> maturit</w:t>
                              </w:r>
                              <w:r>
                                <w:rPr>
                                  <w:rFonts w:cs="Cambria"/>
                                  <w:bCs/>
                                </w:rPr>
                                <w:t>é</w:t>
                              </w:r>
                              <w:r>
                                <w:rPr>
                                  <w:bCs/>
                                </w:rPr>
                                <w:t xml:space="preserve"> </w:t>
                              </w:r>
                              <w:r>
                                <w:rPr>
                                  <w:rFonts w:cs="Cambria"/>
                                  <w:bCs/>
                                </w:rPr>
                                <w:t>…</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 xml:space="preserve">                  </w:t>
                              </w:r>
                              <w:r>
                                <w:rPr>
                                  <w:rFonts w:ascii="Times New Roman" w:hAnsi="Times New Roman" w:cs="Times New Roman"/>
                                  <w:bCs/>
                                </w:rPr>
                                <w:t>□</w:t>
                              </w:r>
                              <w:r>
                                <w:rPr>
                                  <w:bCs/>
                                </w:rPr>
                                <w:t xml:space="preserve"> secondaire        Forme (</w:t>
                              </w:r>
                              <w:r>
                                <w:rPr>
                                  <w:rFonts w:cs="Cambria"/>
                                  <w:bCs/>
                                </w:rPr>
                                <w:t>à</w:t>
                              </w:r>
                              <w:r>
                                <w:rPr>
                                  <w:bCs/>
                                </w:rPr>
                                <w:t xml:space="preserve"> pr</w:t>
                              </w:r>
                              <w:r>
                                <w:rPr>
                                  <w:rFonts w:cs="Cambria"/>
                                  <w:bCs/>
                                </w:rPr>
                                <w:t>é</w:t>
                              </w:r>
                              <w:r>
                                <w:rPr>
                                  <w:bCs/>
                                </w:rPr>
                                <w:t xml:space="preserve">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 xml:space="preserve">Type : (A préciser)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   </w:t>
                              </w:r>
                              <w:r>
                                <w:rPr>
                                  <w:rFonts w:ascii="Times New Roman" w:hAnsi="Times New Roman" w:cs="Times New Roman"/>
                                  <w:bCs/>
                                </w:rPr>
                                <w:t>□</w:t>
                              </w:r>
                              <w:r>
                                <w:rPr>
                                  <w:bCs/>
                                </w:rPr>
                                <w:t xml:space="preserve"> 5   </w:t>
                              </w:r>
                              <w:r>
                                <w:rPr>
                                  <w:rFonts w:ascii="Times New Roman" w:hAnsi="Times New Roman" w:cs="Times New Roman"/>
                                  <w:bCs/>
                                </w:rPr>
                                <w:t>□</w:t>
                              </w:r>
                              <w:r>
                                <w:rPr>
                                  <w:bCs/>
                                </w:rPr>
                                <w:t xml:space="preserve"> 6   </w:t>
                              </w:r>
                              <w:r>
                                <w:rPr>
                                  <w:rFonts w:ascii="Times New Roman" w:hAnsi="Times New Roman" w:cs="Times New Roman"/>
                                  <w:bCs/>
                                </w:rPr>
                                <w:t>□</w:t>
                              </w:r>
                              <w:r>
                                <w:rPr>
                                  <w:bCs/>
                                </w:rPr>
                                <w:t xml:space="preserve"> 7   </w:t>
                              </w:r>
                              <w:r>
                                <w:rPr>
                                  <w:rFonts w:ascii="Times New Roman" w:hAnsi="Times New Roman" w:cs="Times New Roman"/>
                                  <w:bCs/>
                                </w:rPr>
                                <w:t>□</w:t>
                              </w:r>
                              <w:r>
                                <w:rPr>
                                  <w:bCs/>
                                </w:rPr>
                                <w:t xml:space="preserve"> 8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
                                  <w:bCs/>
                                </w:rPr>
                              </w:pPr>
                              <w:r>
                                <w:rPr>
                                  <w:b/>
                                  <w:bCs/>
                                </w:rPr>
                                <w:t>Personne responsable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Nom :</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t>Adresse</w:t>
                              </w:r>
                            </w:p>
                          </w:tc>
                        </w:tr>
                        <w:tr w:rsidR="00F04EEF">
                          <w:tc>
                            <w:tcPr>
                              <w:tcW w:w="9535" w:type="dxa"/>
                              <w:tcBorders>
                                <w:top w:val="single" w:sz="4" w:space="0" w:color="auto"/>
                                <w:left w:val="single" w:sz="4" w:space="0" w:color="auto"/>
                                <w:bottom w:val="single" w:sz="4" w:space="0" w:color="auto"/>
                                <w:right w:val="single" w:sz="4" w:space="0" w:color="auto"/>
                              </w:tcBorders>
                            </w:tcPr>
                            <w:p w:rsidR="00F04EEF" w:rsidRDefault="0099351E">
                              <w:pPr>
                                <w:jc w:val="both"/>
                                <w:rPr>
                                  <w:bCs/>
                                </w:rPr>
                              </w:pPr>
                              <w:r>
                                <w:rPr>
                                  <w:bCs/>
                                </w:rPr>
                                <w:sym w:font="Wingdings" w:char="F028"/>
                              </w:r>
                              <w:r>
                                <w:rPr>
                                  <w:bCs/>
                                </w:rPr>
                                <w:t xml:space="preserve"> :                                                     </w:t>
                              </w:r>
                              <w:r>
                                <w:rPr>
                                  <w:bCs/>
                                </w:rPr>
                                <w:sym w:font="Wingdings" w:char="F03A"/>
                              </w:r>
                              <w:r>
                                <w:rPr>
                                  <w:bCs/>
                                </w:rPr>
                                <w:t> :</w:t>
                              </w:r>
                            </w:p>
                          </w:tc>
                        </w:tr>
                      </w:tbl>
                      <w:p w:rsidR="00F04EEF" w:rsidRDefault="00F04EEF">
                        <w:pPr>
                          <w:jc w:val="both"/>
                        </w:pPr>
                      </w:p>
                    </w:tc>
                  </w:tr>
                  <w:tr w:rsidR="00F04EEF">
                    <w:tc>
                      <w:tcPr>
                        <w:tcW w:w="10008" w:type="dxa"/>
                        <w:tcBorders>
                          <w:top w:val="single" w:sz="4" w:space="0" w:color="auto"/>
                          <w:bottom w:val="single" w:sz="4" w:space="0" w:color="auto"/>
                        </w:tcBorders>
                      </w:tcPr>
                      <w:p w:rsidR="00F04EEF" w:rsidRDefault="00F04EEF">
                        <w:pPr>
                          <w:jc w:val="both"/>
                          <w:rPr>
                            <w:b/>
                          </w:rPr>
                        </w:pPr>
                      </w:p>
                      <w:p w:rsidR="00F04EEF" w:rsidRDefault="0099351E">
                        <w:pPr>
                          <w:jc w:val="both"/>
                          <w:rPr>
                            <w:b/>
                          </w:rPr>
                        </w:pPr>
                        <w:r>
                          <w:rPr>
                            <w:b/>
                          </w:rPr>
                          <w:t>Documents utiles et /ou nécessaires au traitement de la demande fournis par la Cellule des accidents</w:t>
                        </w:r>
                      </w:p>
                      <w:p w:rsidR="00F04EEF" w:rsidRDefault="0099351E">
                        <w:pPr>
                          <w:jc w:val="both"/>
                        </w:pPr>
                        <w:r>
                          <w:rPr>
                            <w:rFonts w:ascii="Times New Roman" w:hAnsi="Times New Roman" w:cs="Times New Roman"/>
                          </w:rPr>
                          <w:t>□</w:t>
                        </w:r>
                        <w:r>
                          <w:rPr>
                            <w:rFonts w:cs="Cambria"/>
                          </w:rPr>
                          <w:t> </w:t>
                        </w:r>
                        <w:r>
                          <w:t>: d</w:t>
                        </w:r>
                        <w:r>
                          <w:rPr>
                            <w:rFonts w:cs="Cambria"/>
                          </w:rPr>
                          <w:t>é</w:t>
                        </w:r>
                        <w:r>
                          <w:t>claration d</w:t>
                        </w:r>
                        <w:r>
                          <w:rPr>
                            <w:rFonts w:cs="Cambria"/>
                          </w:rPr>
                          <w:t>’</w:t>
                        </w:r>
                        <w:r>
                          <w:t>accident</w:t>
                        </w:r>
                      </w:p>
                      <w:p w:rsidR="00F04EEF" w:rsidRDefault="0099351E">
                        <w:pPr>
                          <w:jc w:val="both"/>
                        </w:pPr>
                        <w:r>
                          <w:rPr>
                            <w:rFonts w:ascii="Times New Roman" w:hAnsi="Times New Roman" w:cs="Times New Roman"/>
                          </w:rPr>
                          <w:t>□</w:t>
                        </w:r>
                        <w:r>
                          <w:rPr>
                            <w:rFonts w:cs="Cambria"/>
                          </w:rPr>
                          <w:t> </w:t>
                        </w:r>
                        <w:r>
                          <w:t xml:space="preserve">: plainte </w:t>
                        </w:r>
                        <w:r>
                          <w:rPr>
                            <w:rFonts w:cs="Cambria"/>
                          </w:rPr>
                          <w:t>é</w:t>
                        </w:r>
                        <w:r>
                          <w:t>ventuelle</w:t>
                        </w:r>
                      </w:p>
                      <w:p w:rsidR="00F04EEF" w:rsidRDefault="00F04EEF">
                        <w:pPr>
                          <w:jc w:val="both"/>
                        </w:pPr>
                      </w:p>
                      <w:p w:rsidR="00F04EEF" w:rsidRDefault="0099351E">
                        <w:pPr>
                          <w:jc w:val="both"/>
                          <w:rPr>
                            <w:b/>
                          </w:rPr>
                        </w:pPr>
                        <w:r>
                          <w:rPr>
                            <w:b/>
                          </w:rPr>
                          <w:t>DATE :                                                                            SIGNATURE :</w:t>
                        </w:r>
                      </w:p>
                      <w:p w:rsidR="00F04EEF" w:rsidRDefault="00F04EEF">
                        <w:pPr>
                          <w:jc w:val="both"/>
                          <w:rPr>
                            <w:b/>
                          </w:rPr>
                        </w:pPr>
                      </w:p>
                    </w:tc>
                  </w:tr>
                  <w:tr w:rsidR="00F04EEF">
                    <w:tc>
                      <w:tcPr>
                        <w:tcW w:w="10008" w:type="dxa"/>
                        <w:tcBorders>
                          <w:top w:val="single" w:sz="4" w:space="0" w:color="auto"/>
                          <w:left w:val="single" w:sz="4" w:space="0" w:color="auto"/>
                          <w:bottom w:val="single" w:sz="4" w:space="0" w:color="auto"/>
                          <w:right w:val="single" w:sz="4" w:space="0" w:color="auto"/>
                        </w:tcBorders>
                      </w:tcPr>
                      <w:p w:rsidR="00F04EEF" w:rsidRDefault="0099351E">
                        <w:pPr>
                          <w:jc w:val="center"/>
                        </w:pPr>
                        <w:r>
                          <w:rPr>
                            <w:b/>
                          </w:rPr>
                          <w:t>Formulaire de demande d’avis à adresser</w:t>
                        </w:r>
                        <w:r>
                          <w:t> :</w:t>
                        </w:r>
                      </w:p>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rPr>
                            <w:color w:val="000000"/>
                          </w:rPr>
                        </w:pPr>
                        <w:r>
                          <w:rPr>
                            <w:color w:val="000000"/>
                          </w:rPr>
                          <w:t>Madame Nathalie DUJARDIN</w:t>
                        </w:r>
                      </w:p>
                      <w:p w:rsidR="00F04EEF" w:rsidRDefault="0099351E">
                        <w:pPr>
                          <w:jc w:val="center"/>
                        </w:pPr>
                        <w:r>
                          <w:t>Bureau 2F250</w:t>
                        </w:r>
                      </w:p>
                      <w:p w:rsidR="00F04EEF" w:rsidRDefault="0099351E">
                        <w:pPr>
                          <w:jc w:val="center"/>
                        </w:pPr>
                        <w:r>
                          <w:t>Rue Adolphe Lavallée, 1</w:t>
                        </w:r>
                      </w:p>
                      <w:p w:rsidR="00F04EEF" w:rsidRDefault="0099351E">
                        <w:pPr>
                          <w:jc w:val="center"/>
                        </w:pPr>
                        <w:r>
                          <w:t>1080   BRUXELLES</w:t>
                        </w:r>
                      </w:p>
                      <w:p w:rsidR="00F04EEF" w:rsidRDefault="0099351E">
                        <w:pPr>
                          <w:jc w:val="center"/>
                          <w:rPr>
                            <w:lang w:val="fr-FR"/>
                          </w:rPr>
                        </w:pPr>
                        <w:r>
                          <w:sym w:font="Wingdings" w:char="F028"/>
                        </w:r>
                        <w:r>
                          <w:rPr>
                            <w:lang w:val="fr-FR"/>
                          </w:rPr>
                          <w:t> : 02/690.88.59 – GSM : 0472/94.31.95</w:t>
                        </w:r>
                      </w:p>
                      <w:p w:rsidR="00F04EEF" w:rsidRDefault="0099351E">
                        <w:pPr>
                          <w:jc w:val="center"/>
                          <w:rPr>
                            <w:b/>
                          </w:rPr>
                        </w:pPr>
                        <w:r>
                          <w:rPr>
                            <w:bCs/>
                          </w:rPr>
                          <w:sym w:font="Wingdings" w:char="F03A"/>
                        </w:r>
                        <w:r>
                          <w:rPr>
                            <w:bCs/>
                            <w:lang w:val="fr-FR"/>
                          </w:rPr>
                          <w:t> </w:t>
                        </w:r>
                        <w:r>
                          <w:rPr>
                            <w:lang w:val="fr-FR"/>
                          </w:rPr>
                          <w:t xml:space="preserve"> </w:t>
                        </w:r>
                        <w:hyperlink r:id="rId271" w:history="1">
                          <w:r>
                            <w:rPr>
                              <w:rStyle w:val="Lienhypertexte"/>
                              <w:rFonts w:cs="Arial"/>
                              <w:b/>
                              <w:lang w:val="fr-FR"/>
                            </w:rPr>
                            <w:t>nathalie.dujardin@cfwb.be</w:t>
                          </w:r>
                        </w:hyperlink>
                      </w:p>
                    </w:tc>
                  </w:tr>
                </w:tbl>
                <w:p w:rsidR="00F04EEF" w:rsidRDefault="00F04EEF"/>
                <w:p w:rsidR="00F04EEF" w:rsidRDefault="0099351E">
                  <w:r>
                    <w:br w:type="page"/>
                  </w:r>
                </w:p>
                <w:p w:rsidR="00F04EEF" w:rsidRDefault="00F04EEF"/>
                <w:p w:rsidR="00F04EEF" w:rsidRDefault="0099351E">
                  <w:pPr>
                    <w:pStyle w:val="Titre2"/>
                  </w:pPr>
                  <w:bookmarkStart w:id="3652" w:name="_Toc47708601"/>
                  <w:r>
                    <w:t>Chapitre 22 : Organisation d’une Structure Scolaire d’Aide à la Socialisation (SSAS)</w:t>
                  </w:r>
                  <w:bookmarkEnd w:id="3652"/>
                </w:p>
                <w:p w:rsidR="00F04EEF" w:rsidRDefault="00F04EEF"/>
                <w:p w:rsidR="00F04EEF" w:rsidRDefault="00F04EEF"/>
                <w:p w:rsidR="00F04EEF" w:rsidRDefault="00F04EEF"/>
                <w:p w:rsidR="00F04EEF" w:rsidRDefault="00F04EEF">
                  <w:pPr>
                    <w:pStyle w:val="Retrait1"/>
                    <w:ind w:left="0"/>
                    <w:jc w:val="both"/>
                    <w:rPr>
                      <w:rFonts w:asciiTheme="majorHAnsi" w:hAnsiTheme="majorHAnsi"/>
                      <w:szCs w:val="22"/>
                    </w:rPr>
                  </w:pPr>
                </w:p>
                <w:p w:rsidR="00F04EEF" w:rsidRDefault="0099351E">
                  <w:pPr>
                    <w:pStyle w:val="Titre3"/>
                  </w:pPr>
                  <w:bookmarkStart w:id="3653" w:name="_Toc412204261"/>
                  <w:bookmarkStart w:id="3654" w:name="_Toc453837086"/>
                  <w:bookmarkStart w:id="3655" w:name="_Toc47708602"/>
                  <w:r>
                    <w:t>1. Principe</w:t>
                  </w:r>
                  <w:bookmarkEnd w:id="3653"/>
                  <w:bookmarkEnd w:id="3654"/>
                  <w:bookmarkEnd w:id="3655"/>
                </w:p>
                <w:p w:rsidR="00F04EEF" w:rsidRDefault="00F04EEF">
                  <w:pPr>
                    <w:pStyle w:val="Retrait1"/>
                    <w:ind w:left="0"/>
                    <w:jc w:val="both"/>
                    <w:rPr>
                      <w:rFonts w:asciiTheme="majorHAnsi" w:hAnsiTheme="majorHAnsi"/>
                      <w:b/>
                      <w:szCs w:val="22"/>
                    </w:rPr>
                  </w:pPr>
                </w:p>
                <w:p w:rsidR="00F04EEF" w:rsidRDefault="0099351E">
                  <w:pPr>
                    <w:pStyle w:val="Retrait1"/>
                    <w:ind w:left="0"/>
                    <w:jc w:val="both"/>
                    <w:rPr>
                      <w:rFonts w:asciiTheme="minorHAnsi" w:hAnsiTheme="minorHAnsi" w:cstheme="minorHAnsi"/>
                      <w:szCs w:val="22"/>
                    </w:rPr>
                  </w:pPr>
                  <w:r>
                    <w:rPr>
                      <w:rFonts w:asciiTheme="minorHAnsi" w:hAnsiTheme="minorHAnsi" w:cstheme="minorHAnsi"/>
                      <w:szCs w:val="22"/>
                    </w:rPr>
                    <w:t>Proposer à des jeunes présentant des troubles structurels du comportement et/ou de la personnalité une structure resocialisante et restructurante leur permettant une réintégration dans un cursus d'apprentissage  traditionnel. Cette dernière doit être organisée pour prendre en charge des jeunes de manière momentanée afin qu'ils puissent retrouver l'équilibre nécessaire, d’une part définir un projet personnel et d'autre part mobiliser des savoirs, des savoir-être et des savoir-faire en vue d’atteindre les objectifs qu'ils se sont fixés avec l'aide de l'équipe éducative.</w:t>
                  </w:r>
                </w:p>
                <w:p w:rsidR="00F04EEF" w:rsidRDefault="00F04EEF">
                  <w:pPr>
                    <w:pStyle w:val="Retrait1"/>
                    <w:ind w:left="0"/>
                    <w:jc w:val="both"/>
                    <w:rPr>
                      <w:rFonts w:asciiTheme="majorHAnsi" w:hAnsiTheme="majorHAnsi"/>
                      <w:b/>
                      <w:szCs w:val="22"/>
                    </w:rPr>
                  </w:pPr>
                </w:p>
                <w:p w:rsidR="00F04EEF" w:rsidRDefault="0099351E">
                  <w:pPr>
                    <w:pStyle w:val="Titre3"/>
                  </w:pPr>
                  <w:bookmarkStart w:id="3656" w:name="_Toc412204262"/>
                  <w:bookmarkStart w:id="3657" w:name="_Toc453837087"/>
                  <w:bookmarkStart w:id="3658" w:name="_Toc47708603"/>
                  <w:r>
                    <w:t>2. Organisation</w:t>
                  </w:r>
                  <w:bookmarkEnd w:id="3656"/>
                  <w:bookmarkEnd w:id="3657"/>
                  <w:bookmarkEnd w:id="3658"/>
                  <w:r>
                    <w:t> </w:t>
                  </w:r>
                </w:p>
                <w:p w:rsidR="00F04EEF" w:rsidRDefault="00F04EEF">
                  <w:pPr>
                    <w:pStyle w:val="Retrait1"/>
                    <w:ind w:left="0"/>
                    <w:jc w:val="both"/>
                    <w:rPr>
                      <w:rFonts w:asciiTheme="majorHAnsi" w:hAnsiTheme="majorHAnsi"/>
                      <w:b/>
                      <w:szCs w:val="22"/>
                    </w:rPr>
                  </w:pPr>
                </w:p>
                <w:p w:rsidR="00F04EEF" w:rsidRDefault="0099351E">
                  <w:pPr>
                    <w:autoSpaceDE w:val="0"/>
                    <w:autoSpaceDN w:val="0"/>
                    <w:adjustRightInd w:val="0"/>
                    <w:jc w:val="both"/>
                    <w:rPr>
                      <w:bCs/>
                    </w:rPr>
                  </w:pPr>
                  <w:r>
                    <w:rPr>
                      <w:bCs/>
                    </w:rPr>
                    <w:t xml:space="preserve">Un établissement d’enseignement secondaire spécialisé peut mettre en place une ou plusieurs classes SSAS, dans les types et les formes 2, 3 et 4 organisées au sein de l’école.  </w:t>
                  </w:r>
                </w:p>
                <w:p w:rsidR="00F04EEF" w:rsidRDefault="0099351E">
                  <w:pPr>
                    <w:autoSpaceDE w:val="0"/>
                    <w:autoSpaceDN w:val="0"/>
                    <w:adjustRightInd w:val="0"/>
                    <w:jc w:val="both"/>
                    <w:rPr>
                      <w:bCs/>
                    </w:rPr>
                  </w:pPr>
                  <w:r>
                    <w:rPr>
                      <w:bCs/>
                    </w:rPr>
                    <w:t>Ces structures sont organisées sur base des grilles de la forme 1.</w:t>
                  </w:r>
                </w:p>
                <w:p w:rsidR="00F04EEF" w:rsidRDefault="00F04EEF">
                  <w:pPr>
                    <w:autoSpaceDE w:val="0"/>
                    <w:autoSpaceDN w:val="0"/>
                    <w:adjustRightInd w:val="0"/>
                    <w:jc w:val="both"/>
                    <w:rPr>
                      <w:bCs/>
                    </w:rPr>
                  </w:pPr>
                </w:p>
                <w:p w:rsidR="00F04EEF" w:rsidRDefault="0099351E">
                  <w:pPr>
                    <w:autoSpaceDE w:val="0"/>
                    <w:autoSpaceDN w:val="0"/>
                    <w:adjustRightInd w:val="0"/>
                    <w:jc w:val="both"/>
                    <w:rPr>
                      <w:bCs/>
                    </w:rPr>
                  </w:pPr>
                  <w:r>
                    <w:rPr>
                      <w:bCs/>
                    </w:rPr>
                    <w:t>Un projet pédagogique spécifique est rédigé en précisant les modalités et les critères d’orientation vers une classe SSAS. Ce document est conservé dans l’établissement et est tenu à la disposition des Services de l’Inspection et du Gouvernement.</w:t>
                  </w:r>
                </w:p>
                <w:p w:rsidR="00F04EEF" w:rsidRDefault="00F04EEF">
                  <w:pPr>
                    <w:autoSpaceDE w:val="0"/>
                    <w:autoSpaceDN w:val="0"/>
                    <w:adjustRightInd w:val="0"/>
                    <w:rPr>
                      <w:bCs/>
                    </w:rPr>
                  </w:pPr>
                </w:p>
                <w:p w:rsidR="00F04EEF" w:rsidRDefault="0099351E">
                  <w:pPr>
                    <w:autoSpaceDE w:val="0"/>
                    <w:autoSpaceDN w:val="0"/>
                    <w:adjustRightInd w:val="0"/>
                    <w:jc w:val="both"/>
                  </w:pPr>
                  <w:r>
                    <w:t>Le Gouvernement arrête les modalités d'organisation et de fonctionnement des classes SSAS notamment en ce qui concerne les périodes de socialisation et les périodes d'essai en immersion dans un milieu scolaire.</w:t>
                  </w:r>
                </w:p>
                <w:p w:rsidR="00F04EEF" w:rsidRDefault="00F04EEF">
                  <w:bookmarkStart w:id="3659" w:name="_Toc412204263"/>
                  <w:bookmarkStart w:id="3660" w:name="_Toc453837088"/>
                </w:p>
                <w:p w:rsidR="00F04EEF" w:rsidRDefault="0099351E">
                  <w:pPr>
                    <w:pStyle w:val="Titre3"/>
                  </w:pPr>
                  <w:bookmarkStart w:id="3661" w:name="_Toc47708604"/>
                  <w:r>
                    <w:t>3. Encadrement</w:t>
                  </w:r>
                  <w:bookmarkEnd w:id="3659"/>
                  <w:bookmarkEnd w:id="3660"/>
                  <w:bookmarkEnd w:id="3661"/>
                  <w:r>
                    <w:t> </w:t>
                  </w:r>
                </w:p>
                <w:p w:rsidR="00F04EEF" w:rsidRDefault="00F04EEF">
                  <w:pPr>
                    <w:pStyle w:val="Retrait1"/>
                    <w:ind w:left="0"/>
                    <w:jc w:val="both"/>
                    <w:rPr>
                      <w:rFonts w:asciiTheme="majorHAnsi" w:hAnsiTheme="majorHAnsi"/>
                      <w:b/>
                      <w:szCs w:val="22"/>
                    </w:rPr>
                  </w:pPr>
                </w:p>
                <w:p w:rsidR="00F04EEF" w:rsidRDefault="0099351E">
                  <w:pPr>
                    <w:autoSpaceDE w:val="0"/>
                    <w:autoSpaceDN w:val="0"/>
                    <w:adjustRightInd w:val="0"/>
                    <w:jc w:val="both"/>
                  </w:pPr>
                  <w:r>
                    <w:t>Les élèves inscrits dans une classe SSAS génèrent un capital-périodes utilisable selon les mêmes règles que pour les élèves de l'enseignement spécialisé de la forme et du type d'enseignement dont ils relèvent.</w:t>
                  </w:r>
                </w:p>
                <w:p w:rsidR="00F04EEF" w:rsidRDefault="00F04EEF">
                  <w:pPr>
                    <w:pStyle w:val="Retrait1"/>
                    <w:ind w:left="0"/>
                    <w:jc w:val="both"/>
                    <w:rPr>
                      <w:rFonts w:asciiTheme="majorHAnsi" w:hAnsiTheme="majorHAnsi"/>
                      <w:b/>
                      <w:szCs w:val="22"/>
                    </w:rPr>
                  </w:pPr>
                </w:p>
                <w:p w:rsidR="00F04EEF" w:rsidRDefault="0099351E">
                  <w:pPr>
                    <w:pStyle w:val="Titre3"/>
                  </w:pPr>
                  <w:bookmarkStart w:id="3662" w:name="_Toc412204264"/>
                  <w:bookmarkStart w:id="3663" w:name="_Toc453837089"/>
                  <w:bookmarkStart w:id="3664" w:name="_Toc47708605"/>
                  <w:r>
                    <w:t>4. Structure</w:t>
                  </w:r>
                  <w:bookmarkEnd w:id="3662"/>
                  <w:bookmarkEnd w:id="3663"/>
                  <w:bookmarkEnd w:id="3664"/>
                </w:p>
                <w:p w:rsidR="00F04EEF" w:rsidRDefault="00F04EEF">
                  <w:pPr>
                    <w:pStyle w:val="Retrait1"/>
                    <w:ind w:left="0"/>
                    <w:jc w:val="both"/>
                    <w:rPr>
                      <w:rFonts w:asciiTheme="majorHAnsi" w:hAnsiTheme="majorHAnsi"/>
                      <w:szCs w:val="22"/>
                    </w:rPr>
                  </w:pPr>
                </w:p>
                <w:p w:rsidR="00F04EEF" w:rsidRDefault="0099351E">
                  <w:pPr>
                    <w:autoSpaceDE w:val="0"/>
                    <w:autoSpaceDN w:val="0"/>
                    <w:adjustRightInd w:val="0"/>
                    <w:jc w:val="both"/>
                  </w:pPr>
                  <w:r>
                    <w:t>Chaque classe SSAS est organisée en deux périodes :</w:t>
                  </w:r>
                </w:p>
                <w:p w:rsidR="00F04EEF" w:rsidRDefault="0099351E">
                  <w:pPr>
                    <w:autoSpaceDE w:val="0"/>
                    <w:autoSpaceDN w:val="0"/>
                    <w:adjustRightInd w:val="0"/>
                    <w:jc w:val="both"/>
                  </w:pPr>
                  <w:r>
                    <w:t>1° une période de socialisation rendant possible l'accrochage scolaire et l'élaboration du projet personnel du jeune;</w:t>
                  </w:r>
                </w:p>
                <w:p w:rsidR="00F04EEF" w:rsidRDefault="0099351E">
                  <w:pPr>
                    <w:autoSpaceDE w:val="0"/>
                    <w:autoSpaceDN w:val="0"/>
                    <w:adjustRightInd w:val="0"/>
                    <w:jc w:val="both"/>
                  </w:pPr>
                  <w:r>
                    <w:t>2° une période d'immersion rendant possible la réinsertion du jeune dans une structure d'apprentissage.</w:t>
                  </w:r>
                </w:p>
                <w:p w:rsidR="00F04EEF" w:rsidRDefault="00F04EEF">
                  <w:pPr>
                    <w:autoSpaceDE w:val="0"/>
                    <w:autoSpaceDN w:val="0"/>
                    <w:adjustRightInd w:val="0"/>
                    <w:jc w:val="both"/>
                  </w:pPr>
                </w:p>
                <w:p w:rsidR="00F04EEF" w:rsidRDefault="0099351E">
                  <w:pPr>
                    <w:autoSpaceDE w:val="0"/>
                    <w:autoSpaceDN w:val="0"/>
                    <w:adjustRightInd w:val="0"/>
                    <w:jc w:val="both"/>
                  </w:pPr>
                  <w:r>
                    <w:t xml:space="preserve">Chaque période a une durée maximale de douze mois calendrier sauf avis motivé du conseil de classe SSAS. </w:t>
                  </w:r>
                </w:p>
                <w:p w:rsidR="00F04EEF" w:rsidRDefault="00F04EEF">
                  <w:pPr>
                    <w:autoSpaceDE w:val="0"/>
                    <w:autoSpaceDN w:val="0"/>
                    <w:adjustRightInd w:val="0"/>
                    <w:jc w:val="both"/>
                  </w:pPr>
                </w:p>
                <w:p w:rsidR="00F04EEF" w:rsidRDefault="0099351E">
                  <w:pPr>
                    <w:autoSpaceDE w:val="0"/>
                    <w:autoSpaceDN w:val="0"/>
                    <w:adjustRightInd w:val="0"/>
                    <w:jc w:val="both"/>
                  </w:pPr>
                  <w:r>
                    <w:t>Le conseil de classe SSAS décide du passage de l'élève de la période de socialisation à la période d'immersion.</w:t>
                  </w:r>
                </w:p>
                <w:p w:rsidR="00F04EEF" w:rsidRDefault="00F04EEF">
                  <w:pPr>
                    <w:autoSpaceDE w:val="0"/>
                    <w:autoSpaceDN w:val="0"/>
                    <w:adjustRightInd w:val="0"/>
                    <w:jc w:val="both"/>
                  </w:pPr>
                </w:p>
                <w:p w:rsidR="00F04EEF" w:rsidRDefault="0099351E">
                  <w:pPr>
                    <w:autoSpaceDE w:val="0"/>
                    <w:autoSpaceDN w:val="0"/>
                    <w:adjustRightInd w:val="0"/>
                    <w:jc w:val="both"/>
                  </w:pPr>
                  <w:r>
                    <w:t>Le conseil de classe assure le suivi du jeune dans le cadre de son projet et la décision de son retour vers une structure d'apprentissage.</w:t>
                  </w:r>
                </w:p>
                <w:p w:rsidR="00F04EEF" w:rsidRDefault="0099351E">
                  <w:r>
                    <w:br w:type="page"/>
                  </w:r>
                </w:p>
                <w:p w:rsidR="00F04EEF" w:rsidRDefault="0099351E">
                  <w:pPr>
                    <w:pStyle w:val="Titre3"/>
                  </w:pPr>
                  <w:bookmarkStart w:id="3665" w:name="_Toc412204265"/>
                  <w:bookmarkStart w:id="3666" w:name="_Toc453837090"/>
                  <w:bookmarkStart w:id="3667" w:name="_Toc47708606"/>
                  <w:r>
                    <w:t>5. Conditions d’admission</w:t>
                  </w:r>
                  <w:bookmarkEnd w:id="3665"/>
                  <w:bookmarkEnd w:id="3666"/>
                  <w:bookmarkEnd w:id="3667"/>
                </w:p>
                <w:p w:rsidR="00F04EEF" w:rsidRDefault="00F04EEF">
                  <w:pPr>
                    <w:pStyle w:val="Retrait1"/>
                    <w:ind w:left="0"/>
                    <w:jc w:val="both"/>
                    <w:rPr>
                      <w:rFonts w:asciiTheme="majorHAnsi" w:hAnsiTheme="majorHAnsi"/>
                      <w:szCs w:val="22"/>
                    </w:rPr>
                  </w:pPr>
                </w:p>
                <w:p w:rsidR="00F04EEF" w:rsidRDefault="0099351E">
                  <w:pPr>
                    <w:autoSpaceDE w:val="0"/>
                    <w:autoSpaceDN w:val="0"/>
                    <w:adjustRightInd w:val="0"/>
                    <w:jc w:val="both"/>
                  </w:pPr>
                  <w:r>
                    <w:t>Dans l'enseignement secondaire de forme 2, une classe SSAS peut accueillir des élèves de la phase 1 et de la phase 2.</w:t>
                  </w:r>
                </w:p>
                <w:p w:rsidR="00F04EEF" w:rsidRDefault="00F04EEF">
                  <w:pPr>
                    <w:autoSpaceDE w:val="0"/>
                    <w:autoSpaceDN w:val="0"/>
                    <w:adjustRightInd w:val="0"/>
                    <w:jc w:val="both"/>
                    <w:rPr>
                      <w:bCs/>
                    </w:rPr>
                  </w:pPr>
                </w:p>
                <w:p w:rsidR="00F04EEF" w:rsidRDefault="0099351E">
                  <w:pPr>
                    <w:autoSpaceDE w:val="0"/>
                    <w:autoSpaceDN w:val="0"/>
                    <w:adjustRightInd w:val="0"/>
                    <w:jc w:val="both"/>
                  </w:pPr>
                  <w:r>
                    <w:t>Dans l'enseignement secondaire de forme 3, une classe SSAS peut accueillir des élèves de la phase 1, pendant le temps d'observation après avis de l'Inspection (</w:t>
                  </w:r>
                  <w:hyperlink w:anchor="_Annexe_1_:_19" w:history="1">
                    <w:r>
                      <w:rPr>
                        <w:rStyle w:val="Lienhypertexte"/>
                        <w:rFonts w:cs="Arial"/>
                      </w:rPr>
                      <w:t>annexe 1</w:t>
                    </w:r>
                  </w:hyperlink>
                  <w:r>
                    <w:t>) et pendant l'approche polyvalente dans un secteur professionnel après information à l'Inspection (</w:t>
                  </w:r>
                  <w:hyperlink w:anchor="_Annexe_2_:_4" w:history="1">
                    <w:r>
                      <w:rPr>
                        <w:rStyle w:val="Lienhypertexte"/>
                        <w:rFonts w:cs="Arial"/>
                      </w:rPr>
                      <w:t>annexe 2</w:t>
                    </w:r>
                  </w:hyperlink>
                  <w:r>
                    <w:t>).</w:t>
                  </w:r>
                </w:p>
                <w:p w:rsidR="00F04EEF" w:rsidRDefault="00F04EEF">
                  <w:pPr>
                    <w:autoSpaceDE w:val="0"/>
                    <w:autoSpaceDN w:val="0"/>
                    <w:adjustRightInd w:val="0"/>
                  </w:pPr>
                </w:p>
                <w:p w:rsidR="00F04EEF" w:rsidRDefault="0099351E">
                  <w:pPr>
                    <w:autoSpaceDE w:val="0"/>
                    <w:autoSpaceDN w:val="0"/>
                    <w:adjustRightInd w:val="0"/>
                    <w:jc w:val="both"/>
                  </w:pPr>
                  <w:r>
                    <w:t>Une classe SSAS peut également accueillir des élèves de la phase 2.</w:t>
                  </w:r>
                </w:p>
                <w:p w:rsidR="00F04EEF" w:rsidRDefault="00F04EEF">
                  <w:pPr>
                    <w:autoSpaceDE w:val="0"/>
                    <w:autoSpaceDN w:val="0"/>
                    <w:adjustRightInd w:val="0"/>
                    <w:jc w:val="both"/>
                    <w:rPr>
                      <w:bCs/>
                    </w:rPr>
                  </w:pPr>
                </w:p>
                <w:p w:rsidR="00F04EEF" w:rsidRDefault="0099351E">
                  <w:pPr>
                    <w:autoSpaceDE w:val="0"/>
                    <w:autoSpaceDN w:val="0"/>
                    <w:adjustRightInd w:val="0"/>
                    <w:jc w:val="both"/>
                  </w:pPr>
                  <w:r>
                    <w:t>Dans l'enseignement secondaire spécialisé de forme 4, une classe SSAS peut accueillir des élèves qui relèvent du 1</w:t>
                  </w:r>
                  <w:r>
                    <w:rPr>
                      <w:vertAlign w:val="superscript"/>
                    </w:rPr>
                    <w:t xml:space="preserve">er </w:t>
                  </w:r>
                  <w:r>
                    <w:t xml:space="preserve"> degré et du 2</w:t>
                  </w:r>
                  <w:r>
                    <w:rPr>
                      <w:vertAlign w:val="superscript"/>
                    </w:rPr>
                    <w:t>ème</w:t>
                  </w:r>
                  <w:r>
                    <w:t xml:space="preserve"> degré.</w:t>
                  </w:r>
                </w:p>
                <w:p w:rsidR="00F04EEF" w:rsidRDefault="00F04EEF">
                  <w:pPr>
                    <w:autoSpaceDE w:val="0"/>
                    <w:autoSpaceDN w:val="0"/>
                    <w:adjustRightInd w:val="0"/>
                    <w:jc w:val="both"/>
                  </w:pPr>
                </w:p>
                <w:p w:rsidR="00F04EEF" w:rsidRDefault="0099351E">
                  <w:pPr>
                    <w:autoSpaceDE w:val="0"/>
                    <w:autoSpaceDN w:val="0"/>
                    <w:adjustRightInd w:val="0"/>
                    <w:jc w:val="both"/>
                  </w:pPr>
                  <w:r>
                    <w:t>Lorsqu'il s'agit de l'enseignement spécialisé de type 5, une classe SSAS peut également accueillir des élèves du 3</w:t>
                  </w:r>
                  <w:r>
                    <w:rPr>
                      <w:vertAlign w:val="superscript"/>
                    </w:rPr>
                    <w:t>ème</w:t>
                  </w:r>
                  <w:r>
                    <w:t xml:space="preserve">  degré de l'enseignement secondaire ordinaire ou du 3</w:t>
                  </w:r>
                  <w:r>
                    <w:rPr>
                      <w:vertAlign w:val="superscript"/>
                    </w:rPr>
                    <w:t>ème</w:t>
                  </w:r>
                  <w:r>
                    <w:t xml:space="preserve">  degré de la forme 4 de l'enseignement secondaire spécialisé.</w:t>
                  </w:r>
                </w:p>
                <w:p w:rsidR="00F04EEF" w:rsidRDefault="00F04EEF">
                  <w:pPr>
                    <w:pStyle w:val="Retrait1"/>
                    <w:ind w:left="0"/>
                    <w:jc w:val="both"/>
                    <w:rPr>
                      <w:rFonts w:asciiTheme="majorHAnsi" w:hAnsiTheme="majorHAnsi"/>
                      <w:szCs w:val="22"/>
                    </w:rPr>
                  </w:pPr>
                </w:p>
                <w:p w:rsidR="00F04EEF" w:rsidRDefault="0099351E">
                  <w:pPr>
                    <w:pStyle w:val="Titre3"/>
                  </w:pPr>
                  <w:bookmarkStart w:id="3668" w:name="_Toc412204266"/>
                  <w:bookmarkStart w:id="3669" w:name="_Toc453837091"/>
                  <w:bookmarkStart w:id="3670" w:name="_Toc47708607"/>
                  <w:r>
                    <w:t>6. Conseil de classe</w:t>
                  </w:r>
                  <w:bookmarkEnd w:id="3668"/>
                  <w:bookmarkEnd w:id="3669"/>
                  <w:bookmarkEnd w:id="3670"/>
                </w:p>
                <w:p w:rsidR="00F04EEF" w:rsidRDefault="00F04EEF">
                  <w:pPr>
                    <w:pStyle w:val="Retrait1"/>
                    <w:ind w:left="0"/>
                    <w:jc w:val="both"/>
                    <w:rPr>
                      <w:rFonts w:asciiTheme="majorHAnsi" w:hAnsiTheme="majorHAnsi"/>
                      <w:b/>
                      <w:szCs w:val="22"/>
                    </w:rPr>
                  </w:pPr>
                </w:p>
                <w:p w:rsidR="00F04EEF" w:rsidRDefault="0099351E">
                  <w:pPr>
                    <w:autoSpaceDE w:val="0"/>
                    <w:autoSpaceDN w:val="0"/>
                    <w:adjustRightInd w:val="0"/>
                    <w:jc w:val="both"/>
                  </w:pPr>
                  <w:r>
                    <w:t>Le Conseil de classe SSAS, est chargé notamment d'évaluer, de préciser voire d'amender le projet pédagogique spécifique SSAS, de décider de manière motivée du retour de l'élève dans une structure d'apprentissage.</w:t>
                  </w:r>
                </w:p>
                <w:p w:rsidR="00F04EEF" w:rsidRDefault="00F04EEF">
                  <w:pPr>
                    <w:autoSpaceDE w:val="0"/>
                    <w:autoSpaceDN w:val="0"/>
                    <w:adjustRightInd w:val="0"/>
                    <w:jc w:val="both"/>
                  </w:pPr>
                </w:p>
                <w:p w:rsidR="00F04EEF" w:rsidRDefault="0099351E">
                  <w:pPr>
                    <w:autoSpaceDE w:val="0"/>
                    <w:autoSpaceDN w:val="0"/>
                    <w:adjustRightInd w:val="0"/>
                    <w:jc w:val="both"/>
                  </w:pPr>
                  <w:r>
                    <w:t>Il est composé des membres des personnels directeur et enseignant, auxiliaire d'éducation, paramédical, psychologique et social qui ont la charge de l'instruction, de l'éducation et de la formation d'un groupe d'élèves et qui en portent la responsabilité.</w:t>
                  </w:r>
                </w:p>
                <w:p w:rsidR="00F04EEF" w:rsidRDefault="00F04EEF">
                  <w:pPr>
                    <w:autoSpaceDE w:val="0"/>
                    <w:autoSpaceDN w:val="0"/>
                    <w:adjustRightInd w:val="0"/>
                    <w:jc w:val="both"/>
                  </w:pPr>
                </w:p>
                <w:p w:rsidR="00F04EEF" w:rsidRDefault="0099351E">
                  <w:pPr>
                    <w:autoSpaceDE w:val="0"/>
                    <w:autoSpaceDN w:val="0"/>
                    <w:adjustRightInd w:val="0"/>
                    <w:jc w:val="both"/>
                  </w:pPr>
                  <w:r>
                    <w:t>Dans le cadre de ses missions, le Conseil de classe SSAS peut faire appel à toute collaboration occasionnelle qu'il tient pour utile.</w:t>
                  </w:r>
                </w:p>
                <w:p w:rsidR="00F04EEF" w:rsidRDefault="00F04EEF">
                  <w:pPr>
                    <w:autoSpaceDE w:val="0"/>
                    <w:autoSpaceDN w:val="0"/>
                    <w:adjustRightInd w:val="0"/>
                    <w:rPr>
                      <w:b/>
                    </w:rPr>
                  </w:pPr>
                </w:p>
                <w:p w:rsidR="00F04EEF" w:rsidRDefault="0099351E">
                  <w:pPr>
                    <w:pStyle w:val="Titre3"/>
                  </w:pPr>
                  <w:bookmarkStart w:id="3671" w:name="_Toc412204259"/>
                  <w:bookmarkStart w:id="3672" w:name="_Toc453837084"/>
                  <w:bookmarkStart w:id="3673" w:name="_Toc4145040"/>
                  <w:bookmarkStart w:id="3674" w:name="_Toc47708608"/>
                  <w:r>
                    <w:t>7. Comité de suivi</w:t>
                  </w:r>
                  <w:bookmarkEnd w:id="3671"/>
                  <w:bookmarkEnd w:id="3672"/>
                  <w:bookmarkEnd w:id="3673"/>
                  <w:bookmarkEnd w:id="3674"/>
                </w:p>
                <w:p w:rsidR="00F04EEF" w:rsidRDefault="00F04EEF"/>
                <w:p w:rsidR="00F04EEF" w:rsidRDefault="0099351E">
                  <w:pPr>
                    <w:autoSpaceDE w:val="0"/>
                    <w:autoSpaceDN w:val="0"/>
                    <w:adjustRightInd w:val="0"/>
                  </w:pPr>
                  <w:r>
                    <w:t>Au cours des trois premières années, deux fois par an minimum, il est organisé un Comité de suivi composé des</w:t>
                  </w:r>
                </w:p>
                <w:p w:rsidR="00F04EEF" w:rsidRDefault="0099351E">
                  <w:pPr>
                    <w:autoSpaceDE w:val="0"/>
                    <w:autoSpaceDN w:val="0"/>
                    <w:adjustRightInd w:val="0"/>
                  </w:pPr>
                  <w:r>
                    <w:t>membres du Conseil de classe SSAS élargi, le cas échéant à un représentant de l'organe de représentation et de coordination des pouvoirs organisateurs d'enseignement, à un représentant de l'organisme chargé de la guidance, au membre du personnel chargé du suivi des activités de socialisation ou des stages d'essai, à un membre du personnel enseignant (hors classe SSAS) et à un membre du Service d'Inspection de l'enseignement spécialisé.</w:t>
                  </w:r>
                </w:p>
                <w:p w:rsidR="00F04EEF" w:rsidRDefault="00F04EEF">
                  <w:pPr>
                    <w:rPr>
                      <w:b/>
                    </w:rPr>
                  </w:pPr>
                </w:p>
                <w:p w:rsidR="00F04EEF" w:rsidRDefault="0099351E">
                  <w:pPr>
                    <w:pStyle w:val="Titre3"/>
                  </w:pPr>
                  <w:bookmarkStart w:id="3675" w:name="_Toc412204267"/>
                  <w:bookmarkStart w:id="3676" w:name="_Toc453837092"/>
                  <w:bookmarkStart w:id="3677" w:name="_Toc47708609"/>
                  <w:r>
                    <w:t>8. Sanction des études</w:t>
                  </w:r>
                  <w:bookmarkEnd w:id="3675"/>
                  <w:bookmarkEnd w:id="3676"/>
                  <w:bookmarkEnd w:id="3677"/>
                </w:p>
                <w:p w:rsidR="00F04EEF" w:rsidRDefault="00F04EEF">
                  <w:pPr>
                    <w:jc w:val="both"/>
                  </w:pPr>
                </w:p>
                <w:p w:rsidR="00F04EEF" w:rsidRDefault="0099351E">
                  <w:pPr>
                    <w:autoSpaceDE w:val="0"/>
                    <w:autoSpaceDN w:val="0"/>
                    <w:adjustRightInd w:val="0"/>
                    <w:jc w:val="both"/>
                  </w:pPr>
                  <w:r>
                    <w:t>Les certifications et qualifications ne peuvent être délivrées tant que l'élève est inscrit dans une classe SSAS sauf, après avis de l'Inspection (</w:t>
                  </w:r>
                  <w:hyperlink w:anchor="_Annexe_3_:_4" w:history="1">
                    <w:r>
                      <w:rPr>
                        <w:rStyle w:val="Lienhypertexte"/>
                        <w:rFonts w:cs="Arial"/>
                      </w:rPr>
                      <w:t>annexe 3</w:t>
                    </w:r>
                  </w:hyperlink>
                  <w:r>
                    <w:t>), en ce qui concerne l'attestation de réussite de la phase 1 (</w:t>
                  </w:r>
                  <w:hyperlink w:anchor="_Annexe_4_:_4" w:history="1">
                    <w:r>
                      <w:rPr>
                        <w:rStyle w:val="Lienhypertexte"/>
                        <w:rFonts w:cs="Arial"/>
                      </w:rPr>
                      <w:t>annexe 4</w:t>
                    </w:r>
                  </w:hyperlink>
                  <w:r>
                    <w:t xml:space="preserve">) résultant de l'acquisition des compétences-seuils nécessaires pour son passage en phase 2 au sein de la classe SSAS </w:t>
                  </w:r>
                </w:p>
                <w:p w:rsidR="00F04EEF" w:rsidRDefault="00F04EEF">
                  <w:pPr>
                    <w:pStyle w:val="Retrait1"/>
                    <w:ind w:left="0"/>
                    <w:jc w:val="both"/>
                    <w:rPr>
                      <w:rFonts w:asciiTheme="majorHAnsi" w:hAnsiTheme="majorHAnsi"/>
                      <w:szCs w:val="22"/>
                    </w:rPr>
                  </w:pPr>
                </w:p>
                <w:p w:rsidR="00F04EEF" w:rsidRDefault="0099351E">
                  <w:pPr>
                    <w:pStyle w:val="Titre3"/>
                  </w:pPr>
                  <w:bookmarkStart w:id="3678" w:name="_Toc412204268"/>
                  <w:bookmarkStart w:id="3679" w:name="_Toc453837093"/>
                  <w:bookmarkStart w:id="3680" w:name="_Toc47708610"/>
                  <w:r>
                    <w:t>9.  Annexes</w:t>
                  </w:r>
                  <w:bookmarkEnd w:id="3678"/>
                  <w:bookmarkEnd w:id="3679"/>
                  <w:bookmarkEnd w:id="3680"/>
                </w:p>
                <w:p w:rsidR="00F04EEF" w:rsidRDefault="00F04EEF">
                  <w:pPr>
                    <w:jc w:val="both"/>
                  </w:pPr>
                </w:p>
                <w:p w:rsidR="00F04EEF" w:rsidRDefault="0099351E">
                  <w:pPr>
                    <w:jc w:val="both"/>
                  </w:pPr>
                  <w:r>
                    <w:br w:type="page"/>
                  </w:r>
                </w:p>
                <w:p w:rsidR="00F04EEF" w:rsidRDefault="0099351E">
                  <w:pPr>
                    <w:pStyle w:val="Titre4"/>
                  </w:pPr>
                  <w:bookmarkStart w:id="3681" w:name="_Annexe_1_:_19"/>
                  <w:bookmarkStart w:id="3682" w:name="_Toc412204269"/>
                  <w:bookmarkStart w:id="3683" w:name="_Toc453837094"/>
                  <w:bookmarkEnd w:id="3681"/>
                  <w:r>
                    <w:t>Annexe 1 : accueil d’un élève de phase 1 dans une classe SSAS (temps d’observation) - pour AVIS</w:t>
                  </w:r>
                  <w:bookmarkEnd w:id="3682"/>
                  <w:bookmarkEnd w:id="3683"/>
                </w:p>
                <w:p w:rsidR="00F04EEF" w:rsidRDefault="00F04EEF">
                  <w:pPr>
                    <w:jc w:val="center"/>
                  </w:pPr>
                </w:p>
                <w:p w:rsidR="00F04EEF" w:rsidRDefault="0099351E">
                  <w:pPr>
                    <w:jc w:val="center"/>
                    <w:rPr>
                      <w:b/>
                    </w:rPr>
                  </w:pPr>
                  <w:r>
                    <w:rPr>
                      <w:b/>
                    </w:rPr>
                    <w:t>Enseignement secondaire spécialisé</w:t>
                  </w:r>
                </w:p>
                <w:p w:rsidR="00F04EEF" w:rsidRDefault="00F04EEF">
                  <w:pPr>
                    <w:rPr>
                      <w:b/>
                    </w:rPr>
                  </w:pPr>
                </w:p>
                <w:p w:rsidR="00F04EEF" w:rsidRDefault="0099351E">
                  <w:pPr>
                    <w:pBdr>
                      <w:top w:val="single" w:sz="4" w:space="1" w:color="auto"/>
                      <w:left w:val="single" w:sz="4" w:space="4" w:color="auto"/>
                      <w:bottom w:val="single" w:sz="4" w:space="1" w:color="auto"/>
                      <w:right w:val="single" w:sz="4" w:space="4" w:color="auto"/>
                    </w:pBdr>
                  </w:pPr>
                  <w:r>
                    <w:t>Etablissement scolaire :</w:t>
                  </w:r>
                </w:p>
                <w:p w:rsidR="00F04EEF" w:rsidRDefault="00F04EEF">
                  <w:pPr>
                    <w:pBdr>
                      <w:top w:val="single" w:sz="4" w:space="1" w:color="auto"/>
                      <w:left w:val="single" w:sz="4" w:space="4" w:color="auto"/>
                      <w:bottom w:val="single" w:sz="4" w:space="1" w:color="auto"/>
                      <w:right w:val="single" w:sz="4" w:space="4" w:color="auto"/>
                    </w:pBdr>
                  </w:pPr>
                </w:p>
                <w:p w:rsidR="00F04EEF" w:rsidRDefault="0099351E">
                  <w:pPr>
                    <w:pBdr>
                      <w:top w:val="single" w:sz="4" w:space="1" w:color="auto"/>
                      <w:left w:val="single" w:sz="4" w:space="4" w:color="auto"/>
                      <w:bottom w:val="single" w:sz="4" w:space="1" w:color="auto"/>
                      <w:right w:val="single" w:sz="4" w:space="4" w:color="auto"/>
                    </w:pBdr>
                  </w:pPr>
                  <w:r>
                    <w:t>NOM de l’élève :</w:t>
                  </w:r>
                </w:p>
                <w:p w:rsidR="00F04EEF" w:rsidRDefault="0099351E">
                  <w:pPr>
                    <w:pBdr>
                      <w:top w:val="single" w:sz="4" w:space="1" w:color="auto"/>
                      <w:left w:val="single" w:sz="4" w:space="4" w:color="auto"/>
                      <w:bottom w:val="single" w:sz="4" w:space="1" w:color="auto"/>
                      <w:right w:val="single" w:sz="4" w:space="4" w:color="auto"/>
                    </w:pBdr>
                  </w:pPr>
                  <w:r>
                    <w:t xml:space="preserve">Prénom : </w:t>
                  </w:r>
                </w:p>
                <w:p w:rsidR="00F04EEF" w:rsidRDefault="0099351E">
                  <w:pPr>
                    <w:pBdr>
                      <w:top w:val="single" w:sz="4" w:space="1" w:color="auto"/>
                      <w:left w:val="single" w:sz="4" w:space="4" w:color="auto"/>
                      <w:bottom w:val="single" w:sz="4" w:space="1" w:color="auto"/>
                      <w:right w:val="single" w:sz="4" w:space="4" w:color="auto"/>
                    </w:pBdr>
                  </w:pPr>
                  <w:r>
                    <w:t>Date de naissance :</w:t>
                  </w:r>
                </w:p>
                <w:p w:rsidR="00F04EEF" w:rsidRDefault="0099351E">
                  <w:pPr>
                    <w:pBdr>
                      <w:top w:val="single" w:sz="4" w:space="1" w:color="auto"/>
                      <w:left w:val="single" w:sz="4" w:space="4" w:color="auto"/>
                      <w:bottom w:val="single" w:sz="4" w:space="1" w:color="auto"/>
                      <w:right w:val="single" w:sz="4" w:space="4" w:color="auto"/>
                    </w:pBdr>
                  </w:pPr>
                  <w:r>
                    <w:t>Date d’entrée dans l’établissement :</w:t>
                  </w:r>
                </w:p>
                <w:p w:rsidR="00F04EEF" w:rsidRDefault="0099351E">
                  <w:pPr>
                    <w:pBdr>
                      <w:top w:val="single" w:sz="4" w:space="1" w:color="auto"/>
                      <w:left w:val="single" w:sz="4" w:space="4" w:color="auto"/>
                      <w:bottom w:val="single" w:sz="4" w:space="1" w:color="auto"/>
                      <w:right w:val="single" w:sz="4" w:space="4" w:color="auto"/>
                    </w:pBdr>
                  </w:pPr>
                  <w:r>
                    <w:t>Date d’entrée dans la classe SSAS :</w:t>
                  </w:r>
                </w:p>
                <w:p w:rsidR="00F04EEF" w:rsidRDefault="00F04EEF"/>
                <w:p w:rsidR="00F04EEF" w:rsidRDefault="0099351E">
                  <w:pPr>
                    <w:pBdr>
                      <w:top w:val="single" w:sz="4" w:space="1" w:color="auto"/>
                      <w:left w:val="single" w:sz="4" w:space="4" w:color="auto"/>
                      <w:bottom w:val="single" w:sz="4" w:space="1" w:color="auto"/>
                      <w:right w:val="single" w:sz="4" w:space="4" w:color="auto"/>
                    </w:pBdr>
                  </w:pPr>
                  <w:r>
                    <w:t>Avis motivé du Conseil de classe justifiant l’accueil d’un élève de phase 1 dans le SSAS.</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Situation de l’élève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Nature du problème justifiant le passage en classe SSAS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Objectifs recherchés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Stratégie(s) mise(s) en place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 xml:space="preserve">Signature de                    </w:t>
                  </w:r>
                  <w:r>
                    <w:tab/>
                    <w:t xml:space="preserve">Signature du                                </w:t>
                  </w:r>
                  <w:r>
                    <w:tab/>
                    <w:t xml:space="preserve">Avis de </w:t>
                  </w:r>
                </w:p>
                <w:p w:rsidR="00F04EEF" w:rsidRDefault="0099351E">
                  <w:pPr>
                    <w:pBdr>
                      <w:top w:val="single" w:sz="4" w:space="1" w:color="auto"/>
                      <w:left w:val="single" w:sz="4" w:space="4" w:color="auto"/>
                      <w:bottom w:val="single" w:sz="4" w:space="1" w:color="auto"/>
                      <w:right w:val="single" w:sz="4" w:space="4" w:color="auto"/>
                    </w:pBdr>
                    <w:jc w:val="both"/>
                  </w:pPr>
                  <w:r>
                    <w:t xml:space="preserve">la Direction                      </w:t>
                  </w:r>
                  <w:r>
                    <w:tab/>
                    <w:t xml:space="preserve">Titulaire de classe           </w:t>
                  </w:r>
                  <w:r>
                    <w:tab/>
                  </w:r>
                  <w:r>
                    <w:tab/>
                    <w:t>l’inspecteur coordonnateur</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 xml:space="preserve">Ce document ainsi que les annexes seront scannés, </w:t>
                  </w:r>
                  <w:r>
                    <w:rPr>
                      <w:b/>
                      <w:sz w:val="22"/>
                      <w:szCs w:val="22"/>
                    </w:rPr>
                    <w:t>POUR AVIS</w:t>
                  </w:r>
                  <w:r>
                    <w:rPr>
                      <w:sz w:val="22"/>
                      <w:szCs w:val="22"/>
                    </w:rPr>
                    <w:t>, à l’attention de</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Pr>
                      <w:b/>
                    </w:rPr>
                    <w:t>Service de l’Inspection de l’Enseignement spécialisé</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l’Inspecteur coordonnateur Pierre FENAILLE</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3P05</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rsidR="00F04EEF" w:rsidRDefault="0099351E">
                  <w:pPr>
                    <w:pStyle w:val="Notedebasdepage"/>
                    <w:pBdr>
                      <w:top w:val="single" w:sz="4" w:space="1" w:color="auto"/>
                      <w:left w:val="single" w:sz="4" w:space="1" w:color="auto"/>
                      <w:bottom w:val="single" w:sz="4" w:space="1" w:color="auto"/>
                      <w:right w:val="single" w:sz="4" w:space="1" w:color="auto"/>
                    </w:pBdr>
                    <w:tabs>
                      <w:tab w:val="left" w:pos="1728"/>
                    </w:tabs>
                    <w:jc w:val="center"/>
                    <w:rPr>
                      <w:sz w:val="22"/>
                      <w:szCs w:val="22"/>
                    </w:rPr>
                  </w:pPr>
                  <w:r>
                    <w:rPr>
                      <w:sz w:val="22"/>
                      <w:szCs w:val="22"/>
                    </w:rPr>
                    <w:t>1080  BRUXELLES</w:t>
                  </w:r>
                </w:p>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sym w:font="Wingdings" w:char="F028"/>
                  </w:r>
                  <w:r>
                    <w:rPr>
                      <w:sz w:val="22"/>
                      <w:szCs w:val="22"/>
                    </w:rPr>
                    <w:t xml:space="preserve"> : 02/690.80.92 - </w:t>
                  </w:r>
                  <w:r>
                    <w:rPr>
                      <w:bCs/>
                      <w:sz w:val="22"/>
                      <w:szCs w:val="22"/>
                    </w:rPr>
                    <w:sym w:font="Wingdings" w:char="F03A"/>
                  </w:r>
                  <w:r>
                    <w:rPr>
                      <w:bCs/>
                      <w:sz w:val="22"/>
                      <w:szCs w:val="22"/>
                    </w:rPr>
                    <w:t> :</w:t>
                  </w:r>
                  <w:r>
                    <w:rPr>
                      <w:sz w:val="22"/>
                      <w:szCs w:val="22"/>
                    </w:rPr>
                    <w:t xml:space="preserve"> </w:t>
                  </w:r>
                  <w:hyperlink r:id="rId272" w:history="1">
                    <w:r>
                      <w:rPr>
                        <w:rStyle w:val="Lienhypertexte"/>
                        <w:sz w:val="22"/>
                        <w:szCs w:val="22"/>
                      </w:rPr>
                      <w:t>pierre.fenaille@cfwb.be</w:t>
                    </w:r>
                  </w:hyperlink>
                </w:p>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br w:type="page"/>
                  </w:r>
                </w:p>
                <w:p w:rsidR="00F04EEF" w:rsidRDefault="0099351E">
                  <w:pPr>
                    <w:pStyle w:val="Titre4"/>
                  </w:pPr>
                  <w:bookmarkStart w:id="3684" w:name="_Annexe_2_:_4"/>
                  <w:bookmarkStart w:id="3685" w:name="_Toc412204270"/>
                  <w:bookmarkStart w:id="3686" w:name="_Toc453837095"/>
                  <w:bookmarkEnd w:id="3684"/>
                  <w:r>
                    <w:t>Annexe 2 : accueil d’un élève en phase 1 dans une classe SSAS (approche polyvalente) pour INFORMATION</w:t>
                  </w:r>
                  <w:bookmarkEnd w:id="3685"/>
                  <w:bookmarkEnd w:id="3686"/>
                </w:p>
                <w:p w:rsidR="00F04EEF" w:rsidRDefault="00F04EEF">
                  <w:pPr>
                    <w:jc w:val="center"/>
                    <w:rPr>
                      <w:b/>
                    </w:rPr>
                  </w:pPr>
                </w:p>
                <w:p w:rsidR="00F04EEF" w:rsidRDefault="0099351E">
                  <w:pPr>
                    <w:jc w:val="center"/>
                    <w:rPr>
                      <w:b/>
                    </w:rPr>
                  </w:pPr>
                  <w:r>
                    <w:rPr>
                      <w:b/>
                    </w:rPr>
                    <w:t>Enseignement secondaire spécialisé</w:t>
                  </w:r>
                </w:p>
                <w:p w:rsidR="00F04EEF" w:rsidRDefault="00F04EEF">
                  <w:pPr>
                    <w:rPr>
                      <w:b/>
                    </w:rPr>
                  </w:pPr>
                </w:p>
                <w:p w:rsidR="00F04EEF" w:rsidRDefault="0099351E">
                  <w:pPr>
                    <w:pBdr>
                      <w:top w:val="single" w:sz="4" w:space="1" w:color="auto"/>
                      <w:left w:val="single" w:sz="4" w:space="4" w:color="auto"/>
                      <w:bottom w:val="single" w:sz="4" w:space="1" w:color="auto"/>
                      <w:right w:val="single" w:sz="4" w:space="4" w:color="auto"/>
                    </w:pBdr>
                  </w:pPr>
                  <w:r>
                    <w:t>Etablissement scolaire :</w:t>
                  </w:r>
                </w:p>
                <w:p w:rsidR="00F04EEF" w:rsidRDefault="00F04EEF">
                  <w:pPr>
                    <w:pBdr>
                      <w:top w:val="single" w:sz="4" w:space="1" w:color="auto"/>
                      <w:left w:val="single" w:sz="4" w:space="4" w:color="auto"/>
                      <w:bottom w:val="single" w:sz="4" w:space="1" w:color="auto"/>
                      <w:right w:val="single" w:sz="4" w:space="4" w:color="auto"/>
                    </w:pBdr>
                  </w:pPr>
                </w:p>
                <w:p w:rsidR="00F04EEF" w:rsidRDefault="0099351E">
                  <w:pPr>
                    <w:pBdr>
                      <w:top w:val="single" w:sz="4" w:space="1" w:color="auto"/>
                      <w:left w:val="single" w:sz="4" w:space="4" w:color="auto"/>
                      <w:bottom w:val="single" w:sz="4" w:space="1" w:color="auto"/>
                      <w:right w:val="single" w:sz="4" w:space="4" w:color="auto"/>
                    </w:pBdr>
                  </w:pPr>
                  <w:r>
                    <w:t>NOM de l’élève :</w:t>
                  </w:r>
                </w:p>
                <w:p w:rsidR="00F04EEF" w:rsidRDefault="0099351E">
                  <w:pPr>
                    <w:pBdr>
                      <w:top w:val="single" w:sz="4" w:space="1" w:color="auto"/>
                      <w:left w:val="single" w:sz="4" w:space="4" w:color="auto"/>
                      <w:bottom w:val="single" w:sz="4" w:space="1" w:color="auto"/>
                      <w:right w:val="single" w:sz="4" w:space="4" w:color="auto"/>
                    </w:pBdr>
                  </w:pPr>
                  <w:r>
                    <w:t xml:space="preserve">Prénom : </w:t>
                  </w:r>
                </w:p>
                <w:p w:rsidR="00F04EEF" w:rsidRDefault="0099351E">
                  <w:pPr>
                    <w:pBdr>
                      <w:top w:val="single" w:sz="4" w:space="1" w:color="auto"/>
                      <w:left w:val="single" w:sz="4" w:space="4" w:color="auto"/>
                      <w:bottom w:val="single" w:sz="4" w:space="1" w:color="auto"/>
                      <w:right w:val="single" w:sz="4" w:space="4" w:color="auto"/>
                    </w:pBdr>
                  </w:pPr>
                  <w:r>
                    <w:t>Date de naissance :</w:t>
                  </w:r>
                </w:p>
                <w:p w:rsidR="00F04EEF" w:rsidRDefault="0099351E">
                  <w:pPr>
                    <w:pBdr>
                      <w:top w:val="single" w:sz="4" w:space="1" w:color="auto"/>
                      <w:left w:val="single" w:sz="4" w:space="4" w:color="auto"/>
                      <w:bottom w:val="single" w:sz="4" w:space="1" w:color="auto"/>
                      <w:right w:val="single" w:sz="4" w:space="4" w:color="auto"/>
                    </w:pBdr>
                  </w:pPr>
                  <w:r>
                    <w:t>Date d’entrée dans l’établissement :</w:t>
                  </w:r>
                </w:p>
                <w:p w:rsidR="00F04EEF" w:rsidRDefault="0099351E">
                  <w:pPr>
                    <w:pBdr>
                      <w:top w:val="single" w:sz="4" w:space="1" w:color="auto"/>
                      <w:left w:val="single" w:sz="4" w:space="4" w:color="auto"/>
                      <w:bottom w:val="single" w:sz="4" w:space="1" w:color="auto"/>
                      <w:right w:val="single" w:sz="4" w:space="4" w:color="auto"/>
                    </w:pBdr>
                  </w:pPr>
                  <w:r>
                    <w:t>Date d’entrée dans la classe SSAS :</w:t>
                  </w:r>
                </w:p>
                <w:p w:rsidR="00F04EEF" w:rsidRDefault="00F04EEF"/>
                <w:p w:rsidR="00F04EEF" w:rsidRDefault="0099351E">
                  <w:pPr>
                    <w:pBdr>
                      <w:top w:val="single" w:sz="4" w:space="1" w:color="auto"/>
                      <w:left w:val="single" w:sz="4" w:space="4" w:color="auto"/>
                      <w:bottom w:val="single" w:sz="4" w:space="1" w:color="auto"/>
                      <w:right w:val="single" w:sz="4" w:space="4" w:color="auto"/>
                    </w:pBdr>
                  </w:pPr>
                  <w:r>
                    <w:t>Avis motivé du Conseil de classe justifiant l’accueil d’un élève de phase 1 dans le SSAS.</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Situation de l’élève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Nature du problème justifiant le passage en classe SSAS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Objectifs recherchés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Stratégie(s) mise(s) en place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Signature de la Direction</w:t>
                  </w:r>
                  <w:r>
                    <w:tab/>
                  </w:r>
                  <w:r>
                    <w:tab/>
                  </w:r>
                  <w:r>
                    <w:tab/>
                  </w:r>
                  <w:r>
                    <w:tab/>
                    <w:t xml:space="preserve">       Signature du Titulaire de classe</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jc w:val="center"/>
                    <w:rPr>
                      <w:b/>
                    </w:rPr>
                  </w:pPr>
                </w:p>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 xml:space="preserve">Ce document ainsi que les annexes seront scannés, </w:t>
                  </w:r>
                  <w:r>
                    <w:rPr>
                      <w:b/>
                      <w:sz w:val="22"/>
                      <w:szCs w:val="22"/>
                    </w:rPr>
                    <w:t>POUR INFORMATION</w:t>
                  </w:r>
                  <w:r>
                    <w:rPr>
                      <w:sz w:val="22"/>
                      <w:szCs w:val="22"/>
                    </w:rPr>
                    <w:t>, à l’attention de</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Pr>
                      <w:b/>
                    </w:rPr>
                    <w:t>Service de l’Inspection de l’Enseignement spécialisé</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l’Inspecteur coordonnateur Pierre FENAILLE</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3P05</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1080  BRUXELLES</w:t>
                  </w:r>
                </w:p>
                <w:p w:rsidR="00F04EEF" w:rsidRDefault="0099351E">
                  <w:pPr>
                    <w:pStyle w:val="Notedebasdepage"/>
                    <w:pBdr>
                      <w:top w:val="single" w:sz="4" w:space="1" w:color="auto"/>
                      <w:left w:val="single" w:sz="4" w:space="1" w:color="auto"/>
                      <w:bottom w:val="single" w:sz="4" w:space="1" w:color="auto"/>
                      <w:right w:val="single" w:sz="4" w:space="1" w:color="auto"/>
                    </w:pBdr>
                    <w:jc w:val="center"/>
                    <w:rPr>
                      <w:b/>
                      <w:sz w:val="22"/>
                      <w:szCs w:val="22"/>
                    </w:rPr>
                  </w:pPr>
                  <w:r>
                    <w:rPr>
                      <w:sz w:val="22"/>
                      <w:szCs w:val="22"/>
                    </w:rPr>
                    <w:sym w:font="Wingdings" w:char="F028"/>
                  </w:r>
                  <w:r>
                    <w:rPr>
                      <w:sz w:val="22"/>
                      <w:szCs w:val="22"/>
                    </w:rPr>
                    <w:t xml:space="preserve"> : 02/690.80.92 - </w:t>
                  </w:r>
                  <w:r>
                    <w:rPr>
                      <w:bCs/>
                      <w:sz w:val="22"/>
                      <w:szCs w:val="22"/>
                    </w:rPr>
                    <w:sym w:font="Wingdings" w:char="F03A"/>
                  </w:r>
                  <w:r>
                    <w:rPr>
                      <w:bCs/>
                      <w:sz w:val="22"/>
                      <w:szCs w:val="22"/>
                    </w:rPr>
                    <w:t> :</w:t>
                  </w:r>
                  <w:r>
                    <w:rPr>
                      <w:sz w:val="22"/>
                      <w:szCs w:val="22"/>
                    </w:rPr>
                    <w:t xml:space="preserve"> </w:t>
                  </w:r>
                  <w:hyperlink r:id="rId273" w:history="1">
                    <w:r>
                      <w:rPr>
                        <w:rStyle w:val="Lienhypertexte"/>
                        <w:sz w:val="22"/>
                        <w:szCs w:val="22"/>
                      </w:rPr>
                      <w:t>pierre.fenaille@cfwb.be</w:t>
                    </w:r>
                  </w:hyperlink>
                </w:p>
                <w:p w:rsidR="00F04EEF" w:rsidRDefault="0099351E">
                  <w:pPr>
                    <w:jc w:val="right"/>
                    <w:rPr>
                      <w:b/>
                    </w:rPr>
                  </w:pPr>
                  <w:r>
                    <w:rPr>
                      <w:b/>
                    </w:rPr>
                    <w:br w:type="page"/>
                  </w:r>
                </w:p>
                <w:p w:rsidR="00F04EEF" w:rsidRDefault="0099351E">
                  <w:pPr>
                    <w:pStyle w:val="Titre4"/>
                  </w:pPr>
                  <w:bookmarkStart w:id="3687" w:name="_Annexe_3_:_4"/>
                  <w:bookmarkStart w:id="3688" w:name="_Toc412204271"/>
                  <w:bookmarkStart w:id="3689" w:name="_Toc453837096"/>
                  <w:bookmarkEnd w:id="3687"/>
                  <w:r>
                    <w:t>Annexe 3 : élève de phase 1 dans une classe SSAS (projet de certification)-pour AVIS</w:t>
                  </w:r>
                  <w:bookmarkEnd w:id="3688"/>
                  <w:bookmarkEnd w:id="3689"/>
                </w:p>
                <w:p w:rsidR="00F04EEF" w:rsidRDefault="00F04EEF">
                  <w:pPr>
                    <w:jc w:val="center"/>
                    <w:rPr>
                      <w:b/>
                    </w:rPr>
                  </w:pPr>
                </w:p>
                <w:p w:rsidR="00F04EEF" w:rsidRDefault="0099351E">
                  <w:pPr>
                    <w:jc w:val="center"/>
                    <w:rPr>
                      <w:b/>
                    </w:rPr>
                  </w:pPr>
                  <w:r>
                    <w:rPr>
                      <w:b/>
                    </w:rPr>
                    <w:t>Enseignement secondaire spécialisé</w:t>
                  </w:r>
                </w:p>
                <w:p w:rsidR="00F04EEF" w:rsidRDefault="00F04EEF">
                  <w:pPr>
                    <w:rPr>
                      <w:b/>
                    </w:rPr>
                  </w:pPr>
                </w:p>
                <w:p w:rsidR="00F04EEF" w:rsidRDefault="0099351E">
                  <w:pPr>
                    <w:pBdr>
                      <w:top w:val="single" w:sz="4" w:space="1" w:color="auto"/>
                      <w:left w:val="single" w:sz="4" w:space="4" w:color="auto"/>
                      <w:bottom w:val="single" w:sz="4" w:space="1" w:color="auto"/>
                      <w:right w:val="single" w:sz="4" w:space="4" w:color="auto"/>
                    </w:pBdr>
                  </w:pPr>
                  <w:r>
                    <w:t>Etablissement scolaire :</w:t>
                  </w:r>
                </w:p>
                <w:p w:rsidR="00F04EEF" w:rsidRDefault="00F04EEF">
                  <w:pPr>
                    <w:pBdr>
                      <w:top w:val="single" w:sz="4" w:space="1" w:color="auto"/>
                      <w:left w:val="single" w:sz="4" w:space="4" w:color="auto"/>
                      <w:bottom w:val="single" w:sz="4" w:space="1" w:color="auto"/>
                      <w:right w:val="single" w:sz="4" w:space="4" w:color="auto"/>
                    </w:pBdr>
                  </w:pPr>
                </w:p>
                <w:p w:rsidR="00F04EEF" w:rsidRDefault="0099351E">
                  <w:pPr>
                    <w:pBdr>
                      <w:top w:val="single" w:sz="4" w:space="1" w:color="auto"/>
                      <w:left w:val="single" w:sz="4" w:space="4" w:color="auto"/>
                      <w:bottom w:val="single" w:sz="4" w:space="1" w:color="auto"/>
                      <w:right w:val="single" w:sz="4" w:space="4" w:color="auto"/>
                    </w:pBdr>
                  </w:pPr>
                  <w:r>
                    <w:t>NOM de l’élève :</w:t>
                  </w:r>
                </w:p>
                <w:p w:rsidR="00F04EEF" w:rsidRDefault="0099351E">
                  <w:pPr>
                    <w:pBdr>
                      <w:top w:val="single" w:sz="4" w:space="1" w:color="auto"/>
                      <w:left w:val="single" w:sz="4" w:space="4" w:color="auto"/>
                      <w:bottom w:val="single" w:sz="4" w:space="1" w:color="auto"/>
                      <w:right w:val="single" w:sz="4" w:space="4" w:color="auto"/>
                    </w:pBdr>
                  </w:pPr>
                  <w:r>
                    <w:t xml:space="preserve">Prénom : </w:t>
                  </w:r>
                </w:p>
                <w:p w:rsidR="00F04EEF" w:rsidRDefault="0099351E">
                  <w:pPr>
                    <w:pBdr>
                      <w:top w:val="single" w:sz="4" w:space="1" w:color="auto"/>
                      <w:left w:val="single" w:sz="4" w:space="4" w:color="auto"/>
                      <w:bottom w:val="single" w:sz="4" w:space="1" w:color="auto"/>
                      <w:right w:val="single" w:sz="4" w:space="4" w:color="auto"/>
                    </w:pBdr>
                  </w:pPr>
                  <w:r>
                    <w:t>Date de naissance :</w:t>
                  </w:r>
                </w:p>
                <w:p w:rsidR="00F04EEF" w:rsidRDefault="0099351E">
                  <w:pPr>
                    <w:pBdr>
                      <w:top w:val="single" w:sz="4" w:space="1" w:color="auto"/>
                      <w:left w:val="single" w:sz="4" w:space="4" w:color="auto"/>
                      <w:bottom w:val="single" w:sz="4" w:space="1" w:color="auto"/>
                      <w:right w:val="single" w:sz="4" w:space="4" w:color="auto"/>
                    </w:pBdr>
                  </w:pPr>
                  <w:r>
                    <w:t>Date d’entrée dans l’établissement :</w:t>
                  </w:r>
                </w:p>
                <w:p w:rsidR="00F04EEF" w:rsidRDefault="0099351E">
                  <w:pPr>
                    <w:pBdr>
                      <w:top w:val="single" w:sz="4" w:space="1" w:color="auto"/>
                      <w:left w:val="single" w:sz="4" w:space="4" w:color="auto"/>
                      <w:bottom w:val="single" w:sz="4" w:space="1" w:color="auto"/>
                      <w:right w:val="single" w:sz="4" w:space="4" w:color="auto"/>
                    </w:pBdr>
                  </w:pPr>
                  <w:r>
                    <w:t>Date d’entrée dans la classe SSAS :</w:t>
                  </w:r>
                </w:p>
                <w:p w:rsidR="00F04EEF" w:rsidRDefault="00F04EEF"/>
                <w:p w:rsidR="00F04EEF" w:rsidRDefault="0099351E">
                  <w:pPr>
                    <w:pBdr>
                      <w:top w:val="single" w:sz="4" w:space="1" w:color="auto"/>
                      <w:left w:val="single" w:sz="4" w:space="4" w:color="auto"/>
                      <w:bottom w:val="single" w:sz="4" w:space="1" w:color="auto"/>
                      <w:right w:val="single" w:sz="4" w:space="4" w:color="auto"/>
                    </w:pBdr>
                  </w:pPr>
                  <w:r>
                    <w:t>Avis motivé du Conseil de classe justifiant une période en immersion en milieu scolaire pour obtenir l’attestation de réussite de la phase 1.</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Situation de l’élève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Evolution et acquis de l’élève justifiant la période d’essai en immersion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Projet personnel de l’élève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Secteur professionnel choisi et compétences à développer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99351E">
                  <w:pPr>
                    <w:pBdr>
                      <w:top w:val="single" w:sz="4" w:space="1" w:color="auto"/>
                      <w:left w:val="single" w:sz="4" w:space="4" w:color="auto"/>
                      <w:bottom w:val="single" w:sz="4" w:space="1" w:color="auto"/>
                      <w:right w:val="single" w:sz="4" w:space="4" w:color="auto"/>
                    </w:pBdr>
                    <w:jc w:val="both"/>
                  </w:pPr>
                  <w:r>
                    <w:t xml:space="preserve">Signature de                  </w:t>
                  </w:r>
                  <w:r>
                    <w:tab/>
                    <w:t xml:space="preserve">Signature du                                </w:t>
                  </w:r>
                  <w:r>
                    <w:tab/>
                    <w:t xml:space="preserve">Avis de              </w:t>
                  </w:r>
                </w:p>
                <w:p w:rsidR="00F04EEF" w:rsidRDefault="0099351E">
                  <w:pPr>
                    <w:pBdr>
                      <w:top w:val="single" w:sz="4" w:space="1" w:color="auto"/>
                      <w:left w:val="single" w:sz="4" w:space="4" w:color="auto"/>
                      <w:bottom w:val="single" w:sz="4" w:space="1" w:color="auto"/>
                      <w:right w:val="single" w:sz="4" w:space="4" w:color="auto"/>
                    </w:pBdr>
                    <w:jc w:val="both"/>
                  </w:pPr>
                  <w:r>
                    <w:t xml:space="preserve"> la Direction                 </w:t>
                  </w:r>
                  <w:r>
                    <w:tab/>
                    <w:t xml:space="preserve">Titulaire de classe                  </w:t>
                  </w:r>
                  <w:r>
                    <w:tab/>
                  </w:r>
                  <w:r>
                    <w:tab/>
                    <w:t xml:space="preserve">l’inspecteur  coordonnateur      </w:t>
                  </w: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Bdr>
                      <w:top w:val="single" w:sz="4" w:space="1" w:color="auto"/>
                      <w:left w:val="single" w:sz="4" w:space="4" w:color="auto"/>
                      <w:bottom w:val="single" w:sz="4" w:space="1" w:color="auto"/>
                      <w:right w:val="single" w:sz="4" w:space="4" w:color="auto"/>
                    </w:pBdr>
                    <w:jc w:val="both"/>
                  </w:pPr>
                </w:p>
                <w:p w:rsidR="00F04EEF" w:rsidRDefault="00F04EEF">
                  <w:pPr>
                    <w:pStyle w:val="Notedebasdepage"/>
                  </w:pPr>
                </w:p>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 xml:space="preserve">Ce document ainsi que les annexes seront scannés, </w:t>
                  </w:r>
                  <w:r>
                    <w:rPr>
                      <w:b/>
                      <w:sz w:val="22"/>
                      <w:szCs w:val="22"/>
                    </w:rPr>
                    <w:t>POUR AVIS</w:t>
                  </w:r>
                  <w:r>
                    <w:rPr>
                      <w:sz w:val="22"/>
                      <w:szCs w:val="22"/>
                    </w:rPr>
                    <w:t>, à l’attention de</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Pr>
                      <w:b/>
                    </w:rPr>
                    <w:t>Service de l’Inspection de l’Enseignement spécialisé</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l’Inspecteur coordonnateur Pierre FENAILLE</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3PO5</w:t>
                  </w:r>
                </w:p>
                <w:p w:rsidR="00F04EEF" w:rsidRDefault="0099351E">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t>1080  BRUXELLES</w:t>
                  </w:r>
                </w:p>
                <w:p w:rsidR="00F04EEF" w:rsidRDefault="0099351E">
                  <w:pPr>
                    <w:pStyle w:val="Notedebasdepage"/>
                    <w:pBdr>
                      <w:top w:val="single" w:sz="4" w:space="1" w:color="auto"/>
                      <w:left w:val="single" w:sz="4" w:space="1" w:color="auto"/>
                      <w:bottom w:val="single" w:sz="4" w:space="1" w:color="auto"/>
                      <w:right w:val="single" w:sz="4" w:space="1" w:color="auto"/>
                    </w:pBdr>
                    <w:jc w:val="center"/>
                    <w:rPr>
                      <w:sz w:val="22"/>
                      <w:szCs w:val="22"/>
                    </w:rPr>
                  </w:pPr>
                  <w:r>
                    <w:rPr>
                      <w:sz w:val="22"/>
                      <w:szCs w:val="22"/>
                    </w:rPr>
                    <w:sym w:font="Wingdings" w:char="F028"/>
                  </w:r>
                  <w:r>
                    <w:rPr>
                      <w:sz w:val="22"/>
                      <w:szCs w:val="22"/>
                    </w:rPr>
                    <w:t xml:space="preserve"> : 02/690.80.92 - </w:t>
                  </w:r>
                  <w:r>
                    <w:rPr>
                      <w:bCs/>
                      <w:sz w:val="22"/>
                      <w:szCs w:val="22"/>
                    </w:rPr>
                    <w:sym w:font="Wingdings" w:char="F03A"/>
                  </w:r>
                  <w:r>
                    <w:rPr>
                      <w:bCs/>
                      <w:sz w:val="22"/>
                      <w:szCs w:val="22"/>
                    </w:rPr>
                    <w:t> :</w:t>
                  </w:r>
                  <w:r>
                    <w:rPr>
                      <w:sz w:val="22"/>
                      <w:szCs w:val="22"/>
                    </w:rPr>
                    <w:t xml:space="preserve"> </w:t>
                  </w:r>
                  <w:hyperlink r:id="rId274" w:history="1">
                    <w:r>
                      <w:rPr>
                        <w:rStyle w:val="Lienhypertexte"/>
                        <w:sz w:val="22"/>
                        <w:szCs w:val="22"/>
                      </w:rPr>
                      <w:t>pierre.fenaille@cfwb.be</w:t>
                    </w:r>
                  </w:hyperlink>
                </w:p>
                <w:p w:rsidR="00F04EEF" w:rsidRDefault="00F04EEF">
                  <w:pPr>
                    <w:pStyle w:val="Notedebasdepage"/>
                  </w:pPr>
                </w:p>
                <w:p w:rsidR="00F04EEF" w:rsidRDefault="0099351E">
                  <w:pPr>
                    <w:pStyle w:val="Notedebasdepage"/>
                  </w:pPr>
                  <w:r>
                    <w:br w:type="page"/>
                  </w:r>
                </w:p>
                <w:p w:rsidR="00F04EEF" w:rsidRDefault="0099351E">
                  <w:pPr>
                    <w:pStyle w:val="Titre4"/>
                  </w:pPr>
                  <w:bookmarkStart w:id="3690" w:name="_Annexe_4_:_4"/>
                  <w:bookmarkStart w:id="3691" w:name="_Toc412204272"/>
                  <w:bookmarkStart w:id="3692" w:name="_Toc453837097"/>
                  <w:bookmarkEnd w:id="3690"/>
                  <w:r>
                    <w:t>Annexe 4 : Attestation de réussite de la première phase</w:t>
                  </w:r>
                  <w:bookmarkEnd w:id="3691"/>
                  <w:bookmarkEnd w:id="3692"/>
                </w:p>
                <w:p w:rsidR="00F04EEF" w:rsidRDefault="00F04EEF">
                  <w:pPr>
                    <w:jc w:val="center"/>
                    <w:rPr>
                      <w:b/>
                    </w:rPr>
                  </w:pPr>
                </w:p>
                <w:p w:rsidR="00F04EEF" w:rsidRDefault="0099351E">
                  <w:pPr>
                    <w:jc w:val="center"/>
                    <w:rPr>
                      <w:b/>
                    </w:rPr>
                  </w:pPr>
                  <w:r>
                    <w:rPr>
                      <w:b/>
                    </w:rPr>
                    <w:t>ENSEIGNEMENT SECONDAIRE SPECIALISE DE FORME 3</w:t>
                  </w:r>
                </w:p>
                <w:p w:rsidR="00F04EEF" w:rsidRDefault="0099351E">
                  <w:pPr>
                    <w:jc w:val="center"/>
                  </w:pPr>
                  <w:r>
                    <w:t>(Décret du 3 mars 2004)</w:t>
                  </w:r>
                </w:p>
                <w:p w:rsidR="00F04EEF" w:rsidRDefault="00F04EEF">
                  <w:pPr>
                    <w:jc w:val="center"/>
                  </w:pPr>
                </w:p>
                <w:p w:rsidR="00F04EEF" w:rsidRDefault="0099351E">
                  <w:pPr>
                    <w:jc w:val="center"/>
                    <w:rPr>
                      <w:b/>
                    </w:rPr>
                  </w:pPr>
                  <w:r>
                    <w:rPr>
                      <w:b/>
                    </w:rPr>
                    <w:t>COMMUNAUTE FRANCAISE</w:t>
                  </w:r>
                </w:p>
                <w:p w:rsidR="00F04EEF" w:rsidRDefault="00F04EEF">
                  <w:pPr>
                    <w:jc w:val="both"/>
                  </w:pPr>
                </w:p>
                <w:p w:rsidR="00F04EEF" w:rsidRDefault="00F04EEF">
                  <w:pPr>
                    <w:jc w:val="both"/>
                  </w:pPr>
                </w:p>
                <w:p w:rsidR="00F04EEF" w:rsidRDefault="0099351E">
                  <w:pPr>
                    <w:jc w:val="both"/>
                  </w:pPr>
                  <w:r>
                    <w:t xml:space="preserve">DENOMINATION ET SIEGE DE L'ETABLISSEMENT: </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t xml:space="preserve">Je soussigné(e) </w:t>
                  </w:r>
                </w:p>
                <w:p w:rsidR="00F04EEF" w:rsidRDefault="00F04EEF">
                  <w:pPr>
                    <w:jc w:val="both"/>
                  </w:pPr>
                </w:p>
                <w:p w:rsidR="00F04EEF" w:rsidRDefault="0099351E">
                  <w:pPr>
                    <w:jc w:val="both"/>
                  </w:pPr>
                  <w:r>
                    <w:t>Chef(fe) de l'établissement susmentionné, atteste, conformément à la décision du conseil de classe fondée sur l'acquisition des compétences – seuils que l'élève:</w:t>
                  </w:r>
                </w:p>
                <w:p w:rsidR="00F04EEF" w:rsidRDefault="00F04EEF">
                  <w:pPr>
                    <w:jc w:val="both"/>
                  </w:pPr>
                </w:p>
                <w:p w:rsidR="00F04EEF" w:rsidRDefault="0099351E">
                  <w:pPr>
                    <w:jc w:val="both"/>
                  </w:pPr>
                  <w:r>
                    <w:t xml:space="preserve">(NOM, Prénom) </w:t>
                  </w:r>
                </w:p>
                <w:p w:rsidR="00F04EEF" w:rsidRDefault="00F04EEF">
                  <w:pPr>
                    <w:jc w:val="both"/>
                  </w:pPr>
                </w:p>
                <w:p w:rsidR="00F04EEF" w:rsidRDefault="00F04EEF">
                  <w:pPr>
                    <w:jc w:val="both"/>
                  </w:pPr>
                </w:p>
                <w:p w:rsidR="00F04EEF" w:rsidRDefault="0099351E">
                  <w:pPr>
                    <w:jc w:val="both"/>
                  </w:pPr>
                  <w:r>
                    <w:t>Né(e) le</w:t>
                  </w:r>
                  <w:r>
                    <w:tab/>
                  </w:r>
                  <w:r>
                    <w:tab/>
                  </w:r>
                  <w:r>
                    <w:tab/>
                  </w:r>
                  <w:r>
                    <w:tab/>
                  </w:r>
                  <w:r>
                    <w:tab/>
                  </w:r>
                  <w:r>
                    <w:tab/>
                  </w:r>
                  <w:r>
                    <w:tab/>
                    <w:t xml:space="preserve"> à </w:t>
                  </w:r>
                  <w:r>
                    <w:tab/>
                  </w:r>
                  <w:r>
                    <w:tab/>
                  </w:r>
                  <w:r>
                    <w:tab/>
                  </w:r>
                  <w:r>
                    <w:tab/>
                  </w:r>
                  <w:r>
                    <w:tab/>
                  </w:r>
                  <w:r>
                    <w:tab/>
                  </w:r>
                  <w:r>
                    <w:tab/>
                    <w:t>.</w:t>
                  </w:r>
                </w:p>
                <w:p w:rsidR="00F04EEF" w:rsidRDefault="00F04EEF">
                  <w:pPr>
                    <w:jc w:val="both"/>
                  </w:pPr>
                </w:p>
                <w:p w:rsidR="00F04EEF" w:rsidRDefault="0099351E">
                  <w:pPr>
                    <w:numPr>
                      <w:ilvl w:val="0"/>
                      <w:numId w:val="189"/>
                    </w:numPr>
                    <w:tabs>
                      <w:tab w:val="clear" w:pos="360"/>
                      <w:tab w:val="num" w:pos="709"/>
                    </w:tabs>
                    <w:suppressAutoHyphens/>
                    <w:ind w:left="426" w:hanging="426"/>
                    <w:jc w:val="both"/>
                  </w:pPr>
                  <w:r>
                    <w:t>a terminé avec fruit la première phase de l'enseignement secondaire spécialisé de forme 3 dans le secteur professionnel:</w:t>
                  </w:r>
                </w:p>
                <w:p w:rsidR="00F04EEF" w:rsidRDefault="00F04EEF">
                  <w:pPr>
                    <w:tabs>
                      <w:tab w:val="num" w:pos="709"/>
                    </w:tabs>
                    <w:ind w:left="426" w:hanging="426"/>
                    <w:jc w:val="both"/>
                  </w:pPr>
                </w:p>
                <w:p w:rsidR="00F04EEF" w:rsidRDefault="0099351E">
                  <w:pPr>
                    <w:numPr>
                      <w:ilvl w:val="0"/>
                      <w:numId w:val="189"/>
                    </w:numPr>
                    <w:tabs>
                      <w:tab w:val="clear" w:pos="360"/>
                      <w:tab w:val="num" w:pos="709"/>
                    </w:tabs>
                    <w:suppressAutoHyphens/>
                    <w:ind w:left="426" w:hanging="426"/>
                    <w:jc w:val="both"/>
                  </w:pPr>
                  <w:r>
                    <w:t xml:space="preserve">est admis(e), à partir du </w:t>
                  </w:r>
                  <w:r>
                    <w:tab/>
                  </w:r>
                  <w:r>
                    <w:tab/>
                  </w:r>
                  <w:r>
                    <w:tab/>
                  </w:r>
                  <w:r>
                    <w:tab/>
                  </w:r>
                  <w:r>
                    <w:tab/>
                  </w:r>
                  <w:r>
                    <w:tab/>
                    <w:t>, en deuxième phase de l'enseignement secondaire spécialisé de forme 3 dans un groupe professionnel de ce secteur.</w:t>
                  </w:r>
                </w:p>
                <w:p w:rsidR="00F04EEF" w:rsidRDefault="00F04EEF">
                  <w:pPr>
                    <w:jc w:val="both"/>
                  </w:pPr>
                </w:p>
                <w:p w:rsidR="00F04EEF" w:rsidRDefault="00F04EEF">
                  <w:pPr>
                    <w:jc w:val="both"/>
                  </w:pPr>
                </w:p>
                <w:p w:rsidR="00F04EEF" w:rsidRDefault="0099351E">
                  <w:pPr>
                    <w:jc w:val="both"/>
                  </w:pPr>
                  <w:r>
                    <w:t>J'atteste que toutes les prescriptions légales et réglementaires ont été respectées.</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99351E">
                  <w:pPr>
                    <w:jc w:val="both"/>
                  </w:pPr>
                  <w:r>
                    <w:t xml:space="preserve">Délivrée à </w:t>
                  </w:r>
                  <w:r>
                    <w:tab/>
                  </w:r>
                  <w:r>
                    <w:tab/>
                  </w:r>
                  <w:r>
                    <w:tab/>
                  </w:r>
                  <w:r>
                    <w:tab/>
                  </w:r>
                  <w:r>
                    <w:tab/>
                  </w:r>
                  <w:r>
                    <w:tab/>
                  </w:r>
                  <w:r>
                    <w:tab/>
                  </w:r>
                  <w:r>
                    <w:tab/>
                    <w:t xml:space="preserve">, le </w:t>
                  </w:r>
                </w:p>
                <w:p w:rsidR="00F04EEF" w:rsidRDefault="00F04EEF">
                  <w:pPr>
                    <w:jc w:val="both"/>
                  </w:pPr>
                </w:p>
                <w:p w:rsidR="00F04EEF" w:rsidRDefault="00F04EEF">
                  <w:pPr>
                    <w:jc w:val="both"/>
                  </w:pPr>
                </w:p>
                <w:p w:rsidR="00F04EEF" w:rsidRDefault="0099351E">
                  <w:pPr>
                    <w:jc w:val="both"/>
                  </w:pPr>
                  <w:r>
                    <w:t>Sceau de l'établissement:</w:t>
                  </w:r>
                  <w:r>
                    <w:tab/>
                  </w:r>
                  <w:r>
                    <w:tab/>
                  </w:r>
                  <w:r>
                    <w:tab/>
                  </w:r>
                  <w:r>
                    <w:tab/>
                    <w:t>Le (La) Chef(fe) d'établissement:</w:t>
                  </w:r>
                </w:p>
                <w:p w:rsidR="00F04EEF" w:rsidRDefault="00F04EEF">
                  <w:pPr>
                    <w:pStyle w:val="Notedebasdepage"/>
                  </w:pPr>
                </w:p>
                <w:p w:rsidR="00F04EEF" w:rsidRDefault="00F04EEF">
                  <w:pPr>
                    <w:pStyle w:val="Notedebasdepage"/>
                  </w:pPr>
                </w:p>
                <w:p w:rsidR="00F04EEF" w:rsidRDefault="0099351E">
                  <w:pPr>
                    <w:pStyle w:val="Notedebasdepage"/>
                    <w:rPr>
                      <w:szCs w:val="22"/>
                    </w:rPr>
                  </w:pPr>
                  <w:r>
                    <w:rPr>
                      <w:szCs w:val="22"/>
                    </w:rPr>
                    <w:br w:type="page"/>
                  </w:r>
                </w:p>
              </w:sdtContent>
            </w:sdt>
          </w:sdtContent>
        </w:sdt>
      </w:sdtContent>
    </w:sdt>
    <w:sdt>
      <w:sdtPr>
        <w:id w:val="530924723"/>
        <w:docPartObj>
          <w:docPartGallery w:val="Cover Pages"/>
          <w:docPartUnique/>
        </w:docPartObj>
      </w:sdtPr>
      <w:sdtEndPr/>
      <w:sdtContent>
        <w:p w:rsidR="00F04EEF" w:rsidRDefault="00F04EEF">
          <w:pPr>
            <w:rPr>
              <w:rFonts w:eastAsiaTheme="minorEastAsia"/>
            </w:rPr>
          </w:pPr>
        </w:p>
        <w:p w:rsidR="00F04EEF" w:rsidRDefault="0099351E">
          <w:pPr>
            <w:pStyle w:val="Titre2"/>
          </w:pPr>
          <w:bookmarkStart w:id="3693" w:name="_Toc477623890"/>
          <w:bookmarkStart w:id="3694" w:name="_Toc477767762"/>
          <w:bookmarkStart w:id="3695" w:name="_Toc47708611"/>
          <w:r>
            <w:t>Chapitre</w:t>
          </w:r>
          <w:bookmarkEnd w:id="3693"/>
          <w:bookmarkEnd w:id="3694"/>
          <w:r>
            <w:t xml:space="preserve"> 23 : </w:t>
          </w:r>
          <w:bookmarkStart w:id="3696" w:name="_Toc477623891"/>
          <w:bookmarkStart w:id="3697" w:name="_Toc477767763"/>
          <w:r>
            <w:t>Les données et les applications métier</w:t>
          </w:r>
          <w:bookmarkEnd w:id="3696"/>
          <w:bookmarkEnd w:id="3697"/>
          <w:bookmarkEnd w:id="3695"/>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04EEF">
          <w:pPr>
            <w:rPr>
              <w:rFonts w:eastAsiaTheme="minorEastAsia"/>
              <w:lang w:eastAsia="fr-BE"/>
            </w:rPr>
          </w:pPr>
        </w:p>
        <w:p w:rsidR="00F04EEF" w:rsidRDefault="00F42422">
          <w:pPr>
            <w:rPr>
              <w:rFonts w:eastAsiaTheme="minorEastAsia"/>
              <w:lang w:eastAsia="fr-BE"/>
            </w:rPr>
          </w:pPr>
        </w:p>
      </w:sdtContent>
    </w:sdt>
    <w:p w:rsidR="00F04EEF" w:rsidRDefault="0099351E">
      <w:pPr>
        <w:jc w:val="both"/>
      </w:pPr>
      <w:r>
        <w:t>Progressivement, la gestion des divers dossiers s’est informatisée et les contacts entre les écoles et l’administration se font de plus en plus par voie électronique. L’objectif de ce chapitre est de faire le point sur la situation actuellement en vigueur. L’utilisation des applications mises à disposition des établissements est généralement obligatoire ; dans le cas contraire, l’aspect facultatif ou informatif est mentionné.</w:t>
      </w:r>
    </w:p>
    <w:p w:rsidR="00F04EEF" w:rsidRDefault="00F04EEF">
      <w:pPr>
        <w:jc w:val="both"/>
      </w:pPr>
    </w:p>
    <w:p w:rsidR="00F04EEF" w:rsidRDefault="0099351E">
      <w:pPr>
        <w:jc w:val="both"/>
      </w:pPr>
      <w:r>
        <w:t>En page d’accueil de chaque application figure le mode d’emploi.</w:t>
      </w:r>
    </w:p>
    <w:p w:rsidR="00F04EEF" w:rsidRDefault="00F04EEF">
      <w:pPr>
        <w:jc w:val="both"/>
      </w:pPr>
    </w:p>
    <w:p w:rsidR="00F04EEF" w:rsidRDefault="0099351E">
      <w:pPr>
        <w:jc w:val="both"/>
      </w:pPr>
      <w:r>
        <w:t>En cas de souci dans une application, on prendra contact avec les personnes de référence dont les coordonnées sont accessibles à la rubrique  « contact » de chaque page de l’application.</w:t>
      </w:r>
    </w:p>
    <w:p w:rsidR="00F04EEF" w:rsidRDefault="0099351E">
      <w:pPr>
        <w:ind w:firstLine="5670"/>
      </w:pPr>
      <w:r>
        <w:rPr>
          <w:noProof/>
          <w:lang w:eastAsia="fr-BE"/>
        </w:rPr>
        <mc:AlternateContent>
          <mc:Choice Requires="wps">
            <w:drawing>
              <wp:anchor distT="0" distB="0" distL="114300" distR="114300" simplePos="0" relativeHeight="251819008" behindDoc="0" locked="0" layoutInCell="1" allowOverlap="1">
                <wp:simplePos x="0" y="0"/>
                <wp:positionH relativeFrom="column">
                  <wp:posOffset>-4445</wp:posOffset>
                </wp:positionH>
                <wp:positionV relativeFrom="paragraph">
                  <wp:posOffset>98425</wp:posOffset>
                </wp:positionV>
                <wp:extent cx="3556000" cy="244475"/>
                <wp:effectExtent l="0" t="0" r="0" b="5715"/>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04EEF" w:rsidRDefault="0099351E">
                            <w:r>
                              <w:t>Cette rubrique est située en haut à droite de l’écran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2" o:spid="_x0000_s1074" type="#_x0000_t202" style="position:absolute;left:0;text-align:left;margin-left:-.35pt;margin-top:7.75pt;width:280pt;height:19.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" stroked="f">
                <v:textbox>
                  <w:txbxContent>
                    <w:p>
                      <w:r>
                        <w:t>Cette rubrique est située en haut à droite de l’écran :</w:t>
                      </w:r>
                    </w:p>
                  </w:txbxContent>
                </v:textbox>
              </v:shape>
            </w:pict>
          </mc:Fallback>
        </mc:AlternateContent>
      </w:r>
      <w:r>
        <w:rPr>
          <w:noProof/>
          <w:lang w:eastAsia="fr-BE"/>
        </w:rPr>
        <w:drawing>
          <wp:inline distT="0" distB="0" distL="0" distR="0">
            <wp:extent cx="1838325" cy="438150"/>
            <wp:effectExtent l="19050" t="0" r="9525" b="0"/>
            <wp:docPr id="13" name="Image 13"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ontact AM"/>
                    <pic:cNvPicPr>
                      <a:picLocks noChangeAspect="1" noChangeArrowheads="1"/>
                    </pic:cNvPicPr>
                  </pic:nvPicPr>
                  <pic:blipFill>
                    <a:blip r:embed="rId275" cstate="print"/>
                    <a:srcRect l="78479" t="6494" r="2983" b="85545"/>
                    <a:stretch>
                      <a:fillRect/>
                    </a:stretch>
                  </pic:blipFill>
                  <pic:spPr bwMode="auto">
                    <a:xfrm>
                      <a:off x="0" y="0"/>
                      <a:ext cx="1838325" cy="438150"/>
                    </a:xfrm>
                    <a:prstGeom prst="rect">
                      <a:avLst/>
                    </a:prstGeom>
                    <a:noFill/>
                    <a:ln w="9525">
                      <a:noFill/>
                      <a:miter lim="800000"/>
                      <a:headEnd/>
                      <a:tailEnd/>
                    </a:ln>
                  </pic:spPr>
                </pic:pic>
              </a:graphicData>
            </a:graphic>
          </wp:inline>
        </w:drawing>
      </w:r>
    </w:p>
    <w:p w:rsidR="00F04EEF" w:rsidRDefault="0099351E">
      <w:pPr>
        <w:pStyle w:val="Titre3"/>
        <w:rPr>
          <w:sz w:val="22"/>
          <w:szCs w:val="22"/>
        </w:rPr>
      </w:pPr>
      <w:bookmarkStart w:id="3698" w:name="_1._CERBERE"/>
      <w:bookmarkStart w:id="3699" w:name="_Toc47708612"/>
      <w:bookmarkEnd w:id="3698"/>
      <w:r>
        <w:rPr>
          <w:sz w:val="22"/>
          <w:szCs w:val="22"/>
        </w:rPr>
        <w:t>1. CERBERE</w:t>
      </w:r>
      <w:bookmarkEnd w:id="3699"/>
    </w:p>
    <w:p w:rsidR="00F04EEF" w:rsidRDefault="0099351E">
      <w:r>
        <w:rPr>
          <w:noProof/>
          <w:lang w:eastAsia="fr-BE"/>
        </w:rPr>
        <mc:AlternateContent>
          <mc:Choice Requires="wps">
            <w:drawing>
              <wp:anchor distT="0" distB="0" distL="114300" distR="114300" simplePos="0" relativeHeight="252285952" behindDoc="0" locked="0" layoutInCell="1" allowOverlap="1">
                <wp:simplePos x="0" y="0"/>
                <wp:positionH relativeFrom="column">
                  <wp:posOffset>6376670</wp:posOffset>
                </wp:positionH>
                <wp:positionV relativeFrom="paragraph">
                  <wp:posOffset>202565</wp:posOffset>
                </wp:positionV>
                <wp:extent cx="0" cy="704850"/>
                <wp:effectExtent l="0" t="0" r="19050" b="19050"/>
                <wp:wrapNone/>
                <wp:docPr id="564" name="Connecteur droit 564"/>
                <wp:cNvGraphicFramePr/>
                <a:graphic xmlns:a="http://schemas.openxmlformats.org/drawingml/2006/main">
                  <a:graphicData uri="http://schemas.microsoft.com/office/word/2010/wordprocessingShape">
                    <wps:wsp>
                      <wps:cNvCnPr/>
                      <wps:spPr>
                        <a:xfrm>
                          <a:off x="0" y="0"/>
                          <a:ext cx="0" cy="704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847D7D2" id="Connecteur droit 564" o:spid="_x0000_s1026" style="position:absolute;z-index:252285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15.95pt" to="502.1pt,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" strokecolor="black [3213]"/>
            </w:pict>
          </mc:Fallback>
        </mc:AlternateContent>
      </w:r>
    </w:p>
    <w:p w:rsidR="00F04EEF" w:rsidRDefault="0099351E">
      <w:pPr>
        <w:jc w:val="both"/>
        <w:rPr>
          <w:rFonts w:eastAsia="Times New Roman" w:cs="Calibri"/>
        </w:rPr>
      </w:pPr>
      <w:r>
        <w:rPr>
          <w:noProof/>
          <w:lang w:eastAsia="fr-BE"/>
        </w:rPr>
        <mc:AlternateContent>
          <mc:Choice Requires="wps">
            <w:drawing>
              <wp:anchor distT="0" distB="0" distL="114300" distR="114300" simplePos="0" relativeHeight="252288000" behindDoc="0" locked="0" layoutInCell="1" allowOverlap="1">
                <wp:simplePos x="0" y="0"/>
                <wp:positionH relativeFrom="column">
                  <wp:posOffset>0</wp:posOffset>
                </wp:positionH>
                <wp:positionV relativeFrom="paragraph">
                  <wp:posOffset>-635</wp:posOffset>
                </wp:positionV>
                <wp:extent cx="0" cy="152400"/>
                <wp:effectExtent l="0" t="0" r="19050" b="19050"/>
                <wp:wrapNone/>
                <wp:docPr id="565" name="Connecteur droit 565"/>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6E49AA" id="Connecteur droit 565" o:spid="_x0000_s1026" style="position:absolute;z-index:252288000;visibility:visible;mso-wrap-style:square;mso-wrap-distance-left:9pt;mso-wrap-distance-top:0;mso-wrap-distance-right:9pt;mso-wrap-distance-bottom:0;mso-position-horizontal:absolute;mso-position-horizontal-relative:text;mso-position-vertical:absolute;mso-position-vertical-relative:text" from="0,-.05pt" to="0,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" strokecolor="black [3213]"/>
            </w:pict>
          </mc:Fallback>
        </mc:AlternateContent>
      </w:r>
      <w:r>
        <w:rPr>
          <w:rFonts w:eastAsia="Times New Roman" w:cs="Calibri"/>
        </w:rPr>
        <w:t>L’accès aux applications se fait via le portail des applications métier CERBERE (</w:t>
      </w:r>
      <w:hyperlink r:id="rId276" w:history="1">
        <w:r>
          <w:rPr>
            <w:rStyle w:val="Lienhypertexte"/>
            <w:rFonts w:cs="Calibri"/>
            <w:color w:val="954F72"/>
          </w:rPr>
          <w:t>www.am.cfwb.be</w:t>
        </w:r>
      </w:hyperlink>
      <w:r>
        <w:rPr>
          <w:rFonts w:eastAsia="Times New Roman" w:cs="Calibri"/>
        </w:rPr>
        <w:t>).</w:t>
      </w:r>
    </w:p>
    <w:p w:rsidR="00F04EEF" w:rsidRDefault="0099351E">
      <w:pPr>
        <w:jc w:val="both"/>
        <w:rPr>
          <w:rStyle w:val="Lienhypertexte"/>
          <w:rFonts w:eastAsia="Times New Roman" w:cs="Calibri"/>
        </w:rPr>
      </w:pPr>
      <w:r>
        <w:rPr>
          <w:rFonts w:eastAsia="Times New Roman" w:cs="Calibri"/>
        </w:rPr>
        <w:t>Toutes les modifications de contenu des comptes, demande d’accès ou révocation, doivent être communiquées sans délai à l’administration selon les consignes reprises dans la</w:t>
      </w:r>
      <w:r>
        <w:rPr>
          <w:rFonts w:eastAsia="Times New Roman"/>
        </w:rPr>
        <w:t> </w:t>
      </w:r>
      <w:hyperlink r:id="rId277" w:history="1">
        <w:r>
          <w:rPr>
            <w:rStyle w:val="Lienhypertexte"/>
            <w:rFonts w:cs="Calibri"/>
            <w:color w:val="954F72"/>
          </w:rPr>
          <w:t>circulaire </w:t>
        </w:r>
      </w:hyperlink>
      <w:r>
        <w:rPr>
          <w:rStyle w:val="Lienhypertexte"/>
          <w:rFonts w:cs="Calibri"/>
          <w:color w:val="0563C1"/>
        </w:rPr>
        <w:t xml:space="preserve">7241, </w:t>
      </w:r>
      <w:r>
        <w:rPr>
          <w:rStyle w:val="Lienhypertexte"/>
          <w:rFonts w:cs="Calibri"/>
        </w:rPr>
        <w:t>annexe 1 et 2</w:t>
      </w:r>
      <w:r>
        <w:rPr>
          <w:rStyle w:val="Lienhypertexte"/>
          <w:rFonts w:eastAsia="Times New Roman" w:cs="Calibri"/>
        </w:rPr>
        <w:t xml:space="preserve">.  </w:t>
      </w:r>
    </w:p>
    <w:p w:rsidR="00F04EEF" w:rsidRDefault="0099351E">
      <w:pPr>
        <w:jc w:val="both"/>
        <w:rPr>
          <w:rFonts w:eastAsia="Times New Roman"/>
        </w:rPr>
      </w:pPr>
      <w:r>
        <w:rPr>
          <w:rStyle w:val="Lienhypertexte"/>
          <w:rFonts w:eastAsia="Times New Roman" w:cs="Calibri"/>
          <w:color w:val="auto"/>
          <w:u w:val="none"/>
        </w:rPr>
        <w:t>I</w:t>
      </w:r>
      <w:r>
        <w:rPr>
          <w:rStyle w:val="Lienhypertexte"/>
          <w:rFonts w:cs="Calibri"/>
          <w:color w:val="auto"/>
          <w:u w:val="none"/>
        </w:rPr>
        <w:t xml:space="preserve">l en va de même pour la création de nouveau compte. </w:t>
      </w:r>
    </w:p>
    <w:p w:rsidR="00F04EEF" w:rsidRDefault="00F04EEF">
      <w:pPr>
        <w:jc w:val="both"/>
      </w:pPr>
    </w:p>
    <w:p w:rsidR="00F04EEF" w:rsidRDefault="0099351E">
      <w:pPr>
        <w:pStyle w:val="Titre3"/>
        <w:rPr>
          <w:sz w:val="22"/>
          <w:szCs w:val="22"/>
        </w:rPr>
      </w:pPr>
      <w:bookmarkStart w:id="3700" w:name="_Toc47708613"/>
      <w:r>
        <w:rPr>
          <w:sz w:val="22"/>
          <w:szCs w:val="22"/>
        </w:rPr>
        <w:t>2. Application SIEL</w:t>
      </w:r>
      <w:bookmarkEnd w:id="3700"/>
      <w:r>
        <w:rPr>
          <w:color w:val="FF0000"/>
          <w:sz w:val="22"/>
          <w:szCs w:val="22"/>
        </w:rPr>
        <w:t xml:space="preserve"> </w:t>
      </w:r>
    </w:p>
    <w:p w:rsidR="00F04EEF" w:rsidRDefault="00F04EEF"/>
    <w:p w:rsidR="00F04EEF" w:rsidRDefault="0099351E">
      <w:pPr>
        <w:jc w:val="both"/>
      </w:pPr>
      <w:r>
        <w:t xml:space="preserve">L’application SIEL est vouée à la gestion et à l’inscription des élèves. Ce sont les données de SIEL qui sont globalisées pour déterminer les moyens financiers et humains dont disposera l’établissement. Cette application est </w:t>
      </w:r>
      <w:r>
        <w:rPr>
          <w:b/>
          <w:u w:val="single"/>
        </w:rPr>
        <w:t>une base centrale commune à toutes les écoles</w:t>
      </w:r>
      <w:r>
        <w:t>. Il est donc impératif que les mises à jour y soient faites le plus régulièrement possible, voire en temps réel.</w:t>
      </w:r>
    </w:p>
    <w:p w:rsidR="00F04EEF" w:rsidRDefault="00F04EEF">
      <w:pPr>
        <w:jc w:val="both"/>
      </w:pPr>
    </w:p>
    <w:p w:rsidR="00F04EEF" w:rsidRDefault="0099351E">
      <w:pPr>
        <w:jc w:val="both"/>
      </w:pPr>
      <w:r>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s’ils sont utilisateurs d’un autre programme.</w:t>
      </w:r>
    </w:p>
    <w:p w:rsidR="00F04EEF" w:rsidRDefault="00F04EEF"/>
    <w:p w:rsidR="00F04EEF" w:rsidRDefault="0099351E">
      <w:r>
        <w:t xml:space="preserve">Vous trouverez davantage de détails dans la </w:t>
      </w:r>
      <w:hyperlink r:id="rId278" w:history="1">
        <w:r>
          <w:rPr>
            <w:rStyle w:val="Lienhypertexte"/>
          </w:rPr>
          <w:t>circulaire 5527 du 14 décembre 2015</w:t>
        </w:r>
        <w:r>
          <w:rPr>
            <w:rStyle w:val="Lienhypertexte"/>
            <w:rFonts w:cstheme="minorBidi"/>
          </w:rPr>
          <w:t>.</w:t>
        </w:r>
      </w:hyperlink>
    </w:p>
    <w:p w:rsidR="00F04EEF" w:rsidRDefault="00F04EEF"/>
    <w:p w:rsidR="00F04EEF" w:rsidRDefault="0099351E">
      <w:pPr>
        <w:pBdr>
          <w:top w:val="single" w:sz="18" w:space="1" w:color="auto"/>
          <w:left w:val="single" w:sz="18" w:space="4" w:color="auto"/>
          <w:bottom w:val="single" w:sz="18" w:space="1" w:color="auto"/>
          <w:right w:val="single" w:sz="18" w:space="4" w:color="auto"/>
        </w:pBdr>
        <w:rPr>
          <w:b/>
        </w:rPr>
      </w:pPr>
      <w:r>
        <w:rPr>
          <w:b/>
        </w:rPr>
        <w:sym w:font="Wingdings" w:char="F047"/>
      </w:r>
      <w:r>
        <w:rPr>
          <w:b/>
        </w:rPr>
        <w:t xml:space="preserve"> Les élèves relevant de l’enseignement spécialisé de type 5 ne sont pas encodés dans SIEL.</w:t>
      </w:r>
    </w:p>
    <w:p w:rsidR="00F04EEF" w:rsidRDefault="00F04EEF"/>
    <w:p w:rsidR="00F04EEF" w:rsidRDefault="0099351E">
      <w:r>
        <w:br w:type="page"/>
      </w:r>
    </w:p>
    <w:p w:rsidR="00F04EEF" w:rsidRDefault="0099351E">
      <w:pPr>
        <w:jc w:val="both"/>
      </w:pPr>
      <w:r>
        <w:t>Pour tout renseignement complémentaire, vous pouvez prendre contact avec :</w:t>
      </w:r>
    </w:p>
    <w:p w:rsidR="00F04EEF" w:rsidRDefault="00F04EEF">
      <w:pPr>
        <w:jc w:val="both"/>
      </w:pPr>
    </w:p>
    <w:p w:rsidR="00F04EEF" w:rsidRDefault="0099351E">
      <w:pPr>
        <w:pStyle w:val="Corpsdetexte"/>
        <w:widowControl/>
        <w:jc w:val="center"/>
        <w:rPr>
          <w:b w:val="0"/>
          <w:bCs/>
          <w:szCs w:val="22"/>
        </w:rPr>
      </w:pPr>
      <w:r>
        <w:rPr>
          <w:b w:val="0"/>
          <w:bCs/>
          <w:szCs w:val="22"/>
        </w:rPr>
        <w:t>Direction générale de l’enseignement obligatoire</w:t>
      </w:r>
    </w:p>
    <w:p w:rsidR="00F04EEF" w:rsidRDefault="0099351E">
      <w:pPr>
        <w:pStyle w:val="Corpsdetexte"/>
        <w:widowControl/>
        <w:jc w:val="center"/>
        <w:rPr>
          <w:b w:val="0"/>
          <w:bCs/>
          <w:szCs w:val="22"/>
        </w:rPr>
      </w:pPr>
      <w:r>
        <w:rPr>
          <w:b w:val="0"/>
          <w:bCs/>
          <w:szCs w:val="22"/>
        </w:rPr>
        <w:t>Service de l’enseignement spécialisé</w:t>
      </w:r>
    </w:p>
    <w:p w:rsidR="00F04EEF" w:rsidRDefault="0099351E">
      <w:pPr>
        <w:pStyle w:val="Corpsdetexte"/>
        <w:widowControl/>
        <w:jc w:val="center"/>
        <w:rPr>
          <w:b w:val="0"/>
          <w:bCs/>
          <w:szCs w:val="22"/>
        </w:rPr>
      </w:pPr>
      <w:r>
        <w:rPr>
          <w:b w:val="0"/>
          <w:bCs/>
          <w:szCs w:val="22"/>
        </w:rPr>
        <w:t>Rue Adolphe Lavallée, 1</w:t>
      </w:r>
    </w:p>
    <w:p w:rsidR="00F04EEF" w:rsidRDefault="0099351E">
      <w:pPr>
        <w:pStyle w:val="Corpsdetexte"/>
        <w:jc w:val="center"/>
        <w:rPr>
          <w:b w:val="0"/>
          <w:szCs w:val="22"/>
        </w:rPr>
      </w:pPr>
      <w:r>
        <w:rPr>
          <w:b w:val="0"/>
          <w:szCs w:val="22"/>
        </w:rPr>
        <w:t>1080    BRUXELLES</w:t>
      </w:r>
    </w:p>
    <w:p w:rsidR="00F04EEF" w:rsidRDefault="00F04EEF">
      <w:pPr>
        <w:pStyle w:val="Corpsdetexte"/>
        <w:widowControl/>
        <w:jc w:val="center"/>
        <w:rPr>
          <w:b w:val="0"/>
          <w:bCs/>
          <w:szCs w:val="22"/>
        </w:rPr>
      </w:pPr>
    </w:p>
    <w:tbl>
      <w:tblPr>
        <w:tblW w:w="0" w:type="auto"/>
        <w:tblLook w:val="00A0" w:firstRow="1" w:lastRow="0" w:firstColumn="1" w:lastColumn="0" w:noHBand="0" w:noVBand="0"/>
      </w:tblPr>
      <w:tblGrid>
        <w:gridCol w:w="4686"/>
        <w:gridCol w:w="4668"/>
      </w:tblGrid>
      <w:tr w:rsidR="00F04EEF">
        <w:tc>
          <w:tcPr>
            <w:tcW w:w="4840" w:type="dxa"/>
          </w:tcPr>
          <w:p w:rsidR="00F04EEF" w:rsidRDefault="0099351E">
            <w:pPr>
              <w:pStyle w:val="Corpsdetexte"/>
              <w:widowControl/>
              <w:jc w:val="center"/>
              <w:rPr>
                <w:b w:val="0"/>
                <w:bCs/>
                <w:szCs w:val="22"/>
              </w:rPr>
            </w:pPr>
            <w:r>
              <w:rPr>
                <w:b w:val="0"/>
                <w:bCs/>
                <w:szCs w:val="22"/>
              </w:rPr>
              <w:t>Madame Véronique ROMBAUT</w:t>
            </w:r>
          </w:p>
          <w:p w:rsidR="00F04EEF" w:rsidRDefault="0099351E">
            <w:pPr>
              <w:pStyle w:val="Corpsdetexte"/>
              <w:widowControl/>
              <w:jc w:val="center"/>
              <w:rPr>
                <w:b w:val="0"/>
                <w:bCs/>
                <w:szCs w:val="22"/>
              </w:rPr>
            </w:pPr>
            <w:r>
              <w:rPr>
                <w:b w:val="0"/>
                <w:bCs/>
                <w:szCs w:val="22"/>
              </w:rPr>
              <w:t>Bureau 2F251</w:t>
            </w:r>
          </w:p>
          <w:p w:rsidR="00F04EEF" w:rsidRDefault="0099351E">
            <w:pPr>
              <w:pStyle w:val="Corpsdetexte"/>
              <w:jc w:val="center"/>
              <w:rPr>
                <w:b w:val="0"/>
                <w:bCs/>
                <w:szCs w:val="22"/>
              </w:rPr>
            </w:pPr>
            <w:r>
              <w:rPr>
                <w:b w:val="0"/>
                <w:szCs w:val="22"/>
              </w:rPr>
              <w:sym w:font="Wingdings" w:char="F028"/>
            </w:r>
            <w:r>
              <w:rPr>
                <w:b w:val="0"/>
                <w:szCs w:val="22"/>
              </w:rPr>
              <w:t xml:space="preserve"> : </w:t>
            </w:r>
            <w:r>
              <w:rPr>
                <w:b w:val="0"/>
                <w:bCs/>
                <w:szCs w:val="22"/>
              </w:rPr>
              <w:t xml:space="preserve">02/690.83.99 </w:t>
            </w:r>
          </w:p>
          <w:p w:rsidR="00F04EEF" w:rsidRDefault="0099351E">
            <w:pPr>
              <w:pStyle w:val="Corpsdetexte"/>
              <w:jc w:val="center"/>
              <w:rPr>
                <w:szCs w:val="22"/>
              </w:rPr>
            </w:pPr>
            <w:r>
              <w:rPr>
                <w:b w:val="0"/>
                <w:bCs/>
                <w:szCs w:val="22"/>
              </w:rPr>
              <w:sym w:font="Wingdings" w:char="F03A"/>
            </w:r>
            <w:r>
              <w:rPr>
                <w:bCs/>
                <w:szCs w:val="22"/>
              </w:rPr>
              <w:t> :</w:t>
            </w:r>
            <w:r>
              <w:rPr>
                <w:szCs w:val="22"/>
              </w:rPr>
              <w:t xml:space="preserve"> </w:t>
            </w:r>
            <w:hyperlink r:id="rId279" w:history="1">
              <w:r>
                <w:rPr>
                  <w:rStyle w:val="Lienhypertexte"/>
                  <w:b w:val="0"/>
                  <w:szCs w:val="22"/>
                </w:rPr>
                <w:t>veronique.rombaut@cfwb.be</w:t>
              </w:r>
            </w:hyperlink>
          </w:p>
          <w:p w:rsidR="00F04EEF" w:rsidRDefault="00F04EEF">
            <w:pPr>
              <w:pStyle w:val="Corpsdetexte"/>
              <w:jc w:val="center"/>
              <w:rPr>
                <w:b w:val="0"/>
                <w:szCs w:val="22"/>
              </w:rPr>
            </w:pPr>
          </w:p>
          <w:p w:rsidR="00F04EEF" w:rsidRDefault="00F04EEF">
            <w:pPr>
              <w:pStyle w:val="Corpsdetexte"/>
              <w:widowControl/>
              <w:jc w:val="center"/>
              <w:rPr>
                <w:b w:val="0"/>
                <w:bCs/>
                <w:szCs w:val="22"/>
              </w:rPr>
            </w:pPr>
          </w:p>
        </w:tc>
        <w:tc>
          <w:tcPr>
            <w:tcW w:w="4840" w:type="dxa"/>
          </w:tcPr>
          <w:p w:rsidR="00F04EEF" w:rsidRDefault="0099351E">
            <w:pPr>
              <w:pStyle w:val="Corpsdetexte"/>
              <w:widowControl/>
              <w:jc w:val="center"/>
              <w:rPr>
                <w:b w:val="0"/>
                <w:bCs/>
                <w:szCs w:val="22"/>
                <w:lang w:val="en-US"/>
              </w:rPr>
            </w:pPr>
            <w:r>
              <w:rPr>
                <w:b w:val="0"/>
                <w:bCs/>
                <w:szCs w:val="22"/>
                <w:lang w:val="en-US"/>
              </w:rPr>
              <w:t>Madame Christine WILLEMS</w:t>
            </w:r>
          </w:p>
          <w:p w:rsidR="00F04EEF" w:rsidRDefault="0099351E">
            <w:pPr>
              <w:pStyle w:val="Corpsdetexte"/>
              <w:widowControl/>
              <w:jc w:val="center"/>
              <w:rPr>
                <w:b w:val="0"/>
                <w:bCs/>
                <w:szCs w:val="22"/>
                <w:lang w:val="en-US"/>
              </w:rPr>
            </w:pPr>
            <w:r>
              <w:rPr>
                <w:b w:val="0"/>
                <w:bCs/>
                <w:szCs w:val="22"/>
                <w:lang w:val="en-US"/>
              </w:rPr>
              <w:t>Bureau 2F243</w:t>
            </w:r>
          </w:p>
          <w:p w:rsidR="00F04EEF" w:rsidRDefault="0099351E">
            <w:pPr>
              <w:pStyle w:val="Corpsdetexte"/>
              <w:widowControl/>
              <w:jc w:val="center"/>
              <w:rPr>
                <w:b w:val="0"/>
                <w:bCs/>
                <w:szCs w:val="22"/>
                <w:lang w:val="en-US"/>
              </w:rPr>
            </w:pPr>
            <w:r>
              <w:rPr>
                <w:b w:val="0"/>
                <w:bCs/>
                <w:szCs w:val="22"/>
              </w:rPr>
              <w:sym w:font="Wingdings" w:char="F028"/>
            </w:r>
            <w:r>
              <w:rPr>
                <w:b w:val="0"/>
                <w:bCs/>
                <w:szCs w:val="22"/>
                <w:lang w:val="en-US"/>
              </w:rPr>
              <w:t> : 02/690.84.11</w:t>
            </w:r>
          </w:p>
          <w:p w:rsidR="00F04EEF" w:rsidRDefault="0099351E">
            <w:pPr>
              <w:tabs>
                <w:tab w:val="left" w:pos="1134"/>
              </w:tabs>
              <w:jc w:val="center"/>
              <w:rPr>
                <w:b/>
              </w:rPr>
            </w:pPr>
            <w:r>
              <w:rPr>
                <w:bCs/>
              </w:rPr>
              <w:sym w:font="Wingdings" w:char="F03A"/>
            </w:r>
            <w:r>
              <w:rPr>
                <w:bCs/>
              </w:rPr>
              <w:t xml:space="preserve"> : </w:t>
            </w:r>
            <w:hyperlink r:id="rId280" w:history="1">
              <w:r>
                <w:rPr>
                  <w:rStyle w:val="Lienhypertexte"/>
                  <w:rFonts w:cs="Arial"/>
                  <w:bCs/>
                </w:rPr>
                <w:t>christine.willems@cfwb.be</w:t>
              </w:r>
            </w:hyperlink>
            <w:r>
              <w:rPr>
                <w:b/>
                <w:bCs/>
              </w:rPr>
              <w:t xml:space="preserve"> </w:t>
            </w:r>
          </w:p>
          <w:p w:rsidR="00F04EEF" w:rsidRDefault="00F04EEF">
            <w:pPr>
              <w:pStyle w:val="Corpsdetexte"/>
              <w:jc w:val="center"/>
              <w:rPr>
                <w:b w:val="0"/>
                <w:bCs/>
                <w:szCs w:val="22"/>
              </w:rPr>
            </w:pPr>
          </w:p>
          <w:p w:rsidR="00F04EEF" w:rsidRDefault="00F04EEF">
            <w:pPr>
              <w:pStyle w:val="Corpsdetexte"/>
              <w:widowControl/>
              <w:jc w:val="center"/>
              <w:rPr>
                <w:b w:val="0"/>
                <w:bCs/>
                <w:szCs w:val="22"/>
              </w:rPr>
            </w:pPr>
          </w:p>
        </w:tc>
      </w:tr>
    </w:tbl>
    <w:p w:rsidR="00F04EEF" w:rsidRDefault="0099351E">
      <w:pPr>
        <w:pStyle w:val="Titre3"/>
        <w:rPr>
          <w:sz w:val="22"/>
          <w:szCs w:val="22"/>
        </w:rPr>
      </w:pPr>
      <w:bookmarkStart w:id="3701" w:name="_3._L’entrée_en"/>
      <w:bookmarkStart w:id="3702" w:name="_Toc47708614"/>
      <w:bookmarkEnd w:id="3701"/>
      <w:r>
        <w:rPr>
          <w:sz w:val="22"/>
          <w:szCs w:val="22"/>
        </w:rPr>
        <w:t>3. L’entrée en vigueur du RGPD.</w:t>
      </w:r>
      <w:bookmarkEnd w:id="3702"/>
      <w:r>
        <w:rPr>
          <w:sz w:val="22"/>
          <w:szCs w:val="22"/>
        </w:rPr>
        <w:t xml:space="preserve"> </w:t>
      </w:r>
    </w:p>
    <w:p w:rsidR="00F04EEF" w:rsidRDefault="00F04EEF">
      <w:pPr>
        <w:tabs>
          <w:tab w:val="left" w:pos="1134"/>
        </w:tabs>
      </w:pPr>
    </w:p>
    <w:p w:rsidR="00F04EEF" w:rsidRDefault="0099351E">
      <w:pPr>
        <w:spacing w:line="300" w:lineRule="exact"/>
        <w:contextualSpacing/>
        <w:jc w:val="both"/>
      </w:pPr>
      <w:r>
        <w:t xml:space="preserve">L’organisation et la gestion du système scolaire, d’une part, et celles des établissements,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rsidR="00F04EEF" w:rsidRDefault="00F04EEF">
      <w:pPr>
        <w:spacing w:line="300" w:lineRule="exact"/>
        <w:jc w:val="both"/>
      </w:pPr>
    </w:p>
    <w:p w:rsidR="00F04EEF" w:rsidRDefault="0099351E">
      <w:pPr>
        <w:spacing w:line="300" w:lineRule="exact"/>
        <w:jc w:val="both"/>
      </w:pPr>
      <w:r>
        <w:t>Le Règlement Général sur la Protection des Données (en abrégé RGPD)</w:t>
      </w:r>
      <w:r>
        <w:footnoteReference w:id="173"/>
      </w:r>
      <w:r>
        <w:t>, adopté le 27 avril 2016</w:t>
      </w:r>
      <w:r>
        <w:footnoteReference w:id="174"/>
      </w:r>
      <w:r>
        <w:t>, vise les données à caractère personnel. Le Règlement a pour objectif principal d’assurer un même niveau de protection aux données à caractère personnel, et ce dans l’ensemble des Etats membres de l’UE.</w:t>
      </w:r>
    </w:p>
    <w:p w:rsidR="00F04EEF" w:rsidRDefault="00F04EEF">
      <w:pPr>
        <w:spacing w:line="300" w:lineRule="exact"/>
        <w:jc w:val="both"/>
      </w:pPr>
    </w:p>
    <w:p w:rsidR="00F04EEF" w:rsidRDefault="0099351E">
      <w:pPr>
        <w:spacing w:line="300" w:lineRule="exact"/>
        <w:jc w:val="both"/>
        <w:rPr>
          <w:b/>
        </w:rPr>
      </w:pPr>
      <w:r>
        <w:rPr>
          <w:b/>
        </w:rPr>
        <w:t xml:space="preserve">Il s’agit ici d’attirer l’attention des Pouvoirs organisateurs et des Chefs d’établissement sur les grands principes généraux du RGPD, les concepts sur lesquels il se fonde, et les exigences qui doivent être rencontrées dans notre système scolaire. Le RGPD conforte les obligations auxquelles les acteurs du système éducatif étaient soumis jusqu’à présent, mais il en supprime, modifie et ajoute certaines. </w:t>
      </w:r>
    </w:p>
    <w:p w:rsidR="00F04EEF" w:rsidRDefault="00F04EEF">
      <w:pPr>
        <w:spacing w:line="300" w:lineRule="exact"/>
        <w:jc w:val="both"/>
      </w:pPr>
    </w:p>
    <w:p w:rsidR="00F04EEF" w:rsidRDefault="0099351E">
      <w:pPr>
        <w:spacing w:line="300" w:lineRule="exact"/>
        <w:jc w:val="both"/>
      </w:pPr>
      <w:r>
        <w:t xml:space="preserve">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 </w:t>
      </w:r>
    </w:p>
    <w:p w:rsidR="00F04EEF" w:rsidRDefault="00F04EEF">
      <w:pPr>
        <w:spacing w:line="300" w:lineRule="exact"/>
        <w:rPr>
          <w:rFonts w:ascii="Arial" w:hAnsi="Arial" w:cs="Arial"/>
          <w:lang w:val="fr-FR"/>
        </w:rPr>
      </w:pPr>
    </w:p>
    <w:p w:rsidR="00F04EEF" w:rsidRDefault="0099351E">
      <w:pPr>
        <w:autoSpaceDE w:val="0"/>
        <w:autoSpaceDN w:val="0"/>
        <w:adjustRightInd w:val="0"/>
        <w:contextualSpacing/>
        <w:rPr>
          <w:b/>
          <w:u w:val="single"/>
        </w:rPr>
      </w:pPr>
      <w:bookmarkStart w:id="3703" w:name="_Toc14530"/>
      <w:r>
        <w:rPr>
          <w:b/>
          <w:u w:val="single"/>
        </w:rPr>
        <w:t xml:space="preserve">Qu'est-ce que le Règlement général sur la protection des données (RGPD) ?  </w:t>
      </w:r>
      <w:bookmarkEnd w:id="3703"/>
    </w:p>
    <w:p w:rsidR="00F04EEF" w:rsidRDefault="0099351E">
      <w:pPr>
        <w:spacing w:line="256" w:lineRule="auto"/>
        <w:rPr>
          <w:rFonts w:ascii="Arial" w:eastAsia="Calibri" w:hAnsi="Arial" w:cs="Arial"/>
        </w:rPr>
      </w:pPr>
      <w:r>
        <w:rPr>
          <w:rFonts w:ascii="Arial" w:hAnsi="Arial" w:cs="Arial"/>
        </w:rPr>
        <w:t xml:space="preserve"> </w:t>
      </w:r>
    </w:p>
    <w:p w:rsidR="00F04EEF" w:rsidRDefault="0099351E">
      <w:pPr>
        <w:spacing w:after="3" w:line="264" w:lineRule="auto"/>
        <w:jc w:val="both"/>
      </w:pPr>
      <w:r>
        <w:t xml:space="preserve">Le nouveau Règlement, entré en vigueur le 25 mai 2018,  s’applique aux "traitements" de "données à caractère personnel". </w:t>
      </w:r>
    </w:p>
    <w:p w:rsidR="00F04EEF" w:rsidRDefault="00F04EEF">
      <w:pPr>
        <w:spacing w:after="3" w:line="264" w:lineRule="auto"/>
        <w:jc w:val="both"/>
      </w:pPr>
    </w:p>
    <w:p w:rsidR="00F04EEF" w:rsidRDefault="0099351E">
      <w:pPr>
        <w:spacing w:after="3" w:line="264" w:lineRule="auto"/>
        <w:jc w:val="both"/>
      </w:pPr>
      <w:r>
        <w:t xml:space="preserve">Il est dès lors essentiel de cerner ces deux notions. </w:t>
      </w:r>
    </w:p>
    <w:p w:rsidR="00F04EEF" w:rsidRDefault="00F04EEF">
      <w:pPr>
        <w:spacing w:line="300" w:lineRule="exact"/>
        <w:contextualSpacing/>
        <w:jc w:val="both"/>
      </w:pPr>
    </w:p>
    <w:p w:rsidR="00F04EEF" w:rsidRDefault="0099351E">
      <w:pPr>
        <w:spacing w:line="300" w:lineRule="exact"/>
        <w:contextualSpacing/>
        <w:jc w:val="both"/>
        <w:rPr>
          <w:i/>
        </w:rPr>
      </w:pPr>
      <w:r>
        <w:rPr>
          <w:i/>
        </w:rPr>
        <w:t xml:space="preserve">Qu’est-ce qu’un traitement ? </w:t>
      </w:r>
    </w:p>
    <w:p w:rsidR="00F04EEF" w:rsidRDefault="00F04EEF">
      <w:pPr>
        <w:spacing w:before="240" w:line="300" w:lineRule="exact"/>
        <w:contextualSpacing/>
        <w:jc w:val="both"/>
      </w:pPr>
    </w:p>
    <w:p w:rsidR="00F04EEF" w:rsidRDefault="0099351E">
      <w:pPr>
        <w:spacing w:line="300" w:lineRule="exact"/>
        <w:contextualSpacing/>
        <w:jc w:val="both"/>
      </w:pPr>
      <w:r>
        <w:t xml:space="preserve">Un « traitement » recouvre toute opération ou tout ensemble d'opérations effectuées ou non à l'aide de procédés automatisés et appliquées à des données ou des ensembles de données à caractère personnel, telles que la collecte, l'enregistrement, l'organisation, la conservation, l'adaptation ou la modification, l'extraction, la consultation, l'utilisation, la communication par transmission, la diffusion, etc. </w:t>
      </w:r>
    </w:p>
    <w:p w:rsidR="00F04EEF" w:rsidRDefault="00F04EEF">
      <w:pPr>
        <w:spacing w:line="300" w:lineRule="exact"/>
        <w:contextualSpacing/>
        <w:jc w:val="both"/>
      </w:pPr>
    </w:p>
    <w:p w:rsidR="00F04EEF" w:rsidRDefault="0099351E">
      <w:pPr>
        <w:spacing w:line="300" w:lineRule="exact"/>
        <w:contextualSpacing/>
        <w:jc w:val="both"/>
      </w:pPr>
      <w:r>
        <w:rPr>
          <w:rFonts w:ascii="Segoe UI Symbol" w:hAnsi="Segoe UI Symbol" w:cs="Segoe UI Symbol"/>
        </w:rPr>
        <w:t>⚠</w:t>
      </w:r>
      <w:r>
        <w:t xml:space="preserve"> Le simple fait de « consulter » et/ou de « collecter » des données à caractère personnel est considéré comme un "traitement" et doit par conséquent être conforme aux principes du RGPD. </w:t>
      </w:r>
    </w:p>
    <w:p w:rsidR="00F04EEF" w:rsidRDefault="00F04EEF">
      <w:pPr>
        <w:rPr>
          <w:i/>
        </w:rPr>
      </w:pPr>
    </w:p>
    <w:p w:rsidR="00F04EEF" w:rsidRDefault="0099351E">
      <w:pPr>
        <w:spacing w:line="300" w:lineRule="exact"/>
        <w:jc w:val="both"/>
        <w:rPr>
          <w:i/>
        </w:rPr>
      </w:pPr>
      <w:r>
        <w:rPr>
          <w:i/>
        </w:rPr>
        <w:t xml:space="preserve">Qu’est-ce qu’une donnée à caractère personnel ? </w:t>
      </w:r>
    </w:p>
    <w:p w:rsidR="00F04EEF" w:rsidRDefault="00F04EEF">
      <w:pPr>
        <w:spacing w:line="300" w:lineRule="exact"/>
        <w:jc w:val="both"/>
      </w:pPr>
    </w:p>
    <w:p w:rsidR="00F04EEF" w:rsidRDefault="0099351E">
      <w:pPr>
        <w:spacing w:line="300" w:lineRule="exact"/>
        <w:jc w:val="both"/>
      </w:pPr>
      <w:r>
        <w:t xml:space="preserve">Les "données à caractère personnel" incluent toutes les données qui permettent d’identifier directement ou indirectement quelqu’un. Outre les noms, prénoms, date de naissance, adresse, il s’agit donc aussi de toutes les informations comme une adresse IP, un numéro d’immatriculation, une photographie, un numéro de registre national, un numéro de téléphone, une adresse mail professionnelle, etc. </w:t>
      </w:r>
    </w:p>
    <w:p w:rsidR="00F04EEF" w:rsidRDefault="00F04EEF">
      <w:pPr>
        <w:spacing w:line="300" w:lineRule="exact"/>
        <w:jc w:val="both"/>
      </w:pPr>
    </w:p>
    <w:p w:rsidR="00F04EEF" w:rsidRDefault="0099351E">
      <w:pPr>
        <w:spacing w:line="300" w:lineRule="exact"/>
        <w:jc w:val="both"/>
      </w:pPr>
      <w:r>
        <w:rPr>
          <w:rFonts w:ascii="Segoe UI Symbol" w:hAnsi="Segoe UI Symbol" w:cs="Segoe UI Symbol"/>
        </w:rPr>
        <w:t>⚠</w:t>
      </w:r>
      <w:r>
        <w:t xml:space="preserve"> 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l’établissement, le dossier CPMS de l’élève, … </w:t>
      </w:r>
    </w:p>
    <w:p w:rsidR="00F04EEF" w:rsidRDefault="00F04EEF">
      <w:pPr>
        <w:jc w:val="both"/>
      </w:pPr>
    </w:p>
    <w:p w:rsidR="00F04EEF" w:rsidRDefault="0099351E">
      <w:pPr>
        <w:jc w:val="both"/>
        <w:rPr>
          <w:i/>
        </w:rPr>
      </w:pPr>
      <w:r>
        <w:rPr>
          <w:i/>
        </w:rPr>
        <w:t xml:space="preserve">Quels sont les principaux changements induits par le RGPD ? </w:t>
      </w:r>
    </w:p>
    <w:p w:rsidR="00F04EEF" w:rsidRDefault="0099351E">
      <w:pPr>
        <w:spacing w:after="11" w:line="256" w:lineRule="auto"/>
        <w:jc w:val="both"/>
      </w:pPr>
      <w:r>
        <w:t xml:space="preserve"> </w:t>
      </w:r>
    </w:p>
    <w:p w:rsidR="00F04EEF" w:rsidRDefault="0099351E">
      <w:pPr>
        <w:numPr>
          <w:ilvl w:val="0"/>
          <w:numId w:val="301"/>
        </w:numPr>
        <w:spacing w:after="3" w:line="264" w:lineRule="auto"/>
        <w:ind w:hanging="360"/>
        <w:jc w:val="both"/>
      </w:pPr>
      <w:r>
        <w:rPr>
          <w:b/>
        </w:rPr>
        <w:t>La suppression des formalités de déclarations préalables</w:t>
      </w:r>
      <w:r>
        <w:t>.  La déclaration et la demande d’autorisation préalable auprès de  l'Autorité de protection des données (commission vie privée) n’est plus nécessaire pour les écoles.</w:t>
      </w:r>
    </w:p>
    <w:p w:rsidR="00F04EEF" w:rsidRDefault="00F04EEF">
      <w:pPr>
        <w:spacing w:after="3" w:line="264" w:lineRule="auto"/>
        <w:ind w:left="705"/>
        <w:jc w:val="both"/>
      </w:pPr>
    </w:p>
    <w:p w:rsidR="00F04EEF" w:rsidRDefault="0099351E">
      <w:pPr>
        <w:numPr>
          <w:ilvl w:val="0"/>
          <w:numId w:val="301"/>
        </w:numPr>
        <w:spacing w:after="3" w:line="264" w:lineRule="auto"/>
        <w:ind w:hanging="360"/>
        <w:jc w:val="both"/>
      </w:pPr>
      <w:r>
        <w:t>U</w:t>
      </w:r>
      <w:r>
        <w:rPr>
          <w:b/>
        </w:rPr>
        <w:t xml:space="preserve">ne plus grande responsabilité de celui qui traite les données.  </w:t>
      </w:r>
    </w:p>
    <w:p w:rsidR="00F04EEF" w:rsidRDefault="0099351E">
      <w:pPr>
        <w:ind w:left="730"/>
        <w:jc w:val="both"/>
      </w:pPr>
      <w:r>
        <w:t xml:space="preserve">Le Pouvoir Organisateur de l’école devra démontrer que lorsqu'il traite lui-même les données à caractère personnel, il le fait conformément aux règles et principes du RGPD.  </w:t>
      </w:r>
    </w:p>
    <w:p w:rsidR="00F04EEF" w:rsidRDefault="0099351E">
      <w:pPr>
        <w:spacing w:after="14" w:line="256" w:lineRule="auto"/>
        <w:ind w:left="720"/>
        <w:jc w:val="both"/>
      </w:pPr>
      <w:r>
        <w:t xml:space="preserve"> </w:t>
      </w:r>
    </w:p>
    <w:p w:rsidR="00F04EEF" w:rsidRDefault="0099351E">
      <w:pPr>
        <w:numPr>
          <w:ilvl w:val="0"/>
          <w:numId w:val="301"/>
        </w:numPr>
        <w:spacing w:after="5" w:line="247" w:lineRule="auto"/>
        <w:ind w:left="730" w:hanging="360"/>
        <w:jc w:val="both"/>
      </w:pPr>
      <w:r>
        <w:t xml:space="preserve">Les Pouvoirs Organisateurs des écoles devront désigner </w:t>
      </w:r>
      <w:r>
        <w:rPr>
          <w:b/>
        </w:rPr>
        <w:t>au sein de leur(s) établissement(s)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t xml:space="preserve"> qui connaît le cadre légal relatif à la protection des données à caractère personnel et qui pourra aider à la mettre en œuvre au sein de l'école </w:t>
      </w:r>
    </w:p>
    <w:p w:rsidR="00F04EEF" w:rsidRDefault="0099351E">
      <w:pPr>
        <w:spacing w:after="28" w:line="256" w:lineRule="auto"/>
        <w:ind w:left="720"/>
        <w:jc w:val="both"/>
      </w:pPr>
      <w:r>
        <w:t xml:space="preserve"> </w:t>
      </w:r>
    </w:p>
    <w:p w:rsidR="00F04EEF" w:rsidRDefault="0099351E">
      <w:pPr>
        <w:numPr>
          <w:ilvl w:val="0"/>
          <w:numId w:val="301"/>
        </w:numPr>
        <w:spacing w:after="3" w:line="264" w:lineRule="auto"/>
        <w:ind w:left="730" w:hanging="360"/>
        <w:jc w:val="both"/>
      </w:pPr>
      <w:r>
        <w:t xml:space="preserve">Les Pouvoirs Organisateurs des écoles devront organiser la tenue d’un </w:t>
      </w:r>
      <w:r>
        <w:rPr>
          <w:b/>
        </w:rPr>
        <w:t>registre des activités de traitement</w:t>
      </w:r>
      <w:r>
        <w:t>.  Un registre des activités de traitement reprend entre autres quelles données à caractère personnel sont traitées par l'école, d'où proviennent ces données et avec qui elles sont partagées</w:t>
      </w:r>
      <w:r>
        <w:rPr>
          <w:vertAlign w:val="superscript"/>
        </w:rPr>
        <w:footnoteReference w:id="175"/>
      </w:r>
      <w:r>
        <w:t xml:space="preserve">. </w:t>
      </w:r>
    </w:p>
    <w:p w:rsidR="00F04EEF" w:rsidRDefault="0099351E">
      <w:pPr>
        <w:spacing w:after="31" w:line="256" w:lineRule="auto"/>
        <w:ind w:left="720"/>
        <w:jc w:val="both"/>
      </w:pPr>
      <w:r>
        <w:t xml:space="preserve"> </w:t>
      </w:r>
    </w:p>
    <w:p w:rsidR="00F04EEF" w:rsidRDefault="0099351E">
      <w:pPr>
        <w:numPr>
          <w:ilvl w:val="0"/>
          <w:numId w:val="301"/>
        </w:numPr>
        <w:spacing w:after="5" w:line="247" w:lineRule="auto"/>
        <w:ind w:hanging="360"/>
        <w:jc w:val="both"/>
      </w:pPr>
      <w:r>
        <w:t xml:space="preserve">La législation prévoit une </w:t>
      </w:r>
      <w:r>
        <w:rPr>
          <w:b/>
        </w:rPr>
        <w:t>obligation de notification</w:t>
      </w:r>
      <w:r>
        <w:t xml:space="preserve"> en cas de fuites de données.  </w:t>
      </w:r>
    </w:p>
    <w:p w:rsidR="00F04EEF" w:rsidRDefault="0099351E">
      <w:pPr>
        <w:spacing w:after="196"/>
        <w:ind w:left="730"/>
        <w:jc w:val="both"/>
      </w:pPr>
      <w:r>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rsidR="00F04EEF" w:rsidRDefault="0099351E">
      <w:pPr>
        <w:numPr>
          <w:ilvl w:val="0"/>
          <w:numId w:val="301"/>
        </w:numPr>
        <w:spacing w:after="3" w:line="264" w:lineRule="auto"/>
        <w:ind w:hanging="360"/>
        <w:jc w:val="both"/>
      </w:pPr>
      <w:r>
        <w:rPr>
          <w:b/>
        </w:rPr>
        <w:t>Un contrôle renforcé</w:t>
      </w:r>
      <w:r>
        <w:t>.</w:t>
      </w:r>
    </w:p>
    <w:p w:rsidR="00F04EEF" w:rsidRDefault="0099351E">
      <w:pPr>
        <w:ind w:left="730"/>
        <w:jc w:val="both"/>
      </w:pPr>
      <w:r>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rsidR="00F04EEF" w:rsidRDefault="0099351E">
      <w:pPr>
        <w:autoSpaceDE w:val="0"/>
        <w:autoSpaceDN w:val="0"/>
        <w:adjustRightInd w:val="0"/>
        <w:contextualSpacing/>
        <w:rPr>
          <w:rFonts w:ascii="Arial" w:hAnsi="Arial" w:cs="Arial"/>
        </w:rPr>
      </w:pPr>
      <w:r>
        <w:rPr>
          <w:rFonts w:ascii="Arial" w:hAnsi="Arial" w:cs="Arial"/>
        </w:rPr>
        <w:t xml:space="preserve"> </w:t>
      </w:r>
      <w:bookmarkStart w:id="3704" w:name="_Toc14531"/>
    </w:p>
    <w:p w:rsidR="00F04EEF" w:rsidRDefault="0099351E">
      <w:pPr>
        <w:autoSpaceDE w:val="0"/>
        <w:autoSpaceDN w:val="0"/>
        <w:adjustRightInd w:val="0"/>
        <w:contextualSpacing/>
        <w:rPr>
          <w:b/>
          <w:u w:val="single"/>
        </w:rPr>
      </w:pPr>
      <w:r>
        <w:rPr>
          <w:b/>
          <w:u w:val="single"/>
        </w:rPr>
        <w:t xml:space="preserve">En tant qu'école, comment devront être traitées des données à caractère personnel ?  </w:t>
      </w:r>
      <w:bookmarkEnd w:id="3704"/>
    </w:p>
    <w:p w:rsidR="00F04EEF" w:rsidRDefault="0099351E">
      <w:pPr>
        <w:spacing w:line="256" w:lineRule="auto"/>
      </w:pPr>
      <w:r>
        <w:t xml:space="preserve"> </w:t>
      </w:r>
    </w:p>
    <w:p w:rsidR="00F04EEF" w:rsidRDefault="0099351E">
      <w:pPr>
        <w:spacing w:after="204"/>
        <w:jc w:val="both"/>
      </w:pPr>
      <w:r>
        <w:t xml:space="preserve">Les </w:t>
      </w:r>
      <w:r>
        <w:rPr>
          <w:b/>
        </w:rPr>
        <w:t>principes essentiels</w:t>
      </w:r>
      <w:r>
        <w:t xml:space="preserve"> auxquels une école doit satisfaire lors du traitement de données à caractère personnel sont les suivants :  </w:t>
      </w:r>
    </w:p>
    <w:p w:rsidR="00F04EEF" w:rsidRDefault="0099351E">
      <w:pPr>
        <w:numPr>
          <w:ilvl w:val="0"/>
          <w:numId w:val="302"/>
        </w:numPr>
        <w:spacing w:after="5" w:line="247" w:lineRule="auto"/>
        <w:jc w:val="both"/>
      </w:pPr>
      <w:r>
        <w:t xml:space="preserve">Traiter les données à caractère personnel pour </w:t>
      </w:r>
      <w:r>
        <w:rPr>
          <w:b/>
        </w:rPr>
        <w:t>des finalités déterminées, limitées et légitimes</w:t>
      </w:r>
      <w:r>
        <w:t xml:space="preserve">. Utiliser les données à caractère personnel uniquement dans ce but.  </w:t>
      </w:r>
    </w:p>
    <w:p w:rsidR="00F04EEF" w:rsidRDefault="0099351E">
      <w:pPr>
        <w:spacing w:line="256" w:lineRule="auto"/>
        <w:ind w:left="720"/>
        <w:jc w:val="both"/>
      </w:pPr>
      <w:r>
        <w:t xml:space="preserve"> </w:t>
      </w:r>
    </w:p>
    <w:p w:rsidR="00F04EEF" w:rsidRDefault="0099351E">
      <w:pPr>
        <w:ind w:left="730"/>
        <w:jc w:val="both"/>
        <w:rPr>
          <w:i/>
        </w:rPr>
      </w:pPr>
      <w:r>
        <w:rPr>
          <w:i/>
        </w:rPr>
        <w:t xml:space="preserve">Exemple :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rsidR="00F04EEF" w:rsidRDefault="0099351E">
      <w:pPr>
        <w:spacing w:after="33" w:line="256" w:lineRule="auto"/>
        <w:ind w:left="720"/>
        <w:jc w:val="both"/>
      </w:pPr>
      <w:r>
        <w:t xml:space="preserve"> </w:t>
      </w:r>
    </w:p>
    <w:p w:rsidR="00F04EEF" w:rsidRDefault="0099351E">
      <w:pPr>
        <w:numPr>
          <w:ilvl w:val="0"/>
          <w:numId w:val="302"/>
        </w:numPr>
        <w:spacing w:after="5" w:line="247" w:lineRule="auto"/>
        <w:ind w:hanging="360"/>
        <w:jc w:val="both"/>
      </w:pPr>
      <w:r>
        <w:rPr>
          <w:b/>
        </w:rPr>
        <w:t>Etre transparent</w:t>
      </w:r>
      <w:r>
        <w:t xml:space="preserve"> envers le traitement de données à caractère personnel.  </w:t>
      </w:r>
    </w:p>
    <w:p w:rsidR="00F04EEF" w:rsidRDefault="0099351E">
      <w:pPr>
        <w:ind w:left="730"/>
        <w:jc w:val="both"/>
      </w:pPr>
      <w:r>
        <w:t xml:space="preserve">Expliquer pourquoi l'école va traiter toutes ou certaines données à caractère personnel. </w:t>
      </w:r>
    </w:p>
    <w:p w:rsidR="00F04EEF" w:rsidRDefault="0099351E">
      <w:pPr>
        <w:spacing w:after="33" w:line="256" w:lineRule="auto"/>
        <w:ind w:left="720"/>
      </w:pPr>
      <w:r>
        <w:t xml:space="preserve"> </w:t>
      </w:r>
    </w:p>
    <w:p w:rsidR="00F04EEF" w:rsidRDefault="0099351E">
      <w:pPr>
        <w:numPr>
          <w:ilvl w:val="0"/>
          <w:numId w:val="302"/>
        </w:numPr>
        <w:spacing w:after="5" w:line="247" w:lineRule="auto"/>
        <w:ind w:hanging="360"/>
        <w:jc w:val="both"/>
      </w:pPr>
      <w:r>
        <w:t xml:space="preserve">Tout traitement de données à caractère personnel n'est légitime que s'il satisfait à au moins un des </w:t>
      </w:r>
      <w:r>
        <w:rPr>
          <w:b/>
        </w:rPr>
        <w:t>fondements légaux</w:t>
      </w:r>
      <w:r>
        <w:t xml:space="preserve">.  </w:t>
      </w:r>
    </w:p>
    <w:p w:rsidR="00F04EEF" w:rsidRDefault="00F04EEF">
      <w:pPr>
        <w:spacing w:line="256" w:lineRule="auto"/>
        <w:ind w:left="2134"/>
      </w:pPr>
    </w:p>
    <w:tbl>
      <w:tblPr>
        <w:tblStyle w:val="TableGrid"/>
        <w:tblW w:w="8817" w:type="dxa"/>
        <w:tblInd w:w="817" w:type="dxa"/>
        <w:tblBorders>
          <w:top w:val="single" w:sz="4" w:space="0" w:color="000000"/>
          <w:left w:val="single" w:sz="4" w:space="0" w:color="000000"/>
          <w:bottom w:val="single" w:sz="4" w:space="0" w:color="000000"/>
          <w:right w:val="single" w:sz="18" w:space="0" w:color="auto"/>
        </w:tblBorders>
        <w:tblCellMar>
          <w:top w:w="46" w:type="dxa"/>
          <w:left w:w="108" w:type="dxa"/>
          <w:right w:w="62" w:type="dxa"/>
        </w:tblCellMar>
        <w:tblLook w:val="04A0" w:firstRow="1" w:lastRow="0" w:firstColumn="1" w:lastColumn="0" w:noHBand="0" w:noVBand="1"/>
      </w:tblPr>
      <w:tblGrid>
        <w:gridCol w:w="8817"/>
      </w:tblGrid>
      <w:tr w:rsidR="00F04EEF">
        <w:trPr>
          <w:trHeight w:val="4426"/>
        </w:trPr>
        <w:tc>
          <w:tcPr>
            <w:tcW w:w="8817" w:type="dxa"/>
            <w:tcBorders>
              <w:top w:val="single" w:sz="4" w:space="0" w:color="auto"/>
              <w:left w:val="single" w:sz="4" w:space="0" w:color="auto"/>
              <w:bottom w:val="single" w:sz="4" w:space="0" w:color="auto"/>
              <w:right w:val="single" w:sz="4" w:space="0" w:color="auto"/>
            </w:tcBorders>
          </w:tcPr>
          <w:p w:rsidR="00F04EEF" w:rsidRDefault="0099351E">
            <w:pPr>
              <w:spacing w:line="256" w:lineRule="auto"/>
            </w:pPr>
            <w:r>
              <w:t xml:space="preserve">Les principaux fondements légaux sur lesquels une école peut se baser sont : </w:t>
            </w:r>
          </w:p>
          <w:p w:rsidR="00F04EEF" w:rsidRDefault="0099351E">
            <w:pPr>
              <w:spacing w:after="12" w:line="256" w:lineRule="auto"/>
            </w:pPr>
            <w:r>
              <w:t xml:space="preserve"> </w:t>
            </w:r>
          </w:p>
          <w:p w:rsidR="00F04EEF" w:rsidRDefault="0099351E">
            <w:pPr>
              <w:numPr>
                <w:ilvl w:val="0"/>
                <w:numId w:val="303"/>
              </w:numPr>
              <w:ind w:hanging="360"/>
              <w:jc w:val="both"/>
            </w:pPr>
            <w:r>
              <w:rPr>
                <w:b/>
              </w:rPr>
              <w:t>L'obligation légale</w:t>
            </w:r>
            <w:r>
              <w:t xml:space="preserve"> : si la loi l'impose, les données à caractère personnel peuvent être traitées.  </w:t>
            </w:r>
          </w:p>
          <w:p w:rsidR="00F04EEF" w:rsidRDefault="0099351E">
            <w:pPr>
              <w:spacing w:after="34"/>
              <w:ind w:left="360" w:right="47"/>
              <w:jc w:val="both"/>
              <w:rPr>
                <w:i/>
              </w:rPr>
            </w:pPr>
            <w:r>
              <w:rPr>
                <w:i/>
              </w:rPr>
              <w:t xml:space="preserve">Il s'agit par exemple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rsidR="00F04EEF" w:rsidRDefault="00F04EEF">
            <w:pPr>
              <w:spacing w:after="34"/>
              <w:ind w:left="360" w:right="47"/>
              <w:jc w:val="both"/>
            </w:pPr>
          </w:p>
          <w:p w:rsidR="00F04EEF" w:rsidRDefault="0099351E">
            <w:pPr>
              <w:numPr>
                <w:ilvl w:val="0"/>
                <w:numId w:val="303"/>
              </w:numPr>
              <w:spacing w:after="2" w:line="237" w:lineRule="auto"/>
              <w:ind w:hanging="360"/>
              <w:jc w:val="both"/>
            </w:pPr>
            <w:r>
              <w:rPr>
                <w:b/>
              </w:rPr>
              <w:t>Le contrat</w:t>
            </w:r>
            <w:r>
              <w:t xml:space="preserve"> : les données à caractère personnel des élèves et des enseignants peuvent être traitées si elles sont nécessaires à l'exécution d'un « contrat </w:t>
            </w:r>
            <w:r>
              <w:rPr>
                <w:vertAlign w:val="superscript"/>
              </w:rPr>
              <w:footnoteReference w:id="176"/>
            </w:r>
            <w:r>
              <w:t xml:space="preserve">».  </w:t>
            </w:r>
          </w:p>
          <w:p w:rsidR="00F04EEF" w:rsidRDefault="0099351E">
            <w:pPr>
              <w:spacing w:after="34" w:line="237" w:lineRule="auto"/>
              <w:ind w:left="360" w:right="47"/>
              <w:jc w:val="both"/>
              <w:rPr>
                <w:i/>
              </w:rPr>
            </w:pPr>
            <w:r>
              <w:rPr>
                <w:i/>
              </w:rPr>
              <w:t xml:space="preserve">Par exemple : une photo d'identité d'un élève qui est demandée et qui apparaît sur une carte d'élève afin de lui permettre d'avoir accès à toutes sortes de services proposés par l'école ou encore les données nécessaires à la mise en œuvre du contrat de travail.  </w:t>
            </w:r>
          </w:p>
          <w:p w:rsidR="00F04EEF" w:rsidRDefault="00F04EEF">
            <w:pPr>
              <w:spacing w:after="34" w:line="237" w:lineRule="auto"/>
              <w:ind w:left="360" w:right="47"/>
              <w:jc w:val="both"/>
            </w:pPr>
          </w:p>
          <w:p w:rsidR="00F04EEF" w:rsidRDefault="0099351E">
            <w:pPr>
              <w:numPr>
                <w:ilvl w:val="0"/>
                <w:numId w:val="303"/>
              </w:numPr>
              <w:ind w:hanging="360"/>
              <w:jc w:val="both"/>
            </w:pPr>
            <w:r>
              <w:rPr>
                <w:b/>
              </w:rPr>
              <w:t>Le consentement</w:t>
            </w:r>
            <w:r>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rsidR="00F04EEF" w:rsidRDefault="0099351E">
            <w:pPr>
              <w:spacing w:line="237" w:lineRule="auto"/>
              <w:ind w:left="360"/>
              <w:jc w:val="both"/>
            </w:pPr>
            <w:r>
              <w:rPr>
                <w:i/>
              </w:rPr>
              <w:t>Par exemple : pour publier des photos d'élèves sur le site Internet de l'école, un consentement formalisé sera nécessaire</w:t>
            </w:r>
            <w:r>
              <w:t xml:space="preserve">.  </w:t>
            </w:r>
          </w:p>
        </w:tc>
      </w:tr>
    </w:tbl>
    <w:p w:rsidR="00F04EEF" w:rsidRDefault="00F04EEF">
      <w:pPr>
        <w:spacing w:after="192" w:line="256" w:lineRule="auto"/>
        <w:ind w:left="348"/>
        <w:rPr>
          <w:rFonts w:ascii="Arial" w:eastAsia="Calibri" w:hAnsi="Arial" w:cs="Arial"/>
          <w:lang w:val="fr-FR" w:eastAsia="fr-FR"/>
        </w:rPr>
      </w:pPr>
    </w:p>
    <w:p w:rsidR="00F04EEF" w:rsidRDefault="0099351E">
      <w:pPr>
        <w:numPr>
          <w:ilvl w:val="0"/>
          <w:numId w:val="302"/>
        </w:numPr>
        <w:spacing w:after="3" w:line="264" w:lineRule="auto"/>
        <w:ind w:hanging="360"/>
        <w:jc w:val="both"/>
      </w:pPr>
      <w:r>
        <w:t xml:space="preserve">Une école </w:t>
      </w:r>
      <w:r>
        <w:rPr>
          <w:b/>
        </w:rPr>
        <w:t>ne traite pas plus de données à caractère personnel que nécessaire</w:t>
      </w:r>
      <w:r>
        <w:t xml:space="preserve"> pour atteindre la finalité déterminée et légitime.  </w:t>
      </w:r>
    </w:p>
    <w:p w:rsidR="00F04EEF" w:rsidRDefault="0099351E">
      <w:pPr>
        <w:ind w:left="730"/>
        <w:rPr>
          <w:i/>
        </w:rPr>
      </w:pPr>
      <w:r>
        <w:rPr>
          <w:i/>
        </w:rPr>
        <w:t xml:space="preserve">Par exemple : lors de l'inscription d'un élève, l'école ne doit pas connaître les revenus des parents. </w:t>
      </w:r>
    </w:p>
    <w:p w:rsidR="00F04EEF" w:rsidRDefault="0099351E">
      <w:pPr>
        <w:spacing w:after="33" w:line="256" w:lineRule="auto"/>
        <w:ind w:left="720"/>
      </w:pPr>
      <w:r>
        <w:t xml:space="preserve"> </w:t>
      </w:r>
    </w:p>
    <w:p w:rsidR="00F04EEF" w:rsidRDefault="0099351E">
      <w:pPr>
        <w:numPr>
          <w:ilvl w:val="0"/>
          <w:numId w:val="302"/>
        </w:numPr>
        <w:spacing w:after="5" w:line="247" w:lineRule="auto"/>
        <w:ind w:hanging="360"/>
        <w:jc w:val="both"/>
      </w:pPr>
      <w:r>
        <w:t xml:space="preserve">Les données à caractère personnel traitées par une école </w:t>
      </w:r>
      <w:r>
        <w:rPr>
          <w:b/>
        </w:rPr>
        <w:t>doivent être exactes et pouvoir être corrigées</w:t>
      </w:r>
      <w:r>
        <w:t xml:space="preserve">.  </w:t>
      </w:r>
    </w:p>
    <w:p w:rsidR="00F04EEF" w:rsidRDefault="0099351E">
      <w:pPr>
        <w:ind w:left="730"/>
      </w:pPr>
      <w:r>
        <w:rPr>
          <w:i/>
        </w:rPr>
        <w:t>Par exemple : en cas de déménagement d'un élève, l'école doit adapter l'adresse. Il en va de même pour les numéros de téléphone (GSM) ou adresses électroniques</w:t>
      </w:r>
      <w:r>
        <w:t>.</w:t>
      </w:r>
    </w:p>
    <w:p w:rsidR="00F04EEF" w:rsidRDefault="0099351E">
      <w:pPr>
        <w:spacing w:after="34" w:line="256" w:lineRule="auto"/>
        <w:ind w:left="720"/>
      </w:pPr>
      <w:r>
        <w:t xml:space="preserve"> </w:t>
      </w:r>
    </w:p>
    <w:p w:rsidR="00F04EEF" w:rsidRDefault="0099351E">
      <w:pPr>
        <w:numPr>
          <w:ilvl w:val="0"/>
          <w:numId w:val="302"/>
        </w:numPr>
        <w:spacing w:after="3" w:line="264" w:lineRule="auto"/>
        <w:ind w:hanging="360"/>
        <w:jc w:val="both"/>
      </w:pPr>
      <w:r>
        <w:rPr>
          <w:b/>
        </w:rPr>
        <w:t>Ne pas conserver les données à caractère personnel plus longtemps que nécessaire</w:t>
      </w:r>
      <w:r>
        <w:t xml:space="preserve">.  </w:t>
      </w:r>
    </w:p>
    <w:p w:rsidR="00F04EEF" w:rsidRDefault="0099351E">
      <w:pPr>
        <w:ind w:left="730"/>
      </w:pPr>
      <w:r>
        <w:t xml:space="preserve">Pour certaines données, un délai de conservation légal s'applique.  Le délai de conservation légal des données à caractère personnel doit dès lors être respecté.   </w:t>
      </w:r>
    </w:p>
    <w:p w:rsidR="00F04EEF" w:rsidRDefault="0099351E">
      <w:pPr>
        <w:spacing w:after="33" w:line="256" w:lineRule="auto"/>
        <w:ind w:left="720"/>
      </w:pPr>
      <w:r>
        <w:t xml:space="preserve"> </w:t>
      </w:r>
    </w:p>
    <w:p w:rsidR="00F04EEF" w:rsidRDefault="0099351E">
      <w:pPr>
        <w:numPr>
          <w:ilvl w:val="0"/>
          <w:numId w:val="302"/>
        </w:numPr>
        <w:spacing w:after="5" w:line="247" w:lineRule="auto"/>
        <w:ind w:hanging="360"/>
        <w:jc w:val="both"/>
      </w:pPr>
      <w:r>
        <w:t>En tant qu'école, prendre des mesures organisationnelles et techniques appropriées afin de protéger les données à caractère personnel contre les traitements non autorisés.</w:t>
      </w:r>
    </w:p>
    <w:p w:rsidR="00F04EEF" w:rsidRDefault="0099351E">
      <w:pPr>
        <w:spacing w:line="256" w:lineRule="auto"/>
        <w:ind w:left="360"/>
      </w:pPr>
      <w:r>
        <w:t xml:space="preserve"> </w:t>
      </w:r>
    </w:p>
    <w:p w:rsidR="00F04EEF" w:rsidRDefault="0099351E">
      <w:pPr>
        <w:autoSpaceDE w:val="0"/>
        <w:autoSpaceDN w:val="0"/>
        <w:adjustRightInd w:val="0"/>
        <w:contextualSpacing/>
      </w:pPr>
      <w:r>
        <w:t xml:space="preserve">Le pouvoir organisateur est responsable du respect de ces principes et doit pouvoir le démontrer. </w:t>
      </w:r>
    </w:p>
    <w:p w:rsidR="00F04EEF" w:rsidRDefault="0099351E">
      <w:pPr>
        <w:spacing w:line="256" w:lineRule="auto"/>
        <w:jc w:val="both"/>
      </w:pPr>
      <w:r>
        <w:t xml:space="preserve"> </w:t>
      </w:r>
      <w:r>
        <w:tab/>
        <w:t xml:space="preserve"> </w:t>
      </w:r>
    </w:p>
    <w:p w:rsidR="00F04EEF" w:rsidRDefault="0099351E">
      <w:pPr>
        <w:autoSpaceDE w:val="0"/>
        <w:autoSpaceDN w:val="0"/>
        <w:adjustRightInd w:val="0"/>
        <w:contextualSpacing/>
        <w:jc w:val="both"/>
        <w:rPr>
          <w:b/>
          <w:u w:val="single"/>
        </w:rPr>
      </w:pPr>
      <w:bookmarkStart w:id="3705" w:name="_Toc14532"/>
      <w:r>
        <w:rPr>
          <w:b/>
          <w:u w:val="single"/>
        </w:rPr>
        <w:t xml:space="preserve">En tant qu'école, comment s'y prendre ?  </w:t>
      </w:r>
      <w:bookmarkEnd w:id="3705"/>
    </w:p>
    <w:p w:rsidR="00F04EEF" w:rsidRDefault="0099351E">
      <w:pPr>
        <w:spacing w:before="240" w:after="209"/>
        <w:jc w:val="both"/>
      </w:pPr>
      <w:r>
        <w:t xml:space="preserve">La démarche par étapes décrites ci-dessous permet de guider les écoles dans la mise en œuvre des principes du nouveau Règlement.  </w:t>
      </w:r>
    </w:p>
    <w:p w:rsidR="00F04EEF" w:rsidRDefault="00F04EEF">
      <w:pPr>
        <w:autoSpaceDE w:val="0"/>
        <w:autoSpaceDN w:val="0"/>
        <w:adjustRightInd w:val="0"/>
        <w:contextualSpacing/>
        <w:jc w:val="both"/>
        <w:rPr>
          <w:b/>
          <w:u w:val="single"/>
        </w:rPr>
      </w:pPr>
      <w:bookmarkStart w:id="3706" w:name="_Toc14533"/>
    </w:p>
    <w:p w:rsidR="00F04EEF" w:rsidRDefault="0099351E">
      <w:pPr>
        <w:autoSpaceDE w:val="0"/>
        <w:autoSpaceDN w:val="0"/>
        <w:adjustRightInd w:val="0"/>
        <w:contextualSpacing/>
        <w:jc w:val="both"/>
        <w:rPr>
          <w:b/>
          <w:u w:val="single"/>
        </w:rPr>
      </w:pPr>
      <w:r>
        <w:rPr>
          <w:b/>
          <w:u w:val="single"/>
        </w:rPr>
        <w:t xml:space="preserve">ÉTAPE 1 - Informer et sensibiliser </w:t>
      </w:r>
      <w:bookmarkEnd w:id="3706"/>
    </w:p>
    <w:p w:rsidR="00F04EEF" w:rsidRDefault="0099351E">
      <w:pPr>
        <w:spacing w:before="240" w:after="168"/>
        <w:jc w:val="both"/>
      </w:pPr>
      <w:r>
        <w:rPr>
          <w:b/>
        </w:rPr>
        <w:t>La sécurité des données à l'école est l'affaire de chacun</w:t>
      </w:r>
      <w:r>
        <w:t xml:space="preserve"> : directeur, enseignants, personnel administratif et d’accueil, économe – comptable, parents, élèves et apprenants, équipe de nettoyage, concierge, bénévoles...  </w:t>
      </w:r>
    </w:p>
    <w:p w:rsidR="00F04EEF" w:rsidRDefault="0099351E">
      <w:pPr>
        <w:spacing w:after="168"/>
        <w:jc w:val="both"/>
      </w:pPr>
      <w:r>
        <w:t xml:space="preserve">Afin de conscientiser les membres du personnel, il faut s’assurer que chacun soit au courant de la nouvelle réglementation et veille de manière correcte à la sécurité des données à caractère personnel.  </w:t>
      </w:r>
    </w:p>
    <w:p w:rsidR="00F04EEF" w:rsidRDefault="0099351E">
      <w:pPr>
        <w:spacing w:line="256" w:lineRule="auto"/>
        <w:jc w:val="both"/>
        <w:rPr>
          <w:b/>
        </w:rPr>
      </w:pPr>
      <w:r>
        <w:rPr>
          <w:b/>
        </w:rPr>
        <w:t xml:space="preserve">Astuces </w:t>
      </w:r>
    </w:p>
    <w:p w:rsidR="00F04EEF" w:rsidRDefault="0099351E">
      <w:pPr>
        <w:spacing w:after="12" w:line="256" w:lineRule="auto"/>
        <w:jc w:val="both"/>
      </w:pPr>
      <w:r>
        <w:t xml:space="preserve"> </w:t>
      </w:r>
    </w:p>
    <w:p w:rsidR="00F04EEF" w:rsidRDefault="0099351E">
      <w:pPr>
        <w:numPr>
          <w:ilvl w:val="0"/>
          <w:numId w:val="304"/>
        </w:numPr>
        <w:spacing w:after="34" w:line="237" w:lineRule="auto"/>
        <w:ind w:left="360" w:hanging="360"/>
        <w:jc w:val="both"/>
      </w:pPr>
      <w:r>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rsidR="00F04EEF" w:rsidRDefault="00F04EEF">
      <w:pPr>
        <w:spacing w:after="34" w:line="237" w:lineRule="auto"/>
        <w:jc w:val="both"/>
      </w:pPr>
    </w:p>
    <w:p w:rsidR="00F04EEF" w:rsidRDefault="0099351E">
      <w:pPr>
        <w:numPr>
          <w:ilvl w:val="0"/>
          <w:numId w:val="304"/>
        </w:numPr>
        <w:spacing w:line="237" w:lineRule="auto"/>
        <w:ind w:left="360" w:hanging="360"/>
        <w:jc w:val="both"/>
      </w:pPr>
      <w:r>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rsidR="00F04EEF" w:rsidRDefault="0099351E">
      <w:pPr>
        <w:spacing w:after="199" w:line="256" w:lineRule="auto"/>
        <w:jc w:val="both"/>
      </w:pPr>
      <w:r>
        <w:t xml:space="preserve"> </w:t>
      </w:r>
    </w:p>
    <w:p w:rsidR="00F04EEF" w:rsidRDefault="0099351E">
      <w:pPr>
        <w:autoSpaceDE w:val="0"/>
        <w:autoSpaceDN w:val="0"/>
        <w:adjustRightInd w:val="0"/>
        <w:contextualSpacing/>
        <w:jc w:val="both"/>
        <w:rPr>
          <w:b/>
          <w:u w:val="single"/>
        </w:rPr>
      </w:pPr>
      <w:bookmarkStart w:id="3707" w:name="_Toc14534"/>
      <w:r>
        <w:rPr>
          <w:b/>
          <w:u w:val="single"/>
        </w:rPr>
        <w:t xml:space="preserve">ÉTAPE 2 - Désigner un DPO ainsi qu'un point de contact à l'école  </w:t>
      </w:r>
      <w:bookmarkEnd w:id="3707"/>
    </w:p>
    <w:p w:rsidR="00F04EEF" w:rsidRDefault="0099351E">
      <w:pPr>
        <w:numPr>
          <w:ilvl w:val="0"/>
          <w:numId w:val="305"/>
        </w:numPr>
        <w:spacing w:before="240" w:after="171" w:line="247" w:lineRule="auto"/>
        <w:ind w:hanging="360"/>
        <w:jc w:val="both"/>
      </w:pPr>
      <w:r>
        <w:t xml:space="preserve">Le RGPD oblige certaines organisations à désigner un </w:t>
      </w:r>
      <w:r>
        <w:rPr>
          <w:b/>
        </w:rPr>
        <w:t>délégué à la protection des données</w:t>
      </w:r>
      <w:r>
        <w:t xml:space="preserve"> ("DPO" pour Data Protection Officer).  </w:t>
      </w:r>
    </w:p>
    <w:p w:rsidR="00F04EEF" w:rsidRDefault="0099351E">
      <w:pPr>
        <w:spacing w:after="171"/>
        <w:ind w:left="718"/>
        <w:jc w:val="both"/>
      </w:pPr>
      <w:r>
        <w:t>Un délégué à la protection des données veille à ce qu'une organisation satisfasse aux lois et réglementations en vigueur en matière de vie privée.  Celui-ci peut être mutualisé entre différentes écoles.</w:t>
      </w:r>
    </w:p>
    <w:p w:rsidR="00F04EEF" w:rsidRDefault="0099351E">
      <w:pPr>
        <w:spacing w:after="191" w:line="256" w:lineRule="auto"/>
        <w:ind w:left="708"/>
        <w:jc w:val="both"/>
      </w:pPr>
      <w:r>
        <w:t xml:space="preserve"> </w:t>
      </w:r>
    </w:p>
    <w:p w:rsidR="00F04EEF" w:rsidRDefault="0099351E">
      <w:pPr>
        <w:numPr>
          <w:ilvl w:val="0"/>
          <w:numId w:val="305"/>
        </w:numPr>
        <w:spacing w:after="171" w:line="247" w:lineRule="auto"/>
        <w:ind w:hanging="360"/>
        <w:jc w:val="both"/>
      </w:pPr>
      <w:r>
        <w:t xml:space="preserve">Si votre école mutualise </w:t>
      </w:r>
      <w:r>
        <w:rPr>
          <w:b/>
        </w:rPr>
        <w:t>son délégué à la protection des données</w:t>
      </w:r>
      <w:r>
        <w:t xml:space="preserve">, il est cependant nécessaire de désigner  un </w:t>
      </w:r>
      <w:r>
        <w:rPr>
          <w:b/>
        </w:rPr>
        <w:t>interlocuteur</w:t>
      </w:r>
      <w:r>
        <w:t xml:space="preserve"> au sein de votre école.  </w:t>
      </w:r>
    </w:p>
    <w:p w:rsidR="00F04EEF" w:rsidRDefault="0099351E">
      <w:pPr>
        <w:spacing w:after="171"/>
        <w:ind w:left="718"/>
        <w:jc w:val="both"/>
      </w:pPr>
      <w:r>
        <w:t xml:space="preserve">Il est par ailleurs important de savoir que l'interlocuteur de l'école n'endosse pas la responsabilité du respect du RGPD. Cette responsabilité finale du respect du RGPD incombe au pouvoir organisateur dans l’enseignement subventionné et au chef d’établissement dans l’enseignement organisé par la FWB.  </w:t>
      </w:r>
    </w:p>
    <w:p w:rsidR="00F04EEF" w:rsidRDefault="0099351E">
      <w:pPr>
        <w:spacing w:after="171"/>
        <w:ind w:left="718"/>
        <w:jc w:val="both"/>
      </w:pPr>
      <w:r>
        <w:t xml:space="preserve"> </w:t>
      </w:r>
    </w:p>
    <w:p w:rsidR="00F04EEF" w:rsidRDefault="0099351E">
      <w:pPr>
        <w:autoSpaceDE w:val="0"/>
        <w:autoSpaceDN w:val="0"/>
        <w:adjustRightInd w:val="0"/>
        <w:contextualSpacing/>
        <w:jc w:val="both"/>
        <w:rPr>
          <w:b/>
          <w:u w:val="single"/>
        </w:rPr>
      </w:pPr>
      <w:r>
        <w:rPr>
          <w:b/>
          <w:u w:val="single"/>
        </w:rPr>
        <w:t xml:space="preserve">ÉTAPE 3 - Utiliser le modèle de registre des activités de traitement </w:t>
      </w:r>
    </w:p>
    <w:p w:rsidR="00F04EEF" w:rsidRDefault="0099351E">
      <w:pPr>
        <w:spacing w:before="240"/>
        <w:jc w:val="both"/>
      </w:pPr>
      <w:r>
        <w:t xml:space="preserve">Un registre d’activités doit être établi de manière électronique et tenu à jour.  </w:t>
      </w:r>
    </w:p>
    <w:p w:rsidR="00F04EEF" w:rsidRDefault="0099351E">
      <w:pPr>
        <w:spacing w:after="168"/>
        <w:jc w:val="both"/>
      </w:pPr>
      <w:r>
        <w:t xml:space="preserve">Il faut respecter le principe de minimisation des données et détruire les données qui ne sont pas nécessaires ou dont la conservation ne peut être légitimée.   </w:t>
      </w:r>
    </w:p>
    <w:p w:rsidR="00F04EEF" w:rsidRDefault="0099351E">
      <w:pPr>
        <w:spacing w:line="264" w:lineRule="auto"/>
        <w:ind w:left="231"/>
        <w:jc w:val="both"/>
        <w:rPr>
          <w:b/>
        </w:rPr>
      </w:pPr>
      <w:r>
        <w:rPr>
          <w:b/>
        </w:rPr>
        <w:t xml:space="preserve">Astuces </w:t>
      </w:r>
    </w:p>
    <w:p w:rsidR="00F04EEF" w:rsidRDefault="0099351E">
      <w:pPr>
        <w:spacing w:after="12" w:line="256" w:lineRule="auto"/>
        <w:jc w:val="both"/>
      </w:pPr>
      <w:r>
        <w:t xml:space="preserve">Pour répertorier soigneusement les données à caractère personnel qui sont traitées par l'école,  </w:t>
      </w:r>
      <w:r>
        <w:rPr>
          <w:b/>
        </w:rPr>
        <w:t>il faut établir un registre permettant de répondre aux questions suivantes</w:t>
      </w:r>
      <w:r>
        <w:rPr>
          <w:vertAlign w:val="superscript"/>
        </w:rPr>
        <w:footnoteReference w:id="177"/>
      </w:r>
      <w:r>
        <w:rPr>
          <w:vertAlign w:val="superscript"/>
        </w:rPr>
        <w:t xml:space="preserve"> </w:t>
      </w:r>
      <w:r>
        <w:t xml:space="preserve">: </w:t>
      </w:r>
    </w:p>
    <w:p w:rsidR="00F04EEF" w:rsidRDefault="0099351E">
      <w:pPr>
        <w:spacing w:after="11" w:line="256" w:lineRule="auto"/>
        <w:jc w:val="both"/>
      </w:pPr>
      <w:r>
        <w:t xml:space="preserve"> </w:t>
      </w:r>
    </w:p>
    <w:p w:rsidR="00F04EEF" w:rsidRDefault="0099351E">
      <w:pPr>
        <w:pStyle w:val="Paragraphedeliste"/>
        <w:numPr>
          <w:ilvl w:val="0"/>
          <w:numId w:val="306"/>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Quel est le fondement du traitement de la donnée par l’école (cadre légal, accord écrit, consentement)?  </w:t>
      </w:r>
    </w:p>
    <w:p w:rsidR="00F04EEF" w:rsidRDefault="0099351E">
      <w:pPr>
        <w:pStyle w:val="Paragraphedeliste"/>
        <w:numPr>
          <w:ilvl w:val="0"/>
          <w:numId w:val="306"/>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Pour quelles finalités l'école utilise-t-elle les données ?  </w:t>
      </w:r>
    </w:p>
    <w:p w:rsidR="00F04EEF" w:rsidRDefault="0099351E">
      <w:pPr>
        <w:pStyle w:val="Paragraphedeliste"/>
        <w:numPr>
          <w:ilvl w:val="0"/>
          <w:numId w:val="306"/>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Où les données sont-elles conservées ? (PC, papier, supports externes, documents dans un cloud)  </w:t>
      </w:r>
    </w:p>
    <w:p w:rsidR="00F04EEF" w:rsidRDefault="0099351E">
      <w:pPr>
        <w:pStyle w:val="Paragraphedeliste"/>
        <w:numPr>
          <w:ilvl w:val="0"/>
          <w:numId w:val="306"/>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Avec quels services ou personnes internes et externes les données sont-elles partagées ? </w:t>
      </w:r>
    </w:p>
    <w:p w:rsidR="00F04EEF" w:rsidRDefault="0099351E">
      <w:pPr>
        <w:pStyle w:val="Paragraphedeliste"/>
        <w:numPr>
          <w:ilvl w:val="0"/>
          <w:numId w:val="306"/>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Combien de temps les données sont-elles conservées ?  </w:t>
      </w:r>
    </w:p>
    <w:p w:rsidR="00F04EEF" w:rsidRDefault="00F04EEF">
      <w:pPr>
        <w:spacing w:after="11" w:line="256" w:lineRule="auto"/>
        <w:jc w:val="both"/>
      </w:pPr>
    </w:p>
    <w:p w:rsidR="00F04EEF" w:rsidRDefault="0099351E">
      <w:pPr>
        <w:spacing w:after="11" w:line="256" w:lineRule="auto"/>
        <w:jc w:val="both"/>
      </w:pPr>
      <w:r>
        <w:t>Il s’agit de vérifier d'abord s'il existe des délais de conservation légaux pour la conservation des données. Si ce n'est pas le cas, il faut appliquer le principe "ne pas conserver plus longtemps que nécessaire", en précisant cette nécessité</w:t>
      </w:r>
    </w:p>
    <w:p w:rsidR="00F04EEF" w:rsidRDefault="00F04EEF">
      <w:pPr>
        <w:spacing w:after="11" w:line="256" w:lineRule="auto"/>
        <w:jc w:val="both"/>
      </w:pPr>
    </w:p>
    <w:p w:rsidR="00F04EEF" w:rsidRDefault="0099351E">
      <w:pPr>
        <w:pStyle w:val="Paragraphedeliste"/>
        <w:numPr>
          <w:ilvl w:val="0"/>
          <w:numId w:val="307"/>
        </w:numPr>
        <w:suppressAutoHyphens w:val="0"/>
        <w:spacing w:after="5"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Qui a accès aux données à caractère personnel ? </w:t>
      </w:r>
    </w:p>
    <w:p w:rsidR="00F04EEF" w:rsidRDefault="00F04EEF">
      <w:pPr>
        <w:jc w:val="both"/>
      </w:pPr>
    </w:p>
    <w:p w:rsidR="00F04EEF" w:rsidRDefault="0099351E">
      <w:pPr>
        <w:jc w:val="both"/>
      </w:pPr>
      <w:r>
        <w:t xml:space="preserve">Vérifier qui précisément a accès aux données à caractère personnel (lire, modifier, supprimer, ...) et comment les données sont protégées. Attention, pour rappel, l'accès peut être aussi bien numérique que physique. </w:t>
      </w:r>
    </w:p>
    <w:p w:rsidR="00F04EEF" w:rsidRDefault="00F04EEF">
      <w:pPr>
        <w:jc w:val="both"/>
      </w:pPr>
    </w:p>
    <w:p w:rsidR="00F04EEF" w:rsidRDefault="0099351E">
      <w:pPr>
        <w:spacing w:after="11" w:line="256" w:lineRule="auto"/>
        <w:jc w:val="both"/>
        <w:rPr>
          <w:b/>
        </w:rPr>
      </w:pPr>
      <w:r>
        <w:rPr>
          <w:b/>
        </w:rPr>
        <w:t>Pour les données dont la Communauté française est responsable, récoltées pour le compte du pouvoir régulateur et selon les modalités prévues par ce dernier, la Communauté française fournira les instructions documentées nécessaires aux écoles.</w:t>
      </w:r>
    </w:p>
    <w:p w:rsidR="00F04EEF" w:rsidRDefault="00F04EEF">
      <w:pPr>
        <w:spacing w:after="11" w:line="256" w:lineRule="auto"/>
        <w:jc w:val="both"/>
        <w:rPr>
          <w:b/>
        </w:rPr>
      </w:pPr>
    </w:p>
    <w:p w:rsidR="00F04EEF" w:rsidRDefault="0099351E">
      <w:pPr>
        <w:autoSpaceDE w:val="0"/>
        <w:autoSpaceDN w:val="0"/>
        <w:adjustRightInd w:val="0"/>
        <w:contextualSpacing/>
        <w:jc w:val="both"/>
        <w:rPr>
          <w:b/>
          <w:u w:val="single"/>
        </w:rPr>
      </w:pPr>
      <w:bookmarkStart w:id="3708" w:name="_Toc14535"/>
      <w:r>
        <w:rPr>
          <w:b/>
          <w:u w:val="single"/>
        </w:rPr>
        <w:t xml:space="preserve">ÉTAPE 4 - Contrats avec des partenaires </w:t>
      </w:r>
      <w:bookmarkEnd w:id="3708"/>
    </w:p>
    <w:p w:rsidR="00F04EEF" w:rsidRDefault="0099351E">
      <w:pPr>
        <w:spacing w:before="240" w:after="160" w:line="256" w:lineRule="auto"/>
        <w:jc w:val="both"/>
      </w:pPr>
      <w:r>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rsidR="00F04EEF" w:rsidRDefault="0099351E">
      <w:pPr>
        <w:spacing w:after="168"/>
        <w:jc w:val="both"/>
      </w:pPr>
      <w:r>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établissements. Les contrats avec ces fournisseurs doivent être réexaminés à la lumière du RGPD. </w:t>
      </w:r>
    </w:p>
    <w:p w:rsidR="00F04EEF" w:rsidRDefault="0099351E">
      <w:pPr>
        <w:rPr>
          <w:b/>
        </w:rPr>
      </w:pPr>
      <w:r>
        <w:rPr>
          <w:b/>
        </w:rPr>
        <w:br w:type="page"/>
      </w:r>
    </w:p>
    <w:p w:rsidR="00F04EEF" w:rsidRDefault="0099351E">
      <w:pPr>
        <w:spacing w:after="189" w:line="264" w:lineRule="auto"/>
        <w:jc w:val="both"/>
        <w:rPr>
          <w:b/>
        </w:rPr>
      </w:pPr>
      <w:r>
        <w:rPr>
          <w:b/>
        </w:rPr>
        <w:t>Il faut donc passer en revue les  contrats actuels (et futurs) de sous-traitance et se demander si ces contrats mentionnent</w:t>
      </w:r>
      <w:r>
        <w:rPr>
          <w:b/>
          <w:vertAlign w:val="superscript"/>
        </w:rPr>
        <w:footnoteReference w:id="178"/>
      </w:r>
      <w:r>
        <w:rPr>
          <w:b/>
          <w:vertAlign w:val="superscript"/>
        </w:rPr>
        <w:t xml:space="preserve"> </w:t>
      </w:r>
      <w:r>
        <w:rPr>
          <w:b/>
        </w:rPr>
        <w:t xml:space="preserve">:  </w:t>
      </w:r>
    </w:p>
    <w:tbl>
      <w:tblPr>
        <w:tblStyle w:val="Grilledutableau"/>
        <w:tblW w:w="9327"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5"/>
        <w:gridCol w:w="7469"/>
        <w:gridCol w:w="574"/>
        <w:gridCol w:w="779"/>
      </w:tblGrid>
      <w:tr w:rsidR="00F04EEF">
        <w:tc>
          <w:tcPr>
            <w:tcW w:w="505" w:type="dxa"/>
            <w:hideMark/>
          </w:tcPr>
          <w:p w:rsidR="00F04EEF" w:rsidRDefault="0099351E">
            <w:pPr>
              <w:spacing w:after="189" w:line="264" w:lineRule="auto"/>
              <w:jc w:val="both"/>
            </w:pPr>
            <w:r>
              <w:t>1.</w:t>
            </w:r>
          </w:p>
        </w:tc>
        <w:tc>
          <w:tcPr>
            <w:tcW w:w="7469" w:type="dxa"/>
            <w:tcBorders>
              <w:right w:val="nil"/>
            </w:tcBorders>
            <w:hideMark/>
          </w:tcPr>
          <w:p w:rsidR="00F04EEF" w:rsidRDefault="0099351E">
            <w:pPr>
              <w:pBdr>
                <w:right w:val="single" w:sz="2" w:space="1" w:color="auto"/>
              </w:pBdr>
              <w:spacing w:after="189" w:line="264" w:lineRule="auto"/>
              <w:jc w:val="both"/>
            </w:pPr>
            <w:r>
              <w:t xml:space="preserve">Les finalités et la nature du traitement, le type de données, les catégories de personnes concernées et les droits et obligations des deux parties   </w:t>
            </w:r>
          </w:p>
        </w:tc>
        <w:tc>
          <w:tcPr>
            <w:tcW w:w="574" w:type="dxa"/>
            <w:tcBorders>
              <w:left w:val="nil"/>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2.</w:t>
            </w:r>
          </w:p>
        </w:tc>
        <w:tc>
          <w:tcPr>
            <w:tcW w:w="7469" w:type="dxa"/>
            <w:tcBorders>
              <w:right w:val="nil"/>
            </w:tcBorders>
            <w:hideMark/>
          </w:tcPr>
          <w:p w:rsidR="00F04EEF" w:rsidRDefault="0099351E">
            <w:pPr>
              <w:pBdr>
                <w:right w:val="single" w:sz="2" w:space="1" w:color="auto"/>
              </w:pBdr>
              <w:spacing w:after="189" w:line="264" w:lineRule="auto"/>
              <w:jc w:val="both"/>
            </w:pPr>
            <w:r>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74" w:type="dxa"/>
            <w:tcBorders>
              <w:left w:val="nil"/>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3.</w:t>
            </w:r>
          </w:p>
        </w:tc>
        <w:tc>
          <w:tcPr>
            <w:tcW w:w="7469" w:type="dxa"/>
            <w:tcBorders>
              <w:right w:val="nil"/>
            </w:tcBorders>
            <w:hideMark/>
          </w:tcPr>
          <w:p w:rsidR="00F04EEF" w:rsidRDefault="0099351E">
            <w:pPr>
              <w:pBdr>
                <w:right w:val="single" w:sz="2" w:space="1" w:color="auto"/>
              </w:pBdr>
              <w:spacing w:after="189" w:line="264" w:lineRule="auto"/>
              <w:jc w:val="both"/>
            </w:pPr>
            <w:r>
              <w:t xml:space="preserve">Que le fournisseur garantit qu'il prendra les mesures techniques et organisationnelles appropriées afin de garantir un niveau de sécurité adapté au risque   </w:t>
            </w:r>
          </w:p>
        </w:tc>
        <w:tc>
          <w:tcPr>
            <w:tcW w:w="574" w:type="dxa"/>
            <w:tcBorders>
              <w:left w:val="nil"/>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4.</w:t>
            </w:r>
          </w:p>
        </w:tc>
        <w:tc>
          <w:tcPr>
            <w:tcW w:w="7469" w:type="dxa"/>
            <w:tcBorders>
              <w:right w:val="nil"/>
            </w:tcBorders>
            <w:hideMark/>
          </w:tcPr>
          <w:p w:rsidR="00F04EEF" w:rsidRDefault="0099351E">
            <w:pPr>
              <w:pBdr>
                <w:right w:val="single" w:sz="2" w:space="1" w:color="auto"/>
              </w:pBdr>
              <w:spacing w:after="189" w:line="264" w:lineRule="auto"/>
              <w:jc w:val="both"/>
            </w:pPr>
            <w:r>
              <w:t xml:space="preserve">Que le fournisseur promet qu'il ne recrutera aucun autre sous-traitant sans l'autorisation écrite préalable de l'école   </w:t>
            </w:r>
          </w:p>
        </w:tc>
        <w:tc>
          <w:tcPr>
            <w:tcW w:w="574" w:type="dxa"/>
            <w:tcBorders>
              <w:left w:val="nil"/>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5.</w:t>
            </w:r>
          </w:p>
        </w:tc>
        <w:tc>
          <w:tcPr>
            <w:tcW w:w="7469" w:type="dxa"/>
            <w:tcBorders>
              <w:right w:val="nil"/>
            </w:tcBorders>
            <w:hideMark/>
          </w:tcPr>
          <w:p w:rsidR="00F04EEF" w:rsidRDefault="0099351E">
            <w:pPr>
              <w:pBdr>
                <w:right w:val="single" w:sz="2" w:space="1" w:color="auto"/>
              </w:pBdr>
              <w:spacing w:after="189" w:line="264" w:lineRule="auto"/>
              <w:jc w:val="both"/>
            </w:pPr>
            <w:r>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74" w:type="dxa"/>
            <w:tcBorders>
              <w:left w:val="nil"/>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6.</w:t>
            </w:r>
          </w:p>
        </w:tc>
        <w:tc>
          <w:tcPr>
            <w:tcW w:w="7469" w:type="dxa"/>
            <w:tcBorders>
              <w:right w:val="nil"/>
            </w:tcBorders>
            <w:hideMark/>
          </w:tcPr>
          <w:p w:rsidR="00F04EEF" w:rsidRDefault="0099351E">
            <w:pPr>
              <w:pBdr>
                <w:right w:val="single" w:sz="2" w:space="1" w:color="auto"/>
              </w:pBdr>
              <w:spacing w:after="189" w:line="264" w:lineRule="auto"/>
              <w:jc w:val="both"/>
            </w:pPr>
            <w:r>
              <w:t xml:space="preserve">Que le fournisseur est d'accord d'aider, dans toute la mesure du possible, l'école à s'acquitter de son obligation de donner suite aux demandes dont les personnes concernées la saisissent en vue d'exercer leurs droits  </w:t>
            </w:r>
            <w:r>
              <w:tab/>
              <w:t xml:space="preserve"> </w:t>
            </w:r>
          </w:p>
        </w:tc>
        <w:tc>
          <w:tcPr>
            <w:tcW w:w="574" w:type="dxa"/>
            <w:tcBorders>
              <w:left w:val="nil"/>
              <w:bottom w:val="single" w:sz="2" w:space="0" w:color="auto"/>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7.</w:t>
            </w:r>
          </w:p>
        </w:tc>
        <w:tc>
          <w:tcPr>
            <w:tcW w:w="7469" w:type="dxa"/>
            <w:tcBorders>
              <w:right w:val="nil"/>
            </w:tcBorders>
            <w:hideMark/>
          </w:tcPr>
          <w:p w:rsidR="00F04EEF" w:rsidRDefault="0099351E">
            <w:pPr>
              <w:pBdr>
                <w:right w:val="single" w:sz="2" w:space="1" w:color="auto"/>
              </w:pBdr>
              <w:spacing w:after="189" w:line="264" w:lineRule="auto"/>
              <w:jc w:val="both"/>
            </w:pPr>
            <w:r>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74" w:type="dxa"/>
            <w:tcBorders>
              <w:left w:val="nil"/>
              <w:bottom w:val="single" w:sz="2" w:space="0" w:color="auto"/>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8.</w:t>
            </w:r>
          </w:p>
        </w:tc>
        <w:tc>
          <w:tcPr>
            <w:tcW w:w="7469" w:type="dxa"/>
            <w:tcBorders>
              <w:right w:val="nil"/>
            </w:tcBorders>
            <w:hideMark/>
          </w:tcPr>
          <w:p w:rsidR="00F04EEF" w:rsidRDefault="0099351E">
            <w:pPr>
              <w:pBdr>
                <w:right w:val="single" w:sz="2" w:space="1" w:color="auto"/>
              </w:pBdr>
              <w:spacing w:after="189" w:line="264" w:lineRule="auto"/>
              <w:jc w:val="both"/>
            </w:pPr>
            <w:r>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74" w:type="dxa"/>
            <w:tcBorders>
              <w:left w:val="nil"/>
              <w:bottom w:val="single" w:sz="2" w:space="0" w:color="auto"/>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9.</w:t>
            </w:r>
          </w:p>
        </w:tc>
        <w:tc>
          <w:tcPr>
            <w:tcW w:w="7469" w:type="dxa"/>
            <w:tcBorders>
              <w:right w:val="nil"/>
            </w:tcBorders>
            <w:hideMark/>
          </w:tcPr>
          <w:p w:rsidR="00F04EEF" w:rsidRDefault="0099351E">
            <w:pPr>
              <w:pBdr>
                <w:right w:val="single" w:sz="2" w:space="1" w:color="auto"/>
              </w:pBdr>
              <w:spacing w:after="34"/>
              <w:jc w:val="both"/>
            </w:pPr>
            <w:r>
              <w:t xml:space="preserve">Que le fournisseur garantit qu'au terme de la prestation de services, toutes les données à caractère personnel seront supprimées en toute sécurité ou renvoyées à l'école et que les copies existantes seront détruites  </w:t>
            </w:r>
          </w:p>
        </w:tc>
        <w:tc>
          <w:tcPr>
            <w:tcW w:w="574" w:type="dxa"/>
            <w:tcBorders>
              <w:left w:val="nil"/>
              <w:bottom w:val="single" w:sz="2" w:space="0" w:color="auto"/>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r w:rsidR="00F04EEF">
        <w:tc>
          <w:tcPr>
            <w:tcW w:w="505" w:type="dxa"/>
            <w:hideMark/>
          </w:tcPr>
          <w:p w:rsidR="00F04EEF" w:rsidRDefault="0099351E">
            <w:pPr>
              <w:spacing w:after="189" w:line="264" w:lineRule="auto"/>
              <w:jc w:val="both"/>
            </w:pPr>
            <w:r>
              <w:t>10.</w:t>
            </w:r>
          </w:p>
        </w:tc>
        <w:tc>
          <w:tcPr>
            <w:tcW w:w="7469" w:type="dxa"/>
            <w:tcBorders>
              <w:right w:val="nil"/>
            </w:tcBorders>
            <w:hideMark/>
          </w:tcPr>
          <w:p w:rsidR="00F04EEF" w:rsidRDefault="0099351E">
            <w:pPr>
              <w:pBdr>
                <w:right w:val="single" w:sz="2" w:space="1" w:color="auto"/>
              </w:pBdr>
              <w:spacing w:after="189" w:line="264" w:lineRule="auto"/>
              <w:jc w:val="both"/>
            </w:pPr>
            <w:r>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74" w:type="dxa"/>
            <w:tcBorders>
              <w:left w:val="nil"/>
            </w:tcBorders>
            <w:hideMark/>
          </w:tcPr>
          <w:p w:rsidR="00F04EEF" w:rsidRDefault="0099351E">
            <w:pPr>
              <w:spacing w:after="189" w:line="264" w:lineRule="auto"/>
              <w:jc w:val="both"/>
            </w:pPr>
            <w:r>
              <w:t>OUI</w:t>
            </w:r>
          </w:p>
        </w:tc>
        <w:tc>
          <w:tcPr>
            <w:tcW w:w="779" w:type="dxa"/>
            <w:tcBorders>
              <w:right w:val="single" w:sz="2" w:space="0" w:color="auto"/>
            </w:tcBorders>
            <w:hideMark/>
          </w:tcPr>
          <w:p w:rsidR="00F04EEF" w:rsidRDefault="0099351E">
            <w:pPr>
              <w:spacing w:after="189" w:line="264" w:lineRule="auto"/>
              <w:jc w:val="both"/>
            </w:pPr>
            <w:r>
              <w:t>NON</w:t>
            </w:r>
          </w:p>
        </w:tc>
      </w:tr>
    </w:tbl>
    <w:p w:rsidR="00F04EEF" w:rsidRDefault="0099351E">
      <w:pPr>
        <w:spacing w:line="256" w:lineRule="auto"/>
        <w:jc w:val="both"/>
      </w:pPr>
      <w:r>
        <w:t xml:space="preserve"> </w:t>
      </w:r>
    </w:p>
    <w:p w:rsidR="00F04EEF" w:rsidRDefault="0099351E">
      <w:pPr>
        <w:spacing w:after="3" w:line="264" w:lineRule="auto"/>
        <w:ind w:left="118"/>
        <w:jc w:val="both"/>
        <w:rPr>
          <w:b/>
        </w:rPr>
      </w:pPr>
      <w:r>
        <w:rPr>
          <w:b/>
        </w:rPr>
        <w:t xml:space="preserve">Astuces </w:t>
      </w:r>
    </w:p>
    <w:p w:rsidR="00F04EEF" w:rsidRDefault="00F04EEF">
      <w:pPr>
        <w:spacing w:after="12" w:line="256" w:lineRule="auto"/>
        <w:jc w:val="both"/>
      </w:pPr>
    </w:p>
    <w:p w:rsidR="00F04EEF" w:rsidRDefault="0099351E">
      <w:pPr>
        <w:pStyle w:val="Paragraphedeliste"/>
        <w:numPr>
          <w:ilvl w:val="0"/>
          <w:numId w:val="308"/>
        </w:numPr>
        <w:suppressAutoHyphens w:val="0"/>
        <w:spacing w:after="26"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rsidR="00F04EEF" w:rsidRDefault="00F04EEF">
      <w:pPr>
        <w:spacing w:after="26"/>
        <w:jc w:val="both"/>
      </w:pPr>
    </w:p>
    <w:p w:rsidR="00F04EEF" w:rsidRDefault="0099351E">
      <w:pPr>
        <w:numPr>
          <w:ilvl w:val="0"/>
          <w:numId w:val="309"/>
        </w:numPr>
        <w:spacing w:line="247" w:lineRule="auto"/>
        <w:ind w:hanging="360"/>
        <w:jc w:val="both"/>
      </w:pPr>
      <w:r>
        <w:t>Évaluer les contrats actuels et futurs avec des prestataires de services externes et veillez à y apporter les changements nécessaires. Dans ce cadre, tenir compte des éléments minimaux prescrits par l'article 28 du RGPD</w:t>
      </w:r>
      <w:r>
        <w:rPr>
          <w:vertAlign w:val="superscript"/>
        </w:rPr>
        <w:footnoteReference w:id="179"/>
      </w:r>
      <w:r>
        <w:rPr>
          <w:vertAlign w:val="superscript"/>
        </w:rPr>
        <w:t>,</w:t>
      </w:r>
      <w:r>
        <w:t xml:space="preserve"> dont l'engagement selon lequel les données à caractère personnel ne peuvent être traitées que sur la base des instructions écrites de l'école. </w:t>
      </w:r>
    </w:p>
    <w:p w:rsidR="00F04EEF" w:rsidRDefault="0099351E">
      <w:pPr>
        <w:spacing w:line="256" w:lineRule="auto"/>
        <w:ind w:left="108"/>
        <w:jc w:val="both"/>
      </w:pPr>
      <w:r>
        <w:t xml:space="preserve">  </w:t>
      </w:r>
    </w:p>
    <w:p w:rsidR="00F04EEF" w:rsidRDefault="0099351E">
      <w:pPr>
        <w:rPr>
          <w:b/>
          <w:u w:val="single"/>
        </w:rPr>
      </w:pPr>
      <w:bookmarkStart w:id="3709" w:name="_Toc14536"/>
      <w:r>
        <w:rPr>
          <w:b/>
          <w:u w:val="single"/>
        </w:rPr>
        <w:br w:type="page"/>
      </w:r>
    </w:p>
    <w:p w:rsidR="00F04EEF" w:rsidRDefault="0099351E">
      <w:pPr>
        <w:autoSpaceDE w:val="0"/>
        <w:autoSpaceDN w:val="0"/>
        <w:adjustRightInd w:val="0"/>
        <w:contextualSpacing/>
        <w:jc w:val="both"/>
        <w:rPr>
          <w:b/>
          <w:u w:val="single"/>
        </w:rPr>
      </w:pPr>
      <w:r>
        <w:rPr>
          <w:b/>
          <w:u w:val="single"/>
        </w:rPr>
        <w:t xml:space="preserve">ÉTAPE 5 - Contrôler si le consentement est nécessaire </w:t>
      </w:r>
      <w:bookmarkEnd w:id="3709"/>
    </w:p>
    <w:p w:rsidR="00F04EEF" w:rsidRDefault="0099351E">
      <w:pPr>
        <w:spacing w:before="240" w:line="256" w:lineRule="auto"/>
        <w:jc w:val="both"/>
      </w:pPr>
      <w:r>
        <w:t xml:space="preserve">Le registre des activités de traitement permet à l'école de contrôler quelles données à caractère personnel requièrent un consentement, </w:t>
      </w:r>
      <w:r>
        <w:rPr>
          <w:u w:val="single"/>
        </w:rPr>
        <w:t>dans la mesure où leur traitement n’est pas couvert par le cadre légal ou le « contrat »</w:t>
      </w:r>
      <w:r>
        <w:t xml:space="preserve"> (voir ci-dessus, « En tant qu'école, comment devez-vous traiter des données à caractère personnel ? »).</w:t>
      </w:r>
    </w:p>
    <w:p w:rsidR="00F04EEF" w:rsidRDefault="00F04EEF">
      <w:pPr>
        <w:jc w:val="both"/>
      </w:pPr>
    </w:p>
    <w:p w:rsidR="00F04EEF" w:rsidRDefault="0099351E">
      <w:pPr>
        <w:spacing w:after="168"/>
        <w:jc w:val="both"/>
        <w:rPr>
          <w:i/>
        </w:rPr>
      </w:pPr>
      <w:r>
        <w:rPr>
          <w:i/>
        </w:rPr>
        <w:t xml:space="preserve">Par exemple : des photos ou des vidéos sur lesquelles des personnes sont reconnaissables sont également des données à caractère personnel. Si l'école veut utiliser les images afin de les placer sur le site Internet de l'établissement, ce n'est possible qu'avec le consentement de la personne qui apparaît à l'image (ou de ses responsables légaux). </w:t>
      </w:r>
    </w:p>
    <w:p w:rsidR="00F04EEF" w:rsidRDefault="0099351E">
      <w:pPr>
        <w:spacing w:line="256" w:lineRule="auto"/>
        <w:jc w:val="both"/>
        <w:rPr>
          <w:b/>
        </w:rPr>
      </w:pPr>
      <w:r>
        <w:rPr>
          <w:b/>
        </w:rPr>
        <w:t xml:space="preserve">Astuces   </w:t>
      </w:r>
    </w:p>
    <w:tbl>
      <w:tblPr>
        <w:tblStyle w:val="TableGrid"/>
        <w:tblW w:w="90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8" w:type="dxa"/>
          <w:left w:w="108" w:type="dxa"/>
          <w:right w:w="58" w:type="dxa"/>
        </w:tblCellMar>
        <w:tblLook w:val="04A0" w:firstRow="1" w:lastRow="0" w:firstColumn="1" w:lastColumn="0" w:noHBand="0" w:noVBand="1"/>
      </w:tblPr>
      <w:tblGrid>
        <w:gridCol w:w="9018"/>
      </w:tblGrid>
      <w:tr w:rsidR="00F04EEF">
        <w:trPr>
          <w:trHeight w:val="5177"/>
        </w:trPr>
        <w:tc>
          <w:tcPr>
            <w:tcW w:w="9018" w:type="dxa"/>
          </w:tcPr>
          <w:p w:rsidR="00F04EEF" w:rsidRDefault="0099351E">
            <w:pPr>
              <w:pBdr>
                <w:right w:val="single" w:sz="18" w:space="1" w:color="auto"/>
              </w:pBdr>
              <w:jc w:val="both"/>
            </w:pPr>
            <w:r>
              <w:t xml:space="preserve">Vérifier de quelle manière le consentement doit être demandé en soumettant la procédure à la check-list suivante : </w:t>
            </w:r>
          </w:p>
          <w:p w:rsidR="00F04EEF" w:rsidRDefault="0099351E">
            <w:pPr>
              <w:pBdr>
                <w:right w:val="single" w:sz="18" w:space="1" w:color="auto"/>
              </w:pBdr>
              <w:spacing w:after="11" w:line="256" w:lineRule="auto"/>
              <w:jc w:val="both"/>
            </w:pPr>
            <w:r>
              <w:t xml:space="preserve"> </w:t>
            </w:r>
          </w:p>
          <w:p w:rsidR="00F04EEF" w:rsidRDefault="0099351E">
            <w:pPr>
              <w:numPr>
                <w:ilvl w:val="0"/>
                <w:numId w:val="310"/>
              </w:numPr>
              <w:pBdr>
                <w:right w:val="single" w:sz="18" w:space="1" w:color="auto"/>
              </w:pBdr>
              <w:spacing w:after="12" w:line="256" w:lineRule="auto"/>
              <w:ind w:left="360" w:hanging="360"/>
              <w:jc w:val="both"/>
            </w:pPr>
            <w:r>
              <w:t xml:space="preserve">Utiliser un langage clair, sans petits caractères ; </w:t>
            </w:r>
          </w:p>
          <w:p w:rsidR="00F04EEF" w:rsidRDefault="0099351E">
            <w:pPr>
              <w:numPr>
                <w:ilvl w:val="0"/>
                <w:numId w:val="310"/>
              </w:numPr>
              <w:pBdr>
                <w:right w:val="single" w:sz="18" w:space="1" w:color="auto"/>
              </w:pBdr>
              <w:spacing w:after="12" w:line="256" w:lineRule="auto"/>
              <w:ind w:left="360" w:hanging="360"/>
              <w:jc w:val="both"/>
            </w:pPr>
            <w:r>
              <w:t xml:space="preserve">Indiquer pourquoi les données sont utilisées et ce qu'il en sera fait ; </w:t>
            </w:r>
          </w:p>
          <w:p w:rsidR="00F04EEF" w:rsidRDefault="0099351E">
            <w:pPr>
              <w:numPr>
                <w:ilvl w:val="0"/>
                <w:numId w:val="310"/>
              </w:numPr>
              <w:pBdr>
                <w:right w:val="single" w:sz="18" w:space="1" w:color="auto"/>
              </w:pBdr>
              <w:spacing w:after="12" w:line="256" w:lineRule="auto"/>
              <w:ind w:left="360" w:hanging="360"/>
              <w:jc w:val="both"/>
            </w:pPr>
            <w:r>
              <w:t xml:space="preserve">Indiquer aussi de quelle manière les données peuvent être consultées et modifiées ; </w:t>
            </w:r>
          </w:p>
          <w:p w:rsidR="00F04EEF" w:rsidRDefault="0099351E">
            <w:pPr>
              <w:numPr>
                <w:ilvl w:val="0"/>
                <w:numId w:val="310"/>
              </w:numPr>
              <w:pBdr>
                <w:right w:val="single" w:sz="18" w:space="1" w:color="auto"/>
              </w:pBdr>
              <w:spacing w:after="31"/>
              <w:ind w:left="360" w:hanging="360"/>
              <w:jc w:val="both"/>
            </w:pPr>
            <w:r>
              <w:t xml:space="preserve">Mentionner également le droit à l'oubli. Dans certains cas, vous ne pouvez pas supprimer les données d'une personne parce que la loi ne le permet pas. Il faut aussi le mentionner dans le texte ; </w:t>
            </w:r>
          </w:p>
          <w:p w:rsidR="00F04EEF" w:rsidRDefault="0099351E">
            <w:pPr>
              <w:numPr>
                <w:ilvl w:val="0"/>
                <w:numId w:val="310"/>
              </w:numPr>
              <w:pBdr>
                <w:right w:val="single" w:sz="18" w:space="1" w:color="auto"/>
              </w:pBdr>
              <w:spacing w:line="256" w:lineRule="auto"/>
              <w:ind w:left="360" w:hanging="360"/>
              <w:jc w:val="both"/>
            </w:pPr>
            <w:r>
              <w:t xml:space="preserve">Il doit s'agir d'un acte positif.  </w:t>
            </w:r>
          </w:p>
          <w:p w:rsidR="00F04EEF" w:rsidRDefault="00F04EEF">
            <w:pPr>
              <w:pBdr>
                <w:right w:val="single" w:sz="18" w:space="1" w:color="auto"/>
              </w:pBdr>
              <w:spacing w:line="256" w:lineRule="auto"/>
              <w:jc w:val="both"/>
            </w:pPr>
          </w:p>
          <w:p w:rsidR="00F04EEF" w:rsidRDefault="0099351E">
            <w:pPr>
              <w:pBdr>
                <w:right w:val="single" w:sz="18" w:space="1" w:color="auto"/>
              </w:pBdr>
              <w:spacing w:line="237" w:lineRule="auto"/>
              <w:ind w:left="360"/>
              <w:jc w:val="both"/>
              <w:rPr>
                <w:i/>
              </w:rPr>
            </w:pPr>
            <w:r>
              <w:rPr>
                <w:i/>
              </w:rPr>
              <w:t xml:space="preserve">Par exemple : si vous le consentement est demandé via un formulaire électronique, la case ne peut pas être cochée automatiquement. </w:t>
            </w:r>
          </w:p>
          <w:p w:rsidR="00F04EEF" w:rsidRDefault="0099351E">
            <w:pPr>
              <w:pBdr>
                <w:right w:val="single" w:sz="18" w:space="1" w:color="auto"/>
              </w:pBdr>
              <w:spacing w:after="12" w:line="256" w:lineRule="auto"/>
              <w:ind w:left="360"/>
              <w:jc w:val="both"/>
            </w:pPr>
            <w:r>
              <w:t xml:space="preserve"> </w:t>
            </w:r>
          </w:p>
          <w:p w:rsidR="00F04EEF" w:rsidRDefault="0099351E">
            <w:pPr>
              <w:numPr>
                <w:ilvl w:val="0"/>
                <w:numId w:val="310"/>
              </w:numPr>
              <w:pBdr>
                <w:right w:val="single" w:sz="18" w:space="1" w:color="auto"/>
              </w:pBdr>
              <w:ind w:left="360" w:hanging="360"/>
              <w:jc w:val="both"/>
            </w:pPr>
            <w:r>
              <w:t xml:space="preserve">Si le consentement n'est pas donné, cela ne peut pas avoir de conséquences négatives pour la personne concernée.  </w:t>
            </w:r>
          </w:p>
          <w:p w:rsidR="00F04EEF" w:rsidRDefault="0099351E">
            <w:pPr>
              <w:pBdr>
                <w:right w:val="single" w:sz="18" w:space="1" w:color="auto"/>
              </w:pBdr>
              <w:spacing w:line="256" w:lineRule="auto"/>
              <w:ind w:left="360"/>
              <w:jc w:val="both"/>
            </w:pPr>
            <w:r>
              <w:t xml:space="preserve"> </w:t>
            </w:r>
          </w:p>
          <w:p w:rsidR="00F04EEF" w:rsidRDefault="0099351E">
            <w:pPr>
              <w:pBdr>
                <w:right w:val="single" w:sz="18" w:space="1" w:color="auto"/>
              </w:pBdr>
              <w:spacing w:after="1" w:line="237" w:lineRule="auto"/>
              <w:ind w:left="348"/>
              <w:jc w:val="both"/>
              <w:rPr>
                <w:i/>
              </w:rPr>
            </w:pPr>
            <w:r>
              <w:rPr>
                <w:i/>
              </w:rPr>
              <w:t xml:space="preserve">Par exemple : si des parents ne donnent pas leur consentement pour la publication de photos de leur enfant sur Facebook, cela ne peut pas avoir d'autres conséquences pour l'enfant.  </w:t>
            </w:r>
          </w:p>
          <w:p w:rsidR="00F04EEF" w:rsidRDefault="00F04EEF">
            <w:pPr>
              <w:pBdr>
                <w:right w:val="single" w:sz="18" w:space="1" w:color="auto"/>
              </w:pBdr>
              <w:spacing w:after="1" w:line="237" w:lineRule="auto"/>
              <w:ind w:left="348"/>
              <w:jc w:val="both"/>
            </w:pPr>
          </w:p>
          <w:p w:rsidR="00F04EEF" w:rsidRDefault="0099351E">
            <w:pPr>
              <w:pBdr>
                <w:right w:val="single" w:sz="18" w:space="1" w:color="auto"/>
              </w:pBdr>
              <w:spacing w:after="1" w:line="237" w:lineRule="auto"/>
              <w:jc w:val="both"/>
            </w:pPr>
            <w:r>
              <w:rPr>
                <w:rFonts w:ascii="Segoe UI Symbol" w:hAnsi="Segoe UI Symbol" w:cs="Segoe UI Symbol"/>
              </w:rPr>
              <w:t>⚠</w:t>
            </w:r>
            <w:r>
              <w:t xml:space="preserve">Si la demande de consentement est présentée dans le cadre d’une déclaration écrite présentant également d’autres questions, elle doit être présentée sous une forme qui la distingue clairement de ces autres questions. </w:t>
            </w:r>
          </w:p>
        </w:tc>
      </w:tr>
    </w:tbl>
    <w:p w:rsidR="00F04EEF" w:rsidRDefault="00F04EEF">
      <w:pPr>
        <w:autoSpaceDE w:val="0"/>
        <w:autoSpaceDN w:val="0"/>
        <w:adjustRightInd w:val="0"/>
        <w:contextualSpacing/>
        <w:jc w:val="both"/>
        <w:rPr>
          <w:b/>
          <w:u w:val="single"/>
        </w:rPr>
      </w:pPr>
      <w:bookmarkStart w:id="3710" w:name="_Toc14537"/>
    </w:p>
    <w:p w:rsidR="00F04EEF" w:rsidRDefault="00F04EEF">
      <w:pPr>
        <w:autoSpaceDE w:val="0"/>
        <w:autoSpaceDN w:val="0"/>
        <w:adjustRightInd w:val="0"/>
        <w:contextualSpacing/>
        <w:jc w:val="both"/>
        <w:rPr>
          <w:b/>
          <w:u w:val="single"/>
        </w:rPr>
      </w:pPr>
    </w:p>
    <w:p w:rsidR="00F04EEF" w:rsidRDefault="0099351E">
      <w:pPr>
        <w:autoSpaceDE w:val="0"/>
        <w:autoSpaceDN w:val="0"/>
        <w:adjustRightInd w:val="0"/>
        <w:contextualSpacing/>
        <w:jc w:val="both"/>
        <w:rPr>
          <w:b/>
          <w:u w:val="single"/>
        </w:rPr>
      </w:pPr>
      <w:r>
        <w:rPr>
          <w:b/>
          <w:u w:val="single"/>
        </w:rPr>
        <w:t xml:space="preserve">ÉTAPE 6 - Sécurité physique et sécurité de l'infrastructure informatique  </w:t>
      </w:r>
      <w:bookmarkEnd w:id="3710"/>
    </w:p>
    <w:p w:rsidR="00F04EEF" w:rsidRDefault="0099351E">
      <w:pPr>
        <w:pStyle w:val="Titre3"/>
        <w:spacing w:before="240" w:after="240"/>
        <w:ind w:left="-5"/>
        <w:jc w:val="both"/>
        <w:rPr>
          <w:b w:val="0"/>
          <w:sz w:val="22"/>
          <w:szCs w:val="22"/>
        </w:rPr>
      </w:pPr>
      <w:bookmarkStart w:id="3711" w:name="_Toc47708615"/>
      <w:bookmarkStart w:id="3712" w:name="_Toc14538"/>
      <w:r>
        <w:rPr>
          <w:b w:val="0"/>
          <w:sz w:val="22"/>
          <w:szCs w:val="22"/>
        </w:rPr>
        <w:t>Sécurité physique</w:t>
      </w:r>
      <w:bookmarkEnd w:id="3711"/>
      <w:r>
        <w:rPr>
          <w:b w:val="0"/>
          <w:sz w:val="22"/>
          <w:szCs w:val="22"/>
        </w:rPr>
        <w:t xml:space="preserve">  </w:t>
      </w:r>
      <w:bookmarkEnd w:id="3712"/>
    </w:p>
    <w:p w:rsidR="00F04EEF" w:rsidRDefault="0099351E">
      <w:pPr>
        <w:spacing w:after="160" w:line="256" w:lineRule="auto"/>
        <w:jc w:val="both"/>
      </w:pPr>
      <w:r>
        <w:t xml:space="preserve">Il est recommandé que l'école limite l'accès aux espaces où sont situées ou utilisées/traitées des données à caractère personnel aux personnes habilitées. Il en va de même pour les locaux de serveurs contenant des données sécurisées.  </w:t>
      </w:r>
    </w:p>
    <w:p w:rsidR="00F04EEF" w:rsidRDefault="0099351E">
      <w:pPr>
        <w:spacing w:line="256" w:lineRule="auto"/>
        <w:jc w:val="both"/>
        <w:rPr>
          <w:b/>
        </w:rPr>
      </w:pPr>
      <w:r>
        <w:rPr>
          <w:b/>
        </w:rPr>
        <w:t xml:space="preserve">Astuce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4" w:type="dxa"/>
        </w:tblCellMar>
        <w:tblLook w:val="04A0" w:firstRow="1" w:lastRow="0" w:firstColumn="1" w:lastColumn="0" w:noHBand="0" w:noVBand="1"/>
      </w:tblPr>
      <w:tblGrid>
        <w:gridCol w:w="9018"/>
      </w:tblGrid>
      <w:tr w:rsidR="00F04EEF">
        <w:trPr>
          <w:trHeight w:val="310"/>
        </w:trPr>
        <w:tc>
          <w:tcPr>
            <w:tcW w:w="9018" w:type="dxa"/>
            <w:tcBorders>
              <w:top w:val="single" w:sz="4" w:space="0" w:color="000000"/>
              <w:bottom w:val="single" w:sz="4" w:space="0" w:color="000000"/>
              <w:right w:val="single" w:sz="4" w:space="0" w:color="000000"/>
            </w:tcBorders>
            <w:hideMark/>
          </w:tcPr>
          <w:p w:rsidR="00F04EEF" w:rsidRDefault="0099351E">
            <w:pPr>
              <w:pStyle w:val="Paragraphedeliste"/>
              <w:numPr>
                <w:ilvl w:val="0"/>
                <w:numId w:val="308"/>
              </w:numPr>
              <w:pBdr>
                <w:right w:val="single" w:sz="18" w:space="1" w:color="auto"/>
              </w:pBdr>
              <w:suppressAutoHyphens w:val="0"/>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prendre des mesures préventives et éviter ainsi les dommages causés par le feu, les inondations, etc. Par exemple : détection d'incendie appropriée, extincteurs, ... </w:t>
            </w:r>
          </w:p>
        </w:tc>
      </w:tr>
    </w:tbl>
    <w:p w:rsidR="00F04EEF" w:rsidRDefault="0099351E">
      <w:pPr>
        <w:spacing w:after="177" w:line="256" w:lineRule="auto"/>
        <w:jc w:val="both"/>
      </w:pPr>
      <w:r>
        <w:t xml:space="preserve"> </w:t>
      </w:r>
    </w:p>
    <w:p w:rsidR="00F04EEF" w:rsidRDefault="0099351E">
      <w:pPr>
        <w:rPr>
          <w:u w:val="single"/>
        </w:rPr>
      </w:pPr>
      <w:bookmarkStart w:id="3713" w:name="_Toc14539"/>
      <w:r>
        <w:rPr>
          <w:b/>
        </w:rPr>
        <w:br w:type="page"/>
      </w:r>
    </w:p>
    <w:p w:rsidR="00F04EEF" w:rsidRDefault="0099351E">
      <w:pPr>
        <w:pStyle w:val="Titre3"/>
        <w:spacing w:after="240"/>
        <w:ind w:left="-5"/>
        <w:jc w:val="both"/>
        <w:rPr>
          <w:b w:val="0"/>
          <w:sz w:val="22"/>
          <w:szCs w:val="22"/>
        </w:rPr>
      </w:pPr>
      <w:bookmarkStart w:id="3714" w:name="_Toc47708616"/>
      <w:r>
        <w:rPr>
          <w:b w:val="0"/>
          <w:sz w:val="22"/>
          <w:szCs w:val="22"/>
        </w:rPr>
        <w:t>Sécurité</w:t>
      </w:r>
      <w:bookmarkEnd w:id="3714"/>
      <w:r>
        <w:rPr>
          <w:b w:val="0"/>
          <w:sz w:val="22"/>
          <w:szCs w:val="22"/>
        </w:rPr>
        <w:t xml:space="preserve"> </w:t>
      </w:r>
      <w:bookmarkEnd w:id="3713"/>
    </w:p>
    <w:p w:rsidR="00F04EEF" w:rsidRDefault="0099351E">
      <w:pPr>
        <w:spacing w:after="158" w:line="256" w:lineRule="auto"/>
        <w:jc w:val="both"/>
      </w:pPr>
      <w:r>
        <w:t xml:space="preserve">Une installation, des réseaux et des serveurs informatiques bien sécurisés sont une condition de la sécurisation des données à caractère personnel.  </w:t>
      </w:r>
    </w:p>
    <w:p w:rsidR="00F04EEF" w:rsidRDefault="0099351E">
      <w:pPr>
        <w:spacing w:after="168"/>
        <w:jc w:val="both"/>
      </w:pPr>
      <w:r>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rsidR="00F04EEF" w:rsidRDefault="0099351E">
      <w:pPr>
        <w:jc w:val="both"/>
      </w:pPr>
      <w:r>
        <w:t xml:space="preserve">En tant qu'école/Po/implantation, il faut dès lors prendre les mesures nécessaires pour prévenir le risque de pertes de données. </w:t>
      </w:r>
    </w:p>
    <w:p w:rsidR="00F04EEF" w:rsidRDefault="00F04EEF">
      <w:pPr>
        <w:spacing w:line="256" w:lineRule="auto"/>
        <w:jc w:val="both"/>
      </w:pPr>
    </w:p>
    <w:p w:rsidR="00F04EEF" w:rsidRDefault="0099351E">
      <w:pPr>
        <w:spacing w:line="256" w:lineRule="auto"/>
        <w:jc w:val="both"/>
        <w:rPr>
          <w:b/>
        </w:rPr>
      </w:pPr>
      <w:r>
        <w:rPr>
          <w:b/>
        </w:rPr>
        <w:t xml:space="preserve">Astuces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10" w:type="dxa"/>
        </w:tblCellMar>
        <w:tblLook w:val="04A0" w:firstRow="1" w:lastRow="0" w:firstColumn="1" w:lastColumn="0" w:noHBand="0" w:noVBand="1"/>
      </w:tblPr>
      <w:tblGrid>
        <w:gridCol w:w="9018"/>
      </w:tblGrid>
      <w:tr w:rsidR="00F04EEF">
        <w:trPr>
          <w:trHeight w:val="4846"/>
        </w:trPr>
        <w:tc>
          <w:tcPr>
            <w:tcW w:w="9018" w:type="dxa"/>
            <w:tcBorders>
              <w:top w:val="single" w:sz="4" w:space="0" w:color="000000"/>
              <w:bottom w:val="single" w:sz="4" w:space="0" w:color="000000"/>
              <w:right w:val="single" w:sz="4" w:space="0" w:color="000000"/>
            </w:tcBorders>
            <w:hideMark/>
          </w:tcPr>
          <w:p w:rsidR="00F04EEF" w:rsidRDefault="0099351E">
            <w:pPr>
              <w:numPr>
                <w:ilvl w:val="0"/>
                <w:numId w:val="311"/>
              </w:numPr>
              <w:pBdr>
                <w:right w:val="single" w:sz="18" w:space="1" w:color="auto"/>
              </w:pBdr>
              <w:spacing w:after="12" w:line="256" w:lineRule="auto"/>
              <w:ind w:hanging="360"/>
              <w:jc w:val="both"/>
            </w:pPr>
            <w:r>
              <w:t xml:space="preserve">Protéger les appareils contre les menaces telles que les virus et autres malwares. </w:t>
            </w:r>
          </w:p>
          <w:p w:rsidR="00F04EEF" w:rsidRDefault="0099351E">
            <w:pPr>
              <w:numPr>
                <w:ilvl w:val="0"/>
                <w:numId w:val="311"/>
              </w:numPr>
              <w:pBdr>
                <w:right w:val="single" w:sz="18" w:space="1" w:color="auto"/>
              </w:pBdr>
              <w:spacing w:after="12" w:line="256" w:lineRule="auto"/>
              <w:ind w:hanging="360"/>
              <w:jc w:val="both"/>
            </w:pPr>
            <w:r>
              <w:t xml:space="preserve">Effectuer régulièrement des sauvegardes.  </w:t>
            </w:r>
          </w:p>
          <w:p w:rsidR="00F04EEF" w:rsidRDefault="0099351E">
            <w:pPr>
              <w:numPr>
                <w:ilvl w:val="0"/>
                <w:numId w:val="311"/>
              </w:numPr>
              <w:pBdr>
                <w:right w:val="single" w:sz="18" w:space="1" w:color="auto"/>
              </w:pBdr>
              <w:spacing w:after="13" w:line="256" w:lineRule="auto"/>
              <w:ind w:hanging="360"/>
              <w:jc w:val="both"/>
            </w:pPr>
            <w:r>
              <w:t xml:space="preserve">Évaluer votre politique d'accès (par exemple : existe-t-il un identifiant et mot de passe unique par utilisateur ?). </w:t>
            </w:r>
          </w:p>
          <w:p w:rsidR="00F04EEF" w:rsidRDefault="0099351E">
            <w:pPr>
              <w:numPr>
                <w:ilvl w:val="0"/>
                <w:numId w:val="311"/>
              </w:numPr>
              <w:pBdr>
                <w:right w:val="single" w:sz="18" w:space="1" w:color="auto"/>
              </w:pBdr>
              <w:spacing w:after="33"/>
              <w:ind w:hanging="360"/>
              <w:jc w:val="both"/>
            </w:pPr>
            <w:r>
              <w:t xml:space="preserve">Sensibilisez le personnel et les élèves à la reconnaissance des fichiers infectés, à ce qu’il convient de faire avec de tels fichiers et comment procéder à des téléchargements en toute sécurité.  </w:t>
            </w:r>
          </w:p>
          <w:p w:rsidR="00F04EEF" w:rsidRDefault="0099351E">
            <w:pPr>
              <w:numPr>
                <w:ilvl w:val="0"/>
                <w:numId w:val="311"/>
              </w:numPr>
              <w:pBdr>
                <w:right w:val="single" w:sz="18" w:space="1" w:color="auto"/>
              </w:pBdr>
              <w:spacing w:after="35" w:line="237" w:lineRule="auto"/>
              <w:ind w:hanging="360"/>
              <w:jc w:val="both"/>
            </w:pPr>
            <w:r>
              <w:t xml:space="preserve">Décider si le personnel et les élèves sont autorisés à utiliser des appareils mobiles ou de téléchargement des fichiers sur les réseaux informatiques de l’école. Bien en fixer les conditions.  </w:t>
            </w:r>
          </w:p>
          <w:p w:rsidR="00F04EEF" w:rsidRDefault="0099351E">
            <w:pPr>
              <w:numPr>
                <w:ilvl w:val="0"/>
                <w:numId w:val="311"/>
              </w:numPr>
              <w:pBdr>
                <w:right w:val="single" w:sz="18" w:space="1" w:color="auto"/>
              </w:pBdr>
              <w:spacing w:after="33"/>
              <w:ind w:hanging="360"/>
              <w:jc w:val="both"/>
            </w:pPr>
            <w:r>
              <w:t xml:space="preserve">Appliquer strictement les règles de base concernant la sécurisation au moyen de mots de passe et veiller à ce que les élèves et le personnel les respectent rigoureusement.  </w:t>
            </w:r>
          </w:p>
          <w:p w:rsidR="00F04EEF" w:rsidRDefault="0099351E">
            <w:pPr>
              <w:numPr>
                <w:ilvl w:val="0"/>
                <w:numId w:val="311"/>
              </w:numPr>
              <w:pBdr>
                <w:right w:val="single" w:sz="18" w:space="1" w:color="auto"/>
              </w:pBdr>
              <w:spacing w:after="34"/>
              <w:ind w:hanging="360"/>
              <w:jc w:val="both"/>
            </w:pPr>
            <w:r>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rsidR="00F04EEF" w:rsidRDefault="0099351E">
            <w:pPr>
              <w:numPr>
                <w:ilvl w:val="0"/>
                <w:numId w:val="311"/>
              </w:numPr>
              <w:pBdr>
                <w:right w:val="single" w:sz="18" w:space="1" w:color="auto"/>
              </w:pBdr>
              <w:spacing w:line="256" w:lineRule="auto"/>
              <w:ind w:hanging="360"/>
              <w:jc w:val="both"/>
            </w:pPr>
            <w:r>
              <w:t xml:space="preserve">Éviter d'enregistrer des données d'élèves ou de collègues sur des dispositifs amovibles sauf s'il n'est pas possible de faire autrement. Dans ce cas, coder ou crypter les données à l'aide d'un mot de passe.  </w:t>
            </w:r>
          </w:p>
        </w:tc>
      </w:tr>
    </w:tbl>
    <w:p w:rsidR="00F04EEF" w:rsidRDefault="0099351E">
      <w:pPr>
        <w:spacing w:before="240" w:after="177" w:line="256" w:lineRule="auto"/>
        <w:jc w:val="both"/>
        <w:rPr>
          <w:i/>
          <w:u w:val="single"/>
        </w:rPr>
      </w:pPr>
      <w:bookmarkStart w:id="3715" w:name="_Toc14540"/>
      <w:r>
        <w:rPr>
          <w:i/>
          <w:u w:val="single"/>
        </w:rPr>
        <w:t xml:space="preserve">Points d'attention supplémentaires concernant les données à caractère personnel </w:t>
      </w:r>
      <w:bookmarkEnd w:id="3715"/>
    </w:p>
    <w:p w:rsidR="00F04EEF" w:rsidRDefault="0099351E">
      <w:pPr>
        <w:numPr>
          <w:ilvl w:val="0"/>
          <w:numId w:val="312"/>
        </w:numPr>
        <w:spacing w:line="276" w:lineRule="auto"/>
        <w:ind w:hanging="360"/>
        <w:jc w:val="both"/>
      </w:pPr>
      <w:r>
        <w:t xml:space="preserve">Attention au hameçonnage (« phishing ») ! </w:t>
      </w:r>
    </w:p>
    <w:p w:rsidR="00F04EEF" w:rsidRDefault="0099351E">
      <w:pPr>
        <w:spacing w:line="276" w:lineRule="auto"/>
        <w:ind w:left="720"/>
        <w:jc w:val="both"/>
      </w:pPr>
      <w:r>
        <w:t xml:space="preserve"> </w:t>
      </w:r>
    </w:p>
    <w:p w:rsidR="00F04EEF" w:rsidRDefault="0099351E">
      <w:pPr>
        <w:spacing w:line="276" w:lineRule="auto"/>
        <w:ind w:left="730"/>
        <w:jc w:val="both"/>
      </w:pPr>
      <w:r>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rsidR="00F04EEF" w:rsidRDefault="00F04EEF">
      <w:pPr>
        <w:spacing w:line="276" w:lineRule="auto"/>
        <w:ind w:left="730"/>
        <w:jc w:val="both"/>
      </w:pPr>
    </w:p>
    <w:p w:rsidR="00F04EEF" w:rsidRDefault="0099351E">
      <w:pPr>
        <w:numPr>
          <w:ilvl w:val="0"/>
          <w:numId w:val="312"/>
        </w:numPr>
        <w:spacing w:line="276" w:lineRule="auto"/>
        <w:ind w:hanging="360"/>
        <w:jc w:val="both"/>
      </w:pPr>
      <w:r>
        <w:t xml:space="preserve">Ne pas laisser de document sensible sur les imprimantes en libre accès.  </w:t>
      </w:r>
    </w:p>
    <w:p w:rsidR="00F04EEF" w:rsidRDefault="0099351E">
      <w:pPr>
        <w:numPr>
          <w:ilvl w:val="0"/>
          <w:numId w:val="312"/>
        </w:numPr>
        <w:spacing w:line="276" w:lineRule="auto"/>
        <w:ind w:hanging="360"/>
        <w:jc w:val="both"/>
      </w:pPr>
      <w:r>
        <w:t xml:space="preserve">Pour le cryptage d'un accès à des données sensibles, utiliser une authentification à deux facteurs, en  pondérant la nécessité, la faisabilité et le coût des solutions.  </w:t>
      </w:r>
    </w:p>
    <w:p w:rsidR="00F04EEF" w:rsidRDefault="0099351E">
      <w:pPr>
        <w:numPr>
          <w:ilvl w:val="0"/>
          <w:numId w:val="312"/>
        </w:numPr>
        <w:spacing w:line="276" w:lineRule="auto"/>
        <w:ind w:hanging="360"/>
        <w:jc w:val="both"/>
      </w:pPr>
      <w:r>
        <w:t xml:space="preserve">Conserver les mots de passe dans un endroit sûr. </w:t>
      </w:r>
    </w:p>
    <w:p w:rsidR="00F04EEF" w:rsidRDefault="0099351E">
      <w:pPr>
        <w:numPr>
          <w:ilvl w:val="0"/>
          <w:numId w:val="312"/>
        </w:numPr>
        <w:spacing w:line="276" w:lineRule="auto"/>
        <w:ind w:hanging="360"/>
        <w:jc w:val="both"/>
      </w:pPr>
      <w:r>
        <w:t xml:space="preserve">Toujours se déconnecter. </w:t>
      </w:r>
    </w:p>
    <w:p w:rsidR="00F04EEF" w:rsidRDefault="0099351E">
      <w:pPr>
        <w:spacing w:line="256" w:lineRule="auto"/>
        <w:ind w:left="720"/>
        <w:jc w:val="both"/>
      </w:pPr>
      <w:r>
        <w:t xml:space="preserve"> </w:t>
      </w:r>
    </w:p>
    <w:p w:rsidR="00F04EEF" w:rsidRDefault="0099351E">
      <w:pPr>
        <w:rPr>
          <w:b/>
          <w:u w:val="single"/>
        </w:rPr>
      </w:pPr>
      <w:bookmarkStart w:id="3716" w:name="_Toc14541"/>
      <w:r>
        <w:rPr>
          <w:b/>
          <w:u w:val="single"/>
        </w:rPr>
        <w:br w:type="page"/>
      </w:r>
    </w:p>
    <w:p w:rsidR="00F04EEF" w:rsidRDefault="0099351E">
      <w:pPr>
        <w:autoSpaceDE w:val="0"/>
        <w:autoSpaceDN w:val="0"/>
        <w:adjustRightInd w:val="0"/>
        <w:contextualSpacing/>
        <w:jc w:val="both"/>
        <w:rPr>
          <w:b/>
          <w:u w:val="single"/>
        </w:rPr>
      </w:pPr>
      <w:r>
        <w:rPr>
          <w:b/>
          <w:u w:val="single"/>
        </w:rPr>
        <w:t xml:space="preserve">ÉTAPE 7 - Violations de données à caractère personnel et obligation de notification  </w:t>
      </w:r>
      <w:bookmarkEnd w:id="3716"/>
    </w:p>
    <w:p w:rsidR="00F04EEF" w:rsidRDefault="00F04EEF">
      <w:pPr>
        <w:spacing w:line="256" w:lineRule="auto"/>
        <w:jc w:val="both"/>
      </w:pPr>
    </w:p>
    <w:p w:rsidR="00F04EEF" w:rsidRDefault="0099351E">
      <w:pPr>
        <w:spacing w:line="256" w:lineRule="auto"/>
        <w:jc w:val="both"/>
      </w:pPr>
      <w:r>
        <w:t xml:space="preserve">Une fuite de données est une situation dans laquelle des données à caractère personnel risquent d'être rendues publiques de manière non autorisée, perdues, détruites ou altérées.  </w:t>
      </w:r>
    </w:p>
    <w:p w:rsidR="00F04EEF" w:rsidRDefault="00F04EEF">
      <w:pPr>
        <w:spacing w:line="256" w:lineRule="auto"/>
        <w:jc w:val="both"/>
      </w:pPr>
    </w:p>
    <w:p w:rsidR="00F04EEF" w:rsidRDefault="0099351E">
      <w:pPr>
        <w:spacing w:after="201"/>
        <w:jc w:val="both"/>
      </w:pPr>
      <w:r>
        <w:t xml:space="preserve">Parmi les exemples de fuites de données, citons :  </w:t>
      </w:r>
    </w:p>
    <w:p w:rsidR="00F04EEF" w:rsidRDefault="0099351E">
      <w:pPr>
        <w:numPr>
          <w:ilvl w:val="0"/>
          <w:numId w:val="313"/>
        </w:numPr>
        <w:spacing w:after="5" w:line="247" w:lineRule="auto"/>
        <w:ind w:hanging="360"/>
        <w:jc w:val="both"/>
      </w:pPr>
      <w:r>
        <w:t xml:space="preserve">le vol intentionnel de données par des cybercriminels (hacking, phishing) ; </w:t>
      </w:r>
    </w:p>
    <w:p w:rsidR="00F04EEF" w:rsidRDefault="0099351E">
      <w:pPr>
        <w:numPr>
          <w:ilvl w:val="0"/>
          <w:numId w:val="313"/>
        </w:numPr>
        <w:spacing w:after="5" w:line="247" w:lineRule="auto"/>
        <w:ind w:hanging="360"/>
        <w:jc w:val="both"/>
      </w:pPr>
      <w:r>
        <w:t xml:space="preserve">la perte ou le vol de supports amovibles (disque dur externe, clé USB, ordinateur portable...) ; </w:t>
      </w:r>
    </w:p>
    <w:p w:rsidR="00F04EEF" w:rsidRDefault="0099351E">
      <w:pPr>
        <w:numPr>
          <w:ilvl w:val="0"/>
          <w:numId w:val="313"/>
        </w:numPr>
        <w:spacing w:after="5" w:line="247" w:lineRule="auto"/>
        <w:ind w:hanging="360"/>
        <w:jc w:val="both"/>
      </w:pPr>
      <w:r>
        <w:t xml:space="preserve">des défaillances techniques. Par exemple : une faille de sécurité dans un logiciel ; </w:t>
      </w:r>
    </w:p>
    <w:p w:rsidR="00F04EEF" w:rsidRDefault="0099351E">
      <w:pPr>
        <w:numPr>
          <w:ilvl w:val="0"/>
          <w:numId w:val="313"/>
        </w:numPr>
        <w:spacing w:after="5" w:line="247" w:lineRule="auto"/>
        <w:ind w:hanging="360"/>
        <w:jc w:val="both"/>
      </w:pPr>
      <w:r>
        <w:t xml:space="preserve">la négligence dans l'emploi ou la communication de mots de passe ;  </w:t>
      </w:r>
    </w:p>
    <w:p w:rsidR="00F04EEF" w:rsidRDefault="0099351E">
      <w:pPr>
        <w:numPr>
          <w:ilvl w:val="0"/>
          <w:numId w:val="313"/>
        </w:numPr>
        <w:spacing w:after="5" w:line="247" w:lineRule="auto"/>
        <w:ind w:hanging="360"/>
        <w:jc w:val="both"/>
      </w:pPr>
      <w:r>
        <w:t xml:space="preserve">l'envoi accidentel d'un e-mail avec divulgation de données à caractère personnel. </w:t>
      </w:r>
    </w:p>
    <w:p w:rsidR="00F04EEF" w:rsidRDefault="0099351E">
      <w:pPr>
        <w:spacing w:line="256" w:lineRule="auto"/>
        <w:ind w:left="720"/>
        <w:jc w:val="both"/>
      </w:pPr>
      <w:r>
        <w:t xml:space="preserve">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0" w:type="dxa"/>
        </w:tblCellMar>
        <w:tblLook w:val="04A0" w:firstRow="1" w:lastRow="0" w:firstColumn="1" w:lastColumn="0" w:noHBand="0" w:noVBand="1"/>
      </w:tblPr>
      <w:tblGrid>
        <w:gridCol w:w="9018"/>
      </w:tblGrid>
      <w:tr w:rsidR="00F04EEF">
        <w:trPr>
          <w:trHeight w:val="4201"/>
        </w:trPr>
        <w:tc>
          <w:tcPr>
            <w:tcW w:w="9018" w:type="dxa"/>
          </w:tcPr>
          <w:p w:rsidR="00F04EEF" w:rsidRDefault="0099351E">
            <w:pPr>
              <w:pBdr>
                <w:right w:val="single" w:sz="18" w:space="1" w:color="auto"/>
              </w:pBdr>
              <w:spacing w:line="256" w:lineRule="auto"/>
              <w:jc w:val="both"/>
              <w:rPr>
                <w:b/>
                <w:u w:val="single"/>
              </w:rPr>
            </w:pPr>
            <w:r>
              <w:rPr>
                <w:b/>
                <w:u w:val="single"/>
              </w:rPr>
              <w:t xml:space="preserve">MEMO  POUR LES ÉCOLES </w:t>
            </w:r>
          </w:p>
          <w:p w:rsidR="00F04EEF" w:rsidRDefault="0099351E">
            <w:pPr>
              <w:pBdr>
                <w:right w:val="single" w:sz="18" w:space="1" w:color="auto"/>
              </w:pBdr>
              <w:spacing w:after="12" w:line="256" w:lineRule="auto"/>
              <w:jc w:val="both"/>
            </w:pPr>
            <w:r>
              <w:t xml:space="preserve"> </w:t>
            </w:r>
          </w:p>
          <w:p w:rsidR="00F04EEF" w:rsidRDefault="0099351E">
            <w:pPr>
              <w:numPr>
                <w:ilvl w:val="0"/>
                <w:numId w:val="314"/>
              </w:numPr>
              <w:ind w:hanging="360"/>
              <w:jc w:val="both"/>
            </w:pPr>
            <w:r>
              <w:t xml:space="preserve">Tenir un registre interne des incidents et prévoir une procédure interne afin de détecter, rapporter, analyser et si nécessaire notifier des violations. </w:t>
            </w:r>
          </w:p>
          <w:p w:rsidR="00F04EEF" w:rsidRDefault="0099351E">
            <w:pPr>
              <w:spacing w:after="9" w:line="256" w:lineRule="auto"/>
              <w:ind w:left="360"/>
              <w:jc w:val="both"/>
            </w:pPr>
            <w:r>
              <w:t xml:space="preserve"> </w:t>
            </w:r>
          </w:p>
          <w:p w:rsidR="00F04EEF" w:rsidRDefault="0099351E">
            <w:pPr>
              <w:numPr>
                <w:ilvl w:val="0"/>
                <w:numId w:val="314"/>
              </w:numPr>
              <w:spacing w:line="256" w:lineRule="auto"/>
              <w:ind w:hanging="360"/>
              <w:jc w:val="both"/>
            </w:pPr>
            <w:r>
              <w:t xml:space="preserve">Journaliser chaque incident en interne. </w:t>
            </w:r>
          </w:p>
          <w:p w:rsidR="00F04EEF" w:rsidRDefault="0099351E">
            <w:pPr>
              <w:spacing w:line="256" w:lineRule="auto"/>
              <w:ind w:left="720"/>
              <w:jc w:val="both"/>
            </w:pPr>
            <w:r>
              <w:t xml:space="preserve"> </w:t>
            </w:r>
          </w:p>
          <w:p w:rsidR="00F04EEF" w:rsidRDefault="0099351E">
            <w:pPr>
              <w:ind w:left="720" w:right="50"/>
              <w:jc w:val="both"/>
            </w:pPr>
            <w:r>
              <w:t xml:space="preserve">Si l'incident peut provoquer toute forme de dommage à la (aux) personne(s) concernée(s), notifiez l'incident à votre délégué à la protection des données qui peut avertir l'Autorité de protection des données dans les 72 heures. </w:t>
            </w:r>
          </w:p>
          <w:p w:rsidR="00F04EEF" w:rsidRDefault="0099351E">
            <w:pPr>
              <w:spacing w:line="237" w:lineRule="auto"/>
              <w:ind w:left="720"/>
              <w:jc w:val="both"/>
            </w:pPr>
            <w:r>
              <w:t xml:space="preserve">En cas de risque élevé pour les droits et libertés, c’est une obligation d’également notifier l'incident à la (aux) personne(s) concernée(s) elle(s)-même(s).  </w:t>
            </w:r>
          </w:p>
          <w:p w:rsidR="00F04EEF" w:rsidRDefault="00F04EEF">
            <w:pPr>
              <w:spacing w:line="256" w:lineRule="auto"/>
              <w:ind w:left="720"/>
              <w:jc w:val="both"/>
            </w:pPr>
          </w:p>
          <w:p w:rsidR="00F04EEF" w:rsidRDefault="0099351E">
            <w:pPr>
              <w:spacing w:after="1" w:line="237" w:lineRule="auto"/>
              <w:ind w:left="720" w:right="49"/>
              <w:jc w:val="both"/>
            </w:pPr>
            <w:r>
              <w:t xml:space="preserve">Exemple : une notification à l'Autorité de protection des données et aux personnes concernées est nécessaire en cas de vol de données non cryptées contenant des informations médicales des élèves. </w:t>
            </w:r>
          </w:p>
        </w:tc>
      </w:tr>
    </w:tbl>
    <w:p w:rsidR="00F04EEF" w:rsidRDefault="00F04EEF">
      <w:pPr>
        <w:rPr>
          <w:b/>
          <w:u w:val="single"/>
        </w:rPr>
      </w:pPr>
      <w:bookmarkStart w:id="3717" w:name="_Toc14542"/>
    </w:p>
    <w:p w:rsidR="00F04EEF" w:rsidRDefault="0099351E">
      <w:pPr>
        <w:autoSpaceDE w:val="0"/>
        <w:autoSpaceDN w:val="0"/>
        <w:adjustRightInd w:val="0"/>
        <w:contextualSpacing/>
        <w:jc w:val="both"/>
        <w:rPr>
          <w:b/>
          <w:u w:val="single"/>
        </w:rPr>
      </w:pPr>
      <w:r>
        <w:rPr>
          <w:b/>
          <w:u w:val="single"/>
        </w:rPr>
        <w:t xml:space="preserve">Vous voulez en savoir plus sur le RGPD ? </w:t>
      </w:r>
      <w:bookmarkEnd w:id="3717"/>
    </w:p>
    <w:p w:rsidR="00F04EEF" w:rsidRDefault="0099351E">
      <w:pPr>
        <w:spacing w:after="12" w:line="256" w:lineRule="auto"/>
        <w:jc w:val="both"/>
      </w:pPr>
      <w:r>
        <w:t xml:space="preserve"> </w:t>
      </w:r>
    </w:p>
    <w:p w:rsidR="00F04EEF" w:rsidRDefault="0099351E">
      <w:pPr>
        <w:numPr>
          <w:ilvl w:val="0"/>
          <w:numId w:val="315"/>
        </w:numPr>
        <w:spacing w:after="5" w:line="247" w:lineRule="auto"/>
        <w:ind w:hanging="360"/>
        <w:jc w:val="both"/>
      </w:pPr>
      <w:r>
        <w:t xml:space="preserve">L'Autorité de protection des données a conçu un vaste portail comportant un dossier thématique sur le RGPD. Vous pouvez aussi y consulter le plan général par étapes : "RGPD - Préparez-vous en 13 étapes !"   </w:t>
      </w:r>
      <w:hyperlink r:id="rId281" w:history="1">
        <w:r>
          <w:rPr>
            <w:color w:val="365F91" w:themeColor="accent1" w:themeShade="BF"/>
          </w:rPr>
          <w:t xml:space="preserve"> </w:t>
        </w:r>
      </w:hyperlink>
      <w:hyperlink r:id="rId282" w:history="1">
        <w:r>
          <w:rPr>
            <w:color w:val="365F91" w:themeColor="accent1" w:themeShade="BF"/>
          </w:rPr>
          <w:t>https://www.autoriteprotectiondonnees.be/</w:t>
        </w:r>
      </w:hyperlink>
      <w:hyperlink r:id="rId283" w:history="1">
        <w:r>
          <w:t xml:space="preserve"> </w:t>
        </w:r>
      </w:hyperlink>
    </w:p>
    <w:p w:rsidR="00F04EEF" w:rsidRDefault="0099351E">
      <w:pPr>
        <w:spacing w:after="12" w:line="256" w:lineRule="auto"/>
        <w:jc w:val="both"/>
      </w:pPr>
      <w:r>
        <w:t xml:space="preserve"> </w:t>
      </w:r>
    </w:p>
    <w:p w:rsidR="00F04EEF" w:rsidRDefault="0099351E">
      <w:pPr>
        <w:numPr>
          <w:ilvl w:val="0"/>
          <w:numId w:val="315"/>
        </w:numPr>
        <w:spacing w:after="5" w:line="247" w:lineRule="auto"/>
        <w:ind w:hanging="360"/>
        <w:jc w:val="both"/>
      </w:pPr>
      <w:r>
        <w:t xml:space="preserve">Si vous cherchez des informations et de l'inspiration, le site Internet axé sur l'enseignement de l'Autorité de protection des données, </w:t>
      </w:r>
      <w:hyperlink r:id="rId284" w:history="1">
        <w:r>
          <w:t>www.jedecide.be</w:t>
        </w:r>
      </w:hyperlink>
      <w:hyperlink r:id="rId285" w:history="1">
        <w:r>
          <w:t xml:space="preserve"> </w:t>
        </w:r>
      </w:hyperlink>
      <w:r>
        <w:t xml:space="preserve">constitue un outil utile et une source d'informations, en particulier si vous souhaitez aborder ces thèmes avec les élèves. Le site comporte un volet pour les jeunes ainsi qu'un autre pour les parents et pour l'enseignement.  </w:t>
      </w:r>
    </w:p>
    <w:p w:rsidR="00F04EEF" w:rsidRDefault="0099351E">
      <w:pPr>
        <w:spacing w:after="195" w:line="256" w:lineRule="auto"/>
        <w:ind w:left="720"/>
        <w:jc w:val="both"/>
      </w:pPr>
      <w:r>
        <w:t xml:space="preserve"> </w:t>
      </w:r>
    </w:p>
    <w:p w:rsidR="00F04EEF" w:rsidRDefault="0099351E">
      <w:pPr>
        <w:numPr>
          <w:ilvl w:val="0"/>
          <w:numId w:val="315"/>
        </w:numPr>
        <w:spacing w:after="5" w:line="247" w:lineRule="auto"/>
        <w:ind w:hanging="360"/>
        <w:jc w:val="both"/>
      </w:pPr>
      <w:r>
        <w:t>Renseignez-vous auprès de votre Fédération de Pouvoirs Organisateurs, adressez-vous pour cela aux personnes de contact au sein de votre organisation.</w:t>
      </w:r>
    </w:p>
    <w:sdt>
      <w:sdtPr>
        <w:rPr>
          <w:rFonts w:asciiTheme="majorHAnsi" w:eastAsiaTheme="minorHAnsi" w:hAnsiTheme="majorHAnsi"/>
          <w:lang w:eastAsia="en-US"/>
        </w:rPr>
        <w:id w:val="231901034"/>
        <w:docPartObj>
          <w:docPartGallery w:val="Cover Pages"/>
          <w:docPartUnique/>
        </w:docPartObj>
      </w:sdtPr>
      <w:sdtEndPr>
        <w:rPr>
          <w:rFonts w:asciiTheme="minorHAnsi" w:hAnsiTheme="minorHAnsi"/>
          <w:color w:val="00B050"/>
        </w:rPr>
      </w:sdtEndPr>
      <w:sdtContent>
        <w:p w:rsidR="00F04EEF" w:rsidRDefault="00F04EEF">
          <w:pPr>
            <w:pStyle w:val="Sansinterligne"/>
            <w:rPr>
              <w:rFonts w:asciiTheme="majorHAnsi" w:hAnsiTheme="majorHAnsi"/>
            </w:rPr>
          </w:pPr>
        </w:p>
        <w:p w:rsidR="00F04EEF" w:rsidRDefault="0099351E">
          <w:pPr>
            <w:rPr>
              <w:rFonts w:asciiTheme="majorHAnsi" w:eastAsiaTheme="minorEastAsia" w:hAnsiTheme="majorHAnsi"/>
              <w:b/>
              <w:smallCaps/>
              <w:sz w:val="44"/>
              <w:lang w:eastAsia="fr-BE"/>
            </w:rPr>
          </w:pPr>
          <w:bookmarkStart w:id="3718" w:name="_Chapitre_24_:"/>
          <w:bookmarkStart w:id="3719" w:name="_Toc477623895"/>
          <w:bookmarkStart w:id="3720" w:name="_Toc477767767"/>
          <w:bookmarkEnd w:id="3718"/>
          <w:r>
            <w:br w:type="page"/>
          </w:r>
        </w:p>
        <w:p w:rsidR="00F04EEF" w:rsidRDefault="0099351E">
          <w:pPr>
            <w:pStyle w:val="Titre2"/>
          </w:pPr>
          <w:bookmarkStart w:id="3721" w:name="_Toc47708617"/>
          <w:r>
            <w:t>Chapitre</w:t>
          </w:r>
          <w:bookmarkEnd w:id="3719"/>
          <w:bookmarkEnd w:id="3720"/>
          <w:r>
            <w:t xml:space="preserve"> 24 : </w:t>
          </w:r>
          <w:bookmarkStart w:id="3722" w:name="_Toc477623896"/>
          <w:bookmarkStart w:id="3723" w:name="_Toc477767768"/>
          <w:r>
            <w:t>Organisation des séjours pédagogiques avec nuitée(s) en Belgique et à l’étranger</w:t>
          </w:r>
          <w:bookmarkEnd w:id="3721"/>
        </w:p>
        <w:bookmarkEnd w:id="3722"/>
        <w:bookmarkEnd w:id="3723"/>
        <w:p w:rsidR="00F04EEF" w:rsidRDefault="00F04EEF"/>
        <w:p w:rsidR="00F04EEF" w:rsidRDefault="00F04EEF"/>
        <w:p w:rsidR="00F04EEF" w:rsidRDefault="0099351E">
          <w:r>
            <w:rPr>
              <w:noProof/>
              <w:lang w:eastAsia="fr-BE"/>
            </w:rPr>
            <mc:AlternateContent>
              <mc:Choice Requires="wps">
                <w:drawing>
                  <wp:anchor distT="0" distB="0" distL="114300" distR="114300" simplePos="0" relativeHeight="252290048" behindDoc="0" locked="0" layoutInCell="1" allowOverlap="1">
                    <wp:simplePos x="0" y="0"/>
                    <wp:positionH relativeFrom="column">
                      <wp:posOffset>6267450</wp:posOffset>
                    </wp:positionH>
                    <wp:positionV relativeFrom="paragraph">
                      <wp:posOffset>163195</wp:posOffset>
                    </wp:positionV>
                    <wp:extent cx="0" cy="152400"/>
                    <wp:effectExtent l="0" t="0" r="19050" b="19050"/>
                    <wp:wrapNone/>
                    <wp:docPr id="566" name="Connecteur droit 566"/>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3E8F9A" id="Connecteur droit 566" o:spid="_x0000_s1026" style="position:absolute;z-index:252290048;visibility:visible;mso-wrap-style:square;mso-wrap-distance-left:9pt;mso-wrap-distance-top:0;mso-wrap-distance-right:9pt;mso-wrap-distance-bottom:0;mso-position-horizontal:absolute;mso-position-horizontal-relative:text;mso-position-vertical:absolute;mso-position-vertical-relative:text" from="493.5pt,12.85pt" to="493.5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" strokecolor="black [3213]"/>
                </w:pict>
              </mc:Fallback>
            </mc:AlternateContent>
          </w:r>
        </w:p>
        <w:p w:rsidR="00F04EEF" w:rsidRDefault="0099351E">
          <w:pPr>
            <w:rPr>
              <w:rFonts w:ascii="Calibri" w:hAnsi="Calibri"/>
            </w:rPr>
          </w:pPr>
          <w:r>
            <w:t>Personne de contact : Cindy JUVENOIS – 02/690.87.42 -  </w:t>
          </w:r>
          <w:hyperlink r:id="rId286" w:history="1">
            <w:r>
              <w:rPr>
                <w:rStyle w:val="Lienhypertexte"/>
              </w:rPr>
              <w:t>cindy.juvenois@cfwb.be</w:t>
            </w:r>
          </w:hyperlink>
        </w:p>
        <w:p w:rsidR="00F04EEF" w:rsidRDefault="00F04EEF"/>
        <w:p w:rsidR="00F04EEF" w:rsidRDefault="0099351E">
          <w:pPr>
            <w:pStyle w:val="Corpsdetexte"/>
            <w:spacing w:line="320" w:lineRule="atLeast"/>
            <w:rPr>
              <w:rFonts w:eastAsiaTheme="minorHAnsi" w:cstheme="minorBidi"/>
              <w:b w:val="0"/>
              <w:szCs w:val="22"/>
              <w:lang w:eastAsia="en-US"/>
            </w:rPr>
          </w:pPr>
          <w:r>
            <w:rPr>
              <w:rFonts w:eastAsiaTheme="minorHAnsi" w:cstheme="minorBidi"/>
              <w:b w:val="0"/>
              <w:szCs w:val="22"/>
              <w:lang w:eastAsia="en-US"/>
            </w:rPr>
            <w:t>Cette nouvelle notion remplace les définitions d’activité extérieure et de classe de dépaysement et de découverte.</w:t>
          </w:r>
        </w:p>
        <w:p w:rsidR="00F04EEF" w:rsidRDefault="00F04EEF">
          <w:pPr>
            <w:pStyle w:val="Corpsdetexte"/>
            <w:spacing w:line="240" w:lineRule="atLeast"/>
            <w:rPr>
              <w:rFonts w:eastAsiaTheme="minorHAnsi" w:cstheme="minorBidi"/>
              <w:b w:val="0"/>
              <w:szCs w:val="22"/>
              <w:lang w:eastAsia="en-US"/>
            </w:rPr>
          </w:pPr>
        </w:p>
        <w:p w:rsidR="00F04EEF" w:rsidRDefault="0099351E">
          <w:pPr>
            <w:pStyle w:val="Corpsdetexte"/>
            <w:spacing w:line="320" w:lineRule="atLeast"/>
            <w:rPr>
              <w:rFonts w:eastAsiaTheme="minorHAnsi" w:cstheme="minorBidi"/>
              <w:b w:val="0"/>
              <w:szCs w:val="22"/>
              <w:lang w:eastAsia="en-US"/>
            </w:rPr>
          </w:pPr>
          <w:r>
            <w:rPr>
              <w:rFonts w:eastAsiaTheme="minorHAnsi" w:cstheme="minorBidi"/>
              <w:b w:val="0"/>
              <w:szCs w:val="22"/>
              <w:lang w:eastAsia="en-US"/>
            </w:rPr>
            <w:t xml:space="preserve">Les mises à jour sont les suivantes :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la procédure d’introduction des dossiers (déclarations simplifiées et demandes de dérogations) a été révisée : l’ensemble des dossiers doivent parvenir à la Direction générale de l’Enseignement obligatoire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les dossiers remplissant les conditions de la circulaire (pas de dérogations) sont autorisés de manière automatique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les déclarations simplifiées sont introduites par formulaire électronique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 taux minimal de participation a été abaissé à 70% au lieu de 75%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la durée d’un séjour et le temps maximal de séjour durant une année scolaire ont été modifiés : passage à 20 jours de classe au lieu de 30 jours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 xml:space="preserve">la place du chef d’établissement lors d’un séjour a été précisée : il ne pourra pas faire partie de l’encadrement de base et la durée de chaque visite ne pourra pas excéder 2 jours ouvrables, sauf autorisation motivée du Pouvoir organisateur et communication de l’identité de la personne le remplaçant dans ses fonctions le temps de son absence. Une dérogation en cas de circonstances exceptionnelles a été envisagée ;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la non-prise en compte d’élèves pour le calcul du taux de participation pour raisons médicales est désormais conditionnée à l’existence d’un certificat médical et non plus d’un dossier médical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il est précisé que les élèves en situation de redoublement (année complémentaire ou maintien) ne peuvent pas être écartés lors du calcul du taux de participation, le projet de séjour devant être adapté au public scolaire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aucune non-participation d’un(e) élève pour des motifs financiers ne pourra être acceptée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les séjours européens (Erasmus +, Leonardo, Comenius, …) ne sont pas soumis à l’autorisation de la Direction générale de l’Enseignement obligatoire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 xml:space="preserve">la dérogation relative à l’obligation de faire partir toutes les classes d’un même niveau a été supprimée ; </w:t>
          </w:r>
        </w:p>
        <w:p w:rsidR="00F04EEF" w:rsidRDefault="0099351E">
          <w:pPr>
            <w:pStyle w:val="Corpsdetexte"/>
            <w:widowControl/>
            <w:numPr>
              <w:ilvl w:val="0"/>
              <w:numId w:val="268"/>
            </w:numPr>
            <w:suppressAutoHyphens w:val="0"/>
            <w:spacing w:line="320" w:lineRule="atLeast"/>
            <w:ind w:left="714" w:hanging="357"/>
            <w:jc w:val="both"/>
            <w:rPr>
              <w:rFonts w:eastAsiaTheme="minorHAnsi" w:cstheme="minorBidi"/>
              <w:b w:val="0"/>
              <w:szCs w:val="22"/>
              <w:lang w:eastAsia="en-US"/>
            </w:rPr>
          </w:pPr>
          <w:r>
            <w:rPr>
              <w:rFonts w:eastAsiaTheme="minorHAnsi" w:cstheme="minorBidi"/>
              <w:b w:val="0"/>
              <w:szCs w:val="22"/>
              <w:lang w:eastAsia="en-US"/>
            </w:rPr>
            <w:t>un volet pédagogique au dossier a été ajouté.</w:t>
          </w:r>
        </w:p>
        <w:p w:rsidR="00F04EEF" w:rsidRDefault="00F04EEF">
          <w:pPr>
            <w:pStyle w:val="Corpsdetexte"/>
            <w:spacing w:line="240" w:lineRule="atLeast"/>
            <w:rPr>
              <w:rFonts w:eastAsiaTheme="minorHAnsi" w:cstheme="minorBidi"/>
              <w:b w:val="0"/>
              <w:szCs w:val="22"/>
              <w:lang w:eastAsia="en-US"/>
            </w:rPr>
          </w:pPr>
        </w:p>
        <w:p w:rsidR="00F04EEF" w:rsidRDefault="0099351E">
          <w:pPr>
            <w:pStyle w:val="Corpsdetexte"/>
            <w:spacing w:line="320" w:lineRule="atLeast"/>
            <w:rPr>
              <w:rFonts w:eastAsiaTheme="minorHAnsi" w:cstheme="minorBidi"/>
              <w:b w:val="0"/>
              <w:szCs w:val="22"/>
              <w:lang w:eastAsia="en-US"/>
            </w:rPr>
          </w:pPr>
          <w:r>
            <w:rPr>
              <w:rFonts w:eastAsiaTheme="minorHAnsi" w:cstheme="minorBidi"/>
              <w:b w:val="0"/>
              <w:szCs w:val="22"/>
              <w:lang w:eastAsia="en-US"/>
            </w:rPr>
            <w:t>Ces changements visent à simplifier la procédure administrative d’autorisation de séjour et à renforcer les liens entre les projets de séjour et les programmes d’études.</w:t>
          </w:r>
        </w:p>
        <w:p w:rsidR="00F04EEF" w:rsidRDefault="00F04EEF"/>
        <w:p w:rsidR="00F04EEF" w:rsidRDefault="0099351E">
          <w:pPr>
            <w:rPr>
              <w:b/>
              <w:u w:val="single"/>
            </w:rPr>
          </w:pPr>
          <w:r>
            <w:br w:type="page"/>
          </w:r>
        </w:p>
        <w:p w:rsidR="00F04EEF" w:rsidRDefault="0099351E">
          <w:pPr>
            <w:pStyle w:val="Titre3"/>
            <w:rPr>
              <w:sz w:val="22"/>
              <w:szCs w:val="22"/>
            </w:rPr>
          </w:pPr>
          <w:bookmarkStart w:id="3724" w:name="_Toc47708618"/>
          <w:r>
            <w:rPr>
              <w:sz w:val="22"/>
              <w:szCs w:val="22"/>
            </w:rPr>
            <w:t>1. Philosophie</w:t>
          </w:r>
          <w:bookmarkEnd w:id="3724"/>
        </w:p>
        <w:p w:rsidR="00F04EEF" w:rsidRDefault="00F04EEF">
          <w:pPr>
            <w:spacing w:line="260" w:lineRule="atLeast"/>
            <w:ind w:left="425"/>
          </w:pPr>
        </w:p>
        <w:p w:rsidR="00F04EEF" w:rsidRDefault="0099351E">
          <w:pPr>
            <w:pStyle w:val="Titre4"/>
          </w:pPr>
          <w:r>
            <w:t>1.1. Un investissement à long terme</w:t>
          </w:r>
        </w:p>
        <w:p w:rsidR="00F04EEF" w:rsidRDefault="00F04EEF">
          <w:pPr>
            <w:spacing w:line="260" w:lineRule="atLeast"/>
            <w:ind w:firstLine="425"/>
            <w:jc w:val="both"/>
            <w:rPr>
              <w:u w:val="single"/>
            </w:rPr>
          </w:pPr>
        </w:p>
        <w:p w:rsidR="00F04EEF" w:rsidRDefault="0099351E">
          <w:pPr>
            <w:spacing w:line="300" w:lineRule="atLeast"/>
            <w:jc w:val="both"/>
            <w:rPr>
              <w:b/>
            </w:rPr>
          </w:pPr>
          <w:r>
            <w:t>Les séjours pédagogiques avec nuitée(s) sont étroitement liés au projet d’établissement. Pour qu’ils prennent leur pleine valeur, l’aspect pédagogique doit prévaloir sur le caractère distrayant.</w:t>
          </w:r>
        </w:p>
        <w:p w:rsidR="00F04EEF" w:rsidRDefault="00F04EEF">
          <w:pPr>
            <w:spacing w:line="240" w:lineRule="atLeast"/>
            <w:jc w:val="both"/>
            <w:rPr>
              <w:b/>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 xml:space="preserve">Ils ne peuvent donc se concevoir comme une simple parenthèse dans la vie d’une école : la préparation du départ, le séjour lui-même ainsi que l’exploitation au retour sont des phases complémentaires dont les résultats doivent être investis dans une action à long terme. </w:t>
          </w:r>
        </w:p>
        <w:p w:rsidR="00F04EEF" w:rsidRDefault="00F04EEF">
          <w:pPr>
            <w:spacing w:line="220" w:lineRule="atLeast"/>
            <w:ind w:left="425"/>
            <w:jc w:val="both"/>
          </w:pPr>
        </w:p>
        <w:p w:rsidR="00F04EEF" w:rsidRDefault="0099351E">
          <w:pPr>
            <w:pStyle w:val="Titre4"/>
          </w:pPr>
          <w:r>
            <w:t xml:space="preserve">1.2. Collaboration de toute la communauté éducative </w:t>
          </w:r>
        </w:p>
        <w:p w:rsidR="00F04EEF" w:rsidRDefault="00F04EEF">
          <w:pPr>
            <w:spacing w:line="260" w:lineRule="atLeast"/>
            <w:jc w:val="both"/>
            <w:rPr>
              <w:u w:val="single"/>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 xml:space="preserve">Cette action à long terme ne peut être menée à bien sans une collaboration confiante et poursuivie entre enseignants, élèves et parents. </w:t>
          </w:r>
        </w:p>
        <w:p w:rsidR="00F04EEF" w:rsidRDefault="00F04EEF">
          <w:pPr>
            <w:spacing w:line="240" w:lineRule="atLeast"/>
            <w:jc w:val="both"/>
          </w:pPr>
        </w:p>
        <w:p w:rsidR="00F04EEF" w:rsidRDefault="0099351E">
          <w:pPr>
            <w:spacing w:line="300" w:lineRule="atLeast"/>
            <w:jc w:val="both"/>
          </w:pPr>
          <w:r>
            <w:t>Motiver les élèves est primordial car c’est, bien souvent, de leur intérêt que dépendent l’accord final des parents et la réussite de l’entreprise.</w:t>
          </w:r>
        </w:p>
        <w:p w:rsidR="00F04EEF" w:rsidRDefault="00F04EEF">
          <w:pPr>
            <w:spacing w:line="240" w:lineRule="atLeast"/>
            <w:jc w:val="both"/>
          </w:pPr>
        </w:p>
        <w:p w:rsidR="00F04EEF" w:rsidRDefault="0099351E">
          <w:pPr>
            <w:spacing w:line="300" w:lineRule="atLeast"/>
            <w:jc w:val="both"/>
          </w:pPr>
          <w:r>
            <w:t>L’enseignant(e) doit donc rester à l’écoute des élèves tout au long de la préparation. Il (elle) pourra ainsi relever les objections et les suggestions qui surgiront, et tenter d’y répondre afin d’éviter d’éventuels désistements.</w:t>
          </w:r>
        </w:p>
        <w:p w:rsidR="00F04EEF" w:rsidRDefault="00F04EEF">
          <w:pPr>
            <w:spacing w:line="300" w:lineRule="atLeast"/>
            <w:jc w:val="both"/>
          </w:pPr>
        </w:p>
        <w:p w:rsidR="00F04EEF" w:rsidRDefault="0099351E">
          <w:pPr>
            <w:spacing w:line="300" w:lineRule="atLeast"/>
            <w:jc w:val="both"/>
          </w:pPr>
          <w:r>
            <w:t xml:space="preserve">Si le projet de voyage ne permet pas de rassembler un taux de participation suffisant, l’équipe pédagogique peut proposer un projet alternatif plus adapté au public scolaire (par exemple : activités d’une journée, autre destination, …). </w:t>
          </w:r>
        </w:p>
        <w:p w:rsidR="00F04EEF" w:rsidRDefault="00F04EEF">
          <w:pPr>
            <w:spacing w:line="300" w:lineRule="atLeast"/>
            <w:ind w:left="426"/>
            <w:jc w:val="both"/>
          </w:pPr>
        </w:p>
        <w:p w:rsidR="00F04EEF" w:rsidRDefault="0099351E">
          <w:pPr>
            <w:spacing w:line="300" w:lineRule="atLeast"/>
            <w:jc w:val="both"/>
          </w:pPr>
          <w:r>
            <w:t>Quant à la sensibilisation des parents à l’intérêt de ces activités, elle commence dès l’arrivée de l’élève à l’école. Des réunions d’information et/ou de concertation sont indispensables.  De même, l’organisation d’actions visant à réduire le coût des séjours et la proposition d’une aide financière aux familles en difficulté peuvent s’avérer nécessaires.</w:t>
          </w:r>
        </w:p>
        <w:p w:rsidR="00F04EEF" w:rsidRDefault="00F04EEF">
          <w:pPr>
            <w:spacing w:line="240" w:lineRule="atLeast"/>
            <w:jc w:val="both"/>
          </w:pPr>
        </w:p>
        <w:p w:rsidR="00F04EEF" w:rsidRDefault="0099351E">
          <w:pPr>
            <w:spacing w:line="300" w:lineRule="atLeast"/>
            <w:jc w:val="both"/>
          </w:pPr>
          <w:r>
            <w:t>Là où elles existent, les associations de parents peuvent être associées à cette phase préparatoire.</w:t>
          </w:r>
        </w:p>
        <w:p w:rsidR="00F04EEF" w:rsidRDefault="00F04EEF">
          <w:pPr>
            <w:spacing w:line="220" w:lineRule="atLeast"/>
            <w:jc w:val="both"/>
          </w:pPr>
        </w:p>
        <w:p w:rsidR="00F04EEF" w:rsidRDefault="0099351E">
          <w:pPr>
            <w:pStyle w:val="Titre4"/>
          </w:pPr>
          <w:r>
            <w:t>1.3. Lien(s) pédagogique(s)</w:t>
          </w:r>
        </w:p>
        <w:p w:rsidR="00F04EEF" w:rsidRDefault="00F04EEF">
          <w:pPr>
            <w:spacing w:line="260" w:lineRule="atLeast"/>
            <w:jc w:val="both"/>
          </w:pPr>
        </w:p>
        <w:p w:rsidR="00F04EEF" w:rsidRDefault="0099351E">
          <w:pPr>
            <w:spacing w:line="300" w:lineRule="atLeast"/>
            <w:jc w:val="both"/>
            <w:rPr>
              <w:b/>
            </w:rPr>
          </w:pPr>
          <w:r>
            <w:rPr>
              <w:b/>
            </w:rPr>
            <w:t>Etant donné que les séjours pédagogiques avec nuitée(s) se déroulent durant le temps scolaire (jours de classe), il va de soi que le programme du voyage doit permettre la réalisation des objectifs d’apprentissage fixés par les programmes d’études.</w:t>
          </w:r>
        </w:p>
        <w:p w:rsidR="00F04EEF" w:rsidRDefault="00F04EEF">
          <w:pPr>
            <w:spacing w:line="260" w:lineRule="atLeast"/>
            <w:jc w:val="both"/>
          </w:pPr>
        </w:p>
        <w:p w:rsidR="00F04EEF" w:rsidRDefault="0099351E">
          <w:pPr>
            <w:spacing w:line="300" w:lineRule="atLeast"/>
            <w:jc w:val="both"/>
          </w:pPr>
          <w:r>
            <w:t>Toutefois, la récupération de certaines heures de cours, dans les disciplines non incluses dans l’activité envisagée, est laissée à l’appréciation du chef d’établissement.</w:t>
          </w:r>
        </w:p>
        <w:p w:rsidR="00F04EEF" w:rsidRDefault="00F04EEF"/>
        <w:p w:rsidR="00F04EEF" w:rsidRDefault="0099351E">
          <w:pPr>
            <w:pStyle w:val="Titre4"/>
          </w:pPr>
          <w:r>
            <w:t>1.4. Penser à ceux qui restent</w:t>
          </w:r>
        </w:p>
        <w:p w:rsidR="00F04EEF" w:rsidRDefault="00F04EEF">
          <w:pPr>
            <w:spacing w:line="300" w:lineRule="atLeast"/>
            <w:jc w:val="both"/>
            <w:rPr>
              <w:u w:val="single"/>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L’activité se verrait fort appauvrie si, dès la préparation, elle marginalisait certains membres du groupe. Dès lors, il appartient à l’école, non seulement de dédramatiser la situation de ceux qui restent, mais surtout de s’organiser pour que leur action soit complémentaire à celle des partants.</w:t>
          </w:r>
        </w:p>
        <w:p w:rsidR="00F04EEF" w:rsidRDefault="00F04EEF">
          <w:pPr>
            <w:pStyle w:val="Retraitcorpsdetexte"/>
            <w:spacing w:line="300" w:lineRule="atLeast"/>
            <w:ind w:left="0" w:firstLine="0"/>
            <w:rPr>
              <w:rFonts w:asciiTheme="majorHAnsi" w:hAnsiTheme="majorHAnsi" w:cs="Times New Roman"/>
              <w:szCs w:val="22"/>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Leur prise en charge doit être valorisante et réalisée avec le souci constant du respect de leur responsabilité et de leur milieu. La mise en place d’un projet alternatif</w:t>
          </w:r>
          <w:r>
            <w:rPr>
              <w:rStyle w:val="Appelnotedebasdep"/>
              <w:rFonts w:asciiTheme="majorHAnsi" w:hAnsiTheme="majorHAnsi"/>
              <w:szCs w:val="22"/>
            </w:rPr>
            <w:footnoteReference w:id="180"/>
          </w:r>
          <w:r>
            <w:rPr>
              <w:rFonts w:asciiTheme="majorHAnsi" w:hAnsiTheme="majorHAnsi" w:cs="Times New Roman"/>
              <w:szCs w:val="22"/>
            </w:rPr>
            <w:t xml:space="preserve"> à la destination de ces élèves doit être envisagée.</w:t>
          </w:r>
        </w:p>
        <w:p w:rsidR="00F04EEF" w:rsidRDefault="00F04EEF">
          <w:pPr>
            <w:pStyle w:val="Retraitcorpsdetexte"/>
            <w:spacing w:line="300" w:lineRule="atLeast"/>
            <w:ind w:left="0" w:firstLine="0"/>
            <w:rPr>
              <w:rFonts w:asciiTheme="majorHAnsi" w:hAnsiTheme="majorHAnsi" w:cs="Times New Roman"/>
              <w:szCs w:val="22"/>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Pour rappel, les élèves qui ne participent pas à un séjour pédagogique avec nuitée(s) sont soumis à la fréquentation scolaire régulière.</w:t>
          </w:r>
        </w:p>
        <w:p w:rsidR="00F04EEF" w:rsidRDefault="00F04EEF">
          <w:pPr>
            <w:pStyle w:val="Retraitcorpsdetexte"/>
            <w:spacing w:line="300" w:lineRule="atLeast"/>
            <w:ind w:left="0"/>
            <w:rPr>
              <w:rFonts w:asciiTheme="majorHAnsi" w:hAnsiTheme="majorHAnsi" w:cs="Times New Roman"/>
              <w:szCs w:val="22"/>
            </w:rPr>
          </w:pPr>
        </w:p>
        <w:p w:rsidR="00F04EEF" w:rsidRDefault="0099351E">
          <w:pPr>
            <w:pStyle w:val="Titre4"/>
          </w:pPr>
          <w:r>
            <w:t>1.5. Le rôle du chef d’établissement ou de son (sa) délégué(e)</w:t>
          </w:r>
        </w:p>
        <w:p w:rsidR="00F04EEF" w:rsidRDefault="00F04EEF">
          <w:pPr>
            <w:pStyle w:val="Retraitcorpsdetexte"/>
            <w:spacing w:line="300" w:lineRule="atLeast"/>
            <w:rPr>
              <w:rFonts w:asciiTheme="majorHAnsi" w:hAnsiTheme="majorHAnsi" w:cs="Times New Roman"/>
              <w:szCs w:val="22"/>
            </w:rPr>
          </w:pPr>
        </w:p>
        <w:p w:rsidR="00F04EEF" w:rsidRDefault="0099351E">
          <w:pPr>
            <w:pStyle w:val="Retraitcorpsdetexte"/>
            <w:numPr>
              <w:ilvl w:val="0"/>
              <w:numId w:val="270"/>
            </w:numPr>
            <w:tabs>
              <w:tab w:val="clear" w:pos="1276"/>
              <w:tab w:val="clear" w:pos="3174"/>
              <w:tab w:val="clear" w:pos="3968"/>
              <w:tab w:val="clear" w:pos="4591"/>
              <w:tab w:val="clear" w:pos="4818"/>
            </w:tabs>
            <w:suppressAutoHyphens w:val="0"/>
            <w:spacing w:line="300" w:lineRule="atLeast"/>
            <w:rPr>
              <w:rFonts w:asciiTheme="majorHAnsi" w:hAnsiTheme="majorHAnsi" w:cs="Times New Roman"/>
              <w:szCs w:val="22"/>
            </w:rPr>
          </w:pPr>
          <w:r>
            <w:rPr>
              <w:rFonts w:asciiTheme="majorHAnsi" w:hAnsiTheme="majorHAnsi" w:cs="Times New Roman"/>
              <w:szCs w:val="22"/>
            </w:rPr>
            <w:t>En tant que responsable de l’établissement, il (elle) se porte garant(e) des qualités morales et professionnelles des accompagnateur(trice)s et de la valeur des activités projetées. Il convient de demander un extrait de casier judiciaire (certificat de bonnes vie et mœurs) pour les accompagnateur(trice)s extérieur(e)s à l’établissement (parents, étudiant(e)s majeur(e)s dont la formation comprend des stages, personnes volontaires, …)</w:t>
          </w:r>
          <w:r>
            <w:rPr>
              <w:rStyle w:val="Appelnotedebasdep"/>
              <w:rFonts w:asciiTheme="majorHAnsi" w:hAnsiTheme="majorHAnsi"/>
              <w:szCs w:val="22"/>
            </w:rPr>
            <w:footnoteReference w:id="181"/>
          </w:r>
          <w:r>
            <w:rPr>
              <w:rFonts w:asciiTheme="majorHAnsi" w:hAnsiTheme="majorHAnsi" w:cs="Times New Roman"/>
              <w:szCs w:val="22"/>
            </w:rPr>
            <w:t>.</w:t>
          </w:r>
        </w:p>
        <w:p w:rsidR="00F04EEF" w:rsidRDefault="00F04EEF">
          <w:pPr>
            <w:pStyle w:val="Retraitcorpsdetexte"/>
            <w:spacing w:line="300" w:lineRule="atLeast"/>
            <w:ind w:left="0"/>
            <w:rPr>
              <w:rFonts w:asciiTheme="majorHAnsi" w:hAnsiTheme="majorHAnsi" w:cs="Times New Roman"/>
              <w:szCs w:val="22"/>
            </w:rPr>
          </w:pPr>
        </w:p>
        <w:p w:rsidR="00F04EEF" w:rsidRDefault="0099351E">
          <w:pPr>
            <w:pStyle w:val="Retraitcorpsdetexte"/>
            <w:numPr>
              <w:ilvl w:val="0"/>
              <w:numId w:val="270"/>
            </w:numPr>
            <w:tabs>
              <w:tab w:val="clear" w:pos="1276"/>
              <w:tab w:val="clear" w:pos="3174"/>
              <w:tab w:val="clear" w:pos="3968"/>
              <w:tab w:val="clear" w:pos="4591"/>
              <w:tab w:val="clear" w:pos="4818"/>
            </w:tabs>
            <w:suppressAutoHyphens w:val="0"/>
            <w:spacing w:line="300" w:lineRule="atLeast"/>
            <w:rPr>
              <w:rFonts w:asciiTheme="majorHAnsi" w:hAnsiTheme="majorHAnsi" w:cs="Times New Roman"/>
              <w:szCs w:val="22"/>
            </w:rPr>
          </w:pPr>
          <w:r>
            <w:rPr>
              <w:rFonts w:asciiTheme="majorHAnsi" w:hAnsiTheme="majorHAnsi" w:cs="Times New Roman"/>
              <w:szCs w:val="22"/>
            </w:rPr>
            <w:t>Il (elle) prend les contacts nécessaires avec le lieu d’accueil, juge les capacités d’accueil, la sécurité et l’hygiène de celui-ci et la richesse pédagogique de l’environnement. Le changement régulier de type d’activités, mais aussi de lieu, est conseillé car il permet de continuer à respecter les objectifs des séjours pédagogiques avec nuitées.</w:t>
          </w:r>
        </w:p>
        <w:p w:rsidR="00F04EEF" w:rsidRDefault="00F04EEF">
          <w:pPr>
            <w:pStyle w:val="Retraitcorpsdetexte"/>
            <w:spacing w:line="300" w:lineRule="atLeast"/>
            <w:ind w:left="0"/>
            <w:rPr>
              <w:rFonts w:asciiTheme="majorHAnsi" w:hAnsiTheme="majorHAnsi" w:cs="Times New Roman"/>
              <w:szCs w:val="22"/>
            </w:rPr>
          </w:pPr>
        </w:p>
        <w:p w:rsidR="00F04EEF" w:rsidRDefault="0099351E">
          <w:pPr>
            <w:numPr>
              <w:ilvl w:val="0"/>
              <w:numId w:val="270"/>
            </w:numPr>
            <w:spacing w:line="300" w:lineRule="atLeast"/>
            <w:jc w:val="both"/>
          </w:pPr>
          <w:r>
            <w:t>Il (elle) supervise l’organisation du projet et la répartition des tâches en vue d’éviter toute improvisation, et veille à ce que le séjour ne provoque aucune rupture dans les apprentissages prévus par les différents programmes d’études.</w:t>
          </w:r>
        </w:p>
        <w:p w:rsidR="00F04EEF" w:rsidRDefault="00F04EEF">
          <w:pPr>
            <w:spacing w:line="300" w:lineRule="atLeast"/>
            <w:jc w:val="both"/>
          </w:pPr>
        </w:p>
        <w:p w:rsidR="00F04EEF" w:rsidRDefault="0099351E">
          <w:pPr>
            <w:numPr>
              <w:ilvl w:val="0"/>
              <w:numId w:val="270"/>
            </w:numPr>
            <w:spacing w:line="300" w:lineRule="atLeast"/>
            <w:jc w:val="both"/>
          </w:pPr>
          <w:r>
            <w:t>Il (elle) supervise la synthèse et l’évaluation de toute l’action et s’assure qu’un bilan précis met en évidence les points faibles, les points forts, ainsi que tous les prolongements possibles. Il (elle) s’emploie à faire connaître dans l’école les différentes informations recueillies lors du séjour, à adapter au cadre scolaire les nouvelles pratiques acquises et à sensibiliser les classes non participantes à la richesse d’une telle expérience.</w:t>
          </w:r>
        </w:p>
        <w:p w:rsidR="00F04EEF" w:rsidRDefault="00F04EEF">
          <w:pPr>
            <w:pStyle w:val="Corpsdetexte"/>
            <w:spacing w:line="300" w:lineRule="atLeast"/>
            <w:rPr>
              <w:rFonts w:cs="Times New Roman"/>
              <w:szCs w:val="22"/>
            </w:rPr>
          </w:pPr>
        </w:p>
        <w:p w:rsidR="00F04EEF" w:rsidRDefault="0099351E">
          <w:pPr>
            <w:pStyle w:val="Corpsdetexte"/>
            <w:spacing w:line="300" w:lineRule="atLeast"/>
            <w:rPr>
              <w:rFonts w:cs="Times New Roman"/>
              <w:szCs w:val="22"/>
            </w:rPr>
          </w:pPr>
          <w:r>
            <w:rPr>
              <w:rFonts w:cs="Times New Roman"/>
              <w:szCs w:val="22"/>
            </w:rPr>
            <w:t>Attention : Il est à noter que dans l’enseignement subventionné, la décision finale d’organiser un séjour pédagogique avec nuitée(s) appartient au Pouvoir organisateur.</w:t>
          </w:r>
        </w:p>
        <w:p w:rsidR="00F04EEF" w:rsidRDefault="00F04EEF">
          <w:pPr>
            <w:pStyle w:val="Corpsdetexte"/>
            <w:spacing w:line="300" w:lineRule="atLeast"/>
            <w:rPr>
              <w:rFonts w:cs="Times New Roman"/>
              <w:b w:val="0"/>
              <w:szCs w:val="22"/>
            </w:rPr>
          </w:pPr>
        </w:p>
        <w:p w:rsidR="00F04EEF" w:rsidRDefault="0099351E">
          <w:pPr>
            <w:pStyle w:val="Titre4"/>
          </w:pPr>
          <w:r>
            <w:t>1.6. Temps libre durant les séjours pédagogiques avec nuitée(s)</w:t>
          </w:r>
        </w:p>
        <w:p w:rsidR="00F04EEF" w:rsidRDefault="00F04EEF">
          <w:pPr>
            <w:spacing w:line="300" w:lineRule="atLeast"/>
          </w:pPr>
        </w:p>
        <w:p w:rsidR="00F04EEF" w:rsidRDefault="0099351E">
          <w:pPr>
            <w:spacing w:line="300" w:lineRule="atLeast"/>
            <w:jc w:val="both"/>
          </w:pPr>
          <w:r>
            <w:t>La notion de « temps libre » peut être définie comme étant un laps de temps déterminé durant lequel l’encadrement des élèves n’est pas assuré par l’équipe d’accompagnateur(trice)s.</w:t>
          </w:r>
        </w:p>
        <w:p w:rsidR="00F04EEF" w:rsidRDefault="00F04EEF">
          <w:pPr>
            <w:spacing w:line="300" w:lineRule="atLeast"/>
            <w:jc w:val="both"/>
          </w:pPr>
        </w:p>
        <w:p w:rsidR="00F04EEF" w:rsidRDefault="0099351E">
          <w:pPr>
            <w:spacing w:line="300" w:lineRule="atLeast"/>
            <w:jc w:val="both"/>
          </w:pPr>
          <w:r>
            <w:t>Si un incident impliquant un élève survient à l’occasion d’un temps libre, il convient de souligner que la responsabilité des accompagnateur(trice)s pourrait être engagée si un défaut de prévoyance était établi.</w:t>
          </w:r>
        </w:p>
        <w:p w:rsidR="00F04EEF" w:rsidRDefault="00F04EEF">
          <w:pPr>
            <w:spacing w:line="300" w:lineRule="atLeast"/>
            <w:jc w:val="both"/>
          </w:pPr>
        </w:p>
        <w:p w:rsidR="00F04EEF" w:rsidRDefault="0099351E">
          <w:pPr>
            <w:spacing w:line="300" w:lineRule="atLeast"/>
            <w:jc w:val="both"/>
          </w:pPr>
          <w:r>
            <w:t>Si un temps libre doit être envisagé, il est recommandé, excepté pour les élèves majeur(e)s, d’en informer les parents/responsables légaux et de leur demander une autorisation préalable écrite.</w:t>
          </w:r>
        </w:p>
        <w:p w:rsidR="00F04EEF" w:rsidRDefault="00F04EEF">
          <w:pPr>
            <w:pStyle w:val="Corpsdetexte"/>
            <w:spacing w:line="300" w:lineRule="atLeast"/>
            <w:rPr>
              <w:rFonts w:cs="Times New Roman"/>
              <w:b w:val="0"/>
              <w:szCs w:val="22"/>
            </w:rPr>
          </w:pPr>
        </w:p>
        <w:p w:rsidR="00F04EEF" w:rsidRDefault="0099351E">
          <w:pPr>
            <w:spacing w:line="300" w:lineRule="atLeast"/>
            <w:jc w:val="both"/>
            <w:rPr>
              <w:b/>
            </w:rPr>
          </w:pPr>
          <w:r>
            <w:rPr>
              <w:b/>
            </w:rPr>
            <w:t>Aucun temps libre ne peut être organisé à destination des élèves de l’enseignement maternel et primaire, ordinaire et spécialisé.</w:t>
          </w:r>
        </w:p>
        <w:p w:rsidR="00F04EEF" w:rsidRDefault="00F04EEF">
          <w:pPr>
            <w:spacing w:line="300" w:lineRule="atLeast"/>
            <w:jc w:val="both"/>
          </w:pPr>
        </w:p>
        <w:p w:rsidR="00F04EEF" w:rsidRDefault="00F04EEF">
          <w:pPr>
            <w:spacing w:line="300" w:lineRule="atLeast"/>
            <w:jc w:val="both"/>
          </w:pPr>
        </w:p>
        <w:p w:rsidR="00F04EEF" w:rsidRDefault="0099351E">
          <w:pPr>
            <w:pStyle w:val="Titre4"/>
          </w:pPr>
          <w:r>
            <w:t>1.7. D’autres types d’activités</w:t>
          </w:r>
        </w:p>
        <w:p w:rsidR="00F04EEF" w:rsidRDefault="00F04EEF">
          <w:pPr>
            <w:pStyle w:val="Corpsdetexte"/>
            <w:spacing w:line="300" w:lineRule="atLeast"/>
            <w:rPr>
              <w:rFonts w:cs="Times New Roman"/>
              <w:szCs w:val="22"/>
            </w:rPr>
          </w:pPr>
        </w:p>
        <w:p w:rsidR="00F04EEF" w:rsidRDefault="0099351E">
          <w:pPr>
            <w:spacing w:line="300" w:lineRule="atLeast"/>
            <w:jc w:val="both"/>
          </w:pPr>
          <w:r>
            <w:t>D’autres activités ne sont pas régies par cette circulaire.</w:t>
          </w:r>
        </w:p>
        <w:p w:rsidR="00F04EEF" w:rsidRDefault="00F04EEF">
          <w:pPr>
            <w:spacing w:line="300" w:lineRule="atLeast"/>
            <w:jc w:val="both"/>
          </w:pPr>
        </w:p>
        <w:p w:rsidR="00F04EEF" w:rsidRDefault="0099351E">
          <w:pPr>
            <w:spacing w:line="300" w:lineRule="atLeast"/>
            <w:jc w:val="both"/>
          </w:pPr>
          <w:r>
            <w:t>Exemples :</w:t>
          </w:r>
        </w:p>
        <w:p w:rsidR="00F04EEF" w:rsidRDefault="00F04EEF">
          <w:pPr>
            <w:spacing w:line="300" w:lineRule="atLeast"/>
            <w:jc w:val="both"/>
          </w:pPr>
        </w:p>
        <w:p w:rsidR="00F04EEF" w:rsidRDefault="0099351E">
          <w:pPr>
            <w:spacing w:line="300" w:lineRule="atLeast"/>
            <w:jc w:val="both"/>
          </w:pPr>
          <w:r>
            <w:t xml:space="preserve">Les activités obligatoires mentionnées dans les programmes (stages en entreprise, …) sont organisées sous la responsabilité du chef d’établissement qu’elles comportent un ou plusieurs jours et </w:t>
          </w:r>
          <w:r>
            <w:rPr>
              <w:u w:val="single"/>
            </w:rPr>
            <w:t>doivent être conformes à la réglementation en vigueur</w:t>
          </w:r>
          <w:r>
            <w:t xml:space="preserve">. Pour toute information, il convient de s’adresser au Service des stages de la Direction générale de l’Enseignement obligatoire : </w:t>
          </w:r>
          <w:hyperlink r:id="rId287" w:history="1">
            <w:r>
              <w:rPr>
                <w:rStyle w:val="Lienhypertexte"/>
                <w:color w:val="auto"/>
              </w:rPr>
              <w:t>http://enseignement.be/index.php?page=26545&amp;se_id=2245</w:t>
            </w:r>
          </w:hyperlink>
          <w:r>
            <w:t>.</w:t>
          </w:r>
        </w:p>
        <w:p w:rsidR="00F04EEF" w:rsidRDefault="00F04EEF">
          <w:pPr>
            <w:spacing w:line="300" w:lineRule="atLeast"/>
            <w:jc w:val="both"/>
          </w:pPr>
        </w:p>
        <w:p w:rsidR="00F04EEF" w:rsidRDefault="0099351E">
          <w:pPr>
            <w:spacing w:line="300" w:lineRule="atLeast"/>
            <w:jc w:val="both"/>
            <w:rPr>
              <w:u w:val="single"/>
            </w:rPr>
          </w:pPr>
          <w:r>
            <w:t xml:space="preserve">Les séjours organisés dans le cadre de programmes européens (Erasmus +, Leonardo, Comenius, …) ne sont pas soumis à autorisation de la Direction générale de l’Enseignement obligatoire </w:t>
          </w:r>
          <w:r>
            <w:rPr>
              <w:u w:val="single"/>
            </w:rPr>
            <w:t>mais doivent être conformes à la réglementation en vigueur</w:t>
          </w:r>
          <w:r>
            <w:t>.</w:t>
          </w:r>
        </w:p>
        <w:p w:rsidR="00F04EEF" w:rsidRDefault="00F04EEF">
          <w:pPr>
            <w:spacing w:line="300" w:lineRule="atLeast"/>
            <w:jc w:val="both"/>
            <w:rPr>
              <w:u w:val="single"/>
            </w:rPr>
          </w:pPr>
        </w:p>
        <w:p w:rsidR="00F04EEF" w:rsidRDefault="0099351E">
          <w:pPr>
            <w:spacing w:line="300" w:lineRule="atLeast"/>
            <w:jc w:val="both"/>
          </w:pPr>
          <w:r>
            <w:t xml:space="preserve">Les activités non explicitement prévues dans cette circulaire et dont la durée ne dépasse pas un jour de cours (y compris les séjours d’un jour de classe se prolongeant sur un week-end ou les congés scolaires) sont également organisées sous la responsabilité du chef d’établissement, sans formalité particulière, pour autant que les documents attestant leur réalisation soient tenus à disposition pour contrôle de l’Inspection. </w:t>
          </w:r>
        </w:p>
        <w:p w:rsidR="00F04EEF" w:rsidRDefault="00F04EEF">
          <w:pPr>
            <w:spacing w:line="300" w:lineRule="atLeast"/>
            <w:jc w:val="both"/>
          </w:pPr>
        </w:p>
        <w:p w:rsidR="00F04EEF" w:rsidRDefault="0099351E">
          <w:pPr>
            <w:pStyle w:val="Titre3"/>
            <w:rPr>
              <w:sz w:val="22"/>
              <w:szCs w:val="22"/>
            </w:rPr>
          </w:pPr>
          <w:bookmarkStart w:id="3725" w:name="_Toc47708619"/>
          <w:r>
            <w:rPr>
              <w:sz w:val="22"/>
              <w:szCs w:val="22"/>
            </w:rPr>
            <w:t>2. Modalités pratiques d’organisation des séjours pédagogiques avec nuitée(s)</w:t>
          </w:r>
          <w:bookmarkEnd w:id="3725"/>
        </w:p>
        <w:p w:rsidR="00F04EEF" w:rsidRDefault="00F04EEF"/>
        <w:p w:rsidR="00F04EEF" w:rsidRDefault="0099351E">
          <w:pPr>
            <w:pStyle w:val="Titre4"/>
          </w:pPr>
          <w:r>
            <w:t xml:space="preserve">2.1. Définition </w:t>
          </w:r>
        </w:p>
        <w:p w:rsidR="00F04EEF" w:rsidRDefault="00F04EEF">
          <w:pPr>
            <w:pStyle w:val="Corpsdetexte"/>
            <w:spacing w:line="300" w:lineRule="atLeast"/>
            <w:rPr>
              <w:rFonts w:cs="Times New Roman"/>
              <w:szCs w:val="22"/>
            </w:rPr>
          </w:pPr>
        </w:p>
        <w:p w:rsidR="00F04EEF" w:rsidRDefault="0099351E">
          <w:pPr>
            <w:pStyle w:val="Corpsdetexte"/>
            <w:spacing w:line="300" w:lineRule="atLeast"/>
            <w:jc w:val="both"/>
            <w:rPr>
              <w:rFonts w:cs="Times New Roman"/>
              <w:szCs w:val="22"/>
            </w:rPr>
          </w:pPr>
          <w:r>
            <w:rPr>
              <w:rFonts w:cs="Times New Roman"/>
              <w:szCs w:val="22"/>
            </w:rPr>
            <w:t>Les séjours pédagogiques avec nuitée(s) sont des sorties scolaires qui permettent l’organisation d’activités, en lien avec les programmes d’études, en dehors des murs de l’établissement, pour une durée d’au moins 2 jours de classe consécutifs, y compris la nuitée.</w:t>
          </w:r>
        </w:p>
        <w:p w:rsidR="00F04EEF" w:rsidRDefault="00F04EEF">
          <w:pPr>
            <w:pStyle w:val="Corpsdetexte"/>
            <w:spacing w:line="300" w:lineRule="atLeast"/>
            <w:rPr>
              <w:rFonts w:cs="Times New Roman"/>
              <w:szCs w:val="22"/>
            </w:rPr>
          </w:pPr>
        </w:p>
        <w:p w:rsidR="00F04EEF" w:rsidRDefault="0099351E">
          <w:pPr>
            <w:spacing w:line="300" w:lineRule="atLeast"/>
            <w:jc w:val="both"/>
          </w:pPr>
          <w:r>
            <w:t>Leur objectif est de mettre en contact les élèves avec un environnement naturel, culturel ou linguistique différent afin de :</w:t>
          </w:r>
        </w:p>
        <w:p w:rsidR="00F04EEF" w:rsidRDefault="0099351E">
          <w:pPr>
            <w:pStyle w:val="Paragraphedeliste"/>
            <w:numPr>
              <w:ilvl w:val="0"/>
              <w:numId w:val="27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favoriser les apprentissages ;</w:t>
          </w:r>
        </w:p>
        <w:p w:rsidR="00F04EEF" w:rsidRDefault="0099351E">
          <w:pPr>
            <w:pStyle w:val="Paragraphedeliste"/>
            <w:numPr>
              <w:ilvl w:val="0"/>
              <w:numId w:val="27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dynamiser l’enseignement en stimulant la curiosité des jeunes ;</w:t>
          </w:r>
        </w:p>
        <w:p w:rsidR="00F04EEF" w:rsidRDefault="0099351E">
          <w:pPr>
            <w:pStyle w:val="Paragraphedeliste"/>
            <w:numPr>
              <w:ilvl w:val="0"/>
              <w:numId w:val="27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développer la faculté de s’adapter au changement.</w:t>
          </w:r>
        </w:p>
        <w:p w:rsidR="00F04EEF" w:rsidRDefault="00F04EEF">
          <w:pPr>
            <w:spacing w:line="280" w:lineRule="atLeast"/>
          </w:pPr>
        </w:p>
        <w:p w:rsidR="00F04EEF" w:rsidRDefault="0099351E">
          <w:pPr>
            <w:pStyle w:val="Titre4"/>
          </w:pPr>
          <w:r>
            <w:t xml:space="preserve">2.2. Champ d’application </w:t>
          </w:r>
        </w:p>
        <w:p w:rsidR="00F04EEF" w:rsidRDefault="00F04EEF">
          <w:pPr>
            <w:spacing w:line="300" w:lineRule="atLeast"/>
            <w:jc w:val="both"/>
            <w:rPr>
              <w:u w:val="single"/>
            </w:rPr>
          </w:pPr>
        </w:p>
        <w:p w:rsidR="00F04EEF" w:rsidRDefault="0099351E">
          <w:pPr>
            <w:pStyle w:val="Corpsdetexte"/>
            <w:spacing w:line="300" w:lineRule="atLeast"/>
            <w:jc w:val="both"/>
            <w:rPr>
              <w:rFonts w:cs="Times New Roman"/>
              <w:szCs w:val="22"/>
            </w:rPr>
          </w:pPr>
          <w:r>
            <w:rPr>
              <w:rFonts w:cs="Times New Roman"/>
              <w:szCs w:val="22"/>
            </w:rPr>
            <w:t xml:space="preserve">Tous les établissements de l’enseignement fondamental et secondaire, ordinaire et spécialisé, organisé ou subventionné par la Fédération Wallonie-Bruxelles, sont concernés par cette circulaire. </w:t>
          </w:r>
        </w:p>
        <w:p w:rsidR="00F04EEF" w:rsidRDefault="00F04EEF">
          <w:pPr>
            <w:pStyle w:val="Corpsdetexte"/>
            <w:spacing w:line="260" w:lineRule="atLeast"/>
            <w:rPr>
              <w:rFonts w:cs="Times New Roman"/>
              <w:szCs w:val="22"/>
            </w:rPr>
          </w:pPr>
        </w:p>
        <w:p w:rsidR="00F04EEF" w:rsidRDefault="0099351E">
          <w:pPr>
            <w:pStyle w:val="Titre4"/>
          </w:pPr>
          <w:r>
            <w:t xml:space="preserve">2.3. Durée du séjour </w:t>
          </w:r>
        </w:p>
        <w:p w:rsidR="00F04EEF" w:rsidRDefault="00F04EEF">
          <w:pPr>
            <w:pStyle w:val="Corpsdetexte"/>
            <w:spacing w:line="300" w:lineRule="atLeast"/>
            <w:rPr>
              <w:rFonts w:cs="Times New Roman"/>
              <w:szCs w:val="22"/>
            </w:rPr>
          </w:pPr>
        </w:p>
        <w:p w:rsidR="00F04EEF" w:rsidRDefault="0099351E">
          <w:pPr>
            <w:spacing w:line="300" w:lineRule="atLeast"/>
            <w:jc w:val="both"/>
          </w:pPr>
          <w:r>
            <w:t>La durée d’un séjour pédagogique avec nuitée(s) est au minimum de 2 jours de classe et au maximum de 10 jours de classe et 16 jours calendrier.</w:t>
          </w:r>
        </w:p>
        <w:p w:rsidR="00F04EEF" w:rsidRDefault="0099351E">
          <w:pPr>
            <w:spacing w:line="300" w:lineRule="atLeast"/>
            <w:jc w:val="both"/>
          </w:pPr>
          <w:r>
            <w:t>Les durées indiquées comprennent le voyage aller-retour et ne peuvent être scindées.</w:t>
          </w:r>
        </w:p>
        <w:p w:rsidR="00F04EEF" w:rsidRDefault="00F04EEF">
          <w:pPr>
            <w:spacing w:line="300" w:lineRule="atLeast"/>
            <w:jc w:val="both"/>
          </w:pPr>
        </w:p>
        <w:p w:rsidR="00F04EEF" w:rsidRDefault="0099351E">
          <w:pPr>
            <w:spacing w:line="300" w:lineRule="atLeast"/>
            <w:jc w:val="both"/>
            <w:rPr>
              <w:b/>
            </w:rPr>
          </w:pPr>
          <w:r>
            <w:rPr>
              <w:b/>
            </w:rPr>
            <w:t>Durant la même année scolaire, un(e) élève ou un(e) enseignant(e) ne pourra partir en séjour pédagogique avec nuitée(s) plus de 20 jours de classe et 30 jours calendrier.</w:t>
          </w:r>
        </w:p>
        <w:p w:rsidR="00F04EEF" w:rsidRDefault="00F04EEF">
          <w:pPr>
            <w:spacing w:line="300" w:lineRule="atLeast"/>
            <w:jc w:val="both"/>
            <w:rPr>
              <w:b/>
            </w:rPr>
          </w:pPr>
        </w:p>
        <w:p w:rsidR="00F04EEF" w:rsidRDefault="0099351E">
          <w:pPr>
            <w:spacing w:line="300" w:lineRule="atLeast"/>
            <w:jc w:val="both"/>
            <w:rPr>
              <w:b/>
            </w:rPr>
          </w:pPr>
          <w:r>
            <w:rPr>
              <w:b/>
            </w:rPr>
            <w:t>Aucune dérogation à la durée du séjour n’est possible.</w:t>
          </w:r>
        </w:p>
        <w:p w:rsidR="00F04EEF" w:rsidRDefault="0099351E">
          <w:pPr>
            <w:spacing w:line="300" w:lineRule="atLeast"/>
            <w:jc w:val="both"/>
          </w:pPr>
          <w:r>
            <w:t>Cette disposition ne concerne pas le personnel paramédical ou médical.</w:t>
          </w:r>
        </w:p>
        <w:p w:rsidR="00F04EEF" w:rsidRDefault="00F04EEF">
          <w:pPr>
            <w:spacing w:line="260" w:lineRule="atLeast"/>
            <w:jc w:val="both"/>
          </w:pPr>
        </w:p>
        <w:p w:rsidR="00F04EEF" w:rsidRDefault="0099351E">
          <w:pPr>
            <w:pStyle w:val="Titre4"/>
          </w:pPr>
          <w:r>
            <w:t>2.4. Frais</w:t>
          </w:r>
        </w:p>
        <w:p w:rsidR="00F04EEF" w:rsidRDefault="00F04EEF">
          <w:pPr>
            <w:spacing w:line="300" w:lineRule="atLeast"/>
            <w:jc w:val="both"/>
          </w:pPr>
        </w:p>
        <w:p w:rsidR="00F04EEF" w:rsidRDefault="0099351E">
          <w:pPr>
            <w:spacing w:line="300" w:lineRule="atLeast"/>
            <w:jc w:val="both"/>
          </w:pPr>
          <w:r>
            <w:t>Les coûts engendrés par l’organisation d’une excursion, d’un voyage ou d’une sortie (…) doivent être inscrits dans un décompte périodique</w:t>
          </w:r>
          <w:r>
            <w:rPr>
              <w:rStyle w:val="Appelnotedebasdep"/>
            </w:rPr>
            <w:footnoteReference w:id="182"/>
          </w:r>
          <w:r>
            <w:t>.</w:t>
          </w:r>
        </w:p>
        <w:p w:rsidR="00F04EEF" w:rsidRDefault="00F04EEF">
          <w:pPr>
            <w:spacing w:line="300" w:lineRule="atLeast"/>
            <w:jc w:val="both"/>
          </w:pPr>
        </w:p>
        <w:p w:rsidR="00F04EEF" w:rsidRDefault="0099351E">
          <w:pPr>
            <w:spacing w:line="300" w:lineRule="atLeast"/>
            <w:jc w:val="both"/>
          </w:pPr>
          <w:r>
            <w:t xml:space="preserve">Lorsqu’un projet de séjour pédagogique avec nuitée(s) est prévu, il est conseillé d’en informer les parents ou les responsables légaux bien à l’avance.  </w:t>
          </w:r>
        </w:p>
        <w:p w:rsidR="00F04EEF" w:rsidRDefault="00F04EEF">
          <w:pPr>
            <w:spacing w:line="300" w:lineRule="atLeast"/>
            <w:jc w:val="both"/>
          </w:pPr>
        </w:p>
        <w:p w:rsidR="00F04EEF" w:rsidRDefault="0099351E">
          <w:pPr>
            <w:spacing w:line="300" w:lineRule="atLeast"/>
            <w:jc w:val="both"/>
          </w:pPr>
          <w:r>
            <w:t>Aucune non-participation pour des motifs financiers ne pourra être acceptée. Un(e) élève ne pourra donc pas être exclu(e) pour des raisons pécuniaires d’un séjour pédagogique avec nuitée(s).</w:t>
          </w:r>
        </w:p>
        <w:p w:rsidR="00F04EEF" w:rsidRDefault="00F04EEF">
          <w:pPr>
            <w:spacing w:line="300" w:lineRule="atLeast"/>
            <w:jc w:val="both"/>
          </w:pPr>
        </w:p>
        <w:p w:rsidR="00F04EEF" w:rsidRDefault="0099351E">
          <w:pPr>
            <w:pStyle w:val="Titre3"/>
            <w:rPr>
              <w:sz w:val="22"/>
              <w:szCs w:val="22"/>
            </w:rPr>
          </w:pPr>
          <w:bookmarkStart w:id="3726" w:name="_Toc47708620"/>
          <w:r>
            <w:rPr>
              <w:sz w:val="22"/>
              <w:szCs w:val="22"/>
            </w:rPr>
            <w:t>3.  Normes d’organisation</w:t>
          </w:r>
          <w:bookmarkEnd w:id="3726"/>
          <w:r>
            <w:rPr>
              <w:sz w:val="22"/>
              <w:szCs w:val="22"/>
            </w:rPr>
            <w:t xml:space="preserve"> </w:t>
          </w:r>
        </w:p>
        <w:p w:rsidR="00F04EEF" w:rsidRDefault="00F04EEF">
          <w:pPr>
            <w:spacing w:line="280" w:lineRule="atLeast"/>
            <w:jc w:val="both"/>
          </w:pPr>
        </w:p>
        <w:p w:rsidR="00F04EEF" w:rsidRDefault="0099351E">
          <w:pPr>
            <w:pStyle w:val="Titre4"/>
          </w:pPr>
          <w:r>
            <w:t>3.1. Taux de participation des élèves</w:t>
          </w:r>
        </w:p>
        <w:p w:rsidR="00F04EEF" w:rsidRDefault="00F04EEF">
          <w:pPr>
            <w:spacing w:line="280" w:lineRule="atLeast"/>
            <w:jc w:val="both"/>
          </w:pPr>
        </w:p>
        <w:p w:rsidR="00F04EEF" w:rsidRDefault="0099351E">
          <w:pPr>
            <w:pStyle w:val="Titre5"/>
          </w:pPr>
          <w:r>
            <w:t>3.1.1. Taux minimum de participation</w:t>
          </w:r>
        </w:p>
        <w:p w:rsidR="00F04EEF" w:rsidRDefault="00F04EEF">
          <w:pPr>
            <w:spacing w:line="300" w:lineRule="atLeast"/>
            <w:jc w:val="both"/>
            <w:rPr>
              <w:u w:val="single"/>
            </w:rPr>
          </w:pPr>
        </w:p>
        <w:p w:rsidR="00F04EEF" w:rsidRDefault="0099351E">
          <w:pPr>
            <w:pStyle w:val="Corpsdetexte"/>
            <w:spacing w:line="300" w:lineRule="atLeast"/>
            <w:rPr>
              <w:rFonts w:cs="Times New Roman"/>
              <w:b w:val="0"/>
              <w:szCs w:val="22"/>
            </w:rPr>
          </w:pPr>
          <w:r>
            <w:rPr>
              <w:rFonts w:cs="Times New Roman"/>
              <w:szCs w:val="22"/>
            </w:rPr>
            <w:t>Pour l’enseignement spécialisé, le taux minimum obligatoire de participation est de 70%.</w:t>
          </w:r>
        </w:p>
        <w:p w:rsidR="00F04EEF" w:rsidRDefault="00F04EEF">
          <w:pPr>
            <w:spacing w:line="300" w:lineRule="atLeast"/>
            <w:jc w:val="both"/>
          </w:pPr>
        </w:p>
        <w:p w:rsidR="00F04EEF" w:rsidRDefault="0099351E">
          <w:pPr>
            <w:pStyle w:val="Titre5"/>
          </w:pPr>
          <w:r>
            <w:t xml:space="preserve">3.1.2. Règle générale </w:t>
          </w:r>
        </w:p>
        <w:p w:rsidR="00F04EEF" w:rsidRDefault="00F04EEF">
          <w:pPr>
            <w:spacing w:line="300" w:lineRule="atLeast"/>
            <w:jc w:val="both"/>
          </w:pPr>
        </w:p>
        <w:p w:rsidR="00F04EEF" w:rsidRDefault="0099351E">
          <w:pPr>
            <w:spacing w:line="300" w:lineRule="atLeast"/>
            <w:jc w:val="both"/>
          </w:pPr>
          <w:r>
            <w:t>Le taux minimum de participation se calcule sur base de l’ensemble des élèves inscrit(e)s :</w:t>
          </w:r>
        </w:p>
        <w:p w:rsidR="00F04EEF" w:rsidRDefault="0099351E">
          <w:pPr>
            <w:pStyle w:val="Paragraphedeliste"/>
            <w:numPr>
              <w:ilvl w:val="0"/>
              <w:numId w:val="269"/>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même classe ;</w:t>
          </w:r>
        </w:p>
        <w:p w:rsidR="00F04EEF" w:rsidRDefault="0099351E">
          <w:pPr>
            <w:pStyle w:val="Paragraphedeliste"/>
            <w:numPr>
              <w:ilvl w:val="0"/>
              <w:numId w:val="269"/>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les différentes classes qui participent au projet ;</w:t>
          </w:r>
        </w:p>
        <w:p w:rsidR="00F04EEF" w:rsidRDefault="0099351E">
          <w:pPr>
            <w:pStyle w:val="Paragraphedeliste"/>
            <w:numPr>
              <w:ilvl w:val="0"/>
              <w:numId w:val="269"/>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option si seule cette option participe.</w:t>
          </w:r>
        </w:p>
        <w:p w:rsidR="00F04EEF" w:rsidRDefault="00F04EEF">
          <w:pPr>
            <w:spacing w:line="280" w:lineRule="atLeast"/>
            <w:jc w:val="both"/>
          </w:pPr>
        </w:p>
        <w:p w:rsidR="00F04EEF" w:rsidRDefault="0099351E">
          <w:pPr>
            <w:spacing w:line="300" w:lineRule="atLeast"/>
            <w:jc w:val="both"/>
          </w:pPr>
          <w:r>
            <w:t>Dans une classe verticale, le taux de participant(e)s se calcule :</w:t>
          </w:r>
        </w:p>
        <w:p w:rsidR="00F04EEF" w:rsidRDefault="0099351E">
          <w:pPr>
            <w:pStyle w:val="Paragraphedeliste"/>
            <w:numPr>
              <w:ilvl w:val="0"/>
              <w:numId w:val="269"/>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classe (en cas de départ de l’ensemble de la classe verticale) ;</w:t>
          </w:r>
        </w:p>
        <w:p w:rsidR="00F04EEF" w:rsidRDefault="0099351E">
          <w:pPr>
            <w:pStyle w:val="Paragraphedeliste"/>
            <w:numPr>
              <w:ilvl w:val="0"/>
              <w:numId w:val="269"/>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même année d’étude (en cas de départ d’une partie seulement de la classe verticale).</w:t>
          </w:r>
        </w:p>
        <w:p w:rsidR="00F04EEF" w:rsidRDefault="00F04EEF">
          <w:pPr>
            <w:spacing w:line="300" w:lineRule="atLeast"/>
            <w:jc w:val="both"/>
          </w:pPr>
        </w:p>
        <w:p w:rsidR="00F04EEF" w:rsidRDefault="0099351E">
          <w:pPr>
            <w:spacing w:line="300" w:lineRule="atLeast"/>
            <w:jc w:val="both"/>
          </w:pPr>
          <w:r>
            <w:t>Lorsqu’une école comprend plusieurs implantations, le taux de participation peut être calculé distinctement par implantation.</w:t>
          </w:r>
        </w:p>
        <w:p w:rsidR="00F04EEF" w:rsidRDefault="00F04EEF">
          <w:pPr>
            <w:spacing w:line="300" w:lineRule="atLeast"/>
            <w:jc w:val="both"/>
          </w:pPr>
        </w:p>
        <w:p w:rsidR="00F04EEF" w:rsidRDefault="0099351E">
          <w:pPr>
            <w:spacing w:line="300" w:lineRule="atLeast"/>
            <w:jc w:val="both"/>
          </w:pPr>
          <w:r>
            <w:t xml:space="preserve">Dans l’enseignement secondaire, </w:t>
          </w:r>
          <w:r>
            <w:rPr>
              <w:u w:val="single"/>
            </w:rPr>
            <w:t>des regroupements</w:t>
          </w:r>
          <w:r>
            <w:t xml:space="preserve"> sont autorisés entre années d’études de même niveau et de sections, options ou formes différentes. Le pourcentage est alors calculé sur base de l’ensemble des participant(e)s potentiel(le)s.</w:t>
          </w:r>
        </w:p>
        <w:p w:rsidR="00F04EEF" w:rsidRDefault="0099351E">
          <w:r>
            <w:br w:type="page"/>
          </w:r>
        </w:p>
        <w:p w:rsidR="00F04EEF" w:rsidRDefault="0099351E">
          <w:pPr>
            <w:pStyle w:val="Titre5"/>
          </w:pPr>
          <w:r>
            <w:t>3.1.3. Dispositions particulières relatives au taux minimum de participation  [</w:t>
          </w:r>
          <w:r>
            <w:rPr>
              <w:i/>
            </w:rPr>
            <w:t>Dérogation pour le taux de participation – voir également point 1.5</w:t>
          </w:r>
          <w:r>
            <w:t>]</w:t>
          </w:r>
        </w:p>
        <w:p w:rsidR="00F04EEF" w:rsidRDefault="00F04EEF">
          <w:pPr>
            <w:spacing w:line="240" w:lineRule="atLeast"/>
            <w:jc w:val="both"/>
          </w:pPr>
        </w:p>
        <w:p w:rsidR="00F04EEF" w:rsidRDefault="0099351E">
          <w:pPr>
            <w:spacing w:line="300" w:lineRule="atLeast"/>
            <w:jc w:val="both"/>
          </w:pPr>
          <w:r>
            <w:t>Sur autorisation de la Direction générale de l’Enseignement obligatoire, le minimum obligatoire pourra ne pas être atteint si la non-participation des élèves est justifiée par des circonstances exceptionnelles.</w:t>
          </w:r>
        </w:p>
        <w:p w:rsidR="00F04EEF" w:rsidRDefault="00F04EEF">
          <w:pPr>
            <w:spacing w:line="300" w:lineRule="atLeast"/>
            <w:jc w:val="both"/>
            <w:rPr>
              <w:b/>
            </w:rPr>
          </w:pPr>
        </w:p>
        <w:p w:rsidR="00F04EEF" w:rsidRDefault="0099351E">
          <w:pPr>
            <w:pStyle w:val="Titre5"/>
          </w:pPr>
          <w:r>
            <w:t>3.1.4. Départs échelonnés</w:t>
          </w:r>
        </w:p>
        <w:p w:rsidR="00F04EEF" w:rsidRDefault="00F04EEF">
          <w:pPr>
            <w:pStyle w:val="Retraitcorpsdetexte2"/>
            <w:spacing w:line="300" w:lineRule="atLeast"/>
            <w:ind w:left="2699" w:hanging="2699"/>
            <w:jc w:val="both"/>
            <w:rPr>
              <w:rFonts w:asciiTheme="majorHAnsi" w:hAnsiTheme="majorHAnsi" w:cs="Times New Roman"/>
              <w:szCs w:val="22"/>
              <w:lang w:eastAsia="en-US"/>
            </w:rPr>
          </w:pPr>
        </w:p>
        <w:p w:rsidR="00F04EEF" w:rsidRDefault="0099351E">
          <w:pPr>
            <w:pStyle w:val="Retraitcorpsdetexte2"/>
            <w:spacing w:line="300" w:lineRule="atLeast"/>
            <w:ind w:left="0"/>
            <w:jc w:val="both"/>
            <w:rPr>
              <w:rFonts w:asciiTheme="majorHAnsi" w:hAnsiTheme="majorHAnsi" w:cs="Times New Roman"/>
              <w:szCs w:val="22"/>
            </w:rPr>
          </w:pPr>
          <w:r>
            <w:rPr>
              <w:rFonts w:asciiTheme="majorHAnsi" w:hAnsiTheme="majorHAnsi" w:cs="Times New Roman"/>
              <w:szCs w:val="22"/>
            </w:rPr>
            <w:t>Lorsque la capacité d’accueil du lieu choisi ne permet pas d’héberger simultanément tou(te)s les participant(e)s, le chef d’établissement ou son (sa) délégué(e) a la possibilité de scinder l’ensemble des élèves concerné(e)s en différents sous-groupes qui partiront séparément à des dates différentes durant la même année scolaire. Un calendrier de cet échelonnement est à joindre au dossier correspondant au premier départ. Le taux de participation est calculé sur l’ensemble du groupe d’élèves concerné.</w:t>
          </w:r>
        </w:p>
        <w:p w:rsidR="00F04EEF" w:rsidRDefault="00F04EEF">
          <w:pPr>
            <w:spacing w:line="300" w:lineRule="atLeast"/>
            <w:jc w:val="both"/>
          </w:pPr>
        </w:p>
        <w:p w:rsidR="00F04EEF" w:rsidRDefault="0099351E">
          <w:pPr>
            <w:pStyle w:val="Titre5"/>
          </w:pPr>
          <w:r>
            <w:t xml:space="preserve">3.1.5. Prise en compte du désistement des élèves </w:t>
          </w:r>
        </w:p>
        <w:p w:rsidR="00F04EEF" w:rsidRDefault="00F04EEF">
          <w:pPr>
            <w:spacing w:line="300" w:lineRule="atLeast"/>
            <w:jc w:val="both"/>
          </w:pPr>
        </w:p>
        <w:p w:rsidR="00F04EEF" w:rsidRDefault="0099351E">
          <w:pPr>
            <w:pStyle w:val="Titre6"/>
          </w:pPr>
          <w:r>
            <w:t>3.1.5.1. Elèves non comptabilisé(e)s</w:t>
          </w:r>
        </w:p>
        <w:p w:rsidR="00F04EEF" w:rsidRDefault="00F04EEF">
          <w:pPr>
            <w:spacing w:line="300" w:lineRule="atLeast"/>
            <w:jc w:val="both"/>
            <w:rPr>
              <w:u w:val="single"/>
            </w:rPr>
          </w:pPr>
        </w:p>
        <w:p w:rsidR="00F04EEF" w:rsidRDefault="0099351E">
          <w:pPr>
            <w:pStyle w:val="Retraitcorpsdetexte2"/>
            <w:spacing w:line="300" w:lineRule="atLeast"/>
            <w:ind w:left="426" w:hanging="426"/>
            <w:jc w:val="both"/>
            <w:rPr>
              <w:rFonts w:asciiTheme="majorHAnsi" w:hAnsiTheme="majorHAnsi" w:cs="Times New Roman"/>
              <w:b/>
              <w:szCs w:val="22"/>
            </w:rPr>
          </w:pPr>
          <w:r>
            <w:rPr>
              <w:rFonts w:asciiTheme="majorHAnsi" w:hAnsiTheme="majorHAnsi" w:cs="Times New Roman"/>
              <w:b/>
              <w:szCs w:val="22"/>
            </w:rPr>
            <w:t>N’interviennent pas pour le calcul du pourcentage requis :</w:t>
          </w:r>
        </w:p>
        <w:p w:rsidR="00F04EEF" w:rsidRDefault="0099351E">
          <w:pPr>
            <w:pStyle w:val="Retraitcorpsdetexte2"/>
            <w:numPr>
              <w:ilvl w:val="0"/>
              <w:numId w:val="269"/>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dont le départ ne peut être autorisé en raison de leur certificat médical ;</w:t>
          </w:r>
        </w:p>
        <w:p w:rsidR="00F04EEF" w:rsidRDefault="0099351E">
          <w:pPr>
            <w:pStyle w:val="Retraitcorpsdetexte2"/>
            <w:numPr>
              <w:ilvl w:val="0"/>
              <w:numId w:val="269"/>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étrangers dont la situation administrative ne permet pas un voyage à l’étranger.</w:t>
          </w:r>
        </w:p>
        <w:p w:rsidR="00F04EEF" w:rsidRDefault="00F04EEF">
          <w:pPr>
            <w:spacing w:line="300" w:lineRule="atLeast"/>
            <w:jc w:val="both"/>
          </w:pPr>
        </w:p>
        <w:p w:rsidR="00F04EEF" w:rsidRDefault="0099351E">
          <w:pPr>
            <w:spacing w:line="300" w:lineRule="atLeast"/>
            <w:jc w:val="both"/>
            <w:rPr>
              <w:b/>
            </w:rPr>
          </w:pPr>
          <w:r>
            <w:rPr>
              <w:b/>
            </w:rPr>
            <w:t xml:space="preserve">Attention : les élèves en situation de redoublement (année complémentaire ou maintien) doivent être comptabilisés dans le cadre du calcul du pourcentage. Le redoublement n’est, en effet, pas un motif valable, le projet de séjour devant être adapté au public scolaire. </w:t>
          </w:r>
        </w:p>
        <w:p w:rsidR="00F04EEF" w:rsidRDefault="00F04EEF">
          <w:pPr>
            <w:tabs>
              <w:tab w:val="left" w:pos="6163"/>
            </w:tabs>
            <w:spacing w:line="300" w:lineRule="atLeast"/>
            <w:jc w:val="both"/>
          </w:pPr>
        </w:p>
        <w:p w:rsidR="00F04EEF" w:rsidRDefault="0099351E">
          <w:pPr>
            <w:pStyle w:val="Titre6"/>
          </w:pPr>
          <w:r>
            <w:t xml:space="preserve">3.1.5.2. Motifs de non-participation justifiant une dérogation </w:t>
          </w:r>
        </w:p>
        <w:p w:rsidR="00F04EEF" w:rsidRDefault="00F04EEF">
          <w:pPr>
            <w:spacing w:line="300" w:lineRule="atLeast"/>
            <w:jc w:val="both"/>
            <w:rPr>
              <w:u w:val="single"/>
            </w:rPr>
          </w:pPr>
        </w:p>
        <w:p w:rsidR="00F04EEF" w:rsidRDefault="0099351E">
          <w:pPr>
            <w:spacing w:line="300" w:lineRule="atLeast"/>
            <w:jc w:val="both"/>
          </w:pPr>
          <w:r>
            <w:t>Les motifs de non-participation permettant l’octroi de la dérogation au taux de participation sont uniquement ceux relevant de circonstances exceptionnelles.</w:t>
          </w:r>
        </w:p>
        <w:p w:rsidR="00F04EEF" w:rsidRDefault="00F04EEF">
          <w:pPr>
            <w:spacing w:line="300" w:lineRule="atLeast"/>
            <w:jc w:val="both"/>
          </w:pPr>
        </w:p>
        <w:p w:rsidR="00F04EEF" w:rsidRDefault="0099351E">
          <w:pPr>
            <w:spacing w:line="300" w:lineRule="atLeast"/>
            <w:jc w:val="both"/>
          </w:pPr>
          <w:r>
            <w:t>Les motifs philosophiques liés à la culture ou à la religion ne constituent pas une justification suffisante.</w:t>
          </w:r>
        </w:p>
        <w:p w:rsidR="00F04EEF" w:rsidRDefault="00F04EEF">
          <w:pPr>
            <w:spacing w:line="300" w:lineRule="atLeast"/>
            <w:jc w:val="both"/>
          </w:pPr>
        </w:p>
        <w:p w:rsidR="00F04EEF" w:rsidRDefault="0099351E">
          <w:pPr>
            <w:pStyle w:val="Titre6"/>
          </w:pPr>
          <w:r>
            <w:t>3.1.5.3. Participation d’élèves étrangers</w:t>
          </w:r>
        </w:p>
        <w:p w:rsidR="00F04EEF" w:rsidRDefault="00F04EEF">
          <w:pPr>
            <w:spacing w:line="300" w:lineRule="atLeast"/>
            <w:jc w:val="both"/>
            <w:rPr>
              <w:b/>
            </w:rPr>
          </w:pPr>
        </w:p>
        <w:p w:rsidR="00F04EEF" w:rsidRDefault="0099351E">
          <w:pPr>
            <w:spacing w:line="300" w:lineRule="atLeast"/>
            <w:jc w:val="both"/>
          </w:pPr>
          <w:r>
            <w:t xml:space="preserve">Sont visés les élèves mineurs et majeurs inscrits dans un établissement scolaire qui séjournent </w:t>
          </w:r>
          <w:r>
            <w:rPr>
              <w:b/>
            </w:rPr>
            <w:t>légalement</w:t>
          </w:r>
          <w:r>
            <w:t xml:space="preserve"> sur le territoire belge.  </w:t>
          </w:r>
        </w:p>
        <w:p w:rsidR="00F04EEF" w:rsidRDefault="00F04EEF">
          <w:pPr>
            <w:spacing w:line="300" w:lineRule="atLeast"/>
            <w:jc w:val="both"/>
          </w:pPr>
        </w:p>
        <w:p w:rsidR="00F04EEF" w:rsidRDefault="0099351E">
          <w:pPr>
            <w:spacing w:line="300" w:lineRule="atLeast"/>
            <w:jc w:val="both"/>
            <w:rPr>
              <w:b/>
              <w:i/>
            </w:rPr>
          </w:pPr>
          <w:r>
            <w:rPr>
              <w:b/>
              <w:i/>
            </w:rPr>
            <w:t xml:space="preserve">Les élèves non-UE </w:t>
          </w:r>
        </w:p>
        <w:p w:rsidR="00F04EEF" w:rsidRDefault="00F04EEF">
          <w:pPr>
            <w:spacing w:line="300" w:lineRule="atLeast"/>
            <w:jc w:val="both"/>
          </w:pPr>
        </w:p>
        <w:p w:rsidR="00F04EEF" w:rsidRDefault="0099351E">
          <w:pPr>
            <w:spacing w:line="300" w:lineRule="atLeast"/>
            <w:jc w:val="both"/>
          </w:pPr>
          <w:r>
            <w:t xml:space="preserve">1. Télécharger le formulaire vierge de la liste d’écoliers non-UE participant à un voyage scolaire sur : </w:t>
          </w:r>
        </w:p>
        <w:p w:rsidR="00F04EEF" w:rsidRDefault="00F42422">
          <w:pPr>
            <w:spacing w:line="300" w:lineRule="atLeast"/>
            <w:jc w:val="both"/>
            <w:rPr>
              <w:rStyle w:val="Lienhypertexte"/>
            </w:rPr>
          </w:pPr>
          <w:hyperlink r:id="rId288" w:history="1">
            <w:r w:rsidR="0099351E">
              <w:rPr>
                <w:rStyle w:val="Lienhypertexte"/>
              </w:rPr>
              <w:t>https://dofi.ibz.be/sites/dvzoe/FR/Guidedesprocedures/Pages/Voyagesscolaires.aspx</w:t>
            </w:r>
          </w:hyperlink>
          <w:r w:rsidR="0099351E">
            <w:rPr>
              <w:rStyle w:val="Lienhypertexte"/>
            </w:rPr>
            <w:t>.</w:t>
          </w:r>
        </w:p>
        <w:p w:rsidR="00F04EEF" w:rsidRDefault="00F04EEF">
          <w:pPr>
            <w:spacing w:line="300" w:lineRule="atLeast"/>
            <w:jc w:val="both"/>
          </w:pPr>
        </w:p>
        <w:p w:rsidR="00F04EEF" w:rsidRDefault="0099351E">
          <w:pPr>
            <w:spacing w:line="300" w:lineRule="atLeast"/>
            <w:jc w:val="both"/>
          </w:pPr>
          <w:r>
            <w:t>2. Compléter la liste et coller une photo des écoliers ressortissant de pays tiers qui ne possèdent pas de document individuel d’identité ou de voyage.</w:t>
          </w:r>
        </w:p>
        <w:p w:rsidR="00F04EEF" w:rsidRDefault="00F04EEF">
          <w:pPr>
            <w:spacing w:line="300" w:lineRule="atLeast"/>
            <w:jc w:val="both"/>
          </w:pPr>
        </w:p>
        <w:p w:rsidR="00F04EEF" w:rsidRDefault="0099351E">
          <w:pPr>
            <w:spacing w:line="300" w:lineRule="atLeast"/>
            <w:jc w:val="both"/>
          </w:pPr>
          <w:r>
            <w:t xml:space="preserve">3. Envoyer la liste dûment complétée (rubriques et photos) à l’Office des Etrangers, qui la paraphe, confirmant ainsi que les écoliers qui y sont mentionnés sont résidents en Belgique et peuvent y revenir sans formalités à l’adresse mail suivante : </w:t>
          </w:r>
          <w:hyperlink r:id="rId289" w:history="1">
            <w:r>
              <w:rPr>
                <w:rStyle w:val="Lienhypertexte"/>
                <w:color w:val="auto"/>
                <w:u w:val="none"/>
              </w:rPr>
              <w:t>asile.administration@ibz.fgov.be</w:t>
            </w:r>
          </w:hyperlink>
          <w:r>
            <w:rPr>
              <w:rStyle w:val="Lienhypertexte"/>
              <w:color w:val="auto"/>
              <w:u w:val="none"/>
            </w:rPr>
            <w:t>.</w:t>
          </w:r>
          <w:r>
            <w:t xml:space="preserve"> </w:t>
          </w:r>
        </w:p>
        <w:p w:rsidR="00F04EEF" w:rsidRDefault="00F04EEF">
          <w:pPr>
            <w:spacing w:line="300" w:lineRule="atLeast"/>
            <w:jc w:val="both"/>
          </w:pPr>
        </w:p>
        <w:p w:rsidR="00F04EEF" w:rsidRDefault="0099351E">
          <w:pPr>
            <w:spacing w:line="300" w:lineRule="atLeast"/>
            <w:jc w:val="both"/>
          </w:pPr>
          <w:r>
            <w:t>La liste est valable pendant la durée du voyage scolaire. Durant le voyage, les élèves doivent être également en possession de leur passeport national.</w:t>
          </w:r>
        </w:p>
        <w:p w:rsidR="00F04EEF" w:rsidRDefault="00F04EEF">
          <w:pPr>
            <w:spacing w:line="300" w:lineRule="atLeast"/>
            <w:jc w:val="both"/>
          </w:pPr>
        </w:p>
        <w:p w:rsidR="00F04EEF" w:rsidRDefault="0099351E">
          <w:pPr>
            <w:spacing w:line="300" w:lineRule="atLeast"/>
            <w:jc w:val="both"/>
            <w:rPr>
              <w:b/>
              <w:i/>
            </w:rPr>
          </w:pPr>
          <w:r>
            <w:rPr>
              <w:b/>
              <w:i/>
            </w:rPr>
            <w:t xml:space="preserve">Les élèves UE </w:t>
          </w:r>
        </w:p>
        <w:p w:rsidR="00F04EEF" w:rsidRDefault="00F04EEF">
          <w:pPr>
            <w:spacing w:line="300" w:lineRule="atLeast"/>
            <w:jc w:val="both"/>
          </w:pPr>
        </w:p>
        <w:p w:rsidR="00F04EEF" w:rsidRDefault="0099351E">
          <w:pPr>
            <w:spacing w:line="300" w:lineRule="atLeast"/>
            <w:jc w:val="both"/>
          </w:pPr>
          <w:r>
            <w:t>Leur départ n’est pas soumis à l’autorisation de l’Office des étrangers. Pendant le voyage, les élèves doivent être en possession d’une carte d’identité nationale ou d’un passeport national.</w:t>
          </w:r>
        </w:p>
        <w:p w:rsidR="00F04EEF" w:rsidRDefault="00F04EEF">
          <w:pPr>
            <w:spacing w:line="300" w:lineRule="atLeast"/>
            <w:jc w:val="both"/>
          </w:pPr>
        </w:p>
        <w:p w:rsidR="00F04EEF" w:rsidRDefault="00F04EEF">
          <w:pPr>
            <w:spacing w:line="300" w:lineRule="atLeast"/>
            <w:jc w:val="both"/>
          </w:pPr>
        </w:p>
        <w:p w:rsidR="00F04EEF" w:rsidRDefault="0099351E">
          <w:pPr>
            <w:pStyle w:val="Titre4"/>
          </w:pPr>
          <w:r>
            <w:t>3.2. Normes d’encadrement</w:t>
          </w:r>
        </w:p>
        <w:p w:rsidR="00F04EEF" w:rsidRDefault="00F04EEF">
          <w:pPr>
            <w:spacing w:line="300" w:lineRule="atLeast"/>
            <w:jc w:val="both"/>
            <w:rPr>
              <w:u w:val="single"/>
            </w:rPr>
          </w:pPr>
        </w:p>
        <w:p w:rsidR="00F04EEF" w:rsidRDefault="0099351E">
          <w:pPr>
            <w:spacing w:line="300" w:lineRule="atLeast"/>
            <w:jc w:val="both"/>
          </w:pPr>
          <w:r>
            <w:t xml:space="preserve">Le nombre d’accompagnateur(trices)s est laissé à l’appréciation du chef d’établissement ou du Pouvoir organisateur, pour autant que les normes minimales suivantes soient respectées : </w:t>
          </w:r>
        </w:p>
        <w:p w:rsidR="00F04EEF" w:rsidRDefault="00F04EEF">
          <w:pPr>
            <w:spacing w:line="300" w:lineRule="atLeast"/>
            <w:jc w:val="both"/>
          </w:pPr>
        </w:p>
        <w:p w:rsidR="00F04EEF" w:rsidRDefault="0099351E">
          <w:pPr>
            <w:spacing w:line="300" w:lineRule="atLeast"/>
            <w:jc w:val="both"/>
          </w:pPr>
          <w:r>
            <w:t>Un(e) enseignant(e) et un(e) accompagnateur(trice) par classe ou par groupe. Le groupe ne peut dépasser 2 fois le nombre guide propre à chaque type d'enseignement. Si c’est le cas, les normes d’encadrement doivent être celles prévues pour 2 groupes.</w:t>
          </w:r>
        </w:p>
        <w:p w:rsidR="00F04EEF" w:rsidRDefault="00F04EEF">
          <w:pPr>
            <w:spacing w:line="300" w:lineRule="atLeast"/>
            <w:jc w:val="both"/>
          </w:pPr>
        </w:p>
        <w:p w:rsidR="00F04EEF" w:rsidRDefault="0099351E">
          <w:pPr>
            <w:spacing w:line="300" w:lineRule="atLeast"/>
            <w:jc w:val="both"/>
            <w:rPr>
              <w:u w:val="single"/>
            </w:rPr>
          </w:pPr>
          <w:r>
            <w:rPr>
              <w:u w:val="single"/>
            </w:rPr>
            <w:t xml:space="preserve">Pour les types 4 et 5 : </w:t>
          </w:r>
        </w:p>
        <w:p w:rsidR="00F04EEF" w:rsidRDefault="0099351E">
          <w:pPr>
            <w:numPr>
              <w:ilvl w:val="0"/>
              <w:numId w:val="249"/>
            </w:numPr>
            <w:spacing w:line="300" w:lineRule="atLeast"/>
            <w:jc w:val="both"/>
          </w:pPr>
          <w:r>
            <w:t>pour les élèves se déplaçant de façon autonome : se référer aux normes prévues ci-dessus ;</w:t>
          </w:r>
        </w:p>
        <w:p w:rsidR="00F04EEF" w:rsidRDefault="0099351E">
          <w:pPr>
            <w:numPr>
              <w:ilvl w:val="0"/>
              <w:numId w:val="249"/>
            </w:numPr>
            <w:spacing w:line="300" w:lineRule="atLeast"/>
            <w:jc w:val="both"/>
          </w:pPr>
          <w:r>
            <w:t>pour les élèves ne se déplaçant pas de façon autonome : un(e) accompagnateur(trice) par élève.</w:t>
          </w:r>
        </w:p>
        <w:p w:rsidR="00F04EEF" w:rsidRDefault="00F04EEF">
          <w:pPr>
            <w:spacing w:line="300" w:lineRule="atLeast"/>
            <w:jc w:val="both"/>
          </w:pPr>
        </w:p>
        <w:p w:rsidR="00F04EEF" w:rsidRDefault="0099351E">
          <w:pPr>
            <w:pStyle w:val="Retraitcorpsdetexte"/>
            <w:spacing w:line="300" w:lineRule="atLeast"/>
            <w:ind w:left="0" w:firstLine="0"/>
            <w:rPr>
              <w:rFonts w:asciiTheme="majorHAnsi" w:hAnsiTheme="majorHAnsi"/>
              <w:szCs w:val="22"/>
            </w:rPr>
          </w:pPr>
          <w:r>
            <w:rPr>
              <w:rFonts w:asciiTheme="majorHAnsi" w:hAnsiTheme="majorHAnsi" w:cs="Times New Roman"/>
              <w:szCs w:val="22"/>
            </w:rPr>
            <w:t>Il n’existe pas de nombre maximal d’accompagnateur(trice)s. Le chef d’établissement doit toutefois veiller à ne pas désorganiser son établissement scolaire.</w:t>
          </w:r>
        </w:p>
        <w:p w:rsidR="00F04EEF" w:rsidRDefault="00F04EEF">
          <w:pPr>
            <w:spacing w:line="300" w:lineRule="atLeast"/>
            <w:jc w:val="both"/>
          </w:pPr>
        </w:p>
        <w:p w:rsidR="00F04EEF" w:rsidRDefault="0099351E">
          <w:pPr>
            <w:pStyle w:val="Titre5"/>
          </w:pPr>
          <w:bookmarkStart w:id="3727" w:name="_3.2.1._Catégories_d’accompagnateur("/>
          <w:bookmarkEnd w:id="3727"/>
          <w:r>
            <w:t>3.2.1. Catégories d’accompagnateur(trice)s</w:t>
          </w:r>
        </w:p>
        <w:p w:rsidR="00F04EEF" w:rsidRDefault="00F04EEF">
          <w:pPr>
            <w:spacing w:line="300" w:lineRule="atLeast"/>
            <w:jc w:val="both"/>
            <w:rPr>
              <w:u w:val="single"/>
            </w:rPr>
          </w:pPr>
        </w:p>
        <w:p w:rsidR="00F04EEF" w:rsidRDefault="0099351E">
          <w:pPr>
            <w:spacing w:line="300" w:lineRule="atLeast"/>
            <w:jc w:val="both"/>
          </w:pPr>
          <w:r>
            <w:t>Pour tous les niveaux et types d’enseignement, les accompagnateur(trice)s susceptibles d’encadrer les classes ou groupes d’élèves seront choisi(e)s, par le chef d’établissement ou le Pouvoir organisateur, parmi les catégories suivantes pour autant qu’ils présentent les qualités requises pour encadrer les enfants dans les meilleures conditions de sécurité :</w:t>
          </w:r>
        </w:p>
        <w:p w:rsidR="00F04EEF" w:rsidRDefault="00F04EEF">
          <w:pPr>
            <w:spacing w:line="260" w:lineRule="atLeast"/>
            <w:ind w:left="1134" w:hanging="425"/>
            <w:jc w:val="both"/>
          </w:pPr>
        </w:p>
        <w:p w:rsidR="00F04EEF" w:rsidRDefault="0099351E">
          <w:pPr>
            <w:pStyle w:val="Retraitcorpsdetexte3"/>
            <w:numPr>
              <w:ilvl w:val="1"/>
              <w:numId w:val="134"/>
            </w:numPr>
            <w:suppressAutoHyphens w:val="0"/>
            <w:spacing w:after="0" w:line="300" w:lineRule="atLeast"/>
            <w:jc w:val="both"/>
            <w:rPr>
              <w:rFonts w:asciiTheme="majorHAnsi" w:hAnsiTheme="majorHAnsi"/>
              <w:sz w:val="22"/>
              <w:szCs w:val="22"/>
            </w:rPr>
          </w:pPr>
          <w:r>
            <w:rPr>
              <w:rFonts w:asciiTheme="majorHAnsi" w:hAnsiTheme="majorHAnsi" w:cs="Times New Roman"/>
              <w:sz w:val="22"/>
              <w:szCs w:val="22"/>
            </w:rPr>
            <w:t xml:space="preserve">membres du corps enseignant ; </w:t>
          </w:r>
        </w:p>
        <w:p w:rsidR="00F04EEF" w:rsidRDefault="0099351E">
          <w:pPr>
            <w:pStyle w:val="Retraitcorpsdetexte3"/>
            <w:numPr>
              <w:ilvl w:val="1"/>
              <w:numId w:val="134"/>
            </w:numPr>
            <w:suppressAutoHyphens w:val="0"/>
            <w:spacing w:after="0" w:line="300" w:lineRule="atLeast"/>
            <w:jc w:val="both"/>
            <w:rPr>
              <w:rFonts w:asciiTheme="majorHAnsi" w:hAnsiTheme="majorHAnsi"/>
              <w:sz w:val="22"/>
              <w:szCs w:val="22"/>
            </w:rPr>
          </w:pPr>
          <w:r>
            <w:rPr>
              <w:rFonts w:asciiTheme="majorHAnsi" w:hAnsiTheme="majorHAnsi"/>
              <w:sz w:val="22"/>
              <w:szCs w:val="22"/>
            </w:rPr>
            <w:t>autres membres du personnel de l’établissement (personnel paramédical, auxiliaire d’éducation, personnel administratif, personnel ouvrier, ACS, APE, …) ;</w:t>
          </w:r>
        </w:p>
        <w:p w:rsidR="00F04EEF" w:rsidRDefault="0099351E">
          <w:pPr>
            <w:pStyle w:val="Retraitcorpsdetexte3"/>
            <w:numPr>
              <w:ilvl w:val="1"/>
              <w:numId w:val="134"/>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étudiant(e)s majeur(e)s (enseignement pédagogique ou social, puériculteur(trice)s, …) dont la formation comprend des stages ; </w:t>
          </w:r>
        </w:p>
        <w:p w:rsidR="00F04EEF" w:rsidRDefault="0099351E">
          <w:pPr>
            <w:pStyle w:val="Retraitcorpsdetexte3"/>
            <w:numPr>
              <w:ilvl w:val="1"/>
              <w:numId w:val="134"/>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éducateur(trice)s ou moniteur(trice)s A.D.E.P.S., personnel pédagogique des centres de dépaysement ; </w:t>
          </w:r>
        </w:p>
        <w:p w:rsidR="00F04EEF" w:rsidRDefault="0099351E">
          <w:pPr>
            <w:pStyle w:val="Retraitcorpsdetexte3"/>
            <w:numPr>
              <w:ilvl w:val="1"/>
              <w:numId w:val="134"/>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membres du personnel du centre P.M.S. ;</w:t>
          </w:r>
        </w:p>
        <w:p w:rsidR="00F04EEF" w:rsidRDefault="0099351E">
          <w:pPr>
            <w:pStyle w:val="Retraitcorpsdetexte3"/>
            <w:numPr>
              <w:ilvl w:val="1"/>
              <w:numId w:val="134"/>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 xml:space="preserve">parents ou autres personnes volontaires présentant les qualités requises pour encadrer les enfants dans les meilleures conditions de sécurité.  </w:t>
          </w:r>
        </w:p>
        <w:p w:rsidR="00F04EEF" w:rsidRDefault="00F04EEF">
          <w:pPr>
            <w:pStyle w:val="Retraitcorpsdetexte3"/>
            <w:spacing w:line="300" w:lineRule="atLeast"/>
            <w:jc w:val="both"/>
            <w:rPr>
              <w:rFonts w:asciiTheme="majorHAnsi" w:hAnsiTheme="majorHAnsi" w:cs="Times New Roman"/>
              <w:b/>
              <w:sz w:val="22"/>
              <w:szCs w:val="22"/>
              <w:u w:val="single"/>
            </w:rPr>
          </w:pPr>
        </w:p>
        <w:p w:rsidR="00F04EEF" w:rsidRDefault="0099351E">
          <w:pPr>
            <w:spacing w:line="300" w:lineRule="atLeast"/>
            <w:jc w:val="both"/>
          </w:pPr>
          <w:r>
            <w:t xml:space="preserve">La liste complète de ces personnes doit être annexée au dossier. </w:t>
          </w:r>
        </w:p>
        <w:p w:rsidR="00F04EEF" w:rsidRDefault="00F04EEF">
          <w:pPr>
            <w:spacing w:line="300" w:lineRule="atLeast"/>
            <w:jc w:val="both"/>
          </w:pPr>
        </w:p>
        <w:p w:rsidR="00F04EEF" w:rsidRDefault="0099351E">
          <w:pPr>
            <w:spacing w:line="300" w:lineRule="atLeast"/>
            <w:jc w:val="both"/>
          </w:pPr>
          <w:r>
            <w:t xml:space="preserve">En ce qui concerne les parents, les étudiant(e)s majeur(e)s dont la formation comprend des stages, les personnes volontaires, …, un partenariat avec le Pouvoir organisateur doit être conclu. Leur certificat de bonne vie et mœurs est joint à la convention. </w:t>
          </w:r>
        </w:p>
        <w:p w:rsidR="00F04EEF" w:rsidRDefault="00F04EEF">
          <w:pPr>
            <w:jc w:val="both"/>
            <w:rPr>
              <w:rFonts w:cs="Arial"/>
            </w:rPr>
          </w:pPr>
        </w:p>
        <w:p w:rsidR="00F04EEF" w:rsidRDefault="0099351E">
          <w:pPr>
            <w:spacing w:line="300" w:lineRule="atLeast"/>
            <w:jc w:val="both"/>
            <w:rPr>
              <w:rFonts w:cs="Arial"/>
            </w:rPr>
          </w:pPr>
          <w:r>
            <w:rPr>
              <w:rFonts w:cs="Arial"/>
            </w:rPr>
            <w:t xml:space="preserve">On peut faire appel à du personnel semblable pour agrémenter les activités des élèves non participant(e)s, dans le cadre d’un horaire souple, contrastant avec les habitudes scolaires. </w:t>
          </w:r>
        </w:p>
        <w:p w:rsidR="00F04EEF" w:rsidRDefault="00F04EEF">
          <w:pPr>
            <w:spacing w:line="300" w:lineRule="atLeast"/>
            <w:ind w:left="993"/>
            <w:jc w:val="both"/>
          </w:pPr>
        </w:p>
        <w:p w:rsidR="00F04EEF" w:rsidRDefault="0099351E">
          <w:pPr>
            <w:spacing w:line="300" w:lineRule="atLeast"/>
            <w:jc w:val="both"/>
            <w:rPr>
              <w:b/>
            </w:rPr>
          </w:pPr>
          <w:r>
            <w:rPr>
              <w:b/>
            </w:rPr>
            <w:t xml:space="preserve">Le chef d’établissement, à l’exception du (de la) Directeur(trice) avec classe, ne fait pas partie des personnes susceptibles d’encadrer les classes ou groupes d’élèves, </w:t>
          </w:r>
          <w:r>
            <w:rPr>
              <w:spacing w:val="-4"/>
            </w:rPr>
            <w:t xml:space="preserve"> </w:t>
          </w:r>
          <w:r>
            <w:rPr>
              <w:b/>
              <w:spacing w:val="-4"/>
            </w:rPr>
            <w:t>sauf autorisation motivée du Pouvoir organisateur et communication de l’identité de la personne le remplaçant dans ses fonctions le temps de son absence.</w:t>
          </w:r>
        </w:p>
        <w:p w:rsidR="00F04EEF" w:rsidRDefault="00F04EEF">
          <w:pPr>
            <w:spacing w:line="300" w:lineRule="atLeast"/>
            <w:jc w:val="both"/>
            <w:rPr>
              <w:b/>
            </w:rPr>
          </w:pPr>
        </w:p>
        <w:p w:rsidR="00F04EEF" w:rsidRDefault="0099351E">
          <w:pPr>
            <w:spacing w:line="300" w:lineRule="atLeast"/>
            <w:jc w:val="both"/>
          </w:pPr>
          <w:r>
            <w:t xml:space="preserve">Il est seulement autorisé à rendre visite aux </w:t>
          </w:r>
          <w:r>
            <w:rPr>
              <w:b/>
              <w:u w:val="single"/>
            </w:rPr>
            <w:t>séjours pédagogiques avec nuitée(s)</w:t>
          </w:r>
          <w:r>
            <w:t xml:space="preserve">. </w:t>
          </w:r>
        </w:p>
        <w:p w:rsidR="00F04EEF" w:rsidRDefault="00F04EEF">
          <w:pPr>
            <w:spacing w:line="300" w:lineRule="atLeast"/>
            <w:jc w:val="both"/>
          </w:pPr>
        </w:p>
        <w:p w:rsidR="00F04EEF" w:rsidRDefault="0099351E">
          <w:pPr>
            <w:spacing w:line="300" w:lineRule="atLeast"/>
            <w:jc w:val="both"/>
          </w:pPr>
          <w:r>
            <w:rPr>
              <w:b/>
            </w:rPr>
            <w:t>La durée de chaque visite</w:t>
          </w:r>
          <w:r>
            <w:t xml:space="preserve"> ne peut pas excéder 2 jours ouvrables, sauf autorisation motivée du Pouvoir organisateur. Une visite de plus de deux jours ne peut s’effectuer qu’une seule fois durant l’année scolaire.</w:t>
          </w:r>
        </w:p>
        <w:p w:rsidR="00F04EEF" w:rsidRDefault="00F04EEF">
          <w:pPr>
            <w:spacing w:line="300" w:lineRule="atLeast"/>
            <w:jc w:val="both"/>
          </w:pPr>
        </w:p>
        <w:p w:rsidR="00F04EEF" w:rsidRDefault="0099351E">
          <w:pPr>
            <w:spacing w:line="300" w:lineRule="atLeast"/>
            <w:jc w:val="both"/>
          </w:pPr>
          <w:r>
            <w:t xml:space="preserve">A l’autorisation du Pouvoir organisateur, doit être joint l’identité de la personne le remplaçant dans ses fonctions le temps de son absence. </w:t>
          </w:r>
        </w:p>
        <w:p w:rsidR="00F04EEF" w:rsidRDefault="00F04EEF">
          <w:pPr>
            <w:spacing w:line="300" w:lineRule="atLeast"/>
            <w:jc w:val="both"/>
          </w:pPr>
        </w:p>
        <w:p w:rsidR="00F04EEF" w:rsidRDefault="0099351E">
          <w:pPr>
            <w:spacing w:line="300" w:lineRule="atLeast"/>
            <w:jc w:val="both"/>
          </w:pPr>
          <w:r>
            <w:t>Une dérogation peut éventuellement être accordée par la Direction générale de l’Enseignement obligatoire pour permettre au chef d’établissement d’être comptabilisé au niveau de l’encadrement des classes ou groupes d’élèves. La demande de dérogation doit :</w:t>
          </w:r>
        </w:p>
        <w:p w:rsidR="00F04EEF" w:rsidRDefault="0099351E">
          <w:pPr>
            <w:pStyle w:val="Paragraphedeliste"/>
            <w:numPr>
              <w:ilvl w:val="0"/>
              <w:numId w:val="272"/>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être motivée par le Pouvoir organisateur ;</w:t>
          </w:r>
        </w:p>
        <w:p w:rsidR="00F04EEF" w:rsidRDefault="0099351E">
          <w:pPr>
            <w:pStyle w:val="Paragraphedeliste"/>
            <w:numPr>
              <w:ilvl w:val="0"/>
              <w:numId w:val="272"/>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résulter de circonstances exceptionnelles ;</w:t>
          </w:r>
        </w:p>
        <w:p w:rsidR="00F04EEF" w:rsidRDefault="0099351E">
          <w:pPr>
            <w:pStyle w:val="Paragraphedeliste"/>
            <w:numPr>
              <w:ilvl w:val="0"/>
              <w:numId w:val="272"/>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préciser l’identité de la personne remplaçant le chef d’établissement dans ses fonctions le temps de son absence.</w:t>
          </w:r>
        </w:p>
        <w:p w:rsidR="00F04EEF" w:rsidRDefault="0099351E">
          <w:pPr>
            <w:spacing w:line="300" w:lineRule="atLeast"/>
            <w:jc w:val="both"/>
          </w:pPr>
          <w:r>
            <w:t xml:space="preserve">Cette dérogation ne peut être accordée qu’une seule fois par année scolaire. </w:t>
          </w:r>
        </w:p>
        <w:p w:rsidR="00F04EEF" w:rsidRDefault="0099351E">
          <w:pPr>
            <w:spacing w:line="300" w:lineRule="atLeast"/>
            <w:jc w:val="both"/>
          </w:pPr>
          <w:r>
            <w:t>[</w:t>
          </w:r>
          <w:r>
            <w:rPr>
              <w:i/>
              <w:u w:val="single"/>
            </w:rPr>
            <w:t>Dérogation visant à permettre au chef d’établissement d’être comptabilisé au niveau de l’encadrement</w:t>
          </w:r>
          <w:r>
            <w:t>]</w:t>
          </w:r>
        </w:p>
        <w:p w:rsidR="00F04EEF" w:rsidRDefault="00F04EEF">
          <w:pPr>
            <w:spacing w:line="300" w:lineRule="atLeast"/>
            <w:jc w:val="both"/>
          </w:pPr>
        </w:p>
        <w:p w:rsidR="00F04EEF" w:rsidRDefault="0099351E">
          <w:pPr>
            <w:pStyle w:val="Titre5"/>
          </w:pPr>
          <w:r>
            <w:t>3.2.2. Organisation du transport</w:t>
          </w:r>
        </w:p>
        <w:p w:rsidR="00F04EEF" w:rsidRDefault="00F04EEF">
          <w:pPr>
            <w:spacing w:line="300" w:lineRule="atLeast"/>
            <w:jc w:val="both"/>
            <w:rPr>
              <w:u w:val="single"/>
            </w:rPr>
          </w:pPr>
        </w:p>
        <w:p w:rsidR="00F04EEF" w:rsidRDefault="0099351E">
          <w:pPr>
            <w:spacing w:line="300" w:lineRule="atLeast"/>
            <w:jc w:val="both"/>
          </w:pPr>
          <w:r>
            <w:t>Les normes d’encadrement s’appliquent également durant les temps de transport.</w:t>
          </w:r>
        </w:p>
        <w:p w:rsidR="00F04EEF" w:rsidRDefault="00F04EEF">
          <w:pPr>
            <w:spacing w:line="300" w:lineRule="atLeast"/>
            <w:jc w:val="both"/>
          </w:pPr>
        </w:p>
        <w:p w:rsidR="00F04EEF" w:rsidRDefault="0099351E">
          <w:pPr>
            <w:spacing w:line="300" w:lineRule="atLeast"/>
            <w:jc w:val="both"/>
          </w:pPr>
          <w:r>
            <w:t>Lorsque l’établissement n’organise pas le transport jusqu’au lieu de séjour (lors d’une retraite, d’un stage, …), il doit impérativement obtenir l’autorisation des responsables légaux.</w:t>
          </w:r>
        </w:p>
        <w:p w:rsidR="00F04EEF" w:rsidRDefault="00F04EEF">
          <w:pPr>
            <w:spacing w:line="300" w:lineRule="atLeast"/>
            <w:jc w:val="both"/>
          </w:pPr>
        </w:p>
        <w:p w:rsidR="00F04EEF" w:rsidRDefault="0099351E">
          <w:pPr>
            <w:spacing w:line="300" w:lineRule="atLeast"/>
            <w:jc w:val="both"/>
          </w:pPr>
          <w:r>
            <w:t>Pour un séjour en dehors de la Belgique, l’établissement doit obligatoirement organiser le transport.</w:t>
          </w:r>
        </w:p>
        <w:p w:rsidR="00F04EEF" w:rsidRDefault="00F04EEF"/>
        <w:p w:rsidR="00F04EEF" w:rsidRDefault="0099351E">
          <w:pPr>
            <w:pStyle w:val="Titre3"/>
            <w:rPr>
              <w:sz w:val="22"/>
              <w:szCs w:val="22"/>
            </w:rPr>
          </w:pPr>
          <w:bookmarkStart w:id="3728" w:name="_Toc47708621"/>
          <w:r>
            <w:rPr>
              <w:sz w:val="22"/>
              <w:szCs w:val="22"/>
            </w:rPr>
            <w:t>4. Procédure d’introduction des demandes</w:t>
          </w:r>
          <w:bookmarkEnd w:id="3728"/>
        </w:p>
        <w:p w:rsidR="00F04EEF" w:rsidRDefault="00F04EEF">
          <w:pPr>
            <w:spacing w:line="300" w:lineRule="atLeast"/>
            <w:jc w:val="both"/>
            <w:rPr>
              <w:i/>
            </w:rPr>
          </w:pPr>
        </w:p>
        <w:p w:rsidR="00F04EEF" w:rsidRDefault="0099351E">
          <w:pPr>
            <w:pStyle w:val="Titre4"/>
          </w:pPr>
          <w:r>
            <w:t>4.1. Procédure</w:t>
          </w:r>
        </w:p>
        <w:p w:rsidR="00F04EEF" w:rsidRDefault="00F04EEF">
          <w:pPr>
            <w:spacing w:line="300" w:lineRule="atLeast"/>
            <w:jc w:val="both"/>
            <w:rPr>
              <w:i/>
            </w:rPr>
          </w:pPr>
        </w:p>
        <w:p w:rsidR="00F04EEF" w:rsidRDefault="0099351E">
          <w:pPr>
            <w:spacing w:line="300" w:lineRule="atLeast"/>
            <w:jc w:val="both"/>
            <w:rPr>
              <w:i/>
            </w:rPr>
          </w:pPr>
          <w:r>
            <w:rPr>
              <w:i/>
            </w:rPr>
            <w:t>Tout séjour pédagogique avec nuitée(s), quel que soit le niveau et le type d’enseignement,  doit faire l’objet d’une déclaration préalable auprès de la Direction générale de l’Enseignement obligatoire.</w:t>
          </w:r>
        </w:p>
        <w:p w:rsidR="00F04EEF" w:rsidRDefault="00F04EEF">
          <w:pPr>
            <w:spacing w:line="300" w:lineRule="atLeast"/>
            <w:jc w:val="both"/>
          </w:pPr>
        </w:p>
        <w:p w:rsidR="00F04EEF" w:rsidRDefault="0099351E">
          <w:pPr>
            <w:rPr>
              <w:u w:val="single"/>
            </w:rPr>
          </w:pPr>
          <w:r>
            <w:rPr>
              <w:u w:val="single"/>
            </w:rPr>
            <w:br w:type="page"/>
          </w:r>
        </w:p>
        <w:p w:rsidR="00F04EEF" w:rsidRDefault="0099351E">
          <w:pPr>
            <w:spacing w:line="300" w:lineRule="atLeast"/>
            <w:jc w:val="both"/>
            <w:rPr>
              <w:u w:val="single"/>
            </w:rPr>
          </w:pPr>
          <w:r>
            <w:rPr>
              <w:u w:val="single"/>
            </w:rPr>
            <w:t>° Si le dossier ne comprend pas de demande de dérogation (toutes les conditions sont remplies)</w:t>
          </w:r>
          <w:r>
            <w:t> :</w:t>
          </w:r>
        </w:p>
        <w:p w:rsidR="00F04EEF" w:rsidRDefault="00F04EEF">
          <w:pPr>
            <w:spacing w:line="300" w:lineRule="atLeast"/>
            <w:jc w:val="both"/>
          </w:pPr>
        </w:p>
        <w:p w:rsidR="00F04EEF" w:rsidRDefault="0099351E">
          <w:pPr>
            <w:spacing w:line="300" w:lineRule="atLeast"/>
            <w:jc w:val="both"/>
          </w:pPr>
          <w:r>
            <w:t>Une déclaration simplifiée est introduite via un formulaire électronique.</w:t>
          </w:r>
        </w:p>
        <w:p w:rsidR="00F04EEF" w:rsidRDefault="00F04EEF">
          <w:pPr>
            <w:spacing w:line="300" w:lineRule="atLeast"/>
            <w:jc w:val="both"/>
          </w:pPr>
        </w:p>
        <w:p w:rsidR="00F04EEF" w:rsidRDefault="0099351E">
          <w:pPr>
            <w:spacing w:line="300" w:lineRule="atLeast"/>
            <w:jc w:val="both"/>
          </w:pPr>
          <w:r>
            <w:t xml:space="preserve">Le chef d’établissement ou le Pouvoir organisateur s’engage à respecter l’ensemble des conditions de la circulaire. </w:t>
          </w:r>
        </w:p>
        <w:p w:rsidR="00F04EEF" w:rsidRDefault="00F04EEF">
          <w:pPr>
            <w:spacing w:line="300" w:lineRule="atLeast"/>
            <w:jc w:val="both"/>
          </w:pPr>
        </w:p>
        <w:p w:rsidR="00F04EEF" w:rsidRDefault="0099351E">
          <w:pPr>
            <w:spacing w:line="300" w:lineRule="atLeast"/>
            <w:jc w:val="both"/>
          </w:pPr>
          <w:r>
            <w:rPr>
              <w:b/>
            </w:rPr>
            <w:t>L’établissement doit toutefois conserver un exemplaire du formulaire électronique complété (version pdf) et le tenir à disposition de la Direction générale de l’Enseignement obligatoire ainsi que de l’Inspection.</w:t>
          </w:r>
          <w:r>
            <w:t xml:space="preserve"> L’autorisation est automatique, sous réserve que la Direction générale de l’Enseignement obligatoire ait accusé réception du dossier.</w:t>
          </w:r>
        </w:p>
        <w:p w:rsidR="00F04EEF" w:rsidRDefault="00F04EEF">
          <w:pPr>
            <w:spacing w:line="300" w:lineRule="atLeast"/>
            <w:jc w:val="both"/>
          </w:pPr>
        </w:p>
        <w:p w:rsidR="00F04EEF" w:rsidRDefault="0099351E">
          <w:pPr>
            <w:spacing w:line="300" w:lineRule="atLeast"/>
            <w:jc w:val="both"/>
            <w:rPr>
              <w:b/>
            </w:rPr>
          </w:pPr>
          <w:r>
            <w:rPr>
              <w:b/>
              <w:u w:val="single"/>
            </w:rPr>
            <w:t>ATTENTION</w:t>
          </w:r>
          <w:r>
            <w:rPr>
              <w:b/>
            </w:rPr>
            <w:t> : En l’absence d’accusé de réception de la déclaration simplifiée dans les 3 jours ouvrables, le chef d’établissement prend contact avec la Direction générale de l’Enseignement obligatoire.</w:t>
          </w:r>
        </w:p>
        <w:p w:rsidR="00F04EEF" w:rsidRDefault="00F04EEF">
          <w:pPr>
            <w:spacing w:line="300" w:lineRule="atLeast"/>
            <w:jc w:val="both"/>
          </w:pPr>
        </w:p>
        <w:p w:rsidR="00F04EEF" w:rsidRDefault="0099351E">
          <w:pPr>
            <w:spacing w:line="300" w:lineRule="atLeast"/>
            <w:jc w:val="both"/>
            <w:rPr>
              <w:u w:val="single"/>
            </w:rPr>
          </w:pPr>
          <w:r>
            <w:rPr>
              <w:u w:val="single"/>
            </w:rPr>
            <w:t>° Si le dossier comprend une (ou plusieurs) demande(s) de dérogation</w:t>
          </w:r>
          <w:r>
            <w:t> :</w:t>
          </w:r>
        </w:p>
        <w:p w:rsidR="00F04EEF" w:rsidRDefault="00F04EEF">
          <w:pPr>
            <w:spacing w:line="300" w:lineRule="atLeast"/>
            <w:jc w:val="both"/>
          </w:pPr>
        </w:p>
        <w:p w:rsidR="00F04EEF" w:rsidRDefault="0099351E">
          <w:pPr>
            <w:spacing w:line="300" w:lineRule="atLeast"/>
            <w:jc w:val="both"/>
          </w:pPr>
          <w:r>
            <w:t>La demande de dérogation se fait au moyen des annexes I, II, III, IV. L’octroi de la (ou des) dérogation(s) demandée(s) entraîne l’autorisation du séjour.</w:t>
          </w:r>
        </w:p>
        <w:p w:rsidR="00F04EEF" w:rsidRDefault="00F04EEF">
          <w:pPr>
            <w:spacing w:line="300" w:lineRule="atLeast"/>
            <w:jc w:val="both"/>
          </w:pPr>
        </w:p>
        <w:p w:rsidR="00F04EEF" w:rsidRDefault="0099351E">
          <w:pPr>
            <w:spacing w:line="300" w:lineRule="atLeast"/>
            <w:jc w:val="both"/>
            <w:rPr>
              <w:b/>
              <w:u w:val="single"/>
            </w:rPr>
          </w:pPr>
          <w:r>
            <w:rPr>
              <w:b/>
              <w:u w:val="single"/>
            </w:rPr>
            <w:t>ATTENTION</w:t>
          </w:r>
          <w:r>
            <w:rPr>
              <w:b/>
            </w:rPr>
            <w:t> : Aussi longtemps qu’une dérogation n’est pas accordée, le départ n’est pas autorisé et la demande d’autorisation doit donc être considérée comme refusée.</w:t>
          </w:r>
        </w:p>
        <w:p w:rsidR="00F04EEF" w:rsidRDefault="00F04EEF">
          <w:pPr>
            <w:spacing w:line="300" w:lineRule="atLeast"/>
            <w:jc w:val="both"/>
            <w:rPr>
              <w:b/>
              <w:u w:val="single"/>
            </w:rPr>
          </w:pPr>
        </w:p>
        <w:p w:rsidR="00F04EEF" w:rsidRDefault="0099351E">
          <w:pPr>
            <w:spacing w:line="300" w:lineRule="atLeast"/>
            <w:jc w:val="both"/>
            <w:rPr>
              <w:u w:val="single"/>
            </w:rPr>
          </w:pPr>
          <w:r>
            <w:rPr>
              <w:b/>
              <w:u w:val="single"/>
            </w:rPr>
            <w:t>Remarque</w:t>
          </w:r>
          <w:r>
            <w:rPr>
              <w:b/>
            </w:rPr>
            <w:t> :</w:t>
          </w:r>
          <w:r>
            <w:t xml:space="preserve"> </w:t>
          </w:r>
          <w:r>
            <w:rPr>
              <w:b/>
            </w:rPr>
            <w:t>Les réservations et/ou les versements d’acomptes ne pourront constituer un élément influençant la décision de la Direction générale de l’Enseignement obligatoire. Ces démarches sont donc entreprises sous l’entière responsabilité du chef d’établissement.</w:t>
          </w:r>
          <w:r>
            <w:t xml:space="preserve"> </w:t>
          </w:r>
        </w:p>
        <w:p w:rsidR="00F04EEF" w:rsidRDefault="00F04EEF">
          <w:pPr>
            <w:spacing w:line="300" w:lineRule="atLeast"/>
            <w:jc w:val="both"/>
            <w:rPr>
              <w:b/>
            </w:rPr>
          </w:pPr>
        </w:p>
        <w:p w:rsidR="00F04EEF" w:rsidRDefault="0099351E">
          <w:pPr>
            <w:spacing w:line="300" w:lineRule="atLeast"/>
            <w:jc w:val="both"/>
            <w:rPr>
              <w:u w:val="single"/>
            </w:rPr>
          </w:pPr>
          <w:r>
            <w:t xml:space="preserve">L’attention du chef d’établissement doit être attirée sur le fait qu’un séjour pédagogique avec nuitée(s) non autorisé par l’instance compétente ou organisée alors que l’autorisation n’a pas encore été accordée, est susceptible d’engendrer un refus d’intervention ou de couverture en cas de sinistre de la part de la compagnie d’assurance.  </w:t>
          </w:r>
        </w:p>
        <w:p w:rsidR="00F04EEF" w:rsidRDefault="00F04EEF">
          <w:pPr>
            <w:spacing w:line="300" w:lineRule="atLeast"/>
            <w:jc w:val="both"/>
          </w:pPr>
        </w:p>
        <w:p w:rsidR="00F04EEF" w:rsidRDefault="0099351E">
          <w:pPr>
            <w:pStyle w:val="Titre4"/>
          </w:pPr>
          <w:r>
            <w:t>4.2. Par qui ?</w:t>
          </w:r>
        </w:p>
        <w:p w:rsidR="00F04EEF" w:rsidRDefault="00F04EEF">
          <w:pPr>
            <w:spacing w:line="300" w:lineRule="atLeast"/>
            <w:ind w:left="426"/>
            <w:jc w:val="both"/>
          </w:pPr>
        </w:p>
        <w:p w:rsidR="00F04EEF" w:rsidRDefault="0099351E">
          <w:pPr>
            <w:spacing w:line="300" w:lineRule="atLeast"/>
            <w:jc w:val="both"/>
          </w:pPr>
          <w:r>
            <w:t xml:space="preserve">Par le chef d’établissement organisant le départ. </w:t>
          </w:r>
        </w:p>
        <w:p w:rsidR="00F04EEF" w:rsidRDefault="00F04EEF">
          <w:pPr>
            <w:spacing w:line="300" w:lineRule="atLeast"/>
            <w:jc w:val="both"/>
          </w:pPr>
        </w:p>
        <w:p w:rsidR="00F04EEF" w:rsidRDefault="0099351E">
          <w:pPr>
            <w:spacing w:line="300" w:lineRule="atLeast"/>
            <w:jc w:val="both"/>
          </w:pPr>
          <w:r>
            <w:t>Pour l’enseignement subventionné, le visa du représentant du Pouvoir organisateur est obligatoire. Néanmoins, le principe de confiance est appliqué. Le chef d’établissement peut donc attester sur l’honneur qu’il a obtenu ce visa.</w:t>
          </w:r>
        </w:p>
        <w:p w:rsidR="00F04EEF" w:rsidRDefault="00F04EEF">
          <w:pPr>
            <w:spacing w:line="300" w:lineRule="atLeast"/>
            <w:jc w:val="both"/>
          </w:pPr>
        </w:p>
        <w:p w:rsidR="00F04EEF" w:rsidRDefault="0099351E">
          <w:pPr>
            <w:pStyle w:val="Titre4"/>
          </w:pPr>
          <w:r>
            <w:t>4.3. Quand ?</w:t>
          </w:r>
        </w:p>
        <w:p w:rsidR="00F04EEF" w:rsidRDefault="00F04EEF">
          <w:pPr>
            <w:spacing w:line="300" w:lineRule="atLeast"/>
            <w:ind w:left="426"/>
            <w:jc w:val="both"/>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Les déclarations simplifiées doivent parvenir au plus tard un mois avant le départ.</w:t>
          </w:r>
        </w:p>
        <w:p w:rsidR="00F04EEF" w:rsidRDefault="00F04EEF">
          <w:pPr>
            <w:pStyle w:val="Retraitcorpsdetexte"/>
            <w:spacing w:line="300" w:lineRule="atLeast"/>
            <w:ind w:left="0" w:firstLine="0"/>
            <w:rPr>
              <w:rFonts w:asciiTheme="majorHAnsi" w:hAnsiTheme="majorHAnsi" w:cs="Times New Roman"/>
              <w:szCs w:val="22"/>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Un accusé de réception est adressé par la Direction générale de l’Enseignement obligatoire dans les 3 jours ouvrables.</w:t>
          </w:r>
        </w:p>
        <w:p w:rsidR="00F04EEF" w:rsidRDefault="00F04EEF">
          <w:pPr>
            <w:pStyle w:val="Retraitcorpsdetexte"/>
            <w:spacing w:line="300" w:lineRule="atLeast"/>
            <w:ind w:left="0" w:firstLine="0"/>
            <w:rPr>
              <w:rFonts w:asciiTheme="majorHAnsi" w:hAnsiTheme="majorHAnsi" w:cs="Times New Roman"/>
              <w:szCs w:val="22"/>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 xml:space="preserve">Les demandes de dérogation doivent parvenir au plus tard deux mois avant le départ, à l’exception de la demande de dérogation pour le délai d’introduction du dossier. </w:t>
          </w:r>
        </w:p>
        <w:p w:rsidR="00F04EEF" w:rsidRDefault="00F04EEF">
          <w:pPr>
            <w:pStyle w:val="Retraitcorpsdetexte"/>
            <w:spacing w:line="300" w:lineRule="atLeast"/>
            <w:ind w:left="0"/>
            <w:rPr>
              <w:rFonts w:asciiTheme="majorHAnsi" w:hAnsiTheme="majorHAnsi" w:cs="Times New Roman"/>
              <w:szCs w:val="22"/>
            </w:rPr>
          </w:pPr>
        </w:p>
        <w:p w:rsidR="00F04EEF" w:rsidRDefault="0099351E">
          <w:pPr>
            <w:pStyle w:val="Retraitcorpsdetexte"/>
            <w:spacing w:line="300" w:lineRule="atLeast"/>
            <w:ind w:left="0" w:firstLine="0"/>
            <w:rPr>
              <w:rFonts w:asciiTheme="majorHAnsi" w:hAnsiTheme="majorHAnsi" w:cs="Times New Roman"/>
              <w:b/>
              <w:szCs w:val="22"/>
            </w:rPr>
          </w:pPr>
          <w:r>
            <w:rPr>
              <w:rFonts w:asciiTheme="majorHAnsi" w:hAnsiTheme="majorHAnsi" w:cs="Times New Roman"/>
              <w:szCs w:val="22"/>
            </w:rPr>
            <w:t>La Direction générale de l’Enseignement obligatoire rend sa décision dans les trente jours calendrier (à la date de l’envoi du dossier).</w:t>
          </w:r>
          <w:r>
            <w:rPr>
              <w:rFonts w:asciiTheme="majorHAnsi" w:hAnsiTheme="majorHAnsi" w:cs="Times New Roman"/>
              <w:b/>
              <w:szCs w:val="22"/>
            </w:rPr>
            <w:t xml:space="preserve"> </w:t>
          </w:r>
        </w:p>
        <w:p w:rsidR="00F04EEF" w:rsidRDefault="00F04EEF">
          <w:pPr>
            <w:pStyle w:val="Retraitcorpsdetexte"/>
            <w:spacing w:line="300" w:lineRule="atLeast"/>
            <w:ind w:left="0" w:firstLine="0"/>
            <w:rPr>
              <w:rFonts w:asciiTheme="majorHAnsi" w:hAnsiTheme="majorHAnsi" w:cs="Times New Roman"/>
              <w:b/>
              <w:szCs w:val="22"/>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Exception : en cas de départ avant le 1</w:t>
          </w:r>
          <w:r>
            <w:rPr>
              <w:rFonts w:asciiTheme="majorHAnsi" w:hAnsiTheme="majorHAnsi" w:cs="Times New Roman"/>
              <w:szCs w:val="22"/>
              <w:vertAlign w:val="superscript"/>
            </w:rPr>
            <w:t>er</w:t>
          </w:r>
          <w:r>
            <w:rPr>
              <w:rFonts w:asciiTheme="majorHAnsi" w:hAnsiTheme="majorHAnsi" w:cs="Times New Roman"/>
              <w:szCs w:val="22"/>
            </w:rPr>
            <w:t xml:space="preserve"> octobre, les demandes de dérogation et les déclarations simplifiées doivent être introduites au plus tard une semaine avant le départ. </w:t>
          </w:r>
        </w:p>
        <w:p w:rsidR="00F04EEF" w:rsidRDefault="00F04EEF">
          <w:pPr>
            <w:pStyle w:val="Retraitcorpsdetexte"/>
            <w:spacing w:line="300" w:lineRule="atLeast"/>
            <w:ind w:left="0" w:firstLine="0"/>
            <w:rPr>
              <w:rFonts w:asciiTheme="majorHAnsi" w:hAnsiTheme="majorHAnsi" w:cs="Times New Roman"/>
              <w:szCs w:val="22"/>
            </w:rPr>
          </w:pPr>
        </w:p>
        <w:p w:rsidR="00F04EEF" w:rsidRDefault="0099351E">
          <w:pPr>
            <w:pStyle w:val="Retraitcorpsdetexte"/>
            <w:spacing w:line="300" w:lineRule="atLeast"/>
            <w:ind w:left="0" w:firstLine="0"/>
            <w:rPr>
              <w:rFonts w:asciiTheme="majorHAnsi" w:hAnsiTheme="majorHAnsi" w:cs="Times New Roman"/>
              <w:szCs w:val="22"/>
            </w:rPr>
          </w:pPr>
          <w:r>
            <w:rPr>
              <w:rFonts w:asciiTheme="majorHAnsi" w:hAnsiTheme="majorHAnsi" w:cs="Times New Roman"/>
              <w:szCs w:val="22"/>
            </w:rPr>
            <w:t>Le chef d’établissement a la possibilité de déroger au délai d’introduction des documents en faisant valoir des circonstances exceptionnelles (maladie, changement de direction, …). [</w:t>
          </w:r>
          <w:r>
            <w:rPr>
              <w:rFonts w:asciiTheme="majorHAnsi" w:hAnsiTheme="majorHAnsi" w:cs="Times New Roman"/>
              <w:i/>
              <w:szCs w:val="22"/>
              <w:u w:val="single"/>
            </w:rPr>
            <w:t>Dérogation pour le délai d’introduction du dossier</w:t>
          </w:r>
          <w:r>
            <w:rPr>
              <w:rFonts w:asciiTheme="majorHAnsi" w:hAnsiTheme="majorHAnsi" w:cs="Times New Roman"/>
              <w:szCs w:val="22"/>
            </w:rPr>
            <w:t>]</w:t>
          </w:r>
        </w:p>
        <w:p w:rsidR="00F04EEF" w:rsidRDefault="00F04EEF">
          <w:pPr>
            <w:pStyle w:val="Retraitcorpsdetexte"/>
            <w:spacing w:line="300" w:lineRule="atLeast"/>
            <w:ind w:left="0" w:firstLine="0"/>
            <w:rPr>
              <w:rFonts w:asciiTheme="majorHAnsi" w:hAnsiTheme="majorHAnsi" w:cs="Times New Roman"/>
              <w:szCs w:val="22"/>
            </w:rPr>
          </w:pPr>
        </w:p>
        <w:p w:rsidR="00F04EEF" w:rsidRDefault="0099351E">
          <w:pPr>
            <w:pStyle w:val="Titre4"/>
          </w:pPr>
          <w:r>
            <w:t>4.4. Comment ?</w:t>
          </w:r>
        </w:p>
        <w:p w:rsidR="00F04EEF" w:rsidRDefault="00F04EEF">
          <w:pPr>
            <w:spacing w:line="300" w:lineRule="atLeast"/>
            <w:jc w:val="both"/>
          </w:pPr>
        </w:p>
        <w:p w:rsidR="00F04EEF" w:rsidRDefault="0099351E">
          <w:pPr>
            <w:spacing w:line="300" w:lineRule="atLeast"/>
            <w:jc w:val="both"/>
          </w:pPr>
          <w:r>
            <w:t xml:space="preserve">Les déclarations simplifiées sont transmises via le formulaire électronique suivant : </w:t>
          </w:r>
          <w:hyperlink r:id="rId290" w:history="1">
            <w:r>
              <w:rPr>
                <w:rStyle w:val="Lienhypertexte"/>
              </w:rPr>
              <w:t>www.formulaire.cfwb.be/?declarationspn</w:t>
            </w:r>
          </w:hyperlink>
          <w:r>
            <w:rPr>
              <w:rStyle w:val="Lienhypertexte"/>
            </w:rPr>
            <w:t>.</w:t>
          </w:r>
        </w:p>
        <w:p w:rsidR="00F04EEF" w:rsidRDefault="00F04EEF">
          <w:pPr>
            <w:spacing w:line="300" w:lineRule="atLeast"/>
            <w:jc w:val="both"/>
          </w:pPr>
        </w:p>
        <w:p w:rsidR="00F04EEF" w:rsidRDefault="0099351E">
          <w:pPr>
            <w:spacing w:line="300" w:lineRule="atLeast"/>
            <w:jc w:val="both"/>
          </w:pPr>
          <w:r>
            <w:t xml:space="preserve">Les demandes de dérogation sont transmises par </w:t>
          </w:r>
          <w:r>
            <w:rPr>
              <w:b/>
            </w:rPr>
            <w:t>courriel</w:t>
          </w:r>
          <w:r>
            <w:t xml:space="preserve"> à </w:t>
          </w:r>
          <w:hyperlink r:id="rId291" w:history="1">
            <w:r>
              <w:rPr>
                <w:rStyle w:val="Lienhypertexte"/>
              </w:rPr>
              <w:t>derogation.spn@cfwb.be</w:t>
            </w:r>
          </w:hyperlink>
          <w:r>
            <w:t xml:space="preserve">. </w:t>
          </w:r>
        </w:p>
        <w:p w:rsidR="00F04EEF" w:rsidRDefault="00F04EEF">
          <w:pPr>
            <w:spacing w:line="300" w:lineRule="atLeast"/>
            <w:jc w:val="both"/>
          </w:pPr>
        </w:p>
        <w:p w:rsidR="00F04EEF" w:rsidRDefault="0099351E">
          <w:pPr>
            <w:spacing w:line="300" w:lineRule="atLeast"/>
            <w:jc w:val="both"/>
          </w:pPr>
          <w:r>
            <w:t>Les dérogations sont octroyées ou refusées par la Directrice générale de l’Enseignement obligatoire ou son (sa) délégué(e).</w:t>
          </w:r>
        </w:p>
        <w:p w:rsidR="00F04EEF" w:rsidRDefault="00F04EEF">
          <w:pPr>
            <w:spacing w:line="300" w:lineRule="atLeast"/>
            <w:jc w:val="both"/>
          </w:pPr>
        </w:p>
        <w:p w:rsidR="00F04EEF" w:rsidRDefault="0099351E">
          <w:pPr>
            <w:pStyle w:val="Titre4"/>
          </w:pPr>
          <w:r>
            <w:t>4.5. Modifications dans la déclaration ou dans la demande de dérogation</w:t>
          </w:r>
        </w:p>
        <w:p w:rsidR="00F04EEF" w:rsidRDefault="0099351E">
          <w:pPr>
            <w:spacing w:line="300" w:lineRule="atLeast"/>
          </w:pPr>
          <w:r>
            <w:t xml:space="preserve"> </w:t>
          </w:r>
        </w:p>
        <w:p w:rsidR="00F04EEF" w:rsidRDefault="0099351E">
          <w:pPr>
            <w:spacing w:line="300" w:lineRule="atLeast"/>
            <w:jc w:val="both"/>
          </w:pPr>
          <w:r>
            <w:t xml:space="preserve">Si un évènement intervient, venant à modifier la déclaration simplifiée et/ou la demande de dérogation, le chef d’établissement est tenu d’en informer la Direction générale de l’Enseignement obligatoire. </w:t>
          </w:r>
        </w:p>
        <w:p w:rsidR="00F04EEF" w:rsidRDefault="00F04EEF">
          <w:pPr>
            <w:spacing w:line="300" w:lineRule="atLeast"/>
            <w:jc w:val="both"/>
          </w:pPr>
        </w:p>
        <w:p w:rsidR="00F04EEF" w:rsidRDefault="0099351E">
          <w:pPr>
            <w:pStyle w:val="Titre3"/>
            <w:rPr>
              <w:sz w:val="22"/>
              <w:szCs w:val="22"/>
            </w:rPr>
          </w:pPr>
          <w:bookmarkStart w:id="3729" w:name="_Toc47708622"/>
          <w:r>
            <w:rPr>
              <w:sz w:val="22"/>
              <w:szCs w:val="22"/>
            </w:rPr>
            <w:t>5. Dispositions diverses</w:t>
          </w:r>
          <w:bookmarkEnd w:id="3729"/>
        </w:p>
        <w:p w:rsidR="00F04EEF" w:rsidRDefault="00F04EEF">
          <w:pPr>
            <w:pStyle w:val="En-tte"/>
            <w:spacing w:line="300" w:lineRule="atLeast"/>
            <w:rPr>
              <w:rFonts w:asciiTheme="majorHAnsi" w:hAnsiTheme="majorHAnsi"/>
              <w:szCs w:val="22"/>
              <w:u w:val="single"/>
            </w:rPr>
          </w:pPr>
        </w:p>
        <w:p w:rsidR="00F04EEF" w:rsidRDefault="0099351E">
          <w:pPr>
            <w:pStyle w:val="Titre4"/>
          </w:pPr>
          <w:r>
            <w:t>5.1. Séjours en dehors de la Belgique</w:t>
          </w:r>
        </w:p>
        <w:p w:rsidR="00F04EEF" w:rsidRDefault="00F04EEF">
          <w:pPr>
            <w:pStyle w:val="En-tte"/>
            <w:spacing w:line="300" w:lineRule="atLeast"/>
            <w:rPr>
              <w:rFonts w:asciiTheme="majorHAnsi" w:hAnsiTheme="majorHAnsi"/>
              <w:szCs w:val="22"/>
            </w:rPr>
          </w:pPr>
        </w:p>
        <w:p w:rsidR="00F04EEF" w:rsidRDefault="0099351E">
          <w:pPr>
            <w:pStyle w:val="En-tte"/>
            <w:spacing w:line="300" w:lineRule="atLeast"/>
            <w:jc w:val="both"/>
            <w:rPr>
              <w:rFonts w:asciiTheme="majorHAnsi" w:hAnsiTheme="majorHAnsi"/>
              <w:szCs w:val="22"/>
            </w:rPr>
          </w:pPr>
          <w:r>
            <w:rPr>
              <w:rFonts w:asciiTheme="majorHAnsi" w:hAnsiTheme="majorHAnsi"/>
              <w:szCs w:val="22"/>
            </w:rPr>
            <w:t xml:space="preserve">Les coordonnées de tous les postes diplomatiques belges (ambassades, consulats généraux et consulats honoraires) sont disponibles sur le site </w:t>
          </w:r>
          <w:hyperlink r:id="rId292" w:history="1">
            <w:r>
              <w:rPr>
                <w:rStyle w:val="Lienhypertexte"/>
                <w:rFonts w:asciiTheme="majorHAnsi" w:hAnsiTheme="majorHAnsi"/>
                <w:color w:val="auto"/>
                <w:szCs w:val="22"/>
                <w:u w:val="none"/>
              </w:rPr>
              <w:t>www.diplomatie.belgium.be</w:t>
            </w:r>
          </w:hyperlink>
          <w:r>
            <w:rPr>
              <w:rFonts w:asciiTheme="majorHAnsi" w:hAnsiTheme="majorHAnsi"/>
              <w:szCs w:val="22"/>
            </w:rPr>
            <w:t xml:space="preserve">. </w:t>
          </w:r>
        </w:p>
        <w:p w:rsidR="00F04EEF" w:rsidRDefault="00F04EEF">
          <w:pPr>
            <w:pStyle w:val="En-tte"/>
            <w:spacing w:line="300" w:lineRule="atLeast"/>
            <w:jc w:val="both"/>
            <w:rPr>
              <w:rFonts w:asciiTheme="majorHAnsi" w:hAnsiTheme="majorHAnsi"/>
              <w:szCs w:val="22"/>
            </w:rPr>
          </w:pPr>
        </w:p>
        <w:p w:rsidR="00F04EEF" w:rsidRDefault="0099351E">
          <w:pPr>
            <w:pStyle w:val="En-tte"/>
            <w:spacing w:line="300" w:lineRule="atLeast"/>
            <w:jc w:val="both"/>
            <w:rPr>
              <w:rFonts w:asciiTheme="majorHAnsi" w:hAnsiTheme="majorHAnsi"/>
              <w:szCs w:val="22"/>
            </w:rPr>
          </w:pPr>
          <w:r>
            <w:rPr>
              <w:rFonts w:asciiTheme="majorHAnsi" w:hAnsiTheme="majorHAnsi"/>
              <w:szCs w:val="22"/>
            </w:rPr>
            <w:t>Il est impératif que lors de tout voyage scolaire, les responsables du groupe aient en leur possession ces coordonnées afin de pouvoir contacter nos consuls en cas de nécessité.</w:t>
          </w:r>
        </w:p>
        <w:p w:rsidR="00F04EEF" w:rsidRDefault="00F04EEF">
          <w:pPr>
            <w:pStyle w:val="En-tte"/>
            <w:spacing w:line="300" w:lineRule="atLeast"/>
            <w:jc w:val="both"/>
            <w:rPr>
              <w:rFonts w:asciiTheme="majorHAnsi" w:hAnsiTheme="majorHAnsi"/>
              <w:szCs w:val="22"/>
            </w:rPr>
          </w:pPr>
        </w:p>
        <w:p w:rsidR="00F04EEF" w:rsidRDefault="0099351E">
          <w:pPr>
            <w:pStyle w:val="En-tte"/>
            <w:spacing w:line="300" w:lineRule="atLeast"/>
            <w:jc w:val="both"/>
            <w:rPr>
              <w:rFonts w:asciiTheme="majorHAnsi" w:hAnsiTheme="majorHAnsi"/>
              <w:szCs w:val="22"/>
            </w:rPr>
          </w:pPr>
          <w:r>
            <w:rPr>
              <w:rFonts w:asciiTheme="majorHAnsi" w:hAnsiTheme="majorHAnsi"/>
              <w:szCs w:val="22"/>
            </w:rPr>
            <w:t>Il est indispensable, en cas de problème, de les contacter.</w:t>
          </w:r>
        </w:p>
        <w:p w:rsidR="00F04EEF" w:rsidRDefault="00F04EEF">
          <w:pPr>
            <w:pStyle w:val="En-tte"/>
            <w:spacing w:line="300" w:lineRule="atLeast"/>
            <w:jc w:val="both"/>
            <w:rPr>
              <w:rFonts w:asciiTheme="majorHAnsi" w:hAnsiTheme="majorHAnsi"/>
              <w:szCs w:val="22"/>
            </w:rPr>
          </w:pPr>
        </w:p>
        <w:p w:rsidR="00F04EEF" w:rsidRDefault="0099351E">
          <w:pPr>
            <w:pStyle w:val="En-tte"/>
            <w:spacing w:line="300" w:lineRule="atLeast"/>
            <w:jc w:val="both"/>
            <w:rPr>
              <w:rFonts w:asciiTheme="majorHAnsi" w:hAnsiTheme="majorHAnsi"/>
              <w:szCs w:val="22"/>
            </w:rPr>
          </w:pPr>
          <w:r>
            <w:rPr>
              <w:rFonts w:asciiTheme="majorHAnsi" w:hAnsiTheme="majorHAnsi"/>
              <w:szCs w:val="22"/>
            </w:rPr>
            <w:t xml:space="preserve">De plus, le service « Assistance aux belges » peut être contacté jour et nuit au +32.2/501.81.11 ou à l’adresse mail </w:t>
          </w:r>
          <w:hyperlink r:id="rId293" w:history="1">
            <w:r>
              <w:rPr>
                <w:rStyle w:val="Lienhypertexte"/>
                <w:rFonts w:asciiTheme="majorHAnsi" w:eastAsiaTheme="minorHAnsi" w:hAnsiTheme="majorHAnsi"/>
                <w:szCs w:val="22"/>
                <w:lang w:eastAsia="en-US"/>
              </w:rPr>
              <w:t>c1mail@diplobel.fed.be</w:t>
            </w:r>
          </w:hyperlink>
          <w:r>
            <w:rPr>
              <w:rFonts w:asciiTheme="majorHAnsi" w:hAnsiTheme="majorHAnsi"/>
              <w:szCs w:val="22"/>
            </w:rPr>
            <w:t xml:space="preserve">. </w:t>
          </w:r>
        </w:p>
        <w:p w:rsidR="00F04EEF" w:rsidRDefault="00F04EEF">
          <w:pPr>
            <w:pStyle w:val="En-tte"/>
            <w:spacing w:line="300" w:lineRule="atLeast"/>
            <w:rPr>
              <w:rFonts w:asciiTheme="majorHAnsi" w:hAnsiTheme="majorHAnsi"/>
              <w:szCs w:val="22"/>
            </w:rPr>
          </w:pPr>
        </w:p>
        <w:p w:rsidR="00F04EEF" w:rsidRDefault="0099351E">
          <w:pPr>
            <w:pStyle w:val="Titre4"/>
          </w:pPr>
          <w:r>
            <w:t>5.2. Assurances</w:t>
          </w:r>
        </w:p>
        <w:p w:rsidR="00F04EEF" w:rsidRDefault="00F04EEF">
          <w:pPr>
            <w:spacing w:line="300" w:lineRule="atLeast"/>
            <w:jc w:val="both"/>
          </w:pPr>
        </w:p>
        <w:p w:rsidR="00F04EEF" w:rsidRDefault="0099351E">
          <w:pPr>
            <w:pStyle w:val="Retraitcorpsdetexte3"/>
            <w:spacing w:line="300" w:lineRule="atLeast"/>
            <w:ind w:left="0"/>
            <w:jc w:val="both"/>
            <w:rPr>
              <w:rFonts w:asciiTheme="majorHAnsi" w:hAnsiTheme="majorHAnsi" w:cs="Times New Roman"/>
              <w:b/>
              <w:sz w:val="22"/>
              <w:szCs w:val="22"/>
              <w:u w:val="single"/>
            </w:rPr>
          </w:pPr>
          <w:r>
            <w:rPr>
              <w:rFonts w:asciiTheme="majorHAnsi" w:hAnsiTheme="majorHAnsi" w:cs="Times New Roman"/>
              <w:b/>
              <w:sz w:val="22"/>
              <w:szCs w:val="22"/>
              <w:u w:val="single"/>
            </w:rPr>
            <w:t xml:space="preserve">Il incombe au chef d’établissement ou Pouvoir organisateur de prendre les précautions indispensables en matière d’assurance. </w:t>
          </w:r>
        </w:p>
        <w:p w:rsidR="00F04EEF" w:rsidRDefault="00F04EEF">
          <w:pPr>
            <w:spacing w:line="300" w:lineRule="atLeast"/>
            <w:jc w:val="both"/>
          </w:pPr>
        </w:p>
        <w:p w:rsidR="00F04EEF" w:rsidRDefault="0099351E">
          <w:pPr>
            <w:spacing w:line="300" w:lineRule="atLeast"/>
            <w:jc w:val="both"/>
          </w:pPr>
          <w:r>
            <w:t xml:space="preserve">Concernant les accidents des membres du personnel, il est possible de s’adresser à la Direction des Accidents du Travail du Personnel de l’Enseignement par courriel : </w:t>
          </w:r>
          <w:hyperlink r:id="rId294" w:history="1">
            <w:r>
              <w:rPr>
                <w:rStyle w:val="Lienhypertexte"/>
              </w:rPr>
              <w:t>accidents.travail.enseignement@cfwb.be</w:t>
            </w:r>
          </w:hyperlink>
          <w:r>
            <w:t>.</w:t>
          </w:r>
        </w:p>
        <w:p w:rsidR="00F04EEF" w:rsidRDefault="00F04EEF">
          <w:pPr>
            <w:spacing w:line="300" w:lineRule="atLeast"/>
            <w:jc w:val="both"/>
          </w:pPr>
        </w:p>
        <w:p w:rsidR="00F04EEF" w:rsidRDefault="0099351E">
          <w:pPr>
            <w:spacing w:line="300" w:lineRule="atLeast"/>
            <w:jc w:val="both"/>
          </w:pPr>
          <w:r>
            <w:t xml:space="preserve">Pour toute question relative à l’assurance du réseau Wallonie-Bruxelles Enseignement, il est possible de s’adresser au Centre d’expertise juridique du Ministère de la Fédération Wallonie-Bruxelles, par courriel à l’adresse suivante : </w:t>
          </w:r>
          <w:hyperlink r:id="rId295" w:history="1">
            <w:r>
              <w:rPr>
                <w:rStyle w:val="Lienhypertexte"/>
              </w:rPr>
              <w:t>cej_juridique@cfwb.be</w:t>
            </w:r>
          </w:hyperlink>
          <w:r>
            <w:t>.</w:t>
          </w:r>
        </w:p>
        <w:p w:rsidR="00F04EEF" w:rsidRDefault="00F04EEF">
          <w:pPr>
            <w:spacing w:line="300" w:lineRule="atLeast"/>
          </w:pPr>
        </w:p>
        <w:p w:rsidR="00F04EEF" w:rsidRDefault="0099351E">
          <w:pPr>
            <w:pStyle w:val="Titre4"/>
          </w:pPr>
          <w:r>
            <w:t>5.3. Dispositions pour les enfants accompagnés d’adultes autres que leurs parents</w:t>
          </w:r>
        </w:p>
        <w:p w:rsidR="00F04EEF" w:rsidRDefault="00F04EEF">
          <w:pPr>
            <w:spacing w:line="300" w:lineRule="atLeast"/>
            <w:jc w:val="both"/>
          </w:pPr>
        </w:p>
        <w:p w:rsidR="00F04EEF" w:rsidRDefault="0099351E">
          <w:pPr>
            <w:spacing w:line="300" w:lineRule="atLeast"/>
            <w:jc w:val="both"/>
          </w:pPr>
          <w:r>
            <w:t>Il n'existe pas de formulaires ni de procédures belges ou internationales qui fixent les règles en matière d'autorisation parentale pour le voyage de mineurs. Cependant, toute participation aux activités doit être soumise à l’accord parental.</w:t>
          </w:r>
        </w:p>
        <w:p w:rsidR="00F04EEF" w:rsidRDefault="00F04EEF">
          <w:pPr>
            <w:spacing w:line="300" w:lineRule="atLeast"/>
            <w:jc w:val="both"/>
          </w:pPr>
        </w:p>
        <w:p w:rsidR="00F04EEF" w:rsidRDefault="0099351E">
          <w:pPr>
            <w:spacing w:line="300" w:lineRule="atLeast"/>
            <w:jc w:val="both"/>
          </w:pPr>
          <w:r>
            <w:t>Pour tout séjour à l’étranger, une pièce d’identité (carte d’identité ou Kids-ID pour les enfants de moins de 12 ans ou passeport) par élève est nécessaire.</w:t>
          </w:r>
        </w:p>
        <w:p w:rsidR="00F04EEF" w:rsidRDefault="00F04EEF">
          <w:pPr>
            <w:spacing w:line="300" w:lineRule="atLeast"/>
            <w:jc w:val="both"/>
          </w:pPr>
        </w:p>
        <w:p w:rsidR="00F04EEF" w:rsidRDefault="0099351E">
          <w:pPr>
            <w:spacing w:line="300" w:lineRule="atLeast"/>
            <w:jc w:val="both"/>
          </w:pPr>
          <w:r>
            <w:t>Afin d’éviter tout problème, il conviendra, lors de chaque voyage, de s’informer auprès de l’Ambassade ou du Consulat du pays de destination pour ce qui concerne les documents indispensables au voyage.</w:t>
          </w:r>
        </w:p>
        <w:p w:rsidR="00F04EEF" w:rsidRDefault="00F04EEF">
          <w:pPr>
            <w:rPr>
              <w:color w:val="00B050"/>
            </w:rPr>
          </w:pPr>
        </w:p>
        <w:p w:rsidR="00F04EEF" w:rsidRDefault="0099351E">
          <w:pPr>
            <w:rPr>
              <w:b/>
              <w:sz w:val="24"/>
              <w:szCs w:val="24"/>
              <w:u w:val="single"/>
            </w:rPr>
          </w:pPr>
          <w:r>
            <w:br w:type="page"/>
          </w:r>
        </w:p>
        <w:p w:rsidR="00F04EEF" w:rsidRDefault="0099351E">
          <w:pPr>
            <w:pStyle w:val="Titre3"/>
          </w:pPr>
          <w:bookmarkStart w:id="3730" w:name="_Toc47708623"/>
          <w:r>
            <w:t>6. Synthèse</w:t>
          </w:r>
          <w:bookmarkEnd w:id="3730"/>
        </w:p>
        <w:p w:rsidR="00F04EEF" w:rsidRDefault="00F04EEF">
          <w:pPr>
            <w:pStyle w:val="En-tte"/>
            <w:tabs>
              <w:tab w:val="clear" w:pos="4536"/>
              <w:tab w:val="clear" w:pos="9072"/>
            </w:tabs>
            <w:spacing w:line="300" w:lineRule="atLeast"/>
            <w:jc w:val="both"/>
            <w:rPr>
              <w:rFonts w:ascii="Verdana" w:hAnsi="Verdana" w:cs="Calibri"/>
            </w:rPr>
          </w:pPr>
        </w:p>
        <w:p w:rsidR="00F04EEF" w:rsidRDefault="0099351E">
          <w:pPr>
            <w:pStyle w:val="En-tte"/>
            <w:tabs>
              <w:tab w:val="clear" w:pos="4536"/>
              <w:tab w:val="clear" w:pos="9072"/>
            </w:tabs>
            <w:spacing w:line="300" w:lineRule="atLeast"/>
            <w:jc w:val="both"/>
            <w:rPr>
              <w:rFonts w:ascii="Verdana" w:hAnsi="Verdana" w:cs="Calibri"/>
              <w:b/>
              <w:sz w:val="20"/>
            </w:rPr>
          </w:pPr>
          <w:r>
            <w:rPr>
              <w:rFonts w:ascii="Verdana" w:hAnsi="Verdana" w:cs="Calibri"/>
              <w:b/>
              <w:i/>
              <w:sz w:val="20"/>
              <w:u w:val="single"/>
            </w:rPr>
            <w:t>Cas de figure n°1</w:t>
          </w:r>
          <w:r>
            <w:rPr>
              <w:rFonts w:ascii="Verdana" w:hAnsi="Verdana" w:cs="Calibri"/>
              <w:b/>
              <w:i/>
              <w:sz w:val="20"/>
            </w:rPr>
            <w:t xml:space="preserve"> :</w:t>
          </w:r>
          <w:r>
            <w:rPr>
              <w:rFonts w:ascii="Verdana" w:hAnsi="Verdana" w:cs="Calibri"/>
              <w:b/>
              <w:sz w:val="20"/>
            </w:rPr>
            <w:t xml:space="preserve"> dossier ne nécessitant pas de dérogation (toutes les conditions sont remplies).</w:t>
          </w: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99351E">
          <w:pPr>
            <w:spacing w:line="300" w:lineRule="atLeast"/>
            <w:jc w:val="both"/>
            <w:rPr>
              <w:rFonts w:ascii="Verdana" w:hAnsi="Verdana"/>
              <w:sz w:val="20"/>
              <w:szCs w:val="20"/>
            </w:rPr>
          </w:pPr>
          <w:r>
            <w:rPr>
              <w:rFonts w:ascii="Verdana" w:hAnsi="Verdana" w:cs="Calibri"/>
              <w:sz w:val="20"/>
              <w:szCs w:val="20"/>
            </w:rPr>
            <w:t xml:space="preserve">1. Remplir la déclaration simplifiée via le formulaire électronique suivant : </w:t>
          </w:r>
          <w:hyperlink r:id="rId296" w:history="1">
            <w:r>
              <w:rPr>
                <w:rStyle w:val="Lienhypertexte"/>
              </w:rPr>
              <w:t>www.formulaire.cfwb.be/?declarationspn</w:t>
            </w:r>
          </w:hyperlink>
          <w:r>
            <w:rPr>
              <w:rStyle w:val="Lienhypertexte"/>
              <w:rFonts w:ascii="Verdana" w:hAnsi="Verdana" w:cs="Calibri"/>
              <w:color w:val="auto"/>
              <w:sz w:val="20"/>
              <w:u w:val="none"/>
            </w:rPr>
            <w:t>.</w:t>
          </w: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99351E">
          <w:pPr>
            <w:pStyle w:val="En-tte"/>
            <w:numPr>
              <w:ilvl w:val="0"/>
              <w:numId w:val="273"/>
            </w:numPr>
            <w:tabs>
              <w:tab w:val="clear" w:pos="4536"/>
              <w:tab w:val="clear" w:pos="9072"/>
            </w:tabs>
            <w:suppressAutoHyphens w:val="0"/>
            <w:spacing w:line="300" w:lineRule="atLeast"/>
            <w:jc w:val="both"/>
            <w:rPr>
              <w:rFonts w:ascii="Verdana" w:hAnsi="Verdana" w:cs="Calibri"/>
              <w:b/>
              <w:sz w:val="20"/>
            </w:rPr>
          </w:pPr>
          <w:r>
            <w:rPr>
              <w:rFonts w:ascii="Verdana" w:hAnsi="Verdana" w:cs="Calibri"/>
              <w:b/>
              <w:sz w:val="20"/>
            </w:rPr>
            <w:t>Accusé de réception délivré par la Direction générale de l’Enseignement obligatoire= AUTORISATION automatique.</w:t>
          </w: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99351E">
          <w:pPr>
            <w:pStyle w:val="En-tte"/>
            <w:tabs>
              <w:tab w:val="clear" w:pos="4536"/>
              <w:tab w:val="clear" w:pos="9072"/>
            </w:tabs>
            <w:spacing w:line="300" w:lineRule="atLeast"/>
            <w:jc w:val="both"/>
            <w:rPr>
              <w:rFonts w:ascii="Verdana" w:hAnsi="Verdana" w:cs="Calibri"/>
              <w:b/>
              <w:sz w:val="20"/>
            </w:rPr>
          </w:pPr>
          <w:r>
            <w:rPr>
              <w:rFonts w:ascii="Verdana" w:hAnsi="Verdana" w:cs="Calibri"/>
              <w:b/>
              <w:i/>
              <w:sz w:val="20"/>
              <w:u w:val="single"/>
            </w:rPr>
            <w:t>Cas de figure n°2</w:t>
          </w:r>
          <w:r>
            <w:rPr>
              <w:rFonts w:ascii="Verdana" w:hAnsi="Verdana" w:cs="Calibri"/>
              <w:b/>
              <w:i/>
              <w:sz w:val="20"/>
            </w:rPr>
            <w:t> :</w:t>
          </w:r>
          <w:r>
            <w:rPr>
              <w:rFonts w:ascii="Verdana" w:hAnsi="Verdana" w:cs="Calibri"/>
              <w:b/>
              <w:sz w:val="20"/>
            </w:rPr>
            <w:t xml:space="preserve"> dossier nécessitant une (ou des) dérogation(s).</w:t>
          </w:r>
        </w:p>
        <w:p w:rsidR="00F04EEF" w:rsidRDefault="0099351E">
          <w:pPr>
            <w:pStyle w:val="En-tte"/>
            <w:tabs>
              <w:tab w:val="clear" w:pos="4536"/>
              <w:tab w:val="clear" w:pos="9072"/>
              <w:tab w:val="left" w:pos="1526"/>
            </w:tabs>
            <w:spacing w:line="300" w:lineRule="atLeast"/>
            <w:jc w:val="both"/>
            <w:rPr>
              <w:rFonts w:ascii="Verdana" w:hAnsi="Verdana" w:cs="Calibri"/>
              <w:sz w:val="20"/>
            </w:rPr>
          </w:pPr>
          <w:r>
            <w:rPr>
              <w:rFonts w:ascii="Verdana" w:hAnsi="Verdana" w:cs="Calibri"/>
              <w:sz w:val="20"/>
            </w:rPr>
            <w:tab/>
          </w:r>
        </w:p>
        <w:p w:rsidR="00F04EEF" w:rsidRDefault="0099351E">
          <w:pPr>
            <w:pStyle w:val="En-tte"/>
            <w:tabs>
              <w:tab w:val="clear" w:pos="4536"/>
              <w:tab w:val="clear" w:pos="9072"/>
            </w:tabs>
            <w:spacing w:line="300" w:lineRule="atLeast"/>
            <w:jc w:val="both"/>
            <w:rPr>
              <w:rFonts w:ascii="Verdana" w:hAnsi="Verdana" w:cs="Calibri"/>
              <w:sz w:val="20"/>
            </w:rPr>
          </w:pPr>
          <w:r>
            <w:rPr>
              <w:rFonts w:ascii="Verdana" w:hAnsi="Verdana" w:cs="Calibri"/>
              <w:sz w:val="20"/>
            </w:rPr>
            <w:t>1. Compléter la demande de dérogation(s) (Annexes I, II, III, IV).</w:t>
          </w: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99351E">
          <w:pPr>
            <w:pStyle w:val="En-tte"/>
            <w:tabs>
              <w:tab w:val="clear" w:pos="4536"/>
              <w:tab w:val="clear" w:pos="9072"/>
            </w:tabs>
            <w:spacing w:line="300" w:lineRule="atLeast"/>
            <w:jc w:val="both"/>
            <w:rPr>
              <w:rFonts w:ascii="Verdana" w:hAnsi="Verdana" w:cs="Calibri"/>
              <w:sz w:val="20"/>
            </w:rPr>
          </w:pPr>
          <w:r>
            <w:rPr>
              <w:rFonts w:ascii="Verdana" w:hAnsi="Verdana" w:cs="Calibri"/>
              <w:sz w:val="20"/>
            </w:rPr>
            <w:t>2. Via l’adresse mail administrative de l’établissement, envoyer le dossier, à </w:t>
          </w:r>
          <w:hyperlink r:id="rId297" w:history="1">
            <w:r>
              <w:rPr>
                <w:rStyle w:val="Lienhypertexte"/>
                <w:rFonts w:asciiTheme="majorHAnsi" w:eastAsiaTheme="minorHAnsi" w:hAnsiTheme="majorHAnsi"/>
                <w:szCs w:val="22"/>
                <w:lang w:eastAsia="en-US"/>
              </w:rPr>
              <w:t>derogation.spn@cfwb.be</w:t>
            </w:r>
          </w:hyperlink>
          <w:r>
            <w:rPr>
              <w:rStyle w:val="Lienhypertexte"/>
              <w:rFonts w:ascii="Verdana" w:hAnsi="Verdana" w:cs="Calibri"/>
              <w:color w:val="auto"/>
              <w:sz w:val="20"/>
              <w:u w:val="none"/>
            </w:rPr>
            <w:t xml:space="preserve">.   </w:t>
          </w:r>
          <w:r>
            <w:rPr>
              <w:rFonts w:ascii="Verdana" w:hAnsi="Verdana" w:cs="Calibri"/>
              <w:sz w:val="20"/>
            </w:rPr>
            <w:t xml:space="preserve"> </w:t>
          </w: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99351E">
          <w:pPr>
            <w:pStyle w:val="En-tte"/>
            <w:numPr>
              <w:ilvl w:val="0"/>
              <w:numId w:val="273"/>
            </w:numPr>
            <w:tabs>
              <w:tab w:val="clear" w:pos="4536"/>
              <w:tab w:val="clear" w:pos="9072"/>
            </w:tabs>
            <w:suppressAutoHyphens w:val="0"/>
            <w:spacing w:line="300" w:lineRule="atLeast"/>
            <w:jc w:val="both"/>
            <w:rPr>
              <w:rFonts w:ascii="Verdana" w:hAnsi="Verdana" w:cs="Calibri"/>
              <w:b/>
              <w:sz w:val="20"/>
            </w:rPr>
          </w:pPr>
          <w:r>
            <w:rPr>
              <w:rFonts w:ascii="Verdana" w:hAnsi="Verdana" w:cs="Calibri"/>
              <w:b/>
              <w:sz w:val="20"/>
            </w:rPr>
            <w:t>Décision de la Direction générale de l’Enseignement obligatoire = octroi ou refus de l’autorisation de départ.</w:t>
          </w:r>
        </w:p>
        <w:p w:rsidR="00F04EEF" w:rsidRDefault="00F04EEF">
          <w:pPr>
            <w:pStyle w:val="En-tte"/>
            <w:tabs>
              <w:tab w:val="clear" w:pos="4536"/>
              <w:tab w:val="clear" w:pos="9072"/>
            </w:tabs>
            <w:spacing w:line="300" w:lineRule="atLeast"/>
            <w:ind w:left="720"/>
            <w:jc w:val="both"/>
            <w:rPr>
              <w:rFonts w:ascii="Verdana" w:hAnsi="Verdana" w:cs="Calibri"/>
              <w:b/>
              <w:sz w:val="20"/>
            </w:rPr>
          </w:pPr>
        </w:p>
        <w:p w:rsidR="00F04EEF" w:rsidRDefault="00F04EEF">
          <w:pPr>
            <w:pStyle w:val="En-tte"/>
            <w:tabs>
              <w:tab w:val="clear" w:pos="4536"/>
              <w:tab w:val="clear" w:pos="9072"/>
            </w:tabs>
            <w:spacing w:line="300" w:lineRule="atLeast"/>
            <w:ind w:left="720"/>
            <w:jc w:val="both"/>
            <w:rPr>
              <w:rFonts w:ascii="Verdana" w:hAnsi="Verdana" w:cs="Calibri"/>
              <w:b/>
              <w:sz w:val="20"/>
            </w:rPr>
          </w:pPr>
        </w:p>
        <w:p w:rsidR="00F04EEF" w:rsidRDefault="0099351E">
          <w:pPr>
            <w:pStyle w:val="En-tte"/>
            <w:tabs>
              <w:tab w:val="clear" w:pos="4536"/>
              <w:tab w:val="clear" w:pos="9072"/>
            </w:tabs>
            <w:spacing w:line="300" w:lineRule="atLeast"/>
            <w:jc w:val="both"/>
            <w:rPr>
              <w:rFonts w:ascii="Verdana" w:hAnsi="Verdana" w:cs="Calibri"/>
              <w:sz w:val="20"/>
            </w:rPr>
          </w:pPr>
          <w:r>
            <w:rPr>
              <w:rFonts w:ascii="Verdana" w:hAnsi="Verdana" w:cs="Calibri"/>
              <w:sz w:val="20"/>
              <w:u w:val="single"/>
            </w:rPr>
            <w:t>Rappel des différentes dérogations possibles</w:t>
          </w:r>
          <w:r>
            <w:rPr>
              <w:rFonts w:ascii="Verdana" w:hAnsi="Verdana" w:cs="Calibri"/>
              <w:sz w:val="20"/>
            </w:rPr>
            <w:t> :</w:t>
          </w:r>
        </w:p>
        <w:p w:rsidR="00F04EEF" w:rsidRDefault="00F04EEF">
          <w:pPr>
            <w:pStyle w:val="En-tte"/>
            <w:tabs>
              <w:tab w:val="clear" w:pos="4536"/>
              <w:tab w:val="clear" w:pos="9072"/>
            </w:tabs>
            <w:spacing w:line="300" w:lineRule="atLeast"/>
            <w:jc w:val="both"/>
            <w:rPr>
              <w:rFonts w:ascii="Verdana" w:hAnsi="Verdana" w:cs="Calibri"/>
              <w:sz w:val="20"/>
              <w:u w:val="single"/>
            </w:rPr>
          </w:pPr>
        </w:p>
        <w:p w:rsidR="00F04EEF" w:rsidRDefault="0099351E">
          <w:pPr>
            <w:pStyle w:val="En-tte"/>
            <w:numPr>
              <w:ilvl w:val="0"/>
              <w:numId w:val="274"/>
            </w:numPr>
            <w:tabs>
              <w:tab w:val="clear" w:pos="4536"/>
              <w:tab w:val="clear" w:pos="9072"/>
            </w:tabs>
            <w:suppressAutoHyphens w:val="0"/>
            <w:spacing w:line="300" w:lineRule="atLeast"/>
            <w:jc w:val="both"/>
            <w:rPr>
              <w:rFonts w:ascii="Verdana" w:hAnsi="Verdana" w:cs="Calibri"/>
              <w:sz w:val="20"/>
            </w:rPr>
          </w:pPr>
          <w:r>
            <w:rPr>
              <w:rFonts w:ascii="Verdana" w:hAnsi="Verdana" w:cs="Calibri"/>
              <w:b/>
              <w:sz w:val="20"/>
            </w:rPr>
            <w:t>Dérogation pour le délai d’introduction du dossier :</w:t>
          </w:r>
          <w:r>
            <w:rPr>
              <w:rFonts w:ascii="Verdana" w:hAnsi="Verdana"/>
              <w:sz w:val="20"/>
            </w:rPr>
            <w:t xml:space="preserve"> </w:t>
          </w:r>
          <w:r>
            <w:rPr>
              <w:rFonts w:ascii="Verdana" w:hAnsi="Verdana" w:cs="Calibri"/>
              <w:sz w:val="20"/>
            </w:rPr>
            <w:t>tous les niveaux.</w:t>
          </w:r>
        </w:p>
        <w:p w:rsidR="00F04EEF" w:rsidRDefault="00F04EEF">
          <w:pPr>
            <w:pStyle w:val="En-tte"/>
            <w:tabs>
              <w:tab w:val="clear" w:pos="4536"/>
              <w:tab w:val="clear" w:pos="9072"/>
            </w:tabs>
            <w:spacing w:line="300" w:lineRule="atLeast"/>
            <w:ind w:left="720"/>
            <w:jc w:val="both"/>
            <w:rPr>
              <w:rFonts w:ascii="Verdana" w:hAnsi="Verdana" w:cs="Calibri"/>
              <w:sz w:val="20"/>
            </w:rPr>
          </w:pPr>
        </w:p>
        <w:p w:rsidR="00F04EEF" w:rsidRDefault="0099351E">
          <w:pPr>
            <w:pStyle w:val="En-tte"/>
            <w:numPr>
              <w:ilvl w:val="0"/>
              <w:numId w:val="274"/>
            </w:numPr>
            <w:tabs>
              <w:tab w:val="clear" w:pos="4536"/>
              <w:tab w:val="clear" w:pos="9072"/>
            </w:tabs>
            <w:suppressAutoHyphens w:val="0"/>
            <w:spacing w:line="300" w:lineRule="atLeast"/>
            <w:jc w:val="both"/>
            <w:rPr>
              <w:rFonts w:ascii="Verdana" w:hAnsi="Verdana" w:cs="Calibri"/>
              <w:sz w:val="20"/>
            </w:rPr>
          </w:pPr>
          <w:r>
            <w:rPr>
              <w:rFonts w:ascii="Verdana" w:hAnsi="Verdana" w:cs="Calibri"/>
              <w:b/>
              <w:sz w:val="20"/>
            </w:rPr>
            <w:t>Dérogation pour le taux de participation</w:t>
          </w:r>
          <w:r>
            <w:rPr>
              <w:rFonts w:ascii="Verdana" w:hAnsi="Verdana" w:cs="Calibri"/>
              <w:sz w:val="20"/>
            </w:rPr>
            <w:t> : tous les niveaux.</w:t>
          </w: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99351E">
          <w:pPr>
            <w:pStyle w:val="En-tte"/>
            <w:numPr>
              <w:ilvl w:val="0"/>
              <w:numId w:val="274"/>
            </w:numPr>
            <w:tabs>
              <w:tab w:val="clear" w:pos="4536"/>
              <w:tab w:val="clear" w:pos="9072"/>
            </w:tabs>
            <w:suppressAutoHyphens w:val="0"/>
            <w:spacing w:line="300" w:lineRule="atLeast"/>
            <w:ind w:left="714" w:hanging="357"/>
            <w:jc w:val="both"/>
            <w:rPr>
              <w:rFonts w:ascii="Verdana" w:hAnsi="Verdana" w:cs="Calibri"/>
              <w:sz w:val="20"/>
            </w:rPr>
          </w:pPr>
          <w:r>
            <w:rPr>
              <w:rFonts w:ascii="Verdana" w:hAnsi="Verdana" w:cs="Calibri"/>
              <w:b/>
              <w:sz w:val="20"/>
            </w:rPr>
            <w:t>Dérogation à l’obligation pour l’un(e) des accompagnateur(trice)s d’être le (la) titulaire ou le (la) Directeur(trice) avec classe</w:t>
          </w:r>
          <w:r>
            <w:rPr>
              <w:rFonts w:ascii="Verdana" w:hAnsi="Verdana" w:cs="Calibri"/>
              <w:sz w:val="20"/>
            </w:rPr>
            <w:t> : enseignement fondamental, ordinaire et spécialisé, uniquement.</w:t>
          </w:r>
        </w:p>
        <w:p w:rsidR="00F04EEF" w:rsidRDefault="00F04EEF">
          <w:pPr>
            <w:pStyle w:val="Paragraphedeliste"/>
            <w:rPr>
              <w:rFonts w:ascii="Verdana" w:hAnsi="Verdana" w:cs="Calibri"/>
            </w:rPr>
          </w:pPr>
        </w:p>
        <w:p w:rsidR="00F04EEF" w:rsidRDefault="0099351E">
          <w:pPr>
            <w:pStyle w:val="Paragraphedeliste"/>
            <w:numPr>
              <w:ilvl w:val="0"/>
              <w:numId w:val="274"/>
            </w:numPr>
            <w:suppressAutoHyphens w:val="0"/>
            <w:spacing w:line="300" w:lineRule="atLeast"/>
            <w:contextualSpacing/>
            <w:jc w:val="both"/>
            <w:rPr>
              <w:rFonts w:ascii="Verdana" w:hAnsi="Verdana"/>
              <w:szCs w:val="22"/>
            </w:rPr>
          </w:pPr>
          <w:r>
            <w:rPr>
              <w:rFonts w:ascii="Verdana" w:hAnsi="Verdana"/>
              <w:b/>
            </w:rPr>
            <w:t>Dérogation visant à permettre au chef d’établissement d’être comptabilisé au niveau de l’encadrement</w:t>
          </w:r>
          <w:r>
            <w:rPr>
              <w:rFonts w:ascii="Verdana" w:hAnsi="Verdana"/>
            </w:rPr>
            <w:t> : tous les niveaux.</w:t>
          </w: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F04EEF">
          <w:pPr>
            <w:pStyle w:val="En-tte"/>
            <w:tabs>
              <w:tab w:val="clear" w:pos="4536"/>
              <w:tab w:val="clear" w:pos="9072"/>
            </w:tabs>
            <w:spacing w:line="300" w:lineRule="atLeast"/>
            <w:jc w:val="both"/>
            <w:rPr>
              <w:rFonts w:ascii="Verdana" w:hAnsi="Verdana" w:cs="Calibri"/>
              <w:sz w:val="20"/>
            </w:rPr>
          </w:pPr>
        </w:p>
        <w:p w:rsidR="00F04EEF" w:rsidRDefault="0099351E">
          <w:pPr>
            <w:pStyle w:val="Titre3"/>
          </w:pPr>
          <w:bookmarkStart w:id="3731" w:name="_Toc47708624"/>
          <w:r>
            <w:t>7. Annexes</w:t>
          </w:r>
          <w:bookmarkEnd w:id="3731"/>
        </w:p>
        <w:p w:rsidR="00F04EEF" w:rsidRDefault="00F04EEF">
          <w:pPr>
            <w:rPr>
              <w:rFonts w:ascii="Verdana" w:hAnsi="Verdana" w:cs="Calibri"/>
              <w:sz w:val="20"/>
              <w:szCs w:val="20"/>
            </w:rPr>
          </w:pPr>
        </w:p>
        <w:p w:rsidR="00F04EEF" w:rsidRDefault="0099351E">
          <w:pPr>
            <w:rPr>
              <w:rFonts w:ascii="Verdana" w:hAnsi="Verdana" w:cs="Calibri"/>
              <w:sz w:val="20"/>
              <w:szCs w:val="20"/>
            </w:rPr>
          </w:pPr>
          <w:r>
            <w:rPr>
              <w:rFonts w:ascii="Verdana" w:hAnsi="Verdana" w:cs="Calibri"/>
              <w:sz w:val="20"/>
              <w:szCs w:val="20"/>
            </w:rPr>
            <w:br w:type="page"/>
          </w:r>
        </w:p>
        <w:p w:rsidR="00F04EEF" w:rsidRDefault="0099351E">
          <w:pPr>
            <w:pStyle w:val="Titre4"/>
          </w:pPr>
          <w:r>
            <w:t>ANNEXE I</w:t>
          </w:r>
        </w:p>
        <w:p w:rsidR="00F04EEF" w:rsidRDefault="00F04EEF"/>
        <w:p w:rsidR="00F04EEF" w:rsidRDefault="0099351E">
          <w:pPr>
            <w:pBdr>
              <w:top w:val="single" w:sz="4" w:space="1" w:color="auto"/>
              <w:left w:val="single" w:sz="4" w:space="4" w:color="auto"/>
              <w:bottom w:val="single" w:sz="4" w:space="1" w:color="auto"/>
              <w:right w:val="single" w:sz="4" w:space="4" w:color="auto"/>
            </w:pBdr>
            <w:jc w:val="center"/>
            <w:rPr>
              <w:rFonts w:ascii="Calibri" w:hAnsi="Calibri" w:cs="Calibri"/>
              <w:b/>
              <w:u w:val="single"/>
            </w:rPr>
          </w:pPr>
          <w:r>
            <w:rPr>
              <w:rFonts w:ascii="Calibri" w:hAnsi="Calibri" w:cs="Calibri"/>
              <w:b/>
              <w:u w:val="single"/>
            </w:rPr>
            <w:t>SEJOUR PEDAGOGIQUE AVEC NUITEE(S)</w:t>
          </w:r>
        </w:p>
        <w:p w:rsidR="00F04EEF" w:rsidRDefault="00F04EEF">
          <w:pPr>
            <w:pBdr>
              <w:top w:val="single" w:sz="4" w:space="1" w:color="auto"/>
              <w:left w:val="single" w:sz="4" w:space="4" w:color="auto"/>
              <w:bottom w:val="single" w:sz="4" w:space="1" w:color="auto"/>
              <w:right w:val="single" w:sz="4" w:space="4" w:color="auto"/>
            </w:pBdr>
            <w:jc w:val="center"/>
            <w:rPr>
              <w:rFonts w:ascii="Calibri" w:hAnsi="Calibri" w:cs="Calibri"/>
              <w:b/>
              <w:u w:val="single"/>
            </w:rPr>
          </w:pPr>
        </w:p>
        <w:p w:rsidR="00F04EEF" w:rsidRDefault="00F04EEF">
          <w:pPr>
            <w:rPr>
              <w:rFonts w:ascii="Calibri" w:hAnsi="Calibri" w:cs="Calibri"/>
            </w:rPr>
          </w:pPr>
        </w:p>
        <w:p w:rsidR="00F04EEF" w:rsidRDefault="0099351E">
          <w:pPr>
            <w:spacing w:line="280" w:lineRule="atLeast"/>
            <w:rPr>
              <w:rFonts w:ascii="Calibri" w:hAnsi="Calibri" w:cs="Calibri"/>
            </w:rPr>
          </w:pPr>
          <w:r>
            <w:rPr>
              <w:rFonts w:ascii="Calibri" w:hAnsi="Calibri" w:cs="Calibri"/>
            </w:rPr>
            <w:t>Etablissement demandeur :</w:t>
          </w:r>
        </w:p>
        <w:p w:rsidR="00F04EEF" w:rsidRDefault="0099351E">
          <w:pPr>
            <w:tabs>
              <w:tab w:val="left" w:pos="0"/>
              <w:tab w:val="right" w:leader="dot" w:pos="9072"/>
            </w:tabs>
            <w:spacing w:line="280" w:lineRule="atLeast"/>
            <w:rPr>
              <w:rFonts w:ascii="Calibri" w:hAnsi="Calibri" w:cs="Calibri"/>
            </w:rPr>
          </w:pPr>
          <w:r>
            <w:rPr>
              <w:rFonts w:ascii="Calibri" w:hAnsi="Calibri" w:cs="Calibri"/>
            </w:rPr>
            <w:t xml:space="preserve">N° Fase :                                </w:t>
          </w:r>
        </w:p>
        <w:p w:rsidR="00F04EEF" w:rsidRDefault="0099351E">
          <w:pPr>
            <w:tabs>
              <w:tab w:val="left" w:pos="0"/>
              <w:tab w:val="right" w:leader="dot" w:pos="9072"/>
            </w:tabs>
            <w:spacing w:line="280" w:lineRule="atLeast"/>
            <w:rPr>
              <w:rFonts w:ascii="Calibri" w:hAnsi="Calibri" w:cs="Calibri"/>
            </w:rPr>
          </w:pPr>
          <w:r>
            <w:rPr>
              <w:rFonts w:ascii="Calibri" w:hAnsi="Calibri" w:cs="Calibri"/>
            </w:rPr>
            <w:t>Adresse complète :</w:t>
          </w:r>
        </w:p>
        <w:p w:rsidR="00F04EEF" w:rsidRDefault="00F04EEF">
          <w:pPr>
            <w:tabs>
              <w:tab w:val="left" w:pos="0"/>
              <w:tab w:val="right" w:leader="dot" w:pos="9072"/>
            </w:tabs>
            <w:spacing w:line="280" w:lineRule="atLeast"/>
            <w:rPr>
              <w:rFonts w:ascii="Calibri" w:hAnsi="Calibri" w:cs="Calibri"/>
            </w:rPr>
          </w:pPr>
        </w:p>
        <w:p w:rsidR="00F04EEF" w:rsidRDefault="0099351E">
          <w:pPr>
            <w:tabs>
              <w:tab w:val="left" w:pos="0"/>
              <w:tab w:val="right" w:leader="dot" w:pos="9072"/>
            </w:tabs>
            <w:spacing w:line="280" w:lineRule="atLeast"/>
            <w:rPr>
              <w:rFonts w:ascii="Calibri" w:hAnsi="Calibri" w:cs="Calibri"/>
            </w:rPr>
          </w:pPr>
          <w:r>
            <w:rPr>
              <w:rFonts w:ascii="Calibri" w:hAnsi="Calibri" w:cs="Calibri"/>
            </w:rPr>
            <w:t xml:space="preserve">E-mail : </w:t>
          </w:r>
        </w:p>
        <w:p w:rsidR="00F04EEF" w:rsidRDefault="00F04EEF">
          <w:pPr>
            <w:tabs>
              <w:tab w:val="left" w:pos="0"/>
              <w:tab w:val="right" w:leader="dot" w:pos="5103"/>
              <w:tab w:val="right" w:leader="dot" w:pos="9072"/>
            </w:tabs>
            <w:spacing w:line="280" w:lineRule="atLeast"/>
            <w:rPr>
              <w:rFonts w:ascii="Calibri" w:hAnsi="Calibri" w:cs="Calibri"/>
            </w:rPr>
          </w:pPr>
        </w:p>
        <w:p w:rsidR="00F04EEF" w:rsidRDefault="0099351E">
          <w:pPr>
            <w:tabs>
              <w:tab w:val="left" w:pos="0"/>
              <w:tab w:val="right" w:leader="dot" w:pos="5103"/>
              <w:tab w:val="right" w:leader="dot" w:pos="9072"/>
            </w:tabs>
            <w:spacing w:line="280" w:lineRule="atLeast"/>
            <w:rPr>
              <w:rFonts w:ascii="Calibri" w:hAnsi="Calibri" w:cs="Calibri"/>
            </w:rPr>
          </w:pPr>
          <w:r>
            <w:rPr>
              <w:rFonts w:ascii="Calibri" w:hAnsi="Calibri" w:cs="Calibri"/>
            </w:rPr>
            <w:t xml:space="preserve">N° de téléphone :                                                                       </w:t>
          </w:r>
        </w:p>
        <w:p w:rsidR="00F04EEF" w:rsidRDefault="00F04EEF">
          <w:pPr>
            <w:tabs>
              <w:tab w:val="left" w:pos="0"/>
              <w:tab w:val="right" w:leader="dot" w:pos="5103"/>
              <w:tab w:val="right" w:leader="dot" w:pos="9072"/>
            </w:tabs>
            <w:rPr>
              <w:rFonts w:ascii="Calibri" w:hAnsi="Calibri" w:cs="Calibri"/>
              <w:sz w:val="16"/>
              <w:szCs w:val="16"/>
            </w:rPr>
          </w:pPr>
        </w:p>
        <w:p w:rsidR="00F04EEF" w:rsidRDefault="0099351E">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40" w:lineRule="atLeast"/>
            <w:rPr>
              <w:rFonts w:ascii="Calibri" w:hAnsi="Calibri" w:cs="Calibri"/>
            </w:rPr>
          </w:pPr>
          <w:r>
            <w:rPr>
              <w:rFonts w:ascii="Calibri" w:hAnsi="Calibri" w:cs="Calibri"/>
              <w:u w:val="single"/>
            </w:rPr>
            <w:t>Type et niveau d’enseignement</w:t>
          </w:r>
          <w:r>
            <w:rPr>
              <w:rFonts w:ascii="Calibri" w:hAnsi="Calibri" w:cs="Calibri"/>
            </w:rPr>
            <w:t> :</w:t>
          </w:r>
        </w:p>
        <w:p w:rsidR="00F04EEF" w:rsidRDefault="0099351E">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 xml:space="preserve">Année d’études ou phase : </w:t>
          </w:r>
        </w:p>
        <w:p w:rsidR="00F04EEF" w:rsidRDefault="0099351E">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Type, maturité</w:t>
          </w:r>
          <w:r>
            <w:rPr>
              <w:rFonts w:ascii="Calibri" w:hAnsi="Calibri" w:cs="Calibri"/>
              <w:color w:val="FF00FF"/>
            </w:rPr>
            <w:t xml:space="preserve"> </w:t>
          </w:r>
          <w:r>
            <w:rPr>
              <w:rFonts w:ascii="Calibri" w:hAnsi="Calibri" w:cs="Calibri"/>
            </w:rPr>
            <w:t>et forme (enseignement spécialisé) :</w:t>
          </w:r>
        </w:p>
        <w:p w:rsidR="00F04EEF" w:rsidRDefault="00F04EEF">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 w:val="16"/>
              <w:szCs w:val="16"/>
            </w:rPr>
          </w:pPr>
        </w:p>
        <w:p w:rsidR="00F04EEF" w:rsidRDefault="0099351E">
          <w:pPr>
            <w:pBdr>
              <w:top w:val="single" w:sz="4" w:space="1" w:color="auto"/>
              <w:left w:val="single" w:sz="4" w:space="3"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Type de classe organisée</w:t>
          </w:r>
          <w:r>
            <w:rPr>
              <w:rFonts w:ascii="Calibri" w:hAnsi="Calibri" w:cs="Calibri"/>
              <w:i/>
            </w:rPr>
            <w:t> :</w:t>
          </w:r>
        </w:p>
        <w:p w:rsidR="00F04EEF" w:rsidRDefault="00F04EEF">
          <w:pPr>
            <w:pBdr>
              <w:top w:val="single" w:sz="4" w:space="1" w:color="auto"/>
              <w:left w:val="single" w:sz="4" w:space="3" w:color="auto"/>
              <w:bottom w:val="single" w:sz="4" w:space="1" w:color="auto"/>
              <w:right w:val="single" w:sz="4" w:space="4" w:color="auto"/>
            </w:pBdr>
            <w:spacing w:line="240" w:lineRule="atLeast"/>
            <w:rPr>
              <w:rFonts w:ascii="Calibri" w:hAnsi="Calibri" w:cs="Calibri"/>
              <w:i/>
              <w:sz w:val="16"/>
              <w:szCs w:val="16"/>
              <w:u w:val="single"/>
            </w:rPr>
          </w:pPr>
        </w:p>
        <w:p w:rsidR="00F04EEF" w:rsidRDefault="0099351E">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40" w:lineRule="atLeast"/>
            <w:rPr>
              <w:rFonts w:ascii="Calibri" w:hAnsi="Calibri" w:cs="Calibri"/>
            </w:rPr>
          </w:pPr>
          <w:r>
            <w:rPr>
              <w:rFonts w:ascii="Calibri" w:hAnsi="Calibri" w:cs="Calibri"/>
            </w:rPr>
            <w:t>Classe de mer</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 xml:space="preserve">                                 </w:t>
          </w:r>
          <w:r>
            <w:rPr>
              <w:rFonts w:ascii="Calibri" w:hAnsi="Calibri" w:cs="Calibri"/>
            </w:rPr>
            <w:tab/>
            <w:t xml:space="preserve">Classe de ville  </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p>
        <w:p w:rsidR="00F04EEF" w:rsidRDefault="0099351E">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de neige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citoyenne ou culturelle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p>
        <w:p w:rsidR="00F04EEF" w:rsidRDefault="0099351E">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verte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sportive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p>
        <w:p w:rsidR="00F04EEF" w:rsidRDefault="0099351E">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linguistique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Retraite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p>
        <w:p w:rsidR="00F04EEF" w:rsidRDefault="0099351E">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40" w:lineRule="atLeast"/>
            <w:rPr>
              <w:rFonts w:ascii="Calibri" w:hAnsi="Calibri" w:cs="Calibri"/>
            </w:rPr>
          </w:pPr>
          <w:r>
            <w:rPr>
              <w:rFonts w:ascii="Calibri" w:hAnsi="Calibri" w:cs="Calibri"/>
            </w:rPr>
            <w:t>Autre (spécifier) :</w:t>
          </w:r>
          <w:r>
            <w:rPr>
              <w:rFonts w:ascii="Calibri" w:hAnsi="Calibri" w:cs="Calibri"/>
            </w:rPr>
            <w:tab/>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p>
        <w:p w:rsidR="00F04EEF" w:rsidRDefault="00F04EEF">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p>
        <w:p w:rsidR="00F04EEF" w:rsidRDefault="0099351E">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Nombre d’élèves participant(e)s : </w:t>
          </w:r>
          <w:r>
            <w:rPr>
              <w:rFonts w:ascii="Calibri" w:hAnsi="Calibri" w:cs="Calibri"/>
            </w:rPr>
            <w:tab/>
            <w:t>Nombre d’élèves non-participant(e)s :                       Soit :           % de participation</w:t>
          </w:r>
        </w:p>
        <w:p w:rsidR="00F04EEF" w:rsidRDefault="0099351E">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          </w:t>
          </w:r>
          <w:r>
            <w:rPr>
              <w:rFonts w:ascii="Calibri" w:hAnsi="Calibri" w:cs="Calibri"/>
            </w:rPr>
            <w:tab/>
            <w:t xml:space="preserve"> </w:t>
          </w:r>
        </w:p>
        <w:p w:rsidR="00F04EEF" w:rsidRDefault="0099351E">
          <w:pPr>
            <w:pBdr>
              <w:top w:val="single" w:sz="4" w:space="1" w:color="auto"/>
              <w:left w:val="single" w:sz="4" w:space="4" w:color="auto"/>
              <w:bottom w:val="single" w:sz="4" w:space="1" w:color="auto"/>
              <w:right w:val="single" w:sz="4" w:space="4" w:color="auto"/>
            </w:pBdr>
            <w:tabs>
              <w:tab w:val="left" w:pos="1452"/>
              <w:tab w:val="right" w:leader="dot" w:pos="3402"/>
            </w:tabs>
            <w:spacing w:line="240" w:lineRule="atLeast"/>
            <w:rPr>
              <w:rFonts w:ascii="Calibri" w:hAnsi="Calibri" w:cs="Calibri"/>
            </w:rPr>
          </w:pPr>
          <w:r>
            <w:rPr>
              <w:rFonts w:ascii="Calibri" w:hAnsi="Calibri" w:cs="Calibri"/>
            </w:rPr>
            <w:tab/>
          </w:r>
        </w:p>
        <w:p w:rsidR="00F04EEF" w:rsidRDefault="0099351E">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Date de départ</w:t>
          </w:r>
          <w:r>
            <w:rPr>
              <w:rStyle w:val="Appelnotedebasdep"/>
              <w:rFonts w:ascii="Calibri" w:hAnsi="Calibri" w:cs="Calibri"/>
            </w:rPr>
            <w:footnoteReference w:id="183"/>
          </w:r>
          <w:r>
            <w:rPr>
              <w:rFonts w:ascii="Calibri" w:hAnsi="Calibri" w:cs="Calibri"/>
            </w:rPr>
            <w:t xml:space="preserve"> : </w:t>
          </w:r>
          <w:r>
            <w:rPr>
              <w:rFonts w:ascii="Calibri" w:hAnsi="Calibri" w:cs="Calibri"/>
            </w:rPr>
            <w:tab/>
          </w:r>
          <w:r>
            <w:rPr>
              <w:rFonts w:ascii="Calibri" w:hAnsi="Calibri" w:cs="Calibri"/>
            </w:rPr>
            <w:tab/>
          </w:r>
          <w:r>
            <w:rPr>
              <w:rFonts w:ascii="Calibri" w:hAnsi="Calibri" w:cs="Calibri"/>
            </w:rPr>
            <w:tab/>
            <w:t xml:space="preserve">                          Date de retour : </w:t>
          </w:r>
          <w:r>
            <w:rPr>
              <w:rFonts w:ascii="Calibri" w:hAnsi="Calibri" w:cs="Calibri"/>
            </w:rPr>
            <w:tab/>
          </w:r>
        </w:p>
        <w:p w:rsidR="00F04EEF" w:rsidRDefault="00F04EEF">
          <w:pPr>
            <w:pBdr>
              <w:top w:val="single" w:sz="4" w:space="1" w:color="auto"/>
              <w:left w:val="single" w:sz="4" w:space="4" w:color="auto"/>
              <w:bottom w:val="single" w:sz="4" w:space="1" w:color="auto"/>
              <w:right w:val="single" w:sz="4" w:space="4" w:color="auto"/>
            </w:pBdr>
            <w:spacing w:line="240" w:lineRule="atLeast"/>
            <w:rPr>
              <w:rFonts w:ascii="Calibri" w:hAnsi="Calibri" w:cs="Calibri"/>
              <w:i/>
              <w:sz w:val="16"/>
              <w:szCs w:val="16"/>
              <w:u w:val="single"/>
            </w:rPr>
          </w:pPr>
        </w:p>
        <w:p w:rsidR="00F04EEF" w:rsidRDefault="0099351E">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délai d’introduction du dossier (justification à annexer à la présente)                                                    </w:t>
          </w:r>
        </w:p>
        <w:p w:rsidR="00F04EEF" w:rsidRDefault="0099351E">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taux de participation (justification à annexer à la présente)    </w:t>
          </w:r>
        </w:p>
        <w:p w:rsidR="00F04EEF" w:rsidRDefault="0099351E">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Dérogation à l’obligation pour l’un(e) des accompagnateur(trice)s d’être le (la) titulaire ou le (la) Directeur(trice) avec classe (enseignement fondamental ordinaire et spécialisé) (justification à annexer à la présente)</w:t>
          </w:r>
        </w:p>
        <w:p w:rsidR="00F04EEF" w:rsidRDefault="0099351E">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 xml:space="preserve"> </w:t>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F42422">
            <w:rPr>
              <w:rFonts w:ascii="Segoe UI" w:hAnsi="Segoe UI" w:cs="Segoe UI"/>
              <w:b/>
              <w:sz w:val="20"/>
              <w:szCs w:val="20"/>
            </w:rPr>
          </w:r>
          <w:r w:rsidR="00F42422">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visant à permettre au chef d’établissement d’être comptabilisé au niveau de l’encadrement (justification à annexer à la présente)    </w:t>
          </w:r>
        </w:p>
        <w:p w:rsidR="00F04EEF" w:rsidRDefault="00F04EEF">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p>
        <w:p w:rsidR="00F04EEF" w:rsidRDefault="0099351E">
          <w:pPr>
            <w:pBdr>
              <w:top w:val="single" w:sz="4" w:space="1" w:color="auto"/>
              <w:left w:val="single" w:sz="4" w:space="4"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Adresse complète du lieu de séjour</w:t>
          </w:r>
          <w:r>
            <w:rPr>
              <w:rFonts w:ascii="Calibri" w:hAnsi="Calibri" w:cs="Calibri"/>
              <w:i/>
            </w:rPr>
            <w:t> :</w:t>
          </w:r>
        </w:p>
        <w:p w:rsidR="00F04EEF" w:rsidRDefault="00F04EEF">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rsidR="00F04EEF" w:rsidRDefault="00F04EEF">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rsidR="00F04EEF" w:rsidRDefault="0099351E">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que les coûts engendrés par ce séjour pédagogique avec nuitée(s) sont inscrits dans le décompte périodique.</w:t>
          </w:r>
        </w:p>
        <w:p w:rsidR="00F04EEF" w:rsidRDefault="0099351E">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avoir obtenu (pour l’enseignement subventionné) l’autorisation pour ce séjour du Pouvoir organisateur.</w:t>
          </w:r>
        </w:p>
        <w:p w:rsidR="00F04EEF" w:rsidRDefault="00F04EEF">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rsidR="00F04EEF" w:rsidRDefault="0099351E">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Demande introduite le :</w:t>
          </w:r>
        </w:p>
        <w:p w:rsidR="00F04EEF" w:rsidRDefault="0099351E">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Signature du chef d’établissement :</w:t>
          </w:r>
        </w:p>
        <w:p w:rsidR="00F04EEF" w:rsidRDefault="00F04EEF">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sz w:val="20"/>
              <w:szCs w:val="20"/>
            </w:rPr>
          </w:pPr>
        </w:p>
        <w:p w:rsidR="00F04EEF" w:rsidRDefault="0099351E">
          <w:pPr>
            <w:rPr>
              <w:b/>
              <w:u w:val="single"/>
            </w:rPr>
          </w:pPr>
          <w:r>
            <w:br w:type="page"/>
          </w:r>
        </w:p>
        <w:p w:rsidR="00F04EEF" w:rsidRDefault="0099351E">
          <w:pPr>
            <w:pStyle w:val="Titre4"/>
          </w:pPr>
          <w:r>
            <w:t>ANNEXE II</w:t>
          </w:r>
        </w:p>
        <w:p w:rsidR="00F04EEF" w:rsidRDefault="00F04EEF">
          <w:pPr>
            <w:tabs>
              <w:tab w:val="left" w:pos="1605"/>
              <w:tab w:val="right" w:pos="9072"/>
            </w:tabs>
            <w:rPr>
              <w:rFonts w:ascii="Calibri" w:hAnsi="Calibri" w:cs="Calibri"/>
            </w:rPr>
          </w:pPr>
        </w:p>
        <w:p w:rsidR="00F04EEF" w:rsidRDefault="0099351E">
          <w:pPr>
            <w:tabs>
              <w:tab w:val="left" w:pos="1605"/>
              <w:tab w:val="right" w:pos="9072"/>
            </w:tabs>
            <w:rPr>
              <w:rFonts w:ascii="Calibri" w:hAnsi="Calibri" w:cs="Calibri"/>
            </w:rPr>
          </w:pPr>
          <w:r>
            <w:rPr>
              <w:rFonts w:ascii="Calibri" w:hAnsi="Calibri" w:cs="Calibri"/>
            </w:rPr>
            <w:t>Etablissement (n° FASE) :</w:t>
          </w:r>
        </w:p>
        <w:p w:rsidR="00F04EEF" w:rsidRDefault="00F04EEF">
          <w:pPr>
            <w:tabs>
              <w:tab w:val="left" w:pos="1605"/>
              <w:tab w:val="right" w:pos="9072"/>
            </w:tabs>
            <w:jc w:val="center"/>
            <w:rPr>
              <w:rFonts w:ascii="Calibri" w:hAnsi="Calibri" w:cs="Calibri"/>
              <w:b/>
              <w:u w:val="single"/>
            </w:rPr>
          </w:pPr>
        </w:p>
        <w:p w:rsidR="00F04EEF" w:rsidRDefault="0099351E">
          <w:pPr>
            <w:tabs>
              <w:tab w:val="left" w:pos="1605"/>
              <w:tab w:val="right" w:pos="9072"/>
            </w:tabs>
            <w:jc w:val="center"/>
            <w:rPr>
              <w:rFonts w:ascii="Calibri" w:hAnsi="Calibri" w:cs="Calibri"/>
              <w:b/>
              <w:u w:val="single"/>
            </w:rPr>
          </w:pPr>
          <w:r>
            <w:rPr>
              <w:rFonts w:ascii="Calibri" w:hAnsi="Calibri" w:cs="Calibri"/>
              <w:b/>
              <w:u w:val="single"/>
            </w:rPr>
            <w:t>PARTICIPATION</w:t>
          </w:r>
        </w:p>
        <w:p w:rsidR="00F04EEF" w:rsidRDefault="00F04EEF">
          <w:pPr>
            <w:tabs>
              <w:tab w:val="left" w:pos="1605"/>
              <w:tab w:val="right" w:pos="9072"/>
            </w:tabs>
            <w:jc w:val="center"/>
            <w:rPr>
              <w:rFonts w:ascii="Calibri" w:hAnsi="Calibri" w:cs="Calibri"/>
              <w:b/>
              <w:u w:val="single"/>
            </w:rPr>
          </w:pPr>
        </w:p>
        <w:p w:rsidR="00F04EEF" w:rsidRDefault="00F04EEF">
          <w:pPr>
            <w:tabs>
              <w:tab w:val="left" w:pos="1605"/>
              <w:tab w:val="right" w:pos="9072"/>
            </w:tabs>
            <w:jc w:val="center"/>
            <w:rPr>
              <w:rFonts w:ascii="Calibri" w:hAnsi="Calibri" w:cs="Calibr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F04EEF">
            <w:trPr>
              <w:trHeight w:val="402"/>
            </w:trPr>
            <w:tc>
              <w:tcPr>
                <w:tcW w:w="2004" w:type="dxa"/>
                <w:vMerge w:val="restart"/>
                <w:vAlign w:val="center"/>
              </w:tcPr>
              <w:p w:rsidR="00F04EEF" w:rsidRDefault="0099351E">
                <w:pPr>
                  <w:jc w:val="center"/>
                  <w:rPr>
                    <w:rFonts w:ascii="Calibri" w:hAnsi="Calibri" w:cs="Calibri"/>
                    <w:b/>
                  </w:rPr>
                </w:pPr>
                <w:r>
                  <w:rPr>
                    <w:rFonts w:ascii="Calibri" w:hAnsi="Calibri" w:cs="Calibri"/>
                    <w:b/>
                  </w:rPr>
                  <w:t>Année d’études ou Degré de maturité forme, phase</w:t>
                </w:r>
              </w:p>
            </w:tc>
            <w:tc>
              <w:tcPr>
                <w:tcW w:w="2502" w:type="dxa"/>
                <w:gridSpan w:val="2"/>
                <w:vAlign w:val="center"/>
              </w:tcPr>
              <w:p w:rsidR="00F04EEF" w:rsidRDefault="0099351E">
                <w:pPr>
                  <w:jc w:val="center"/>
                  <w:rPr>
                    <w:rFonts w:ascii="Calibri" w:hAnsi="Calibri" w:cs="Calibri"/>
                    <w:b/>
                  </w:rPr>
                </w:pPr>
                <w:r>
                  <w:rPr>
                    <w:rFonts w:ascii="Calibri" w:hAnsi="Calibri" w:cs="Calibri"/>
                    <w:b/>
                  </w:rPr>
                  <w:t>Total élèves</w:t>
                </w:r>
              </w:p>
            </w:tc>
            <w:tc>
              <w:tcPr>
                <w:tcW w:w="2268" w:type="dxa"/>
                <w:gridSpan w:val="2"/>
                <w:vAlign w:val="center"/>
              </w:tcPr>
              <w:p w:rsidR="00F04EEF" w:rsidRDefault="0099351E">
                <w:pPr>
                  <w:jc w:val="center"/>
                  <w:rPr>
                    <w:rFonts w:ascii="Calibri" w:hAnsi="Calibri" w:cs="Calibri"/>
                    <w:b/>
                  </w:rPr>
                </w:pPr>
                <w:r>
                  <w:rPr>
                    <w:rFonts w:ascii="Calibri" w:hAnsi="Calibri" w:cs="Calibri"/>
                    <w:b/>
                  </w:rPr>
                  <w:t>Total participant(e)s</w:t>
                </w:r>
              </w:p>
            </w:tc>
            <w:tc>
              <w:tcPr>
                <w:tcW w:w="1134" w:type="dxa"/>
                <w:gridSpan w:val="2"/>
                <w:vAlign w:val="center"/>
              </w:tcPr>
              <w:p w:rsidR="00F04EEF" w:rsidRDefault="0099351E">
                <w:pPr>
                  <w:jc w:val="center"/>
                  <w:rPr>
                    <w:rFonts w:ascii="Calibri" w:hAnsi="Calibri" w:cs="Calibri"/>
                    <w:b/>
                  </w:rPr>
                </w:pPr>
                <w:r>
                  <w:rPr>
                    <w:rFonts w:ascii="Calibri" w:hAnsi="Calibri" w:cs="Calibri"/>
                    <w:b/>
                  </w:rPr>
                  <w:t xml:space="preserve">Total non- </w:t>
                </w:r>
              </w:p>
              <w:p w:rsidR="00F04EEF" w:rsidRDefault="0099351E">
                <w:pPr>
                  <w:jc w:val="center"/>
                  <w:rPr>
                    <w:rFonts w:ascii="Calibri" w:hAnsi="Calibri" w:cs="Calibri"/>
                    <w:b/>
                  </w:rPr>
                </w:pPr>
                <w:r>
                  <w:rPr>
                    <w:rFonts w:ascii="Calibri" w:hAnsi="Calibri" w:cs="Calibri"/>
                    <w:b/>
                  </w:rPr>
                  <w:t>participant(e)s</w:t>
                </w:r>
              </w:p>
            </w:tc>
          </w:tr>
          <w:tr w:rsidR="00F04EEF">
            <w:trPr>
              <w:trHeight w:val="402"/>
            </w:trPr>
            <w:tc>
              <w:tcPr>
                <w:tcW w:w="2004" w:type="dxa"/>
                <w:vMerge/>
                <w:vAlign w:val="center"/>
              </w:tcPr>
              <w:p w:rsidR="00F04EEF" w:rsidRDefault="00F04EEF">
                <w:pPr>
                  <w:jc w:val="center"/>
                  <w:rPr>
                    <w:rFonts w:ascii="Calibri" w:hAnsi="Calibri" w:cs="Calibri"/>
                    <w:b/>
                  </w:rPr>
                </w:pPr>
              </w:p>
            </w:tc>
            <w:tc>
              <w:tcPr>
                <w:tcW w:w="1265" w:type="dxa"/>
                <w:vAlign w:val="center"/>
              </w:tcPr>
              <w:p w:rsidR="00F04EEF" w:rsidRDefault="0099351E">
                <w:pPr>
                  <w:jc w:val="center"/>
                  <w:rPr>
                    <w:rFonts w:ascii="Calibri" w:hAnsi="Calibri" w:cs="Calibri"/>
                    <w:b/>
                  </w:rPr>
                </w:pPr>
                <w:r>
                  <w:rPr>
                    <w:rFonts w:ascii="Calibri" w:hAnsi="Calibri" w:cs="Calibri"/>
                    <w:b/>
                  </w:rPr>
                  <w:t>Filles</w:t>
                </w:r>
              </w:p>
            </w:tc>
            <w:tc>
              <w:tcPr>
                <w:tcW w:w="1237" w:type="dxa"/>
                <w:vAlign w:val="center"/>
              </w:tcPr>
              <w:p w:rsidR="00F04EEF" w:rsidRDefault="0099351E">
                <w:pPr>
                  <w:jc w:val="center"/>
                  <w:rPr>
                    <w:rFonts w:ascii="Calibri" w:hAnsi="Calibri" w:cs="Calibri"/>
                    <w:b/>
                  </w:rPr>
                </w:pPr>
                <w:r>
                  <w:rPr>
                    <w:rFonts w:ascii="Calibri" w:hAnsi="Calibri" w:cs="Calibri"/>
                    <w:b/>
                  </w:rPr>
                  <w:t>Garçons</w:t>
                </w:r>
              </w:p>
            </w:tc>
            <w:tc>
              <w:tcPr>
                <w:tcW w:w="1134" w:type="dxa"/>
                <w:vAlign w:val="center"/>
              </w:tcPr>
              <w:p w:rsidR="00F04EEF" w:rsidRDefault="0099351E">
                <w:pPr>
                  <w:jc w:val="center"/>
                  <w:rPr>
                    <w:rFonts w:ascii="Calibri" w:hAnsi="Calibri" w:cs="Calibri"/>
                    <w:b/>
                  </w:rPr>
                </w:pPr>
                <w:r>
                  <w:rPr>
                    <w:rFonts w:ascii="Calibri" w:hAnsi="Calibri" w:cs="Calibri"/>
                    <w:b/>
                  </w:rPr>
                  <w:t>Filles</w:t>
                </w:r>
              </w:p>
            </w:tc>
            <w:tc>
              <w:tcPr>
                <w:tcW w:w="1134" w:type="dxa"/>
                <w:vAlign w:val="center"/>
              </w:tcPr>
              <w:p w:rsidR="00F04EEF" w:rsidRDefault="0099351E">
                <w:pPr>
                  <w:jc w:val="center"/>
                  <w:rPr>
                    <w:rFonts w:ascii="Calibri" w:hAnsi="Calibri" w:cs="Calibri"/>
                    <w:b/>
                  </w:rPr>
                </w:pPr>
                <w:r>
                  <w:rPr>
                    <w:rFonts w:ascii="Calibri" w:hAnsi="Calibri" w:cs="Calibri"/>
                    <w:b/>
                  </w:rPr>
                  <w:t>Garçons</w:t>
                </w:r>
              </w:p>
            </w:tc>
            <w:tc>
              <w:tcPr>
                <w:tcW w:w="1134" w:type="dxa"/>
                <w:vAlign w:val="center"/>
              </w:tcPr>
              <w:p w:rsidR="00F04EEF" w:rsidRDefault="0099351E">
                <w:pPr>
                  <w:jc w:val="center"/>
                  <w:rPr>
                    <w:rFonts w:ascii="Calibri" w:hAnsi="Calibri" w:cs="Calibri"/>
                    <w:b/>
                  </w:rPr>
                </w:pPr>
                <w:r>
                  <w:rPr>
                    <w:rFonts w:ascii="Calibri" w:hAnsi="Calibri" w:cs="Calibri"/>
                    <w:b/>
                  </w:rPr>
                  <w:t>Filles</w:t>
                </w:r>
              </w:p>
            </w:tc>
            <w:tc>
              <w:tcPr>
                <w:tcW w:w="1134" w:type="dxa"/>
                <w:vAlign w:val="center"/>
              </w:tcPr>
              <w:p w:rsidR="00F04EEF" w:rsidRDefault="0099351E">
                <w:pPr>
                  <w:jc w:val="center"/>
                  <w:rPr>
                    <w:rFonts w:ascii="Calibri" w:hAnsi="Calibri" w:cs="Calibri"/>
                    <w:b/>
                  </w:rPr>
                </w:pPr>
                <w:r>
                  <w:rPr>
                    <w:rFonts w:ascii="Calibri" w:hAnsi="Calibri" w:cs="Calibri"/>
                    <w:b/>
                  </w:rPr>
                  <w:t>Garçons</w:t>
                </w:r>
              </w:p>
            </w:tc>
          </w:tr>
          <w:tr w:rsidR="00F04EEF">
            <w:trPr>
              <w:trHeight w:val="510"/>
            </w:trPr>
            <w:tc>
              <w:tcPr>
                <w:tcW w:w="2004" w:type="dxa"/>
                <w:vAlign w:val="center"/>
              </w:tcPr>
              <w:p w:rsidR="00F04EEF" w:rsidRDefault="0099351E">
                <w:pPr>
                  <w:jc w:val="center"/>
                  <w:rPr>
                    <w:rFonts w:ascii="Calibri" w:hAnsi="Calibri" w:cs="Calibri"/>
                  </w:rPr>
                </w:pPr>
                <w:r>
                  <w:rPr>
                    <w:rFonts w:ascii="Calibri" w:hAnsi="Calibri" w:cs="Calibri"/>
                  </w:rPr>
                  <w:t>Classe ….</w:t>
                </w:r>
              </w:p>
            </w:tc>
            <w:tc>
              <w:tcPr>
                <w:tcW w:w="1265" w:type="dxa"/>
              </w:tcPr>
              <w:p w:rsidR="00F04EEF" w:rsidRDefault="00F04EEF">
                <w:pPr>
                  <w:rPr>
                    <w:rFonts w:ascii="Calibri" w:hAnsi="Calibri" w:cs="Calibri"/>
                  </w:rPr>
                </w:pPr>
              </w:p>
            </w:tc>
            <w:tc>
              <w:tcPr>
                <w:tcW w:w="1237"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r>
          <w:tr w:rsidR="00F04EEF">
            <w:trPr>
              <w:trHeight w:val="510"/>
            </w:trPr>
            <w:tc>
              <w:tcPr>
                <w:tcW w:w="2004" w:type="dxa"/>
                <w:vAlign w:val="center"/>
              </w:tcPr>
              <w:p w:rsidR="00F04EEF" w:rsidRDefault="0099351E">
                <w:pPr>
                  <w:jc w:val="center"/>
                  <w:rPr>
                    <w:rFonts w:ascii="Calibri" w:hAnsi="Calibri" w:cs="Calibri"/>
                  </w:rPr>
                </w:pPr>
                <w:r>
                  <w:rPr>
                    <w:rFonts w:ascii="Calibri" w:hAnsi="Calibri" w:cs="Calibri"/>
                  </w:rPr>
                  <w:t>Classe ….</w:t>
                </w:r>
              </w:p>
            </w:tc>
            <w:tc>
              <w:tcPr>
                <w:tcW w:w="1265" w:type="dxa"/>
              </w:tcPr>
              <w:p w:rsidR="00F04EEF" w:rsidRDefault="00F04EEF">
                <w:pPr>
                  <w:rPr>
                    <w:rFonts w:ascii="Calibri" w:hAnsi="Calibri" w:cs="Calibri"/>
                  </w:rPr>
                </w:pPr>
              </w:p>
            </w:tc>
            <w:tc>
              <w:tcPr>
                <w:tcW w:w="1237"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r>
          <w:tr w:rsidR="00F04EEF">
            <w:trPr>
              <w:trHeight w:val="510"/>
            </w:trPr>
            <w:tc>
              <w:tcPr>
                <w:tcW w:w="2004" w:type="dxa"/>
                <w:vAlign w:val="center"/>
              </w:tcPr>
              <w:p w:rsidR="00F04EEF" w:rsidRDefault="0099351E">
                <w:pPr>
                  <w:jc w:val="center"/>
                  <w:rPr>
                    <w:rFonts w:ascii="Calibri" w:hAnsi="Calibri" w:cs="Calibri"/>
                  </w:rPr>
                </w:pPr>
                <w:r>
                  <w:rPr>
                    <w:rFonts w:ascii="Calibri" w:hAnsi="Calibri" w:cs="Calibri"/>
                  </w:rPr>
                  <w:t>Classe ….</w:t>
                </w:r>
              </w:p>
            </w:tc>
            <w:tc>
              <w:tcPr>
                <w:tcW w:w="1265" w:type="dxa"/>
              </w:tcPr>
              <w:p w:rsidR="00F04EEF" w:rsidRDefault="00F04EEF">
                <w:pPr>
                  <w:rPr>
                    <w:rFonts w:ascii="Calibri" w:hAnsi="Calibri" w:cs="Calibri"/>
                  </w:rPr>
                </w:pPr>
              </w:p>
            </w:tc>
            <w:tc>
              <w:tcPr>
                <w:tcW w:w="1237"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r>
          <w:tr w:rsidR="00F04EEF">
            <w:trPr>
              <w:trHeight w:val="510"/>
            </w:trPr>
            <w:tc>
              <w:tcPr>
                <w:tcW w:w="2004" w:type="dxa"/>
                <w:vAlign w:val="center"/>
              </w:tcPr>
              <w:p w:rsidR="00F04EEF" w:rsidRDefault="0099351E">
                <w:pPr>
                  <w:jc w:val="center"/>
                  <w:rPr>
                    <w:rFonts w:ascii="Calibri" w:hAnsi="Calibri" w:cs="Calibri"/>
                  </w:rPr>
                </w:pPr>
                <w:r>
                  <w:rPr>
                    <w:rFonts w:ascii="Calibri" w:hAnsi="Calibri" w:cs="Calibri"/>
                  </w:rPr>
                  <w:t>Classe ….</w:t>
                </w:r>
              </w:p>
            </w:tc>
            <w:tc>
              <w:tcPr>
                <w:tcW w:w="1265" w:type="dxa"/>
              </w:tcPr>
              <w:p w:rsidR="00F04EEF" w:rsidRDefault="00F04EEF">
                <w:pPr>
                  <w:rPr>
                    <w:rFonts w:ascii="Calibri" w:hAnsi="Calibri" w:cs="Calibri"/>
                  </w:rPr>
                </w:pPr>
              </w:p>
            </w:tc>
            <w:tc>
              <w:tcPr>
                <w:tcW w:w="1237"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r>
          <w:tr w:rsidR="00F04EEF">
            <w:trPr>
              <w:trHeight w:val="510"/>
            </w:trPr>
            <w:tc>
              <w:tcPr>
                <w:tcW w:w="2004" w:type="dxa"/>
                <w:vAlign w:val="center"/>
              </w:tcPr>
              <w:p w:rsidR="00F04EEF" w:rsidRDefault="0099351E">
                <w:pPr>
                  <w:rPr>
                    <w:rFonts w:ascii="Calibri" w:hAnsi="Calibri" w:cs="Calibri"/>
                    <w:b/>
                  </w:rPr>
                </w:pPr>
                <w:r>
                  <w:rPr>
                    <w:rFonts w:ascii="Calibri" w:hAnsi="Calibri" w:cs="Calibri"/>
                    <w:b/>
                  </w:rPr>
                  <w:t xml:space="preserve">         TOTAUX</w:t>
                </w:r>
              </w:p>
            </w:tc>
            <w:tc>
              <w:tcPr>
                <w:tcW w:w="1265" w:type="dxa"/>
              </w:tcPr>
              <w:p w:rsidR="00F04EEF" w:rsidRDefault="00F04EEF">
                <w:pPr>
                  <w:rPr>
                    <w:rFonts w:ascii="Calibri" w:hAnsi="Calibri" w:cs="Calibri"/>
                  </w:rPr>
                </w:pPr>
              </w:p>
            </w:tc>
            <w:tc>
              <w:tcPr>
                <w:tcW w:w="1237"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c>
              <w:tcPr>
                <w:tcW w:w="1134" w:type="dxa"/>
              </w:tcPr>
              <w:p w:rsidR="00F04EEF" w:rsidRDefault="00F04EEF">
                <w:pPr>
                  <w:rPr>
                    <w:rFonts w:ascii="Calibri" w:hAnsi="Calibri" w:cs="Calibri"/>
                  </w:rPr>
                </w:pPr>
              </w:p>
            </w:tc>
          </w:tr>
        </w:tbl>
        <w:p w:rsidR="00F04EEF" w:rsidRDefault="00F04EEF">
          <w:pPr>
            <w:rPr>
              <w:rFonts w:ascii="Calibri" w:hAnsi="Calibri" w:cs="Calibri"/>
              <w:sz w:val="16"/>
              <w:szCs w:val="16"/>
            </w:rPr>
          </w:pPr>
        </w:p>
        <w:p w:rsidR="00F04EEF" w:rsidRDefault="0099351E">
          <w:pPr>
            <w:tabs>
              <w:tab w:val="right" w:pos="9072"/>
            </w:tabs>
            <w:rPr>
              <w:rFonts w:ascii="Calibri" w:hAnsi="Calibri" w:cs="Calibri"/>
            </w:rPr>
          </w:pPr>
          <w:r>
            <w:rPr>
              <w:rFonts w:ascii="Calibri" w:hAnsi="Calibri" w:cs="Calibri"/>
            </w:rPr>
            <w:tab/>
            <w:t>Soit :         % de participation</w:t>
          </w:r>
        </w:p>
        <w:p w:rsidR="00F04EEF" w:rsidRDefault="00F04EEF">
          <w:pPr>
            <w:tabs>
              <w:tab w:val="right" w:pos="9072"/>
            </w:tabs>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F04EEF">
            <w:trPr>
              <w:trHeight w:val="312"/>
            </w:trPr>
            <w:tc>
              <w:tcPr>
                <w:tcW w:w="3070" w:type="dxa"/>
                <w:vMerge w:val="restart"/>
                <w:vAlign w:val="center"/>
              </w:tcPr>
              <w:p w:rsidR="00F04EEF" w:rsidRDefault="0099351E">
                <w:pPr>
                  <w:tabs>
                    <w:tab w:val="right" w:pos="9072"/>
                  </w:tabs>
                  <w:jc w:val="center"/>
                  <w:rPr>
                    <w:rFonts w:ascii="Calibri" w:hAnsi="Calibri" w:cs="Calibri"/>
                    <w:b/>
                  </w:rPr>
                </w:pPr>
                <w:r>
                  <w:rPr>
                    <w:rFonts w:ascii="Calibri" w:hAnsi="Calibri" w:cs="Calibri"/>
                    <w:b/>
                  </w:rPr>
                  <w:t>Elève(s) non-participant(es)</w:t>
                </w:r>
              </w:p>
            </w:tc>
            <w:tc>
              <w:tcPr>
                <w:tcW w:w="3071" w:type="dxa"/>
              </w:tcPr>
              <w:p w:rsidR="00F04EEF" w:rsidRDefault="0099351E">
                <w:pPr>
                  <w:tabs>
                    <w:tab w:val="right" w:pos="9072"/>
                  </w:tabs>
                  <w:jc w:val="center"/>
                  <w:rPr>
                    <w:rFonts w:ascii="Calibri" w:hAnsi="Calibri" w:cs="Calibri"/>
                  </w:rPr>
                </w:pPr>
                <w:r>
                  <w:rPr>
                    <w:rFonts w:ascii="Calibri" w:hAnsi="Calibri" w:cs="Calibri"/>
                  </w:rPr>
                  <w:t>Nom et prénom</w:t>
                </w:r>
              </w:p>
            </w:tc>
            <w:tc>
              <w:tcPr>
                <w:tcW w:w="3071" w:type="dxa"/>
              </w:tcPr>
              <w:p w:rsidR="00F04EEF" w:rsidRDefault="0099351E">
                <w:pPr>
                  <w:tabs>
                    <w:tab w:val="right" w:pos="9072"/>
                  </w:tabs>
                  <w:jc w:val="center"/>
                  <w:rPr>
                    <w:rFonts w:ascii="Calibri" w:hAnsi="Calibri" w:cs="Calibri"/>
                  </w:rPr>
                </w:pPr>
                <w:r>
                  <w:rPr>
                    <w:rFonts w:ascii="Calibri" w:hAnsi="Calibri" w:cs="Calibri"/>
                  </w:rPr>
                  <w:t>Motif de non-participation</w:t>
                </w:r>
              </w:p>
            </w:tc>
          </w:tr>
          <w:tr w:rsidR="00F04EEF">
            <w:trPr>
              <w:trHeight w:val="312"/>
            </w:trPr>
            <w:tc>
              <w:tcPr>
                <w:tcW w:w="3070" w:type="dxa"/>
                <w:vMerge/>
              </w:tcPr>
              <w:p w:rsidR="00F04EEF" w:rsidRDefault="00F04EEF">
                <w:pPr>
                  <w:tabs>
                    <w:tab w:val="right" w:pos="9072"/>
                  </w:tabs>
                  <w:rPr>
                    <w:rFonts w:ascii="Calibri" w:hAnsi="Calibri" w:cs="Calibri"/>
                    <w:sz w:val="16"/>
                    <w:szCs w:val="16"/>
                  </w:rPr>
                </w:pPr>
              </w:p>
            </w:tc>
            <w:tc>
              <w:tcPr>
                <w:tcW w:w="3071" w:type="dxa"/>
              </w:tcPr>
              <w:p w:rsidR="00F04EEF" w:rsidRDefault="00F04EEF">
                <w:pPr>
                  <w:tabs>
                    <w:tab w:val="right" w:pos="9072"/>
                  </w:tabs>
                  <w:rPr>
                    <w:rFonts w:ascii="Calibri" w:hAnsi="Calibri" w:cs="Calibri"/>
                    <w:sz w:val="16"/>
                    <w:szCs w:val="16"/>
                  </w:rPr>
                </w:pPr>
              </w:p>
            </w:tc>
            <w:tc>
              <w:tcPr>
                <w:tcW w:w="3071" w:type="dxa"/>
              </w:tcPr>
              <w:p w:rsidR="00F04EEF" w:rsidRDefault="00F04EEF">
                <w:pPr>
                  <w:tabs>
                    <w:tab w:val="right" w:pos="9072"/>
                  </w:tabs>
                  <w:rPr>
                    <w:rFonts w:ascii="Calibri" w:hAnsi="Calibri" w:cs="Calibri"/>
                    <w:sz w:val="16"/>
                    <w:szCs w:val="16"/>
                  </w:rPr>
                </w:pPr>
              </w:p>
            </w:tc>
          </w:tr>
          <w:tr w:rsidR="00F04EEF">
            <w:trPr>
              <w:trHeight w:val="312"/>
            </w:trPr>
            <w:tc>
              <w:tcPr>
                <w:tcW w:w="3070" w:type="dxa"/>
                <w:vMerge/>
              </w:tcPr>
              <w:p w:rsidR="00F04EEF" w:rsidRDefault="00F04EEF">
                <w:pPr>
                  <w:tabs>
                    <w:tab w:val="right" w:pos="9072"/>
                  </w:tabs>
                  <w:rPr>
                    <w:rFonts w:ascii="Calibri" w:hAnsi="Calibri" w:cs="Calibri"/>
                    <w:sz w:val="16"/>
                    <w:szCs w:val="16"/>
                  </w:rPr>
                </w:pPr>
              </w:p>
            </w:tc>
            <w:tc>
              <w:tcPr>
                <w:tcW w:w="3071" w:type="dxa"/>
              </w:tcPr>
              <w:p w:rsidR="00F04EEF" w:rsidRDefault="00F04EEF">
                <w:pPr>
                  <w:tabs>
                    <w:tab w:val="right" w:pos="9072"/>
                  </w:tabs>
                  <w:rPr>
                    <w:rFonts w:ascii="Calibri" w:hAnsi="Calibri" w:cs="Calibri"/>
                    <w:sz w:val="16"/>
                    <w:szCs w:val="16"/>
                  </w:rPr>
                </w:pPr>
              </w:p>
            </w:tc>
            <w:tc>
              <w:tcPr>
                <w:tcW w:w="3071" w:type="dxa"/>
              </w:tcPr>
              <w:p w:rsidR="00F04EEF" w:rsidRDefault="00F04EEF">
                <w:pPr>
                  <w:tabs>
                    <w:tab w:val="right" w:pos="9072"/>
                  </w:tabs>
                  <w:rPr>
                    <w:rFonts w:ascii="Calibri" w:hAnsi="Calibri" w:cs="Calibri"/>
                    <w:sz w:val="16"/>
                    <w:szCs w:val="16"/>
                  </w:rPr>
                </w:pPr>
              </w:p>
            </w:tc>
          </w:tr>
          <w:tr w:rsidR="00F04EEF">
            <w:trPr>
              <w:trHeight w:val="312"/>
            </w:trPr>
            <w:tc>
              <w:tcPr>
                <w:tcW w:w="3070" w:type="dxa"/>
                <w:vMerge/>
              </w:tcPr>
              <w:p w:rsidR="00F04EEF" w:rsidRDefault="00F04EEF">
                <w:pPr>
                  <w:tabs>
                    <w:tab w:val="right" w:pos="9072"/>
                  </w:tabs>
                  <w:rPr>
                    <w:rFonts w:ascii="Calibri" w:hAnsi="Calibri" w:cs="Calibri"/>
                    <w:sz w:val="16"/>
                    <w:szCs w:val="16"/>
                  </w:rPr>
                </w:pPr>
              </w:p>
            </w:tc>
            <w:tc>
              <w:tcPr>
                <w:tcW w:w="3071" w:type="dxa"/>
              </w:tcPr>
              <w:p w:rsidR="00F04EEF" w:rsidRDefault="00F04EEF">
                <w:pPr>
                  <w:tabs>
                    <w:tab w:val="right" w:pos="9072"/>
                  </w:tabs>
                  <w:rPr>
                    <w:rFonts w:ascii="Calibri" w:hAnsi="Calibri" w:cs="Calibri"/>
                    <w:sz w:val="16"/>
                    <w:szCs w:val="16"/>
                  </w:rPr>
                </w:pPr>
              </w:p>
            </w:tc>
            <w:tc>
              <w:tcPr>
                <w:tcW w:w="3071" w:type="dxa"/>
              </w:tcPr>
              <w:p w:rsidR="00F04EEF" w:rsidRDefault="00F04EEF">
                <w:pPr>
                  <w:tabs>
                    <w:tab w:val="right" w:pos="9072"/>
                  </w:tabs>
                  <w:rPr>
                    <w:rFonts w:ascii="Calibri" w:hAnsi="Calibri" w:cs="Calibri"/>
                    <w:sz w:val="16"/>
                    <w:szCs w:val="16"/>
                  </w:rPr>
                </w:pPr>
              </w:p>
            </w:tc>
          </w:tr>
        </w:tbl>
        <w:p w:rsidR="00F04EEF" w:rsidRDefault="00F04EEF">
          <w:pPr>
            <w:tabs>
              <w:tab w:val="right" w:pos="9072"/>
            </w:tabs>
            <w:jc w:val="center"/>
            <w:rPr>
              <w:rFonts w:ascii="Calibri" w:hAnsi="Calibri" w:cs="Calibri"/>
              <w:sz w:val="16"/>
              <w:szCs w:val="16"/>
            </w:rPr>
          </w:pPr>
        </w:p>
        <w:p w:rsidR="00F04EEF" w:rsidRDefault="00F04EEF">
          <w:pPr>
            <w:jc w:val="center"/>
            <w:rPr>
              <w:rFonts w:ascii="Calibri" w:hAnsi="Calibri" w:cs="Calibri"/>
              <w:b/>
              <w:u w:val="single"/>
            </w:rPr>
          </w:pPr>
        </w:p>
        <w:p w:rsidR="00F04EEF" w:rsidRDefault="00F04EEF">
          <w:pPr>
            <w:jc w:val="center"/>
            <w:rPr>
              <w:rFonts w:ascii="Calibri" w:hAnsi="Calibri" w:cs="Calibri"/>
              <w:b/>
              <w:u w:val="single"/>
            </w:rPr>
          </w:pPr>
        </w:p>
        <w:p w:rsidR="00F04EEF" w:rsidRDefault="0099351E">
          <w:pPr>
            <w:rPr>
              <w:rFonts w:ascii="Calibri" w:hAnsi="Calibri" w:cs="Calibri"/>
              <w:u w:val="single"/>
            </w:rPr>
          </w:pPr>
          <w:r>
            <w:rPr>
              <w:rFonts w:ascii="Calibri" w:hAnsi="Calibri" w:cs="Calibri"/>
              <w:u w:val="single"/>
            </w:rPr>
            <w:t>COORDONNEES COMPLETES</w:t>
          </w:r>
          <w:r>
            <w:rPr>
              <w:rFonts w:ascii="Calibri" w:hAnsi="Calibri" w:cs="Calibri"/>
            </w:rPr>
            <w:t> :</w:t>
          </w:r>
        </w:p>
        <w:p w:rsidR="00F04EEF" w:rsidRDefault="00F04EEF">
          <w:pPr>
            <w:rPr>
              <w:rFonts w:ascii="Calibri" w:hAnsi="Calibri" w:cs="Calibri"/>
              <w:u w:val="single"/>
            </w:rPr>
          </w:pPr>
        </w:p>
        <w:p w:rsidR="00F04EEF" w:rsidRDefault="0099351E">
          <w:pPr>
            <w:rPr>
              <w:rFonts w:ascii="Calibri" w:hAnsi="Calibri" w:cs="Calibri"/>
            </w:rPr>
          </w:pPr>
          <w:r>
            <w:rPr>
              <w:rFonts w:ascii="Calibri" w:hAnsi="Calibri" w:cs="Calibri"/>
            </w:rPr>
            <w:t xml:space="preserve">du </w:t>
          </w:r>
          <w:r>
            <w:rPr>
              <w:rFonts w:ascii="Calibri" w:hAnsi="Calibri" w:cs="Calibri"/>
              <w:b/>
            </w:rPr>
            <w:t>médecin local </w:t>
          </w:r>
          <w:r>
            <w:rPr>
              <w:rFonts w:ascii="Calibri" w:hAnsi="Calibri" w:cs="Calibri"/>
            </w:rPr>
            <w:t>:</w:t>
          </w:r>
        </w:p>
        <w:p w:rsidR="00F04EEF" w:rsidRDefault="0099351E">
          <w:pPr>
            <w:tabs>
              <w:tab w:val="left" w:pos="567"/>
              <w:tab w:val="right" w:leader="dot" w:pos="3060"/>
            </w:tabs>
            <w:rPr>
              <w:rFonts w:ascii="Calibri" w:hAnsi="Calibri" w:cs="Calibri"/>
            </w:rPr>
          </w:pPr>
          <w:r>
            <w:rPr>
              <w:rFonts w:ascii="Calibri" w:hAnsi="Calibri" w:cs="Calibri"/>
            </w:rPr>
            <w:t>Nom :</w:t>
          </w:r>
          <w:r>
            <w:rPr>
              <w:rFonts w:ascii="Calibri" w:hAnsi="Calibri" w:cs="Calibri"/>
            </w:rPr>
            <w:tab/>
          </w:r>
        </w:p>
        <w:p w:rsidR="00F04EEF" w:rsidRDefault="0099351E">
          <w:pPr>
            <w:tabs>
              <w:tab w:val="left" w:pos="851"/>
              <w:tab w:val="right" w:leader="dot" w:pos="3060"/>
            </w:tabs>
            <w:rPr>
              <w:rFonts w:ascii="Calibri" w:hAnsi="Calibri" w:cs="Calibri"/>
            </w:rPr>
          </w:pPr>
          <w:r>
            <w:rPr>
              <w:rFonts w:ascii="Calibri" w:hAnsi="Calibri" w:cs="Calibri"/>
            </w:rPr>
            <w:t>Prénom :</w:t>
          </w:r>
          <w:r>
            <w:rPr>
              <w:rFonts w:ascii="Calibri" w:hAnsi="Calibri" w:cs="Calibri"/>
            </w:rPr>
            <w:tab/>
          </w:r>
        </w:p>
        <w:p w:rsidR="00F04EEF" w:rsidRDefault="0099351E">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rsidR="00F04EEF" w:rsidRDefault="00F04EEF">
          <w:pPr>
            <w:rPr>
              <w:rFonts w:ascii="Calibri" w:hAnsi="Calibri" w:cs="Calibri"/>
            </w:rPr>
          </w:pPr>
        </w:p>
        <w:p w:rsidR="00F04EEF" w:rsidRDefault="0099351E">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rsidR="00F04EEF" w:rsidRDefault="0099351E">
          <w:pPr>
            <w:tabs>
              <w:tab w:val="left" w:pos="1605"/>
            </w:tabs>
            <w:rPr>
              <w:rFonts w:ascii="Calibri" w:hAnsi="Calibri" w:cs="Calibri"/>
              <w:sz w:val="28"/>
              <w:szCs w:val="28"/>
            </w:rPr>
          </w:pPr>
          <w:r>
            <w:rPr>
              <w:rFonts w:ascii="Calibri" w:hAnsi="Calibri" w:cs="Calibri"/>
              <w:sz w:val="28"/>
              <w:szCs w:val="28"/>
            </w:rPr>
            <w:tab/>
          </w:r>
        </w:p>
        <w:p w:rsidR="00F04EEF" w:rsidRDefault="0099351E">
          <w:pPr>
            <w:tabs>
              <w:tab w:val="left" w:pos="1605"/>
            </w:tabs>
            <w:rPr>
              <w:rFonts w:ascii="Calibri" w:hAnsi="Calibri" w:cs="Calibri"/>
              <w:b/>
            </w:rPr>
          </w:pPr>
          <w:r>
            <w:rPr>
              <w:rFonts w:ascii="Calibri" w:hAnsi="Calibri" w:cs="Calibri"/>
            </w:rPr>
            <w:t xml:space="preserve">du </w:t>
          </w:r>
          <w:r>
            <w:rPr>
              <w:rFonts w:ascii="Calibri" w:hAnsi="Calibri" w:cs="Calibri"/>
              <w:b/>
            </w:rPr>
            <w:t>Centre hospitalier le plus proche :</w:t>
          </w:r>
        </w:p>
        <w:p w:rsidR="00F04EEF" w:rsidRDefault="0099351E">
          <w:pPr>
            <w:tabs>
              <w:tab w:val="left" w:pos="567"/>
              <w:tab w:val="right" w:leader="dot" w:pos="3060"/>
            </w:tabs>
            <w:rPr>
              <w:rFonts w:ascii="Calibri" w:hAnsi="Calibri" w:cs="Calibri"/>
            </w:rPr>
          </w:pPr>
          <w:r>
            <w:rPr>
              <w:rFonts w:ascii="Calibri" w:hAnsi="Calibri" w:cs="Calibri"/>
            </w:rPr>
            <w:t>Dénomination :</w:t>
          </w:r>
        </w:p>
        <w:p w:rsidR="00F04EEF" w:rsidRDefault="0099351E">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rsidR="00F04EEF" w:rsidRDefault="00F04EEF">
          <w:pPr>
            <w:rPr>
              <w:rFonts w:ascii="Calibri" w:hAnsi="Calibri" w:cs="Calibri"/>
            </w:rPr>
          </w:pPr>
        </w:p>
        <w:p w:rsidR="00F04EEF" w:rsidRDefault="0099351E">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rsidR="00F04EEF" w:rsidRDefault="00F04EEF">
          <w:pPr>
            <w:tabs>
              <w:tab w:val="left" w:pos="1134"/>
              <w:tab w:val="right" w:leader="dot" w:pos="3060"/>
            </w:tabs>
            <w:rPr>
              <w:rFonts w:ascii="Calibri" w:hAnsi="Calibri" w:cs="Calibri"/>
            </w:rPr>
          </w:pPr>
        </w:p>
        <w:p w:rsidR="00F04EEF" w:rsidRDefault="0099351E">
          <w:pPr>
            <w:tabs>
              <w:tab w:val="left" w:pos="1134"/>
              <w:tab w:val="right" w:leader="dot" w:pos="3060"/>
            </w:tabs>
            <w:rPr>
              <w:rFonts w:ascii="Calibri" w:hAnsi="Calibri" w:cs="Calibri"/>
              <w:b/>
              <w:u w:val="single"/>
            </w:rPr>
          </w:pPr>
          <w:r>
            <w:rPr>
              <w:rFonts w:ascii="Calibri" w:hAnsi="Calibri" w:cs="Calibri"/>
              <w:u w:val="single"/>
            </w:rPr>
            <w:t>Contrat d’assurance(s) complémentaire(s) [Société, n° du (des) contrat(s)]:</w:t>
          </w:r>
          <w:r>
            <w:rPr>
              <w:rFonts w:ascii="Calibri" w:hAnsi="Calibri" w:cs="Calibri"/>
              <w:b/>
              <w:u w:val="single"/>
            </w:rPr>
            <w:t xml:space="preserve"> </w:t>
          </w:r>
        </w:p>
        <w:p w:rsidR="00F04EEF" w:rsidRDefault="00F04EEF">
          <w:pPr>
            <w:tabs>
              <w:tab w:val="left" w:pos="1605"/>
              <w:tab w:val="right" w:pos="9072"/>
            </w:tabs>
            <w:rPr>
              <w:rFonts w:ascii="Calibri" w:hAnsi="Calibri" w:cs="Calibri"/>
              <w:b/>
            </w:rPr>
          </w:pPr>
        </w:p>
        <w:p w:rsidR="00F04EEF" w:rsidRDefault="00F04EEF">
          <w:pPr>
            <w:tabs>
              <w:tab w:val="left" w:pos="1605"/>
              <w:tab w:val="right" w:pos="9072"/>
            </w:tabs>
            <w:rPr>
              <w:rFonts w:ascii="Calibri" w:hAnsi="Calibri" w:cs="Calibri"/>
              <w:b/>
            </w:rPr>
          </w:pPr>
        </w:p>
        <w:p w:rsidR="00F04EEF" w:rsidRDefault="0099351E">
          <w:pPr>
            <w:tabs>
              <w:tab w:val="left" w:pos="1605"/>
              <w:tab w:val="right" w:pos="9072"/>
            </w:tabs>
            <w:rPr>
              <w:rFonts w:ascii="Calibri" w:hAnsi="Calibri" w:cs="Calibri"/>
              <w:u w:val="single"/>
            </w:rPr>
          </w:pPr>
          <w:r>
            <w:rPr>
              <w:rFonts w:ascii="Calibri" w:hAnsi="Calibri" w:cs="Calibri"/>
              <w:u w:val="single"/>
            </w:rPr>
            <w:t>Coordonnées de l’Ambassade/Consulat belge à l’étranger :</w:t>
          </w:r>
        </w:p>
        <w:p w:rsidR="00F04EEF" w:rsidRDefault="00F04EEF">
          <w:pPr>
            <w:tabs>
              <w:tab w:val="left" w:pos="1605"/>
              <w:tab w:val="right" w:pos="9072"/>
            </w:tabs>
            <w:rPr>
              <w:rFonts w:ascii="Calibri" w:hAnsi="Calibri" w:cs="Calibri"/>
              <w:b/>
            </w:rPr>
          </w:pPr>
        </w:p>
        <w:p w:rsidR="00F04EEF" w:rsidRDefault="00F04EEF">
          <w:pPr>
            <w:tabs>
              <w:tab w:val="left" w:pos="1605"/>
              <w:tab w:val="right" w:pos="9072"/>
            </w:tabs>
            <w:rPr>
              <w:rFonts w:ascii="Calibri" w:hAnsi="Calibri" w:cs="Calibri"/>
              <w:b/>
            </w:rPr>
          </w:pPr>
        </w:p>
        <w:p w:rsidR="00F04EEF" w:rsidRDefault="00F04EEF">
          <w:pPr>
            <w:tabs>
              <w:tab w:val="left" w:pos="1605"/>
              <w:tab w:val="right" w:pos="9072"/>
            </w:tabs>
            <w:rPr>
              <w:rFonts w:ascii="Calibri" w:hAnsi="Calibri" w:cs="Calibri"/>
              <w:b/>
            </w:rPr>
          </w:pPr>
        </w:p>
        <w:p w:rsidR="00F04EEF" w:rsidRDefault="0099351E">
          <w:pPr>
            <w:rPr>
              <w:b/>
              <w:u w:val="single"/>
            </w:rPr>
          </w:pPr>
          <w:r>
            <w:br w:type="page"/>
          </w:r>
        </w:p>
        <w:p w:rsidR="00F04EEF" w:rsidRDefault="0099351E">
          <w:pPr>
            <w:pStyle w:val="Titre4"/>
          </w:pPr>
          <w:r>
            <w:t>ANNEXE III</w:t>
          </w:r>
        </w:p>
        <w:p w:rsidR="00F04EEF" w:rsidRDefault="00F04EEF">
          <w:pPr>
            <w:tabs>
              <w:tab w:val="left" w:pos="1605"/>
              <w:tab w:val="right" w:pos="9072"/>
            </w:tabs>
            <w:rPr>
              <w:rFonts w:ascii="Calibri" w:hAnsi="Calibri" w:cs="Calibri"/>
              <w:b/>
            </w:rPr>
          </w:pPr>
        </w:p>
        <w:p w:rsidR="00F04EEF" w:rsidRDefault="0099351E">
          <w:pPr>
            <w:tabs>
              <w:tab w:val="left" w:pos="1605"/>
              <w:tab w:val="right" w:pos="9072"/>
            </w:tabs>
            <w:rPr>
              <w:rFonts w:ascii="Calibri" w:hAnsi="Calibri" w:cs="Calibri"/>
            </w:rPr>
          </w:pPr>
          <w:r>
            <w:rPr>
              <w:rFonts w:ascii="Calibri" w:hAnsi="Calibri" w:cs="Calibri"/>
            </w:rPr>
            <w:t>Etablissement (n° FASE) :</w:t>
          </w:r>
        </w:p>
        <w:p w:rsidR="00F04EEF" w:rsidRDefault="0099351E">
          <w:pPr>
            <w:tabs>
              <w:tab w:val="left" w:pos="1605"/>
              <w:tab w:val="right" w:pos="9072"/>
            </w:tabs>
            <w:jc w:val="center"/>
            <w:rPr>
              <w:rFonts w:ascii="Calibri" w:hAnsi="Calibri" w:cs="Calibri"/>
              <w:b/>
              <w:u w:val="single"/>
            </w:rPr>
          </w:pPr>
          <w:r>
            <w:rPr>
              <w:rFonts w:ascii="Calibri" w:hAnsi="Calibri" w:cs="Calibri"/>
              <w:b/>
              <w:u w:val="single"/>
            </w:rPr>
            <w:t>ENCADREMENT</w:t>
          </w:r>
        </w:p>
        <w:p w:rsidR="00F04EEF" w:rsidRDefault="00F04EEF">
          <w:pPr>
            <w:tabs>
              <w:tab w:val="left" w:pos="0"/>
              <w:tab w:val="right" w:leader="dot" w:pos="9072"/>
            </w:tabs>
            <w:spacing w:line="360" w:lineRule="auto"/>
            <w:rPr>
              <w:rFonts w:ascii="Calibri" w:hAnsi="Calibri" w:cs="Calibr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rsidR="00F04EEF">
            <w:trPr>
              <w:trHeight w:val="390"/>
            </w:trPr>
            <w:tc>
              <w:tcPr>
                <w:tcW w:w="2448" w:type="dxa"/>
                <w:vAlign w:val="center"/>
              </w:tcPr>
              <w:p w:rsidR="00F04EEF" w:rsidRDefault="0099351E">
                <w:pPr>
                  <w:tabs>
                    <w:tab w:val="left" w:pos="0"/>
                    <w:tab w:val="right" w:leader="dot" w:pos="9072"/>
                  </w:tabs>
                  <w:spacing w:line="360" w:lineRule="auto"/>
                  <w:jc w:val="center"/>
                  <w:rPr>
                    <w:rFonts w:ascii="Calibri" w:hAnsi="Calibri" w:cs="Calibri"/>
                    <w:b/>
                  </w:rPr>
                </w:pPr>
                <w:r>
                  <w:rPr>
                    <w:rFonts w:ascii="Calibri" w:hAnsi="Calibri" w:cs="Calibri"/>
                    <w:b/>
                  </w:rPr>
                  <w:t>Nom - Prénom</w:t>
                </w:r>
              </w:p>
            </w:tc>
            <w:tc>
              <w:tcPr>
                <w:tcW w:w="1800" w:type="dxa"/>
                <w:vAlign w:val="center"/>
              </w:tcPr>
              <w:p w:rsidR="00F04EEF" w:rsidRDefault="0099351E">
                <w:pPr>
                  <w:tabs>
                    <w:tab w:val="left" w:pos="0"/>
                    <w:tab w:val="right" w:leader="dot" w:pos="9072"/>
                  </w:tabs>
                  <w:jc w:val="center"/>
                  <w:rPr>
                    <w:rFonts w:ascii="Calibri" w:hAnsi="Calibri" w:cs="Calibri"/>
                    <w:b/>
                  </w:rPr>
                </w:pPr>
                <w:r>
                  <w:rPr>
                    <w:rFonts w:ascii="Calibri" w:hAnsi="Calibri" w:cs="Calibri"/>
                    <w:b/>
                  </w:rPr>
                  <w:t>Fonction</w:t>
                </w:r>
              </w:p>
              <w:p w:rsidR="00F04EEF" w:rsidRDefault="0099351E">
                <w:pPr>
                  <w:tabs>
                    <w:tab w:val="left" w:pos="0"/>
                    <w:tab w:val="right" w:leader="dot" w:pos="9072"/>
                  </w:tabs>
                  <w:jc w:val="center"/>
                  <w:rPr>
                    <w:rFonts w:ascii="Calibri" w:hAnsi="Calibri" w:cs="Calibri"/>
                  </w:rPr>
                </w:pPr>
                <w:r>
                  <w:rPr>
                    <w:rFonts w:ascii="Calibri" w:hAnsi="Calibri" w:cs="Calibri"/>
                  </w:rPr>
                  <w:t>(préciser si titulaire de classe)</w:t>
                </w:r>
              </w:p>
            </w:tc>
            <w:tc>
              <w:tcPr>
                <w:tcW w:w="2160" w:type="dxa"/>
                <w:vAlign w:val="center"/>
              </w:tcPr>
              <w:p w:rsidR="00F04EEF" w:rsidRDefault="0099351E">
                <w:pPr>
                  <w:tabs>
                    <w:tab w:val="left" w:pos="0"/>
                    <w:tab w:val="right" w:leader="dot" w:pos="9072"/>
                  </w:tabs>
                  <w:spacing w:line="360" w:lineRule="auto"/>
                  <w:jc w:val="center"/>
                  <w:rPr>
                    <w:rFonts w:ascii="Calibri" w:hAnsi="Calibri" w:cs="Calibri"/>
                    <w:b/>
                  </w:rPr>
                </w:pPr>
                <w:r>
                  <w:rPr>
                    <w:rFonts w:ascii="Calibri" w:hAnsi="Calibri" w:cs="Calibri"/>
                    <w:b/>
                  </w:rPr>
                  <w:t>Année d’études</w:t>
                </w:r>
              </w:p>
              <w:p w:rsidR="00F04EEF" w:rsidRDefault="0099351E">
                <w:pPr>
                  <w:tabs>
                    <w:tab w:val="left" w:pos="0"/>
                    <w:tab w:val="right" w:leader="dot" w:pos="9072"/>
                  </w:tabs>
                  <w:spacing w:line="360" w:lineRule="auto"/>
                  <w:jc w:val="center"/>
                  <w:rPr>
                    <w:rFonts w:ascii="Calibri" w:hAnsi="Calibri" w:cs="Calibri"/>
                    <w:b/>
                  </w:rPr>
                </w:pPr>
                <w:r>
                  <w:rPr>
                    <w:rFonts w:ascii="Calibri" w:hAnsi="Calibri" w:cs="Calibri"/>
                    <w:b/>
                  </w:rPr>
                  <w:t>Degré de maturité, forme, phase</w:t>
                </w:r>
              </w:p>
            </w:tc>
            <w:tc>
              <w:tcPr>
                <w:tcW w:w="2804" w:type="dxa"/>
                <w:vAlign w:val="center"/>
              </w:tcPr>
              <w:p w:rsidR="00F04EEF" w:rsidRDefault="00F04EEF">
                <w:pPr>
                  <w:tabs>
                    <w:tab w:val="left" w:pos="0"/>
                    <w:tab w:val="right" w:leader="dot" w:pos="9072"/>
                  </w:tabs>
                  <w:jc w:val="center"/>
                  <w:rPr>
                    <w:rFonts w:ascii="Calibri" w:hAnsi="Calibri" w:cs="Calibri"/>
                    <w:b/>
                    <w:sz w:val="16"/>
                    <w:szCs w:val="16"/>
                  </w:rPr>
                </w:pPr>
              </w:p>
              <w:p w:rsidR="00F04EEF" w:rsidRDefault="0099351E">
                <w:pPr>
                  <w:tabs>
                    <w:tab w:val="left" w:pos="0"/>
                    <w:tab w:val="right" w:leader="dot" w:pos="9072"/>
                  </w:tabs>
                  <w:jc w:val="center"/>
                  <w:rPr>
                    <w:rFonts w:ascii="Calibri" w:hAnsi="Calibri" w:cs="Calibri"/>
                  </w:rPr>
                </w:pPr>
                <w:r>
                  <w:rPr>
                    <w:rFonts w:ascii="Calibri" w:hAnsi="Calibri" w:cs="Calibri"/>
                    <w:b/>
                  </w:rPr>
                  <w:t xml:space="preserve">Temps de présence </w:t>
                </w:r>
                <w:r>
                  <w:rPr>
                    <w:rFonts w:ascii="Calibri" w:hAnsi="Calibri" w:cs="Calibri"/>
                  </w:rPr>
                  <w:t xml:space="preserve"> </w:t>
                </w:r>
              </w:p>
              <w:p w:rsidR="00F04EEF" w:rsidRDefault="0099351E">
                <w:pPr>
                  <w:tabs>
                    <w:tab w:val="left" w:pos="0"/>
                    <w:tab w:val="right" w:leader="dot" w:pos="9072"/>
                  </w:tabs>
                  <w:jc w:val="center"/>
                  <w:rPr>
                    <w:rFonts w:ascii="Calibri" w:hAnsi="Calibri" w:cs="Calibri"/>
                  </w:rPr>
                </w:pPr>
                <w:r>
                  <w:rPr>
                    <w:rFonts w:ascii="Calibri" w:hAnsi="Calibri" w:cs="Calibri"/>
                  </w:rPr>
                  <w:t>[indiquer la (les) date(s) de présence de l’accompagnateur(trice)]</w:t>
                </w:r>
              </w:p>
              <w:p w:rsidR="00F04EEF" w:rsidRDefault="00F04EEF">
                <w:pPr>
                  <w:tabs>
                    <w:tab w:val="left" w:pos="0"/>
                    <w:tab w:val="right" w:leader="dot" w:pos="9072"/>
                  </w:tabs>
                  <w:jc w:val="center"/>
                  <w:rPr>
                    <w:rFonts w:ascii="Calibri" w:hAnsi="Calibri" w:cs="Calibri"/>
                    <w:sz w:val="16"/>
                    <w:szCs w:val="16"/>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1. Responsable du groupe</w:t>
                </w:r>
              </w:p>
              <w:p w:rsidR="00F04EEF" w:rsidRDefault="00F04EEF">
                <w:pPr>
                  <w:tabs>
                    <w:tab w:val="left" w:pos="0"/>
                    <w:tab w:val="right" w:leader="dot" w:pos="9072"/>
                  </w:tabs>
                  <w:spacing w:line="360" w:lineRule="auto"/>
                  <w:rPr>
                    <w:rFonts w:ascii="Calibri" w:hAnsi="Calibri" w:cs="Calibri"/>
                  </w:rPr>
                </w:pP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2.</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3.</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4.</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5.</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6.</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7.</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8.</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9.</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10.</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11.</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r w:rsidR="00F04EEF">
            <w:trPr>
              <w:trHeight w:val="851"/>
            </w:trPr>
            <w:tc>
              <w:tcPr>
                <w:tcW w:w="2448" w:type="dxa"/>
              </w:tcPr>
              <w:p w:rsidR="00F04EEF" w:rsidRDefault="0099351E">
                <w:pPr>
                  <w:tabs>
                    <w:tab w:val="left" w:pos="0"/>
                    <w:tab w:val="right" w:leader="dot" w:pos="9072"/>
                  </w:tabs>
                  <w:spacing w:line="360" w:lineRule="auto"/>
                  <w:rPr>
                    <w:rFonts w:ascii="Calibri" w:hAnsi="Calibri" w:cs="Calibri"/>
                  </w:rPr>
                </w:pPr>
                <w:r>
                  <w:rPr>
                    <w:rFonts w:ascii="Calibri" w:hAnsi="Calibri" w:cs="Calibri"/>
                  </w:rPr>
                  <w:t>12.</w:t>
                </w:r>
              </w:p>
            </w:tc>
            <w:tc>
              <w:tcPr>
                <w:tcW w:w="1800" w:type="dxa"/>
              </w:tcPr>
              <w:p w:rsidR="00F04EEF" w:rsidRDefault="00F04EEF">
                <w:pPr>
                  <w:tabs>
                    <w:tab w:val="left" w:pos="0"/>
                    <w:tab w:val="right" w:leader="dot" w:pos="9072"/>
                  </w:tabs>
                  <w:spacing w:line="360" w:lineRule="auto"/>
                  <w:rPr>
                    <w:rFonts w:ascii="Calibri" w:hAnsi="Calibri" w:cs="Calibri"/>
                  </w:rPr>
                </w:pPr>
              </w:p>
            </w:tc>
            <w:tc>
              <w:tcPr>
                <w:tcW w:w="2160" w:type="dxa"/>
              </w:tcPr>
              <w:p w:rsidR="00F04EEF" w:rsidRDefault="00F04EEF">
                <w:pPr>
                  <w:tabs>
                    <w:tab w:val="left" w:pos="0"/>
                    <w:tab w:val="right" w:leader="dot" w:pos="9072"/>
                  </w:tabs>
                  <w:spacing w:line="360" w:lineRule="auto"/>
                  <w:rPr>
                    <w:rFonts w:ascii="Calibri" w:hAnsi="Calibri" w:cs="Calibri"/>
                  </w:rPr>
                </w:pPr>
              </w:p>
            </w:tc>
            <w:tc>
              <w:tcPr>
                <w:tcW w:w="2804" w:type="dxa"/>
              </w:tcPr>
              <w:p w:rsidR="00F04EEF" w:rsidRDefault="00F04EEF">
                <w:pPr>
                  <w:tabs>
                    <w:tab w:val="left" w:pos="0"/>
                    <w:tab w:val="right" w:leader="dot" w:pos="9072"/>
                  </w:tabs>
                  <w:spacing w:line="360" w:lineRule="auto"/>
                  <w:rPr>
                    <w:rFonts w:ascii="Calibri" w:hAnsi="Calibri" w:cs="Calibri"/>
                  </w:rPr>
                </w:pPr>
              </w:p>
            </w:tc>
          </w:tr>
        </w:tbl>
        <w:p w:rsidR="00F04EEF" w:rsidRDefault="0099351E">
          <w:pPr>
            <w:pStyle w:val="Titre4"/>
          </w:pPr>
          <w:r>
            <w:br w:type="page"/>
            <w:t>ANNEXE IV</w:t>
          </w:r>
        </w:p>
        <w:p w:rsidR="00F04EEF" w:rsidRDefault="00F04EEF">
          <w:pPr>
            <w:spacing w:line="360" w:lineRule="auto"/>
            <w:rPr>
              <w:rFonts w:ascii="Calibri" w:hAnsi="Calibri" w:cs="Calibri"/>
            </w:rPr>
          </w:pPr>
        </w:p>
        <w:p w:rsidR="00F04EEF" w:rsidRDefault="0099351E">
          <w:pPr>
            <w:tabs>
              <w:tab w:val="left" w:pos="1605"/>
              <w:tab w:val="right" w:pos="9072"/>
            </w:tabs>
            <w:rPr>
              <w:rFonts w:ascii="Calibri" w:hAnsi="Calibri" w:cs="Calibri"/>
            </w:rPr>
          </w:pPr>
          <w:r>
            <w:rPr>
              <w:rFonts w:ascii="Calibri" w:hAnsi="Calibri" w:cs="Calibri"/>
            </w:rPr>
            <w:t>Etablissement (n° FASE) :</w:t>
          </w:r>
        </w:p>
        <w:p w:rsidR="00F04EEF" w:rsidRDefault="00F04EEF">
          <w:pPr>
            <w:spacing w:line="360" w:lineRule="auto"/>
            <w:rPr>
              <w:rFonts w:ascii="Calibri" w:hAnsi="Calibri" w:cs="Calibri"/>
            </w:rPr>
          </w:pPr>
        </w:p>
        <w:p w:rsidR="00F04EEF" w:rsidRDefault="0099351E">
          <w:pPr>
            <w:pBdr>
              <w:top w:val="single" w:sz="4" w:space="1" w:color="auto"/>
              <w:left w:val="single" w:sz="4" w:space="0" w:color="auto"/>
              <w:bottom w:val="single" w:sz="4" w:space="1" w:color="auto"/>
              <w:right w:val="single" w:sz="4" w:space="4" w:color="auto"/>
            </w:pBdr>
            <w:jc w:val="center"/>
            <w:rPr>
              <w:rFonts w:ascii="Calibri" w:hAnsi="Calibri" w:cs="Calibri"/>
              <w:b/>
            </w:rPr>
          </w:pPr>
          <w:r>
            <w:rPr>
              <w:rFonts w:ascii="Calibri" w:hAnsi="Calibri" w:cs="Calibri"/>
              <w:b/>
            </w:rPr>
            <w:t>SEJOUR PEDAGOGIQUE AVEC NUITEE(S)</w:t>
          </w:r>
        </w:p>
        <w:p w:rsidR="00F04EEF" w:rsidRDefault="0099351E">
          <w:pPr>
            <w:pBdr>
              <w:top w:val="single" w:sz="4" w:space="1" w:color="auto"/>
              <w:left w:val="single" w:sz="4" w:space="0" w:color="auto"/>
              <w:bottom w:val="single" w:sz="4" w:space="1" w:color="auto"/>
              <w:right w:val="single" w:sz="4" w:space="4" w:color="auto"/>
            </w:pBdr>
            <w:jc w:val="center"/>
            <w:rPr>
              <w:rFonts w:ascii="Calibri" w:hAnsi="Calibri" w:cs="Calibri"/>
              <w:b/>
              <w:sz w:val="18"/>
              <w:szCs w:val="18"/>
            </w:rPr>
          </w:pPr>
          <w:r>
            <w:rPr>
              <w:rFonts w:ascii="Calibri" w:hAnsi="Calibri" w:cs="Calibri"/>
              <w:b/>
            </w:rPr>
            <w:t>Renseignements complémentaires d’ordre pédagogique</w:t>
          </w:r>
        </w:p>
        <w:p w:rsidR="00F04EEF" w:rsidRDefault="00F04EEF">
          <w:pPr>
            <w:rPr>
              <w:rFonts w:ascii="Calibri" w:hAnsi="Calibri" w:cs="Calibri"/>
            </w:rPr>
          </w:pPr>
        </w:p>
        <w:p w:rsidR="00F04EEF" w:rsidRDefault="00F04EEF">
          <w:pPr>
            <w:rPr>
              <w:rFonts w:ascii="Calibri" w:hAnsi="Calibri" w:cs="Calibri"/>
            </w:rPr>
          </w:pPr>
        </w:p>
        <w:p w:rsidR="00F04EEF" w:rsidRDefault="0099351E">
          <w:pPr>
            <w:shd w:val="clear" w:color="auto" w:fill="D9D9D9"/>
            <w:jc w:val="center"/>
            <w:rPr>
              <w:rFonts w:ascii="Calibri" w:hAnsi="Calibri" w:cs="Calibri"/>
              <w:b/>
            </w:rPr>
          </w:pPr>
          <w:r>
            <w:rPr>
              <w:rFonts w:ascii="Calibri" w:hAnsi="Calibri" w:cs="Calibri"/>
              <w:b/>
            </w:rPr>
            <w:t>OBJECTIFS GENERAUX DU SEJOUR</w:t>
          </w:r>
        </w:p>
        <w:p w:rsidR="00F04EEF" w:rsidRDefault="00F04EEF">
          <w:pPr>
            <w:jc w:val="both"/>
            <w:rPr>
              <w:rFonts w:ascii="Calibri" w:hAnsi="Calibri" w:cs="Calibri"/>
            </w:rPr>
          </w:pPr>
        </w:p>
        <w:p w:rsidR="00F04EEF" w:rsidRDefault="0099351E">
          <w:pPr>
            <w:jc w:val="both"/>
            <w:rPr>
              <w:rFonts w:ascii="Calibri" w:hAnsi="Calibri" w:cs="Calibri"/>
            </w:rPr>
          </w:pPr>
          <w:r>
            <w:rPr>
              <w:rFonts w:ascii="Calibri" w:hAnsi="Calibri" w:cs="Calibri"/>
            </w:rPr>
            <w:t>Indiquez ci-dessous les objectifs principaux que vous poursuivez en proposant ce séjour aux élèves concernés :</w:t>
          </w:r>
        </w:p>
        <w:p w:rsidR="00F04EEF" w:rsidRDefault="0099351E">
          <w:pPr>
            <w:jc w:val="both"/>
            <w:rPr>
              <w:rFonts w:ascii="Calibri" w:hAnsi="Calibri" w:cs="Calibri"/>
            </w:rPr>
          </w:pPr>
          <w:r>
            <w:rPr>
              <w:rFonts w:ascii="Calibri" w:hAnsi="Calibri" w:cs="Calibri"/>
            </w:rPr>
            <w:t>…</w:t>
          </w:r>
        </w:p>
        <w:p w:rsidR="00F04EEF" w:rsidRDefault="0099351E">
          <w:pPr>
            <w:jc w:val="both"/>
            <w:rPr>
              <w:rFonts w:ascii="Calibri" w:hAnsi="Calibri" w:cs="Calibri"/>
            </w:rPr>
          </w:pPr>
          <w:r>
            <w:rPr>
              <w:rFonts w:ascii="Calibri" w:hAnsi="Calibri" w:cs="Calibri"/>
            </w:rPr>
            <w:t>…</w:t>
          </w:r>
        </w:p>
        <w:p w:rsidR="00F04EEF" w:rsidRDefault="00F04EEF">
          <w:pPr>
            <w:pStyle w:val="Paragraphedeliste"/>
            <w:jc w:val="both"/>
            <w:rPr>
              <w:rFonts w:ascii="Calibri" w:hAnsi="Calibri" w:cs="Calibri"/>
              <w:szCs w:val="22"/>
            </w:rPr>
          </w:pPr>
        </w:p>
        <w:p w:rsidR="00F04EEF" w:rsidRDefault="00F04EEF">
          <w:pPr>
            <w:jc w:val="both"/>
            <w:rPr>
              <w:rFonts w:ascii="Calibri" w:hAnsi="Calibri" w:cs="Calibri"/>
            </w:rPr>
          </w:pPr>
        </w:p>
        <w:p w:rsidR="00F04EEF" w:rsidRDefault="00F04EEF">
          <w:pPr>
            <w:jc w:val="center"/>
            <w:rPr>
              <w:rFonts w:ascii="Calibri" w:hAnsi="Calibri" w:cs="Calibri"/>
            </w:rPr>
          </w:pPr>
        </w:p>
        <w:p w:rsidR="00F04EEF" w:rsidRDefault="0099351E">
          <w:pPr>
            <w:shd w:val="clear" w:color="auto" w:fill="D9D9D9"/>
            <w:jc w:val="center"/>
            <w:rPr>
              <w:rFonts w:ascii="Calibri" w:hAnsi="Calibri" w:cs="Calibri"/>
              <w:b/>
            </w:rPr>
          </w:pPr>
          <w:r>
            <w:rPr>
              <w:rFonts w:ascii="Calibri" w:hAnsi="Calibri" w:cs="Calibri"/>
              <w:b/>
            </w:rPr>
            <w:t>COMPETENCES DEVELOPPEES</w:t>
          </w:r>
        </w:p>
        <w:p w:rsidR="00F04EEF" w:rsidRDefault="0099351E">
          <w:pPr>
            <w:shd w:val="clear" w:color="auto" w:fill="D9D9D9"/>
            <w:jc w:val="center"/>
            <w:rPr>
              <w:rFonts w:ascii="Calibri" w:hAnsi="Calibri" w:cs="Calibri"/>
              <w:b/>
            </w:rPr>
          </w:pPr>
          <w:r>
            <w:rPr>
              <w:rFonts w:ascii="Calibri" w:hAnsi="Calibri" w:cs="Calibri"/>
              <w:b/>
            </w:rPr>
            <w:t>DANS LE CADRE DU SEJOUR PEDAGOGIQUE AVEC NUITEE(S)</w:t>
          </w:r>
        </w:p>
        <w:p w:rsidR="00F04EEF" w:rsidRDefault="00F04EEF">
          <w:pPr>
            <w:jc w:val="both"/>
            <w:rPr>
              <w:rFonts w:ascii="Calibri" w:hAnsi="Calibri" w:cs="Calibri"/>
            </w:rPr>
          </w:pPr>
        </w:p>
        <w:p w:rsidR="00F04EEF" w:rsidRDefault="0099351E">
          <w:pPr>
            <w:jc w:val="both"/>
            <w:rPr>
              <w:rFonts w:ascii="Calibri" w:hAnsi="Calibri" w:cs="Calibri"/>
            </w:rPr>
          </w:pPr>
          <w:r>
            <w:rPr>
              <w:rFonts w:ascii="Calibri" w:hAnsi="Calibri" w:cs="Calibri"/>
            </w:rPr>
            <w:t>Quelles sont les compétences développées dans les matières que vous rencontrerez lors de ce séjour ?</w:t>
          </w:r>
        </w:p>
        <w:p w:rsidR="00F04EEF" w:rsidRDefault="00F04EEF">
          <w:pPr>
            <w:jc w:val="both"/>
            <w:rPr>
              <w:rFonts w:ascii="Calibri" w:hAnsi="Calibri" w:cs="Calibri"/>
            </w:rPr>
          </w:pPr>
        </w:p>
        <w:p w:rsidR="00F04EEF" w:rsidRDefault="0099351E">
          <w:pPr>
            <w:pStyle w:val="Paragraphedeliste"/>
            <w:numPr>
              <w:ilvl w:val="0"/>
              <w:numId w:val="275"/>
            </w:numPr>
            <w:suppressAutoHyphens w:val="0"/>
            <w:contextualSpacing/>
            <w:jc w:val="both"/>
            <w:rPr>
              <w:rFonts w:ascii="Calibri" w:hAnsi="Calibri" w:cs="Calibri"/>
              <w:szCs w:val="22"/>
            </w:rPr>
          </w:pPr>
          <w:r>
            <w:rPr>
              <w:rFonts w:ascii="Calibri" w:hAnsi="Calibri" w:cs="Calibri"/>
              <w:szCs w:val="22"/>
            </w:rPr>
            <w:t>Compétences disciplinaires développées :</w:t>
          </w:r>
        </w:p>
        <w:p w:rsidR="00F04EEF" w:rsidRDefault="0099351E">
          <w:pPr>
            <w:ind w:firstLine="709"/>
            <w:jc w:val="both"/>
            <w:rPr>
              <w:rFonts w:ascii="Calibri" w:hAnsi="Calibri" w:cs="Calibri"/>
            </w:rPr>
          </w:pPr>
          <w:r>
            <w:rPr>
              <w:rFonts w:ascii="Calibri" w:hAnsi="Calibri" w:cs="Calibri"/>
            </w:rPr>
            <w:t>…</w:t>
          </w:r>
        </w:p>
        <w:p w:rsidR="00F04EEF" w:rsidRDefault="0099351E">
          <w:pPr>
            <w:ind w:firstLine="709"/>
            <w:jc w:val="both"/>
            <w:rPr>
              <w:rFonts w:ascii="Calibri" w:hAnsi="Calibri" w:cs="Calibri"/>
            </w:rPr>
          </w:pPr>
          <w:r>
            <w:rPr>
              <w:rFonts w:ascii="Calibri" w:hAnsi="Calibri" w:cs="Calibri"/>
            </w:rPr>
            <w:t>…</w:t>
          </w:r>
        </w:p>
        <w:p w:rsidR="00F04EEF" w:rsidRDefault="00F04EEF">
          <w:pPr>
            <w:jc w:val="both"/>
            <w:rPr>
              <w:rFonts w:ascii="Calibri" w:hAnsi="Calibri" w:cs="Calibri"/>
            </w:rPr>
          </w:pPr>
        </w:p>
        <w:p w:rsidR="00F04EEF" w:rsidRDefault="0099351E">
          <w:pPr>
            <w:pStyle w:val="Paragraphedeliste"/>
            <w:numPr>
              <w:ilvl w:val="0"/>
              <w:numId w:val="275"/>
            </w:numPr>
            <w:suppressAutoHyphens w:val="0"/>
            <w:contextualSpacing/>
            <w:jc w:val="both"/>
            <w:rPr>
              <w:rFonts w:ascii="Calibri" w:hAnsi="Calibri" w:cs="Calibri"/>
              <w:szCs w:val="22"/>
            </w:rPr>
          </w:pPr>
          <w:r>
            <w:rPr>
              <w:rFonts w:ascii="Calibri" w:hAnsi="Calibri" w:cs="Calibri"/>
              <w:szCs w:val="22"/>
            </w:rPr>
            <w:t>Compétences interdisciplinaires développées :</w:t>
          </w:r>
        </w:p>
        <w:p w:rsidR="00F04EEF" w:rsidRDefault="0099351E">
          <w:pPr>
            <w:ind w:firstLine="709"/>
            <w:jc w:val="both"/>
            <w:rPr>
              <w:rFonts w:ascii="Calibri" w:hAnsi="Calibri" w:cs="Calibri"/>
            </w:rPr>
          </w:pPr>
          <w:r>
            <w:rPr>
              <w:rFonts w:ascii="Calibri" w:hAnsi="Calibri" w:cs="Calibri"/>
            </w:rPr>
            <w:t>…</w:t>
          </w:r>
        </w:p>
        <w:p w:rsidR="00F04EEF" w:rsidRDefault="0099351E">
          <w:pPr>
            <w:ind w:firstLine="709"/>
            <w:jc w:val="both"/>
            <w:rPr>
              <w:rFonts w:ascii="Calibri" w:hAnsi="Calibri" w:cs="Calibri"/>
            </w:rPr>
          </w:pPr>
          <w:r>
            <w:rPr>
              <w:rFonts w:ascii="Calibri" w:hAnsi="Calibri" w:cs="Calibri"/>
            </w:rPr>
            <w:t>…</w:t>
          </w:r>
        </w:p>
        <w:p w:rsidR="00F04EEF" w:rsidRDefault="00F04EEF">
          <w:pPr>
            <w:jc w:val="both"/>
            <w:rPr>
              <w:rFonts w:ascii="Calibri" w:hAnsi="Calibri" w:cs="Calibri"/>
            </w:rPr>
          </w:pPr>
        </w:p>
        <w:p w:rsidR="00F04EEF" w:rsidRDefault="0099351E">
          <w:pPr>
            <w:pStyle w:val="Paragraphedeliste"/>
            <w:numPr>
              <w:ilvl w:val="0"/>
              <w:numId w:val="275"/>
            </w:numPr>
            <w:suppressAutoHyphens w:val="0"/>
            <w:contextualSpacing/>
            <w:jc w:val="both"/>
            <w:rPr>
              <w:rFonts w:ascii="Calibri" w:hAnsi="Calibri" w:cs="Calibri"/>
              <w:szCs w:val="22"/>
            </w:rPr>
          </w:pPr>
          <w:r>
            <w:rPr>
              <w:rFonts w:ascii="Calibri" w:hAnsi="Calibri" w:cs="Calibri"/>
              <w:szCs w:val="22"/>
            </w:rPr>
            <w:t>Compétences transversales développées :</w:t>
          </w:r>
        </w:p>
        <w:p w:rsidR="00F04EEF" w:rsidRDefault="0099351E">
          <w:pPr>
            <w:ind w:firstLine="709"/>
            <w:jc w:val="both"/>
            <w:rPr>
              <w:rFonts w:ascii="Calibri" w:hAnsi="Calibri" w:cs="Calibri"/>
            </w:rPr>
          </w:pPr>
          <w:r>
            <w:rPr>
              <w:rFonts w:ascii="Calibri" w:hAnsi="Calibri" w:cs="Calibri"/>
            </w:rPr>
            <w:t>…</w:t>
          </w:r>
        </w:p>
        <w:p w:rsidR="00F04EEF" w:rsidRDefault="0099351E">
          <w:pPr>
            <w:ind w:left="709"/>
            <w:jc w:val="both"/>
            <w:rPr>
              <w:rFonts w:ascii="Calibri" w:hAnsi="Calibri" w:cs="Calibri"/>
            </w:rPr>
          </w:pPr>
          <w:r>
            <w:rPr>
              <w:rFonts w:ascii="Calibri" w:hAnsi="Calibri" w:cs="Calibri"/>
            </w:rPr>
            <w:t>…</w:t>
          </w:r>
        </w:p>
        <w:p w:rsidR="00F04EEF" w:rsidRDefault="00F04EEF">
          <w:pPr>
            <w:jc w:val="both"/>
            <w:rPr>
              <w:rFonts w:ascii="Calibri" w:hAnsi="Calibri" w:cs="Calibri"/>
            </w:rPr>
          </w:pPr>
        </w:p>
        <w:p w:rsidR="00F04EEF" w:rsidRDefault="00F42422"/>
      </w:sdtContent>
    </w:sdt>
    <w:sdt>
      <w:sdtPr>
        <w:id w:val="1098141821"/>
        <w:docPartObj>
          <w:docPartGallery w:val="Cover Pages"/>
          <w:docPartUnique/>
        </w:docPartObj>
      </w:sdtPr>
      <w:sdtEndPr/>
      <w:sdtContent>
        <w:p w:rsidR="00F04EEF" w:rsidRDefault="00F04EEF"/>
        <w:p w:rsidR="00F04EEF" w:rsidRDefault="0099351E">
          <w:r>
            <w:br w:type="page"/>
          </w:r>
        </w:p>
        <w:p w:rsidR="00F04EEF" w:rsidRDefault="0099351E">
          <w:pPr>
            <w:pStyle w:val="Titre2"/>
          </w:pPr>
          <w:bookmarkStart w:id="3732" w:name="_Toc47708625"/>
          <w:r>
            <w:t>Chapitre 25 : Charges d’activités éducatives et pédagogiques</w:t>
          </w:r>
          <w:bookmarkEnd w:id="3732"/>
        </w:p>
        <w:p w:rsidR="00F04EEF" w:rsidRDefault="00F04EEF">
          <w:pPr>
            <w:rPr>
              <w:noProof/>
              <w:lang w:eastAsia="fr-BE"/>
            </w:rPr>
          </w:pPr>
        </w:p>
        <w:p w:rsidR="00F04EEF" w:rsidRDefault="00F04EEF">
          <w:pPr>
            <w:rPr>
              <w:noProof/>
              <w:lang w:eastAsia="fr-BE"/>
            </w:rPr>
          </w:pPr>
        </w:p>
        <w:p w:rsidR="00F04EEF" w:rsidRDefault="00F04EEF"/>
        <w:p w:rsidR="00F04EEF" w:rsidRDefault="00F04EEF"/>
        <w:p w:rsidR="00F04EEF" w:rsidRDefault="00F42422"/>
      </w:sdtContent>
    </w:sdt>
    <w:p w:rsidR="00F04EEF" w:rsidRDefault="0099351E">
      <w:pPr>
        <w:pStyle w:val="Titre3"/>
        <w:rPr>
          <w:sz w:val="22"/>
          <w:szCs w:val="22"/>
        </w:rPr>
      </w:pPr>
      <w:bookmarkStart w:id="3733" w:name="_Toc453314359"/>
      <w:bookmarkStart w:id="3734" w:name="_Toc454980394"/>
      <w:bookmarkStart w:id="3735" w:name="_Toc47708626"/>
      <w:r>
        <w:rPr>
          <w:sz w:val="22"/>
          <w:szCs w:val="22"/>
        </w:rPr>
        <w:t>1. Dispositions générales</w:t>
      </w:r>
      <w:bookmarkEnd w:id="3733"/>
      <w:bookmarkEnd w:id="3734"/>
      <w:bookmarkEnd w:id="3735"/>
    </w:p>
    <w:p w:rsidR="00F04EEF" w:rsidRDefault="00F04EEF">
      <w:pPr>
        <w:jc w:val="both"/>
        <w:rPr>
          <w:b/>
        </w:rPr>
      </w:pPr>
    </w:p>
    <w:p w:rsidR="00F04EEF" w:rsidRDefault="0099351E">
      <w:pPr>
        <w:jc w:val="both"/>
      </w:pPr>
      <w:r>
        <w:t xml:space="preserve">A titre expérimental, un poste de chargé d'activités éducatives et pédagogiques pourra être organisé, hors capital-périodes, </w:t>
      </w:r>
      <w:r>
        <w:rPr>
          <w:color w:val="000000"/>
        </w:rPr>
        <w:t>au cours de la présente année scolaire</w:t>
      </w:r>
      <w:r>
        <w:t xml:space="preserve">, dans tout établissement d'enseignement spécialisé organisant le niveau secondaire. </w:t>
      </w:r>
    </w:p>
    <w:p w:rsidR="00F04EEF" w:rsidRDefault="0099351E">
      <w:pPr>
        <w:jc w:val="both"/>
      </w:pPr>
      <w:r>
        <w:t>Ce poste ne constitue pas un emploi organique.</w:t>
      </w:r>
    </w:p>
    <w:p w:rsidR="00F04EEF" w:rsidRDefault="00F04EEF">
      <w:pPr>
        <w:jc w:val="both"/>
      </w:pPr>
    </w:p>
    <w:p w:rsidR="00F04EEF" w:rsidRDefault="0099351E">
      <w:pPr>
        <w:pStyle w:val="Titre3"/>
        <w:rPr>
          <w:sz w:val="22"/>
          <w:szCs w:val="22"/>
        </w:rPr>
      </w:pPr>
      <w:bookmarkStart w:id="3736" w:name="_2._Conditions_d’attribution"/>
      <w:bookmarkStart w:id="3737" w:name="__RefHeading__181_957262308"/>
      <w:bookmarkStart w:id="3738" w:name="_Toc291075345"/>
      <w:bookmarkStart w:id="3739" w:name="_Toc291075769"/>
      <w:bookmarkStart w:id="3740" w:name="_Toc291076193"/>
      <w:bookmarkStart w:id="3741" w:name="_Toc291076617"/>
      <w:bookmarkStart w:id="3742" w:name="_Toc291077041"/>
      <w:bookmarkStart w:id="3743" w:name="_Toc293651884"/>
      <w:bookmarkStart w:id="3744" w:name="_Toc293653467"/>
      <w:bookmarkStart w:id="3745" w:name="_Toc293654078"/>
      <w:bookmarkStart w:id="3746" w:name="_Toc294004656"/>
      <w:bookmarkStart w:id="3747" w:name="_Toc294185152"/>
      <w:bookmarkStart w:id="3748" w:name="_Toc324165968"/>
      <w:bookmarkStart w:id="3749" w:name="_Toc324767005"/>
      <w:bookmarkStart w:id="3750" w:name="_Toc453314360"/>
      <w:bookmarkStart w:id="3751" w:name="_Toc454980395"/>
      <w:bookmarkStart w:id="3752" w:name="_Toc47708627"/>
      <w:bookmarkEnd w:id="3736"/>
      <w:bookmarkEnd w:id="3737"/>
      <w:r>
        <w:rPr>
          <w:sz w:val="22"/>
          <w:szCs w:val="22"/>
        </w:rPr>
        <w:t>2. Conditions d’attribution du poste</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rsidR="00F04EEF" w:rsidRDefault="00F04EEF">
      <w:pPr>
        <w:jc w:val="both"/>
      </w:pPr>
    </w:p>
    <w:p w:rsidR="00F04EEF" w:rsidRDefault="0099351E">
      <w:pPr>
        <w:jc w:val="both"/>
      </w:pPr>
      <w:r>
        <w:t>Le principe d'organisation de cet emploi est d'assurer une stabilité de l'équipe éducative à l'établissement d'enseignement spécialisé.</w:t>
      </w:r>
    </w:p>
    <w:p w:rsidR="00F04EEF" w:rsidRDefault="00F04EEF">
      <w:pPr>
        <w:jc w:val="both"/>
        <w:rPr>
          <w:b/>
        </w:rPr>
      </w:pPr>
    </w:p>
    <w:p w:rsidR="00F04EEF" w:rsidRDefault="0099351E">
      <w:pPr>
        <w:jc w:val="both"/>
      </w:pPr>
      <w:r>
        <w:t>Le poste doit être attribué à un membre du personnel en perte totale de charge selon l'ordre précis de priorité ci-après :</w:t>
      </w:r>
    </w:p>
    <w:p w:rsidR="00F04EEF" w:rsidRDefault="00F04EEF">
      <w:pPr>
        <w:jc w:val="both"/>
      </w:pPr>
    </w:p>
    <w:p w:rsidR="00F04EEF" w:rsidRDefault="0099351E">
      <w:pPr>
        <w:numPr>
          <w:ilvl w:val="0"/>
          <w:numId w:val="137"/>
        </w:numPr>
        <w:tabs>
          <w:tab w:val="clear" w:pos="360"/>
        </w:tabs>
        <w:suppressAutoHyphens/>
        <w:ind w:left="567" w:hanging="567"/>
        <w:jc w:val="both"/>
      </w:pPr>
      <w:r>
        <w:t xml:space="preserve">à un membre du personnel auxiliaire d'éducation, </w:t>
      </w:r>
      <w:r>
        <w:rPr>
          <w:u w:val="single"/>
        </w:rPr>
        <w:t>définitif</w:t>
      </w:r>
      <w:r>
        <w:t>,  ayant été en fonction dans l'établissement, mais ayant perdu son emploi ;</w:t>
      </w:r>
    </w:p>
    <w:p w:rsidR="00F04EEF" w:rsidRDefault="0099351E">
      <w:pPr>
        <w:numPr>
          <w:ilvl w:val="0"/>
          <w:numId w:val="137"/>
        </w:numPr>
        <w:tabs>
          <w:tab w:val="clear" w:pos="360"/>
        </w:tabs>
        <w:suppressAutoHyphens/>
        <w:ind w:left="567" w:hanging="567"/>
        <w:jc w:val="both"/>
      </w:pPr>
      <w:r>
        <w:t xml:space="preserve">à défaut, à n'importe quel membre du personnel auxiliaire d'éducation, en fonction dans l'établissement, </w:t>
      </w:r>
      <w:r>
        <w:rPr>
          <w:u w:val="single"/>
        </w:rPr>
        <w:t>susceptible</w:t>
      </w:r>
      <w:r>
        <w:t xml:space="preserve"> d'être placé en disponibilité par défaut d'emploi pour cette année scolaire ;</w:t>
      </w:r>
    </w:p>
    <w:p w:rsidR="00F04EEF" w:rsidRDefault="0099351E">
      <w:pPr>
        <w:numPr>
          <w:ilvl w:val="0"/>
          <w:numId w:val="137"/>
        </w:numPr>
        <w:tabs>
          <w:tab w:val="clear" w:pos="360"/>
        </w:tabs>
        <w:suppressAutoHyphens/>
        <w:ind w:left="567" w:hanging="567"/>
        <w:jc w:val="both"/>
      </w:pPr>
      <w:r>
        <w:t>à défaut encore, à un membre du personnel directeur et enseignant de l'établissement mis en disponibilité et sur base du volontariat ;</w:t>
      </w:r>
    </w:p>
    <w:p w:rsidR="00F04EEF" w:rsidRDefault="0099351E">
      <w:pPr>
        <w:numPr>
          <w:ilvl w:val="0"/>
          <w:numId w:val="137"/>
        </w:numPr>
        <w:tabs>
          <w:tab w:val="clear" w:pos="360"/>
        </w:tabs>
        <w:suppressAutoHyphens/>
        <w:ind w:left="567" w:hanging="567"/>
        <w:jc w:val="both"/>
      </w:pPr>
      <w:r>
        <w:t>à défaut encore, à un membre des personnels ci-avant mis en disponibilité dans un établissement d'enseignement secondaire du même réseau, sur base du volontariat.</w:t>
      </w:r>
    </w:p>
    <w:p w:rsidR="00F04EEF" w:rsidRDefault="00F04EEF">
      <w:pPr>
        <w:jc w:val="both"/>
      </w:pPr>
    </w:p>
    <w:p w:rsidR="00F04EEF" w:rsidRDefault="0099351E">
      <w:pPr>
        <w:jc w:val="both"/>
        <w:rPr>
          <w:u w:val="single"/>
        </w:rPr>
      </w:pPr>
      <w:r>
        <w:rPr>
          <w:u w:val="single"/>
        </w:rPr>
        <w:t>Le chargé d'activités éducatives ou pédagogiques ne peut :</w:t>
      </w:r>
    </w:p>
    <w:p w:rsidR="00F04EEF" w:rsidRDefault="00F04EEF">
      <w:pPr>
        <w:jc w:val="both"/>
        <w:rPr>
          <w:u w:val="single"/>
        </w:rPr>
      </w:pPr>
    </w:p>
    <w:p w:rsidR="00F04EEF" w:rsidRDefault="0099351E">
      <w:pPr>
        <w:numPr>
          <w:ilvl w:val="0"/>
          <w:numId w:val="135"/>
        </w:numPr>
        <w:tabs>
          <w:tab w:val="clear" w:pos="360"/>
        </w:tabs>
        <w:suppressAutoHyphens/>
        <w:ind w:left="567" w:hanging="567"/>
        <w:jc w:val="both"/>
      </w:pPr>
      <w:r>
        <w:t>être titulaire d'une fonction appartenant à une autre catégorie de personnel que celles citées ci-dessus ;</w:t>
      </w:r>
    </w:p>
    <w:p w:rsidR="00F04EEF" w:rsidRDefault="0099351E">
      <w:pPr>
        <w:numPr>
          <w:ilvl w:val="0"/>
          <w:numId w:val="135"/>
        </w:numPr>
        <w:tabs>
          <w:tab w:val="clear" w:pos="360"/>
        </w:tabs>
        <w:suppressAutoHyphens/>
        <w:ind w:left="567" w:hanging="567"/>
        <w:jc w:val="both"/>
      </w:pPr>
      <w:r>
        <w:t>se trouver dans une situation statutaire autre que "définitif".</w:t>
      </w:r>
    </w:p>
    <w:p w:rsidR="00F04EEF" w:rsidRDefault="00F04EEF">
      <w:pPr>
        <w:jc w:val="both"/>
      </w:pPr>
    </w:p>
    <w:p w:rsidR="00F04EEF" w:rsidRDefault="0099351E">
      <w:pPr>
        <w:jc w:val="both"/>
      </w:pPr>
      <w:r>
        <w:t>Il est mis fin à la charge dès réaffectation ou remise au travail dans un emploi organique.</w:t>
      </w:r>
    </w:p>
    <w:p w:rsidR="00F04EEF" w:rsidRDefault="0099351E">
      <w:pPr>
        <w:jc w:val="both"/>
      </w:pPr>
      <w:r>
        <w:t>Aucun remplacement dans le poste de chargé d'activités éducatives et pédagogiques ne peut s'effectuer en dehors des règles ci-avant.</w:t>
      </w:r>
    </w:p>
    <w:p w:rsidR="00F04EEF" w:rsidRDefault="00F04EEF">
      <w:pPr>
        <w:jc w:val="both"/>
      </w:pPr>
    </w:p>
    <w:p w:rsidR="00F04EEF" w:rsidRDefault="0099351E">
      <w:pPr>
        <w:pStyle w:val="Titre3"/>
        <w:rPr>
          <w:sz w:val="22"/>
          <w:szCs w:val="22"/>
        </w:rPr>
      </w:pPr>
      <w:bookmarkStart w:id="3753" w:name="__RefHeading__183_957262308"/>
      <w:bookmarkStart w:id="3754" w:name="_3._Description_de"/>
      <w:bookmarkStart w:id="3755" w:name="_Toc291075346"/>
      <w:bookmarkStart w:id="3756" w:name="_Toc291075770"/>
      <w:bookmarkStart w:id="3757" w:name="_Toc291076194"/>
      <w:bookmarkStart w:id="3758" w:name="_Toc291076618"/>
      <w:bookmarkStart w:id="3759" w:name="_Toc291077042"/>
      <w:bookmarkStart w:id="3760" w:name="_Toc293651885"/>
      <w:bookmarkStart w:id="3761" w:name="_Toc293653468"/>
      <w:bookmarkStart w:id="3762" w:name="_Toc293654079"/>
      <w:bookmarkStart w:id="3763" w:name="_Toc294004657"/>
      <w:bookmarkStart w:id="3764" w:name="_Toc294185153"/>
      <w:bookmarkStart w:id="3765" w:name="_Toc324165969"/>
      <w:bookmarkStart w:id="3766" w:name="_Toc324767006"/>
      <w:bookmarkStart w:id="3767" w:name="_Toc453314361"/>
      <w:bookmarkStart w:id="3768" w:name="_Toc454980396"/>
      <w:bookmarkStart w:id="3769" w:name="_Toc47708628"/>
      <w:bookmarkEnd w:id="3753"/>
      <w:bookmarkEnd w:id="3754"/>
      <w:r>
        <w:rPr>
          <w:sz w:val="22"/>
          <w:szCs w:val="22"/>
        </w:rPr>
        <w:t>3. Description de la fonction et plage-horaire</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r>
        <w:rPr>
          <w:sz w:val="22"/>
          <w:szCs w:val="22"/>
        </w:rPr>
        <w:t xml:space="preserve"> </w:t>
      </w:r>
    </w:p>
    <w:p w:rsidR="00F04EEF" w:rsidRDefault="00F04EEF">
      <w:pPr>
        <w:jc w:val="both"/>
        <w:rPr>
          <w:b/>
        </w:rPr>
      </w:pPr>
    </w:p>
    <w:p w:rsidR="00F04EEF" w:rsidRDefault="0099351E">
      <w:pPr>
        <w:jc w:val="both"/>
        <w:rPr>
          <w:u w:val="single"/>
        </w:rPr>
      </w:pPr>
      <w:r>
        <w:rPr>
          <w:u w:val="single"/>
        </w:rPr>
        <w:t>Le titulaire du poste est chargé :</w:t>
      </w:r>
    </w:p>
    <w:p w:rsidR="00F04EEF" w:rsidRDefault="00F04EEF">
      <w:pPr>
        <w:jc w:val="both"/>
        <w:rPr>
          <w:u w:val="single"/>
        </w:rPr>
      </w:pPr>
    </w:p>
    <w:p w:rsidR="00F04EEF" w:rsidRDefault="0099351E">
      <w:pPr>
        <w:numPr>
          <w:ilvl w:val="0"/>
          <w:numId w:val="136"/>
        </w:numPr>
        <w:tabs>
          <w:tab w:val="clear" w:pos="360"/>
        </w:tabs>
        <w:suppressAutoHyphens/>
        <w:ind w:left="283" w:hanging="283"/>
        <w:jc w:val="both"/>
      </w:pPr>
      <w:r>
        <w:t>de l'accueil et de l'encadrement socio-éducatif des élèves.</w:t>
      </w:r>
    </w:p>
    <w:p w:rsidR="00F04EEF" w:rsidRDefault="0099351E">
      <w:pPr>
        <w:numPr>
          <w:ilvl w:val="0"/>
          <w:numId w:val="136"/>
        </w:numPr>
        <w:tabs>
          <w:tab w:val="clear" w:pos="360"/>
        </w:tabs>
        <w:suppressAutoHyphens/>
        <w:ind w:left="283" w:hanging="283"/>
        <w:jc w:val="both"/>
      </w:pPr>
      <w:r>
        <w:t>du remplacement des membres du personnel enseignant (emplois de recrutement) durant les absences de courte durée ne permettant pas la désignation d'un intérimaire. Par exemple, en cas d'absence d'un titulaire qui participe à une activité de formation.</w:t>
      </w:r>
    </w:p>
    <w:p w:rsidR="00F04EEF" w:rsidRDefault="00F04EEF">
      <w:pPr>
        <w:jc w:val="both"/>
        <w:rPr>
          <w:u w:val="single"/>
        </w:rPr>
      </w:pPr>
    </w:p>
    <w:p w:rsidR="00F04EEF" w:rsidRDefault="0099351E">
      <w:pPr>
        <w:jc w:val="both"/>
      </w:pPr>
      <w:r>
        <w:t>Les prestations doivent avoir un caractère pédagogique.</w:t>
      </w:r>
    </w:p>
    <w:p w:rsidR="00F04EEF" w:rsidRDefault="0099351E">
      <w:pPr>
        <w:jc w:val="both"/>
      </w:pPr>
      <w:r>
        <w:t>La plage-horaire du chargé d'activités éducatives et pédagogiques est celle des éducateurs.</w:t>
      </w:r>
    </w:p>
    <w:p w:rsidR="00F04EEF" w:rsidRDefault="0099351E">
      <w:pPr>
        <w:jc w:val="both"/>
      </w:pPr>
      <w:r>
        <w:t>Ce poste ne peut être scindé.</w:t>
      </w:r>
    </w:p>
    <w:p w:rsidR="00F04EEF" w:rsidRDefault="00F04EEF">
      <w:pPr>
        <w:jc w:val="both"/>
      </w:pPr>
    </w:p>
    <w:p w:rsidR="00F04EEF" w:rsidRDefault="0099351E">
      <w:pPr>
        <w:pStyle w:val="Titre3"/>
        <w:rPr>
          <w:sz w:val="22"/>
          <w:szCs w:val="22"/>
        </w:rPr>
      </w:pPr>
      <w:bookmarkStart w:id="3770" w:name="__RefHeading__185_957262308"/>
      <w:bookmarkStart w:id="3771" w:name="_Toc291075347"/>
      <w:bookmarkStart w:id="3772" w:name="_Toc291075771"/>
      <w:bookmarkStart w:id="3773" w:name="_Toc291076195"/>
      <w:bookmarkStart w:id="3774" w:name="_Toc291076619"/>
      <w:bookmarkStart w:id="3775" w:name="_Toc291077043"/>
      <w:bookmarkStart w:id="3776" w:name="_Toc293651886"/>
      <w:bookmarkStart w:id="3777" w:name="_Toc293653469"/>
      <w:bookmarkStart w:id="3778" w:name="_Toc293654080"/>
      <w:bookmarkStart w:id="3779" w:name="_Toc294004658"/>
      <w:bookmarkStart w:id="3780" w:name="_Toc294185154"/>
      <w:bookmarkStart w:id="3781" w:name="_Toc324165970"/>
      <w:bookmarkStart w:id="3782" w:name="_Toc324767007"/>
      <w:bookmarkStart w:id="3783" w:name="_Toc453314362"/>
      <w:bookmarkStart w:id="3784" w:name="_Toc454980397"/>
      <w:bookmarkStart w:id="3785" w:name="_Toc47708629"/>
      <w:bookmarkEnd w:id="3770"/>
      <w:r>
        <w:rPr>
          <w:sz w:val="22"/>
          <w:szCs w:val="22"/>
        </w:rPr>
        <w:t>4. Recommandations</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rsidR="00F04EEF" w:rsidRDefault="00F04EEF">
      <w:pPr>
        <w:jc w:val="both"/>
      </w:pPr>
    </w:p>
    <w:p w:rsidR="00F04EEF" w:rsidRDefault="0099351E">
      <w:pPr>
        <w:jc w:val="both"/>
      </w:pPr>
      <w:r>
        <w:t xml:space="preserve">Le document officiel signalant ou demandant l'attribution du poste doit impérativement répondre aux conditions fixées </w:t>
      </w:r>
      <w:hyperlink w:anchor="_2._Conditions_d’attribution" w:history="1">
        <w:r>
          <w:rPr>
            <w:rStyle w:val="Lienhypertexte"/>
            <w:rFonts w:cs="Arial"/>
          </w:rPr>
          <w:t>au point 2</w:t>
        </w:r>
      </w:hyperlink>
      <w:r>
        <w:t xml:space="preserve"> du présent chapitre.</w:t>
      </w:r>
    </w:p>
    <w:p w:rsidR="00F04EEF" w:rsidRDefault="00F04EEF">
      <w:pPr>
        <w:jc w:val="both"/>
      </w:pPr>
    </w:p>
    <w:p w:rsidR="00F04EEF" w:rsidRDefault="0099351E">
      <w:pPr>
        <w:jc w:val="both"/>
      </w:pPr>
      <w:r>
        <w:t>Afin de préserver la situation administrative du membre du personnel affecté à cette tâche, il est impératif que la procédure réglementaire relative à la mise en disponibilité et à la réaffectation soit respectée.</w:t>
      </w:r>
    </w:p>
    <w:p w:rsidR="00F04EEF" w:rsidRDefault="00F04EEF"/>
    <w:p w:rsidR="00F04EEF" w:rsidRDefault="0099351E">
      <w:pPr>
        <w:rPr>
          <w:rFonts w:eastAsiaTheme="minorEastAsia"/>
          <w:lang w:eastAsia="fr-BE"/>
        </w:rPr>
      </w:pPr>
      <w:r>
        <w:rPr>
          <w:rFonts w:eastAsiaTheme="minorEastAsia"/>
          <w:lang w:eastAsia="fr-BE"/>
        </w:rPr>
        <w:br w:type="page"/>
      </w:r>
    </w:p>
    <w:sdt>
      <w:sdtPr>
        <w:rPr>
          <w:rFonts w:asciiTheme="majorHAnsi" w:eastAsiaTheme="minorHAnsi" w:hAnsiTheme="majorHAnsi"/>
          <w:lang w:eastAsia="en-US"/>
        </w:rPr>
        <w:id w:val="268818574"/>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99351E">
          <w:pPr>
            <w:pStyle w:val="Titre2"/>
          </w:pPr>
          <w:bookmarkStart w:id="3786" w:name="_Chapitre_26_:_1"/>
          <w:bookmarkStart w:id="3787" w:name="_Toc477623934"/>
          <w:bookmarkStart w:id="3788" w:name="_Toc477767813"/>
          <w:bookmarkStart w:id="3789" w:name="_Toc47708630"/>
          <w:bookmarkEnd w:id="3786"/>
          <w:r>
            <w:t>Chapitre</w:t>
          </w:r>
          <w:bookmarkEnd w:id="3787"/>
          <w:bookmarkEnd w:id="3788"/>
          <w:r>
            <w:t xml:space="preserve"> 26 : </w:t>
          </w:r>
          <w:bookmarkStart w:id="3790" w:name="_Toc477623935"/>
          <w:bookmarkStart w:id="3791" w:name="_Toc477767814"/>
          <w:r>
            <w:t>Modèles des attestations, des avis, du certificat de qualification et du procès-verbal délivrés dans l’enseignement secondaire spécialisé de forme 3</w:t>
          </w:r>
          <w:bookmarkEnd w:id="3790"/>
          <w:bookmarkEnd w:id="3791"/>
          <w:bookmarkEnd w:id="3789"/>
        </w:p>
        <w:p w:rsidR="00F04EEF" w:rsidRDefault="00F04EEF"/>
        <w:p w:rsidR="00F04EEF" w:rsidRDefault="00F42422"/>
      </w:sdtContent>
    </w:sdt>
    <w:p w:rsidR="00F04EEF" w:rsidRDefault="00F04EEF"/>
    <w:p w:rsidR="00F04EEF" w:rsidRDefault="0099351E">
      <w:pPr>
        <w:rPr>
          <w:rFonts w:ascii="Cambria" w:hAnsi="Cambria"/>
          <w:b/>
          <w:u w:val="single"/>
        </w:rPr>
      </w:pPr>
      <w:bookmarkStart w:id="3792" w:name="_1.2._Généralités"/>
      <w:bookmarkStart w:id="3793" w:name="__RefHeading__293_957262308"/>
      <w:bookmarkStart w:id="3794" w:name="_Toc453314516"/>
      <w:bookmarkStart w:id="3795" w:name="_Toc454980550"/>
      <w:bookmarkEnd w:id="3792"/>
      <w:bookmarkEnd w:id="3793"/>
      <w:r>
        <w:rPr>
          <w:rFonts w:ascii="Cambria" w:hAnsi="Cambria"/>
          <w:b/>
          <w:u w:val="single"/>
        </w:rPr>
        <w:t xml:space="preserve">Bases légales : </w:t>
      </w:r>
    </w:p>
    <w:p w:rsidR="00F04EEF" w:rsidRDefault="00F04EEF">
      <w:pPr>
        <w:rPr>
          <w:rFonts w:ascii="Cambria" w:hAnsi="Cambria"/>
          <w:b/>
          <w:u w:val="single"/>
        </w:rPr>
      </w:pPr>
    </w:p>
    <w:p w:rsidR="00F04EEF" w:rsidRDefault="0099351E">
      <w:pPr>
        <w:numPr>
          <w:ilvl w:val="0"/>
          <w:numId w:val="276"/>
        </w:numPr>
        <w:suppressAutoHyphens/>
        <w:jc w:val="both"/>
        <w:rPr>
          <w:rFonts w:ascii="Cambria" w:hAnsi="Cambria"/>
        </w:rPr>
      </w:pPr>
      <w:r>
        <w:rPr>
          <w:rFonts w:ascii="Cambria" w:hAnsi="Cambria"/>
        </w:rPr>
        <w:t>Décret du 14 juin 2018 instituant 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p>
    <w:p w:rsidR="00F04EEF" w:rsidRDefault="00F42422">
      <w:pPr>
        <w:numPr>
          <w:ilvl w:val="0"/>
          <w:numId w:val="276"/>
        </w:numPr>
        <w:suppressAutoHyphens/>
        <w:rPr>
          <w:rStyle w:val="Lienhypertexte"/>
          <w:rFonts w:cs="Arial"/>
        </w:rPr>
      </w:pPr>
      <w:hyperlink r:id="rId298" w:history="1">
        <w:r w:rsidR="0099351E">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rsidR="00F04EEF" w:rsidRDefault="00F42422">
      <w:pPr>
        <w:numPr>
          <w:ilvl w:val="0"/>
          <w:numId w:val="276"/>
        </w:numPr>
        <w:suppressAutoHyphens/>
        <w:rPr>
          <w:rStyle w:val="Lienhypertexte"/>
          <w:rFonts w:cs="Arial"/>
        </w:rPr>
      </w:pPr>
      <w:hyperlink r:id="rId299" w:history="1">
        <w:r w:rsidR="0099351E">
          <w:rPr>
            <w:rStyle w:val="Lienhypertexte"/>
            <w:rFonts w:ascii="Cambria" w:hAnsi="Cambria" w:cs="Arial"/>
          </w:rPr>
          <w:t>Décret du 3 mars 2004 organisant l’enseignement spécialisé</w:t>
        </w:r>
      </w:hyperlink>
    </w:p>
    <w:p w:rsidR="00F04EEF" w:rsidRDefault="00F42422">
      <w:pPr>
        <w:pStyle w:val="Retraitcorpsdetexte"/>
        <w:numPr>
          <w:ilvl w:val="0"/>
          <w:numId w:val="276"/>
        </w:numPr>
        <w:rPr>
          <w:rFonts w:asciiTheme="majorHAnsi" w:hAnsiTheme="majorHAnsi"/>
          <w:bCs/>
          <w:szCs w:val="22"/>
        </w:rPr>
      </w:pPr>
      <w:hyperlink r:id="rId300" w:history="1">
        <w:r w:rsidR="0099351E">
          <w:rPr>
            <w:rStyle w:val="Lienhypertexte"/>
            <w:rFonts w:asciiTheme="majorHAnsi" w:hAnsiTheme="majorHAnsi"/>
            <w:bCs/>
            <w:szCs w:val="22"/>
          </w:rPr>
          <w:t>Décret missions du 24 juillet 1997 définissant les missions prioritaires de l’enseignement fondamental et de l’enseignement secondaire et organisant les structures propres à les atteindre, tel que modifié.</w:t>
        </w:r>
      </w:hyperlink>
    </w:p>
    <w:p w:rsidR="00F04EEF" w:rsidRDefault="00F42422">
      <w:pPr>
        <w:numPr>
          <w:ilvl w:val="0"/>
          <w:numId w:val="276"/>
        </w:numPr>
        <w:suppressAutoHyphens/>
        <w:rPr>
          <w:rFonts w:ascii="Cambria" w:hAnsi="Cambria"/>
        </w:rPr>
      </w:pPr>
      <w:hyperlink r:id="rId301" w:history="1">
        <w:r w:rsidR="0099351E">
          <w:rPr>
            <w:rStyle w:val="Lienhypertexte"/>
            <w:rFonts w:ascii="Cambria" w:hAnsi="Cambria" w:cs="Arial"/>
          </w:rPr>
          <w:t>Décret du 21 juin 1993 relatif à la féminisation des noms de métier, fonction, grade ou titre</w:t>
        </w:r>
      </w:hyperlink>
      <w:r w:rsidR="0099351E">
        <w:rPr>
          <w:rFonts w:ascii="Cambria" w:hAnsi="Cambria"/>
        </w:rPr>
        <w:t>.</w:t>
      </w:r>
    </w:p>
    <w:p w:rsidR="00F04EEF" w:rsidRDefault="0099351E">
      <w:pPr>
        <w:numPr>
          <w:ilvl w:val="0"/>
          <w:numId w:val="276"/>
        </w:numPr>
        <w:suppressAutoHyphens/>
        <w:jc w:val="both"/>
        <w:rPr>
          <w:rStyle w:val="Lienhypertexte"/>
          <w:rFonts w:ascii="Cambria" w:hAnsi="Cambria" w:cstheme="minorBidi"/>
          <w:color w:val="auto"/>
          <w:u w:val="none"/>
        </w:rPr>
      </w:pPr>
      <w:r>
        <w:rPr>
          <w:rFonts w:ascii="Cambria" w:hAnsi="Cambria"/>
        </w:rPr>
        <w:fldChar w:fldCharType="begin"/>
      </w:r>
      <w:r>
        <w:rPr>
          <w:rFonts w:ascii="Cambria" w:hAnsi="Cambria"/>
        </w:rPr>
        <w:instrText xml:space="preserve"> HYPERLINK "http://www.gallilex.cfwb.be/document/pdf/30024_000.pdf" </w:instrText>
      </w:r>
      <w:r>
        <w:rPr>
          <w:rFonts w:ascii="Cambria" w:hAnsi="Cambria"/>
        </w:rPr>
        <w:fldChar w:fldCharType="separate"/>
      </w:r>
      <w:r>
        <w:rPr>
          <w:rStyle w:val="Lienhypertexte"/>
          <w:rFonts w:ascii="Cambria" w:hAnsi="Cambria"/>
        </w:rPr>
        <w:t xml:space="preserve">Arrêté du Gouvernement de la Communauté Française du 14 mars 2018 modifiant l’arrêté du Gouvernement de la Communauté française du 20 juillet 2005 </w:t>
      </w:r>
      <w:r>
        <w:rPr>
          <w:rStyle w:val="Lienhypertexte"/>
          <w:rFonts w:ascii="Cambria" w:hAnsi="Cambria" w:cs="Century Schoolbook"/>
          <w:bCs/>
          <w:lang w:eastAsia="fr-FR"/>
        </w:rPr>
        <w:t>fixant les modèles des attestations, des avis et du certificat de qualification délivrés dans l'enseignement spécialisé de forme 3.</w:t>
      </w:r>
      <w:r>
        <w:rPr>
          <w:rStyle w:val="Lienhypertexte"/>
          <w:rFonts w:ascii="Cambria" w:hAnsi="Cambria" w:cstheme="minorBidi"/>
        </w:rPr>
        <w:t xml:space="preserve">   </w:t>
      </w:r>
    </w:p>
    <w:p w:rsidR="00F04EEF" w:rsidRDefault="00F42422">
      <w:pPr>
        <w:numPr>
          <w:ilvl w:val="0"/>
          <w:numId w:val="276"/>
        </w:numPr>
        <w:suppressAutoHyphens/>
        <w:jc w:val="both"/>
        <w:rPr>
          <w:rFonts w:ascii="Cambria" w:hAnsi="Cambria"/>
        </w:rPr>
      </w:pPr>
      <w:hyperlink r:id="rId302" w:history="1">
        <w:r w:rsidR="0099351E">
          <w:rPr>
            <w:rStyle w:val="Lienhypertexte"/>
            <w:rFonts w:ascii="Cambria" w:hAnsi="Cambria" w:cstheme="minorBidi"/>
          </w:rPr>
          <w:t>Arrêté du Gouvernement de la Communauté française du 4 mai 2016 déterminant les modalités d’inscription, de distribution, de passation, de correction et de sécurisation des épreuves externes communes certificatives dans l’enseignement secondaire.</w:t>
        </w:r>
      </w:hyperlink>
      <w:r w:rsidR="0099351E">
        <w:rPr>
          <w:rFonts w:ascii="Cambria" w:hAnsi="Cambria"/>
        </w:rPr>
        <w:t xml:space="preserve"> </w:t>
      </w:r>
    </w:p>
    <w:p w:rsidR="00F04EEF" w:rsidRDefault="0099351E">
      <w:pPr>
        <w:numPr>
          <w:ilvl w:val="0"/>
          <w:numId w:val="276"/>
        </w:numPr>
        <w:suppressAutoHyphens/>
        <w:rPr>
          <w:rStyle w:val="Lienhypertexte"/>
          <w:rFonts w:ascii="Cambria" w:hAnsi="Cambria" w:cstheme="minorBidi"/>
          <w:color w:val="auto"/>
          <w:u w:val="none"/>
        </w:rPr>
      </w:pPr>
      <w:r>
        <w:rPr>
          <w:rFonts w:ascii="Cambria" w:hAnsi="Cambria"/>
        </w:rPr>
        <w:fldChar w:fldCharType="end"/>
      </w:r>
      <w:hyperlink r:id="rId303" w:history="1">
        <w:r>
          <w:rPr>
            <w:rStyle w:val="Lienhypertexte"/>
            <w:rFonts w:ascii="Cambria" w:hAnsi="Cambria" w:cs="Arial"/>
          </w:rPr>
          <w:t>Circulaire n°1099 du 19 avril 2005 relative à la féminisation des noms de métier, fonction, grade ou titre.</w:t>
        </w:r>
      </w:hyperlink>
    </w:p>
    <w:p w:rsidR="00F04EEF" w:rsidRDefault="00F04EEF">
      <w:pPr>
        <w:rPr>
          <w:rFonts w:ascii="Cambria" w:hAnsi="Cambria"/>
        </w:rPr>
      </w:pPr>
    </w:p>
    <w:p w:rsidR="00F04EEF" w:rsidRDefault="00F04EEF">
      <w:pPr>
        <w:rPr>
          <w:rFonts w:ascii="Cambria" w:hAnsi="Cambria"/>
        </w:rPr>
      </w:pPr>
    </w:p>
    <w:p w:rsidR="00F04EEF" w:rsidRDefault="00F04EEF">
      <w:pPr>
        <w:rPr>
          <w:rFonts w:ascii="Cambria" w:hAnsi="Cambria"/>
        </w:rPr>
      </w:pPr>
    </w:p>
    <w:p w:rsidR="00F04EEF" w:rsidRDefault="0099351E">
      <w:pPr>
        <w:jc w:val="both"/>
        <w:rPr>
          <w:rFonts w:ascii="Cambria" w:hAnsi="Cambria"/>
        </w:rPr>
      </w:pPr>
      <w:r>
        <w:rPr>
          <w:rFonts w:ascii="Cambria" w:hAnsi="Cambria"/>
        </w:rPr>
        <w:t xml:space="preserve">En date du 14 mars 2018, le Gouvernement de la Communauté française a approuvé un arrêté fixant les modèles des attestations, des avis et du certificat de qualification délivrés dans l’enseignement secondaire spécialisé de forme 3. </w:t>
      </w:r>
    </w:p>
    <w:p w:rsidR="00F04EEF" w:rsidRDefault="00F04EEF">
      <w:pPr>
        <w:jc w:val="both"/>
        <w:rPr>
          <w:rFonts w:ascii="Cambria" w:hAnsi="Cambria"/>
        </w:rPr>
      </w:pPr>
    </w:p>
    <w:p w:rsidR="00F04EEF" w:rsidRDefault="0099351E">
      <w:pPr>
        <w:jc w:val="both"/>
        <w:rPr>
          <w:rFonts w:ascii="Cambria" w:hAnsi="Cambria"/>
        </w:rPr>
      </w:pPr>
      <w:r>
        <w:rPr>
          <w:rFonts w:ascii="Cambria" w:hAnsi="Cambria"/>
        </w:rPr>
        <w:t>Vous trouverez ci-après ces différents modèles.</w:t>
      </w:r>
    </w:p>
    <w:p w:rsidR="00F04EEF" w:rsidRDefault="0099351E">
      <w:pPr>
        <w:rPr>
          <w:lang w:val="fr-FR"/>
        </w:rPr>
      </w:pPr>
      <w:r>
        <w:rPr>
          <w:noProof/>
          <w:lang w:eastAsia="fr-BE"/>
        </w:rPr>
        <mc:AlternateContent>
          <mc:Choice Requires="wps">
            <w:drawing>
              <wp:anchor distT="0" distB="0" distL="114300" distR="114300" simplePos="0" relativeHeight="252291072" behindDoc="0" locked="0" layoutInCell="1" allowOverlap="1">
                <wp:simplePos x="0" y="0"/>
                <wp:positionH relativeFrom="column">
                  <wp:posOffset>6290945</wp:posOffset>
                </wp:positionH>
                <wp:positionV relativeFrom="paragraph">
                  <wp:posOffset>170180</wp:posOffset>
                </wp:positionV>
                <wp:extent cx="0" cy="1066800"/>
                <wp:effectExtent l="0" t="0" r="19050" b="19050"/>
                <wp:wrapNone/>
                <wp:docPr id="567" name="Connecteur droit 567"/>
                <wp:cNvGraphicFramePr/>
                <a:graphic xmlns:a="http://schemas.openxmlformats.org/drawingml/2006/main">
                  <a:graphicData uri="http://schemas.microsoft.com/office/word/2010/wordprocessingShape">
                    <wps:wsp>
                      <wps:cNvCnPr/>
                      <wps:spPr>
                        <a:xfrm>
                          <a:off x="0" y="0"/>
                          <a:ext cx="0" cy="1066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A5BB74" id="Connecteur droit 567" o:spid="_x0000_s1026" style="position:absolute;z-index:252291072;visibility:visible;mso-wrap-style:square;mso-wrap-distance-left:9pt;mso-wrap-distance-top:0;mso-wrap-distance-right:9pt;mso-wrap-distance-bottom:0;mso-position-horizontal:absolute;mso-position-horizontal-relative:text;mso-position-vertical:absolute;mso-position-vertical-relative:text" from="495.35pt,13.4pt" to="495.35pt,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" strokecolor="black [3213]"/>
            </w:pict>
          </mc:Fallback>
        </mc:AlternateContent>
      </w:r>
    </w:p>
    <w:p w:rsidR="00F04EEF" w:rsidRDefault="0099351E">
      <w:pPr>
        <w:jc w:val="both"/>
        <w:rPr>
          <w:lang w:val="fr-FR"/>
        </w:rPr>
      </w:pPr>
      <w:r>
        <w:rPr>
          <w:rFonts w:ascii="Cambria" w:eastAsia="Times New Roman" w:hAnsi="Cambria" w:cs="Calibri"/>
          <w:szCs w:val="24"/>
        </w:rPr>
        <w:t xml:space="preserve">Le Gouvernement a également approuvé un décret instituant </w:t>
      </w:r>
      <w:r>
        <w:rPr>
          <w:rFonts w:ascii="Cambria" w:hAnsi="Cambria"/>
        </w:rPr>
        <w:t>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p>
    <w:p w:rsidR="00F04EEF" w:rsidRDefault="00F04EEF">
      <w:pPr>
        <w:pStyle w:val="Titre3"/>
        <w:rPr>
          <w:sz w:val="22"/>
          <w:szCs w:val="22"/>
          <w:lang w:val="fr-FR"/>
        </w:rPr>
      </w:pPr>
      <w:bookmarkStart w:id="3796" w:name="_1._Présentation_et"/>
      <w:bookmarkEnd w:id="3796"/>
    </w:p>
    <w:p w:rsidR="00F04EEF" w:rsidRDefault="0099351E">
      <w:pPr>
        <w:pStyle w:val="Titre3"/>
        <w:rPr>
          <w:sz w:val="22"/>
          <w:szCs w:val="22"/>
        </w:rPr>
      </w:pPr>
      <w:bookmarkStart w:id="3797" w:name="_1._Présentation_et_1"/>
      <w:bookmarkStart w:id="3798" w:name="_Toc47708631"/>
      <w:bookmarkEnd w:id="3797"/>
      <w:r>
        <w:rPr>
          <w:sz w:val="22"/>
          <w:szCs w:val="22"/>
          <w:lang w:val="fr-FR"/>
        </w:rPr>
        <w:t xml:space="preserve">1. Présentation et rédaction des </w:t>
      </w:r>
      <w:r>
        <w:rPr>
          <w:sz w:val="22"/>
          <w:szCs w:val="22"/>
        </w:rPr>
        <w:t>attestations, des avis, du certificat de qualification et du procès-verbal</w:t>
      </w:r>
      <w:bookmarkEnd w:id="3794"/>
      <w:bookmarkEnd w:id="3795"/>
      <w:bookmarkEnd w:id="3798"/>
    </w:p>
    <w:p w:rsidR="00F04EEF" w:rsidRDefault="0099351E">
      <w:r>
        <w:t xml:space="preserve"> </w:t>
      </w:r>
    </w:p>
    <w:p w:rsidR="00F04EEF" w:rsidRDefault="0099351E">
      <w:pPr>
        <w:jc w:val="both"/>
      </w:pPr>
      <w:r>
        <w:t xml:space="preserve">Les instructions permettant la rédaction des attestations, des avis, des procès-verbaux, du certificat de qualification sont reprises à </w:t>
      </w:r>
      <w:hyperlink w:anchor="_Annexe_18_:" w:history="1">
        <w:r>
          <w:rPr>
            <w:rStyle w:val="Lienhypertexte"/>
            <w:rFonts w:cstheme="minorBidi"/>
          </w:rPr>
          <w:t>l’Annexe 18</w:t>
        </w:r>
      </w:hyperlink>
      <w:r>
        <w:t xml:space="preserve">. </w:t>
      </w:r>
    </w:p>
    <w:p w:rsidR="00F04EEF" w:rsidRDefault="00F04EEF">
      <w:pPr>
        <w:jc w:val="both"/>
        <w:rPr>
          <w:lang w:val="fr-FR"/>
        </w:rPr>
      </w:pPr>
    </w:p>
    <w:p w:rsidR="00F04EEF" w:rsidRDefault="00F04EEF">
      <w:pPr>
        <w:jc w:val="both"/>
        <w:rPr>
          <w:lang w:val="fr-FR"/>
        </w:rPr>
      </w:pPr>
    </w:p>
    <w:p w:rsidR="00F04EEF" w:rsidRDefault="0099351E">
      <w:pPr>
        <w:tabs>
          <w:tab w:val="left" w:pos="567"/>
        </w:tabs>
        <w:autoSpaceDE w:val="0"/>
        <w:autoSpaceDN w:val="0"/>
        <w:adjustRightInd w:val="0"/>
        <w:ind w:left="567"/>
        <w:jc w:val="both"/>
        <w:outlineLvl w:val="3"/>
        <w:rPr>
          <w:rFonts w:ascii="Cambria" w:hAnsi="Cambria" w:cs="Calibri"/>
          <w:b/>
          <w:szCs w:val="24"/>
          <w:u w:val="single"/>
          <w:lang w:eastAsia="fr-BE"/>
        </w:rPr>
      </w:pPr>
      <w:bookmarkStart w:id="3799" w:name="_1.1_Présentation"/>
      <w:bookmarkEnd w:id="3799"/>
      <w:r>
        <w:rPr>
          <w:rFonts w:ascii="Cambria" w:hAnsi="Cambria" w:cs="Calibri"/>
          <w:b/>
          <w:szCs w:val="24"/>
          <w:u w:val="single"/>
          <w:lang w:val="fr-FR" w:eastAsia="fr-BE"/>
        </w:rPr>
        <w:t>1.1 Présentation</w:t>
      </w:r>
    </w:p>
    <w:p w:rsidR="00F04EEF" w:rsidRDefault="0099351E">
      <w:pPr>
        <w:suppressAutoHyphens/>
        <w:autoSpaceDE w:val="0"/>
        <w:autoSpaceDN w:val="0"/>
        <w:adjustRightInd w:val="0"/>
        <w:jc w:val="both"/>
        <w:rPr>
          <w:rFonts w:ascii="Cambria" w:eastAsia="Times New Roman" w:hAnsi="Cambria" w:cs="Calibri"/>
          <w:szCs w:val="24"/>
          <w:lang w:val="fr-FR"/>
        </w:rPr>
      </w:pPr>
      <w:r>
        <w:rPr>
          <w:noProof/>
          <w:lang w:eastAsia="fr-BE"/>
        </w:rPr>
        <mc:AlternateContent>
          <mc:Choice Requires="wps">
            <w:drawing>
              <wp:anchor distT="0" distB="0" distL="114300" distR="114300" simplePos="0" relativeHeight="252293120" behindDoc="0" locked="0" layoutInCell="1" allowOverlap="1">
                <wp:simplePos x="0" y="0"/>
                <wp:positionH relativeFrom="column">
                  <wp:posOffset>6305550</wp:posOffset>
                </wp:positionH>
                <wp:positionV relativeFrom="paragraph">
                  <wp:posOffset>174625</wp:posOffset>
                </wp:positionV>
                <wp:extent cx="0" cy="152400"/>
                <wp:effectExtent l="0" t="0" r="19050" b="19050"/>
                <wp:wrapNone/>
                <wp:docPr id="568" name="Connecteur droit 568"/>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8BC14F" id="Connecteur droit 568" o:spid="_x0000_s1026" style="position:absolute;z-index:252293120;visibility:visible;mso-wrap-style:square;mso-wrap-distance-left:9pt;mso-wrap-distance-top:0;mso-wrap-distance-right:9pt;mso-wrap-distance-bottom:0;mso-position-horizontal:absolute;mso-position-horizontal-relative:text;mso-position-vertical:absolute;mso-position-vertical-relative:text" from="496.5pt,13.75pt" to="496.5pt,2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" strokecolor="black [3213]"/>
            </w:pict>
          </mc:Fallback>
        </mc:AlternateConten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lang w:val="fr-FR"/>
        </w:rPr>
        <w:t xml:space="preserve">Les attestations, les avis, le procès-verbal et la composition du jury de qualification </w:t>
      </w:r>
      <w:r>
        <w:rPr>
          <w:rFonts w:ascii="Cambria" w:eastAsia="Times New Roman" w:hAnsi="Cambria" w:cs="Calibri"/>
          <w:b/>
          <w:szCs w:val="24"/>
          <w:lang w:val="fr-FR"/>
        </w:rPr>
        <w:t>doivent</w:t>
      </w:r>
      <w:r>
        <w:rPr>
          <w:rFonts w:ascii="Cambria" w:eastAsia="Times New Roman" w:hAnsi="Cambria" w:cs="Calibri"/>
          <w:szCs w:val="24"/>
          <w:lang w:val="fr-FR"/>
        </w:rPr>
        <w:t xml:space="preserve"> être imprimés sur un papier de bonne qualité et ne pas présenter d’altération lors de l’envoi.</w:t>
      </w:r>
      <w:r>
        <w:rPr>
          <w:rFonts w:ascii="Cambria" w:eastAsia="Times New Roman" w:hAnsi="Cambria" w:cs="Calibri"/>
          <w:szCs w:val="24"/>
        </w:rPr>
        <w:t xml:space="preserve"> </w:t>
      </w:r>
    </w:p>
    <w:p w:rsidR="00F04EEF" w:rsidRDefault="00F04EEF">
      <w:pPr>
        <w:suppressAutoHyphens/>
        <w:autoSpaceDE w:val="0"/>
        <w:autoSpaceDN w:val="0"/>
        <w:adjustRightInd w:val="0"/>
        <w:jc w:val="both"/>
        <w:rPr>
          <w:rFonts w:ascii="Cambria" w:eastAsia="Times New Roman" w:hAnsi="Cambria" w:cs="Calibri"/>
          <w:szCs w:val="24"/>
          <w:lang w:val="fr-FR"/>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lang w:val="fr-FR"/>
        </w:rPr>
        <w:t xml:space="preserve">La mention « Communauté Française » sur les modèles du présent chapitre </w:t>
      </w:r>
      <w:r>
        <w:rPr>
          <w:rFonts w:ascii="Cambria" w:eastAsia="Times New Roman" w:hAnsi="Cambria" w:cs="Calibri"/>
          <w:b/>
          <w:szCs w:val="24"/>
          <w:lang w:val="fr-FR"/>
        </w:rPr>
        <w:t xml:space="preserve">ne doit pas </w:t>
      </w:r>
      <w:r>
        <w:rPr>
          <w:rFonts w:ascii="Cambria" w:eastAsia="Times New Roman" w:hAnsi="Cambria" w:cs="Calibri"/>
          <w:szCs w:val="24"/>
          <w:lang w:val="fr-FR"/>
        </w:rPr>
        <w:t>être remplacée par « Fédération Wallonie-Bruxelles » ou par « Communauté Française de Belgique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tabs>
          <w:tab w:val="left" w:pos="567"/>
        </w:tabs>
        <w:autoSpaceDE w:val="0"/>
        <w:autoSpaceDN w:val="0"/>
        <w:adjustRightInd w:val="0"/>
        <w:ind w:left="567"/>
        <w:jc w:val="both"/>
        <w:outlineLvl w:val="3"/>
        <w:rPr>
          <w:rFonts w:ascii="Cambria" w:hAnsi="Cambria" w:cs="Calibri"/>
          <w:b/>
          <w:szCs w:val="24"/>
          <w:u w:val="single"/>
          <w:lang w:eastAsia="fr-BE"/>
        </w:rPr>
      </w:pPr>
      <w:bookmarkStart w:id="3800" w:name="_1.2_Rédaction"/>
      <w:bookmarkStart w:id="3801" w:name="_Toc453314517"/>
      <w:bookmarkStart w:id="3802" w:name="_Toc454980551"/>
      <w:bookmarkEnd w:id="3800"/>
      <w:bookmarkEnd w:id="3801"/>
      <w:bookmarkEnd w:id="3802"/>
      <w:r>
        <w:rPr>
          <w:rFonts w:ascii="Cambria" w:hAnsi="Cambria" w:cs="Calibri"/>
          <w:b/>
          <w:szCs w:val="24"/>
          <w:u w:val="single"/>
          <w:lang w:val="fr-FR" w:eastAsia="fr-BE"/>
        </w:rPr>
        <w:t>1.2 Rédaction</w:t>
      </w:r>
    </w:p>
    <w:p w:rsidR="00F04EEF" w:rsidRDefault="00F04EEF">
      <w:pPr>
        <w:suppressAutoHyphens/>
        <w:autoSpaceDE w:val="0"/>
        <w:autoSpaceDN w:val="0"/>
        <w:adjustRightInd w:val="0"/>
        <w:jc w:val="both"/>
        <w:rPr>
          <w:rFonts w:ascii="Cambria" w:eastAsia="Times New Roman" w:hAnsi="Cambria" w:cs="Calibri"/>
          <w:szCs w:val="24"/>
          <w:u w:val="single"/>
          <w:lang w:val="fr-FR"/>
        </w:rPr>
      </w:pP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295168" behindDoc="0" locked="0" layoutInCell="1" allowOverlap="1">
                <wp:simplePos x="0" y="0"/>
                <wp:positionH relativeFrom="column">
                  <wp:posOffset>6305550</wp:posOffset>
                </wp:positionH>
                <wp:positionV relativeFrom="paragraph">
                  <wp:posOffset>426085</wp:posOffset>
                </wp:positionV>
                <wp:extent cx="0" cy="152400"/>
                <wp:effectExtent l="0" t="0" r="19050" b="19050"/>
                <wp:wrapNone/>
                <wp:docPr id="569" name="Connecteur droit 56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7B0DA0" id="Connecteur droit 569" o:spid="_x0000_s1026" style="position:absolute;z-index:252295168;visibility:visible;mso-wrap-style:square;mso-wrap-distance-left:9pt;mso-wrap-distance-top:0;mso-wrap-distance-right:9pt;mso-wrap-distance-bottom:0;mso-position-horizontal:absolute;mso-position-horizontal-relative:text;mso-position-vertical:absolute;mso-position-vertical-relative:text" from="496.5pt,33.55pt" to="496.5pt,4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" strokecolor="black [3213]"/>
            </w:pict>
          </mc:Fallback>
        </mc:AlternateContent>
      </w:r>
      <w:r>
        <w:rPr>
          <w:rFonts w:ascii="Cambria" w:eastAsia="Times New Roman" w:hAnsi="Cambria" w:cs="Calibri"/>
          <w:szCs w:val="24"/>
          <w:lang w:val="fr-FR"/>
        </w:rPr>
        <w:t xml:space="preserve">Lors de la rédaction, le logo de la Fédération Wallonie-Bruxelles, les mentions inutiles et/ou notes de bas de page (cfr : biffer la mention inutile, ou (NOM, Prénom), etc.), les parenthèses (cfr : Le chef d’établissement, etc.), le(s) mot(s) « annexe X … » </w:t>
      </w:r>
      <w:r>
        <w:rPr>
          <w:rFonts w:ascii="Cambria" w:eastAsia="Times New Roman" w:hAnsi="Cambria" w:cs="Calibri"/>
          <w:b/>
          <w:szCs w:val="24"/>
          <w:lang w:val="fr-FR"/>
        </w:rPr>
        <w:t>doivent disparaitre</w:t>
      </w:r>
      <w:r>
        <w:rPr>
          <w:rFonts w:ascii="Cambria" w:eastAsia="Times New Roman" w:hAnsi="Cambria" w:cs="Calibri"/>
          <w:szCs w:val="24"/>
          <w:lang w:val="fr-FR"/>
        </w:rPr>
        <w:t xml:space="preserve"> des attestations, des avis, du procès-verbal et de la composition du jury de qualification.</w:t>
      </w:r>
    </w:p>
    <w:p w:rsidR="00F04EEF" w:rsidRDefault="00F04EEF">
      <w:pPr>
        <w:suppressAutoHyphens/>
        <w:autoSpaceDE w:val="0"/>
        <w:autoSpaceDN w:val="0"/>
        <w:adjustRightInd w:val="0"/>
        <w:jc w:val="both"/>
        <w:rPr>
          <w:rFonts w:ascii="Cambria" w:eastAsia="Times New Roman" w:hAnsi="Cambria" w:cs="Calibri"/>
          <w:szCs w:val="24"/>
          <w:lang w:val="fr-FR"/>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 xml:space="preserve">Tous </w:t>
      </w:r>
      <w:r>
        <w:rPr>
          <w:rFonts w:ascii="Cambria" w:eastAsia="Times New Roman" w:hAnsi="Cambria" w:cs="Calibri"/>
          <w:szCs w:val="24"/>
        </w:rPr>
        <w:t xml:space="preserve">les modèles doivent être </w:t>
      </w:r>
      <w:r>
        <w:rPr>
          <w:rFonts w:ascii="Cambria" w:eastAsia="Times New Roman" w:hAnsi="Cambria" w:cs="Calibri"/>
          <w:b/>
          <w:szCs w:val="24"/>
        </w:rPr>
        <w:t xml:space="preserve">entièrement </w:t>
      </w:r>
      <w:r>
        <w:rPr>
          <w:rFonts w:ascii="Cambria" w:eastAsia="Times New Roman" w:hAnsi="Cambria" w:cs="Calibri"/>
          <w:szCs w:val="24"/>
        </w:rPr>
        <w:t>dactylographiés.</w:t>
      </w:r>
      <w:r>
        <w:rPr>
          <w:rFonts w:ascii="Cambria" w:eastAsia="Times New Roman" w:hAnsi="Cambria" w:cs="Calibri"/>
          <w:b/>
          <w:szCs w:val="24"/>
        </w:rPr>
        <w:t xml:space="preserve"> </w:t>
      </w:r>
      <w:r>
        <w:rPr>
          <w:rFonts w:ascii="Cambria" w:eastAsia="Times New Roman" w:hAnsi="Cambria" w:cs="Calibri"/>
          <w:szCs w:val="24"/>
        </w:rPr>
        <w:t>De plus, ils ne peuvent comporter ni rature, ni surcharge.</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L’intégrité</w:t>
      </w:r>
      <w:r>
        <w:rPr>
          <w:rFonts w:ascii="Cambria" w:eastAsia="Times New Roman" w:hAnsi="Cambria" w:cs="Calibri"/>
          <w:szCs w:val="24"/>
        </w:rPr>
        <w:t xml:space="preserve"> de ces divers documents doit être </w:t>
      </w:r>
      <w:r>
        <w:rPr>
          <w:rFonts w:ascii="Cambria" w:eastAsia="Times New Roman" w:hAnsi="Cambria" w:cs="Calibri"/>
          <w:b/>
          <w:szCs w:val="24"/>
        </w:rPr>
        <w:t>préservée</w:t>
      </w:r>
      <w:r>
        <w:rPr>
          <w:rFonts w:ascii="Cambria" w:eastAsia="Times New Roman" w:hAnsi="Cambria" w:cs="Calibri"/>
          <w:szCs w:val="24"/>
        </w:rPr>
        <w:t xml:space="preserve">.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b/>
          <w:szCs w:val="24"/>
        </w:rPr>
      </w:pPr>
      <w:r>
        <w:rPr>
          <w:rFonts w:ascii="Cambria" w:eastAsia="Times New Roman" w:hAnsi="Cambria" w:cs="Calibri"/>
          <w:b/>
          <w:szCs w:val="24"/>
        </w:rPr>
        <w:t>S’agissant de documents officiels, ils ne peuvent être pliés lors de l’envoi par la poste et ce, même pour une attestation de perte de certificat de qualification.</w:t>
      </w:r>
    </w:p>
    <w:p w:rsidR="00F04EEF" w:rsidRDefault="00F04EEF">
      <w:pPr>
        <w:suppressAutoHyphens/>
        <w:autoSpaceDE w:val="0"/>
        <w:autoSpaceDN w:val="0"/>
        <w:adjustRightInd w:val="0"/>
        <w:jc w:val="both"/>
        <w:rPr>
          <w:rFonts w:ascii="Cambria" w:eastAsia="Times New Roman" w:hAnsi="Cambria" w:cs="Calibri"/>
          <w:szCs w:val="24"/>
          <w:u w:val="single"/>
        </w:rPr>
      </w:pPr>
    </w:p>
    <w:p w:rsidR="00F04EEF" w:rsidRDefault="0099351E">
      <w:pPr>
        <w:tabs>
          <w:tab w:val="left" w:pos="567"/>
        </w:tabs>
        <w:autoSpaceDE w:val="0"/>
        <w:autoSpaceDN w:val="0"/>
        <w:adjustRightInd w:val="0"/>
        <w:ind w:left="567"/>
        <w:jc w:val="both"/>
        <w:outlineLvl w:val="3"/>
        <w:rPr>
          <w:rFonts w:ascii="Cambria" w:hAnsi="Cambria" w:cs="Calibri"/>
          <w:b/>
          <w:szCs w:val="24"/>
          <w:u w:val="single"/>
          <w:lang w:eastAsia="fr-BE"/>
        </w:rPr>
      </w:pPr>
      <w:bookmarkStart w:id="3803" w:name="_1.3._Les_attestations"/>
      <w:bookmarkEnd w:id="3803"/>
      <w:r>
        <w:rPr>
          <w:rFonts w:ascii="Cambria" w:hAnsi="Cambria" w:cs="Calibri"/>
          <w:b/>
          <w:szCs w:val="24"/>
          <w:u w:val="single"/>
          <w:lang w:eastAsia="fr-BE"/>
        </w:rPr>
        <w:t>1.3. Les attestations</w:t>
      </w:r>
    </w:p>
    <w:p w:rsidR="00F04EEF" w:rsidRDefault="00F04EEF">
      <w:pPr>
        <w:suppressAutoHyphens/>
        <w:autoSpaceDE w:val="0"/>
        <w:autoSpaceDN w:val="0"/>
        <w:adjustRightInd w:val="0"/>
        <w:jc w:val="both"/>
        <w:rPr>
          <w:rFonts w:ascii="Cambria" w:eastAsia="Times New Roman" w:hAnsi="Cambria" w:cs="Calibri"/>
          <w:szCs w:val="24"/>
          <w:u w:val="single"/>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Les attestations doivent se trouver dans le dossier personnel de l’élève. Chaque attestation doit être justifiée de manière claire et motivée.</w:t>
      </w:r>
    </w:p>
    <w:p w:rsidR="00F04EEF" w:rsidRDefault="00F04EEF">
      <w:pPr>
        <w:suppressAutoHyphens/>
        <w:autoSpaceDE w:val="0"/>
        <w:autoSpaceDN w:val="0"/>
        <w:adjustRightInd w:val="0"/>
        <w:rPr>
          <w:rFonts w:ascii="Cambria" w:eastAsia="Times New Roman" w:hAnsi="Cambria" w:cs="Calibri"/>
          <w:szCs w:val="24"/>
        </w:rPr>
      </w:pPr>
    </w:p>
    <w:p w:rsidR="00F04EEF" w:rsidRDefault="0099351E">
      <w:pPr>
        <w:tabs>
          <w:tab w:val="left" w:pos="567"/>
        </w:tabs>
        <w:autoSpaceDE w:val="0"/>
        <w:autoSpaceDN w:val="0"/>
        <w:adjustRightInd w:val="0"/>
        <w:ind w:left="567"/>
        <w:jc w:val="both"/>
        <w:outlineLvl w:val="3"/>
        <w:rPr>
          <w:rFonts w:ascii="Cambria" w:hAnsi="Cambria" w:cs="Calibri"/>
          <w:b/>
          <w:szCs w:val="24"/>
          <w:u w:val="single"/>
          <w:lang w:eastAsia="fr-BE"/>
        </w:rPr>
      </w:pPr>
      <w:bookmarkStart w:id="3804" w:name="_1.4._Les_certificats"/>
      <w:bookmarkEnd w:id="3804"/>
      <w:r>
        <w:rPr>
          <w:rFonts w:ascii="Cambria" w:hAnsi="Cambria" w:cs="Calibri"/>
          <w:b/>
          <w:szCs w:val="24"/>
          <w:u w:val="single"/>
          <w:lang w:eastAsia="fr-BE"/>
        </w:rPr>
        <w:t>1.4. Les certificats de qualification</w:t>
      </w:r>
    </w:p>
    <w:p w:rsidR="00F04EEF" w:rsidRDefault="0099351E">
      <w:pPr>
        <w:suppressAutoHyphens/>
        <w:autoSpaceDE w:val="0"/>
        <w:autoSpaceDN w:val="0"/>
        <w:adjustRightInd w:val="0"/>
        <w:rPr>
          <w:rFonts w:ascii="Cambria" w:eastAsia="Times New Roman" w:hAnsi="Cambria" w:cs="Cambria"/>
          <w:lang w:eastAsia="fr-BE"/>
        </w:rPr>
      </w:pPr>
      <w:r>
        <w:rPr>
          <w:noProof/>
          <w:lang w:eastAsia="fr-BE"/>
        </w:rPr>
        <mc:AlternateContent>
          <mc:Choice Requires="wps">
            <w:drawing>
              <wp:anchor distT="0" distB="0" distL="114300" distR="114300" simplePos="0" relativeHeight="252297216" behindDoc="0" locked="0" layoutInCell="1" allowOverlap="1">
                <wp:simplePos x="0" y="0"/>
                <wp:positionH relativeFrom="column">
                  <wp:posOffset>6305550</wp:posOffset>
                </wp:positionH>
                <wp:positionV relativeFrom="paragraph">
                  <wp:posOffset>212725</wp:posOffset>
                </wp:positionV>
                <wp:extent cx="0" cy="1933575"/>
                <wp:effectExtent l="0" t="0" r="19050" b="28575"/>
                <wp:wrapNone/>
                <wp:docPr id="570" name="Connecteur droit 570"/>
                <wp:cNvGraphicFramePr/>
                <a:graphic xmlns:a="http://schemas.openxmlformats.org/drawingml/2006/main">
                  <a:graphicData uri="http://schemas.microsoft.com/office/word/2010/wordprocessingShape">
                    <wps:wsp>
                      <wps:cNvCnPr/>
                      <wps:spPr>
                        <a:xfrm>
                          <a:off x="0" y="0"/>
                          <a:ext cx="0" cy="19335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751674F" id="Connecteur droit 570" o:spid="_x0000_s1026" style="position:absolute;z-index:25229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5pt,16.75pt" to="496.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" strokecolor="black [3213]"/>
            </w:pict>
          </mc:Fallback>
        </mc:AlternateContent>
      </w:r>
    </w:p>
    <w:p w:rsidR="00F04EEF" w:rsidRDefault="0099351E">
      <w:pPr>
        <w:suppressAutoHyphens/>
        <w:autoSpaceDE w:val="0"/>
        <w:autoSpaceDN w:val="0"/>
        <w:adjustRightInd w:val="0"/>
        <w:jc w:val="both"/>
        <w:rPr>
          <w:rFonts w:ascii="Cambria" w:eastAsia="Times New Roman" w:hAnsi="Cambria" w:cs="Cambria"/>
          <w:lang w:eastAsia="fr-BE"/>
        </w:rPr>
      </w:pPr>
      <w:r>
        <w:rPr>
          <w:rFonts w:ascii="Cambria" w:eastAsia="Times New Roman" w:hAnsi="Cambria" w:cs="Cambria"/>
          <w:lang w:eastAsia="fr-BE"/>
        </w:rPr>
        <w:t>Les certificats de qualification seront édités par le Service de l’Enseignement spécialisé de la Direction générale de l’enseignement obligatoire.</w:t>
      </w:r>
    </w:p>
    <w:p w:rsidR="00F04EEF" w:rsidRDefault="00F04EEF">
      <w:pPr>
        <w:suppressAutoHyphens/>
        <w:autoSpaceDE w:val="0"/>
        <w:autoSpaceDN w:val="0"/>
        <w:adjustRightInd w:val="0"/>
        <w:jc w:val="both"/>
        <w:rPr>
          <w:rFonts w:ascii="Cambria" w:eastAsia="Times New Roman" w:hAnsi="Cambria" w:cs="Cambria"/>
          <w:lang w:eastAsia="fr-BE"/>
        </w:rPr>
      </w:pPr>
    </w:p>
    <w:p w:rsidR="00F04EEF" w:rsidRDefault="0099351E">
      <w:pPr>
        <w:suppressAutoHyphens/>
        <w:autoSpaceDE w:val="0"/>
        <w:autoSpaceDN w:val="0"/>
        <w:adjustRightInd w:val="0"/>
        <w:jc w:val="both"/>
        <w:rPr>
          <w:rFonts w:ascii="Cambria" w:eastAsia="Times New Roman" w:hAnsi="Cambria" w:cs="Cambria"/>
          <w:lang w:eastAsia="fr-BE"/>
        </w:rPr>
      </w:pPr>
      <w:r>
        <w:rPr>
          <w:rFonts w:ascii="Cambria" w:eastAsia="Times New Roman" w:hAnsi="Cambria" w:cs="Cambria"/>
          <w:lang w:eastAsia="fr-BE"/>
        </w:rPr>
        <w:t>Il conviendra pour ce faire que les établissements scolaires transmettent à l’Administration les documents suivants :</w:t>
      </w:r>
    </w:p>
    <w:p w:rsidR="00F04EEF" w:rsidRDefault="00F04EEF">
      <w:pPr>
        <w:suppressAutoHyphens/>
        <w:autoSpaceDE w:val="0"/>
        <w:autoSpaceDN w:val="0"/>
        <w:adjustRightInd w:val="0"/>
        <w:jc w:val="both"/>
        <w:rPr>
          <w:rFonts w:ascii="Cambria" w:eastAsia="Times New Roman" w:hAnsi="Cambria" w:cs="Cambria"/>
          <w:lang w:eastAsia="fr-BE"/>
        </w:rPr>
      </w:pPr>
    </w:p>
    <w:p w:rsidR="00F04EEF" w:rsidRDefault="0099351E">
      <w:pPr>
        <w:numPr>
          <w:ilvl w:val="0"/>
          <w:numId w:val="356"/>
        </w:numPr>
        <w:tabs>
          <w:tab w:val="clear" w:pos="0"/>
        </w:tabs>
        <w:suppressAutoHyphens/>
        <w:autoSpaceDE w:val="0"/>
        <w:autoSpaceDN w:val="0"/>
        <w:adjustRightInd w:val="0"/>
        <w:ind w:left="720" w:hanging="360"/>
        <w:jc w:val="both"/>
        <w:rPr>
          <w:rFonts w:ascii="Cambria" w:eastAsia="Times New Roman" w:hAnsi="Cambria" w:cs="Cambria"/>
          <w:lang w:eastAsia="fr-BE"/>
        </w:rPr>
      </w:pPr>
      <w:r>
        <w:rPr>
          <w:rFonts w:ascii="Cambria" w:eastAsia="Times New Roman" w:hAnsi="Cambria" w:cs="Cambria"/>
          <w:lang w:eastAsia="fr-BE"/>
        </w:rPr>
        <w:t>La liste des élèves ayant obtenu leur qualification (voir annexe 17) ;</w:t>
      </w:r>
    </w:p>
    <w:p w:rsidR="00F04EEF" w:rsidRDefault="0099351E">
      <w:pPr>
        <w:numPr>
          <w:ilvl w:val="0"/>
          <w:numId w:val="356"/>
        </w:numPr>
        <w:tabs>
          <w:tab w:val="clear" w:pos="0"/>
        </w:tabs>
        <w:suppressAutoHyphens/>
        <w:autoSpaceDE w:val="0"/>
        <w:autoSpaceDN w:val="0"/>
        <w:adjustRightInd w:val="0"/>
        <w:ind w:left="720" w:hanging="360"/>
        <w:jc w:val="both"/>
        <w:rPr>
          <w:rFonts w:ascii="Cambria" w:eastAsia="Times New Roman" w:hAnsi="Cambria" w:cs="Cambria"/>
          <w:lang w:eastAsia="fr-BE"/>
        </w:rPr>
      </w:pPr>
      <w:r>
        <w:rPr>
          <w:rFonts w:ascii="Cambria" w:eastAsia="Times New Roman" w:hAnsi="Cambria" w:cs="Cambria"/>
          <w:lang w:eastAsia="fr-BE"/>
        </w:rPr>
        <w:t>Une copie de la carte d’identité (passeport ou carte de séjour) de chaque élève qualifiable.</w:t>
      </w:r>
    </w:p>
    <w:p w:rsidR="00F04EEF" w:rsidRDefault="00F04EEF">
      <w:pPr>
        <w:suppressAutoHyphens/>
        <w:autoSpaceDE w:val="0"/>
        <w:autoSpaceDN w:val="0"/>
        <w:adjustRightInd w:val="0"/>
        <w:jc w:val="both"/>
        <w:rPr>
          <w:rFonts w:ascii="Cambria" w:eastAsia="Times New Roman" w:hAnsi="Cambria" w:cs="Cambria"/>
          <w:lang w:eastAsia="fr-BE"/>
        </w:rPr>
      </w:pPr>
    </w:p>
    <w:p w:rsidR="00F04EEF" w:rsidRDefault="0099351E">
      <w:pPr>
        <w:suppressAutoHyphens/>
        <w:autoSpaceDE w:val="0"/>
        <w:autoSpaceDN w:val="0"/>
        <w:adjustRightInd w:val="0"/>
        <w:jc w:val="both"/>
        <w:rPr>
          <w:rFonts w:ascii="Cambria" w:eastAsia="Times New Roman" w:hAnsi="Cambria" w:cs="Cambria"/>
          <w:lang w:eastAsia="fr-BE"/>
        </w:rPr>
      </w:pPr>
      <w:r>
        <w:rPr>
          <w:rFonts w:ascii="Cambria" w:eastAsia="Times New Roman" w:hAnsi="Cambria" w:cs="Cambria"/>
          <w:lang w:eastAsia="fr-BE"/>
        </w:rPr>
        <w:t>Les compositions de jurys de qualification et les procès-verbaux seront, quant à eux, rédigés par les établissements scolaires et transmis à l’Administration en deux exemplaires originaux (CJQ le 15 novembre – PV au terme des qualifications).</w:t>
      </w:r>
    </w:p>
    <w:p w:rsidR="00F04EEF" w:rsidRDefault="00F04EEF">
      <w:pPr>
        <w:suppressAutoHyphens/>
        <w:autoSpaceDE w:val="0"/>
        <w:autoSpaceDN w:val="0"/>
        <w:adjustRightInd w:val="0"/>
        <w:contextualSpacing/>
        <w:jc w:val="both"/>
        <w:rPr>
          <w:rFonts w:ascii="Cambria" w:eastAsia="Times New Roman" w:hAnsi="Cambria" w:cs="Calibri"/>
          <w:szCs w:val="24"/>
        </w:rPr>
      </w:pPr>
    </w:p>
    <w:p w:rsidR="00F04EEF" w:rsidRDefault="0099351E">
      <w:pPr>
        <w:tabs>
          <w:tab w:val="left" w:pos="567"/>
        </w:tabs>
        <w:autoSpaceDE w:val="0"/>
        <w:autoSpaceDN w:val="0"/>
        <w:adjustRightInd w:val="0"/>
        <w:ind w:left="567"/>
        <w:jc w:val="both"/>
        <w:outlineLvl w:val="3"/>
        <w:rPr>
          <w:rFonts w:ascii="Cambria" w:hAnsi="Cambria" w:cs="Calibri"/>
          <w:b/>
          <w:szCs w:val="24"/>
          <w:u w:val="single"/>
          <w:lang w:eastAsia="fr-BE"/>
        </w:rPr>
      </w:pPr>
      <w:bookmarkStart w:id="3805" w:name="_1.5_Le_procès-verbal"/>
      <w:bookmarkStart w:id="3806" w:name="_Toc291075448"/>
      <w:bookmarkStart w:id="3807" w:name="_Toc291075872"/>
      <w:bookmarkStart w:id="3808" w:name="_Toc291076296"/>
      <w:bookmarkStart w:id="3809" w:name="_Toc291076720"/>
      <w:bookmarkStart w:id="3810" w:name="_Toc291077144"/>
      <w:bookmarkStart w:id="3811" w:name="_Toc293651987"/>
      <w:bookmarkStart w:id="3812" w:name="_Toc293653570"/>
      <w:bookmarkStart w:id="3813" w:name="_Toc293654181"/>
      <w:bookmarkStart w:id="3814" w:name="_Toc294004761"/>
      <w:bookmarkStart w:id="3815" w:name="_Toc294185257"/>
      <w:bookmarkStart w:id="3816" w:name="_Toc324166087"/>
      <w:bookmarkStart w:id="3817" w:name="_Toc324767123"/>
      <w:bookmarkStart w:id="3818" w:name="_Toc324767981"/>
      <w:bookmarkStart w:id="3819" w:name="_Toc419192679"/>
      <w:bookmarkStart w:id="3820" w:name="_Toc453314518"/>
      <w:bookmarkStart w:id="3821" w:name="_Toc454980552"/>
      <w:bookmarkEnd w:id="3805"/>
      <w:r>
        <w:rPr>
          <w:rFonts w:ascii="Cambria" w:hAnsi="Cambria" w:cs="Calibri"/>
          <w:b/>
          <w:szCs w:val="24"/>
          <w:u w:val="single"/>
          <w:lang w:eastAsia="fr-BE"/>
        </w:rPr>
        <w:t>1.5 Le procès-verba</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r>
        <w:rPr>
          <w:rFonts w:ascii="Cambria" w:hAnsi="Cambria" w:cs="Calibri"/>
          <w:b/>
          <w:szCs w:val="24"/>
          <w:u w:val="single"/>
          <w:lang w:eastAsia="fr-BE"/>
        </w:rPr>
        <w:t>l de délivrance du certificat de qualification</w:t>
      </w:r>
    </w:p>
    <w:p w:rsidR="00F04EEF" w:rsidRDefault="00F04EEF">
      <w:pPr>
        <w:suppressAutoHyphens/>
        <w:autoSpaceDE w:val="0"/>
        <w:autoSpaceDN w:val="0"/>
        <w:adjustRightInd w:val="0"/>
        <w:jc w:val="both"/>
        <w:rPr>
          <w:rFonts w:ascii="Cambria" w:eastAsia="Times New Roman" w:hAnsi="Cambria" w:cs="Cambria"/>
          <w:u w:val="single"/>
          <w:lang w:eastAsia="fr-BE"/>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En plus des recommandations mentionnées ci-avant, il convient d’être attentif aux différents points suivants :</w:t>
      </w:r>
    </w:p>
    <w:p w:rsidR="00F04EEF" w:rsidRDefault="00F04EEF">
      <w:pPr>
        <w:suppressAutoHyphens/>
        <w:autoSpaceDE w:val="0"/>
        <w:autoSpaceDN w:val="0"/>
        <w:adjustRightInd w:val="0"/>
        <w:jc w:val="both"/>
        <w:rPr>
          <w:rFonts w:ascii="Cambria" w:eastAsia="Times New Roman" w:hAnsi="Cambria" w:cs="Cambria"/>
          <w:u w:val="single"/>
          <w:lang w:eastAsia="fr-BE"/>
        </w:rPr>
      </w:pPr>
    </w:p>
    <w:p w:rsidR="00F04EEF" w:rsidRDefault="0099351E">
      <w:pPr>
        <w:numPr>
          <w:ilvl w:val="0"/>
          <w:numId w:val="355"/>
        </w:numPr>
        <w:suppressAutoHyphens/>
        <w:autoSpaceDE w:val="0"/>
        <w:autoSpaceDN w:val="0"/>
        <w:adjustRightInd w:val="0"/>
        <w:ind w:left="284" w:hanging="283"/>
        <w:jc w:val="both"/>
        <w:rPr>
          <w:rFonts w:ascii="Georgia" w:eastAsia="Times New Roman" w:cs="Calibri"/>
          <w:sz w:val="28"/>
          <w:szCs w:val="24"/>
          <w:lang w:eastAsia="fr-BE"/>
        </w:rPr>
      </w:pPr>
      <w:r>
        <w:rPr>
          <w:rFonts w:ascii="Cambria" w:eastAsia="Times New Roman" w:hAnsi="Cambria" w:cs="Cambria"/>
          <w:lang w:eastAsia="fr-BE"/>
        </w:rPr>
        <w:t>Le procès-verbal de délivrance du certificat de qualification est transmis en double exemplaires originaux accompagnés de l’annexe relative à la composition du jury de qualification en double exemplaire originaux également.</w:t>
      </w:r>
    </w:p>
    <w:p w:rsidR="00F04EEF" w:rsidRDefault="0099351E">
      <w:pPr>
        <w:suppressAutoHyphens/>
        <w:autoSpaceDE w:val="0"/>
        <w:autoSpaceDN w:val="0"/>
        <w:adjustRightInd w:val="0"/>
        <w:jc w:val="both"/>
        <w:rPr>
          <w:rFonts w:ascii="Cambria" w:eastAsia="Times New Roman" w:hAnsi="Cambria" w:cs="Cambria"/>
          <w:lang w:eastAsia="fr-BE"/>
        </w:rPr>
      </w:pPr>
      <w:r>
        <w:rPr>
          <w:noProof/>
          <w:lang w:eastAsia="fr-BE"/>
        </w:rPr>
        <mc:AlternateContent>
          <mc:Choice Requires="wps">
            <w:drawing>
              <wp:anchor distT="0" distB="0" distL="114300" distR="114300" simplePos="0" relativeHeight="252299264" behindDoc="0" locked="0" layoutInCell="1" allowOverlap="1">
                <wp:simplePos x="0" y="0"/>
                <wp:positionH relativeFrom="column">
                  <wp:posOffset>6329045</wp:posOffset>
                </wp:positionH>
                <wp:positionV relativeFrom="paragraph">
                  <wp:posOffset>209550</wp:posOffset>
                </wp:positionV>
                <wp:extent cx="0" cy="876300"/>
                <wp:effectExtent l="0" t="0" r="19050" b="19050"/>
                <wp:wrapNone/>
                <wp:docPr id="571" name="Connecteur droit 571"/>
                <wp:cNvGraphicFramePr/>
                <a:graphic xmlns:a="http://schemas.openxmlformats.org/drawingml/2006/main">
                  <a:graphicData uri="http://schemas.microsoft.com/office/word/2010/wordprocessingShape">
                    <wps:wsp>
                      <wps:cNvCnPr/>
                      <wps:spPr>
                        <a:xfrm>
                          <a:off x="0" y="0"/>
                          <a:ext cx="0" cy="876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B24B8A0" id="Connecteur droit 571" o:spid="_x0000_s1026" style="position:absolute;z-index:25229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35pt,16.5pt" to="498.3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" strokecolor="black [3213]"/>
            </w:pict>
          </mc:Fallback>
        </mc:AlternateContent>
      </w:r>
    </w:p>
    <w:p w:rsidR="00F04EEF" w:rsidRDefault="0099351E">
      <w:pPr>
        <w:suppressAutoHyphens/>
        <w:autoSpaceDE w:val="0"/>
        <w:autoSpaceDN w:val="0"/>
        <w:adjustRightInd w:val="0"/>
        <w:ind w:left="284"/>
        <w:contextualSpacing/>
        <w:jc w:val="both"/>
        <w:rPr>
          <w:rFonts w:ascii="Tms Rmn" w:eastAsia="Times New Roman" w:cs="Calibri"/>
          <w:sz w:val="20"/>
          <w:szCs w:val="24"/>
          <w:lang w:eastAsia="fr-BE"/>
        </w:rPr>
      </w:pPr>
      <w:r>
        <w:rPr>
          <w:rFonts w:ascii="Cambria" w:eastAsia="Times New Roman" w:hAnsi="Cambria" w:cs="Cambria"/>
          <w:lang w:eastAsia="fr-BE"/>
        </w:rPr>
        <w:t>Lorsque le chef d’établissement est une femme, il convient de féminiser par « </w:t>
      </w:r>
      <w:r>
        <w:rPr>
          <w:rFonts w:ascii="Cambria" w:eastAsia="Times New Roman" w:hAnsi="Cambria" w:cs="Cambria"/>
          <w:b/>
          <w:lang w:eastAsia="fr-BE"/>
        </w:rPr>
        <w:t>La</w:t>
      </w:r>
      <w:r>
        <w:rPr>
          <w:rFonts w:ascii="Cambria" w:eastAsia="Times New Roman" w:hAnsi="Cambria" w:cs="Cambria"/>
          <w:lang w:eastAsia="fr-BE"/>
        </w:rPr>
        <w:t xml:space="preserve"> Chef</w:t>
      </w:r>
      <w:r>
        <w:rPr>
          <w:rFonts w:ascii="Cambria" w:eastAsia="Times New Roman" w:hAnsi="Cambria" w:cs="Cambria"/>
          <w:b/>
          <w:lang w:eastAsia="fr-BE"/>
        </w:rPr>
        <w:t xml:space="preserve">fe </w:t>
      </w:r>
      <w:r>
        <w:rPr>
          <w:rFonts w:ascii="Cambria" w:eastAsia="Times New Roman" w:hAnsi="Cambria" w:cs="Cambria"/>
          <w:lang w:eastAsia="fr-BE"/>
        </w:rPr>
        <w:t>d’établissement ». Même remarque lorsqu’il s’agit d’un professeur de sexe féminin, il convient de remplacer par « professeur</w:t>
      </w:r>
      <w:r>
        <w:rPr>
          <w:rFonts w:ascii="Cambria" w:eastAsia="Times New Roman" w:hAnsi="Cambria" w:cs="Cambria"/>
          <w:b/>
          <w:lang w:eastAsia="fr-BE"/>
        </w:rPr>
        <w:t>e </w:t>
      </w:r>
      <w:r>
        <w:rPr>
          <w:rFonts w:ascii="Cambria" w:eastAsia="Times New Roman" w:hAnsi="Cambria" w:cs="Cambria"/>
          <w:lang w:eastAsia="fr-BE"/>
        </w:rPr>
        <w:t xml:space="preserve">». </w:t>
      </w:r>
    </w:p>
    <w:p w:rsidR="00F04EEF" w:rsidRDefault="00F04EEF">
      <w:pPr>
        <w:suppressAutoHyphens/>
        <w:autoSpaceDE w:val="0"/>
        <w:autoSpaceDN w:val="0"/>
        <w:adjustRightInd w:val="0"/>
        <w:ind w:left="284" w:hanging="284"/>
        <w:jc w:val="both"/>
        <w:rPr>
          <w:rFonts w:ascii="Cambria" w:eastAsia="Times New Roman" w:hAnsi="Cambria" w:cs="Cambria"/>
          <w:lang w:eastAsia="fr-BE"/>
        </w:rPr>
      </w:pPr>
    </w:p>
    <w:p w:rsidR="00F04EEF" w:rsidRDefault="0099351E">
      <w:pPr>
        <w:suppressAutoHyphens/>
        <w:autoSpaceDE w:val="0"/>
        <w:autoSpaceDN w:val="0"/>
        <w:adjustRightInd w:val="0"/>
        <w:ind w:left="284"/>
        <w:contextualSpacing/>
        <w:jc w:val="both"/>
        <w:rPr>
          <w:rFonts w:ascii="Tms Rmn" w:eastAsia="Times New Roman" w:cs="Calibri"/>
          <w:sz w:val="20"/>
          <w:szCs w:val="24"/>
          <w:lang w:eastAsia="fr-BE"/>
        </w:rPr>
      </w:pPr>
      <w:r>
        <w:rPr>
          <w:rFonts w:ascii="Cambria" w:eastAsia="Times New Roman" w:hAnsi="Cambria" w:cs="Cambria"/>
          <w:lang w:eastAsia="fr-BE"/>
        </w:rPr>
        <w:t xml:space="preserve">Lorsque l’élève est de sexe féminin, il convient de personnaliser </w:t>
      </w:r>
      <w:r>
        <w:rPr>
          <w:rFonts w:ascii="Cambria" w:eastAsia="Times New Roman" w:hAnsi="Cambria" w:cs="Cambria"/>
          <w:b/>
          <w:lang w:eastAsia="fr-BE"/>
        </w:rPr>
        <w:t>tout le document</w:t>
      </w:r>
      <w:r>
        <w:rPr>
          <w:rFonts w:ascii="Cambria" w:eastAsia="Times New Roman" w:hAnsi="Cambria" w:cs="Cambria"/>
          <w:lang w:eastAsia="fr-BE"/>
        </w:rPr>
        <w:t xml:space="preserve"> en fonction de celui-ci (exemples: l’intitulé du métier/le corps de texte, etc.).</w:t>
      </w:r>
    </w:p>
    <w:p w:rsidR="00F04EEF" w:rsidRDefault="00F04EEF">
      <w:pPr>
        <w:suppressAutoHyphens/>
        <w:autoSpaceDE w:val="0"/>
        <w:autoSpaceDN w:val="0"/>
        <w:adjustRightInd w:val="0"/>
        <w:ind w:left="284"/>
        <w:jc w:val="both"/>
        <w:rPr>
          <w:rFonts w:ascii="Cambria" w:eastAsia="Times New Roman" w:hAnsi="Cambria" w:cs="Cambria"/>
          <w:lang w:eastAsia="fr-BE"/>
        </w:rPr>
      </w:pPr>
    </w:p>
    <w:p w:rsidR="00F04EEF" w:rsidRDefault="0099351E">
      <w:pPr>
        <w:suppressAutoHyphens/>
        <w:autoSpaceDE w:val="0"/>
        <w:autoSpaceDN w:val="0"/>
        <w:adjustRightInd w:val="0"/>
        <w:ind w:left="284"/>
        <w:contextualSpacing/>
        <w:jc w:val="both"/>
        <w:rPr>
          <w:rFonts w:ascii="Tms Rmn" w:eastAsia="Times New Roman" w:cs="Calibri"/>
          <w:sz w:val="20"/>
          <w:szCs w:val="24"/>
          <w:lang w:eastAsia="fr-BE"/>
        </w:rPr>
      </w:pPr>
      <w:r>
        <w:rPr>
          <w:rFonts w:ascii="Cambria" w:eastAsia="Times New Roman" w:hAnsi="Cambria" w:cs="Cambria"/>
          <w:b/>
          <w:lang w:eastAsia="fr-BE"/>
        </w:rPr>
        <w:t>TOUS</w:t>
      </w:r>
      <w:r>
        <w:rPr>
          <w:rFonts w:ascii="Cambria" w:eastAsia="Times New Roman" w:hAnsi="Cambria" w:cs="Cambria"/>
          <w:lang w:eastAsia="fr-BE"/>
        </w:rPr>
        <w:t xml:space="preserve"> les membres du jury </w:t>
      </w:r>
      <w:r>
        <w:rPr>
          <w:rFonts w:ascii="Cambria" w:eastAsia="Times New Roman" w:hAnsi="Cambria" w:cs="Cambria"/>
          <w:b/>
          <w:lang w:eastAsia="fr-BE"/>
        </w:rPr>
        <w:t>présents</w:t>
      </w:r>
      <w:r>
        <w:rPr>
          <w:rFonts w:ascii="Cambria" w:eastAsia="Times New Roman" w:hAnsi="Cambria" w:cs="Cambria"/>
          <w:lang w:eastAsia="fr-BE"/>
        </w:rPr>
        <w:t xml:space="preserve"> doivent signer le procès-verbal de délivrance du certificat de qualification. En cas d’absence d’un membre du jury, il conviendra d’indiquer au regard de son nom la mention« décédé », « absent » ou « excusé ». </w:t>
      </w:r>
    </w:p>
    <w:p w:rsidR="00F04EEF" w:rsidRDefault="00F04EEF">
      <w:pPr>
        <w:suppressAutoHyphens/>
        <w:autoSpaceDE w:val="0"/>
        <w:autoSpaceDN w:val="0"/>
        <w:adjustRightInd w:val="0"/>
        <w:ind w:left="284"/>
        <w:contextualSpacing/>
        <w:jc w:val="both"/>
        <w:rPr>
          <w:rFonts w:ascii="Tms Rmn" w:eastAsia="Times New Roman" w:cs="Calibri"/>
          <w:sz w:val="20"/>
          <w:szCs w:val="24"/>
          <w:lang w:eastAsia="fr-BE"/>
        </w:rPr>
      </w:pPr>
    </w:p>
    <w:p w:rsidR="00F04EEF" w:rsidRDefault="0099351E">
      <w:pPr>
        <w:numPr>
          <w:ilvl w:val="0"/>
          <w:numId w:val="355"/>
        </w:numPr>
        <w:suppressAutoHyphens/>
        <w:autoSpaceDE w:val="0"/>
        <w:autoSpaceDN w:val="0"/>
        <w:adjustRightInd w:val="0"/>
        <w:ind w:left="284" w:hanging="283"/>
        <w:jc w:val="both"/>
        <w:rPr>
          <w:rFonts w:ascii="Georgia" w:eastAsia="Times New Roman" w:cs="Calibri"/>
          <w:sz w:val="28"/>
          <w:szCs w:val="24"/>
          <w:lang w:eastAsia="fr-BE"/>
        </w:rPr>
      </w:pPr>
      <w:r>
        <w:rPr>
          <w:rFonts w:ascii="Cambria" w:eastAsia="Times New Roman" w:hAnsi="Cambria" w:cs="Cambria"/>
          <w:lang w:eastAsia="fr-BE"/>
        </w:rPr>
        <w:t xml:space="preserve">Un espace </w:t>
      </w:r>
      <w:r>
        <w:rPr>
          <w:rFonts w:ascii="Cambria" w:eastAsia="Times New Roman" w:hAnsi="Cambria" w:cs="Cambria"/>
          <w:b/>
          <w:lang w:eastAsia="fr-BE"/>
        </w:rPr>
        <w:t xml:space="preserve">suffisant </w:t>
      </w:r>
      <w:r>
        <w:rPr>
          <w:rFonts w:ascii="Cambria" w:eastAsia="Times New Roman" w:hAnsi="Cambria" w:cs="Cambria"/>
          <w:lang w:eastAsia="fr-BE"/>
        </w:rPr>
        <w:t>doit être laissé afin que chaque partie puisse signer sans empiéter sur un autre co-signataire.</w:t>
      </w:r>
    </w:p>
    <w:p w:rsidR="00F04EEF" w:rsidRDefault="00F04EEF">
      <w:pPr>
        <w:suppressAutoHyphens/>
        <w:autoSpaceDE w:val="0"/>
        <w:autoSpaceDN w:val="0"/>
        <w:adjustRightInd w:val="0"/>
        <w:ind w:left="708"/>
        <w:rPr>
          <w:rFonts w:ascii="Cambria" w:eastAsia="Times New Roman" w:hAnsi="Cambria" w:cs="Cambria"/>
          <w:lang w:eastAsia="fr-BE"/>
        </w:rPr>
      </w:pPr>
    </w:p>
    <w:p w:rsidR="00F04EEF" w:rsidRDefault="0099351E">
      <w:pPr>
        <w:numPr>
          <w:ilvl w:val="0"/>
          <w:numId w:val="355"/>
        </w:numPr>
        <w:suppressAutoHyphens/>
        <w:autoSpaceDE w:val="0"/>
        <w:autoSpaceDN w:val="0"/>
        <w:adjustRightInd w:val="0"/>
        <w:ind w:left="284" w:hanging="283"/>
        <w:jc w:val="both"/>
        <w:rPr>
          <w:rFonts w:ascii="Georgia" w:eastAsia="Times New Roman" w:cs="Calibri"/>
          <w:sz w:val="28"/>
          <w:szCs w:val="24"/>
          <w:lang w:eastAsia="fr-BE"/>
        </w:rPr>
      </w:pPr>
      <w:r>
        <w:rPr>
          <w:rFonts w:ascii="Cambria" w:eastAsia="Times New Roman" w:hAnsi="Cambria" w:cs="Cambria"/>
          <w:lang w:eastAsia="fr-BE"/>
        </w:rPr>
        <w:t>Les signatures doivent impérativement être authentiques. Les scannes ne sont pas autorisés.</w:t>
      </w:r>
    </w:p>
    <w:p w:rsidR="00F04EEF" w:rsidRDefault="0099351E">
      <w:pPr>
        <w:suppressAutoHyphens/>
        <w:autoSpaceDE w:val="0"/>
        <w:autoSpaceDN w:val="0"/>
        <w:adjustRightInd w:val="0"/>
        <w:ind w:left="284"/>
        <w:jc w:val="both"/>
        <w:rPr>
          <w:rFonts w:ascii="Georgia" w:eastAsia="Times New Roman" w:cs="Calibri"/>
          <w:sz w:val="28"/>
          <w:szCs w:val="24"/>
          <w:lang w:eastAsia="fr-BE"/>
        </w:rPr>
      </w:pPr>
      <w:r>
        <w:rPr>
          <w:noProof/>
          <w:lang w:eastAsia="fr-BE"/>
        </w:rPr>
        <mc:AlternateContent>
          <mc:Choice Requires="wps">
            <w:drawing>
              <wp:anchor distT="0" distB="0" distL="114300" distR="114300" simplePos="0" relativeHeight="252301312" behindDoc="0" locked="0" layoutInCell="1" allowOverlap="1">
                <wp:simplePos x="0" y="0"/>
                <wp:positionH relativeFrom="column">
                  <wp:posOffset>6329045</wp:posOffset>
                </wp:positionH>
                <wp:positionV relativeFrom="paragraph">
                  <wp:posOffset>210185</wp:posOffset>
                </wp:positionV>
                <wp:extent cx="0" cy="247650"/>
                <wp:effectExtent l="0" t="0" r="19050" b="19050"/>
                <wp:wrapNone/>
                <wp:docPr id="572" name="Connecteur droit 572"/>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954A1E9" id="Connecteur droit 572" o:spid="_x0000_s1026" style="position:absolute;z-index:25230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35pt,16.55pt" to="498.3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" strokecolor="black [3213]"/>
            </w:pict>
          </mc:Fallback>
        </mc:AlternateContent>
      </w:r>
    </w:p>
    <w:p w:rsidR="00F04EEF" w:rsidRDefault="0099351E">
      <w:pPr>
        <w:numPr>
          <w:ilvl w:val="0"/>
          <w:numId w:val="355"/>
        </w:numPr>
        <w:suppressAutoHyphens/>
        <w:autoSpaceDE w:val="0"/>
        <w:autoSpaceDN w:val="0"/>
        <w:adjustRightInd w:val="0"/>
        <w:contextualSpacing/>
        <w:jc w:val="both"/>
        <w:rPr>
          <w:rFonts w:ascii="Tms Rmn" w:eastAsia="Times New Roman" w:cs="Calibri"/>
          <w:sz w:val="20"/>
          <w:szCs w:val="24"/>
          <w:lang w:eastAsia="fr-BE"/>
        </w:rPr>
      </w:pPr>
      <w:r>
        <w:rPr>
          <w:rFonts w:ascii="Cambria" w:eastAsia="Times New Roman" w:hAnsi="Cambria" w:cs="Cambria"/>
          <w:lang w:eastAsia="fr-BE"/>
        </w:rPr>
        <w:t xml:space="preserve">Les signatures artistiques et colorées </w:t>
      </w:r>
      <w:r>
        <w:rPr>
          <w:rFonts w:ascii="Cambria" w:eastAsia="Times New Roman" w:hAnsi="Cambria" w:cs="Cambria"/>
          <w:b/>
          <w:lang w:eastAsia="fr-BE"/>
        </w:rPr>
        <w:t>ne sont pas autorisées et doivent</w:t>
      </w:r>
      <w:r>
        <w:rPr>
          <w:rFonts w:ascii="Cambria" w:eastAsia="Times New Roman" w:hAnsi="Cambria" w:cs="Cambria"/>
          <w:lang w:eastAsia="fr-BE"/>
        </w:rPr>
        <w:t xml:space="preserve"> respecter les délimitations imposées.</w:t>
      </w:r>
    </w:p>
    <w:p w:rsidR="00F04EEF" w:rsidRDefault="00F04EEF">
      <w:pPr>
        <w:suppressAutoHyphens/>
        <w:autoSpaceDE w:val="0"/>
        <w:autoSpaceDN w:val="0"/>
        <w:adjustRightInd w:val="0"/>
        <w:ind w:left="284"/>
        <w:jc w:val="both"/>
        <w:rPr>
          <w:rFonts w:ascii="Cambria" w:eastAsia="Times New Roman" w:hAnsi="Cambria" w:cs="Cambria"/>
          <w:lang w:eastAsia="fr-BE"/>
        </w:rPr>
      </w:pPr>
    </w:p>
    <w:p w:rsidR="00F04EEF" w:rsidRDefault="0099351E">
      <w:pPr>
        <w:numPr>
          <w:ilvl w:val="0"/>
          <w:numId w:val="355"/>
        </w:numPr>
        <w:suppressAutoHyphens/>
        <w:autoSpaceDE w:val="0"/>
        <w:autoSpaceDN w:val="0"/>
        <w:adjustRightInd w:val="0"/>
        <w:ind w:left="284" w:hanging="284"/>
        <w:jc w:val="both"/>
        <w:rPr>
          <w:rFonts w:ascii="Georgia" w:eastAsia="Times New Roman" w:cs="Calibri"/>
          <w:sz w:val="28"/>
          <w:szCs w:val="24"/>
          <w:lang w:eastAsia="fr-BE"/>
        </w:rPr>
      </w:pPr>
      <w:r>
        <w:rPr>
          <w:rFonts w:ascii="Cambria" w:eastAsia="Times New Roman" w:hAnsi="Cambria" w:cs="Cambria"/>
          <w:lang w:eastAsia="fr-BE"/>
        </w:rPr>
        <w:t xml:space="preserve">Le sceau de l’établissement </w:t>
      </w:r>
      <w:r>
        <w:rPr>
          <w:rFonts w:ascii="Cambria" w:eastAsia="Times New Roman" w:hAnsi="Cambria" w:cs="Cambria"/>
          <w:b/>
          <w:lang w:eastAsia="fr-BE"/>
        </w:rPr>
        <w:t>doit être apposé et être lisible.</w:t>
      </w:r>
    </w:p>
    <w:p w:rsidR="00F04EEF" w:rsidRDefault="00F04EEF">
      <w:pPr>
        <w:suppressAutoHyphens/>
        <w:autoSpaceDE w:val="0"/>
        <w:autoSpaceDN w:val="0"/>
        <w:adjustRightInd w:val="0"/>
        <w:ind w:left="284"/>
        <w:rPr>
          <w:rFonts w:ascii="Cambria" w:eastAsia="Times New Roman" w:hAnsi="Cambria" w:cs="Cambria"/>
          <w:lang w:eastAsia="fr-BE"/>
        </w:rPr>
      </w:pPr>
    </w:p>
    <w:p w:rsidR="00F04EEF" w:rsidRDefault="0099351E">
      <w:pPr>
        <w:numPr>
          <w:ilvl w:val="0"/>
          <w:numId w:val="355"/>
        </w:numPr>
        <w:suppressAutoHyphens/>
        <w:autoSpaceDE w:val="0"/>
        <w:autoSpaceDN w:val="0"/>
        <w:adjustRightInd w:val="0"/>
        <w:ind w:left="284" w:hanging="284"/>
        <w:jc w:val="both"/>
        <w:rPr>
          <w:rFonts w:ascii="Georgia" w:eastAsia="Times New Roman" w:cs="Calibri"/>
          <w:sz w:val="28"/>
          <w:szCs w:val="24"/>
          <w:lang w:eastAsia="fr-BE"/>
        </w:rPr>
      </w:pPr>
      <w:r>
        <w:rPr>
          <w:rFonts w:ascii="Cambria" w:eastAsia="Times New Roman" w:hAnsi="Cambria" w:cs="Cambria"/>
          <w:lang w:eastAsia="fr-BE"/>
        </w:rPr>
        <w:t xml:space="preserve">Il convient d’indiquer le nom et prénom de tous les élèves ayant ET n’ayant pas obtenus leur CQ </w:t>
      </w:r>
      <w:r>
        <w:rPr>
          <w:rFonts w:ascii="Cambria" w:eastAsia="Times New Roman" w:hAnsi="Cambria" w:cs="Cambria"/>
          <w:b/>
          <w:lang w:eastAsia="fr-BE"/>
        </w:rPr>
        <w:t>sur un même procès-verbal</w:t>
      </w:r>
      <w:r>
        <w:rPr>
          <w:rFonts w:ascii="Cambria" w:eastAsia="Times New Roman" w:hAnsi="Cambria" w:cs="Cambria"/>
          <w:lang w:eastAsia="fr-BE"/>
        </w:rPr>
        <w:t xml:space="preserve"> et ce pour </w:t>
      </w:r>
      <w:r>
        <w:rPr>
          <w:rFonts w:ascii="Cambria" w:eastAsia="Times New Roman" w:hAnsi="Cambria" w:cs="Cambria"/>
          <w:b/>
          <w:lang w:eastAsia="fr-BE"/>
        </w:rPr>
        <w:t>un même métier</w:t>
      </w:r>
      <w:r>
        <w:rPr>
          <w:rFonts w:ascii="Cambria" w:eastAsia="Times New Roman" w:hAnsi="Cambria" w:cs="Cambria"/>
          <w:lang w:eastAsia="fr-BE"/>
        </w:rPr>
        <w:t>, pour autant que les membres du jury soient identiques également.</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b/>
          <w:szCs w:val="24"/>
        </w:rPr>
      </w:pPr>
      <w:r>
        <w:rPr>
          <w:rFonts w:ascii="Cambria" w:eastAsia="Times New Roman" w:hAnsi="Cambria" w:cs="Calibri"/>
          <w:b/>
          <w:szCs w:val="24"/>
        </w:rPr>
        <w:t>Remarques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Les documents </w:t>
      </w:r>
      <w:r>
        <w:rPr>
          <w:rFonts w:ascii="Cambria" w:eastAsia="Times New Roman" w:hAnsi="Cambria" w:cs="Calibri"/>
          <w:b/>
          <w:szCs w:val="24"/>
        </w:rPr>
        <w:t>ne seront pas validés</w:t>
      </w:r>
      <w:r>
        <w:rPr>
          <w:rFonts w:ascii="Cambria" w:eastAsia="Times New Roman" w:hAnsi="Cambria" w:cs="Calibri"/>
          <w:szCs w:val="24"/>
        </w:rPr>
        <w:t xml:space="preserve"> et ils devront être </w:t>
      </w:r>
      <w:r>
        <w:rPr>
          <w:rFonts w:ascii="Cambria" w:eastAsia="Times New Roman" w:hAnsi="Cambria" w:cs="Calibri"/>
          <w:b/>
          <w:szCs w:val="24"/>
        </w:rPr>
        <w:t xml:space="preserve">recommencés intégralement : </w:t>
      </w:r>
    </w:p>
    <w:p w:rsidR="00F04EEF" w:rsidRDefault="0099351E">
      <w:pPr>
        <w:numPr>
          <w:ilvl w:val="0"/>
          <w:numId w:val="355"/>
        </w:numPr>
        <w:suppressAutoHyphens/>
        <w:autoSpaceDE w:val="0"/>
        <w:autoSpaceDN w:val="0"/>
        <w:adjustRightInd w:val="0"/>
        <w:spacing w:after="200"/>
        <w:jc w:val="both"/>
        <w:rPr>
          <w:rFonts w:ascii="Cambria" w:eastAsia="Times New Roman" w:hAnsi="Cambria" w:cs="Calibri"/>
          <w:szCs w:val="24"/>
        </w:rPr>
      </w:pPr>
      <w:r>
        <w:rPr>
          <w:rFonts w:ascii="Cambria" w:eastAsia="Times New Roman" w:hAnsi="Cambria" w:cs="Calibri"/>
          <w:szCs w:val="24"/>
        </w:rPr>
        <w:t>si le procès-verbal ou la composition du jury de qualification ne correspondent pas aux modèles annexés à la présente circulaire ;</w:t>
      </w:r>
    </w:p>
    <w:p w:rsidR="00F04EEF" w:rsidRDefault="0099351E">
      <w:pPr>
        <w:numPr>
          <w:ilvl w:val="0"/>
          <w:numId w:val="355"/>
        </w:numPr>
        <w:suppressAutoHyphens/>
        <w:autoSpaceDE w:val="0"/>
        <w:autoSpaceDN w:val="0"/>
        <w:adjustRightInd w:val="0"/>
        <w:spacing w:after="200"/>
        <w:jc w:val="both"/>
        <w:rPr>
          <w:rFonts w:ascii="Cambria" w:eastAsia="Times New Roman" w:hAnsi="Cambria" w:cs="Calibri"/>
          <w:szCs w:val="24"/>
        </w:rPr>
      </w:pPr>
      <w:r>
        <w:rPr>
          <w:rFonts w:ascii="Cambria" w:eastAsia="Times New Roman" w:hAnsi="Cambria" w:cs="Calibri"/>
          <w:szCs w:val="24"/>
        </w:rPr>
        <w:t xml:space="preserve">si </w:t>
      </w:r>
      <w:r>
        <w:rPr>
          <w:rFonts w:ascii="Cambria" w:eastAsia="Times New Roman" w:hAnsi="Cambria" w:cs="Calibri"/>
          <w:b/>
          <w:szCs w:val="24"/>
        </w:rPr>
        <w:t>toutes</w:t>
      </w:r>
      <w:r>
        <w:rPr>
          <w:rFonts w:ascii="Cambria" w:eastAsia="Times New Roman" w:hAnsi="Cambria" w:cs="Calibri"/>
          <w:szCs w:val="24"/>
        </w:rPr>
        <w:t xml:space="preserve"> les recommandations explicitées dans le présent chapitre ne sont pas </w:t>
      </w:r>
      <w:r>
        <w:rPr>
          <w:rFonts w:ascii="Cambria" w:eastAsia="Times New Roman" w:hAnsi="Cambria" w:cs="Calibri"/>
          <w:b/>
          <w:szCs w:val="24"/>
        </w:rPr>
        <w:t xml:space="preserve">strictement </w:t>
      </w:r>
      <w:r>
        <w:rPr>
          <w:rFonts w:ascii="Cambria" w:eastAsia="Times New Roman" w:hAnsi="Cambria" w:cs="Calibri"/>
          <w:szCs w:val="24"/>
        </w:rPr>
        <w:t>suivies ;</w:t>
      </w:r>
    </w:p>
    <w:p w:rsidR="00F04EEF" w:rsidRDefault="0099351E">
      <w:pPr>
        <w:numPr>
          <w:ilvl w:val="0"/>
          <w:numId w:val="355"/>
        </w:numPr>
        <w:suppressAutoHyphens/>
        <w:autoSpaceDE w:val="0"/>
        <w:autoSpaceDN w:val="0"/>
        <w:adjustRightInd w:val="0"/>
        <w:spacing w:after="20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03360" behindDoc="0" locked="0" layoutInCell="1" allowOverlap="1">
                <wp:simplePos x="0" y="0"/>
                <wp:positionH relativeFrom="column">
                  <wp:posOffset>6329045</wp:posOffset>
                </wp:positionH>
                <wp:positionV relativeFrom="paragraph">
                  <wp:posOffset>98425</wp:posOffset>
                </wp:positionV>
                <wp:extent cx="0" cy="247650"/>
                <wp:effectExtent l="0" t="0" r="19050" b="19050"/>
                <wp:wrapNone/>
                <wp:docPr id="573" name="Connecteur droit 573"/>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356CE8" id="Connecteur droit 573" o:spid="_x0000_s1026" style="position:absolute;z-index:25230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35pt,7.75pt" to="498.35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" strokecolor="black [3213]"/>
            </w:pict>
          </mc:Fallback>
        </mc:AlternateContent>
      </w:r>
      <w:r>
        <w:rPr>
          <w:rFonts w:ascii="Cambria" w:eastAsia="Times New Roman" w:hAnsi="Cambria" w:cs="Calibri"/>
          <w:szCs w:val="24"/>
        </w:rPr>
        <w:t xml:space="preserve">s’il n’existe pas une </w:t>
      </w:r>
      <w:r>
        <w:rPr>
          <w:rFonts w:ascii="Cambria" w:eastAsia="Times New Roman" w:hAnsi="Cambria" w:cs="Calibri"/>
          <w:b/>
          <w:szCs w:val="24"/>
        </w:rPr>
        <w:t>stricte</w:t>
      </w:r>
      <w:r>
        <w:rPr>
          <w:rFonts w:ascii="Cambria" w:eastAsia="Times New Roman" w:hAnsi="Cambria" w:cs="Calibri"/>
          <w:szCs w:val="24"/>
        </w:rPr>
        <w:t xml:space="preserve"> concordance entre le secteur professionnel/groupe professionnel/métier indiqué sur le jury de qualification, le procès-verbal et la liste des élèves devant être certifiés ;</w:t>
      </w:r>
    </w:p>
    <w:p w:rsidR="00F04EEF" w:rsidRDefault="0099351E">
      <w:pPr>
        <w:numPr>
          <w:ilvl w:val="0"/>
          <w:numId w:val="355"/>
        </w:numPr>
        <w:suppressAutoHyphens/>
        <w:autoSpaceDE w:val="0"/>
        <w:autoSpaceDN w:val="0"/>
        <w:adjustRightInd w:val="0"/>
        <w:spacing w:after="200"/>
        <w:jc w:val="both"/>
        <w:rPr>
          <w:rFonts w:ascii="Cambria" w:eastAsia="Times New Roman" w:hAnsi="Cambria" w:cs="Calibri"/>
          <w:szCs w:val="24"/>
        </w:rPr>
      </w:pPr>
      <w:r>
        <w:rPr>
          <w:rFonts w:ascii="Cambria" w:eastAsia="Times New Roman" w:hAnsi="Cambria" w:cs="Calibri"/>
          <w:szCs w:val="24"/>
        </w:rPr>
        <w:t>s’il n’existe pas une</w:t>
      </w:r>
      <w:r>
        <w:rPr>
          <w:rFonts w:ascii="Cambria" w:eastAsia="Times New Roman" w:hAnsi="Cambria" w:cs="Calibri"/>
          <w:b/>
          <w:szCs w:val="24"/>
        </w:rPr>
        <w:t xml:space="preserve"> stricte</w:t>
      </w:r>
      <w:r>
        <w:rPr>
          <w:rFonts w:ascii="Cambria" w:eastAsia="Times New Roman" w:hAnsi="Cambria" w:cs="Calibri"/>
          <w:szCs w:val="24"/>
        </w:rPr>
        <w:t xml:space="preserve"> concordance entre le nom et prénom des élèves/membres du jury et les différents documents ;</w:t>
      </w:r>
    </w:p>
    <w:p w:rsidR="00F04EEF" w:rsidRDefault="0099351E">
      <w:pPr>
        <w:numPr>
          <w:ilvl w:val="0"/>
          <w:numId w:val="355"/>
        </w:num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ou si les signatures ne sont pas authentiques.</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rPr>
          <w:rFonts w:ascii="Cambria" w:eastAsia="Times New Roman" w:hAnsi="Cambria" w:cs="Calibri"/>
          <w:szCs w:val="24"/>
        </w:rPr>
      </w:pPr>
      <w:r>
        <w:rPr>
          <w:rFonts w:ascii="Cambria" w:eastAsia="Times New Roman" w:hAnsi="Cambria" w:cs="Calibri"/>
          <w:szCs w:val="24"/>
        </w:rPr>
        <w:br w:type="page"/>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Les attestations, avis et procès-verbaux sont à renvoyer à l’adresse suivante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Pr>
          <w:rFonts w:ascii="Cambria" w:eastAsia="Times New Roman" w:hAnsi="Cambria"/>
          <w:szCs w:val="24"/>
        </w:rPr>
        <w:t>Direction générale de l’enseignement obligatoire</w:t>
      </w:r>
    </w:p>
    <w:p w:rsidR="00F04EEF" w:rsidRDefault="0099351E">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Pr>
          <w:rFonts w:ascii="Cambria" w:eastAsia="Times New Roman" w:hAnsi="Cambria"/>
          <w:szCs w:val="24"/>
        </w:rPr>
        <w:t>Service de l’enseignement spécialisé</w:t>
      </w:r>
    </w:p>
    <w:p w:rsidR="00F04EEF" w:rsidRDefault="0099351E">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Pr>
          <w:rFonts w:ascii="Cambria" w:eastAsia="Times New Roman" w:hAnsi="Cambria"/>
          <w:szCs w:val="24"/>
        </w:rPr>
        <w:t>Madame Marie BORMANN</w:t>
      </w:r>
    </w:p>
    <w:p w:rsidR="00F04EEF" w:rsidRDefault="0099351E">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Pr>
          <w:rFonts w:ascii="Cambria" w:eastAsia="Times New Roman" w:hAnsi="Cambria"/>
          <w:szCs w:val="24"/>
        </w:rPr>
        <w:t>Bureau 2F253</w:t>
      </w:r>
    </w:p>
    <w:p w:rsidR="00F04EEF" w:rsidRDefault="0099351E">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Pr>
          <w:rFonts w:ascii="Cambria" w:eastAsia="Times New Roman" w:hAnsi="Cambria"/>
          <w:szCs w:val="24"/>
        </w:rPr>
        <w:t>Rue Adolphe Lavallée, 1</w:t>
      </w:r>
    </w:p>
    <w:p w:rsidR="00F04EEF" w:rsidRDefault="0099351E">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Pr>
          <w:rFonts w:ascii="Cambria" w:eastAsia="Times New Roman" w:hAnsi="Cambria"/>
          <w:szCs w:val="24"/>
        </w:rPr>
        <w:t>1080   BRUXELLES</w:t>
      </w:r>
    </w:p>
    <w:p w:rsidR="00F04EEF" w:rsidRDefault="0099351E">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Pr>
          <w:rFonts w:ascii="Wingdings" w:eastAsia="Times New Roman" w:hAnsi="Wingdings" w:cs="Wingdings"/>
          <w:szCs w:val="24"/>
        </w:rPr>
        <w:t></w:t>
      </w:r>
      <w:r>
        <w:rPr>
          <w:rFonts w:ascii="Cambria" w:eastAsia="Times New Roman" w:hAnsi="Cambria"/>
          <w:szCs w:val="24"/>
        </w:rPr>
        <w:t xml:space="preserve"> : 02/413.26.36 - </w:t>
      </w:r>
      <w:r>
        <w:rPr>
          <w:rFonts w:ascii="Wingdings" w:eastAsia="Times New Roman" w:hAnsi="Wingdings" w:cs="Wingdings"/>
          <w:szCs w:val="24"/>
        </w:rPr>
        <w:t></w:t>
      </w:r>
      <w:r>
        <w:rPr>
          <w:rFonts w:ascii="Cambria" w:eastAsia="Times New Roman" w:hAnsi="Cambria"/>
          <w:szCs w:val="24"/>
        </w:rPr>
        <w:t xml:space="preserve"> : </w:t>
      </w:r>
      <w:hyperlink r:id="rId304" w:history="1">
        <w:r>
          <w:rPr>
            <w:rFonts w:ascii="Cambria" w:eastAsia="Times New Roman" w:hAnsi="Cambria"/>
            <w:color w:val="0000FF"/>
            <w:szCs w:val="24"/>
            <w:u w:val="single"/>
          </w:rPr>
          <w:t>CQspecialise@cfwb.be</w:t>
        </w:r>
      </w:hyperlink>
    </w:p>
    <w:p w:rsidR="00F04EEF" w:rsidRDefault="00F04EEF">
      <w:pPr>
        <w:suppressAutoHyphens/>
        <w:autoSpaceDE w:val="0"/>
        <w:autoSpaceDN w:val="0"/>
        <w:adjustRightInd w:val="0"/>
        <w:rPr>
          <w:rFonts w:ascii="Cambria" w:eastAsia="Times New Roman" w:hAnsi="Cambria" w:cs="Calibri"/>
          <w:szCs w:val="24"/>
        </w:rPr>
      </w:pPr>
      <w:bookmarkStart w:id="3822" w:name="_2._Annexes"/>
      <w:bookmarkStart w:id="3823" w:name="_3._Annexes"/>
      <w:bookmarkStart w:id="3824" w:name="_2._Foire_aux"/>
      <w:bookmarkStart w:id="3825" w:name="__RefHeading__295_957262308"/>
      <w:bookmarkEnd w:id="3822"/>
      <w:bookmarkEnd w:id="3823"/>
      <w:bookmarkEnd w:id="3824"/>
      <w:bookmarkEnd w:id="3825"/>
    </w:p>
    <w:p w:rsidR="00F04EEF" w:rsidRDefault="0099351E">
      <w:pPr>
        <w:autoSpaceDE w:val="0"/>
        <w:autoSpaceDN w:val="0"/>
        <w:adjustRightInd w:val="0"/>
        <w:outlineLvl w:val="2"/>
        <w:rPr>
          <w:rFonts w:ascii="Cambria" w:hAnsi="Cambria" w:cs="Calibri"/>
          <w:b/>
          <w:sz w:val="24"/>
          <w:szCs w:val="24"/>
          <w:u w:val="single"/>
          <w:lang w:eastAsia="fr-BE"/>
        </w:rPr>
      </w:pPr>
      <w:bookmarkStart w:id="3826" w:name="_2._Foire_aux_1"/>
      <w:bookmarkStart w:id="3827" w:name="_Toc47708632"/>
      <w:bookmarkEnd w:id="3826"/>
      <w:r>
        <w:rPr>
          <w:rFonts w:ascii="Cambria" w:hAnsi="Cambria" w:cs="Calibri"/>
          <w:b/>
          <w:u w:val="single"/>
          <w:lang w:eastAsia="fr-BE"/>
        </w:rPr>
        <w:t>2. Foire aux questions</w:t>
      </w:r>
      <w:bookmarkEnd w:id="3827"/>
    </w:p>
    <w:p w:rsidR="00F04EEF" w:rsidRDefault="00F04EEF">
      <w:pPr>
        <w:suppressAutoHyphens/>
        <w:autoSpaceDE w:val="0"/>
        <w:autoSpaceDN w:val="0"/>
        <w:adjustRightInd w:val="0"/>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 Que signifie CESI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Le CESI signifie certificat d’études d’enseignement secondaire inférieur</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 Les écoles délivrent-elles encore le CESI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Non, plus depuis 1994.</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3) Qui peut répondre aux questions sur le CEB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Les renseignements sont accessibles auprès du Service général du pilotage du système éducatif.</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Madame Caroline DE PAEPE, tél : 02/690 81 75, mail : </w:t>
      </w:r>
      <w:hyperlink r:id="rId305" w:history="1">
        <w:r>
          <w:rPr>
            <w:rFonts w:ascii="Cambria" w:eastAsia="Times New Roman" w:hAnsi="Cambria"/>
            <w:color w:val="0000FF"/>
            <w:szCs w:val="24"/>
            <w:u w:val="single"/>
          </w:rPr>
          <w:t>caroline.depaepe@cfwb.be</w:t>
        </w:r>
      </w:hyperlink>
      <w:r>
        <w:rPr>
          <w:rFonts w:ascii="Cambria" w:eastAsia="Times New Roman" w:hAnsi="Cambria" w:cs="Calibri"/>
          <w:szCs w:val="24"/>
        </w:rPr>
        <w:t xml:space="preserve">. </w:t>
      </w:r>
    </w:p>
    <w:p w:rsidR="00F04EEF" w:rsidRDefault="00F04EEF">
      <w:pPr>
        <w:suppressAutoHyphens/>
        <w:autoSpaceDE w:val="0"/>
        <w:autoSpaceDN w:val="0"/>
        <w:adjustRightInd w:val="0"/>
        <w:jc w:val="both"/>
        <w:rPr>
          <w:rFonts w:ascii="Arial" w:eastAsia="Times New Roman" w:hAnsi="Arial" w:cs="Arial"/>
          <w:color w:val="0A0A0A"/>
          <w:spacing w:val="2"/>
          <w:sz w:val="18"/>
          <w:szCs w:val="18"/>
          <w:shd w:val="clear" w:color="auto" w:fill="EEEEEE"/>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4) Un élève titulaire d’un CQ obtenu dans l’enseignement spécialisé, peut-il réintégrer l’enseignement ordinaire ?</w:t>
      </w:r>
      <w:r>
        <w:rPr>
          <w:rFonts w:ascii="Cambria" w:eastAsia="Times New Roman" w:hAnsi="Cambria" w:cs="Calibri"/>
          <w:b/>
          <w:bCs/>
          <w:color w:val="1F497D"/>
          <w:szCs w:val="24"/>
          <w:lang w:val="fr-FR"/>
        </w:rPr>
        <w:t xml:space="preserv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Conformément aux tableaux de passage de l’enseignement spécialisé vers l’enseignement ordinaire (cfr chapitre 1), les élèves titulaires d’un CQ de l’enseignement spécialisé peuvent être inscrits de manière régulière en 5P dans l’enseignem</w:t>
      </w:r>
      <w:r>
        <w:rPr>
          <w:rFonts w:ascii="Cambria" w:eastAsia="Times New Roman" w:hAnsi="Cambria" w:cs="Calibri"/>
          <w:color w:val="000000"/>
          <w:szCs w:val="24"/>
        </w:rPr>
        <w:t>e</w:t>
      </w:r>
      <w:r>
        <w:rPr>
          <w:rFonts w:ascii="Cambria" w:eastAsia="Times New Roman" w:hAnsi="Cambria" w:cs="Calibri"/>
          <w:szCs w:val="24"/>
        </w:rPr>
        <w:t>nt ordinaire.</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lang w:val="fr-FR"/>
        </w:rPr>
        <w:t>5)</w:t>
      </w:r>
      <w:r>
        <w:rPr>
          <w:rFonts w:ascii="Cambria" w:eastAsia="Times New Roman" w:hAnsi="Cambria" w:cs="Calibri"/>
          <w:b/>
          <w:bCs/>
          <w:color w:val="1F497D"/>
          <w:szCs w:val="24"/>
          <w:lang w:val="fr-FR"/>
        </w:rPr>
        <w:t xml:space="preserve"> </w:t>
      </w:r>
      <w:r>
        <w:rPr>
          <w:rFonts w:ascii="Cambria" w:eastAsia="Times New Roman" w:hAnsi="Cambria" w:cs="Calibri"/>
          <w:b/>
          <w:szCs w:val="24"/>
        </w:rPr>
        <w:t>Une école spécialisée peut-elle délivrer un CE2D (certificat d’enseignement secondaire du deuxième degré) ? (cfr article 57 du décret 2004)</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color w:val="000000"/>
          <w:szCs w:val="24"/>
        </w:rPr>
        <w:t>La délivrance du certificat de qualification peut être complétée, le cas échéant, par la délivrance d’un certificat d'enseignement secondaire du deuxième degré (CE2D), délivré par le Conseil de classe aux élèves qu'il juge capables de poursuivre leurs études en cinquième année de l'enseignement secondaire professionnel ordinaire. Ce certificat est équivalent à celui qui est délivré aux élèves de l'enseignement secondaire professionnel ordinaire.</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color w:val="000000"/>
          <w:szCs w:val="24"/>
        </w:rPr>
        <w:t xml:space="preserve">Il est à noter que, même sans avoir obtenu ce CE2D, un élève titulaire du seul CQ de l’enseignement spécialisé peut être inscrit en 5P dans l’enseignement ordinaire (cfr tableaux de passage de l’enseignement spécialisé vers l’enseignement ordinaire).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color w:val="000000"/>
          <w:szCs w:val="24"/>
        </w:rPr>
        <w:t>Lorsqu’il délivre un CE2D en complément du CQ, le Conseil de classe encourage donc l’élève à s’inscrire en 5P dans l’enseignement ordinaire.</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6) Que signifie CE2D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Le CE2D signifie </w:t>
      </w:r>
      <w:r>
        <w:rPr>
          <w:rFonts w:ascii="Cambria" w:eastAsia="Times New Roman" w:hAnsi="Cambria"/>
          <w:b/>
          <w:spacing w:val="2"/>
          <w:szCs w:val="24"/>
        </w:rPr>
        <w:t xml:space="preserve">certificat d'enseignement secondaire du deuxième degré. </w:t>
      </w:r>
    </w:p>
    <w:p w:rsidR="00F04EEF" w:rsidRDefault="00F04EEF">
      <w:pPr>
        <w:suppressAutoHyphens/>
        <w:autoSpaceDE w:val="0"/>
        <w:autoSpaceDN w:val="0"/>
        <w:adjustRightInd w:val="0"/>
        <w:jc w:val="both"/>
        <w:rPr>
          <w:rFonts w:ascii="Cambria" w:eastAsia="Times New Roman" w:hAnsi="Cambria"/>
          <w:spacing w:val="2"/>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b/>
          <w:spacing w:val="2"/>
          <w:szCs w:val="24"/>
        </w:rPr>
        <w:t>7) Que signifie CESS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b/>
          <w:spacing w:val="2"/>
          <w:szCs w:val="24"/>
        </w:rPr>
        <w:t>Le CESS signifie certificat d’enseignement secondaire supérieur.</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b/>
          <w:spacing w:val="2"/>
          <w:szCs w:val="24"/>
        </w:rPr>
        <w:t>8) Est-ce que le CQ, CESS, CESI, CE2D sont des diplômes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b/>
          <w:spacing w:val="2"/>
          <w:szCs w:val="24"/>
        </w:rPr>
        <w:t>Tous ces documents sont des diplômes.</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pacing w:val="2"/>
          <w:szCs w:val="24"/>
        </w:rPr>
        <w:t>9) Quelles sont les conditions afin d’obtenir son CESS via des études de Promotion sociale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pacing w:val="2"/>
          <w:szCs w:val="24"/>
        </w:rPr>
        <w:t>Il y a deux possibilités :</w:t>
      </w:r>
    </w:p>
    <w:p w:rsidR="00F04EEF" w:rsidRDefault="0099351E">
      <w:pPr>
        <w:numPr>
          <w:ilvl w:val="0"/>
          <w:numId w:val="3"/>
        </w:numPr>
        <w:tabs>
          <w:tab w:val="clear" w:pos="357"/>
        </w:tabs>
        <w:autoSpaceDE w:val="0"/>
        <w:autoSpaceDN w:val="0"/>
        <w:adjustRightInd w:val="0"/>
        <w:ind w:left="426" w:hanging="426"/>
        <w:jc w:val="both"/>
        <w:rPr>
          <w:rFonts w:ascii="Tms Rmn" w:eastAsia="Times New Roman" w:cs="Calibri"/>
          <w:sz w:val="20"/>
          <w:szCs w:val="24"/>
          <w:lang w:eastAsia="fr-BE"/>
        </w:rPr>
      </w:pPr>
      <w:r>
        <w:rPr>
          <w:rFonts w:ascii="Cambria" w:eastAsia="Times New Roman" w:hAnsi="Cambria" w:cs="Cambria"/>
          <w:lang w:eastAsia="fr-BE"/>
        </w:rPr>
        <w:t>Suivre et réussir la section « C.E.S.S. – Humanités générales » organisée par certains établissements d’Enseignement de promotion sociale (E.P.S.), le titre délivré est le C.E.S.S. – Humanités générales, correspondant à celui de l’enseignement de plein exercice ;</w:t>
      </w:r>
    </w:p>
    <w:p w:rsidR="00F04EEF" w:rsidRDefault="0099351E">
      <w:pPr>
        <w:numPr>
          <w:ilvl w:val="0"/>
          <w:numId w:val="3"/>
        </w:numPr>
        <w:tabs>
          <w:tab w:val="clear" w:pos="357"/>
        </w:tabs>
        <w:autoSpaceDE w:val="0"/>
        <w:autoSpaceDN w:val="0"/>
        <w:adjustRightInd w:val="0"/>
        <w:ind w:left="426" w:hanging="426"/>
        <w:jc w:val="both"/>
        <w:rPr>
          <w:rFonts w:ascii="Tms Rmn" w:eastAsia="Times New Roman" w:cs="Calibri"/>
          <w:sz w:val="20"/>
          <w:szCs w:val="24"/>
          <w:lang w:eastAsia="fr-BE"/>
        </w:rPr>
      </w:pPr>
      <w:r>
        <w:rPr>
          <w:rFonts w:ascii="Cambria" w:eastAsia="Times New Roman" w:hAnsi="Cambria" w:cs="Cambria"/>
          <w:lang w:eastAsia="fr-BE"/>
        </w:rPr>
        <w:t>Pour les titulaires de certains certificats de qualification, suivre les cours  de la section « Complément de formation générale en vue de l’obtention du certificat correspondant au C.E.S.S. »</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10) En quoi le modèle du certificat de qualification de forme 3 de plein exercice est-il différent de celui de l’alternance ?</w: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05408" behindDoc="0" locked="0" layoutInCell="1" allowOverlap="1">
                <wp:simplePos x="0" y="0"/>
                <wp:positionH relativeFrom="column">
                  <wp:posOffset>6276975</wp:posOffset>
                </wp:positionH>
                <wp:positionV relativeFrom="paragraph">
                  <wp:posOffset>167005</wp:posOffset>
                </wp:positionV>
                <wp:extent cx="0" cy="247650"/>
                <wp:effectExtent l="0" t="0" r="19050" b="19050"/>
                <wp:wrapNone/>
                <wp:docPr id="574" name="Connecteur droit 574"/>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50CAB5C" id="Connecteur droit 574" o:spid="_x0000_s1026" style="position:absolute;z-index:25230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25pt,13.15pt" to="494.2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" strokecolor="black [3213]"/>
            </w:pict>
          </mc:Fallback>
        </mc:AlternateContent>
      </w:r>
      <w:r>
        <w:rPr>
          <w:rFonts w:ascii="Cambria" w:eastAsia="Times New Roman" w:hAnsi="Cambria" w:cs="Calibri"/>
          <w:szCs w:val="24"/>
        </w:rPr>
        <w:t>Tout d’abord, son titre sera différent puisqu’il faut différencier le plein exercice de l’alternance. Ensuite, au niveau du corps de texte, le nom du CEFA qui collabore avec votre établissement est indiqué. Enfin, le représentant du CEFA signe le certificat de qualification.</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11) Où peut-on trouver les informations exactes concernant la dénomination et le siège de l’établissement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A l’adresse suivante : </w:t>
      </w:r>
      <w:hyperlink r:id="rId306" w:history="1">
        <w:r>
          <w:rPr>
            <w:rFonts w:ascii="Cambria" w:eastAsia="Times New Roman" w:hAnsi="Cambria" w:cs="Calibri"/>
            <w:color w:val="0000FF"/>
            <w:szCs w:val="24"/>
            <w:u w:val="single"/>
          </w:rPr>
          <w:t>http://www.am.cfwb.be</w:t>
        </w:r>
      </w:hyperlink>
      <w:r>
        <w:rPr>
          <w:rFonts w:ascii="Cambria" w:eastAsia="Times New Roman" w:hAnsi="Cambria" w:cs="Calibri"/>
          <w:szCs w:val="24"/>
        </w:rPr>
        <w:t xml:space="preserve"> , en indiquant votre numéro FASE.</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Lorsque l’on mentionne la dénomination de l’établissement, il s’agit de l’appellation officielle de l’école et pas le nom usuel.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12) Pourquoi dois-je envoyer une copie de la carte d’identité, du passeport ou du titre de séjour des élèves ayant obtenu leur CQ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La carte d’identité, le passeport ou le titre de séjour indiquent clairement les noms, prénoms, date de naissance et lieu de naissance des élèves.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Ces informations nous sont nécessaires afin de vérifier le certificat de qualification et le procès-verbal.</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13) Que dois-je faire/indiquer sur le PV si j’ai un membre du jury (Président ou membre extérieur ou non) qui est empêché de signer pour cause de pension/maladie/de congé à l’étranger, de décès, ou s’il a démissionné, etc.</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Dans tous les cas de figure possible, il conviendra d’indiquer au regard du nom et prénom du membre du jury empêché (dont le Président) soit « absent », « excusé », ou encore « décédé » mais en aucun cas cela ne devra figurer sur le CQ.</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Si un membre du jury a pris sa pension et/ou qu’il vit trop loin de l’établissement (à l’étranger, autre commune, etc.), il conviendra d’indiquer « absent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Si un membre du jury est malade ou qu’il a prévenu de son absence, il conviendra d’indiquer « excusé ». Il n’est pas nécessaire d’envoyer le certificat médical couvrant la maladie de l’intéressé, ni le mot d’excuse.</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Si c’est le Président du jury qui est empêché, il convient de faire signer son remplaçant tel que précisé sur la composition du jury.</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14) Est-ce que je dois vraiment vous envoyer le PV et la Composition du Jury de qualification (CJQ) en double exemplaire originaux ? A quoi cela sert-il ? Je peux scanner le second document?</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Oui, vous devez renvoyer ces 2 documents </w:t>
      </w:r>
      <w:r>
        <w:rPr>
          <w:rFonts w:ascii="Cambria" w:eastAsia="Times New Roman" w:hAnsi="Cambria" w:cs="Calibri"/>
          <w:b/>
          <w:szCs w:val="24"/>
          <w:u w:val="single"/>
        </w:rPr>
        <w:t>en double exemplaire originaux</w:t>
      </w:r>
      <w:r>
        <w:rPr>
          <w:rFonts w:ascii="Cambria" w:eastAsia="Times New Roman" w:hAnsi="Cambria" w:cs="Calibri"/>
          <w:szCs w:val="24"/>
        </w:rPr>
        <w:t>.</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Vous ne pouvez pas scanner les signatures et/ou les documents. Les signatures scannées ne sont pas autorisées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Ces documents nous sont utiles car nous en gardons une copie originale dans nos archives.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15) Est-ce que je dois rédiger un PV par élève ou par métier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Il convient de rédiger un procès-verbal par métier.</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16) Est-ce que je dois rédiger un PV pour les élèves ayant obtenu leur certificat de qualification et un autre PV pour les élèves n’ayant pas obtenu leur certificat de qualification?</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Non, le modèle mis à votre disposition prévoit que vous indiquiez d’une part, la liste des élèves ayant obtenu leur CQ et d’autre part, les élèves ne l’ayant pas obtenu sur un seul et même document.</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rPr>
          <w:rFonts w:ascii="Cambria" w:eastAsia="Times New Roman" w:hAnsi="Cambria" w:cs="Calibri"/>
          <w:b/>
          <w:szCs w:val="24"/>
        </w:rPr>
      </w:pPr>
      <w:r>
        <w:rPr>
          <w:rFonts w:ascii="Cambria" w:eastAsia="Times New Roman" w:hAnsi="Cambria" w:cs="Calibri"/>
          <w:b/>
          <w:szCs w:val="24"/>
        </w:rPr>
        <w:br w:type="page"/>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17) Où puis-je trouver la liste des métiers correctement orthographiés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bCs/>
          <w:szCs w:val="24"/>
        </w:rPr>
        <w:t xml:space="preserve">Au sein de l’Arrêté du Gouvernement de la Communauté française du  26 août 2010 portant des mesures d'application des articles 55 et 342 du décret du 3 mars 2004 organisant l'enseignement spécialisé. Par ailleurs, ce document peut vous être envoyé sur demande à l’adresse </w:t>
      </w:r>
      <w:hyperlink r:id="rId307" w:history="1">
        <w:r>
          <w:rPr>
            <w:rFonts w:ascii="Cambria" w:eastAsia="Times New Roman" w:hAnsi="Cambria"/>
            <w:bCs/>
            <w:color w:val="0000FF"/>
            <w:szCs w:val="24"/>
            <w:u w:val="single"/>
          </w:rPr>
          <w:t>CQspecialise@cfwb.be</w:t>
        </w:r>
      </w:hyperlink>
      <w:r>
        <w:rPr>
          <w:rFonts w:ascii="Cambria" w:eastAsia="Times New Roman" w:hAnsi="Cambria"/>
          <w:bCs/>
          <w:szCs w:val="24"/>
        </w:rPr>
        <w:t xml:space="preserve"> mais il est également à votre disposition à </w:t>
      </w:r>
      <w:hyperlink w:anchor="_Annexe_15_:" w:history="1">
        <w:r>
          <w:rPr>
            <w:rStyle w:val="Lienhypertexte"/>
            <w:rFonts w:ascii="Cambria" w:eastAsia="Times New Roman" w:hAnsi="Cambria" w:cstheme="minorBidi"/>
            <w:bCs/>
            <w:szCs w:val="24"/>
          </w:rPr>
          <w:t>l’annexe 21</w:t>
        </w:r>
      </w:hyperlink>
      <w:r>
        <w:rPr>
          <w:rFonts w:ascii="Cambria" w:eastAsia="Times New Roman" w:hAnsi="Cambria"/>
          <w:bCs/>
          <w:szCs w:val="24"/>
        </w:rPr>
        <w:t xml:space="preserve"> du chapitre 26 de la  circulaire de rentrée.</w:t>
      </w:r>
    </w:p>
    <w:p w:rsidR="00F04EEF" w:rsidRDefault="00F04EEF">
      <w:pPr>
        <w:suppressAutoHyphens/>
        <w:autoSpaceDE w:val="0"/>
        <w:autoSpaceDN w:val="0"/>
        <w:adjustRightInd w:val="0"/>
        <w:jc w:val="both"/>
        <w:rPr>
          <w:rFonts w:ascii="Cambria" w:eastAsia="Times New Roman" w:hAnsi="Cambria"/>
          <w:bCs/>
          <w:szCs w:val="24"/>
          <w:shd w:val="clear" w:color="auto" w:fill="B4FC88"/>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18) Est-ce que je dois rédiger un PV et une CJQ pour les filles et un autre PV et un autre CQJ pour les garçons ? Comment dois-je écrire le nom du métier féminisé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Un seul document suffit tant pour le procès-verbal que pour la composition du jury de qualification.</w: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07456" behindDoc="0" locked="0" layoutInCell="1" allowOverlap="1">
                <wp:simplePos x="0" y="0"/>
                <wp:positionH relativeFrom="column">
                  <wp:posOffset>6343650</wp:posOffset>
                </wp:positionH>
                <wp:positionV relativeFrom="paragraph">
                  <wp:posOffset>163195</wp:posOffset>
                </wp:positionV>
                <wp:extent cx="0" cy="247650"/>
                <wp:effectExtent l="0" t="0" r="19050" b="19050"/>
                <wp:wrapNone/>
                <wp:docPr id="575" name="Connecteur droit 575"/>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65EE074" id="Connecteur droit 575" o:spid="_x0000_s1026" style="position:absolute;z-index:25230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2.85pt" to="499.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" strokecolor="black [3213]"/>
            </w:pict>
          </mc:Fallback>
        </mc:AlternateContent>
      </w:r>
      <w:r>
        <w:rPr>
          <w:rFonts w:ascii="Cambria" w:eastAsia="Times New Roman" w:hAnsi="Cambria" w:cs="Calibri"/>
          <w:szCs w:val="24"/>
        </w:rPr>
        <w:t>Vous avez deux façons d’indiquer le nom du métier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1</w:t>
      </w:r>
      <w:r>
        <w:rPr>
          <w:rFonts w:ascii="Cambria" w:eastAsia="Times New Roman" w:hAnsi="Cambria" w:cs="Calibri"/>
          <w:szCs w:val="24"/>
          <w:vertAlign w:val="superscript"/>
        </w:rPr>
        <w:t>ère</w:t>
      </w:r>
      <w:r>
        <w:rPr>
          <w:rFonts w:ascii="Cambria" w:eastAsia="Times New Roman" w:hAnsi="Cambria" w:cs="Calibri"/>
          <w:szCs w:val="24"/>
        </w:rPr>
        <w:t xml:space="preserve"> manière : ex : Jardinier d’entretien- Jardinière d’entretien</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2</w:t>
      </w:r>
      <w:r>
        <w:rPr>
          <w:rFonts w:ascii="Cambria" w:eastAsia="Times New Roman" w:hAnsi="Cambria" w:cs="Calibri"/>
          <w:szCs w:val="24"/>
          <w:vertAlign w:val="superscript"/>
        </w:rPr>
        <w:t>ème</w:t>
      </w:r>
      <w:r>
        <w:rPr>
          <w:rFonts w:ascii="Cambria" w:eastAsia="Times New Roman" w:hAnsi="Cambria" w:cs="Calibri"/>
          <w:szCs w:val="24"/>
        </w:rPr>
        <w:t xml:space="preserve"> manière : ex : Jardinier(ère) d’entretien</w: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09504" behindDoc="0" locked="0" layoutInCell="1" allowOverlap="1">
                <wp:simplePos x="0" y="0"/>
                <wp:positionH relativeFrom="column">
                  <wp:posOffset>6343650</wp:posOffset>
                </wp:positionH>
                <wp:positionV relativeFrom="paragraph">
                  <wp:posOffset>206375</wp:posOffset>
                </wp:positionV>
                <wp:extent cx="0" cy="152400"/>
                <wp:effectExtent l="0" t="0" r="19050" b="19050"/>
                <wp:wrapNone/>
                <wp:docPr id="128" name="Connecteur droit 128"/>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D4A1851" id="Connecteur droit 128" o:spid="_x0000_s1026" style="position:absolute;z-index:25230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6.25pt" to="499.5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" strokecolor="black [3213]"/>
            </w:pict>
          </mc:Fallback>
        </mc:AlternateConten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19) J’ai plusieurs questions à poser sur la rédaction des CJQ et des PV. Comment dois-je m’y prendre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Vous pouvez  soit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1) nous envoyer vos questions à l’adresse </w:t>
      </w:r>
      <w:hyperlink r:id="rId308" w:history="1">
        <w:r>
          <w:rPr>
            <w:rFonts w:ascii="Cambria" w:eastAsia="Times New Roman" w:hAnsi="Cambria" w:cs="Calibri"/>
            <w:color w:val="0000FF"/>
            <w:szCs w:val="24"/>
            <w:u w:val="single"/>
          </w:rPr>
          <w:t>CQspecialise@cfwb.be</w:t>
        </w:r>
      </w:hyperlink>
      <w:r>
        <w:rPr>
          <w:rFonts w:ascii="Cambria" w:eastAsia="Times New Roman" w:hAnsi="Cambria" w:cs="Calibri"/>
          <w:szCs w:val="24"/>
        </w:rPr>
        <w:t>, (en n’oubliant pas d’indiquer votre numéro FASE)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2) nous téléphoner au 02/413.26.36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3) ou demander à prendre un rendez-vous avec le gestionnaire de votre dossier via l’adresse mail générique.</w: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11552" behindDoc="0" locked="0" layoutInCell="1" allowOverlap="1">
                <wp:simplePos x="0" y="0"/>
                <wp:positionH relativeFrom="column">
                  <wp:posOffset>6343650</wp:posOffset>
                </wp:positionH>
                <wp:positionV relativeFrom="paragraph">
                  <wp:posOffset>170180</wp:posOffset>
                </wp:positionV>
                <wp:extent cx="0" cy="152400"/>
                <wp:effectExtent l="0" t="0" r="19050" b="19050"/>
                <wp:wrapNone/>
                <wp:docPr id="129" name="Connecteur droit 12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E432C47" id="Connecteur droit 129" o:spid="_x0000_s1026" style="position:absolute;z-index:25231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3.4pt" to="499.5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" strokecolor="black [3213]"/>
            </w:pict>
          </mc:Fallback>
        </mc:AlternateConten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20) Puis-je venir déposer mes PV et CJQ et autres documents directement à l’Administration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Oui, vous le pouvez. Toutefois, prenez un rendez-vous avec le gestionnaire de votre dossier  afin que les documents ne s’égarent pas et ne soient pas remis à une tierce personne.</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21) Je voudrais que vous puissiez regarder mes PV et CJQ avant de demander les signatures des membres du jury. Est-ce que c’est possible ? Comment m’y prendre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L’adresse générique </w:t>
      </w:r>
      <w:hyperlink r:id="rId309" w:history="1">
        <w:r>
          <w:rPr>
            <w:rFonts w:ascii="Cambria" w:eastAsia="Times New Roman" w:hAnsi="Cambria" w:cs="Calibri"/>
            <w:color w:val="0000FF"/>
            <w:szCs w:val="24"/>
            <w:u w:val="single"/>
          </w:rPr>
          <w:t>CQspecialise@cfwb.be</w:t>
        </w:r>
      </w:hyperlink>
      <w:r>
        <w:rPr>
          <w:rFonts w:ascii="Cambria" w:eastAsia="Times New Roman" w:hAnsi="Cambria" w:cs="Calibri"/>
          <w:szCs w:val="24"/>
        </w:rPr>
        <w:t xml:space="preserve"> est à votre disposition.</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NB 1: n’oubliez pas d’indiquer votre numéro FASE en objet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Vous pouvez envoyer un modèle de procès-verbal et un modèle de la composition du jury de qualification. Votre mail peut comporter également toutes les questions que vous souhaiteriez pouvoir nous poser.</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NB 2: un seul modèle suffit.</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Vous pouvez également demander un rendez-vous afin que le gestionnaire de votre dossier puisse analyser avec vous vos documents et répondre à vos questions.</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22) Est-ce que je dois envoyer les procès-verbaux et les compositions de jury de qualification pour valider mes certificats de qualification en alternance ?</w: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13600" behindDoc="0" locked="0" layoutInCell="1" allowOverlap="1">
                <wp:simplePos x="0" y="0"/>
                <wp:positionH relativeFrom="column">
                  <wp:posOffset>6343650</wp:posOffset>
                </wp:positionH>
                <wp:positionV relativeFrom="paragraph">
                  <wp:posOffset>175260</wp:posOffset>
                </wp:positionV>
                <wp:extent cx="0" cy="152400"/>
                <wp:effectExtent l="0" t="0" r="19050" b="19050"/>
                <wp:wrapNone/>
                <wp:docPr id="130" name="Connecteur droit 130"/>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C3DAA92" id="Connecteur droit 130" o:spid="_x0000_s1026" style="position:absolute;z-index:25231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3.8pt" to="499.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" strokecolor="black [3213]"/>
            </w:pict>
          </mc:Fallback>
        </mc:AlternateContent>
      </w:r>
      <w:r>
        <w:rPr>
          <w:rFonts w:ascii="Cambria" w:eastAsia="Times New Roman" w:hAnsi="Cambria" w:cs="Calibri"/>
          <w:szCs w:val="24"/>
        </w:rPr>
        <w:t>Oui, la procédure pour l’alternance est totalement identique à celle prévue pour le plein exercice.</w:t>
      </w:r>
    </w:p>
    <w:p w:rsidR="00F04EEF" w:rsidRDefault="0099351E">
      <w:pPr>
        <w:suppressAutoHyphens/>
        <w:autoSpaceDE w:val="0"/>
        <w:autoSpaceDN w:val="0"/>
        <w:adjustRightInd w:val="0"/>
        <w:jc w:val="both"/>
        <w:rPr>
          <w:rFonts w:ascii="Cambria" w:eastAsia="Times New Roman" w:hAnsi="Cambria" w:cs="Calibri"/>
          <w:color w:val="FF0000"/>
          <w:szCs w:val="24"/>
        </w:rPr>
      </w:pPr>
      <w:r>
        <w:rPr>
          <w:rFonts w:ascii="Cambria" w:eastAsia="Times New Roman" w:hAnsi="Cambria" w:cs="Calibri"/>
          <w:szCs w:val="24"/>
        </w:rPr>
        <w:t>Les CJQ doivent être transmises pour le 15 novembre et les PV au terme des qualifications.</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15648" behindDoc="0" locked="0" layoutInCell="1" allowOverlap="1">
                <wp:simplePos x="0" y="0"/>
                <wp:positionH relativeFrom="column">
                  <wp:posOffset>6343650</wp:posOffset>
                </wp:positionH>
                <wp:positionV relativeFrom="paragraph">
                  <wp:posOffset>168910</wp:posOffset>
                </wp:positionV>
                <wp:extent cx="0" cy="466725"/>
                <wp:effectExtent l="0" t="0" r="19050" b="28575"/>
                <wp:wrapNone/>
                <wp:docPr id="131" name="Connecteur droit 131"/>
                <wp:cNvGraphicFramePr/>
                <a:graphic xmlns:a="http://schemas.openxmlformats.org/drawingml/2006/main">
                  <a:graphicData uri="http://schemas.microsoft.com/office/word/2010/wordprocessingShape">
                    <wps:wsp>
                      <wps:cNvCnPr/>
                      <wps:spPr>
                        <a:xfrm>
                          <a:off x="0" y="0"/>
                          <a:ext cx="0" cy="4667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6E1AEBF" id="Connecteur droit 131" o:spid="_x0000_s1026" style="position:absolute;z-index:25231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3.3pt" to="499.5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" strokecolor="black [3213]"/>
            </w:pict>
          </mc:Fallback>
        </mc:AlternateContent>
      </w:r>
      <w:r>
        <w:rPr>
          <w:rFonts w:ascii="Cambria" w:eastAsia="Times New Roman" w:hAnsi="Cambria" w:cs="Calibri"/>
          <w:b/>
          <w:szCs w:val="24"/>
        </w:rPr>
        <w:t>23) Si l’élève est né dans un pays étranger, est-ce que cela doit apparaitre sur le PV ?</w:t>
      </w:r>
    </w:p>
    <w:p w:rsidR="00F04EEF" w:rsidRDefault="0099351E">
      <w:pPr>
        <w:suppressAutoHyphens/>
        <w:autoSpaceDE w:val="0"/>
        <w:autoSpaceDN w:val="0"/>
        <w:adjustRightInd w:val="0"/>
        <w:jc w:val="both"/>
        <w:rPr>
          <w:rFonts w:ascii="Cambria" w:eastAsia="Times New Roman" w:hAnsi="Cambria"/>
          <w:b/>
          <w:szCs w:val="24"/>
        </w:rPr>
      </w:pPr>
      <w:r>
        <w:rPr>
          <w:rFonts w:ascii="Cambria" w:eastAsia="Times New Roman" w:hAnsi="Cambria" w:cs="Calibri"/>
          <w:szCs w:val="24"/>
        </w:rPr>
        <w:t>Oui, si l’élève est né dans un pays étranger, il convient d’indiquer celui-ci par notation entre parenthèses, du sigle de nationalité prévu pour ce pays sur la liste figurant à l’</w:t>
      </w:r>
      <w:r>
        <w:rPr>
          <w:rFonts w:ascii="Cambria" w:eastAsia="Times New Roman" w:hAnsi="Cambria"/>
          <w:b/>
          <w:szCs w:val="24"/>
        </w:rPr>
        <w:t>annexe 20 du présent chapitre</w:t>
      </w:r>
      <w:r>
        <w:rPr>
          <w:rFonts w:ascii="Cambria" w:eastAsia="Times New Roman" w:hAnsi="Cambria" w:cs="Calibri"/>
          <w:b/>
          <w:szCs w:val="24"/>
        </w:rPr>
        <w:t xml:space="preserve"> </w:t>
      </w:r>
      <w:r>
        <w:rPr>
          <w:rFonts w:ascii="Cambria" w:eastAsia="Times New Roman" w:hAnsi="Cambria" w:cs="Calibri"/>
          <w:szCs w:val="24"/>
        </w:rPr>
        <w:t>pour le plein exercice et à l’</w:t>
      </w:r>
      <w:r>
        <w:rPr>
          <w:rFonts w:ascii="Cambria" w:eastAsia="Times New Roman" w:hAnsi="Cambria" w:cs="Calibri"/>
          <w:b/>
          <w:szCs w:val="24"/>
        </w:rPr>
        <w:t xml:space="preserve">annexe 22 du chapitre 28 </w:t>
      </w:r>
      <w:r>
        <w:rPr>
          <w:rFonts w:ascii="Cambria" w:eastAsia="Times New Roman" w:hAnsi="Cambria" w:cs="Calibri"/>
          <w:szCs w:val="24"/>
        </w:rPr>
        <w:t>pour l’alternance.</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24) L’élève est né en Belgique, est-ce que je dois indiquer entre parenthèses le sigle de la nationalité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Non, puisque cette directive ne concerne que les élèves qui seraient nés en dehors de la Belgique.</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 xml:space="preserve">25) Je suis chef d’atelier/secrétaire au sein de l’école X et je n’ai pas reçu votre bulletin d’information qui m’aurait aidé dans la rédaction des documents.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Pourquoi ne pas nous les envoyer à nous plutôt qu’à la Direction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L’Administration est tenue d’envoyer ce type d’information sur l’adresse mail administrative de l’établissement (à savoir : </w:t>
      </w:r>
      <w:hyperlink r:id="rId310" w:history="1">
        <w:r>
          <w:rPr>
            <w:rFonts w:ascii="Cambria" w:eastAsia="Times New Roman" w:hAnsi="Cambria" w:cs="Calibri"/>
            <w:color w:val="0000FF"/>
            <w:szCs w:val="24"/>
            <w:u w:val="single"/>
          </w:rPr>
          <w:t>ecXXXXXX@adm.cfwb.be</w:t>
        </w:r>
      </w:hyperlink>
      <w:r>
        <w:rPr>
          <w:rFonts w:ascii="Cambria" w:eastAsia="Times New Roman" w:hAnsi="Cambria" w:cs="Calibri"/>
          <w:szCs w:val="24"/>
        </w:rPr>
        <w:t xml:space="preserv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NB : Il est de la responsabilité de l’école de vous transférer ledit mail et d’en assurer le suivi.</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26) Pourquoi est-ce que les signatures colorées des membres du jury ne sont pas autorisées ? Tant que le document est signé, où est le problème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Le certificat de qualification et le procès-verbal sont deux documents officiels qui nécessitent une attention particulière. Les signatures au bic bleu et/ou noir sont uniquement autorisées.</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27) Mon école organise à la fois la forme 3 et la forme 4. Je suis perdu quant aux consignes de rédactions et les différentes réglementations en vigueur. Comment faire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Tout d’abord, sachez que la personne de contact pour la forme 3 et la forme 4 de votre école est Madame Marie BORMANN, 02/413.26.36.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Ensuite, vous trouverez les directives et instructions de rédactions afférentes à la forme 3 de plein exercice ET à la forme 3 et à la forme 4 en alternance au sein de la présente circulaire.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Concernant la forme 4, vous ne les trouverez pas au sein de la présente circulaire.  Il n’existe pas de réglementation propre à l’enseignement secondaire spécialisé de forme 4. Dès lors, il convient de vous conformer aux instructions se rapportant à l’enseignement secondaire ordinaire.</w:t>
      </w:r>
      <w:r>
        <w:rPr>
          <w:rFonts w:ascii="Georgia" w:eastAsia="Times New Roman" w:hAnsi="Georgia" w:cs="Georgia"/>
          <w:szCs w:val="24"/>
        </w:rPr>
        <w:t xml:space="preserv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NB : n’oubliez pas d’indiquer votre numéro FASE en objet !</w:t>
      </w:r>
    </w:p>
    <w:p w:rsidR="00F04EEF" w:rsidRDefault="00F04EEF">
      <w:pPr>
        <w:suppressAutoHyphens/>
        <w:autoSpaceDE w:val="0"/>
        <w:autoSpaceDN w:val="0"/>
        <w:adjustRightInd w:val="0"/>
        <w:jc w:val="both"/>
        <w:rPr>
          <w:rFonts w:ascii="Cambria" w:eastAsia="Times New Roman" w:hAnsi="Cambria" w:cs="Calibri"/>
          <w:b/>
          <w:szCs w:val="24"/>
        </w:rPr>
      </w:pP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17696" behindDoc="0" locked="0" layoutInCell="1" allowOverlap="1">
                <wp:simplePos x="0" y="0"/>
                <wp:positionH relativeFrom="column">
                  <wp:posOffset>6286500</wp:posOffset>
                </wp:positionH>
                <wp:positionV relativeFrom="paragraph">
                  <wp:posOffset>464820</wp:posOffset>
                </wp:positionV>
                <wp:extent cx="0" cy="152400"/>
                <wp:effectExtent l="0" t="0" r="19050" b="19050"/>
                <wp:wrapNone/>
                <wp:docPr id="132" name="Connecteur droit 132"/>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EF4D1C3" id="Connecteur droit 132" o:spid="_x0000_s1026" style="position:absolute;z-index:25231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36.6pt" to="49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" strokecolor="black [3213]"/>
            </w:pict>
          </mc:Fallback>
        </mc:AlternateContent>
      </w:r>
      <w:r>
        <w:rPr>
          <w:rFonts w:ascii="Cambria" w:eastAsia="Times New Roman" w:hAnsi="Cambria" w:cs="Calibri"/>
          <w:b/>
          <w:szCs w:val="24"/>
        </w:rPr>
        <w:t>28) Est-ce que je dois vraiment féminiser tous les termes comme chef, professeur, sculpteur, etc. ? Pourquoi demande-t-on cela maintenant ? Où puis-je trouver la féminisation des métiers, si j’ai un doute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Oui, vous devez féminiser tous ces termes tant sur le procès-verbal que sur la composition du jury de qualification.</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L’orthographe des noms des métiers peut être consultée au sein de la brochure émise par la Fédération Wallonie-Bruxelles et qui s’intitule « guide de féminisation des noms de métier, fonction, grade ou titre » dont fait référence la circulaire </w:t>
      </w:r>
      <w:hyperlink r:id="rId311" w:history="1">
        <w:r>
          <w:rPr>
            <w:rFonts w:ascii="Cambria" w:eastAsia="Times New Roman" w:hAnsi="Cambria"/>
            <w:color w:val="0000FF"/>
            <w:szCs w:val="24"/>
            <w:u w:val="single"/>
          </w:rPr>
          <w:t>n° 1099 du 19 avril 2005 relative au guide de féminisation des noms de métier, fonction, grade ou titre.</w:t>
        </w:r>
      </w:hyperlink>
    </w:p>
    <w:p w:rsidR="00F04EEF" w:rsidRDefault="00F04EEF">
      <w:pPr>
        <w:suppressAutoHyphens/>
        <w:autoSpaceDE w:val="0"/>
        <w:autoSpaceDN w:val="0"/>
        <w:adjustRightInd w:val="0"/>
        <w:jc w:val="both"/>
        <w:rPr>
          <w:rFonts w:ascii="Cambria" w:eastAsia="Times New Roman" w:hAnsi="Cambria" w:cs="Calibri"/>
          <w:color w:val="00B0F0"/>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29) Un ancien élève a perdu son certificat de qualification ? Je voudrais lui rédiger un duplicata, comment dois-je procéder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Dans l’enseignement spécialisé, il n’y a pas de duplicata possible. </w: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19744" behindDoc="0" locked="0" layoutInCell="1" allowOverlap="1">
                <wp:simplePos x="0" y="0"/>
                <wp:positionH relativeFrom="column">
                  <wp:posOffset>6286500</wp:posOffset>
                </wp:positionH>
                <wp:positionV relativeFrom="paragraph">
                  <wp:posOffset>102235</wp:posOffset>
                </wp:positionV>
                <wp:extent cx="0" cy="304800"/>
                <wp:effectExtent l="0" t="0" r="19050" b="19050"/>
                <wp:wrapNone/>
                <wp:docPr id="148" name="Connecteur droit 148"/>
                <wp:cNvGraphicFramePr/>
                <a:graphic xmlns:a="http://schemas.openxmlformats.org/drawingml/2006/main">
                  <a:graphicData uri="http://schemas.microsoft.com/office/word/2010/wordprocessingShape">
                    <wps:wsp>
                      <wps:cNvCnPr/>
                      <wps:spPr>
                        <a:xfrm>
                          <a:off x="0" y="0"/>
                          <a:ext cx="0" cy="30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40F90DA" id="Connecteur droit 148" o:spid="_x0000_s1026" style="position:absolute;z-index:25231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8.05pt" to="495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" strokecolor="black [3213]"/>
            </w:pict>
          </mc:Fallback>
        </mc:AlternateContent>
      </w:r>
      <w:r>
        <w:rPr>
          <w:rFonts w:ascii="Cambria" w:eastAsia="Times New Roman" w:hAnsi="Cambria" w:cs="Calibri"/>
          <w:szCs w:val="24"/>
        </w:rPr>
        <w:t xml:space="preserve">Il s’agit, en fait, d’une attestation de déclaration de perte du certificat de qualification que l’école de départ doit rédiger dont le modèle figure à l’annexe 10 de la présente circulaire pour la forme 3 de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plein exercice ET à l’annexe 6 du chapitre 28 pour la forme 3 en alternance et l’envoyer à l’Administration afin que nous apposions le Sceau du Ministère qui validera le document.</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Une fois validé, le document est renvoyé à la Direction. Celle-ci doit le remettre dans les meilleurs délais à l’élève concerné.</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30) Est-ce que la demande d’attestation de déclaration de perte du certificat de qualification est payante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Non, les démarches ne nécessitent aucun frais pour obtenir une attestation de déclaration de perte. Il ne faut donc rien payer.</w:t>
      </w:r>
      <w:r>
        <w:rPr>
          <w:noProof/>
          <w:lang w:eastAsia="fr-BE"/>
        </w:rPr>
        <w:t xml:space="preserve">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31) Est-ce que l’on doit envoyer l’attestation de déclaration de perte du certificat de qualification par recommandé ?</w: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21792" behindDoc="0" locked="0" layoutInCell="1" allowOverlap="1">
                <wp:simplePos x="0" y="0"/>
                <wp:positionH relativeFrom="column">
                  <wp:posOffset>6286500</wp:posOffset>
                </wp:positionH>
                <wp:positionV relativeFrom="paragraph">
                  <wp:posOffset>67945</wp:posOffset>
                </wp:positionV>
                <wp:extent cx="0" cy="152400"/>
                <wp:effectExtent l="0" t="0" r="19050" b="19050"/>
                <wp:wrapNone/>
                <wp:docPr id="149" name="Connecteur droit 14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D79445B" id="Connecteur droit 149" o:spid="_x0000_s1026" style="position:absolute;z-index:25232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5.35pt" to="495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" strokecolor="black [3213]"/>
            </w:pict>
          </mc:Fallback>
        </mc:AlternateContent>
      </w:r>
      <w:r>
        <w:rPr>
          <w:rFonts w:ascii="Cambria" w:eastAsia="Times New Roman" w:hAnsi="Cambria" w:cs="Calibri"/>
          <w:szCs w:val="24"/>
        </w:rPr>
        <w:t>Non. Mais le document étant un document officiel, il ne peut donc pas être plié et être rédigé sur un papier inapproprié et être altéré par des taches/ratures.</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32) Est-ce qu’il revient à mon établissement d’envoyer l’attestation de déclaration de perte du certificat de qualification d’un ancien élève ? Après tout, c’est lui qui a perdu son CQ.</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 xml:space="preserve">L’introduction de la demande est effectuée par l’élève mais les démarches administratives incombent à l’école. Il s’agit d’un service rendu au public. </w:t>
      </w:r>
    </w:p>
    <w:p w:rsidR="00F04EEF" w:rsidRDefault="00F04EEF">
      <w:pPr>
        <w:suppressAutoHyphens/>
        <w:autoSpaceDE w:val="0"/>
        <w:autoSpaceDN w:val="0"/>
        <w:adjustRightInd w:val="0"/>
        <w:jc w:val="both"/>
        <w:rPr>
          <w:rFonts w:ascii="Cambria" w:eastAsia="Times New Roman" w:hAnsi="Cambria" w:cs="Calibri"/>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b/>
          <w:szCs w:val="24"/>
        </w:rPr>
        <w:t>33) J’ai reçu une demande afin de rédiger des attestations de déclaration de perte de CQ. Je n’ai pas le temps de m’occuper de cela maintenant mais je me demandais s’il y avait des délais afin de vous transférer la demande ?</w:t>
      </w:r>
    </w:p>
    <w:p w:rsidR="00F04EEF" w:rsidRDefault="0099351E">
      <w:pPr>
        <w:suppressAutoHyphens/>
        <w:autoSpaceDE w:val="0"/>
        <w:autoSpaceDN w:val="0"/>
        <w:adjustRightInd w:val="0"/>
        <w:jc w:val="both"/>
        <w:rPr>
          <w:rFonts w:ascii="Cambria" w:eastAsia="Times New Roman" w:hAnsi="Cambria" w:cs="Calibri"/>
          <w:szCs w:val="24"/>
        </w:rPr>
      </w:pPr>
      <w:r>
        <w:rPr>
          <w:rFonts w:ascii="Cambria" w:eastAsia="Times New Roman" w:hAnsi="Cambria" w:cs="Calibri"/>
          <w:szCs w:val="24"/>
        </w:rPr>
        <w:t>Dès qu’une demande d’attestation de déclaration de perte est introduite par un élève, il convient de la rédiger dans des délais les plus brefs. En effet, cette personne, généralement, attend ce document afin de trouver un emploi. Un délai trop important pourrait lui être préjudiciable.</w:t>
      </w:r>
    </w:p>
    <w:p w:rsidR="00F04EEF" w:rsidRDefault="00F04EEF">
      <w:pPr>
        <w:suppressAutoHyphens/>
        <w:autoSpaceDE w:val="0"/>
        <w:autoSpaceDN w:val="0"/>
        <w:adjustRightInd w:val="0"/>
        <w:rPr>
          <w:rFonts w:ascii="Cambria" w:eastAsia="Times New Roman" w:hAnsi="Cambria" w:cs="Calibri"/>
          <w:szCs w:val="24"/>
        </w:rPr>
      </w:pPr>
    </w:p>
    <w:p w:rsidR="00F04EEF" w:rsidRDefault="00F04EEF">
      <w:pPr>
        <w:suppressAutoHyphens/>
        <w:autoSpaceDE w:val="0"/>
        <w:autoSpaceDN w:val="0"/>
        <w:adjustRightInd w:val="0"/>
        <w:rPr>
          <w:rFonts w:ascii="Cambria" w:eastAsia="Times New Roman" w:hAnsi="Cambria" w:cs="Calibri"/>
          <w:szCs w:val="24"/>
        </w:rPr>
      </w:pPr>
    </w:p>
    <w:p w:rsidR="00F04EEF" w:rsidRDefault="0099351E">
      <w:pPr>
        <w:autoSpaceDE w:val="0"/>
        <w:autoSpaceDN w:val="0"/>
        <w:adjustRightInd w:val="0"/>
        <w:outlineLvl w:val="2"/>
        <w:rPr>
          <w:rFonts w:ascii="Cambria" w:hAnsi="Cambria" w:cs="Calibri"/>
          <w:b/>
          <w:sz w:val="24"/>
          <w:szCs w:val="24"/>
          <w:u w:val="single"/>
          <w:lang w:eastAsia="fr-BE"/>
        </w:rPr>
      </w:pPr>
      <w:bookmarkStart w:id="3828" w:name="_Toc47708633"/>
      <w:r>
        <w:rPr>
          <w:rFonts w:ascii="Cambria" w:hAnsi="Cambria" w:cs="Calibri"/>
          <w:b/>
          <w:u w:val="single"/>
          <w:lang w:eastAsia="fr-BE"/>
        </w:rPr>
        <w:t>3. Intitulé des secteurs/groupes/métiers</w:t>
      </w:r>
      <w:bookmarkEnd w:id="3828"/>
    </w:p>
    <w:p w:rsidR="00F04EEF" w:rsidRDefault="00F04EEF">
      <w:pPr>
        <w:suppressAutoHyphens/>
        <w:autoSpaceDE w:val="0"/>
        <w:autoSpaceDN w:val="0"/>
        <w:adjustRightInd w:val="0"/>
        <w:rPr>
          <w:rFonts w:ascii="Cambria" w:eastAsia="Times New Roman" w:hAnsi="Cambria" w:cs="Calibri"/>
          <w:szCs w:val="24"/>
        </w:rPr>
      </w:pPr>
    </w:p>
    <w:p w:rsidR="00F04EEF" w:rsidRDefault="0099351E">
      <w:pPr>
        <w:rPr>
          <w:rFonts w:ascii="Cambria" w:eastAsia="Times New Roman" w:hAnsi="Cambria" w:cs="Calibri"/>
          <w:szCs w:val="24"/>
        </w:rPr>
      </w:pPr>
      <w:r>
        <w:rPr>
          <w:noProof/>
          <w:lang w:eastAsia="fr-BE"/>
        </w:rPr>
        <mc:AlternateContent>
          <mc:Choice Requires="wps">
            <w:drawing>
              <wp:anchor distT="0" distB="0" distL="114300" distR="114300" simplePos="0" relativeHeight="252323840" behindDoc="0" locked="0" layoutInCell="1" allowOverlap="1">
                <wp:simplePos x="0" y="0"/>
                <wp:positionH relativeFrom="column">
                  <wp:posOffset>6210300</wp:posOffset>
                </wp:positionH>
                <wp:positionV relativeFrom="paragraph">
                  <wp:posOffset>85090</wp:posOffset>
                </wp:positionV>
                <wp:extent cx="0" cy="152400"/>
                <wp:effectExtent l="0" t="0" r="19050" b="19050"/>
                <wp:wrapNone/>
                <wp:docPr id="150" name="Connecteur droit 150"/>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94BC2D4" id="Connecteur droit 150" o:spid="_x0000_s1026" style="position:absolute;z-index:25232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9pt,6.7pt" to="489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" strokecolor="black [3213]"/>
            </w:pict>
          </mc:Fallback>
        </mc:AlternateContent>
      </w:r>
      <w:r>
        <w:rPr>
          <w:rFonts w:ascii="Cambria" w:eastAsia="Times New Roman" w:hAnsi="Cambria" w:cs="Calibri"/>
          <w:szCs w:val="24"/>
        </w:rPr>
        <w:t>Vous trouverez la liste en annexe 21</w:t>
      </w:r>
    </w:p>
    <w:p w:rsidR="00F04EEF" w:rsidRDefault="00F04EEF"/>
    <w:p w:rsidR="00F04EEF" w:rsidRDefault="0099351E">
      <w:pPr>
        <w:pStyle w:val="Titre3"/>
        <w:rPr>
          <w:sz w:val="22"/>
          <w:szCs w:val="22"/>
        </w:rPr>
      </w:pPr>
      <w:bookmarkStart w:id="3829" w:name="_Toc47708634"/>
      <w:r>
        <w:rPr>
          <w:sz w:val="22"/>
          <w:szCs w:val="22"/>
        </w:rPr>
        <w:t>4. Annexes</w:t>
      </w:r>
      <w:bookmarkEnd w:id="3829"/>
    </w:p>
    <w:p w:rsidR="00F04EEF" w:rsidRDefault="00F04EEF"/>
    <w:p w:rsidR="00F04EEF" w:rsidRDefault="00F04EEF"/>
    <w:p w:rsidR="00F04EEF" w:rsidRDefault="00F04EEF"/>
    <w:p w:rsidR="00F04EEF" w:rsidRDefault="00F04EEF"/>
    <w:p w:rsidR="00F04EEF" w:rsidRDefault="0099351E">
      <w:pPr>
        <w:rPr>
          <w:rFonts w:ascii="Georgia" w:hAnsi="Georgia"/>
          <w:b/>
          <w:u w:val="single"/>
        </w:rPr>
      </w:pPr>
      <w:r>
        <w:rPr>
          <w:rFonts w:ascii="Georgia" w:hAnsi="Georgia"/>
          <w:b/>
          <w:u w:val="single"/>
        </w:rPr>
        <w:br w:type="page"/>
      </w:r>
    </w:p>
    <w:p w:rsidR="00F04EEF" w:rsidRDefault="0099351E">
      <w:pPr>
        <w:pStyle w:val="Titre4"/>
      </w:pPr>
      <w:r>
        <w:t>Annexe 1 : Attestation de réussite de la première phase</w:t>
      </w:r>
    </w:p>
    <w:p w:rsidR="00F04EEF" w:rsidRDefault="00F04EEF">
      <w:pPr>
        <w:rPr>
          <w:rFonts w:ascii="Georgia" w:hAnsi="Georgia"/>
          <w:sz w:val="16"/>
          <w:szCs w:val="16"/>
        </w:rPr>
      </w:pPr>
    </w:p>
    <w:p w:rsidR="00F04EEF" w:rsidRDefault="0099351E">
      <w:pPr>
        <w:jc w:val="center"/>
        <w:rPr>
          <w:rFonts w:ascii="Georgia" w:hAnsi="Georgia"/>
          <w:b/>
        </w:rPr>
      </w:pPr>
      <w:bookmarkStart w:id="3830" w:name="_Toc515288916"/>
      <w:r>
        <w:rPr>
          <w:rFonts w:ascii="Georgia" w:hAnsi="Georgia"/>
          <w:b/>
        </w:rPr>
        <w:t>COMMUNAUTE FRANÇAISE</w:t>
      </w:r>
      <w:bookmarkEnd w:id="3830"/>
    </w:p>
    <w:p w:rsidR="00F04EEF" w:rsidRDefault="00F04EEF">
      <w:pPr>
        <w:jc w:val="center"/>
        <w:rPr>
          <w:rFonts w:ascii="Georgia" w:hAnsi="Georgia"/>
          <w:b/>
        </w:rPr>
      </w:pPr>
    </w:p>
    <w:p w:rsidR="00F04EEF" w:rsidRDefault="0099351E">
      <w:pPr>
        <w:jc w:val="center"/>
        <w:rPr>
          <w:rFonts w:ascii="Georgia" w:hAnsi="Georgia"/>
        </w:rPr>
      </w:pPr>
      <w:bookmarkStart w:id="3831" w:name="_Toc515288917"/>
      <w:r>
        <w:rPr>
          <w:rFonts w:ascii="Georgia" w:hAnsi="Georgia"/>
          <w:b/>
          <w:bCs/>
          <w:color w:val="000000"/>
        </w:rPr>
        <w:t>ENSEIGNEMENT SECONDAIRE SPECIALISE DE FORME 3</w:t>
      </w:r>
      <w:bookmarkEnd w:id="3831"/>
    </w:p>
    <w:p w:rsidR="00F04EEF" w:rsidRDefault="0099351E">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rsidR="00F04EEF" w:rsidRDefault="00F04EEF">
      <w:pPr>
        <w:shd w:val="clear" w:color="auto" w:fill="FFFFFF"/>
        <w:jc w:val="center"/>
        <w:rPr>
          <w:rFonts w:ascii="Georgia" w:hAnsi="Georgia"/>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bookmarkStart w:id="3832" w:name="_Toc515288918"/>
      <w:r>
        <w:rPr>
          <w:rFonts w:ascii="Georgia" w:hAnsi="Georgia"/>
        </w:rPr>
        <w:t>ATTESTATION DE REUSSITE DE LA PREMIERE PHASE</w:t>
      </w:r>
      <w:bookmarkEnd w:id="3832"/>
    </w:p>
    <w:p w:rsidR="00F04EEF" w:rsidRDefault="00F04EEF"/>
    <w:p w:rsidR="00F04EEF" w:rsidRDefault="0099351E">
      <w:pPr>
        <w:shd w:val="clear" w:color="auto" w:fill="FFFFFF"/>
        <w:rPr>
          <w:rFonts w:ascii="Georgia" w:hAnsi="Georgia"/>
          <w:color w:val="000000"/>
        </w:rPr>
      </w:pPr>
      <w:r>
        <w:rPr>
          <w:rFonts w:ascii="Georgia" w:hAnsi="Georgia"/>
          <w:color w:val="000000"/>
        </w:rPr>
        <w:t>DENOMINATION ET SIEGE DE L'ETABLISSEMENT :</w:t>
      </w:r>
    </w:p>
    <w:p w:rsidR="00F04EEF" w:rsidRDefault="0099351E">
      <w:pPr>
        <w:shd w:val="clear" w:color="auto" w:fill="FFFFFF"/>
        <w:rPr>
          <w:rFonts w:ascii="Georgia" w:hAnsi="Georgia"/>
          <w:color w:val="000000"/>
        </w:rPr>
      </w:pPr>
      <w:r>
        <w:rPr>
          <w:rFonts w:ascii="Georgia" w:hAnsi="Georgia"/>
          <w:color w:val="000000"/>
        </w:rPr>
        <w:t>…………………………………………………………………………………………….……………………………………………………………………………………………………………………………………………………………………….. (1)</w:t>
      </w:r>
    </w:p>
    <w:p w:rsidR="00F04EEF" w:rsidRDefault="0099351E">
      <w:pPr>
        <w:shd w:val="clear" w:color="auto" w:fill="FFFFFF"/>
        <w:rPr>
          <w:rFonts w:ascii="Georgia" w:hAnsi="Georgia"/>
        </w:rPr>
      </w:pPr>
      <w:r>
        <w:rPr>
          <w:rFonts w:ascii="Georgia" w:hAnsi="Georgia"/>
          <w:color w:val="000000"/>
        </w:rPr>
        <w:t>Numéro Fase :</w:t>
      </w:r>
    </w:p>
    <w:p w:rsidR="00F04EEF" w:rsidRDefault="0099351E">
      <w:pPr>
        <w:shd w:val="clear" w:color="auto" w:fill="FFFFFF"/>
        <w:rPr>
          <w:rFonts w:ascii="Georgia" w:hAnsi="Georgia"/>
          <w:color w:val="000000"/>
        </w:rPr>
      </w:pPr>
      <w:r>
        <w:rPr>
          <w:rFonts w:ascii="Georgia" w:hAnsi="Georgia"/>
          <w:color w:val="000000"/>
        </w:rPr>
        <w:t>Je soussigné(e) : ………………………………………………………………………………………………………. (2)</w:t>
      </w:r>
    </w:p>
    <w:p w:rsidR="00F04EEF" w:rsidRDefault="0099351E">
      <w:pPr>
        <w:shd w:val="clear" w:color="auto" w:fill="FFFFFF"/>
        <w:rPr>
          <w:rFonts w:ascii="Georgia" w:hAnsi="Georgia"/>
          <w:color w:val="000000"/>
        </w:rPr>
      </w:pPr>
      <w:r>
        <w:rPr>
          <w:rFonts w:ascii="Georgia" w:hAnsi="Georgia"/>
          <w:color w:val="000000"/>
        </w:rPr>
        <w:t>Chef(fe) de l'établissement susmentionné, atteste, conformément à la décision du conseil de classe fondée sur l'acquisition des compétences -seuils, que l'élève : ……………………………….(2)</w:t>
      </w:r>
    </w:p>
    <w:p w:rsidR="00F04EEF" w:rsidRDefault="0099351E">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w:t>
      </w:r>
    </w:p>
    <w:p w:rsidR="00F04EEF" w:rsidRDefault="00F04EEF">
      <w:pPr>
        <w:shd w:val="clear" w:color="auto" w:fill="FFFFFF"/>
        <w:tabs>
          <w:tab w:val="left" w:leader="dot" w:pos="4368"/>
        </w:tabs>
        <w:ind w:left="586"/>
        <w:rPr>
          <w:rFonts w:ascii="Georgia" w:hAnsi="Georgia"/>
        </w:rPr>
      </w:pPr>
    </w:p>
    <w:p w:rsidR="00F04EEF" w:rsidRDefault="0099351E">
      <w:pPr>
        <w:widowControl w:val="0"/>
        <w:numPr>
          <w:ilvl w:val="0"/>
          <w:numId w:val="278"/>
        </w:numPr>
        <w:shd w:val="clear" w:color="auto" w:fill="FFFFFF"/>
        <w:autoSpaceDE w:val="0"/>
        <w:autoSpaceDN w:val="0"/>
        <w:adjustRightInd w:val="0"/>
        <w:spacing w:before="192" w:line="230" w:lineRule="exact"/>
        <w:ind w:left="426" w:hanging="426"/>
        <w:rPr>
          <w:rFonts w:ascii="Georgia" w:hAnsi="Georgia"/>
          <w:color w:val="000000"/>
          <w:spacing w:val="-18"/>
        </w:rPr>
      </w:pPr>
      <w:r>
        <w:rPr>
          <w:rFonts w:ascii="Georgia" w:hAnsi="Georgia"/>
          <w:color w:val="000000"/>
        </w:rPr>
        <w:t>a terminé avec fruit la première phase de l'enseignement secondaire spécialisé de forme 3 dans le secteur professionnel : ......................................................................................(8)</w:t>
      </w:r>
    </w:p>
    <w:p w:rsidR="00F04EEF" w:rsidRDefault="0099351E">
      <w:pPr>
        <w:widowControl w:val="0"/>
        <w:numPr>
          <w:ilvl w:val="0"/>
          <w:numId w:val="278"/>
        </w:numPr>
        <w:shd w:val="clear" w:color="auto" w:fill="FFFFFF"/>
        <w:autoSpaceDE w:val="0"/>
        <w:autoSpaceDN w:val="0"/>
        <w:adjustRightInd w:val="0"/>
        <w:spacing w:before="192" w:line="240" w:lineRule="exact"/>
        <w:ind w:left="426" w:hanging="426"/>
        <w:rPr>
          <w:rFonts w:ascii="Georgia" w:hAnsi="Georgia"/>
        </w:rPr>
      </w:pPr>
      <w:r>
        <w:rPr>
          <w:rFonts w:ascii="Georgia" w:hAnsi="Georgia"/>
          <w:color w:val="000000"/>
        </w:rPr>
        <w:t>est admis(e), à partir du…………………………………………………….. (4), en deuxième phase de l’enseignement secondaire spécialisé de forme 3 dans un groupe professionnel de ce secteur.</w:t>
      </w:r>
    </w:p>
    <w:p w:rsidR="00F04EEF" w:rsidRDefault="0099351E">
      <w:pPr>
        <w:shd w:val="clear" w:color="auto" w:fill="FFFFFF"/>
        <w:spacing w:before="221" w:line="240" w:lineRule="exact"/>
        <w:ind w:left="38"/>
        <w:rPr>
          <w:rFonts w:ascii="Georgia" w:hAnsi="Georgia"/>
        </w:rPr>
      </w:pPr>
      <w:r>
        <w:rPr>
          <w:rFonts w:ascii="Georgia" w:hAnsi="Georgia"/>
          <w:color w:val="000000"/>
        </w:rPr>
        <w:t>J'atteste que toutes les prescriptions légales et réglementaires ont été respectées.</w:t>
      </w:r>
    </w:p>
    <w:p w:rsidR="00F04EEF" w:rsidRDefault="0099351E">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 (5), le……………………………………… (4)</w:t>
      </w:r>
    </w:p>
    <w:p w:rsidR="00F04EEF" w:rsidRDefault="00F04EEF">
      <w:pPr>
        <w:shd w:val="clear" w:color="auto" w:fill="FFFFFF"/>
        <w:tabs>
          <w:tab w:val="left" w:pos="4022"/>
        </w:tabs>
        <w:spacing w:before="192"/>
        <w:rPr>
          <w:rFonts w:ascii="Georgia" w:hAnsi="Georgia"/>
          <w:color w:val="000000"/>
        </w:rPr>
      </w:pPr>
    </w:p>
    <w:p w:rsidR="00F04EEF" w:rsidRDefault="00F04EEF">
      <w:pPr>
        <w:shd w:val="clear" w:color="auto" w:fill="FFFFFF"/>
        <w:tabs>
          <w:tab w:val="left" w:pos="4022"/>
        </w:tabs>
        <w:spacing w:before="192"/>
        <w:rPr>
          <w:rFonts w:ascii="Georgia" w:hAnsi="Georgia"/>
          <w:color w:val="000000"/>
        </w:rPr>
      </w:pPr>
    </w:p>
    <w:p w:rsidR="00F04EEF" w:rsidRDefault="0099351E">
      <w:pPr>
        <w:shd w:val="clear" w:color="auto" w:fill="FFFFFF"/>
        <w:tabs>
          <w:tab w:val="left" w:pos="4022"/>
        </w:tabs>
        <w:spacing w:before="192"/>
        <w:rPr>
          <w:rFonts w:ascii="Georgia" w:hAnsi="Georgia"/>
          <w:color w:val="000000"/>
        </w:rPr>
      </w:pPr>
      <w:r>
        <w:rPr>
          <w:rFonts w:ascii="Georgia" w:hAnsi="Georgia"/>
          <w:color w:val="000000"/>
        </w:rPr>
        <w:t>Sceau de l'établissement:</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w:t>
      </w:r>
    </w:p>
    <w:p w:rsidR="00F04EEF" w:rsidRDefault="00F04EEF">
      <w:pPr>
        <w:jc w:val="both"/>
        <w:rPr>
          <w:rFonts w:ascii="Georgia" w:hAnsi="Georgia"/>
          <w:color w:val="000000"/>
        </w:rPr>
      </w:pPr>
    </w:p>
    <w:p w:rsidR="00F04EEF" w:rsidRDefault="0099351E">
      <w:pPr>
        <w:pStyle w:val="Titre4"/>
      </w:pPr>
      <w:r>
        <w:br w:type="page"/>
        <w:t>Annexe 2 : Attestation de réussite de la deuxième phase.</w:t>
      </w:r>
    </w:p>
    <w:p w:rsidR="00F04EEF" w:rsidRDefault="00F04EEF">
      <w:pPr>
        <w:rPr>
          <w:rFonts w:ascii="Georgia" w:hAnsi="Georgia"/>
        </w:rPr>
      </w:pPr>
    </w:p>
    <w:p w:rsidR="00F04EEF" w:rsidRDefault="0099351E">
      <w:pPr>
        <w:jc w:val="center"/>
        <w:rPr>
          <w:rFonts w:ascii="Georgia" w:hAnsi="Georgia"/>
          <w:b/>
        </w:rPr>
      </w:pPr>
      <w:bookmarkStart w:id="3833" w:name="_Toc515288922"/>
      <w:r>
        <w:rPr>
          <w:rFonts w:ascii="Georgia" w:hAnsi="Georgia"/>
          <w:b/>
        </w:rPr>
        <w:t>COMMUNAUTE FRANÇAISE</w:t>
      </w:r>
    </w:p>
    <w:p w:rsidR="00F04EEF" w:rsidRDefault="00F04EEF">
      <w:pPr>
        <w:jc w:val="center"/>
        <w:rPr>
          <w:rFonts w:ascii="Georgia" w:hAnsi="Georgia"/>
          <w:b/>
        </w:rPr>
      </w:pP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99351E">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rsidR="00F04EEF" w:rsidRDefault="00F04EEF">
      <w:pPr>
        <w:jc w:val="center"/>
        <w:rPr>
          <w:rFonts w:ascii="Georgia" w:hAnsi="Georgia"/>
          <w:b/>
          <w:bCs/>
          <w:color w:val="000000"/>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REUSSITE DE LA DEUXIEME PHASE</w:t>
      </w:r>
      <w:bookmarkEnd w:id="3833"/>
    </w:p>
    <w:p w:rsidR="00F04EEF" w:rsidRDefault="00F04EEF"/>
    <w:p w:rsidR="00F04EEF" w:rsidRDefault="0099351E">
      <w:pPr>
        <w:shd w:val="clear" w:color="auto" w:fill="FFFFFF"/>
        <w:jc w:val="both"/>
        <w:rPr>
          <w:rFonts w:ascii="Georgia" w:hAnsi="Georgia"/>
        </w:rPr>
      </w:pPr>
      <w:r>
        <w:rPr>
          <w:rFonts w:ascii="Georgia" w:hAnsi="Georgia"/>
          <w:color w:val="000000"/>
        </w:rPr>
        <w:t>DENOMINATION ET SIEGE DE L'ETABLISSEMENT:</w:t>
      </w:r>
    </w:p>
    <w:p w:rsidR="00F04EEF" w:rsidRDefault="0099351E">
      <w:pPr>
        <w:shd w:val="clear" w:color="auto" w:fill="FFFFFF"/>
        <w:jc w:val="both"/>
        <w:rPr>
          <w:rFonts w:ascii="Georgia" w:hAnsi="Georgia"/>
          <w:color w:val="000000"/>
        </w:rPr>
      </w:pPr>
      <w:r>
        <w:rPr>
          <w:rFonts w:ascii="Georgia" w:hAnsi="Georgia"/>
          <w:color w:val="000000"/>
        </w:rPr>
        <w:t>………………………………………………………………………………………………………………………………………………………………………………………………………………………………………………………………………. (1)</w:t>
      </w:r>
    </w:p>
    <w:p w:rsidR="00F04EEF" w:rsidRDefault="0099351E">
      <w:pPr>
        <w:shd w:val="clear" w:color="auto" w:fill="FFFFFF"/>
        <w:rPr>
          <w:rFonts w:ascii="Georgia" w:hAnsi="Georgia"/>
        </w:rPr>
      </w:pPr>
      <w:r>
        <w:rPr>
          <w:rFonts w:ascii="Georgia" w:hAnsi="Georgia"/>
          <w:color w:val="000000"/>
        </w:rPr>
        <w:t>Numéro Fase :</w:t>
      </w:r>
    </w:p>
    <w:p w:rsidR="00F04EEF" w:rsidRDefault="0099351E">
      <w:pPr>
        <w:shd w:val="clear" w:color="auto" w:fill="FFFFFF"/>
        <w:rPr>
          <w:rFonts w:ascii="Georgia" w:hAnsi="Georgia"/>
        </w:rPr>
      </w:pPr>
      <w:r>
        <w:rPr>
          <w:rFonts w:ascii="Georgia" w:hAnsi="Georgia"/>
          <w:color w:val="000000"/>
        </w:rPr>
        <w:t>Je soussigné(e) : ………………………………………………………………………………………………………. (2)</w:t>
      </w:r>
    </w:p>
    <w:p w:rsidR="00F04EEF" w:rsidRDefault="0099351E">
      <w:pPr>
        <w:shd w:val="clear" w:color="auto" w:fill="FFFFFF"/>
        <w:spacing w:line="240" w:lineRule="exact"/>
        <w:ind w:right="19"/>
        <w:jc w:val="both"/>
        <w:rPr>
          <w:rFonts w:ascii="Georgia" w:hAnsi="Georgia"/>
        </w:rPr>
      </w:pPr>
      <w:r>
        <w:rPr>
          <w:rFonts w:ascii="Georgia" w:hAnsi="Georgia"/>
          <w:color w:val="000000"/>
        </w:rPr>
        <w:t>Chef(fe) de l'établissement susmentionné, atteste, conformément à la décision du conseil de classe fondée sur l'acquisition des compétences-seuils, que l'élève : …………………………….. (2)</w:t>
      </w:r>
    </w:p>
    <w:p w:rsidR="00F04EEF" w:rsidRDefault="0099351E">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le……………………………………............(4)</w:t>
      </w:r>
    </w:p>
    <w:p w:rsidR="00F04EEF" w:rsidRDefault="00F04EEF"/>
    <w:p w:rsidR="00F04EEF" w:rsidRDefault="0099351E">
      <w:pPr>
        <w:widowControl w:val="0"/>
        <w:numPr>
          <w:ilvl w:val="0"/>
          <w:numId w:val="279"/>
        </w:numPr>
        <w:shd w:val="clear" w:color="auto" w:fill="FFFFFF"/>
        <w:tabs>
          <w:tab w:val="left" w:pos="835"/>
          <w:tab w:val="left" w:leader="dot" w:pos="8314"/>
        </w:tabs>
        <w:autoSpaceDE w:val="0"/>
        <w:autoSpaceDN w:val="0"/>
        <w:adjustRightInd w:val="0"/>
        <w:spacing w:before="192" w:line="240" w:lineRule="exact"/>
        <w:ind w:left="284" w:hanging="284"/>
        <w:rPr>
          <w:rFonts w:ascii="Georgia" w:hAnsi="Georgia"/>
          <w:color w:val="000000"/>
          <w:spacing w:val="-18"/>
        </w:rPr>
      </w:pPr>
      <w:r>
        <w:rPr>
          <w:rFonts w:ascii="Georgia" w:hAnsi="Georgia"/>
          <w:color w:val="000000"/>
        </w:rPr>
        <w:t>a terminé avec fruit la deuxième phase de l'enseignement secondaire spécialisé de forme 3 dans le groupe professionnel…………………………………………………………………(9)</w:t>
      </w:r>
    </w:p>
    <w:p w:rsidR="00F04EEF" w:rsidRDefault="0099351E">
      <w:pPr>
        <w:widowControl w:val="0"/>
        <w:numPr>
          <w:ilvl w:val="0"/>
          <w:numId w:val="280"/>
        </w:numPr>
        <w:shd w:val="clear" w:color="auto" w:fill="FFFFFF"/>
        <w:tabs>
          <w:tab w:val="left" w:pos="835"/>
          <w:tab w:val="left" w:leader="dot" w:pos="5952"/>
        </w:tabs>
        <w:autoSpaceDE w:val="0"/>
        <w:autoSpaceDN w:val="0"/>
        <w:adjustRightInd w:val="0"/>
        <w:spacing w:before="211" w:line="230" w:lineRule="exact"/>
        <w:ind w:left="284" w:hanging="284"/>
        <w:rPr>
          <w:rFonts w:ascii="Georgia" w:hAnsi="Georgia"/>
          <w:color w:val="000000"/>
        </w:rPr>
      </w:pPr>
      <w:r>
        <w:rPr>
          <w:rFonts w:ascii="Georgia" w:hAnsi="Georgia"/>
          <w:color w:val="000000"/>
        </w:rPr>
        <w:t>est admis(e), à partir du</w:t>
      </w:r>
      <w:r>
        <w:rPr>
          <w:rFonts w:ascii="Georgia" w:hAnsi="Georgia"/>
          <w:color w:val="000000"/>
        </w:rPr>
        <w:tab/>
        <w:t>(4), en troisième phase de l'enseignement secondaire spécialisé de forme 3 dans un des métiers de ce groupe professionnel.</w:t>
      </w:r>
    </w:p>
    <w:p w:rsidR="00F04EEF" w:rsidRDefault="0099351E">
      <w:pPr>
        <w:shd w:val="clear" w:color="auto" w:fill="FFFFFF"/>
        <w:spacing w:before="202" w:line="250" w:lineRule="exact"/>
        <w:rPr>
          <w:rFonts w:ascii="Georgia" w:hAnsi="Georgia"/>
        </w:rPr>
      </w:pPr>
      <w:r>
        <w:rPr>
          <w:rFonts w:ascii="Georgia" w:hAnsi="Georgia"/>
          <w:color w:val="000000"/>
        </w:rPr>
        <w:t>J'atteste que toutes les prescriptions légales et réglementaires ont été respectées.</w:t>
      </w:r>
    </w:p>
    <w:p w:rsidR="00F04EEF" w:rsidRDefault="0099351E">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 (5), le……………………………………….. (4)</w:t>
      </w:r>
    </w:p>
    <w:p w:rsidR="00F04EEF" w:rsidRDefault="00F04EEF">
      <w:pPr>
        <w:shd w:val="clear" w:color="auto" w:fill="FFFFFF"/>
        <w:tabs>
          <w:tab w:val="left" w:pos="4022"/>
        </w:tabs>
        <w:spacing w:before="192"/>
        <w:rPr>
          <w:rFonts w:ascii="Georgia" w:hAnsi="Georgia"/>
          <w:color w:val="000000"/>
        </w:rPr>
      </w:pPr>
    </w:p>
    <w:p w:rsidR="00F04EEF" w:rsidRDefault="00F04EEF">
      <w:pPr>
        <w:shd w:val="clear" w:color="auto" w:fill="FFFFFF"/>
        <w:tabs>
          <w:tab w:val="left" w:pos="4022"/>
        </w:tabs>
        <w:spacing w:before="192"/>
        <w:jc w:val="both"/>
        <w:rPr>
          <w:rFonts w:ascii="Georgia" w:hAnsi="Georgia"/>
          <w:color w:val="000000"/>
        </w:rPr>
      </w:pPr>
    </w:p>
    <w:p w:rsidR="00F04EEF" w:rsidRDefault="0099351E">
      <w:pPr>
        <w:shd w:val="clear" w:color="auto" w:fill="FFFFFF"/>
        <w:tabs>
          <w:tab w:val="left" w:pos="4022"/>
        </w:tabs>
        <w:spacing w:before="192"/>
        <w:jc w:val="both"/>
        <w:rPr>
          <w:rFonts w:ascii="Georgia" w:hAnsi="Georgia"/>
          <w:color w:val="000000"/>
        </w:rPr>
      </w:pPr>
      <w:r>
        <w:rPr>
          <w:rFonts w:ascii="Georgia" w:hAnsi="Georgia"/>
          <w:color w:val="000000"/>
        </w:rPr>
        <w:t>Sceau de l'établissement:</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w:t>
      </w:r>
    </w:p>
    <w:p w:rsidR="00F04EEF" w:rsidRDefault="00F04EEF">
      <w:pPr>
        <w:shd w:val="clear" w:color="auto" w:fill="FFFFFF"/>
        <w:tabs>
          <w:tab w:val="left" w:pos="5040"/>
          <w:tab w:val="left" w:pos="6019"/>
        </w:tabs>
        <w:jc w:val="both"/>
        <w:rPr>
          <w:rFonts w:ascii="Georgia" w:hAnsi="Georgia"/>
        </w:rPr>
      </w:pPr>
    </w:p>
    <w:p w:rsidR="00F04EEF" w:rsidRDefault="0099351E">
      <w:pPr>
        <w:pStyle w:val="Titre4"/>
      </w:pPr>
      <w:bookmarkStart w:id="3834" w:name="_Annexe_3_:_6"/>
      <w:bookmarkEnd w:id="3834"/>
      <w:r>
        <w:br w:type="page"/>
        <w:t xml:space="preserve">Annexe 3 : Attestation de fréquentation </w:t>
      </w:r>
    </w:p>
    <w:p w:rsidR="00F04EEF" w:rsidRDefault="00F04EEF">
      <w:pPr>
        <w:jc w:val="both"/>
        <w:rPr>
          <w:rFonts w:ascii="Georgia" w:hAnsi="Georgia"/>
          <w:sz w:val="16"/>
          <w:szCs w:val="16"/>
        </w:rPr>
      </w:pPr>
    </w:p>
    <w:p w:rsidR="00F04EEF" w:rsidRDefault="0099351E">
      <w:pPr>
        <w:jc w:val="center"/>
        <w:rPr>
          <w:rFonts w:ascii="Georgia" w:hAnsi="Georgia"/>
          <w:b/>
        </w:rPr>
      </w:pPr>
      <w:r>
        <w:rPr>
          <w:rFonts w:ascii="Georgia" w:hAnsi="Georgia"/>
          <w:b/>
        </w:rPr>
        <w:t>COMMUNAUTE FRANÇAISE</w:t>
      </w:r>
    </w:p>
    <w:p w:rsidR="00F04EEF" w:rsidRDefault="00F04EEF">
      <w:pPr>
        <w:jc w:val="center"/>
        <w:rPr>
          <w:rFonts w:ascii="Georgia" w:hAnsi="Georgia"/>
          <w:b/>
        </w:rPr>
      </w:pP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99351E">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rsidR="00F04EEF" w:rsidRDefault="00F04EEF"/>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FREQUENTATION</w:t>
      </w:r>
    </w:p>
    <w:p w:rsidR="00F04EEF" w:rsidRDefault="00F04EEF">
      <w:pPr>
        <w:shd w:val="clear" w:color="auto" w:fill="FFFFFF"/>
        <w:jc w:val="both"/>
        <w:rPr>
          <w:rFonts w:ascii="Georgia" w:hAnsi="Georgia"/>
          <w:color w:val="000000"/>
        </w:rPr>
      </w:pPr>
    </w:p>
    <w:p w:rsidR="00F04EEF" w:rsidRDefault="0099351E">
      <w:pPr>
        <w:shd w:val="clear" w:color="auto" w:fill="FFFFFF"/>
        <w:jc w:val="both"/>
        <w:rPr>
          <w:rFonts w:ascii="Georgia" w:hAnsi="Georgia"/>
        </w:rPr>
      </w:pPr>
      <w:r>
        <w:rPr>
          <w:rFonts w:ascii="Georgia" w:hAnsi="Georgia"/>
          <w:color w:val="000000"/>
        </w:rPr>
        <w:t>DENOMINATION ET SIEGE DE L'ETABLISSEMENT:</w:t>
      </w:r>
    </w:p>
    <w:p w:rsidR="00F04EEF" w:rsidRDefault="0099351E">
      <w:pPr>
        <w:shd w:val="clear" w:color="auto" w:fill="FFFFFF"/>
        <w:jc w:val="both"/>
        <w:rPr>
          <w:rFonts w:ascii="Georgia" w:hAnsi="Georgia"/>
        </w:rPr>
      </w:pPr>
      <w:r>
        <w:rPr>
          <w:rFonts w:ascii="Georgia" w:hAnsi="Georgia"/>
          <w:color w:val="000000"/>
        </w:rPr>
        <w:t>………………………………………………………………………………………………………………………………………………………………………………………………………………………………………………………………………… (1)</w:t>
      </w:r>
    </w:p>
    <w:p w:rsidR="00F04EEF" w:rsidRDefault="0099351E">
      <w:pPr>
        <w:shd w:val="clear" w:color="auto" w:fill="FFFFFF"/>
        <w:rPr>
          <w:rFonts w:ascii="Georgia" w:hAnsi="Georgia"/>
        </w:rPr>
      </w:pPr>
      <w:r>
        <w:rPr>
          <w:rFonts w:ascii="Georgia" w:hAnsi="Georgia"/>
          <w:color w:val="000000"/>
        </w:rPr>
        <w:t>Numéro Fase :</w:t>
      </w:r>
    </w:p>
    <w:p w:rsidR="00F04EEF" w:rsidRDefault="0099351E">
      <w:pPr>
        <w:shd w:val="clear" w:color="auto" w:fill="FFFFFF"/>
        <w:jc w:val="both"/>
        <w:rPr>
          <w:rFonts w:ascii="Georgia" w:hAnsi="Georgia"/>
        </w:rPr>
      </w:pPr>
      <w:r>
        <w:rPr>
          <w:rFonts w:ascii="Georgia" w:hAnsi="Georgia"/>
          <w:color w:val="000000"/>
        </w:rPr>
        <w:t>Je soussigné(e) : ……………………………………………………………………………………………………… (2)</w:t>
      </w:r>
    </w:p>
    <w:p w:rsidR="00F04EEF" w:rsidRDefault="0099351E">
      <w:pPr>
        <w:shd w:val="clear" w:color="auto" w:fill="FFFFFF"/>
        <w:spacing w:line="240" w:lineRule="exact"/>
        <w:ind w:right="10"/>
        <w:jc w:val="both"/>
        <w:rPr>
          <w:rFonts w:ascii="Georgia" w:hAnsi="Georgia"/>
        </w:rPr>
      </w:pPr>
      <w:r>
        <w:rPr>
          <w:rFonts w:ascii="Georgia" w:hAnsi="Georgia"/>
          <w:color w:val="000000"/>
        </w:rPr>
        <w:t>Chef(fe) de l'établissement susmentionné, atteste que l'élève : …………………………………….. (2)</w:t>
      </w:r>
    </w:p>
    <w:p w:rsidR="00F04EEF" w:rsidRDefault="0099351E">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le………………………………...................(4)</w:t>
      </w:r>
    </w:p>
    <w:p w:rsidR="00F04EEF" w:rsidRDefault="0099351E">
      <w:pPr>
        <w:shd w:val="clear" w:color="auto" w:fill="FFFFFF"/>
        <w:tabs>
          <w:tab w:val="left" w:leader="dot" w:pos="4330"/>
          <w:tab w:val="left" w:leader="dot" w:pos="8285"/>
        </w:tabs>
        <w:rPr>
          <w:rFonts w:ascii="Georgia" w:hAnsi="Georgia"/>
        </w:rPr>
      </w:pPr>
      <w:r>
        <w:rPr>
          <w:rFonts w:ascii="Georgia" w:hAnsi="Georgia"/>
          <w:color w:val="000000"/>
        </w:rPr>
        <w:t>A suivi du ………………………………………………………(4) au…………………………………………………(4)</w:t>
      </w:r>
    </w:p>
    <w:p w:rsidR="00F04EEF" w:rsidRDefault="0099351E">
      <w:pPr>
        <w:shd w:val="clear" w:color="auto" w:fill="FFFFFF"/>
        <w:spacing w:line="221" w:lineRule="exact"/>
        <w:jc w:val="both"/>
        <w:rPr>
          <w:rFonts w:ascii="Georgia" w:hAnsi="Georgia"/>
        </w:rPr>
      </w:pPr>
      <w:r>
        <w:rPr>
          <w:rFonts w:ascii="Georgia" w:hAnsi="Georgia"/>
          <w:color w:val="000000"/>
        </w:rPr>
        <w:t>les cours de l'enseignement secondaire spécialisé de forme 3 de plein exercice dans l'établissement susmentionné.</w:t>
      </w:r>
    </w:p>
    <w:p w:rsidR="00F04EEF" w:rsidRDefault="0099351E">
      <w:pPr>
        <w:shd w:val="clear" w:color="auto" w:fill="FFFFFF"/>
        <w:tabs>
          <w:tab w:val="left" w:leader="dot" w:pos="6461"/>
        </w:tabs>
        <w:spacing w:before="202"/>
        <w:jc w:val="both"/>
        <w:rPr>
          <w:rFonts w:ascii="Georgia" w:hAnsi="Georgia"/>
        </w:rPr>
      </w:pPr>
      <w:r>
        <w:rPr>
          <w:rFonts w:ascii="Georgia" w:hAnsi="Georgia"/>
          <w:color w:val="000000"/>
        </w:rPr>
        <w:t>A cette date, l'élève était inscrit(e) en………………………………………(10) phase du secteur</w:t>
      </w:r>
      <w:r>
        <w:rPr>
          <w:rFonts w:ascii="Georgia" w:hAnsi="Georgia"/>
        </w:rPr>
        <w:t xml:space="preserve"> </w:t>
      </w:r>
      <w:r>
        <w:rPr>
          <w:rFonts w:ascii="Georgia" w:hAnsi="Georgia"/>
          <w:color w:val="000000"/>
        </w:rPr>
        <w:t>professionnel :………………………………………………………………….. (8)</w:t>
      </w:r>
    </w:p>
    <w:p w:rsidR="00F04EEF" w:rsidRDefault="0099351E">
      <w:pPr>
        <w:shd w:val="clear" w:color="auto" w:fill="FFFFFF"/>
        <w:spacing w:before="221" w:line="230" w:lineRule="exact"/>
        <w:jc w:val="both"/>
        <w:rPr>
          <w:rFonts w:ascii="Georgia" w:hAnsi="Georgia"/>
        </w:rPr>
      </w:pPr>
      <w:r>
        <w:rPr>
          <w:rFonts w:ascii="Georgia" w:hAnsi="Georgia"/>
          <w:color w:val="000000"/>
        </w:rPr>
        <w:t>La présente attestation est délivrée en exécution de l'article 57, 4°, du décret du 3 mars 2004 organisant l'enseignement spécialisé.</w:t>
      </w:r>
    </w:p>
    <w:p w:rsidR="00F04EEF" w:rsidRDefault="0099351E">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 (5), le ……………………………………..……….(4)</w:t>
      </w:r>
    </w:p>
    <w:p w:rsidR="00F04EEF" w:rsidRDefault="00F04EEF">
      <w:pPr>
        <w:shd w:val="clear" w:color="auto" w:fill="FFFFFF"/>
        <w:tabs>
          <w:tab w:val="left" w:pos="4790"/>
        </w:tabs>
        <w:spacing w:before="432"/>
        <w:jc w:val="both"/>
        <w:rPr>
          <w:rFonts w:ascii="Georgia" w:hAnsi="Georgia"/>
          <w:color w:val="000000"/>
        </w:rPr>
      </w:pPr>
    </w:p>
    <w:p w:rsidR="00F04EEF" w:rsidRDefault="00F04EEF">
      <w:pPr>
        <w:shd w:val="clear" w:color="auto" w:fill="FFFFFF"/>
        <w:tabs>
          <w:tab w:val="left" w:pos="4790"/>
        </w:tabs>
        <w:spacing w:before="432"/>
        <w:jc w:val="both"/>
        <w:rPr>
          <w:rFonts w:ascii="Georgia" w:hAnsi="Georgia"/>
          <w:color w:val="000000"/>
        </w:rPr>
      </w:pPr>
    </w:p>
    <w:p w:rsidR="00F04EEF" w:rsidRDefault="0099351E">
      <w:pPr>
        <w:shd w:val="clear" w:color="auto" w:fill="FFFFFF"/>
        <w:tabs>
          <w:tab w:val="left" w:pos="4790"/>
        </w:tabs>
        <w:spacing w:before="432"/>
        <w:jc w:val="both"/>
        <w:rPr>
          <w:rFonts w:ascii="Georgia" w:hAnsi="Georgia"/>
        </w:rPr>
      </w:pPr>
      <w:r>
        <w:rPr>
          <w:rFonts w:ascii="Georgia" w:hAnsi="Georgia"/>
          <w:color w:val="000000"/>
        </w:rPr>
        <w:t>Sceau de l'établissement :</w:t>
      </w:r>
      <w:r>
        <w:rPr>
          <w:rFonts w:ascii="Georgia" w:hAnsi="Georgia"/>
          <w:color w:val="000000"/>
        </w:rPr>
        <w:tab/>
        <w:t>Le (La) Chef(fe) d'établissement :</w:t>
      </w:r>
    </w:p>
    <w:p w:rsidR="00F04EEF" w:rsidRDefault="00F04EEF">
      <w:pPr>
        <w:jc w:val="both"/>
        <w:rPr>
          <w:rFonts w:ascii="Georgia" w:hAnsi="Georgia"/>
          <w:color w:val="000000"/>
        </w:rPr>
      </w:pPr>
    </w:p>
    <w:p w:rsidR="00F04EEF" w:rsidRDefault="00F04EEF">
      <w:pPr>
        <w:jc w:val="both"/>
        <w:rPr>
          <w:rFonts w:ascii="Georgia" w:hAnsi="Georgia"/>
        </w:rPr>
      </w:pPr>
    </w:p>
    <w:p w:rsidR="00F04EEF" w:rsidRDefault="00F04EEF">
      <w:pPr>
        <w:jc w:val="both"/>
        <w:rPr>
          <w:rFonts w:ascii="Georgia" w:hAnsi="Georgia"/>
        </w:rPr>
      </w:pPr>
    </w:p>
    <w:p w:rsidR="00F04EEF" w:rsidRDefault="00F04EEF">
      <w:pPr>
        <w:jc w:val="both"/>
        <w:rPr>
          <w:rFonts w:ascii="Georgia" w:hAnsi="Georgia"/>
        </w:rPr>
      </w:pPr>
    </w:p>
    <w:p w:rsidR="00F04EEF" w:rsidRDefault="00F04EEF">
      <w:pPr>
        <w:jc w:val="both"/>
        <w:rPr>
          <w:rFonts w:ascii="Georgia" w:hAnsi="Georgia"/>
        </w:rPr>
      </w:pPr>
    </w:p>
    <w:p w:rsidR="00F04EEF" w:rsidRDefault="00F04EEF">
      <w:pPr>
        <w:jc w:val="both"/>
        <w:rPr>
          <w:rFonts w:ascii="Georgia" w:hAnsi="Georgia"/>
        </w:rPr>
      </w:pPr>
    </w:p>
    <w:p w:rsidR="00F04EEF" w:rsidRDefault="0099351E">
      <w:pPr>
        <w:rPr>
          <w:rFonts w:ascii="Georgia" w:hAnsi="Georgia"/>
          <w:b/>
          <w:u w:val="single"/>
        </w:rPr>
      </w:pPr>
      <w:r>
        <w:rPr>
          <w:rFonts w:ascii="Georgia" w:hAnsi="Georgia"/>
          <w:b/>
          <w:u w:val="single"/>
        </w:rPr>
        <w:br w:type="page"/>
      </w:r>
    </w:p>
    <w:p w:rsidR="00F04EEF" w:rsidRDefault="0099351E">
      <w:pPr>
        <w:pStyle w:val="Titre4"/>
      </w:pPr>
      <w:bookmarkStart w:id="3835" w:name="_Annexe_4_:_5"/>
      <w:bookmarkEnd w:id="3835"/>
      <w:r>
        <w:t>Annexe 4 : Attestation de compétences acquises</w:t>
      </w:r>
    </w:p>
    <w:p w:rsidR="00F04EEF" w:rsidRDefault="00F04EEF">
      <w:pPr>
        <w:rPr>
          <w:rFonts w:ascii="Georgia" w:hAnsi="Georgia"/>
        </w:rPr>
      </w:pPr>
    </w:p>
    <w:p w:rsidR="00F04EEF" w:rsidRDefault="0099351E">
      <w:pPr>
        <w:jc w:val="center"/>
        <w:rPr>
          <w:rFonts w:ascii="Georgia" w:hAnsi="Georgia"/>
          <w:b/>
        </w:rPr>
      </w:pPr>
      <w:r>
        <w:rPr>
          <w:rFonts w:ascii="Georgia" w:hAnsi="Georgia"/>
          <w:b/>
        </w:rPr>
        <w:t>COMMUNAUTE FRANÇAISE</w:t>
      </w:r>
    </w:p>
    <w:p w:rsidR="00F04EEF" w:rsidRDefault="00F04EEF">
      <w:pPr>
        <w:jc w:val="center"/>
        <w:rPr>
          <w:rFonts w:ascii="Georgia" w:hAnsi="Georgia"/>
          <w:b/>
        </w:rPr>
      </w:pP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99351E">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rsidR="00F04EEF" w:rsidRDefault="00F04EEF">
      <w:pPr>
        <w:jc w:val="center"/>
        <w:rPr>
          <w:rFonts w:ascii="Georgia" w:hAnsi="Georgia"/>
          <w:b/>
          <w:bCs/>
          <w:color w:val="000000"/>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COMPETENCES ACQUISES</w:t>
      </w:r>
    </w:p>
    <w:p w:rsidR="00F04EEF" w:rsidRDefault="00F04EEF">
      <w:pPr>
        <w:shd w:val="clear" w:color="auto" w:fill="FFFFFF"/>
        <w:jc w:val="center"/>
        <w:rPr>
          <w:rFonts w:ascii="Georgia" w:hAnsi="Georgia"/>
        </w:rPr>
      </w:pPr>
    </w:p>
    <w:p w:rsidR="00F04EEF" w:rsidRDefault="0099351E">
      <w:pPr>
        <w:shd w:val="clear" w:color="auto" w:fill="FFFFFF"/>
        <w:jc w:val="both"/>
        <w:rPr>
          <w:rFonts w:ascii="Georgia" w:hAnsi="Georgia"/>
          <w:color w:val="000000"/>
        </w:rPr>
      </w:pPr>
      <w:r>
        <w:rPr>
          <w:rFonts w:ascii="Georgia" w:hAnsi="Georgia"/>
          <w:color w:val="000000"/>
        </w:rPr>
        <w:t>DENOMINATION ET SIEGE DE L'ETABLISSEMENT:</w:t>
      </w:r>
    </w:p>
    <w:p w:rsidR="00F04EEF" w:rsidRDefault="0099351E">
      <w:pPr>
        <w:shd w:val="clear" w:color="auto" w:fill="FFFFFF"/>
        <w:rPr>
          <w:rFonts w:ascii="Georgia" w:hAnsi="Georgia"/>
          <w:color w:val="000000"/>
        </w:rPr>
      </w:pPr>
      <w:r>
        <w:rPr>
          <w:rFonts w:ascii="Georgia" w:hAnsi="Georgia"/>
          <w:color w:val="000000"/>
        </w:rPr>
        <w:t>……………………………………………………………………………………………………………………………………. ……………………………………………………………………………………………………………………………….. (1)</w:t>
      </w:r>
    </w:p>
    <w:p w:rsidR="00F04EEF" w:rsidRDefault="0099351E">
      <w:pPr>
        <w:shd w:val="clear" w:color="auto" w:fill="FFFFFF"/>
        <w:rPr>
          <w:rFonts w:ascii="Georgia" w:hAnsi="Georgia"/>
        </w:rPr>
      </w:pPr>
      <w:r>
        <w:rPr>
          <w:rFonts w:ascii="Georgia" w:hAnsi="Georgia"/>
          <w:color w:val="000000"/>
        </w:rPr>
        <w:t>Numéro Fase :</w:t>
      </w:r>
    </w:p>
    <w:p w:rsidR="00F04EEF" w:rsidRDefault="00F04EEF">
      <w:pPr>
        <w:shd w:val="clear" w:color="auto" w:fill="FFFFFF"/>
        <w:rPr>
          <w:rFonts w:ascii="Georgia" w:hAnsi="Georgia"/>
          <w:color w:val="000000"/>
        </w:rPr>
      </w:pPr>
    </w:p>
    <w:p w:rsidR="00F04EEF" w:rsidRDefault="0099351E">
      <w:pPr>
        <w:shd w:val="clear" w:color="auto" w:fill="FFFFFF"/>
        <w:rPr>
          <w:rFonts w:ascii="Georgia" w:hAnsi="Georgia"/>
        </w:rPr>
      </w:pPr>
      <w:r>
        <w:rPr>
          <w:rFonts w:ascii="Georgia" w:hAnsi="Georgia"/>
          <w:color w:val="000000"/>
        </w:rPr>
        <w:t>Je soussigné(e) : ……………………………………………………………………………………………………....(2)</w:t>
      </w:r>
    </w:p>
    <w:p w:rsidR="00F04EEF" w:rsidRDefault="0099351E">
      <w:pPr>
        <w:shd w:val="clear" w:color="auto" w:fill="FFFFFF"/>
        <w:spacing w:line="240" w:lineRule="exact"/>
        <w:ind w:right="10"/>
        <w:jc w:val="both"/>
        <w:rPr>
          <w:rFonts w:ascii="Georgia" w:hAnsi="Georgia"/>
        </w:rPr>
      </w:pPr>
      <w:r>
        <w:rPr>
          <w:rFonts w:ascii="Georgia" w:hAnsi="Georgia"/>
          <w:color w:val="000000"/>
        </w:rPr>
        <w:t>Chef(fe) de l'établissement susmentionné, atteste que l'élève : ………………………………………….. (2)</w:t>
      </w:r>
    </w:p>
    <w:p w:rsidR="00F04EEF" w:rsidRDefault="0099351E">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w:t>
      </w:r>
    </w:p>
    <w:p w:rsidR="00F04EEF" w:rsidRDefault="00F04EEF">
      <w:pPr>
        <w:shd w:val="clear" w:color="auto" w:fill="FFFFFF"/>
        <w:tabs>
          <w:tab w:val="left" w:leader="dot" w:pos="4330"/>
          <w:tab w:val="left" w:leader="dot" w:pos="8285"/>
        </w:tabs>
        <w:rPr>
          <w:rFonts w:ascii="Georgia" w:hAnsi="Georgia"/>
          <w:color w:val="000000"/>
        </w:rPr>
      </w:pPr>
    </w:p>
    <w:p w:rsidR="00F04EEF" w:rsidRDefault="0099351E">
      <w:pPr>
        <w:shd w:val="clear" w:color="auto" w:fill="FFFFFF"/>
        <w:tabs>
          <w:tab w:val="left" w:leader="dot" w:pos="4330"/>
          <w:tab w:val="left" w:leader="dot" w:pos="8285"/>
        </w:tabs>
        <w:rPr>
          <w:rFonts w:ascii="Georgia" w:hAnsi="Georgia"/>
        </w:rPr>
      </w:pPr>
      <w:r>
        <w:rPr>
          <w:rFonts w:ascii="Georgia" w:hAnsi="Georgia"/>
          <w:color w:val="000000"/>
        </w:rPr>
        <w:t>A suivi du …………………………………………………..(4) au……………………………………………………(4)</w:t>
      </w:r>
    </w:p>
    <w:p w:rsidR="00F04EEF" w:rsidRDefault="0099351E">
      <w:pPr>
        <w:shd w:val="clear" w:color="auto" w:fill="FFFFFF"/>
        <w:spacing w:line="221" w:lineRule="exact"/>
        <w:rPr>
          <w:rFonts w:ascii="Georgia" w:hAnsi="Georgia"/>
        </w:rPr>
      </w:pPr>
      <w:r>
        <w:rPr>
          <w:rFonts w:ascii="Georgia" w:hAnsi="Georgia"/>
          <w:color w:val="000000"/>
        </w:rPr>
        <w:t>les cours de l'enseignement secondaire spécialisé de forme 3 de plein exercice dans l'établissement susmentionné.</w:t>
      </w:r>
    </w:p>
    <w:p w:rsidR="00F04EEF" w:rsidRDefault="0099351E">
      <w:pPr>
        <w:shd w:val="clear" w:color="auto" w:fill="FFFFFF"/>
        <w:tabs>
          <w:tab w:val="left" w:leader="dot" w:pos="6173"/>
        </w:tabs>
        <w:spacing w:before="202"/>
        <w:rPr>
          <w:rFonts w:ascii="Georgia" w:hAnsi="Georgia"/>
        </w:rPr>
      </w:pPr>
      <w:r>
        <w:rPr>
          <w:rFonts w:ascii="Georgia" w:hAnsi="Georgia"/>
          <w:color w:val="000000"/>
        </w:rPr>
        <w:t>A cette date, l'élève était inscrit(e) en…………………………………(10) phase du secteur</w:t>
      </w:r>
      <w:r>
        <w:rPr>
          <w:rFonts w:ascii="Georgia" w:hAnsi="Georgia"/>
        </w:rPr>
        <w:t xml:space="preserve"> </w:t>
      </w:r>
      <w:r>
        <w:rPr>
          <w:rFonts w:ascii="Georgia" w:hAnsi="Georgia"/>
          <w:color w:val="000000"/>
        </w:rPr>
        <w:t>professionnel - groupe professionnel – métier (6) :……………………………………………………….. et a acquis les compétences décrites dans le document annexe.</w:t>
      </w:r>
    </w:p>
    <w:p w:rsidR="00F04EEF" w:rsidRDefault="0099351E">
      <w:pPr>
        <w:shd w:val="clear" w:color="auto" w:fill="FFFFFF"/>
        <w:spacing w:before="269" w:line="230" w:lineRule="exact"/>
        <w:rPr>
          <w:rFonts w:ascii="Georgia" w:hAnsi="Georgia"/>
        </w:rPr>
      </w:pPr>
      <w:r>
        <w:rPr>
          <w:rFonts w:ascii="Georgia" w:hAnsi="Georgia"/>
          <w:color w:val="000000"/>
        </w:rPr>
        <w:t>La présente attestation est délivrée en exécution de l'article 57, 4°, du décret du 3 mars 2004 organisant l'enseignement spécialisé.</w:t>
      </w:r>
    </w:p>
    <w:p w:rsidR="00F04EEF" w:rsidRDefault="0099351E">
      <w:pPr>
        <w:shd w:val="clear" w:color="auto" w:fill="FFFFFF"/>
        <w:tabs>
          <w:tab w:val="left" w:leader="dot" w:pos="4330"/>
          <w:tab w:val="left" w:leader="dot" w:pos="7181"/>
        </w:tabs>
        <w:spacing w:before="360"/>
        <w:rPr>
          <w:rFonts w:ascii="Georgia" w:hAnsi="Georgia"/>
        </w:rPr>
      </w:pPr>
      <w:r>
        <w:rPr>
          <w:rFonts w:ascii="Georgia" w:hAnsi="Georgia"/>
          <w:color w:val="000000"/>
        </w:rPr>
        <w:t xml:space="preserve">Délivrée à </w:t>
      </w:r>
      <w:r>
        <w:rPr>
          <w:rFonts w:ascii="Georgia" w:hAnsi="Georgia"/>
          <w:color w:val="000000"/>
        </w:rPr>
        <w:tab/>
        <w:t>(5), le………………….…………………… (4)</w:t>
      </w:r>
    </w:p>
    <w:p w:rsidR="00F04EEF" w:rsidRDefault="0099351E">
      <w:pPr>
        <w:shd w:val="clear" w:color="auto" w:fill="FFFFFF"/>
        <w:tabs>
          <w:tab w:val="left" w:pos="4790"/>
        </w:tabs>
        <w:spacing w:before="432"/>
        <w:rPr>
          <w:rFonts w:ascii="Georgia" w:hAnsi="Georgia"/>
          <w:color w:val="000000"/>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t>Le (La) Chef(fe) d'établissement :</w:t>
      </w:r>
    </w:p>
    <w:p w:rsidR="00F04EEF" w:rsidRDefault="00F04EEF">
      <w:pPr>
        <w:rPr>
          <w:rFonts w:ascii="Georgia" w:hAnsi="Georgia"/>
          <w:color w:val="000000"/>
        </w:rPr>
      </w:pPr>
    </w:p>
    <w:p w:rsidR="00F04EEF" w:rsidRDefault="0099351E">
      <w:pPr>
        <w:pStyle w:val="Titre4"/>
      </w:pPr>
      <w:r>
        <w:rPr>
          <w:rFonts w:ascii="Georgia" w:hAnsi="Georgia"/>
          <w:color w:val="000000"/>
        </w:rPr>
        <w:br w:type="page"/>
      </w:r>
      <w:r>
        <w:t>Annexe 5 : Attestation de prolongation de la première phase</w:t>
      </w:r>
    </w:p>
    <w:p w:rsidR="00F04EEF" w:rsidRDefault="00F04EEF">
      <w:pPr>
        <w:jc w:val="both"/>
        <w:rPr>
          <w:rFonts w:ascii="Georgia" w:hAnsi="Georgia"/>
        </w:rPr>
      </w:pPr>
    </w:p>
    <w:p w:rsidR="00F04EEF" w:rsidRDefault="0099351E">
      <w:pPr>
        <w:jc w:val="center"/>
        <w:rPr>
          <w:rFonts w:ascii="Georgia" w:hAnsi="Georgia"/>
          <w:b/>
        </w:rPr>
      </w:pPr>
      <w:r>
        <w:rPr>
          <w:rFonts w:ascii="Georgia" w:hAnsi="Georgia"/>
          <w:b/>
        </w:rPr>
        <w:t>COMMUNAUTE FRANÇAISE</w:t>
      </w:r>
    </w:p>
    <w:p w:rsidR="00F04EEF" w:rsidRDefault="00F04EEF">
      <w:pPr>
        <w:jc w:val="center"/>
        <w:rPr>
          <w:rFonts w:ascii="Georgia" w:hAnsi="Georgia"/>
          <w:b/>
        </w:rPr>
      </w:pP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99351E">
      <w:pPr>
        <w:shd w:val="clear" w:color="auto" w:fill="FFFFFF"/>
        <w:jc w:val="center"/>
        <w:rPr>
          <w:rFonts w:ascii="Georgia" w:hAnsi="Georgia"/>
          <w:b/>
          <w:bCs/>
          <w:color w:val="000000"/>
        </w:rPr>
      </w:pPr>
      <w:r>
        <w:rPr>
          <w:rFonts w:ascii="Georgia" w:hAnsi="Georgia"/>
          <w:b/>
          <w:bCs/>
          <w:color w:val="000000"/>
        </w:rPr>
        <w:t>(</w:t>
      </w:r>
      <w:r>
        <w:rPr>
          <w:rFonts w:ascii="Georgia" w:hAnsi="Georgia"/>
          <w:b/>
          <w:color w:val="000000"/>
        </w:rPr>
        <w:t>article 54 du Décret du 3 mars 2004</w:t>
      </w:r>
      <w:r>
        <w:rPr>
          <w:rFonts w:ascii="Georgia" w:hAnsi="Georgia"/>
          <w:b/>
          <w:bCs/>
          <w:color w:val="000000"/>
        </w:rPr>
        <w:t>)</w:t>
      </w:r>
    </w:p>
    <w:p w:rsidR="00F04EEF" w:rsidRDefault="00F04EEF">
      <w:pPr>
        <w:shd w:val="clear" w:color="auto" w:fill="FFFFFF"/>
        <w:jc w:val="center"/>
        <w:rPr>
          <w:rFonts w:ascii="Georgia" w:hAnsi="Georgia"/>
          <w:b/>
          <w:bCs/>
          <w:color w:val="000000"/>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PROLONGATION DE LA PREMIERE PHASE</w:t>
      </w:r>
    </w:p>
    <w:p w:rsidR="00F04EEF" w:rsidRDefault="00F04EEF">
      <w:pPr>
        <w:shd w:val="clear" w:color="auto" w:fill="FFFFFF"/>
        <w:ind w:firstLine="249"/>
        <w:jc w:val="both"/>
        <w:rPr>
          <w:rFonts w:ascii="Georgia" w:hAnsi="Georgia"/>
          <w:color w:val="000000"/>
        </w:rPr>
      </w:pPr>
    </w:p>
    <w:p w:rsidR="00F04EEF" w:rsidRDefault="0099351E">
      <w:pPr>
        <w:shd w:val="clear" w:color="auto" w:fill="FFFFFF"/>
        <w:jc w:val="both"/>
        <w:rPr>
          <w:rFonts w:ascii="Georgia" w:hAnsi="Georgia"/>
        </w:rPr>
      </w:pPr>
      <w:r>
        <w:rPr>
          <w:rFonts w:ascii="Georgia" w:hAnsi="Georgia"/>
          <w:color w:val="000000"/>
        </w:rPr>
        <w:t>DENOMINATION ET SIEGE DE L'ETABLISSEMENT:</w:t>
      </w:r>
    </w:p>
    <w:p w:rsidR="00F04EEF" w:rsidRDefault="0099351E">
      <w:pPr>
        <w:shd w:val="clear" w:color="auto" w:fill="FFFFFF"/>
        <w:jc w:val="both"/>
        <w:rPr>
          <w:rFonts w:ascii="Georgia" w:hAnsi="Georgia"/>
        </w:rPr>
      </w:pPr>
      <w:r>
        <w:rPr>
          <w:rFonts w:ascii="Georgia" w:hAnsi="Georgia"/>
          <w:color w:val="000000"/>
        </w:rPr>
        <w:t>……………………………………………………………………………………………………………………………………… ………………………………………………………………………………………………………………………………… (1)</w:t>
      </w:r>
    </w:p>
    <w:p w:rsidR="00F04EEF" w:rsidRDefault="0099351E">
      <w:pPr>
        <w:shd w:val="clear" w:color="auto" w:fill="FFFFFF"/>
        <w:rPr>
          <w:rFonts w:ascii="Georgia" w:hAnsi="Georgia"/>
        </w:rPr>
      </w:pPr>
      <w:r>
        <w:rPr>
          <w:rFonts w:ascii="Georgia" w:hAnsi="Georgia"/>
          <w:color w:val="000000"/>
        </w:rPr>
        <w:t>Numéro Fase :</w:t>
      </w:r>
    </w:p>
    <w:p w:rsidR="00F04EEF" w:rsidRDefault="0099351E">
      <w:pPr>
        <w:shd w:val="clear" w:color="auto" w:fill="FFFFFF"/>
        <w:jc w:val="both"/>
        <w:rPr>
          <w:rFonts w:ascii="Georgia" w:hAnsi="Georgia"/>
        </w:rPr>
      </w:pPr>
      <w:r>
        <w:rPr>
          <w:rFonts w:ascii="Georgia" w:hAnsi="Georgia"/>
          <w:color w:val="000000"/>
        </w:rPr>
        <w:t>Je soussigné(e) : ………………………………………………………………………………………………………. (2)</w:t>
      </w:r>
    </w:p>
    <w:p w:rsidR="00F04EEF" w:rsidRDefault="0099351E">
      <w:pPr>
        <w:shd w:val="clear" w:color="auto" w:fill="FFFFFF"/>
        <w:spacing w:line="240" w:lineRule="exact"/>
        <w:ind w:right="10"/>
        <w:jc w:val="both"/>
        <w:rPr>
          <w:rFonts w:ascii="Georgia" w:hAnsi="Georgia"/>
        </w:rPr>
      </w:pPr>
      <w:r>
        <w:rPr>
          <w:rFonts w:ascii="Georgia" w:hAnsi="Georgia"/>
          <w:color w:val="000000"/>
        </w:rPr>
        <w:t>Chef(fe) de l'établissement susmentionné, atteste, conformément à la décision du conseil de classe fondée sur l'acquisition des compétences -seuils, que l'élève : …………………………….. (2)</w:t>
      </w:r>
    </w:p>
    <w:p w:rsidR="00F04EEF" w:rsidRDefault="0099351E">
      <w:pPr>
        <w:shd w:val="clear" w:color="auto" w:fill="FFFFFF"/>
        <w:tabs>
          <w:tab w:val="left" w:leader="dot" w:pos="4368"/>
        </w:tabs>
        <w:jc w:val="both"/>
        <w:rPr>
          <w:rFonts w:ascii="Georgia" w:hAnsi="Georgia"/>
          <w:color w:val="000000"/>
        </w:rPr>
      </w:pPr>
      <w:r>
        <w:rPr>
          <w:rFonts w:ascii="Georgia" w:hAnsi="Georgia"/>
          <w:color w:val="000000"/>
          <w:spacing w:val="-4"/>
        </w:rPr>
        <w:t xml:space="preserve">Né(e) à </w:t>
      </w:r>
      <w:r>
        <w:rPr>
          <w:rFonts w:ascii="Georgia" w:hAnsi="Georgia"/>
          <w:color w:val="000000"/>
        </w:rPr>
        <w:t>……………………………………………………….. (3), le………………………………..................... (4)</w:t>
      </w:r>
    </w:p>
    <w:p w:rsidR="00F04EEF" w:rsidRDefault="0099351E">
      <w:pPr>
        <w:shd w:val="clear" w:color="auto" w:fill="FFFFFF"/>
        <w:tabs>
          <w:tab w:val="left" w:leader="dot" w:pos="4368"/>
        </w:tabs>
        <w:rPr>
          <w:rFonts w:ascii="Georgia" w:hAnsi="Georgia"/>
          <w:color w:val="000000"/>
        </w:rPr>
      </w:pPr>
      <w:r>
        <w:rPr>
          <w:rFonts w:ascii="Georgia" w:hAnsi="Georgia"/>
          <w:color w:val="000000"/>
        </w:rPr>
        <w:t>régulièrement inscrit(e) en première phase du secteur professionnel ………………………………..</w:t>
      </w:r>
      <w:r>
        <w:rPr>
          <w:rFonts w:ascii="Georgia" w:hAnsi="Georgia"/>
          <w:color w:val="000000"/>
        </w:rPr>
        <w:br/>
        <w:t>…………………………………………………(8) depuis le………………………………………………… (4) n'a pas à ce jour acquis toutes les compétences seuils requises pour le passage en deuxième phase.</w:t>
      </w:r>
    </w:p>
    <w:p w:rsidR="00F04EEF" w:rsidRDefault="0099351E">
      <w:pPr>
        <w:shd w:val="clear" w:color="auto" w:fill="FFFFFF"/>
        <w:spacing w:before="192"/>
        <w:jc w:val="both"/>
        <w:rPr>
          <w:rFonts w:ascii="Georgia" w:hAnsi="Georgia"/>
        </w:rPr>
      </w:pPr>
      <w:r>
        <w:rPr>
          <w:rFonts w:ascii="Georgia" w:hAnsi="Georgia"/>
          <w:color w:val="000000"/>
        </w:rPr>
        <w:t>En conséquence, l'élève doit prolonger sa formation dans la phase.</w:t>
      </w:r>
    </w:p>
    <w:p w:rsidR="00F04EEF" w:rsidRDefault="0099351E">
      <w:pPr>
        <w:shd w:val="clear" w:color="auto" w:fill="FFFFFF"/>
        <w:spacing w:before="192"/>
        <w:jc w:val="both"/>
        <w:rPr>
          <w:rFonts w:ascii="Georgia" w:hAnsi="Georgia"/>
        </w:rPr>
      </w:pPr>
      <w:r>
        <w:rPr>
          <w:rFonts w:ascii="Georgia" w:hAnsi="Georgia"/>
          <w:color w:val="000000"/>
        </w:rPr>
        <w:t>La situation de l'élève sera réévaluée dans un délai maximum d'un an.</w:t>
      </w:r>
    </w:p>
    <w:p w:rsidR="00F04EEF" w:rsidRDefault="0099351E">
      <w:pPr>
        <w:shd w:val="clear" w:color="auto" w:fill="FFFFFF"/>
        <w:spacing w:before="221" w:line="230" w:lineRule="exact"/>
        <w:jc w:val="both"/>
        <w:rPr>
          <w:rFonts w:ascii="Georgia" w:hAnsi="Georgia"/>
        </w:rPr>
      </w:pPr>
      <w:r>
        <w:rPr>
          <w:rFonts w:ascii="Georgia" w:hAnsi="Georgia"/>
          <w:color w:val="000000"/>
        </w:rPr>
        <w:t>J'atteste que toutes les prescriptions légales et réglementaires ont été respectées.</w:t>
      </w:r>
    </w:p>
    <w:p w:rsidR="00F04EEF" w:rsidRDefault="0099351E">
      <w:pPr>
        <w:shd w:val="clear" w:color="auto" w:fill="FFFFFF"/>
        <w:tabs>
          <w:tab w:val="left" w:leader="dot" w:pos="4330"/>
          <w:tab w:val="left" w:leader="dot" w:pos="7181"/>
        </w:tabs>
        <w:spacing w:before="432"/>
        <w:jc w:val="both"/>
        <w:rPr>
          <w:rFonts w:ascii="Georgia" w:hAnsi="Georgia"/>
        </w:rPr>
      </w:pPr>
      <w:r>
        <w:rPr>
          <w:rFonts w:ascii="Georgia" w:hAnsi="Georgia"/>
          <w:color w:val="000000"/>
        </w:rPr>
        <w:t xml:space="preserve">Délivrée à </w:t>
      </w:r>
      <w:r>
        <w:rPr>
          <w:rFonts w:ascii="Georgia" w:hAnsi="Georgia"/>
          <w:color w:val="000000"/>
        </w:rPr>
        <w:tab/>
        <w:t>…… (5), le………………………………………………. (4)</w:t>
      </w:r>
    </w:p>
    <w:p w:rsidR="00F04EEF" w:rsidRDefault="0099351E">
      <w:pPr>
        <w:shd w:val="clear" w:color="auto" w:fill="FFFFFF"/>
        <w:tabs>
          <w:tab w:val="left" w:pos="4790"/>
        </w:tabs>
        <w:spacing w:before="432"/>
        <w:jc w:val="both"/>
        <w:rPr>
          <w:rFonts w:ascii="Georgia" w:hAnsi="Georgia"/>
          <w:color w:val="000000"/>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t>Le (La) Chef(fe) d'établissement :</w:t>
      </w:r>
    </w:p>
    <w:p w:rsidR="00F04EEF" w:rsidRDefault="00F04EEF">
      <w:pPr>
        <w:jc w:val="both"/>
        <w:rPr>
          <w:rFonts w:ascii="Georgia" w:hAnsi="Georgia"/>
          <w:color w:val="000000"/>
        </w:rPr>
      </w:pPr>
    </w:p>
    <w:p w:rsidR="00F04EEF" w:rsidRDefault="00F04EEF">
      <w:pPr>
        <w:shd w:val="clear" w:color="auto" w:fill="FFFFFF"/>
        <w:ind w:left="578"/>
        <w:jc w:val="center"/>
        <w:rPr>
          <w:rFonts w:ascii="Georgia" w:hAnsi="Georgia"/>
        </w:rPr>
      </w:pPr>
    </w:p>
    <w:p w:rsidR="00F04EEF" w:rsidRDefault="00F04EEF">
      <w:pPr>
        <w:jc w:val="both"/>
        <w:rPr>
          <w:rFonts w:ascii="Georgia" w:hAnsi="Georgia"/>
        </w:rPr>
      </w:pPr>
    </w:p>
    <w:p w:rsidR="00F04EEF" w:rsidRDefault="00F04EEF">
      <w:pPr>
        <w:jc w:val="both"/>
        <w:rPr>
          <w:rFonts w:ascii="Georgia" w:hAnsi="Georgia"/>
        </w:rPr>
      </w:pPr>
    </w:p>
    <w:p w:rsidR="00F04EEF" w:rsidRDefault="00F04EEF">
      <w:pPr>
        <w:jc w:val="both"/>
        <w:rPr>
          <w:rFonts w:ascii="Georgia" w:hAnsi="Georgia"/>
          <w:b/>
          <w:u w:val="single"/>
        </w:rPr>
      </w:pPr>
    </w:p>
    <w:p w:rsidR="00F04EEF" w:rsidRDefault="00F04EEF">
      <w:pPr>
        <w:jc w:val="both"/>
        <w:rPr>
          <w:rFonts w:ascii="Georgia" w:hAnsi="Georgia"/>
          <w:b/>
          <w:u w:val="single"/>
        </w:rPr>
      </w:pPr>
    </w:p>
    <w:p w:rsidR="00F04EEF" w:rsidRDefault="00F04EEF">
      <w:pPr>
        <w:jc w:val="both"/>
        <w:rPr>
          <w:rFonts w:ascii="Georgia" w:hAnsi="Georgia"/>
          <w:b/>
          <w:u w:val="single"/>
        </w:rPr>
      </w:pPr>
    </w:p>
    <w:p w:rsidR="00F04EEF" w:rsidRDefault="00F04EEF">
      <w:pPr>
        <w:jc w:val="both"/>
        <w:rPr>
          <w:rFonts w:ascii="Georgia" w:hAnsi="Georgia"/>
          <w:b/>
          <w:u w:val="single"/>
        </w:rPr>
      </w:pPr>
    </w:p>
    <w:p w:rsidR="00F04EEF" w:rsidRDefault="0099351E">
      <w:pPr>
        <w:rPr>
          <w:rFonts w:ascii="Georgia" w:hAnsi="Georgia"/>
          <w:b/>
          <w:u w:val="single"/>
        </w:rPr>
      </w:pPr>
      <w:r>
        <w:rPr>
          <w:rFonts w:ascii="Georgia" w:hAnsi="Georgia"/>
          <w:b/>
          <w:u w:val="single"/>
        </w:rPr>
        <w:br w:type="page"/>
      </w:r>
    </w:p>
    <w:p w:rsidR="00F04EEF" w:rsidRDefault="0099351E">
      <w:pPr>
        <w:pStyle w:val="Titre4"/>
      </w:pPr>
      <w:r>
        <w:t>Annexe 6 : Attestation de prolongation de la deuxième phase</w:t>
      </w:r>
    </w:p>
    <w:p w:rsidR="00F04EEF" w:rsidRDefault="00F04EEF"/>
    <w:p w:rsidR="00F04EEF" w:rsidRDefault="0099351E">
      <w:pPr>
        <w:jc w:val="center"/>
        <w:rPr>
          <w:rFonts w:ascii="Georgia" w:hAnsi="Georgia"/>
          <w:b/>
        </w:rPr>
      </w:pPr>
      <w:r>
        <w:rPr>
          <w:rFonts w:ascii="Georgia" w:hAnsi="Georgia"/>
          <w:b/>
        </w:rPr>
        <w:t>COMMUNAUTE FRANÇAISE</w:t>
      </w:r>
    </w:p>
    <w:p w:rsidR="00F04EEF" w:rsidRDefault="00F04EEF">
      <w:pPr>
        <w:jc w:val="center"/>
        <w:rPr>
          <w:rFonts w:ascii="Georgia" w:hAnsi="Georgia"/>
          <w:b/>
        </w:rPr>
      </w:pP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99351E">
      <w:pPr>
        <w:shd w:val="clear" w:color="auto" w:fill="FFFFFF"/>
        <w:jc w:val="center"/>
        <w:rPr>
          <w:rFonts w:ascii="Georgia" w:hAnsi="Georgia"/>
          <w:b/>
          <w:bCs/>
          <w:color w:val="000000"/>
        </w:rPr>
      </w:pPr>
      <w:r>
        <w:rPr>
          <w:rFonts w:ascii="Georgia" w:hAnsi="Georgia"/>
          <w:b/>
          <w:bCs/>
          <w:color w:val="000000"/>
        </w:rPr>
        <w:t>(</w:t>
      </w:r>
      <w:r>
        <w:rPr>
          <w:rFonts w:ascii="Georgia" w:hAnsi="Georgia"/>
          <w:b/>
          <w:color w:val="000000"/>
        </w:rPr>
        <w:t>article 54 du Décret du 3 mars 2004</w:t>
      </w:r>
      <w:r>
        <w:rPr>
          <w:rFonts w:ascii="Georgia" w:hAnsi="Georgia"/>
          <w:b/>
          <w:bCs/>
          <w:color w:val="000000"/>
        </w:rPr>
        <w:t>)</w:t>
      </w:r>
    </w:p>
    <w:p w:rsidR="00F04EEF" w:rsidRDefault="00F04EEF">
      <w:pPr>
        <w:shd w:val="clear" w:color="auto" w:fill="FFFFFF"/>
        <w:jc w:val="center"/>
        <w:rPr>
          <w:rFonts w:ascii="Georgia" w:hAnsi="Georgia"/>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ATTESTATION DE PROLONGATION DE LA DEUXIEME PHASE</w:t>
      </w:r>
    </w:p>
    <w:p w:rsidR="00F04EEF" w:rsidRDefault="00F04EEF">
      <w:pPr>
        <w:shd w:val="clear" w:color="auto" w:fill="FFFFFF"/>
        <w:rPr>
          <w:rFonts w:ascii="Georgia" w:hAnsi="Georgia"/>
          <w:color w:val="000000"/>
        </w:rPr>
      </w:pPr>
    </w:p>
    <w:p w:rsidR="00F04EEF" w:rsidRDefault="0099351E">
      <w:pPr>
        <w:shd w:val="clear" w:color="auto" w:fill="FFFFFF"/>
        <w:rPr>
          <w:rFonts w:ascii="Georgia" w:hAnsi="Georgia"/>
        </w:rPr>
      </w:pPr>
      <w:r>
        <w:rPr>
          <w:rFonts w:ascii="Georgia" w:hAnsi="Georgia"/>
          <w:color w:val="000000"/>
        </w:rPr>
        <w:t>DENOMINATION ET SIEGE DE L'ETABLISSEMENT:</w:t>
      </w:r>
    </w:p>
    <w:p w:rsidR="00F04EEF" w:rsidRDefault="0099351E">
      <w:pPr>
        <w:shd w:val="clear" w:color="auto" w:fill="FFFFFF"/>
        <w:rPr>
          <w:rFonts w:ascii="Georgia" w:hAnsi="Georgia"/>
        </w:rPr>
      </w:pPr>
      <w:r>
        <w:rPr>
          <w:rFonts w:ascii="Georgia" w:hAnsi="Georgia"/>
          <w:color w:val="000000"/>
        </w:rPr>
        <w:t>……………………………………………………………………………………………………………………………………………………………………………………………………………………………………………………………………….. (1)</w:t>
      </w:r>
    </w:p>
    <w:p w:rsidR="00F04EEF" w:rsidRDefault="0099351E">
      <w:pPr>
        <w:shd w:val="clear" w:color="auto" w:fill="FFFFFF"/>
        <w:rPr>
          <w:rFonts w:ascii="Georgia" w:hAnsi="Georgia"/>
        </w:rPr>
      </w:pPr>
      <w:r>
        <w:rPr>
          <w:rFonts w:ascii="Georgia" w:hAnsi="Georgia"/>
          <w:color w:val="000000"/>
        </w:rPr>
        <w:t>Numéro Fase :</w:t>
      </w:r>
    </w:p>
    <w:p w:rsidR="00F04EEF" w:rsidRDefault="0099351E">
      <w:pPr>
        <w:shd w:val="clear" w:color="auto" w:fill="FFFFFF"/>
        <w:rPr>
          <w:rFonts w:ascii="Georgia" w:hAnsi="Georgia"/>
        </w:rPr>
      </w:pPr>
      <w:r>
        <w:rPr>
          <w:rFonts w:ascii="Georgia" w:hAnsi="Georgia"/>
          <w:color w:val="000000"/>
        </w:rPr>
        <w:t>Je soussigné(e) : ……………………………………………………………………………………………………… (2)</w:t>
      </w:r>
    </w:p>
    <w:p w:rsidR="00F04EEF" w:rsidRDefault="0099351E">
      <w:pPr>
        <w:shd w:val="clear" w:color="auto" w:fill="FFFFFF"/>
        <w:spacing w:line="240" w:lineRule="exact"/>
        <w:ind w:right="10"/>
        <w:jc w:val="both"/>
        <w:rPr>
          <w:rFonts w:ascii="Georgia" w:hAnsi="Georgia"/>
        </w:rPr>
      </w:pPr>
      <w:r>
        <w:rPr>
          <w:rFonts w:ascii="Georgia" w:hAnsi="Georgia"/>
          <w:color w:val="000000"/>
        </w:rPr>
        <w:t>Chef(fe) de l'établissement susmentionné, atteste, conformément à la décision du conseil de classe fondée sur l'acquisition des compétences -seuils, que l'élève : …………………………….. (2)</w:t>
      </w:r>
    </w:p>
    <w:p w:rsidR="00F04EEF" w:rsidRDefault="0099351E">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w:t>
      </w:r>
    </w:p>
    <w:p w:rsidR="00F04EEF" w:rsidRDefault="0099351E">
      <w:pPr>
        <w:shd w:val="clear" w:color="auto" w:fill="FFFFFF"/>
        <w:spacing w:line="240" w:lineRule="exact"/>
        <w:ind w:right="10"/>
        <w:jc w:val="both"/>
        <w:rPr>
          <w:rFonts w:ascii="Georgia" w:hAnsi="Georgia"/>
          <w:color w:val="000000"/>
        </w:rPr>
      </w:pPr>
      <w:r>
        <w:rPr>
          <w:rFonts w:ascii="Georgia" w:hAnsi="Georgia"/>
          <w:color w:val="000000"/>
        </w:rPr>
        <w:t>régulièrement inscrit(e) en deuxième phase du secteur professionnel………………………………………(8) depuis le………………………………(4) n'a pas à ce jour acquis toutes les compétences requises pour le passage en troisième phase.</w:t>
      </w:r>
    </w:p>
    <w:p w:rsidR="00F04EEF" w:rsidRDefault="0099351E">
      <w:pPr>
        <w:shd w:val="clear" w:color="auto" w:fill="FFFFFF"/>
        <w:spacing w:before="192"/>
        <w:rPr>
          <w:rFonts w:ascii="Georgia" w:hAnsi="Georgia"/>
        </w:rPr>
      </w:pPr>
      <w:r>
        <w:rPr>
          <w:rFonts w:ascii="Georgia" w:hAnsi="Georgia"/>
          <w:color w:val="000000"/>
        </w:rPr>
        <w:t>En conséquence, l'élève doit prolonger sa formation dans la phase.</w:t>
      </w:r>
    </w:p>
    <w:p w:rsidR="00F04EEF" w:rsidRDefault="0099351E">
      <w:pPr>
        <w:shd w:val="clear" w:color="auto" w:fill="FFFFFF"/>
        <w:spacing w:before="192"/>
        <w:rPr>
          <w:rFonts w:ascii="Georgia" w:hAnsi="Georgia"/>
        </w:rPr>
      </w:pPr>
      <w:r>
        <w:rPr>
          <w:rFonts w:ascii="Georgia" w:hAnsi="Georgia"/>
          <w:color w:val="000000"/>
        </w:rPr>
        <w:t>La situation de l'élève sera réévaluée dans un délai maximum d'un an.</w:t>
      </w:r>
    </w:p>
    <w:p w:rsidR="00F04EEF" w:rsidRDefault="0099351E">
      <w:pPr>
        <w:shd w:val="clear" w:color="auto" w:fill="FFFFFF"/>
        <w:spacing w:before="211" w:line="240" w:lineRule="exact"/>
        <w:rPr>
          <w:rFonts w:ascii="Georgia" w:hAnsi="Georgia"/>
        </w:rPr>
      </w:pPr>
      <w:r>
        <w:rPr>
          <w:rFonts w:ascii="Georgia" w:hAnsi="Georgia"/>
          <w:color w:val="000000"/>
        </w:rPr>
        <w:t>J'atteste que toutes les prescriptions légales et réglementaires ont été respectées.</w:t>
      </w:r>
    </w:p>
    <w:p w:rsidR="00F04EEF" w:rsidRDefault="0099351E">
      <w:pPr>
        <w:shd w:val="clear" w:color="auto" w:fill="FFFFFF"/>
        <w:tabs>
          <w:tab w:val="left" w:leader="dot" w:pos="4330"/>
          <w:tab w:val="left" w:leader="dot" w:pos="7181"/>
        </w:tabs>
        <w:spacing w:before="432"/>
        <w:rPr>
          <w:rFonts w:ascii="Georgia" w:hAnsi="Georgia"/>
        </w:rPr>
      </w:pPr>
      <w:r>
        <w:rPr>
          <w:rFonts w:ascii="Georgia" w:hAnsi="Georgia"/>
          <w:color w:val="000000"/>
        </w:rPr>
        <w:t xml:space="preserve">Délivrée à </w:t>
      </w:r>
      <w:r>
        <w:rPr>
          <w:rFonts w:ascii="Georgia" w:hAnsi="Georgia"/>
          <w:color w:val="000000"/>
        </w:rPr>
        <w:tab/>
        <w:t>………….(5), le……………………….…………………. (4)</w:t>
      </w:r>
    </w:p>
    <w:p w:rsidR="00F04EEF" w:rsidRDefault="00F04EEF">
      <w:pPr>
        <w:shd w:val="clear" w:color="auto" w:fill="FFFFFF"/>
        <w:tabs>
          <w:tab w:val="left" w:pos="4790"/>
        </w:tabs>
        <w:spacing w:before="432"/>
        <w:rPr>
          <w:rFonts w:ascii="Georgia" w:hAnsi="Georgia"/>
          <w:color w:val="000000"/>
        </w:rPr>
      </w:pPr>
    </w:p>
    <w:p w:rsidR="00F04EEF" w:rsidRDefault="0099351E">
      <w:pPr>
        <w:shd w:val="clear" w:color="auto" w:fill="FFFFFF"/>
        <w:tabs>
          <w:tab w:val="left" w:pos="4790"/>
        </w:tabs>
        <w:spacing w:before="432"/>
        <w:rPr>
          <w:rFonts w:ascii="Georgia" w:hAnsi="Georgia"/>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t>Le (La) Chef(fe) d'établissement :</w:t>
      </w:r>
    </w:p>
    <w:p w:rsidR="00F04EEF" w:rsidRDefault="00F04EEF">
      <w:pPr>
        <w:rPr>
          <w:rFonts w:ascii="Georgia" w:hAnsi="Georgia"/>
          <w:color w:val="000000"/>
        </w:rPr>
      </w:pPr>
    </w:p>
    <w:p w:rsidR="00F04EEF" w:rsidRDefault="00F04EEF">
      <w:pPr>
        <w:shd w:val="clear" w:color="auto" w:fill="FFFFFF"/>
        <w:jc w:val="center"/>
        <w:rPr>
          <w:rFonts w:ascii="Georgia" w:hAnsi="Georgia"/>
          <w:color w:val="000000"/>
        </w:rPr>
      </w:pPr>
    </w:p>
    <w:p w:rsidR="00F04EEF" w:rsidRDefault="00F04EEF">
      <w:pPr>
        <w:jc w:val="both"/>
        <w:rPr>
          <w:rFonts w:ascii="Georgia" w:hAnsi="Georgia"/>
        </w:rPr>
      </w:pPr>
    </w:p>
    <w:p w:rsidR="00F04EEF" w:rsidRDefault="00F04EEF">
      <w:pPr>
        <w:jc w:val="both"/>
        <w:rPr>
          <w:rFonts w:ascii="Georgia" w:hAnsi="Georgia"/>
        </w:rPr>
      </w:pPr>
    </w:p>
    <w:p w:rsidR="00F04EEF" w:rsidRDefault="00F04EEF">
      <w:pPr>
        <w:jc w:val="both"/>
        <w:rPr>
          <w:rFonts w:ascii="Georgia" w:hAnsi="Georgia"/>
        </w:rPr>
      </w:pPr>
    </w:p>
    <w:p w:rsidR="00F04EEF" w:rsidRDefault="00F04EEF">
      <w:pPr>
        <w:jc w:val="both"/>
        <w:rPr>
          <w:rFonts w:ascii="Georgia" w:hAnsi="Georgia"/>
        </w:rPr>
      </w:pPr>
    </w:p>
    <w:p w:rsidR="00F04EEF" w:rsidRDefault="0099351E">
      <w:pPr>
        <w:rPr>
          <w:rFonts w:ascii="Georgia" w:hAnsi="Georgia"/>
          <w:b/>
          <w:u w:val="single"/>
        </w:rPr>
      </w:pPr>
      <w:r>
        <w:rPr>
          <w:rFonts w:ascii="Georgia" w:hAnsi="Georgia"/>
          <w:b/>
          <w:u w:val="single"/>
        </w:rPr>
        <w:br w:type="page"/>
      </w:r>
    </w:p>
    <w:p w:rsidR="00F04EEF" w:rsidRDefault="0099351E">
      <w:pPr>
        <w:pStyle w:val="Titre4"/>
      </w:pPr>
      <w:r>
        <w:t>Annexe 7 : Avis d’orientation au temps d’observation en première phase</w:t>
      </w:r>
    </w:p>
    <w:p w:rsidR="00F04EEF" w:rsidRDefault="00F04EEF">
      <w:pPr>
        <w:rPr>
          <w:rFonts w:ascii="Georgia" w:hAnsi="Georgia"/>
        </w:rPr>
      </w:pPr>
    </w:p>
    <w:p w:rsidR="00F04EEF" w:rsidRDefault="0099351E">
      <w:pPr>
        <w:jc w:val="center"/>
        <w:rPr>
          <w:rFonts w:ascii="Georgia" w:hAnsi="Georgia"/>
          <w:b/>
        </w:rPr>
      </w:pPr>
      <w:r>
        <w:rPr>
          <w:rFonts w:ascii="Georgia" w:hAnsi="Georgia"/>
          <w:b/>
        </w:rPr>
        <w:t>COMMUNAUTE FRANÇAISE</w:t>
      </w: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99351E">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rsidR="00F04EEF" w:rsidRDefault="00F04EEF">
      <w:pPr>
        <w:shd w:val="clear" w:color="auto" w:fill="FFFFFF"/>
        <w:jc w:val="center"/>
        <w:rPr>
          <w:rFonts w:ascii="Georgia" w:hAnsi="Georgia"/>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AVIS D'ORIENTATION AU TERME DU TEMPS D’OBSERVATION EN PREMIERE PHASE</w:t>
      </w:r>
    </w:p>
    <w:p w:rsidR="00F04EEF" w:rsidRDefault="0099351E">
      <w:pPr>
        <w:shd w:val="clear" w:color="auto" w:fill="FFFFFF"/>
        <w:jc w:val="both"/>
        <w:rPr>
          <w:rFonts w:ascii="Georgia" w:hAnsi="Georgia"/>
          <w:color w:val="000000"/>
        </w:rPr>
      </w:pPr>
      <w:r>
        <w:rPr>
          <w:rFonts w:ascii="Georgia" w:hAnsi="Georgia"/>
          <w:color w:val="000000"/>
        </w:rPr>
        <w:t>DENOMINATION ET SIEGE DE L'ETABLISSEMENT:</w:t>
      </w:r>
    </w:p>
    <w:p w:rsidR="00F04EEF" w:rsidRDefault="0099351E">
      <w:pPr>
        <w:shd w:val="clear" w:color="auto" w:fill="FFFFFF"/>
        <w:rPr>
          <w:rFonts w:ascii="Georgia" w:hAnsi="Georgia"/>
        </w:rPr>
      </w:pPr>
      <w:r>
        <w:rPr>
          <w:rFonts w:ascii="Georgia" w:hAnsi="Georgia"/>
          <w:color w:val="000000"/>
        </w:rPr>
        <w:t>………………………………………………………………………………………………………………………………………….…………………………………………………………………………………………………………………………… (1)</w:t>
      </w:r>
    </w:p>
    <w:p w:rsidR="00F04EEF" w:rsidRDefault="0099351E">
      <w:pPr>
        <w:shd w:val="clear" w:color="auto" w:fill="FFFFFF"/>
        <w:rPr>
          <w:rFonts w:ascii="Georgia" w:hAnsi="Georgia"/>
        </w:rPr>
      </w:pPr>
      <w:r>
        <w:rPr>
          <w:rFonts w:ascii="Georgia" w:hAnsi="Georgia"/>
          <w:color w:val="000000"/>
        </w:rPr>
        <w:t>Numéro Fase :</w:t>
      </w:r>
    </w:p>
    <w:p w:rsidR="00F04EEF" w:rsidRDefault="0099351E">
      <w:pPr>
        <w:shd w:val="clear" w:color="auto" w:fill="FFFFFF"/>
        <w:rPr>
          <w:rFonts w:ascii="Georgia" w:hAnsi="Georgia"/>
          <w:color w:val="000000"/>
        </w:rPr>
      </w:pPr>
      <w:r>
        <w:rPr>
          <w:rFonts w:ascii="Georgia" w:hAnsi="Georgia"/>
          <w:color w:val="000000"/>
        </w:rPr>
        <w:t>Je soussigné(e) :………………………………………………………………………………………………………. (2)</w:t>
      </w:r>
    </w:p>
    <w:p w:rsidR="00F04EEF" w:rsidRDefault="0099351E">
      <w:pPr>
        <w:shd w:val="clear" w:color="auto" w:fill="FFFFFF"/>
        <w:rPr>
          <w:rFonts w:ascii="Georgia" w:hAnsi="Georgia"/>
        </w:rPr>
      </w:pPr>
      <w:r>
        <w:rPr>
          <w:rFonts w:ascii="Georgia" w:hAnsi="Georgia"/>
          <w:color w:val="000000"/>
        </w:rPr>
        <w:t>Chef(fe) de l'établissement susmentionné, atteste, conformément à la décision du conseil de classe fondée sur l'acquisition des compétences -seuils, que l'élève : …………………………….. (2)</w:t>
      </w:r>
    </w:p>
    <w:p w:rsidR="00F04EEF" w:rsidRDefault="0099351E">
      <w:pPr>
        <w:shd w:val="clear" w:color="auto" w:fill="FFFFFF"/>
        <w:tabs>
          <w:tab w:val="left" w:leader="dot" w:pos="4368"/>
        </w:tabs>
        <w:jc w:val="both"/>
        <w:rPr>
          <w:rFonts w:ascii="Georgia" w:hAnsi="Georgia"/>
          <w:color w:val="000000"/>
        </w:rPr>
      </w:pPr>
      <w:r>
        <w:rPr>
          <w:rFonts w:ascii="Georgia" w:hAnsi="Georgia"/>
          <w:color w:val="000000"/>
          <w:spacing w:val="-4"/>
        </w:rPr>
        <w:t xml:space="preserve">Né(e) à </w:t>
      </w:r>
      <w:r>
        <w:rPr>
          <w:rFonts w:ascii="Georgia" w:hAnsi="Georgia"/>
          <w:color w:val="000000"/>
        </w:rPr>
        <w:t xml:space="preserve">…………………………………………………………….. (3), le………………………………............... (4) </w:t>
      </w:r>
    </w:p>
    <w:p w:rsidR="00F04EEF" w:rsidRDefault="0099351E">
      <w:pPr>
        <w:shd w:val="clear" w:color="auto" w:fill="FFFFFF"/>
        <w:tabs>
          <w:tab w:val="left" w:leader="dot" w:pos="4368"/>
        </w:tabs>
        <w:jc w:val="both"/>
        <w:rPr>
          <w:rFonts w:ascii="Georgia" w:hAnsi="Georgia"/>
          <w:color w:val="000000"/>
        </w:rPr>
      </w:pPr>
      <w:r>
        <w:rPr>
          <w:rFonts w:ascii="Georgia" w:hAnsi="Georgia"/>
          <w:color w:val="000000"/>
        </w:rPr>
        <w:t>a suivi du ………………….. (4) au…………………………………………………. (4) en qualité d'élève régulier(e)</w:t>
      </w:r>
      <w:r>
        <w:rPr>
          <w:rFonts w:ascii="Georgia" w:hAnsi="Georgia"/>
        </w:rPr>
        <w:t xml:space="preserve"> </w:t>
      </w:r>
      <w:r>
        <w:rPr>
          <w:rFonts w:ascii="Georgia" w:hAnsi="Georgia"/>
          <w:color w:val="000000"/>
        </w:rPr>
        <w:t>la période d'observation de  l'enseignement secondaire spécialisé de forme 3.</w:t>
      </w:r>
    </w:p>
    <w:p w:rsidR="00F04EEF" w:rsidRDefault="0099351E">
      <w:pPr>
        <w:shd w:val="clear" w:color="auto" w:fill="FFFFFF"/>
        <w:spacing w:before="182"/>
        <w:rPr>
          <w:rFonts w:ascii="Georgia" w:hAnsi="Georgia"/>
        </w:rPr>
      </w:pPr>
      <w:r>
        <w:rPr>
          <w:rFonts w:ascii="Georgia" w:hAnsi="Georgia"/>
          <w:color w:val="000000"/>
        </w:rPr>
        <w:t>Le conseil de classe assisté de l'organisme chargé de la guidance :</w:t>
      </w:r>
    </w:p>
    <w:p w:rsidR="00F04EEF" w:rsidRDefault="0099351E">
      <w:pPr>
        <w:widowControl w:val="0"/>
        <w:numPr>
          <w:ilvl w:val="0"/>
          <w:numId w:val="281"/>
        </w:numPr>
        <w:shd w:val="clear" w:color="auto" w:fill="FFFFFF"/>
        <w:tabs>
          <w:tab w:val="left" w:pos="826"/>
        </w:tabs>
        <w:autoSpaceDE w:val="0"/>
        <w:autoSpaceDN w:val="0"/>
        <w:adjustRightInd w:val="0"/>
        <w:spacing w:before="211" w:line="240" w:lineRule="exact"/>
        <w:rPr>
          <w:rFonts w:ascii="Georgia" w:hAnsi="Georgia"/>
          <w:color w:val="000000"/>
        </w:rPr>
      </w:pPr>
      <w:r>
        <w:rPr>
          <w:rFonts w:ascii="Georgia" w:hAnsi="Georgia"/>
          <w:color w:val="000000"/>
        </w:rPr>
        <w:t>lui conseille de poursuivre sa formation dans le(s) secteur(s) professionnel(s) suivant(s) :</w:t>
      </w:r>
    </w:p>
    <w:p w:rsidR="00F04EEF" w:rsidRDefault="0099351E">
      <w:pPr>
        <w:widowControl w:val="0"/>
        <w:shd w:val="clear" w:color="auto" w:fill="FFFFFF"/>
        <w:tabs>
          <w:tab w:val="left" w:pos="826"/>
        </w:tabs>
        <w:autoSpaceDE w:val="0"/>
        <w:autoSpaceDN w:val="0"/>
        <w:adjustRightInd w:val="0"/>
        <w:rPr>
          <w:rFonts w:ascii="Georgia" w:hAnsi="Georgia"/>
          <w:color w:val="000000"/>
        </w:rPr>
      </w:pPr>
      <w:r>
        <w:rPr>
          <w:rFonts w:ascii="Georgia" w:hAnsi="Georgia"/>
          <w:color w:val="000000"/>
        </w:rPr>
        <w:t>…………………………………………………………………………………………………………………………………(8)</w:t>
      </w:r>
    </w:p>
    <w:p w:rsidR="00F04EEF" w:rsidRDefault="0099351E">
      <w:pPr>
        <w:widowControl w:val="0"/>
        <w:numPr>
          <w:ilvl w:val="0"/>
          <w:numId w:val="281"/>
        </w:numPr>
        <w:shd w:val="clear" w:color="auto" w:fill="FFFFFF"/>
        <w:tabs>
          <w:tab w:val="left" w:pos="826"/>
        </w:tabs>
        <w:autoSpaceDE w:val="0"/>
        <w:autoSpaceDN w:val="0"/>
        <w:adjustRightInd w:val="0"/>
        <w:spacing w:before="211" w:line="250" w:lineRule="exact"/>
        <w:rPr>
          <w:rFonts w:ascii="Georgia" w:hAnsi="Georgia"/>
          <w:color w:val="000000"/>
        </w:rPr>
      </w:pPr>
      <w:r>
        <w:rPr>
          <w:rFonts w:ascii="Georgia" w:hAnsi="Georgia"/>
          <w:color w:val="000000"/>
        </w:rPr>
        <w:t>lui déconseille de poursuivre sa formation dans le(s) secteur(s) professionnel(s) suivant(s) : ………………………………………………………………………………………………………………………………(8)</w:t>
      </w:r>
    </w:p>
    <w:p w:rsidR="00F04EEF" w:rsidRDefault="0099351E">
      <w:pPr>
        <w:widowControl w:val="0"/>
        <w:numPr>
          <w:ilvl w:val="0"/>
          <w:numId w:val="281"/>
        </w:numPr>
        <w:shd w:val="clear" w:color="auto" w:fill="FFFFFF"/>
        <w:tabs>
          <w:tab w:val="left" w:pos="826"/>
        </w:tabs>
        <w:autoSpaceDE w:val="0"/>
        <w:autoSpaceDN w:val="0"/>
        <w:adjustRightInd w:val="0"/>
        <w:rPr>
          <w:rFonts w:ascii="Georgia" w:hAnsi="Georgia"/>
          <w:color w:val="000000"/>
        </w:rPr>
      </w:pPr>
      <w:r>
        <w:rPr>
          <w:rFonts w:ascii="Georgia" w:hAnsi="Georgia"/>
          <w:color w:val="000000"/>
        </w:rPr>
        <w:t>L'avis du conseil de classe s'appuie sur les éléments suivants :</w:t>
      </w:r>
    </w:p>
    <w:p w:rsidR="00F04EEF" w:rsidRDefault="0099351E">
      <w:pPr>
        <w:widowControl w:val="0"/>
        <w:shd w:val="clear" w:color="auto" w:fill="FFFFFF"/>
        <w:tabs>
          <w:tab w:val="left" w:pos="826"/>
        </w:tabs>
        <w:autoSpaceDE w:val="0"/>
        <w:autoSpaceDN w:val="0"/>
        <w:adjustRightInd w:val="0"/>
        <w:rPr>
          <w:rFonts w:ascii="Georgia" w:hAnsi="Georgia"/>
          <w:color w:val="000000"/>
        </w:rPr>
      </w:pPr>
      <w:r>
        <w:rPr>
          <w:rFonts w:ascii="Georgia" w:hAnsi="Georgia"/>
          <w:color w:val="000000"/>
        </w:rPr>
        <w:t>………………………………………………………………………………………………………………………………………</w:t>
      </w:r>
    </w:p>
    <w:p w:rsidR="00F04EEF" w:rsidRDefault="0099351E">
      <w:pPr>
        <w:shd w:val="clear" w:color="auto" w:fill="FFFFFF"/>
        <w:spacing w:before="173"/>
        <w:rPr>
          <w:rFonts w:ascii="Georgia" w:hAnsi="Georgia"/>
        </w:rPr>
      </w:pPr>
      <w:r>
        <w:rPr>
          <w:rFonts w:ascii="Georgia" w:hAnsi="Georgia"/>
          <w:color w:val="000000"/>
        </w:rPr>
        <w:t>J'atteste que toutes les prescriptions légales et réglementaires ont été respectées.</w:t>
      </w:r>
    </w:p>
    <w:p w:rsidR="00F04EEF" w:rsidRDefault="0099351E">
      <w:pPr>
        <w:shd w:val="clear" w:color="auto" w:fill="FFFFFF"/>
        <w:tabs>
          <w:tab w:val="left" w:leader="dot" w:pos="4330"/>
          <w:tab w:val="left" w:leader="dot" w:pos="7181"/>
        </w:tabs>
        <w:spacing w:before="240"/>
        <w:rPr>
          <w:rFonts w:ascii="Georgia" w:hAnsi="Georgia"/>
        </w:rPr>
      </w:pPr>
      <w:r>
        <w:rPr>
          <w:rFonts w:ascii="Georgia" w:hAnsi="Georgia"/>
          <w:color w:val="000000"/>
        </w:rPr>
        <w:t>Délivré à ……………………………………….…….(5), le………………………………………………………… (4)</w:t>
      </w:r>
    </w:p>
    <w:p w:rsidR="00F04EEF" w:rsidRDefault="00F04EEF">
      <w:pPr>
        <w:shd w:val="clear" w:color="auto" w:fill="FFFFFF"/>
        <w:spacing w:before="173"/>
        <w:rPr>
          <w:rFonts w:ascii="Georgia" w:hAnsi="Georgia"/>
          <w:color w:val="000000"/>
        </w:rPr>
      </w:pPr>
    </w:p>
    <w:p w:rsidR="00F04EEF" w:rsidRDefault="00F04EEF">
      <w:pPr>
        <w:shd w:val="clear" w:color="auto" w:fill="FFFFFF"/>
        <w:spacing w:before="173"/>
        <w:rPr>
          <w:rFonts w:ascii="Georgia" w:hAnsi="Georgia"/>
          <w:color w:val="000000"/>
        </w:rPr>
      </w:pPr>
    </w:p>
    <w:p w:rsidR="00F04EEF" w:rsidRDefault="0099351E">
      <w:pPr>
        <w:shd w:val="clear" w:color="auto" w:fill="FFFFFF"/>
        <w:spacing w:before="173"/>
        <w:rPr>
          <w:rFonts w:ascii="Georgia" w:hAnsi="Georgia"/>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 :</w:t>
      </w:r>
    </w:p>
    <w:p w:rsidR="00F04EEF" w:rsidRDefault="00F04EEF">
      <w:pPr>
        <w:shd w:val="clear" w:color="auto" w:fill="FFFFFF"/>
        <w:jc w:val="center"/>
        <w:rPr>
          <w:rFonts w:ascii="Georgia" w:hAnsi="Georgia"/>
          <w:color w:val="000000"/>
        </w:rPr>
      </w:pPr>
    </w:p>
    <w:p w:rsidR="00F04EEF" w:rsidRDefault="00F04EEF">
      <w:pPr>
        <w:jc w:val="both"/>
        <w:rPr>
          <w:rFonts w:ascii="Georgia" w:hAnsi="Georgia"/>
        </w:rPr>
      </w:pPr>
    </w:p>
    <w:p w:rsidR="00F04EEF" w:rsidRDefault="00F04EEF">
      <w:pPr>
        <w:jc w:val="both"/>
        <w:rPr>
          <w:rFonts w:ascii="Georgia" w:hAnsi="Georgia"/>
        </w:rPr>
      </w:pPr>
    </w:p>
    <w:p w:rsidR="00F04EEF" w:rsidRDefault="00F04EEF">
      <w:pPr>
        <w:jc w:val="both"/>
        <w:rPr>
          <w:rFonts w:ascii="Georgia" w:hAnsi="Georgia"/>
        </w:rPr>
      </w:pPr>
    </w:p>
    <w:p w:rsidR="00F04EEF" w:rsidRDefault="0099351E">
      <w:pPr>
        <w:rPr>
          <w:rFonts w:ascii="Georgia" w:hAnsi="Georgia"/>
          <w:b/>
          <w:u w:val="single"/>
        </w:rPr>
      </w:pPr>
      <w:r>
        <w:rPr>
          <w:rFonts w:ascii="Georgia" w:hAnsi="Georgia"/>
          <w:b/>
          <w:u w:val="single"/>
        </w:rPr>
        <w:br w:type="page"/>
      </w:r>
    </w:p>
    <w:p w:rsidR="00F04EEF" w:rsidRDefault="0099351E">
      <w:pPr>
        <w:pStyle w:val="Titre4"/>
      </w:pPr>
      <w:r>
        <w:t>Annexe 8 : Avis de réorientation dans un autre secteur en cours de deuxième phase</w:t>
      </w:r>
    </w:p>
    <w:p w:rsidR="00F04EEF" w:rsidRDefault="00F04EEF">
      <w:pPr>
        <w:rPr>
          <w:rFonts w:ascii="Georgia" w:hAnsi="Georgia"/>
        </w:rPr>
      </w:pPr>
    </w:p>
    <w:p w:rsidR="00F04EEF" w:rsidRDefault="0099351E">
      <w:pPr>
        <w:jc w:val="center"/>
        <w:rPr>
          <w:rFonts w:ascii="Georgia" w:hAnsi="Georgia"/>
          <w:b/>
        </w:rPr>
      </w:pPr>
      <w:r>
        <w:rPr>
          <w:rFonts w:ascii="Georgia" w:hAnsi="Georgia"/>
          <w:b/>
        </w:rPr>
        <w:t>COMMUNAUTE FRANÇAISE</w:t>
      </w:r>
    </w:p>
    <w:p w:rsidR="00F04EEF" w:rsidRDefault="00F04EEF">
      <w:pPr>
        <w:jc w:val="center"/>
        <w:rPr>
          <w:rFonts w:ascii="Georgia" w:hAnsi="Georgia"/>
          <w:b/>
        </w:rPr>
      </w:pP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99351E">
      <w:pPr>
        <w:jc w:val="center"/>
        <w:rPr>
          <w:rFonts w:ascii="Georgia" w:hAnsi="Georgia"/>
          <w:b/>
          <w:bCs/>
          <w:color w:val="000000"/>
        </w:rPr>
      </w:pPr>
      <w:r>
        <w:rPr>
          <w:rFonts w:ascii="Georgia" w:hAnsi="Georgia"/>
          <w:b/>
          <w:bCs/>
          <w:color w:val="000000"/>
        </w:rPr>
        <w:t xml:space="preserve">(Décret du </w:t>
      </w:r>
      <w:r>
        <w:rPr>
          <w:rFonts w:ascii="Georgia" w:hAnsi="Georgia"/>
          <w:b/>
          <w:color w:val="000000"/>
        </w:rPr>
        <w:t>3</w:t>
      </w:r>
      <w:r>
        <w:rPr>
          <w:rFonts w:ascii="Georgia" w:hAnsi="Georgia"/>
          <w:color w:val="000000"/>
        </w:rPr>
        <w:t xml:space="preserve"> </w:t>
      </w:r>
      <w:r>
        <w:rPr>
          <w:rFonts w:ascii="Georgia" w:hAnsi="Georgia"/>
          <w:b/>
          <w:bCs/>
          <w:color w:val="000000"/>
        </w:rPr>
        <w:t>mars 2004)</w:t>
      </w:r>
    </w:p>
    <w:p w:rsidR="00F04EEF" w:rsidRDefault="00F04EEF">
      <w:pPr>
        <w:shd w:val="clear" w:color="auto" w:fill="FFFFFF"/>
        <w:jc w:val="center"/>
        <w:rPr>
          <w:rFonts w:ascii="Georgia" w:hAnsi="Georgia"/>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AVIS DE REORIENTATION DANS UN AUTRE SECTEUR EN COURS DE DEUXIEME PHASE</w:t>
      </w:r>
    </w:p>
    <w:p w:rsidR="00F04EEF" w:rsidRDefault="00F04EEF">
      <w:pPr>
        <w:shd w:val="clear" w:color="auto" w:fill="FFFFFF"/>
        <w:jc w:val="both"/>
        <w:rPr>
          <w:rFonts w:ascii="Georgia" w:hAnsi="Georgia"/>
          <w:color w:val="000000"/>
        </w:rPr>
      </w:pPr>
    </w:p>
    <w:p w:rsidR="00F04EEF" w:rsidRDefault="0099351E">
      <w:pPr>
        <w:shd w:val="clear" w:color="auto" w:fill="FFFFFF"/>
        <w:jc w:val="both"/>
        <w:rPr>
          <w:rFonts w:ascii="Georgia" w:hAnsi="Georgia"/>
          <w:color w:val="000000"/>
        </w:rPr>
      </w:pPr>
      <w:r>
        <w:rPr>
          <w:rFonts w:ascii="Georgia" w:hAnsi="Georgia"/>
          <w:color w:val="000000"/>
        </w:rPr>
        <w:t>DENOMINATION ET SIEGE DE L'ETABLISSEMENT:</w:t>
      </w:r>
    </w:p>
    <w:p w:rsidR="00F04EEF" w:rsidRDefault="0099351E">
      <w:pPr>
        <w:shd w:val="clear" w:color="auto" w:fill="FFFFFF"/>
        <w:jc w:val="both"/>
        <w:rPr>
          <w:rFonts w:ascii="Georgia" w:hAnsi="Georgia"/>
        </w:rPr>
      </w:pPr>
      <w:r>
        <w:rPr>
          <w:rFonts w:ascii="Georgia" w:hAnsi="Georgia"/>
          <w:color w:val="000000"/>
        </w:rPr>
        <w:t>………………………………………………………………………………………………………………………………………………………………………………………………………………………………………………………………………. (1)</w:t>
      </w:r>
    </w:p>
    <w:p w:rsidR="00F04EEF" w:rsidRDefault="0099351E">
      <w:pPr>
        <w:shd w:val="clear" w:color="auto" w:fill="FFFFFF"/>
        <w:spacing w:before="211"/>
        <w:jc w:val="both"/>
        <w:rPr>
          <w:rFonts w:ascii="Georgia" w:hAnsi="Georgia"/>
        </w:rPr>
      </w:pPr>
      <w:r>
        <w:rPr>
          <w:rFonts w:ascii="Georgia" w:hAnsi="Georgia"/>
          <w:color w:val="000000"/>
        </w:rPr>
        <w:t>En application de l'article 56, alinéa 3. du décret du 3 mars 2004,</w:t>
      </w:r>
    </w:p>
    <w:p w:rsidR="00F04EEF" w:rsidRDefault="0099351E">
      <w:pPr>
        <w:shd w:val="clear" w:color="auto" w:fill="FFFFFF"/>
        <w:rPr>
          <w:rFonts w:ascii="Georgia" w:hAnsi="Georgia"/>
        </w:rPr>
      </w:pPr>
      <w:r>
        <w:rPr>
          <w:rFonts w:ascii="Georgia" w:hAnsi="Georgia"/>
          <w:color w:val="000000"/>
        </w:rPr>
        <w:t>Numéro Fase :</w:t>
      </w:r>
    </w:p>
    <w:p w:rsidR="00F04EEF" w:rsidRDefault="0099351E">
      <w:pPr>
        <w:shd w:val="clear" w:color="auto" w:fill="FFFFFF"/>
        <w:tabs>
          <w:tab w:val="left" w:leader="dot" w:pos="8275"/>
        </w:tabs>
        <w:jc w:val="both"/>
        <w:rPr>
          <w:rFonts w:ascii="Georgia" w:hAnsi="Georgia"/>
        </w:rPr>
      </w:pPr>
      <w:r>
        <w:rPr>
          <w:rFonts w:ascii="Georgia" w:hAnsi="Georgia"/>
          <w:color w:val="000000"/>
        </w:rPr>
        <w:t>Je soussigné(e) : ………………………………………………………………………………………………………. (2)</w:t>
      </w:r>
    </w:p>
    <w:p w:rsidR="00F04EEF" w:rsidRDefault="0099351E">
      <w:pPr>
        <w:shd w:val="clear" w:color="auto" w:fill="FFFFFF"/>
        <w:spacing w:line="230" w:lineRule="exact"/>
        <w:jc w:val="both"/>
        <w:rPr>
          <w:rFonts w:ascii="Georgia" w:hAnsi="Georgia"/>
        </w:rPr>
      </w:pPr>
      <w:r>
        <w:rPr>
          <w:rFonts w:ascii="Georgia" w:hAnsi="Georgia"/>
          <w:color w:val="000000"/>
        </w:rPr>
        <w:t>Chef(fe) de l'établissement susmentionné, atteste avoir examiné la demande de changement d'orientation de l'élève : …………………………………………………….. (2)</w:t>
      </w:r>
    </w:p>
    <w:p w:rsidR="00F04EEF" w:rsidRDefault="0099351E">
      <w:pPr>
        <w:shd w:val="clear" w:color="auto" w:fill="FFFFFF"/>
        <w:tabs>
          <w:tab w:val="left" w:leader="dot" w:pos="4368"/>
        </w:tabs>
        <w:rPr>
          <w:rFonts w:ascii="Georgia" w:hAnsi="Georgia"/>
          <w:color w:val="000000"/>
        </w:rPr>
      </w:pPr>
      <w:r>
        <w:rPr>
          <w:rFonts w:ascii="Georgia" w:hAnsi="Georgia"/>
          <w:color w:val="000000"/>
          <w:spacing w:val="-4"/>
        </w:rPr>
        <w:t xml:space="preserve">Né(e) à </w:t>
      </w:r>
      <w:r>
        <w:rPr>
          <w:rFonts w:ascii="Georgia" w:hAnsi="Georgia"/>
          <w:color w:val="000000"/>
        </w:rPr>
        <w:t>………………………………………………………….. (3), le…………………………………................. (4) du secteur………………………………………….. (8) au secteur………………………………………………(8)</w:t>
      </w:r>
    </w:p>
    <w:p w:rsidR="00F04EEF" w:rsidRDefault="0099351E">
      <w:pPr>
        <w:shd w:val="clear" w:color="auto" w:fill="FFFFFF"/>
        <w:jc w:val="both"/>
        <w:rPr>
          <w:rFonts w:ascii="Georgia" w:hAnsi="Georgia"/>
          <w:b/>
          <w:color w:val="000000"/>
        </w:rPr>
      </w:pPr>
      <w:r>
        <w:rPr>
          <w:rFonts w:ascii="Georgia" w:hAnsi="Georgia"/>
          <w:b/>
          <w:color w:val="000000"/>
        </w:rPr>
        <w:t>ET</w:t>
      </w:r>
    </w:p>
    <w:p w:rsidR="00F04EEF" w:rsidRDefault="0099351E">
      <w:pPr>
        <w:widowControl w:val="0"/>
        <w:numPr>
          <w:ilvl w:val="0"/>
          <w:numId w:val="282"/>
        </w:numPr>
        <w:shd w:val="clear" w:color="auto" w:fill="FFFFFF"/>
        <w:autoSpaceDE w:val="0"/>
        <w:autoSpaceDN w:val="0"/>
        <w:adjustRightInd w:val="0"/>
        <w:spacing w:before="202" w:line="240" w:lineRule="exact"/>
        <w:ind w:left="567" w:hanging="567"/>
        <w:jc w:val="both"/>
        <w:rPr>
          <w:rFonts w:ascii="Georgia" w:hAnsi="Georgia"/>
          <w:color w:val="000000"/>
        </w:rPr>
      </w:pPr>
      <w:r>
        <w:rPr>
          <w:rFonts w:ascii="Georgia" w:hAnsi="Georgia"/>
          <w:color w:val="000000"/>
        </w:rPr>
        <w:t>Vu la demande écrite des parents, de la personne investie de l'autorité parentale ou de l'élève majeur(e) ;</w:t>
      </w:r>
    </w:p>
    <w:p w:rsidR="00F04EEF" w:rsidRDefault="0099351E">
      <w:pPr>
        <w:widowControl w:val="0"/>
        <w:numPr>
          <w:ilvl w:val="0"/>
          <w:numId w:val="283"/>
        </w:numPr>
        <w:shd w:val="clear" w:color="auto" w:fill="FFFFFF"/>
        <w:autoSpaceDE w:val="0"/>
        <w:autoSpaceDN w:val="0"/>
        <w:adjustRightInd w:val="0"/>
        <w:ind w:left="567" w:hanging="567"/>
        <w:jc w:val="both"/>
        <w:rPr>
          <w:rFonts w:ascii="Georgia" w:hAnsi="Georgia"/>
          <w:color w:val="000000"/>
        </w:rPr>
      </w:pPr>
      <w:r>
        <w:rPr>
          <w:rFonts w:ascii="Georgia" w:hAnsi="Georgia"/>
          <w:color w:val="000000"/>
        </w:rPr>
        <w:t>Vu l'attestation d'acquisition des compétences - seuils dans le secteur ;</w:t>
      </w:r>
    </w:p>
    <w:p w:rsidR="00F04EEF" w:rsidRDefault="0099351E">
      <w:pPr>
        <w:widowControl w:val="0"/>
        <w:numPr>
          <w:ilvl w:val="0"/>
          <w:numId w:val="283"/>
        </w:numPr>
        <w:shd w:val="clear" w:color="auto" w:fill="FFFFFF"/>
        <w:autoSpaceDE w:val="0"/>
        <w:autoSpaceDN w:val="0"/>
        <w:adjustRightInd w:val="0"/>
        <w:ind w:left="567" w:hanging="567"/>
        <w:jc w:val="both"/>
        <w:rPr>
          <w:rFonts w:ascii="Georgia" w:hAnsi="Georgia"/>
          <w:color w:val="000000"/>
        </w:rPr>
      </w:pPr>
      <w:r>
        <w:rPr>
          <w:rFonts w:ascii="Georgia" w:hAnsi="Georgia"/>
          <w:color w:val="000000"/>
        </w:rPr>
        <w:t>Après analyse du plan individuel d'apprentissage (PIA) de l'élève par le conseil de classe du nouveau secteur ;</w:t>
      </w:r>
    </w:p>
    <w:p w:rsidR="00F04EEF" w:rsidRDefault="00F04EEF">
      <w:pPr>
        <w:widowControl w:val="0"/>
        <w:shd w:val="clear" w:color="auto" w:fill="FFFFFF"/>
        <w:autoSpaceDE w:val="0"/>
        <w:autoSpaceDN w:val="0"/>
        <w:adjustRightInd w:val="0"/>
        <w:rPr>
          <w:rFonts w:ascii="Georgia" w:hAnsi="Georgia"/>
          <w:color w:val="000000"/>
        </w:rPr>
      </w:pPr>
    </w:p>
    <w:p w:rsidR="00F04EEF" w:rsidRDefault="0099351E">
      <w:pPr>
        <w:widowControl w:val="0"/>
        <w:shd w:val="clear" w:color="auto" w:fill="FFFFFF"/>
        <w:autoSpaceDE w:val="0"/>
        <w:autoSpaceDN w:val="0"/>
        <w:adjustRightInd w:val="0"/>
        <w:rPr>
          <w:rFonts w:ascii="Georgia" w:hAnsi="Georgia"/>
          <w:color w:val="000000"/>
        </w:rPr>
      </w:pPr>
      <w:r>
        <w:rPr>
          <w:rFonts w:ascii="Georgia" w:hAnsi="Georgia"/>
          <w:color w:val="000000"/>
        </w:rPr>
        <w:t>J’émets un avis ……………………………… (11) à cette demande de réorientation dans l'établissement susmentionné</w:t>
      </w:r>
    </w:p>
    <w:p w:rsidR="00F04EEF" w:rsidRDefault="0099351E">
      <w:pPr>
        <w:shd w:val="clear" w:color="auto" w:fill="FFFFFF"/>
        <w:tabs>
          <w:tab w:val="left" w:leader="dot" w:pos="4330"/>
          <w:tab w:val="left" w:leader="dot" w:pos="7181"/>
        </w:tabs>
        <w:spacing w:before="240"/>
        <w:jc w:val="both"/>
        <w:rPr>
          <w:rFonts w:ascii="Georgia" w:hAnsi="Georgia"/>
        </w:rPr>
      </w:pPr>
      <w:r>
        <w:rPr>
          <w:rFonts w:ascii="Georgia" w:hAnsi="Georgia"/>
          <w:color w:val="000000"/>
        </w:rPr>
        <w:t xml:space="preserve">Délivré à </w:t>
      </w:r>
      <w:r>
        <w:rPr>
          <w:rFonts w:ascii="Georgia" w:hAnsi="Georgia"/>
          <w:color w:val="000000"/>
        </w:rPr>
        <w:tab/>
        <w:t>………… (5), le…………………..…………………… (4)</w:t>
      </w:r>
    </w:p>
    <w:p w:rsidR="00F04EEF" w:rsidRDefault="0099351E">
      <w:pPr>
        <w:shd w:val="clear" w:color="auto" w:fill="FFFFFF"/>
        <w:spacing w:before="173"/>
        <w:jc w:val="both"/>
        <w:rPr>
          <w:rFonts w:ascii="Georgia" w:hAnsi="Georgia"/>
          <w:color w:val="000000"/>
        </w:rPr>
      </w:pPr>
      <w:r>
        <w:rPr>
          <w:rFonts w:ascii="Georgia" w:hAnsi="Georgia"/>
          <w:color w:val="000000"/>
        </w:rPr>
        <w:t>Sceau de l'établissement :</w:t>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r>
      <w:r>
        <w:rPr>
          <w:rFonts w:ascii="Georgia" w:hAnsi="Georgia"/>
          <w:color w:val="000000"/>
        </w:rPr>
        <w:tab/>
        <w:t>Le (La) Chef(fe) d'établissement :</w:t>
      </w:r>
    </w:p>
    <w:p w:rsidR="00F04EEF" w:rsidRDefault="00F04EEF">
      <w:pPr>
        <w:shd w:val="clear" w:color="auto" w:fill="FFFFFF"/>
        <w:spacing w:before="173"/>
        <w:jc w:val="both"/>
        <w:rPr>
          <w:rFonts w:ascii="Georgia" w:hAnsi="Georgia"/>
          <w:color w:val="000000"/>
        </w:rPr>
      </w:pPr>
    </w:p>
    <w:p w:rsidR="00F04EEF" w:rsidRDefault="0099351E">
      <w:pPr>
        <w:rPr>
          <w:rFonts w:ascii="Georgia" w:hAnsi="Georgia"/>
          <w:color w:val="000000"/>
        </w:rPr>
      </w:pPr>
      <w:r>
        <w:rPr>
          <w:rFonts w:ascii="Georgia" w:hAnsi="Georgia"/>
          <w:color w:val="000000"/>
        </w:rPr>
        <w:br w:type="page"/>
      </w:r>
    </w:p>
    <w:p w:rsidR="00F04EEF" w:rsidRDefault="00F04EEF">
      <w:pPr>
        <w:pageBreakBefore/>
        <w:suppressAutoHyphens/>
        <w:autoSpaceDE w:val="0"/>
        <w:autoSpaceDN w:val="0"/>
        <w:adjustRightInd w:val="0"/>
        <w:rPr>
          <w:rFonts w:ascii="Georgia" w:eastAsia="Times New Roman" w:hAnsi="Georgia" w:cs="Georgia"/>
          <w:b/>
          <w:color w:val="000000"/>
          <w:szCs w:val="24"/>
          <w:u w:val="single"/>
        </w:rPr>
      </w:pPr>
    </w:p>
    <w:p w:rsidR="00F04EEF" w:rsidRDefault="0099351E">
      <w:pPr>
        <w:pStyle w:val="Titre4"/>
        <w:rPr>
          <w:rFonts w:ascii="Cambria" w:hAnsi="Cambria" w:cs="Calibri"/>
          <w:b w:val="0"/>
          <w:szCs w:val="24"/>
          <w:lang w:eastAsia="fr-BE"/>
        </w:rPr>
      </w:pPr>
      <w:bookmarkStart w:id="3836" w:name="_Annexe_9_:_1"/>
      <w:bookmarkEnd w:id="3836"/>
      <w:r>
        <w:t>Annexe 9 : Procès-verbal de délivrance du certificat de qualification</w:t>
      </w:r>
    </w:p>
    <w:p w:rsidR="00F04EEF" w:rsidRDefault="00F04EEF">
      <w:pPr>
        <w:suppressAutoHyphens/>
        <w:autoSpaceDE w:val="0"/>
        <w:autoSpaceDN w:val="0"/>
        <w:adjustRightInd w:val="0"/>
        <w:rPr>
          <w:rFonts w:ascii="Georgia" w:eastAsia="Times New Roman" w:hAnsi="Georgia" w:cs="Georgia"/>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F04EEF">
      <w:pPr>
        <w:suppressAutoHyphens/>
        <w:autoSpaceDE w:val="0"/>
        <w:autoSpaceDN w:val="0"/>
        <w:adjustRightInd w:val="0"/>
        <w:jc w:val="center"/>
        <w:rPr>
          <w:rFonts w:ascii="Georgia" w:eastAsia="Times New Roman" w:hAnsi="Georgia" w:cs="Georgia"/>
          <w:b/>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widowControl w:val="0"/>
        <w:suppressAutoHyphens/>
        <w:autoSpaceDE w:val="0"/>
        <w:autoSpaceDN w:val="0"/>
        <w:adjustRightInd w:val="0"/>
        <w:spacing w:line="284" w:lineRule="exact"/>
        <w:ind w:left="3516" w:right="2928"/>
        <w:jc w:val="center"/>
        <w:rPr>
          <w:rFonts w:ascii="Georgia" w:eastAsia="Times New Roman" w:hAnsi="Georgia" w:cs="Georgia"/>
          <w:b/>
          <w:szCs w:val="24"/>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 xml:space="preserve">PROCES-VERBAL DE DELIVRANCE DU CERTIFICAT DE QUALIFICATION </w:t>
      </w:r>
    </w:p>
    <w:p w:rsidR="00F04EEF" w:rsidRDefault="0099351E">
      <w:pPr>
        <w:shd w:val="clear" w:color="auto" w:fill="FFFFFF"/>
        <w:suppressAutoHyphens/>
        <w:autoSpaceDE w:val="0"/>
        <w:autoSpaceDN w:val="0"/>
        <w:adjustRightInd w:val="0"/>
        <w:jc w:val="both"/>
        <w:rPr>
          <w:rFonts w:ascii="Cambria" w:eastAsia="Times New Roman" w:hAnsi="Cambria" w:cs="Calibri"/>
          <w:szCs w:val="24"/>
        </w:rPr>
      </w:pPr>
      <w:r>
        <w:rPr>
          <w:rFonts w:ascii="Georgia" w:eastAsia="Times New Roman" w:hAnsi="Georgia" w:cs="Georgia"/>
          <w:color w:val="000000"/>
          <w:szCs w:val="24"/>
        </w:rPr>
        <w:t>SECTEUR PROFESSIONNEL : ………………………………………………………………………………… (8)</w:t>
      </w:r>
    </w:p>
    <w:p w:rsidR="00F04EEF" w:rsidRDefault="0099351E">
      <w:pPr>
        <w:shd w:val="clear" w:color="auto" w:fill="FFFFFF"/>
        <w:suppressAutoHyphens/>
        <w:autoSpaceDE w:val="0"/>
        <w:autoSpaceDN w:val="0"/>
        <w:adjustRightInd w:val="0"/>
        <w:jc w:val="both"/>
        <w:rPr>
          <w:rFonts w:ascii="Cambria" w:eastAsia="Times New Roman" w:hAnsi="Cambria" w:cs="Calibri"/>
          <w:szCs w:val="24"/>
        </w:rPr>
      </w:pPr>
      <w:r>
        <w:rPr>
          <w:rFonts w:ascii="Georgia" w:eastAsia="Times New Roman" w:hAnsi="Georgia" w:cs="Georgia"/>
          <w:color w:val="000000"/>
          <w:szCs w:val="24"/>
        </w:rPr>
        <w:t>GROUPE PROFESSIONNEL : ………………………………………………………………………..………… (9)</w:t>
      </w:r>
    </w:p>
    <w:p w:rsidR="00F04EEF" w:rsidRDefault="0099351E">
      <w:pPr>
        <w:shd w:val="clear" w:color="auto" w:fill="FFFFFF"/>
        <w:suppressAutoHyphens/>
        <w:autoSpaceDE w:val="0"/>
        <w:autoSpaceDN w:val="0"/>
        <w:adjustRightInd w:val="0"/>
        <w:jc w:val="both"/>
        <w:rPr>
          <w:rFonts w:ascii="Cambria" w:eastAsia="Times New Roman" w:hAnsi="Cambria" w:cs="Calibri"/>
          <w:szCs w:val="24"/>
        </w:rPr>
      </w:pPr>
      <w:r>
        <w:rPr>
          <w:rFonts w:ascii="Georgia" w:eastAsia="Times New Roman" w:hAnsi="Georgia" w:cs="Georgia"/>
          <w:color w:val="000000"/>
          <w:szCs w:val="24"/>
        </w:rPr>
        <w:t>METIER : ……………………………………………………………………………………………………………….. (6)</w:t>
      </w:r>
    </w:p>
    <w:p w:rsidR="00F04EEF" w:rsidRDefault="00F04EEF">
      <w:pPr>
        <w:shd w:val="clear" w:color="auto" w:fill="FFFFFF"/>
        <w:suppressAutoHyphens/>
        <w:autoSpaceDE w:val="0"/>
        <w:autoSpaceDN w:val="0"/>
        <w:adjustRightInd w:val="0"/>
        <w:jc w:val="both"/>
        <w:rPr>
          <w:rFonts w:ascii="Georgia" w:eastAsia="Times New Roman" w:hAnsi="Georgia" w:cs="Georgia"/>
          <w:color w:val="000000"/>
          <w:szCs w:val="24"/>
        </w:rPr>
      </w:pP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color w:val="000000"/>
          <w:szCs w:val="24"/>
        </w:rPr>
        <w:t>DENOMINATION ET SIEGE DE L'ETABLISSEMENT </w:t>
      </w: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szCs w:val="24"/>
        </w:rPr>
        <w:t>………………………………………………………………………………………………………………………………………………………………………………………………………………………………………………………………………. (1)</w:t>
      </w:r>
    </w:p>
    <w:p w:rsidR="00F04EEF" w:rsidRDefault="0099351E">
      <w:pPr>
        <w:widowControl w:val="0"/>
        <w:suppressAutoHyphens/>
        <w:autoSpaceDE w:val="0"/>
        <w:autoSpaceDN w:val="0"/>
        <w:adjustRightInd w:val="0"/>
        <w:spacing w:line="240" w:lineRule="exact"/>
        <w:ind w:right="6663"/>
        <w:jc w:val="both"/>
        <w:rPr>
          <w:rFonts w:ascii="Cambria" w:eastAsia="Times New Roman" w:hAnsi="Cambria" w:cs="Calibri"/>
          <w:szCs w:val="24"/>
        </w:rPr>
      </w:pPr>
      <w:r>
        <w:rPr>
          <w:rFonts w:ascii="Georgia" w:eastAsia="Times New Roman" w:hAnsi="Georgia" w:cs="Georgia"/>
          <w:w w:val="99"/>
          <w:szCs w:val="24"/>
        </w:rPr>
        <w:t>Numéro Fase </w:t>
      </w:r>
      <w:r>
        <w:rPr>
          <w:rFonts w:ascii="Georgia" w:eastAsia="Times New Roman" w:hAnsi="Georgia" w:cs="Georgia"/>
          <w:szCs w:val="24"/>
        </w:rPr>
        <w:t xml:space="preserve">: </w:t>
      </w:r>
    </w:p>
    <w:p w:rsidR="00F04EEF" w:rsidRDefault="0099351E">
      <w:pPr>
        <w:widowControl w:val="0"/>
        <w:suppressAutoHyphens/>
        <w:autoSpaceDE w:val="0"/>
        <w:autoSpaceDN w:val="0"/>
        <w:adjustRightInd w:val="0"/>
        <w:spacing w:line="240" w:lineRule="exact"/>
        <w:ind w:right="-10"/>
        <w:jc w:val="both"/>
        <w:rPr>
          <w:rFonts w:ascii="Cambria" w:eastAsia="Times New Roman" w:hAnsi="Cambria" w:cs="Calibri"/>
          <w:szCs w:val="24"/>
        </w:rPr>
      </w:pPr>
      <w:r>
        <w:rPr>
          <w:rFonts w:ascii="Georgia" w:eastAsia="Times New Roman" w:hAnsi="Georgia" w:cs="Georgia"/>
          <w:szCs w:val="24"/>
        </w:rPr>
        <w:t>Le</w:t>
      </w:r>
      <w:r>
        <w:rPr>
          <w:rFonts w:ascii="Georgia" w:eastAsia="Times New Roman" w:hAnsi="Georgia" w:cs="Georgia"/>
          <w:spacing w:val="7"/>
          <w:szCs w:val="24"/>
        </w:rPr>
        <w:t xml:space="preserve"> </w:t>
      </w:r>
      <w:r>
        <w:rPr>
          <w:rFonts w:ascii="Georgia" w:eastAsia="Times New Roman" w:hAnsi="Georgia" w:cs="Georgia"/>
          <w:szCs w:val="24"/>
        </w:rPr>
        <w:t>Jury</w:t>
      </w:r>
      <w:r>
        <w:rPr>
          <w:rFonts w:ascii="Georgia" w:eastAsia="Times New Roman" w:hAnsi="Georgia" w:cs="Georgia"/>
          <w:spacing w:val="5"/>
          <w:szCs w:val="24"/>
        </w:rPr>
        <w:t xml:space="preserve"> </w:t>
      </w:r>
      <w:r>
        <w:rPr>
          <w:rFonts w:ascii="Georgia" w:eastAsia="Times New Roman" w:hAnsi="Georgia" w:cs="Georgia"/>
          <w:szCs w:val="24"/>
        </w:rPr>
        <w:t>de</w:t>
      </w:r>
      <w:r>
        <w:rPr>
          <w:rFonts w:ascii="Georgia" w:eastAsia="Times New Roman" w:hAnsi="Georgia" w:cs="Georgia"/>
          <w:spacing w:val="11"/>
          <w:szCs w:val="24"/>
        </w:rPr>
        <w:t xml:space="preserve"> </w:t>
      </w:r>
      <w:r>
        <w:rPr>
          <w:rFonts w:ascii="Georgia" w:eastAsia="Times New Roman" w:hAnsi="Georgia" w:cs="Georgia"/>
          <w:szCs w:val="24"/>
        </w:rPr>
        <w:t>qualification,</w:t>
      </w:r>
      <w:r>
        <w:rPr>
          <w:rFonts w:ascii="Georgia" w:eastAsia="Times New Roman" w:hAnsi="Georgia" w:cs="Georgia"/>
          <w:spacing w:val="-5"/>
          <w:szCs w:val="24"/>
        </w:rPr>
        <w:t xml:space="preserve"> </w:t>
      </w:r>
      <w:r>
        <w:rPr>
          <w:rFonts w:ascii="Georgia" w:eastAsia="Times New Roman" w:hAnsi="Georgia" w:cs="Georgia"/>
          <w:szCs w:val="24"/>
        </w:rPr>
        <w:t>constitué conformément</w:t>
      </w:r>
      <w:r>
        <w:rPr>
          <w:rFonts w:ascii="Georgia" w:eastAsia="Times New Roman" w:hAnsi="Georgia" w:cs="Georgia"/>
          <w:spacing w:val="5"/>
          <w:szCs w:val="24"/>
        </w:rPr>
        <w:t xml:space="preserve"> </w:t>
      </w:r>
      <w:r>
        <w:rPr>
          <w:rFonts w:ascii="Georgia" w:eastAsia="Times New Roman" w:hAnsi="Georgia" w:cs="Georgia"/>
          <w:szCs w:val="24"/>
        </w:rPr>
        <w:t>aux</w:t>
      </w:r>
      <w:r>
        <w:rPr>
          <w:rFonts w:ascii="Georgia" w:eastAsia="Times New Roman" w:hAnsi="Georgia" w:cs="Georgia"/>
          <w:spacing w:val="10"/>
          <w:szCs w:val="24"/>
        </w:rPr>
        <w:t xml:space="preserve"> </w:t>
      </w:r>
      <w:r>
        <w:rPr>
          <w:rFonts w:ascii="Georgia" w:eastAsia="Times New Roman" w:hAnsi="Georgia" w:cs="Georgia"/>
          <w:szCs w:val="24"/>
        </w:rPr>
        <w:t>dispositions</w:t>
      </w:r>
      <w:r>
        <w:rPr>
          <w:rFonts w:ascii="Georgia" w:eastAsia="Times New Roman" w:hAnsi="Georgia" w:cs="Georgia"/>
          <w:spacing w:val="-3"/>
          <w:szCs w:val="24"/>
        </w:rPr>
        <w:t xml:space="preserve"> </w:t>
      </w:r>
      <w:r>
        <w:rPr>
          <w:rFonts w:ascii="Georgia" w:eastAsia="Times New Roman" w:hAnsi="Georgia" w:cs="Georgia"/>
          <w:szCs w:val="24"/>
        </w:rPr>
        <w:t>du</w:t>
      </w:r>
      <w:r>
        <w:rPr>
          <w:rFonts w:ascii="Georgia" w:eastAsia="Times New Roman" w:hAnsi="Georgia" w:cs="Georgia"/>
          <w:spacing w:val="10"/>
          <w:szCs w:val="24"/>
        </w:rPr>
        <w:t xml:space="preserve"> </w:t>
      </w:r>
      <w:r>
        <w:rPr>
          <w:rFonts w:ascii="Georgia" w:eastAsia="Times New Roman" w:hAnsi="Georgia" w:cs="Georgia"/>
          <w:szCs w:val="24"/>
        </w:rPr>
        <w:t>D</w:t>
      </w:r>
      <w:r>
        <w:rPr>
          <w:rFonts w:ascii="Georgia" w:eastAsia="Times New Roman" w:hAnsi="Georgia" w:cs="Georgia"/>
          <w:spacing w:val="-1"/>
          <w:szCs w:val="24"/>
        </w:rPr>
        <w:t>é</w:t>
      </w:r>
      <w:r>
        <w:rPr>
          <w:rFonts w:ascii="Georgia" w:eastAsia="Times New Roman" w:hAnsi="Georgia" w:cs="Georgia"/>
          <w:szCs w:val="24"/>
        </w:rPr>
        <w:t>cret</w:t>
      </w:r>
      <w:r>
        <w:rPr>
          <w:rFonts w:ascii="Georgia" w:eastAsia="Times New Roman" w:hAnsi="Georgia" w:cs="Georgia"/>
          <w:spacing w:val="6"/>
          <w:szCs w:val="24"/>
        </w:rPr>
        <w:t xml:space="preserve"> </w:t>
      </w:r>
      <w:r>
        <w:rPr>
          <w:rFonts w:ascii="Georgia" w:eastAsia="Times New Roman" w:hAnsi="Georgia" w:cs="Georgia"/>
          <w:szCs w:val="24"/>
        </w:rPr>
        <w:t>du</w:t>
      </w:r>
      <w:r>
        <w:rPr>
          <w:rFonts w:ascii="Georgia" w:eastAsia="Times New Roman" w:hAnsi="Georgia" w:cs="Georgia"/>
          <w:spacing w:val="10"/>
          <w:szCs w:val="24"/>
        </w:rPr>
        <w:t xml:space="preserve"> </w:t>
      </w:r>
      <w:r>
        <w:rPr>
          <w:rFonts w:ascii="Georgia" w:eastAsia="Times New Roman" w:hAnsi="Georgia" w:cs="Georgia"/>
          <w:szCs w:val="24"/>
        </w:rPr>
        <w:t>3 mars</w:t>
      </w:r>
      <w:r>
        <w:rPr>
          <w:rFonts w:ascii="Georgia" w:eastAsia="Times New Roman" w:hAnsi="Georgia" w:cs="Georgia"/>
          <w:spacing w:val="3"/>
          <w:szCs w:val="24"/>
        </w:rPr>
        <w:t xml:space="preserve"> </w:t>
      </w:r>
      <w:r>
        <w:rPr>
          <w:rFonts w:ascii="Georgia" w:eastAsia="Times New Roman" w:hAnsi="Georgia" w:cs="Georgia"/>
          <w:szCs w:val="24"/>
        </w:rPr>
        <w:t>2004</w:t>
      </w:r>
      <w:r>
        <w:rPr>
          <w:rFonts w:ascii="Georgia" w:eastAsia="Times New Roman" w:hAnsi="Georgia" w:cs="Georgia"/>
          <w:spacing w:val="3"/>
          <w:szCs w:val="24"/>
        </w:rPr>
        <w:t xml:space="preserve"> organisant l’enseignement spécialisé, </w:t>
      </w:r>
      <w:r>
        <w:rPr>
          <w:rFonts w:ascii="Georgia" w:eastAsia="Times New Roman" w:hAnsi="Georgia" w:cs="Georgia"/>
          <w:szCs w:val="24"/>
        </w:rPr>
        <w:t>chargé</w:t>
      </w:r>
      <w:r>
        <w:rPr>
          <w:rFonts w:ascii="Georgia" w:eastAsia="Times New Roman" w:hAnsi="Georgia" w:cs="Georgia"/>
          <w:spacing w:val="-4"/>
          <w:szCs w:val="24"/>
        </w:rPr>
        <w:t xml:space="preserve"> </w:t>
      </w:r>
      <w:r>
        <w:rPr>
          <w:rFonts w:ascii="Georgia" w:eastAsia="Times New Roman" w:hAnsi="Georgia" w:cs="Georgia"/>
          <w:szCs w:val="24"/>
        </w:rPr>
        <w:t>de</w:t>
      </w:r>
      <w:r>
        <w:rPr>
          <w:rFonts w:ascii="Georgia" w:eastAsia="Times New Roman" w:hAnsi="Georgia" w:cs="Georgia"/>
          <w:spacing w:val="3"/>
          <w:szCs w:val="24"/>
        </w:rPr>
        <w:t xml:space="preserve"> </w:t>
      </w:r>
      <w:r>
        <w:rPr>
          <w:rFonts w:ascii="Georgia" w:eastAsia="Times New Roman" w:hAnsi="Georgia" w:cs="Georgia"/>
          <w:szCs w:val="24"/>
        </w:rPr>
        <w:t>procéder</w:t>
      </w:r>
      <w:r>
        <w:rPr>
          <w:rFonts w:ascii="Georgia" w:eastAsia="Times New Roman" w:hAnsi="Georgia" w:cs="Georgia"/>
          <w:spacing w:val="-7"/>
          <w:szCs w:val="24"/>
        </w:rPr>
        <w:t xml:space="preserve"> </w:t>
      </w:r>
      <w:r>
        <w:rPr>
          <w:rFonts w:ascii="Georgia" w:eastAsia="Times New Roman" w:hAnsi="Georgia" w:cs="Georgia"/>
          <w:szCs w:val="24"/>
        </w:rPr>
        <w:t>aux</w:t>
      </w:r>
      <w:r>
        <w:rPr>
          <w:rFonts w:ascii="Georgia" w:eastAsia="Times New Roman" w:hAnsi="Georgia" w:cs="Georgia"/>
          <w:spacing w:val="3"/>
          <w:szCs w:val="24"/>
        </w:rPr>
        <w:t xml:space="preserve"> </w:t>
      </w:r>
      <w:r>
        <w:rPr>
          <w:rFonts w:ascii="Georgia" w:eastAsia="Times New Roman" w:hAnsi="Georgia" w:cs="Georgia"/>
          <w:szCs w:val="24"/>
        </w:rPr>
        <w:t>épreuves</w:t>
      </w:r>
      <w:r>
        <w:rPr>
          <w:rFonts w:ascii="Georgia" w:eastAsia="Times New Roman" w:hAnsi="Georgia" w:cs="Georgia"/>
          <w:spacing w:val="-7"/>
          <w:szCs w:val="24"/>
        </w:rPr>
        <w:t xml:space="preserve"> </w:t>
      </w:r>
      <w:r>
        <w:rPr>
          <w:rFonts w:ascii="Georgia" w:eastAsia="Times New Roman" w:hAnsi="Georgia" w:cs="Georgia"/>
          <w:szCs w:val="24"/>
        </w:rPr>
        <w:t>de</w:t>
      </w:r>
      <w:r>
        <w:rPr>
          <w:rFonts w:ascii="Georgia" w:eastAsia="Times New Roman" w:hAnsi="Georgia" w:cs="Georgia"/>
          <w:spacing w:val="2"/>
          <w:szCs w:val="24"/>
        </w:rPr>
        <w:t xml:space="preserve"> </w:t>
      </w:r>
      <w:r>
        <w:rPr>
          <w:rFonts w:ascii="Georgia" w:eastAsia="Times New Roman" w:hAnsi="Georgia" w:cs="Georgia"/>
          <w:szCs w:val="24"/>
        </w:rPr>
        <w:t>qualification</w:t>
      </w:r>
      <w:r>
        <w:rPr>
          <w:rFonts w:ascii="Georgia" w:eastAsia="Times New Roman" w:hAnsi="Georgia" w:cs="Georgia"/>
          <w:spacing w:val="-11"/>
          <w:szCs w:val="24"/>
        </w:rPr>
        <w:t xml:space="preserve"> </w:t>
      </w:r>
      <w:r>
        <w:rPr>
          <w:rFonts w:ascii="Georgia" w:eastAsia="Times New Roman" w:hAnsi="Georgia" w:cs="Georgia"/>
          <w:szCs w:val="24"/>
        </w:rPr>
        <w:t>en vue</w:t>
      </w:r>
      <w:r>
        <w:rPr>
          <w:rFonts w:ascii="Georgia" w:eastAsia="Times New Roman" w:hAnsi="Georgia" w:cs="Georgia"/>
          <w:spacing w:val="-1"/>
          <w:szCs w:val="24"/>
        </w:rPr>
        <w:t xml:space="preserve"> </w:t>
      </w:r>
      <w:r>
        <w:rPr>
          <w:rFonts w:ascii="Georgia" w:eastAsia="Times New Roman" w:hAnsi="Georgia" w:cs="Georgia"/>
          <w:szCs w:val="24"/>
        </w:rPr>
        <w:t>de</w:t>
      </w:r>
      <w:r>
        <w:rPr>
          <w:rFonts w:ascii="Georgia" w:eastAsia="Times New Roman" w:hAnsi="Georgia" w:cs="Georgia"/>
          <w:spacing w:val="3"/>
          <w:szCs w:val="24"/>
        </w:rPr>
        <w:t xml:space="preserve"> </w:t>
      </w:r>
      <w:r>
        <w:rPr>
          <w:rFonts w:ascii="Georgia" w:eastAsia="Times New Roman" w:hAnsi="Georgia" w:cs="Georgia"/>
          <w:szCs w:val="24"/>
        </w:rPr>
        <w:t>la</w:t>
      </w:r>
      <w:r>
        <w:rPr>
          <w:rFonts w:ascii="Georgia" w:eastAsia="Times New Roman" w:hAnsi="Georgia" w:cs="Georgia"/>
          <w:spacing w:val="3"/>
          <w:szCs w:val="24"/>
        </w:rPr>
        <w:t xml:space="preserve"> </w:t>
      </w:r>
      <w:r>
        <w:rPr>
          <w:rFonts w:ascii="Georgia" w:eastAsia="Times New Roman" w:hAnsi="Georgia" w:cs="Georgia"/>
          <w:szCs w:val="24"/>
        </w:rPr>
        <w:t>délivrance</w:t>
      </w:r>
      <w:r>
        <w:rPr>
          <w:rFonts w:ascii="Georgia" w:eastAsia="Times New Roman" w:hAnsi="Georgia" w:cs="Georgia"/>
          <w:spacing w:val="-9"/>
          <w:szCs w:val="24"/>
        </w:rPr>
        <w:t xml:space="preserve"> </w:t>
      </w:r>
      <w:r>
        <w:rPr>
          <w:rFonts w:ascii="Georgia" w:eastAsia="Times New Roman" w:hAnsi="Georgia" w:cs="Georgia"/>
          <w:szCs w:val="24"/>
        </w:rPr>
        <w:t>du certificat</w:t>
      </w:r>
      <w:r>
        <w:rPr>
          <w:rFonts w:ascii="Georgia" w:eastAsia="Times New Roman" w:hAnsi="Georgia" w:cs="Georgia"/>
          <w:spacing w:val="-10"/>
          <w:szCs w:val="24"/>
        </w:rPr>
        <w:t xml:space="preserve"> </w:t>
      </w:r>
      <w:r>
        <w:rPr>
          <w:rFonts w:ascii="Georgia" w:eastAsia="Times New Roman" w:hAnsi="Georgia" w:cs="Georgia"/>
          <w:szCs w:val="24"/>
        </w:rPr>
        <w:t>de qualification</w:t>
      </w:r>
      <w:r>
        <w:rPr>
          <w:rFonts w:ascii="Georgia" w:eastAsia="Times New Roman" w:hAnsi="Georgia" w:cs="Georgia"/>
          <w:spacing w:val="-14"/>
          <w:szCs w:val="24"/>
        </w:rPr>
        <w:t xml:space="preserve"> </w:t>
      </w:r>
      <w:r>
        <w:rPr>
          <w:rFonts w:ascii="Georgia" w:eastAsia="Times New Roman" w:hAnsi="Georgia" w:cs="Georgia"/>
          <w:szCs w:val="24"/>
        </w:rPr>
        <w:t>dans l'ensei</w:t>
      </w:r>
      <w:r>
        <w:rPr>
          <w:rFonts w:ascii="Georgia" w:eastAsia="Times New Roman" w:hAnsi="Georgia" w:cs="Georgia"/>
          <w:spacing w:val="-2"/>
          <w:szCs w:val="24"/>
        </w:rPr>
        <w:t>g</w:t>
      </w:r>
      <w:r>
        <w:rPr>
          <w:rFonts w:ascii="Georgia" w:eastAsia="Times New Roman" w:hAnsi="Georgia" w:cs="Georgia"/>
          <w:szCs w:val="24"/>
        </w:rPr>
        <w:t>nement</w:t>
      </w:r>
      <w:r>
        <w:rPr>
          <w:rFonts w:ascii="Georgia" w:eastAsia="Times New Roman" w:hAnsi="Georgia" w:cs="Georgia"/>
          <w:spacing w:val="-8"/>
          <w:szCs w:val="24"/>
        </w:rPr>
        <w:t xml:space="preserve"> </w:t>
      </w:r>
      <w:r>
        <w:rPr>
          <w:rFonts w:ascii="Georgia" w:eastAsia="Times New Roman" w:hAnsi="Georgia" w:cs="Georgia"/>
          <w:szCs w:val="24"/>
        </w:rPr>
        <w:t>susvisé</w:t>
      </w:r>
      <w:r>
        <w:rPr>
          <w:rFonts w:ascii="Georgia" w:eastAsia="Times New Roman" w:hAnsi="Georgia" w:cs="Georgia"/>
          <w:spacing w:val="-8"/>
          <w:szCs w:val="24"/>
        </w:rPr>
        <w:t xml:space="preserve"> </w:t>
      </w:r>
      <w:r>
        <w:rPr>
          <w:rFonts w:ascii="Georgia" w:eastAsia="Times New Roman" w:hAnsi="Georgia" w:cs="Georgia"/>
          <w:szCs w:val="24"/>
        </w:rPr>
        <w:t>après en</w:t>
      </w:r>
      <w:r>
        <w:rPr>
          <w:rFonts w:ascii="Georgia" w:eastAsia="Times New Roman" w:hAnsi="Georgia" w:cs="Georgia"/>
          <w:spacing w:val="-4"/>
          <w:szCs w:val="24"/>
        </w:rPr>
        <w:t xml:space="preserve"> </w:t>
      </w:r>
      <w:r>
        <w:rPr>
          <w:rFonts w:ascii="Georgia" w:eastAsia="Times New Roman" w:hAnsi="Georgia" w:cs="Georgia"/>
          <w:szCs w:val="24"/>
        </w:rPr>
        <w:t>avoir délibéré,</w:t>
      </w:r>
    </w:p>
    <w:p w:rsidR="00F04EEF" w:rsidRDefault="00F04EEF">
      <w:pPr>
        <w:widowControl w:val="0"/>
        <w:suppressAutoHyphens/>
        <w:autoSpaceDE w:val="0"/>
        <w:autoSpaceDN w:val="0"/>
        <w:adjustRightInd w:val="0"/>
        <w:spacing w:line="240" w:lineRule="exact"/>
        <w:ind w:right="-10"/>
        <w:jc w:val="both"/>
        <w:rPr>
          <w:rFonts w:ascii="Georgia" w:eastAsia="Times New Roman" w:hAnsi="Georgia" w:cs="Georgia"/>
          <w:szCs w:val="24"/>
        </w:rPr>
      </w:pPr>
    </w:p>
    <w:p w:rsidR="00F04EEF" w:rsidRDefault="0099351E">
      <w:pPr>
        <w:widowControl w:val="0"/>
        <w:suppressAutoHyphens/>
        <w:autoSpaceDE w:val="0"/>
        <w:autoSpaceDN w:val="0"/>
        <w:adjustRightInd w:val="0"/>
        <w:spacing w:line="244" w:lineRule="exact"/>
        <w:ind w:left="742" w:right="-20"/>
        <w:rPr>
          <w:rFonts w:ascii="Cambria" w:eastAsia="Times New Roman" w:hAnsi="Cambria" w:cs="Calibri"/>
          <w:szCs w:val="24"/>
        </w:rPr>
      </w:pPr>
      <w:r>
        <w:rPr>
          <w:rFonts w:ascii="Georgia" w:eastAsia="Times New Roman" w:hAnsi="Georgia" w:cs="Georgia"/>
          <w:szCs w:val="24"/>
        </w:rPr>
        <w:t>a) confère</w:t>
      </w:r>
      <w:r>
        <w:rPr>
          <w:rFonts w:ascii="Georgia" w:eastAsia="Times New Roman" w:hAnsi="Georgia" w:cs="Georgia"/>
          <w:spacing w:val="-8"/>
          <w:szCs w:val="24"/>
        </w:rPr>
        <w:t xml:space="preserve"> </w:t>
      </w:r>
      <w:r>
        <w:rPr>
          <w:rFonts w:ascii="Georgia" w:eastAsia="Times New Roman" w:hAnsi="Georgia" w:cs="Georgia"/>
          <w:spacing w:val="-1"/>
          <w:szCs w:val="24"/>
        </w:rPr>
        <w:t>l</w:t>
      </w:r>
      <w:r>
        <w:rPr>
          <w:rFonts w:ascii="Georgia" w:eastAsia="Times New Roman" w:hAnsi="Georgia" w:cs="Georgia"/>
          <w:szCs w:val="24"/>
        </w:rPr>
        <w:t>e</w:t>
      </w:r>
      <w:r>
        <w:rPr>
          <w:rFonts w:ascii="Georgia" w:eastAsia="Times New Roman" w:hAnsi="Georgia" w:cs="Georgia"/>
          <w:spacing w:val="-1"/>
          <w:szCs w:val="24"/>
        </w:rPr>
        <w:t xml:space="preserve"> </w:t>
      </w:r>
      <w:r>
        <w:rPr>
          <w:rFonts w:ascii="Georgia" w:eastAsia="Times New Roman" w:hAnsi="Georgia" w:cs="Georgia"/>
          <w:szCs w:val="24"/>
        </w:rPr>
        <w:t>certificat</w:t>
      </w:r>
      <w:r>
        <w:rPr>
          <w:rFonts w:ascii="Georgia" w:eastAsia="Times New Roman" w:hAnsi="Georgia" w:cs="Georgia"/>
          <w:spacing w:val="-10"/>
          <w:szCs w:val="24"/>
        </w:rPr>
        <w:t xml:space="preserve"> </w:t>
      </w:r>
      <w:r>
        <w:rPr>
          <w:rFonts w:ascii="Georgia" w:eastAsia="Times New Roman" w:hAnsi="Georgia" w:cs="Georgia"/>
          <w:szCs w:val="24"/>
        </w:rPr>
        <w:t>à</w:t>
      </w:r>
    </w:p>
    <w:p w:rsidR="00F04EEF" w:rsidRDefault="00F04EEF">
      <w:pPr>
        <w:widowControl w:val="0"/>
        <w:suppressAutoHyphens/>
        <w:autoSpaceDE w:val="0"/>
        <w:autoSpaceDN w:val="0"/>
        <w:adjustRightInd w:val="0"/>
        <w:spacing w:before="1" w:line="220" w:lineRule="exact"/>
        <w:rPr>
          <w:rFonts w:ascii="Georgia" w:eastAsia="Times New Roman" w:hAnsi="Georgia" w:cs="Georgia"/>
          <w:szCs w:val="24"/>
        </w:rPr>
      </w:pPr>
    </w:p>
    <w:tbl>
      <w:tblPr>
        <w:tblW w:w="0" w:type="auto"/>
        <w:tblInd w:w="112" w:type="dxa"/>
        <w:tblLayout w:type="fixed"/>
        <w:tblCellMar>
          <w:left w:w="0" w:type="dxa"/>
          <w:right w:w="0" w:type="dxa"/>
        </w:tblCellMar>
        <w:tblLook w:val="0000" w:firstRow="0" w:lastRow="0" w:firstColumn="0" w:lastColumn="0" w:noHBand="0" w:noVBand="0"/>
      </w:tblPr>
      <w:tblGrid>
        <w:gridCol w:w="2420"/>
        <w:gridCol w:w="2443"/>
        <w:gridCol w:w="2436"/>
        <w:gridCol w:w="2421"/>
      </w:tblGrid>
      <w:tr w:rsidR="00F04EEF">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Nom</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(2)</w:t>
            </w:r>
          </w:p>
          <w:p w:rsidR="00F04EEF" w:rsidRDefault="00F04EEF">
            <w:pPr>
              <w:widowControl w:val="0"/>
              <w:suppressAutoHyphens/>
              <w:autoSpaceDE w:val="0"/>
              <w:autoSpaceDN w:val="0"/>
              <w:adjustRightInd w:val="0"/>
              <w:jc w:val="center"/>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Prénom</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(2)</w:t>
            </w: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Lieu de naissance</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(3)</w:t>
            </w: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Date de naissance</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(4)</w:t>
            </w:r>
          </w:p>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p w:rsidR="00F04EEF" w:rsidRDefault="00F04EEF">
            <w:pPr>
              <w:widowControl w:val="0"/>
              <w:suppressAutoHyphens/>
              <w:autoSpaceDE w:val="0"/>
              <w:autoSpaceDN w:val="0"/>
              <w:adjustRightInd w:val="0"/>
              <w:rPr>
                <w:rFonts w:ascii="Georgia" w:eastAsia="Times New Roman" w:hAnsi="Georgia" w:cs="Georgia"/>
                <w:szCs w:val="24"/>
              </w:rPr>
            </w:pPr>
          </w:p>
          <w:p w:rsidR="00F04EEF" w:rsidRDefault="00F04EEF">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bl>
    <w:p w:rsidR="00F04EEF" w:rsidRDefault="00F04EEF">
      <w:pPr>
        <w:widowControl w:val="0"/>
        <w:suppressAutoHyphens/>
        <w:autoSpaceDE w:val="0"/>
        <w:autoSpaceDN w:val="0"/>
        <w:adjustRightInd w:val="0"/>
        <w:spacing w:before="9" w:line="200" w:lineRule="exact"/>
        <w:rPr>
          <w:rFonts w:ascii="Georgia" w:eastAsia="Times New Roman" w:hAnsi="Georgia" w:cs="Georgia"/>
          <w:szCs w:val="24"/>
        </w:rPr>
      </w:pPr>
    </w:p>
    <w:p w:rsidR="00F04EEF" w:rsidRDefault="00F04EEF">
      <w:pPr>
        <w:widowControl w:val="0"/>
        <w:suppressAutoHyphens/>
        <w:autoSpaceDE w:val="0"/>
        <w:autoSpaceDN w:val="0"/>
        <w:adjustRightInd w:val="0"/>
        <w:spacing w:before="9" w:line="200" w:lineRule="exact"/>
        <w:rPr>
          <w:rFonts w:ascii="Georgia" w:eastAsia="Times New Roman" w:hAnsi="Georgia" w:cs="Georgia"/>
          <w:szCs w:val="24"/>
        </w:rPr>
      </w:pPr>
    </w:p>
    <w:p w:rsidR="00F04EEF" w:rsidRDefault="0099351E">
      <w:pPr>
        <w:widowControl w:val="0"/>
        <w:suppressAutoHyphens/>
        <w:autoSpaceDE w:val="0"/>
        <w:autoSpaceDN w:val="0"/>
        <w:adjustRightInd w:val="0"/>
        <w:spacing w:before="20" w:line="280" w:lineRule="exact"/>
        <w:ind w:left="742" w:right="-20"/>
        <w:rPr>
          <w:rFonts w:ascii="Cambria" w:eastAsia="Times New Roman" w:hAnsi="Cambria" w:cs="Calibri"/>
          <w:szCs w:val="24"/>
        </w:rPr>
      </w:pPr>
      <w:r>
        <w:rPr>
          <w:rFonts w:ascii="Georgia" w:eastAsia="Times New Roman" w:hAnsi="Georgia" w:cs="Georgia"/>
          <w:position w:val="-1"/>
          <w:szCs w:val="24"/>
        </w:rPr>
        <w:t>b) ne</w:t>
      </w:r>
      <w:r>
        <w:rPr>
          <w:rFonts w:ascii="Georgia" w:eastAsia="Times New Roman" w:hAnsi="Georgia" w:cs="Georgia"/>
          <w:spacing w:val="-2"/>
          <w:position w:val="-1"/>
          <w:szCs w:val="24"/>
        </w:rPr>
        <w:t xml:space="preserve"> </w:t>
      </w:r>
      <w:r>
        <w:rPr>
          <w:rFonts w:ascii="Georgia" w:eastAsia="Times New Roman" w:hAnsi="Georgia" w:cs="Georgia"/>
          <w:position w:val="-1"/>
          <w:szCs w:val="24"/>
        </w:rPr>
        <w:t>conf</w:t>
      </w:r>
      <w:r>
        <w:rPr>
          <w:rFonts w:ascii="Georgia" w:eastAsia="Times New Roman" w:hAnsi="Georgia" w:cs="Georgia"/>
          <w:spacing w:val="-1"/>
          <w:position w:val="-1"/>
          <w:szCs w:val="24"/>
        </w:rPr>
        <w:t>è</w:t>
      </w:r>
      <w:r>
        <w:rPr>
          <w:rFonts w:ascii="Georgia" w:eastAsia="Times New Roman" w:hAnsi="Georgia" w:cs="Georgia"/>
          <w:position w:val="-1"/>
          <w:szCs w:val="24"/>
        </w:rPr>
        <w:t>re</w:t>
      </w:r>
      <w:r>
        <w:rPr>
          <w:rFonts w:ascii="Georgia" w:eastAsia="Times New Roman" w:hAnsi="Georgia" w:cs="Georgia"/>
          <w:spacing w:val="-7"/>
          <w:position w:val="-1"/>
          <w:szCs w:val="24"/>
        </w:rPr>
        <w:t xml:space="preserve"> </w:t>
      </w:r>
      <w:r>
        <w:rPr>
          <w:rFonts w:ascii="Georgia" w:eastAsia="Times New Roman" w:hAnsi="Georgia" w:cs="Georgia"/>
          <w:position w:val="-1"/>
          <w:szCs w:val="24"/>
        </w:rPr>
        <w:t>pas le</w:t>
      </w:r>
      <w:r>
        <w:rPr>
          <w:rFonts w:ascii="Georgia" w:eastAsia="Times New Roman" w:hAnsi="Georgia" w:cs="Georgia"/>
          <w:spacing w:val="-2"/>
          <w:position w:val="-1"/>
          <w:szCs w:val="24"/>
        </w:rPr>
        <w:t xml:space="preserve"> </w:t>
      </w:r>
      <w:r>
        <w:rPr>
          <w:rFonts w:ascii="Georgia" w:eastAsia="Times New Roman" w:hAnsi="Georgia" w:cs="Georgia"/>
          <w:position w:val="-1"/>
          <w:szCs w:val="24"/>
        </w:rPr>
        <w:t>certificat</w:t>
      </w:r>
      <w:r>
        <w:rPr>
          <w:rFonts w:ascii="Georgia" w:eastAsia="Times New Roman" w:hAnsi="Georgia" w:cs="Georgia"/>
          <w:spacing w:val="-9"/>
          <w:position w:val="-1"/>
          <w:szCs w:val="24"/>
        </w:rPr>
        <w:t xml:space="preserve"> </w:t>
      </w:r>
      <w:r>
        <w:rPr>
          <w:rFonts w:ascii="Georgia" w:eastAsia="Times New Roman" w:hAnsi="Georgia" w:cs="Georgia"/>
          <w:position w:val="-1"/>
          <w:szCs w:val="24"/>
        </w:rPr>
        <w:t>à</w:t>
      </w:r>
    </w:p>
    <w:p w:rsidR="00F04EEF" w:rsidRDefault="00F04EEF">
      <w:pPr>
        <w:widowControl w:val="0"/>
        <w:suppressAutoHyphens/>
        <w:autoSpaceDE w:val="0"/>
        <w:autoSpaceDN w:val="0"/>
        <w:adjustRightInd w:val="0"/>
        <w:spacing w:before="20" w:line="280" w:lineRule="exact"/>
        <w:ind w:left="742" w:right="-20"/>
        <w:rPr>
          <w:rFonts w:ascii="Georgia" w:eastAsia="Times New Roman" w:hAnsi="Georgia" w:cs="Georgia"/>
          <w:szCs w:val="24"/>
        </w:rPr>
      </w:pPr>
    </w:p>
    <w:tbl>
      <w:tblPr>
        <w:tblW w:w="0" w:type="auto"/>
        <w:tblInd w:w="109" w:type="dxa"/>
        <w:tblLayout w:type="fixed"/>
        <w:tblCellMar>
          <w:left w:w="0" w:type="dxa"/>
          <w:right w:w="0" w:type="dxa"/>
        </w:tblCellMar>
        <w:tblLook w:val="0000" w:firstRow="0" w:lastRow="0" w:firstColumn="0" w:lastColumn="0" w:noHBand="0" w:noVBand="0"/>
      </w:tblPr>
      <w:tblGrid>
        <w:gridCol w:w="2420"/>
        <w:gridCol w:w="2442"/>
        <w:gridCol w:w="2439"/>
        <w:gridCol w:w="2422"/>
      </w:tblGrid>
      <w:tr w:rsidR="00F04EEF">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Nom</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(2)</w:t>
            </w:r>
          </w:p>
          <w:p w:rsidR="00F04EEF" w:rsidRDefault="00F04EEF">
            <w:pPr>
              <w:widowControl w:val="0"/>
              <w:suppressAutoHyphens/>
              <w:autoSpaceDE w:val="0"/>
              <w:autoSpaceDN w:val="0"/>
              <w:adjustRightInd w:val="0"/>
              <w:jc w:val="center"/>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Prénom</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(2)</w:t>
            </w: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Lieu de naissance</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(3)</w:t>
            </w: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Date de naissance</w:t>
            </w:r>
          </w:p>
          <w:p w:rsidR="00F04EEF" w:rsidRDefault="0099351E">
            <w:pPr>
              <w:widowControl w:val="0"/>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(4)</w:t>
            </w:r>
          </w:p>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p w:rsidR="00F04EEF" w:rsidRDefault="00F04EEF">
            <w:pPr>
              <w:widowControl w:val="0"/>
              <w:suppressAutoHyphens/>
              <w:autoSpaceDE w:val="0"/>
              <w:autoSpaceDN w:val="0"/>
              <w:adjustRightInd w:val="0"/>
              <w:rPr>
                <w:rFonts w:ascii="Georgia" w:eastAsia="Times New Roman" w:hAnsi="Georgia" w:cs="Georgia"/>
                <w:szCs w:val="24"/>
              </w:rPr>
            </w:pPr>
          </w:p>
          <w:p w:rsidR="00F04EEF" w:rsidRDefault="00F04EEF">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bl>
    <w:p w:rsidR="00F04EEF" w:rsidRDefault="00F04EEF">
      <w:pPr>
        <w:widowControl w:val="0"/>
        <w:suppressAutoHyphens/>
        <w:autoSpaceDE w:val="0"/>
        <w:autoSpaceDN w:val="0"/>
        <w:adjustRightInd w:val="0"/>
        <w:spacing w:before="6" w:line="150" w:lineRule="exact"/>
        <w:rPr>
          <w:rFonts w:ascii="Georgia" w:eastAsia="Times New Roman" w:hAnsi="Georgia" w:cs="Georgia"/>
          <w:szCs w:val="24"/>
        </w:rPr>
      </w:pPr>
    </w:p>
    <w:p w:rsidR="00F04EEF" w:rsidRDefault="0099351E">
      <w:pPr>
        <w:widowControl w:val="0"/>
        <w:suppressAutoHyphens/>
        <w:autoSpaceDE w:val="0"/>
        <w:autoSpaceDN w:val="0"/>
        <w:adjustRightInd w:val="0"/>
        <w:spacing w:before="65" w:line="240" w:lineRule="exact"/>
        <w:ind w:left="174" w:right="107" w:firstLine="568"/>
        <w:rPr>
          <w:rFonts w:ascii="Cambria" w:eastAsia="Times New Roman" w:hAnsi="Cambria" w:cs="Calibri"/>
          <w:szCs w:val="24"/>
        </w:rPr>
      </w:pPr>
      <w:r>
        <w:rPr>
          <w:rFonts w:ascii="Georgia" w:eastAsia="Times New Roman" w:hAnsi="Georgia" w:cs="Georgia"/>
          <w:szCs w:val="24"/>
        </w:rPr>
        <w:t>Les</w:t>
      </w:r>
      <w:r>
        <w:rPr>
          <w:rFonts w:ascii="Georgia" w:eastAsia="Times New Roman" w:hAnsi="Georgia" w:cs="Georgia"/>
          <w:spacing w:val="3"/>
          <w:szCs w:val="24"/>
        </w:rPr>
        <w:t xml:space="preserve"> </w:t>
      </w:r>
      <w:r>
        <w:rPr>
          <w:rFonts w:ascii="Georgia" w:eastAsia="Times New Roman" w:hAnsi="Georgia" w:cs="Georgia"/>
          <w:szCs w:val="24"/>
        </w:rPr>
        <w:t>membres</w:t>
      </w:r>
      <w:r>
        <w:rPr>
          <w:rFonts w:ascii="Georgia" w:eastAsia="Times New Roman" w:hAnsi="Georgia" w:cs="Georgia"/>
          <w:spacing w:val="7"/>
          <w:szCs w:val="24"/>
        </w:rPr>
        <w:t xml:space="preserve"> </w:t>
      </w:r>
      <w:r>
        <w:rPr>
          <w:rFonts w:ascii="Georgia" w:eastAsia="Times New Roman" w:hAnsi="Georgia" w:cs="Georgia"/>
          <w:szCs w:val="24"/>
        </w:rPr>
        <w:t>du</w:t>
      </w:r>
      <w:r>
        <w:rPr>
          <w:rFonts w:ascii="Georgia" w:eastAsia="Times New Roman" w:hAnsi="Georgia" w:cs="Georgia"/>
          <w:spacing w:val="7"/>
          <w:szCs w:val="24"/>
        </w:rPr>
        <w:t xml:space="preserve"> </w:t>
      </w:r>
      <w:r>
        <w:rPr>
          <w:rFonts w:ascii="Georgia" w:eastAsia="Times New Roman" w:hAnsi="Georgia" w:cs="Georgia"/>
          <w:szCs w:val="24"/>
        </w:rPr>
        <w:t>Jury</w:t>
      </w:r>
      <w:r>
        <w:rPr>
          <w:rFonts w:ascii="Georgia" w:eastAsia="Times New Roman" w:hAnsi="Georgia" w:cs="Georgia"/>
          <w:spacing w:val="2"/>
          <w:szCs w:val="24"/>
        </w:rPr>
        <w:t xml:space="preserve"> </w:t>
      </w:r>
      <w:r>
        <w:rPr>
          <w:rFonts w:ascii="Georgia" w:eastAsia="Times New Roman" w:hAnsi="Georgia" w:cs="Georgia"/>
          <w:szCs w:val="24"/>
        </w:rPr>
        <w:t>:</w:t>
      </w:r>
      <w:r>
        <w:rPr>
          <w:rFonts w:ascii="Georgia" w:eastAsia="Times New Roman" w:hAnsi="Georgia" w:cs="Georgia"/>
          <w:spacing w:val="6"/>
          <w:szCs w:val="24"/>
        </w:rPr>
        <w:t xml:space="preserve"> </w:t>
      </w:r>
    </w:p>
    <w:tbl>
      <w:tblPr>
        <w:tblW w:w="0" w:type="auto"/>
        <w:tblInd w:w="115" w:type="dxa"/>
        <w:tblLayout w:type="fixed"/>
        <w:tblCellMar>
          <w:left w:w="0" w:type="dxa"/>
          <w:right w:w="0" w:type="dxa"/>
        </w:tblCellMar>
        <w:tblLook w:val="0000" w:firstRow="0" w:lastRow="0" w:firstColumn="0" w:lastColumn="0" w:noHBand="0" w:noVBand="0"/>
      </w:tblPr>
      <w:tblGrid>
        <w:gridCol w:w="3213"/>
        <w:gridCol w:w="3234"/>
        <w:gridCol w:w="3215"/>
      </w:tblGrid>
      <w:tr w:rsidR="00F04EEF">
        <w:trPr>
          <w:trHeight w:val="404"/>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99351E">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Pr>
                <w:rFonts w:ascii="Georgia" w:eastAsia="Times New Roman" w:hAnsi="Georgia" w:cs="Georgia"/>
                <w:szCs w:val="24"/>
              </w:rPr>
              <w:t>Nom</w:t>
            </w:r>
          </w:p>
          <w:p w:rsidR="00F04EEF" w:rsidRDefault="0099351E">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Pr>
                <w:rFonts w:ascii="Georgia" w:eastAsia="Times New Roman" w:hAnsi="Georgia" w:cs="Georgia"/>
                <w:szCs w:val="24"/>
              </w:rPr>
              <w:t>(2)</w:t>
            </w: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99351E">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Pr>
                <w:rFonts w:ascii="Georgia" w:eastAsia="Times New Roman" w:hAnsi="Georgia" w:cs="Georgia"/>
                <w:szCs w:val="24"/>
              </w:rPr>
              <w:t>Prénom</w:t>
            </w:r>
          </w:p>
          <w:p w:rsidR="00F04EEF" w:rsidRDefault="0099351E">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Pr>
                <w:rFonts w:ascii="Georgia" w:eastAsia="Times New Roman" w:hAnsi="Georgia" w:cs="Georgia"/>
                <w:szCs w:val="24"/>
              </w:rPr>
              <w:t>(2)</w:t>
            </w: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99351E">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Pr>
                <w:rFonts w:ascii="Georgia" w:eastAsia="Times New Roman" w:hAnsi="Georgia" w:cs="Georgia"/>
                <w:szCs w:val="24"/>
              </w:rPr>
              <w:t>Signature</w:t>
            </w: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r w:rsidR="00F04EEF">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F04EEF" w:rsidRDefault="00F04EEF">
            <w:pPr>
              <w:widowControl w:val="0"/>
              <w:suppressAutoHyphens/>
              <w:autoSpaceDE w:val="0"/>
              <w:autoSpaceDN w:val="0"/>
              <w:adjustRightInd w:val="0"/>
              <w:rPr>
                <w:rFonts w:ascii="Georgia" w:eastAsia="Times New Roman" w:hAnsi="Georgia" w:cs="Georgia"/>
                <w:szCs w:val="24"/>
              </w:rPr>
            </w:pPr>
          </w:p>
        </w:tc>
      </w:tr>
    </w:tbl>
    <w:p w:rsidR="00F04EEF" w:rsidRDefault="00F04EEF">
      <w:pPr>
        <w:widowControl w:val="0"/>
        <w:suppressAutoHyphens/>
        <w:autoSpaceDE w:val="0"/>
        <w:autoSpaceDN w:val="0"/>
        <w:adjustRightInd w:val="0"/>
        <w:spacing w:before="2" w:line="150" w:lineRule="exact"/>
        <w:rPr>
          <w:rFonts w:ascii="Georgia" w:eastAsia="Times New Roman" w:hAnsi="Georgia" w:cs="Georgia"/>
          <w:szCs w:val="24"/>
        </w:rPr>
      </w:pPr>
    </w:p>
    <w:p w:rsidR="00F04EEF" w:rsidRDefault="0099351E">
      <w:pPr>
        <w:widowControl w:val="0"/>
        <w:suppressAutoHyphens/>
        <w:autoSpaceDE w:val="0"/>
        <w:autoSpaceDN w:val="0"/>
        <w:adjustRightInd w:val="0"/>
        <w:spacing w:before="20" w:line="398" w:lineRule="auto"/>
        <w:rPr>
          <w:rFonts w:ascii="Cambria" w:eastAsia="Times New Roman" w:hAnsi="Cambria" w:cs="Calibri"/>
          <w:szCs w:val="24"/>
        </w:rPr>
      </w:pPr>
      <w:r>
        <w:rPr>
          <w:rFonts w:ascii="Georgia" w:eastAsia="Times New Roman" w:hAnsi="Georgia" w:cs="Georgia"/>
          <w:szCs w:val="24"/>
        </w:rPr>
        <w:t>Sceau</w:t>
      </w:r>
      <w:r>
        <w:rPr>
          <w:rFonts w:ascii="Georgia" w:eastAsia="Times New Roman" w:hAnsi="Georgia" w:cs="Georgia"/>
          <w:spacing w:val="-7"/>
          <w:szCs w:val="24"/>
        </w:rPr>
        <w:t xml:space="preserve"> </w:t>
      </w:r>
      <w:r>
        <w:rPr>
          <w:rFonts w:ascii="Georgia" w:eastAsia="Times New Roman" w:hAnsi="Georgia" w:cs="Georgia"/>
          <w:szCs w:val="24"/>
        </w:rPr>
        <w:t xml:space="preserve">de l'établissement : </w:t>
      </w:r>
      <w:r>
        <w:rPr>
          <w:rFonts w:ascii="Georgia" w:eastAsia="Times New Roman" w:hAnsi="Georgia" w:cs="Georgia"/>
          <w:szCs w:val="24"/>
        </w:rPr>
        <w:tab/>
      </w:r>
      <w:r>
        <w:rPr>
          <w:rFonts w:ascii="Georgia" w:eastAsia="Times New Roman" w:hAnsi="Georgia" w:cs="Georgia"/>
          <w:szCs w:val="24"/>
        </w:rPr>
        <w:tab/>
      </w:r>
      <w:r>
        <w:rPr>
          <w:rFonts w:ascii="Georgia" w:eastAsia="Times New Roman" w:hAnsi="Georgia" w:cs="Georgia"/>
          <w:szCs w:val="24"/>
        </w:rPr>
        <w:tab/>
      </w:r>
      <w:r>
        <w:rPr>
          <w:rFonts w:ascii="Georgia" w:eastAsia="Times New Roman" w:hAnsi="Georgia" w:cs="Georgia"/>
          <w:szCs w:val="24"/>
        </w:rPr>
        <w:tab/>
      </w:r>
      <w:r>
        <w:rPr>
          <w:rFonts w:ascii="Georgia" w:eastAsia="Times New Roman" w:hAnsi="Georgia" w:cs="Georgia"/>
          <w:szCs w:val="24"/>
        </w:rPr>
        <w:tab/>
      </w:r>
      <w:r>
        <w:rPr>
          <w:rFonts w:ascii="Georgia" w:eastAsia="Times New Roman" w:hAnsi="Georgia" w:cs="Georgia"/>
          <w:szCs w:val="24"/>
        </w:rPr>
        <w:tab/>
        <w:t>Le</w:t>
      </w:r>
      <w:r>
        <w:rPr>
          <w:rFonts w:ascii="Georgia" w:eastAsia="Times New Roman" w:hAnsi="Georgia" w:cs="Georgia"/>
          <w:spacing w:val="-3"/>
          <w:szCs w:val="24"/>
        </w:rPr>
        <w:t xml:space="preserve"> </w:t>
      </w:r>
      <w:r>
        <w:rPr>
          <w:rFonts w:ascii="Georgia" w:eastAsia="Times New Roman" w:hAnsi="Georgia" w:cs="Georgia"/>
          <w:szCs w:val="24"/>
        </w:rPr>
        <w:t>(La) Président(e) :</w:t>
      </w:r>
    </w:p>
    <w:p w:rsidR="00F04EEF" w:rsidRDefault="0099351E">
      <w:pPr>
        <w:widowControl w:val="0"/>
        <w:suppressAutoHyphens/>
        <w:autoSpaceDE w:val="0"/>
        <w:autoSpaceDN w:val="0"/>
        <w:adjustRightInd w:val="0"/>
        <w:spacing w:before="20" w:line="398" w:lineRule="auto"/>
        <w:rPr>
          <w:rFonts w:ascii="Cambria" w:eastAsia="Times New Roman" w:hAnsi="Cambria" w:cs="Calibri"/>
          <w:szCs w:val="24"/>
        </w:rPr>
      </w:pPr>
      <w:r>
        <w:rPr>
          <w:rFonts w:ascii="Georgia" w:eastAsia="Times New Roman" w:hAnsi="Georgia" w:cs="Georgia"/>
          <w:szCs w:val="24"/>
        </w:rPr>
        <w:t>Fait à ………………………………………………………….. (5),</w:t>
      </w:r>
      <w:r>
        <w:rPr>
          <w:rFonts w:ascii="Georgia" w:eastAsia="Times New Roman" w:hAnsi="Georgia" w:cs="Georgia"/>
          <w:spacing w:val="-21"/>
          <w:szCs w:val="24"/>
        </w:rPr>
        <w:t xml:space="preserve"> </w:t>
      </w:r>
      <w:r>
        <w:rPr>
          <w:rFonts w:ascii="Georgia" w:eastAsia="Times New Roman" w:hAnsi="Georgia" w:cs="Georgia"/>
          <w:szCs w:val="24"/>
        </w:rPr>
        <w:t>le……………………………………………… (4)</w:t>
      </w:r>
    </w:p>
    <w:p w:rsidR="00F04EEF" w:rsidRDefault="00F04EEF">
      <w:pPr>
        <w:suppressAutoHyphens/>
        <w:autoSpaceDE w:val="0"/>
        <w:autoSpaceDN w:val="0"/>
        <w:adjustRightInd w:val="0"/>
        <w:jc w:val="both"/>
        <w:rPr>
          <w:rFonts w:ascii="Georgia" w:eastAsia="Times New Roman" w:hAnsi="Georgia" w:cs="Georgia"/>
          <w:b/>
          <w:color w:val="000000"/>
          <w:szCs w:val="24"/>
          <w:u w:val="single"/>
        </w:rPr>
      </w:pPr>
    </w:p>
    <w:p w:rsidR="00F04EEF" w:rsidRDefault="0099351E">
      <w:pPr>
        <w:rPr>
          <w:rFonts w:ascii="Georgia" w:eastAsia="Times New Roman" w:hAnsi="Georgia" w:cs="Georgia"/>
          <w:b/>
          <w:color w:val="000000"/>
          <w:szCs w:val="24"/>
          <w:u w:val="single"/>
        </w:rPr>
      </w:pPr>
      <w:r>
        <w:rPr>
          <w:rFonts w:ascii="Georgia" w:eastAsia="Times New Roman" w:hAnsi="Georgia" w:cs="Georgia"/>
          <w:b/>
          <w:color w:val="000000"/>
          <w:szCs w:val="24"/>
          <w:u w:val="single"/>
        </w:rPr>
        <w:br w:type="page"/>
      </w:r>
    </w:p>
    <w:p w:rsidR="00F04EEF" w:rsidRDefault="0099351E">
      <w:pPr>
        <w:pStyle w:val="Titre4"/>
      </w:pPr>
      <w:r>
        <w:t>Annexe 10 : Attestation de déclaration de perte du certificat de qualification</w:t>
      </w:r>
    </w:p>
    <w:p w:rsidR="00F04EEF" w:rsidRDefault="00F04EEF">
      <w:pPr>
        <w:pStyle w:val="Titre4"/>
        <w:ind w:left="0"/>
        <w:rPr>
          <w:rFonts w:ascii="Georgia" w:eastAsia="Times New Roman" w:hAnsi="Georgia" w:cs="Georgia"/>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F04EEF">
      <w:pPr>
        <w:suppressAutoHyphens/>
        <w:autoSpaceDE w:val="0"/>
        <w:autoSpaceDN w:val="0"/>
        <w:adjustRightInd w:val="0"/>
        <w:jc w:val="center"/>
        <w:rPr>
          <w:rFonts w:ascii="Georgia" w:eastAsia="Times New Roman" w:hAnsi="Georgia" w:cs="Georgia"/>
          <w:b/>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suppressAutoHyphens/>
        <w:autoSpaceDE w:val="0"/>
        <w:autoSpaceDN w:val="0"/>
        <w:adjustRightInd w:val="0"/>
        <w:jc w:val="center"/>
        <w:rPr>
          <w:rFonts w:ascii="Georgia" w:eastAsia="Times New Roman" w:hAnsi="Georgia" w:cs="Georgia"/>
          <w:szCs w:val="24"/>
          <w:u w:val="single"/>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ATTESTATION DE DECLARATION DE PERTE DU CERTIFICAT DE QUALIFICATION</w:t>
      </w:r>
    </w:p>
    <w:p w:rsidR="00F04EEF" w:rsidRDefault="00F04EEF">
      <w:pPr>
        <w:suppressAutoHyphens/>
        <w:autoSpaceDE w:val="0"/>
        <w:autoSpaceDN w:val="0"/>
        <w:adjustRightInd w:val="0"/>
        <w:jc w:val="center"/>
        <w:rPr>
          <w:rFonts w:ascii="Georgia" w:eastAsia="Times New Roman" w:hAnsi="Georgia" w:cs="Georgia"/>
          <w:szCs w:val="24"/>
          <w:u w:val="single"/>
        </w:rPr>
      </w:pP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caps/>
          <w:szCs w:val="24"/>
        </w:rPr>
        <w:t>Dénomination et siège de l’établissement :</w:t>
      </w: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caps/>
          <w:szCs w:val="24"/>
        </w:rPr>
        <w:t>………………………………………………………………………………………………………………………………………………………………………………………………………………………………………………………………………. (1)</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Numéro Fase :</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SECTEUR PROFESSIONNEL</w:t>
      </w:r>
      <w:r>
        <w:rPr>
          <w:rFonts w:ascii="Georgia" w:eastAsia="Times New Roman" w:hAnsi="Georgia" w:cs="Georgia"/>
          <w:szCs w:val="24"/>
        </w:rPr>
        <w:t> : ………………………………………………………………………………… (8)</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GROUPE PROFESSIONNEL</w:t>
      </w:r>
      <w:r>
        <w:rPr>
          <w:rFonts w:ascii="Georgia" w:eastAsia="Times New Roman" w:hAnsi="Georgia" w:cs="Georgia"/>
          <w:szCs w:val="24"/>
          <w:vertAlign w:val="superscript"/>
        </w:rPr>
        <w:t> </w:t>
      </w:r>
      <w:r>
        <w:rPr>
          <w:rFonts w:ascii="Georgia" w:eastAsia="Times New Roman" w:hAnsi="Georgia" w:cs="Georgia"/>
          <w:szCs w:val="24"/>
        </w:rPr>
        <w:t>: …………………………………………………………………………………. (9)</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METIER </w:t>
      </w:r>
      <w:r>
        <w:rPr>
          <w:rFonts w:ascii="Georgia" w:eastAsia="Times New Roman" w:hAnsi="Georgia" w:cs="Georgia"/>
          <w:szCs w:val="24"/>
        </w:rPr>
        <w:t>: ………………………………………………………………………………………………………………… (6)</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Je soussigné(e) : ………………………………………………………………………………………………….. (2)</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Chef(fe) de l’établissement susmentionné certifie que l’élève : …………………………………….. (2)</w:t>
      </w:r>
    </w:p>
    <w:p w:rsidR="00F04EEF" w:rsidRDefault="00F04EEF">
      <w:pPr>
        <w:tabs>
          <w:tab w:val="left" w:pos="5387"/>
        </w:tabs>
        <w:suppressAutoHyphens/>
        <w:autoSpaceDE w:val="0"/>
        <w:autoSpaceDN w:val="0"/>
        <w:adjustRightInd w:val="0"/>
        <w:ind w:left="284" w:hanging="284"/>
        <w:jc w:val="both"/>
        <w:rPr>
          <w:rFonts w:ascii="Georgia" w:eastAsia="Times New Roman" w:hAnsi="Georgia" w:cs="Georgia"/>
          <w:szCs w:val="24"/>
        </w:rPr>
      </w:pPr>
    </w:p>
    <w:p w:rsidR="00F04EEF" w:rsidRDefault="0099351E">
      <w:pPr>
        <w:tabs>
          <w:tab w:val="left" w:pos="5387"/>
        </w:tabs>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Né(e) à…………………………………………………………..(3), le……………………………………………….. (4)</w:t>
      </w:r>
    </w:p>
    <w:p w:rsidR="00F04EEF" w:rsidRDefault="00F04EEF">
      <w:pPr>
        <w:tabs>
          <w:tab w:val="left" w:pos="5387"/>
        </w:tabs>
        <w:suppressAutoHyphens/>
        <w:autoSpaceDE w:val="0"/>
        <w:autoSpaceDN w:val="0"/>
        <w:adjustRightInd w:val="0"/>
        <w:ind w:left="284" w:hanging="284"/>
        <w:jc w:val="both"/>
        <w:rPr>
          <w:rFonts w:ascii="Georgia" w:eastAsia="Times New Roman" w:hAnsi="Georgia" w:cs="Georgia"/>
          <w:szCs w:val="24"/>
        </w:rPr>
      </w:pPr>
    </w:p>
    <w:p w:rsidR="00F04EEF" w:rsidRDefault="0099351E">
      <w:pPr>
        <w:widowControl w:val="0"/>
        <w:tabs>
          <w:tab w:val="left" w:pos="5387"/>
        </w:tabs>
        <w:suppressAutoHyphens/>
        <w:autoSpaceDE w:val="0"/>
        <w:autoSpaceDN w:val="0"/>
        <w:adjustRightInd w:val="0"/>
        <w:jc w:val="both"/>
        <w:rPr>
          <w:rFonts w:ascii="Cambria" w:eastAsia="Times New Roman" w:cs="Calibri"/>
          <w:b/>
          <w:sz w:val="20"/>
          <w:szCs w:val="24"/>
          <w:lang w:eastAsia="fr-BE"/>
        </w:rPr>
      </w:pPr>
      <w:r>
        <w:rPr>
          <w:rFonts w:ascii="Georgia" w:eastAsia="Times New Roman" w:hAnsi="Georgia" w:cs="Georgia"/>
          <w:b/>
          <w:sz w:val="20"/>
          <w:szCs w:val="24"/>
          <w:lang w:eastAsia="fr-BE"/>
        </w:rPr>
        <w:t>a suivi régulièrement la troisième phase en qualité d’élève régulier (régulière) dans l’enseignement secondaire spécialisé de plein exercice et a subi, avec succès, devant un jury, des épreuves de qualification dans l’établissement, dans l’enseignement et dans le métier susmentionnés.</w:t>
      </w: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J’atteste que toutes les prescriptions légales et réglementaires ont été respectées pendant toute la durée des études.</w:t>
      </w: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En foi de quoi, le certificat de qualification a été délivré le…………………………………. (4)</w:t>
      </w: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L’élève a déclaré avoir perdu celui-ci.</w:t>
      </w: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Le (La) Chef(fe) d’établissement :</w:t>
      </w:r>
      <w:r>
        <w:rPr>
          <w:rFonts w:ascii="Georgia" w:eastAsia="Times New Roman" w:hAnsi="Georgia" w:cs="Georgia"/>
          <w:szCs w:val="24"/>
        </w:rPr>
        <w:tab/>
        <w:t>Sceau du Ministère :</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rPr>
          <w:rFonts w:ascii="Georgia" w:eastAsia="Times New Roman" w:hAnsi="Georgia" w:cs="Georgia"/>
          <w:b/>
          <w:color w:val="000000"/>
          <w:szCs w:val="24"/>
          <w:u w:val="single"/>
        </w:rPr>
      </w:pPr>
      <w:r>
        <w:rPr>
          <w:rFonts w:ascii="Georgia" w:eastAsia="Times New Roman" w:hAnsi="Georgia" w:cs="Georgia"/>
          <w:b/>
          <w:color w:val="000000"/>
          <w:szCs w:val="24"/>
          <w:u w:val="single"/>
        </w:rPr>
        <w:br w:type="page"/>
      </w:r>
    </w:p>
    <w:p w:rsidR="00F04EEF" w:rsidRDefault="0099351E">
      <w:pPr>
        <w:pStyle w:val="Titre4"/>
      </w:pPr>
      <w:bookmarkStart w:id="3837" w:name="_Annexe_11_:_2"/>
      <w:bookmarkEnd w:id="3837"/>
      <w:r>
        <w:t>Annexe 11 : Composition du Jury de qualification</w:t>
      </w:r>
    </w:p>
    <w:p w:rsidR="00F04EEF" w:rsidRDefault="00F04EEF">
      <w:pPr>
        <w:suppressAutoHyphens/>
        <w:autoSpaceDE w:val="0"/>
        <w:autoSpaceDN w:val="0"/>
        <w:adjustRightInd w:val="0"/>
        <w:rPr>
          <w:rFonts w:ascii="Cambria" w:eastAsia="Times New Roman" w:hAnsi="Cambria" w:cs="Calibri"/>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suppressAutoHyphens/>
        <w:autoSpaceDE w:val="0"/>
        <w:autoSpaceDN w:val="0"/>
        <w:adjustRightInd w:val="0"/>
        <w:rPr>
          <w:rFonts w:ascii="Georgia" w:eastAsia="Times New Roman" w:hAnsi="Georgia" w:cs="Georgia"/>
          <w:szCs w:val="24"/>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bookmarkStart w:id="3838" w:name="_Toc419192714"/>
      <w:bookmarkEnd w:id="3838"/>
      <w:r>
        <w:rPr>
          <w:rFonts w:ascii="Georgia" w:eastAsia="Times New Roman" w:hAnsi="Georgia" w:cs="Georgia"/>
          <w:szCs w:val="24"/>
        </w:rPr>
        <w:t xml:space="preserve">Composition du jury de qualification </w:t>
      </w:r>
    </w:p>
    <w:p w:rsidR="00F04EEF" w:rsidRDefault="00F04EEF">
      <w:pPr>
        <w:tabs>
          <w:tab w:val="center" w:pos="4536"/>
          <w:tab w:val="right" w:pos="9072"/>
        </w:tabs>
        <w:suppressAutoHyphens/>
        <w:autoSpaceDE w:val="0"/>
        <w:autoSpaceDN w:val="0"/>
        <w:adjustRightInd w:val="0"/>
        <w:jc w:val="both"/>
        <w:rPr>
          <w:rFonts w:ascii="Georgia" w:eastAsia="Times New Roman" w:cs="Calibri"/>
          <w:sz w:val="20"/>
          <w:szCs w:val="24"/>
          <w:lang w:eastAsia="fr-BE"/>
        </w:rPr>
      </w:pP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szCs w:val="24"/>
        </w:rPr>
        <w:t>SECTEUR PROFESSIONNEL : …………………………………………………………………………………..(8)</w:t>
      </w: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szCs w:val="24"/>
        </w:rPr>
        <w:t>GROUPE PROFESSIONNEL : …………………………………………………………………………………..  (9)</w:t>
      </w: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szCs w:val="24"/>
        </w:rPr>
        <w:t>METIER : ………………………………………………………………………………………………………………… (6)</w:t>
      </w:r>
    </w:p>
    <w:p w:rsidR="00F04EEF" w:rsidRDefault="00F04EEF">
      <w:pPr>
        <w:suppressAutoHyphens/>
        <w:autoSpaceDE w:val="0"/>
        <w:autoSpaceDN w:val="0"/>
        <w:adjustRightInd w:val="0"/>
        <w:rPr>
          <w:rFonts w:ascii="Cambria" w:eastAsia="Times New Roman" w:hAnsi="Cambria" w:cs="Calibri"/>
          <w:szCs w:val="24"/>
        </w:rPr>
      </w:pP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szCs w:val="24"/>
        </w:rPr>
        <w:t>DENOMINATION ET SIEGE DE L'ETABLISSEMENT :</w:t>
      </w:r>
    </w:p>
    <w:p w:rsidR="00F04EEF" w:rsidRDefault="0099351E">
      <w:pPr>
        <w:shd w:val="clear" w:color="auto" w:fill="FFFFFF"/>
        <w:suppressAutoHyphens/>
        <w:autoSpaceDE w:val="0"/>
        <w:autoSpaceDN w:val="0"/>
        <w:adjustRightInd w:val="0"/>
        <w:rPr>
          <w:rFonts w:ascii="Cambria" w:eastAsia="Times New Roman" w:hAnsi="Cambria" w:cs="Calibri"/>
          <w:szCs w:val="24"/>
        </w:rPr>
      </w:pPr>
      <w:r>
        <w:rPr>
          <w:rFonts w:ascii="Georgia" w:eastAsia="Times New Roman" w:hAnsi="Georgia" w:cs="Georgia"/>
          <w:color w:val="000000"/>
          <w:szCs w:val="24"/>
        </w:rPr>
        <w:t>……………………………………………………………………………………………………………………………………………………………………………………………………………………………………………………………………….. (1)</w:t>
      </w:r>
    </w:p>
    <w:p w:rsidR="00F04EEF" w:rsidRDefault="0099351E">
      <w:pPr>
        <w:tabs>
          <w:tab w:val="center" w:pos="4536"/>
          <w:tab w:val="right" w:pos="9072"/>
          <w:tab w:val="left" w:leader="dot" w:pos="9923"/>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color w:val="000000"/>
          <w:sz w:val="20"/>
          <w:szCs w:val="24"/>
          <w:lang w:eastAsia="fr-BE"/>
        </w:rPr>
        <w:t>Num</w:t>
      </w:r>
      <w:r>
        <w:rPr>
          <w:rFonts w:ascii="Georgia" w:eastAsia="Times New Roman" w:cs="Calibri"/>
          <w:color w:val="000000"/>
          <w:sz w:val="20"/>
          <w:szCs w:val="24"/>
          <w:lang w:eastAsia="fr-BE"/>
        </w:rPr>
        <w:t>é</w:t>
      </w:r>
      <w:r>
        <w:rPr>
          <w:rFonts w:ascii="Georgia" w:eastAsia="Times New Roman" w:cs="Calibri"/>
          <w:color w:val="000000"/>
          <w:sz w:val="20"/>
          <w:szCs w:val="24"/>
          <w:lang w:eastAsia="fr-BE"/>
        </w:rPr>
        <w:t>ro Fase</w:t>
      </w:r>
      <w:r>
        <w:rPr>
          <w:rFonts w:ascii="Georgia" w:eastAsia="Times New Roman" w:cs="Calibri"/>
          <w:color w:val="000000"/>
          <w:sz w:val="20"/>
          <w:szCs w:val="24"/>
          <w:lang w:eastAsia="fr-BE"/>
        </w:rPr>
        <w:t> </w:t>
      </w:r>
      <w:r>
        <w:rPr>
          <w:rFonts w:ascii="Georgia" w:eastAsia="Times New Roman" w:cs="Calibri"/>
          <w:color w:val="000000"/>
          <w:sz w:val="20"/>
          <w:szCs w:val="24"/>
          <w:lang w:eastAsia="fr-BE"/>
        </w:rPr>
        <w:t xml:space="preserve">: </w:t>
      </w:r>
      <w:r>
        <w:rPr>
          <w:rFonts w:ascii="Georgia" w:eastAsia="Times New Roman" w:cs="Calibri"/>
          <w:sz w:val="20"/>
          <w:szCs w:val="24"/>
          <w:lang w:eastAsia="fr-BE"/>
        </w:rPr>
        <w:tab/>
      </w:r>
    </w:p>
    <w:p w:rsidR="00F04EEF" w:rsidRDefault="0099351E">
      <w:pPr>
        <w:tabs>
          <w:tab w:val="center" w:pos="4536"/>
          <w:tab w:val="right" w:pos="9072"/>
          <w:tab w:val="left" w:leader="dot" w:pos="9923"/>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u w:val="single"/>
          <w:lang w:eastAsia="fr-BE"/>
        </w:rPr>
        <w:t>Ann</w:t>
      </w:r>
      <w:r>
        <w:rPr>
          <w:rFonts w:ascii="Georgia" w:eastAsia="Times New Roman" w:cs="Calibri"/>
          <w:sz w:val="20"/>
          <w:szCs w:val="24"/>
          <w:u w:val="single"/>
          <w:lang w:eastAsia="fr-BE"/>
        </w:rPr>
        <w:t>é</w:t>
      </w:r>
      <w:r>
        <w:rPr>
          <w:rFonts w:ascii="Georgia" w:eastAsia="Times New Roman" w:cs="Calibri"/>
          <w:sz w:val="20"/>
          <w:szCs w:val="24"/>
          <w:u w:val="single"/>
          <w:lang w:eastAsia="fr-BE"/>
        </w:rPr>
        <w:t>e scolaire</w:t>
      </w:r>
      <w:r>
        <w:rPr>
          <w:rFonts w:ascii="Georgia" w:eastAsia="Times New Roman" w:cs="Calibri"/>
          <w:sz w:val="20"/>
          <w:szCs w:val="24"/>
          <w:lang w:eastAsia="fr-BE"/>
        </w:rPr>
        <w:t> </w:t>
      </w:r>
      <w:r>
        <w:rPr>
          <w:rFonts w:ascii="Georgia" w:eastAsia="Times New Roman" w:cs="Calibri"/>
          <w:sz w:val="20"/>
          <w:szCs w:val="24"/>
          <w:lang w:eastAsia="fr-BE"/>
        </w:rPr>
        <w:t xml:space="preserve">: </w:t>
      </w:r>
      <w:r>
        <w:rPr>
          <w:rFonts w:ascii="Georgia" w:eastAsia="Times New Roman" w:cs="Calibri"/>
          <w:sz w:val="20"/>
          <w:szCs w:val="24"/>
          <w:lang w:eastAsia="fr-BE"/>
        </w:rPr>
        <w:tab/>
      </w:r>
    </w:p>
    <w:p w:rsidR="00F04EEF" w:rsidRDefault="0099351E">
      <w:pPr>
        <w:tabs>
          <w:tab w:val="center" w:pos="4536"/>
          <w:tab w:val="right" w:pos="9072"/>
          <w:tab w:val="right" w:leader="dot" w:pos="9923"/>
        </w:tabs>
        <w:suppressAutoHyphens/>
        <w:autoSpaceDE w:val="0"/>
        <w:autoSpaceDN w:val="0"/>
        <w:adjustRightInd w:val="0"/>
        <w:jc w:val="both"/>
        <w:rPr>
          <w:rFonts w:ascii="Georgia" w:eastAsia="Times New Roman" w:cs="Calibri"/>
          <w:sz w:val="20"/>
          <w:szCs w:val="24"/>
          <w:lang w:eastAsia="fr-BE"/>
        </w:rPr>
      </w:pPr>
      <w:r>
        <w:rPr>
          <w:rFonts w:ascii="Georgia" w:eastAsia="Times New Roman" w:cs="Calibri"/>
          <w:sz w:val="20"/>
          <w:szCs w:val="24"/>
          <w:lang w:eastAsia="fr-BE"/>
        </w:rPr>
        <w:t xml:space="preserve">Le jury de qualification, </w:t>
      </w:r>
      <w:r>
        <w:rPr>
          <w:rFonts w:ascii="Georgia" w:eastAsia="Times New Roman" w:cs="Calibri"/>
          <w:sz w:val="20"/>
          <w:szCs w:val="24"/>
          <w:lang w:eastAsia="fr-BE"/>
        </w:rPr>
        <w:t>é</w:t>
      </w:r>
      <w:r>
        <w:rPr>
          <w:rFonts w:ascii="Georgia" w:eastAsia="Times New Roman" w:cs="Calibri"/>
          <w:sz w:val="20"/>
          <w:szCs w:val="24"/>
          <w:lang w:eastAsia="fr-BE"/>
        </w:rPr>
        <w:t>tabli conform</w:t>
      </w:r>
      <w:r>
        <w:rPr>
          <w:rFonts w:ascii="Georgia" w:eastAsia="Times New Roman" w:cs="Calibri"/>
          <w:sz w:val="20"/>
          <w:szCs w:val="24"/>
          <w:lang w:eastAsia="fr-BE"/>
        </w:rPr>
        <w:t>é</w:t>
      </w:r>
      <w:r>
        <w:rPr>
          <w:rFonts w:ascii="Georgia" w:eastAsia="Times New Roman" w:cs="Calibri"/>
          <w:sz w:val="20"/>
          <w:szCs w:val="24"/>
          <w:lang w:eastAsia="fr-BE"/>
        </w:rPr>
        <w:t>ment aux dispositions du D</w:t>
      </w:r>
      <w:r>
        <w:rPr>
          <w:rFonts w:ascii="Georgia" w:eastAsia="Times New Roman" w:cs="Calibri"/>
          <w:sz w:val="20"/>
          <w:szCs w:val="24"/>
          <w:lang w:eastAsia="fr-BE"/>
        </w:rPr>
        <w:t>é</w:t>
      </w:r>
      <w:r>
        <w:rPr>
          <w:rFonts w:ascii="Georgia" w:eastAsia="Times New Roman" w:cs="Calibri"/>
          <w:sz w:val="20"/>
          <w:szCs w:val="24"/>
          <w:lang w:eastAsia="fr-BE"/>
        </w:rPr>
        <w:t>cret du 3 mars 2004 organisant l'Enseignement sp</w:t>
      </w:r>
      <w:r>
        <w:rPr>
          <w:rFonts w:ascii="Georgia" w:eastAsia="Times New Roman" w:cs="Calibri"/>
          <w:sz w:val="20"/>
          <w:szCs w:val="24"/>
          <w:lang w:eastAsia="fr-BE"/>
        </w:rPr>
        <w:t>é</w:t>
      </w:r>
      <w:r>
        <w:rPr>
          <w:rFonts w:ascii="Georgia" w:eastAsia="Times New Roman" w:cs="Calibri"/>
          <w:sz w:val="20"/>
          <w:szCs w:val="24"/>
          <w:lang w:eastAsia="fr-BE"/>
        </w:rPr>
        <w:t>cialis</w:t>
      </w:r>
      <w:r>
        <w:rPr>
          <w:rFonts w:ascii="Georgia" w:eastAsia="Times New Roman" w:cs="Calibri"/>
          <w:sz w:val="20"/>
          <w:szCs w:val="24"/>
          <w:lang w:eastAsia="fr-BE"/>
        </w:rPr>
        <w:t>é</w:t>
      </w:r>
      <w:r>
        <w:rPr>
          <w:rFonts w:ascii="Georgia" w:eastAsia="Times New Roman" w:cs="Calibri"/>
          <w:sz w:val="20"/>
          <w:szCs w:val="24"/>
          <w:lang w:eastAsia="fr-BE"/>
        </w:rPr>
        <w:t xml:space="preserve"> et charg</w:t>
      </w:r>
      <w:r>
        <w:rPr>
          <w:rFonts w:ascii="Georgia" w:eastAsia="Times New Roman" w:cs="Calibri"/>
          <w:sz w:val="20"/>
          <w:szCs w:val="24"/>
          <w:lang w:eastAsia="fr-BE"/>
        </w:rPr>
        <w:t>é</w:t>
      </w:r>
      <w:r>
        <w:rPr>
          <w:rFonts w:ascii="Georgia" w:eastAsia="Times New Roman" w:cs="Calibri"/>
          <w:sz w:val="20"/>
          <w:szCs w:val="24"/>
          <w:lang w:eastAsia="fr-BE"/>
        </w:rPr>
        <w:t xml:space="preserve"> de proc</w:t>
      </w:r>
      <w:r>
        <w:rPr>
          <w:rFonts w:ascii="Georgia" w:eastAsia="Times New Roman" w:cs="Calibri"/>
          <w:sz w:val="20"/>
          <w:szCs w:val="24"/>
          <w:lang w:eastAsia="fr-BE"/>
        </w:rPr>
        <w:t>é</w:t>
      </w:r>
      <w:r>
        <w:rPr>
          <w:rFonts w:ascii="Georgia" w:eastAsia="Times New Roman" w:cs="Calibri"/>
          <w:sz w:val="20"/>
          <w:szCs w:val="24"/>
          <w:lang w:eastAsia="fr-BE"/>
        </w:rPr>
        <w:t xml:space="preserve">der aux </w:t>
      </w:r>
      <w:r>
        <w:rPr>
          <w:rFonts w:ascii="Georgia" w:eastAsia="Times New Roman" w:cs="Calibri"/>
          <w:sz w:val="20"/>
          <w:szCs w:val="24"/>
          <w:lang w:eastAsia="fr-BE"/>
        </w:rPr>
        <w:t>é</w:t>
      </w:r>
      <w:r>
        <w:rPr>
          <w:rFonts w:ascii="Georgia" w:eastAsia="Times New Roman" w:cs="Calibri"/>
          <w:sz w:val="20"/>
          <w:szCs w:val="24"/>
          <w:lang w:eastAsia="fr-BE"/>
        </w:rPr>
        <w:t>preuves de qualification pour l</w:t>
      </w:r>
      <w:r>
        <w:rPr>
          <w:rFonts w:ascii="Georgia" w:eastAsia="Times New Roman" w:cs="Calibri"/>
          <w:sz w:val="20"/>
          <w:szCs w:val="24"/>
          <w:lang w:eastAsia="fr-BE"/>
        </w:rPr>
        <w:t>’</w:t>
      </w:r>
      <w:r>
        <w:rPr>
          <w:rFonts w:ascii="Georgia" w:eastAsia="Times New Roman" w:cs="Calibri"/>
          <w:sz w:val="20"/>
          <w:szCs w:val="24"/>
          <w:lang w:eastAsia="fr-BE"/>
        </w:rPr>
        <w:t>ann</w:t>
      </w:r>
      <w:r>
        <w:rPr>
          <w:rFonts w:ascii="Georgia" w:eastAsia="Times New Roman" w:cs="Calibri"/>
          <w:sz w:val="20"/>
          <w:szCs w:val="24"/>
          <w:lang w:eastAsia="fr-BE"/>
        </w:rPr>
        <w:t>é</w:t>
      </w:r>
      <w:r>
        <w:rPr>
          <w:rFonts w:ascii="Georgia" w:eastAsia="Times New Roman" w:cs="Calibri"/>
          <w:sz w:val="20"/>
          <w:szCs w:val="24"/>
          <w:lang w:eastAsia="fr-BE"/>
        </w:rPr>
        <w:t>e scolaire, la formation et l</w:t>
      </w:r>
      <w:r>
        <w:rPr>
          <w:rFonts w:ascii="Georgia" w:eastAsia="Times New Roman" w:cs="Calibri"/>
          <w:sz w:val="20"/>
          <w:szCs w:val="24"/>
          <w:lang w:eastAsia="fr-BE"/>
        </w:rPr>
        <w:t>’é</w:t>
      </w:r>
      <w:r>
        <w:rPr>
          <w:rFonts w:ascii="Georgia" w:eastAsia="Times New Roman" w:cs="Calibri"/>
          <w:sz w:val="20"/>
          <w:szCs w:val="24"/>
          <w:lang w:eastAsia="fr-BE"/>
        </w:rPr>
        <w:t>tablissement d</w:t>
      </w:r>
      <w:r>
        <w:rPr>
          <w:rFonts w:ascii="Georgia" w:eastAsia="Times New Roman" w:cs="Calibri"/>
          <w:sz w:val="20"/>
          <w:szCs w:val="24"/>
          <w:lang w:eastAsia="fr-BE"/>
        </w:rPr>
        <w:t>é</w:t>
      </w:r>
      <w:r>
        <w:rPr>
          <w:rFonts w:ascii="Georgia" w:eastAsia="Times New Roman" w:cs="Calibri"/>
          <w:sz w:val="20"/>
          <w:szCs w:val="24"/>
          <w:lang w:eastAsia="fr-BE"/>
        </w:rPr>
        <w:t>crits ci-avant, est constitu</w:t>
      </w:r>
      <w:r>
        <w:rPr>
          <w:rFonts w:ascii="Georgia" w:eastAsia="Times New Roman" w:cs="Calibri"/>
          <w:sz w:val="20"/>
          <w:szCs w:val="24"/>
          <w:lang w:eastAsia="fr-BE"/>
        </w:rPr>
        <w:t>é</w:t>
      </w:r>
      <w:r>
        <w:rPr>
          <w:rFonts w:ascii="Georgia" w:eastAsia="Times New Roman" w:cs="Calibri"/>
          <w:sz w:val="20"/>
          <w:szCs w:val="24"/>
          <w:lang w:eastAsia="fr-BE"/>
        </w:rPr>
        <w:t xml:space="preserve"> comme suit</w:t>
      </w:r>
      <w:r>
        <w:rPr>
          <w:rFonts w:ascii="Georgia" w:eastAsia="Times New Roman" w:cs="Calibri"/>
          <w:sz w:val="20"/>
          <w:szCs w:val="24"/>
          <w:lang w:eastAsia="fr-BE"/>
        </w:rPr>
        <w:t> </w:t>
      </w:r>
      <w:r>
        <w:rPr>
          <w:rFonts w:ascii="Georgia" w:eastAsia="Times New Roman" w:cs="Calibri"/>
          <w:sz w:val="20"/>
          <w:szCs w:val="24"/>
          <w:lang w:eastAsia="fr-BE"/>
        </w:rPr>
        <w:t xml:space="preserve">: </w:t>
      </w:r>
    </w:p>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u w:val="single"/>
          <w:lang w:eastAsia="fr-BE"/>
        </w:rPr>
        <w:t>Pr</w:t>
      </w:r>
      <w:r>
        <w:rPr>
          <w:rFonts w:ascii="Georgia" w:eastAsia="Times New Roman" w:cs="Calibri"/>
          <w:sz w:val="20"/>
          <w:szCs w:val="24"/>
          <w:u w:val="single"/>
          <w:lang w:eastAsia="fr-BE"/>
        </w:rPr>
        <w:t>é</w:t>
      </w:r>
      <w:r>
        <w:rPr>
          <w:rFonts w:ascii="Georgia" w:eastAsia="Times New Roman" w:cs="Calibri"/>
          <w:sz w:val="20"/>
          <w:szCs w:val="24"/>
          <w:u w:val="single"/>
          <w:lang w:eastAsia="fr-BE"/>
        </w:rPr>
        <w:t>sident(e) du jury</w:t>
      </w:r>
      <w:r>
        <w:rPr>
          <w:rFonts w:ascii="Georgia" w:eastAsia="Times New Roman" w:cs="Calibri"/>
          <w:sz w:val="20"/>
          <w:szCs w:val="24"/>
          <w:lang w:eastAsia="fr-BE"/>
        </w:rPr>
        <w:t> </w:t>
      </w:r>
      <w:r>
        <w:rPr>
          <w:rFonts w:ascii="Georgia" w:eastAsia="Times New Roman" w:cs="Calibri"/>
          <w:sz w:val="20"/>
          <w:szCs w:val="24"/>
          <w:lang w:eastAsia="fr-BE"/>
        </w:rPr>
        <w:t>:</w:t>
      </w:r>
    </w:p>
    <w:p w:rsidR="00F04EEF" w:rsidRDefault="0099351E">
      <w:pPr>
        <w:tabs>
          <w:tab w:val="center" w:pos="4536"/>
          <w:tab w:val="right" w:pos="9072"/>
          <w:tab w:val="right" w:leader="dot" w:pos="9923"/>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w:t>
      </w:r>
      <w:r>
        <w:rPr>
          <w:rFonts w:ascii="Georgia" w:eastAsia="Times New Roman" w:cs="Calibri"/>
          <w:sz w:val="20"/>
          <w:szCs w:val="24"/>
          <w:lang w:eastAsia="fr-BE"/>
        </w:rPr>
        <w:t>(2), Chef(fe) d</w:t>
      </w:r>
      <w:r>
        <w:rPr>
          <w:rFonts w:ascii="Georgia" w:eastAsia="Times New Roman" w:cs="Calibri"/>
          <w:sz w:val="20"/>
          <w:szCs w:val="24"/>
          <w:lang w:eastAsia="fr-BE"/>
        </w:rPr>
        <w:t>’é</w:t>
      </w:r>
      <w:r>
        <w:rPr>
          <w:rFonts w:ascii="Georgia" w:eastAsia="Times New Roman" w:cs="Calibri"/>
          <w:sz w:val="20"/>
          <w:szCs w:val="24"/>
          <w:lang w:eastAsia="fr-BE"/>
        </w:rPr>
        <w:t>tablissement.</w:t>
      </w:r>
    </w:p>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u w:val="single"/>
          <w:lang w:eastAsia="fr-BE"/>
        </w:rPr>
        <w:t>Membres du conseil de classe</w:t>
      </w:r>
    </w:p>
    <w:tbl>
      <w:tblPr>
        <w:tblW w:w="0" w:type="auto"/>
        <w:tblInd w:w="108" w:type="dxa"/>
        <w:tblLayout w:type="fixed"/>
        <w:tblCellMar>
          <w:left w:w="0" w:type="dxa"/>
          <w:right w:w="0" w:type="dxa"/>
        </w:tblCellMar>
        <w:tblLook w:val="0000" w:firstRow="0" w:lastRow="0" w:firstColumn="0" w:lastColumn="0" w:noHBand="0" w:noVBand="0"/>
      </w:tblPr>
      <w:tblGrid>
        <w:gridCol w:w="534"/>
        <w:gridCol w:w="2408"/>
        <w:gridCol w:w="2410"/>
        <w:gridCol w:w="2268"/>
        <w:gridCol w:w="2269"/>
      </w:tblGrid>
      <w:tr w:rsidR="00F04EEF">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Pr>
                <w:rFonts w:ascii="Georgia" w:eastAsia="Times New Roman" w:cs="Calibri"/>
                <w:sz w:val="20"/>
                <w:szCs w:val="24"/>
                <w:lang w:eastAsia="fr-BE"/>
              </w:rPr>
              <w:t>Nom (2)</w:t>
            </w: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Pr>
                <w:rFonts w:ascii="Georgia" w:eastAsia="Times New Roman" w:cs="Calibri"/>
                <w:sz w:val="20"/>
                <w:szCs w:val="24"/>
                <w:lang w:eastAsia="fr-BE"/>
              </w:rPr>
              <w:t>Pr</w:t>
            </w:r>
            <w:r>
              <w:rPr>
                <w:rFonts w:ascii="Georgia" w:eastAsia="Times New Roman" w:cs="Calibri"/>
                <w:sz w:val="20"/>
                <w:szCs w:val="24"/>
                <w:lang w:eastAsia="fr-BE"/>
              </w:rPr>
              <w:t>é</w:t>
            </w:r>
            <w:r>
              <w:rPr>
                <w:rFonts w:ascii="Georgia" w:eastAsia="Times New Roman" w:cs="Calibri"/>
                <w:sz w:val="20"/>
                <w:szCs w:val="24"/>
                <w:lang w:eastAsia="fr-BE"/>
              </w:rPr>
              <w:t>nom (2)</w:t>
            </w: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Pr>
                <w:rFonts w:ascii="Georgia" w:eastAsia="Times New Roman" w:cs="Calibri"/>
                <w:sz w:val="20"/>
                <w:szCs w:val="24"/>
                <w:lang w:eastAsia="fr-BE"/>
              </w:rPr>
              <w:t>Fonction (7)</w:t>
            </w: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Pr>
                <w:rFonts w:ascii="Georgia" w:eastAsia="Times New Roman" w:cs="Calibri"/>
                <w:sz w:val="20"/>
                <w:szCs w:val="24"/>
                <w:lang w:eastAsia="fr-BE"/>
              </w:rPr>
              <w:t>Cours enseign</w:t>
            </w:r>
            <w:r>
              <w:rPr>
                <w:rFonts w:ascii="Georgia" w:eastAsia="Times New Roman" w:cs="Calibri"/>
                <w:sz w:val="20"/>
                <w:szCs w:val="24"/>
                <w:lang w:eastAsia="fr-BE"/>
              </w:rPr>
              <w:t>é</w:t>
            </w:r>
            <w:r>
              <w:rPr>
                <w:rFonts w:ascii="Georgia" w:eastAsia="Times New Roman" w:cs="Calibri"/>
                <w:sz w:val="20"/>
                <w:szCs w:val="24"/>
                <w:lang w:eastAsia="fr-BE"/>
              </w:rPr>
              <w:t>s</w:t>
            </w:r>
          </w:p>
        </w:tc>
      </w:tr>
      <w:tr w:rsidR="00F04EEF">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1</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2</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3</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4</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5</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bl>
    <w:p w:rsidR="00F04EEF" w:rsidRDefault="00F04EEF">
      <w:pPr>
        <w:tabs>
          <w:tab w:val="center" w:pos="4536"/>
          <w:tab w:val="right" w:pos="9072"/>
        </w:tabs>
        <w:suppressAutoHyphens/>
        <w:autoSpaceDE w:val="0"/>
        <w:autoSpaceDN w:val="0"/>
        <w:adjustRightInd w:val="0"/>
        <w:jc w:val="both"/>
        <w:rPr>
          <w:rFonts w:ascii="Georgia" w:eastAsia="Times New Roman" w:cs="Calibri"/>
          <w:sz w:val="20"/>
          <w:szCs w:val="24"/>
          <w:lang w:eastAsia="fr-BE"/>
        </w:rPr>
      </w:pPr>
    </w:p>
    <w:p w:rsidR="00F04EEF" w:rsidRDefault="0099351E">
      <w:pPr>
        <w:tabs>
          <w:tab w:val="center" w:pos="4536"/>
          <w:tab w:val="right" w:pos="9072"/>
          <w:tab w:val="left" w:leader="dot" w:pos="9639"/>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u w:val="single"/>
          <w:lang w:eastAsia="fr-BE"/>
        </w:rPr>
        <w:t>Membres ext</w:t>
      </w:r>
      <w:r>
        <w:rPr>
          <w:rFonts w:ascii="Georgia" w:eastAsia="Times New Roman" w:cs="Calibri"/>
          <w:sz w:val="20"/>
          <w:szCs w:val="24"/>
          <w:u w:val="single"/>
          <w:lang w:eastAsia="fr-BE"/>
        </w:rPr>
        <w:t>é</w:t>
      </w:r>
      <w:r>
        <w:rPr>
          <w:rFonts w:ascii="Georgia" w:eastAsia="Times New Roman" w:cs="Calibri"/>
          <w:sz w:val="20"/>
          <w:szCs w:val="24"/>
          <w:u w:val="single"/>
          <w:lang w:eastAsia="fr-BE"/>
        </w:rPr>
        <w:t>rieurs du jury</w:t>
      </w:r>
      <w:r>
        <w:rPr>
          <w:rFonts w:ascii="Georgia" w:eastAsia="Times New Roman" w:cs="Calibri"/>
          <w:sz w:val="20"/>
          <w:szCs w:val="24"/>
          <w:lang w:eastAsia="fr-BE"/>
        </w:rPr>
        <w:t xml:space="preserve"> </w:t>
      </w:r>
    </w:p>
    <w:tbl>
      <w:tblPr>
        <w:tblW w:w="0" w:type="auto"/>
        <w:tblInd w:w="108" w:type="dxa"/>
        <w:tblLayout w:type="fixed"/>
        <w:tblCellMar>
          <w:left w:w="0" w:type="dxa"/>
          <w:right w:w="0" w:type="dxa"/>
        </w:tblCellMar>
        <w:tblLook w:val="0000" w:firstRow="0" w:lastRow="0" w:firstColumn="0" w:lastColumn="0" w:noHBand="0" w:noVBand="0"/>
      </w:tblPr>
      <w:tblGrid>
        <w:gridCol w:w="693"/>
        <w:gridCol w:w="3126"/>
        <w:gridCol w:w="3127"/>
        <w:gridCol w:w="2942"/>
      </w:tblGrid>
      <w:tr w:rsidR="00F04EEF">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Pr>
                <w:rFonts w:ascii="Georgia" w:eastAsia="Times New Roman" w:cs="Calibri"/>
                <w:sz w:val="20"/>
                <w:szCs w:val="24"/>
                <w:lang w:eastAsia="fr-BE"/>
              </w:rPr>
              <w:t>Nom (2)</w:t>
            </w: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Pr>
                <w:rFonts w:ascii="Georgia" w:eastAsia="Times New Roman" w:cs="Calibri"/>
                <w:sz w:val="20"/>
                <w:szCs w:val="24"/>
                <w:lang w:eastAsia="fr-BE"/>
              </w:rPr>
              <w:t>Pr</w:t>
            </w:r>
            <w:r>
              <w:rPr>
                <w:rFonts w:ascii="Georgia" w:eastAsia="Times New Roman" w:cs="Calibri"/>
                <w:sz w:val="20"/>
                <w:szCs w:val="24"/>
                <w:lang w:eastAsia="fr-BE"/>
              </w:rPr>
              <w:t>é</w:t>
            </w:r>
            <w:r>
              <w:rPr>
                <w:rFonts w:ascii="Georgia" w:eastAsia="Times New Roman" w:cs="Calibri"/>
                <w:sz w:val="20"/>
                <w:szCs w:val="24"/>
                <w:lang w:eastAsia="fr-BE"/>
              </w:rPr>
              <w:t>nom  (2)</w:t>
            </w: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Pr>
                <w:rFonts w:ascii="Georgia" w:eastAsia="Times New Roman" w:cs="Calibri"/>
                <w:sz w:val="20"/>
                <w:szCs w:val="24"/>
                <w:lang w:eastAsia="fr-BE"/>
              </w:rPr>
              <w:t>Profession (6)</w:t>
            </w:r>
          </w:p>
        </w:tc>
      </w:tr>
      <w:tr w:rsidR="00F04EEF">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1</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2</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3</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4</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F04EEF">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5</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bl>
    <w:p w:rsidR="00F04EEF" w:rsidRDefault="00F04EEF">
      <w:pPr>
        <w:tabs>
          <w:tab w:val="center" w:pos="4536"/>
          <w:tab w:val="right" w:pos="9072"/>
          <w:tab w:val="left" w:leader="dot" w:pos="9639"/>
        </w:tabs>
        <w:suppressAutoHyphens/>
        <w:autoSpaceDE w:val="0"/>
        <w:autoSpaceDN w:val="0"/>
        <w:adjustRightInd w:val="0"/>
        <w:jc w:val="both"/>
        <w:rPr>
          <w:rFonts w:ascii="Georgia" w:eastAsia="Times New Roman" w:cs="Calibri"/>
          <w:sz w:val="20"/>
          <w:szCs w:val="24"/>
          <w:lang w:eastAsia="fr-BE"/>
        </w:rPr>
      </w:pPr>
    </w:p>
    <w:p w:rsidR="00F04EEF" w:rsidRDefault="0099351E">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u w:val="single"/>
          <w:lang w:eastAsia="fr-BE"/>
        </w:rPr>
        <w:t>D</w:t>
      </w:r>
      <w:r>
        <w:rPr>
          <w:rFonts w:ascii="Georgia" w:eastAsia="Times New Roman" w:cs="Calibri"/>
          <w:sz w:val="20"/>
          <w:szCs w:val="24"/>
          <w:u w:val="single"/>
          <w:lang w:eastAsia="fr-BE"/>
        </w:rPr>
        <w:t>é</w:t>
      </w:r>
      <w:r>
        <w:rPr>
          <w:rFonts w:ascii="Georgia" w:eastAsia="Times New Roman" w:cs="Calibri"/>
          <w:sz w:val="20"/>
          <w:szCs w:val="24"/>
          <w:u w:val="single"/>
          <w:lang w:eastAsia="fr-BE"/>
        </w:rPr>
        <w:t>l</w:t>
      </w:r>
      <w:r>
        <w:rPr>
          <w:rFonts w:ascii="Georgia" w:eastAsia="Times New Roman" w:cs="Calibri"/>
          <w:sz w:val="20"/>
          <w:szCs w:val="24"/>
          <w:u w:val="single"/>
          <w:lang w:eastAsia="fr-BE"/>
        </w:rPr>
        <w:t>é</w:t>
      </w:r>
      <w:r>
        <w:rPr>
          <w:rFonts w:ascii="Georgia" w:eastAsia="Times New Roman" w:cs="Calibri"/>
          <w:sz w:val="20"/>
          <w:szCs w:val="24"/>
          <w:u w:val="single"/>
          <w:lang w:eastAsia="fr-BE"/>
        </w:rPr>
        <w:t>gu</w:t>
      </w:r>
      <w:r>
        <w:rPr>
          <w:rFonts w:ascii="Georgia" w:eastAsia="Times New Roman" w:cs="Calibri"/>
          <w:sz w:val="20"/>
          <w:szCs w:val="24"/>
          <w:u w:val="single"/>
          <w:lang w:eastAsia="fr-BE"/>
        </w:rPr>
        <w:t>é</w:t>
      </w:r>
      <w:r>
        <w:rPr>
          <w:rFonts w:ascii="Georgia" w:eastAsia="Times New Roman" w:cs="Calibri"/>
          <w:sz w:val="20"/>
          <w:szCs w:val="24"/>
          <w:u w:val="single"/>
          <w:lang w:eastAsia="fr-BE"/>
        </w:rPr>
        <w:t xml:space="preserve"> du Chef d</w:t>
      </w:r>
      <w:r>
        <w:rPr>
          <w:rFonts w:ascii="Georgia" w:eastAsia="Times New Roman" w:cs="Calibri"/>
          <w:sz w:val="20"/>
          <w:szCs w:val="24"/>
          <w:u w:val="single"/>
          <w:lang w:eastAsia="fr-BE"/>
        </w:rPr>
        <w:t>’é</w:t>
      </w:r>
      <w:r>
        <w:rPr>
          <w:rFonts w:ascii="Georgia" w:eastAsia="Times New Roman" w:cs="Calibri"/>
          <w:sz w:val="20"/>
          <w:szCs w:val="24"/>
          <w:u w:val="single"/>
          <w:lang w:eastAsia="fr-BE"/>
        </w:rPr>
        <w:t>tablissement</w:t>
      </w:r>
      <w:r>
        <w:rPr>
          <w:rFonts w:ascii="Georgia" w:eastAsia="Times New Roman" w:cs="Calibri"/>
          <w:sz w:val="20"/>
          <w:szCs w:val="24"/>
          <w:lang w:eastAsia="fr-BE"/>
        </w:rPr>
        <w:t> </w:t>
      </w:r>
      <w:r>
        <w:rPr>
          <w:rFonts w:ascii="Georgia" w:eastAsia="Times New Roman" w:cs="Calibri"/>
          <w:sz w:val="20"/>
          <w:szCs w:val="24"/>
          <w:lang w:eastAsia="fr-BE"/>
        </w:rPr>
        <w:t>:</w:t>
      </w:r>
    </w:p>
    <w:p w:rsidR="00F04EEF" w:rsidRDefault="0099351E">
      <w:pPr>
        <w:tabs>
          <w:tab w:val="center" w:pos="4536"/>
          <w:tab w:val="right" w:pos="9072"/>
          <w:tab w:val="right" w:leader="dot" w:pos="9498"/>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En cas d</w:t>
      </w:r>
      <w:r>
        <w:rPr>
          <w:rFonts w:ascii="Georgia" w:eastAsia="Times New Roman" w:cs="Calibri"/>
          <w:sz w:val="20"/>
          <w:szCs w:val="24"/>
          <w:lang w:eastAsia="fr-BE"/>
        </w:rPr>
        <w:t>’</w:t>
      </w:r>
      <w:r>
        <w:rPr>
          <w:rFonts w:ascii="Georgia" w:eastAsia="Times New Roman" w:cs="Calibri"/>
          <w:sz w:val="20"/>
          <w:szCs w:val="24"/>
          <w:lang w:eastAsia="fr-BE"/>
        </w:rPr>
        <w:t>absence, le(la) Chef(fe) d</w:t>
      </w:r>
      <w:r>
        <w:rPr>
          <w:rFonts w:ascii="Georgia" w:eastAsia="Times New Roman" w:cs="Calibri"/>
          <w:sz w:val="20"/>
          <w:szCs w:val="24"/>
          <w:lang w:eastAsia="fr-BE"/>
        </w:rPr>
        <w:t>’é</w:t>
      </w:r>
      <w:r>
        <w:rPr>
          <w:rFonts w:ascii="Georgia" w:eastAsia="Times New Roman" w:cs="Calibri"/>
          <w:sz w:val="20"/>
          <w:szCs w:val="24"/>
          <w:lang w:eastAsia="fr-BE"/>
        </w:rPr>
        <w:t>tablissement sera remplac</w:t>
      </w:r>
      <w:r>
        <w:rPr>
          <w:rFonts w:ascii="Georgia" w:eastAsia="Times New Roman" w:cs="Calibri"/>
          <w:sz w:val="20"/>
          <w:szCs w:val="24"/>
          <w:lang w:eastAsia="fr-BE"/>
        </w:rPr>
        <w:t>é</w:t>
      </w:r>
      <w:r>
        <w:rPr>
          <w:rFonts w:ascii="Georgia" w:eastAsia="Times New Roman" w:cs="Calibri"/>
          <w:sz w:val="20"/>
          <w:szCs w:val="24"/>
          <w:lang w:eastAsia="fr-BE"/>
        </w:rPr>
        <w:t xml:space="preserve">(e) par Monsieur-Madame </w:t>
      </w:r>
    </w:p>
    <w:p w:rsidR="00F04EEF" w:rsidRDefault="0099351E">
      <w:pPr>
        <w:tabs>
          <w:tab w:val="center" w:pos="4536"/>
          <w:tab w:val="right" w:pos="9072"/>
          <w:tab w:val="right" w:leader="dot" w:pos="9498"/>
        </w:tabs>
        <w:suppressAutoHyphens/>
        <w:autoSpaceDE w:val="0"/>
        <w:autoSpaceDN w:val="0"/>
        <w:adjustRightInd w:val="0"/>
        <w:spacing w:line="360" w:lineRule="auto"/>
        <w:jc w:val="both"/>
        <w:rPr>
          <w:rFonts w:ascii="Georgia" w:eastAsia="Times New Roman" w:cs="Calibri"/>
          <w:sz w:val="20"/>
          <w:szCs w:val="24"/>
          <w:lang w:eastAsia="fr-BE"/>
        </w:rPr>
      </w:pPr>
      <w:r>
        <w:rPr>
          <w:rFonts w:ascii="Georgia" w:eastAsia="Times New Roman" w:cs="Calibri"/>
          <w:sz w:val="20"/>
          <w:szCs w:val="24"/>
          <w:lang w:eastAsia="fr-BE"/>
        </w:rPr>
        <w:t>…………………………………………………………………………………………</w:t>
      </w:r>
      <w:r>
        <w:rPr>
          <w:rFonts w:ascii="Georgia" w:eastAsia="Times New Roman" w:cs="Calibri"/>
          <w:sz w:val="20"/>
          <w:szCs w:val="24"/>
          <w:lang w:eastAsia="fr-BE"/>
        </w:rPr>
        <w:t xml:space="preserve"> (2), exer</w:t>
      </w:r>
      <w:r>
        <w:rPr>
          <w:rFonts w:ascii="Georgia" w:eastAsia="Times New Roman" w:cs="Calibri"/>
          <w:sz w:val="20"/>
          <w:szCs w:val="24"/>
          <w:lang w:eastAsia="fr-BE"/>
        </w:rPr>
        <w:t>ç</w:t>
      </w:r>
      <w:r>
        <w:rPr>
          <w:rFonts w:ascii="Georgia" w:eastAsia="Times New Roman" w:cs="Calibri"/>
          <w:sz w:val="20"/>
          <w:szCs w:val="24"/>
          <w:lang w:eastAsia="fr-BE"/>
        </w:rPr>
        <w:t>ant la fonction de (d</w:t>
      </w:r>
      <w:r>
        <w:rPr>
          <w:rFonts w:ascii="Georgia" w:eastAsia="Times New Roman" w:cs="Calibri"/>
          <w:sz w:val="20"/>
          <w:szCs w:val="24"/>
          <w:lang w:eastAsia="fr-BE"/>
        </w:rPr>
        <w:t>’</w:t>
      </w:r>
      <w:r>
        <w:rPr>
          <w:rFonts w:ascii="Georgia" w:eastAsia="Times New Roman" w:cs="Calibri"/>
          <w:sz w:val="20"/>
          <w:szCs w:val="24"/>
          <w:lang w:eastAsia="fr-BE"/>
        </w:rPr>
        <w:t>)</w:t>
      </w:r>
      <w:r>
        <w:rPr>
          <w:rFonts w:ascii="Georgia" w:eastAsia="Times New Roman" w:cs="Calibri"/>
          <w:sz w:val="20"/>
          <w:szCs w:val="24"/>
          <w:lang w:eastAsia="fr-BE"/>
        </w:rPr>
        <w:t>………………………………………………………………………………………………</w:t>
      </w:r>
      <w:r>
        <w:rPr>
          <w:rFonts w:ascii="Georgia" w:eastAsia="Times New Roman" w:cs="Calibri"/>
          <w:sz w:val="20"/>
          <w:szCs w:val="24"/>
          <w:lang w:eastAsia="fr-BE"/>
        </w:rPr>
        <w:t>. (6).</w:t>
      </w:r>
    </w:p>
    <w:p w:rsidR="00F04EEF" w:rsidRDefault="0099351E">
      <w:pPr>
        <w:tabs>
          <w:tab w:val="center" w:pos="4536"/>
          <w:tab w:val="left" w:pos="5103"/>
          <w:tab w:val="right" w:pos="9072"/>
          <w:tab w:val="right" w:leader="dot" w:pos="9923"/>
        </w:tabs>
        <w:suppressAutoHyphens/>
        <w:autoSpaceDE w:val="0"/>
        <w:autoSpaceDN w:val="0"/>
        <w:adjustRightInd w:val="0"/>
        <w:jc w:val="both"/>
        <w:rPr>
          <w:rFonts w:ascii="Georgia" w:eastAsia="Times New Roman" w:cs="Calibri"/>
          <w:sz w:val="20"/>
          <w:szCs w:val="24"/>
          <w:lang w:eastAsia="fr-BE"/>
        </w:rPr>
      </w:pPr>
      <w:r>
        <w:rPr>
          <w:rFonts w:ascii="Georgia" w:eastAsia="Times New Roman" w:cs="Calibri"/>
          <w:sz w:val="20"/>
          <w:szCs w:val="24"/>
          <w:lang w:eastAsia="fr-BE"/>
        </w:rPr>
        <w:t>É</w:t>
      </w:r>
      <w:r>
        <w:rPr>
          <w:rFonts w:ascii="Georgia" w:eastAsia="Times New Roman" w:cs="Calibri"/>
          <w:sz w:val="20"/>
          <w:szCs w:val="24"/>
          <w:lang w:eastAsia="fr-BE"/>
        </w:rPr>
        <w:t>tabli en deux exemplaires originaux, le</w:t>
      </w:r>
      <w:r>
        <w:rPr>
          <w:rFonts w:ascii="Georgia" w:eastAsia="Times New Roman" w:cs="Calibri"/>
          <w:sz w:val="20"/>
          <w:szCs w:val="24"/>
          <w:lang w:eastAsia="fr-BE"/>
        </w:rPr>
        <w:t>……………………………………………………………………</w:t>
      </w:r>
      <w:r>
        <w:rPr>
          <w:rFonts w:ascii="Georgia" w:eastAsia="Times New Roman" w:cs="Calibri"/>
          <w:sz w:val="20"/>
          <w:szCs w:val="24"/>
          <w:lang w:eastAsia="fr-BE"/>
        </w:rPr>
        <w:t>. (4)</w:t>
      </w:r>
    </w:p>
    <w:p w:rsidR="00F04EEF" w:rsidRDefault="00F04EEF">
      <w:pPr>
        <w:tabs>
          <w:tab w:val="center" w:pos="4536"/>
          <w:tab w:val="left" w:pos="5103"/>
          <w:tab w:val="right" w:pos="9072"/>
          <w:tab w:val="right" w:leader="dot" w:pos="9923"/>
        </w:tabs>
        <w:suppressAutoHyphens/>
        <w:autoSpaceDE w:val="0"/>
        <w:autoSpaceDN w:val="0"/>
        <w:adjustRightInd w:val="0"/>
        <w:jc w:val="both"/>
        <w:rPr>
          <w:rFonts w:ascii="Georgia" w:eastAsia="Times New Roman" w:cs="Calibri"/>
          <w:sz w:val="20"/>
          <w:szCs w:val="24"/>
          <w:lang w:eastAsia="fr-BE"/>
        </w:rPr>
      </w:pPr>
    </w:p>
    <w:p w:rsidR="00F04EEF" w:rsidRDefault="0099351E">
      <w:pPr>
        <w:tabs>
          <w:tab w:val="center" w:pos="4536"/>
          <w:tab w:val="left" w:pos="5103"/>
          <w:tab w:val="right" w:pos="9072"/>
          <w:tab w:val="right" w:leader="dot" w:pos="9923"/>
        </w:tabs>
        <w:suppressAutoHyphens/>
        <w:autoSpaceDE w:val="0"/>
        <w:autoSpaceDN w:val="0"/>
        <w:adjustRightInd w:val="0"/>
        <w:jc w:val="both"/>
        <w:rPr>
          <w:rFonts w:ascii="Georgia" w:eastAsia="Times New Roman" w:cs="Calibri"/>
          <w:sz w:val="20"/>
          <w:szCs w:val="24"/>
          <w:lang w:eastAsia="fr-BE"/>
        </w:rPr>
      </w:pPr>
      <w:r>
        <w:rPr>
          <w:rFonts w:ascii="Georgia" w:eastAsia="Times New Roman" w:cs="Calibri"/>
          <w:sz w:val="20"/>
          <w:szCs w:val="24"/>
          <w:lang w:eastAsia="fr-BE"/>
        </w:rPr>
        <w:t>Le (La) Chef(fe) d</w:t>
      </w:r>
      <w:r>
        <w:rPr>
          <w:rFonts w:ascii="Georgia" w:eastAsia="Times New Roman" w:cs="Calibri"/>
          <w:sz w:val="20"/>
          <w:szCs w:val="24"/>
          <w:lang w:eastAsia="fr-BE"/>
        </w:rPr>
        <w:t>’é</w:t>
      </w:r>
      <w:r>
        <w:rPr>
          <w:rFonts w:ascii="Georgia" w:eastAsia="Times New Roman" w:cs="Calibri"/>
          <w:sz w:val="20"/>
          <w:szCs w:val="24"/>
          <w:lang w:eastAsia="fr-BE"/>
        </w:rPr>
        <w:t xml:space="preserve">tablissement, </w:t>
      </w:r>
    </w:p>
    <w:p w:rsidR="00F04EEF" w:rsidRDefault="0099351E">
      <w:pPr>
        <w:rPr>
          <w:rFonts w:ascii="Georgia" w:eastAsia="Times New Roman" w:hAnsi="Georgia" w:cs="Georgia"/>
          <w:b/>
          <w:color w:val="000000"/>
          <w:szCs w:val="24"/>
          <w:u w:val="single"/>
        </w:rPr>
      </w:pPr>
      <w:r>
        <w:rPr>
          <w:rFonts w:ascii="Georgia" w:eastAsia="Times New Roman" w:hAnsi="Georgia" w:cs="Georgia"/>
          <w:b/>
          <w:color w:val="000000"/>
          <w:szCs w:val="24"/>
          <w:u w:val="single"/>
        </w:rPr>
        <w:br w:type="page"/>
      </w:r>
    </w:p>
    <w:p w:rsidR="00F04EEF" w:rsidRDefault="0099351E">
      <w:pPr>
        <w:pStyle w:val="Titre4"/>
      </w:pPr>
      <w:r>
        <w:t>Annexe 12 : Déclaration de perte de l’attestation de réussite de la première phase</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suppressAutoHyphens/>
        <w:autoSpaceDE w:val="0"/>
        <w:autoSpaceDN w:val="0"/>
        <w:adjustRightInd w:val="0"/>
        <w:jc w:val="center"/>
        <w:rPr>
          <w:rFonts w:ascii="Georgia" w:eastAsia="Times New Roman" w:hAnsi="Georgia" w:cs="Georgia"/>
          <w:szCs w:val="24"/>
          <w:u w:val="single"/>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DECLARATION DE PERTE DE l’ATTESTATION DE REUSSITE DE LA PREMIERE PHASE</w:t>
      </w:r>
    </w:p>
    <w:p w:rsidR="00F04EEF" w:rsidRDefault="00F04EEF">
      <w:pPr>
        <w:suppressAutoHyphens/>
        <w:autoSpaceDE w:val="0"/>
        <w:autoSpaceDN w:val="0"/>
        <w:adjustRightInd w:val="0"/>
        <w:ind w:left="284" w:hanging="284"/>
        <w:jc w:val="both"/>
        <w:rPr>
          <w:rFonts w:ascii="Georgia" w:eastAsia="Times New Roman" w:hAnsi="Georgia" w:cs="Georgia"/>
          <w:caps/>
          <w:szCs w:val="24"/>
        </w:rPr>
      </w:pP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caps/>
          <w:szCs w:val="24"/>
        </w:rPr>
        <w:t>Dénomination et siège de l’établissement :</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caps/>
          <w:szCs w:val="24"/>
        </w:rPr>
        <w:t>………………………………………………………………………………………………………………………………………………………………………………………………………………………………………………………………………. (1)</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Numéro Fase :</w:t>
      </w:r>
    </w:p>
    <w:p w:rsidR="00F04EEF" w:rsidRDefault="00F04EEF">
      <w:pPr>
        <w:suppressAutoHyphens/>
        <w:autoSpaceDE w:val="0"/>
        <w:autoSpaceDN w:val="0"/>
        <w:adjustRightInd w:val="0"/>
        <w:jc w:val="both"/>
        <w:rPr>
          <w:rFonts w:ascii="Georgia" w:eastAsia="Times New Roman" w:hAnsi="Georgia" w:cs="Georgia"/>
          <w:szCs w:val="24"/>
          <w:u w:val="single"/>
        </w:rPr>
      </w:pP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 xml:space="preserve">SECTEUR PROFESSIONNEL : …………………………………………………………………………………. (8) </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Je soussigné(e) : …………………………………………………………………………………………………….. (2)</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Chef(fe) de l’établissement susmentionné certifie que l’élève : …………………………………….. (2)</w:t>
      </w:r>
    </w:p>
    <w:p w:rsidR="00F04EEF" w:rsidRDefault="0099351E">
      <w:pPr>
        <w:tabs>
          <w:tab w:val="left" w:pos="5387"/>
        </w:tabs>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Né(e) à ………………………………………………………………….</w:t>
      </w:r>
      <w:r>
        <w:rPr>
          <w:rFonts w:ascii="Georgia" w:eastAsia="Times New Roman" w:hAnsi="Georgia" w:cs="Georgia"/>
          <w:szCs w:val="24"/>
        </w:rPr>
        <w:tab/>
        <w:t>(3), le……………………………………… (4)</w:t>
      </w:r>
    </w:p>
    <w:p w:rsidR="00F04EEF" w:rsidRDefault="00F04EEF">
      <w:pPr>
        <w:tabs>
          <w:tab w:val="left" w:pos="5387"/>
        </w:tabs>
        <w:suppressAutoHyphens/>
        <w:autoSpaceDE w:val="0"/>
        <w:autoSpaceDN w:val="0"/>
        <w:adjustRightInd w:val="0"/>
        <w:ind w:left="284" w:hanging="284"/>
        <w:jc w:val="both"/>
        <w:rPr>
          <w:rFonts w:ascii="Georgia" w:eastAsia="Times New Roman" w:hAnsi="Georgia" w:cs="Georgia"/>
          <w:szCs w:val="24"/>
        </w:rPr>
      </w:pPr>
    </w:p>
    <w:p w:rsidR="00F04EEF" w:rsidRDefault="0099351E">
      <w:pPr>
        <w:widowControl w:val="0"/>
        <w:tabs>
          <w:tab w:val="left" w:pos="5387"/>
        </w:tabs>
        <w:suppressAutoHyphens/>
        <w:autoSpaceDE w:val="0"/>
        <w:autoSpaceDN w:val="0"/>
        <w:adjustRightInd w:val="0"/>
        <w:jc w:val="both"/>
        <w:rPr>
          <w:rFonts w:ascii="Cambria" w:eastAsia="Times New Roman" w:cs="Calibri"/>
          <w:b/>
          <w:sz w:val="20"/>
          <w:szCs w:val="24"/>
          <w:lang w:eastAsia="fr-BE"/>
        </w:rPr>
      </w:pPr>
      <w:r>
        <w:rPr>
          <w:rFonts w:ascii="Georgia" w:eastAsia="Times New Roman" w:hAnsi="Georgia" w:cs="Georgia"/>
          <w:b/>
          <w:sz w:val="20"/>
          <w:szCs w:val="24"/>
          <w:lang w:eastAsia="fr-BE"/>
        </w:rPr>
        <w:t>a suivi régulièrement et terminé avec fruit la première phase en qualité d’élève régulier (régulière) dans l’enseignement secondaire spécialisé de plein exercice et a été admis (admise) en deuxième phase de l’enseignement secondaire spécialisé de forme 3.</w:t>
      </w: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J’atteste que toutes les prescriptions légales et réglementaires ont été respectées pendant toute la durée des études.</w:t>
      </w: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En foi de quoi, l’attestation a été délivrée le …………………………………………………………….. (4)</w:t>
      </w: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L’élève a déclaré avoir perdu celui-ci.</w:t>
      </w: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Le (La) Chef(fe) d’établissement :</w:t>
      </w:r>
      <w:r>
        <w:rPr>
          <w:rFonts w:ascii="Georgia" w:eastAsia="Times New Roman" w:hAnsi="Georgia" w:cs="Georgia"/>
          <w:szCs w:val="24"/>
        </w:rPr>
        <w:tab/>
        <w:t>Sceau de l’établissement :</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rPr>
          <w:rFonts w:ascii="Georgia" w:eastAsia="Times New Roman" w:hAnsi="Georgia" w:cs="Georgia"/>
          <w:color w:val="000000"/>
          <w:szCs w:val="24"/>
        </w:rPr>
      </w:pPr>
      <w:r>
        <w:rPr>
          <w:rFonts w:ascii="Georgia" w:eastAsia="Times New Roman" w:hAnsi="Georgia" w:cs="Georgia"/>
          <w:color w:val="000000"/>
          <w:szCs w:val="24"/>
        </w:rPr>
        <w:br w:type="page"/>
      </w:r>
    </w:p>
    <w:p w:rsidR="00F04EEF" w:rsidRDefault="0099351E">
      <w:pPr>
        <w:pStyle w:val="Titre4"/>
      </w:pPr>
      <w:r>
        <w:t>Annexe 13 : Déclaration de perte de l’attestation de réussite de la deuxième phase</w:t>
      </w:r>
    </w:p>
    <w:p w:rsidR="00F04EEF" w:rsidRDefault="00F04EEF">
      <w:pPr>
        <w:shd w:val="clear" w:color="auto" w:fill="FFFFFF"/>
        <w:suppressAutoHyphens/>
        <w:autoSpaceDE w:val="0"/>
        <w:autoSpaceDN w:val="0"/>
        <w:adjustRightInd w:val="0"/>
        <w:rPr>
          <w:rFonts w:ascii="Georgia" w:eastAsia="Times New Roman" w:hAnsi="Georgia" w:cs="Georgia"/>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suppressAutoHyphens/>
        <w:autoSpaceDE w:val="0"/>
        <w:autoSpaceDN w:val="0"/>
        <w:adjustRightInd w:val="0"/>
        <w:jc w:val="center"/>
        <w:rPr>
          <w:rFonts w:ascii="Georgia" w:eastAsia="Times New Roman" w:hAnsi="Georgia" w:cs="Georgia"/>
          <w:sz w:val="19"/>
          <w:szCs w:val="19"/>
          <w:u w:val="single"/>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DECLARATION DE PERTE DE l’ATTESTATION DE REUSSITE DE LA DEUXIEME PHASE</w:t>
      </w:r>
    </w:p>
    <w:p w:rsidR="00F04EEF" w:rsidRDefault="00F04EEF">
      <w:pPr>
        <w:suppressAutoHyphens/>
        <w:autoSpaceDE w:val="0"/>
        <w:autoSpaceDN w:val="0"/>
        <w:adjustRightInd w:val="0"/>
        <w:ind w:left="284" w:hanging="284"/>
        <w:jc w:val="both"/>
        <w:rPr>
          <w:rFonts w:ascii="Georgia" w:eastAsia="Times New Roman" w:hAnsi="Georgia" w:cs="Georgia"/>
          <w:caps/>
          <w:szCs w:val="24"/>
        </w:rPr>
      </w:pP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caps/>
          <w:szCs w:val="24"/>
        </w:rPr>
        <w:t>Dénomination et siège de l’établissement :</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caps/>
          <w:szCs w:val="24"/>
        </w:rPr>
        <w:t>………………………………………………………………………………………………………………………………………………………………………………………………………………………………………………………………………. (1)</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Numéro Fase :</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SECTEUR PROFESSIONNEL</w:t>
      </w:r>
      <w:r>
        <w:rPr>
          <w:rFonts w:ascii="Georgia" w:eastAsia="Times New Roman" w:hAnsi="Georgia" w:cs="Georgia"/>
          <w:szCs w:val="24"/>
        </w:rPr>
        <w:t> : ………………………………………………………………………………… (8)</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GROUPE PROFESSIONNEL</w:t>
      </w:r>
      <w:r>
        <w:rPr>
          <w:rFonts w:ascii="Georgia" w:eastAsia="Times New Roman" w:hAnsi="Georgia" w:cs="Georgia"/>
          <w:szCs w:val="24"/>
          <w:vertAlign w:val="superscript"/>
        </w:rPr>
        <w:t> </w:t>
      </w:r>
      <w:r>
        <w:rPr>
          <w:rFonts w:ascii="Georgia" w:eastAsia="Times New Roman" w:hAnsi="Georgia" w:cs="Georgia"/>
          <w:szCs w:val="24"/>
        </w:rPr>
        <w:t>: ……………………………………………………………………………………. (9)</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Je soussigné(e) : …………………………………………………………………………………………………….. (2)</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Chef(fe) de l’établissement susmentionné certifie que l’élève : …………………………………….. (2)</w:t>
      </w:r>
    </w:p>
    <w:p w:rsidR="00F04EEF" w:rsidRDefault="0099351E">
      <w:pPr>
        <w:tabs>
          <w:tab w:val="left" w:pos="5387"/>
        </w:tabs>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rPr>
        <w:t>Né(e) à ………………………………………………………………….</w:t>
      </w:r>
      <w:r>
        <w:rPr>
          <w:rFonts w:ascii="Georgia" w:eastAsia="Times New Roman" w:hAnsi="Georgia" w:cs="Georgia"/>
          <w:szCs w:val="24"/>
        </w:rPr>
        <w:tab/>
        <w:t>(3), le……………………………………… (4)</w:t>
      </w:r>
    </w:p>
    <w:p w:rsidR="00F04EEF" w:rsidRDefault="00F04EEF">
      <w:pPr>
        <w:tabs>
          <w:tab w:val="left" w:pos="5387"/>
        </w:tabs>
        <w:suppressAutoHyphens/>
        <w:autoSpaceDE w:val="0"/>
        <w:autoSpaceDN w:val="0"/>
        <w:adjustRightInd w:val="0"/>
        <w:ind w:left="284" w:hanging="284"/>
        <w:jc w:val="both"/>
        <w:rPr>
          <w:rFonts w:ascii="Georgia" w:eastAsia="Times New Roman" w:hAnsi="Georgia" w:cs="Georgia"/>
          <w:szCs w:val="24"/>
        </w:rPr>
      </w:pPr>
    </w:p>
    <w:p w:rsidR="00F04EEF" w:rsidRDefault="0099351E">
      <w:pPr>
        <w:widowControl w:val="0"/>
        <w:tabs>
          <w:tab w:val="left" w:pos="5387"/>
        </w:tabs>
        <w:suppressAutoHyphens/>
        <w:autoSpaceDE w:val="0"/>
        <w:autoSpaceDN w:val="0"/>
        <w:adjustRightInd w:val="0"/>
        <w:jc w:val="both"/>
        <w:rPr>
          <w:rFonts w:ascii="Cambria" w:eastAsia="Times New Roman" w:cs="Calibri"/>
          <w:b/>
          <w:sz w:val="20"/>
          <w:szCs w:val="24"/>
          <w:lang w:eastAsia="fr-BE"/>
        </w:rPr>
      </w:pPr>
      <w:r>
        <w:rPr>
          <w:rFonts w:ascii="Georgia" w:eastAsia="Times New Roman" w:hAnsi="Georgia" w:cs="Georgia"/>
          <w:b/>
          <w:sz w:val="20"/>
          <w:szCs w:val="24"/>
          <w:lang w:eastAsia="fr-BE"/>
        </w:rPr>
        <w:t>a suivi régulièrement et terminé avec fruit la deuxième phase en qualité d’élève régulier (régulière) dans l’enseignement secondaire spécialisé de plein exercice et a été admis (admise) en troisième phase de l’enseignement secondaire spécialisé de forme 3 dans un des métiers du groupe professionnel susmentionné.</w:t>
      </w: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J’atteste que toutes les prescriptions légales et réglementaires ont été respectées pendant toute la durée des études.</w:t>
      </w: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En foi de quoi, l’attestation a été délivrée le …………………………………………………………… (4)</w:t>
      </w: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L’élève a déclaré avoir perdu celui-ci.</w:t>
      </w:r>
    </w:p>
    <w:p w:rsidR="00F04EEF" w:rsidRDefault="00F04EEF">
      <w:pPr>
        <w:tabs>
          <w:tab w:val="left" w:pos="5387"/>
        </w:tabs>
        <w:suppressAutoHyphens/>
        <w:autoSpaceDE w:val="0"/>
        <w:autoSpaceDN w:val="0"/>
        <w:adjustRightInd w:val="0"/>
        <w:jc w:val="both"/>
        <w:rPr>
          <w:rFonts w:ascii="Georgia" w:eastAsia="Times New Roman" w:hAnsi="Georgia" w:cs="Georgia"/>
          <w:szCs w:val="24"/>
        </w:rPr>
      </w:pPr>
    </w:p>
    <w:p w:rsidR="00F04EEF" w:rsidRDefault="0099351E">
      <w:pPr>
        <w:tabs>
          <w:tab w:val="left" w:pos="5387"/>
        </w:tabs>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Le (La) Chef(fe) d’établissement :</w:t>
      </w:r>
      <w:r>
        <w:rPr>
          <w:rFonts w:ascii="Georgia" w:eastAsia="Times New Roman" w:hAnsi="Georgia" w:cs="Georgia"/>
          <w:szCs w:val="24"/>
        </w:rPr>
        <w:tab/>
        <w:t>Sceau de l’établissement :</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rPr>
          <w:rFonts w:ascii="Georgia" w:eastAsia="Times New Roman" w:hAnsi="Georgia" w:cs="Georgia"/>
          <w:szCs w:val="24"/>
        </w:rPr>
      </w:pPr>
      <w:r>
        <w:rPr>
          <w:rFonts w:ascii="Georgia" w:eastAsia="Times New Roman" w:hAnsi="Georgia" w:cs="Georgia"/>
          <w:szCs w:val="24"/>
        </w:rPr>
        <w:br w:type="page"/>
      </w:r>
    </w:p>
    <w:p w:rsidR="00F04EEF" w:rsidRDefault="0099351E">
      <w:pPr>
        <w:pStyle w:val="Titre4"/>
      </w:pPr>
      <w:r>
        <w:t>Annexe 14 : Certificat d’enseignement secondaire du premier degré</w:t>
      </w:r>
    </w:p>
    <w:p w:rsidR="00F04EEF" w:rsidRDefault="00F04EEF">
      <w:pPr>
        <w:suppressAutoHyphens/>
        <w:autoSpaceDE w:val="0"/>
        <w:autoSpaceDN w:val="0"/>
        <w:adjustRightInd w:val="0"/>
        <w:jc w:val="center"/>
        <w:rPr>
          <w:rFonts w:ascii="Georgia" w:eastAsia="Times New Roman" w:hAnsi="Georgia" w:cs="Georgia"/>
          <w:b/>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Certificat d’enseignement secondaire du PREMIER degré</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u w:val="single"/>
        </w:rPr>
        <w:t>DENOMINATION ET SIEGE DE L’ETABLISSEMENT :</w:t>
      </w: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caps/>
          <w:szCs w:val="24"/>
        </w:rPr>
        <w:t>…………………………………………………………………………………………………………………………………………………………………………………………………………………………………………………………………………(1)</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 xml:space="preserve">Numéro Fase : </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Je soussigné(e) : ……………………………………………………………………………………………………(2)</w:t>
      </w:r>
    </w:p>
    <w:p w:rsidR="00F04EEF" w:rsidRDefault="0099351E">
      <w:pPr>
        <w:suppressAutoHyphens/>
        <w:autoSpaceDE w:val="0"/>
        <w:autoSpaceDN w:val="0"/>
        <w:adjustRightInd w:val="0"/>
        <w:spacing w:line="360" w:lineRule="auto"/>
        <w:rPr>
          <w:rFonts w:ascii="Cambria" w:eastAsia="Times New Roman" w:hAnsi="Cambria" w:cs="Calibri"/>
          <w:szCs w:val="24"/>
        </w:rPr>
      </w:pPr>
      <w:r>
        <w:rPr>
          <w:rFonts w:ascii="Georgia" w:eastAsia="Times New Roman" w:hAnsi="Georgia" w:cs="Georgia"/>
          <w:szCs w:val="24"/>
        </w:rPr>
        <w:t>Chef (fe) de l’établissement susmentionné, certifie que l’élève : …………………………………….(2)</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Né(e) à …………………………………………… (3), le ………………………………………………………………(4)</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1° a suivi du………………………………………..(4) au………………………………………………(4)</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en qualité d’élève régulier (régulière) la ……………………….. (12) phase de l’enseignement secondaire spécialisé de plein exercice de forme 3 visé à l’article 54 § 1</w:t>
      </w:r>
      <w:r>
        <w:rPr>
          <w:rFonts w:ascii="Georgia" w:eastAsia="Times New Roman" w:hAnsi="Georgia" w:cs="Georgia"/>
          <w:szCs w:val="24"/>
          <w:vertAlign w:val="superscript"/>
        </w:rPr>
        <w:t>er</w:t>
      </w:r>
      <w:r>
        <w:rPr>
          <w:rFonts w:ascii="Georgia" w:eastAsia="Times New Roman" w:hAnsi="Georgia" w:cs="Georgia"/>
          <w:szCs w:val="24"/>
        </w:rPr>
        <w:t xml:space="preserve"> du Décret du 3 mars 2004 organisant l’enseignement spécialisé ;</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2° et, a réussi les épreuves externes certificatives intervenant dans la délivrance du certificat d’enseignement secondaire du premier degré conformément à l’article 36/2 du Décret du 2 juin 2006 relatif à l’évaluation externe des acquis des élèves de l’enseignement obligatoire et au CEB au terme de l’enseignement primaire.</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 xml:space="preserve"> J’atteste que toutes les prescriptions légales et réglementaires ont été respectées pendant toute la durée des études et que toutes les compétences nécessaires à l’octroi de ce titre ont été acquises par l’élève.</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En foi de quoi, je délivre le présent certificat.</w:t>
      </w:r>
    </w:p>
    <w:p w:rsidR="00F04EEF" w:rsidRDefault="00F04EEF">
      <w:pPr>
        <w:suppressAutoHyphens/>
        <w:autoSpaceDE w:val="0"/>
        <w:autoSpaceDN w:val="0"/>
        <w:adjustRightInd w:val="0"/>
        <w:spacing w:line="360" w:lineRule="auto"/>
        <w:jc w:val="both"/>
        <w:rPr>
          <w:rFonts w:ascii="Georgia" w:eastAsia="Times New Roman" w:hAnsi="Georgia" w:cs="Georgia"/>
          <w:szCs w:val="24"/>
        </w:rPr>
      </w:pP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Délivré à ……………………………………………… (3), le ………………………………………………………. (4)</w:t>
      </w:r>
    </w:p>
    <w:p w:rsidR="00F04EEF" w:rsidRDefault="00F04EEF">
      <w:pPr>
        <w:suppressAutoHyphens/>
        <w:autoSpaceDE w:val="0"/>
        <w:autoSpaceDN w:val="0"/>
        <w:adjustRightInd w:val="0"/>
        <w:spacing w:line="360" w:lineRule="auto"/>
        <w:jc w:val="both"/>
        <w:rPr>
          <w:rFonts w:ascii="Georgia" w:eastAsia="Times New Roman" w:hAnsi="Georgia" w:cs="Georgia"/>
          <w:szCs w:val="24"/>
        </w:rPr>
      </w:pPr>
    </w:p>
    <w:p w:rsidR="00F04EEF" w:rsidRDefault="00F04EEF">
      <w:pPr>
        <w:suppressAutoHyphens/>
        <w:autoSpaceDE w:val="0"/>
        <w:autoSpaceDN w:val="0"/>
        <w:adjustRightInd w:val="0"/>
        <w:spacing w:line="360" w:lineRule="auto"/>
        <w:jc w:val="both"/>
        <w:rPr>
          <w:rFonts w:ascii="Georgia" w:eastAsia="Times New Roman" w:hAnsi="Georgia" w:cs="Georgia"/>
          <w:szCs w:val="24"/>
        </w:rPr>
      </w:pP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szCs w:val="24"/>
        </w:rPr>
        <w:t>Sceau de l’établissement                                                            Le (La) Chef(fe) d’établissement</w:t>
      </w:r>
      <w:r>
        <w:rPr>
          <w:rFonts w:ascii="Georgia" w:eastAsia="Times New Roman" w:hAnsi="Georgia" w:cs="Georgia"/>
          <w:szCs w:val="24"/>
        </w:rPr>
        <w:tab/>
      </w:r>
      <w:r>
        <w:rPr>
          <w:rFonts w:ascii="Georgia" w:eastAsia="Times New Roman" w:hAnsi="Georgia" w:cs="Georgia"/>
          <w:szCs w:val="24"/>
        </w:rPr>
        <w:tab/>
      </w:r>
      <w:r>
        <w:rPr>
          <w:rFonts w:ascii="Georgia" w:eastAsia="Times New Roman" w:hAnsi="Georgia" w:cs="Georgia"/>
          <w:szCs w:val="24"/>
        </w:rPr>
        <w:tab/>
      </w:r>
    </w:p>
    <w:p w:rsidR="00F04EEF" w:rsidRDefault="0099351E">
      <w:pPr>
        <w:rPr>
          <w:rFonts w:ascii="Georgia" w:eastAsia="Times New Roman" w:hAnsi="Georgia" w:cs="Georgia"/>
          <w:b/>
          <w:color w:val="000000"/>
          <w:szCs w:val="24"/>
          <w:u w:val="single"/>
        </w:rPr>
      </w:pPr>
      <w:r>
        <w:rPr>
          <w:rFonts w:ascii="Georgia" w:eastAsia="Times New Roman" w:hAnsi="Georgia" w:cs="Georgia"/>
          <w:b/>
          <w:color w:val="000000"/>
          <w:szCs w:val="24"/>
          <w:u w:val="single"/>
        </w:rPr>
        <w:br w:type="page"/>
      </w:r>
    </w:p>
    <w:p w:rsidR="00F04EEF" w:rsidRDefault="0099351E">
      <w:pPr>
        <w:pStyle w:val="Titre4"/>
      </w:pPr>
      <w:r>
        <w:t>Annexe 15: Certificat d’enseignement secondaire du deuxième degré</w:t>
      </w:r>
    </w:p>
    <w:p w:rsidR="00F04EEF" w:rsidRDefault="00F04EEF">
      <w:pPr>
        <w:suppressAutoHyphens/>
        <w:autoSpaceDE w:val="0"/>
        <w:autoSpaceDN w:val="0"/>
        <w:adjustRightInd w:val="0"/>
        <w:jc w:val="center"/>
        <w:rPr>
          <w:rFonts w:ascii="Georgia" w:eastAsia="Times New Roman" w:hAnsi="Georgia" w:cs="Georgia"/>
          <w:b/>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suppressAutoHyphens/>
        <w:autoSpaceDE w:val="0"/>
        <w:autoSpaceDN w:val="0"/>
        <w:adjustRightInd w:val="0"/>
        <w:jc w:val="center"/>
        <w:rPr>
          <w:rFonts w:ascii="Georgia" w:eastAsia="Times New Roman" w:hAnsi="Georgia" w:cs="Georgia"/>
          <w:szCs w:val="24"/>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bookmarkStart w:id="3839" w:name="_Toc378666274"/>
      <w:bookmarkEnd w:id="3839"/>
      <w:r>
        <w:rPr>
          <w:rFonts w:ascii="Georgia" w:eastAsia="Times New Roman" w:hAnsi="Georgia" w:cs="Georgia"/>
          <w:szCs w:val="24"/>
        </w:rPr>
        <w:t>CERTIFICAT D’ENSEIGNEMENT SECONDAIRE DU DEUXIÈME DEGRÉ</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SECTEUR PROFESSIONNEL</w:t>
      </w:r>
      <w:r>
        <w:rPr>
          <w:rFonts w:ascii="Georgia" w:eastAsia="Times New Roman" w:hAnsi="Georgia" w:cs="Georgia"/>
          <w:szCs w:val="24"/>
        </w:rPr>
        <w:t> : ………………………………………………………………………………… (8)</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GROUPE PROFESSIONNEL</w:t>
      </w:r>
      <w:r>
        <w:rPr>
          <w:rFonts w:ascii="Georgia" w:eastAsia="Times New Roman" w:hAnsi="Georgia" w:cs="Georgia"/>
          <w:szCs w:val="24"/>
          <w:vertAlign w:val="superscript"/>
        </w:rPr>
        <w:t> </w:t>
      </w:r>
      <w:r>
        <w:rPr>
          <w:rFonts w:ascii="Georgia" w:eastAsia="Times New Roman" w:hAnsi="Georgia" w:cs="Georgia"/>
          <w:szCs w:val="24"/>
        </w:rPr>
        <w:t>: ……………………………………………………………………………………. (9)</w:t>
      </w:r>
    </w:p>
    <w:p w:rsidR="00F04EEF" w:rsidRDefault="0099351E">
      <w:pPr>
        <w:suppressAutoHyphens/>
        <w:autoSpaceDE w:val="0"/>
        <w:autoSpaceDN w:val="0"/>
        <w:adjustRightInd w:val="0"/>
        <w:ind w:left="284" w:hanging="284"/>
        <w:jc w:val="both"/>
        <w:rPr>
          <w:rFonts w:ascii="Cambria" w:eastAsia="Times New Roman" w:hAnsi="Cambria" w:cs="Calibri"/>
          <w:szCs w:val="24"/>
        </w:rPr>
      </w:pPr>
      <w:r>
        <w:rPr>
          <w:rFonts w:ascii="Georgia" w:eastAsia="Times New Roman" w:hAnsi="Georgia" w:cs="Georgia"/>
          <w:szCs w:val="24"/>
          <w:u w:val="single"/>
        </w:rPr>
        <w:t>METIER </w:t>
      </w:r>
      <w:r>
        <w:rPr>
          <w:rFonts w:ascii="Georgia" w:eastAsia="Times New Roman" w:hAnsi="Georgia" w:cs="Georgia"/>
          <w:szCs w:val="24"/>
        </w:rPr>
        <w:t>: ………………………………………………………………………………………………………………… (6)</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u w:val="single"/>
        </w:rPr>
        <w:t>DENOMINATION ET SIEGE DE L’ETABLISSEMENT :</w:t>
      </w: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caps/>
          <w:szCs w:val="24"/>
        </w:rPr>
        <w:t>………………………………………………………………………………………………………………………………………………………………………………………………………………………………………………………………………. (1)</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 xml:space="preserve">Numéro Fase : </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Je soussigné(e) : ……………………………………………………………………………………………………. (2)</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Chef(fe) de l’établissement susmentionné, sur avis conforme du conseil de classe, certifie que l’élève : …………………………………………………………………………………………………………. (2)</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Né(e) à …………………………………………… (3), le ……………………………………………………………… (4)</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A suivi du …………………………………………………… (4) au ………………………………………………… (4)</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 xml:space="preserve">En qualité d’élève régulier (régulière) la troisième phase de l’enseignement secondaire spécialisé de plein exercice de forme 3 visé à l’article 57, 3° du Décret du 3 mars 2004 organisant l’enseignement spécialisé et a terminé cette phase avec fruit dans l’établissement, dans le secteur professionnel, dans le groupe professionnel et dans le métier susmentionnés. </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Le présent certificat est déclaré équivalent au certificat d’enseignement secondaire ordinaire du deuxième degré professionnel.</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 xml:space="preserve"> J’atteste que toutes les prescriptions légales et réglementaires ont été respectées pendant toute la durée des études et que toutes les compétences nécessaires à l’octroi de ce titre ont été acquises par l’élève.</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En foi de quoi, je délivre le présent certificat.</w:t>
      </w:r>
    </w:p>
    <w:p w:rsidR="00F04EEF" w:rsidRDefault="0099351E">
      <w:pPr>
        <w:suppressAutoHyphens/>
        <w:autoSpaceDE w:val="0"/>
        <w:autoSpaceDN w:val="0"/>
        <w:adjustRightInd w:val="0"/>
        <w:spacing w:line="360" w:lineRule="auto"/>
        <w:jc w:val="both"/>
        <w:rPr>
          <w:rFonts w:ascii="Cambria" w:eastAsia="Times New Roman" w:hAnsi="Cambria" w:cs="Calibri"/>
          <w:szCs w:val="24"/>
        </w:rPr>
      </w:pPr>
      <w:r>
        <w:rPr>
          <w:rFonts w:ascii="Georgia" w:eastAsia="Times New Roman" w:hAnsi="Georgia" w:cs="Georgia"/>
          <w:szCs w:val="24"/>
        </w:rPr>
        <w:t>Délivré à ……………………………………………… (3), le ……………………………………………………….. (4)</w:t>
      </w:r>
    </w:p>
    <w:p w:rsidR="00F04EEF" w:rsidRDefault="00F04EEF">
      <w:pPr>
        <w:suppressAutoHyphens/>
        <w:autoSpaceDE w:val="0"/>
        <w:autoSpaceDN w:val="0"/>
        <w:adjustRightInd w:val="0"/>
        <w:spacing w:line="360" w:lineRule="auto"/>
        <w:jc w:val="both"/>
        <w:rPr>
          <w:rFonts w:ascii="Georgia" w:eastAsia="Times New Roman" w:hAnsi="Georgia" w:cs="Georgia"/>
          <w:szCs w:val="24"/>
        </w:rPr>
      </w:pPr>
    </w:p>
    <w:p w:rsidR="00F04EEF" w:rsidRDefault="0099351E">
      <w:pPr>
        <w:suppressAutoHyphens/>
        <w:autoSpaceDE w:val="0"/>
        <w:autoSpaceDN w:val="0"/>
        <w:adjustRightInd w:val="0"/>
        <w:rPr>
          <w:rFonts w:ascii="Cambria" w:eastAsia="Times New Roman" w:hAnsi="Cambria" w:cs="Calibri"/>
          <w:szCs w:val="24"/>
        </w:rPr>
      </w:pPr>
      <w:r>
        <w:rPr>
          <w:rFonts w:ascii="Georgia" w:eastAsia="Times New Roman" w:hAnsi="Georgia" w:cs="Georgia"/>
          <w:szCs w:val="24"/>
        </w:rPr>
        <w:t>Sceau de l’établissement                                                            Le (La) Chef(fe) d’établissement</w:t>
      </w:r>
      <w:r>
        <w:rPr>
          <w:rFonts w:ascii="Georgia" w:eastAsia="Times New Roman" w:hAnsi="Georgia" w:cs="Georgia"/>
          <w:szCs w:val="24"/>
        </w:rPr>
        <w:tab/>
      </w:r>
    </w:p>
    <w:p w:rsidR="00F04EEF" w:rsidRDefault="0099351E">
      <w:pPr>
        <w:rPr>
          <w:rFonts w:ascii="Georgia" w:eastAsia="Times New Roman" w:hAnsi="Georgia" w:cs="Georgia"/>
          <w:b/>
          <w:szCs w:val="24"/>
          <w:u w:val="single"/>
        </w:rPr>
      </w:pPr>
      <w:r>
        <w:rPr>
          <w:rFonts w:ascii="Georgia" w:eastAsia="Times New Roman" w:hAnsi="Georgia" w:cs="Georgia"/>
          <w:b/>
          <w:szCs w:val="24"/>
          <w:u w:val="single"/>
        </w:rPr>
        <w:br w:type="page"/>
      </w:r>
    </w:p>
    <w:p w:rsidR="00F04EEF" w:rsidRDefault="0099351E">
      <w:pPr>
        <w:pStyle w:val="Titre4"/>
      </w:pPr>
      <w:r>
        <w:t>Annexe 16 : Attestation de validation d’une unité d’acquis d’apprentissage</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szCs w:val="24"/>
        </w:rPr>
        <w:t>COMMUNAUTE FRANÇAISE</w:t>
      </w:r>
    </w:p>
    <w:p w:rsidR="00F04EEF" w:rsidRDefault="0099351E">
      <w:pPr>
        <w:suppressAutoHyphens/>
        <w:autoSpaceDE w:val="0"/>
        <w:autoSpaceDN w:val="0"/>
        <w:adjustRightInd w:val="0"/>
        <w:jc w:val="center"/>
        <w:rPr>
          <w:rFonts w:ascii="Cambria" w:eastAsia="Times New Roman" w:hAnsi="Cambria" w:cs="Calibri"/>
          <w:szCs w:val="24"/>
        </w:rPr>
      </w:pPr>
      <w:r>
        <w:rPr>
          <w:rFonts w:ascii="Georgia" w:eastAsia="Times New Roman" w:hAnsi="Georgia" w:cs="Georgia"/>
          <w:b/>
          <w:bCs/>
          <w:color w:val="000000"/>
          <w:szCs w:val="24"/>
        </w:rPr>
        <w:t>ENSEIGNEMENT SECONDAIRE SPECIALISE DE FORME 3</w:t>
      </w:r>
    </w:p>
    <w:p w:rsidR="00F04EEF" w:rsidRDefault="00F04EEF">
      <w:pPr>
        <w:suppressAutoHyphens/>
        <w:autoSpaceDE w:val="0"/>
        <w:autoSpaceDN w:val="0"/>
        <w:adjustRightInd w:val="0"/>
        <w:jc w:val="center"/>
        <w:rPr>
          <w:rFonts w:ascii="Georgia" w:eastAsia="Times New Roman" w:hAnsi="Georgia" w:cs="Georgia"/>
          <w:szCs w:val="24"/>
        </w:rPr>
      </w:pPr>
    </w:p>
    <w:p w:rsidR="00F04EEF" w:rsidRDefault="0099351E">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Pr>
          <w:rFonts w:ascii="Georgia" w:eastAsia="Times New Roman" w:hAnsi="Georgia" w:cs="Georgia"/>
          <w:szCs w:val="24"/>
        </w:rPr>
        <w:t>ATTESTATION DE VALIDATION D’UNE UNITE D’ACQUIS D’APPRENTISSAGE</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SECTEUR PROFESSIONNEL : ………………………………………………………………………………… (8)</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GROUPE PROFESSIONNEL : …………………………………………………………………………………. (9)</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METIER : ……………………………………………………………………………………………………………… (6)</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DENOMINATION ET SIEGE DE L’ETABLISSEMENT :</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 (1)</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 xml:space="preserve">Numéro Fase : </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Je soussigné(e) : ……………………………………………………………………………………………………. (2)</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Chef(fe) de l’établissement susmentionné, certifie que l’élève : ……………………………………. (2)</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Né(e) à …………………………………………… (3), le ……………………………………………………………… (4)</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A satisfait à l’épreuve de validation relative à l’unité d’acquis d’apprentissage intitulée : ……………………………………………………………………………………………………………………………… (13)</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Et reprise au profil de certification…………………………………………………………………………… (14)</w:t>
      </w: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Et reprise au profil de formation………………………………………………………………………….…… (15)</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En foi de quoi, je délivre la présente attestation.</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Cambria" w:eastAsia="Times New Roman" w:hAnsi="Cambria" w:cs="Calibri"/>
          <w:szCs w:val="24"/>
        </w:rPr>
      </w:pPr>
      <w:r>
        <w:rPr>
          <w:rFonts w:ascii="Georgia" w:eastAsia="Times New Roman" w:hAnsi="Georgia" w:cs="Georgia"/>
          <w:szCs w:val="24"/>
        </w:rPr>
        <w:t>Délivré à ……………………………………………… (3), le ……………………………………………………….. (4)</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suppressAutoHyphens/>
        <w:autoSpaceDE w:val="0"/>
        <w:autoSpaceDN w:val="0"/>
        <w:adjustRightInd w:val="0"/>
        <w:jc w:val="both"/>
        <w:rPr>
          <w:rFonts w:ascii="Georgia" w:eastAsia="Times New Roman" w:hAnsi="Georgia" w:cs="Georgia"/>
          <w:szCs w:val="24"/>
        </w:rPr>
      </w:pPr>
      <w:r>
        <w:rPr>
          <w:rFonts w:ascii="Georgia" w:eastAsia="Times New Roman" w:hAnsi="Georgia" w:cs="Georgia"/>
          <w:szCs w:val="24"/>
        </w:rPr>
        <w:t>Le (La) Chef(fe) d’établissement,</w:t>
      </w:r>
      <w:r>
        <w:rPr>
          <w:rFonts w:ascii="Georgia" w:eastAsia="Times New Roman" w:hAnsi="Georgia" w:cs="Georgia"/>
          <w:szCs w:val="24"/>
        </w:rPr>
        <w:tab/>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99351E">
      <w:pPr>
        <w:rPr>
          <w:rFonts w:ascii="Georgia" w:eastAsia="Times New Roman" w:hAnsi="Georgia" w:cs="Georgia"/>
          <w:szCs w:val="24"/>
        </w:rPr>
      </w:pPr>
      <w:r>
        <w:rPr>
          <w:rFonts w:ascii="Georgia" w:eastAsia="Times New Roman" w:hAnsi="Georgia" w:cs="Georgia"/>
          <w:szCs w:val="24"/>
        </w:rPr>
        <w:br w:type="page"/>
      </w:r>
    </w:p>
    <w:p w:rsidR="00F04EEF" w:rsidRDefault="0099351E">
      <w:pPr>
        <w:pStyle w:val="Titre4"/>
      </w:pPr>
      <w:r>
        <w:rPr>
          <w:noProof/>
          <w:lang w:eastAsia="fr-BE"/>
        </w:rPr>
        <mc:AlternateContent>
          <mc:Choice Requires="wps">
            <w:drawing>
              <wp:anchor distT="0" distB="0" distL="114300" distR="114300" simplePos="0" relativeHeight="252325888" behindDoc="0" locked="0" layoutInCell="1" allowOverlap="1">
                <wp:simplePos x="0" y="0"/>
                <wp:positionH relativeFrom="column">
                  <wp:posOffset>6462395</wp:posOffset>
                </wp:positionH>
                <wp:positionV relativeFrom="paragraph">
                  <wp:posOffset>146684</wp:posOffset>
                </wp:positionV>
                <wp:extent cx="0" cy="4619625"/>
                <wp:effectExtent l="0" t="0" r="19050" b="28575"/>
                <wp:wrapNone/>
                <wp:docPr id="151" name="Connecteur droit 151"/>
                <wp:cNvGraphicFramePr/>
                <a:graphic xmlns:a="http://schemas.openxmlformats.org/drawingml/2006/main">
                  <a:graphicData uri="http://schemas.microsoft.com/office/word/2010/wordprocessingShape">
                    <wps:wsp>
                      <wps:cNvCnPr/>
                      <wps:spPr>
                        <a:xfrm>
                          <a:off x="0" y="0"/>
                          <a:ext cx="0" cy="46196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7E1EBDB" id="Connecteur droit 151" o:spid="_x0000_s1026" style="position:absolute;z-index:25232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8.85pt,11.55pt" to="508.85pt,37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" strokecolor="black [3213]"/>
            </w:pict>
          </mc:Fallback>
        </mc:AlternateContent>
      </w:r>
    </w:p>
    <w:p w:rsidR="00F04EEF" w:rsidRDefault="0099351E">
      <w:pPr>
        <w:pStyle w:val="Titre4"/>
      </w:pPr>
      <w:bookmarkStart w:id="3840" w:name="_Annexe_17_:_1"/>
      <w:bookmarkEnd w:id="3840"/>
      <w:r>
        <w:t>Annexe 17 : Liste des élèves obtenant le certificat de qualification</w:t>
      </w:r>
    </w:p>
    <w:p w:rsidR="00F04EEF" w:rsidRDefault="00F04EEF">
      <w:pPr>
        <w:suppressAutoHyphens/>
        <w:autoSpaceDE w:val="0"/>
        <w:autoSpaceDN w:val="0"/>
        <w:adjustRightInd w:val="0"/>
        <w:jc w:val="both"/>
        <w:rPr>
          <w:rFonts w:eastAsia="Times New Roman" w:hAnsi="Liberation Serif"/>
          <w:szCs w:val="24"/>
          <w:lang w:eastAsia="zh-CN"/>
        </w:rPr>
      </w:pPr>
    </w:p>
    <w:p w:rsidR="00F04EEF" w:rsidRDefault="0099351E">
      <w:pPr>
        <w:suppressAutoHyphens/>
        <w:autoSpaceDE w:val="0"/>
        <w:autoSpaceDN w:val="0"/>
        <w:adjustRightInd w:val="0"/>
        <w:jc w:val="both"/>
        <w:rPr>
          <w:rFonts w:ascii="Georgia" w:eastAsia="Times New Roman" w:hAnsi="Georgia" w:cs="Georgia"/>
          <w:szCs w:val="24"/>
          <w:u w:val="single"/>
        </w:rPr>
      </w:pPr>
      <w:r>
        <w:rPr>
          <w:rFonts w:ascii="Georgia" w:eastAsia="Times New Roman" w:hAnsi="Georgia" w:cs="Georgia"/>
          <w:szCs w:val="24"/>
          <w:u w:val="single"/>
        </w:rPr>
        <w:t>Dénomination et adresse de l’établissement :</w:t>
      </w:r>
    </w:p>
    <w:p w:rsidR="00F04EEF" w:rsidRDefault="00F04EEF">
      <w:pPr>
        <w:suppressAutoHyphens/>
        <w:autoSpaceDE w:val="0"/>
        <w:autoSpaceDN w:val="0"/>
        <w:adjustRightInd w:val="0"/>
        <w:jc w:val="both"/>
        <w:rPr>
          <w:rFonts w:eastAsia="Times New Roman" w:hAnsi="Liberation Serif"/>
          <w:szCs w:val="24"/>
          <w:lang w:eastAsia="zh-CN"/>
        </w:rPr>
      </w:pPr>
    </w:p>
    <w:p w:rsidR="00F04EEF" w:rsidRDefault="00F04EEF">
      <w:pPr>
        <w:suppressAutoHyphens/>
        <w:autoSpaceDE w:val="0"/>
        <w:autoSpaceDN w:val="0"/>
        <w:adjustRightInd w:val="0"/>
        <w:jc w:val="both"/>
        <w:rPr>
          <w:rFonts w:eastAsia="Times New Roman" w:hAnsi="Liberation Serif"/>
          <w:szCs w:val="24"/>
          <w:lang w:eastAsia="zh-CN"/>
        </w:rPr>
      </w:pPr>
    </w:p>
    <w:p w:rsidR="00F04EEF" w:rsidRDefault="0099351E">
      <w:pPr>
        <w:suppressAutoHyphens/>
        <w:autoSpaceDE w:val="0"/>
        <w:autoSpaceDN w:val="0"/>
        <w:adjustRightInd w:val="0"/>
        <w:jc w:val="both"/>
        <w:rPr>
          <w:rFonts w:ascii="Georgia" w:eastAsia="Times New Roman" w:hAnsi="Georgia" w:cs="Georgia"/>
          <w:szCs w:val="24"/>
        </w:rPr>
      </w:pPr>
      <w:r>
        <w:rPr>
          <w:rFonts w:ascii="Georgia" w:eastAsia="Times New Roman" w:hAnsi="Georgia" w:cs="Georgia"/>
          <w:szCs w:val="24"/>
        </w:rPr>
        <w:t>Numéro FASE :</w:t>
      </w:r>
    </w:p>
    <w:p w:rsidR="00F04EEF" w:rsidRDefault="0099351E">
      <w:pPr>
        <w:suppressAutoHyphens/>
        <w:autoSpaceDE w:val="0"/>
        <w:autoSpaceDN w:val="0"/>
        <w:adjustRightInd w:val="0"/>
        <w:jc w:val="both"/>
        <w:rPr>
          <w:rFonts w:ascii="Georgia" w:eastAsia="Times New Roman" w:hAnsi="Georgia" w:cs="Georgia"/>
          <w:szCs w:val="24"/>
        </w:rPr>
      </w:pPr>
      <w:r>
        <w:rPr>
          <w:rFonts w:ascii="Georgia" w:eastAsia="Times New Roman" w:hAnsi="Georgia" w:cs="Georgia"/>
          <w:szCs w:val="24"/>
        </w:rPr>
        <w:t xml:space="preserve">Année scolaire : </w:t>
      </w:r>
    </w:p>
    <w:p w:rsidR="00F04EEF" w:rsidRDefault="0099351E">
      <w:pPr>
        <w:suppressAutoHyphens/>
        <w:autoSpaceDE w:val="0"/>
        <w:autoSpaceDN w:val="0"/>
        <w:adjustRightInd w:val="0"/>
        <w:jc w:val="both"/>
        <w:rPr>
          <w:rFonts w:ascii="Georgia" w:eastAsia="Times New Roman" w:hAnsi="Georgia" w:cs="Georgia"/>
          <w:szCs w:val="24"/>
          <w:u w:val="single"/>
        </w:rPr>
      </w:pPr>
      <w:r>
        <w:rPr>
          <w:rFonts w:ascii="Georgia" w:eastAsia="Times New Roman" w:hAnsi="Georgia" w:cs="Georgia"/>
          <w:szCs w:val="24"/>
          <w:u w:val="single"/>
        </w:rPr>
        <w:t xml:space="preserve">Secteur professionnel : </w:t>
      </w:r>
    </w:p>
    <w:p w:rsidR="00F04EEF" w:rsidRDefault="0099351E">
      <w:pPr>
        <w:suppressAutoHyphens/>
        <w:autoSpaceDE w:val="0"/>
        <w:autoSpaceDN w:val="0"/>
        <w:adjustRightInd w:val="0"/>
        <w:jc w:val="both"/>
        <w:rPr>
          <w:rFonts w:ascii="Georgia" w:eastAsia="Times New Roman" w:hAnsi="Georgia" w:cs="Georgia"/>
          <w:szCs w:val="24"/>
          <w:u w:val="single"/>
        </w:rPr>
      </w:pPr>
      <w:r>
        <w:rPr>
          <w:rFonts w:ascii="Georgia" w:eastAsia="Times New Roman" w:hAnsi="Georgia" w:cs="Georgia"/>
          <w:szCs w:val="24"/>
          <w:u w:val="single"/>
        </w:rPr>
        <w:t>Groupe professionnel :</w:t>
      </w:r>
    </w:p>
    <w:p w:rsidR="00F04EEF" w:rsidRDefault="0099351E">
      <w:pPr>
        <w:suppressAutoHyphens/>
        <w:autoSpaceDE w:val="0"/>
        <w:autoSpaceDN w:val="0"/>
        <w:adjustRightInd w:val="0"/>
        <w:jc w:val="both"/>
        <w:rPr>
          <w:rFonts w:ascii="Georgia" w:eastAsia="Times New Roman" w:hAnsi="Georgia" w:cs="Georgia"/>
          <w:szCs w:val="24"/>
          <w:u w:val="single"/>
        </w:rPr>
      </w:pPr>
      <w:r>
        <w:rPr>
          <w:rFonts w:ascii="Georgia" w:eastAsia="Times New Roman" w:hAnsi="Georgia" w:cs="Georgia"/>
          <w:szCs w:val="24"/>
          <w:u w:val="single"/>
        </w:rPr>
        <w:t xml:space="preserve">Métier : </w:t>
      </w:r>
    </w:p>
    <w:p w:rsidR="00F04EEF" w:rsidRDefault="00F04EEF">
      <w:pPr>
        <w:suppressAutoHyphens/>
        <w:autoSpaceDE w:val="0"/>
        <w:autoSpaceDN w:val="0"/>
        <w:adjustRightInd w:val="0"/>
        <w:jc w:val="both"/>
        <w:rPr>
          <w:rFonts w:ascii="Georgia" w:eastAsia="Times New Roman" w:hAnsi="Georgia" w:cs="Georgia"/>
          <w:szCs w:val="24"/>
          <w:u w:val="single"/>
        </w:rPr>
      </w:pPr>
    </w:p>
    <w:p w:rsidR="00F04EEF" w:rsidRDefault="0099351E">
      <w:pPr>
        <w:suppressAutoHyphens/>
        <w:autoSpaceDE w:val="0"/>
        <w:autoSpaceDN w:val="0"/>
        <w:adjustRightInd w:val="0"/>
        <w:jc w:val="both"/>
        <w:rPr>
          <w:rFonts w:ascii="Georgia" w:eastAsia="Times New Roman" w:hAnsi="Georgia" w:cs="Georgia"/>
          <w:szCs w:val="24"/>
          <w:u w:val="single"/>
        </w:rPr>
      </w:pPr>
      <w:r>
        <w:rPr>
          <w:rFonts w:ascii="Georgia" w:eastAsia="Times New Roman" w:hAnsi="Georgia" w:cs="Georgia"/>
          <w:szCs w:val="24"/>
          <w:u w:val="single"/>
        </w:rPr>
        <w:t>Liste des élèves ayant réussi leur qualification :</w:t>
      </w:r>
    </w:p>
    <w:p w:rsidR="00F04EEF" w:rsidRDefault="0099351E">
      <w:pPr>
        <w:tabs>
          <w:tab w:val="left" w:pos="-720"/>
        </w:tabs>
        <w:suppressAutoHyphens/>
        <w:autoSpaceDE w:val="0"/>
        <w:autoSpaceDN w:val="0"/>
        <w:adjustRightInd w:val="0"/>
        <w:jc w:val="both"/>
        <w:rPr>
          <w:rFonts w:eastAsia="Times New Roman" w:hAnsi="Liberation Serif"/>
          <w:szCs w:val="24"/>
          <w:lang w:eastAsia="zh-CN"/>
        </w:rPr>
      </w:pPr>
      <w:r>
        <w:rPr>
          <w:rFonts w:eastAsia="Times New Roman" w:hAnsi="Liberation Serif"/>
          <w:szCs w:val="24"/>
          <w:lang w:eastAsia="zh-CN"/>
        </w:rPr>
        <w:t xml:space="preserve">     </w:t>
      </w:r>
    </w:p>
    <w:tbl>
      <w:tblPr>
        <w:tblW w:w="0" w:type="auto"/>
        <w:tblInd w:w="-5" w:type="dxa"/>
        <w:tblLayout w:type="fixed"/>
        <w:tblCellMar>
          <w:left w:w="0" w:type="dxa"/>
          <w:right w:w="0" w:type="dxa"/>
        </w:tblCellMar>
        <w:tblLook w:val="0000" w:firstRow="0" w:lastRow="0" w:firstColumn="0" w:lastColumn="0" w:noHBand="0" w:noVBand="0"/>
      </w:tblPr>
      <w:tblGrid>
        <w:gridCol w:w="2518"/>
        <w:gridCol w:w="2126"/>
        <w:gridCol w:w="2694"/>
        <w:gridCol w:w="2454"/>
      </w:tblGrid>
      <w:tr w:rsidR="00F04EEF">
        <w:trPr>
          <w:trHeight w:val="971"/>
        </w:trPr>
        <w:tc>
          <w:tcPr>
            <w:tcW w:w="2518" w:type="dxa"/>
            <w:tcBorders>
              <w:top w:val="single" w:sz="4" w:space="0" w:color="000000"/>
              <w:left w:val="single" w:sz="4" w:space="0" w:color="000000"/>
              <w:bottom w:val="single" w:sz="4" w:space="0" w:color="000000"/>
              <w:right w:val="nil"/>
            </w:tcBorders>
            <w:tcMar>
              <w:left w:w="108" w:type="dxa"/>
              <w:right w:w="108" w:type="dxa"/>
            </w:tcMar>
          </w:tcPr>
          <w:p w:rsidR="00F04EEF" w:rsidRDefault="0099351E">
            <w:pPr>
              <w:tabs>
                <w:tab w:val="left" w:pos="-720"/>
              </w:tabs>
              <w:suppressAutoHyphens/>
              <w:autoSpaceDE w:val="0"/>
              <w:autoSpaceDN w:val="0"/>
              <w:adjustRightInd w:val="0"/>
              <w:jc w:val="both"/>
              <w:rPr>
                <w:rFonts w:ascii="Georgia" w:eastAsia="Times New Roman" w:hAnsi="Georgia" w:cs="Georgia"/>
                <w:b/>
                <w:szCs w:val="24"/>
              </w:rPr>
            </w:pPr>
            <w:r>
              <w:rPr>
                <w:rFonts w:ascii="Georgia" w:eastAsia="Times New Roman" w:hAnsi="Georgia" w:cs="Georgia"/>
                <w:b/>
                <w:szCs w:val="24"/>
              </w:rPr>
              <w:t xml:space="preserve">Nom </w:t>
            </w: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F04EEF" w:rsidRDefault="0099351E">
            <w:pPr>
              <w:tabs>
                <w:tab w:val="left" w:pos="-720"/>
              </w:tabs>
              <w:suppressAutoHyphens/>
              <w:autoSpaceDE w:val="0"/>
              <w:autoSpaceDN w:val="0"/>
              <w:adjustRightInd w:val="0"/>
              <w:jc w:val="both"/>
              <w:rPr>
                <w:rFonts w:ascii="Georgia" w:eastAsia="Times New Roman" w:hAnsi="Georgia" w:cs="Georgia"/>
                <w:b/>
                <w:szCs w:val="24"/>
              </w:rPr>
            </w:pPr>
            <w:r>
              <w:rPr>
                <w:rFonts w:ascii="Georgia" w:eastAsia="Times New Roman" w:hAnsi="Georgia" w:cs="Georgia"/>
                <w:b/>
                <w:szCs w:val="24"/>
              </w:rPr>
              <w:t xml:space="preserve">Prénom </w:t>
            </w: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F04EEF" w:rsidRDefault="0099351E">
            <w:pPr>
              <w:tabs>
                <w:tab w:val="left" w:pos="-720"/>
              </w:tabs>
              <w:suppressAutoHyphens/>
              <w:autoSpaceDE w:val="0"/>
              <w:autoSpaceDN w:val="0"/>
              <w:adjustRightInd w:val="0"/>
              <w:jc w:val="both"/>
              <w:rPr>
                <w:rFonts w:ascii="Georgia" w:eastAsia="Times New Roman" w:hAnsi="Georgia" w:cs="Georgia"/>
                <w:b/>
                <w:szCs w:val="24"/>
              </w:rPr>
            </w:pPr>
            <w:r>
              <w:rPr>
                <w:rFonts w:ascii="Georgia" w:eastAsia="Times New Roman" w:hAnsi="Georgia" w:cs="Georgia"/>
                <w:b/>
                <w:szCs w:val="24"/>
              </w:rPr>
              <w:t>Lieu de naissance</w:t>
            </w: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99351E">
            <w:pPr>
              <w:tabs>
                <w:tab w:val="left" w:pos="-720"/>
              </w:tabs>
              <w:suppressAutoHyphens/>
              <w:autoSpaceDE w:val="0"/>
              <w:autoSpaceDN w:val="0"/>
              <w:adjustRightInd w:val="0"/>
              <w:jc w:val="both"/>
              <w:rPr>
                <w:rFonts w:ascii="Georgia" w:eastAsia="Times New Roman" w:hAnsi="Georgia" w:cs="Georgia"/>
                <w:b/>
                <w:szCs w:val="24"/>
              </w:rPr>
            </w:pPr>
            <w:r>
              <w:rPr>
                <w:rFonts w:ascii="Georgia" w:eastAsia="Times New Roman" w:hAnsi="Georgia" w:cs="Georgia"/>
                <w:b/>
                <w:szCs w:val="24"/>
              </w:rPr>
              <w:t>Date de naissance (en toutes lettres)</w:t>
            </w:r>
          </w:p>
        </w:tc>
      </w:tr>
      <w:tr w:rsidR="00F04EEF">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r w:rsidR="00F04EEF">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r w:rsidR="00F04EEF">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r w:rsidR="00F04EEF">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bl>
    <w:p w:rsidR="00F04EEF" w:rsidRDefault="00F04EEF">
      <w:pPr>
        <w:tabs>
          <w:tab w:val="left" w:pos="-720"/>
        </w:tabs>
        <w:suppressAutoHyphens/>
        <w:autoSpaceDE w:val="0"/>
        <w:autoSpaceDN w:val="0"/>
        <w:adjustRightInd w:val="0"/>
        <w:jc w:val="both"/>
        <w:rPr>
          <w:rFonts w:ascii="Arial" w:eastAsia="Times New Roman" w:hAnsi="Arial" w:cs="Arial"/>
          <w:spacing w:val="-3"/>
          <w:sz w:val="20"/>
          <w:szCs w:val="24"/>
          <w:lang w:eastAsia="zh-CN"/>
        </w:rPr>
      </w:pPr>
    </w:p>
    <w:p w:rsidR="00F04EEF" w:rsidRDefault="0099351E">
      <w:pPr>
        <w:tabs>
          <w:tab w:val="left" w:pos="-720"/>
        </w:tabs>
        <w:suppressAutoHyphens/>
        <w:autoSpaceDE w:val="0"/>
        <w:autoSpaceDN w:val="0"/>
        <w:adjustRightInd w:val="0"/>
        <w:jc w:val="both"/>
        <w:rPr>
          <w:rFonts w:ascii="Georgia" w:eastAsia="Times New Roman" w:hAnsi="Georgia" w:cs="Georgia"/>
          <w:szCs w:val="24"/>
        </w:rPr>
      </w:pPr>
      <w:r>
        <w:rPr>
          <w:rFonts w:ascii="Georgia" w:eastAsia="Times New Roman" w:hAnsi="Georgia" w:cs="Georgia"/>
          <w:szCs w:val="24"/>
        </w:rPr>
        <w:t xml:space="preserve">Fait à                                               , le                            </w:t>
      </w:r>
      <w:r>
        <w:rPr>
          <w:rFonts w:ascii="Georgia" w:eastAsia="Times New Roman" w:hAnsi="Georgia" w:cs="Georgia"/>
          <w:szCs w:val="24"/>
        </w:rPr>
        <w:tab/>
      </w:r>
      <w:r>
        <w:rPr>
          <w:rFonts w:ascii="Georgia" w:eastAsia="Times New Roman" w:hAnsi="Georgia" w:cs="Georgia"/>
          <w:szCs w:val="24"/>
        </w:rPr>
        <w:tab/>
      </w:r>
      <w:r>
        <w:rPr>
          <w:rFonts w:ascii="Georgia" w:eastAsia="Times New Roman" w:hAnsi="Georgia" w:cs="Georgia"/>
          <w:szCs w:val="24"/>
        </w:rPr>
        <w:tab/>
      </w:r>
    </w:p>
    <w:p w:rsidR="00F04EEF" w:rsidRDefault="00F04EEF">
      <w:pPr>
        <w:tabs>
          <w:tab w:val="left" w:pos="-720"/>
        </w:tabs>
        <w:suppressAutoHyphens/>
        <w:autoSpaceDE w:val="0"/>
        <w:autoSpaceDN w:val="0"/>
        <w:adjustRightInd w:val="0"/>
        <w:jc w:val="both"/>
        <w:rPr>
          <w:rFonts w:ascii="Georgia" w:eastAsia="Times New Roman" w:hAnsi="Georgia" w:cs="Georgia"/>
          <w:szCs w:val="24"/>
        </w:rPr>
      </w:pPr>
    </w:p>
    <w:p w:rsidR="00F04EEF" w:rsidRDefault="0099351E">
      <w:pPr>
        <w:tabs>
          <w:tab w:val="left" w:pos="-720"/>
        </w:tabs>
        <w:suppressAutoHyphens/>
        <w:autoSpaceDE w:val="0"/>
        <w:autoSpaceDN w:val="0"/>
        <w:adjustRightInd w:val="0"/>
        <w:jc w:val="both"/>
        <w:rPr>
          <w:rFonts w:ascii="Georgia" w:eastAsia="Times New Roman" w:hAnsi="Georgia" w:cs="Georgia"/>
          <w:szCs w:val="24"/>
        </w:rPr>
      </w:pPr>
      <w:r>
        <w:rPr>
          <w:rFonts w:ascii="Georgia" w:eastAsia="Times New Roman" w:hAnsi="Georgia" w:cs="Georgia"/>
          <w:szCs w:val="24"/>
        </w:rPr>
        <w:t>Le/La chef(fe) d’établissement</w:t>
      </w: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F04EEF">
      <w:pPr>
        <w:suppressAutoHyphens/>
        <w:autoSpaceDE w:val="0"/>
        <w:autoSpaceDN w:val="0"/>
        <w:adjustRightInd w:val="0"/>
        <w:jc w:val="both"/>
        <w:rPr>
          <w:rFonts w:ascii="Georgia" w:eastAsia="Times New Roman" w:hAnsi="Georgia" w:cs="Georgia"/>
          <w:szCs w:val="24"/>
        </w:rPr>
      </w:pPr>
    </w:p>
    <w:p w:rsidR="00F04EEF" w:rsidRDefault="00F04EEF">
      <w:pPr>
        <w:suppressAutoHyphens/>
        <w:autoSpaceDE w:val="0"/>
        <w:autoSpaceDN w:val="0"/>
        <w:adjustRightInd w:val="0"/>
        <w:jc w:val="both"/>
        <w:rPr>
          <w:rFonts w:ascii="Georgia" w:eastAsia="Times New Roman" w:hAnsi="Georgia" w:cs="Georgia"/>
          <w:color w:val="FF0000"/>
          <w:szCs w:val="24"/>
        </w:rPr>
      </w:pPr>
    </w:p>
    <w:p w:rsidR="00F04EEF" w:rsidRDefault="0099351E">
      <w:pPr>
        <w:pStyle w:val="Titre4"/>
        <w:rPr>
          <w:rFonts w:ascii="Georgia" w:hAnsi="Georgia"/>
          <w:b w:val="0"/>
          <w:color w:val="000000"/>
        </w:rPr>
      </w:pPr>
      <w:r>
        <w:rPr>
          <w:rFonts w:ascii="Georgia" w:hAnsi="Georgia"/>
          <w:color w:val="000000"/>
        </w:rPr>
        <w:br w:type="page"/>
      </w:r>
    </w:p>
    <w:p w:rsidR="00F04EEF" w:rsidRDefault="0099351E">
      <w:pPr>
        <w:pStyle w:val="Titre4"/>
      </w:pPr>
      <w:bookmarkStart w:id="3841" w:name="_Annexe_18_:"/>
      <w:bookmarkEnd w:id="3841"/>
      <w:r>
        <w:t>Annexe 18 :  Instructions pour la rédaction des attestations, des avis, des procès-verbaux, du certificat de qualification délivrés dans l’enseignement secondaire spécialisé de forme 3</w:t>
      </w:r>
    </w:p>
    <w:p w:rsidR="00F04EEF" w:rsidRDefault="00F04EEF">
      <w:pPr>
        <w:shd w:val="clear" w:color="auto" w:fill="FFFFFF"/>
        <w:rPr>
          <w:rFonts w:ascii="Georgia" w:hAnsi="Georgia"/>
        </w:rPr>
      </w:pPr>
    </w:p>
    <w:p w:rsidR="00F04EEF" w:rsidRDefault="0099351E">
      <w:pPr>
        <w:jc w:val="center"/>
        <w:rPr>
          <w:rFonts w:ascii="Georgia" w:hAnsi="Georgia"/>
          <w:b/>
        </w:rPr>
      </w:pPr>
      <w:r>
        <w:rPr>
          <w:rFonts w:ascii="Georgia" w:hAnsi="Georgia"/>
          <w:b/>
        </w:rPr>
        <w:t>COMMUNAUTE FRANÇAISE</w:t>
      </w: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F04EEF">
      <w:pPr>
        <w:jc w:val="center"/>
        <w:rPr>
          <w:rFonts w:ascii="Georgia" w:hAnsi="Georgia"/>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rPr>
      </w:pPr>
      <w:r>
        <w:rPr>
          <w:rFonts w:ascii="Georgia" w:hAnsi="Georgia"/>
        </w:rPr>
        <w:t>Instructions pour la rédaction des attestations, des avis, des procès-verbaux délivrés dans l’enseignement secondaire spécialisé de forme 3</w:t>
      </w:r>
    </w:p>
    <w:p w:rsidR="00F04EEF" w:rsidRDefault="00F04EEF">
      <w:pPr>
        <w:jc w:val="both"/>
        <w:rPr>
          <w:rFonts w:ascii="Georgia" w:hAnsi="Georgia"/>
          <w:u w:val="single"/>
        </w:rPr>
      </w:pPr>
    </w:p>
    <w:p w:rsidR="00F04EEF" w:rsidRDefault="0099351E">
      <w:pPr>
        <w:jc w:val="both"/>
        <w:rPr>
          <w:rFonts w:ascii="Georgia" w:hAnsi="Georgia"/>
          <w:u w:val="single"/>
        </w:rPr>
      </w:pPr>
      <w:r>
        <w:rPr>
          <w:rFonts w:ascii="Georgia" w:hAnsi="Georgia"/>
          <w:u w:val="single"/>
        </w:rPr>
        <w:t>Remarques liminaires</w:t>
      </w:r>
      <w:r>
        <w:rPr>
          <w:rFonts w:ascii="Georgia" w:hAnsi="Georgia"/>
        </w:rPr>
        <w:t> : les titres doivent être établis par ordinateur.</w:t>
      </w:r>
      <w:r>
        <w:rPr>
          <w:rFonts w:ascii="Georgia" w:hAnsi="Georgia"/>
          <w:color w:val="000000"/>
        </w:rPr>
        <w:t xml:space="preserve"> Ils devront présenter une stricte conformité avec les modèles réglementairement fixés et ne peuvent comporter ni rature ni surcharge.</w:t>
      </w:r>
    </w:p>
    <w:p w:rsidR="00F04EEF" w:rsidRDefault="0099351E">
      <w:pPr>
        <w:jc w:val="both"/>
        <w:rPr>
          <w:rFonts w:ascii="Georgia" w:hAnsi="Georgia"/>
          <w:color w:val="000000"/>
        </w:rPr>
      </w:pPr>
      <w:r>
        <w:rPr>
          <w:rFonts w:ascii="Georgia" w:hAnsi="Georgia"/>
          <w:color w:val="000000"/>
        </w:rPr>
        <w:t>En outre, les attestations, le procès-verbal et avis doivent avoir le format A4 et être imprimés conformément aux modèles annexés au présent arrêté.</w:t>
      </w:r>
    </w:p>
    <w:p w:rsidR="00F04EEF" w:rsidRDefault="0099351E">
      <w:pPr>
        <w:jc w:val="both"/>
        <w:rPr>
          <w:rFonts w:ascii="Georgia" w:hAnsi="Georgia"/>
          <w:color w:val="000000"/>
        </w:rPr>
      </w:pPr>
      <w:r>
        <w:rPr>
          <w:rFonts w:ascii="Georgia" w:hAnsi="Georgia"/>
          <w:color w:val="000000"/>
        </w:rPr>
        <w:t>Les signatures artistiques et colorées ne sont pas autorisées.</w:t>
      </w:r>
    </w:p>
    <w:p w:rsidR="00F04EEF" w:rsidRDefault="0099351E">
      <w:pPr>
        <w:jc w:val="both"/>
        <w:rPr>
          <w:rFonts w:ascii="Georgia" w:hAnsi="Georgia"/>
        </w:rPr>
      </w:pPr>
      <w:r>
        <w:rPr>
          <w:rFonts w:ascii="Georgia" w:hAnsi="Georgia"/>
        </w:rPr>
        <w:t>Le document doit être personnalisé en fonction du sexe de l’élève et du chef d’établissement.</w:t>
      </w:r>
    </w:p>
    <w:p w:rsidR="00F04EEF" w:rsidRDefault="0099351E">
      <w:pPr>
        <w:jc w:val="both"/>
        <w:rPr>
          <w:rFonts w:ascii="Georgia" w:hAnsi="Georgia"/>
          <w:color w:val="000000"/>
        </w:rPr>
      </w:pPr>
      <w:r>
        <w:rPr>
          <w:rFonts w:ascii="Georgia" w:hAnsi="Georgia"/>
          <w:color w:val="000000"/>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rsidR="00F04EEF" w:rsidRDefault="00F04EEF">
      <w:pPr>
        <w:jc w:val="both"/>
        <w:rPr>
          <w:rFonts w:ascii="Georgia" w:hAnsi="Georgia"/>
          <w:color w:val="000000"/>
        </w:rPr>
      </w:pPr>
    </w:p>
    <w:p w:rsidR="00F04EEF" w:rsidRDefault="0099351E">
      <w:pPr>
        <w:pStyle w:val="Paragraphedeliste"/>
        <w:numPr>
          <w:ilvl w:val="2"/>
          <w:numId w:val="63"/>
        </w:numPr>
        <w:rPr>
          <w:rFonts w:ascii="Georgia" w:hAnsi="Georgia"/>
          <w:color w:val="000000"/>
          <w:u w:val="single"/>
        </w:rPr>
      </w:pPr>
      <w:r>
        <w:rPr>
          <w:rFonts w:ascii="Georgia" w:hAnsi="Georgia"/>
          <w:color w:val="000000"/>
          <w:u w:val="single"/>
        </w:rPr>
        <w:t>Dénomination et siège de l’établissement</w:t>
      </w:r>
    </w:p>
    <w:p w:rsidR="00F04EEF" w:rsidRDefault="00F04EEF">
      <w:pPr>
        <w:rPr>
          <w:rFonts w:ascii="Georgia" w:hAnsi="Georgia"/>
          <w:color w:val="000000"/>
          <w:u w:val="single"/>
        </w:rPr>
      </w:pPr>
    </w:p>
    <w:p w:rsidR="00F04EEF" w:rsidRDefault="0099351E">
      <w:pPr>
        <w:jc w:val="both"/>
        <w:rPr>
          <w:rFonts w:ascii="Georgia" w:hAnsi="Georgia"/>
          <w:color w:val="000000"/>
        </w:rPr>
      </w:pPr>
      <w:r>
        <w:rPr>
          <w:rFonts w:ascii="Georgia" w:hAnsi="Georgia"/>
          <w:color w:val="000000"/>
        </w:rPr>
        <w:t>Dénomination réglementaire du siège de l’établissement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rsidR="00F04EEF" w:rsidRDefault="00F04EEF">
      <w:pPr>
        <w:jc w:val="both"/>
        <w:rPr>
          <w:rFonts w:ascii="Georgia" w:hAnsi="Georgia"/>
          <w:color w:val="000000"/>
        </w:rPr>
      </w:pPr>
    </w:p>
    <w:p w:rsidR="00F04EEF" w:rsidRDefault="0099351E">
      <w:pPr>
        <w:pStyle w:val="Paragraphedeliste"/>
        <w:numPr>
          <w:ilvl w:val="2"/>
          <w:numId w:val="63"/>
        </w:numPr>
        <w:rPr>
          <w:rFonts w:ascii="Georgia" w:hAnsi="Georgia"/>
          <w:color w:val="000000"/>
          <w:u w:val="single"/>
        </w:rPr>
      </w:pPr>
      <w:r>
        <w:rPr>
          <w:rFonts w:ascii="Georgia" w:hAnsi="Georgia"/>
          <w:color w:val="000000"/>
          <w:u w:val="single"/>
        </w:rPr>
        <w:t>Nom et prénom du chef d’établissement ou de l’élève</w:t>
      </w:r>
    </w:p>
    <w:p w:rsidR="00F04EEF" w:rsidRDefault="00F04EEF">
      <w:pPr>
        <w:rPr>
          <w:rFonts w:ascii="Georgia" w:hAnsi="Georgia"/>
          <w:color w:val="000000"/>
          <w:u w:val="single"/>
        </w:rPr>
      </w:pPr>
    </w:p>
    <w:p w:rsidR="00F04EEF" w:rsidRDefault="0099351E">
      <w:pPr>
        <w:jc w:val="both"/>
        <w:rPr>
          <w:rFonts w:ascii="Georgia" w:hAnsi="Georgia"/>
        </w:rPr>
      </w:pPr>
      <w:r>
        <w:rPr>
          <w:rFonts w:ascii="Georgia" w:hAnsi="Georgia"/>
        </w:rPr>
        <w:t>Le nom du chef d’établissement ou de l’élève, selon le cas, sera écrit en lettres minuscules, hormis la première lettre qui sera en lettre majuscule (Exemple : Dupont).</w:t>
      </w:r>
    </w:p>
    <w:p w:rsidR="00F04EEF" w:rsidRDefault="0099351E">
      <w:pPr>
        <w:jc w:val="both"/>
        <w:rPr>
          <w:rFonts w:ascii="Georgia" w:hAnsi="Georgia"/>
        </w:rPr>
      </w:pPr>
      <w:r>
        <w:rPr>
          <w:rFonts w:ascii="Georgia" w:hAnsi="Georgia"/>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rsidR="00F04EEF" w:rsidRDefault="0099351E">
      <w:pPr>
        <w:jc w:val="both"/>
        <w:rPr>
          <w:rFonts w:ascii="Georgia" w:hAnsi="Georgia"/>
          <w:color w:val="000000"/>
        </w:rPr>
      </w:pPr>
      <w:r>
        <w:rPr>
          <w:rFonts w:ascii="Georgia" w:hAnsi="Georgia"/>
          <w:color w:val="000000"/>
        </w:rPr>
        <w:t>Le nom et le premier prénom (ou le prénom composé avec tiret) de l’élève seront repris comme indiqués sur l’acte de naissance, la carte d’identité ou à défaut, le passeport ou le titre de séjour.</w:t>
      </w:r>
    </w:p>
    <w:p w:rsidR="00F04EEF" w:rsidRDefault="00F04EEF">
      <w:pPr>
        <w:jc w:val="both"/>
        <w:rPr>
          <w:rFonts w:ascii="Georgia" w:hAnsi="Georgia"/>
          <w:color w:val="000000"/>
        </w:rPr>
      </w:pPr>
    </w:p>
    <w:p w:rsidR="00F04EEF" w:rsidRDefault="0099351E">
      <w:pPr>
        <w:pStyle w:val="Paragraphedeliste"/>
        <w:numPr>
          <w:ilvl w:val="2"/>
          <w:numId w:val="63"/>
        </w:numPr>
        <w:tabs>
          <w:tab w:val="left" w:pos="720"/>
        </w:tabs>
        <w:rPr>
          <w:rFonts w:ascii="Georgia" w:hAnsi="Georgia"/>
          <w:color w:val="000000"/>
          <w:u w:val="single"/>
        </w:rPr>
      </w:pPr>
      <w:r>
        <w:rPr>
          <w:rFonts w:ascii="Georgia" w:hAnsi="Georgia"/>
          <w:color w:val="000000"/>
          <w:u w:val="single"/>
        </w:rPr>
        <w:t>Lieu de naissance</w:t>
      </w:r>
    </w:p>
    <w:p w:rsidR="00F04EEF" w:rsidRDefault="00F04EEF">
      <w:pPr>
        <w:tabs>
          <w:tab w:val="left" w:pos="720"/>
        </w:tabs>
        <w:ind w:left="708"/>
        <w:rPr>
          <w:rFonts w:ascii="Georgia" w:hAnsi="Georgia"/>
          <w:color w:val="000000"/>
          <w:u w:val="single"/>
        </w:rPr>
      </w:pPr>
    </w:p>
    <w:p w:rsidR="00F04EEF" w:rsidRDefault="0099351E">
      <w:pPr>
        <w:jc w:val="both"/>
        <w:rPr>
          <w:rFonts w:ascii="Georgia" w:hAnsi="Georgia"/>
        </w:rPr>
      </w:pPr>
      <w:r>
        <w:rPr>
          <w:rFonts w:ascii="Georgia" w:hAnsi="Georgia"/>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18. Ce sigle de nationalité sera le seul à être admis sur les différents titres. Il conviendra de se référer à la dénomination officielle du pays au moment de la délivrance du titre.</w:t>
      </w:r>
    </w:p>
    <w:p w:rsidR="00F04EEF" w:rsidRDefault="00F04EEF">
      <w:pPr>
        <w:jc w:val="both"/>
        <w:rPr>
          <w:rFonts w:ascii="Georgia" w:hAnsi="Georgia"/>
        </w:rPr>
      </w:pPr>
    </w:p>
    <w:p w:rsidR="00F04EEF" w:rsidRDefault="0099351E">
      <w:pPr>
        <w:pStyle w:val="Paragraphedeliste"/>
        <w:numPr>
          <w:ilvl w:val="2"/>
          <w:numId w:val="63"/>
        </w:numPr>
        <w:rPr>
          <w:rFonts w:ascii="Georgia" w:hAnsi="Georgia"/>
          <w:color w:val="000000"/>
          <w:u w:val="single"/>
        </w:rPr>
      </w:pPr>
      <w:r>
        <w:rPr>
          <w:rFonts w:ascii="Georgia" w:hAnsi="Georgia"/>
          <w:color w:val="000000"/>
          <w:u w:val="single"/>
        </w:rPr>
        <w:t>Mois</w:t>
      </w:r>
    </w:p>
    <w:p w:rsidR="00F04EEF" w:rsidRDefault="00F04EEF">
      <w:pPr>
        <w:rPr>
          <w:rFonts w:ascii="Georgia" w:hAnsi="Georgia"/>
          <w:color w:val="000000"/>
        </w:rPr>
      </w:pPr>
    </w:p>
    <w:p w:rsidR="00F04EEF" w:rsidRDefault="0099351E">
      <w:pPr>
        <w:rPr>
          <w:rFonts w:ascii="Georgia" w:hAnsi="Georgia"/>
          <w:color w:val="000000"/>
        </w:rPr>
      </w:pPr>
      <w:r>
        <w:rPr>
          <w:rFonts w:ascii="Georgia" w:hAnsi="Georgia"/>
          <w:color w:val="000000"/>
        </w:rPr>
        <w:t>Le mois sera écrit en toutes lettres. L’emploi d’un cachet dateur n’est pas autorisé.</w:t>
      </w:r>
    </w:p>
    <w:p w:rsidR="00F04EEF" w:rsidRDefault="00F04EEF">
      <w:pPr>
        <w:rPr>
          <w:rFonts w:ascii="Georgia" w:hAnsi="Georgia"/>
          <w:color w:val="000000"/>
          <w:u w:val="single"/>
        </w:rPr>
      </w:pPr>
    </w:p>
    <w:p w:rsidR="00F04EEF" w:rsidRDefault="0099351E">
      <w:pPr>
        <w:pStyle w:val="Paragraphedeliste"/>
        <w:numPr>
          <w:ilvl w:val="2"/>
          <w:numId w:val="63"/>
        </w:numPr>
        <w:rPr>
          <w:rFonts w:ascii="Georgia" w:hAnsi="Georgia"/>
          <w:color w:val="000000"/>
          <w:u w:val="single"/>
        </w:rPr>
      </w:pPr>
      <w:r>
        <w:rPr>
          <w:rFonts w:ascii="Georgia" w:hAnsi="Georgia"/>
          <w:color w:val="000000"/>
          <w:u w:val="single"/>
        </w:rPr>
        <w:t>Commune</w:t>
      </w:r>
    </w:p>
    <w:p w:rsidR="00F04EEF" w:rsidRDefault="00F04EEF">
      <w:pPr>
        <w:rPr>
          <w:rFonts w:ascii="Georgia" w:hAnsi="Georgia"/>
          <w:color w:val="000000"/>
          <w:u w:val="single"/>
        </w:rPr>
      </w:pPr>
    </w:p>
    <w:p w:rsidR="00F04EEF" w:rsidRDefault="0099351E">
      <w:pPr>
        <w:jc w:val="both"/>
        <w:rPr>
          <w:rFonts w:ascii="Georgia" w:hAnsi="Georgia"/>
          <w:color w:val="000000"/>
        </w:rPr>
      </w:pPr>
      <w:r>
        <w:rPr>
          <w:rFonts w:ascii="Georgia" w:hAnsi="Georgia"/>
          <w:color w:val="000000"/>
        </w:rPr>
        <w:t xml:space="preserve">Il s’agit de la commune où est situé le siège de </w:t>
      </w:r>
      <w:r>
        <w:rPr>
          <w:rFonts w:ascii="Georgia" w:hAnsi="Georgia"/>
        </w:rPr>
        <w:t>l’établissement.</w:t>
      </w:r>
    </w:p>
    <w:p w:rsidR="00F04EEF" w:rsidRDefault="0099351E">
      <w:pPr>
        <w:jc w:val="both"/>
        <w:rPr>
          <w:rFonts w:ascii="Georgia" w:hAnsi="Georgia"/>
          <w:color w:val="000000"/>
        </w:rPr>
      </w:pPr>
      <w:r>
        <w:rPr>
          <w:rFonts w:ascii="Georgia" w:hAnsi="Georgia"/>
          <w:color w:val="000000"/>
        </w:rPr>
        <w:t>Le nom de la commune sera écrit en lettres minuscules, hormis la première lettre qui sera en lettre majuscule, conformément au libellé figurant à l’annexe 19 du présent arrêté.</w:t>
      </w:r>
    </w:p>
    <w:p w:rsidR="00F04EEF" w:rsidRDefault="00F04EEF">
      <w:pPr>
        <w:rPr>
          <w:rFonts w:ascii="Georgia" w:hAnsi="Georgia"/>
          <w:color w:val="000000"/>
          <w:u w:val="single"/>
        </w:rPr>
      </w:pPr>
    </w:p>
    <w:p w:rsidR="00F04EEF" w:rsidRDefault="0099351E">
      <w:pPr>
        <w:pStyle w:val="Paragraphedeliste"/>
        <w:numPr>
          <w:ilvl w:val="2"/>
          <w:numId w:val="63"/>
        </w:numPr>
        <w:rPr>
          <w:rFonts w:ascii="Georgia" w:hAnsi="Georgia"/>
          <w:color w:val="000000"/>
          <w:u w:val="single"/>
        </w:rPr>
      </w:pPr>
      <w:r>
        <w:rPr>
          <w:rFonts w:ascii="Georgia" w:hAnsi="Georgia"/>
          <w:color w:val="000000"/>
          <w:u w:val="single"/>
        </w:rPr>
        <w:t>Féminisation des métiers</w:t>
      </w:r>
    </w:p>
    <w:p w:rsidR="00F04EEF" w:rsidRDefault="00F04EEF">
      <w:pPr>
        <w:rPr>
          <w:rFonts w:ascii="Georgia" w:hAnsi="Georgia"/>
          <w:color w:val="000000"/>
          <w:u w:val="single"/>
        </w:rPr>
      </w:pPr>
    </w:p>
    <w:p w:rsidR="00F04EEF" w:rsidRDefault="0099351E">
      <w:pPr>
        <w:jc w:val="both"/>
        <w:rPr>
          <w:rFonts w:ascii="Georgia" w:hAnsi="Georgia"/>
          <w:color w:val="000000"/>
        </w:rPr>
      </w:pPr>
      <w:r>
        <w:rPr>
          <w:rFonts w:ascii="Georgia" w:hAnsi="Georgia"/>
          <w:color w:val="000000"/>
        </w:rPr>
        <w:t>Lorsque l’on mentionne des noms de métier, il convient de les féminiser, soit en indiquant le nom au féminin ou au masculin, selon qu’il s’agit d’une ou d’un élève. Le métier sera écrit en lettres minuscules hormis la première lettre qui sera majuscule.</w:t>
      </w:r>
    </w:p>
    <w:p w:rsidR="00F04EEF" w:rsidRDefault="0099351E">
      <w:pPr>
        <w:rPr>
          <w:rFonts w:ascii="Georgia" w:hAnsi="Georgia"/>
          <w:color w:val="000000"/>
        </w:rPr>
      </w:pPr>
      <w:r>
        <w:rPr>
          <w:rFonts w:ascii="Georgia" w:hAnsi="Georgia"/>
          <w:color w:val="000000"/>
        </w:rPr>
        <w:t>Exemple : "encodeuse de données" lorsqu’il s’agit d’une fille ou "encodeur de données" lorsqu’il s’agit d’un garçon.</w:t>
      </w:r>
    </w:p>
    <w:p w:rsidR="00F04EEF" w:rsidRDefault="00F04EEF">
      <w:pPr>
        <w:rPr>
          <w:rFonts w:ascii="Georgia" w:hAnsi="Georgia"/>
          <w:u w:val="single"/>
        </w:rPr>
      </w:pPr>
    </w:p>
    <w:p w:rsidR="00F04EEF" w:rsidRDefault="0099351E">
      <w:pPr>
        <w:pStyle w:val="Paragraphedeliste"/>
        <w:numPr>
          <w:ilvl w:val="2"/>
          <w:numId w:val="63"/>
        </w:numPr>
        <w:rPr>
          <w:rFonts w:ascii="Georgia" w:hAnsi="Georgia"/>
          <w:u w:val="single"/>
        </w:rPr>
      </w:pPr>
      <w:r>
        <w:rPr>
          <w:rFonts w:ascii="Georgia" w:hAnsi="Georgia"/>
          <w:u w:val="single"/>
        </w:rPr>
        <w:t>Fonction</w:t>
      </w:r>
    </w:p>
    <w:p w:rsidR="00F04EEF" w:rsidRDefault="00F04EEF">
      <w:pPr>
        <w:rPr>
          <w:rStyle w:val="CommentaireCar"/>
          <w:rFonts w:eastAsia="Calibri"/>
          <w:u w:val="single"/>
        </w:rPr>
      </w:pPr>
    </w:p>
    <w:p w:rsidR="00F04EEF" w:rsidRDefault="0099351E">
      <w:pPr>
        <w:rPr>
          <w:rFonts w:ascii="Georgia" w:hAnsi="Georgia"/>
        </w:rPr>
      </w:pPr>
      <w:r>
        <w:rPr>
          <w:rFonts w:ascii="Georgia" w:hAnsi="Georgia"/>
        </w:rPr>
        <w:t>Fonction exercée au sein de l’établissement.</w:t>
      </w:r>
    </w:p>
    <w:p w:rsidR="00F04EEF" w:rsidRDefault="00F04EEF">
      <w:pPr>
        <w:rPr>
          <w:rFonts w:ascii="Georgia" w:hAnsi="Georgia"/>
        </w:rPr>
      </w:pPr>
    </w:p>
    <w:p w:rsidR="00F04EEF" w:rsidRDefault="0099351E">
      <w:pPr>
        <w:pStyle w:val="Paragraphedeliste"/>
        <w:numPr>
          <w:ilvl w:val="2"/>
          <w:numId w:val="63"/>
        </w:numPr>
        <w:rPr>
          <w:rFonts w:ascii="Georgia" w:hAnsi="Georgia"/>
          <w:u w:val="single"/>
        </w:rPr>
      </w:pPr>
      <w:r>
        <w:rPr>
          <w:rFonts w:ascii="Georgia" w:hAnsi="Georgia"/>
          <w:u w:val="single"/>
        </w:rPr>
        <w:t>Secteur professionnel (cfr Arrêté du Gouvernement de la Communauté française du 26 août 2010 portant des mesures d’application des articles 55 et 342 du Décret du 3 mars 2004 organisant l’enseignement spécialisé).</w:t>
      </w:r>
    </w:p>
    <w:p w:rsidR="00F04EEF" w:rsidRDefault="00F04EEF">
      <w:pPr>
        <w:jc w:val="both"/>
        <w:rPr>
          <w:rFonts w:ascii="Georgia" w:hAnsi="Georgia"/>
        </w:rPr>
      </w:pPr>
    </w:p>
    <w:p w:rsidR="00F04EEF" w:rsidRDefault="0099351E">
      <w:pPr>
        <w:jc w:val="both"/>
        <w:rPr>
          <w:rFonts w:ascii="Georgia" w:hAnsi="Georgia"/>
        </w:rPr>
      </w:pPr>
      <w:r>
        <w:rPr>
          <w:rFonts w:ascii="Georgia" w:hAnsi="Georgia"/>
        </w:rPr>
        <w:t>Le secteur sera écrit en lettres minuscules hormis la première lettre qui sera majuscule.</w:t>
      </w:r>
    </w:p>
    <w:p w:rsidR="00F04EEF" w:rsidRDefault="00F04EEF">
      <w:pPr>
        <w:jc w:val="both"/>
        <w:rPr>
          <w:rFonts w:ascii="Georgia" w:hAnsi="Georgia"/>
        </w:rPr>
      </w:pPr>
    </w:p>
    <w:p w:rsidR="00F04EEF" w:rsidRDefault="0099351E">
      <w:pPr>
        <w:pStyle w:val="Paragraphedeliste"/>
        <w:numPr>
          <w:ilvl w:val="2"/>
          <w:numId w:val="63"/>
        </w:numPr>
        <w:jc w:val="both"/>
        <w:rPr>
          <w:rFonts w:ascii="Georgia" w:hAnsi="Georgia"/>
        </w:rPr>
      </w:pPr>
      <w:r>
        <w:rPr>
          <w:rFonts w:ascii="Georgia" w:hAnsi="Georgia"/>
          <w:u w:val="single"/>
        </w:rPr>
        <w:t>Groupe professionnel</w:t>
      </w:r>
      <w:r>
        <w:rPr>
          <w:rFonts w:ascii="Georgia" w:hAnsi="Georgia"/>
        </w:rPr>
        <w:t xml:space="preserve"> </w:t>
      </w:r>
      <w:r>
        <w:rPr>
          <w:rFonts w:ascii="Georgia" w:hAnsi="Georgia"/>
          <w:u w:val="single"/>
        </w:rPr>
        <w:t>(cfr Arrêté du Gouvernement de la Communauté française du 26 août 2010 portant des mesures d’application des articles 55 et 342 du Décret du 3 mars 2004 organisant l’enseignement spécialisé).</w:t>
      </w:r>
    </w:p>
    <w:p w:rsidR="00F04EEF" w:rsidRDefault="00F04EEF">
      <w:pPr>
        <w:jc w:val="both"/>
        <w:rPr>
          <w:rFonts w:ascii="Georgia" w:hAnsi="Georgia"/>
        </w:rPr>
      </w:pPr>
    </w:p>
    <w:p w:rsidR="00F04EEF" w:rsidRDefault="0099351E">
      <w:pPr>
        <w:jc w:val="both"/>
        <w:rPr>
          <w:rFonts w:ascii="Georgia" w:hAnsi="Georgia"/>
        </w:rPr>
      </w:pPr>
      <w:r>
        <w:rPr>
          <w:rFonts w:ascii="Georgia" w:hAnsi="Georgia"/>
        </w:rPr>
        <w:t>Le groupe professionnel sera écrit en lettres minuscules hormis la première lettre qui sera majuscule.</w:t>
      </w:r>
    </w:p>
    <w:p w:rsidR="00F04EEF" w:rsidRDefault="00F04EEF">
      <w:pPr>
        <w:jc w:val="both"/>
        <w:rPr>
          <w:rFonts w:ascii="Georgia" w:hAnsi="Georgia"/>
        </w:rPr>
      </w:pPr>
    </w:p>
    <w:p w:rsidR="00F04EEF" w:rsidRDefault="0099351E">
      <w:pPr>
        <w:pStyle w:val="Paragraphedeliste"/>
        <w:numPr>
          <w:ilvl w:val="2"/>
          <w:numId w:val="63"/>
        </w:numPr>
        <w:jc w:val="both"/>
        <w:rPr>
          <w:rFonts w:ascii="Georgia" w:hAnsi="Georgia"/>
        </w:rPr>
      </w:pPr>
      <w:r>
        <w:rPr>
          <w:rFonts w:ascii="Georgia" w:hAnsi="Georgia"/>
        </w:rPr>
        <w:t>Indiquer selon le cas, en toutes lettres : première – deuxième – troisième.</w:t>
      </w:r>
    </w:p>
    <w:p w:rsidR="00F04EEF" w:rsidRDefault="00F04EEF">
      <w:pPr>
        <w:ind w:left="1800"/>
        <w:jc w:val="both"/>
        <w:rPr>
          <w:rFonts w:ascii="Georgia" w:hAnsi="Georgia"/>
        </w:rPr>
      </w:pPr>
    </w:p>
    <w:p w:rsidR="00F04EEF" w:rsidRDefault="0099351E">
      <w:pPr>
        <w:pStyle w:val="Paragraphedeliste"/>
        <w:numPr>
          <w:ilvl w:val="2"/>
          <w:numId w:val="63"/>
        </w:numPr>
        <w:jc w:val="both"/>
        <w:rPr>
          <w:rFonts w:ascii="Georgia" w:hAnsi="Georgia"/>
        </w:rPr>
      </w:pPr>
      <w:r>
        <w:rPr>
          <w:rFonts w:ascii="Georgia" w:hAnsi="Georgia"/>
        </w:rPr>
        <w:t>Indiquer selon le cas, en toutes lettres : favorable – défavorable.</w:t>
      </w:r>
    </w:p>
    <w:p w:rsidR="00F04EEF" w:rsidRDefault="00F04EEF">
      <w:pPr>
        <w:autoSpaceDE w:val="0"/>
        <w:autoSpaceDN w:val="0"/>
        <w:adjustRightInd w:val="0"/>
        <w:jc w:val="both"/>
        <w:rPr>
          <w:rFonts w:ascii="CenturySchoolbook" w:hAnsi="CenturySchoolbook" w:cs="CenturySchoolbook"/>
          <w:szCs w:val="24"/>
          <w:lang w:eastAsia="fr-BE"/>
        </w:rPr>
      </w:pPr>
    </w:p>
    <w:p w:rsidR="00F04EEF" w:rsidRDefault="0099351E">
      <w:pPr>
        <w:pStyle w:val="Paragraphedeliste"/>
        <w:numPr>
          <w:ilvl w:val="2"/>
          <w:numId w:val="63"/>
        </w:numPr>
        <w:jc w:val="both"/>
        <w:rPr>
          <w:rFonts w:ascii="Georgia" w:hAnsi="Georgia"/>
        </w:rPr>
      </w:pPr>
      <w:r>
        <w:rPr>
          <w:rFonts w:ascii="Georgia" w:hAnsi="Georgia"/>
        </w:rPr>
        <w:t>Indiquer selon le cas, en toutes lettres : deuxième – troisième.</w:t>
      </w:r>
    </w:p>
    <w:p w:rsidR="00F04EEF" w:rsidRDefault="00F04EEF">
      <w:pPr>
        <w:pStyle w:val="Paragraphedeliste"/>
        <w:rPr>
          <w:rFonts w:ascii="CenturySchoolbook" w:hAnsi="CenturySchoolbook" w:cs="CenturySchoolbook"/>
          <w:szCs w:val="24"/>
          <w:lang w:eastAsia="fr-BE"/>
        </w:rPr>
      </w:pPr>
    </w:p>
    <w:p w:rsidR="00F04EEF" w:rsidRDefault="0099351E">
      <w:pPr>
        <w:pStyle w:val="Paragraphedeliste"/>
        <w:numPr>
          <w:ilvl w:val="2"/>
          <w:numId w:val="63"/>
        </w:numPr>
        <w:rPr>
          <w:rFonts w:ascii="Georgia" w:hAnsi="Georgia"/>
        </w:rPr>
      </w:pPr>
      <w:r>
        <w:rPr>
          <w:rFonts w:ascii="Georgia" w:hAnsi="Georgia"/>
          <w:u w:val="single"/>
        </w:rPr>
        <w:t>Intitulé de l’UAA</w:t>
      </w:r>
      <w:r>
        <w:rPr>
          <w:rFonts w:ascii="Georgia" w:hAnsi="Georgia"/>
        </w:rPr>
        <w:t> :</w:t>
      </w:r>
    </w:p>
    <w:p w:rsidR="00F04EEF" w:rsidRDefault="00F04EEF">
      <w:pPr>
        <w:rPr>
          <w:rFonts w:ascii="Georgia" w:hAnsi="Georgia"/>
        </w:rPr>
      </w:pPr>
    </w:p>
    <w:p w:rsidR="00F04EEF" w:rsidRDefault="0099351E">
      <w:pPr>
        <w:rPr>
          <w:rFonts w:ascii="Georgia" w:hAnsi="Georgia"/>
        </w:rPr>
      </w:pPr>
      <w:r>
        <w:rPr>
          <w:rFonts w:ascii="Georgia" w:hAnsi="Georgia"/>
        </w:rPr>
        <w:t>Reprendre l’intitulé de l’UAA tel que spécifié dans le profil de certification.</w:t>
      </w:r>
    </w:p>
    <w:p w:rsidR="00F04EEF" w:rsidRDefault="00F04EEF">
      <w:pPr>
        <w:rPr>
          <w:rFonts w:ascii="Georgia" w:hAnsi="Georgia"/>
        </w:rPr>
      </w:pPr>
    </w:p>
    <w:p w:rsidR="00F04EEF" w:rsidRDefault="0099351E">
      <w:pPr>
        <w:pStyle w:val="Paragraphedeliste"/>
        <w:numPr>
          <w:ilvl w:val="2"/>
          <w:numId w:val="63"/>
        </w:numPr>
        <w:rPr>
          <w:rFonts w:ascii="Georgia" w:hAnsi="Georgia"/>
        </w:rPr>
      </w:pPr>
      <w:r>
        <w:rPr>
          <w:rFonts w:ascii="Georgia" w:hAnsi="Georgia"/>
          <w:u w:val="single"/>
        </w:rPr>
        <w:t>Profil de certification</w:t>
      </w:r>
      <w:r>
        <w:rPr>
          <w:rFonts w:ascii="Georgia" w:hAnsi="Georgia"/>
        </w:rPr>
        <w:t> :</w:t>
      </w:r>
    </w:p>
    <w:p w:rsidR="00F04EEF" w:rsidRDefault="00F04EEF">
      <w:pPr>
        <w:pStyle w:val="Paragraphedeliste"/>
        <w:ind w:left="2160"/>
        <w:rPr>
          <w:rFonts w:ascii="Georgia" w:hAnsi="Georgia"/>
        </w:rPr>
      </w:pPr>
    </w:p>
    <w:p w:rsidR="00F04EEF" w:rsidRDefault="0099351E">
      <w:pPr>
        <w:rPr>
          <w:rFonts w:ascii="Georgia" w:hAnsi="Georgia"/>
        </w:rPr>
      </w:pPr>
      <w:r>
        <w:rPr>
          <w:rFonts w:ascii="Georgia" w:hAnsi="Georgia"/>
        </w:rPr>
        <w:t>Mentionner le nom du profil de certification concerné.</w:t>
      </w:r>
    </w:p>
    <w:p w:rsidR="00F04EEF" w:rsidRDefault="00F04EEF">
      <w:pPr>
        <w:rPr>
          <w:rFonts w:ascii="Georgia" w:hAnsi="Georgia"/>
        </w:rPr>
      </w:pPr>
    </w:p>
    <w:p w:rsidR="00F04EEF" w:rsidRDefault="0099351E">
      <w:pPr>
        <w:pStyle w:val="Paragraphedeliste"/>
        <w:numPr>
          <w:ilvl w:val="2"/>
          <w:numId w:val="63"/>
        </w:numPr>
        <w:rPr>
          <w:rFonts w:ascii="Georgia" w:hAnsi="Georgia"/>
        </w:rPr>
      </w:pPr>
      <w:r>
        <w:rPr>
          <w:rFonts w:ascii="Georgia" w:hAnsi="Georgia"/>
          <w:u w:val="single"/>
        </w:rPr>
        <w:t>Profil de formation</w:t>
      </w:r>
      <w:r>
        <w:rPr>
          <w:rFonts w:ascii="Georgia" w:hAnsi="Georgia"/>
        </w:rPr>
        <w:t xml:space="preserve"> : </w:t>
      </w:r>
    </w:p>
    <w:p w:rsidR="00F04EEF" w:rsidRDefault="00F04EEF">
      <w:pPr>
        <w:pStyle w:val="Paragraphedeliste"/>
        <w:ind w:left="2160"/>
        <w:rPr>
          <w:rFonts w:ascii="Georgia" w:hAnsi="Georgia"/>
        </w:rPr>
      </w:pPr>
    </w:p>
    <w:p w:rsidR="00F04EEF" w:rsidRDefault="0099351E">
      <w:pPr>
        <w:rPr>
          <w:rFonts w:ascii="Georgia" w:hAnsi="Georgia"/>
        </w:rPr>
      </w:pPr>
      <w:r>
        <w:rPr>
          <w:rFonts w:ascii="Georgia" w:hAnsi="Georgia"/>
        </w:rPr>
        <w:t>Mentionner le nom du profil de formation concerné.</w:t>
      </w:r>
    </w:p>
    <w:p w:rsidR="00F04EEF" w:rsidRDefault="00F04EEF">
      <w:pPr>
        <w:jc w:val="both"/>
        <w:rPr>
          <w:rFonts w:ascii="Georgia" w:hAnsi="Georgia"/>
        </w:rPr>
      </w:pPr>
    </w:p>
    <w:p w:rsidR="00F04EEF" w:rsidRDefault="00F04EEF">
      <w:pPr>
        <w:jc w:val="both"/>
        <w:rPr>
          <w:rFonts w:ascii="Georgia" w:hAnsi="Georgia"/>
          <w:color w:val="000000"/>
        </w:rPr>
      </w:pPr>
    </w:p>
    <w:p w:rsidR="00F04EEF" w:rsidRDefault="00F04EEF">
      <w:pPr>
        <w:jc w:val="both"/>
        <w:rPr>
          <w:rFonts w:ascii="Georgia" w:hAnsi="Georgia"/>
          <w:color w:val="000000"/>
        </w:rPr>
      </w:pPr>
    </w:p>
    <w:p w:rsidR="00F04EEF" w:rsidRDefault="0099351E">
      <w:pPr>
        <w:rPr>
          <w:rFonts w:ascii="Georgia" w:hAnsi="Georgia"/>
          <w:color w:val="000000"/>
        </w:rPr>
      </w:pPr>
      <w:r>
        <w:rPr>
          <w:rFonts w:ascii="Georgia" w:hAnsi="Georgia"/>
          <w:color w:val="000000"/>
        </w:rPr>
        <w:br w:type="page"/>
      </w:r>
    </w:p>
    <w:p w:rsidR="00F04EEF" w:rsidRDefault="0099351E">
      <w:pPr>
        <w:pStyle w:val="Titre4"/>
      </w:pPr>
      <w:r>
        <w:t>Annexe 19 : Liste des communes par ordre alphabétique</w:t>
      </w:r>
    </w:p>
    <w:p w:rsidR="00F04EEF" w:rsidRDefault="00F04EEF"/>
    <w:p w:rsidR="00F04EEF" w:rsidRDefault="0099351E">
      <w:pPr>
        <w:jc w:val="center"/>
        <w:rPr>
          <w:rFonts w:ascii="Georgia" w:hAnsi="Georgia"/>
          <w:b/>
        </w:rPr>
      </w:pPr>
      <w:r>
        <w:rPr>
          <w:rFonts w:ascii="Georgia" w:hAnsi="Georgia"/>
          <w:b/>
        </w:rPr>
        <w:t>COMMUNAUTE FRANÇAISE</w:t>
      </w: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F04EEF">
      <w:pPr>
        <w:jc w:val="both"/>
        <w:rPr>
          <w:rFonts w:ascii="Georgia" w:hAnsi="Georgia"/>
        </w:rPr>
      </w:pPr>
    </w:p>
    <w:p w:rsidR="00F04EEF" w:rsidRDefault="0099351E">
      <w:pPr>
        <w:pBdr>
          <w:top w:val="single" w:sz="4" w:space="1" w:color="auto"/>
          <w:left w:val="single" w:sz="4" w:space="4" w:color="auto"/>
          <w:bottom w:val="single" w:sz="4" w:space="1" w:color="auto"/>
          <w:right w:val="single" w:sz="4" w:space="4" w:color="auto"/>
        </w:pBdr>
        <w:jc w:val="center"/>
        <w:rPr>
          <w:rFonts w:ascii="Georgia" w:hAnsi="Georgia"/>
          <w:caps/>
        </w:rPr>
      </w:pPr>
      <w:r>
        <w:rPr>
          <w:rFonts w:ascii="Georgia" w:hAnsi="Georgia"/>
          <w:caps/>
        </w:rPr>
        <w:t>Liste des communes par ordre alphabétique</w:t>
      </w:r>
    </w:p>
    <w:p w:rsidR="00F04EEF" w:rsidRDefault="00F04EEF">
      <w:pPr>
        <w:jc w:val="both"/>
        <w:rPr>
          <w:rFonts w:ascii="Georgia" w:hAnsi="Georgia"/>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F04EEF">
        <w:tc>
          <w:tcPr>
            <w:tcW w:w="3543" w:type="dxa"/>
            <w:vAlign w:val="bottom"/>
          </w:tcPr>
          <w:p w:rsidR="00F04EEF" w:rsidRDefault="0099351E">
            <w:pPr>
              <w:rPr>
                <w:rFonts w:ascii="Georgia" w:hAnsi="Georgia"/>
                <w:color w:val="000000"/>
              </w:rPr>
            </w:pPr>
            <w:bookmarkStart w:id="3842" w:name="_Hlk447893473"/>
            <w:r>
              <w:rPr>
                <w:rFonts w:ascii="Georgia" w:hAnsi="Georgia"/>
                <w:color w:val="000000"/>
              </w:rPr>
              <w:t>Aiseau-Presles</w:t>
            </w:r>
          </w:p>
        </w:tc>
        <w:tc>
          <w:tcPr>
            <w:tcW w:w="3827" w:type="dxa"/>
            <w:vAlign w:val="bottom"/>
          </w:tcPr>
          <w:p w:rsidR="00F04EEF" w:rsidRDefault="0099351E">
            <w:pPr>
              <w:rPr>
                <w:rFonts w:ascii="Georgia" w:hAnsi="Georgia"/>
                <w:color w:val="000000"/>
              </w:rPr>
            </w:pPr>
            <w:r>
              <w:rPr>
                <w:rFonts w:ascii="Georgia" w:hAnsi="Georgia"/>
                <w:color w:val="000000"/>
              </w:rPr>
              <w:t>Jalhay</w:t>
            </w:r>
          </w:p>
        </w:tc>
      </w:tr>
      <w:tr w:rsidR="00F04EEF">
        <w:tc>
          <w:tcPr>
            <w:tcW w:w="3543" w:type="dxa"/>
            <w:vAlign w:val="bottom"/>
          </w:tcPr>
          <w:p w:rsidR="00F04EEF" w:rsidRDefault="0099351E">
            <w:pPr>
              <w:rPr>
                <w:rFonts w:ascii="Georgia" w:hAnsi="Georgia"/>
                <w:color w:val="000000"/>
              </w:rPr>
            </w:pPr>
            <w:r>
              <w:rPr>
                <w:rFonts w:ascii="Georgia" w:hAnsi="Georgia"/>
                <w:color w:val="000000"/>
              </w:rPr>
              <w:t>Amay</w:t>
            </w:r>
          </w:p>
        </w:tc>
        <w:tc>
          <w:tcPr>
            <w:tcW w:w="3827" w:type="dxa"/>
            <w:vAlign w:val="bottom"/>
          </w:tcPr>
          <w:p w:rsidR="00F04EEF" w:rsidRDefault="0099351E">
            <w:pPr>
              <w:rPr>
                <w:rFonts w:ascii="Georgia" w:hAnsi="Georgia"/>
                <w:color w:val="000000"/>
              </w:rPr>
            </w:pPr>
            <w:r>
              <w:rPr>
                <w:rFonts w:ascii="Georgia" w:hAnsi="Georgia"/>
                <w:color w:val="000000"/>
              </w:rPr>
              <w:t>Jemeppe-sur-Sambre</w:t>
            </w:r>
          </w:p>
        </w:tc>
      </w:tr>
      <w:tr w:rsidR="00F04EEF">
        <w:tc>
          <w:tcPr>
            <w:tcW w:w="3543" w:type="dxa"/>
            <w:vAlign w:val="bottom"/>
          </w:tcPr>
          <w:p w:rsidR="00F04EEF" w:rsidRDefault="0099351E">
            <w:pPr>
              <w:rPr>
                <w:rFonts w:ascii="Georgia" w:hAnsi="Georgia"/>
                <w:color w:val="000000"/>
              </w:rPr>
            </w:pPr>
            <w:r>
              <w:rPr>
                <w:rFonts w:ascii="Georgia" w:hAnsi="Georgia"/>
                <w:color w:val="000000"/>
              </w:rPr>
              <w:t>Amblève</w:t>
            </w:r>
          </w:p>
        </w:tc>
        <w:tc>
          <w:tcPr>
            <w:tcW w:w="3827" w:type="dxa"/>
            <w:vAlign w:val="bottom"/>
          </w:tcPr>
          <w:p w:rsidR="00F04EEF" w:rsidRDefault="0099351E">
            <w:pPr>
              <w:rPr>
                <w:rFonts w:ascii="Georgia" w:hAnsi="Georgia"/>
                <w:color w:val="000000"/>
              </w:rPr>
            </w:pPr>
            <w:r>
              <w:rPr>
                <w:rFonts w:ascii="Georgia" w:hAnsi="Georgia"/>
                <w:color w:val="000000"/>
              </w:rPr>
              <w:t>Jette</w:t>
            </w:r>
          </w:p>
        </w:tc>
      </w:tr>
      <w:tr w:rsidR="00F04EEF">
        <w:tc>
          <w:tcPr>
            <w:tcW w:w="3543" w:type="dxa"/>
            <w:vAlign w:val="bottom"/>
          </w:tcPr>
          <w:p w:rsidR="00F04EEF" w:rsidRDefault="0099351E">
            <w:pPr>
              <w:rPr>
                <w:rFonts w:ascii="Georgia" w:hAnsi="Georgia"/>
                <w:color w:val="000000"/>
              </w:rPr>
            </w:pPr>
            <w:r>
              <w:rPr>
                <w:rFonts w:ascii="Georgia" w:hAnsi="Georgia"/>
                <w:color w:val="000000"/>
              </w:rPr>
              <w:t>Andenne</w:t>
            </w:r>
          </w:p>
        </w:tc>
        <w:tc>
          <w:tcPr>
            <w:tcW w:w="3827" w:type="dxa"/>
            <w:vAlign w:val="bottom"/>
          </w:tcPr>
          <w:p w:rsidR="00F04EEF" w:rsidRDefault="0099351E">
            <w:pPr>
              <w:rPr>
                <w:rFonts w:ascii="Georgia" w:hAnsi="Georgia"/>
                <w:color w:val="000000"/>
              </w:rPr>
            </w:pPr>
            <w:r>
              <w:rPr>
                <w:rFonts w:ascii="Georgia" w:hAnsi="Georgia"/>
                <w:color w:val="000000"/>
              </w:rPr>
              <w:t>Jodoigne</w:t>
            </w:r>
          </w:p>
        </w:tc>
      </w:tr>
      <w:tr w:rsidR="00F04EEF">
        <w:tc>
          <w:tcPr>
            <w:tcW w:w="3543" w:type="dxa"/>
            <w:vAlign w:val="bottom"/>
          </w:tcPr>
          <w:p w:rsidR="00F04EEF" w:rsidRDefault="0099351E">
            <w:pPr>
              <w:rPr>
                <w:rFonts w:ascii="Georgia" w:hAnsi="Georgia"/>
                <w:color w:val="000000"/>
              </w:rPr>
            </w:pPr>
            <w:r>
              <w:rPr>
                <w:rFonts w:ascii="Georgia" w:hAnsi="Georgia"/>
                <w:color w:val="000000"/>
              </w:rPr>
              <w:t>Anderlecht</w:t>
            </w:r>
          </w:p>
        </w:tc>
        <w:tc>
          <w:tcPr>
            <w:tcW w:w="3827" w:type="dxa"/>
            <w:vAlign w:val="bottom"/>
          </w:tcPr>
          <w:p w:rsidR="00F04EEF" w:rsidRDefault="0099351E">
            <w:pPr>
              <w:rPr>
                <w:rFonts w:ascii="Georgia" w:hAnsi="Georgia"/>
                <w:color w:val="000000"/>
              </w:rPr>
            </w:pPr>
            <w:r>
              <w:rPr>
                <w:rFonts w:ascii="Georgia" w:hAnsi="Georgia"/>
                <w:color w:val="000000"/>
              </w:rPr>
              <w:t>Juprelle</w:t>
            </w:r>
          </w:p>
        </w:tc>
      </w:tr>
      <w:tr w:rsidR="00F04EEF">
        <w:tc>
          <w:tcPr>
            <w:tcW w:w="3543" w:type="dxa"/>
            <w:vAlign w:val="bottom"/>
          </w:tcPr>
          <w:p w:rsidR="00F04EEF" w:rsidRDefault="0099351E">
            <w:pPr>
              <w:rPr>
                <w:rFonts w:ascii="Georgia" w:hAnsi="Georgia"/>
                <w:color w:val="000000"/>
              </w:rPr>
            </w:pPr>
            <w:r>
              <w:rPr>
                <w:rFonts w:ascii="Georgia" w:hAnsi="Georgia"/>
                <w:color w:val="000000"/>
              </w:rPr>
              <w:t>Anderlues</w:t>
            </w:r>
          </w:p>
        </w:tc>
        <w:tc>
          <w:tcPr>
            <w:tcW w:w="3827" w:type="dxa"/>
            <w:vAlign w:val="bottom"/>
          </w:tcPr>
          <w:p w:rsidR="00F04EEF" w:rsidRDefault="0099351E">
            <w:pPr>
              <w:rPr>
                <w:rFonts w:ascii="Georgia" w:hAnsi="Georgia"/>
                <w:color w:val="000000"/>
              </w:rPr>
            </w:pPr>
            <w:r>
              <w:rPr>
                <w:rFonts w:ascii="Georgia" w:hAnsi="Georgia"/>
                <w:color w:val="000000"/>
              </w:rPr>
              <w:t>Jurbise</w:t>
            </w:r>
          </w:p>
        </w:tc>
      </w:tr>
      <w:tr w:rsidR="00F04EEF">
        <w:tc>
          <w:tcPr>
            <w:tcW w:w="3543" w:type="dxa"/>
            <w:vAlign w:val="bottom"/>
          </w:tcPr>
          <w:p w:rsidR="00F04EEF" w:rsidRDefault="0099351E">
            <w:pPr>
              <w:rPr>
                <w:rFonts w:ascii="Georgia" w:hAnsi="Georgia"/>
                <w:color w:val="000000"/>
              </w:rPr>
            </w:pPr>
            <w:r>
              <w:rPr>
                <w:rFonts w:ascii="Georgia" w:hAnsi="Georgia"/>
                <w:color w:val="000000"/>
              </w:rPr>
              <w:t>Anhée</w:t>
            </w:r>
          </w:p>
        </w:tc>
        <w:tc>
          <w:tcPr>
            <w:tcW w:w="3827" w:type="dxa"/>
            <w:vAlign w:val="bottom"/>
          </w:tcPr>
          <w:p w:rsidR="00F04EEF" w:rsidRDefault="0099351E">
            <w:pPr>
              <w:rPr>
                <w:rFonts w:ascii="Georgia" w:hAnsi="Georgia"/>
                <w:color w:val="000000"/>
              </w:rPr>
            </w:pPr>
            <w:r>
              <w:rPr>
                <w:rFonts w:ascii="Georgia" w:hAnsi="Georgia"/>
                <w:color w:val="000000"/>
              </w:rPr>
              <w:t>Koekelberg</w:t>
            </w:r>
          </w:p>
        </w:tc>
      </w:tr>
      <w:tr w:rsidR="00F04EEF">
        <w:tc>
          <w:tcPr>
            <w:tcW w:w="3543" w:type="dxa"/>
            <w:vAlign w:val="bottom"/>
          </w:tcPr>
          <w:p w:rsidR="00F04EEF" w:rsidRDefault="0099351E">
            <w:pPr>
              <w:rPr>
                <w:rFonts w:ascii="Georgia" w:hAnsi="Georgia"/>
                <w:color w:val="000000"/>
              </w:rPr>
            </w:pPr>
            <w:r>
              <w:rPr>
                <w:rFonts w:ascii="Georgia" w:hAnsi="Georgia"/>
                <w:color w:val="000000"/>
              </w:rPr>
              <w:t>Ans</w:t>
            </w:r>
          </w:p>
        </w:tc>
        <w:tc>
          <w:tcPr>
            <w:tcW w:w="3827" w:type="dxa"/>
            <w:vAlign w:val="bottom"/>
          </w:tcPr>
          <w:p w:rsidR="00F04EEF" w:rsidRDefault="0099351E">
            <w:pPr>
              <w:rPr>
                <w:rFonts w:ascii="Georgia" w:hAnsi="Georgia"/>
                <w:color w:val="000000"/>
              </w:rPr>
            </w:pPr>
            <w:r>
              <w:rPr>
                <w:rFonts w:ascii="Georgia" w:hAnsi="Georgia"/>
                <w:color w:val="000000"/>
              </w:rPr>
              <w:t>La Bruyère</w:t>
            </w:r>
          </w:p>
        </w:tc>
      </w:tr>
      <w:tr w:rsidR="00F04EEF">
        <w:tc>
          <w:tcPr>
            <w:tcW w:w="3543" w:type="dxa"/>
            <w:vAlign w:val="bottom"/>
          </w:tcPr>
          <w:p w:rsidR="00F04EEF" w:rsidRDefault="0099351E">
            <w:pPr>
              <w:rPr>
                <w:rFonts w:ascii="Georgia" w:hAnsi="Georgia"/>
                <w:color w:val="000000"/>
              </w:rPr>
            </w:pPr>
            <w:r>
              <w:rPr>
                <w:rFonts w:ascii="Georgia" w:hAnsi="Georgia"/>
                <w:color w:val="000000"/>
              </w:rPr>
              <w:t>Anthisnes</w:t>
            </w:r>
          </w:p>
        </w:tc>
        <w:tc>
          <w:tcPr>
            <w:tcW w:w="3827" w:type="dxa"/>
            <w:vAlign w:val="bottom"/>
          </w:tcPr>
          <w:p w:rsidR="00F04EEF" w:rsidRDefault="0099351E">
            <w:pPr>
              <w:rPr>
                <w:rFonts w:ascii="Georgia" w:hAnsi="Georgia"/>
                <w:color w:val="000000"/>
              </w:rPr>
            </w:pPr>
            <w:r>
              <w:rPr>
                <w:rFonts w:ascii="Georgia" w:hAnsi="Georgia"/>
                <w:color w:val="000000"/>
              </w:rPr>
              <w:t>La Calamine</w:t>
            </w:r>
          </w:p>
        </w:tc>
      </w:tr>
      <w:tr w:rsidR="00F04EEF">
        <w:tc>
          <w:tcPr>
            <w:tcW w:w="3543" w:type="dxa"/>
            <w:vAlign w:val="bottom"/>
          </w:tcPr>
          <w:p w:rsidR="00F04EEF" w:rsidRDefault="0099351E">
            <w:pPr>
              <w:rPr>
                <w:rFonts w:ascii="Georgia" w:hAnsi="Georgia"/>
                <w:color w:val="000000"/>
              </w:rPr>
            </w:pPr>
            <w:r>
              <w:rPr>
                <w:rFonts w:ascii="Georgia" w:hAnsi="Georgia"/>
                <w:color w:val="000000"/>
              </w:rPr>
              <w:t>Antoing</w:t>
            </w:r>
          </w:p>
        </w:tc>
        <w:tc>
          <w:tcPr>
            <w:tcW w:w="3827" w:type="dxa"/>
            <w:vAlign w:val="bottom"/>
          </w:tcPr>
          <w:p w:rsidR="00F04EEF" w:rsidRDefault="0099351E">
            <w:pPr>
              <w:rPr>
                <w:rFonts w:ascii="Georgia" w:hAnsi="Georgia"/>
                <w:color w:val="000000"/>
              </w:rPr>
            </w:pPr>
            <w:r>
              <w:rPr>
                <w:rFonts w:ascii="Georgia" w:hAnsi="Georgia"/>
                <w:color w:val="000000"/>
              </w:rPr>
              <w:t>La Hulpe</w:t>
            </w:r>
          </w:p>
        </w:tc>
      </w:tr>
      <w:tr w:rsidR="00F04EEF">
        <w:tc>
          <w:tcPr>
            <w:tcW w:w="3543" w:type="dxa"/>
            <w:vAlign w:val="bottom"/>
          </w:tcPr>
          <w:p w:rsidR="00F04EEF" w:rsidRDefault="0099351E">
            <w:pPr>
              <w:rPr>
                <w:rFonts w:ascii="Georgia" w:hAnsi="Georgia"/>
                <w:color w:val="000000"/>
              </w:rPr>
            </w:pPr>
            <w:r>
              <w:rPr>
                <w:rFonts w:ascii="Georgia" w:hAnsi="Georgia"/>
                <w:color w:val="000000"/>
              </w:rPr>
              <w:t>Arlon</w:t>
            </w:r>
          </w:p>
        </w:tc>
        <w:tc>
          <w:tcPr>
            <w:tcW w:w="3827" w:type="dxa"/>
            <w:vAlign w:val="bottom"/>
          </w:tcPr>
          <w:p w:rsidR="00F04EEF" w:rsidRDefault="0099351E">
            <w:pPr>
              <w:rPr>
                <w:rFonts w:ascii="Georgia" w:hAnsi="Georgia"/>
                <w:color w:val="000000"/>
              </w:rPr>
            </w:pPr>
            <w:r>
              <w:rPr>
                <w:rFonts w:ascii="Georgia" w:hAnsi="Georgia"/>
                <w:color w:val="000000"/>
              </w:rPr>
              <w:t>La Louvière</w:t>
            </w:r>
          </w:p>
        </w:tc>
      </w:tr>
      <w:tr w:rsidR="00F04EEF">
        <w:tc>
          <w:tcPr>
            <w:tcW w:w="3543" w:type="dxa"/>
            <w:vAlign w:val="bottom"/>
          </w:tcPr>
          <w:p w:rsidR="00F04EEF" w:rsidRDefault="0099351E">
            <w:pPr>
              <w:rPr>
                <w:rFonts w:ascii="Georgia" w:hAnsi="Georgia"/>
                <w:color w:val="000000"/>
              </w:rPr>
            </w:pPr>
            <w:r>
              <w:rPr>
                <w:rFonts w:ascii="Georgia" w:hAnsi="Georgia"/>
                <w:color w:val="000000"/>
              </w:rPr>
              <w:t>Assesse</w:t>
            </w:r>
          </w:p>
        </w:tc>
        <w:tc>
          <w:tcPr>
            <w:tcW w:w="3827" w:type="dxa"/>
            <w:vAlign w:val="bottom"/>
          </w:tcPr>
          <w:p w:rsidR="00F04EEF" w:rsidRDefault="0099351E">
            <w:pPr>
              <w:rPr>
                <w:rFonts w:ascii="Georgia" w:hAnsi="Georgia"/>
                <w:color w:val="000000"/>
              </w:rPr>
            </w:pPr>
            <w:r>
              <w:rPr>
                <w:rFonts w:ascii="Georgia" w:hAnsi="Georgia"/>
                <w:color w:val="000000"/>
              </w:rPr>
              <w:t>La Roche-en-Ardenne</w:t>
            </w:r>
          </w:p>
        </w:tc>
      </w:tr>
      <w:tr w:rsidR="00F04EEF">
        <w:tc>
          <w:tcPr>
            <w:tcW w:w="3543" w:type="dxa"/>
            <w:vAlign w:val="bottom"/>
          </w:tcPr>
          <w:p w:rsidR="00F04EEF" w:rsidRDefault="0099351E">
            <w:pPr>
              <w:rPr>
                <w:rFonts w:ascii="Georgia" w:hAnsi="Georgia"/>
                <w:color w:val="000000"/>
              </w:rPr>
            </w:pPr>
            <w:r>
              <w:rPr>
                <w:rFonts w:ascii="Georgia" w:hAnsi="Georgia"/>
                <w:color w:val="000000"/>
              </w:rPr>
              <w:t>Ath</w:t>
            </w:r>
          </w:p>
        </w:tc>
        <w:tc>
          <w:tcPr>
            <w:tcW w:w="3827" w:type="dxa"/>
            <w:vAlign w:val="bottom"/>
          </w:tcPr>
          <w:p w:rsidR="00F04EEF" w:rsidRDefault="0099351E">
            <w:pPr>
              <w:rPr>
                <w:rFonts w:ascii="Georgia" w:hAnsi="Georgia"/>
                <w:color w:val="000000"/>
              </w:rPr>
            </w:pPr>
            <w:r>
              <w:rPr>
                <w:rFonts w:ascii="Georgia" w:hAnsi="Georgia"/>
                <w:color w:val="000000"/>
              </w:rPr>
              <w:t>Lasne</w:t>
            </w:r>
          </w:p>
        </w:tc>
      </w:tr>
      <w:tr w:rsidR="00F04EEF">
        <w:tc>
          <w:tcPr>
            <w:tcW w:w="3543" w:type="dxa"/>
            <w:vAlign w:val="bottom"/>
          </w:tcPr>
          <w:p w:rsidR="00F04EEF" w:rsidRDefault="0099351E">
            <w:pPr>
              <w:rPr>
                <w:rFonts w:ascii="Georgia" w:hAnsi="Georgia"/>
                <w:color w:val="000000"/>
              </w:rPr>
            </w:pPr>
            <w:r>
              <w:rPr>
                <w:rFonts w:ascii="Georgia" w:hAnsi="Georgia"/>
                <w:color w:val="000000"/>
              </w:rPr>
              <w:t>Attert</w:t>
            </w:r>
          </w:p>
        </w:tc>
        <w:tc>
          <w:tcPr>
            <w:tcW w:w="3827" w:type="dxa"/>
            <w:vAlign w:val="bottom"/>
          </w:tcPr>
          <w:p w:rsidR="00F04EEF" w:rsidRDefault="0099351E">
            <w:pPr>
              <w:rPr>
                <w:rFonts w:ascii="Georgia" w:hAnsi="Georgia"/>
                <w:color w:val="000000"/>
              </w:rPr>
            </w:pPr>
            <w:r>
              <w:rPr>
                <w:rFonts w:ascii="Georgia" w:hAnsi="Georgia"/>
                <w:color w:val="000000"/>
              </w:rPr>
              <w:t>Le Roeulx</w:t>
            </w:r>
          </w:p>
        </w:tc>
      </w:tr>
      <w:tr w:rsidR="00F04EEF">
        <w:tc>
          <w:tcPr>
            <w:tcW w:w="3543" w:type="dxa"/>
            <w:vAlign w:val="bottom"/>
          </w:tcPr>
          <w:p w:rsidR="00F04EEF" w:rsidRDefault="0099351E">
            <w:pPr>
              <w:rPr>
                <w:rFonts w:ascii="Georgia" w:hAnsi="Georgia"/>
                <w:color w:val="000000"/>
              </w:rPr>
            </w:pPr>
            <w:r>
              <w:rPr>
                <w:rFonts w:ascii="Georgia" w:hAnsi="Georgia"/>
                <w:color w:val="000000"/>
              </w:rPr>
              <w:t>Aubange</w:t>
            </w:r>
          </w:p>
        </w:tc>
        <w:tc>
          <w:tcPr>
            <w:tcW w:w="3827" w:type="dxa"/>
            <w:vAlign w:val="bottom"/>
          </w:tcPr>
          <w:p w:rsidR="00F04EEF" w:rsidRDefault="0099351E">
            <w:pPr>
              <w:rPr>
                <w:rFonts w:ascii="Georgia" w:hAnsi="Georgia"/>
                <w:color w:val="000000"/>
              </w:rPr>
            </w:pPr>
            <w:r>
              <w:rPr>
                <w:rFonts w:ascii="Georgia" w:hAnsi="Georgia"/>
                <w:color w:val="000000"/>
              </w:rPr>
              <w:t>Léglise</w:t>
            </w:r>
          </w:p>
        </w:tc>
      </w:tr>
      <w:tr w:rsidR="00F04EEF">
        <w:tc>
          <w:tcPr>
            <w:tcW w:w="3543" w:type="dxa"/>
            <w:vAlign w:val="bottom"/>
          </w:tcPr>
          <w:p w:rsidR="00F04EEF" w:rsidRDefault="0099351E">
            <w:pPr>
              <w:rPr>
                <w:rFonts w:ascii="Georgia" w:hAnsi="Georgia"/>
                <w:color w:val="000000"/>
              </w:rPr>
            </w:pPr>
            <w:r>
              <w:rPr>
                <w:rFonts w:ascii="Georgia" w:hAnsi="Georgia"/>
                <w:color w:val="000000"/>
              </w:rPr>
              <w:t>Aubel</w:t>
            </w:r>
          </w:p>
        </w:tc>
        <w:tc>
          <w:tcPr>
            <w:tcW w:w="3827" w:type="dxa"/>
            <w:vAlign w:val="bottom"/>
          </w:tcPr>
          <w:p w:rsidR="00F04EEF" w:rsidRDefault="0099351E">
            <w:pPr>
              <w:rPr>
                <w:rFonts w:ascii="Georgia" w:hAnsi="Georgia"/>
                <w:color w:val="000000"/>
              </w:rPr>
            </w:pPr>
            <w:r>
              <w:rPr>
                <w:rFonts w:ascii="Georgia" w:hAnsi="Georgia"/>
                <w:color w:val="000000"/>
              </w:rPr>
              <w:t>Lens</w:t>
            </w:r>
          </w:p>
        </w:tc>
      </w:tr>
      <w:tr w:rsidR="00F04EEF">
        <w:tc>
          <w:tcPr>
            <w:tcW w:w="3543" w:type="dxa"/>
            <w:vAlign w:val="bottom"/>
          </w:tcPr>
          <w:p w:rsidR="00F04EEF" w:rsidRDefault="0099351E">
            <w:pPr>
              <w:rPr>
                <w:rFonts w:ascii="Georgia" w:hAnsi="Georgia"/>
                <w:color w:val="000000"/>
              </w:rPr>
            </w:pPr>
            <w:r>
              <w:rPr>
                <w:rFonts w:ascii="Georgia" w:hAnsi="Georgia"/>
                <w:color w:val="000000"/>
              </w:rPr>
              <w:t>Auderghem</w:t>
            </w:r>
          </w:p>
        </w:tc>
        <w:tc>
          <w:tcPr>
            <w:tcW w:w="3827" w:type="dxa"/>
            <w:vAlign w:val="bottom"/>
          </w:tcPr>
          <w:p w:rsidR="00F04EEF" w:rsidRDefault="0099351E">
            <w:pPr>
              <w:rPr>
                <w:rFonts w:ascii="Georgia" w:hAnsi="Georgia"/>
                <w:color w:val="000000"/>
              </w:rPr>
            </w:pPr>
            <w:r>
              <w:rPr>
                <w:rFonts w:ascii="Georgia" w:hAnsi="Georgia"/>
                <w:color w:val="000000"/>
              </w:rPr>
              <w:t>Les Bons Villers</w:t>
            </w:r>
          </w:p>
        </w:tc>
      </w:tr>
      <w:tr w:rsidR="00F04EEF">
        <w:tc>
          <w:tcPr>
            <w:tcW w:w="3543" w:type="dxa"/>
            <w:vAlign w:val="bottom"/>
          </w:tcPr>
          <w:p w:rsidR="00F04EEF" w:rsidRDefault="0099351E">
            <w:pPr>
              <w:rPr>
                <w:rFonts w:ascii="Georgia" w:hAnsi="Georgia"/>
                <w:color w:val="000000"/>
              </w:rPr>
            </w:pPr>
            <w:r>
              <w:rPr>
                <w:rFonts w:ascii="Georgia" w:hAnsi="Georgia"/>
                <w:color w:val="000000"/>
              </w:rPr>
              <w:t>Awans</w:t>
            </w:r>
          </w:p>
        </w:tc>
        <w:tc>
          <w:tcPr>
            <w:tcW w:w="3827" w:type="dxa"/>
            <w:vAlign w:val="bottom"/>
          </w:tcPr>
          <w:p w:rsidR="00F04EEF" w:rsidRDefault="0099351E">
            <w:pPr>
              <w:rPr>
                <w:rFonts w:ascii="Georgia" w:hAnsi="Georgia"/>
                <w:color w:val="000000"/>
              </w:rPr>
            </w:pPr>
            <w:r>
              <w:rPr>
                <w:rFonts w:ascii="Georgia" w:hAnsi="Georgia"/>
                <w:color w:val="000000"/>
              </w:rPr>
              <w:t>Lessines</w:t>
            </w:r>
          </w:p>
        </w:tc>
      </w:tr>
      <w:tr w:rsidR="00F04EEF">
        <w:tc>
          <w:tcPr>
            <w:tcW w:w="3543" w:type="dxa"/>
            <w:vAlign w:val="bottom"/>
          </w:tcPr>
          <w:p w:rsidR="00F04EEF" w:rsidRDefault="0099351E">
            <w:pPr>
              <w:rPr>
                <w:rFonts w:ascii="Georgia" w:hAnsi="Georgia"/>
                <w:color w:val="000000"/>
              </w:rPr>
            </w:pPr>
            <w:r>
              <w:rPr>
                <w:rFonts w:ascii="Georgia" w:hAnsi="Georgia"/>
                <w:color w:val="000000"/>
              </w:rPr>
              <w:t>Aywaille</w:t>
            </w:r>
          </w:p>
        </w:tc>
        <w:tc>
          <w:tcPr>
            <w:tcW w:w="3827" w:type="dxa"/>
            <w:vAlign w:val="bottom"/>
          </w:tcPr>
          <w:p w:rsidR="00F04EEF" w:rsidRDefault="0099351E">
            <w:pPr>
              <w:rPr>
                <w:rFonts w:ascii="Georgia" w:hAnsi="Georgia"/>
                <w:color w:val="000000"/>
              </w:rPr>
            </w:pPr>
            <w:r>
              <w:rPr>
                <w:rFonts w:ascii="Georgia" w:hAnsi="Georgia"/>
                <w:color w:val="000000"/>
              </w:rPr>
              <w:t>Leuze-en-Hainaut</w:t>
            </w:r>
          </w:p>
        </w:tc>
      </w:tr>
      <w:tr w:rsidR="00F04EEF">
        <w:tc>
          <w:tcPr>
            <w:tcW w:w="3543" w:type="dxa"/>
            <w:vAlign w:val="bottom"/>
          </w:tcPr>
          <w:p w:rsidR="00F04EEF" w:rsidRDefault="0099351E">
            <w:pPr>
              <w:rPr>
                <w:rFonts w:ascii="Georgia" w:hAnsi="Georgia"/>
                <w:color w:val="000000"/>
              </w:rPr>
            </w:pPr>
            <w:r>
              <w:rPr>
                <w:rFonts w:ascii="Georgia" w:hAnsi="Georgia"/>
                <w:color w:val="000000"/>
              </w:rPr>
              <w:t>Baelen</w:t>
            </w:r>
          </w:p>
        </w:tc>
        <w:tc>
          <w:tcPr>
            <w:tcW w:w="3827" w:type="dxa"/>
            <w:vAlign w:val="bottom"/>
          </w:tcPr>
          <w:p w:rsidR="00F04EEF" w:rsidRDefault="0099351E">
            <w:pPr>
              <w:rPr>
                <w:rFonts w:ascii="Georgia" w:hAnsi="Georgia"/>
                <w:color w:val="000000"/>
              </w:rPr>
            </w:pPr>
            <w:r>
              <w:rPr>
                <w:rFonts w:ascii="Georgia" w:hAnsi="Georgia"/>
                <w:color w:val="000000"/>
              </w:rPr>
              <w:t>Libin</w:t>
            </w:r>
          </w:p>
        </w:tc>
      </w:tr>
      <w:tr w:rsidR="00F04EEF">
        <w:tc>
          <w:tcPr>
            <w:tcW w:w="3543" w:type="dxa"/>
            <w:vAlign w:val="bottom"/>
          </w:tcPr>
          <w:p w:rsidR="00F04EEF" w:rsidRDefault="0099351E">
            <w:pPr>
              <w:rPr>
                <w:rFonts w:ascii="Georgia" w:hAnsi="Georgia"/>
                <w:color w:val="000000"/>
              </w:rPr>
            </w:pPr>
            <w:r>
              <w:rPr>
                <w:rFonts w:ascii="Georgia" w:hAnsi="Georgia"/>
                <w:color w:val="000000"/>
              </w:rPr>
              <w:t>Bassenge</w:t>
            </w:r>
          </w:p>
        </w:tc>
        <w:tc>
          <w:tcPr>
            <w:tcW w:w="3827" w:type="dxa"/>
            <w:vAlign w:val="bottom"/>
          </w:tcPr>
          <w:p w:rsidR="00F04EEF" w:rsidRDefault="0099351E">
            <w:pPr>
              <w:rPr>
                <w:rFonts w:ascii="Georgia" w:hAnsi="Georgia"/>
                <w:color w:val="000000"/>
              </w:rPr>
            </w:pPr>
            <w:r>
              <w:rPr>
                <w:rFonts w:ascii="Georgia" w:hAnsi="Georgia"/>
                <w:color w:val="000000"/>
              </w:rPr>
              <w:t>Libramont-Chevigny</w:t>
            </w:r>
          </w:p>
        </w:tc>
      </w:tr>
      <w:tr w:rsidR="00F04EEF">
        <w:tc>
          <w:tcPr>
            <w:tcW w:w="3543" w:type="dxa"/>
            <w:vAlign w:val="bottom"/>
          </w:tcPr>
          <w:p w:rsidR="00F04EEF" w:rsidRDefault="0099351E">
            <w:pPr>
              <w:rPr>
                <w:rFonts w:ascii="Georgia" w:hAnsi="Georgia"/>
                <w:color w:val="000000"/>
              </w:rPr>
            </w:pPr>
            <w:r>
              <w:rPr>
                <w:rFonts w:ascii="Georgia" w:hAnsi="Georgia"/>
                <w:color w:val="000000"/>
              </w:rPr>
              <w:t>Bastogne</w:t>
            </w:r>
          </w:p>
        </w:tc>
        <w:tc>
          <w:tcPr>
            <w:tcW w:w="3827" w:type="dxa"/>
            <w:vAlign w:val="bottom"/>
          </w:tcPr>
          <w:p w:rsidR="00F04EEF" w:rsidRDefault="0099351E">
            <w:pPr>
              <w:rPr>
                <w:rFonts w:ascii="Georgia" w:hAnsi="Georgia"/>
                <w:color w:val="000000"/>
              </w:rPr>
            </w:pPr>
            <w:r>
              <w:rPr>
                <w:rFonts w:ascii="Georgia" w:hAnsi="Georgia"/>
                <w:color w:val="000000"/>
              </w:rPr>
              <w:t>Liège</w:t>
            </w:r>
          </w:p>
        </w:tc>
      </w:tr>
      <w:tr w:rsidR="00F04EEF">
        <w:tc>
          <w:tcPr>
            <w:tcW w:w="3543" w:type="dxa"/>
            <w:vAlign w:val="bottom"/>
          </w:tcPr>
          <w:p w:rsidR="00F04EEF" w:rsidRDefault="0099351E">
            <w:pPr>
              <w:rPr>
                <w:rFonts w:ascii="Georgia" w:hAnsi="Georgia"/>
                <w:color w:val="000000"/>
              </w:rPr>
            </w:pPr>
            <w:r>
              <w:rPr>
                <w:rFonts w:ascii="Georgia" w:hAnsi="Georgia"/>
                <w:color w:val="000000"/>
              </w:rPr>
              <w:t>Beaumont</w:t>
            </w:r>
          </w:p>
        </w:tc>
        <w:tc>
          <w:tcPr>
            <w:tcW w:w="3827" w:type="dxa"/>
            <w:vAlign w:val="bottom"/>
          </w:tcPr>
          <w:p w:rsidR="00F04EEF" w:rsidRDefault="0099351E">
            <w:pPr>
              <w:rPr>
                <w:rFonts w:ascii="Georgia" w:hAnsi="Georgia"/>
                <w:color w:val="000000"/>
              </w:rPr>
            </w:pPr>
            <w:r>
              <w:rPr>
                <w:rFonts w:ascii="Georgia" w:hAnsi="Georgia"/>
                <w:color w:val="000000"/>
              </w:rPr>
              <w:t>Liège</w:t>
            </w:r>
          </w:p>
        </w:tc>
      </w:tr>
      <w:tr w:rsidR="00F04EEF">
        <w:tc>
          <w:tcPr>
            <w:tcW w:w="3543" w:type="dxa"/>
            <w:vAlign w:val="bottom"/>
          </w:tcPr>
          <w:p w:rsidR="00F04EEF" w:rsidRDefault="0099351E">
            <w:pPr>
              <w:rPr>
                <w:rFonts w:ascii="Georgia" w:hAnsi="Georgia"/>
                <w:color w:val="000000"/>
              </w:rPr>
            </w:pPr>
            <w:r>
              <w:rPr>
                <w:rFonts w:ascii="Georgia" w:hAnsi="Georgia"/>
                <w:color w:val="000000"/>
              </w:rPr>
              <w:t>Beauraing</w:t>
            </w:r>
          </w:p>
        </w:tc>
        <w:tc>
          <w:tcPr>
            <w:tcW w:w="3827" w:type="dxa"/>
            <w:vAlign w:val="bottom"/>
          </w:tcPr>
          <w:p w:rsidR="00F04EEF" w:rsidRDefault="0099351E">
            <w:pPr>
              <w:rPr>
                <w:rFonts w:ascii="Georgia" w:hAnsi="Georgia"/>
                <w:color w:val="000000"/>
              </w:rPr>
            </w:pPr>
            <w:r>
              <w:rPr>
                <w:rFonts w:ascii="Georgia" w:hAnsi="Georgia"/>
                <w:color w:val="000000"/>
              </w:rPr>
              <w:t>Lierneux</w:t>
            </w:r>
          </w:p>
        </w:tc>
      </w:tr>
      <w:tr w:rsidR="00F04EEF">
        <w:tc>
          <w:tcPr>
            <w:tcW w:w="3543" w:type="dxa"/>
            <w:vAlign w:val="bottom"/>
          </w:tcPr>
          <w:p w:rsidR="00F04EEF" w:rsidRDefault="0099351E">
            <w:pPr>
              <w:rPr>
                <w:rFonts w:ascii="Georgia" w:hAnsi="Georgia"/>
                <w:color w:val="000000"/>
              </w:rPr>
            </w:pPr>
            <w:r>
              <w:rPr>
                <w:rFonts w:ascii="Georgia" w:hAnsi="Georgia"/>
                <w:color w:val="000000"/>
              </w:rPr>
              <w:t>Beauvechain</w:t>
            </w:r>
          </w:p>
        </w:tc>
        <w:tc>
          <w:tcPr>
            <w:tcW w:w="3827" w:type="dxa"/>
            <w:vAlign w:val="bottom"/>
          </w:tcPr>
          <w:p w:rsidR="00F04EEF" w:rsidRDefault="0099351E">
            <w:pPr>
              <w:rPr>
                <w:rFonts w:ascii="Georgia" w:hAnsi="Georgia"/>
                <w:color w:val="000000"/>
              </w:rPr>
            </w:pPr>
            <w:r>
              <w:rPr>
                <w:rFonts w:ascii="Georgia" w:hAnsi="Georgia"/>
                <w:color w:val="000000"/>
              </w:rPr>
              <w:t>Limbourg</w:t>
            </w:r>
          </w:p>
        </w:tc>
      </w:tr>
      <w:tr w:rsidR="00F04EEF">
        <w:tc>
          <w:tcPr>
            <w:tcW w:w="3543" w:type="dxa"/>
            <w:vAlign w:val="bottom"/>
          </w:tcPr>
          <w:p w:rsidR="00F04EEF" w:rsidRDefault="0099351E">
            <w:pPr>
              <w:rPr>
                <w:rFonts w:ascii="Georgia" w:hAnsi="Georgia"/>
                <w:color w:val="000000"/>
              </w:rPr>
            </w:pPr>
            <w:r>
              <w:rPr>
                <w:rFonts w:ascii="Georgia" w:hAnsi="Georgia"/>
                <w:color w:val="000000"/>
              </w:rPr>
              <w:t>Beloeil</w:t>
            </w:r>
          </w:p>
        </w:tc>
        <w:tc>
          <w:tcPr>
            <w:tcW w:w="3827" w:type="dxa"/>
            <w:vAlign w:val="bottom"/>
          </w:tcPr>
          <w:p w:rsidR="00F04EEF" w:rsidRDefault="0099351E">
            <w:pPr>
              <w:rPr>
                <w:rFonts w:ascii="Georgia" w:hAnsi="Georgia"/>
                <w:color w:val="000000"/>
              </w:rPr>
            </w:pPr>
            <w:r>
              <w:rPr>
                <w:rFonts w:ascii="Georgia" w:hAnsi="Georgia"/>
                <w:color w:val="000000"/>
              </w:rPr>
              <w:t>Lincent</w:t>
            </w:r>
          </w:p>
        </w:tc>
      </w:tr>
      <w:tr w:rsidR="00F04EEF">
        <w:tc>
          <w:tcPr>
            <w:tcW w:w="3543" w:type="dxa"/>
            <w:vAlign w:val="bottom"/>
          </w:tcPr>
          <w:p w:rsidR="00F04EEF" w:rsidRDefault="0099351E">
            <w:pPr>
              <w:rPr>
                <w:rFonts w:ascii="Georgia" w:hAnsi="Georgia"/>
                <w:color w:val="000000"/>
              </w:rPr>
            </w:pPr>
            <w:r>
              <w:rPr>
                <w:rFonts w:ascii="Georgia" w:hAnsi="Georgia"/>
                <w:color w:val="000000"/>
              </w:rPr>
              <w:t>Berchem-Sainte-Agathe</w:t>
            </w:r>
          </w:p>
        </w:tc>
        <w:tc>
          <w:tcPr>
            <w:tcW w:w="3827" w:type="dxa"/>
            <w:vAlign w:val="bottom"/>
          </w:tcPr>
          <w:p w:rsidR="00F04EEF" w:rsidRDefault="0099351E">
            <w:pPr>
              <w:rPr>
                <w:rFonts w:ascii="Georgia" w:hAnsi="Georgia"/>
                <w:color w:val="000000"/>
              </w:rPr>
            </w:pPr>
            <w:r>
              <w:rPr>
                <w:rFonts w:ascii="Georgia" w:hAnsi="Georgia"/>
                <w:color w:val="000000"/>
              </w:rPr>
              <w:t>Lobbes</w:t>
            </w:r>
          </w:p>
        </w:tc>
      </w:tr>
      <w:tr w:rsidR="00F04EEF">
        <w:tc>
          <w:tcPr>
            <w:tcW w:w="3543" w:type="dxa"/>
            <w:vAlign w:val="bottom"/>
          </w:tcPr>
          <w:p w:rsidR="00F04EEF" w:rsidRDefault="0099351E">
            <w:pPr>
              <w:rPr>
                <w:rFonts w:ascii="Georgia" w:hAnsi="Georgia"/>
                <w:color w:val="000000"/>
              </w:rPr>
            </w:pPr>
            <w:r>
              <w:rPr>
                <w:rFonts w:ascii="Georgia" w:hAnsi="Georgia"/>
                <w:color w:val="000000"/>
              </w:rPr>
              <w:t>Berloz</w:t>
            </w:r>
          </w:p>
        </w:tc>
        <w:tc>
          <w:tcPr>
            <w:tcW w:w="3827" w:type="dxa"/>
            <w:vAlign w:val="bottom"/>
          </w:tcPr>
          <w:p w:rsidR="00F04EEF" w:rsidRDefault="0099351E">
            <w:pPr>
              <w:rPr>
                <w:rFonts w:ascii="Georgia" w:hAnsi="Georgia"/>
                <w:color w:val="000000"/>
              </w:rPr>
            </w:pPr>
            <w:r>
              <w:rPr>
                <w:rFonts w:ascii="Georgia" w:hAnsi="Georgia"/>
                <w:color w:val="000000"/>
              </w:rPr>
              <w:t>Lontzen</w:t>
            </w:r>
          </w:p>
        </w:tc>
      </w:tr>
      <w:tr w:rsidR="00F04EEF">
        <w:tc>
          <w:tcPr>
            <w:tcW w:w="3543" w:type="dxa"/>
            <w:vAlign w:val="bottom"/>
          </w:tcPr>
          <w:p w:rsidR="00F04EEF" w:rsidRDefault="0099351E">
            <w:pPr>
              <w:rPr>
                <w:rFonts w:ascii="Georgia" w:hAnsi="Georgia"/>
                <w:color w:val="000000"/>
              </w:rPr>
            </w:pPr>
            <w:r>
              <w:rPr>
                <w:rFonts w:ascii="Georgia" w:hAnsi="Georgia"/>
                <w:color w:val="000000"/>
              </w:rPr>
              <w:t>Bernissart</w:t>
            </w:r>
          </w:p>
        </w:tc>
        <w:tc>
          <w:tcPr>
            <w:tcW w:w="3827" w:type="dxa"/>
            <w:vAlign w:val="bottom"/>
          </w:tcPr>
          <w:p w:rsidR="00F04EEF" w:rsidRDefault="0099351E">
            <w:pPr>
              <w:rPr>
                <w:rFonts w:ascii="Georgia" w:hAnsi="Georgia"/>
                <w:color w:val="000000"/>
              </w:rPr>
            </w:pPr>
            <w:r>
              <w:rPr>
                <w:rFonts w:ascii="Georgia" w:hAnsi="Georgia"/>
                <w:color w:val="000000"/>
              </w:rPr>
              <w:t>Malmedy</w:t>
            </w:r>
          </w:p>
        </w:tc>
      </w:tr>
      <w:tr w:rsidR="00F04EEF">
        <w:tc>
          <w:tcPr>
            <w:tcW w:w="3543" w:type="dxa"/>
            <w:vAlign w:val="bottom"/>
          </w:tcPr>
          <w:p w:rsidR="00F04EEF" w:rsidRDefault="0099351E">
            <w:pPr>
              <w:rPr>
                <w:rFonts w:ascii="Georgia" w:hAnsi="Georgia"/>
                <w:color w:val="000000"/>
              </w:rPr>
            </w:pPr>
            <w:r>
              <w:rPr>
                <w:rFonts w:ascii="Georgia" w:hAnsi="Georgia"/>
                <w:color w:val="000000"/>
              </w:rPr>
              <w:t>Bertogne</w:t>
            </w:r>
          </w:p>
        </w:tc>
        <w:tc>
          <w:tcPr>
            <w:tcW w:w="3827" w:type="dxa"/>
            <w:vAlign w:val="bottom"/>
          </w:tcPr>
          <w:p w:rsidR="00F04EEF" w:rsidRDefault="0099351E">
            <w:pPr>
              <w:rPr>
                <w:rFonts w:ascii="Georgia" w:hAnsi="Georgia"/>
                <w:color w:val="000000"/>
              </w:rPr>
            </w:pPr>
            <w:r>
              <w:rPr>
                <w:rFonts w:ascii="Georgia" w:hAnsi="Georgia"/>
                <w:color w:val="000000"/>
              </w:rPr>
              <w:t>Manage</w:t>
            </w:r>
          </w:p>
        </w:tc>
      </w:tr>
      <w:tr w:rsidR="00F04EEF">
        <w:tc>
          <w:tcPr>
            <w:tcW w:w="3543" w:type="dxa"/>
            <w:vAlign w:val="bottom"/>
          </w:tcPr>
          <w:p w:rsidR="00F04EEF" w:rsidRDefault="0099351E">
            <w:pPr>
              <w:rPr>
                <w:rFonts w:ascii="Georgia" w:hAnsi="Georgia"/>
                <w:color w:val="000000"/>
              </w:rPr>
            </w:pPr>
            <w:r>
              <w:rPr>
                <w:rFonts w:ascii="Georgia" w:hAnsi="Georgia"/>
                <w:color w:val="000000"/>
              </w:rPr>
              <w:t>Bertrix</w:t>
            </w:r>
          </w:p>
        </w:tc>
        <w:tc>
          <w:tcPr>
            <w:tcW w:w="3827" w:type="dxa"/>
            <w:vAlign w:val="bottom"/>
          </w:tcPr>
          <w:p w:rsidR="00F04EEF" w:rsidRDefault="0099351E">
            <w:pPr>
              <w:rPr>
                <w:rFonts w:ascii="Georgia" w:hAnsi="Georgia"/>
                <w:color w:val="000000"/>
              </w:rPr>
            </w:pPr>
            <w:r>
              <w:rPr>
                <w:rFonts w:ascii="Georgia" w:hAnsi="Georgia"/>
                <w:color w:val="000000"/>
              </w:rPr>
              <w:t>Manhay</w:t>
            </w:r>
          </w:p>
        </w:tc>
      </w:tr>
      <w:tr w:rsidR="00F04EEF">
        <w:tc>
          <w:tcPr>
            <w:tcW w:w="3543" w:type="dxa"/>
            <w:vAlign w:val="bottom"/>
          </w:tcPr>
          <w:p w:rsidR="00F04EEF" w:rsidRDefault="0099351E">
            <w:pPr>
              <w:rPr>
                <w:rFonts w:ascii="Georgia" w:hAnsi="Georgia"/>
                <w:color w:val="000000"/>
              </w:rPr>
            </w:pPr>
            <w:r>
              <w:rPr>
                <w:rFonts w:ascii="Georgia" w:hAnsi="Georgia"/>
                <w:color w:val="000000"/>
              </w:rPr>
              <w:t>Beyne-Heusay</w:t>
            </w:r>
          </w:p>
        </w:tc>
        <w:tc>
          <w:tcPr>
            <w:tcW w:w="3827" w:type="dxa"/>
            <w:vAlign w:val="bottom"/>
          </w:tcPr>
          <w:p w:rsidR="00F04EEF" w:rsidRDefault="0099351E">
            <w:pPr>
              <w:rPr>
                <w:rFonts w:ascii="Georgia" w:hAnsi="Georgia"/>
                <w:color w:val="000000"/>
              </w:rPr>
            </w:pPr>
            <w:r>
              <w:rPr>
                <w:rFonts w:ascii="Georgia" w:hAnsi="Georgia"/>
                <w:color w:val="000000"/>
              </w:rPr>
              <w:t>Marche-en-Famenne</w:t>
            </w:r>
          </w:p>
        </w:tc>
      </w:tr>
      <w:tr w:rsidR="00F04EEF">
        <w:tc>
          <w:tcPr>
            <w:tcW w:w="3543" w:type="dxa"/>
            <w:vAlign w:val="bottom"/>
          </w:tcPr>
          <w:p w:rsidR="00F04EEF" w:rsidRDefault="0099351E">
            <w:pPr>
              <w:rPr>
                <w:rFonts w:ascii="Georgia" w:hAnsi="Georgia"/>
                <w:color w:val="000000"/>
              </w:rPr>
            </w:pPr>
            <w:r>
              <w:rPr>
                <w:rFonts w:ascii="Georgia" w:hAnsi="Georgia"/>
                <w:color w:val="000000"/>
              </w:rPr>
              <w:t>Bièvre</w:t>
            </w:r>
          </w:p>
        </w:tc>
        <w:tc>
          <w:tcPr>
            <w:tcW w:w="3827" w:type="dxa"/>
            <w:vAlign w:val="bottom"/>
          </w:tcPr>
          <w:p w:rsidR="00F04EEF" w:rsidRDefault="0099351E">
            <w:pPr>
              <w:rPr>
                <w:rFonts w:ascii="Georgia" w:hAnsi="Georgia"/>
                <w:color w:val="000000"/>
              </w:rPr>
            </w:pPr>
            <w:r>
              <w:rPr>
                <w:rFonts w:ascii="Georgia" w:hAnsi="Georgia"/>
                <w:color w:val="000000"/>
              </w:rPr>
              <w:t>Marchin</w:t>
            </w:r>
          </w:p>
        </w:tc>
      </w:tr>
      <w:tr w:rsidR="00F04EEF">
        <w:tc>
          <w:tcPr>
            <w:tcW w:w="3543" w:type="dxa"/>
            <w:vAlign w:val="bottom"/>
          </w:tcPr>
          <w:p w:rsidR="00F04EEF" w:rsidRDefault="0099351E">
            <w:pPr>
              <w:rPr>
                <w:rFonts w:ascii="Georgia" w:hAnsi="Georgia"/>
                <w:color w:val="000000"/>
              </w:rPr>
            </w:pPr>
            <w:r>
              <w:rPr>
                <w:rFonts w:ascii="Georgia" w:hAnsi="Georgia"/>
                <w:color w:val="000000"/>
              </w:rPr>
              <w:t>Binche</w:t>
            </w:r>
          </w:p>
        </w:tc>
        <w:tc>
          <w:tcPr>
            <w:tcW w:w="3827" w:type="dxa"/>
            <w:vAlign w:val="bottom"/>
          </w:tcPr>
          <w:p w:rsidR="00F04EEF" w:rsidRDefault="0099351E">
            <w:pPr>
              <w:rPr>
                <w:rFonts w:ascii="Georgia" w:hAnsi="Georgia"/>
                <w:color w:val="000000"/>
              </w:rPr>
            </w:pPr>
            <w:r>
              <w:rPr>
                <w:rFonts w:ascii="Georgia" w:hAnsi="Georgia"/>
                <w:color w:val="000000"/>
              </w:rPr>
              <w:t>Martelange</w:t>
            </w:r>
          </w:p>
        </w:tc>
      </w:tr>
      <w:tr w:rsidR="00F04EEF">
        <w:tc>
          <w:tcPr>
            <w:tcW w:w="3543" w:type="dxa"/>
            <w:vAlign w:val="bottom"/>
          </w:tcPr>
          <w:p w:rsidR="00F04EEF" w:rsidRDefault="0099351E">
            <w:pPr>
              <w:rPr>
                <w:rFonts w:ascii="Georgia" w:hAnsi="Georgia"/>
                <w:color w:val="000000"/>
              </w:rPr>
            </w:pPr>
            <w:r>
              <w:rPr>
                <w:rFonts w:ascii="Georgia" w:hAnsi="Georgia"/>
                <w:color w:val="000000"/>
              </w:rPr>
              <w:t>Blégny</w:t>
            </w:r>
          </w:p>
        </w:tc>
        <w:tc>
          <w:tcPr>
            <w:tcW w:w="3827" w:type="dxa"/>
            <w:vAlign w:val="bottom"/>
          </w:tcPr>
          <w:p w:rsidR="00F04EEF" w:rsidRDefault="0099351E">
            <w:pPr>
              <w:rPr>
                <w:rFonts w:ascii="Georgia" w:hAnsi="Georgia"/>
                <w:color w:val="000000"/>
              </w:rPr>
            </w:pPr>
            <w:r>
              <w:rPr>
                <w:rFonts w:ascii="Georgia" w:hAnsi="Georgia"/>
                <w:color w:val="000000"/>
              </w:rPr>
              <w:t>Meix-devant-Virton</w:t>
            </w:r>
          </w:p>
        </w:tc>
      </w:tr>
      <w:tr w:rsidR="00F04EEF">
        <w:tc>
          <w:tcPr>
            <w:tcW w:w="3543" w:type="dxa"/>
            <w:vAlign w:val="bottom"/>
          </w:tcPr>
          <w:p w:rsidR="00F04EEF" w:rsidRDefault="0099351E">
            <w:pPr>
              <w:rPr>
                <w:rFonts w:ascii="Georgia" w:hAnsi="Georgia"/>
                <w:color w:val="000000"/>
              </w:rPr>
            </w:pPr>
            <w:r>
              <w:rPr>
                <w:rFonts w:ascii="Georgia" w:hAnsi="Georgia"/>
                <w:color w:val="000000"/>
              </w:rPr>
              <w:t>Bouillon</w:t>
            </w:r>
          </w:p>
        </w:tc>
        <w:tc>
          <w:tcPr>
            <w:tcW w:w="3827" w:type="dxa"/>
            <w:vAlign w:val="bottom"/>
          </w:tcPr>
          <w:p w:rsidR="00F04EEF" w:rsidRDefault="0099351E">
            <w:pPr>
              <w:rPr>
                <w:rFonts w:ascii="Georgia" w:hAnsi="Georgia"/>
                <w:color w:val="000000"/>
              </w:rPr>
            </w:pPr>
            <w:r>
              <w:rPr>
                <w:rFonts w:ascii="Georgia" w:hAnsi="Georgia"/>
                <w:color w:val="000000"/>
              </w:rPr>
              <w:t>Merbes-le-Château</w:t>
            </w:r>
          </w:p>
        </w:tc>
      </w:tr>
      <w:tr w:rsidR="00F04EEF">
        <w:tc>
          <w:tcPr>
            <w:tcW w:w="3543" w:type="dxa"/>
            <w:vAlign w:val="bottom"/>
          </w:tcPr>
          <w:p w:rsidR="00F04EEF" w:rsidRDefault="0099351E">
            <w:pPr>
              <w:rPr>
                <w:rFonts w:ascii="Georgia" w:hAnsi="Georgia"/>
                <w:color w:val="000000"/>
              </w:rPr>
            </w:pPr>
            <w:r>
              <w:rPr>
                <w:rFonts w:ascii="Georgia" w:hAnsi="Georgia"/>
                <w:color w:val="000000"/>
              </w:rPr>
              <w:t>Boussu</w:t>
            </w:r>
          </w:p>
        </w:tc>
        <w:tc>
          <w:tcPr>
            <w:tcW w:w="3827" w:type="dxa"/>
            <w:vAlign w:val="bottom"/>
          </w:tcPr>
          <w:p w:rsidR="00F04EEF" w:rsidRDefault="0099351E">
            <w:pPr>
              <w:rPr>
                <w:rFonts w:ascii="Georgia" w:hAnsi="Georgia"/>
                <w:color w:val="000000"/>
              </w:rPr>
            </w:pPr>
            <w:r>
              <w:rPr>
                <w:rFonts w:ascii="Georgia" w:hAnsi="Georgia"/>
                <w:color w:val="000000"/>
              </w:rPr>
              <w:t>Messancy</w:t>
            </w:r>
          </w:p>
        </w:tc>
      </w:tr>
      <w:tr w:rsidR="00F04EEF">
        <w:tc>
          <w:tcPr>
            <w:tcW w:w="3543" w:type="dxa"/>
            <w:vAlign w:val="bottom"/>
          </w:tcPr>
          <w:p w:rsidR="00F04EEF" w:rsidRDefault="0099351E">
            <w:pPr>
              <w:rPr>
                <w:rFonts w:ascii="Georgia" w:hAnsi="Georgia"/>
                <w:color w:val="000000"/>
              </w:rPr>
            </w:pPr>
            <w:r>
              <w:rPr>
                <w:rFonts w:ascii="Georgia" w:hAnsi="Georgia"/>
                <w:color w:val="000000"/>
              </w:rPr>
              <w:t>Braine-l'Alleud</w:t>
            </w:r>
          </w:p>
        </w:tc>
        <w:tc>
          <w:tcPr>
            <w:tcW w:w="3827" w:type="dxa"/>
            <w:vAlign w:val="bottom"/>
          </w:tcPr>
          <w:p w:rsidR="00F04EEF" w:rsidRDefault="0099351E">
            <w:pPr>
              <w:rPr>
                <w:rFonts w:ascii="Georgia" w:hAnsi="Georgia"/>
                <w:color w:val="000000"/>
              </w:rPr>
            </w:pPr>
            <w:r>
              <w:rPr>
                <w:rFonts w:ascii="Georgia" w:hAnsi="Georgia"/>
                <w:color w:val="000000"/>
              </w:rPr>
              <w:t>Mettet</w:t>
            </w:r>
          </w:p>
        </w:tc>
      </w:tr>
      <w:tr w:rsidR="00F04EEF">
        <w:tc>
          <w:tcPr>
            <w:tcW w:w="3543" w:type="dxa"/>
            <w:vAlign w:val="bottom"/>
          </w:tcPr>
          <w:p w:rsidR="00F04EEF" w:rsidRDefault="0099351E">
            <w:pPr>
              <w:rPr>
                <w:rFonts w:ascii="Georgia" w:hAnsi="Georgia"/>
                <w:color w:val="000000"/>
              </w:rPr>
            </w:pPr>
            <w:r>
              <w:rPr>
                <w:rFonts w:ascii="Georgia" w:hAnsi="Georgia"/>
                <w:color w:val="000000"/>
              </w:rPr>
              <w:t>Braine-le-Château</w:t>
            </w:r>
          </w:p>
        </w:tc>
        <w:tc>
          <w:tcPr>
            <w:tcW w:w="3827" w:type="dxa"/>
            <w:vAlign w:val="bottom"/>
          </w:tcPr>
          <w:p w:rsidR="00F04EEF" w:rsidRDefault="0099351E">
            <w:pPr>
              <w:rPr>
                <w:rFonts w:ascii="Georgia" w:hAnsi="Georgia"/>
                <w:color w:val="000000"/>
              </w:rPr>
            </w:pPr>
            <w:r>
              <w:rPr>
                <w:rFonts w:ascii="Georgia" w:hAnsi="Georgia"/>
                <w:color w:val="000000"/>
              </w:rPr>
              <w:t>Modave</w:t>
            </w:r>
          </w:p>
        </w:tc>
      </w:tr>
      <w:tr w:rsidR="00F04EEF">
        <w:tc>
          <w:tcPr>
            <w:tcW w:w="3543" w:type="dxa"/>
            <w:vAlign w:val="bottom"/>
          </w:tcPr>
          <w:p w:rsidR="00F04EEF" w:rsidRDefault="0099351E">
            <w:pPr>
              <w:rPr>
                <w:rFonts w:ascii="Georgia" w:hAnsi="Georgia"/>
                <w:color w:val="000000"/>
              </w:rPr>
            </w:pPr>
            <w:r>
              <w:rPr>
                <w:rFonts w:ascii="Georgia" w:hAnsi="Georgia"/>
                <w:color w:val="000000"/>
              </w:rPr>
              <w:t>Braine-le-Comte</w:t>
            </w:r>
          </w:p>
        </w:tc>
        <w:tc>
          <w:tcPr>
            <w:tcW w:w="3827" w:type="dxa"/>
            <w:vAlign w:val="bottom"/>
          </w:tcPr>
          <w:p w:rsidR="00F04EEF" w:rsidRDefault="0099351E">
            <w:pPr>
              <w:rPr>
                <w:rFonts w:ascii="Georgia" w:hAnsi="Georgia"/>
                <w:color w:val="000000"/>
              </w:rPr>
            </w:pPr>
            <w:r>
              <w:rPr>
                <w:rFonts w:ascii="Georgia" w:hAnsi="Georgia"/>
                <w:color w:val="000000"/>
              </w:rPr>
              <w:t>Molenbeek-Saint-Jean</w:t>
            </w:r>
          </w:p>
        </w:tc>
      </w:tr>
      <w:tr w:rsidR="00F04EEF">
        <w:tc>
          <w:tcPr>
            <w:tcW w:w="3543" w:type="dxa"/>
            <w:vAlign w:val="bottom"/>
          </w:tcPr>
          <w:p w:rsidR="00F04EEF" w:rsidRDefault="0099351E">
            <w:pPr>
              <w:rPr>
                <w:rFonts w:ascii="Georgia" w:hAnsi="Georgia"/>
                <w:color w:val="000000"/>
              </w:rPr>
            </w:pPr>
            <w:r>
              <w:rPr>
                <w:rFonts w:ascii="Georgia" w:hAnsi="Georgia"/>
                <w:color w:val="000000"/>
              </w:rPr>
              <w:t>Braives</w:t>
            </w:r>
          </w:p>
        </w:tc>
        <w:tc>
          <w:tcPr>
            <w:tcW w:w="3827" w:type="dxa"/>
            <w:vAlign w:val="bottom"/>
          </w:tcPr>
          <w:p w:rsidR="00F04EEF" w:rsidRDefault="0099351E">
            <w:pPr>
              <w:rPr>
                <w:rFonts w:ascii="Georgia" w:hAnsi="Georgia"/>
                <w:color w:val="000000"/>
              </w:rPr>
            </w:pPr>
            <w:r>
              <w:rPr>
                <w:rFonts w:ascii="Georgia" w:hAnsi="Georgia"/>
                <w:color w:val="000000"/>
              </w:rPr>
              <w:t>Momignies</w:t>
            </w:r>
          </w:p>
        </w:tc>
      </w:tr>
      <w:tr w:rsidR="00F04EEF">
        <w:tc>
          <w:tcPr>
            <w:tcW w:w="3543" w:type="dxa"/>
            <w:vAlign w:val="bottom"/>
          </w:tcPr>
          <w:p w:rsidR="00F04EEF" w:rsidRDefault="0099351E">
            <w:pPr>
              <w:rPr>
                <w:rFonts w:ascii="Georgia" w:hAnsi="Georgia"/>
                <w:color w:val="000000"/>
              </w:rPr>
            </w:pPr>
            <w:r>
              <w:rPr>
                <w:rFonts w:ascii="Georgia" w:hAnsi="Georgia"/>
                <w:color w:val="000000"/>
              </w:rPr>
              <w:t>Brugelette</w:t>
            </w:r>
          </w:p>
        </w:tc>
        <w:tc>
          <w:tcPr>
            <w:tcW w:w="3827" w:type="dxa"/>
            <w:vAlign w:val="bottom"/>
          </w:tcPr>
          <w:p w:rsidR="00F04EEF" w:rsidRDefault="0099351E">
            <w:pPr>
              <w:rPr>
                <w:rFonts w:ascii="Georgia" w:hAnsi="Georgia"/>
                <w:color w:val="000000"/>
              </w:rPr>
            </w:pPr>
            <w:r>
              <w:rPr>
                <w:rFonts w:ascii="Georgia" w:hAnsi="Georgia"/>
                <w:color w:val="000000"/>
              </w:rPr>
              <w:t>Mons</w:t>
            </w:r>
          </w:p>
        </w:tc>
      </w:tr>
      <w:tr w:rsidR="00F04EEF">
        <w:tc>
          <w:tcPr>
            <w:tcW w:w="3543" w:type="dxa"/>
            <w:vAlign w:val="bottom"/>
          </w:tcPr>
          <w:p w:rsidR="00F04EEF" w:rsidRDefault="0099351E">
            <w:pPr>
              <w:rPr>
                <w:rFonts w:ascii="Georgia" w:hAnsi="Georgia"/>
                <w:color w:val="000000"/>
              </w:rPr>
            </w:pPr>
            <w:r>
              <w:rPr>
                <w:rFonts w:ascii="Georgia" w:hAnsi="Georgia"/>
                <w:color w:val="000000"/>
              </w:rPr>
              <w:t>Brunehaut</w:t>
            </w:r>
          </w:p>
        </w:tc>
        <w:tc>
          <w:tcPr>
            <w:tcW w:w="3827" w:type="dxa"/>
            <w:vAlign w:val="bottom"/>
          </w:tcPr>
          <w:p w:rsidR="00F04EEF" w:rsidRDefault="0099351E">
            <w:pPr>
              <w:rPr>
                <w:rFonts w:ascii="Georgia" w:hAnsi="Georgia"/>
                <w:color w:val="000000"/>
              </w:rPr>
            </w:pPr>
            <w:r>
              <w:rPr>
                <w:rFonts w:ascii="Georgia" w:hAnsi="Georgia"/>
                <w:color w:val="000000"/>
              </w:rPr>
              <w:t>Mont-de-l'Enclus</w:t>
            </w:r>
          </w:p>
        </w:tc>
      </w:tr>
      <w:tr w:rsidR="00F04EEF">
        <w:tc>
          <w:tcPr>
            <w:tcW w:w="3543" w:type="dxa"/>
            <w:vAlign w:val="bottom"/>
          </w:tcPr>
          <w:p w:rsidR="00F04EEF" w:rsidRDefault="0099351E">
            <w:pPr>
              <w:rPr>
                <w:rFonts w:ascii="Georgia" w:hAnsi="Georgia"/>
                <w:color w:val="000000"/>
              </w:rPr>
            </w:pPr>
            <w:r>
              <w:rPr>
                <w:rFonts w:ascii="Georgia" w:hAnsi="Georgia"/>
                <w:color w:val="000000"/>
              </w:rPr>
              <w:t>Bruxelles</w:t>
            </w:r>
          </w:p>
        </w:tc>
        <w:tc>
          <w:tcPr>
            <w:tcW w:w="3827" w:type="dxa"/>
            <w:vAlign w:val="bottom"/>
          </w:tcPr>
          <w:p w:rsidR="00F04EEF" w:rsidRDefault="0099351E">
            <w:pPr>
              <w:rPr>
                <w:rFonts w:ascii="Georgia" w:hAnsi="Georgia"/>
                <w:color w:val="000000"/>
              </w:rPr>
            </w:pPr>
            <w:r>
              <w:rPr>
                <w:rFonts w:ascii="Georgia" w:hAnsi="Georgia"/>
                <w:color w:val="000000"/>
              </w:rPr>
              <w:t>Mont-Saint-Guibert</w:t>
            </w:r>
          </w:p>
        </w:tc>
      </w:tr>
      <w:tr w:rsidR="00F04EEF">
        <w:tc>
          <w:tcPr>
            <w:tcW w:w="3543" w:type="dxa"/>
            <w:vAlign w:val="bottom"/>
          </w:tcPr>
          <w:p w:rsidR="00F04EEF" w:rsidRDefault="0099351E">
            <w:pPr>
              <w:rPr>
                <w:rFonts w:ascii="Georgia" w:hAnsi="Georgia"/>
                <w:color w:val="000000"/>
              </w:rPr>
            </w:pPr>
            <w:r>
              <w:rPr>
                <w:rFonts w:ascii="Georgia" w:hAnsi="Georgia"/>
                <w:color w:val="000000"/>
              </w:rPr>
              <w:t>Bullange</w:t>
            </w:r>
          </w:p>
        </w:tc>
        <w:tc>
          <w:tcPr>
            <w:tcW w:w="3827" w:type="dxa"/>
            <w:vAlign w:val="bottom"/>
          </w:tcPr>
          <w:p w:rsidR="00F04EEF" w:rsidRDefault="0099351E">
            <w:pPr>
              <w:rPr>
                <w:rFonts w:ascii="Georgia" w:hAnsi="Georgia"/>
                <w:color w:val="000000"/>
              </w:rPr>
            </w:pPr>
            <w:r>
              <w:rPr>
                <w:rFonts w:ascii="Georgia" w:hAnsi="Georgia"/>
                <w:color w:val="000000"/>
              </w:rPr>
              <w:t>Montigny-le-Tilleul</w:t>
            </w:r>
          </w:p>
        </w:tc>
      </w:tr>
      <w:tr w:rsidR="00F04EEF">
        <w:tc>
          <w:tcPr>
            <w:tcW w:w="3543" w:type="dxa"/>
            <w:vAlign w:val="bottom"/>
          </w:tcPr>
          <w:p w:rsidR="00F04EEF" w:rsidRDefault="0099351E">
            <w:pPr>
              <w:rPr>
                <w:rFonts w:ascii="Georgia" w:hAnsi="Georgia"/>
                <w:color w:val="000000"/>
              </w:rPr>
            </w:pPr>
            <w:r>
              <w:rPr>
                <w:rFonts w:ascii="Georgia" w:hAnsi="Georgia"/>
                <w:color w:val="000000"/>
              </w:rPr>
              <w:t>Burdinne</w:t>
            </w:r>
          </w:p>
        </w:tc>
        <w:tc>
          <w:tcPr>
            <w:tcW w:w="3827" w:type="dxa"/>
            <w:vAlign w:val="bottom"/>
          </w:tcPr>
          <w:p w:rsidR="00F04EEF" w:rsidRDefault="0099351E">
            <w:pPr>
              <w:rPr>
                <w:rFonts w:ascii="Georgia" w:hAnsi="Georgia"/>
                <w:color w:val="000000"/>
              </w:rPr>
            </w:pPr>
            <w:r>
              <w:rPr>
                <w:rFonts w:ascii="Georgia" w:hAnsi="Georgia"/>
                <w:color w:val="000000"/>
              </w:rPr>
              <w:t>Morlanwelz</w:t>
            </w:r>
          </w:p>
        </w:tc>
      </w:tr>
      <w:tr w:rsidR="00F04EEF">
        <w:tc>
          <w:tcPr>
            <w:tcW w:w="3543" w:type="dxa"/>
            <w:vAlign w:val="bottom"/>
          </w:tcPr>
          <w:p w:rsidR="00F04EEF" w:rsidRDefault="0099351E">
            <w:pPr>
              <w:rPr>
                <w:rFonts w:ascii="Georgia" w:hAnsi="Georgia"/>
                <w:color w:val="000000"/>
              </w:rPr>
            </w:pPr>
            <w:r>
              <w:rPr>
                <w:rFonts w:ascii="Georgia" w:hAnsi="Georgia"/>
                <w:color w:val="000000"/>
              </w:rPr>
              <w:t>Burg-Reuland</w:t>
            </w:r>
          </w:p>
        </w:tc>
        <w:tc>
          <w:tcPr>
            <w:tcW w:w="3827" w:type="dxa"/>
            <w:vAlign w:val="bottom"/>
          </w:tcPr>
          <w:p w:rsidR="00F04EEF" w:rsidRDefault="0099351E">
            <w:pPr>
              <w:rPr>
                <w:rFonts w:ascii="Georgia" w:hAnsi="Georgia"/>
                <w:color w:val="000000"/>
              </w:rPr>
            </w:pPr>
            <w:r>
              <w:rPr>
                <w:rFonts w:ascii="Georgia" w:hAnsi="Georgia"/>
                <w:color w:val="000000"/>
              </w:rPr>
              <w:t>Mouscron</w:t>
            </w:r>
          </w:p>
        </w:tc>
      </w:tr>
      <w:tr w:rsidR="00F04EEF">
        <w:tc>
          <w:tcPr>
            <w:tcW w:w="3543" w:type="dxa"/>
            <w:vAlign w:val="bottom"/>
          </w:tcPr>
          <w:p w:rsidR="00F04EEF" w:rsidRDefault="0099351E">
            <w:pPr>
              <w:rPr>
                <w:rFonts w:ascii="Georgia" w:hAnsi="Georgia"/>
                <w:color w:val="000000"/>
              </w:rPr>
            </w:pPr>
            <w:r>
              <w:rPr>
                <w:rFonts w:ascii="Georgia" w:hAnsi="Georgia"/>
                <w:color w:val="000000"/>
              </w:rPr>
              <w:t>Butgenbach</w:t>
            </w:r>
          </w:p>
        </w:tc>
        <w:tc>
          <w:tcPr>
            <w:tcW w:w="3827" w:type="dxa"/>
            <w:vAlign w:val="bottom"/>
          </w:tcPr>
          <w:p w:rsidR="00F04EEF" w:rsidRDefault="0099351E">
            <w:pPr>
              <w:rPr>
                <w:rFonts w:ascii="Georgia" w:hAnsi="Georgia"/>
                <w:color w:val="000000"/>
              </w:rPr>
            </w:pPr>
            <w:r>
              <w:rPr>
                <w:rFonts w:ascii="Georgia" w:hAnsi="Georgia"/>
                <w:color w:val="000000"/>
              </w:rPr>
              <w:t>Musson</w:t>
            </w:r>
          </w:p>
        </w:tc>
      </w:tr>
      <w:tr w:rsidR="00F04EEF">
        <w:tc>
          <w:tcPr>
            <w:tcW w:w="3543" w:type="dxa"/>
            <w:vAlign w:val="bottom"/>
          </w:tcPr>
          <w:p w:rsidR="00F04EEF" w:rsidRDefault="0099351E">
            <w:pPr>
              <w:rPr>
                <w:rFonts w:ascii="Georgia" w:hAnsi="Georgia"/>
                <w:color w:val="000000"/>
              </w:rPr>
            </w:pPr>
            <w:r>
              <w:rPr>
                <w:rFonts w:ascii="Georgia" w:hAnsi="Georgia"/>
                <w:color w:val="000000"/>
              </w:rPr>
              <w:t>Celles</w:t>
            </w:r>
          </w:p>
        </w:tc>
        <w:tc>
          <w:tcPr>
            <w:tcW w:w="3827" w:type="dxa"/>
            <w:vAlign w:val="bottom"/>
          </w:tcPr>
          <w:p w:rsidR="00F04EEF" w:rsidRDefault="0099351E">
            <w:pPr>
              <w:rPr>
                <w:rFonts w:ascii="Georgia" w:hAnsi="Georgia"/>
                <w:color w:val="000000"/>
              </w:rPr>
            </w:pPr>
            <w:r>
              <w:rPr>
                <w:rFonts w:ascii="Georgia" w:hAnsi="Georgia"/>
                <w:color w:val="000000"/>
              </w:rPr>
              <w:t>Namur</w:t>
            </w:r>
          </w:p>
        </w:tc>
      </w:tr>
      <w:tr w:rsidR="00F04EEF">
        <w:tc>
          <w:tcPr>
            <w:tcW w:w="3543" w:type="dxa"/>
            <w:vAlign w:val="bottom"/>
          </w:tcPr>
          <w:p w:rsidR="00F04EEF" w:rsidRDefault="0099351E">
            <w:pPr>
              <w:rPr>
                <w:rFonts w:ascii="Georgia" w:hAnsi="Georgia"/>
                <w:color w:val="000000"/>
              </w:rPr>
            </w:pPr>
            <w:r>
              <w:rPr>
                <w:rFonts w:ascii="Georgia" w:hAnsi="Georgia"/>
                <w:color w:val="000000"/>
              </w:rPr>
              <w:t>Cerfontaine</w:t>
            </w:r>
          </w:p>
        </w:tc>
        <w:tc>
          <w:tcPr>
            <w:tcW w:w="3827" w:type="dxa"/>
            <w:vAlign w:val="bottom"/>
          </w:tcPr>
          <w:p w:rsidR="00F04EEF" w:rsidRDefault="0099351E">
            <w:pPr>
              <w:rPr>
                <w:rFonts w:ascii="Georgia" w:hAnsi="Georgia"/>
                <w:color w:val="000000"/>
              </w:rPr>
            </w:pPr>
            <w:r>
              <w:rPr>
                <w:rFonts w:ascii="Georgia" w:hAnsi="Georgia"/>
                <w:color w:val="000000"/>
              </w:rPr>
              <w:t>Nandrin</w:t>
            </w:r>
          </w:p>
        </w:tc>
      </w:tr>
      <w:tr w:rsidR="00F04EEF">
        <w:tc>
          <w:tcPr>
            <w:tcW w:w="3543" w:type="dxa"/>
            <w:vAlign w:val="bottom"/>
          </w:tcPr>
          <w:p w:rsidR="00F04EEF" w:rsidRDefault="0099351E">
            <w:pPr>
              <w:rPr>
                <w:rFonts w:ascii="Georgia" w:hAnsi="Georgia"/>
                <w:color w:val="000000"/>
              </w:rPr>
            </w:pPr>
            <w:r>
              <w:rPr>
                <w:rFonts w:ascii="Georgia" w:hAnsi="Georgia"/>
                <w:color w:val="000000"/>
              </w:rPr>
              <w:t>Chapelle-lez-Herlaimont</w:t>
            </w:r>
          </w:p>
        </w:tc>
        <w:tc>
          <w:tcPr>
            <w:tcW w:w="3827" w:type="dxa"/>
            <w:vAlign w:val="bottom"/>
          </w:tcPr>
          <w:p w:rsidR="00F04EEF" w:rsidRDefault="0099351E">
            <w:pPr>
              <w:rPr>
                <w:rFonts w:ascii="Georgia" w:hAnsi="Georgia"/>
                <w:color w:val="000000"/>
              </w:rPr>
            </w:pPr>
            <w:r>
              <w:rPr>
                <w:rFonts w:ascii="Georgia" w:hAnsi="Georgia"/>
                <w:color w:val="000000"/>
              </w:rPr>
              <w:t>Nassogne</w:t>
            </w:r>
          </w:p>
        </w:tc>
      </w:tr>
      <w:tr w:rsidR="00F04EEF">
        <w:tc>
          <w:tcPr>
            <w:tcW w:w="3543" w:type="dxa"/>
            <w:vAlign w:val="bottom"/>
          </w:tcPr>
          <w:p w:rsidR="00F04EEF" w:rsidRDefault="0099351E">
            <w:pPr>
              <w:rPr>
                <w:rFonts w:ascii="Georgia" w:hAnsi="Georgia"/>
                <w:color w:val="000000"/>
              </w:rPr>
            </w:pPr>
            <w:r>
              <w:rPr>
                <w:rFonts w:ascii="Georgia" w:hAnsi="Georgia"/>
                <w:color w:val="000000"/>
              </w:rPr>
              <w:t>Charleroi</w:t>
            </w:r>
          </w:p>
        </w:tc>
        <w:tc>
          <w:tcPr>
            <w:tcW w:w="3827" w:type="dxa"/>
            <w:vAlign w:val="bottom"/>
          </w:tcPr>
          <w:p w:rsidR="00F04EEF" w:rsidRDefault="0099351E">
            <w:pPr>
              <w:rPr>
                <w:rFonts w:ascii="Georgia" w:hAnsi="Georgia"/>
                <w:color w:val="000000"/>
              </w:rPr>
            </w:pPr>
            <w:r>
              <w:rPr>
                <w:rFonts w:ascii="Georgia" w:hAnsi="Georgia"/>
                <w:color w:val="000000"/>
              </w:rPr>
              <w:t>Neufchâteau</w:t>
            </w:r>
          </w:p>
        </w:tc>
      </w:tr>
      <w:tr w:rsidR="00F04EEF">
        <w:tc>
          <w:tcPr>
            <w:tcW w:w="3543" w:type="dxa"/>
            <w:vAlign w:val="bottom"/>
          </w:tcPr>
          <w:p w:rsidR="00F04EEF" w:rsidRDefault="0099351E">
            <w:pPr>
              <w:rPr>
                <w:rFonts w:ascii="Georgia" w:hAnsi="Georgia"/>
                <w:color w:val="000000"/>
              </w:rPr>
            </w:pPr>
            <w:r>
              <w:rPr>
                <w:rFonts w:ascii="Georgia" w:hAnsi="Georgia"/>
                <w:color w:val="000000"/>
              </w:rPr>
              <w:t>Chastre</w:t>
            </w:r>
          </w:p>
        </w:tc>
        <w:tc>
          <w:tcPr>
            <w:tcW w:w="3827" w:type="dxa"/>
            <w:vAlign w:val="bottom"/>
          </w:tcPr>
          <w:p w:rsidR="00F04EEF" w:rsidRDefault="0099351E">
            <w:pPr>
              <w:rPr>
                <w:rFonts w:ascii="Georgia" w:hAnsi="Georgia"/>
                <w:color w:val="000000"/>
              </w:rPr>
            </w:pPr>
            <w:r>
              <w:rPr>
                <w:rFonts w:ascii="Georgia" w:hAnsi="Georgia"/>
                <w:color w:val="000000"/>
              </w:rPr>
              <w:t>Neupré</w:t>
            </w:r>
          </w:p>
        </w:tc>
      </w:tr>
      <w:tr w:rsidR="00F04EEF">
        <w:tc>
          <w:tcPr>
            <w:tcW w:w="3543" w:type="dxa"/>
            <w:vAlign w:val="bottom"/>
          </w:tcPr>
          <w:p w:rsidR="00F04EEF" w:rsidRDefault="0099351E">
            <w:pPr>
              <w:rPr>
                <w:rFonts w:ascii="Georgia" w:hAnsi="Georgia"/>
                <w:color w:val="000000"/>
              </w:rPr>
            </w:pPr>
            <w:r>
              <w:rPr>
                <w:rFonts w:ascii="Georgia" w:hAnsi="Georgia"/>
                <w:color w:val="000000"/>
              </w:rPr>
              <w:t>Châtelet</w:t>
            </w:r>
          </w:p>
        </w:tc>
        <w:tc>
          <w:tcPr>
            <w:tcW w:w="3827" w:type="dxa"/>
            <w:vAlign w:val="bottom"/>
          </w:tcPr>
          <w:p w:rsidR="00F04EEF" w:rsidRDefault="0099351E">
            <w:pPr>
              <w:rPr>
                <w:rFonts w:ascii="Georgia" w:hAnsi="Georgia"/>
                <w:color w:val="000000"/>
              </w:rPr>
            </w:pPr>
            <w:r>
              <w:rPr>
                <w:rFonts w:ascii="Georgia" w:hAnsi="Georgia"/>
                <w:color w:val="000000"/>
              </w:rPr>
              <w:t>Nivelles</w:t>
            </w:r>
          </w:p>
        </w:tc>
      </w:tr>
      <w:tr w:rsidR="00F04EEF">
        <w:tc>
          <w:tcPr>
            <w:tcW w:w="3543" w:type="dxa"/>
            <w:vAlign w:val="bottom"/>
          </w:tcPr>
          <w:p w:rsidR="00F04EEF" w:rsidRDefault="0099351E">
            <w:pPr>
              <w:rPr>
                <w:rFonts w:ascii="Georgia" w:hAnsi="Georgia"/>
                <w:color w:val="000000"/>
              </w:rPr>
            </w:pPr>
            <w:r>
              <w:rPr>
                <w:rFonts w:ascii="Georgia" w:hAnsi="Georgia"/>
                <w:color w:val="000000"/>
              </w:rPr>
              <w:t>Chaudfontaine</w:t>
            </w:r>
          </w:p>
        </w:tc>
        <w:tc>
          <w:tcPr>
            <w:tcW w:w="3827" w:type="dxa"/>
            <w:vAlign w:val="bottom"/>
          </w:tcPr>
          <w:p w:rsidR="00F04EEF" w:rsidRDefault="0099351E">
            <w:pPr>
              <w:rPr>
                <w:rFonts w:ascii="Georgia" w:hAnsi="Georgia"/>
                <w:color w:val="000000"/>
              </w:rPr>
            </w:pPr>
            <w:r>
              <w:rPr>
                <w:rFonts w:ascii="Georgia" w:hAnsi="Georgia"/>
                <w:color w:val="000000"/>
              </w:rPr>
              <w:t>Ohey</w:t>
            </w:r>
          </w:p>
        </w:tc>
      </w:tr>
      <w:tr w:rsidR="00F04EEF">
        <w:tc>
          <w:tcPr>
            <w:tcW w:w="3543" w:type="dxa"/>
            <w:vAlign w:val="bottom"/>
          </w:tcPr>
          <w:p w:rsidR="00F04EEF" w:rsidRDefault="0099351E">
            <w:pPr>
              <w:rPr>
                <w:rFonts w:ascii="Georgia" w:hAnsi="Georgia"/>
                <w:color w:val="000000"/>
              </w:rPr>
            </w:pPr>
            <w:r>
              <w:rPr>
                <w:rFonts w:ascii="Georgia" w:hAnsi="Georgia"/>
                <w:color w:val="000000"/>
              </w:rPr>
              <w:t>Chaumont-Gistoux</w:t>
            </w:r>
          </w:p>
        </w:tc>
        <w:tc>
          <w:tcPr>
            <w:tcW w:w="3827" w:type="dxa"/>
            <w:vAlign w:val="bottom"/>
          </w:tcPr>
          <w:p w:rsidR="00F04EEF" w:rsidRDefault="0099351E">
            <w:pPr>
              <w:rPr>
                <w:rFonts w:ascii="Georgia" w:hAnsi="Georgia"/>
                <w:color w:val="000000"/>
              </w:rPr>
            </w:pPr>
            <w:r>
              <w:rPr>
                <w:rFonts w:ascii="Georgia" w:hAnsi="Georgia"/>
                <w:color w:val="000000"/>
              </w:rPr>
              <w:t>Olne</w:t>
            </w:r>
          </w:p>
        </w:tc>
      </w:tr>
      <w:tr w:rsidR="00F04EEF">
        <w:tc>
          <w:tcPr>
            <w:tcW w:w="3543" w:type="dxa"/>
            <w:vAlign w:val="bottom"/>
          </w:tcPr>
          <w:p w:rsidR="00F04EEF" w:rsidRDefault="0099351E">
            <w:pPr>
              <w:rPr>
                <w:rFonts w:ascii="Georgia" w:hAnsi="Georgia"/>
                <w:color w:val="000000"/>
              </w:rPr>
            </w:pPr>
            <w:r>
              <w:rPr>
                <w:rFonts w:ascii="Georgia" w:hAnsi="Georgia"/>
                <w:color w:val="000000"/>
              </w:rPr>
              <w:t>Chièvres</w:t>
            </w:r>
          </w:p>
        </w:tc>
        <w:tc>
          <w:tcPr>
            <w:tcW w:w="3827" w:type="dxa"/>
            <w:vAlign w:val="bottom"/>
          </w:tcPr>
          <w:p w:rsidR="00F04EEF" w:rsidRDefault="0099351E">
            <w:pPr>
              <w:rPr>
                <w:rFonts w:ascii="Georgia" w:hAnsi="Georgia"/>
                <w:color w:val="000000"/>
              </w:rPr>
            </w:pPr>
            <w:r>
              <w:rPr>
                <w:rFonts w:ascii="Georgia" w:hAnsi="Georgia"/>
                <w:color w:val="000000"/>
              </w:rPr>
              <w:t>Onhaye</w:t>
            </w:r>
          </w:p>
        </w:tc>
      </w:tr>
      <w:tr w:rsidR="00F04EEF">
        <w:tc>
          <w:tcPr>
            <w:tcW w:w="3543" w:type="dxa"/>
            <w:vAlign w:val="bottom"/>
          </w:tcPr>
          <w:p w:rsidR="00F04EEF" w:rsidRDefault="0099351E">
            <w:pPr>
              <w:rPr>
                <w:rFonts w:ascii="Georgia" w:hAnsi="Georgia"/>
                <w:color w:val="000000"/>
              </w:rPr>
            </w:pPr>
            <w:r>
              <w:rPr>
                <w:rFonts w:ascii="Georgia" w:hAnsi="Georgia"/>
                <w:color w:val="000000"/>
              </w:rPr>
              <w:t>Chimay</w:t>
            </w:r>
          </w:p>
        </w:tc>
        <w:tc>
          <w:tcPr>
            <w:tcW w:w="3827" w:type="dxa"/>
            <w:vAlign w:val="bottom"/>
          </w:tcPr>
          <w:p w:rsidR="00F04EEF" w:rsidRDefault="0099351E">
            <w:pPr>
              <w:rPr>
                <w:rFonts w:ascii="Georgia" w:hAnsi="Georgia"/>
                <w:color w:val="000000"/>
              </w:rPr>
            </w:pPr>
            <w:r>
              <w:rPr>
                <w:rFonts w:ascii="Georgia" w:hAnsi="Georgia"/>
                <w:color w:val="000000"/>
              </w:rPr>
              <w:t>Oreye</w:t>
            </w:r>
          </w:p>
        </w:tc>
      </w:tr>
      <w:tr w:rsidR="00F04EEF">
        <w:tc>
          <w:tcPr>
            <w:tcW w:w="3543" w:type="dxa"/>
            <w:vAlign w:val="bottom"/>
          </w:tcPr>
          <w:p w:rsidR="00F04EEF" w:rsidRDefault="0099351E">
            <w:pPr>
              <w:rPr>
                <w:rFonts w:ascii="Georgia" w:hAnsi="Georgia"/>
                <w:color w:val="000000"/>
              </w:rPr>
            </w:pPr>
            <w:r>
              <w:rPr>
                <w:rFonts w:ascii="Georgia" w:hAnsi="Georgia"/>
                <w:color w:val="000000"/>
              </w:rPr>
              <w:t>Chiny</w:t>
            </w:r>
          </w:p>
        </w:tc>
        <w:tc>
          <w:tcPr>
            <w:tcW w:w="3827" w:type="dxa"/>
            <w:vAlign w:val="bottom"/>
          </w:tcPr>
          <w:p w:rsidR="00F04EEF" w:rsidRDefault="0099351E">
            <w:pPr>
              <w:rPr>
                <w:rFonts w:ascii="Georgia" w:hAnsi="Georgia"/>
                <w:color w:val="000000"/>
              </w:rPr>
            </w:pPr>
            <w:r>
              <w:rPr>
                <w:rFonts w:ascii="Georgia" w:hAnsi="Georgia"/>
                <w:color w:val="000000"/>
              </w:rPr>
              <w:t>Orp-Jauche</w:t>
            </w:r>
          </w:p>
        </w:tc>
      </w:tr>
      <w:tr w:rsidR="00F04EEF">
        <w:tc>
          <w:tcPr>
            <w:tcW w:w="3543" w:type="dxa"/>
            <w:vAlign w:val="bottom"/>
          </w:tcPr>
          <w:p w:rsidR="00F04EEF" w:rsidRDefault="0099351E">
            <w:pPr>
              <w:rPr>
                <w:rFonts w:ascii="Georgia" w:hAnsi="Georgia"/>
                <w:color w:val="000000"/>
              </w:rPr>
            </w:pPr>
            <w:r>
              <w:rPr>
                <w:rFonts w:ascii="Georgia" w:hAnsi="Georgia"/>
                <w:color w:val="000000"/>
              </w:rPr>
              <w:t>Ciney</w:t>
            </w:r>
          </w:p>
        </w:tc>
        <w:tc>
          <w:tcPr>
            <w:tcW w:w="3827" w:type="dxa"/>
            <w:vAlign w:val="bottom"/>
          </w:tcPr>
          <w:p w:rsidR="00F04EEF" w:rsidRDefault="0099351E">
            <w:pPr>
              <w:rPr>
                <w:rFonts w:ascii="Georgia" w:hAnsi="Georgia"/>
                <w:color w:val="000000"/>
              </w:rPr>
            </w:pPr>
            <w:r>
              <w:rPr>
                <w:rFonts w:ascii="Georgia" w:hAnsi="Georgia"/>
                <w:color w:val="000000"/>
              </w:rPr>
              <w:t>Ottignies-Louvain-la-Neuve</w:t>
            </w:r>
          </w:p>
        </w:tc>
      </w:tr>
      <w:tr w:rsidR="00F04EEF">
        <w:tc>
          <w:tcPr>
            <w:tcW w:w="3543" w:type="dxa"/>
            <w:vAlign w:val="bottom"/>
          </w:tcPr>
          <w:p w:rsidR="00F04EEF" w:rsidRDefault="0099351E">
            <w:pPr>
              <w:rPr>
                <w:rFonts w:ascii="Georgia" w:hAnsi="Georgia"/>
                <w:color w:val="000000"/>
              </w:rPr>
            </w:pPr>
            <w:r>
              <w:rPr>
                <w:rFonts w:ascii="Georgia" w:hAnsi="Georgia"/>
                <w:color w:val="000000"/>
              </w:rPr>
              <w:t>Clavier</w:t>
            </w:r>
          </w:p>
        </w:tc>
        <w:tc>
          <w:tcPr>
            <w:tcW w:w="3827" w:type="dxa"/>
            <w:vAlign w:val="bottom"/>
          </w:tcPr>
          <w:p w:rsidR="00F04EEF" w:rsidRDefault="0099351E">
            <w:pPr>
              <w:rPr>
                <w:rFonts w:ascii="Georgia" w:hAnsi="Georgia"/>
                <w:color w:val="000000"/>
              </w:rPr>
            </w:pPr>
            <w:r>
              <w:rPr>
                <w:rFonts w:ascii="Georgia" w:hAnsi="Georgia"/>
                <w:color w:val="000000"/>
              </w:rPr>
              <w:t>Ouffet</w:t>
            </w:r>
          </w:p>
        </w:tc>
      </w:tr>
      <w:tr w:rsidR="00F04EEF">
        <w:tc>
          <w:tcPr>
            <w:tcW w:w="3543" w:type="dxa"/>
            <w:vAlign w:val="bottom"/>
          </w:tcPr>
          <w:p w:rsidR="00F04EEF" w:rsidRDefault="0099351E">
            <w:pPr>
              <w:rPr>
                <w:rFonts w:ascii="Georgia" w:hAnsi="Georgia"/>
                <w:color w:val="000000"/>
              </w:rPr>
            </w:pPr>
            <w:r>
              <w:rPr>
                <w:rFonts w:ascii="Georgia" w:hAnsi="Georgia"/>
                <w:color w:val="000000"/>
              </w:rPr>
              <w:t>Colfontaine</w:t>
            </w:r>
          </w:p>
        </w:tc>
        <w:tc>
          <w:tcPr>
            <w:tcW w:w="3827" w:type="dxa"/>
            <w:vAlign w:val="bottom"/>
          </w:tcPr>
          <w:p w:rsidR="00F04EEF" w:rsidRDefault="0099351E">
            <w:pPr>
              <w:rPr>
                <w:rFonts w:ascii="Georgia" w:hAnsi="Georgia"/>
                <w:color w:val="000000"/>
              </w:rPr>
            </w:pPr>
            <w:r>
              <w:rPr>
                <w:rFonts w:ascii="Georgia" w:hAnsi="Georgia"/>
                <w:color w:val="000000"/>
              </w:rPr>
              <w:t>Oupeye</w:t>
            </w:r>
          </w:p>
        </w:tc>
      </w:tr>
      <w:tr w:rsidR="00F04EEF">
        <w:tc>
          <w:tcPr>
            <w:tcW w:w="3543" w:type="dxa"/>
            <w:vAlign w:val="bottom"/>
          </w:tcPr>
          <w:p w:rsidR="00F04EEF" w:rsidRDefault="0099351E">
            <w:pPr>
              <w:rPr>
                <w:rFonts w:ascii="Georgia" w:hAnsi="Georgia"/>
                <w:color w:val="000000"/>
              </w:rPr>
            </w:pPr>
            <w:r>
              <w:rPr>
                <w:rFonts w:ascii="Georgia" w:hAnsi="Georgia"/>
                <w:color w:val="000000"/>
              </w:rPr>
              <w:t>Comblain-au-Pont</w:t>
            </w:r>
          </w:p>
        </w:tc>
        <w:tc>
          <w:tcPr>
            <w:tcW w:w="3827" w:type="dxa"/>
            <w:vAlign w:val="bottom"/>
          </w:tcPr>
          <w:p w:rsidR="00F04EEF" w:rsidRDefault="0099351E">
            <w:pPr>
              <w:rPr>
                <w:rFonts w:ascii="Georgia" w:hAnsi="Georgia"/>
                <w:color w:val="000000"/>
              </w:rPr>
            </w:pPr>
            <w:r>
              <w:rPr>
                <w:rFonts w:ascii="Georgia" w:hAnsi="Georgia"/>
                <w:color w:val="000000"/>
              </w:rPr>
              <w:t>Paliseul</w:t>
            </w:r>
          </w:p>
        </w:tc>
      </w:tr>
      <w:tr w:rsidR="00F04EEF">
        <w:tc>
          <w:tcPr>
            <w:tcW w:w="3543" w:type="dxa"/>
            <w:vAlign w:val="bottom"/>
          </w:tcPr>
          <w:p w:rsidR="00F04EEF" w:rsidRDefault="0099351E">
            <w:pPr>
              <w:rPr>
                <w:rFonts w:ascii="Georgia" w:hAnsi="Georgia"/>
                <w:color w:val="000000"/>
              </w:rPr>
            </w:pPr>
            <w:r>
              <w:rPr>
                <w:rFonts w:ascii="Georgia" w:hAnsi="Georgia"/>
                <w:color w:val="000000"/>
              </w:rPr>
              <w:t>Comines-Warneton</w:t>
            </w:r>
          </w:p>
        </w:tc>
        <w:tc>
          <w:tcPr>
            <w:tcW w:w="3827" w:type="dxa"/>
            <w:vAlign w:val="bottom"/>
          </w:tcPr>
          <w:p w:rsidR="00F04EEF" w:rsidRDefault="0099351E">
            <w:pPr>
              <w:rPr>
                <w:rFonts w:ascii="Georgia" w:hAnsi="Georgia"/>
                <w:color w:val="000000"/>
              </w:rPr>
            </w:pPr>
            <w:r>
              <w:rPr>
                <w:rFonts w:ascii="Georgia" w:hAnsi="Georgia"/>
                <w:color w:val="000000"/>
              </w:rPr>
              <w:t>Pecq</w:t>
            </w:r>
          </w:p>
        </w:tc>
      </w:tr>
      <w:tr w:rsidR="00F04EEF">
        <w:tc>
          <w:tcPr>
            <w:tcW w:w="3543" w:type="dxa"/>
            <w:vAlign w:val="bottom"/>
          </w:tcPr>
          <w:p w:rsidR="00F04EEF" w:rsidRDefault="0099351E">
            <w:pPr>
              <w:rPr>
                <w:rFonts w:ascii="Georgia" w:hAnsi="Georgia"/>
                <w:color w:val="000000"/>
              </w:rPr>
            </w:pPr>
            <w:r>
              <w:rPr>
                <w:rFonts w:ascii="Georgia" w:hAnsi="Georgia"/>
                <w:color w:val="000000"/>
              </w:rPr>
              <w:t>Courcelles</w:t>
            </w:r>
          </w:p>
        </w:tc>
        <w:tc>
          <w:tcPr>
            <w:tcW w:w="3827" w:type="dxa"/>
            <w:vAlign w:val="bottom"/>
          </w:tcPr>
          <w:p w:rsidR="00F04EEF" w:rsidRDefault="0099351E">
            <w:pPr>
              <w:rPr>
                <w:rFonts w:ascii="Georgia" w:hAnsi="Georgia"/>
                <w:color w:val="000000"/>
              </w:rPr>
            </w:pPr>
            <w:r>
              <w:rPr>
                <w:rFonts w:ascii="Georgia" w:hAnsi="Georgia"/>
                <w:color w:val="000000"/>
              </w:rPr>
              <w:t>Pepinster</w:t>
            </w:r>
          </w:p>
        </w:tc>
      </w:tr>
      <w:tr w:rsidR="00F04EEF">
        <w:tc>
          <w:tcPr>
            <w:tcW w:w="3543" w:type="dxa"/>
            <w:vAlign w:val="bottom"/>
          </w:tcPr>
          <w:p w:rsidR="00F04EEF" w:rsidRDefault="0099351E">
            <w:pPr>
              <w:rPr>
                <w:rFonts w:ascii="Georgia" w:hAnsi="Georgia"/>
                <w:color w:val="000000"/>
              </w:rPr>
            </w:pPr>
            <w:r>
              <w:rPr>
                <w:rFonts w:ascii="Georgia" w:hAnsi="Georgia"/>
                <w:color w:val="000000"/>
              </w:rPr>
              <w:t>Court-Saint-Etienne</w:t>
            </w:r>
          </w:p>
        </w:tc>
        <w:tc>
          <w:tcPr>
            <w:tcW w:w="3827" w:type="dxa"/>
            <w:vAlign w:val="bottom"/>
          </w:tcPr>
          <w:p w:rsidR="00F04EEF" w:rsidRDefault="0099351E">
            <w:pPr>
              <w:rPr>
                <w:rFonts w:ascii="Georgia" w:hAnsi="Georgia"/>
                <w:color w:val="000000"/>
              </w:rPr>
            </w:pPr>
            <w:r>
              <w:rPr>
                <w:rFonts w:ascii="Georgia" w:hAnsi="Georgia"/>
                <w:color w:val="000000"/>
              </w:rPr>
              <w:t>Péruwelz</w:t>
            </w:r>
          </w:p>
        </w:tc>
      </w:tr>
      <w:tr w:rsidR="00F04EEF">
        <w:tc>
          <w:tcPr>
            <w:tcW w:w="3543" w:type="dxa"/>
            <w:vAlign w:val="bottom"/>
          </w:tcPr>
          <w:p w:rsidR="00F04EEF" w:rsidRDefault="0099351E">
            <w:pPr>
              <w:rPr>
                <w:rFonts w:ascii="Georgia" w:hAnsi="Georgia"/>
                <w:color w:val="000000"/>
              </w:rPr>
            </w:pPr>
            <w:r>
              <w:rPr>
                <w:rFonts w:ascii="Georgia" w:hAnsi="Georgia"/>
                <w:color w:val="000000"/>
              </w:rPr>
              <w:t>Couvin</w:t>
            </w:r>
          </w:p>
        </w:tc>
        <w:tc>
          <w:tcPr>
            <w:tcW w:w="3827" w:type="dxa"/>
            <w:vAlign w:val="bottom"/>
          </w:tcPr>
          <w:p w:rsidR="00F04EEF" w:rsidRDefault="0099351E">
            <w:pPr>
              <w:rPr>
                <w:rFonts w:ascii="Georgia" w:hAnsi="Georgia"/>
                <w:color w:val="000000"/>
              </w:rPr>
            </w:pPr>
            <w:r>
              <w:rPr>
                <w:rFonts w:ascii="Georgia" w:hAnsi="Georgia"/>
                <w:color w:val="000000"/>
              </w:rPr>
              <w:t>Perwez</w:t>
            </w:r>
          </w:p>
        </w:tc>
      </w:tr>
      <w:tr w:rsidR="00F04EEF">
        <w:tc>
          <w:tcPr>
            <w:tcW w:w="3543" w:type="dxa"/>
            <w:vAlign w:val="bottom"/>
          </w:tcPr>
          <w:p w:rsidR="00F04EEF" w:rsidRDefault="0099351E">
            <w:pPr>
              <w:rPr>
                <w:rFonts w:ascii="Georgia" w:hAnsi="Georgia"/>
                <w:color w:val="000000"/>
              </w:rPr>
            </w:pPr>
            <w:r>
              <w:rPr>
                <w:rFonts w:ascii="Georgia" w:hAnsi="Georgia"/>
                <w:color w:val="000000"/>
              </w:rPr>
              <w:t>Crisnée</w:t>
            </w:r>
          </w:p>
        </w:tc>
        <w:tc>
          <w:tcPr>
            <w:tcW w:w="3827" w:type="dxa"/>
            <w:vAlign w:val="bottom"/>
          </w:tcPr>
          <w:p w:rsidR="00F04EEF" w:rsidRDefault="0099351E">
            <w:pPr>
              <w:rPr>
                <w:rFonts w:ascii="Georgia" w:hAnsi="Georgia"/>
                <w:color w:val="000000"/>
              </w:rPr>
            </w:pPr>
            <w:r>
              <w:rPr>
                <w:rFonts w:ascii="Georgia" w:hAnsi="Georgia"/>
                <w:color w:val="000000"/>
              </w:rPr>
              <w:t>Philippeville</w:t>
            </w:r>
          </w:p>
        </w:tc>
      </w:tr>
      <w:tr w:rsidR="00F04EEF">
        <w:tc>
          <w:tcPr>
            <w:tcW w:w="3543" w:type="dxa"/>
            <w:vAlign w:val="bottom"/>
          </w:tcPr>
          <w:p w:rsidR="00F04EEF" w:rsidRDefault="0099351E">
            <w:pPr>
              <w:rPr>
                <w:rFonts w:ascii="Georgia" w:hAnsi="Georgia"/>
                <w:color w:val="000000"/>
              </w:rPr>
            </w:pPr>
            <w:r>
              <w:rPr>
                <w:rFonts w:ascii="Georgia" w:hAnsi="Georgia"/>
                <w:color w:val="000000"/>
              </w:rPr>
              <w:t>Dalhem</w:t>
            </w:r>
          </w:p>
        </w:tc>
        <w:tc>
          <w:tcPr>
            <w:tcW w:w="3827" w:type="dxa"/>
            <w:vAlign w:val="bottom"/>
          </w:tcPr>
          <w:p w:rsidR="00F04EEF" w:rsidRDefault="0099351E">
            <w:pPr>
              <w:rPr>
                <w:rFonts w:ascii="Georgia" w:hAnsi="Georgia"/>
                <w:color w:val="000000"/>
              </w:rPr>
            </w:pPr>
            <w:r>
              <w:rPr>
                <w:rFonts w:ascii="Georgia" w:hAnsi="Georgia"/>
                <w:color w:val="000000"/>
              </w:rPr>
              <w:t>Plombières</w:t>
            </w:r>
          </w:p>
        </w:tc>
      </w:tr>
      <w:tr w:rsidR="00F04EEF">
        <w:tc>
          <w:tcPr>
            <w:tcW w:w="3543" w:type="dxa"/>
            <w:vAlign w:val="bottom"/>
          </w:tcPr>
          <w:p w:rsidR="00F04EEF" w:rsidRDefault="0099351E">
            <w:pPr>
              <w:rPr>
                <w:rFonts w:ascii="Georgia" w:hAnsi="Georgia"/>
                <w:color w:val="000000"/>
              </w:rPr>
            </w:pPr>
            <w:r>
              <w:rPr>
                <w:rFonts w:ascii="Georgia" w:hAnsi="Georgia"/>
                <w:color w:val="000000"/>
              </w:rPr>
              <w:t>Daverdisse</w:t>
            </w:r>
          </w:p>
        </w:tc>
        <w:tc>
          <w:tcPr>
            <w:tcW w:w="3827" w:type="dxa"/>
            <w:vAlign w:val="bottom"/>
          </w:tcPr>
          <w:p w:rsidR="00F04EEF" w:rsidRDefault="0099351E">
            <w:pPr>
              <w:rPr>
                <w:rFonts w:ascii="Georgia" w:hAnsi="Georgia"/>
                <w:color w:val="000000"/>
              </w:rPr>
            </w:pPr>
            <w:r>
              <w:rPr>
                <w:rFonts w:ascii="Georgia" w:hAnsi="Georgia"/>
                <w:color w:val="000000"/>
              </w:rPr>
              <w:t>Pont-à-Celles</w:t>
            </w:r>
          </w:p>
        </w:tc>
      </w:tr>
      <w:tr w:rsidR="00F04EEF">
        <w:tc>
          <w:tcPr>
            <w:tcW w:w="3543" w:type="dxa"/>
            <w:vAlign w:val="bottom"/>
          </w:tcPr>
          <w:p w:rsidR="00F04EEF" w:rsidRDefault="0099351E">
            <w:pPr>
              <w:rPr>
                <w:rFonts w:ascii="Georgia" w:hAnsi="Georgia"/>
                <w:color w:val="000000"/>
              </w:rPr>
            </w:pPr>
            <w:r>
              <w:rPr>
                <w:rFonts w:ascii="Georgia" w:hAnsi="Georgia"/>
                <w:color w:val="000000"/>
              </w:rPr>
              <w:t>Dinant</w:t>
            </w:r>
          </w:p>
        </w:tc>
        <w:tc>
          <w:tcPr>
            <w:tcW w:w="3827" w:type="dxa"/>
            <w:vAlign w:val="bottom"/>
          </w:tcPr>
          <w:p w:rsidR="00F04EEF" w:rsidRDefault="0099351E">
            <w:pPr>
              <w:rPr>
                <w:rFonts w:ascii="Georgia" w:hAnsi="Georgia"/>
                <w:color w:val="000000"/>
              </w:rPr>
            </w:pPr>
            <w:r>
              <w:rPr>
                <w:rFonts w:ascii="Georgia" w:hAnsi="Georgia"/>
                <w:color w:val="000000"/>
              </w:rPr>
              <w:t>Profondeville</w:t>
            </w:r>
          </w:p>
        </w:tc>
      </w:tr>
      <w:tr w:rsidR="00F04EEF">
        <w:tc>
          <w:tcPr>
            <w:tcW w:w="3543" w:type="dxa"/>
            <w:vAlign w:val="bottom"/>
          </w:tcPr>
          <w:p w:rsidR="00F04EEF" w:rsidRDefault="0099351E">
            <w:pPr>
              <w:rPr>
                <w:rFonts w:ascii="Georgia" w:hAnsi="Georgia"/>
                <w:color w:val="000000"/>
              </w:rPr>
            </w:pPr>
            <w:r>
              <w:rPr>
                <w:rFonts w:ascii="Georgia" w:hAnsi="Georgia"/>
                <w:color w:val="000000"/>
              </w:rPr>
              <w:t>Dison</w:t>
            </w:r>
          </w:p>
        </w:tc>
        <w:tc>
          <w:tcPr>
            <w:tcW w:w="3827" w:type="dxa"/>
            <w:vAlign w:val="bottom"/>
          </w:tcPr>
          <w:p w:rsidR="00F04EEF" w:rsidRDefault="0099351E">
            <w:pPr>
              <w:rPr>
                <w:rFonts w:ascii="Georgia" w:hAnsi="Georgia"/>
                <w:color w:val="000000"/>
              </w:rPr>
            </w:pPr>
            <w:r>
              <w:rPr>
                <w:rFonts w:ascii="Georgia" w:hAnsi="Georgia"/>
                <w:color w:val="000000"/>
              </w:rPr>
              <w:t>Quaregnon</w:t>
            </w:r>
          </w:p>
        </w:tc>
      </w:tr>
      <w:tr w:rsidR="00F04EEF">
        <w:tc>
          <w:tcPr>
            <w:tcW w:w="3543" w:type="dxa"/>
            <w:vAlign w:val="bottom"/>
          </w:tcPr>
          <w:p w:rsidR="00F04EEF" w:rsidRDefault="0099351E">
            <w:pPr>
              <w:rPr>
                <w:rFonts w:ascii="Georgia" w:hAnsi="Georgia"/>
                <w:color w:val="000000"/>
              </w:rPr>
            </w:pPr>
            <w:r>
              <w:rPr>
                <w:rFonts w:ascii="Georgia" w:hAnsi="Georgia"/>
                <w:color w:val="000000"/>
              </w:rPr>
              <w:t>Doische</w:t>
            </w:r>
          </w:p>
        </w:tc>
        <w:tc>
          <w:tcPr>
            <w:tcW w:w="3827" w:type="dxa"/>
            <w:vAlign w:val="bottom"/>
          </w:tcPr>
          <w:p w:rsidR="00F04EEF" w:rsidRDefault="0099351E">
            <w:pPr>
              <w:rPr>
                <w:rFonts w:ascii="Georgia" w:hAnsi="Georgia"/>
                <w:color w:val="000000"/>
              </w:rPr>
            </w:pPr>
            <w:r>
              <w:rPr>
                <w:rFonts w:ascii="Georgia" w:hAnsi="Georgia"/>
                <w:color w:val="000000"/>
              </w:rPr>
              <w:t>Quévy</w:t>
            </w:r>
          </w:p>
        </w:tc>
      </w:tr>
      <w:tr w:rsidR="00F04EEF">
        <w:tc>
          <w:tcPr>
            <w:tcW w:w="3543" w:type="dxa"/>
            <w:vAlign w:val="bottom"/>
          </w:tcPr>
          <w:p w:rsidR="00F04EEF" w:rsidRDefault="0099351E">
            <w:pPr>
              <w:rPr>
                <w:rFonts w:ascii="Georgia" w:hAnsi="Georgia"/>
                <w:color w:val="000000"/>
              </w:rPr>
            </w:pPr>
            <w:r>
              <w:rPr>
                <w:rFonts w:ascii="Georgia" w:hAnsi="Georgia"/>
                <w:color w:val="000000"/>
              </w:rPr>
              <w:t>Donceel</w:t>
            </w:r>
          </w:p>
        </w:tc>
        <w:tc>
          <w:tcPr>
            <w:tcW w:w="3827" w:type="dxa"/>
            <w:vAlign w:val="bottom"/>
          </w:tcPr>
          <w:p w:rsidR="00F04EEF" w:rsidRDefault="0099351E">
            <w:pPr>
              <w:rPr>
                <w:rFonts w:ascii="Georgia" w:hAnsi="Georgia"/>
                <w:color w:val="000000"/>
              </w:rPr>
            </w:pPr>
            <w:r>
              <w:rPr>
                <w:rFonts w:ascii="Georgia" w:hAnsi="Georgia"/>
                <w:color w:val="000000"/>
              </w:rPr>
              <w:t>Quiévrain</w:t>
            </w:r>
          </w:p>
        </w:tc>
      </w:tr>
      <w:tr w:rsidR="00F04EEF">
        <w:tc>
          <w:tcPr>
            <w:tcW w:w="3543" w:type="dxa"/>
            <w:vAlign w:val="bottom"/>
          </w:tcPr>
          <w:p w:rsidR="00F04EEF" w:rsidRDefault="0099351E">
            <w:pPr>
              <w:rPr>
                <w:rFonts w:ascii="Georgia" w:hAnsi="Georgia"/>
                <w:color w:val="000000"/>
              </w:rPr>
            </w:pPr>
            <w:r>
              <w:rPr>
                <w:rFonts w:ascii="Georgia" w:hAnsi="Georgia"/>
                <w:color w:val="000000"/>
              </w:rPr>
              <w:t>Dour</w:t>
            </w:r>
          </w:p>
        </w:tc>
        <w:tc>
          <w:tcPr>
            <w:tcW w:w="3827" w:type="dxa"/>
            <w:vAlign w:val="bottom"/>
          </w:tcPr>
          <w:p w:rsidR="00F04EEF" w:rsidRDefault="0099351E">
            <w:pPr>
              <w:rPr>
                <w:rFonts w:ascii="Georgia" w:hAnsi="Georgia"/>
                <w:color w:val="000000"/>
              </w:rPr>
            </w:pPr>
            <w:r>
              <w:rPr>
                <w:rFonts w:ascii="Georgia" w:hAnsi="Georgia"/>
                <w:color w:val="000000"/>
              </w:rPr>
              <w:t>Raeren</w:t>
            </w:r>
          </w:p>
        </w:tc>
      </w:tr>
      <w:tr w:rsidR="00F04EEF">
        <w:tc>
          <w:tcPr>
            <w:tcW w:w="3543" w:type="dxa"/>
            <w:vAlign w:val="bottom"/>
          </w:tcPr>
          <w:p w:rsidR="00F04EEF" w:rsidRDefault="0099351E">
            <w:pPr>
              <w:rPr>
                <w:rFonts w:ascii="Georgia" w:hAnsi="Georgia"/>
                <w:color w:val="000000"/>
              </w:rPr>
            </w:pPr>
            <w:r>
              <w:rPr>
                <w:rFonts w:ascii="Georgia" w:hAnsi="Georgia"/>
                <w:color w:val="000000"/>
              </w:rPr>
              <w:t>Durbuy</w:t>
            </w:r>
          </w:p>
        </w:tc>
        <w:tc>
          <w:tcPr>
            <w:tcW w:w="3827" w:type="dxa"/>
            <w:vAlign w:val="bottom"/>
          </w:tcPr>
          <w:p w:rsidR="00F04EEF" w:rsidRDefault="0099351E">
            <w:pPr>
              <w:rPr>
                <w:rFonts w:ascii="Georgia" w:hAnsi="Georgia"/>
                <w:color w:val="000000"/>
              </w:rPr>
            </w:pPr>
            <w:r>
              <w:rPr>
                <w:rFonts w:ascii="Georgia" w:hAnsi="Georgia"/>
                <w:color w:val="000000"/>
              </w:rPr>
              <w:t>Ramillies</w:t>
            </w:r>
          </w:p>
        </w:tc>
      </w:tr>
      <w:tr w:rsidR="00F04EEF">
        <w:tc>
          <w:tcPr>
            <w:tcW w:w="3543" w:type="dxa"/>
            <w:vAlign w:val="bottom"/>
          </w:tcPr>
          <w:p w:rsidR="00F04EEF" w:rsidRDefault="0099351E">
            <w:pPr>
              <w:rPr>
                <w:rFonts w:ascii="Georgia" w:hAnsi="Georgia"/>
                <w:color w:val="000000"/>
              </w:rPr>
            </w:pPr>
            <w:r>
              <w:rPr>
                <w:rFonts w:ascii="Georgia" w:hAnsi="Georgia"/>
                <w:color w:val="000000"/>
              </w:rPr>
              <w:t>Ecaussinnes</w:t>
            </w:r>
          </w:p>
        </w:tc>
        <w:tc>
          <w:tcPr>
            <w:tcW w:w="3827" w:type="dxa"/>
            <w:vAlign w:val="bottom"/>
          </w:tcPr>
          <w:p w:rsidR="00F04EEF" w:rsidRDefault="0099351E">
            <w:pPr>
              <w:rPr>
                <w:rFonts w:ascii="Georgia" w:hAnsi="Georgia"/>
                <w:color w:val="000000"/>
              </w:rPr>
            </w:pPr>
            <w:r>
              <w:rPr>
                <w:rFonts w:ascii="Georgia" w:hAnsi="Georgia"/>
                <w:color w:val="000000"/>
              </w:rPr>
              <w:t>Rebecq</w:t>
            </w:r>
          </w:p>
        </w:tc>
      </w:tr>
      <w:tr w:rsidR="00F04EEF">
        <w:tc>
          <w:tcPr>
            <w:tcW w:w="3543" w:type="dxa"/>
            <w:vAlign w:val="bottom"/>
          </w:tcPr>
          <w:p w:rsidR="00F04EEF" w:rsidRDefault="0099351E">
            <w:pPr>
              <w:rPr>
                <w:rFonts w:ascii="Georgia" w:hAnsi="Georgia"/>
                <w:color w:val="000000"/>
              </w:rPr>
            </w:pPr>
            <w:r>
              <w:rPr>
                <w:rFonts w:ascii="Georgia" w:hAnsi="Georgia"/>
                <w:color w:val="000000"/>
              </w:rPr>
              <w:t>Eghezée</w:t>
            </w:r>
          </w:p>
        </w:tc>
        <w:tc>
          <w:tcPr>
            <w:tcW w:w="3827" w:type="dxa"/>
            <w:vAlign w:val="bottom"/>
          </w:tcPr>
          <w:p w:rsidR="00F04EEF" w:rsidRDefault="0099351E">
            <w:pPr>
              <w:rPr>
                <w:rFonts w:ascii="Georgia" w:hAnsi="Georgia"/>
                <w:color w:val="000000"/>
              </w:rPr>
            </w:pPr>
            <w:r>
              <w:rPr>
                <w:rFonts w:ascii="Georgia" w:hAnsi="Georgia"/>
                <w:color w:val="000000"/>
              </w:rPr>
              <w:t>Remicourt</w:t>
            </w:r>
          </w:p>
        </w:tc>
      </w:tr>
      <w:tr w:rsidR="00F04EEF">
        <w:tc>
          <w:tcPr>
            <w:tcW w:w="3543" w:type="dxa"/>
            <w:vAlign w:val="bottom"/>
          </w:tcPr>
          <w:p w:rsidR="00F04EEF" w:rsidRDefault="0099351E">
            <w:pPr>
              <w:rPr>
                <w:rFonts w:ascii="Georgia" w:hAnsi="Georgia"/>
                <w:color w:val="000000"/>
              </w:rPr>
            </w:pPr>
            <w:r>
              <w:rPr>
                <w:rFonts w:ascii="Georgia" w:hAnsi="Georgia"/>
                <w:color w:val="000000"/>
              </w:rPr>
              <w:t>Ellezelles</w:t>
            </w:r>
          </w:p>
        </w:tc>
        <w:tc>
          <w:tcPr>
            <w:tcW w:w="3827" w:type="dxa"/>
            <w:vAlign w:val="bottom"/>
          </w:tcPr>
          <w:p w:rsidR="00F04EEF" w:rsidRDefault="0099351E">
            <w:pPr>
              <w:rPr>
                <w:rFonts w:ascii="Georgia" w:hAnsi="Georgia"/>
                <w:color w:val="000000"/>
              </w:rPr>
            </w:pPr>
            <w:r>
              <w:rPr>
                <w:rFonts w:ascii="Georgia" w:hAnsi="Georgia"/>
                <w:color w:val="000000"/>
              </w:rPr>
              <w:t>Rendeux</w:t>
            </w:r>
          </w:p>
        </w:tc>
      </w:tr>
      <w:tr w:rsidR="00F04EEF">
        <w:tc>
          <w:tcPr>
            <w:tcW w:w="3543" w:type="dxa"/>
            <w:vAlign w:val="bottom"/>
          </w:tcPr>
          <w:p w:rsidR="00F04EEF" w:rsidRDefault="0099351E">
            <w:pPr>
              <w:rPr>
                <w:rFonts w:ascii="Georgia" w:hAnsi="Georgia"/>
                <w:color w:val="000000"/>
              </w:rPr>
            </w:pPr>
            <w:r>
              <w:rPr>
                <w:rFonts w:ascii="Georgia" w:hAnsi="Georgia"/>
                <w:color w:val="000000"/>
              </w:rPr>
              <w:t>Enghien</w:t>
            </w:r>
          </w:p>
        </w:tc>
        <w:tc>
          <w:tcPr>
            <w:tcW w:w="3827" w:type="dxa"/>
            <w:vAlign w:val="bottom"/>
          </w:tcPr>
          <w:p w:rsidR="00F04EEF" w:rsidRDefault="0099351E">
            <w:pPr>
              <w:rPr>
                <w:rFonts w:ascii="Georgia" w:hAnsi="Georgia"/>
                <w:color w:val="000000"/>
              </w:rPr>
            </w:pPr>
            <w:r>
              <w:rPr>
                <w:rFonts w:ascii="Georgia" w:hAnsi="Georgia"/>
                <w:color w:val="000000"/>
              </w:rPr>
              <w:t>Rixensart</w:t>
            </w:r>
          </w:p>
        </w:tc>
      </w:tr>
      <w:tr w:rsidR="00F04EEF">
        <w:tc>
          <w:tcPr>
            <w:tcW w:w="3543" w:type="dxa"/>
            <w:vAlign w:val="bottom"/>
          </w:tcPr>
          <w:p w:rsidR="00F04EEF" w:rsidRDefault="0099351E">
            <w:pPr>
              <w:rPr>
                <w:rFonts w:ascii="Georgia" w:hAnsi="Georgia"/>
                <w:color w:val="000000"/>
              </w:rPr>
            </w:pPr>
            <w:r>
              <w:rPr>
                <w:rFonts w:ascii="Georgia" w:hAnsi="Georgia"/>
                <w:color w:val="000000"/>
              </w:rPr>
              <w:t>Engis</w:t>
            </w:r>
          </w:p>
        </w:tc>
        <w:tc>
          <w:tcPr>
            <w:tcW w:w="3827" w:type="dxa"/>
            <w:vAlign w:val="bottom"/>
          </w:tcPr>
          <w:p w:rsidR="00F04EEF" w:rsidRDefault="0099351E">
            <w:pPr>
              <w:rPr>
                <w:rFonts w:ascii="Georgia" w:hAnsi="Georgia"/>
                <w:color w:val="000000"/>
              </w:rPr>
            </w:pPr>
            <w:r>
              <w:rPr>
                <w:rFonts w:ascii="Georgia" w:hAnsi="Georgia"/>
                <w:color w:val="000000"/>
              </w:rPr>
              <w:t>Rochefort</w:t>
            </w:r>
          </w:p>
        </w:tc>
      </w:tr>
      <w:tr w:rsidR="00F04EEF">
        <w:tc>
          <w:tcPr>
            <w:tcW w:w="3543" w:type="dxa"/>
            <w:vAlign w:val="bottom"/>
          </w:tcPr>
          <w:p w:rsidR="00F04EEF" w:rsidRDefault="0099351E">
            <w:pPr>
              <w:rPr>
                <w:rFonts w:ascii="Georgia" w:hAnsi="Georgia"/>
                <w:color w:val="000000"/>
              </w:rPr>
            </w:pPr>
            <w:r>
              <w:rPr>
                <w:rFonts w:ascii="Georgia" w:hAnsi="Georgia"/>
                <w:color w:val="000000"/>
              </w:rPr>
              <w:t>Erezée</w:t>
            </w:r>
          </w:p>
        </w:tc>
        <w:tc>
          <w:tcPr>
            <w:tcW w:w="3827" w:type="dxa"/>
            <w:vAlign w:val="bottom"/>
          </w:tcPr>
          <w:p w:rsidR="00F04EEF" w:rsidRDefault="0099351E">
            <w:pPr>
              <w:rPr>
                <w:rFonts w:ascii="Georgia" w:hAnsi="Georgia"/>
                <w:color w:val="000000"/>
              </w:rPr>
            </w:pPr>
            <w:r>
              <w:rPr>
                <w:rFonts w:ascii="Georgia" w:hAnsi="Georgia"/>
                <w:color w:val="000000"/>
              </w:rPr>
              <w:t>Rouvroy</w:t>
            </w:r>
          </w:p>
        </w:tc>
      </w:tr>
      <w:tr w:rsidR="00F04EEF">
        <w:tc>
          <w:tcPr>
            <w:tcW w:w="3543" w:type="dxa"/>
            <w:vAlign w:val="bottom"/>
          </w:tcPr>
          <w:p w:rsidR="00F04EEF" w:rsidRDefault="0099351E">
            <w:pPr>
              <w:rPr>
                <w:rFonts w:ascii="Georgia" w:hAnsi="Georgia"/>
                <w:color w:val="000000"/>
              </w:rPr>
            </w:pPr>
            <w:r>
              <w:rPr>
                <w:rFonts w:ascii="Georgia" w:hAnsi="Georgia"/>
                <w:color w:val="000000"/>
              </w:rPr>
              <w:t>Erquelinnes</w:t>
            </w:r>
          </w:p>
        </w:tc>
        <w:tc>
          <w:tcPr>
            <w:tcW w:w="3827" w:type="dxa"/>
            <w:vAlign w:val="bottom"/>
          </w:tcPr>
          <w:p w:rsidR="00F04EEF" w:rsidRDefault="0099351E">
            <w:pPr>
              <w:rPr>
                <w:rFonts w:ascii="Georgia" w:hAnsi="Georgia"/>
                <w:color w:val="000000"/>
              </w:rPr>
            </w:pPr>
            <w:r>
              <w:rPr>
                <w:rFonts w:ascii="Georgia" w:hAnsi="Georgia"/>
                <w:color w:val="000000"/>
              </w:rPr>
              <w:t>Rumes</w:t>
            </w:r>
          </w:p>
        </w:tc>
      </w:tr>
      <w:tr w:rsidR="00F04EEF">
        <w:tc>
          <w:tcPr>
            <w:tcW w:w="3543" w:type="dxa"/>
            <w:vAlign w:val="bottom"/>
          </w:tcPr>
          <w:p w:rsidR="00F04EEF" w:rsidRDefault="0099351E">
            <w:pPr>
              <w:rPr>
                <w:rFonts w:ascii="Georgia" w:hAnsi="Georgia"/>
                <w:color w:val="000000"/>
              </w:rPr>
            </w:pPr>
            <w:r>
              <w:rPr>
                <w:rFonts w:ascii="Georgia" w:hAnsi="Georgia"/>
                <w:color w:val="000000"/>
              </w:rPr>
              <w:t>Esneux</w:t>
            </w:r>
          </w:p>
        </w:tc>
        <w:tc>
          <w:tcPr>
            <w:tcW w:w="3827" w:type="dxa"/>
            <w:vAlign w:val="bottom"/>
          </w:tcPr>
          <w:p w:rsidR="00F04EEF" w:rsidRDefault="0099351E">
            <w:pPr>
              <w:rPr>
                <w:rFonts w:ascii="Georgia" w:hAnsi="Georgia"/>
                <w:color w:val="000000"/>
              </w:rPr>
            </w:pPr>
            <w:r>
              <w:rPr>
                <w:rFonts w:ascii="Georgia" w:hAnsi="Georgia"/>
                <w:color w:val="000000"/>
              </w:rPr>
              <w:t>Saint-Georges-sur-Meuse</w:t>
            </w:r>
          </w:p>
        </w:tc>
      </w:tr>
      <w:tr w:rsidR="00F04EEF">
        <w:tc>
          <w:tcPr>
            <w:tcW w:w="3543" w:type="dxa"/>
            <w:vAlign w:val="bottom"/>
          </w:tcPr>
          <w:p w:rsidR="00F04EEF" w:rsidRDefault="0099351E">
            <w:pPr>
              <w:rPr>
                <w:rFonts w:ascii="Georgia" w:hAnsi="Georgia"/>
                <w:color w:val="000000"/>
              </w:rPr>
            </w:pPr>
            <w:r>
              <w:rPr>
                <w:rFonts w:ascii="Georgia" w:hAnsi="Georgia"/>
                <w:color w:val="000000"/>
              </w:rPr>
              <w:t>Estaimpuis</w:t>
            </w:r>
          </w:p>
        </w:tc>
        <w:tc>
          <w:tcPr>
            <w:tcW w:w="3827" w:type="dxa"/>
            <w:vAlign w:val="bottom"/>
          </w:tcPr>
          <w:p w:rsidR="00F04EEF" w:rsidRDefault="0099351E">
            <w:pPr>
              <w:rPr>
                <w:rFonts w:ascii="Georgia" w:hAnsi="Georgia"/>
                <w:color w:val="000000"/>
              </w:rPr>
            </w:pPr>
            <w:r>
              <w:rPr>
                <w:rFonts w:ascii="Georgia" w:hAnsi="Georgia"/>
                <w:color w:val="000000"/>
              </w:rPr>
              <w:t>Saint-Ghislain</w:t>
            </w:r>
          </w:p>
        </w:tc>
      </w:tr>
      <w:tr w:rsidR="00F04EEF">
        <w:tc>
          <w:tcPr>
            <w:tcW w:w="3543" w:type="dxa"/>
            <w:vAlign w:val="bottom"/>
          </w:tcPr>
          <w:p w:rsidR="00F04EEF" w:rsidRDefault="0099351E">
            <w:pPr>
              <w:rPr>
                <w:rFonts w:ascii="Georgia" w:hAnsi="Georgia"/>
                <w:color w:val="000000"/>
              </w:rPr>
            </w:pPr>
            <w:r>
              <w:rPr>
                <w:rFonts w:ascii="Georgia" w:hAnsi="Georgia"/>
                <w:color w:val="000000"/>
              </w:rPr>
              <w:t>Estinnes</w:t>
            </w:r>
          </w:p>
        </w:tc>
        <w:tc>
          <w:tcPr>
            <w:tcW w:w="3827" w:type="dxa"/>
            <w:vAlign w:val="bottom"/>
          </w:tcPr>
          <w:p w:rsidR="00F04EEF" w:rsidRDefault="0099351E">
            <w:pPr>
              <w:rPr>
                <w:rFonts w:ascii="Georgia" w:hAnsi="Georgia"/>
                <w:color w:val="000000"/>
              </w:rPr>
            </w:pPr>
            <w:r>
              <w:rPr>
                <w:rFonts w:ascii="Georgia" w:hAnsi="Georgia"/>
                <w:color w:val="000000"/>
              </w:rPr>
              <w:t>Saint-Gilles</w:t>
            </w:r>
          </w:p>
        </w:tc>
      </w:tr>
      <w:tr w:rsidR="00F04EEF">
        <w:tc>
          <w:tcPr>
            <w:tcW w:w="3543" w:type="dxa"/>
            <w:vAlign w:val="bottom"/>
          </w:tcPr>
          <w:p w:rsidR="00F04EEF" w:rsidRDefault="0099351E">
            <w:pPr>
              <w:rPr>
                <w:rFonts w:ascii="Georgia" w:hAnsi="Georgia"/>
                <w:color w:val="000000"/>
              </w:rPr>
            </w:pPr>
            <w:r>
              <w:rPr>
                <w:rFonts w:ascii="Georgia" w:hAnsi="Georgia"/>
                <w:color w:val="000000"/>
              </w:rPr>
              <w:t>Etalle</w:t>
            </w:r>
          </w:p>
        </w:tc>
        <w:tc>
          <w:tcPr>
            <w:tcW w:w="3827" w:type="dxa"/>
            <w:vAlign w:val="bottom"/>
          </w:tcPr>
          <w:p w:rsidR="00F04EEF" w:rsidRDefault="0099351E">
            <w:pPr>
              <w:rPr>
                <w:rFonts w:ascii="Georgia" w:hAnsi="Georgia"/>
                <w:color w:val="000000"/>
              </w:rPr>
            </w:pPr>
            <w:r>
              <w:rPr>
                <w:rFonts w:ascii="Georgia" w:hAnsi="Georgia"/>
                <w:color w:val="000000"/>
              </w:rPr>
              <w:t>Saint-Hubert</w:t>
            </w:r>
          </w:p>
        </w:tc>
      </w:tr>
      <w:tr w:rsidR="00F04EEF">
        <w:tc>
          <w:tcPr>
            <w:tcW w:w="3543" w:type="dxa"/>
            <w:vAlign w:val="bottom"/>
          </w:tcPr>
          <w:p w:rsidR="00F04EEF" w:rsidRDefault="0099351E">
            <w:pPr>
              <w:rPr>
                <w:rFonts w:ascii="Georgia" w:hAnsi="Georgia"/>
                <w:color w:val="000000"/>
              </w:rPr>
            </w:pPr>
            <w:r>
              <w:rPr>
                <w:rFonts w:ascii="Georgia" w:hAnsi="Georgia"/>
                <w:color w:val="000000"/>
              </w:rPr>
              <w:t>Etterbeek</w:t>
            </w:r>
          </w:p>
        </w:tc>
        <w:tc>
          <w:tcPr>
            <w:tcW w:w="3827" w:type="dxa"/>
            <w:vAlign w:val="bottom"/>
          </w:tcPr>
          <w:p w:rsidR="00F04EEF" w:rsidRDefault="0099351E">
            <w:pPr>
              <w:rPr>
                <w:rFonts w:ascii="Georgia" w:hAnsi="Georgia"/>
                <w:color w:val="000000"/>
              </w:rPr>
            </w:pPr>
            <w:r>
              <w:rPr>
                <w:rFonts w:ascii="Georgia" w:hAnsi="Georgia"/>
                <w:color w:val="000000"/>
              </w:rPr>
              <w:t>Saint-Josse-ten-Noode</w:t>
            </w:r>
          </w:p>
        </w:tc>
      </w:tr>
      <w:tr w:rsidR="00F04EEF">
        <w:tc>
          <w:tcPr>
            <w:tcW w:w="3543" w:type="dxa"/>
            <w:vAlign w:val="bottom"/>
          </w:tcPr>
          <w:p w:rsidR="00F04EEF" w:rsidRDefault="0099351E">
            <w:pPr>
              <w:rPr>
                <w:rFonts w:ascii="Georgia" w:hAnsi="Georgia"/>
                <w:color w:val="000000"/>
              </w:rPr>
            </w:pPr>
            <w:r>
              <w:rPr>
                <w:rFonts w:ascii="Georgia" w:hAnsi="Georgia"/>
                <w:color w:val="000000"/>
              </w:rPr>
              <w:t>Eupen</w:t>
            </w:r>
          </w:p>
        </w:tc>
        <w:tc>
          <w:tcPr>
            <w:tcW w:w="3827" w:type="dxa"/>
            <w:vAlign w:val="bottom"/>
          </w:tcPr>
          <w:p w:rsidR="00F04EEF" w:rsidRDefault="0099351E">
            <w:pPr>
              <w:rPr>
                <w:rFonts w:ascii="Georgia" w:hAnsi="Georgia"/>
                <w:color w:val="000000"/>
              </w:rPr>
            </w:pPr>
            <w:r>
              <w:rPr>
                <w:rFonts w:ascii="Georgia" w:hAnsi="Georgia"/>
                <w:color w:val="000000"/>
              </w:rPr>
              <w:t>Saint-Léger</w:t>
            </w:r>
          </w:p>
        </w:tc>
      </w:tr>
      <w:tr w:rsidR="00F04EEF">
        <w:tc>
          <w:tcPr>
            <w:tcW w:w="3543" w:type="dxa"/>
            <w:vAlign w:val="bottom"/>
          </w:tcPr>
          <w:p w:rsidR="00F04EEF" w:rsidRDefault="0099351E">
            <w:pPr>
              <w:rPr>
                <w:rFonts w:ascii="Georgia" w:hAnsi="Georgia"/>
                <w:color w:val="000000"/>
              </w:rPr>
            </w:pPr>
            <w:r>
              <w:rPr>
                <w:rFonts w:ascii="Georgia" w:hAnsi="Georgia"/>
                <w:color w:val="000000"/>
              </w:rPr>
              <w:t>Evere</w:t>
            </w:r>
          </w:p>
        </w:tc>
        <w:tc>
          <w:tcPr>
            <w:tcW w:w="3827" w:type="dxa"/>
            <w:vAlign w:val="bottom"/>
          </w:tcPr>
          <w:p w:rsidR="00F04EEF" w:rsidRDefault="0099351E">
            <w:pPr>
              <w:rPr>
                <w:rFonts w:ascii="Georgia" w:hAnsi="Georgia"/>
                <w:color w:val="000000"/>
              </w:rPr>
            </w:pPr>
            <w:r>
              <w:rPr>
                <w:rFonts w:ascii="Georgia" w:hAnsi="Georgia"/>
                <w:color w:val="000000"/>
              </w:rPr>
              <w:t>Saint-Nicolas</w:t>
            </w:r>
          </w:p>
        </w:tc>
      </w:tr>
      <w:tr w:rsidR="00F04EEF">
        <w:tc>
          <w:tcPr>
            <w:tcW w:w="3543" w:type="dxa"/>
            <w:vAlign w:val="bottom"/>
          </w:tcPr>
          <w:p w:rsidR="00F04EEF" w:rsidRDefault="0099351E">
            <w:pPr>
              <w:rPr>
                <w:rFonts w:ascii="Georgia" w:hAnsi="Georgia"/>
                <w:color w:val="000000"/>
              </w:rPr>
            </w:pPr>
            <w:r>
              <w:rPr>
                <w:rFonts w:ascii="Georgia" w:hAnsi="Georgia"/>
                <w:color w:val="000000"/>
              </w:rPr>
              <w:t>Faimes</w:t>
            </w:r>
          </w:p>
        </w:tc>
        <w:tc>
          <w:tcPr>
            <w:tcW w:w="3827" w:type="dxa"/>
            <w:vAlign w:val="bottom"/>
          </w:tcPr>
          <w:p w:rsidR="00F04EEF" w:rsidRDefault="0099351E">
            <w:pPr>
              <w:rPr>
                <w:rFonts w:ascii="Georgia" w:hAnsi="Georgia"/>
                <w:color w:val="000000"/>
              </w:rPr>
            </w:pPr>
            <w:r>
              <w:rPr>
                <w:rFonts w:ascii="Georgia" w:hAnsi="Georgia"/>
                <w:color w:val="000000"/>
              </w:rPr>
              <w:t>Saint-Vith</w:t>
            </w:r>
          </w:p>
        </w:tc>
      </w:tr>
      <w:tr w:rsidR="00F04EEF">
        <w:tc>
          <w:tcPr>
            <w:tcW w:w="3543" w:type="dxa"/>
            <w:vAlign w:val="bottom"/>
          </w:tcPr>
          <w:p w:rsidR="00F04EEF" w:rsidRDefault="0099351E">
            <w:pPr>
              <w:rPr>
                <w:rFonts w:ascii="Georgia" w:hAnsi="Georgia"/>
                <w:color w:val="000000"/>
              </w:rPr>
            </w:pPr>
            <w:r>
              <w:rPr>
                <w:rFonts w:ascii="Georgia" w:hAnsi="Georgia"/>
                <w:color w:val="000000"/>
              </w:rPr>
              <w:t>Farciennes</w:t>
            </w:r>
          </w:p>
        </w:tc>
        <w:tc>
          <w:tcPr>
            <w:tcW w:w="3827" w:type="dxa"/>
            <w:vAlign w:val="bottom"/>
          </w:tcPr>
          <w:p w:rsidR="00F04EEF" w:rsidRDefault="0099351E">
            <w:pPr>
              <w:rPr>
                <w:rFonts w:ascii="Georgia" w:hAnsi="Georgia"/>
                <w:color w:val="000000"/>
              </w:rPr>
            </w:pPr>
            <w:r>
              <w:rPr>
                <w:rFonts w:ascii="Georgia" w:hAnsi="Georgia"/>
                <w:color w:val="000000"/>
              </w:rPr>
              <w:t>Sainte-Ode</w:t>
            </w:r>
          </w:p>
        </w:tc>
      </w:tr>
      <w:tr w:rsidR="00F04EEF">
        <w:tc>
          <w:tcPr>
            <w:tcW w:w="3543" w:type="dxa"/>
            <w:vAlign w:val="bottom"/>
          </w:tcPr>
          <w:p w:rsidR="00F04EEF" w:rsidRDefault="0099351E">
            <w:pPr>
              <w:rPr>
                <w:rFonts w:ascii="Georgia" w:hAnsi="Georgia"/>
                <w:color w:val="000000"/>
              </w:rPr>
            </w:pPr>
            <w:r>
              <w:rPr>
                <w:rFonts w:ascii="Georgia" w:hAnsi="Georgia"/>
                <w:color w:val="000000"/>
              </w:rPr>
              <w:t>Fauvillers</w:t>
            </w:r>
          </w:p>
        </w:tc>
        <w:tc>
          <w:tcPr>
            <w:tcW w:w="3827" w:type="dxa"/>
            <w:vAlign w:val="bottom"/>
          </w:tcPr>
          <w:p w:rsidR="00F04EEF" w:rsidRDefault="0099351E">
            <w:pPr>
              <w:rPr>
                <w:rFonts w:ascii="Georgia" w:hAnsi="Georgia"/>
                <w:color w:val="000000"/>
              </w:rPr>
            </w:pPr>
            <w:r>
              <w:rPr>
                <w:rFonts w:ascii="Georgia" w:hAnsi="Georgia"/>
                <w:color w:val="000000"/>
              </w:rPr>
              <w:t>Sambreville</w:t>
            </w:r>
          </w:p>
        </w:tc>
      </w:tr>
      <w:tr w:rsidR="00F04EEF">
        <w:tc>
          <w:tcPr>
            <w:tcW w:w="3543" w:type="dxa"/>
            <w:vAlign w:val="bottom"/>
          </w:tcPr>
          <w:p w:rsidR="00F04EEF" w:rsidRDefault="0099351E">
            <w:pPr>
              <w:rPr>
                <w:rFonts w:ascii="Georgia" w:hAnsi="Georgia"/>
                <w:color w:val="000000"/>
              </w:rPr>
            </w:pPr>
            <w:r>
              <w:rPr>
                <w:rFonts w:ascii="Georgia" w:hAnsi="Georgia"/>
                <w:color w:val="000000"/>
              </w:rPr>
              <w:t>Fernelmont</w:t>
            </w:r>
          </w:p>
        </w:tc>
        <w:tc>
          <w:tcPr>
            <w:tcW w:w="3827" w:type="dxa"/>
            <w:vAlign w:val="bottom"/>
          </w:tcPr>
          <w:p w:rsidR="00F04EEF" w:rsidRDefault="0099351E">
            <w:pPr>
              <w:rPr>
                <w:rFonts w:ascii="Georgia" w:hAnsi="Georgia"/>
                <w:color w:val="000000"/>
              </w:rPr>
            </w:pPr>
            <w:r>
              <w:rPr>
                <w:rFonts w:ascii="Georgia" w:hAnsi="Georgia"/>
                <w:color w:val="000000"/>
              </w:rPr>
              <w:t>Schaerbeek</w:t>
            </w:r>
          </w:p>
        </w:tc>
      </w:tr>
      <w:tr w:rsidR="00F04EEF">
        <w:tc>
          <w:tcPr>
            <w:tcW w:w="3543" w:type="dxa"/>
            <w:vAlign w:val="bottom"/>
          </w:tcPr>
          <w:p w:rsidR="00F04EEF" w:rsidRDefault="0099351E">
            <w:pPr>
              <w:rPr>
                <w:rFonts w:ascii="Georgia" w:hAnsi="Georgia"/>
                <w:color w:val="000000"/>
              </w:rPr>
            </w:pPr>
            <w:r>
              <w:rPr>
                <w:rFonts w:ascii="Georgia" w:hAnsi="Georgia"/>
                <w:color w:val="000000"/>
              </w:rPr>
              <w:t>Ferrières</w:t>
            </w:r>
          </w:p>
        </w:tc>
        <w:tc>
          <w:tcPr>
            <w:tcW w:w="3827" w:type="dxa"/>
            <w:vAlign w:val="bottom"/>
          </w:tcPr>
          <w:p w:rsidR="00F04EEF" w:rsidRDefault="0099351E">
            <w:pPr>
              <w:rPr>
                <w:rFonts w:ascii="Georgia" w:hAnsi="Georgia"/>
                <w:color w:val="000000"/>
              </w:rPr>
            </w:pPr>
            <w:r>
              <w:rPr>
                <w:rFonts w:ascii="Georgia" w:hAnsi="Georgia"/>
                <w:color w:val="000000"/>
              </w:rPr>
              <w:t>Seneffe</w:t>
            </w:r>
          </w:p>
        </w:tc>
      </w:tr>
      <w:tr w:rsidR="00F04EEF">
        <w:tc>
          <w:tcPr>
            <w:tcW w:w="3543" w:type="dxa"/>
            <w:vAlign w:val="bottom"/>
          </w:tcPr>
          <w:p w:rsidR="00F04EEF" w:rsidRDefault="0099351E">
            <w:pPr>
              <w:rPr>
                <w:rFonts w:ascii="Georgia" w:hAnsi="Georgia"/>
                <w:color w:val="000000"/>
              </w:rPr>
            </w:pPr>
            <w:r>
              <w:rPr>
                <w:rFonts w:ascii="Georgia" w:hAnsi="Georgia"/>
                <w:color w:val="000000"/>
              </w:rPr>
              <w:t>Fexhe-le-Haut-Clocher</w:t>
            </w:r>
          </w:p>
        </w:tc>
        <w:tc>
          <w:tcPr>
            <w:tcW w:w="3827" w:type="dxa"/>
            <w:vAlign w:val="bottom"/>
          </w:tcPr>
          <w:p w:rsidR="00F04EEF" w:rsidRDefault="0099351E">
            <w:pPr>
              <w:rPr>
                <w:rFonts w:ascii="Georgia" w:hAnsi="Georgia"/>
                <w:color w:val="000000"/>
              </w:rPr>
            </w:pPr>
            <w:r>
              <w:rPr>
                <w:rFonts w:ascii="Georgia" w:hAnsi="Georgia"/>
                <w:color w:val="000000"/>
              </w:rPr>
              <w:t>Seraing</w:t>
            </w:r>
          </w:p>
        </w:tc>
      </w:tr>
      <w:tr w:rsidR="00F04EEF">
        <w:tc>
          <w:tcPr>
            <w:tcW w:w="3543" w:type="dxa"/>
            <w:vAlign w:val="bottom"/>
          </w:tcPr>
          <w:p w:rsidR="00F04EEF" w:rsidRDefault="0099351E">
            <w:pPr>
              <w:rPr>
                <w:rFonts w:ascii="Georgia" w:hAnsi="Georgia"/>
                <w:color w:val="000000"/>
              </w:rPr>
            </w:pPr>
            <w:r>
              <w:rPr>
                <w:rFonts w:ascii="Georgia" w:hAnsi="Georgia"/>
                <w:color w:val="000000"/>
              </w:rPr>
              <w:t>Flémalle</w:t>
            </w:r>
          </w:p>
        </w:tc>
        <w:tc>
          <w:tcPr>
            <w:tcW w:w="3827" w:type="dxa"/>
            <w:vAlign w:val="bottom"/>
          </w:tcPr>
          <w:p w:rsidR="00F04EEF" w:rsidRDefault="0099351E">
            <w:pPr>
              <w:rPr>
                <w:rFonts w:ascii="Georgia" w:hAnsi="Georgia"/>
                <w:color w:val="000000"/>
              </w:rPr>
            </w:pPr>
            <w:r>
              <w:rPr>
                <w:rFonts w:ascii="Georgia" w:hAnsi="Georgia"/>
                <w:color w:val="000000"/>
              </w:rPr>
              <w:t>Silly</w:t>
            </w:r>
          </w:p>
        </w:tc>
      </w:tr>
      <w:tr w:rsidR="00F04EEF">
        <w:tc>
          <w:tcPr>
            <w:tcW w:w="3543" w:type="dxa"/>
            <w:vAlign w:val="bottom"/>
          </w:tcPr>
          <w:p w:rsidR="00F04EEF" w:rsidRDefault="0099351E">
            <w:pPr>
              <w:rPr>
                <w:rFonts w:ascii="Georgia" w:hAnsi="Georgia"/>
                <w:color w:val="000000"/>
              </w:rPr>
            </w:pPr>
            <w:r>
              <w:rPr>
                <w:rFonts w:ascii="Georgia" w:hAnsi="Georgia"/>
                <w:color w:val="000000"/>
              </w:rPr>
              <w:t>Fléron</w:t>
            </w:r>
          </w:p>
        </w:tc>
        <w:tc>
          <w:tcPr>
            <w:tcW w:w="3827" w:type="dxa"/>
            <w:vAlign w:val="bottom"/>
          </w:tcPr>
          <w:p w:rsidR="00F04EEF" w:rsidRDefault="0099351E">
            <w:pPr>
              <w:rPr>
                <w:rFonts w:ascii="Georgia" w:hAnsi="Georgia"/>
                <w:color w:val="000000"/>
              </w:rPr>
            </w:pPr>
            <w:r>
              <w:rPr>
                <w:rFonts w:ascii="Georgia" w:hAnsi="Georgia"/>
                <w:color w:val="000000"/>
              </w:rPr>
              <w:t>Sivry-Rance</w:t>
            </w:r>
          </w:p>
        </w:tc>
      </w:tr>
      <w:tr w:rsidR="00F04EEF">
        <w:tc>
          <w:tcPr>
            <w:tcW w:w="3543" w:type="dxa"/>
            <w:vAlign w:val="bottom"/>
          </w:tcPr>
          <w:p w:rsidR="00F04EEF" w:rsidRDefault="0099351E">
            <w:pPr>
              <w:rPr>
                <w:rFonts w:ascii="Georgia" w:hAnsi="Georgia"/>
                <w:color w:val="000000"/>
              </w:rPr>
            </w:pPr>
            <w:r>
              <w:rPr>
                <w:rFonts w:ascii="Georgia" w:hAnsi="Georgia"/>
                <w:color w:val="000000"/>
              </w:rPr>
              <w:t>Fleurus</w:t>
            </w:r>
          </w:p>
        </w:tc>
        <w:tc>
          <w:tcPr>
            <w:tcW w:w="3827" w:type="dxa"/>
            <w:vAlign w:val="bottom"/>
          </w:tcPr>
          <w:p w:rsidR="00F04EEF" w:rsidRDefault="0099351E">
            <w:pPr>
              <w:rPr>
                <w:rFonts w:ascii="Georgia" w:hAnsi="Georgia"/>
                <w:color w:val="000000"/>
              </w:rPr>
            </w:pPr>
            <w:r>
              <w:rPr>
                <w:rFonts w:ascii="Georgia" w:hAnsi="Georgia"/>
                <w:color w:val="000000"/>
              </w:rPr>
              <w:t>Soignies</w:t>
            </w:r>
          </w:p>
        </w:tc>
      </w:tr>
      <w:tr w:rsidR="00F04EEF">
        <w:tc>
          <w:tcPr>
            <w:tcW w:w="3543" w:type="dxa"/>
            <w:vAlign w:val="bottom"/>
          </w:tcPr>
          <w:p w:rsidR="00F04EEF" w:rsidRDefault="0099351E">
            <w:pPr>
              <w:rPr>
                <w:rFonts w:ascii="Georgia" w:hAnsi="Georgia"/>
                <w:color w:val="000000"/>
              </w:rPr>
            </w:pPr>
            <w:r>
              <w:rPr>
                <w:rFonts w:ascii="Georgia" w:hAnsi="Georgia"/>
                <w:color w:val="000000"/>
              </w:rPr>
              <w:t>Flobecq</w:t>
            </w:r>
          </w:p>
        </w:tc>
        <w:tc>
          <w:tcPr>
            <w:tcW w:w="3827" w:type="dxa"/>
            <w:vAlign w:val="bottom"/>
          </w:tcPr>
          <w:p w:rsidR="00F04EEF" w:rsidRDefault="0099351E">
            <w:pPr>
              <w:rPr>
                <w:rFonts w:ascii="Georgia" w:hAnsi="Georgia"/>
                <w:color w:val="000000"/>
              </w:rPr>
            </w:pPr>
            <w:r>
              <w:rPr>
                <w:rFonts w:ascii="Georgia" w:hAnsi="Georgia"/>
                <w:color w:val="000000"/>
              </w:rPr>
              <w:t>Sombreffe</w:t>
            </w:r>
          </w:p>
        </w:tc>
      </w:tr>
      <w:tr w:rsidR="00F04EEF">
        <w:tc>
          <w:tcPr>
            <w:tcW w:w="3543" w:type="dxa"/>
            <w:vAlign w:val="bottom"/>
          </w:tcPr>
          <w:p w:rsidR="00F04EEF" w:rsidRDefault="0099351E">
            <w:pPr>
              <w:rPr>
                <w:rFonts w:ascii="Georgia" w:hAnsi="Georgia"/>
                <w:color w:val="000000"/>
              </w:rPr>
            </w:pPr>
            <w:r>
              <w:rPr>
                <w:rFonts w:ascii="Georgia" w:hAnsi="Georgia"/>
                <w:color w:val="000000"/>
              </w:rPr>
              <w:t>Floreffe</w:t>
            </w:r>
          </w:p>
        </w:tc>
        <w:tc>
          <w:tcPr>
            <w:tcW w:w="3827" w:type="dxa"/>
            <w:vAlign w:val="bottom"/>
          </w:tcPr>
          <w:p w:rsidR="00F04EEF" w:rsidRDefault="0099351E">
            <w:pPr>
              <w:rPr>
                <w:rFonts w:ascii="Georgia" w:hAnsi="Georgia"/>
                <w:color w:val="000000"/>
              </w:rPr>
            </w:pPr>
            <w:r>
              <w:rPr>
                <w:rFonts w:ascii="Georgia" w:hAnsi="Georgia"/>
                <w:color w:val="000000"/>
              </w:rPr>
              <w:t>Somme-Leuze</w:t>
            </w:r>
          </w:p>
        </w:tc>
      </w:tr>
      <w:tr w:rsidR="00F04EEF">
        <w:tc>
          <w:tcPr>
            <w:tcW w:w="3543" w:type="dxa"/>
            <w:vAlign w:val="bottom"/>
          </w:tcPr>
          <w:p w:rsidR="00F04EEF" w:rsidRDefault="0099351E">
            <w:pPr>
              <w:rPr>
                <w:rFonts w:ascii="Georgia" w:hAnsi="Georgia"/>
                <w:color w:val="000000"/>
              </w:rPr>
            </w:pPr>
            <w:r>
              <w:rPr>
                <w:rFonts w:ascii="Georgia" w:hAnsi="Georgia"/>
                <w:color w:val="000000"/>
              </w:rPr>
              <w:t>Florennes</w:t>
            </w:r>
          </w:p>
        </w:tc>
        <w:tc>
          <w:tcPr>
            <w:tcW w:w="3827" w:type="dxa"/>
            <w:vAlign w:val="bottom"/>
          </w:tcPr>
          <w:p w:rsidR="00F04EEF" w:rsidRDefault="0099351E">
            <w:pPr>
              <w:rPr>
                <w:rFonts w:ascii="Georgia" w:hAnsi="Georgia"/>
                <w:color w:val="000000"/>
              </w:rPr>
            </w:pPr>
            <w:r>
              <w:rPr>
                <w:rFonts w:ascii="Georgia" w:hAnsi="Georgia"/>
                <w:color w:val="000000"/>
              </w:rPr>
              <w:t>Soumagne</w:t>
            </w:r>
          </w:p>
        </w:tc>
      </w:tr>
      <w:tr w:rsidR="00F04EEF">
        <w:tc>
          <w:tcPr>
            <w:tcW w:w="3543" w:type="dxa"/>
            <w:vAlign w:val="bottom"/>
          </w:tcPr>
          <w:p w:rsidR="00F04EEF" w:rsidRDefault="0099351E">
            <w:pPr>
              <w:rPr>
                <w:rFonts w:ascii="Georgia" w:hAnsi="Georgia"/>
                <w:color w:val="000000"/>
              </w:rPr>
            </w:pPr>
            <w:r>
              <w:rPr>
                <w:rFonts w:ascii="Georgia" w:hAnsi="Georgia"/>
                <w:color w:val="000000"/>
              </w:rPr>
              <w:t>Florenville</w:t>
            </w:r>
          </w:p>
        </w:tc>
        <w:tc>
          <w:tcPr>
            <w:tcW w:w="3827" w:type="dxa"/>
            <w:vAlign w:val="bottom"/>
          </w:tcPr>
          <w:p w:rsidR="00F04EEF" w:rsidRDefault="0099351E">
            <w:pPr>
              <w:rPr>
                <w:rFonts w:ascii="Georgia" w:hAnsi="Georgia"/>
                <w:color w:val="000000"/>
              </w:rPr>
            </w:pPr>
            <w:r>
              <w:rPr>
                <w:rFonts w:ascii="Georgia" w:hAnsi="Georgia"/>
                <w:color w:val="000000"/>
              </w:rPr>
              <w:t>Spa</w:t>
            </w:r>
          </w:p>
        </w:tc>
      </w:tr>
      <w:tr w:rsidR="00F04EEF">
        <w:tc>
          <w:tcPr>
            <w:tcW w:w="3543" w:type="dxa"/>
            <w:vAlign w:val="bottom"/>
          </w:tcPr>
          <w:p w:rsidR="00F04EEF" w:rsidRDefault="0099351E">
            <w:pPr>
              <w:rPr>
                <w:rFonts w:ascii="Georgia" w:hAnsi="Georgia"/>
                <w:color w:val="000000"/>
              </w:rPr>
            </w:pPr>
            <w:r>
              <w:rPr>
                <w:rFonts w:ascii="Georgia" w:hAnsi="Georgia"/>
                <w:color w:val="000000"/>
              </w:rPr>
              <w:t>Fontaine-l'Evêque</w:t>
            </w:r>
          </w:p>
        </w:tc>
        <w:tc>
          <w:tcPr>
            <w:tcW w:w="3827" w:type="dxa"/>
            <w:vAlign w:val="bottom"/>
          </w:tcPr>
          <w:p w:rsidR="00F04EEF" w:rsidRDefault="0099351E">
            <w:pPr>
              <w:rPr>
                <w:rFonts w:ascii="Georgia" w:hAnsi="Georgia"/>
                <w:color w:val="000000"/>
              </w:rPr>
            </w:pPr>
            <w:r>
              <w:rPr>
                <w:rFonts w:ascii="Georgia" w:hAnsi="Georgia"/>
                <w:color w:val="000000"/>
              </w:rPr>
              <w:t>Sprimont</w:t>
            </w:r>
          </w:p>
        </w:tc>
      </w:tr>
      <w:tr w:rsidR="00F04EEF">
        <w:tc>
          <w:tcPr>
            <w:tcW w:w="3543" w:type="dxa"/>
            <w:vAlign w:val="bottom"/>
          </w:tcPr>
          <w:p w:rsidR="00F04EEF" w:rsidRDefault="0099351E">
            <w:pPr>
              <w:rPr>
                <w:rFonts w:ascii="Georgia" w:hAnsi="Georgia"/>
                <w:color w:val="000000"/>
              </w:rPr>
            </w:pPr>
            <w:r>
              <w:rPr>
                <w:rFonts w:ascii="Georgia" w:hAnsi="Georgia"/>
                <w:color w:val="000000"/>
              </w:rPr>
              <w:t>Forest</w:t>
            </w:r>
          </w:p>
        </w:tc>
        <w:tc>
          <w:tcPr>
            <w:tcW w:w="3827" w:type="dxa"/>
            <w:vAlign w:val="bottom"/>
          </w:tcPr>
          <w:p w:rsidR="00F04EEF" w:rsidRDefault="0099351E">
            <w:pPr>
              <w:rPr>
                <w:rFonts w:ascii="Georgia" w:hAnsi="Georgia"/>
                <w:color w:val="000000"/>
              </w:rPr>
            </w:pPr>
            <w:r>
              <w:rPr>
                <w:rFonts w:ascii="Georgia" w:hAnsi="Georgia"/>
                <w:color w:val="000000"/>
              </w:rPr>
              <w:t>Stavelot</w:t>
            </w:r>
          </w:p>
        </w:tc>
      </w:tr>
      <w:tr w:rsidR="00F04EEF">
        <w:tc>
          <w:tcPr>
            <w:tcW w:w="3543" w:type="dxa"/>
            <w:vAlign w:val="bottom"/>
          </w:tcPr>
          <w:p w:rsidR="00F04EEF" w:rsidRDefault="0099351E">
            <w:pPr>
              <w:rPr>
                <w:rFonts w:ascii="Georgia" w:hAnsi="Georgia"/>
                <w:color w:val="000000"/>
              </w:rPr>
            </w:pPr>
            <w:r>
              <w:rPr>
                <w:rFonts w:ascii="Georgia" w:hAnsi="Georgia"/>
                <w:color w:val="000000"/>
              </w:rPr>
              <w:t>Fosses-la-Ville</w:t>
            </w:r>
          </w:p>
        </w:tc>
        <w:tc>
          <w:tcPr>
            <w:tcW w:w="3827" w:type="dxa"/>
            <w:vAlign w:val="bottom"/>
          </w:tcPr>
          <w:p w:rsidR="00F04EEF" w:rsidRDefault="0099351E">
            <w:pPr>
              <w:rPr>
                <w:rFonts w:ascii="Georgia" w:hAnsi="Georgia"/>
                <w:color w:val="000000"/>
              </w:rPr>
            </w:pPr>
            <w:r>
              <w:rPr>
                <w:rFonts w:ascii="Georgia" w:hAnsi="Georgia"/>
                <w:color w:val="000000"/>
              </w:rPr>
              <w:t>Stoumont</w:t>
            </w:r>
          </w:p>
        </w:tc>
      </w:tr>
      <w:tr w:rsidR="00F04EEF">
        <w:tc>
          <w:tcPr>
            <w:tcW w:w="3543" w:type="dxa"/>
            <w:vAlign w:val="bottom"/>
          </w:tcPr>
          <w:p w:rsidR="00F04EEF" w:rsidRDefault="0099351E">
            <w:pPr>
              <w:rPr>
                <w:rFonts w:ascii="Georgia" w:hAnsi="Georgia"/>
                <w:color w:val="000000"/>
              </w:rPr>
            </w:pPr>
            <w:r>
              <w:rPr>
                <w:rFonts w:ascii="Georgia" w:hAnsi="Georgia"/>
                <w:color w:val="000000"/>
              </w:rPr>
              <w:t>Frameries</w:t>
            </w:r>
          </w:p>
        </w:tc>
        <w:tc>
          <w:tcPr>
            <w:tcW w:w="3827" w:type="dxa"/>
            <w:vAlign w:val="bottom"/>
          </w:tcPr>
          <w:p w:rsidR="00F04EEF" w:rsidRDefault="0099351E">
            <w:pPr>
              <w:rPr>
                <w:rFonts w:ascii="Georgia" w:hAnsi="Georgia"/>
                <w:color w:val="000000"/>
              </w:rPr>
            </w:pPr>
            <w:r>
              <w:rPr>
                <w:rFonts w:ascii="Georgia" w:hAnsi="Georgia"/>
                <w:color w:val="000000"/>
              </w:rPr>
              <w:t>Tellin</w:t>
            </w:r>
          </w:p>
        </w:tc>
      </w:tr>
      <w:tr w:rsidR="00F04EEF">
        <w:tc>
          <w:tcPr>
            <w:tcW w:w="3543" w:type="dxa"/>
            <w:vAlign w:val="bottom"/>
          </w:tcPr>
          <w:p w:rsidR="00F04EEF" w:rsidRDefault="0099351E">
            <w:pPr>
              <w:rPr>
                <w:rFonts w:ascii="Georgia" w:hAnsi="Georgia"/>
                <w:color w:val="000000"/>
              </w:rPr>
            </w:pPr>
            <w:r>
              <w:rPr>
                <w:rFonts w:ascii="Georgia" w:hAnsi="Georgia"/>
                <w:color w:val="000000"/>
              </w:rPr>
              <w:t>Frasnes-lez-Anvaing</w:t>
            </w:r>
          </w:p>
        </w:tc>
        <w:tc>
          <w:tcPr>
            <w:tcW w:w="3827" w:type="dxa"/>
            <w:vAlign w:val="bottom"/>
          </w:tcPr>
          <w:p w:rsidR="00F04EEF" w:rsidRDefault="0099351E">
            <w:pPr>
              <w:rPr>
                <w:rFonts w:ascii="Georgia" w:hAnsi="Georgia"/>
                <w:color w:val="000000"/>
              </w:rPr>
            </w:pPr>
            <w:r>
              <w:rPr>
                <w:rFonts w:ascii="Georgia" w:hAnsi="Georgia"/>
                <w:color w:val="000000"/>
              </w:rPr>
              <w:t>Tenneville</w:t>
            </w:r>
          </w:p>
        </w:tc>
      </w:tr>
      <w:tr w:rsidR="00F04EEF">
        <w:tc>
          <w:tcPr>
            <w:tcW w:w="3543" w:type="dxa"/>
            <w:vAlign w:val="bottom"/>
          </w:tcPr>
          <w:p w:rsidR="00F04EEF" w:rsidRDefault="0099351E">
            <w:pPr>
              <w:rPr>
                <w:rFonts w:ascii="Georgia" w:hAnsi="Georgia"/>
                <w:color w:val="000000"/>
              </w:rPr>
            </w:pPr>
            <w:r>
              <w:rPr>
                <w:rFonts w:ascii="Georgia" w:hAnsi="Georgia"/>
                <w:color w:val="000000"/>
              </w:rPr>
              <w:t>Froidchapelle</w:t>
            </w:r>
          </w:p>
        </w:tc>
        <w:tc>
          <w:tcPr>
            <w:tcW w:w="3827" w:type="dxa"/>
            <w:vAlign w:val="bottom"/>
          </w:tcPr>
          <w:p w:rsidR="00F04EEF" w:rsidRDefault="0099351E">
            <w:pPr>
              <w:rPr>
                <w:rFonts w:ascii="Georgia" w:hAnsi="Georgia"/>
                <w:color w:val="000000"/>
              </w:rPr>
            </w:pPr>
            <w:r>
              <w:rPr>
                <w:rFonts w:ascii="Georgia" w:hAnsi="Georgia"/>
                <w:color w:val="000000"/>
              </w:rPr>
              <w:t>Theux</w:t>
            </w:r>
          </w:p>
        </w:tc>
      </w:tr>
      <w:tr w:rsidR="00F04EEF">
        <w:tc>
          <w:tcPr>
            <w:tcW w:w="3543" w:type="dxa"/>
            <w:vAlign w:val="bottom"/>
          </w:tcPr>
          <w:p w:rsidR="00F04EEF" w:rsidRDefault="0099351E">
            <w:pPr>
              <w:rPr>
                <w:rFonts w:ascii="Georgia" w:hAnsi="Georgia"/>
                <w:color w:val="000000"/>
              </w:rPr>
            </w:pPr>
            <w:r>
              <w:rPr>
                <w:rFonts w:ascii="Georgia" w:hAnsi="Georgia"/>
                <w:color w:val="000000"/>
              </w:rPr>
              <w:t>Ganshoren</w:t>
            </w:r>
          </w:p>
        </w:tc>
        <w:tc>
          <w:tcPr>
            <w:tcW w:w="3827" w:type="dxa"/>
            <w:vAlign w:val="bottom"/>
          </w:tcPr>
          <w:p w:rsidR="00F04EEF" w:rsidRDefault="0099351E">
            <w:pPr>
              <w:rPr>
                <w:rFonts w:ascii="Georgia" w:hAnsi="Georgia"/>
                <w:color w:val="000000"/>
              </w:rPr>
            </w:pPr>
            <w:r>
              <w:rPr>
                <w:rFonts w:ascii="Georgia" w:hAnsi="Georgia"/>
                <w:color w:val="000000"/>
              </w:rPr>
              <w:t>Thimister-Clermont</w:t>
            </w:r>
          </w:p>
        </w:tc>
      </w:tr>
      <w:tr w:rsidR="00F04EEF">
        <w:tc>
          <w:tcPr>
            <w:tcW w:w="3543" w:type="dxa"/>
            <w:vAlign w:val="bottom"/>
          </w:tcPr>
          <w:p w:rsidR="00F04EEF" w:rsidRDefault="0099351E">
            <w:pPr>
              <w:rPr>
                <w:rFonts w:ascii="Georgia" w:hAnsi="Georgia"/>
                <w:color w:val="000000"/>
              </w:rPr>
            </w:pPr>
            <w:r>
              <w:rPr>
                <w:rFonts w:ascii="Georgia" w:hAnsi="Georgia"/>
                <w:color w:val="000000"/>
              </w:rPr>
              <w:t>Gedinne</w:t>
            </w:r>
          </w:p>
        </w:tc>
        <w:tc>
          <w:tcPr>
            <w:tcW w:w="3827" w:type="dxa"/>
            <w:vAlign w:val="bottom"/>
          </w:tcPr>
          <w:p w:rsidR="00F04EEF" w:rsidRDefault="0099351E">
            <w:pPr>
              <w:rPr>
                <w:rFonts w:ascii="Georgia" w:hAnsi="Georgia"/>
                <w:color w:val="000000"/>
              </w:rPr>
            </w:pPr>
            <w:r>
              <w:rPr>
                <w:rFonts w:ascii="Georgia" w:hAnsi="Georgia"/>
                <w:color w:val="000000"/>
              </w:rPr>
              <w:t>Thuin</w:t>
            </w:r>
          </w:p>
        </w:tc>
      </w:tr>
      <w:tr w:rsidR="00F04EEF">
        <w:tc>
          <w:tcPr>
            <w:tcW w:w="3543" w:type="dxa"/>
            <w:vAlign w:val="bottom"/>
          </w:tcPr>
          <w:p w:rsidR="00F04EEF" w:rsidRDefault="0099351E">
            <w:pPr>
              <w:rPr>
                <w:rFonts w:ascii="Georgia" w:hAnsi="Georgia"/>
                <w:color w:val="000000"/>
              </w:rPr>
            </w:pPr>
            <w:r>
              <w:rPr>
                <w:rFonts w:ascii="Georgia" w:hAnsi="Georgia"/>
                <w:color w:val="000000"/>
              </w:rPr>
              <w:t>Geer</w:t>
            </w:r>
          </w:p>
        </w:tc>
        <w:tc>
          <w:tcPr>
            <w:tcW w:w="3827" w:type="dxa"/>
            <w:vAlign w:val="bottom"/>
          </w:tcPr>
          <w:p w:rsidR="00F04EEF" w:rsidRDefault="0099351E">
            <w:pPr>
              <w:rPr>
                <w:rFonts w:ascii="Georgia" w:hAnsi="Georgia"/>
                <w:color w:val="000000"/>
              </w:rPr>
            </w:pPr>
            <w:r>
              <w:rPr>
                <w:rFonts w:ascii="Georgia" w:hAnsi="Georgia"/>
                <w:color w:val="000000"/>
              </w:rPr>
              <w:t>Tinlot</w:t>
            </w:r>
          </w:p>
        </w:tc>
      </w:tr>
      <w:tr w:rsidR="00F04EEF">
        <w:tc>
          <w:tcPr>
            <w:tcW w:w="3543" w:type="dxa"/>
            <w:vAlign w:val="bottom"/>
          </w:tcPr>
          <w:p w:rsidR="00F04EEF" w:rsidRDefault="0099351E">
            <w:pPr>
              <w:rPr>
                <w:rFonts w:ascii="Georgia" w:hAnsi="Georgia"/>
                <w:color w:val="000000"/>
              </w:rPr>
            </w:pPr>
            <w:r>
              <w:rPr>
                <w:rFonts w:ascii="Georgia" w:hAnsi="Georgia"/>
                <w:color w:val="000000"/>
              </w:rPr>
              <w:t>Gembloux</w:t>
            </w:r>
          </w:p>
        </w:tc>
        <w:tc>
          <w:tcPr>
            <w:tcW w:w="3827" w:type="dxa"/>
            <w:vAlign w:val="bottom"/>
          </w:tcPr>
          <w:p w:rsidR="00F04EEF" w:rsidRDefault="0099351E">
            <w:pPr>
              <w:rPr>
                <w:rFonts w:ascii="Georgia" w:hAnsi="Georgia"/>
                <w:color w:val="000000"/>
              </w:rPr>
            </w:pPr>
            <w:r>
              <w:rPr>
                <w:rFonts w:ascii="Georgia" w:hAnsi="Georgia"/>
                <w:color w:val="000000"/>
              </w:rPr>
              <w:t>Tintigny</w:t>
            </w:r>
          </w:p>
        </w:tc>
      </w:tr>
      <w:tr w:rsidR="00F04EEF">
        <w:tc>
          <w:tcPr>
            <w:tcW w:w="3543" w:type="dxa"/>
            <w:vAlign w:val="bottom"/>
          </w:tcPr>
          <w:p w:rsidR="00F04EEF" w:rsidRDefault="0099351E">
            <w:pPr>
              <w:rPr>
                <w:rFonts w:ascii="Georgia" w:hAnsi="Georgia"/>
                <w:color w:val="000000"/>
              </w:rPr>
            </w:pPr>
            <w:r>
              <w:rPr>
                <w:rFonts w:ascii="Georgia" w:hAnsi="Georgia"/>
                <w:color w:val="000000"/>
              </w:rPr>
              <w:t>Genappe</w:t>
            </w:r>
          </w:p>
        </w:tc>
        <w:tc>
          <w:tcPr>
            <w:tcW w:w="3827" w:type="dxa"/>
            <w:vAlign w:val="bottom"/>
          </w:tcPr>
          <w:p w:rsidR="00F04EEF" w:rsidRDefault="0099351E">
            <w:pPr>
              <w:rPr>
                <w:rFonts w:ascii="Georgia" w:hAnsi="Georgia"/>
                <w:color w:val="000000"/>
              </w:rPr>
            </w:pPr>
            <w:r>
              <w:rPr>
                <w:rFonts w:ascii="Georgia" w:hAnsi="Georgia"/>
                <w:color w:val="000000"/>
              </w:rPr>
              <w:t>Tournai</w:t>
            </w:r>
          </w:p>
        </w:tc>
      </w:tr>
      <w:tr w:rsidR="00F04EEF">
        <w:tc>
          <w:tcPr>
            <w:tcW w:w="3543" w:type="dxa"/>
            <w:vAlign w:val="bottom"/>
          </w:tcPr>
          <w:p w:rsidR="00F04EEF" w:rsidRDefault="0099351E">
            <w:pPr>
              <w:rPr>
                <w:rFonts w:ascii="Georgia" w:hAnsi="Georgia"/>
                <w:color w:val="000000"/>
              </w:rPr>
            </w:pPr>
            <w:r>
              <w:rPr>
                <w:rFonts w:ascii="Georgia" w:hAnsi="Georgia"/>
                <w:color w:val="000000"/>
              </w:rPr>
              <w:t>Gerpinnes</w:t>
            </w:r>
          </w:p>
        </w:tc>
        <w:tc>
          <w:tcPr>
            <w:tcW w:w="3827" w:type="dxa"/>
            <w:vAlign w:val="bottom"/>
          </w:tcPr>
          <w:p w:rsidR="00F04EEF" w:rsidRDefault="0099351E">
            <w:pPr>
              <w:rPr>
                <w:rFonts w:ascii="Georgia" w:hAnsi="Georgia"/>
                <w:color w:val="000000"/>
              </w:rPr>
            </w:pPr>
            <w:r>
              <w:rPr>
                <w:rFonts w:ascii="Georgia" w:hAnsi="Georgia"/>
                <w:color w:val="000000"/>
              </w:rPr>
              <w:t>Trois-Ponts</w:t>
            </w:r>
          </w:p>
        </w:tc>
      </w:tr>
      <w:tr w:rsidR="00F04EEF">
        <w:tc>
          <w:tcPr>
            <w:tcW w:w="3543" w:type="dxa"/>
            <w:vAlign w:val="bottom"/>
          </w:tcPr>
          <w:p w:rsidR="00F04EEF" w:rsidRDefault="0099351E">
            <w:pPr>
              <w:rPr>
                <w:rFonts w:ascii="Georgia" w:hAnsi="Georgia"/>
                <w:color w:val="000000"/>
              </w:rPr>
            </w:pPr>
            <w:r>
              <w:rPr>
                <w:rFonts w:ascii="Georgia" w:hAnsi="Georgia"/>
                <w:color w:val="000000"/>
              </w:rPr>
              <w:t>Gesves</w:t>
            </w:r>
          </w:p>
        </w:tc>
        <w:tc>
          <w:tcPr>
            <w:tcW w:w="3827" w:type="dxa"/>
            <w:vAlign w:val="bottom"/>
          </w:tcPr>
          <w:p w:rsidR="00F04EEF" w:rsidRDefault="0099351E">
            <w:pPr>
              <w:rPr>
                <w:rFonts w:ascii="Georgia" w:hAnsi="Georgia"/>
                <w:color w:val="000000"/>
              </w:rPr>
            </w:pPr>
            <w:r>
              <w:rPr>
                <w:rFonts w:ascii="Georgia" w:hAnsi="Georgia"/>
                <w:color w:val="000000"/>
              </w:rPr>
              <w:t>Trooz</w:t>
            </w:r>
          </w:p>
        </w:tc>
      </w:tr>
      <w:tr w:rsidR="00F04EEF">
        <w:tc>
          <w:tcPr>
            <w:tcW w:w="3543" w:type="dxa"/>
            <w:vAlign w:val="bottom"/>
          </w:tcPr>
          <w:p w:rsidR="00F04EEF" w:rsidRDefault="0099351E">
            <w:pPr>
              <w:rPr>
                <w:rFonts w:ascii="Georgia" w:hAnsi="Georgia"/>
                <w:color w:val="000000"/>
              </w:rPr>
            </w:pPr>
            <w:r>
              <w:rPr>
                <w:rFonts w:ascii="Georgia" w:hAnsi="Georgia"/>
                <w:color w:val="000000"/>
              </w:rPr>
              <w:t>Gouvy</w:t>
            </w:r>
          </w:p>
        </w:tc>
        <w:tc>
          <w:tcPr>
            <w:tcW w:w="3827" w:type="dxa"/>
            <w:vAlign w:val="bottom"/>
          </w:tcPr>
          <w:p w:rsidR="00F04EEF" w:rsidRDefault="0099351E">
            <w:pPr>
              <w:rPr>
                <w:rFonts w:ascii="Georgia" w:hAnsi="Georgia"/>
                <w:color w:val="000000"/>
              </w:rPr>
            </w:pPr>
            <w:r>
              <w:rPr>
                <w:rFonts w:ascii="Georgia" w:hAnsi="Georgia"/>
                <w:color w:val="000000"/>
              </w:rPr>
              <w:t>Tubize</w:t>
            </w:r>
          </w:p>
        </w:tc>
      </w:tr>
      <w:tr w:rsidR="00F04EEF">
        <w:tc>
          <w:tcPr>
            <w:tcW w:w="3543" w:type="dxa"/>
            <w:vAlign w:val="bottom"/>
          </w:tcPr>
          <w:p w:rsidR="00F04EEF" w:rsidRDefault="0099351E">
            <w:pPr>
              <w:rPr>
                <w:rFonts w:ascii="Georgia" w:hAnsi="Georgia"/>
                <w:color w:val="000000"/>
              </w:rPr>
            </w:pPr>
            <w:r>
              <w:rPr>
                <w:rFonts w:ascii="Georgia" w:hAnsi="Georgia"/>
                <w:color w:val="000000"/>
              </w:rPr>
              <w:t>Grâce-Hollogne</w:t>
            </w:r>
          </w:p>
        </w:tc>
        <w:tc>
          <w:tcPr>
            <w:tcW w:w="3827" w:type="dxa"/>
            <w:vAlign w:val="bottom"/>
          </w:tcPr>
          <w:p w:rsidR="00F04EEF" w:rsidRDefault="0099351E">
            <w:pPr>
              <w:rPr>
                <w:rFonts w:ascii="Georgia" w:hAnsi="Georgia"/>
                <w:color w:val="000000"/>
              </w:rPr>
            </w:pPr>
            <w:r>
              <w:rPr>
                <w:rFonts w:ascii="Georgia" w:hAnsi="Georgia"/>
                <w:color w:val="000000"/>
              </w:rPr>
              <w:t>Uccle</w:t>
            </w:r>
          </w:p>
        </w:tc>
      </w:tr>
      <w:tr w:rsidR="00F04EEF">
        <w:tc>
          <w:tcPr>
            <w:tcW w:w="3543" w:type="dxa"/>
            <w:vAlign w:val="bottom"/>
          </w:tcPr>
          <w:p w:rsidR="00F04EEF" w:rsidRDefault="0099351E">
            <w:pPr>
              <w:rPr>
                <w:rFonts w:ascii="Georgia" w:hAnsi="Georgia"/>
                <w:color w:val="000000"/>
              </w:rPr>
            </w:pPr>
            <w:r>
              <w:rPr>
                <w:rFonts w:ascii="Georgia" w:hAnsi="Georgia"/>
                <w:color w:val="000000"/>
              </w:rPr>
              <w:t>Grez-Doiceau</w:t>
            </w:r>
          </w:p>
        </w:tc>
        <w:tc>
          <w:tcPr>
            <w:tcW w:w="3827" w:type="dxa"/>
            <w:vAlign w:val="bottom"/>
          </w:tcPr>
          <w:p w:rsidR="00F04EEF" w:rsidRDefault="0099351E">
            <w:pPr>
              <w:rPr>
                <w:rFonts w:ascii="Georgia" w:hAnsi="Georgia"/>
                <w:color w:val="000000"/>
              </w:rPr>
            </w:pPr>
            <w:r>
              <w:rPr>
                <w:rFonts w:ascii="Georgia" w:hAnsi="Georgia"/>
                <w:color w:val="000000"/>
              </w:rPr>
              <w:t>Vaux-sur-Sûre</w:t>
            </w:r>
          </w:p>
        </w:tc>
      </w:tr>
      <w:tr w:rsidR="00F04EEF">
        <w:tc>
          <w:tcPr>
            <w:tcW w:w="3543" w:type="dxa"/>
            <w:vAlign w:val="bottom"/>
          </w:tcPr>
          <w:p w:rsidR="00F04EEF" w:rsidRDefault="0099351E">
            <w:pPr>
              <w:rPr>
                <w:rFonts w:ascii="Georgia" w:hAnsi="Georgia"/>
                <w:color w:val="000000"/>
              </w:rPr>
            </w:pPr>
            <w:r>
              <w:rPr>
                <w:rFonts w:ascii="Georgia" w:hAnsi="Georgia"/>
                <w:color w:val="000000"/>
              </w:rPr>
              <w:t>Habay</w:t>
            </w:r>
          </w:p>
        </w:tc>
        <w:tc>
          <w:tcPr>
            <w:tcW w:w="3827" w:type="dxa"/>
            <w:vAlign w:val="bottom"/>
          </w:tcPr>
          <w:p w:rsidR="00F04EEF" w:rsidRDefault="0099351E">
            <w:pPr>
              <w:rPr>
                <w:rFonts w:ascii="Georgia" w:hAnsi="Georgia"/>
                <w:color w:val="000000"/>
              </w:rPr>
            </w:pPr>
            <w:r>
              <w:rPr>
                <w:rFonts w:ascii="Georgia" w:hAnsi="Georgia"/>
                <w:color w:val="000000"/>
              </w:rPr>
              <w:t>Verlaine</w:t>
            </w:r>
          </w:p>
        </w:tc>
      </w:tr>
      <w:tr w:rsidR="00F04EEF">
        <w:tc>
          <w:tcPr>
            <w:tcW w:w="3543" w:type="dxa"/>
            <w:vAlign w:val="bottom"/>
          </w:tcPr>
          <w:p w:rsidR="00F04EEF" w:rsidRDefault="0099351E">
            <w:pPr>
              <w:rPr>
                <w:rFonts w:ascii="Georgia" w:hAnsi="Georgia"/>
                <w:color w:val="000000"/>
              </w:rPr>
            </w:pPr>
            <w:r>
              <w:rPr>
                <w:rFonts w:ascii="Georgia" w:hAnsi="Georgia"/>
                <w:color w:val="000000"/>
              </w:rPr>
              <w:t>Ham-sur-Heure-Nalinnes</w:t>
            </w:r>
          </w:p>
        </w:tc>
        <w:tc>
          <w:tcPr>
            <w:tcW w:w="3827" w:type="dxa"/>
            <w:vAlign w:val="bottom"/>
          </w:tcPr>
          <w:p w:rsidR="00F04EEF" w:rsidRDefault="0099351E">
            <w:pPr>
              <w:rPr>
                <w:rFonts w:ascii="Georgia" w:hAnsi="Georgia"/>
                <w:color w:val="000000"/>
              </w:rPr>
            </w:pPr>
            <w:r>
              <w:rPr>
                <w:rFonts w:ascii="Georgia" w:hAnsi="Georgia"/>
                <w:color w:val="000000"/>
              </w:rPr>
              <w:t>Verviers</w:t>
            </w:r>
          </w:p>
        </w:tc>
      </w:tr>
      <w:tr w:rsidR="00F04EEF">
        <w:tc>
          <w:tcPr>
            <w:tcW w:w="3543" w:type="dxa"/>
            <w:vAlign w:val="bottom"/>
          </w:tcPr>
          <w:p w:rsidR="00F04EEF" w:rsidRDefault="0099351E">
            <w:pPr>
              <w:rPr>
                <w:rFonts w:ascii="Georgia" w:hAnsi="Georgia"/>
                <w:color w:val="000000"/>
              </w:rPr>
            </w:pPr>
            <w:r>
              <w:rPr>
                <w:rFonts w:ascii="Georgia" w:hAnsi="Georgia"/>
                <w:color w:val="000000"/>
              </w:rPr>
              <w:t>Hamoir</w:t>
            </w:r>
          </w:p>
        </w:tc>
        <w:tc>
          <w:tcPr>
            <w:tcW w:w="3827" w:type="dxa"/>
            <w:vAlign w:val="bottom"/>
          </w:tcPr>
          <w:p w:rsidR="00F04EEF" w:rsidRDefault="0099351E">
            <w:pPr>
              <w:rPr>
                <w:rFonts w:ascii="Georgia" w:hAnsi="Georgia"/>
                <w:color w:val="000000"/>
              </w:rPr>
            </w:pPr>
            <w:r>
              <w:rPr>
                <w:rFonts w:ascii="Georgia" w:hAnsi="Georgia"/>
                <w:color w:val="000000"/>
              </w:rPr>
              <w:t>Vielsalm</w:t>
            </w:r>
          </w:p>
        </w:tc>
      </w:tr>
      <w:tr w:rsidR="00F04EEF">
        <w:tc>
          <w:tcPr>
            <w:tcW w:w="3543" w:type="dxa"/>
            <w:vAlign w:val="bottom"/>
          </w:tcPr>
          <w:p w:rsidR="00F04EEF" w:rsidRDefault="0099351E">
            <w:pPr>
              <w:rPr>
                <w:rFonts w:ascii="Georgia" w:hAnsi="Georgia"/>
                <w:color w:val="000000"/>
              </w:rPr>
            </w:pPr>
            <w:r>
              <w:rPr>
                <w:rFonts w:ascii="Georgia" w:hAnsi="Georgia"/>
                <w:color w:val="000000"/>
              </w:rPr>
              <w:t>Hamois</w:t>
            </w:r>
          </w:p>
        </w:tc>
        <w:tc>
          <w:tcPr>
            <w:tcW w:w="3827" w:type="dxa"/>
            <w:vAlign w:val="bottom"/>
          </w:tcPr>
          <w:p w:rsidR="00F04EEF" w:rsidRDefault="0099351E">
            <w:pPr>
              <w:rPr>
                <w:rFonts w:ascii="Georgia" w:hAnsi="Georgia"/>
                <w:color w:val="000000"/>
              </w:rPr>
            </w:pPr>
            <w:r>
              <w:rPr>
                <w:rFonts w:ascii="Georgia" w:hAnsi="Georgia"/>
                <w:color w:val="000000"/>
              </w:rPr>
              <w:t>Villers-la-Ville</w:t>
            </w:r>
          </w:p>
        </w:tc>
      </w:tr>
      <w:tr w:rsidR="00F04EEF">
        <w:tc>
          <w:tcPr>
            <w:tcW w:w="3543" w:type="dxa"/>
            <w:vAlign w:val="bottom"/>
          </w:tcPr>
          <w:p w:rsidR="00F04EEF" w:rsidRDefault="0099351E">
            <w:pPr>
              <w:rPr>
                <w:rFonts w:ascii="Georgia" w:hAnsi="Georgia"/>
                <w:color w:val="000000"/>
              </w:rPr>
            </w:pPr>
            <w:r>
              <w:rPr>
                <w:rFonts w:ascii="Georgia" w:hAnsi="Georgia"/>
                <w:color w:val="000000"/>
              </w:rPr>
              <w:t>Hannut</w:t>
            </w:r>
          </w:p>
        </w:tc>
        <w:tc>
          <w:tcPr>
            <w:tcW w:w="3827" w:type="dxa"/>
            <w:vAlign w:val="bottom"/>
          </w:tcPr>
          <w:p w:rsidR="00F04EEF" w:rsidRDefault="0099351E">
            <w:pPr>
              <w:rPr>
                <w:rFonts w:ascii="Georgia" w:hAnsi="Georgia"/>
                <w:color w:val="000000"/>
              </w:rPr>
            </w:pPr>
            <w:r>
              <w:rPr>
                <w:rFonts w:ascii="Georgia" w:hAnsi="Georgia"/>
                <w:color w:val="000000"/>
              </w:rPr>
              <w:t>Villers-le-Bouillet</w:t>
            </w:r>
          </w:p>
        </w:tc>
      </w:tr>
      <w:tr w:rsidR="00F04EEF">
        <w:tc>
          <w:tcPr>
            <w:tcW w:w="3543" w:type="dxa"/>
            <w:vAlign w:val="bottom"/>
          </w:tcPr>
          <w:p w:rsidR="00F04EEF" w:rsidRDefault="0099351E">
            <w:pPr>
              <w:rPr>
                <w:rFonts w:ascii="Georgia" w:hAnsi="Georgia"/>
                <w:color w:val="000000"/>
              </w:rPr>
            </w:pPr>
            <w:r>
              <w:rPr>
                <w:rFonts w:ascii="Georgia" w:hAnsi="Georgia"/>
                <w:color w:val="000000"/>
              </w:rPr>
              <w:t>Hastière</w:t>
            </w:r>
          </w:p>
        </w:tc>
        <w:tc>
          <w:tcPr>
            <w:tcW w:w="3827" w:type="dxa"/>
            <w:vAlign w:val="bottom"/>
          </w:tcPr>
          <w:p w:rsidR="00F04EEF" w:rsidRDefault="0099351E">
            <w:pPr>
              <w:rPr>
                <w:rFonts w:ascii="Georgia" w:hAnsi="Georgia"/>
                <w:color w:val="000000"/>
              </w:rPr>
            </w:pPr>
            <w:r>
              <w:rPr>
                <w:rFonts w:ascii="Georgia" w:hAnsi="Georgia"/>
                <w:color w:val="000000"/>
              </w:rPr>
              <w:t>Viroinval</w:t>
            </w:r>
          </w:p>
        </w:tc>
      </w:tr>
      <w:tr w:rsidR="00F04EEF">
        <w:tc>
          <w:tcPr>
            <w:tcW w:w="3543" w:type="dxa"/>
            <w:vAlign w:val="bottom"/>
          </w:tcPr>
          <w:p w:rsidR="00F04EEF" w:rsidRDefault="0099351E">
            <w:pPr>
              <w:rPr>
                <w:rFonts w:ascii="Georgia" w:hAnsi="Georgia"/>
                <w:color w:val="000000"/>
              </w:rPr>
            </w:pPr>
            <w:r>
              <w:rPr>
                <w:rFonts w:ascii="Georgia" w:hAnsi="Georgia"/>
                <w:color w:val="000000"/>
              </w:rPr>
              <w:t>Havelange</w:t>
            </w:r>
          </w:p>
        </w:tc>
        <w:tc>
          <w:tcPr>
            <w:tcW w:w="3827" w:type="dxa"/>
            <w:vAlign w:val="bottom"/>
          </w:tcPr>
          <w:p w:rsidR="00F04EEF" w:rsidRDefault="0099351E">
            <w:pPr>
              <w:rPr>
                <w:rFonts w:ascii="Georgia" w:hAnsi="Georgia"/>
                <w:color w:val="000000"/>
              </w:rPr>
            </w:pPr>
            <w:r>
              <w:rPr>
                <w:rFonts w:ascii="Georgia" w:hAnsi="Georgia"/>
                <w:color w:val="000000"/>
              </w:rPr>
              <w:t>Virton</w:t>
            </w:r>
          </w:p>
        </w:tc>
      </w:tr>
      <w:tr w:rsidR="00F04EEF">
        <w:tc>
          <w:tcPr>
            <w:tcW w:w="3543" w:type="dxa"/>
            <w:vAlign w:val="bottom"/>
          </w:tcPr>
          <w:p w:rsidR="00F04EEF" w:rsidRDefault="0099351E">
            <w:pPr>
              <w:rPr>
                <w:rFonts w:ascii="Georgia" w:hAnsi="Georgia"/>
                <w:color w:val="000000"/>
              </w:rPr>
            </w:pPr>
            <w:r>
              <w:rPr>
                <w:rFonts w:ascii="Georgia" w:hAnsi="Georgia"/>
                <w:color w:val="000000"/>
              </w:rPr>
              <w:t>Hélécine</w:t>
            </w:r>
          </w:p>
        </w:tc>
        <w:tc>
          <w:tcPr>
            <w:tcW w:w="3827" w:type="dxa"/>
            <w:vAlign w:val="bottom"/>
          </w:tcPr>
          <w:p w:rsidR="00F04EEF" w:rsidRDefault="0099351E">
            <w:pPr>
              <w:rPr>
                <w:rFonts w:ascii="Georgia" w:hAnsi="Georgia"/>
                <w:color w:val="000000"/>
              </w:rPr>
            </w:pPr>
            <w:r>
              <w:rPr>
                <w:rFonts w:ascii="Georgia" w:hAnsi="Georgia"/>
                <w:color w:val="000000"/>
              </w:rPr>
              <w:t>Visé</w:t>
            </w:r>
          </w:p>
        </w:tc>
      </w:tr>
      <w:tr w:rsidR="00F04EEF">
        <w:tc>
          <w:tcPr>
            <w:tcW w:w="3543" w:type="dxa"/>
            <w:vAlign w:val="bottom"/>
          </w:tcPr>
          <w:p w:rsidR="00F04EEF" w:rsidRDefault="0099351E">
            <w:pPr>
              <w:rPr>
                <w:rFonts w:ascii="Georgia" w:hAnsi="Georgia"/>
                <w:color w:val="000000"/>
              </w:rPr>
            </w:pPr>
            <w:r>
              <w:rPr>
                <w:rFonts w:ascii="Georgia" w:hAnsi="Georgia"/>
                <w:color w:val="000000"/>
              </w:rPr>
              <w:t>Hensies</w:t>
            </w:r>
          </w:p>
        </w:tc>
        <w:tc>
          <w:tcPr>
            <w:tcW w:w="3827" w:type="dxa"/>
            <w:vAlign w:val="bottom"/>
          </w:tcPr>
          <w:p w:rsidR="00F04EEF" w:rsidRDefault="0099351E">
            <w:pPr>
              <w:rPr>
                <w:rFonts w:ascii="Georgia" w:hAnsi="Georgia"/>
                <w:color w:val="000000"/>
              </w:rPr>
            </w:pPr>
            <w:r>
              <w:rPr>
                <w:rFonts w:ascii="Georgia" w:hAnsi="Georgia"/>
                <w:color w:val="000000"/>
              </w:rPr>
              <w:t>Vresse-sur-Semois</w:t>
            </w:r>
          </w:p>
        </w:tc>
      </w:tr>
      <w:tr w:rsidR="00F04EEF">
        <w:tc>
          <w:tcPr>
            <w:tcW w:w="3543" w:type="dxa"/>
            <w:vAlign w:val="bottom"/>
          </w:tcPr>
          <w:p w:rsidR="00F04EEF" w:rsidRDefault="0099351E">
            <w:pPr>
              <w:rPr>
                <w:rFonts w:ascii="Georgia" w:hAnsi="Georgia"/>
                <w:color w:val="000000"/>
              </w:rPr>
            </w:pPr>
            <w:r>
              <w:rPr>
                <w:rFonts w:ascii="Georgia" w:hAnsi="Georgia"/>
                <w:color w:val="000000"/>
              </w:rPr>
              <w:t>Herbeumont</w:t>
            </w:r>
          </w:p>
        </w:tc>
        <w:tc>
          <w:tcPr>
            <w:tcW w:w="3827" w:type="dxa"/>
            <w:vAlign w:val="bottom"/>
          </w:tcPr>
          <w:p w:rsidR="00F04EEF" w:rsidRDefault="0099351E">
            <w:pPr>
              <w:rPr>
                <w:rFonts w:ascii="Georgia" w:hAnsi="Georgia"/>
                <w:color w:val="000000"/>
              </w:rPr>
            </w:pPr>
            <w:r>
              <w:rPr>
                <w:rFonts w:ascii="Georgia" w:hAnsi="Georgia"/>
                <w:color w:val="000000"/>
              </w:rPr>
              <w:t>Waimes</w:t>
            </w:r>
          </w:p>
        </w:tc>
      </w:tr>
      <w:tr w:rsidR="00F04EEF">
        <w:tc>
          <w:tcPr>
            <w:tcW w:w="3543" w:type="dxa"/>
            <w:vAlign w:val="bottom"/>
          </w:tcPr>
          <w:p w:rsidR="00F04EEF" w:rsidRDefault="0099351E">
            <w:pPr>
              <w:rPr>
                <w:rFonts w:ascii="Georgia" w:hAnsi="Georgia"/>
                <w:color w:val="000000"/>
              </w:rPr>
            </w:pPr>
            <w:r>
              <w:rPr>
                <w:rFonts w:ascii="Georgia" w:hAnsi="Georgia"/>
                <w:color w:val="000000"/>
              </w:rPr>
              <w:t>Héron</w:t>
            </w:r>
          </w:p>
        </w:tc>
        <w:tc>
          <w:tcPr>
            <w:tcW w:w="3827" w:type="dxa"/>
            <w:vAlign w:val="bottom"/>
          </w:tcPr>
          <w:p w:rsidR="00F04EEF" w:rsidRDefault="0099351E">
            <w:pPr>
              <w:rPr>
                <w:rFonts w:ascii="Georgia" w:hAnsi="Georgia"/>
                <w:color w:val="000000"/>
              </w:rPr>
            </w:pPr>
            <w:r>
              <w:rPr>
                <w:rFonts w:ascii="Georgia" w:hAnsi="Georgia"/>
                <w:color w:val="000000"/>
              </w:rPr>
              <w:t>Walcourt</w:t>
            </w:r>
          </w:p>
        </w:tc>
      </w:tr>
      <w:tr w:rsidR="00F04EEF">
        <w:tc>
          <w:tcPr>
            <w:tcW w:w="3543" w:type="dxa"/>
            <w:vAlign w:val="bottom"/>
          </w:tcPr>
          <w:p w:rsidR="00F04EEF" w:rsidRDefault="0099351E">
            <w:pPr>
              <w:rPr>
                <w:rFonts w:ascii="Georgia" w:hAnsi="Georgia"/>
                <w:color w:val="000000"/>
              </w:rPr>
            </w:pPr>
            <w:r>
              <w:rPr>
                <w:rFonts w:ascii="Georgia" w:hAnsi="Georgia"/>
                <w:color w:val="000000"/>
              </w:rPr>
              <w:t>Herstal</w:t>
            </w:r>
          </w:p>
        </w:tc>
        <w:tc>
          <w:tcPr>
            <w:tcW w:w="3827" w:type="dxa"/>
            <w:vAlign w:val="bottom"/>
          </w:tcPr>
          <w:p w:rsidR="00F04EEF" w:rsidRDefault="0099351E">
            <w:pPr>
              <w:rPr>
                <w:rFonts w:ascii="Georgia" w:hAnsi="Georgia"/>
                <w:color w:val="000000"/>
              </w:rPr>
            </w:pPr>
            <w:r>
              <w:rPr>
                <w:rFonts w:ascii="Georgia" w:hAnsi="Georgia"/>
                <w:color w:val="000000"/>
              </w:rPr>
              <w:t>Walhain</w:t>
            </w:r>
          </w:p>
        </w:tc>
      </w:tr>
      <w:tr w:rsidR="00F04EEF">
        <w:tc>
          <w:tcPr>
            <w:tcW w:w="3543" w:type="dxa"/>
            <w:vAlign w:val="bottom"/>
          </w:tcPr>
          <w:p w:rsidR="00F04EEF" w:rsidRDefault="0099351E">
            <w:pPr>
              <w:rPr>
                <w:rFonts w:ascii="Georgia" w:hAnsi="Georgia"/>
                <w:color w:val="000000"/>
              </w:rPr>
            </w:pPr>
            <w:r>
              <w:rPr>
                <w:rFonts w:ascii="Georgia" w:hAnsi="Georgia"/>
                <w:color w:val="000000"/>
              </w:rPr>
              <w:t>Herve</w:t>
            </w:r>
          </w:p>
        </w:tc>
        <w:tc>
          <w:tcPr>
            <w:tcW w:w="3827" w:type="dxa"/>
            <w:vAlign w:val="bottom"/>
          </w:tcPr>
          <w:p w:rsidR="00F04EEF" w:rsidRDefault="0099351E">
            <w:pPr>
              <w:rPr>
                <w:rFonts w:ascii="Georgia" w:hAnsi="Georgia"/>
                <w:color w:val="000000"/>
              </w:rPr>
            </w:pPr>
            <w:r>
              <w:rPr>
                <w:rFonts w:ascii="Georgia" w:hAnsi="Georgia"/>
                <w:color w:val="000000"/>
              </w:rPr>
              <w:t>Wanze</w:t>
            </w:r>
          </w:p>
        </w:tc>
      </w:tr>
      <w:tr w:rsidR="00F04EEF">
        <w:tc>
          <w:tcPr>
            <w:tcW w:w="3543" w:type="dxa"/>
            <w:vAlign w:val="bottom"/>
          </w:tcPr>
          <w:p w:rsidR="00F04EEF" w:rsidRDefault="0099351E">
            <w:pPr>
              <w:rPr>
                <w:rFonts w:ascii="Georgia" w:hAnsi="Georgia"/>
                <w:color w:val="000000"/>
              </w:rPr>
            </w:pPr>
            <w:r>
              <w:rPr>
                <w:rFonts w:ascii="Georgia" w:hAnsi="Georgia"/>
                <w:color w:val="000000"/>
              </w:rPr>
              <w:t>Honnelles</w:t>
            </w:r>
          </w:p>
        </w:tc>
        <w:tc>
          <w:tcPr>
            <w:tcW w:w="3827" w:type="dxa"/>
            <w:vAlign w:val="bottom"/>
          </w:tcPr>
          <w:p w:rsidR="00F04EEF" w:rsidRDefault="0099351E">
            <w:pPr>
              <w:rPr>
                <w:rFonts w:ascii="Georgia" w:hAnsi="Georgia"/>
                <w:color w:val="000000"/>
              </w:rPr>
            </w:pPr>
            <w:r>
              <w:rPr>
                <w:rFonts w:ascii="Georgia" w:hAnsi="Georgia"/>
                <w:color w:val="000000"/>
              </w:rPr>
              <w:t>Waremme</w:t>
            </w:r>
          </w:p>
        </w:tc>
      </w:tr>
      <w:tr w:rsidR="00F04EEF">
        <w:tc>
          <w:tcPr>
            <w:tcW w:w="3543" w:type="dxa"/>
            <w:vAlign w:val="bottom"/>
          </w:tcPr>
          <w:p w:rsidR="00F04EEF" w:rsidRDefault="0099351E">
            <w:pPr>
              <w:rPr>
                <w:rFonts w:ascii="Georgia" w:hAnsi="Georgia"/>
                <w:color w:val="000000"/>
              </w:rPr>
            </w:pPr>
            <w:r>
              <w:rPr>
                <w:rFonts w:ascii="Georgia" w:hAnsi="Georgia"/>
                <w:color w:val="000000"/>
              </w:rPr>
              <w:t>Hotton</w:t>
            </w:r>
          </w:p>
        </w:tc>
        <w:tc>
          <w:tcPr>
            <w:tcW w:w="3827" w:type="dxa"/>
            <w:vAlign w:val="bottom"/>
          </w:tcPr>
          <w:p w:rsidR="00F04EEF" w:rsidRDefault="0099351E">
            <w:pPr>
              <w:rPr>
                <w:rFonts w:ascii="Georgia" w:hAnsi="Georgia"/>
                <w:color w:val="000000"/>
              </w:rPr>
            </w:pPr>
            <w:r>
              <w:rPr>
                <w:rFonts w:ascii="Georgia" w:hAnsi="Georgia"/>
                <w:color w:val="000000"/>
              </w:rPr>
              <w:t>Wasseiges</w:t>
            </w:r>
          </w:p>
        </w:tc>
      </w:tr>
      <w:tr w:rsidR="00F04EEF">
        <w:tc>
          <w:tcPr>
            <w:tcW w:w="3543" w:type="dxa"/>
            <w:vAlign w:val="bottom"/>
          </w:tcPr>
          <w:p w:rsidR="00F04EEF" w:rsidRDefault="0099351E">
            <w:pPr>
              <w:rPr>
                <w:rFonts w:ascii="Georgia" w:hAnsi="Georgia"/>
                <w:color w:val="000000"/>
              </w:rPr>
            </w:pPr>
            <w:r>
              <w:rPr>
                <w:rFonts w:ascii="Georgia" w:hAnsi="Georgia"/>
                <w:color w:val="000000"/>
              </w:rPr>
              <w:t>Houffalize</w:t>
            </w:r>
          </w:p>
        </w:tc>
        <w:tc>
          <w:tcPr>
            <w:tcW w:w="3827" w:type="dxa"/>
            <w:vAlign w:val="bottom"/>
          </w:tcPr>
          <w:p w:rsidR="00F04EEF" w:rsidRDefault="0099351E">
            <w:pPr>
              <w:rPr>
                <w:rFonts w:ascii="Georgia" w:hAnsi="Georgia"/>
                <w:color w:val="000000"/>
              </w:rPr>
            </w:pPr>
            <w:r>
              <w:rPr>
                <w:rFonts w:ascii="Georgia" w:hAnsi="Georgia"/>
                <w:color w:val="000000"/>
              </w:rPr>
              <w:t>Waterloo</w:t>
            </w:r>
          </w:p>
        </w:tc>
      </w:tr>
      <w:tr w:rsidR="00F04EEF">
        <w:tc>
          <w:tcPr>
            <w:tcW w:w="3543" w:type="dxa"/>
            <w:vAlign w:val="bottom"/>
          </w:tcPr>
          <w:p w:rsidR="00F04EEF" w:rsidRDefault="0099351E">
            <w:pPr>
              <w:rPr>
                <w:rFonts w:ascii="Georgia" w:hAnsi="Georgia"/>
                <w:color w:val="000000"/>
              </w:rPr>
            </w:pPr>
            <w:r>
              <w:rPr>
                <w:rFonts w:ascii="Georgia" w:hAnsi="Georgia"/>
                <w:color w:val="000000"/>
              </w:rPr>
              <w:t>Houyet</w:t>
            </w:r>
          </w:p>
        </w:tc>
        <w:tc>
          <w:tcPr>
            <w:tcW w:w="3827" w:type="dxa"/>
            <w:vAlign w:val="bottom"/>
          </w:tcPr>
          <w:p w:rsidR="00F04EEF" w:rsidRDefault="0099351E">
            <w:pPr>
              <w:rPr>
                <w:rFonts w:ascii="Georgia" w:hAnsi="Georgia"/>
                <w:color w:val="000000"/>
              </w:rPr>
            </w:pPr>
            <w:r>
              <w:rPr>
                <w:rFonts w:ascii="Georgia" w:hAnsi="Georgia"/>
                <w:color w:val="000000"/>
              </w:rPr>
              <w:t>Watermael-Boitsfort</w:t>
            </w:r>
          </w:p>
        </w:tc>
      </w:tr>
      <w:tr w:rsidR="00F04EEF">
        <w:tc>
          <w:tcPr>
            <w:tcW w:w="3543" w:type="dxa"/>
            <w:vAlign w:val="bottom"/>
          </w:tcPr>
          <w:p w:rsidR="00F04EEF" w:rsidRDefault="0099351E">
            <w:pPr>
              <w:rPr>
                <w:rFonts w:ascii="Georgia" w:hAnsi="Georgia"/>
                <w:color w:val="000000"/>
              </w:rPr>
            </w:pPr>
            <w:r>
              <w:rPr>
                <w:rFonts w:ascii="Georgia" w:hAnsi="Georgia"/>
                <w:color w:val="000000"/>
              </w:rPr>
              <w:t>Huy</w:t>
            </w:r>
          </w:p>
        </w:tc>
        <w:tc>
          <w:tcPr>
            <w:tcW w:w="3827" w:type="dxa"/>
            <w:vAlign w:val="bottom"/>
          </w:tcPr>
          <w:p w:rsidR="00F04EEF" w:rsidRDefault="0099351E">
            <w:pPr>
              <w:rPr>
                <w:rFonts w:ascii="Georgia" w:hAnsi="Georgia"/>
                <w:color w:val="000000"/>
              </w:rPr>
            </w:pPr>
            <w:r>
              <w:rPr>
                <w:rFonts w:ascii="Georgia" w:hAnsi="Georgia"/>
                <w:color w:val="000000"/>
              </w:rPr>
              <w:t>Wavre</w:t>
            </w:r>
          </w:p>
        </w:tc>
      </w:tr>
      <w:tr w:rsidR="00F04EEF">
        <w:tc>
          <w:tcPr>
            <w:tcW w:w="3543" w:type="dxa"/>
            <w:vAlign w:val="bottom"/>
          </w:tcPr>
          <w:p w:rsidR="00F04EEF" w:rsidRDefault="0099351E">
            <w:pPr>
              <w:rPr>
                <w:rFonts w:ascii="Georgia" w:hAnsi="Georgia"/>
                <w:color w:val="000000"/>
              </w:rPr>
            </w:pPr>
            <w:r>
              <w:rPr>
                <w:rFonts w:ascii="Georgia" w:hAnsi="Georgia"/>
                <w:color w:val="000000"/>
              </w:rPr>
              <w:t>Incourt</w:t>
            </w:r>
          </w:p>
        </w:tc>
        <w:tc>
          <w:tcPr>
            <w:tcW w:w="3827" w:type="dxa"/>
            <w:vAlign w:val="bottom"/>
          </w:tcPr>
          <w:p w:rsidR="00F04EEF" w:rsidRDefault="0099351E">
            <w:pPr>
              <w:rPr>
                <w:rFonts w:ascii="Georgia" w:hAnsi="Georgia"/>
                <w:color w:val="000000"/>
              </w:rPr>
            </w:pPr>
            <w:r>
              <w:rPr>
                <w:rFonts w:ascii="Georgia" w:hAnsi="Georgia"/>
                <w:color w:val="000000"/>
              </w:rPr>
              <w:t>Welkenraedt</w:t>
            </w:r>
          </w:p>
        </w:tc>
      </w:tr>
      <w:tr w:rsidR="00F04EEF">
        <w:tc>
          <w:tcPr>
            <w:tcW w:w="3543" w:type="dxa"/>
            <w:vAlign w:val="bottom"/>
          </w:tcPr>
          <w:p w:rsidR="00F04EEF" w:rsidRDefault="0099351E">
            <w:pPr>
              <w:rPr>
                <w:rFonts w:ascii="Georgia" w:hAnsi="Georgia"/>
                <w:color w:val="000000"/>
              </w:rPr>
            </w:pPr>
            <w:r>
              <w:rPr>
                <w:rFonts w:ascii="Georgia" w:hAnsi="Georgia"/>
                <w:color w:val="000000"/>
              </w:rPr>
              <w:t>Ittre</w:t>
            </w:r>
          </w:p>
        </w:tc>
        <w:tc>
          <w:tcPr>
            <w:tcW w:w="3827" w:type="dxa"/>
            <w:vAlign w:val="bottom"/>
          </w:tcPr>
          <w:p w:rsidR="00F04EEF" w:rsidRDefault="0099351E">
            <w:pPr>
              <w:rPr>
                <w:rFonts w:ascii="Georgia" w:hAnsi="Georgia"/>
                <w:color w:val="000000"/>
              </w:rPr>
            </w:pPr>
            <w:r>
              <w:rPr>
                <w:rFonts w:ascii="Georgia" w:hAnsi="Georgia"/>
                <w:color w:val="000000"/>
              </w:rPr>
              <w:t>Wellin</w:t>
            </w:r>
          </w:p>
        </w:tc>
      </w:tr>
      <w:tr w:rsidR="00F04EEF">
        <w:tc>
          <w:tcPr>
            <w:tcW w:w="3543" w:type="dxa"/>
            <w:vAlign w:val="bottom"/>
          </w:tcPr>
          <w:p w:rsidR="00F04EEF" w:rsidRDefault="0099351E">
            <w:pPr>
              <w:rPr>
                <w:rFonts w:ascii="Georgia" w:hAnsi="Georgia"/>
                <w:color w:val="000000"/>
              </w:rPr>
            </w:pPr>
            <w:r>
              <w:rPr>
                <w:rFonts w:ascii="Georgia" w:hAnsi="Georgia"/>
                <w:color w:val="000000"/>
              </w:rPr>
              <w:t>Ixelles</w:t>
            </w:r>
          </w:p>
        </w:tc>
        <w:tc>
          <w:tcPr>
            <w:tcW w:w="3827" w:type="dxa"/>
            <w:vAlign w:val="bottom"/>
          </w:tcPr>
          <w:p w:rsidR="00F04EEF" w:rsidRDefault="0099351E">
            <w:pPr>
              <w:rPr>
                <w:rFonts w:ascii="Georgia" w:hAnsi="Georgia"/>
                <w:color w:val="000000"/>
              </w:rPr>
            </w:pPr>
            <w:r>
              <w:rPr>
                <w:rFonts w:ascii="Georgia" w:hAnsi="Georgia"/>
                <w:color w:val="000000"/>
              </w:rPr>
              <w:t>Woluwe-Saint-Lambert</w:t>
            </w:r>
          </w:p>
        </w:tc>
      </w:tr>
      <w:tr w:rsidR="00F04EEF">
        <w:tc>
          <w:tcPr>
            <w:tcW w:w="3543" w:type="dxa"/>
            <w:vAlign w:val="bottom"/>
          </w:tcPr>
          <w:p w:rsidR="00F04EEF" w:rsidRDefault="00F04EEF">
            <w:pPr>
              <w:rPr>
                <w:rFonts w:ascii="Georgia" w:hAnsi="Georgia"/>
                <w:color w:val="000000"/>
              </w:rPr>
            </w:pPr>
          </w:p>
        </w:tc>
        <w:tc>
          <w:tcPr>
            <w:tcW w:w="3827" w:type="dxa"/>
            <w:vAlign w:val="bottom"/>
          </w:tcPr>
          <w:p w:rsidR="00F04EEF" w:rsidRDefault="0099351E">
            <w:pPr>
              <w:rPr>
                <w:rFonts w:ascii="Georgia" w:hAnsi="Georgia"/>
                <w:color w:val="000000"/>
              </w:rPr>
            </w:pPr>
            <w:r>
              <w:rPr>
                <w:rFonts w:ascii="Georgia" w:hAnsi="Georgia"/>
                <w:color w:val="000000"/>
              </w:rPr>
              <w:t>Woluwe-Saint-Pierre</w:t>
            </w:r>
          </w:p>
        </w:tc>
      </w:tr>
      <w:tr w:rsidR="00F04EEF">
        <w:tc>
          <w:tcPr>
            <w:tcW w:w="3543" w:type="dxa"/>
            <w:vAlign w:val="bottom"/>
          </w:tcPr>
          <w:p w:rsidR="00F04EEF" w:rsidRDefault="00F04EEF">
            <w:pPr>
              <w:rPr>
                <w:rFonts w:ascii="Georgia" w:hAnsi="Georgia"/>
                <w:color w:val="000000"/>
              </w:rPr>
            </w:pPr>
          </w:p>
        </w:tc>
        <w:tc>
          <w:tcPr>
            <w:tcW w:w="3827" w:type="dxa"/>
            <w:vAlign w:val="bottom"/>
          </w:tcPr>
          <w:p w:rsidR="00F04EEF" w:rsidRDefault="0099351E">
            <w:pPr>
              <w:rPr>
                <w:rFonts w:ascii="Georgia" w:hAnsi="Georgia"/>
                <w:color w:val="000000"/>
              </w:rPr>
            </w:pPr>
            <w:r>
              <w:rPr>
                <w:rFonts w:ascii="Georgia" w:hAnsi="Georgia"/>
                <w:color w:val="000000"/>
              </w:rPr>
              <w:t>Yvoir</w:t>
            </w:r>
          </w:p>
        </w:tc>
      </w:tr>
      <w:bookmarkEnd w:id="3842"/>
    </w:tbl>
    <w:p w:rsidR="00F04EEF" w:rsidRDefault="00F04EEF">
      <w:pPr>
        <w:shd w:val="clear" w:color="auto" w:fill="FFFFFF"/>
        <w:rPr>
          <w:rFonts w:ascii="Georgia" w:hAnsi="Georgia"/>
        </w:rPr>
      </w:pPr>
    </w:p>
    <w:p w:rsidR="00F04EEF" w:rsidRDefault="0099351E">
      <w:pPr>
        <w:rPr>
          <w:rFonts w:ascii="Georgia" w:hAnsi="Georgia"/>
          <w:b/>
          <w:color w:val="000000"/>
          <w:u w:val="single"/>
        </w:rPr>
      </w:pPr>
      <w:r>
        <w:rPr>
          <w:rFonts w:ascii="Georgia" w:hAnsi="Georgia"/>
          <w:b/>
          <w:color w:val="000000"/>
          <w:u w:val="single"/>
        </w:rPr>
        <w:br w:type="page"/>
      </w:r>
    </w:p>
    <w:p w:rsidR="00F04EEF" w:rsidRDefault="0099351E">
      <w:pPr>
        <w:pStyle w:val="Titre4"/>
      </w:pPr>
      <w:r>
        <w:t>Annexe 20 : Sigles des pays</w:t>
      </w:r>
    </w:p>
    <w:p w:rsidR="00F04EEF" w:rsidRDefault="00F04EEF"/>
    <w:p w:rsidR="00F04EEF" w:rsidRDefault="0099351E">
      <w:pPr>
        <w:jc w:val="center"/>
        <w:rPr>
          <w:rFonts w:ascii="Georgia" w:hAnsi="Georgia"/>
          <w:b/>
        </w:rPr>
      </w:pPr>
      <w:r>
        <w:rPr>
          <w:rFonts w:ascii="Georgia" w:hAnsi="Georgia"/>
          <w:b/>
        </w:rPr>
        <w:t>COMMUNAUTE FRANÇAISE</w:t>
      </w:r>
    </w:p>
    <w:p w:rsidR="00F04EEF" w:rsidRDefault="0099351E">
      <w:pPr>
        <w:jc w:val="center"/>
        <w:rPr>
          <w:rFonts w:ascii="Georgia" w:hAnsi="Georgia"/>
        </w:rPr>
      </w:pPr>
      <w:r>
        <w:rPr>
          <w:rFonts w:ascii="Georgia" w:hAnsi="Georgia"/>
          <w:b/>
          <w:bCs/>
          <w:color w:val="000000"/>
        </w:rPr>
        <w:t>ENSEIGNEMENT SECONDAIRE SPECIALISE DE FORME 3</w:t>
      </w:r>
    </w:p>
    <w:p w:rsidR="00F04EEF" w:rsidRDefault="00F04EEF">
      <w:pPr>
        <w:jc w:val="both"/>
        <w:rPr>
          <w:rFonts w:ascii="Georgia" w:hAnsi="Georgia"/>
        </w:rPr>
      </w:pPr>
    </w:p>
    <w:p w:rsidR="00F04EEF" w:rsidRDefault="0099351E">
      <w:pPr>
        <w:pBdr>
          <w:top w:val="single" w:sz="4" w:space="1" w:color="auto"/>
          <w:left w:val="single" w:sz="4" w:space="4" w:color="auto"/>
          <w:bottom w:val="single" w:sz="4" w:space="1" w:color="auto"/>
          <w:right w:val="single" w:sz="4" w:space="4" w:color="auto"/>
        </w:pBdr>
        <w:jc w:val="center"/>
        <w:rPr>
          <w:rFonts w:ascii="Georgia" w:hAnsi="Georgia"/>
          <w:caps/>
        </w:rPr>
      </w:pPr>
      <w:r>
        <w:rPr>
          <w:rFonts w:ascii="Georgia" w:hAnsi="Georgia"/>
          <w:caps/>
        </w:rPr>
        <w:t>Sigles des PAYS</w:t>
      </w:r>
    </w:p>
    <w:p w:rsidR="00F04EEF" w:rsidRDefault="00F04EEF">
      <w:pPr>
        <w:shd w:val="clear" w:color="auto" w:fill="FFFFFF"/>
        <w:spacing w:before="221"/>
        <w:rPr>
          <w:rFonts w:ascii="Georgia" w:hAnsi="Georgia"/>
          <w:color w:val="000000"/>
          <w:spacing w:val="-3"/>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rsidR="00F04EEF">
        <w:trPr>
          <w:trHeight w:val="300"/>
        </w:trPr>
        <w:tc>
          <w:tcPr>
            <w:tcW w:w="4219" w:type="dxa"/>
            <w:shd w:val="clear" w:color="auto" w:fill="auto"/>
            <w:hideMark/>
          </w:tcPr>
          <w:p w:rsidR="00F04EEF" w:rsidRDefault="0099351E">
            <w:pPr>
              <w:jc w:val="center"/>
              <w:rPr>
                <w:rFonts w:ascii="Georgia" w:hAnsi="Georgia"/>
                <w:b/>
                <w:color w:val="000000"/>
                <w:szCs w:val="24"/>
                <w:lang w:val="fr-FR" w:eastAsia="fr-BE"/>
              </w:rPr>
            </w:pPr>
            <w:r>
              <w:rPr>
                <w:rFonts w:ascii="Georgia" w:hAnsi="Georgia"/>
                <w:b/>
                <w:color w:val="000000"/>
                <w:szCs w:val="24"/>
                <w:lang w:val="fr-FR" w:eastAsia="fr-BE"/>
              </w:rPr>
              <w:t>Pays</w:t>
            </w:r>
          </w:p>
        </w:tc>
        <w:tc>
          <w:tcPr>
            <w:tcW w:w="1309" w:type="dxa"/>
            <w:shd w:val="clear" w:color="auto" w:fill="auto"/>
            <w:hideMark/>
          </w:tcPr>
          <w:p w:rsidR="00F04EEF" w:rsidRDefault="0099351E">
            <w:pPr>
              <w:jc w:val="center"/>
              <w:rPr>
                <w:rFonts w:ascii="Georgia" w:hAnsi="Georgia"/>
                <w:b/>
                <w:bCs/>
                <w:color w:val="000000"/>
                <w:szCs w:val="24"/>
                <w:lang w:val="fr-FR" w:eastAsia="fr-BE"/>
              </w:rPr>
            </w:pPr>
            <w:r>
              <w:rPr>
                <w:rFonts w:ascii="Georgia" w:hAnsi="Georgia"/>
                <w:b/>
                <w:bCs/>
                <w:color w:val="000000"/>
                <w:szCs w:val="24"/>
                <w:lang w:val="fr-FR" w:eastAsia="fr-BE"/>
              </w:rPr>
              <w:t>Sigle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AFGHANISTAN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AF</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AFRIQUE DU SUD</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ZA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AFRIQUE NON SPECIFIE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AFR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ALBANIE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ALGERIE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DZ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Allemagne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DE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AMERIQUE NON SPECIFIE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AME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ANDORRE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ANGOLA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ANTIGUA ET BARBUDA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APATRIDES OU INDETERMINES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API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ARABIE SAOUDITE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ARGENTINE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ARMENIE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 xml:space="preserve">AM </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ASIE NON SPECIFIE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ASI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AUSTRALIE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Autriche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AZERBAIDJAN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BAHAMAS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BAHREIN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BH</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BANGLADESH</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BARBADE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BB</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Belgique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BELIZE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BENIN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BJ</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BHOUTAN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BIELORUSSIE (BELARUS)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BIRMANIE  (MYANMAR)</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BOLIVIE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BOSNIE-HERZEGOVINE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BOTSWANA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BW</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BRESIL</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BRUNEI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BULGARIE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BURKINA FASO</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BF</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BURUNDI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BI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CAMBODGE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KH</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CAMEROUN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CANADA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CAP-VERT</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CV</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CHILI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CHINE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CHYPRE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CITE DU VATICAN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VA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COLOMBIE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COMORES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CONGO (BRAZZAVILLE)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CONGO (KINSHASA – ex ZAÏRE)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COREE DU NORD</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KP</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COREE DU SUD</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COSTA RICA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COTE D'IVOIRE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CROATIE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HR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CUBA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DANEMARK</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DK</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DJIBOUTI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DJ</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DOMINIQUE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DM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EGYPTE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EG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EL SALVADOR</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SV</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EMIRATS ARABES UNIS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AE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EQUATEUR</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EC</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ERYTHREE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ER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Espagne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ES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ESTONIE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EE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ETATS-UNIS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US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ETHIOPIE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ET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EUROPE NON SPECIFIE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EUR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FIDJI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FJ</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FINLANDE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FI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France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FR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GABON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GAMBIE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GEORGIE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GHANA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GH</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GRECE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GRENADE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GUATEMALA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GUINEE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GUINEE BISSAU</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GW</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GUINEE EQUATORIALE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GQ</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GUYANA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HAITI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HT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HONDURAS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HN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HONG-KONG</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HK</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HONGRIE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HU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ILES MARSHALL</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MH</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ILES SALOMON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SB</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INDE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INDONESIE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IRAK</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IQ</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IRAN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Irlande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ISLANDE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ISRAEL</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Italie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IT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JAMAIQUE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JM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JAPON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JP</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JORDANIE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JO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KAZAKHSTAN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KENYA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KIRGHIZISTAN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KIRIBATI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KOSOVO</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XZ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KOWEIT</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KW</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LAOS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LESOTHO</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LETTONIE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LV</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LIBAN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LB</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LIBERIA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LIBYE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LIECHTENSTEIN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LITUANIE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Luxembourg</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MACEDOINE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MK</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MADAGASCAR</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MALAISIE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MALAWI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MW</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MALDIVES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MV</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MALI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MALTE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MAROC</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MAURICE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MAURITANIE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Mexique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MX</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MICRONESIE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FM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MOLDAVIE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MONACO</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MC</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MONGOLIE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MONTENEGRO</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MOZAMBIQUE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MZ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NAMIBIE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NAURU</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NEPAL</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NP</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NICARAGUA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NIGER</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NIGERIA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NORVEGE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NOUVELLE-ZELANDE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OCEANIE NON SPECIFIE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OCE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OMAN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OM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OUGANDA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UG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OUZBEKISTAN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UZ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PAKISTAN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PK</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PALAOS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PW</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PALESTINE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PANAMA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PA</w:t>
            </w:r>
          </w:p>
        </w:tc>
      </w:tr>
      <w:tr w:rsidR="00F04EEF">
        <w:trPr>
          <w:trHeight w:val="325"/>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 xml:space="preserve">PAPOUASIE-NOUVELLE GUINEE </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 xml:space="preserve">PG </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PARAGUAY</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PAYS-BAS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NL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PEROU</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PHILIPPINES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PH</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POLOGNE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Portugal</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PT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QATAR</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QA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REFUGIES POLITIQUES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 xml:space="preserve">REF </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REPUBLIQUE CENTRAFRICAINE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CF</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REPUBLIQUE DOMINICAINE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DO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ROUMANIE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RO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Royaume-Uni</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GB</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RUSSIE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RU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RWANDA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RW</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SAINT-CHRISTOPHE-ET-NIEVES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KN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SAINTE-LUCIE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LC</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SAINT-MARIN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SM</w:t>
            </w:r>
          </w:p>
        </w:tc>
      </w:tr>
      <w:tr w:rsidR="00F04EEF">
        <w:trPr>
          <w:trHeight w:val="6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 xml:space="preserve">SAINT-VINCENT-ET-LES- GRENADINES </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VC</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SAMOA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WS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SAO TOME ET PRINCIPE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SENEGAL</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SN</w:t>
            </w:r>
          </w:p>
        </w:tc>
      </w:tr>
      <w:tr w:rsidR="00F04EEF">
        <w:trPr>
          <w:trHeight w:val="300"/>
        </w:trPr>
        <w:tc>
          <w:tcPr>
            <w:tcW w:w="4219" w:type="dxa"/>
            <w:shd w:val="clear" w:color="auto" w:fill="auto"/>
            <w:noWrap/>
            <w:vAlign w:val="bottom"/>
            <w:hideMark/>
          </w:tcPr>
          <w:p w:rsidR="00F04EEF" w:rsidRDefault="0099351E">
            <w:pPr>
              <w:rPr>
                <w:rFonts w:ascii="Georgia" w:hAnsi="Georgia"/>
                <w:color w:val="000000"/>
                <w:szCs w:val="24"/>
                <w:lang w:eastAsia="fr-BE"/>
              </w:rPr>
            </w:pPr>
            <w:r>
              <w:rPr>
                <w:rFonts w:ascii="Georgia" w:hAnsi="Georgia"/>
                <w:color w:val="000000"/>
                <w:szCs w:val="24"/>
                <w:lang w:val="fr-FR" w:eastAsia="fr-BE"/>
              </w:rPr>
              <w:t>SERBIE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RS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SEYCHELLES</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SC</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SIERRA LEONE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SINGAPOUR</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SLOVAQUIE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SK</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SLOVENIE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SI</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SOMALIE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SOUDAN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SOUDAN DU SUD</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SS</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SRI LANKA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LK</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SUEDE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SUISSE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CH</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SURINAM</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SWAZILAND</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SYRIE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SY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TADJIKISTAN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TJ</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TAIWAN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TW</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TANZANIE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TCHAD</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TD</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TCHEQUIE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CZ</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THAILANDE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TH</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TIMOR-LESTE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TL</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TOGO</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TG</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TONGA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TO</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TRINITAD ET TOBAGO</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TT</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TUNISIE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TURKMENISTAN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TURQUIE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TR</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TUVALU</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TV</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UKRAINE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UA</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URUGUAY</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UY</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VANUATU</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VU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VENEZUELA</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VE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VIETNAM</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VN</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YEMEN</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YE</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YOUGOSLAVIE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YU</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ZAMBIE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ZM</w:t>
            </w:r>
          </w:p>
        </w:tc>
      </w:tr>
      <w:tr w:rsidR="00F04EEF">
        <w:trPr>
          <w:trHeight w:val="300"/>
        </w:trPr>
        <w:tc>
          <w:tcPr>
            <w:tcW w:w="4219" w:type="dxa"/>
            <w:shd w:val="clear" w:color="auto" w:fill="auto"/>
            <w:hideMark/>
          </w:tcPr>
          <w:p w:rsidR="00F04EEF" w:rsidRDefault="0099351E">
            <w:pPr>
              <w:rPr>
                <w:rFonts w:ascii="Georgia" w:hAnsi="Georgia"/>
                <w:color w:val="000000"/>
                <w:szCs w:val="24"/>
                <w:lang w:eastAsia="fr-BE"/>
              </w:rPr>
            </w:pPr>
            <w:r>
              <w:rPr>
                <w:rFonts w:ascii="Georgia" w:hAnsi="Georgia"/>
                <w:color w:val="000000"/>
                <w:szCs w:val="24"/>
                <w:lang w:val="fr-FR" w:eastAsia="fr-BE"/>
              </w:rPr>
              <w:t>ZIMBABWE</w:t>
            </w:r>
          </w:p>
        </w:tc>
        <w:tc>
          <w:tcPr>
            <w:tcW w:w="1309" w:type="dxa"/>
            <w:shd w:val="clear" w:color="auto" w:fill="auto"/>
            <w:hideMark/>
          </w:tcPr>
          <w:p w:rsidR="00F04EEF" w:rsidRDefault="0099351E">
            <w:pPr>
              <w:jc w:val="center"/>
              <w:rPr>
                <w:rFonts w:ascii="Georgia" w:hAnsi="Georgia"/>
                <w:b/>
                <w:bCs/>
                <w:color w:val="000000"/>
                <w:szCs w:val="24"/>
                <w:lang w:eastAsia="fr-BE"/>
              </w:rPr>
            </w:pPr>
            <w:r>
              <w:rPr>
                <w:rFonts w:ascii="Georgia" w:hAnsi="Georgia"/>
                <w:b/>
                <w:bCs/>
                <w:color w:val="000000"/>
                <w:szCs w:val="24"/>
                <w:lang w:val="fr-FR" w:eastAsia="fr-BE"/>
              </w:rPr>
              <w:t>ZW</w:t>
            </w:r>
          </w:p>
        </w:tc>
      </w:tr>
    </w:tbl>
    <w:p w:rsidR="00F04EEF" w:rsidRDefault="00F04EEF">
      <w:pPr>
        <w:rPr>
          <w:rFonts w:ascii="Georgia" w:hAnsi="Georgia"/>
        </w:rPr>
      </w:pPr>
    </w:p>
    <w:p w:rsidR="00F04EEF" w:rsidRDefault="00F04EEF">
      <w:pPr>
        <w:rPr>
          <w:rFonts w:ascii="Georgia" w:hAnsi="Georgia"/>
        </w:rPr>
      </w:pPr>
    </w:p>
    <w:p w:rsidR="00F04EEF" w:rsidRDefault="0099351E">
      <w:r>
        <w:br w:type="page"/>
      </w:r>
    </w:p>
    <w:p w:rsidR="00F04EEF" w:rsidRDefault="0099351E">
      <w:pPr>
        <w:pStyle w:val="Titre4"/>
      </w:pPr>
      <w:bookmarkStart w:id="3843" w:name="_Annexe_15_:"/>
      <w:bookmarkEnd w:id="3843"/>
      <w:r>
        <w:t xml:space="preserve">Annexe 21 : Intitulés des secteurs/groupes/métiers </w:t>
      </w:r>
    </w:p>
    <w:p w:rsidR="00F04EEF" w:rsidRDefault="0099351E">
      <w:r>
        <w:rPr>
          <w:noProof/>
          <w:lang w:eastAsia="fr-BE"/>
        </w:rPr>
        <mc:AlternateContent>
          <mc:Choice Requires="wps">
            <w:drawing>
              <wp:anchor distT="0" distB="0" distL="114300" distR="114300" simplePos="0" relativeHeight="252327936" behindDoc="0" locked="0" layoutInCell="1" allowOverlap="1">
                <wp:simplePos x="0" y="0"/>
                <wp:positionH relativeFrom="column">
                  <wp:posOffset>6319520</wp:posOffset>
                </wp:positionH>
                <wp:positionV relativeFrom="paragraph">
                  <wp:posOffset>6614794</wp:posOffset>
                </wp:positionV>
                <wp:extent cx="0" cy="314325"/>
                <wp:effectExtent l="0" t="0" r="19050" b="28575"/>
                <wp:wrapNone/>
                <wp:docPr id="153" name="Connecteur droit 153"/>
                <wp:cNvGraphicFramePr/>
                <a:graphic xmlns:a="http://schemas.openxmlformats.org/drawingml/2006/main">
                  <a:graphicData uri="http://schemas.microsoft.com/office/word/2010/wordprocessingShape">
                    <wps:wsp>
                      <wps:cNvCnPr/>
                      <wps:spPr>
                        <a:xfrm>
                          <a:off x="0" y="0"/>
                          <a:ext cx="0" cy="314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FD69A1" id="Connecteur droit 153" o:spid="_x0000_s1026" style="position:absolute;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7.6pt,520.85pt" to="497.6pt,5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" strokecolor="black [3213]"/>
            </w:pict>
          </mc:Fallback>
        </mc:AlternateConten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F04EEF">
        <w:trPr>
          <w:cantSplit/>
          <w:tblHeader/>
        </w:trPr>
        <w:tc>
          <w:tcPr>
            <w:tcW w:w="1838" w:type="dxa"/>
          </w:tcPr>
          <w:p w:rsidR="00F04EEF" w:rsidRDefault="0099351E">
            <w:pPr>
              <w:jc w:val="center"/>
              <w:rPr>
                <w:b/>
              </w:rPr>
            </w:pPr>
            <w:r>
              <w:rPr>
                <w:b/>
              </w:rPr>
              <w:t>Secteurs</w:t>
            </w:r>
          </w:p>
        </w:tc>
        <w:tc>
          <w:tcPr>
            <w:tcW w:w="3119" w:type="dxa"/>
          </w:tcPr>
          <w:p w:rsidR="00F04EEF" w:rsidRDefault="0099351E">
            <w:pPr>
              <w:jc w:val="center"/>
              <w:rPr>
                <w:b/>
              </w:rPr>
            </w:pPr>
            <w:r>
              <w:rPr>
                <w:b/>
              </w:rPr>
              <w:t>Groupes</w:t>
            </w:r>
          </w:p>
        </w:tc>
        <w:tc>
          <w:tcPr>
            <w:tcW w:w="4536" w:type="dxa"/>
          </w:tcPr>
          <w:p w:rsidR="00F04EEF" w:rsidRDefault="0099351E">
            <w:pPr>
              <w:jc w:val="center"/>
              <w:rPr>
                <w:b/>
              </w:rPr>
            </w:pPr>
            <w:r>
              <w:rPr>
                <w:b/>
              </w:rPr>
              <w:t>Métiers</w:t>
            </w:r>
          </w:p>
        </w:tc>
      </w:tr>
      <w:tr w:rsidR="00F04EEF">
        <w:tc>
          <w:tcPr>
            <w:tcW w:w="1838" w:type="dxa"/>
          </w:tcPr>
          <w:p w:rsidR="00F04EEF" w:rsidRDefault="0099351E">
            <w:pPr>
              <w:jc w:val="center"/>
            </w:pPr>
            <w:r>
              <w:t>Phase 1</w:t>
            </w:r>
          </w:p>
        </w:tc>
        <w:tc>
          <w:tcPr>
            <w:tcW w:w="3119" w:type="dxa"/>
          </w:tcPr>
          <w:p w:rsidR="00F04EEF" w:rsidRDefault="0099351E">
            <w:pPr>
              <w:jc w:val="center"/>
            </w:pPr>
            <w:r>
              <w:t>Phase 2</w:t>
            </w:r>
          </w:p>
        </w:tc>
        <w:tc>
          <w:tcPr>
            <w:tcW w:w="4536" w:type="dxa"/>
          </w:tcPr>
          <w:p w:rsidR="00F04EEF" w:rsidRDefault="0099351E">
            <w:pPr>
              <w:jc w:val="center"/>
            </w:pPr>
            <w:r>
              <w:t>Phase 3</w:t>
            </w:r>
          </w:p>
        </w:tc>
      </w:tr>
      <w:tr w:rsidR="00F04EEF">
        <w:tc>
          <w:tcPr>
            <w:tcW w:w="1838" w:type="dxa"/>
            <w:vMerge w:val="restart"/>
          </w:tcPr>
          <w:p w:rsidR="00F04EEF" w:rsidRDefault="00F04EEF"/>
          <w:p w:rsidR="00F04EEF" w:rsidRDefault="00F04EEF"/>
          <w:p w:rsidR="00F04EEF" w:rsidRDefault="0099351E">
            <w:r>
              <w:t>Agronomie</w:t>
            </w:r>
          </w:p>
        </w:tc>
        <w:tc>
          <w:tcPr>
            <w:tcW w:w="3119" w:type="dxa"/>
            <w:vMerge w:val="restart"/>
          </w:tcPr>
          <w:p w:rsidR="00F04EEF" w:rsidRDefault="00F04EEF"/>
          <w:p w:rsidR="00F04EEF" w:rsidRDefault="0099351E">
            <w:r>
              <w:t xml:space="preserve">Horticulture </w:t>
            </w:r>
          </w:p>
        </w:tc>
        <w:tc>
          <w:tcPr>
            <w:tcW w:w="4536" w:type="dxa"/>
            <w:vAlign w:val="bottom"/>
          </w:tcPr>
          <w:p w:rsidR="00F04EEF" w:rsidRDefault="0099351E">
            <w:pPr>
              <w:spacing w:line="242" w:lineRule="exact"/>
              <w:rPr>
                <w:rFonts w:eastAsia="Century Schoolbook"/>
              </w:rPr>
            </w:pPr>
            <w:r>
              <w:rPr>
                <w:rFonts w:eastAsia="Century Schoolbook"/>
              </w:rPr>
              <w:t>Ouvrier/ouvrière en exploitation horticole</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39" w:lineRule="exact"/>
              <w:rPr>
                <w:rFonts w:eastAsia="Century Schoolbook"/>
              </w:rPr>
            </w:pPr>
            <w:r>
              <w:rPr>
                <w:rFonts w:eastAsia="Century Schoolbook"/>
              </w:rPr>
              <w:t>Jardinier d’entretien/jardinière d’entretien</w:t>
            </w:r>
            <w:r>
              <w:rPr>
                <w:rFonts w:eastAsia="Century Schoolbook"/>
                <w:color w:val="FF0000"/>
              </w:rPr>
              <w:t xml:space="preserve"> </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39" w:lineRule="exact"/>
              <w:rPr>
                <w:rFonts w:eastAsia="Century Schoolbook"/>
              </w:rPr>
            </w:pPr>
            <w:r>
              <w:rPr>
                <w:rFonts w:eastAsia="Century Schoolbook"/>
              </w:rPr>
              <w:t>Jardinier/jardinière d’aménagement</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39" w:lineRule="exact"/>
              <w:rPr>
                <w:rFonts w:eastAsia="Century Schoolbook"/>
              </w:rPr>
            </w:pPr>
            <w:r>
              <w:rPr>
                <w:rFonts w:eastAsia="Century Schoolbook"/>
              </w:rPr>
              <w:t>Ouvrier forestier/ouvrière forestière</w:t>
            </w:r>
          </w:p>
        </w:tc>
      </w:tr>
      <w:tr w:rsidR="00F04EEF">
        <w:tc>
          <w:tcPr>
            <w:tcW w:w="1838" w:type="dxa"/>
            <w:vMerge/>
          </w:tcPr>
          <w:p w:rsidR="00F04EEF" w:rsidRDefault="00F04EEF"/>
        </w:tc>
        <w:tc>
          <w:tcPr>
            <w:tcW w:w="7655" w:type="dxa"/>
            <w:gridSpan w:val="2"/>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tcPr>
          <w:p w:rsidR="00F04EEF" w:rsidRDefault="0099351E">
            <w:r>
              <w:t>Métiers du cheval</w:t>
            </w:r>
          </w:p>
        </w:tc>
        <w:tc>
          <w:tcPr>
            <w:tcW w:w="4536" w:type="dxa"/>
            <w:vAlign w:val="bottom"/>
          </w:tcPr>
          <w:p w:rsidR="00F04EEF" w:rsidRDefault="0099351E">
            <w:pPr>
              <w:spacing w:line="239" w:lineRule="exact"/>
              <w:rPr>
                <w:rFonts w:eastAsia="Century Schoolbook"/>
              </w:rPr>
            </w:pPr>
            <w:r>
              <w:rPr>
                <w:rFonts w:eastAsia="Century Schoolbook"/>
              </w:rPr>
              <w:t>Palefrenier/palefrenière</w:t>
            </w:r>
          </w:p>
        </w:tc>
      </w:tr>
      <w:tr w:rsidR="00F04EEF">
        <w:tc>
          <w:tcPr>
            <w:tcW w:w="9493" w:type="dxa"/>
            <w:gridSpan w:val="3"/>
            <w:shd w:val="clear" w:color="auto" w:fill="F2F2F2" w:themeFill="background1" w:themeFillShade="F2"/>
          </w:tcPr>
          <w:p w:rsidR="00F04EEF" w:rsidRDefault="00F04EEF">
            <w:pPr>
              <w:spacing w:line="239" w:lineRule="exact"/>
              <w:rPr>
                <w:rFonts w:eastAsia="Century Schoolbook"/>
              </w:rPr>
            </w:pPr>
          </w:p>
        </w:tc>
      </w:tr>
      <w:tr w:rsidR="00F04EEF">
        <w:tc>
          <w:tcPr>
            <w:tcW w:w="1838" w:type="dxa"/>
            <w:vMerge w:val="restart"/>
          </w:tcPr>
          <w:p w:rsidR="00F04EEF" w:rsidRDefault="00F04EEF"/>
          <w:p w:rsidR="00F04EEF" w:rsidRDefault="00F04EEF"/>
          <w:p w:rsidR="00F04EEF" w:rsidRDefault="00F04EEF"/>
          <w:p w:rsidR="00F04EEF" w:rsidRDefault="00F04EEF"/>
          <w:p w:rsidR="00F04EEF" w:rsidRDefault="00F04EEF"/>
          <w:p w:rsidR="00F04EEF" w:rsidRDefault="0099351E">
            <w:r>
              <w:t>Industrie</w:t>
            </w:r>
          </w:p>
        </w:tc>
        <w:tc>
          <w:tcPr>
            <w:tcW w:w="3119" w:type="dxa"/>
            <w:vMerge w:val="restart"/>
          </w:tcPr>
          <w:p w:rsidR="00F04EEF" w:rsidRDefault="00F04EEF"/>
          <w:p w:rsidR="00F04EEF" w:rsidRDefault="0099351E">
            <w:r>
              <w:t>Construction métallique</w:t>
            </w:r>
          </w:p>
        </w:tc>
        <w:tc>
          <w:tcPr>
            <w:tcW w:w="4536" w:type="dxa"/>
            <w:vAlign w:val="bottom"/>
          </w:tcPr>
          <w:p w:rsidR="00F04EEF" w:rsidRDefault="0099351E">
            <w:pPr>
              <w:spacing w:line="242" w:lineRule="exact"/>
              <w:rPr>
                <w:rFonts w:eastAsia="Century Schoolbook"/>
              </w:rPr>
            </w:pPr>
            <w:r>
              <w:rPr>
                <w:rFonts w:eastAsia="Century Schoolbook"/>
              </w:rPr>
              <w:t>Ferronnier/ferronnière</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39" w:lineRule="exact"/>
              <w:rPr>
                <w:rFonts w:eastAsia="Century Schoolbook"/>
              </w:rPr>
            </w:pPr>
            <w:r>
              <w:rPr>
                <w:rFonts w:eastAsia="Century Schoolbook"/>
              </w:rPr>
              <w:t>Métallier/métallière</w:t>
            </w:r>
          </w:p>
        </w:tc>
      </w:tr>
      <w:tr w:rsidR="00F04EEF">
        <w:tc>
          <w:tcPr>
            <w:tcW w:w="1838" w:type="dxa"/>
            <w:vMerge/>
          </w:tcPr>
          <w:p w:rsidR="00F04EEF" w:rsidRDefault="00F04EEF"/>
        </w:tc>
        <w:tc>
          <w:tcPr>
            <w:tcW w:w="7655" w:type="dxa"/>
            <w:gridSpan w:val="2"/>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Merge w:val="restart"/>
          </w:tcPr>
          <w:p w:rsidR="00F04EEF" w:rsidRDefault="00F04EEF"/>
          <w:p w:rsidR="00F04EEF" w:rsidRDefault="00F04EEF"/>
          <w:p w:rsidR="00F04EEF" w:rsidRDefault="0099351E">
            <w:r>
              <w:t>Mécanique : garage</w:t>
            </w:r>
          </w:p>
        </w:tc>
        <w:tc>
          <w:tcPr>
            <w:tcW w:w="4536" w:type="dxa"/>
            <w:vAlign w:val="bottom"/>
          </w:tcPr>
          <w:p w:rsidR="00F04EEF" w:rsidRDefault="0099351E">
            <w:pPr>
              <w:spacing w:line="242" w:lineRule="exact"/>
              <w:rPr>
                <w:rFonts w:eastAsia="Century Schoolbook"/>
              </w:rPr>
            </w:pPr>
            <w:r>
              <w:rPr>
                <w:rFonts w:eastAsia="Century Schoolbook"/>
              </w:rPr>
              <w:t>Aide-mécanicien/aide-mécanicienne garagiste</w:t>
            </w:r>
          </w:p>
        </w:tc>
      </w:tr>
      <w:tr w:rsidR="00F04EEF">
        <w:trPr>
          <w:trHeight w:val="488"/>
        </w:trPr>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39" w:lineRule="exact"/>
              <w:rPr>
                <w:rFonts w:eastAsia="Century Schoolbook"/>
              </w:rPr>
            </w:pPr>
            <w:r>
              <w:rPr>
                <w:rFonts w:eastAsia="Century Schoolbook"/>
              </w:rPr>
              <w:t>Monteur de pneus-aligneur/monteuse de pneus-aligneuse</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39" w:lineRule="exact"/>
              <w:rPr>
                <w:rFonts w:eastAsia="Century Schoolbook"/>
              </w:rPr>
            </w:pPr>
            <w:r>
              <w:rPr>
                <w:rFonts w:eastAsia="Century Schoolbook"/>
              </w:rPr>
              <w:t>Aide mécanicien/mécanicienne en cycles et petits moteurs</w:t>
            </w:r>
          </w:p>
        </w:tc>
      </w:tr>
      <w:tr w:rsidR="00F04EEF">
        <w:tc>
          <w:tcPr>
            <w:tcW w:w="1838" w:type="dxa"/>
            <w:vMerge/>
          </w:tcPr>
          <w:p w:rsidR="00F04EEF" w:rsidRDefault="00F04EEF"/>
        </w:tc>
        <w:tc>
          <w:tcPr>
            <w:tcW w:w="7655" w:type="dxa"/>
            <w:gridSpan w:val="2"/>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Merge w:val="restart"/>
          </w:tcPr>
          <w:p w:rsidR="00F04EEF" w:rsidRDefault="00F04EEF"/>
          <w:p w:rsidR="00F04EEF" w:rsidRDefault="0099351E">
            <w:r>
              <w:t>Mécanique : carrosserie/tôlerie</w:t>
            </w:r>
          </w:p>
        </w:tc>
        <w:tc>
          <w:tcPr>
            <w:tcW w:w="4536" w:type="dxa"/>
            <w:vAlign w:val="bottom"/>
          </w:tcPr>
          <w:p w:rsidR="00F04EEF" w:rsidRDefault="0099351E">
            <w:pPr>
              <w:spacing w:line="239" w:lineRule="exact"/>
              <w:rPr>
                <w:rFonts w:eastAsia="Century Schoolbook"/>
              </w:rPr>
            </w:pPr>
            <w:r>
              <w:rPr>
                <w:rFonts w:eastAsia="Century Schoolbook"/>
              </w:rPr>
              <w:t>Tôlier/tôlière en carrosserie</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02" w:lineRule="auto"/>
              <w:rPr>
                <w:rFonts w:eastAsia="Century Schoolbook"/>
              </w:rPr>
            </w:pPr>
            <w:r>
              <w:rPr>
                <w:rFonts w:eastAsia="Century Schoolbook"/>
              </w:rPr>
              <w:t>Peintre en carrosserie</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02" w:lineRule="auto"/>
              <w:rPr>
                <w:rFonts w:eastAsia="Century Schoolbook"/>
              </w:rPr>
            </w:pPr>
            <w:r>
              <w:rPr>
                <w:rFonts w:eastAsia="Century Schoolbook"/>
              </w:rPr>
              <w:t>Préparateur/préparatrice de travaux de peinture en carrosserie</w:t>
            </w:r>
          </w:p>
        </w:tc>
      </w:tr>
      <w:tr w:rsidR="00F04EEF">
        <w:tc>
          <w:tcPr>
            <w:tcW w:w="1838" w:type="dxa"/>
            <w:vMerge/>
          </w:tcPr>
          <w:p w:rsidR="00F04EEF" w:rsidRDefault="00F04EEF"/>
        </w:tc>
        <w:tc>
          <w:tcPr>
            <w:tcW w:w="3119" w:type="dxa"/>
          </w:tcPr>
          <w:p w:rsidR="00F04EEF" w:rsidRDefault="00F04EEF"/>
        </w:tc>
        <w:tc>
          <w:tcPr>
            <w:tcW w:w="4536" w:type="dxa"/>
            <w:tcBorders>
              <w:bottom w:val="single" w:sz="4" w:space="0" w:color="auto"/>
            </w:tcBorders>
            <w:vAlign w:val="bottom"/>
          </w:tcPr>
          <w:p w:rsidR="00F04EEF" w:rsidRDefault="00F04EEF">
            <w:pPr>
              <w:spacing w:line="202" w:lineRule="auto"/>
              <w:rPr>
                <w:rFonts w:eastAsia="Century Schoolbook"/>
              </w:rPr>
            </w:pPr>
          </w:p>
        </w:tc>
      </w:tr>
      <w:tr w:rsidR="00F04EEF">
        <w:tc>
          <w:tcPr>
            <w:tcW w:w="1838" w:type="dxa"/>
            <w:vMerge/>
          </w:tcPr>
          <w:p w:rsidR="00F04EEF" w:rsidRDefault="00F04EEF"/>
        </w:tc>
        <w:tc>
          <w:tcPr>
            <w:tcW w:w="3119" w:type="dxa"/>
          </w:tcPr>
          <w:p w:rsidR="00F04EEF" w:rsidRDefault="00F04EEF"/>
        </w:tc>
        <w:tc>
          <w:tcPr>
            <w:tcW w:w="4536" w:type="dxa"/>
            <w:tcBorders>
              <w:right w:val="single" w:sz="12" w:space="0" w:color="auto"/>
            </w:tcBorders>
            <w:vAlign w:val="bottom"/>
          </w:tcPr>
          <w:p w:rsidR="00F04EEF" w:rsidRDefault="0099351E">
            <w:pPr>
              <w:spacing w:line="202" w:lineRule="auto"/>
              <w:rPr>
                <w:rFonts w:eastAsia="Century Schoolbook"/>
              </w:rPr>
            </w:pPr>
            <w:r>
              <w:rPr>
                <w:rFonts w:eastAsia="Century Schoolbook"/>
              </w:rPr>
              <w:t xml:space="preserve">Opérateur/opératrice de production en industrie alimentaire </w:t>
            </w:r>
            <w:r>
              <w:rPr>
                <w:rFonts w:eastAsia="Century Schoolbook"/>
                <w:b/>
              </w:rPr>
              <w:t>(uniquement en alternance)</w:t>
            </w:r>
          </w:p>
        </w:tc>
      </w:tr>
      <w:tr w:rsidR="00F04EEF">
        <w:tc>
          <w:tcPr>
            <w:tcW w:w="9493" w:type="dxa"/>
            <w:gridSpan w:val="3"/>
            <w:shd w:val="clear" w:color="auto" w:fill="F2F2F2" w:themeFill="background1" w:themeFillShade="F2"/>
          </w:tcPr>
          <w:p w:rsidR="00F04EEF" w:rsidRDefault="00F04EEF">
            <w:pPr>
              <w:spacing w:line="202" w:lineRule="auto"/>
              <w:rPr>
                <w:rFonts w:eastAsia="Century Schoolbook"/>
              </w:rPr>
            </w:pPr>
          </w:p>
        </w:tc>
      </w:tr>
      <w:tr w:rsidR="00F04EEF">
        <w:tc>
          <w:tcPr>
            <w:tcW w:w="1838" w:type="dxa"/>
            <w:vMerge w:val="restart"/>
          </w:tcPr>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99351E">
            <w:r>
              <w:t>Construction</w:t>
            </w:r>
          </w:p>
        </w:tc>
        <w:tc>
          <w:tcPr>
            <w:tcW w:w="3119" w:type="dxa"/>
            <w:vMerge w:val="restart"/>
          </w:tcPr>
          <w:p w:rsidR="00F04EEF" w:rsidRDefault="00F04EEF"/>
          <w:p w:rsidR="00F04EEF" w:rsidRDefault="0099351E">
            <w:r>
              <w:t>Bois</w:t>
            </w:r>
          </w:p>
        </w:tc>
        <w:tc>
          <w:tcPr>
            <w:tcW w:w="4536" w:type="dxa"/>
            <w:vAlign w:val="bottom"/>
          </w:tcPr>
          <w:p w:rsidR="00F04EEF" w:rsidRDefault="0099351E">
            <w:pPr>
              <w:spacing w:line="202" w:lineRule="auto"/>
              <w:ind w:right="280"/>
              <w:rPr>
                <w:rFonts w:eastAsia="Century Schoolbook"/>
              </w:rPr>
            </w:pPr>
            <w:r>
              <w:rPr>
                <w:rFonts w:eastAsia="Century Schoolbook"/>
              </w:rPr>
              <w:t>Monteur-placeur/monteuse-placeuse d'éléments menuisés</w:t>
            </w:r>
          </w:p>
        </w:tc>
      </w:tr>
      <w:tr w:rsidR="00F04EEF">
        <w:trPr>
          <w:trHeight w:val="276"/>
        </w:trPr>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07" w:lineRule="auto"/>
              <w:rPr>
                <w:rFonts w:eastAsia="Century Schoolbook"/>
              </w:rPr>
            </w:pPr>
            <w:r>
              <w:rPr>
                <w:rFonts w:eastAsia="Century Schoolbook"/>
              </w:rPr>
              <w:t xml:space="preserve">Ouvrier/ouvrière de scierie </w:t>
            </w:r>
          </w:p>
        </w:tc>
      </w:tr>
      <w:tr w:rsidR="00F04EEF">
        <w:trPr>
          <w:trHeight w:val="275"/>
        </w:trPr>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07" w:lineRule="auto"/>
              <w:rPr>
                <w:rFonts w:eastAsia="Century Schoolbook"/>
              </w:rPr>
            </w:pPr>
            <w:r>
              <w:rPr>
                <w:rFonts w:eastAsia="Century Schoolbook"/>
              </w:rPr>
              <w:t>Ouvrier-poseur/ouvrière-poseuse de faux plafonds, cloisons et planchers surélevés</w:t>
            </w:r>
          </w:p>
        </w:tc>
      </w:tr>
      <w:tr w:rsidR="00F04EEF">
        <w:tc>
          <w:tcPr>
            <w:tcW w:w="1838" w:type="dxa"/>
            <w:vMerge/>
          </w:tcPr>
          <w:p w:rsidR="00F04EEF" w:rsidRDefault="00F04EEF"/>
        </w:tc>
        <w:tc>
          <w:tcPr>
            <w:tcW w:w="7655" w:type="dxa"/>
            <w:gridSpan w:val="2"/>
          </w:tcPr>
          <w:p w:rsidR="00F04EEF" w:rsidRDefault="00F04EEF">
            <w:pPr>
              <w:spacing w:line="207" w:lineRule="auto"/>
              <w:rPr>
                <w:rFonts w:eastAsia="Century Schoolbook"/>
              </w:rPr>
            </w:pPr>
          </w:p>
        </w:tc>
      </w:tr>
      <w:tr w:rsidR="00F04EEF">
        <w:tc>
          <w:tcPr>
            <w:tcW w:w="1838" w:type="dxa"/>
            <w:vMerge/>
          </w:tcPr>
          <w:p w:rsidR="00F04EEF" w:rsidRDefault="00F04EEF"/>
        </w:tc>
        <w:tc>
          <w:tcPr>
            <w:tcW w:w="3119" w:type="dxa"/>
            <w:vMerge w:val="restart"/>
          </w:tcPr>
          <w:p w:rsidR="00F04EEF" w:rsidRDefault="0099351E">
            <w:r>
              <w:t>Equipement du bâtiment</w:t>
            </w:r>
          </w:p>
        </w:tc>
        <w:tc>
          <w:tcPr>
            <w:tcW w:w="4536" w:type="dxa"/>
            <w:vAlign w:val="bottom"/>
          </w:tcPr>
          <w:p w:rsidR="00F04EEF" w:rsidRDefault="0099351E">
            <w:pPr>
              <w:spacing w:line="202" w:lineRule="auto"/>
              <w:ind w:right="280"/>
              <w:rPr>
                <w:rFonts w:eastAsia="Century Schoolbook"/>
              </w:rPr>
            </w:pPr>
            <w:r>
              <w:rPr>
                <w:rFonts w:eastAsia="Century Schoolbook"/>
              </w:rPr>
              <w:t>Monteur/monteuse en sanitaire</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02" w:lineRule="auto"/>
              <w:ind w:right="280"/>
              <w:rPr>
                <w:rFonts w:eastAsia="Century Schoolbook"/>
              </w:rPr>
            </w:pPr>
            <w:r>
              <w:rPr>
                <w:rFonts w:eastAsia="Century Schoolbook"/>
              </w:rPr>
              <w:t>Monteur/monteuse en chauffage</w:t>
            </w:r>
          </w:p>
        </w:tc>
      </w:tr>
      <w:tr w:rsidR="00F04EEF">
        <w:tc>
          <w:tcPr>
            <w:tcW w:w="1838" w:type="dxa"/>
            <w:vMerge/>
          </w:tcPr>
          <w:p w:rsidR="00F04EEF" w:rsidRDefault="00F04EEF"/>
        </w:tc>
        <w:tc>
          <w:tcPr>
            <w:tcW w:w="7655" w:type="dxa"/>
            <w:gridSpan w:val="2"/>
          </w:tcPr>
          <w:p w:rsidR="00F04EEF" w:rsidRDefault="00F04EEF">
            <w:pPr>
              <w:spacing w:line="202" w:lineRule="auto"/>
              <w:ind w:right="280"/>
              <w:rPr>
                <w:rFonts w:eastAsia="Century Schoolbook"/>
              </w:rPr>
            </w:pPr>
          </w:p>
        </w:tc>
      </w:tr>
      <w:tr w:rsidR="00F04EEF">
        <w:tc>
          <w:tcPr>
            <w:tcW w:w="1838" w:type="dxa"/>
            <w:vMerge/>
          </w:tcPr>
          <w:p w:rsidR="00F04EEF" w:rsidRDefault="00F04EEF"/>
        </w:tc>
        <w:tc>
          <w:tcPr>
            <w:tcW w:w="3119" w:type="dxa"/>
            <w:vMerge w:val="restart"/>
          </w:tcPr>
          <w:p w:rsidR="00F04EEF" w:rsidRDefault="00F04EEF"/>
          <w:p w:rsidR="00F04EEF" w:rsidRDefault="0099351E">
            <w:r>
              <w:t>Parachèvement du bâtiment</w:t>
            </w:r>
          </w:p>
        </w:tc>
        <w:tc>
          <w:tcPr>
            <w:tcW w:w="4536" w:type="dxa"/>
            <w:vAlign w:val="bottom"/>
          </w:tcPr>
          <w:p w:rsidR="00F04EEF" w:rsidRDefault="0099351E">
            <w:pPr>
              <w:spacing w:line="202" w:lineRule="auto"/>
              <w:ind w:right="280"/>
              <w:rPr>
                <w:rFonts w:eastAsia="Century Schoolbook"/>
              </w:rPr>
            </w:pPr>
            <w:r>
              <w:rPr>
                <w:rFonts w:eastAsia="Century Schoolbook"/>
              </w:rPr>
              <w:t>Ouvrier/ouvrière en peinture du bâtiment</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02" w:lineRule="auto"/>
              <w:ind w:right="280"/>
              <w:rPr>
                <w:rFonts w:eastAsia="Century Schoolbook"/>
              </w:rPr>
            </w:pPr>
            <w:r>
              <w:rPr>
                <w:rFonts w:eastAsia="Century Schoolbook"/>
              </w:rPr>
              <w:t>Ouvrier plafonneur/ouvrière plafonneuse</w:t>
            </w:r>
          </w:p>
        </w:tc>
      </w:tr>
      <w:tr w:rsidR="00F04EEF">
        <w:tc>
          <w:tcPr>
            <w:tcW w:w="1838" w:type="dxa"/>
            <w:vMerge/>
          </w:tcPr>
          <w:p w:rsidR="00F04EEF" w:rsidRDefault="00F04EEF"/>
        </w:tc>
        <w:tc>
          <w:tcPr>
            <w:tcW w:w="3119" w:type="dxa"/>
            <w:vMerge/>
          </w:tcPr>
          <w:p w:rsidR="00F04EEF" w:rsidRDefault="00F04EEF"/>
        </w:tc>
        <w:tc>
          <w:tcPr>
            <w:tcW w:w="4536" w:type="dxa"/>
            <w:vAlign w:val="bottom"/>
          </w:tcPr>
          <w:p w:rsidR="00F04EEF" w:rsidRDefault="0099351E">
            <w:pPr>
              <w:spacing w:line="202" w:lineRule="auto"/>
              <w:ind w:right="280"/>
              <w:rPr>
                <w:rFonts w:eastAsia="Century Schoolbook"/>
              </w:rPr>
            </w:pPr>
            <w:r>
              <w:rPr>
                <w:rFonts w:eastAsia="Century Schoolbook"/>
              </w:rPr>
              <w:t>Ouvrier-poseur/ouvrière-poseuse de revêtements souples de sols</w:t>
            </w:r>
          </w:p>
        </w:tc>
      </w:tr>
      <w:tr w:rsidR="00F04EEF">
        <w:tc>
          <w:tcPr>
            <w:tcW w:w="1838" w:type="dxa"/>
            <w:vMerge/>
          </w:tcPr>
          <w:p w:rsidR="00F04EEF" w:rsidRDefault="00F04EEF"/>
        </w:tc>
        <w:tc>
          <w:tcPr>
            <w:tcW w:w="3119" w:type="dxa"/>
            <w:vMerge/>
          </w:tcPr>
          <w:p w:rsidR="00F04EEF" w:rsidRDefault="00F04EEF">
            <w:pPr>
              <w:rPr>
                <w:rFonts w:eastAsia="Century Schoolbook"/>
              </w:rPr>
            </w:pPr>
          </w:p>
        </w:tc>
        <w:tc>
          <w:tcPr>
            <w:tcW w:w="4536" w:type="dxa"/>
            <w:vAlign w:val="bottom"/>
          </w:tcPr>
          <w:p w:rsidR="00F04EEF" w:rsidRDefault="0099351E">
            <w:pPr>
              <w:spacing w:line="262" w:lineRule="exact"/>
              <w:rPr>
                <w:rFonts w:eastAsia="Century Schoolbook"/>
              </w:rPr>
            </w:pPr>
            <w:r>
              <w:rPr>
                <w:rFonts w:eastAsia="Century Schoolbook"/>
              </w:rPr>
              <w:t>Ouvrier lettreur/ouvrière lettreur</w:t>
            </w:r>
          </w:p>
        </w:tc>
      </w:tr>
      <w:tr w:rsidR="00F04EEF">
        <w:tc>
          <w:tcPr>
            <w:tcW w:w="1838" w:type="dxa"/>
            <w:vMerge/>
          </w:tcPr>
          <w:p w:rsidR="00F04EEF" w:rsidRDefault="00F04EEF"/>
        </w:tc>
        <w:tc>
          <w:tcPr>
            <w:tcW w:w="3119" w:type="dxa"/>
            <w:vMerge/>
          </w:tcPr>
          <w:p w:rsidR="00F04EEF" w:rsidRDefault="00F04EEF">
            <w:pPr>
              <w:rPr>
                <w:rFonts w:eastAsia="Century Schoolbook"/>
              </w:rPr>
            </w:pPr>
          </w:p>
        </w:tc>
        <w:tc>
          <w:tcPr>
            <w:tcW w:w="4536" w:type="dxa"/>
            <w:vAlign w:val="bottom"/>
          </w:tcPr>
          <w:p w:rsidR="00F04EEF" w:rsidRDefault="0099351E">
            <w:pPr>
              <w:spacing w:line="262" w:lineRule="exact"/>
              <w:rPr>
                <w:rFonts w:eastAsia="Century Schoolbook"/>
              </w:rPr>
            </w:pPr>
            <w:r>
              <w:rPr>
                <w:rFonts w:ascii="Calibri" w:hAnsi="Calibri" w:cs="Calibri"/>
              </w:rPr>
              <w:t>peintre décorateur / peintre décoratrice</w:t>
            </w:r>
          </w:p>
        </w:tc>
      </w:tr>
      <w:tr w:rsidR="00F04EEF">
        <w:tc>
          <w:tcPr>
            <w:tcW w:w="1838" w:type="dxa"/>
            <w:vMerge/>
          </w:tcPr>
          <w:p w:rsidR="00F04EEF" w:rsidRDefault="00F04EEF"/>
        </w:tc>
        <w:tc>
          <w:tcPr>
            <w:tcW w:w="3119" w:type="dxa"/>
            <w:vMerge/>
          </w:tcPr>
          <w:p w:rsidR="00F04EEF" w:rsidRDefault="00F04EEF">
            <w:pPr>
              <w:rPr>
                <w:rFonts w:eastAsia="Century Schoolbook"/>
              </w:rPr>
            </w:pPr>
          </w:p>
        </w:tc>
        <w:tc>
          <w:tcPr>
            <w:tcW w:w="4536" w:type="dxa"/>
            <w:vAlign w:val="bottom"/>
          </w:tcPr>
          <w:p w:rsidR="00F04EEF" w:rsidRDefault="0099351E">
            <w:pPr>
              <w:spacing w:line="262" w:lineRule="exact"/>
              <w:rPr>
                <w:rFonts w:eastAsia="Century Schoolbook"/>
              </w:rPr>
            </w:pPr>
            <w:r>
              <w:rPr>
                <w:rFonts w:ascii="Calibri" w:hAnsi="Calibri" w:cs="Calibri"/>
              </w:rPr>
              <w:t>plafonneur cimentier / plafonneuse cimentière</w:t>
            </w:r>
          </w:p>
        </w:tc>
      </w:tr>
      <w:tr w:rsidR="00F04EEF">
        <w:tc>
          <w:tcPr>
            <w:tcW w:w="1838" w:type="dxa"/>
            <w:vMerge/>
          </w:tcPr>
          <w:p w:rsidR="00F04EEF" w:rsidRDefault="00F04EEF"/>
        </w:tc>
        <w:tc>
          <w:tcPr>
            <w:tcW w:w="7655" w:type="dxa"/>
            <w:gridSpan w:val="2"/>
          </w:tcPr>
          <w:p w:rsidR="00F04EEF" w:rsidRDefault="00F04EEF">
            <w:pPr>
              <w:spacing w:line="262" w:lineRule="exact"/>
              <w:rPr>
                <w:rFonts w:eastAsia="Century Schoolbook"/>
              </w:rPr>
            </w:pPr>
          </w:p>
        </w:tc>
      </w:tr>
      <w:tr w:rsidR="00F04EEF">
        <w:tc>
          <w:tcPr>
            <w:tcW w:w="1838" w:type="dxa"/>
            <w:vMerge/>
          </w:tcPr>
          <w:p w:rsidR="00F04EEF" w:rsidRDefault="00F04EEF"/>
        </w:tc>
        <w:tc>
          <w:tcPr>
            <w:tcW w:w="3119" w:type="dxa"/>
          </w:tcPr>
          <w:p w:rsidR="00F04EEF" w:rsidRDefault="0099351E">
            <w:r>
              <w:rPr>
                <w:rFonts w:eastAsia="Century Schoolbook"/>
              </w:rPr>
              <w:t>Maintenance</w:t>
            </w:r>
          </w:p>
        </w:tc>
        <w:tc>
          <w:tcPr>
            <w:tcW w:w="4536" w:type="dxa"/>
            <w:vAlign w:val="bottom"/>
          </w:tcPr>
          <w:p w:rsidR="00F04EEF" w:rsidRDefault="0099351E">
            <w:pPr>
              <w:spacing w:line="262" w:lineRule="exact"/>
              <w:rPr>
                <w:rFonts w:eastAsia="Century Schoolbook"/>
              </w:rPr>
            </w:pPr>
            <w:r>
              <w:rPr>
                <w:rFonts w:eastAsia="Century Schoolbook"/>
              </w:rPr>
              <w:t>Ouvrier/ouvrière d'entretien du bâtiment et de son environnement</w:t>
            </w:r>
          </w:p>
        </w:tc>
      </w:tr>
      <w:tr w:rsidR="00F04EEF">
        <w:tc>
          <w:tcPr>
            <w:tcW w:w="1838" w:type="dxa"/>
            <w:vMerge/>
          </w:tcPr>
          <w:p w:rsidR="00F04EEF" w:rsidRDefault="00F04EEF"/>
        </w:tc>
        <w:tc>
          <w:tcPr>
            <w:tcW w:w="7655" w:type="dxa"/>
            <w:gridSpan w:val="2"/>
          </w:tcPr>
          <w:p w:rsidR="00F04EEF" w:rsidRDefault="00F04EEF">
            <w:pPr>
              <w:spacing w:line="262" w:lineRule="exact"/>
              <w:rPr>
                <w:rFonts w:eastAsia="Century Schoolbook"/>
              </w:rPr>
            </w:pPr>
          </w:p>
        </w:tc>
      </w:tr>
      <w:tr w:rsidR="00F04EEF">
        <w:tc>
          <w:tcPr>
            <w:tcW w:w="1838" w:type="dxa"/>
            <w:vMerge/>
          </w:tcPr>
          <w:p w:rsidR="00F04EEF" w:rsidRDefault="00F04EEF"/>
        </w:tc>
        <w:tc>
          <w:tcPr>
            <w:tcW w:w="3119" w:type="dxa"/>
            <w:vMerge w:val="restart"/>
            <w:vAlign w:val="bottom"/>
          </w:tcPr>
          <w:p w:rsidR="00F04EEF" w:rsidRDefault="0099351E">
            <w:pPr>
              <w:spacing w:line="242" w:lineRule="exact"/>
              <w:rPr>
                <w:rFonts w:eastAsia="Century Schoolbook"/>
              </w:rPr>
            </w:pPr>
            <w:r>
              <w:rPr>
                <w:rFonts w:eastAsia="Century Schoolbook"/>
              </w:rPr>
              <w:t>Construction-gros œuvre</w:t>
            </w:r>
          </w:p>
          <w:p w:rsidR="00F04EEF" w:rsidRDefault="00F04EEF">
            <w:pPr>
              <w:spacing w:line="242" w:lineRule="exact"/>
              <w:rPr>
                <w:rFonts w:eastAsia="Century Schoolbook"/>
              </w:rPr>
            </w:pPr>
          </w:p>
          <w:p w:rsidR="00F04EEF" w:rsidRDefault="00F04EEF">
            <w:pPr>
              <w:spacing w:line="242" w:lineRule="exact"/>
              <w:rPr>
                <w:rFonts w:eastAsia="Century Schoolbook"/>
              </w:rPr>
            </w:pPr>
          </w:p>
          <w:p w:rsidR="00F04EEF" w:rsidRDefault="00F04EEF">
            <w:pPr>
              <w:spacing w:line="242" w:lineRule="exact"/>
              <w:rPr>
                <w:rFonts w:eastAsia="Century Schoolbook"/>
              </w:rPr>
            </w:pPr>
          </w:p>
          <w:p w:rsidR="00F04EEF" w:rsidRDefault="00F04EEF">
            <w:pPr>
              <w:spacing w:line="242" w:lineRule="exact"/>
              <w:rPr>
                <w:rFonts w:eastAsia="Century Schoolbook"/>
              </w:rPr>
            </w:pPr>
          </w:p>
          <w:p w:rsidR="00F04EEF" w:rsidRDefault="00F04EEF">
            <w:pPr>
              <w:spacing w:line="242" w:lineRule="exact"/>
              <w:rPr>
                <w:rFonts w:eastAsia="Century Schoolbook"/>
              </w:rPr>
            </w:pPr>
          </w:p>
        </w:tc>
        <w:tc>
          <w:tcPr>
            <w:tcW w:w="4536" w:type="dxa"/>
            <w:vAlign w:val="bottom"/>
          </w:tcPr>
          <w:p w:rsidR="00F04EEF" w:rsidRDefault="0099351E">
            <w:pPr>
              <w:spacing w:line="242" w:lineRule="exact"/>
              <w:rPr>
                <w:rFonts w:eastAsia="Century Schoolbook"/>
              </w:rPr>
            </w:pPr>
            <w:r>
              <w:rPr>
                <w:rFonts w:eastAsia="Century Schoolbook"/>
              </w:rPr>
              <w:t>Maçon/maçonne</w:t>
            </w:r>
          </w:p>
        </w:tc>
      </w:tr>
      <w:tr w:rsidR="00F04EEF">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Coffreur/coffreuse</w:t>
            </w:r>
          </w:p>
        </w:tc>
      </w:tr>
      <w:tr w:rsidR="00F04EEF">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Ferrailleur/ferrailleuse</w:t>
            </w:r>
          </w:p>
        </w:tc>
      </w:tr>
      <w:tr w:rsidR="00F04EEF">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Bétonneur/bétonneuse</w:t>
            </w:r>
          </w:p>
        </w:tc>
      </w:tr>
      <w:tr w:rsidR="00F04EEF">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Chapiste</w:t>
            </w:r>
          </w:p>
        </w:tc>
      </w:tr>
      <w:tr w:rsidR="00F04EEF">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42" w:lineRule="exact"/>
              <w:rPr>
                <w:rFonts w:eastAsia="Century Schoolbook"/>
              </w:rPr>
            </w:pPr>
            <w:r>
              <w:rPr>
                <w:rFonts w:eastAsia="Century Schoolbook"/>
              </w:rPr>
              <w:t>Carreleur/carreleuse</w:t>
            </w:r>
          </w:p>
        </w:tc>
      </w:tr>
      <w:tr w:rsidR="00F04EEF">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Paveur/paveuse</w:t>
            </w:r>
          </w:p>
        </w:tc>
      </w:tr>
      <w:tr w:rsidR="00F04EEF">
        <w:trPr>
          <w:trHeight w:val="488"/>
        </w:trPr>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Jointoyeur-ravaleur de façades/jointoyeuse-ravaleuse de façades</w:t>
            </w:r>
          </w:p>
        </w:tc>
      </w:tr>
      <w:tr w:rsidR="00F04EEF">
        <w:trPr>
          <w:trHeight w:val="727"/>
        </w:trPr>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Ouvrier-tailleur de pierres naturelles/ouvrière-tailleuse de pierres naturelles</w:t>
            </w:r>
          </w:p>
        </w:tc>
      </w:tr>
      <w:tr w:rsidR="00F04EEF">
        <w:tc>
          <w:tcPr>
            <w:tcW w:w="1838" w:type="dxa"/>
            <w:vMerge/>
          </w:tcPr>
          <w:p w:rsidR="00F04EEF" w:rsidRDefault="00F04EEF"/>
        </w:tc>
        <w:tc>
          <w:tcPr>
            <w:tcW w:w="3119" w:type="dxa"/>
            <w:vMerge/>
            <w:vAlign w:val="bottom"/>
          </w:tcPr>
          <w:p w:rsidR="00F04EEF" w:rsidRDefault="00F04EEF">
            <w:pPr>
              <w:spacing w:line="239" w:lineRule="exact"/>
              <w:rPr>
                <w:rFonts w:eastAsia="Century Schoolbook"/>
              </w:rPr>
            </w:pPr>
          </w:p>
        </w:tc>
        <w:tc>
          <w:tcPr>
            <w:tcW w:w="4536" w:type="dxa"/>
            <w:vAlign w:val="bottom"/>
          </w:tcPr>
          <w:p w:rsidR="00F04EEF" w:rsidRDefault="0099351E">
            <w:pPr>
              <w:spacing w:line="239" w:lineRule="exact"/>
              <w:rPr>
                <w:rFonts w:eastAsia="Century Schoolbook"/>
              </w:rPr>
            </w:pPr>
            <w:r>
              <w:rPr>
                <w:rFonts w:eastAsia="Century Schoolbook"/>
              </w:rPr>
              <w:t>Voiriste</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Align w:val="bottom"/>
          </w:tcPr>
          <w:p w:rsidR="00F04EEF" w:rsidRDefault="0099351E">
            <w:pPr>
              <w:spacing w:line="242" w:lineRule="exact"/>
              <w:rPr>
                <w:rFonts w:eastAsia="Century Schoolbook"/>
              </w:rPr>
            </w:pPr>
            <w:r>
              <w:rPr>
                <w:rFonts w:eastAsia="Century Schoolbook"/>
              </w:rPr>
              <w:t>Couverture du bâtiment</w:t>
            </w:r>
          </w:p>
        </w:tc>
        <w:tc>
          <w:tcPr>
            <w:tcW w:w="4536" w:type="dxa"/>
            <w:vAlign w:val="bottom"/>
          </w:tcPr>
          <w:p w:rsidR="00F04EEF" w:rsidRDefault="0099351E">
            <w:pPr>
              <w:spacing w:line="239" w:lineRule="exact"/>
              <w:rPr>
                <w:rFonts w:eastAsia="Century Schoolbook"/>
              </w:rPr>
            </w:pPr>
            <w:r>
              <w:rPr>
                <w:rFonts w:eastAsia="Century Schoolbook"/>
              </w:rPr>
              <w:t>Poseur/poseuse de couvertures non métalliques</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Align w:val="bottom"/>
          </w:tcPr>
          <w:p w:rsidR="00F04EEF" w:rsidRDefault="0099351E">
            <w:pPr>
              <w:spacing w:line="242" w:lineRule="exact"/>
              <w:rPr>
                <w:rFonts w:eastAsia="Century Schoolbook"/>
              </w:rPr>
            </w:pPr>
            <w:r>
              <w:rPr>
                <w:rFonts w:eastAsia="Century Schoolbook"/>
              </w:rPr>
              <w:t>Installations électriques du bâtiment</w:t>
            </w:r>
          </w:p>
        </w:tc>
        <w:tc>
          <w:tcPr>
            <w:tcW w:w="4536" w:type="dxa"/>
            <w:vAlign w:val="bottom"/>
          </w:tcPr>
          <w:p w:rsidR="00F04EEF" w:rsidRDefault="0099351E">
            <w:pPr>
              <w:spacing w:line="0" w:lineRule="atLeast"/>
            </w:pPr>
            <w:r>
              <w:rPr>
                <w:rFonts w:eastAsia="Century Schoolbook"/>
              </w:rPr>
              <w:t>Aide-électricien/aide-électricienne</w:t>
            </w:r>
          </w:p>
        </w:tc>
      </w:tr>
      <w:tr w:rsidR="00F04EEF">
        <w:tc>
          <w:tcPr>
            <w:tcW w:w="9493" w:type="dxa"/>
            <w:gridSpan w:val="3"/>
            <w:shd w:val="clear" w:color="auto" w:fill="F2F2F2" w:themeFill="background1" w:themeFillShade="F2"/>
          </w:tcPr>
          <w:p w:rsidR="00F04EEF" w:rsidRDefault="00F04EEF">
            <w:pPr>
              <w:spacing w:line="0" w:lineRule="atLeast"/>
              <w:rPr>
                <w:rFonts w:eastAsia="Century Schoolbook"/>
              </w:rPr>
            </w:pPr>
          </w:p>
        </w:tc>
      </w:tr>
      <w:tr w:rsidR="00F04EEF">
        <w:tc>
          <w:tcPr>
            <w:tcW w:w="1838" w:type="dxa"/>
            <w:vMerge w:val="restart"/>
          </w:tcPr>
          <w:p w:rsidR="00F04EEF" w:rsidRDefault="00F04EEF"/>
          <w:p w:rsidR="00F04EEF" w:rsidRDefault="00F04EEF"/>
          <w:p w:rsidR="00F04EEF" w:rsidRDefault="00F04EEF"/>
          <w:p w:rsidR="00F04EEF" w:rsidRDefault="00F04EEF"/>
          <w:p w:rsidR="00F04EEF" w:rsidRDefault="00F04EEF"/>
          <w:p w:rsidR="00F04EEF" w:rsidRDefault="00F04EEF"/>
          <w:p w:rsidR="00F04EEF" w:rsidRDefault="0099351E">
            <w:r>
              <w:t>Hôtellerie-alimentation</w:t>
            </w:r>
          </w:p>
        </w:tc>
        <w:tc>
          <w:tcPr>
            <w:tcW w:w="3119" w:type="dxa"/>
            <w:vMerge w:val="restart"/>
            <w:vAlign w:val="bottom"/>
          </w:tcPr>
          <w:p w:rsidR="00F04EEF" w:rsidRDefault="0099351E">
            <w:pPr>
              <w:spacing w:line="239" w:lineRule="exact"/>
              <w:rPr>
                <w:rFonts w:eastAsia="Century Schoolbook"/>
              </w:rPr>
            </w:pPr>
            <w:r>
              <w:rPr>
                <w:rFonts w:eastAsia="Century Schoolbook"/>
              </w:rPr>
              <w:t>Restauration</w:t>
            </w:r>
          </w:p>
          <w:p w:rsidR="00F04EEF" w:rsidRDefault="00F04EEF">
            <w:pPr>
              <w:spacing w:line="239" w:lineRule="exact"/>
              <w:rPr>
                <w:rFonts w:eastAsia="Century Schoolbook"/>
              </w:rPr>
            </w:pPr>
          </w:p>
          <w:p w:rsidR="00F04EEF" w:rsidRDefault="00F04EEF">
            <w:pPr>
              <w:spacing w:line="239" w:lineRule="exact"/>
              <w:rPr>
                <w:rFonts w:eastAsia="Century Schoolbook"/>
              </w:rPr>
            </w:pPr>
          </w:p>
        </w:tc>
        <w:tc>
          <w:tcPr>
            <w:tcW w:w="4536" w:type="dxa"/>
            <w:vAlign w:val="bottom"/>
          </w:tcPr>
          <w:p w:rsidR="00F04EEF" w:rsidRDefault="0099351E">
            <w:pPr>
              <w:spacing w:line="242" w:lineRule="exact"/>
              <w:rPr>
                <w:rFonts w:eastAsia="Century Schoolbook"/>
              </w:rPr>
            </w:pPr>
            <w:r>
              <w:rPr>
                <w:rFonts w:eastAsia="Century Schoolbook"/>
              </w:rPr>
              <w:t>Commis/commise de cuisine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Commis/commise de salle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Commis/commise de cuisine de collectivité</w:t>
            </w:r>
          </w:p>
        </w:tc>
      </w:tr>
      <w:tr w:rsidR="00F04EEF">
        <w:tc>
          <w:tcPr>
            <w:tcW w:w="1838" w:type="dxa"/>
            <w:vMerge/>
          </w:tcPr>
          <w:p w:rsidR="00F04EEF" w:rsidRDefault="00F04EEF"/>
        </w:tc>
        <w:tc>
          <w:tcPr>
            <w:tcW w:w="3119" w:type="dxa"/>
            <w:vMerge/>
            <w:vAlign w:val="bottom"/>
          </w:tcPr>
          <w:p w:rsidR="00F04EEF" w:rsidRDefault="00F04EEF">
            <w:pPr>
              <w:spacing w:line="242" w:lineRule="exact"/>
              <w:rPr>
                <w:rFonts w:eastAsia="Century Schoolbook"/>
              </w:rPr>
            </w:pPr>
          </w:p>
        </w:tc>
        <w:tc>
          <w:tcPr>
            <w:tcW w:w="4536" w:type="dxa"/>
            <w:vAlign w:val="bottom"/>
          </w:tcPr>
          <w:p w:rsidR="00F04EEF" w:rsidRDefault="0099351E">
            <w:pPr>
              <w:spacing w:line="242" w:lineRule="exact"/>
              <w:rPr>
                <w:rFonts w:eastAsia="Century Schoolbook"/>
              </w:rPr>
            </w:pPr>
            <w:r>
              <w:rPr>
                <w:rFonts w:eastAsia="Century Schoolbook"/>
              </w:rPr>
              <w:t>Ouvrier polyvalent en restauration rapide/ouvrière polyvalente en restauration rapide</w:t>
            </w:r>
          </w:p>
        </w:tc>
      </w:tr>
      <w:tr w:rsidR="00F04EEF">
        <w:tc>
          <w:tcPr>
            <w:tcW w:w="1838" w:type="dxa"/>
            <w:vMerge/>
          </w:tcPr>
          <w:p w:rsidR="00F04EEF" w:rsidRDefault="00F04EEF"/>
        </w:tc>
        <w:tc>
          <w:tcPr>
            <w:tcW w:w="3119" w:type="dxa"/>
            <w:vMerge/>
            <w:vAlign w:val="bottom"/>
          </w:tcPr>
          <w:p w:rsidR="00F04EEF" w:rsidRDefault="00F04EEF">
            <w:pPr>
              <w:spacing w:line="242" w:lineRule="exact"/>
              <w:rPr>
                <w:rFonts w:eastAsia="Century Schoolbook"/>
              </w:rPr>
            </w:pPr>
          </w:p>
        </w:tc>
        <w:tc>
          <w:tcPr>
            <w:tcW w:w="4536" w:type="dxa"/>
            <w:vAlign w:val="bottom"/>
          </w:tcPr>
          <w:p w:rsidR="00F04EEF" w:rsidRDefault="0099351E">
            <w:pPr>
              <w:spacing w:line="242" w:lineRule="exact"/>
              <w:rPr>
                <w:rFonts w:eastAsia="Century Schoolbook"/>
              </w:rPr>
            </w:pPr>
            <w:r>
              <w:rPr>
                <w:rFonts w:eastAsia="Century Schoolbook"/>
              </w:rPr>
              <w:t>Agent/agente de fabrication du secteur alimentaire </w:t>
            </w:r>
          </w:p>
        </w:tc>
      </w:tr>
      <w:tr w:rsidR="00F04EEF">
        <w:tc>
          <w:tcPr>
            <w:tcW w:w="1838" w:type="dxa"/>
            <w:vMerge/>
          </w:tcPr>
          <w:p w:rsidR="00F04EEF" w:rsidRDefault="00F04EEF"/>
        </w:tc>
        <w:tc>
          <w:tcPr>
            <w:tcW w:w="7655" w:type="dxa"/>
            <w:gridSpan w:val="2"/>
            <w:vAlign w:val="bottom"/>
          </w:tcPr>
          <w:p w:rsidR="00F04EEF" w:rsidRDefault="00F04EEF">
            <w:pPr>
              <w:spacing w:line="242" w:lineRule="exact"/>
              <w:rPr>
                <w:rFonts w:eastAsia="Century Schoolbook"/>
              </w:rPr>
            </w:pPr>
          </w:p>
        </w:tc>
      </w:tr>
      <w:tr w:rsidR="00F04EEF">
        <w:trPr>
          <w:trHeight w:val="307"/>
        </w:trPr>
        <w:tc>
          <w:tcPr>
            <w:tcW w:w="1838" w:type="dxa"/>
            <w:vMerge/>
          </w:tcPr>
          <w:p w:rsidR="00F04EEF" w:rsidRDefault="00F04EEF"/>
        </w:tc>
        <w:tc>
          <w:tcPr>
            <w:tcW w:w="3119" w:type="dxa"/>
            <w:vMerge w:val="restart"/>
            <w:vAlign w:val="bottom"/>
          </w:tcPr>
          <w:p w:rsidR="00F04EEF" w:rsidRDefault="0099351E">
            <w:pPr>
              <w:spacing w:line="242" w:lineRule="exact"/>
              <w:rPr>
                <w:rFonts w:eastAsia="Century Schoolbook"/>
              </w:rPr>
            </w:pPr>
            <w:r>
              <w:rPr>
                <w:rFonts w:eastAsia="Century Schoolbook"/>
              </w:rPr>
              <w:t>Boucherie-charcuterie</w:t>
            </w:r>
          </w:p>
          <w:p w:rsidR="00F04EEF" w:rsidRDefault="00F04EEF">
            <w:pPr>
              <w:spacing w:line="242" w:lineRule="exact"/>
              <w:rPr>
                <w:rFonts w:eastAsia="Century Schoolbook"/>
              </w:rPr>
            </w:pPr>
          </w:p>
        </w:tc>
        <w:tc>
          <w:tcPr>
            <w:tcW w:w="4536" w:type="dxa"/>
            <w:vAlign w:val="bottom"/>
          </w:tcPr>
          <w:p w:rsidR="00F04EEF" w:rsidRDefault="0099351E">
            <w:pPr>
              <w:spacing w:line="242" w:lineRule="exact"/>
              <w:rPr>
                <w:rFonts w:eastAsia="Century Schoolbook"/>
              </w:rPr>
            </w:pPr>
            <w:r>
              <w:rPr>
                <w:rFonts w:eastAsia="Century Schoolbook"/>
              </w:rPr>
              <w:t>Préparateur/préparatrice en boucherie</w:t>
            </w:r>
          </w:p>
        </w:tc>
      </w:tr>
      <w:tr w:rsidR="00F04EEF">
        <w:trPr>
          <w:trHeight w:val="307"/>
        </w:trPr>
        <w:tc>
          <w:tcPr>
            <w:tcW w:w="1838" w:type="dxa"/>
            <w:vMerge/>
          </w:tcPr>
          <w:p w:rsidR="00F04EEF" w:rsidRDefault="00F04EEF"/>
        </w:tc>
        <w:tc>
          <w:tcPr>
            <w:tcW w:w="3119" w:type="dxa"/>
            <w:vMerge/>
            <w:vAlign w:val="bottom"/>
          </w:tcPr>
          <w:p w:rsidR="00F04EEF" w:rsidRDefault="00F04EEF">
            <w:pPr>
              <w:spacing w:line="242" w:lineRule="exact"/>
              <w:rPr>
                <w:rFonts w:eastAsia="Century Schoolbook"/>
              </w:rPr>
            </w:pPr>
          </w:p>
        </w:tc>
        <w:tc>
          <w:tcPr>
            <w:tcW w:w="4536" w:type="dxa"/>
            <w:vAlign w:val="bottom"/>
          </w:tcPr>
          <w:p w:rsidR="00F04EEF" w:rsidRDefault="0099351E">
            <w:pPr>
              <w:spacing w:line="242" w:lineRule="exact"/>
              <w:rPr>
                <w:rFonts w:eastAsia="Century Schoolbook"/>
              </w:rPr>
            </w:pPr>
            <w:r>
              <w:rPr>
                <w:rFonts w:eastAsia="Century Schoolbook"/>
              </w:rPr>
              <w:t>Vendeur /vendeuse en boucherie-charcuterie et plats préparés à emporter</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Align w:val="bottom"/>
          </w:tcPr>
          <w:p w:rsidR="00F04EEF" w:rsidRDefault="0099351E">
            <w:pPr>
              <w:spacing w:line="242" w:lineRule="exact"/>
              <w:rPr>
                <w:rFonts w:eastAsia="Century Schoolbook"/>
              </w:rPr>
            </w:pPr>
            <w:r>
              <w:rPr>
                <w:rFonts w:eastAsia="Century Schoolbook"/>
              </w:rPr>
              <w:t>Boulangerie-pâtisserie</w:t>
            </w:r>
          </w:p>
        </w:tc>
        <w:tc>
          <w:tcPr>
            <w:tcW w:w="4536" w:type="dxa"/>
            <w:vAlign w:val="bottom"/>
          </w:tcPr>
          <w:p w:rsidR="00F04EEF" w:rsidRDefault="0099351E">
            <w:pPr>
              <w:spacing w:line="0" w:lineRule="atLeast"/>
            </w:pPr>
            <w:r>
              <w:rPr>
                <w:rFonts w:eastAsia="Century Schoolbook"/>
              </w:rPr>
              <w:t>Ouvrier en boulangerie-pâtisserie/ouvrière en boulangerie-pâtisserie</w:t>
            </w:r>
          </w:p>
        </w:tc>
      </w:tr>
      <w:tr w:rsidR="00F04EEF">
        <w:tc>
          <w:tcPr>
            <w:tcW w:w="9493" w:type="dxa"/>
            <w:gridSpan w:val="3"/>
            <w:shd w:val="clear" w:color="auto" w:fill="F2F2F2" w:themeFill="background1" w:themeFillShade="F2"/>
          </w:tcPr>
          <w:p w:rsidR="00F04EEF" w:rsidRDefault="00F04EEF">
            <w:pPr>
              <w:spacing w:line="0" w:lineRule="atLeast"/>
              <w:rPr>
                <w:rFonts w:eastAsia="Century Schoolbook"/>
              </w:rPr>
            </w:pPr>
          </w:p>
        </w:tc>
      </w:tr>
      <w:tr w:rsidR="00F04EEF">
        <w:tc>
          <w:tcPr>
            <w:tcW w:w="1838" w:type="dxa"/>
            <w:vMerge w:val="restart"/>
          </w:tcPr>
          <w:p w:rsidR="00F04EEF" w:rsidRDefault="00F04EEF"/>
          <w:p w:rsidR="00F04EEF" w:rsidRDefault="00F04EEF"/>
          <w:p w:rsidR="00F04EEF" w:rsidRDefault="0099351E">
            <w:r>
              <w:t>Habillement et textile</w:t>
            </w:r>
          </w:p>
        </w:tc>
        <w:tc>
          <w:tcPr>
            <w:tcW w:w="3119" w:type="dxa"/>
            <w:vMerge w:val="restart"/>
            <w:vAlign w:val="bottom"/>
          </w:tcPr>
          <w:p w:rsidR="00F04EEF" w:rsidRDefault="0099351E">
            <w:pPr>
              <w:spacing w:line="0" w:lineRule="atLeast"/>
            </w:pPr>
            <w:r>
              <w:t>Travail du cuir</w:t>
            </w:r>
          </w:p>
        </w:tc>
        <w:tc>
          <w:tcPr>
            <w:tcW w:w="4536" w:type="dxa"/>
            <w:vAlign w:val="bottom"/>
          </w:tcPr>
          <w:p w:rsidR="00F04EEF" w:rsidRDefault="0099351E">
            <w:pPr>
              <w:spacing w:line="242" w:lineRule="exact"/>
              <w:rPr>
                <w:rFonts w:eastAsia="Century Schoolbook"/>
              </w:rPr>
            </w:pPr>
            <w:r>
              <w:rPr>
                <w:rFonts w:eastAsia="Century Schoolbook"/>
              </w:rPr>
              <w:t>Cordonnier/cordonnière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Ouvrier maroquinier/ouvrière maroquinière</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Merge w:val="restart"/>
            <w:vAlign w:val="bottom"/>
          </w:tcPr>
          <w:p w:rsidR="00F04EEF" w:rsidRDefault="0099351E">
            <w:pPr>
              <w:spacing w:line="0" w:lineRule="atLeast"/>
            </w:pPr>
            <w:r>
              <w:t>Habillement</w:t>
            </w:r>
          </w:p>
          <w:p w:rsidR="00F04EEF" w:rsidRDefault="00F04EEF">
            <w:pPr>
              <w:spacing w:line="0" w:lineRule="atLeast"/>
            </w:pPr>
          </w:p>
        </w:tc>
        <w:tc>
          <w:tcPr>
            <w:tcW w:w="4536" w:type="dxa"/>
            <w:vAlign w:val="bottom"/>
          </w:tcPr>
          <w:p w:rsidR="00F04EEF" w:rsidRDefault="0099351E">
            <w:pPr>
              <w:spacing w:line="242" w:lineRule="exact"/>
              <w:rPr>
                <w:rFonts w:eastAsia="Century Schoolbook"/>
              </w:rPr>
            </w:pPr>
            <w:r>
              <w:rPr>
                <w:rFonts w:eastAsia="Century Schoolbook"/>
              </w:rPr>
              <w:t>Piqueur polyvalent/piqueuse polyvalente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Ouvrier retoucheur/ouvrière retoucheuse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Repasseur-finisseur/repasseuse-finisseuse</w:t>
            </w:r>
          </w:p>
        </w:tc>
      </w:tr>
      <w:tr w:rsidR="00F04EEF">
        <w:tc>
          <w:tcPr>
            <w:tcW w:w="9493" w:type="dxa"/>
            <w:gridSpan w:val="3"/>
            <w:shd w:val="clear" w:color="auto" w:fill="F2F2F2" w:themeFill="background1" w:themeFillShade="F2"/>
          </w:tcPr>
          <w:p w:rsidR="00F04EEF" w:rsidRDefault="00F04EEF">
            <w:pPr>
              <w:spacing w:line="239" w:lineRule="exact"/>
              <w:rPr>
                <w:rFonts w:eastAsia="Century Schoolbook"/>
              </w:rPr>
            </w:pPr>
          </w:p>
        </w:tc>
      </w:tr>
      <w:tr w:rsidR="00F04EEF">
        <w:tc>
          <w:tcPr>
            <w:tcW w:w="1838" w:type="dxa"/>
            <w:vMerge w:val="restart"/>
          </w:tcPr>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99351E">
            <w:r>
              <w:t>Arts appliqués</w:t>
            </w:r>
          </w:p>
        </w:tc>
        <w:tc>
          <w:tcPr>
            <w:tcW w:w="3119" w:type="dxa"/>
            <w:vAlign w:val="bottom"/>
          </w:tcPr>
          <w:p w:rsidR="00F04EEF" w:rsidRDefault="0099351E">
            <w:pPr>
              <w:spacing w:line="0" w:lineRule="atLeast"/>
            </w:pPr>
            <w:r>
              <w:t>Métiers de la musique</w:t>
            </w:r>
          </w:p>
        </w:tc>
        <w:tc>
          <w:tcPr>
            <w:tcW w:w="4536" w:type="dxa"/>
            <w:vAlign w:val="bottom"/>
          </w:tcPr>
          <w:p w:rsidR="00F04EEF" w:rsidRDefault="0099351E">
            <w:pPr>
              <w:spacing w:line="239" w:lineRule="exact"/>
              <w:rPr>
                <w:rFonts w:eastAsia="Century Schoolbook"/>
              </w:rPr>
            </w:pPr>
            <w:r>
              <w:rPr>
                <w:rFonts w:eastAsia="Century Schoolbook"/>
              </w:rPr>
              <w:t>Accordeur/accordeuse de pianos</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Align w:val="bottom"/>
          </w:tcPr>
          <w:p w:rsidR="00F04EEF" w:rsidRDefault="0099351E">
            <w:pPr>
              <w:spacing w:line="0" w:lineRule="atLeast"/>
            </w:pPr>
            <w:r>
              <w:t>Décoration en ameublement</w:t>
            </w:r>
          </w:p>
        </w:tc>
        <w:tc>
          <w:tcPr>
            <w:tcW w:w="4536" w:type="dxa"/>
            <w:vAlign w:val="bottom"/>
          </w:tcPr>
          <w:p w:rsidR="00F04EEF" w:rsidRDefault="0099351E">
            <w:pPr>
              <w:spacing w:line="242" w:lineRule="exact"/>
              <w:rPr>
                <w:rFonts w:eastAsia="Century Schoolbook"/>
              </w:rPr>
            </w:pPr>
            <w:r>
              <w:rPr>
                <w:rFonts w:eastAsia="Century Schoolbook"/>
              </w:rPr>
              <w:t>Rempailleur-canneur/rempailleuse-canneuse</w:t>
            </w:r>
          </w:p>
        </w:tc>
      </w:tr>
      <w:tr w:rsidR="00F04EEF">
        <w:tc>
          <w:tcPr>
            <w:tcW w:w="1838" w:type="dxa"/>
            <w:vMerge/>
          </w:tcPr>
          <w:p w:rsidR="00F04EEF" w:rsidRDefault="00F04EEF"/>
        </w:tc>
        <w:tc>
          <w:tcPr>
            <w:tcW w:w="3119" w:type="dxa"/>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Assistant/assistante de décorateur d'ameublement</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Merge w:val="restart"/>
            <w:vAlign w:val="bottom"/>
          </w:tcPr>
          <w:p w:rsidR="00F04EEF" w:rsidRDefault="0099351E">
            <w:pPr>
              <w:spacing w:line="0" w:lineRule="atLeast"/>
            </w:pPr>
            <w:r>
              <w:t>Artisanat d’art</w:t>
            </w:r>
          </w:p>
          <w:p w:rsidR="00F04EEF" w:rsidRDefault="00F04EEF">
            <w:pPr>
              <w:spacing w:line="0" w:lineRule="atLeast"/>
            </w:pPr>
          </w:p>
        </w:tc>
        <w:tc>
          <w:tcPr>
            <w:tcW w:w="4536" w:type="dxa"/>
            <w:vAlign w:val="bottom"/>
          </w:tcPr>
          <w:p w:rsidR="00F04EEF" w:rsidRDefault="0099351E">
            <w:pPr>
              <w:spacing w:line="242" w:lineRule="exact"/>
              <w:rPr>
                <w:rFonts w:eastAsia="Century Schoolbook"/>
              </w:rPr>
            </w:pPr>
            <w:r>
              <w:rPr>
                <w:rFonts w:eastAsia="Century Schoolbook"/>
              </w:rPr>
              <w:t>Relieur-doreur/relieuse-doreuse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Encadreur/encadreuse</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Merge w:val="restart"/>
            <w:vAlign w:val="bottom"/>
          </w:tcPr>
          <w:p w:rsidR="00F04EEF" w:rsidRDefault="0099351E">
            <w:pPr>
              <w:spacing w:line="0" w:lineRule="atLeast"/>
            </w:pPr>
            <w:r>
              <w:t>Arts graphiques</w:t>
            </w:r>
          </w:p>
          <w:p w:rsidR="00F04EEF" w:rsidRDefault="00F04EEF">
            <w:pPr>
              <w:spacing w:line="0" w:lineRule="atLeast"/>
            </w:pPr>
          </w:p>
          <w:p w:rsidR="00F04EEF" w:rsidRDefault="00F04EEF">
            <w:pPr>
              <w:spacing w:line="0" w:lineRule="atLeast"/>
            </w:pPr>
          </w:p>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Ouvrier/ouvrière en sérigraphie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42" w:lineRule="exact"/>
              <w:rPr>
                <w:rFonts w:eastAsia="Century Schoolbook"/>
              </w:rPr>
            </w:pPr>
            <w:r>
              <w:rPr>
                <w:rFonts w:eastAsia="Century Schoolbook"/>
              </w:rPr>
              <w:t>Ouvrier en imprimerie/ouvrière en imprimerie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Ouvrier en imprimerie – reliure/ouvrière en imprimerie-reliure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Aide publiciste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Aide en dessin - publicité</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Align w:val="bottom"/>
          </w:tcPr>
          <w:p w:rsidR="00F04EEF" w:rsidRDefault="0099351E">
            <w:pPr>
              <w:spacing w:line="0" w:lineRule="atLeast"/>
            </w:pPr>
            <w:r>
              <w:rPr>
                <w:rFonts w:eastAsia="Century Schoolbook"/>
              </w:rPr>
              <w:t xml:space="preserve">Photographie </w:t>
            </w:r>
          </w:p>
        </w:tc>
        <w:tc>
          <w:tcPr>
            <w:tcW w:w="4536" w:type="dxa"/>
            <w:vAlign w:val="bottom"/>
          </w:tcPr>
          <w:p w:rsidR="00F04EEF" w:rsidRDefault="0099351E">
            <w:pPr>
              <w:spacing w:line="239" w:lineRule="exact"/>
              <w:rPr>
                <w:rFonts w:eastAsia="Century Schoolbook"/>
              </w:rPr>
            </w:pPr>
            <w:r>
              <w:rPr>
                <w:rFonts w:eastAsia="Century Schoolbook"/>
              </w:rPr>
              <w:t>Aide photographe</w:t>
            </w:r>
          </w:p>
        </w:tc>
      </w:tr>
      <w:tr w:rsidR="00F04EEF">
        <w:tc>
          <w:tcPr>
            <w:tcW w:w="9493" w:type="dxa"/>
            <w:gridSpan w:val="3"/>
            <w:shd w:val="clear" w:color="auto" w:fill="F2F2F2" w:themeFill="background1" w:themeFillShade="F2"/>
          </w:tcPr>
          <w:p w:rsidR="00F04EEF" w:rsidRDefault="00F04EEF">
            <w:pPr>
              <w:spacing w:line="239" w:lineRule="exact"/>
              <w:rPr>
                <w:rFonts w:eastAsia="Century Schoolbook"/>
              </w:rPr>
            </w:pPr>
          </w:p>
        </w:tc>
      </w:tr>
      <w:tr w:rsidR="00F04EEF">
        <w:tc>
          <w:tcPr>
            <w:tcW w:w="1838" w:type="dxa"/>
            <w:vMerge w:val="restart"/>
          </w:tcPr>
          <w:p w:rsidR="00F04EEF" w:rsidRDefault="00F04EEF"/>
          <w:p w:rsidR="00F04EEF" w:rsidRDefault="00F04EEF"/>
          <w:p w:rsidR="00F04EEF" w:rsidRDefault="00F04EEF"/>
          <w:p w:rsidR="00F04EEF" w:rsidRDefault="00F04EEF"/>
          <w:p w:rsidR="00F04EEF" w:rsidRDefault="0099351E">
            <w:r>
              <w:t>Economie</w:t>
            </w:r>
          </w:p>
        </w:tc>
        <w:tc>
          <w:tcPr>
            <w:tcW w:w="3119" w:type="dxa"/>
            <w:vMerge w:val="restart"/>
            <w:vAlign w:val="bottom"/>
          </w:tcPr>
          <w:p w:rsidR="00F04EEF" w:rsidRDefault="0099351E">
            <w:pPr>
              <w:spacing w:line="0" w:lineRule="atLeast"/>
            </w:pPr>
            <w:r>
              <w:t>Travaux de magasin</w:t>
            </w:r>
          </w:p>
        </w:tc>
        <w:tc>
          <w:tcPr>
            <w:tcW w:w="4536" w:type="dxa"/>
            <w:vAlign w:val="bottom"/>
          </w:tcPr>
          <w:p w:rsidR="00F04EEF" w:rsidRDefault="0099351E">
            <w:pPr>
              <w:spacing w:line="242" w:lineRule="exact"/>
              <w:rPr>
                <w:rFonts w:eastAsia="Century Schoolbook"/>
              </w:rPr>
            </w:pPr>
            <w:r>
              <w:rPr>
                <w:rFonts w:eastAsia="Century Schoolbook"/>
              </w:rPr>
              <w:t>Equipier/équipière logistique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Auxiliaire de magasin</w:t>
            </w:r>
          </w:p>
        </w:tc>
      </w:tr>
      <w:tr w:rsidR="00F04EEF">
        <w:tc>
          <w:tcPr>
            <w:tcW w:w="1838" w:type="dxa"/>
            <w:vMerge/>
          </w:tcPr>
          <w:p w:rsidR="00F04EEF" w:rsidRDefault="00F04EEF"/>
        </w:tc>
        <w:tc>
          <w:tcPr>
            <w:tcW w:w="7655" w:type="dxa"/>
            <w:gridSpan w:val="2"/>
            <w:vAlign w:val="bottom"/>
          </w:tcPr>
          <w:p w:rsidR="00F04EEF" w:rsidRDefault="00F04EEF">
            <w:pPr>
              <w:spacing w:line="239" w:lineRule="exact"/>
              <w:rPr>
                <w:rFonts w:eastAsia="Century Schoolbook"/>
              </w:rPr>
            </w:pPr>
          </w:p>
        </w:tc>
      </w:tr>
      <w:tr w:rsidR="00F04EEF">
        <w:tc>
          <w:tcPr>
            <w:tcW w:w="1838" w:type="dxa"/>
            <w:vMerge/>
          </w:tcPr>
          <w:p w:rsidR="00F04EEF" w:rsidRDefault="00F04EEF"/>
        </w:tc>
        <w:tc>
          <w:tcPr>
            <w:tcW w:w="3119" w:type="dxa"/>
            <w:vMerge w:val="restart"/>
            <w:vAlign w:val="bottom"/>
          </w:tcPr>
          <w:p w:rsidR="00F04EEF" w:rsidRDefault="0099351E">
            <w:pPr>
              <w:spacing w:line="0" w:lineRule="atLeast"/>
            </w:pPr>
            <w:r>
              <w:t>Travaux de bureau</w:t>
            </w:r>
          </w:p>
          <w:p w:rsidR="00F04EEF" w:rsidRDefault="00F04EEF">
            <w:pPr>
              <w:spacing w:line="0" w:lineRule="atLeast"/>
            </w:pPr>
          </w:p>
          <w:p w:rsidR="00F04EEF" w:rsidRDefault="00F04EEF">
            <w:pPr>
              <w:spacing w:line="0" w:lineRule="atLeast"/>
            </w:pPr>
          </w:p>
        </w:tc>
        <w:tc>
          <w:tcPr>
            <w:tcW w:w="4536" w:type="dxa"/>
            <w:vAlign w:val="bottom"/>
          </w:tcPr>
          <w:p w:rsidR="00F04EEF" w:rsidRDefault="0099351E">
            <w:pPr>
              <w:spacing w:line="242" w:lineRule="exact"/>
              <w:rPr>
                <w:rFonts w:eastAsia="Century Schoolbook"/>
              </w:rPr>
            </w:pPr>
            <w:r>
              <w:rPr>
                <w:rFonts w:eastAsia="Century Schoolbook"/>
              </w:rPr>
              <w:t>Encodeur/encodeuse de données</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Assistant de réception-</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téléphoniste/assistante de réception-téléphoniste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Surveillant-équipier/surveillante-équipière en logistique sportive</w:t>
            </w:r>
          </w:p>
        </w:tc>
      </w:tr>
      <w:tr w:rsidR="00F04EEF">
        <w:tc>
          <w:tcPr>
            <w:tcW w:w="9493" w:type="dxa"/>
            <w:gridSpan w:val="3"/>
            <w:shd w:val="clear" w:color="auto" w:fill="F2F2F2" w:themeFill="background1" w:themeFillShade="F2"/>
          </w:tcPr>
          <w:p w:rsidR="00F04EEF" w:rsidRDefault="00F04EEF">
            <w:pPr>
              <w:spacing w:line="239" w:lineRule="exact"/>
              <w:rPr>
                <w:rFonts w:eastAsia="Century Schoolbook"/>
              </w:rPr>
            </w:pPr>
          </w:p>
        </w:tc>
      </w:tr>
      <w:tr w:rsidR="00F04EEF">
        <w:tc>
          <w:tcPr>
            <w:tcW w:w="1838" w:type="dxa"/>
            <w:vMerge w:val="restart"/>
          </w:tcPr>
          <w:p w:rsidR="00F04EEF" w:rsidRDefault="00F04EEF"/>
          <w:p w:rsidR="00F04EEF" w:rsidRDefault="00F04EEF"/>
          <w:p w:rsidR="00F04EEF" w:rsidRDefault="0099351E">
            <w:r>
              <w:t>Services aux personnes</w:t>
            </w:r>
          </w:p>
        </w:tc>
        <w:tc>
          <w:tcPr>
            <w:tcW w:w="3119" w:type="dxa"/>
            <w:vMerge w:val="restart"/>
            <w:vAlign w:val="bottom"/>
          </w:tcPr>
          <w:p w:rsidR="00F04EEF" w:rsidRDefault="0099351E">
            <w:pPr>
              <w:spacing w:line="0" w:lineRule="atLeast"/>
            </w:pPr>
            <w:r>
              <w:t>Services sociaux et familiaux</w:t>
            </w:r>
          </w:p>
          <w:p w:rsidR="00F04EEF" w:rsidRDefault="00F04EEF">
            <w:pPr>
              <w:spacing w:line="0" w:lineRule="atLeast"/>
            </w:pPr>
          </w:p>
          <w:p w:rsidR="00F04EEF" w:rsidRDefault="00F04EEF">
            <w:pPr>
              <w:spacing w:line="0" w:lineRule="atLeast"/>
            </w:pPr>
          </w:p>
        </w:tc>
        <w:tc>
          <w:tcPr>
            <w:tcW w:w="4536" w:type="dxa"/>
            <w:vAlign w:val="bottom"/>
          </w:tcPr>
          <w:p w:rsidR="00F04EEF" w:rsidRDefault="0099351E">
            <w:pPr>
              <w:spacing w:line="242" w:lineRule="exact"/>
              <w:rPr>
                <w:rFonts w:eastAsia="Century Schoolbook"/>
              </w:rPr>
            </w:pPr>
            <w:r>
              <w:rPr>
                <w:rFonts w:eastAsia="Century Schoolbook"/>
              </w:rPr>
              <w:t>Aide logistique en collectivité</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Aide ménager/aide ménagère</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Ouvrier/ouvrière en blanchisserie-nettoyage à sec</w:t>
            </w:r>
          </w:p>
        </w:tc>
      </w:tr>
      <w:tr w:rsidR="00F04EEF">
        <w:tc>
          <w:tcPr>
            <w:tcW w:w="1838" w:type="dxa"/>
            <w:vMerge/>
          </w:tcPr>
          <w:p w:rsidR="00F04EEF" w:rsidRDefault="00F04EEF"/>
        </w:tc>
        <w:tc>
          <w:tcPr>
            <w:tcW w:w="3119" w:type="dxa"/>
            <w:vMerge/>
            <w:vAlign w:val="bottom"/>
          </w:tcPr>
          <w:p w:rsidR="00F04EEF" w:rsidRDefault="00F04EEF">
            <w:pPr>
              <w:spacing w:line="0" w:lineRule="atLeast"/>
            </w:pPr>
          </w:p>
        </w:tc>
        <w:tc>
          <w:tcPr>
            <w:tcW w:w="4536" w:type="dxa"/>
            <w:vAlign w:val="bottom"/>
          </w:tcPr>
          <w:p w:rsidR="00F04EEF" w:rsidRDefault="0099351E">
            <w:pPr>
              <w:spacing w:line="239" w:lineRule="exact"/>
              <w:rPr>
                <w:rFonts w:eastAsia="Century Schoolbook"/>
              </w:rPr>
            </w:pPr>
            <w:r>
              <w:rPr>
                <w:rFonts w:eastAsia="Century Schoolbook"/>
              </w:rPr>
              <w:t>Technicien de surface-nettoyeur/ technicienne de surface-nettoyeuse</w:t>
            </w:r>
          </w:p>
        </w:tc>
      </w:tr>
    </w:tbl>
    <w:sdt>
      <w:sdtPr>
        <w:rPr>
          <w:rFonts w:asciiTheme="majorHAnsi" w:eastAsiaTheme="minorHAnsi" w:hAnsiTheme="majorHAnsi"/>
          <w:lang w:eastAsia="en-US"/>
        </w:rPr>
        <w:id w:val="-1730375056"/>
        <w:docPartObj>
          <w:docPartGallery w:val="Cover Pages"/>
          <w:docPartUnique/>
        </w:docPartObj>
      </w:sdtPr>
      <w:sdtEndPr>
        <w:rPr>
          <w:rFonts w:asciiTheme="minorHAnsi" w:hAnsiTheme="minorHAnsi"/>
        </w:rPr>
      </w:sdtEndPr>
      <w:sdtContent>
        <w:bookmarkStart w:id="3844" w:name="_Annexe_16_:" w:displacedByCustomXml="prev"/>
        <w:bookmarkEnd w:id="3844" w:displacedByCustomXml="prev"/>
        <w:p w:rsidR="00F04EEF" w:rsidRDefault="00F04EEF">
          <w:pPr>
            <w:pStyle w:val="Sansinterligne"/>
            <w:rPr>
              <w:rFonts w:asciiTheme="majorHAnsi" w:hAnsiTheme="majorHAnsi"/>
            </w:rPr>
          </w:pPr>
        </w:p>
        <w:p w:rsidR="00F04EEF" w:rsidRDefault="0099351E">
          <w:pPr>
            <w:rPr>
              <w:rFonts w:eastAsiaTheme="minorEastAsia"/>
              <w:lang w:eastAsia="fr-BE"/>
            </w:rPr>
          </w:pPr>
          <w:r>
            <w:br w:type="page"/>
          </w:r>
        </w:p>
        <w:p w:rsidR="00F04EEF" w:rsidRDefault="00F04EEF">
          <w:pPr>
            <w:pStyle w:val="Sansinterligne"/>
            <w:rPr>
              <w:rFonts w:asciiTheme="majorHAnsi" w:hAnsiTheme="majorHAnsi"/>
            </w:rPr>
          </w:pPr>
        </w:p>
        <w:p w:rsidR="00F04EEF" w:rsidRDefault="0099351E">
          <w:pPr>
            <w:pStyle w:val="Titre2"/>
          </w:pPr>
          <w:bookmarkStart w:id="3845" w:name="_Chapitre_27_:"/>
          <w:bookmarkStart w:id="3846" w:name="_Toc477623961"/>
          <w:bookmarkStart w:id="3847" w:name="_Toc477767840"/>
          <w:bookmarkStart w:id="3848" w:name="_Toc47708635"/>
          <w:bookmarkEnd w:id="3845"/>
          <w:r>
            <w:t>Chapitre</w:t>
          </w:r>
          <w:bookmarkEnd w:id="3846"/>
          <w:bookmarkEnd w:id="3847"/>
          <w:r>
            <w:t xml:space="preserve"> 27 : </w:t>
          </w:r>
          <w:bookmarkStart w:id="3849" w:name="_Toc477623962"/>
          <w:bookmarkStart w:id="3850" w:name="_Toc477767841"/>
          <w:r>
            <w:t>Qualification dans l’enseignement de forme 3</w:t>
          </w:r>
          <w:bookmarkEnd w:id="3849"/>
          <w:bookmarkEnd w:id="3850"/>
          <w:bookmarkEnd w:id="3848"/>
        </w:p>
        <w:p w:rsidR="00F04EEF" w:rsidRDefault="00F04EEF"/>
        <w:p w:rsidR="00F04EEF" w:rsidRDefault="00F04EEF"/>
        <w:p w:rsidR="00F04EEF" w:rsidRDefault="00F04EEF"/>
        <w:p w:rsidR="00F04EEF" w:rsidRDefault="00F42422"/>
      </w:sdtContent>
    </w:sdt>
    <w:p w:rsidR="00F04EEF" w:rsidRDefault="00F04EEF"/>
    <w:p w:rsidR="00F04EEF" w:rsidRDefault="0099351E">
      <w:pPr>
        <w:rPr>
          <w:b/>
          <w:u w:val="single"/>
        </w:rPr>
      </w:pPr>
      <w:r>
        <w:rPr>
          <w:b/>
          <w:u w:val="single"/>
        </w:rPr>
        <w:t>Bases légales :</w:t>
      </w:r>
    </w:p>
    <w:p w:rsidR="00F04EEF" w:rsidRDefault="00F04EEF">
      <w:pPr>
        <w:rPr>
          <w:b/>
          <w:u w:val="single"/>
        </w:rPr>
      </w:pPr>
    </w:p>
    <w:p w:rsidR="00F04EEF" w:rsidRDefault="0099351E">
      <w:pPr>
        <w:numPr>
          <w:ilvl w:val="0"/>
          <w:numId w:val="276"/>
        </w:numPr>
        <w:suppressAutoHyphens/>
        <w:jc w:val="both"/>
        <w:rPr>
          <w:rFonts w:ascii="Cambria" w:hAnsi="Cambria"/>
        </w:rPr>
      </w:pPr>
      <w:bookmarkStart w:id="3851" w:name="_1._Principe"/>
      <w:bookmarkStart w:id="3852" w:name="__RefHeading__301_957262308"/>
      <w:bookmarkEnd w:id="3851"/>
      <w:bookmarkEnd w:id="3852"/>
      <w:r>
        <w:rPr>
          <w:rFonts w:ascii="Cambria" w:hAnsi="Cambria"/>
        </w:rPr>
        <w:t>Décret du 14 juin 2018 instituant 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p>
    <w:p w:rsidR="00F04EEF" w:rsidRDefault="00F42422">
      <w:pPr>
        <w:numPr>
          <w:ilvl w:val="0"/>
          <w:numId w:val="276"/>
        </w:numPr>
        <w:suppressAutoHyphens/>
        <w:rPr>
          <w:rStyle w:val="Lienhypertexte"/>
          <w:rFonts w:cs="Arial"/>
        </w:rPr>
      </w:pPr>
      <w:hyperlink r:id="rId312" w:history="1">
        <w:r w:rsidR="0099351E">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rsidR="00F04EEF" w:rsidRDefault="00F42422">
      <w:pPr>
        <w:numPr>
          <w:ilvl w:val="0"/>
          <w:numId w:val="276"/>
        </w:numPr>
        <w:suppressAutoHyphens/>
        <w:rPr>
          <w:rStyle w:val="Lienhypertexte"/>
          <w:rFonts w:cs="Arial"/>
        </w:rPr>
      </w:pPr>
      <w:hyperlink r:id="rId313" w:history="1">
        <w:r w:rsidR="0099351E">
          <w:rPr>
            <w:rStyle w:val="Lienhypertexte"/>
            <w:rFonts w:ascii="Cambria" w:hAnsi="Cambria" w:cs="Arial"/>
          </w:rPr>
          <w:t>Décret du 3 mars 2004 organisant l’enseignement spécialisé</w:t>
        </w:r>
      </w:hyperlink>
    </w:p>
    <w:p w:rsidR="00F04EEF" w:rsidRDefault="00F42422">
      <w:pPr>
        <w:pStyle w:val="Retraitcorpsdetexte"/>
        <w:numPr>
          <w:ilvl w:val="0"/>
          <w:numId w:val="276"/>
        </w:numPr>
        <w:rPr>
          <w:rFonts w:asciiTheme="majorHAnsi" w:hAnsiTheme="majorHAnsi"/>
          <w:bCs/>
          <w:szCs w:val="22"/>
        </w:rPr>
      </w:pPr>
      <w:hyperlink r:id="rId314" w:history="1">
        <w:r w:rsidR="0099351E">
          <w:rPr>
            <w:rStyle w:val="Lienhypertexte"/>
            <w:rFonts w:asciiTheme="majorHAnsi" w:hAnsiTheme="majorHAnsi"/>
            <w:bCs/>
            <w:szCs w:val="22"/>
          </w:rPr>
          <w:t>Décret missions du 24 juillet 1997 définissant les missions prioritaires de l’enseignement fondamental et de l’enseignement secondaire et organisant les structures propres à les atteindre, tel que modifié.</w:t>
        </w:r>
      </w:hyperlink>
    </w:p>
    <w:p w:rsidR="00F04EEF" w:rsidRDefault="00F42422">
      <w:pPr>
        <w:numPr>
          <w:ilvl w:val="0"/>
          <w:numId w:val="276"/>
        </w:numPr>
        <w:suppressAutoHyphens/>
        <w:rPr>
          <w:rFonts w:ascii="Cambria" w:hAnsi="Cambria"/>
        </w:rPr>
      </w:pPr>
      <w:hyperlink r:id="rId315" w:history="1">
        <w:r w:rsidR="0099351E">
          <w:rPr>
            <w:rStyle w:val="Lienhypertexte"/>
            <w:rFonts w:ascii="Cambria" w:hAnsi="Cambria" w:cs="Arial"/>
          </w:rPr>
          <w:t>Décret du 21 juin 1993 relatif à la féminisation des noms de métier, fonction, grade ou titre</w:t>
        </w:r>
      </w:hyperlink>
      <w:r w:rsidR="0099351E">
        <w:rPr>
          <w:rFonts w:ascii="Cambria" w:hAnsi="Cambria"/>
        </w:rPr>
        <w:t>.</w:t>
      </w:r>
    </w:p>
    <w:p w:rsidR="00F04EEF" w:rsidRDefault="0099351E">
      <w:pPr>
        <w:numPr>
          <w:ilvl w:val="0"/>
          <w:numId w:val="276"/>
        </w:numPr>
        <w:suppressAutoHyphens/>
        <w:jc w:val="both"/>
        <w:rPr>
          <w:rStyle w:val="Lienhypertexte"/>
          <w:rFonts w:ascii="Cambria" w:hAnsi="Cambria" w:cstheme="minorBidi"/>
          <w:color w:val="auto"/>
          <w:u w:val="none"/>
        </w:rPr>
      </w:pPr>
      <w:r>
        <w:rPr>
          <w:rFonts w:ascii="Cambria" w:hAnsi="Cambria"/>
        </w:rPr>
        <w:fldChar w:fldCharType="begin"/>
      </w:r>
      <w:r>
        <w:rPr>
          <w:rFonts w:ascii="Cambria" w:hAnsi="Cambria"/>
        </w:rPr>
        <w:instrText xml:space="preserve"> HYPERLINK "http://www.gallilex.cfwb.be/document/pdf/30024_000.pdf" </w:instrText>
      </w:r>
      <w:r>
        <w:rPr>
          <w:rFonts w:ascii="Cambria" w:hAnsi="Cambria"/>
        </w:rPr>
        <w:fldChar w:fldCharType="separate"/>
      </w:r>
      <w:r>
        <w:rPr>
          <w:rStyle w:val="Lienhypertexte"/>
          <w:rFonts w:ascii="Cambria" w:hAnsi="Cambria"/>
        </w:rPr>
        <w:t xml:space="preserve">Arrêté du Gouvernement de la Communauté Française du 14 mars 2018 modifiant l’arrêté du Gouvernement de la Communauté française du 20 juillet 2005 </w:t>
      </w:r>
      <w:r>
        <w:rPr>
          <w:rStyle w:val="Lienhypertexte"/>
          <w:rFonts w:ascii="Cambria" w:hAnsi="Cambria" w:cs="Century Schoolbook"/>
          <w:bCs/>
          <w:lang w:eastAsia="fr-FR"/>
        </w:rPr>
        <w:t>fixant les modèles des attestations, des avis et du certificat de qualification délivrés dans l'enseignement spécialisé de forme 3.</w:t>
      </w:r>
      <w:r>
        <w:rPr>
          <w:rStyle w:val="Lienhypertexte"/>
          <w:rFonts w:ascii="Cambria" w:hAnsi="Cambria" w:cstheme="minorBidi"/>
        </w:rPr>
        <w:t xml:space="preserve">   </w:t>
      </w:r>
    </w:p>
    <w:p w:rsidR="00F04EEF" w:rsidRDefault="00F42422">
      <w:pPr>
        <w:numPr>
          <w:ilvl w:val="0"/>
          <w:numId w:val="276"/>
        </w:numPr>
        <w:suppressAutoHyphens/>
        <w:jc w:val="both"/>
        <w:rPr>
          <w:rFonts w:ascii="Cambria" w:hAnsi="Cambria"/>
        </w:rPr>
      </w:pPr>
      <w:hyperlink r:id="rId316" w:history="1">
        <w:r w:rsidR="0099351E">
          <w:rPr>
            <w:rStyle w:val="Lienhypertexte"/>
            <w:rFonts w:ascii="Cambria" w:hAnsi="Cambria" w:cstheme="minorBidi"/>
          </w:rPr>
          <w:t>Arrêté du Gouvernement de la Communauté française du 4 mai 2016 déterminant les modalités d’inscription, de distribution, de passation, de correction et de sécurisation des épreuves externes communes certificatives dans l’enseignement secondaire.</w:t>
        </w:r>
      </w:hyperlink>
      <w:r w:rsidR="0099351E">
        <w:rPr>
          <w:rFonts w:ascii="Cambria" w:hAnsi="Cambria"/>
        </w:rPr>
        <w:t xml:space="preserve"> </w:t>
      </w:r>
    </w:p>
    <w:p w:rsidR="00F04EEF" w:rsidRDefault="0099351E">
      <w:pPr>
        <w:numPr>
          <w:ilvl w:val="0"/>
          <w:numId w:val="276"/>
        </w:numPr>
        <w:suppressAutoHyphens/>
        <w:rPr>
          <w:rStyle w:val="Lienhypertexte"/>
          <w:rFonts w:ascii="Cambria" w:hAnsi="Cambria" w:cstheme="minorBidi"/>
          <w:color w:val="auto"/>
          <w:u w:val="none"/>
        </w:rPr>
      </w:pPr>
      <w:r>
        <w:rPr>
          <w:rFonts w:ascii="Cambria" w:hAnsi="Cambria"/>
        </w:rPr>
        <w:fldChar w:fldCharType="end"/>
      </w:r>
      <w:hyperlink r:id="rId317" w:history="1">
        <w:r>
          <w:rPr>
            <w:rStyle w:val="Lienhypertexte"/>
            <w:rFonts w:ascii="Cambria" w:hAnsi="Cambria" w:cs="Arial"/>
          </w:rPr>
          <w:t>Circulaire n°1099 du 19 avril 2005 relative à la féminisation des noms de métier, fonction, grade ou titre.</w:t>
        </w:r>
      </w:hyperlink>
    </w:p>
    <w:p w:rsidR="00F04EEF" w:rsidRDefault="00F04EEF">
      <w:pPr>
        <w:pStyle w:val="Retraitcorpsdetexte"/>
        <w:ind w:left="0" w:firstLine="1"/>
        <w:rPr>
          <w:rFonts w:asciiTheme="majorHAnsi" w:hAnsiTheme="majorHAnsi"/>
          <w:szCs w:val="22"/>
        </w:rPr>
      </w:pPr>
    </w:p>
    <w:p w:rsidR="00F04EEF" w:rsidRDefault="0099351E">
      <w:pPr>
        <w:pStyle w:val="Retraitcorpsdetexte"/>
        <w:ind w:left="0" w:firstLine="1"/>
        <w:rPr>
          <w:rFonts w:asciiTheme="majorHAnsi" w:hAnsiTheme="majorHAnsi"/>
          <w:szCs w:val="22"/>
        </w:rPr>
      </w:pPr>
      <w:r>
        <w:rPr>
          <w:rFonts w:asciiTheme="majorHAnsi" w:hAnsiTheme="majorHAnsi"/>
          <w:szCs w:val="22"/>
        </w:rPr>
        <w:t xml:space="preserve">Les instructions reprises ci-dessous visent l’enseignement spécialisé de forme 3. </w:t>
      </w:r>
    </w:p>
    <w:p w:rsidR="00F04EEF" w:rsidRDefault="00F04EEF">
      <w:pPr>
        <w:pStyle w:val="Retraitcorpsdetexte"/>
        <w:ind w:left="0" w:firstLine="1"/>
        <w:rPr>
          <w:rFonts w:asciiTheme="majorHAnsi" w:hAnsiTheme="majorHAnsi"/>
          <w:szCs w:val="22"/>
        </w:rPr>
      </w:pPr>
    </w:p>
    <w:p w:rsidR="00F04EEF" w:rsidRDefault="0099351E">
      <w:pPr>
        <w:pStyle w:val="Retraitcorpsdetexte"/>
        <w:ind w:left="0" w:firstLine="1"/>
        <w:rPr>
          <w:rFonts w:asciiTheme="majorHAnsi" w:hAnsiTheme="majorHAnsi" w:cs="Georgia"/>
          <w:szCs w:val="22"/>
          <w:lang w:val="fr-FR" w:eastAsia="fr-FR"/>
        </w:rPr>
      </w:pPr>
      <w:r>
        <w:rPr>
          <w:rFonts w:asciiTheme="majorHAnsi" w:hAnsiTheme="majorHAnsi"/>
          <w:szCs w:val="22"/>
        </w:rPr>
        <w:t xml:space="preserve">Pour l’enseignement de forme 4 (à l’exception de la procédure prévue au </w:t>
      </w:r>
      <w:hyperlink w:anchor="_2._Le_jury" w:history="1">
        <w:r>
          <w:rPr>
            <w:rStyle w:val="Lienhypertexte"/>
            <w:rFonts w:asciiTheme="majorHAnsi" w:hAnsiTheme="majorHAnsi"/>
            <w:szCs w:val="22"/>
          </w:rPr>
          <w:t>point 2</w:t>
        </w:r>
      </w:hyperlink>
      <w:r>
        <w:rPr>
          <w:rFonts w:asciiTheme="majorHAnsi" w:hAnsiTheme="majorHAnsi"/>
          <w:szCs w:val="22"/>
        </w:rPr>
        <w:t>), nous vous renvoyons à la circulaire n° 4350 du 12 mars 2013 relative aux « </w:t>
      </w:r>
      <w:hyperlink r:id="rId318" w:history="1">
        <w:r>
          <w:rPr>
            <w:rStyle w:val="Lienhypertexte"/>
            <w:rFonts w:asciiTheme="majorHAnsi" w:hAnsiTheme="majorHAnsi" w:cs="Georgia"/>
            <w:szCs w:val="22"/>
            <w:lang w:val="fr-FR" w:eastAsia="fr-FR"/>
          </w:rPr>
          <w:t>Épreuves de qualification – Composition du jury de qualification – Certification </w:t>
        </w:r>
      </w:hyperlink>
      <w:r>
        <w:rPr>
          <w:rFonts w:asciiTheme="majorHAnsi" w:hAnsiTheme="majorHAnsi" w:cs="Georgia"/>
          <w:szCs w:val="22"/>
          <w:lang w:val="fr-FR" w:eastAsia="fr-FR"/>
        </w:rPr>
        <w:t xml:space="preserve">». </w:t>
      </w:r>
    </w:p>
    <w:p w:rsidR="00F04EEF" w:rsidRDefault="0099351E">
      <w:pPr>
        <w:pStyle w:val="Retraitcorpsdetexte"/>
        <w:ind w:left="0" w:firstLine="1"/>
        <w:rPr>
          <w:rFonts w:asciiTheme="majorHAnsi" w:hAnsiTheme="majorHAnsi"/>
          <w:szCs w:val="22"/>
        </w:rPr>
      </w:pPr>
      <w:r>
        <w:rPr>
          <w:rFonts w:asciiTheme="majorHAnsi" w:hAnsiTheme="majorHAnsi" w:cs="Georgia"/>
          <w:szCs w:val="22"/>
          <w:lang w:val="fr-FR" w:eastAsia="fr-FR"/>
        </w:rPr>
        <w:t xml:space="preserve">Vous pouvez également poser toutes vos questions à Madame Marie BORMANN, via l’adresse générique prévue à cet effet, à savoir : </w:t>
      </w:r>
      <w:hyperlink r:id="rId319" w:history="1">
        <w:r>
          <w:rPr>
            <w:rStyle w:val="Lienhypertexte"/>
            <w:rFonts w:asciiTheme="majorHAnsi" w:hAnsiTheme="majorHAnsi" w:cs="Georgia"/>
            <w:szCs w:val="22"/>
            <w:lang w:val="fr-FR" w:eastAsia="fr-FR"/>
          </w:rPr>
          <w:t>CQspecialise@cfwb.be</w:t>
        </w:r>
      </w:hyperlink>
      <w:r>
        <w:rPr>
          <w:rFonts w:asciiTheme="majorHAnsi" w:hAnsiTheme="majorHAnsi" w:cs="Georgia"/>
          <w:szCs w:val="22"/>
          <w:lang w:val="fr-FR" w:eastAsia="fr-FR"/>
        </w:rPr>
        <w:t xml:space="preserve"> (NB : Indiquez votre numéro FASE et utilisez votre adresse mail administrative).</w:t>
      </w:r>
    </w:p>
    <w:p w:rsidR="00F04EEF" w:rsidRDefault="00F04EEF">
      <w:pPr>
        <w:pStyle w:val="Retraitcorpsdetexte"/>
        <w:ind w:left="0" w:firstLine="1"/>
        <w:rPr>
          <w:rFonts w:asciiTheme="majorHAnsi" w:hAnsiTheme="majorHAnsi"/>
          <w:b/>
          <w:bCs/>
          <w:szCs w:val="22"/>
        </w:rPr>
      </w:pPr>
    </w:p>
    <w:p w:rsidR="00F04EEF" w:rsidRDefault="0099351E">
      <w:pPr>
        <w:pStyle w:val="Titre3"/>
        <w:rPr>
          <w:sz w:val="22"/>
          <w:szCs w:val="22"/>
        </w:rPr>
      </w:pPr>
      <w:bookmarkStart w:id="3853" w:name="_Toc453314547"/>
      <w:bookmarkStart w:id="3854" w:name="_Toc454980579"/>
      <w:bookmarkStart w:id="3855" w:name="_Toc47708636"/>
      <w:r>
        <w:rPr>
          <w:sz w:val="22"/>
          <w:szCs w:val="22"/>
        </w:rPr>
        <w:t>1. Les épreuves de qualification</w:t>
      </w:r>
      <w:bookmarkEnd w:id="3853"/>
      <w:bookmarkEnd w:id="3854"/>
      <w:bookmarkEnd w:id="3855"/>
    </w:p>
    <w:p w:rsidR="00F04EEF" w:rsidRDefault="00F04EEF"/>
    <w:p w:rsidR="00F04EEF" w:rsidRDefault="0099351E">
      <w:pPr>
        <w:jc w:val="both"/>
      </w:pPr>
      <w:r>
        <w:t xml:space="preserve">Ces épreuves sont </w:t>
      </w:r>
      <w:r>
        <w:rPr>
          <w:b/>
        </w:rPr>
        <w:t>obligatoires</w:t>
      </w:r>
      <w:r>
        <w:t>.</w:t>
      </w:r>
    </w:p>
    <w:p w:rsidR="00F04EEF" w:rsidRDefault="00F04EEF">
      <w:pPr>
        <w:jc w:val="both"/>
      </w:pPr>
    </w:p>
    <w:p w:rsidR="00F04EEF" w:rsidRDefault="0099351E">
      <w:pPr>
        <w:jc w:val="both"/>
      </w:pPr>
      <w:r>
        <w:t xml:space="preserve">Elles tiennent lieu de vérification des compétences acquises dans la formation qualifiante. </w:t>
      </w:r>
    </w:p>
    <w:p w:rsidR="00F04EEF" w:rsidRDefault="0099351E">
      <w:pPr>
        <w:jc w:val="both"/>
      </w:pPr>
      <w:r>
        <w:t>Elles attestent la maîtrise des compétences classées CM</w:t>
      </w:r>
      <w:r>
        <w:rPr>
          <w:rStyle w:val="Appelnotedebasdep"/>
        </w:rPr>
        <w:footnoteReference w:id="184"/>
      </w:r>
      <w:r>
        <w:t xml:space="preserve"> dans le profil de formation (PF). </w:t>
      </w:r>
    </w:p>
    <w:p w:rsidR="00F04EEF" w:rsidRDefault="00F04EEF">
      <w:pPr>
        <w:jc w:val="both"/>
      </w:pPr>
    </w:p>
    <w:p w:rsidR="00F04EEF" w:rsidRDefault="0099351E">
      <w:pPr>
        <w:pBdr>
          <w:top w:val="single" w:sz="4" w:space="1" w:color="auto"/>
          <w:left w:val="single" w:sz="4" w:space="4" w:color="auto"/>
          <w:bottom w:val="single" w:sz="4" w:space="1" w:color="auto"/>
          <w:right w:val="single" w:sz="4" w:space="4" w:color="auto"/>
        </w:pBdr>
      </w:pPr>
      <w:r>
        <w:t>Pour rappel, le conseil de classe ne décide plus de l’accès aux épreuves de qualification.</w:t>
      </w:r>
    </w:p>
    <w:p w:rsidR="00F04EEF" w:rsidRDefault="00F04EEF">
      <w:pPr>
        <w:pStyle w:val="Retraitcorpsdetexte"/>
        <w:ind w:left="0" w:firstLine="0"/>
        <w:rPr>
          <w:rFonts w:asciiTheme="majorHAnsi" w:hAnsiTheme="majorHAnsi"/>
          <w:b/>
          <w:bCs/>
          <w:szCs w:val="22"/>
          <w:u w:val="single"/>
        </w:rPr>
      </w:pPr>
    </w:p>
    <w:p w:rsidR="00F04EEF" w:rsidRDefault="0099351E">
      <w:pPr>
        <w:pStyle w:val="Titre4"/>
      </w:pPr>
      <w:bookmarkStart w:id="3856" w:name="_1.1._Organisation"/>
      <w:bookmarkStart w:id="3857" w:name="_Toc453314548"/>
      <w:bookmarkStart w:id="3858" w:name="_Toc454980580"/>
      <w:bookmarkEnd w:id="3856"/>
      <w:r>
        <w:rPr>
          <w:bCs/>
        </w:rPr>
        <w:t xml:space="preserve">1.1. </w:t>
      </w:r>
      <w:r>
        <w:t>Organisation</w:t>
      </w:r>
      <w:bookmarkEnd w:id="3857"/>
      <w:bookmarkEnd w:id="3858"/>
    </w:p>
    <w:p w:rsidR="00F04EEF" w:rsidRDefault="00F04EEF"/>
    <w:p w:rsidR="00F04EEF" w:rsidRDefault="0099351E">
      <w:pPr>
        <w:jc w:val="both"/>
      </w:pPr>
      <w:r>
        <w:t xml:space="preserve">Au cours de la troisième phase, </w:t>
      </w:r>
      <w:r>
        <w:rPr>
          <w:b/>
          <w:u w:val="single"/>
        </w:rPr>
        <w:t>des</w:t>
      </w:r>
      <w:r>
        <w:t xml:space="preserve"> épreuves de qualification sont organisées pour sanctionner l’ensemble des savoirs, aptitudes et compétences du profil de formation spécifique. </w:t>
      </w:r>
    </w:p>
    <w:p w:rsidR="00F04EEF" w:rsidRDefault="00F04EEF"/>
    <w:p w:rsidR="00F04EEF" w:rsidRDefault="0099351E">
      <w:pPr>
        <w:jc w:val="both"/>
      </w:pPr>
      <w:r>
        <w:t xml:space="preserve">Dès son arrivée en 3ème phase, l’élève entre dans un processus d’apprentissage à propos duquel le jury de qualification, ou une délégation de celui-ci, juge, à intervalles réguliers, des compétences maîtrisées et de celles qui ne le sont pas en vue de la délivrance, au terme de la validation de chaque épreuve, du certificat de qualification.  </w:t>
      </w:r>
    </w:p>
    <w:p w:rsidR="00F04EEF" w:rsidRDefault="00F04EEF">
      <w:pPr>
        <w:pStyle w:val="Retraitcorpsdetexte"/>
        <w:ind w:left="0"/>
        <w:rPr>
          <w:rFonts w:asciiTheme="majorHAnsi" w:hAnsiTheme="majorHAnsi"/>
          <w:szCs w:val="22"/>
        </w:rPr>
      </w:pPr>
    </w:p>
    <w:p w:rsidR="00F04EEF" w:rsidRDefault="0099351E">
      <w:pPr>
        <w:pStyle w:val="Retraitcorpsdetexte3"/>
        <w:ind w:left="0"/>
        <w:jc w:val="both"/>
        <w:rPr>
          <w:rFonts w:asciiTheme="majorHAnsi" w:hAnsiTheme="majorHAnsi"/>
          <w:sz w:val="22"/>
          <w:szCs w:val="22"/>
        </w:rPr>
      </w:pPr>
      <w:r>
        <w:rPr>
          <w:rFonts w:asciiTheme="majorHAnsi" w:hAnsiTheme="majorHAnsi"/>
          <w:sz w:val="22"/>
          <w:szCs w:val="22"/>
        </w:rPr>
        <w:t xml:space="preserve">Ces épreuves s'inscrivent dans un </w:t>
      </w:r>
      <w:r>
        <w:rPr>
          <w:rFonts w:asciiTheme="majorHAnsi" w:hAnsiTheme="majorHAnsi"/>
          <w:b/>
          <w:sz w:val="22"/>
          <w:szCs w:val="22"/>
        </w:rPr>
        <w:t>schéma de passation</w:t>
      </w:r>
      <w:r>
        <w:rPr>
          <w:rFonts w:asciiTheme="majorHAnsi" w:hAnsiTheme="majorHAnsi"/>
          <w:sz w:val="22"/>
          <w:szCs w:val="22"/>
        </w:rPr>
        <w:t xml:space="preserve"> qui définit leurs modalités d'organisation :</w:t>
      </w:r>
    </w:p>
    <w:p w:rsidR="00F04EEF" w:rsidRDefault="0099351E">
      <w:pPr>
        <w:pStyle w:val="Retraitcorpsdetexte3"/>
        <w:numPr>
          <w:ilvl w:val="0"/>
          <w:numId w:val="155"/>
        </w:numPr>
        <w:suppressAutoHyphens w:val="0"/>
        <w:spacing w:after="0"/>
        <w:ind w:left="1134" w:hanging="567"/>
        <w:jc w:val="both"/>
        <w:rPr>
          <w:rFonts w:asciiTheme="majorHAnsi" w:hAnsiTheme="majorHAnsi"/>
          <w:sz w:val="22"/>
          <w:szCs w:val="22"/>
        </w:rPr>
      </w:pPr>
      <w:r>
        <w:rPr>
          <w:rFonts w:asciiTheme="majorHAnsi" w:hAnsiTheme="majorHAnsi"/>
          <w:sz w:val="22"/>
          <w:szCs w:val="22"/>
        </w:rPr>
        <w:t>le nombre d'épreuves ;</w:t>
      </w:r>
    </w:p>
    <w:p w:rsidR="00F04EEF" w:rsidRDefault="0099351E">
      <w:pPr>
        <w:pStyle w:val="Retraitcorpsdetexte3"/>
        <w:numPr>
          <w:ilvl w:val="0"/>
          <w:numId w:val="155"/>
        </w:numPr>
        <w:suppressAutoHyphens w:val="0"/>
        <w:spacing w:after="0"/>
        <w:ind w:left="1134" w:hanging="567"/>
        <w:jc w:val="both"/>
        <w:rPr>
          <w:rFonts w:asciiTheme="majorHAnsi" w:hAnsiTheme="majorHAnsi"/>
          <w:sz w:val="22"/>
          <w:szCs w:val="22"/>
        </w:rPr>
      </w:pPr>
      <w:r>
        <w:rPr>
          <w:rFonts w:asciiTheme="majorHAnsi" w:hAnsiTheme="majorHAnsi"/>
          <w:sz w:val="22"/>
          <w:szCs w:val="22"/>
        </w:rPr>
        <w:t>leur étalement ;</w:t>
      </w:r>
    </w:p>
    <w:p w:rsidR="00F04EEF" w:rsidRDefault="0099351E">
      <w:pPr>
        <w:pStyle w:val="Retraitcorpsdetexte3"/>
        <w:numPr>
          <w:ilvl w:val="0"/>
          <w:numId w:val="155"/>
        </w:numPr>
        <w:suppressAutoHyphens w:val="0"/>
        <w:spacing w:after="0"/>
        <w:ind w:left="1134" w:hanging="567"/>
        <w:jc w:val="both"/>
        <w:rPr>
          <w:rFonts w:asciiTheme="majorHAnsi" w:hAnsiTheme="majorHAnsi"/>
          <w:sz w:val="22"/>
          <w:szCs w:val="22"/>
        </w:rPr>
      </w:pPr>
      <w:r>
        <w:rPr>
          <w:rFonts w:asciiTheme="majorHAnsi" w:hAnsiTheme="majorHAnsi"/>
          <w:sz w:val="22"/>
          <w:szCs w:val="22"/>
        </w:rPr>
        <w:t>leur déroulement ;</w:t>
      </w:r>
    </w:p>
    <w:p w:rsidR="00F04EEF" w:rsidRDefault="0099351E">
      <w:pPr>
        <w:pStyle w:val="Retraitcorpsdetexte3"/>
        <w:numPr>
          <w:ilvl w:val="0"/>
          <w:numId w:val="155"/>
        </w:numPr>
        <w:suppressAutoHyphens w:val="0"/>
        <w:spacing w:after="0"/>
        <w:ind w:left="1134" w:hanging="567"/>
        <w:jc w:val="both"/>
        <w:rPr>
          <w:rFonts w:asciiTheme="majorHAnsi" w:hAnsiTheme="majorHAnsi"/>
          <w:sz w:val="22"/>
          <w:szCs w:val="22"/>
        </w:rPr>
      </w:pPr>
      <w:r>
        <w:rPr>
          <w:rFonts w:asciiTheme="majorHAnsi" w:hAnsiTheme="majorHAnsi"/>
          <w:sz w:val="22"/>
          <w:szCs w:val="22"/>
        </w:rPr>
        <w:t>...</w:t>
      </w:r>
    </w:p>
    <w:p w:rsidR="00F04EEF" w:rsidRDefault="00F04EEF">
      <w:pPr>
        <w:pStyle w:val="Retraitcorpsdetexte3"/>
        <w:spacing w:after="0"/>
        <w:ind w:left="0"/>
        <w:rPr>
          <w:rFonts w:asciiTheme="majorHAnsi" w:hAnsiTheme="majorHAnsi"/>
          <w:sz w:val="22"/>
          <w:szCs w:val="22"/>
        </w:rPr>
      </w:pPr>
    </w:p>
    <w:p w:rsidR="00F04EEF" w:rsidRDefault="0099351E">
      <w:pPr>
        <w:pStyle w:val="Retraitcorpsdetexte3"/>
        <w:spacing w:after="0"/>
        <w:ind w:left="0"/>
        <w:rPr>
          <w:rFonts w:asciiTheme="majorHAnsi" w:hAnsiTheme="majorHAnsi"/>
          <w:sz w:val="22"/>
          <w:szCs w:val="22"/>
        </w:rPr>
      </w:pPr>
      <w:r>
        <w:rPr>
          <w:rFonts w:asciiTheme="majorHAnsi" w:hAnsiTheme="majorHAnsi"/>
          <w:sz w:val="22"/>
          <w:szCs w:val="22"/>
        </w:rPr>
        <w:t xml:space="preserve">Ce schéma relève de la compétence des pouvoirs organisateurs. </w:t>
      </w:r>
    </w:p>
    <w:p w:rsidR="00F04EEF" w:rsidRDefault="00F04EEF">
      <w:pPr>
        <w:pStyle w:val="Retraitcorpsdetexte"/>
        <w:ind w:left="0"/>
        <w:rPr>
          <w:rFonts w:asciiTheme="majorHAnsi" w:hAnsiTheme="majorHAnsi"/>
          <w:szCs w:val="22"/>
        </w:rPr>
      </w:pPr>
    </w:p>
    <w:p w:rsidR="00F04EEF" w:rsidRDefault="0099351E">
      <w:pPr>
        <w:pStyle w:val="Retraitcorpsdetexte3"/>
        <w:spacing w:after="0"/>
        <w:ind w:left="0"/>
        <w:jc w:val="both"/>
        <w:rPr>
          <w:rFonts w:asciiTheme="majorHAnsi" w:hAnsiTheme="majorHAnsi"/>
          <w:sz w:val="22"/>
          <w:szCs w:val="22"/>
        </w:rPr>
      </w:pPr>
      <w:r>
        <w:rPr>
          <w:rFonts w:asciiTheme="majorHAnsi" w:hAnsiTheme="majorHAnsi"/>
          <w:sz w:val="22"/>
          <w:szCs w:val="22"/>
        </w:rPr>
        <w:t xml:space="preserve">Les épreuves peuvent s’organiser tout au long de la formation ; elles doivent permettre de vérifier les capacités de l’élève à mobiliser les compétences acquises, le cas échéant à travers la réalisation d’un travail et/ou d’une épreuve intégrée. </w:t>
      </w:r>
    </w:p>
    <w:p w:rsidR="00F04EEF" w:rsidRDefault="00F04EEF">
      <w:pPr>
        <w:pStyle w:val="Retraitcorpsdetexte3"/>
        <w:spacing w:after="0"/>
        <w:ind w:left="0"/>
        <w:jc w:val="both"/>
        <w:rPr>
          <w:rFonts w:asciiTheme="majorHAnsi" w:hAnsiTheme="majorHAnsi"/>
          <w:sz w:val="22"/>
          <w:szCs w:val="22"/>
        </w:rPr>
      </w:pPr>
    </w:p>
    <w:p w:rsidR="00F04EEF" w:rsidRDefault="0099351E">
      <w:pPr>
        <w:jc w:val="both"/>
        <w:rPr>
          <w:rFonts w:ascii="Calibri" w:hAnsi="Calibri"/>
        </w:rPr>
      </w:pPr>
      <w:r>
        <w:t>Au regard des dispositions de l’article 59 du Décret du 03 mars 2004 et de l’article 5 du Décret missions du 24 juillet 1997 , il apparaît que dans le cadre de l’organisation d’une épreuve intégrée (ou pas), les enseignants se doivent de proposer et dispenser des contenus-matière en lien, en tout ou en partie, avec le (s) métier (s) organisé (s).</w:t>
      </w:r>
    </w:p>
    <w:p w:rsidR="00F04EEF" w:rsidRDefault="0099351E">
      <w:pPr>
        <w:jc w:val="both"/>
      </w:pPr>
      <w:r>
        <w:t>Quant aux évaluations, seules les compétences qui apparaissent dans le (s) référentiel (s) des compétences professionnelles pourront être évaluées de façon certificative (C.Q.).</w:t>
      </w:r>
    </w:p>
    <w:p w:rsidR="00F04EEF" w:rsidRDefault="00F04EEF">
      <w:pPr>
        <w:pStyle w:val="Retraitcorpsdetexte3"/>
        <w:spacing w:after="0"/>
        <w:ind w:left="0"/>
        <w:jc w:val="both"/>
        <w:rPr>
          <w:rFonts w:asciiTheme="majorHAnsi" w:hAnsiTheme="majorHAnsi"/>
          <w:sz w:val="22"/>
          <w:szCs w:val="22"/>
        </w:rPr>
      </w:pPr>
    </w:p>
    <w:p w:rsidR="00F04EEF" w:rsidRDefault="00F04EEF">
      <w:pPr>
        <w:pStyle w:val="Retraitcorpsdetexte"/>
        <w:ind w:left="0" w:firstLine="0"/>
        <w:jc w:val="left"/>
        <w:rPr>
          <w:rFonts w:asciiTheme="majorHAnsi" w:hAnsiTheme="majorHAnsi"/>
          <w:b/>
          <w:bCs/>
          <w:szCs w:val="22"/>
        </w:rPr>
      </w:pPr>
    </w:p>
    <w:p w:rsidR="00F04EEF" w:rsidRDefault="0099351E">
      <w:pPr>
        <w:pStyle w:val="Titre3"/>
        <w:rPr>
          <w:sz w:val="22"/>
          <w:szCs w:val="22"/>
        </w:rPr>
      </w:pPr>
      <w:bookmarkStart w:id="3859" w:name="_2._Le_jury"/>
      <w:bookmarkStart w:id="3860" w:name="_Toc453314549"/>
      <w:bookmarkStart w:id="3861" w:name="_Toc454980581"/>
      <w:bookmarkStart w:id="3862" w:name="_Toc47708637"/>
      <w:bookmarkEnd w:id="3859"/>
      <w:r>
        <w:rPr>
          <w:sz w:val="22"/>
          <w:szCs w:val="22"/>
        </w:rPr>
        <w:t>2. Le jury de qualification</w:t>
      </w:r>
      <w:bookmarkEnd w:id="3860"/>
      <w:bookmarkEnd w:id="3861"/>
      <w:bookmarkEnd w:id="3862"/>
    </w:p>
    <w:p w:rsidR="00F04EEF" w:rsidRDefault="00F04EEF"/>
    <w:p w:rsidR="00F04EEF" w:rsidRDefault="0099351E">
      <w:pPr>
        <w:pStyle w:val="Retraitcorpsdetexte"/>
        <w:ind w:left="0" w:firstLine="1"/>
        <w:rPr>
          <w:rFonts w:asciiTheme="majorHAnsi" w:hAnsiTheme="majorHAnsi"/>
          <w:szCs w:val="22"/>
        </w:rPr>
      </w:pPr>
      <w:r>
        <w:rPr>
          <w:rFonts w:asciiTheme="majorHAnsi" w:hAnsiTheme="majorHAnsi"/>
          <w:szCs w:val="22"/>
        </w:rPr>
        <w:t>Le jury de qualification est chargé de délivrer le certificat de qualification et est constitué au début de chaque année scolaire sous la responsabilité du pouvoir organisateur (article 59 du Décret du 3 mars 2004 tel que modifié).</w:t>
      </w:r>
    </w:p>
    <w:p w:rsidR="00F04EEF" w:rsidRDefault="00F04EEF">
      <w:bookmarkStart w:id="3863" w:name="_Toc453314550"/>
      <w:bookmarkStart w:id="3864" w:name="_Toc454980582"/>
    </w:p>
    <w:p w:rsidR="00F04EEF" w:rsidRDefault="0099351E">
      <w:pPr>
        <w:pStyle w:val="Titre4"/>
      </w:pPr>
      <w:r>
        <w:t>2.1. Composition</w:t>
      </w:r>
      <w:bookmarkEnd w:id="3863"/>
      <w:bookmarkEnd w:id="3864"/>
    </w:p>
    <w:p w:rsidR="00F04EEF" w:rsidRDefault="00F04EEF">
      <w:pPr>
        <w:pStyle w:val="Retraitcorpsdetexte"/>
        <w:ind w:left="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rPr>
        <w:t>Le jury de qualification est composé comme suit :</w:t>
      </w:r>
    </w:p>
    <w:p w:rsidR="00F04EEF" w:rsidRDefault="00F04EEF">
      <w:pPr>
        <w:pStyle w:val="Retraitcorpsdetexte"/>
        <w:ind w:left="0"/>
        <w:rPr>
          <w:rFonts w:asciiTheme="majorHAnsi" w:hAnsiTheme="majorHAnsi"/>
          <w:szCs w:val="22"/>
        </w:rPr>
      </w:pPr>
    </w:p>
    <w:p w:rsidR="00F04EEF" w:rsidRDefault="0099351E">
      <w:pPr>
        <w:pStyle w:val="Retraitcorpsdetexte"/>
        <w:numPr>
          <w:ilvl w:val="0"/>
          <w:numId w:val="154"/>
        </w:numPr>
        <w:tabs>
          <w:tab w:val="clear" w:pos="1276"/>
          <w:tab w:val="clear" w:pos="3174"/>
          <w:tab w:val="clear" w:pos="3968"/>
          <w:tab w:val="clear" w:pos="4591"/>
          <w:tab w:val="clear" w:pos="4818"/>
        </w:tabs>
        <w:suppressAutoHyphens w:val="0"/>
        <w:ind w:left="360"/>
        <w:rPr>
          <w:rFonts w:asciiTheme="majorHAnsi" w:hAnsiTheme="majorHAnsi"/>
          <w:szCs w:val="22"/>
        </w:rPr>
      </w:pPr>
      <w:r>
        <w:rPr>
          <w:rFonts w:asciiTheme="majorHAnsi" w:hAnsiTheme="majorHAnsi"/>
          <w:szCs w:val="22"/>
        </w:rPr>
        <w:t>le chef d'établissement ou son délégué ;</w:t>
      </w:r>
    </w:p>
    <w:p w:rsidR="00F04EEF" w:rsidRDefault="0099351E">
      <w:pPr>
        <w:pStyle w:val="Retraitcorpsdetexte"/>
        <w:numPr>
          <w:ilvl w:val="0"/>
          <w:numId w:val="154"/>
        </w:numPr>
        <w:tabs>
          <w:tab w:val="clear" w:pos="1276"/>
          <w:tab w:val="clear" w:pos="3174"/>
          <w:tab w:val="clear" w:pos="3968"/>
          <w:tab w:val="clear" w:pos="4591"/>
          <w:tab w:val="clear" w:pos="4818"/>
        </w:tabs>
        <w:suppressAutoHyphens w:val="0"/>
        <w:ind w:left="360"/>
        <w:rPr>
          <w:rFonts w:asciiTheme="majorHAnsi" w:hAnsiTheme="majorHAnsi"/>
          <w:szCs w:val="22"/>
        </w:rPr>
      </w:pPr>
      <w:r>
        <w:rPr>
          <w:rFonts w:asciiTheme="majorHAnsi" w:hAnsiTheme="majorHAnsi"/>
          <w:szCs w:val="22"/>
        </w:rPr>
        <w:t>des membres du conseil de classe dont obligatoirement :</w:t>
      </w:r>
    </w:p>
    <w:p w:rsidR="00F04EEF" w:rsidRDefault="0099351E">
      <w:pPr>
        <w:pStyle w:val="Retraitcorpsdetexte"/>
        <w:numPr>
          <w:ilvl w:val="1"/>
          <w:numId w:val="154"/>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le titulaire de classe ;</w:t>
      </w:r>
    </w:p>
    <w:p w:rsidR="00F04EEF" w:rsidRDefault="0099351E">
      <w:pPr>
        <w:pStyle w:val="Retraitcorpsdetexte"/>
        <w:numPr>
          <w:ilvl w:val="1"/>
          <w:numId w:val="154"/>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les professeurs des cours techniques et de pratique professionnelle ; </w:t>
      </w:r>
    </w:p>
    <w:p w:rsidR="00F04EEF" w:rsidRDefault="0099351E">
      <w:pPr>
        <w:pStyle w:val="Retraitcorpsdetexte"/>
        <w:numPr>
          <w:ilvl w:val="1"/>
          <w:numId w:val="154"/>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au minimum un professeur de cours généraux (autre que le titulaire de classe); </w:t>
      </w:r>
    </w:p>
    <w:p w:rsidR="00F04EEF" w:rsidRDefault="0099351E">
      <w:pPr>
        <w:pStyle w:val="Retraitcorpsdetexte"/>
        <w:numPr>
          <w:ilvl w:val="1"/>
          <w:numId w:val="154"/>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dans le cadre de l’enseignement en alternance, le coordonnateur et/ou l’accompagnateur du CEFA;</w:t>
      </w:r>
    </w:p>
    <w:p w:rsidR="00F04EEF" w:rsidRDefault="00F04EEF">
      <w:pPr>
        <w:pStyle w:val="Retraitcorpsdetexte"/>
        <w:tabs>
          <w:tab w:val="clear" w:pos="1276"/>
          <w:tab w:val="clear" w:pos="3174"/>
          <w:tab w:val="clear" w:pos="3968"/>
          <w:tab w:val="clear" w:pos="4591"/>
          <w:tab w:val="clear" w:pos="4818"/>
        </w:tabs>
        <w:suppressAutoHyphens w:val="0"/>
        <w:ind w:left="0" w:firstLine="0"/>
        <w:rPr>
          <w:rFonts w:asciiTheme="majorHAnsi" w:hAnsiTheme="majorHAnsi"/>
          <w:szCs w:val="22"/>
        </w:rPr>
      </w:pPr>
    </w:p>
    <w:p w:rsidR="00F04EEF" w:rsidRDefault="0099351E">
      <w:pPr>
        <w:pStyle w:val="Retraitcorpsdetexte"/>
        <w:numPr>
          <w:ilvl w:val="0"/>
          <w:numId w:val="154"/>
        </w:numPr>
        <w:tabs>
          <w:tab w:val="clear" w:pos="1276"/>
          <w:tab w:val="clear" w:pos="3174"/>
          <w:tab w:val="clear" w:pos="3968"/>
          <w:tab w:val="clear" w:pos="4591"/>
          <w:tab w:val="clear" w:pos="4818"/>
        </w:tabs>
        <w:suppressAutoHyphens w:val="0"/>
        <w:ind w:left="360"/>
        <w:rPr>
          <w:rFonts w:asciiTheme="majorHAnsi" w:hAnsiTheme="majorHAnsi"/>
          <w:szCs w:val="22"/>
        </w:rPr>
      </w:pPr>
      <w:r>
        <w:rPr>
          <w:rFonts w:asciiTheme="majorHAnsi" w:hAnsiTheme="majorHAnsi"/>
          <w:szCs w:val="22"/>
        </w:rPr>
        <w:t xml:space="preserve">de membres extérieurs à l'établissement </w:t>
      </w:r>
      <w:r>
        <w:rPr>
          <w:rFonts w:asciiTheme="majorHAnsi" w:hAnsiTheme="majorHAnsi"/>
          <w:b/>
          <w:szCs w:val="22"/>
        </w:rPr>
        <w:t>(au moins deux)</w:t>
      </w:r>
      <w:r>
        <w:rPr>
          <w:rFonts w:asciiTheme="majorHAnsi" w:hAnsiTheme="majorHAnsi"/>
          <w:szCs w:val="22"/>
        </w:rPr>
        <w:t xml:space="preserve"> dont le nombre ne peut dépasser celui des membres du personnel enseignant :</w:t>
      </w:r>
    </w:p>
    <w:p w:rsidR="00F04EEF" w:rsidRDefault="0099351E">
      <w:pPr>
        <w:pStyle w:val="Retraitcorpsdetexte"/>
        <w:numPr>
          <w:ilvl w:val="1"/>
          <w:numId w:val="154"/>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ils sont choisis en raison de leur compétence dans la qualification qu'il s'agit d’attribuer ;</w:t>
      </w:r>
    </w:p>
    <w:p w:rsidR="00F04EEF" w:rsidRDefault="0099351E">
      <w:pPr>
        <w:pStyle w:val="Retraitcorpsdetexte"/>
        <w:numPr>
          <w:ilvl w:val="1"/>
          <w:numId w:val="154"/>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ils sont désignés par le Chef d’établissement dans l’enseignement organisé par la Fédération Wallonie-Bruxelles et par le pouvoir organisateur ou son délégué dans l’enseignement subventionné par la Fédération Wallonie-Bruxelles. </w:t>
      </w:r>
    </w:p>
    <w:p w:rsidR="00F04EEF" w:rsidRDefault="00F04EEF">
      <w:pPr>
        <w:pStyle w:val="Retraitcorpsdetexte"/>
        <w:tabs>
          <w:tab w:val="clear" w:pos="1276"/>
          <w:tab w:val="clear" w:pos="3174"/>
          <w:tab w:val="clear" w:pos="3968"/>
          <w:tab w:val="clear" w:pos="4591"/>
          <w:tab w:val="clear" w:pos="4818"/>
        </w:tabs>
        <w:suppressAutoHyphens w:val="0"/>
        <w:ind w:left="927" w:firstLine="0"/>
        <w:rPr>
          <w:rFonts w:asciiTheme="majorHAnsi" w:hAnsiTheme="majorHAnsi"/>
          <w:szCs w:val="22"/>
        </w:rPr>
      </w:pPr>
    </w:p>
    <w:p w:rsidR="00F04EEF" w:rsidRDefault="00F04EEF">
      <w:pPr>
        <w:pStyle w:val="Retraitcorpsdetexte"/>
        <w:tabs>
          <w:tab w:val="num" w:pos="396"/>
        </w:tabs>
        <w:ind w:left="0" w:firstLine="144"/>
        <w:rPr>
          <w:rFonts w:asciiTheme="majorHAnsi" w:hAnsiTheme="majorHAnsi"/>
          <w:szCs w:val="22"/>
        </w:rPr>
      </w:pPr>
    </w:p>
    <w:p w:rsidR="00F04EEF" w:rsidRDefault="0099351E">
      <w:pPr>
        <w:pStyle w:val="Retraitcorpsdetexte"/>
        <w:ind w:left="0"/>
        <w:rPr>
          <w:rFonts w:asciiTheme="majorHAnsi" w:hAnsiTheme="majorHAnsi"/>
          <w:szCs w:val="22"/>
        </w:rPr>
      </w:pPr>
      <w:r>
        <w:rPr>
          <w:rFonts w:asciiTheme="majorHAnsi" w:hAnsiTheme="majorHAnsi"/>
          <w:szCs w:val="22"/>
        </w:rPr>
        <w:t>Le jury est présidé par le chef d'établissement ou son délégué.</w:t>
      </w:r>
    </w:p>
    <w:p w:rsidR="00F04EEF" w:rsidRDefault="00F04EEF">
      <w:pPr>
        <w:pStyle w:val="Retraitcorpsdetexte"/>
        <w:ind w:left="0"/>
        <w:rPr>
          <w:rFonts w:asciiTheme="majorHAnsi" w:hAnsiTheme="majorHAnsi"/>
          <w:szCs w:val="22"/>
        </w:rPr>
      </w:pPr>
    </w:p>
    <w:p w:rsidR="00F04EEF" w:rsidRDefault="0099351E">
      <w:pPr>
        <w:pStyle w:val="Retraitcorpsdetexte"/>
        <w:ind w:left="0"/>
        <w:rPr>
          <w:rFonts w:asciiTheme="majorHAnsi" w:hAnsiTheme="majorHAnsi"/>
          <w:szCs w:val="22"/>
        </w:rPr>
      </w:pPr>
      <w:r>
        <w:rPr>
          <w:rFonts w:asciiTheme="majorHAnsi" w:hAnsiTheme="majorHAnsi"/>
          <w:szCs w:val="22"/>
        </w:rPr>
        <w:t>Idéalement, le jury de qualification doit comprendre :</w:t>
      </w:r>
    </w:p>
    <w:p w:rsidR="00F04EEF" w:rsidRDefault="0099351E">
      <w:pPr>
        <w:pStyle w:val="Retraitcorpsdetexte"/>
        <w:numPr>
          <w:ilvl w:val="0"/>
          <w:numId w:val="156"/>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des professeurs des cours en rapport direct avec la qualification qu’il s’agit d’attribuer ;</w:t>
      </w:r>
    </w:p>
    <w:p w:rsidR="00F04EEF" w:rsidRDefault="0099351E">
      <w:pPr>
        <w:pStyle w:val="Retraitcorpsdetexte"/>
        <w:numPr>
          <w:ilvl w:val="0"/>
          <w:numId w:val="156"/>
        </w:numPr>
        <w:tabs>
          <w:tab w:val="clear" w:pos="1276"/>
          <w:tab w:val="clear" w:pos="3174"/>
          <w:tab w:val="clear" w:pos="3968"/>
          <w:tab w:val="clear" w:pos="4591"/>
          <w:tab w:val="clear" w:pos="4818"/>
        </w:tabs>
        <w:suppressAutoHyphens w:val="0"/>
        <w:ind w:left="927"/>
        <w:rPr>
          <w:rFonts w:asciiTheme="majorHAnsi" w:hAnsiTheme="majorHAnsi"/>
          <w:szCs w:val="22"/>
        </w:rPr>
      </w:pPr>
      <w:r>
        <w:rPr>
          <w:rFonts w:asciiTheme="majorHAnsi" w:hAnsiTheme="majorHAnsi"/>
          <w:szCs w:val="22"/>
        </w:rPr>
        <w:t xml:space="preserve">en ce qui concerne les membres étrangers à l’établissement, des personnes issues du milieu professionnel dans lequel la qualification doit être attribuée : des employeurs, des indépendants, des spécialistes, etc. </w:t>
      </w:r>
    </w:p>
    <w:p w:rsidR="00F04EEF" w:rsidRDefault="00F04EEF">
      <w:pPr>
        <w:pStyle w:val="Retraitcorpsdetexte"/>
        <w:ind w:left="0"/>
        <w:rPr>
          <w:rFonts w:asciiTheme="majorHAnsi" w:hAnsiTheme="majorHAnsi"/>
          <w:szCs w:val="22"/>
        </w:rPr>
      </w:pPr>
    </w:p>
    <w:p w:rsidR="00F04EEF" w:rsidRDefault="0099351E">
      <w:pPr>
        <w:pStyle w:val="Retraitcorpsdetexte"/>
        <w:ind w:left="0"/>
        <w:rPr>
          <w:rFonts w:asciiTheme="majorHAnsi" w:hAnsiTheme="majorHAnsi"/>
          <w:szCs w:val="22"/>
        </w:rPr>
      </w:pPr>
      <w:r>
        <w:rPr>
          <w:rFonts w:asciiTheme="majorHAnsi" w:hAnsiTheme="majorHAnsi"/>
          <w:szCs w:val="22"/>
        </w:rPr>
        <w:t xml:space="preserve">Le jury </w:t>
      </w:r>
      <w:r>
        <w:rPr>
          <w:rFonts w:asciiTheme="majorHAnsi" w:hAnsiTheme="majorHAnsi"/>
          <w:b/>
          <w:szCs w:val="22"/>
        </w:rPr>
        <w:t>PEUT</w:t>
      </w:r>
      <w:r>
        <w:rPr>
          <w:rFonts w:asciiTheme="majorHAnsi" w:hAnsiTheme="majorHAnsi"/>
          <w:szCs w:val="22"/>
        </w:rPr>
        <w:t xml:space="preserve"> comprendre les autres membres du conseil de classe.</w:t>
      </w:r>
    </w:p>
    <w:p w:rsidR="00F04EEF" w:rsidRDefault="00F04EEF">
      <w:pPr>
        <w:pStyle w:val="Retraitcorpsdetexte"/>
        <w:ind w:left="0"/>
        <w:rPr>
          <w:rFonts w:asciiTheme="majorHAnsi" w:hAnsiTheme="majorHAnsi"/>
          <w:szCs w:val="22"/>
        </w:rPr>
      </w:pPr>
    </w:p>
    <w:p w:rsidR="00F04EEF" w:rsidRDefault="0099351E">
      <w:pPr>
        <w:pStyle w:val="Retraitcorpsdetexte"/>
        <w:ind w:left="0" w:firstLine="1"/>
        <w:rPr>
          <w:rFonts w:asciiTheme="majorHAnsi" w:hAnsiTheme="majorHAnsi"/>
          <w:szCs w:val="22"/>
        </w:rPr>
      </w:pPr>
      <w:r>
        <w:rPr>
          <w:rFonts w:asciiTheme="majorHAnsi" w:hAnsiTheme="majorHAnsi"/>
          <w:szCs w:val="22"/>
        </w:rPr>
        <w:t>Il est recommandé de ne pas faire figurer dans le jury des professeurs d’autres établissements d’enseignement, des professeurs retraités ou des personnes ayant quitté le milieu professionnel.</w:t>
      </w:r>
    </w:p>
    <w:p w:rsidR="00F04EEF" w:rsidRDefault="00F04EEF">
      <w:pPr>
        <w:pStyle w:val="Retraitcorpsdetexte"/>
        <w:ind w:left="0"/>
        <w:rPr>
          <w:rFonts w:asciiTheme="majorHAnsi" w:hAnsiTheme="majorHAnsi"/>
          <w:szCs w:val="22"/>
        </w:rPr>
      </w:pPr>
    </w:p>
    <w:p w:rsidR="00F04EEF" w:rsidRDefault="0099351E">
      <w:pPr>
        <w:pStyle w:val="Retraitcorpsdetexte"/>
        <w:ind w:left="0" w:firstLine="1"/>
        <w:rPr>
          <w:rFonts w:asciiTheme="majorHAnsi" w:hAnsiTheme="majorHAnsi"/>
          <w:szCs w:val="22"/>
        </w:rPr>
      </w:pPr>
      <w:r>
        <w:rPr>
          <w:rFonts w:asciiTheme="majorHAnsi" w:hAnsiTheme="majorHAnsi"/>
          <w:szCs w:val="22"/>
        </w:rPr>
        <w:t xml:space="preserve">Le jury de qualification peut </w:t>
      </w:r>
      <w:r>
        <w:rPr>
          <w:rFonts w:asciiTheme="majorHAnsi" w:hAnsiTheme="majorHAnsi"/>
          <w:szCs w:val="22"/>
          <w:u w:val="single"/>
        </w:rPr>
        <w:t>déléguer l'évaluation des épreuves</w:t>
      </w:r>
      <w:r>
        <w:rPr>
          <w:rFonts w:asciiTheme="majorHAnsi" w:hAnsiTheme="majorHAnsi"/>
          <w:szCs w:val="22"/>
        </w:rPr>
        <w:t xml:space="preserve"> de qualification aux membres du personnel enseignant qui ont assuré spécifiquement les apprentissages préparatoires à l'épreuve concernée et, quand cela est possible, à un ou plusieurs membres extérieurs à l'établissement. (Article 59 du décret du 3 mars 2004)</w:t>
      </w:r>
    </w:p>
    <w:p w:rsidR="00F04EEF" w:rsidRDefault="00F04EEF">
      <w:pPr>
        <w:pStyle w:val="Retraitcorpsdetexte"/>
        <w:ind w:left="0"/>
        <w:rPr>
          <w:rFonts w:asciiTheme="majorHAnsi" w:hAnsiTheme="majorHAnsi"/>
          <w:szCs w:val="22"/>
        </w:rPr>
      </w:pPr>
    </w:p>
    <w:p w:rsidR="00F04EEF" w:rsidRDefault="0099351E">
      <w:pPr>
        <w:pStyle w:val="Retraitcorpsdetexte"/>
        <w:ind w:left="0" w:firstLine="1"/>
        <w:rPr>
          <w:rFonts w:asciiTheme="majorHAnsi" w:hAnsiTheme="majorHAnsi"/>
          <w:szCs w:val="22"/>
        </w:rPr>
      </w:pPr>
      <w:r>
        <w:rPr>
          <w:rFonts w:asciiTheme="majorHAnsi" w:hAnsiTheme="majorHAnsi"/>
          <w:b/>
          <w:szCs w:val="22"/>
        </w:rPr>
        <w:t xml:space="preserve">Toutefois, la délivrance du certificat de qualification relève de la compétence </w:t>
      </w:r>
      <w:r>
        <w:rPr>
          <w:rFonts w:asciiTheme="majorHAnsi" w:hAnsiTheme="majorHAnsi"/>
          <w:b/>
          <w:szCs w:val="22"/>
          <w:u w:val="single"/>
        </w:rPr>
        <w:t>exclusive</w:t>
      </w:r>
      <w:r>
        <w:rPr>
          <w:rFonts w:asciiTheme="majorHAnsi" w:hAnsiTheme="majorHAnsi"/>
          <w:b/>
          <w:szCs w:val="22"/>
        </w:rPr>
        <w:t xml:space="preserve"> du jury de qualification</w:t>
      </w:r>
      <w:r>
        <w:rPr>
          <w:rFonts w:asciiTheme="majorHAnsi" w:hAnsiTheme="majorHAnsi"/>
          <w:szCs w:val="22"/>
        </w:rPr>
        <w:t>.</w:t>
      </w:r>
    </w:p>
    <w:p w:rsidR="00F04EEF" w:rsidRDefault="00F04EEF">
      <w:pPr>
        <w:pStyle w:val="Retraitcorpsdetexte"/>
        <w:ind w:left="0"/>
        <w:rPr>
          <w:rFonts w:asciiTheme="majorHAnsi" w:hAnsiTheme="majorHAnsi"/>
          <w:szCs w:val="22"/>
        </w:rPr>
      </w:pPr>
    </w:p>
    <w:p w:rsidR="00F04EEF" w:rsidRDefault="0099351E">
      <w:pPr>
        <w:pStyle w:val="Retraitcorpsdetexte"/>
        <w:ind w:left="0" w:firstLine="1"/>
        <w:rPr>
          <w:rFonts w:asciiTheme="majorHAnsi" w:hAnsiTheme="majorHAnsi"/>
          <w:szCs w:val="22"/>
        </w:rPr>
      </w:pPr>
      <w:r>
        <w:rPr>
          <w:rFonts w:asciiTheme="majorHAnsi" w:hAnsiTheme="majorHAnsi"/>
          <w:szCs w:val="22"/>
        </w:rPr>
        <w:t>Autrement dit, lors de la délibération organisée en vue de l’octroi du certificat de qualification, le jury de qualification doit être convoqué au complet.</w:t>
      </w:r>
    </w:p>
    <w:p w:rsidR="00F04EEF" w:rsidRDefault="00F04EEF">
      <w:pPr>
        <w:pStyle w:val="Retraitcorpsdetexte"/>
        <w:ind w:left="0"/>
        <w:rPr>
          <w:rFonts w:asciiTheme="majorHAnsi" w:hAnsiTheme="majorHAnsi"/>
          <w:szCs w:val="22"/>
        </w:rPr>
      </w:pPr>
    </w:p>
    <w:p w:rsidR="00F04EEF" w:rsidRDefault="0099351E">
      <w:pPr>
        <w:pStyle w:val="Titre4"/>
      </w:pPr>
      <w:bookmarkStart w:id="3865" w:name="_2.2._Procédure"/>
      <w:bookmarkStart w:id="3866" w:name="_Toc453314551"/>
      <w:bookmarkStart w:id="3867" w:name="_Toc454980583"/>
      <w:bookmarkEnd w:id="3865"/>
      <w:r>
        <w:t>2.2. Procédure</w:t>
      </w:r>
      <w:bookmarkEnd w:id="3866"/>
      <w:bookmarkEnd w:id="3867"/>
    </w:p>
    <w:p w:rsidR="00F04EEF" w:rsidRDefault="00F04EEF">
      <w:pPr>
        <w:pStyle w:val="Retraitcorpsdetexte"/>
        <w:ind w:left="0"/>
        <w:rPr>
          <w:rFonts w:asciiTheme="majorHAnsi" w:hAnsiTheme="majorHAnsi"/>
          <w:szCs w:val="22"/>
        </w:rPr>
      </w:pPr>
    </w:p>
    <w:p w:rsidR="00F04EEF" w:rsidRDefault="0099351E">
      <w:pPr>
        <w:tabs>
          <w:tab w:val="left" w:pos="1276"/>
          <w:tab w:val="left" w:pos="3174"/>
          <w:tab w:val="left" w:pos="3968"/>
          <w:tab w:val="left" w:pos="4591"/>
          <w:tab w:val="left" w:pos="4818"/>
        </w:tabs>
        <w:suppressAutoHyphens/>
        <w:autoSpaceDE w:val="0"/>
        <w:autoSpaceDN w:val="0"/>
        <w:adjustRightInd w:val="0"/>
        <w:jc w:val="both"/>
        <w:rPr>
          <w:rFonts w:ascii="Times New Roman" w:eastAsia="Times New Roman" w:cs="Calibri"/>
          <w:sz w:val="20"/>
          <w:szCs w:val="24"/>
          <w:lang w:eastAsia="fr-BE"/>
        </w:rPr>
      </w:pPr>
      <w:r>
        <w:rPr>
          <w:rFonts w:ascii="Cambria" w:eastAsia="Times New Roman" w:hAnsi="Cambria" w:cs="Cambria"/>
          <w:sz w:val="20"/>
          <w:lang w:eastAsia="fr-BE"/>
        </w:rPr>
        <w:t>Une fois le jury constitué, le chef d'établissement complètera – pour le 15 novembre au plus tard - le document intitulé « composition du jury de qualification de forme 3 » (</w:t>
      </w:r>
      <w:hyperlink w:anchor="_Annexe_11_:_2" w:history="1">
        <w:r>
          <w:rPr>
            <w:rStyle w:val="Lienhypertexte"/>
            <w:rFonts w:ascii="Cambria" w:eastAsia="Times New Roman" w:hAnsi="Cambria" w:cs="Cambria"/>
            <w:sz w:val="20"/>
            <w:lang w:eastAsia="fr-BE"/>
          </w:rPr>
          <w:t>annexe 11 du chapitre 26</w:t>
        </w:r>
      </w:hyperlink>
      <w:r>
        <w:rPr>
          <w:rFonts w:ascii="Cambria" w:eastAsia="Times New Roman" w:hAnsi="Cambria" w:cs="Cambria"/>
          <w:sz w:val="20"/>
          <w:lang w:eastAsia="fr-BE"/>
        </w:rPr>
        <w:t>).</w:t>
      </w:r>
    </w:p>
    <w:p w:rsidR="00F04EEF" w:rsidRDefault="00F04EEF">
      <w:pPr>
        <w:tabs>
          <w:tab w:val="left" w:pos="1276"/>
          <w:tab w:val="left" w:pos="3174"/>
          <w:tab w:val="left" w:pos="3968"/>
          <w:tab w:val="left" w:pos="4591"/>
          <w:tab w:val="left" w:pos="4818"/>
        </w:tabs>
        <w:suppressAutoHyphens/>
        <w:autoSpaceDE w:val="0"/>
        <w:autoSpaceDN w:val="0"/>
        <w:adjustRightInd w:val="0"/>
        <w:jc w:val="both"/>
        <w:rPr>
          <w:rFonts w:ascii="Cambria" w:eastAsia="Times New Roman" w:hAnsi="Cambria" w:cs="Cambria"/>
          <w:sz w:val="20"/>
          <w:lang w:eastAsia="fr-BE"/>
        </w:rPr>
      </w:pPr>
    </w:p>
    <w:p w:rsidR="00F04EEF" w:rsidRDefault="0099351E">
      <w:pPr>
        <w:tabs>
          <w:tab w:val="left" w:pos="1276"/>
          <w:tab w:val="left" w:pos="3174"/>
          <w:tab w:val="left" w:pos="3968"/>
          <w:tab w:val="left" w:pos="4591"/>
          <w:tab w:val="left" w:pos="4818"/>
        </w:tabs>
        <w:suppressAutoHyphens/>
        <w:autoSpaceDE w:val="0"/>
        <w:autoSpaceDN w:val="0"/>
        <w:adjustRightInd w:val="0"/>
        <w:jc w:val="both"/>
        <w:rPr>
          <w:rFonts w:ascii="Cambria" w:eastAsia="Times New Roman" w:hAnsi="Cambria" w:cs="Cambria"/>
          <w:sz w:val="20"/>
          <w:lang w:eastAsia="fr-BE"/>
        </w:rPr>
      </w:pPr>
      <w:r>
        <w:rPr>
          <w:noProof/>
          <w:lang w:eastAsia="fr-BE"/>
        </w:rPr>
        <mc:AlternateContent>
          <mc:Choice Requires="wps">
            <w:drawing>
              <wp:anchor distT="0" distB="0" distL="114300" distR="114300" simplePos="0" relativeHeight="252329984" behindDoc="0" locked="0" layoutInCell="1" allowOverlap="1">
                <wp:simplePos x="0" y="0"/>
                <wp:positionH relativeFrom="column">
                  <wp:posOffset>6348095</wp:posOffset>
                </wp:positionH>
                <wp:positionV relativeFrom="paragraph">
                  <wp:posOffset>172719</wp:posOffset>
                </wp:positionV>
                <wp:extent cx="0" cy="2028825"/>
                <wp:effectExtent l="0" t="0" r="19050" b="28575"/>
                <wp:wrapNone/>
                <wp:docPr id="154" name="Connecteur droit 154"/>
                <wp:cNvGraphicFramePr/>
                <a:graphic xmlns:a="http://schemas.openxmlformats.org/drawingml/2006/main">
                  <a:graphicData uri="http://schemas.microsoft.com/office/word/2010/wordprocessingShape">
                    <wps:wsp>
                      <wps:cNvCnPr/>
                      <wps:spPr>
                        <a:xfrm>
                          <a:off x="0" y="0"/>
                          <a:ext cx="0" cy="2028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1458103" id="Connecteur droit 154" o:spid="_x0000_s1026" style="position:absolute;z-index:25232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85pt,13.6pt" to="499.85pt,1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" strokecolor="black [3213]"/>
            </w:pict>
          </mc:Fallback>
        </mc:AlternateContent>
      </w:r>
      <w:r>
        <w:rPr>
          <w:rFonts w:ascii="Cambria" w:eastAsia="Times New Roman" w:hAnsi="Cambria" w:cs="Cambria"/>
          <w:sz w:val="20"/>
          <w:lang w:eastAsia="fr-BE"/>
        </w:rPr>
        <w:t xml:space="preserve">La Direction devra faire parvenir, pour le </w:t>
      </w:r>
      <w:r>
        <w:rPr>
          <w:rFonts w:ascii="Cambria" w:eastAsia="Times New Roman" w:hAnsi="Cambria" w:cs="Cambria"/>
          <w:b/>
          <w:sz w:val="20"/>
          <w:u w:val="single"/>
          <w:lang w:eastAsia="fr-BE"/>
        </w:rPr>
        <w:t>15 novembre</w:t>
      </w:r>
      <w:r>
        <w:rPr>
          <w:rFonts w:ascii="Cambria" w:eastAsia="Times New Roman" w:hAnsi="Cambria" w:cs="Cambria"/>
          <w:sz w:val="20"/>
          <w:lang w:eastAsia="fr-BE"/>
        </w:rPr>
        <w:t xml:space="preserve">, </w:t>
      </w:r>
      <w:r>
        <w:rPr>
          <w:rFonts w:ascii="Cambria" w:eastAsia="Times New Roman" w:hAnsi="Cambria" w:cs="Cambria"/>
          <w:b/>
          <w:sz w:val="20"/>
          <w:lang w:eastAsia="fr-BE"/>
        </w:rPr>
        <w:t xml:space="preserve">TOUTES les compositions de jury de qualification </w:t>
      </w:r>
      <w:r>
        <w:rPr>
          <w:rFonts w:ascii="Cambria" w:eastAsia="Times New Roman" w:hAnsi="Cambria" w:cs="Cambria"/>
          <w:sz w:val="20"/>
          <w:lang w:eastAsia="fr-BE"/>
        </w:rPr>
        <w:t>en deux exemplaires originaux à l’attention de Madame Marie BORMANN (bureau 2F253) Rue A. Lavallée, 1 à 1080 Bruxelles.</w:t>
      </w:r>
    </w:p>
    <w:p w:rsidR="00F04EEF" w:rsidRDefault="00F04EEF">
      <w:pPr>
        <w:tabs>
          <w:tab w:val="left" w:pos="1276"/>
          <w:tab w:val="left" w:pos="3174"/>
          <w:tab w:val="left" w:pos="3968"/>
          <w:tab w:val="left" w:pos="4591"/>
          <w:tab w:val="left" w:pos="4818"/>
        </w:tabs>
        <w:suppressAutoHyphens/>
        <w:autoSpaceDE w:val="0"/>
        <w:autoSpaceDN w:val="0"/>
        <w:adjustRightInd w:val="0"/>
        <w:jc w:val="both"/>
        <w:rPr>
          <w:rFonts w:ascii="Cambria" w:eastAsia="Times New Roman" w:hAnsi="Cambria" w:cs="Cambria"/>
          <w:sz w:val="20"/>
          <w:lang w:eastAsia="fr-BE"/>
        </w:rPr>
      </w:pPr>
    </w:p>
    <w:p w:rsidR="00F04EEF" w:rsidRDefault="0099351E">
      <w:pPr>
        <w:tabs>
          <w:tab w:val="left" w:pos="1276"/>
          <w:tab w:val="left" w:pos="3174"/>
          <w:tab w:val="left" w:pos="3968"/>
          <w:tab w:val="left" w:pos="4591"/>
          <w:tab w:val="left" w:pos="4818"/>
        </w:tabs>
        <w:suppressAutoHyphens/>
        <w:autoSpaceDE w:val="0"/>
        <w:autoSpaceDN w:val="0"/>
        <w:adjustRightInd w:val="0"/>
        <w:jc w:val="both"/>
        <w:rPr>
          <w:rFonts w:ascii="Times New Roman" w:eastAsia="Times New Roman" w:cs="Calibri"/>
          <w:sz w:val="20"/>
          <w:szCs w:val="24"/>
          <w:lang w:eastAsia="fr-BE"/>
        </w:rPr>
      </w:pPr>
      <w:r>
        <w:rPr>
          <w:rFonts w:ascii="Cambria" w:eastAsia="Times New Roman" w:hAnsi="Cambria" w:cs="Cambria"/>
          <w:sz w:val="20"/>
          <w:lang w:eastAsia="fr-BE"/>
        </w:rPr>
        <w:t>Celles-ci seront vérifiées et conservées à l’Administration.  Une version validée sera transmise aux établissements scolaires via leur boîte mail. Les éventuelles demandes de corrections seront également transmises aux écoles par mail et/ou par courrier postal.</w:t>
      </w:r>
    </w:p>
    <w:p w:rsidR="00F04EEF" w:rsidRDefault="00F04EEF">
      <w:pPr>
        <w:tabs>
          <w:tab w:val="left" w:pos="1276"/>
          <w:tab w:val="left" w:pos="3174"/>
          <w:tab w:val="left" w:pos="3968"/>
          <w:tab w:val="left" w:pos="4591"/>
          <w:tab w:val="left" w:pos="4818"/>
        </w:tabs>
        <w:suppressAutoHyphens/>
        <w:autoSpaceDE w:val="0"/>
        <w:autoSpaceDN w:val="0"/>
        <w:adjustRightInd w:val="0"/>
        <w:jc w:val="both"/>
        <w:rPr>
          <w:rFonts w:ascii="Cambria" w:eastAsia="Times New Roman" w:hAnsi="Cambria" w:cs="Cambria"/>
          <w:sz w:val="20"/>
          <w:lang w:eastAsia="fr-BE"/>
        </w:rPr>
      </w:pPr>
    </w:p>
    <w:p w:rsidR="00F04EEF" w:rsidRDefault="0099351E">
      <w:pPr>
        <w:tabs>
          <w:tab w:val="left" w:pos="1276"/>
          <w:tab w:val="left" w:pos="3174"/>
          <w:tab w:val="left" w:pos="3968"/>
          <w:tab w:val="left" w:pos="4591"/>
          <w:tab w:val="left" w:pos="4818"/>
        </w:tabs>
        <w:suppressAutoHyphens/>
        <w:autoSpaceDE w:val="0"/>
        <w:autoSpaceDN w:val="0"/>
        <w:adjustRightInd w:val="0"/>
        <w:ind w:firstLine="1"/>
        <w:jc w:val="both"/>
        <w:rPr>
          <w:rFonts w:ascii="Times New Roman" w:eastAsia="Times New Roman" w:cs="Calibri"/>
          <w:sz w:val="20"/>
          <w:szCs w:val="24"/>
          <w:lang w:eastAsia="fr-BE"/>
        </w:rPr>
      </w:pPr>
      <w:r>
        <w:rPr>
          <w:rFonts w:ascii="Cambria" w:eastAsia="Times New Roman" w:hAnsi="Cambria" w:cs="Cambria"/>
          <w:b/>
          <w:sz w:val="20"/>
          <w:lang w:eastAsia="fr-BE"/>
        </w:rPr>
        <w:t xml:space="preserve">Tout oubli d’envoi de ce document, pourra entrainer une annulation de la qualification en cas de composition incorrecte </w:t>
      </w:r>
      <w:r>
        <w:rPr>
          <w:rFonts w:ascii="Cambria" w:eastAsia="Times New Roman" w:hAnsi="Cambria" w:cs="Cambria"/>
          <w:i/>
          <w:sz w:val="20"/>
          <w:lang w:eastAsia="fr-BE"/>
        </w:rPr>
        <w:t xml:space="preserve">(ex : un seul membre du jury externe au lieu des deux obligatoires etc.). </w:t>
      </w:r>
    </w:p>
    <w:p w:rsidR="00F04EEF" w:rsidRDefault="00F04EEF">
      <w:pPr>
        <w:tabs>
          <w:tab w:val="left" w:pos="1276"/>
          <w:tab w:val="left" w:pos="3174"/>
          <w:tab w:val="left" w:pos="3968"/>
          <w:tab w:val="left" w:pos="4591"/>
          <w:tab w:val="left" w:pos="4818"/>
        </w:tabs>
        <w:suppressAutoHyphens/>
        <w:autoSpaceDE w:val="0"/>
        <w:autoSpaceDN w:val="0"/>
        <w:adjustRightInd w:val="0"/>
        <w:jc w:val="both"/>
        <w:rPr>
          <w:rFonts w:ascii="Cambria" w:eastAsia="Times New Roman" w:hAnsi="Cambria" w:cs="Cambria"/>
          <w:sz w:val="20"/>
          <w:lang w:eastAsia="fr-BE"/>
        </w:rPr>
      </w:pPr>
    </w:p>
    <w:p w:rsidR="00F04EEF" w:rsidRDefault="0099351E">
      <w:pPr>
        <w:tabs>
          <w:tab w:val="left" w:pos="1276"/>
          <w:tab w:val="left" w:pos="3174"/>
          <w:tab w:val="left" w:pos="3968"/>
          <w:tab w:val="left" w:pos="4591"/>
          <w:tab w:val="left" w:pos="4818"/>
        </w:tabs>
        <w:suppressAutoHyphens/>
        <w:autoSpaceDE w:val="0"/>
        <w:autoSpaceDN w:val="0"/>
        <w:adjustRightInd w:val="0"/>
        <w:jc w:val="both"/>
        <w:rPr>
          <w:rFonts w:ascii="Times New Roman" w:eastAsia="Times New Roman" w:cs="Calibri"/>
          <w:sz w:val="20"/>
          <w:szCs w:val="24"/>
          <w:lang w:eastAsia="fr-BE"/>
        </w:rPr>
      </w:pPr>
      <w:r>
        <w:rPr>
          <w:rFonts w:ascii="Cambria" w:eastAsia="Times New Roman" w:hAnsi="Cambria" w:cs="Cambria"/>
          <w:sz w:val="20"/>
          <w:lang w:eastAsia="fr-BE"/>
        </w:rPr>
        <w:t>A l’issue de la formation, les documents suivants seront transmis au Service de l’Enseignement spécialisé :</w:t>
      </w:r>
    </w:p>
    <w:p w:rsidR="00F04EEF" w:rsidRDefault="0099351E">
      <w:pPr>
        <w:pStyle w:val="Paragraphedeliste"/>
        <w:numPr>
          <w:ilvl w:val="2"/>
          <w:numId w:val="357"/>
        </w:numPr>
        <w:tabs>
          <w:tab w:val="left" w:pos="1276"/>
          <w:tab w:val="left" w:pos="3174"/>
          <w:tab w:val="left" w:pos="3968"/>
          <w:tab w:val="left" w:pos="4591"/>
          <w:tab w:val="left" w:pos="4818"/>
        </w:tabs>
        <w:autoSpaceDE w:val="0"/>
        <w:autoSpaceDN w:val="0"/>
        <w:adjustRightInd w:val="0"/>
        <w:ind w:left="993" w:hanging="459"/>
        <w:jc w:val="both"/>
        <w:rPr>
          <w:rFonts w:ascii="Times New Roman" w:cs="Calibri"/>
          <w:szCs w:val="24"/>
          <w:lang w:eastAsia="fr-BE"/>
        </w:rPr>
      </w:pPr>
      <w:r>
        <w:rPr>
          <w:rFonts w:ascii="Cambria" w:hAnsi="Cambria" w:cs="Cambria"/>
          <w:lang w:eastAsia="fr-BE"/>
        </w:rPr>
        <w:t>Les procès-verbaux de délivrance des certificats de qualification en deux exemplaires (</w:t>
      </w:r>
      <w:hyperlink w:anchor="_Annexe_9_:_1" w:history="1">
        <w:r>
          <w:rPr>
            <w:rStyle w:val="Lienhypertexte"/>
            <w:rFonts w:ascii="Cambria" w:hAnsi="Cambria" w:cs="Cambria"/>
            <w:lang w:eastAsia="fr-BE"/>
          </w:rPr>
          <w:t>annexe 9 du chapitre 26</w:t>
        </w:r>
      </w:hyperlink>
      <w:r>
        <w:rPr>
          <w:rFonts w:ascii="Cambria" w:hAnsi="Cambria" w:cs="Cambria"/>
          <w:lang w:eastAsia="fr-BE"/>
        </w:rPr>
        <w:t>);</w:t>
      </w:r>
    </w:p>
    <w:p w:rsidR="00F04EEF" w:rsidRDefault="0099351E">
      <w:pPr>
        <w:pStyle w:val="Paragraphedeliste"/>
        <w:numPr>
          <w:ilvl w:val="2"/>
          <w:numId w:val="357"/>
        </w:numPr>
        <w:tabs>
          <w:tab w:val="left" w:pos="1276"/>
          <w:tab w:val="left" w:pos="3174"/>
          <w:tab w:val="left" w:pos="3968"/>
          <w:tab w:val="left" w:pos="4591"/>
          <w:tab w:val="left" w:pos="4818"/>
        </w:tabs>
        <w:autoSpaceDE w:val="0"/>
        <w:autoSpaceDN w:val="0"/>
        <w:adjustRightInd w:val="0"/>
        <w:ind w:left="993" w:hanging="459"/>
        <w:jc w:val="both"/>
        <w:rPr>
          <w:rFonts w:ascii="Times New Roman" w:cs="Calibri"/>
          <w:szCs w:val="24"/>
          <w:lang w:eastAsia="fr-BE"/>
        </w:rPr>
      </w:pPr>
      <w:r>
        <w:rPr>
          <w:rFonts w:ascii="Cambria" w:hAnsi="Cambria" w:cs="Cambria"/>
          <w:lang w:eastAsia="fr-BE"/>
        </w:rPr>
        <w:t>La liste des élèves devant être certifiés (</w:t>
      </w:r>
      <w:hyperlink w:anchor="_Annexe_17_:_1" w:history="1">
        <w:r>
          <w:rPr>
            <w:rStyle w:val="Lienhypertexte"/>
            <w:rFonts w:ascii="Cambria" w:hAnsi="Cambria" w:cs="Cambria"/>
            <w:lang w:eastAsia="fr-BE"/>
          </w:rPr>
          <w:t>annexe 17 du chapitre 26</w:t>
        </w:r>
      </w:hyperlink>
      <w:r>
        <w:rPr>
          <w:rFonts w:ascii="Cambria" w:hAnsi="Cambria" w:cs="Cambria"/>
          <w:lang w:eastAsia="fr-BE"/>
        </w:rPr>
        <w:t>) ;</w:t>
      </w:r>
    </w:p>
    <w:p w:rsidR="00F04EEF" w:rsidRDefault="0099351E">
      <w:pPr>
        <w:pStyle w:val="Paragraphedeliste"/>
        <w:numPr>
          <w:ilvl w:val="2"/>
          <w:numId w:val="357"/>
        </w:numPr>
        <w:tabs>
          <w:tab w:val="left" w:pos="1276"/>
          <w:tab w:val="left" w:pos="3174"/>
          <w:tab w:val="left" w:pos="3968"/>
          <w:tab w:val="left" w:pos="4591"/>
          <w:tab w:val="left" w:pos="4818"/>
        </w:tabs>
        <w:autoSpaceDE w:val="0"/>
        <w:autoSpaceDN w:val="0"/>
        <w:adjustRightInd w:val="0"/>
        <w:ind w:left="993" w:hanging="459"/>
        <w:jc w:val="both"/>
        <w:rPr>
          <w:rFonts w:ascii="Times New Roman" w:cs="Calibri"/>
          <w:szCs w:val="24"/>
          <w:lang w:eastAsia="fr-BE"/>
        </w:rPr>
      </w:pPr>
      <w:r>
        <w:rPr>
          <w:rFonts w:ascii="Cambria" w:hAnsi="Cambria" w:cs="Cambria"/>
          <w:lang w:eastAsia="fr-BE"/>
        </w:rPr>
        <w:t>La copie de la carte d’identité de l’élève qualifié (ou tout autre document prouvant son identité : l’acte de naissance, le passeport ou titre de séjour).</w:t>
      </w:r>
    </w:p>
    <w:p w:rsidR="00F04EEF" w:rsidRDefault="00F04EEF">
      <w:pPr>
        <w:tabs>
          <w:tab w:val="left" w:pos="1276"/>
          <w:tab w:val="left" w:pos="3174"/>
          <w:tab w:val="left" w:pos="3968"/>
          <w:tab w:val="left" w:pos="4591"/>
          <w:tab w:val="left" w:pos="4818"/>
        </w:tabs>
        <w:suppressAutoHyphens/>
        <w:autoSpaceDE w:val="0"/>
        <w:autoSpaceDN w:val="0"/>
        <w:adjustRightInd w:val="0"/>
        <w:ind w:hanging="283"/>
        <w:jc w:val="both"/>
        <w:rPr>
          <w:rFonts w:ascii="Cambria" w:eastAsia="Times New Roman" w:hAnsi="Cambria" w:cs="Cambria"/>
          <w:sz w:val="20"/>
          <w:lang w:eastAsia="fr-BE"/>
        </w:rPr>
      </w:pPr>
    </w:p>
    <w:p w:rsidR="00F04EEF" w:rsidRDefault="0099351E">
      <w:pPr>
        <w:tabs>
          <w:tab w:val="left" w:pos="1276"/>
          <w:tab w:val="left" w:pos="3174"/>
          <w:tab w:val="left" w:pos="3968"/>
          <w:tab w:val="left" w:pos="4591"/>
          <w:tab w:val="left" w:pos="4818"/>
        </w:tabs>
        <w:suppressAutoHyphens/>
        <w:autoSpaceDE w:val="0"/>
        <w:autoSpaceDN w:val="0"/>
        <w:adjustRightInd w:val="0"/>
        <w:jc w:val="both"/>
        <w:rPr>
          <w:rFonts w:ascii="Times New Roman" w:eastAsia="Times New Roman" w:cs="Calibri"/>
          <w:sz w:val="20"/>
          <w:szCs w:val="24"/>
          <w:lang w:eastAsia="fr-BE"/>
        </w:rPr>
      </w:pPr>
      <w:r>
        <w:rPr>
          <w:rFonts w:ascii="Cambria" w:eastAsia="Times New Roman" w:hAnsi="Cambria" w:cs="Cambria"/>
          <w:sz w:val="20"/>
          <w:lang w:eastAsia="fr-BE"/>
        </w:rPr>
        <w:t>Ces documents sont à envoyer à l’agent traitant votre dossier (Madame Marie BORMANN).</w:t>
      </w:r>
    </w:p>
    <w:p w:rsidR="00F04EEF" w:rsidRDefault="00F04EEF">
      <w:pPr>
        <w:tabs>
          <w:tab w:val="left" w:pos="1276"/>
          <w:tab w:val="left" w:pos="3174"/>
          <w:tab w:val="left" w:pos="3968"/>
          <w:tab w:val="left" w:pos="4591"/>
          <w:tab w:val="left" w:pos="4818"/>
        </w:tabs>
        <w:suppressAutoHyphens/>
        <w:autoSpaceDE w:val="0"/>
        <w:autoSpaceDN w:val="0"/>
        <w:adjustRightInd w:val="0"/>
        <w:jc w:val="both"/>
        <w:rPr>
          <w:rFonts w:ascii="Cambria" w:eastAsia="Times New Roman" w:hAnsi="Cambria" w:cs="Cambria"/>
          <w:sz w:val="20"/>
          <w:lang w:eastAsia="fr-BE"/>
        </w:rPr>
      </w:pPr>
    </w:p>
    <w:p w:rsidR="00F04EEF" w:rsidRDefault="0099351E">
      <w:pPr>
        <w:tabs>
          <w:tab w:val="left" w:pos="1276"/>
          <w:tab w:val="left" w:pos="3174"/>
          <w:tab w:val="left" w:pos="3968"/>
          <w:tab w:val="left" w:pos="4591"/>
          <w:tab w:val="left" w:pos="4818"/>
        </w:tabs>
        <w:suppressAutoHyphens/>
        <w:autoSpaceDE w:val="0"/>
        <w:autoSpaceDN w:val="0"/>
        <w:adjustRightInd w:val="0"/>
        <w:ind w:firstLine="1"/>
        <w:jc w:val="both"/>
        <w:rPr>
          <w:rFonts w:ascii="Times New Roman" w:eastAsia="Times New Roman" w:cs="Calibri"/>
          <w:sz w:val="20"/>
          <w:szCs w:val="24"/>
          <w:lang w:eastAsia="fr-BE"/>
        </w:rPr>
      </w:pPr>
      <w:r>
        <w:rPr>
          <w:rFonts w:ascii="Cambria" w:eastAsia="Times New Roman" w:hAnsi="Cambria" w:cs="Cambria"/>
          <w:b/>
          <w:sz w:val="20"/>
          <w:lang w:eastAsia="fr-BE"/>
        </w:rPr>
        <w:t>Rappel :</w:t>
      </w:r>
      <w:r>
        <w:rPr>
          <w:rFonts w:ascii="Cambria" w:eastAsia="Times New Roman" w:hAnsi="Cambria" w:cs="Cambria"/>
          <w:sz w:val="20"/>
          <w:lang w:eastAsia="fr-BE"/>
        </w:rPr>
        <w:t xml:space="preserve"> Si lors des épreuves de qualification un membre venait à être empêché de participer, il incombera au Président des membres du jury d’indiquer « absent », « excusé » ou « décédé » au regard du nom de la personne empêchée sur le document intitulé « procès-verbal de délivrance du jury de qualification» et qui complète la composition du jury de qualification.</w:t>
      </w:r>
    </w:p>
    <w:p w:rsidR="00F04EEF" w:rsidRDefault="00F04EEF">
      <w:pPr>
        <w:pStyle w:val="Retraitcorpsdetexte"/>
        <w:ind w:left="0" w:firstLine="0"/>
        <w:rPr>
          <w:rFonts w:asciiTheme="majorHAnsi" w:hAnsiTheme="majorHAnsi"/>
          <w:szCs w:val="22"/>
        </w:rPr>
      </w:pPr>
    </w:p>
    <w:p w:rsidR="00F04EEF" w:rsidRDefault="0099351E">
      <w:pPr>
        <w:pStyle w:val="Titre3"/>
        <w:rPr>
          <w:sz w:val="22"/>
          <w:szCs w:val="22"/>
        </w:rPr>
      </w:pPr>
      <w:bookmarkStart w:id="3868" w:name="_3._La_délibération"/>
      <w:bookmarkStart w:id="3869" w:name="_Toc453314552"/>
      <w:bookmarkStart w:id="3870" w:name="_Toc454980584"/>
      <w:bookmarkStart w:id="3871" w:name="_Toc47708638"/>
      <w:bookmarkEnd w:id="3868"/>
      <w:r>
        <w:rPr>
          <w:sz w:val="22"/>
          <w:szCs w:val="22"/>
        </w:rPr>
        <w:t>3. La délibération du jury de qualification</w:t>
      </w:r>
      <w:bookmarkEnd w:id="3869"/>
      <w:bookmarkEnd w:id="3870"/>
      <w:bookmarkEnd w:id="3871"/>
    </w:p>
    <w:p w:rsidR="00F04EEF" w:rsidRDefault="00F04EEF">
      <w:pPr>
        <w:pStyle w:val="Retraitcorpsdetexte"/>
        <w:ind w:left="0"/>
        <w:rPr>
          <w:rFonts w:asciiTheme="majorHAnsi" w:hAnsiTheme="majorHAnsi"/>
          <w:szCs w:val="22"/>
        </w:rPr>
      </w:pPr>
    </w:p>
    <w:p w:rsidR="00F04EEF" w:rsidRDefault="0099351E">
      <w:pPr>
        <w:pStyle w:val="Retraitcorpsdetexte"/>
        <w:ind w:left="0" w:firstLine="1"/>
        <w:rPr>
          <w:rFonts w:asciiTheme="minorHAnsi" w:hAnsiTheme="minorHAnsi" w:cstheme="minorHAnsi"/>
          <w:szCs w:val="22"/>
        </w:rPr>
      </w:pPr>
      <w:r>
        <w:rPr>
          <w:rFonts w:asciiTheme="minorHAnsi" w:hAnsiTheme="minorHAnsi" w:cstheme="minorHAnsi"/>
          <w:szCs w:val="22"/>
        </w:rPr>
        <w:t>L’appréciation du jury doit porter sur les résultats des épreuves de qualification. Les critères d’appréciation de ces épreuves sont arrêtés avant le début des épreuves. Le jury fondera également ses appréciations sur les observations collectées lors des stages.</w:t>
      </w:r>
    </w:p>
    <w:p w:rsidR="00F04EEF" w:rsidRDefault="00F04EEF">
      <w:pPr>
        <w:ind w:firstLine="1"/>
        <w:jc w:val="both"/>
        <w:rPr>
          <w:rFonts w:cstheme="minorHAnsi"/>
        </w:rPr>
      </w:pPr>
    </w:p>
    <w:p w:rsidR="00F04EEF" w:rsidRDefault="0099351E">
      <w:pPr>
        <w:ind w:firstLine="1"/>
        <w:jc w:val="both"/>
        <w:rPr>
          <w:rFonts w:cstheme="minorHAnsi"/>
        </w:rPr>
      </w:pPr>
      <w:r>
        <w:rPr>
          <w:rFonts w:cstheme="minorHAnsi"/>
        </w:rPr>
        <w:t xml:space="preserve">Pour l’obtention du certificat de qualification, il </w:t>
      </w:r>
      <w:r>
        <w:rPr>
          <w:rFonts w:cstheme="minorHAnsi"/>
          <w:b/>
          <w:u w:val="single"/>
        </w:rPr>
        <w:t>est possible</w:t>
      </w:r>
      <w:r>
        <w:rPr>
          <w:rFonts w:cstheme="minorHAnsi"/>
        </w:rPr>
        <w:t>, en cas d’échec, que l’élève puisse se représenter à nouveau devant le jury de qualification. .</w:t>
      </w:r>
    </w:p>
    <w:p w:rsidR="00F04EEF" w:rsidRDefault="00F04EEF">
      <w:pPr>
        <w:ind w:firstLine="1"/>
        <w:jc w:val="both"/>
        <w:rPr>
          <w:rFonts w:cstheme="minorHAnsi"/>
        </w:rPr>
      </w:pPr>
    </w:p>
    <w:p w:rsidR="00F04EEF" w:rsidRDefault="0099351E">
      <w:pPr>
        <w:pStyle w:val="Retraitcorpsdetexte"/>
        <w:ind w:left="0" w:firstLine="1"/>
        <w:rPr>
          <w:rFonts w:asciiTheme="minorHAnsi" w:hAnsiTheme="minorHAnsi" w:cstheme="minorHAnsi"/>
          <w:szCs w:val="22"/>
        </w:rPr>
      </w:pPr>
      <w:r>
        <w:rPr>
          <w:rFonts w:asciiTheme="minorHAnsi" w:hAnsiTheme="minorHAnsi" w:cstheme="minorHAnsi"/>
          <w:szCs w:val="22"/>
        </w:rPr>
        <w:t>Un procès-verbal est établi après chaque délibération et est signé par le président et au moins deux membres du jury. Ce procès-verbal sera soumis en deux exemplaires originaux à la validation de la Direction générale de l’Enseignement obligatoire.</w:t>
      </w:r>
    </w:p>
    <w:p w:rsidR="00F04EEF" w:rsidRDefault="00F04EEF">
      <w:pPr>
        <w:pStyle w:val="Retraitcorpsdetexte"/>
        <w:ind w:left="0" w:firstLine="1"/>
        <w:rPr>
          <w:rFonts w:asciiTheme="majorHAnsi" w:hAnsiTheme="majorHAnsi"/>
          <w:szCs w:val="22"/>
        </w:rPr>
      </w:pPr>
    </w:p>
    <w:p w:rsidR="00F04EEF" w:rsidRDefault="0099351E">
      <w:pPr>
        <w:pStyle w:val="Retraitcorpsdetexte"/>
        <w:ind w:left="0" w:firstLine="1"/>
        <w:rPr>
          <w:rFonts w:asciiTheme="minorHAnsi" w:hAnsiTheme="minorHAnsi" w:cstheme="minorHAnsi"/>
          <w:szCs w:val="22"/>
        </w:rPr>
      </w:pPr>
      <w:r>
        <w:rPr>
          <w:rFonts w:asciiTheme="minorHAnsi" w:hAnsiTheme="minorHAnsi" w:cstheme="minorHAnsi"/>
          <w:szCs w:val="22"/>
        </w:rPr>
        <w:t xml:space="preserve">Les procès-verbaux des décisions des jurys de qualification sont conservés pendant </w:t>
      </w:r>
      <w:r>
        <w:rPr>
          <w:rFonts w:asciiTheme="minorHAnsi" w:hAnsiTheme="minorHAnsi" w:cstheme="minorHAnsi"/>
          <w:szCs w:val="22"/>
          <w:u w:val="single"/>
        </w:rPr>
        <w:t>trente ans</w:t>
      </w:r>
      <w:r>
        <w:rPr>
          <w:rFonts w:asciiTheme="minorHAnsi" w:hAnsiTheme="minorHAnsi" w:cstheme="minorHAnsi"/>
          <w:szCs w:val="22"/>
        </w:rPr>
        <w:t xml:space="preserve">. </w:t>
      </w:r>
    </w:p>
    <w:p w:rsidR="00F04EEF" w:rsidRDefault="00F04EEF">
      <w:bookmarkStart w:id="3872" w:name="_Toc453314553"/>
      <w:bookmarkStart w:id="3873" w:name="_Toc454980585"/>
    </w:p>
    <w:p w:rsidR="00F04EEF" w:rsidRDefault="0099351E">
      <w:pPr>
        <w:pStyle w:val="Titre3"/>
        <w:jc w:val="both"/>
        <w:rPr>
          <w:sz w:val="22"/>
          <w:szCs w:val="22"/>
        </w:rPr>
      </w:pPr>
      <w:bookmarkStart w:id="3874" w:name="_Toc47708639"/>
      <w:r>
        <w:rPr>
          <w:sz w:val="22"/>
          <w:szCs w:val="22"/>
        </w:rPr>
        <w:t>4. Le certificat de qualification et le certificat d’enseignement secondaire du deuxième degré</w:t>
      </w:r>
      <w:bookmarkEnd w:id="3872"/>
      <w:bookmarkEnd w:id="3873"/>
      <w:bookmarkEnd w:id="3874"/>
    </w:p>
    <w:p w:rsidR="00F04EEF" w:rsidRDefault="00F04EEF">
      <w:pPr>
        <w:jc w:val="both"/>
      </w:pPr>
    </w:p>
    <w:p w:rsidR="00F04EEF" w:rsidRDefault="0099351E">
      <w:pPr>
        <w:jc w:val="both"/>
        <w:rPr>
          <w:b/>
        </w:rPr>
      </w:pPr>
      <w:r>
        <w:t xml:space="preserve">Dans l’enseignement de forme 3, le certificat de qualification sanctionne la réussite de la phase 3, dans un métier, conformément à l’article 59 du décret du 3 mars 2004. Pour rappel, il relève exclusivement d’une décision du </w:t>
      </w:r>
      <w:r>
        <w:rPr>
          <w:b/>
        </w:rPr>
        <w:t>jury de qualification.</w:t>
      </w:r>
    </w:p>
    <w:p w:rsidR="00F04EEF" w:rsidRDefault="00F04EEF">
      <w:pPr>
        <w:jc w:val="both"/>
      </w:pPr>
    </w:p>
    <w:p w:rsidR="00F04EEF" w:rsidRDefault="0099351E">
      <w:pPr>
        <w:jc w:val="both"/>
      </w:pPr>
      <w:r>
        <w:t xml:space="preserve">Il peut être complété, le cas échéant, par un certificat d’enseignement secondaire du deuxième degré (CE2D) qui, lui, relève de la compétence du </w:t>
      </w:r>
      <w:r>
        <w:rPr>
          <w:b/>
        </w:rPr>
        <w:t>conseil de classe.</w:t>
      </w:r>
      <w:r>
        <w:t xml:space="preserve"> Il est délivré aux élèves jugés capables de poursuivre leurs études en cinquième année de l’enseignement secondaire professionnel ordinaire. </w:t>
      </w:r>
    </w:p>
    <w:p w:rsidR="00F04EEF" w:rsidRDefault="00F04EEF">
      <w:pPr>
        <w:jc w:val="both"/>
      </w:pPr>
    </w:p>
    <w:p w:rsidR="00F04EEF" w:rsidRDefault="0099351E">
      <w:pPr>
        <w:jc w:val="both"/>
      </w:pPr>
      <w:r>
        <w:t xml:space="preserve">Tout élève quittant l’établissement sans avoir obtenu un certificat de qualification a droit à une attestation de fréquentation et de compétences acquises délivrées par le chef d’établissement conformément au modèle visé par </w:t>
      </w:r>
      <w:hyperlink w:anchor="_Annexe_3_:_6" w:history="1">
        <w:r>
          <w:rPr>
            <w:rStyle w:val="Lienhypertexte"/>
            <w:rFonts w:cs="Arial"/>
          </w:rPr>
          <w:t>l’annexe 3</w:t>
        </w:r>
      </w:hyperlink>
      <w:r>
        <w:t xml:space="preserve"> et </w:t>
      </w:r>
      <w:hyperlink w:anchor="_Annexe_4_:_5" w:history="1">
        <w:r>
          <w:rPr>
            <w:rStyle w:val="Lienhypertexte"/>
            <w:rFonts w:cs="Arial"/>
          </w:rPr>
          <w:t>l’annexe 4</w:t>
        </w:r>
      </w:hyperlink>
      <w:r>
        <w:t xml:space="preserve"> du </w:t>
      </w:r>
      <w:hyperlink w:anchor="_Chapitre_26_:_1" w:history="1">
        <w:r>
          <w:rPr>
            <w:rStyle w:val="Lienhypertexte"/>
            <w:rFonts w:cs="Arial"/>
          </w:rPr>
          <w:t>chapitre 26</w:t>
        </w:r>
      </w:hyperlink>
      <w:r>
        <w:t>.</w:t>
      </w:r>
    </w:p>
    <w:p w:rsidR="00F04EEF" w:rsidRDefault="00F04EEF">
      <w:bookmarkStart w:id="3875" w:name="_Toc453314554"/>
      <w:bookmarkStart w:id="3876" w:name="_Toc454980586"/>
    </w:p>
    <w:p w:rsidR="00F04EEF" w:rsidRDefault="0099351E">
      <w:pPr>
        <w:pStyle w:val="Titre3"/>
        <w:rPr>
          <w:sz w:val="22"/>
          <w:szCs w:val="22"/>
        </w:rPr>
      </w:pPr>
      <w:bookmarkStart w:id="3877" w:name="_Toc47708640"/>
      <w:r>
        <w:rPr>
          <w:sz w:val="22"/>
          <w:szCs w:val="22"/>
        </w:rPr>
        <w:t>5. La procédure de « conciliation interne » contre la décision du jury de qualification</w:t>
      </w:r>
      <w:bookmarkEnd w:id="3875"/>
      <w:bookmarkEnd w:id="3876"/>
      <w:bookmarkEnd w:id="3877"/>
    </w:p>
    <w:p w:rsidR="00F04EEF" w:rsidRDefault="00F04EEF">
      <w:pPr>
        <w:pStyle w:val="Retraitcorpsdetexte"/>
        <w:ind w:left="0"/>
        <w:rPr>
          <w:rFonts w:asciiTheme="majorHAnsi" w:hAnsiTheme="majorHAnsi"/>
          <w:b/>
          <w:bCs/>
          <w:szCs w:val="22"/>
        </w:rPr>
      </w:pPr>
    </w:p>
    <w:p w:rsidR="00F04EEF" w:rsidRDefault="0099351E">
      <w:pPr>
        <w:pStyle w:val="Retraitcorpsdetexte"/>
        <w:ind w:left="0" w:firstLine="1"/>
        <w:rPr>
          <w:rFonts w:asciiTheme="majorHAnsi" w:hAnsiTheme="majorHAnsi"/>
          <w:b/>
          <w:bCs/>
          <w:szCs w:val="22"/>
        </w:rPr>
      </w:pPr>
      <w:r>
        <w:rPr>
          <w:rFonts w:asciiTheme="majorHAnsi" w:hAnsiTheme="majorHAnsi"/>
          <w:bCs/>
          <w:szCs w:val="22"/>
        </w:rPr>
        <w:t xml:space="preserve">Chaque pouvoir organisateur prévoit une </w:t>
      </w:r>
      <w:r>
        <w:rPr>
          <w:rFonts w:asciiTheme="majorHAnsi" w:hAnsiTheme="majorHAnsi"/>
          <w:bCs/>
          <w:szCs w:val="22"/>
          <w:u w:val="single"/>
        </w:rPr>
        <w:t>procédure de conciliation interne</w:t>
      </w:r>
      <w:r>
        <w:rPr>
          <w:rFonts w:asciiTheme="majorHAnsi" w:hAnsiTheme="majorHAnsi"/>
          <w:bCs/>
          <w:szCs w:val="22"/>
        </w:rPr>
        <w:t xml:space="preserve"> destinée à instruire les contestations pouvant survenir à propos des </w:t>
      </w:r>
      <w:r>
        <w:rPr>
          <w:rFonts w:asciiTheme="majorHAnsi" w:hAnsiTheme="majorHAnsi"/>
          <w:bCs/>
          <w:iCs/>
          <w:szCs w:val="22"/>
        </w:rPr>
        <w:t xml:space="preserve">décisions des jurys de qualification </w:t>
      </w:r>
      <w:r>
        <w:rPr>
          <w:rFonts w:asciiTheme="majorHAnsi" w:hAnsiTheme="majorHAnsi"/>
          <w:bCs/>
          <w:szCs w:val="22"/>
        </w:rPr>
        <w:t>et à favoriser la conciliation des points de vue.</w:t>
      </w:r>
      <w:r>
        <w:rPr>
          <w:rFonts w:asciiTheme="majorHAnsi" w:hAnsiTheme="majorHAnsi"/>
          <w:b/>
          <w:bCs/>
          <w:szCs w:val="22"/>
        </w:rPr>
        <w:t xml:space="preserve"> </w:t>
      </w:r>
    </w:p>
    <w:p w:rsidR="00F04EEF" w:rsidRDefault="00F04EEF">
      <w:pPr>
        <w:pStyle w:val="Retraitcorpsdetexte"/>
        <w:ind w:left="0" w:firstLine="1"/>
        <w:rPr>
          <w:rFonts w:asciiTheme="majorHAnsi" w:hAnsiTheme="majorHAnsi"/>
          <w:bCs/>
          <w:i/>
          <w:iCs/>
          <w:szCs w:val="22"/>
        </w:rPr>
      </w:pPr>
    </w:p>
    <w:p w:rsidR="00F04EEF" w:rsidRDefault="0099351E">
      <w:pPr>
        <w:pStyle w:val="Retraitcorpsdetexte"/>
        <w:ind w:left="0" w:firstLine="1"/>
        <w:rPr>
          <w:rFonts w:asciiTheme="majorHAnsi" w:hAnsiTheme="majorHAnsi"/>
          <w:bCs/>
          <w:iCs/>
          <w:szCs w:val="22"/>
        </w:rPr>
      </w:pPr>
      <w:r>
        <w:rPr>
          <w:rFonts w:asciiTheme="majorHAnsi" w:hAnsiTheme="majorHAnsi"/>
          <w:bCs/>
          <w:iCs/>
          <w:szCs w:val="22"/>
        </w:rPr>
        <w:t xml:space="preserve">Le </w:t>
      </w:r>
      <w:r>
        <w:rPr>
          <w:rFonts w:asciiTheme="majorHAnsi" w:hAnsiTheme="majorHAnsi"/>
          <w:bCs/>
          <w:iCs/>
          <w:szCs w:val="22"/>
          <w:u w:val="single"/>
        </w:rPr>
        <w:t>délai minimum</w:t>
      </w:r>
      <w:r>
        <w:rPr>
          <w:rFonts w:asciiTheme="majorHAnsi" w:hAnsiTheme="majorHAnsi"/>
          <w:bCs/>
          <w:iCs/>
          <w:szCs w:val="22"/>
        </w:rPr>
        <w:t xml:space="preserve"> d'introduction de la procédure de conciliation interne relative aux décisions du jury de qualification doit être prévu par le pouvoir organisateur mais ne peut être inférieur à deux jours ouvrables après la communication de la décision. </w:t>
      </w:r>
    </w:p>
    <w:p w:rsidR="00F04EEF" w:rsidRDefault="00F04EEF">
      <w:pPr>
        <w:pStyle w:val="Retraitcorpsdetexte"/>
        <w:ind w:left="0"/>
        <w:rPr>
          <w:rFonts w:asciiTheme="majorHAnsi" w:hAnsiTheme="majorHAnsi"/>
          <w:b/>
          <w:bCs/>
          <w:szCs w:val="22"/>
        </w:rPr>
      </w:pPr>
    </w:p>
    <w:p w:rsidR="00F04EEF" w:rsidRDefault="0099351E">
      <w:pPr>
        <w:pStyle w:val="Retraitcorpsdetexte"/>
        <w:ind w:left="0" w:firstLine="1"/>
        <w:rPr>
          <w:rFonts w:asciiTheme="majorHAnsi" w:hAnsiTheme="majorHAnsi"/>
          <w:bCs/>
          <w:szCs w:val="22"/>
        </w:rPr>
      </w:pPr>
      <w:r>
        <w:rPr>
          <w:rFonts w:asciiTheme="majorHAnsi" w:hAnsiTheme="majorHAnsi"/>
          <w:bCs/>
          <w:szCs w:val="22"/>
          <w:u w:val="single"/>
        </w:rPr>
        <w:t>La procédure interne est clôturée</w:t>
      </w:r>
      <w:r>
        <w:rPr>
          <w:rFonts w:asciiTheme="majorHAnsi" w:hAnsiTheme="majorHAnsi"/>
          <w:bCs/>
          <w:szCs w:val="22"/>
        </w:rPr>
        <w:t> :</w:t>
      </w:r>
    </w:p>
    <w:p w:rsidR="00F04EEF" w:rsidRDefault="00F04EEF">
      <w:pPr>
        <w:pStyle w:val="Retraitcorpsdetexte"/>
        <w:ind w:left="0" w:firstLine="1"/>
        <w:rPr>
          <w:rFonts w:asciiTheme="majorHAnsi" w:hAnsiTheme="majorHAnsi"/>
          <w:bCs/>
          <w:szCs w:val="22"/>
        </w:rPr>
      </w:pPr>
    </w:p>
    <w:p w:rsidR="00F04EEF" w:rsidRDefault="0099351E">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ajorHAnsi" w:hAnsiTheme="majorHAnsi"/>
          <w:bCs/>
          <w:szCs w:val="22"/>
        </w:rPr>
      </w:pPr>
      <w:r>
        <w:rPr>
          <w:rFonts w:asciiTheme="majorHAnsi" w:hAnsiTheme="majorHAnsi"/>
          <w:bCs/>
          <w:szCs w:val="22"/>
        </w:rPr>
        <w:t>le 25 juin pour les jurys de qualification de juin ;</w:t>
      </w:r>
    </w:p>
    <w:p w:rsidR="00F04EEF" w:rsidRDefault="0099351E">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ajorHAnsi" w:hAnsiTheme="majorHAnsi"/>
          <w:bCs/>
          <w:szCs w:val="22"/>
        </w:rPr>
      </w:pPr>
      <w:r>
        <w:rPr>
          <w:rFonts w:asciiTheme="majorHAnsi" w:hAnsiTheme="majorHAnsi"/>
          <w:bCs/>
          <w:szCs w:val="22"/>
        </w:rPr>
        <w:t>dans les 5 jours ouvrables qui suivent la délibération des jurys de qualification qui sont organisés à un autre moment de l’année scolaire.</w:t>
      </w:r>
    </w:p>
    <w:p w:rsidR="00F04EEF" w:rsidRDefault="00F04EEF">
      <w:pPr>
        <w:pStyle w:val="Retraitcorpsdetexte"/>
        <w:ind w:left="0" w:firstLine="1"/>
        <w:rPr>
          <w:rFonts w:asciiTheme="majorHAnsi" w:hAnsiTheme="majorHAnsi"/>
          <w:bCs/>
          <w:szCs w:val="22"/>
        </w:rPr>
      </w:pPr>
    </w:p>
    <w:p w:rsidR="00F04EEF" w:rsidRDefault="0099351E">
      <w:pPr>
        <w:pStyle w:val="Retraitcorpsdetexte"/>
        <w:ind w:left="0" w:firstLine="1"/>
        <w:rPr>
          <w:rFonts w:asciiTheme="majorHAnsi" w:hAnsiTheme="majorHAnsi"/>
          <w:bCs/>
          <w:szCs w:val="22"/>
        </w:rPr>
      </w:pPr>
      <w:r>
        <w:rPr>
          <w:rFonts w:asciiTheme="majorHAnsi" w:hAnsiTheme="majorHAnsi"/>
          <w:bCs/>
          <w:szCs w:val="22"/>
        </w:rPr>
        <w:t xml:space="preserve">Nonobstant le huis clos et le secret des délibérations, le chef d'établissement, ou son délégué, fournit, le cas échéant, par écrit, la motivation précise </w:t>
      </w:r>
      <w:r>
        <w:rPr>
          <w:rFonts w:asciiTheme="majorHAnsi" w:hAnsiTheme="majorHAnsi"/>
          <w:bCs/>
          <w:iCs/>
          <w:szCs w:val="22"/>
        </w:rPr>
        <w:t>d'un refus d'octroi du certificat de qualification pris par le jury de qualification.</w:t>
      </w:r>
      <w:r>
        <w:rPr>
          <w:rFonts w:asciiTheme="majorHAnsi" w:hAnsiTheme="majorHAnsi"/>
          <w:bCs/>
          <w:szCs w:val="22"/>
        </w:rPr>
        <w:t xml:space="preserve"> </w:t>
      </w:r>
    </w:p>
    <w:p w:rsidR="00F04EEF" w:rsidRDefault="0099351E">
      <w:pPr>
        <w:pStyle w:val="Retraitcorpsdetexte"/>
        <w:ind w:left="0" w:firstLine="1"/>
        <w:rPr>
          <w:rFonts w:asciiTheme="majorHAnsi" w:hAnsiTheme="majorHAnsi"/>
          <w:bCs/>
          <w:iCs/>
          <w:szCs w:val="22"/>
        </w:rPr>
      </w:pPr>
      <w:r>
        <w:rPr>
          <w:rFonts w:asciiTheme="majorHAnsi" w:hAnsiTheme="majorHAnsi"/>
          <w:bCs/>
          <w:szCs w:val="22"/>
        </w:rPr>
        <w:t>Cette demande expresse ne peut être formulée que par l'élève, s’il est majeur, ou, si l’élève est mineur, par ses parents ou la personne responsable.</w:t>
      </w:r>
    </w:p>
    <w:p w:rsidR="00F04EEF" w:rsidRDefault="00F04EEF">
      <w:pPr>
        <w:pStyle w:val="Retraitcorpsdetexte"/>
        <w:ind w:left="0" w:firstLine="1"/>
        <w:rPr>
          <w:rFonts w:asciiTheme="majorHAnsi" w:hAnsiTheme="majorHAnsi"/>
          <w:bCs/>
          <w:iCs/>
          <w:szCs w:val="22"/>
        </w:rPr>
      </w:pPr>
    </w:p>
    <w:p w:rsidR="00F04EEF" w:rsidRDefault="0099351E">
      <w:pPr>
        <w:pStyle w:val="Retraitcorpsdetexte"/>
        <w:ind w:left="0" w:firstLine="1"/>
        <w:rPr>
          <w:rFonts w:asciiTheme="majorHAnsi" w:hAnsiTheme="majorHAnsi"/>
          <w:bCs/>
          <w:iCs/>
          <w:szCs w:val="22"/>
        </w:rPr>
      </w:pPr>
      <w:r>
        <w:rPr>
          <w:rFonts w:asciiTheme="majorHAnsi" w:hAnsiTheme="majorHAnsi"/>
          <w:bCs/>
          <w:iCs/>
          <w:szCs w:val="22"/>
        </w:rPr>
        <w:t xml:space="preserve">Aucune procédure de </w:t>
      </w:r>
      <w:r>
        <w:rPr>
          <w:rFonts w:asciiTheme="majorHAnsi" w:hAnsiTheme="majorHAnsi"/>
          <w:bCs/>
          <w:iCs/>
          <w:szCs w:val="22"/>
          <w:u w:val="single"/>
        </w:rPr>
        <w:t>recours externe</w:t>
      </w:r>
      <w:r>
        <w:rPr>
          <w:rFonts w:asciiTheme="majorHAnsi" w:hAnsiTheme="majorHAnsi"/>
          <w:bCs/>
          <w:iCs/>
          <w:szCs w:val="22"/>
        </w:rPr>
        <w:t xml:space="preserve"> n’est prévue par la règlementation quant au refus de délivrance du certificat de qualification. </w:t>
      </w:r>
    </w:p>
    <w:p w:rsidR="00F04EEF" w:rsidRDefault="00F04EEF"/>
    <w:p w:rsidR="00F04EEF" w:rsidRDefault="0099351E">
      <w:pPr>
        <w:pStyle w:val="Titre3"/>
        <w:rPr>
          <w:sz w:val="22"/>
          <w:szCs w:val="22"/>
        </w:rPr>
      </w:pPr>
      <w:bookmarkStart w:id="3878" w:name="_6._Enseignement_spécialisé"/>
      <w:bookmarkStart w:id="3879" w:name="_Toc453314555"/>
      <w:bookmarkStart w:id="3880" w:name="_Toc454980587"/>
      <w:bookmarkStart w:id="3881" w:name="_Toc47708641"/>
      <w:bookmarkEnd w:id="3878"/>
      <w:r>
        <w:rPr>
          <w:sz w:val="22"/>
          <w:szCs w:val="22"/>
        </w:rPr>
        <w:t>6. Enseignement spécialisé et certification par unités (CPU)</w:t>
      </w:r>
      <w:bookmarkEnd w:id="3879"/>
      <w:bookmarkEnd w:id="3880"/>
      <w:bookmarkEnd w:id="3881"/>
    </w:p>
    <w:p w:rsidR="00F04EEF" w:rsidRDefault="0099351E">
      <w:pPr>
        <w:rPr>
          <w:b/>
          <w:color w:val="FF0000"/>
          <w:u w:val="single"/>
        </w:rPr>
      </w:pPr>
      <w:r>
        <w:rPr>
          <w:noProof/>
          <w:lang w:eastAsia="fr-BE"/>
        </w:rPr>
        <mc:AlternateContent>
          <mc:Choice Requires="wps">
            <w:drawing>
              <wp:anchor distT="0" distB="0" distL="114300" distR="114300" simplePos="0" relativeHeight="252334080" behindDoc="0" locked="0" layoutInCell="1" allowOverlap="1">
                <wp:simplePos x="0" y="0"/>
                <wp:positionH relativeFrom="column">
                  <wp:posOffset>6362700</wp:posOffset>
                </wp:positionH>
                <wp:positionV relativeFrom="paragraph">
                  <wp:posOffset>187960</wp:posOffset>
                </wp:positionV>
                <wp:extent cx="0" cy="152400"/>
                <wp:effectExtent l="0" t="0" r="19050" b="19050"/>
                <wp:wrapNone/>
                <wp:docPr id="157" name="Connecteur droit 157"/>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A853EA3" id="Connecteur droit 157" o:spid="_x0000_s1026" style="position:absolute;z-index:25233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pt,14.8pt" to="501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" strokecolor="black [3213]"/>
            </w:pict>
          </mc:Fallback>
        </mc:AlternateContent>
      </w:r>
    </w:p>
    <w:p w:rsidR="00F04EEF" w:rsidRDefault="0099351E">
      <w:pPr>
        <w:jc w:val="both"/>
      </w:pPr>
      <w:r>
        <w:t>Il existe actuellement neuf profils de certification spécifique pour l’enseignement secondaire spécialisé de forme 3 :</w:t>
      </w:r>
    </w:p>
    <w:p w:rsidR="00F04EEF" w:rsidRDefault="00F04EEF">
      <w:pPr>
        <w:jc w:val="both"/>
      </w:pP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Carreleur/carreleuse</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Chapiste</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 Jardinier/jardinière d’entretien</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Agent/agente de fabrication du secteur alimentaire (AFA)</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Maçon/maçonne</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Jardinier/jardinière d’aménagement </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Opérateur/opératrice de production en industrie alimentaire (</w:t>
      </w:r>
      <w:r>
        <w:rPr>
          <w:rFonts w:asciiTheme="majorHAnsi" w:eastAsiaTheme="minorHAnsi" w:hAnsiTheme="majorHAnsi" w:cstheme="minorBidi"/>
          <w:b/>
          <w:sz w:val="22"/>
          <w:szCs w:val="22"/>
          <w:lang w:eastAsia="en-US"/>
        </w:rPr>
        <w:t>uniquement EN ALTERNANCE)</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peintre décorateur / peintre décoratrice</w:t>
      </w:r>
    </w:p>
    <w:p w:rsidR="00F04EEF" w:rsidRDefault="0099351E">
      <w:pPr>
        <w:pStyle w:val="Paragraphedeliste"/>
        <w:numPr>
          <w:ilvl w:val="0"/>
          <w:numId w:val="11"/>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plafonneur cimenteur/plafonneuse cimenteuse</w:t>
      </w:r>
    </w:p>
    <w:p w:rsidR="00F04EEF" w:rsidRDefault="00F04EEF">
      <w:bookmarkStart w:id="3882" w:name="_Toc453314556"/>
      <w:bookmarkStart w:id="3883" w:name="_Toc454980588"/>
    </w:p>
    <w:p w:rsidR="00F04EEF" w:rsidRDefault="0099351E">
      <w:pPr>
        <w:pStyle w:val="Titre3"/>
        <w:rPr>
          <w:sz w:val="22"/>
          <w:szCs w:val="22"/>
        </w:rPr>
      </w:pPr>
      <w:bookmarkStart w:id="3884" w:name="_Toc47708642"/>
      <w:r>
        <w:rPr>
          <w:sz w:val="22"/>
          <w:szCs w:val="22"/>
        </w:rPr>
        <w:t>7. Règlement des études</w:t>
      </w:r>
      <w:bookmarkEnd w:id="3882"/>
      <w:bookmarkEnd w:id="3883"/>
      <w:bookmarkEnd w:id="3884"/>
    </w:p>
    <w:p w:rsidR="00F04EEF" w:rsidRDefault="00F04EEF">
      <w:pPr>
        <w:jc w:val="both"/>
      </w:pPr>
    </w:p>
    <w:p w:rsidR="00F04EEF" w:rsidRDefault="0099351E">
      <w:pPr>
        <w:jc w:val="both"/>
      </w:pPr>
      <w:r>
        <w:t>Les dispositions dont question dans le présent chapitre doivent être intégrées dans le règlement des études de l’établissement scolaire et/ou du pouvoir organisateur.</w:t>
      </w:r>
    </w:p>
    <w:p w:rsidR="00F04EEF" w:rsidRDefault="00F04EEF">
      <w:pPr>
        <w:jc w:val="both"/>
      </w:pPr>
    </w:p>
    <w:p w:rsidR="00F04EEF" w:rsidRDefault="0099351E">
      <w:pPr>
        <w:jc w:val="both"/>
      </w:pPr>
      <w:r>
        <w:t>Elles concernent notamment :</w:t>
      </w:r>
    </w:p>
    <w:p w:rsidR="00F04EEF" w:rsidRDefault="00F04EEF">
      <w:pPr>
        <w:jc w:val="both"/>
      </w:pPr>
    </w:p>
    <w:p w:rsidR="00F04EEF" w:rsidRDefault="0099351E">
      <w:pPr>
        <w:numPr>
          <w:ilvl w:val="0"/>
          <w:numId w:val="157"/>
        </w:numPr>
        <w:ind w:left="0" w:firstLine="0"/>
        <w:jc w:val="both"/>
      </w:pPr>
      <w:r>
        <w:t>Le schéma de passation des épreuves de qualification</w:t>
      </w:r>
    </w:p>
    <w:p w:rsidR="00F04EEF" w:rsidRDefault="0099351E">
      <w:pPr>
        <w:numPr>
          <w:ilvl w:val="0"/>
          <w:numId w:val="157"/>
        </w:numPr>
        <w:ind w:left="0" w:firstLine="0"/>
        <w:jc w:val="both"/>
      </w:pPr>
      <w:r>
        <w:t xml:space="preserve">Les modalités concernant la procédure de conciliation </w:t>
      </w:r>
    </w:p>
    <w:p w:rsidR="00F04EEF" w:rsidRDefault="0099351E">
      <w:pPr>
        <w:numPr>
          <w:ilvl w:val="0"/>
          <w:numId w:val="157"/>
        </w:numPr>
        <w:ind w:left="0" w:firstLine="0"/>
        <w:jc w:val="both"/>
      </w:pPr>
      <w:r>
        <w:t>…</w:t>
      </w:r>
    </w:p>
    <w:p w:rsidR="00F04EEF" w:rsidRDefault="00F04EEF">
      <w:pPr>
        <w:jc w:val="both"/>
      </w:pPr>
    </w:p>
    <w:p w:rsidR="00F04EEF" w:rsidRDefault="0099351E">
      <w:pPr>
        <w:pStyle w:val="Titre3"/>
      </w:pPr>
      <w:bookmarkStart w:id="3885" w:name="_8._Dérogations_aux"/>
      <w:bookmarkStart w:id="3886" w:name="_Toc47708643"/>
      <w:bookmarkEnd w:id="3885"/>
      <w:r>
        <w:t>8. Dérogations aux accroches secteurs professionnels-groupes professionnels-métiers</w:t>
      </w:r>
      <w:bookmarkEnd w:id="3886"/>
    </w:p>
    <w:p w:rsidR="00F04EEF" w:rsidRDefault="00F04EEF">
      <w:pPr>
        <w:jc w:val="both"/>
      </w:pPr>
    </w:p>
    <w:p w:rsidR="00F04EEF" w:rsidRDefault="0099351E">
      <w:pPr>
        <w:jc w:val="both"/>
      </w:pPr>
      <w:r>
        <w:t xml:space="preserve">Dans le cadre des formations pour lesquelles il existe un profil visé à l’article 47 du Décret-Missions, le Gouvernement peut autoriser, après avis motivé du Conseil général pour l’Enseignement Secondaire, la programmation d’une formation relevant d’un autre secteur et/ou d’un autre groupe professionnel que ceux déjà organisés dans l’établissement scolaire. </w:t>
      </w:r>
    </w:p>
    <w:p w:rsidR="00F04EEF" w:rsidRDefault="00F04EEF">
      <w:pPr>
        <w:jc w:val="both"/>
      </w:pPr>
    </w:p>
    <w:p w:rsidR="00F04EEF" w:rsidRDefault="0099351E">
      <w:pPr>
        <w:rPr>
          <w:rFonts w:ascii="Calibri" w:hAnsi="Calibri"/>
        </w:rPr>
      </w:pPr>
      <w:r>
        <w:t>Il s’agit de permettre à l’offre d’enseignement spécialisé de forme 3 de s’adapter aux réalités des bassins (BEFE) et d’éviter une offre d’enseignement figée.</w:t>
      </w: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p w:rsidR="00F04EEF" w:rsidRDefault="00F04EEF">
      <w:pPr>
        <w:jc w:val="both"/>
      </w:pPr>
    </w:p>
    <w:bookmarkStart w:id="3887" w:name="_Annexe_1_:_3" w:displacedByCustomXml="next"/>
    <w:bookmarkEnd w:id="3887" w:displacedByCustomXml="next"/>
    <w:sdt>
      <w:sdtPr>
        <w:id w:val="428319842"/>
        <w:docPartObj>
          <w:docPartGallery w:val="Cover Pages"/>
          <w:docPartUnique/>
        </w:docPartObj>
      </w:sdtPr>
      <w:sdtEndPr/>
      <w:sdtContent>
        <w:p w:rsidR="00F04EEF" w:rsidRDefault="00F04EEF">
          <w:pPr>
            <w:rPr>
              <w:rFonts w:ascii="Calibri" w:hAnsi="Calibri"/>
            </w:rPr>
          </w:pPr>
        </w:p>
        <w:p w:rsidR="00F04EEF" w:rsidRDefault="00F04EEF">
          <w:pPr>
            <w:rPr>
              <w:b/>
              <w:sz w:val="24"/>
              <w:szCs w:val="24"/>
              <w:u w:val="single"/>
            </w:rPr>
          </w:pPr>
        </w:p>
        <w:p w:rsidR="00F04EEF" w:rsidRDefault="00F04EEF">
          <w:pPr>
            <w:rPr>
              <w:rFonts w:eastAsiaTheme="minorEastAsia"/>
              <w:b/>
              <w:smallCaps/>
              <w:sz w:val="44"/>
              <w:lang w:eastAsia="fr-BE"/>
            </w:rPr>
          </w:pPr>
          <w:bookmarkStart w:id="3888" w:name="_Chapitre_28_:"/>
          <w:bookmarkEnd w:id="3888"/>
        </w:p>
        <w:p w:rsidR="00F04EEF" w:rsidRDefault="0099351E">
          <w:pPr>
            <w:rPr>
              <w:rFonts w:eastAsiaTheme="minorEastAsia"/>
              <w:b/>
              <w:smallCaps/>
              <w:sz w:val="44"/>
              <w:lang w:eastAsia="fr-BE"/>
            </w:rPr>
          </w:pPr>
          <w:r>
            <w:br w:type="page"/>
          </w:r>
        </w:p>
        <w:p w:rsidR="00F04EEF" w:rsidRDefault="0099351E">
          <w:pPr>
            <w:pStyle w:val="Titre2"/>
          </w:pPr>
          <w:bookmarkStart w:id="3889" w:name="_Toc47708644"/>
          <w:r>
            <w:t xml:space="preserve">Chapitre 28 : </w:t>
          </w:r>
          <w:bookmarkStart w:id="3890" w:name="_Toc477623977"/>
          <w:bookmarkStart w:id="3891" w:name="_Toc477767856"/>
          <w:r>
            <w:t>L’enseignement en alternance et la coopération avec les Centres d’Education et de Formation en Alternance</w:t>
          </w:r>
          <w:bookmarkEnd w:id="3890"/>
          <w:bookmarkEnd w:id="3891"/>
          <w:bookmarkEnd w:id="3889"/>
        </w:p>
        <w:p w:rsidR="00F04EEF" w:rsidRDefault="00F04EEF"/>
        <w:p w:rsidR="00F04EEF" w:rsidRDefault="00F42422"/>
      </w:sdtContent>
    </w:sdt>
    <w:p w:rsidR="00F04EEF" w:rsidRDefault="00F04EEF"/>
    <w:p w:rsidR="00F04EEF" w:rsidRDefault="00F04EEF">
      <w:pPr>
        <w:rPr>
          <w:rFonts w:ascii="Georgia" w:hAnsi="Georgia"/>
        </w:rPr>
      </w:pPr>
      <w:bookmarkStart w:id="3892" w:name="__RefHeading__329_957262308"/>
      <w:bookmarkStart w:id="3893" w:name="__RefHeading__331_957262308"/>
      <w:bookmarkStart w:id="3894" w:name="_1._Conditions_pour"/>
      <w:bookmarkStart w:id="3895" w:name="_Toc291075583"/>
      <w:bookmarkStart w:id="3896" w:name="_Toc291076007"/>
      <w:bookmarkStart w:id="3897" w:name="_Toc291076431"/>
      <w:bookmarkStart w:id="3898" w:name="_Toc291076855"/>
      <w:bookmarkStart w:id="3899" w:name="_Toc291077279"/>
      <w:bookmarkStart w:id="3900" w:name="_Toc293652121"/>
      <w:bookmarkStart w:id="3901" w:name="_Toc293653703"/>
      <w:bookmarkStart w:id="3902" w:name="_Toc293654315"/>
      <w:bookmarkStart w:id="3903" w:name="_Toc294004895"/>
      <w:bookmarkStart w:id="3904" w:name="_Toc294185391"/>
      <w:bookmarkStart w:id="3905" w:name="_Toc324166221"/>
      <w:bookmarkStart w:id="3906" w:name="_Toc324767258"/>
      <w:bookmarkStart w:id="3907" w:name="_Toc414352935"/>
      <w:bookmarkStart w:id="3908" w:name="_Toc453836959"/>
      <w:bookmarkEnd w:id="3892"/>
      <w:bookmarkEnd w:id="3893"/>
      <w:bookmarkEnd w:id="3894"/>
    </w:p>
    <w:p w:rsidR="00F04EEF" w:rsidRDefault="0099351E">
      <w:pPr>
        <w:rPr>
          <w:rFonts w:ascii="Cambria" w:hAnsi="Cambria"/>
          <w:b/>
          <w:u w:val="single"/>
        </w:rPr>
      </w:pPr>
      <w:bookmarkStart w:id="3909" w:name="_Toc414352934"/>
      <w:bookmarkStart w:id="3910" w:name="_Toc453836958"/>
      <w:r>
        <w:rPr>
          <w:rFonts w:ascii="Cambria" w:hAnsi="Cambria"/>
          <w:b/>
          <w:u w:val="single"/>
        </w:rPr>
        <w:t>Bases légales :</w:t>
      </w:r>
      <w:bookmarkEnd w:id="3909"/>
      <w:bookmarkEnd w:id="3910"/>
    </w:p>
    <w:p w:rsidR="00F04EEF" w:rsidRDefault="00F04EEF">
      <w:pPr>
        <w:rPr>
          <w:rFonts w:ascii="Cambria" w:hAnsi="Cambria"/>
          <w:b/>
          <w:u w:val="single"/>
        </w:rPr>
      </w:pPr>
    </w:p>
    <w:p w:rsidR="00F04EEF" w:rsidRDefault="00F42422">
      <w:pPr>
        <w:numPr>
          <w:ilvl w:val="0"/>
          <w:numId w:val="169"/>
        </w:numPr>
        <w:tabs>
          <w:tab w:val="clear" w:pos="360"/>
          <w:tab w:val="num" w:pos="851"/>
        </w:tabs>
        <w:suppressAutoHyphens/>
        <w:ind w:left="851" w:hanging="425"/>
        <w:jc w:val="both"/>
        <w:rPr>
          <w:rStyle w:val="Lienhypertexte"/>
          <w:rFonts w:cs="Arial"/>
        </w:rPr>
      </w:pPr>
      <w:hyperlink r:id="rId320" w:history="1">
        <w:r w:rsidR="0099351E">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rsidR="00F04EEF" w:rsidRDefault="00F42422">
      <w:pPr>
        <w:numPr>
          <w:ilvl w:val="0"/>
          <w:numId w:val="169"/>
        </w:numPr>
        <w:tabs>
          <w:tab w:val="clear" w:pos="360"/>
          <w:tab w:val="num" w:pos="851"/>
        </w:tabs>
        <w:suppressAutoHyphens/>
        <w:ind w:left="851" w:hanging="425"/>
        <w:jc w:val="both"/>
        <w:rPr>
          <w:rStyle w:val="Lienhypertexte"/>
          <w:rFonts w:cs="Arial"/>
        </w:rPr>
      </w:pPr>
      <w:hyperlink r:id="rId321" w:history="1">
        <w:r w:rsidR="0099351E">
          <w:rPr>
            <w:rStyle w:val="Lienhypertexte"/>
            <w:rFonts w:ascii="Cambria" w:hAnsi="Cambria" w:cs="Arial"/>
          </w:rPr>
          <w:t>Décret du 3 mars 2004 organisant l’enseignement spécialisé</w:t>
        </w:r>
      </w:hyperlink>
    </w:p>
    <w:p w:rsidR="00F04EEF" w:rsidRDefault="00F42422">
      <w:pPr>
        <w:numPr>
          <w:ilvl w:val="0"/>
          <w:numId w:val="169"/>
        </w:numPr>
        <w:tabs>
          <w:tab w:val="clear" w:pos="360"/>
          <w:tab w:val="num" w:pos="851"/>
        </w:tabs>
        <w:suppressAutoHyphens/>
        <w:ind w:left="851" w:hanging="425"/>
        <w:jc w:val="both"/>
      </w:pPr>
      <w:hyperlink r:id="rId322" w:history="1">
        <w:r w:rsidR="0099351E">
          <w:rPr>
            <w:rStyle w:val="Lienhypertexte"/>
            <w:rFonts w:ascii="Cambria" w:hAnsi="Cambria" w:cs="Arial"/>
          </w:rPr>
          <w:t>Décret du 21 juin 1993 relatif à la féminisation des noms de métier, fonction, grade ou titre</w:t>
        </w:r>
      </w:hyperlink>
    </w:p>
    <w:p w:rsidR="00F04EEF" w:rsidRDefault="00F42422">
      <w:pPr>
        <w:pStyle w:val="Default"/>
        <w:numPr>
          <w:ilvl w:val="0"/>
          <w:numId w:val="169"/>
        </w:numPr>
        <w:tabs>
          <w:tab w:val="clear" w:pos="360"/>
          <w:tab w:val="num" w:pos="851"/>
        </w:tabs>
        <w:ind w:left="851" w:hanging="425"/>
        <w:jc w:val="both"/>
        <w:rPr>
          <w:rFonts w:ascii="Cambria" w:hAnsi="Cambria"/>
          <w:sz w:val="22"/>
          <w:szCs w:val="22"/>
        </w:rPr>
      </w:pPr>
      <w:hyperlink r:id="rId323" w:history="1">
        <w:r w:rsidR="0099351E">
          <w:rPr>
            <w:rStyle w:val="Lienhypertexte"/>
            <w:rFonts w:ascii="Cambria" w:hAnsi="Cambria"/>
            <w:sz w:val="22"/>
            <w:szCs w:val="22"/>
          </w:rPr>
          <w:t>Décret du 3 juillet 1991 organisant l’enseignement secondaire en alternance tel que modifié par le décret du 26 mars 2009 portant diverses dispositions en matière d’enseignement en alternance, d’enseignement spécialisé et d’enseignement de promotion sociale.</w:t>
        </w:r>
      </w:hyperlink>
    </w:p>
    <w:p w:rsidR="00F04EEF" w:rsidRDefault="00F42422">
      <w:pPr>
        <w:pStyle w:val="Default"/>
        <w:numPr>
          <w:ilvl w:val="0"/>
          <w:numId w:val="169"/>
        </w:numPr>
        <w:tabs>
          <w:tab w:val="clear" w:pos="360"/>
          <w:tab w:val="num" w:pos="851"/>
        </w:tabs>
        <w:ind w:left="851" w:hanging="425"/>
        <w:jc w:val="both"/>
        <w:rPr>
          <w:rFonts w:ascii="Cambria" w:hAnsi="Cambria"/>
        </w:rPr>
      </w:pPr>
      <w:hyperlink r:id="rId324" w:history="1">
        <w:r w:rsidR="0099351E">
          <w:rPr>
            <w:rStyle w:val="Lienhypertexte"/>
            <w:rFonts w:ascii="Cambria" w:hAnsi="Cambria"/>
            <w:sz w:val="22"/>
            <w:szCs w:val="22"/>
          </w:rPr>
          <w:t>Arrêté du Gouvernement de la Communauté Française du 14 mars 2018 modifiant l’arrêté du Gouvernement de la Communauté française du 15 juillet 2010 visant à organiser l’enseignement en alternance au sein de l’enseignement secondaire spécialisé et la coopération avec les Centres d’Education et de Formation en Alternance.</w:t>
        </w:r>
      </w:hyperlink>
    </w:p>
    <w:p w:rsidR="00F04EEF" w:rsidRDefault="00F42422">
      <w:pPr>
        <w:numPr>
          <w:ilvl w:val="0"/>
          <w:numId w:val="169"/>
        </w:numPr>
        <w:tabs>
          <w:tab w:val="clear" w:pos="360"/>
          <w:tab w:val="num" w:pos="851"/>
        </w:tabs>
        <w:suppressAutoHyphens/>
        <w:ind w:left="851" w:hanging="425"/>
        <w:jc w:val="both"/>
        <w:rPr>
          <w:rFonts w:ascii="Cambria" w:hAnsi="Cambria"/>
        </w:rPr>
      </w:pPr>
      <w:hyperlink r:id="rId325" w:history="1">
        <w:r w:rsidR="0099351E">
          <w:rPr>
            <w:rStyle w:val="Lienhypertexte"/>
            <w:rFonts w:ascii="Cambria" w:hAnsi="Cambria"/>
          </w:rPr>
          <w:t>Arrêté du Gouvernement de la Communauté française du 17 juillet 2015 relatif au contrat d’alternance</w:t>
        </w:r>
      </w:hyperlink>
    </w:p>
    <w:p w:rsidR="00F04EEF" w:rsidRDefault="0099351E">
      <w:pPr>
        <w:numPr>
          <w:ilvl w:val="0"/>
          <w:numId w:val="169"/>
        </w:numPr>
        <w:tabs>
          <w:tab w:val="clear" w:pos="360"/>
          <w:tab w:val="num" w:pos="851"/>
        </w:tabs>
        <w:suppressAutoHyphens/>
        <w:ind w:left="851" w:hanging="425"/>
        <w:jc w:val="both"/>
        <w:rPr>
          <w:rStyle w:val="Lienhypertexte"/>
          <w:rFonts w:asciiTheme="majorHAnsi" w:eastAsia="Times New Roman" w:hAnsiTheme="majorHAnsi" w:cs="Arial"/>
          <w:lang w:eastAsia="ar-SA"/>
        </w:rPr>
      </w:pPr>
      <w:r>
        <w:rPr>
          <w:rStyle w:val="Lienhypertexte"/>
          <w:rFonts w:asciiTheme="majorHAnsi" w:eastAsia="Times New Roman" w:hAnsiTheme="majorHAnsi" w:cs="Arial"/>
          <w:lang w:eastAsia="ar-SA"/>
        </w:rPr>
        <w:fldChar w:fldCharType="begin"/>
      </w:r>
      <w:r>
        <w:rPr>
          <w:rStyle w:val="Lienhypertexte"/>
          <w:rFonts w:asciiTheme="majorHAnsi" w:eastAsia="Times New Roman" w:hAnsiTheme="majorHAnsi" w:cs="Arial"/>
          <w:lang w:eastAsia="ar-SA"/>
        </w:rPr>
        <w:instrText xml:space="preserve"> HYPERLINK "https://www.gallilex.cfwb.be/document/pdf/35722_002.pdf" </w:instrText>
      </w:r>
      <w:r>
        <w:rPr>
          <w:rStyle w:val="Lienhypertexte"/>
          <w:rFonts w:asciiTheme="majorHAnsi" w:eastAsia="Times New Roman" w:hAnsiTheme="majorHAnsi" w:cs="Arial"/>
          <w:lang w:eastAsia="ar-SA"/>
        </w:rPr>
        <w:fldChar w:fldCharType="separate"/>
      </w:r>
      <w:r>
        <w:rPr>
          <w:rStyle w:val="Lienhypertexte"/>
          <w:rFonts w:asciiTheme="majorHAnsi" w:eastAsia="Times New Roman" w:hAnsiTheme="majorHAnsi" w:cs="Arial"/>
          <w:lang w:eastAsia="ar-SA"/>
        </w:rPr>
        <w:t>Arrêté du Gouvernement de la Communauté française du 15 juillet 2010 visant à organiser l’enseignement en alternance au sein de l’enseignement secondaire spécialisé et la coopération avec les Centres d’Education et de Formation en Alternance (CEFA).</w:t>
      </w:r>
    </w:p>
    <w:p w:rsidR="00F04EEF" w:rsidRDefault="0099351E">
      <w:pPr>
        <w:pStyle w:val="Paragraphedeliste"/>
        <w:numPr>
          <w:ilvl w:val="0"/>
          <w:numId w:val="296"/>
        </w:numPr>
        <w:tabs>
          <w:tab w:val="num" w:pos="851"/>
        </w:tabs>
        <w:ind w:left="851" w:hanging="425"/>
        <w:jc w:val="both"/>
        <w:rPr>
          <w:rStyle w:val="Lienhypertexte"/>
          <w:rFonts w:asciiTheme="majorHAnsi" w:hAnsiTheme="majorHAnsi" w:cs="Arial"/>
          <w:sz w:val="22"/>
          <w:szCs w:val="22"/>
        </w:rPr>
      </w:pPr>
      <w:r>
        <w:rPr>
          <w:rStyle w:val="Lienhypertexte"/>
          <w:rFonts w:asciiTheme="majorHAnsi" w:hAnsiTheme="majorHAnsi" w:cs="Arial"/>
          <w:sz w:val="22"/>
          <w:szCs w:val="22"/>
        </w:rPr>
        <w:fldChar w:fldCharType="end"/>
      </w:r>
      <w:hyperlink r:id="rId326" w:history="1">
        <w:r>
          <w:rPr>
            <w:rStyle w:val="Lienhypertexte"/>
            <w:rFonts w:asciiTheme="majorHAnsi" w:hAnsiTheme="majorHAnsi" w:cs="Arial"/>
            <w:sz w:val="22"/>
            <w:szCs w:val="22"/>
          </w:rPr>
          <w:t>Circulaire n°5392 du 2 septembre 2010 relative au contrat commun d’alternance</w:t>
        </w:r>
      </w:hyperlink>
      <w:r>
        <w:rPr>
          <w:rStyle w:val="Lienhypertexte"/>
          <w:rFonts w:asciiTheme="majorHAnsi" w:hAnsiTheme="majorHAnsi" w:cs="Arial"/>
          <w:sz w:val="22"/>
          <w:szCs w:val="22"/>
        </w:rPr>
        <w:t>.</w:t>
      </w:r>
    </w:p>
    <w:p w:rsidR="00F04EEF" w:rsidRDefault="00F42422">
      <w:pPr>
        <w:pStyle w:val="Paragraphedeliste"/>
        <w:numPr>
          <w:ilvl w:val="0"/>
          <w:numId w:val="296"/>
        </w:numPr>
        <w:tabs>
          <w:tab w:val="num" w:pos="851"/>
        </w:tabs>
        <w:ind w:left="851" w:hanging="425"/>
        <w:jc w:val="both"/>
        <w:rPr>
          <w:rFonts w:asciiTheme="majorHAnsi" w:hAnsiTheme="majorHAnsi"/>
          <w:sz w:val="22"/>
          <w:szCs w:val="22"/>
        </w:rPr>
      </w:pPr>
      <w:hyperlink r:id="rId327" w:history="1">
        <w:r w:rsidR="0099351E">
          <w:rPr>
            <w:rStyle w:val="Lienhypertexte"/>
            <w:rFonts w:asciiTheme="majorHAnsi" w:hAnsiTheme="majorHAnsi" w:cs="Arial"/>
            <w:sz w:val="22"/>
            <w:szCs w:val="22"/>
          </w:rPr>
          <w:t>Circulaire n°1099 du 19 avril 2005 relative à la féminisation des noms de métier, fonction, grade ou titre.</w:t>
        </w:r>
      </w:hyperlink>
    </w:p>
    <w:p w:rsidR="00F04EEF" w:rsidRDefault="00F04EEF">
      <w:pPr>
        <w:tabs>
          <w:tab w:val="num" w:pos="851"/>
        </w:tabs>
        <w:ind w:left="851" w:hanging="425"/>
        <w:jc w:val="both"/>
        <w:rPr>
          <w:rFonts w:ascii="Georgia" w:hAnsi="Georgia"/>
        </w:rPr>
      </w:pPr>
    </w:p>
    <w:p w:rsidR="00F04EEF" w:rsidRDefault="00F04EEF">
      <w:pPr>
        <w:rPr>
          <w:rFonts w:ascii="Georgia" w:hAnsi="Georgia"/>
        </w:rPr>
      </w:pPr>
    </w:p>
    <w:p w:rsidR="00F04EEF" w:rsidRDefault="0099351E">
      <w:pPr>
        <w:pStyle w:val="Titre3"/>
        <w:jc w:val="both"/>
        <w:rPr>
          <w:sz w:val="22"/>
          <w:szCs w:val="22"/>
        </w:rPr>
      </w:pPr>
      <w:bookmarkStart w:id="3911" w:name="_Toc47708645"/>
      <w:r>
        <w:rPr>
          <w:sz w:val="22"/>
          <w:szCs w:val="22"/>
        </w:rPr>
        <w:t>1. Conditions pour qu’un élève soit inscrit en alternance dans l’enseignement secondaire spécialisé</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11"/>
    </w:p>
    <w:p w:rsidR="00F04EEF" w:rsidRDefault="00F04EEF"/>
    <w:p w:rsidR="00F04EEF" w:rsidRDefault="0099351E">
      <w:pPr>
        <w:jc w:val="both"/>
        <w:rPr>
          <w:b/>
          <w:bCs/>
        </w:rPr>
      </w:pPr>
      <w:r>
        <w:rPr>
          <w:b/>
          <w:bCs/>
        </w:rPr>
        <w:t>5 conditions cumulatives sont requises :</w:t>
      </w:r>
    </w:p>
    <w:p w:rsidR="00F04EEF" w:rsidRDefault="00F04EEF">
      <w:pPr>
        <w:jc w:val="both"/>
        <w:rPr>
          <w:b/>
          <w:bCs/>
        </w:rPr>
      </w:pPr>
    </w:p>
    <w:p w:rsidR="00F04EEF" w:rsidRDefault="0099351E">
      <w:pPr>
        <w:numPr>
          <w:ilvl w:val="0"/>
          <w:numId w:val="170"/>
        </w:numPr>
        <w:tabs>
          <w:tab w:val="clear" w:pos="360"/>
          <w:tab w:val="num" w:pos="709"/>
        </w:tabs>
        <w:suppressAutoHyphens/>
        <w:ind w:left="284" w:hanging="283"/>
        <w:jc w:val="both"/>
      </w:pPr>
      <w:r>
        <w:t>être inscrit dans l’enseignement secondaire spécialisé ;</w:t>
      </w:r>
    </w:p>
    <w:p w:rsidR="00F04EEF" w:rsidRDefault="0099351E">
      <w:pPr>
        <w:numPr>
          <w:ilvl w:val="0"/>
          <w:numId w:val="170"/>
        </w:numPr>
        <w:tabs>
          <w:tab w:val="clear" w:pos="360"/>
          <w:tab w:val="num" w:pos="709"/>
        </w:tabs>
        <w:suppressAutoHyphens/>
        <w:ind w:left="284" w:hanging="283"/>
        <w:jc w:val="both"/>
      </w:pPr>
      <w:r>
        <w:t>avoir 15 ans et avoir fréquenté l’enseignement secondaire pendant 2 années ou avoir 16 ans ;</w:t>
      </w:r>
    </w:p>
    <w:p w:rsidR="00F04EEF" w:rsidRDefault="0099351E">
      <w:pPr>
        <w:numPr>
          <w:ilvl w:val="0"/>
          <w:numId w:val="170"/>
        </w:numPr>
        <w:tabs>
          <w:tab w:val="clear" w:pos="360"/>
          <w:tab w:val="num" w:pos="709"/>
        </w:tabs>
        <w:suppressAutoHyphens/>
        <w:ind w:left="284" w:hanging="283"/>
        <w:jc w:val="both"/>
      </w:pPr>
      <w:r>
        <w:t>avoir suivi le module de préparation à l’alternance ;</w:t>
      </w:r>
    </w:p>
    <w:p w:rsidR="00F04EEF" w:rsidRDefault="0099351E">
      <w:pPr>
        <w:numPr>
          <w:ilvl w:val="0"/>
          <w:numId w:val="170"/>
        </w:numPr>
        <w:tabs>
          <w:tab w:val="clear" w:pos="360"/>
          <w:tab w:val="num" w:pos="709"/>
        </w:tabs>
        <w:suppressAutoHyphens/>
        <w:ind w:left="284" w:hanging="283"/>
        <w:jc w:val="both"/>
      </w:pPr>
      <w:r>
        <w:t>obtenir l’accord du conseil de classe sur l’opportunité d’orienter l’élève vers l’enseignement spécialisé en alternance. En s’appuyant notamment sur le P.I.A., le conseil de classe  atteste que l’élève maîtrise suffisamment les compétences professionnelles et transversales pour s’intégrer en entreprise ;</w:t>
      </w:r>
    </w:p>
    <w:p w:rsidR="00F04EEF" w:rsidRDefault="0099351E">
      <w:pPr>
        <w:numPr>
          <w:ilvl w:val="0"/>
          <w:numId w:val="170"/>
        </w:numPr>
        <w:tabs>
          <w:tab w:val="clear" w:pos="360"/>
          <w:tab w:val="num" w:pos="709"/>
        </w:tabs>
        <w:suppressAutoHyphens/>
        <w:ind w:left="284" w:hanging="283"/>
        <w:jc w:val="both"/>
      </w:pPr>
      <w:r>
        <w:t xml:space="preserve">souscrire un </w:t>
      </w:r>
      <w:hyperlink r:id="rId328" w:history="1">
        <w:r>
          <w:rPr>
            <w:rStyle w:val="Lienhypertexte"/>
            <w:rFonts w:cstheme="minorBidi"/>
          </w:rPr>
          <w:t>contrat d’alternance</w:t>
        </w:r>
      </w:hyperlink>
      <w:r>
        <w:t xml:space="preserve"> conformément à l’arrêté du Gouvernement de la Communauté française du 17 juillet 2015.</w:t>
      </w:r>
    </w:p>
    <w:p w:rsidR="00F04EEF" w:rsidRDefault="00F04EEF"/>
    <w:p w:rsidR="00F04EEF" w:rsidRDefault="0099351E">
      <w:pPr>
        <w:pStyle w:val="Titre3"/>
        <w:rPr>
          <w:sz w:val="22"/>
          <w:szCs w:val="22"/>
        </w:rPr>
      </w:pPr>
      <w:bookmarkStart w:id="3912" w:name="__RefHeading__333_957262308"/>
      <w:bookmarkStart w:id="3913" w:name="_Toc291075584"/>
      <w:bookmarkStart w:id="3914" w:name="_Toc291076008"/>
      <w:bookmarkStart w:id="3915" w:name="_Toc291076432"/>
      <w:bookmarkStart w:id="3916" w:name="_Toc291076856"/>
      <w:bookmarkStart w:id="3917" w:name="_Toc291077280"/>
      <w:bookmarkStart w:id="3918" w:name="_Toc293652122"/>
      <w:bookmarkStart w:id="3919" w:name="_Toc293653704"/>
      <w:bookmarkStart w:id="3920" w:name="_Toc293654316"/>
      <w:bookmarkStart w:id="3921" w:name="_Toc294004896"/>
      <w:bookmarkStart w:id="3922" w:name="_Toc294185392"/>
      <w:bookmarkStart w:id="3923" w:name="_Toc324166222"/>
      <w:bookmarkStart w:id="3924" w:name="_Toc324767259"/>
      <w:bookmarkStart w:id="3925" w:name="_Toc414352936"/>
      <w:bookmarkStart w:id="3926" w:name="_Toc453836960"/>
      <w:bookmarkStart w:id="3927" w:name="_Toc47708646"/>
      <w:bookmarkEnd w:id="3912"/>
      <w:r>
        <w:rPr>
          <w:sz w:val="22"/>
          <w:szCs w:val="22"/>
        </w:rPr>
        <w:t>2. Modalités d’organisation du module de préparation à l’alternance</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rsidR="00F04EEF" w:rsidRDefault="00F04EEF">
      <w:pPr>
        <w:rPr>
          <w:b/>
          <w:bCs/>
        </w:rPr>
      </w:pPr>
    </w:p>
    <w:p w:rsidR="00F04EEF" w:rsidRDefault="0099351E">
      <w:pPr>
        <w:jc w:val="both"/>
      </w:pPr>
      <w:r>
        <w:t xml:space="preserve">L’établissement d’enseignement secondaire spécialisé organise un module </w:t>
      </w:r>
      <w:r>
        <w:rPr>
          <w:b/>
          <w:bCs/>
        </w:rPr>
        <w:t>de préparation</w:t>
      </w:r>
      <w:r>
        <w:t xml:space="preserve"> à l’alternance suivant une grille horaire spécifique établie en conformité avec la grille de référence du plein exercice de son réseau.</w:t>
      </w:r>
    </w:p>
    <w:p w:rsidR="00F04EEF" w:rsidRDefault="00F04EEF">
      <w:pPr>
        <w:jc w:val="both"/>
        <w:rPr>
          <w:i/>
          <w:u w:val="single"/>
        </w:rPr>
      </w:pPr>
    </w:p>
    <w:p w:rsidR="00F04EEF" w:rsidRDefault="0099351E">
      <w:pPr>
        <w:jc w:val="both"/>
      </w:pPr>
      <w:r>
        <w:t>L’accompagnement pédagogique, notamment en ce qui concerne l’organisation et le suivi du stage en entreprise, le respect des compétences-seuils, la gestion du plan individuel d’apprentissage, l’évaluation formative et certificative, est assuré par les membres du personnel de l’établissement de l’enseignement spécialisé.</w:t>
      </w:r>
    </w:p>
    <w:p w:rsidR="00F04EEF" w:rsidRDefault="00F04EEF">
      <w:pPr>
        <w:jc w:val="both"/>
        <w:rPr>
          <w:i/>
        </w:rPr>
      </w:pPr>
    </w:p>
    <w:p w:rsidR="00F04EEF" w:rsidRDefault="0099351E">
      <w:pPr>
        <w:jc w:val="both"/>
      </w:pPr>
      <w:r>
        <w:t>Sur accord du conseil de classe l’élève peut progressivement prester 1 à 3 jours de stage par semaine dans une entreprise correspondant au profil de formation qu’il suit. Ce stage a pour objectif de vérifier la capacité de l’élève à soutenir le rythme d’une formation en alternance dans la durée en prestant plusieurs journées de travail consécutives dans un milieu professionnel.</w:t>
      </w:r>
    </w:p>
    <w:p w:rsidR="00F04EEF" w:rsidRDefault="00F04EEF">
      <w:pPr>
        <w:jc w:val="both"/>
        <w:rPr>
          <w:i/>
        </w:rPr>
      </w:pPr>
    </w:p>
    <w:p w:rsidR="00F04EEF" w:rsidRDefault="0099351E">
      <w:pPr>
        <w:jc w:val="both"/>
      </w:pPr>
      <w:r>
        <w:t>Il est recommandé que le régime de trois jours de stage par semaine soit limité dans le temps et qu’il aboutisse dès que possible à la signature d’un contrat d’alternance. Dès que le conseil de classe estime que l’élève peut soutenir le rythme de l’alternance, le CEFA recherche un contrat afin que l’élève puisse être inscrit en alternance.</w:t>
      </w:r>
    </w:p>
    <w:p w:rsidR="00F04EEF" w:rsidRDefault="00F04EEF">
      <w:pPr>
        <w:jc w:val="both"/>
        <w:rPr>
          <w:strike/>
        </w:rPr>
      </w:pPr>
    </w:p>
    <w:p w:rsidR="00F04EEF" w:rsidRDefault="0099351E">
      <w:pPr>
        <w:jc w:val="both"/>
      </w:pPr>
      <w:r>
        <w:t xml:space="preserve">Le stage est régi par une convention de stage en entreprise dans le cadre du module de préparation à l’alternance dont le modèle est repris à </w:t>
      </w:r>
      <w:hyperlink w:anchor="_Annexe_1_:_10" w:history="1">
        <w:r>
          <w:rPr>
            <w:rStyle w:val="Lienhypertexte"/>
            <w:rFonts w:cs="Arial"/>
          </w:rPr>
          <w:t>l’annexe 1</w:t>
        </w:r>
      </w:hyperlink>
      <w:r>
        <w:t xml:space="preserve"> du présent chapitre.</w:t>
      </w:r>
    </w:p>
    <w:p w:rsidR="00F04EEF" w:rsidRDefault="00F04EEF">
      <w:pPr>
        <w:jc w:val="both"/>
      </w:pPr>
    </w:p>
    <w:p w:rsidR="00F04EEF" w:rsidRDefault="0099351E">
      <w:pPr>
        <w:pStyle w:val="Titre3"/>
        <w:rPr>
          <w:sz w:val="22"/>
          <w:szCs w:val="22"/>
        </w:rPr>
      </w:pPr>
      <w:bookmarkStart w:id="3928" w:name="_3._Modalités_d’organisation"/>
      <w:bookmarkStart w:id="3929" w:name="__RefHeading__335_957262308"/>
      <w:bookmarkStart w:id="3930" w:name="_3._Modalités_d’organisation_1"/>
      <w:bookmarkStart w:id="3931" w:name="_Toc291075585"/>
      <w:bookmarkStart w:id="3932" w:name="_Toc291076009"/>
      <w:bookmarkStart w:id="3933" w:name="_Toc291076433"/>
      <w:bookmarkStart w:id="3934" w:name="_Toc291076857"/>
      <w:bookmarkStart w:id="3935" w:name="_Toc291077281"/>
      <w:bookmarkStart w:id="3936" w:name="_Toc293652123"/>
      <w:bookmarkStart w:id="3937" w:name="_Toc293653705"/>
      <w:bookmarkStart w:id="3938" w:name="_Toc293654317"/>
      <w:bookmarkStart w:id="3939" w:name="_Toc294004897"/>
      <w:bookmarkStart w:id="3940" w:name="_Toc294185393"/>
      <w:bookmarkStart w:id="3941" w:name="_Toc324166223"/>
      <w:bookmarkStart w:id="3942" w:name="_Toc324767260"/>
      <w:bookmarkStart w:id="3943" w:name="_Toc414352937"/>
      <w:bookmarkStart w:id="3944" w:name="_Toc453836961"/>
      <w:bookmarkStart w:id="3945" w:name="_Toc47708647"/>
      <w:bookmarkEnd w:id="3928"/>
      <w:bookmarkEnd w:id="3929"/>
      <w:bookmarkEnd w:id="3930"/>
      <w:r>
        <w:rPr>
          <w:sz w:val="22"/>
          <w:szCs w:val="22"/>
        </w:rPr>
        <w:t>3. Modalités d’organisation de l’alternance</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rsidR="00F04EEF" w:rsidRDefault="00F04EEF">
      <w:pPr>
        <w:rPr>
          <w:b/>
          <w:bCs/>
        </w:rPr>
      </w:pPr>
    </w:p>
    <w:p w:rsidR="00F04EEF" w:rsidRDefault="0099351E">
      <w:pPr>
        <w:jc w:val="both"/>
      </w:pPr>
      <w:r>
        <w:t>L’enseignement en alternance peut être organisé, au sein de l’enseignement secondaire spécialisé de forme 3, en phase 3 et, sur avis motivé du conseil de classe, en phase 2.</w:t>
      </w: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Conformément à l’article 342 du Décret du 3 mars 2004 organisant l’enseignement spécialisé, l’enseignement en alternance peut être organisé, au sein de l’enseignement secondaire spécialisé de forme 3 jusqu’à ce que, sur proposition du Conseil Général pour l’Enseignement Secondaire, le Gouvernement constate que le nombre de profils spécifiques approuvés conformément à l’article 47 du </w:t>
      </w:r>
      <w:hyperlink r:id="rId329" w:history="1">
        <w:r>
          <w:rPr>
            <w:rStyle w:val="Lienhypertexte"/>
            <w:rFonts w:cstheme="minorBidi"/>
          </w:rPr>
          <w:t>Décret du 24 juillet 1997</w:t>
        </w:r>
      </w:hyperlink>
      <w:r>
        <w:t xml:space="preserve"> est de nature à couvrir l’ensemble des besoins de formation.</w:t>
      </w:r>
    </w:p>
    <w:p w:rsidR="00F04EEF" w:rsidRDefault="00F04EEF">
      <w:pPr>
        <w:jc w:val="both"/>
      </w:pPr>
    </w:p>
    <w:p w:rsidR="00F04EEF" w:rsidRDefault="0099351E">
      <w:pPr>
        <w:jc w:val="both"/>
      </w:pPr>
      <w:r>
        <w:t>L’enseignement en alternance peut être également organisé dans l’enseignement secondaire spécialisé de forme 4, au deuxième degré de l’enseignement professionnel et au troisième degré de l’enseignement technique de qualification ou de l’enseignement professionnel.</w:t>
      </w:r>
    </w:p>
    <w:p w:rsidR="00F04EEF" w:rsidRDefault="00F04EEF">
      <w:pPr>
        <w:jc w:val="both"/>
      </w:pPr>
    </w:p>
    <w:p w:rsidR="00F04EEF" w:rsidRDefault="0099351E">
      <w:pPr>
        <w:jc w:val="both"/>
      </w:pPr>
      <w:r>
        <w:t>Une école peut proposer en alternance une option déjà organisée en plein exercice mais peut aussi organiser une option uniquement en alternance (cf. article 2 quinquies, § 1</w:t>
      </w:r>
      <w:r>
        <w:rPr>
          <w:vertAlign w:val="superscript"/>
        </w:rPr>
        <w:t>er</w:t>
      </w:r>
      <w:r>
        <w:t xml:space="preserve">, alinéa 1 et 2 du </w:t>
      </w:r>
      <w:hyperlink r:id="rId330" w:history="1">
        <w:r>
          <w:rPr>
            <w:rStyle w:val="Lienhypertexte"/>
            <w:rFonts w:cstheme="minorBidi"/>
          </w:rPr>
          <w:t>décret du 3 juillet 1991 sur l’alternance</w:t>
        </w:r>
      </w:hyperlink>
      <w:r>
        <w:t>).</w:t>
      </w:r>
    </w:p>
    <w:p w:rsidR="00F04EEF" w:rsidRDefault="00F04EEF">
      <w:pPr>
        <w:jc w:val="both"/>
      </w:pPr>
    </w:p>
    <w:p w:rsidR="00F04EEF" w:rsidRDefault="0099351E">
      <w:pPr>
        <w:jc w:val="both"/>
      </w:pPr>
      <w:r>
        <w:t>Pour organiser des formations en alternance, un établissement d’enseignement secondaire spécialisé doit être coopérant d’un CEFA de sa zone et de son caractère. Sur avis favorable du Conseil Général pour l’Enseignement Secondaire, le Gouvernement peut autoriser un établissement d’enseignement secondaire spécialisé à être coopérant d’un CEFA d’une autre zone ou d’un autre caractère.</w:t>
      </w:r>
    </w:p>
    <w:p w:rsidR="00F04EEF" w:rsidRDefault="0099351E">
      <w:pPr>
        <w:jc w:val="both"/>
      </w:pPr>
      <w:r>
        <w:t>La demande de dérogation doit être adressée au secrétariat du Conseil Général pour l’Enseignement Secondaire.</w:t>
      </w:r>
    </w:p>
    <w:p w:rsidR="00F04EEF" w:rsidRDefault="00F04EEF">
      <w:pPr>
        <w:jc w:val="both"/>
      </w:pPr>
    </w:p>
    <w:p w:rsidR="00F04EEF" w:rsidRDefault="0099351E">
      <w:pPr>
        <w:jc w:val="both"/>
      </w:pPr>
      <w:r>
        <w:t>Sur avis favorable du Conseil Général pour l’Enseignement Secondaire, le Gouvernement peut autoriser un établissement d’enseignement secondaire spécialisé de plein exercice à être coopérant d’un CEFA d’une autre zone ou d’un autre caractère.</w:t>
      </w:r>
    </w:p>
    <w:p w:rsidR="00F04EEF" w:rsidRDefault="00F04EEF"/>
    <w:p w:rsidR="00F04EEF" w:rsidRDefault="0099351E">
      <w:pPr>
        <w:pBdr>
          <w:top w:val="single" w:sz="4" w:space="1" w:color="000000"/>
          <w:left w:val="single" w:sz="4" w:space="4" w:color="000000"/>
          <w:bottom w:val="single" w:sz="4" w:space="1" w:color="000000"/>
          <w:right w:val="single" w:sz="4" w:space="4" w:color="000000"/>
        </w:pBdr>
        <w:jc w:val="center"/>
      </w:pPr>
      <w:r>
        <w:t>Secrétariat du Conseil général pour l’enseignement secondaire</w:t>
      </w:r>
    </w:p>
    <w:p w:rsidR="00F04EEF" w:rsidRDefault="0099351E">
      <w:pPr>
        <w:pBdr>
          <w:top w:val="single" w:sz="4" w:space="1" w:color="000000"/>
          <w:left w:val="single" w:sz="4" w:space="4" w:color="000000"/>
          <w:bottom w:val="single" w:sz="4" w:space="1" w:color="000000"/>
          <w:right w:val="single" w:sz="4" w:space="4" w:color="000000"/>
        </w:pBdr>
        <w:jc w:val="center"/>
      </w:pPr>
      <w:r>
        <w:t>Monsieur Patrick MALCOTTE</w:t>
      </w:r>
    </w:p>
    <w:p w:rsidR="00F04EEF" w:rsidRDefault="0099351E">
      <w:pPr>
        <w:pBdr>
          <w:top w:val="single" w:sz="4" w:space="1" w:color="000000"/>
          <w:left w:val="single" w:sz="4" w:space="4" w:color="000000"/>
          <w:bottom w:val="single" w:sz="4" w:space="1" w:color="000000"/>
          <w:right w:val="single" w:sz="4" w:space="4" w:color="000000"/>
        </w:pBdr>
        <w:jc w:val="center"/>
      </w:pPr>
      <w:r>
        <w:t>Chargé de mission</w:t>
      </w:r>
    </w:p>
    <w:p w:rsidR="00F04EEF" w:rsidRDefault="0099351E">
      <w:pPr>
        <w:pBdr>
          <w:top w:val="single" w:sz="4" w:space="1" w:color="000000"/>
          <w:left w:val="single" w:sz="4" w:space="4" w:color="000000"/>
          <w:bottom w:val="single" w:sz="4" w:space="1" w:color="000000"/>
          <w:right w:val="single" w:sz="4" w:space="4" w:color="000000"/>
        </w:pBdr>
        <w:jc w:val="center"/>
      </w:pPr>
      <w:r>
        <w:t>Bureau 2F250</w:t>
      </w:r>
    </w:p>
    <w:p w:rsidR="00F04EEF" w:rsidRDefault="0099351E">
      <w:pPr>
        <w:pBdr>
          <w:top w:val="single" w:sz="4" w:space="1" w:color="000000"/>
          <w:left w:val="single" w:sz="4" w:space="4" w:color="000000"/>
          <w:bottom w:val="single" w:sz="4" w:space="1" w:color="000000"/>
          <w:right w:val="single" w:sz="4" w:space="4" w:color="000000"/>
        </w:pBdr>
        <w:jc w:val="center"/>
      </w:pPr>
      <w:r>
        <w:t>Rue Adolphe Lavallée, 1</w:t>
      </w:r>
    </w:p>
    <w:p w:rsidR="00F04EEF" w:rsidRDefault="0099351E">
      <w:pPr>
        <w:pBdr>
          <w:top w:val="single" w:sz="4" w:space="1" w:color="000000"/>
          <w:left w:val="single" w:sz="4" w:space="4" w:color="000000"/>
          <w:bottom w:val="single" w:sz="4" w:space="1" w:color="000000"/>
          <w:right w:val="single" w:sz="4" w:space="4" w:color="000000"/>
        </w:pBdr>
        <w:jc w:val="center"/>
      </w:pPr>
      <w:r>
        <w:t>1080   BRUXELLES</w:t>
      </w:r>
    </w:p>
    <w:p w:rsidR="00F04EEF" w:rsidRDefault="0099351E">
      <w:pPr>
        <w:pBdr>
          <w:top w:val="single" w:sz="4" w:space="1" w:color="000000"/>
          <w:left w:val="single" w:sz="4" w:space="4" w:color="000000"/>
          <w:bottom w:val="single" w:sz="4" w:space="1" w:color="000000"/>
          <w:right w:val="single" w:sz="4" w:space="4" w:color="000000"/>
        </w:pBdr>
        <w:jc w:val="center"/>
      </w:pPr>
      <w:r>
        <w:sym w:font="Wingdings" w:char="F028"/>
      </w:r>
      <w:r>
        <w:t xml:space="preserve"> : 02/690.84.27 - </w:t>
      </w:r>
      <w:r>
        <w:rPr>
          <w:bCs/>
        </w:rPr>
        <w:sym w:font="Wingdings" w:char="F03A"/>
      </w:r>
      <w:r>
        <w:t xml:space="preserve"> : </w:t>
      </w:r>
      <w:hyperlink r:id="rId331" w:history="1">
        <w:r>
          <w:rPr>
            <w:rStyle w:val="Lienhypertexte"/>
            <w:rFonts w:cs="Arial"/>
          </w:rPr>
          <w:t>patrick.malcotte@cfwb.be</w:t>
        </w:r>
      </w:hyperlink>
    </w:p>
    <w:p w:rsidR="00F04EEF" w:rsidRDefault="00F04EEF">
      <w:pPr>
        <w:jc w:val="both"/>
      </w:pPr>
    </w:p>
    <w:p w:rsidR="00F04EEF" w:rsidRDefault="0099351E">
      <w:pPr>
        <w:jc w:val="both"/>
      </w:pPr>
      <w:r>
        <w:t xml:space="preserve">L’établissement d’enseignement secondaire spécialisé doit transmettre à l’administration des grilles horaires spécifiques conformes aux grilles de référence de son réseau. Elles reprennent les périodes organisées en école et en entreprise. </w:t>
      </w:r>
    </w:p>
    <w:p w:rsidR="00F04EEF" w:rsidRDefault="00F04EEF">
      <w:pPr>
        <w:jc w:val="both"/>
      </w:pPr>
    </w:p>
    <w:p w:rsidR="00F04EEF" w:rsidRDefault="0099351E">
      <w:pPr>
        <w:jc w:val="both"/>
      </w:pPr>
      <w:r>
        <w:t>L’enseignement spécialisé en alternance est organisé au sein de l’établissement d’enseignement secondaire spécialisé de forme 3 et de forme 4 et est dispensé à raison de six cents périodes de cinquante minutes au moins par an, réparties sur 20 semaines au moins. Il comprend au moins six cents heures d’activités de formation par le travail en entreprise par an, réparties sur 20 semaines minimum.</w:t>
      </w:r>
    </w:p>
    <w:p w:rsidR="00F04EEF" w:rsidRDefault="00F04EEF">
      <w:pPr>
        <w:jc w:val="both"/>
      </w:pPr>
    </w:p>
    <w:p w:rsidR="00F04EEF" w:rsidRDefault="0099351E">
      <w:pPr>
        <w:jc w:val="both"/>
      </w:pPr>
      <w:r>
        <w:t xml:space="preserve">Par année de formation il faut entendre une période de 12 mois à partir de la date de prise d’effet du contrat d’alternance. </w:t>
      </w:r>
    </w:p>
    <w:p w:rsidR="00F04EEF" w:rsidRDefault="00F04EEF">
      <w:pPr>
        <w:jc w:val="both"/>
      </w:pPr>
    </w:p>
    <w:p w:rsidR="00F04EEF" w:rsidRDefault="0099351E">
      <w:pPr>
        <w:jc w:val="both"/>
      </w:pPr>
      <w:r>
        <w:rPr>
          <w:b/>
          <w:u w:val="single"/>
        </w:rPr>
        <w:t>Exemple</w:t>
      </w:r>
      <w:r>
        <w:rPr>
          <w:b/>
        </w:rPr>
        <w:t> :</w:t>
      </w:r>
      <w:r>
        <w:t xml:space="preserve"> </w:t>
      </w:r>
    </w:p>
    <w:p w:rsidR="00F04EEF" w:rsidRDefault="00F04EEF">
      <w:pPr>
        <w:jc w:val="both"/>
        <w:rPr>
          <w:b/>
        </w:rPr>
      </w:pPr>
    </w:p>
    <w:p w:rsidR="00F04EEF" w:rsidRDefault="0099351E">
      <w:pPr>
        <w:jc w:val="both"/>
        <w:rPr>
          <w:i/>
        </w:rPr>
      </w:pPr>
      <w:r>
        <w:t>Un élève signe un contrat le 13 mars 2015, sa première année de formation se termine le 2 mars 2016</w:t>
      </w:r>
      <w:r>
        <w:rPr>
          <w:i/>
        </w:rPr>
        <w:t>.</w:t>
      </w:r>
    </w:p>
    <w:p w:rsidR="00F04EEF" w:rsidRDefault="0099351E">
      <w:pPr>
        <w:jc w:val="both"/>
      </w:pPr>
      <w:r>
        <w:t>C’est durant cette période que l’élève doit satisfaire aux obligations relatives aux périodes de cours et aux heures d’activités de formation par le travail.</w:t>
      </w:r>
    </w:p>
    <w:p w:rsidR="00F04EEF" w:rsidRDefault="00F04EEF">
      <w:pPr>
        <w:pStyle w:val="Sansinterligne1"/>
        <w:jc w:val="both"/>
        <w:rPr>
          <w:rFonts w:asciiTheme="majorHAnsi" w:hAnsiTheme="majorHAnsi"/>
          <w:b/>
        </w:rPr>
      </w:pPr>
    </w:p>
    <w:p w:rsidR="00F04EEF" w:rsidRDefault="0099351E">
      <w:pPr>
        <w:pStyle w:val="Sansinterligne1"/>
        <w:jc w:val="both"/>
        <w:rPr>
          <w:rFonts w:asciiTheme="majorHAnsi" w:hAnsiTheme="majorHAnsi"/>
          <w:b/>
        </w:rPr>
      </w:pPr>
      <w:r>
        <w:rPr>
          <w:rFonts w:asciiTheme="majorHAnsi" w:hAnsiTheme="majorHAnsi"/>
          <w:b/>
        </w:rPr>
        <w:t>Comment comprendre ces 600 périodes de formation en école / 600 heures de formation en entreprise pour les élèves inscrits dans l’enseignement spécialisé en alternance de forme 3 ? Comment justifier cette organisation scolaire au vérificateur ?</w:t>
      </w:r>
    </w:p>
    <w:p w:rsidR="00F04EEF" w:rsidRDefault="00F04EEF">
      <w:pPr>
        <w:pStyle w:val="Sansinterligne1"/>
        <w:jc w:val="both"/>
        <w:rPr>
          <w:rFonts w:asciiTheme="majorHAnsi" w:hAnsiTheme="majorHAnsi"/>
          <w:b/>
        </w:rPr>
      </w:pPr>
    </w:p>
    <w:p w:rsidR="00F04EEF" w:rsidRDefault="0099351E">
      <w:pPr>
        <w:pStyle w:val="Sansinterligne1"/>
        <w:numPr>
          <w:ilvl w:val="0"/>
          <w:numId w:val="164"/>
        </w:numPr>
        <w:tabs>
          <w:tab w:val="clear" w:pos="0"/>
          <w:tab w:val="num" w:pos="360"/>
        </w:tabs>
        <w:ind w:left="0" w:firstLine="0"/>
        <w:jc w:val="both"/>
        <w:rPr>
          <w:rFonts w:asciiTheme="majorHAnsi" w:hAnsiTheme="majorHAnsi"/>
        </w:rPr>
      </w:pPr>
      <w:r>
        <w:rPr>
          <w:rFonts w:asciiTheme="majorHAnsi" w:hAnsiTheme="majorHAnsi"/>
        </w:rPr>
        <w:t xml:space="preserve">Il s’agit en fait d’une « balise » pour définir le rythme scolaire de l’élève et valider son parcours scolaire  en alternance. </w:t>
      </w:r>
    </w:p>
    <w:p w:rsidR="00F04EEF" w:rsidRDefault="0099351E">
      <w:pPr>
        <w:pStyle w:val="Sansinterligne1"/>
        <w:numPr>
          <w:ilvl w:val="0"/>
          <w:numId w:val="164"/>
        </w:numPr>
        <w:tabs>
          <w:tab w:val="clear" w:pos="0"/>
          <w:tab w:val="num" w:pos="360"/>
        </w:tabs>
        <w:ind w:left="0" w:firstLine="0"/>
        <w:jc w:val="both"/>
        <w:rPr>
          <w:rFonts w:asciiTheme="majorHAnsi" w:hAnsiTheme="majorHAnsi"/>
        </w:rPr>
      </w:pPr>
      <w:r>
        <w:rPr>
          <w:rFonts w:asciiTheme="majorHAnsi" w:hAnsiTheme="majorHAnsi"/>
        </w:rPr>
        <w:t>Il ne s’agit pas de comptabiliser les 600 périodes en école et les 600 heures en entreprise avant d’admettre l’élève à l’épreuve de qualification. Cette décision appartient au Conseil de classe qui se fonde sur l’acquisition des compétences, pas sur le nombre d’heures ou de périodes.</w:t>
      </w:r>
    </w:p>
    <w:p w:rsidR="00F04EEF" w:rsidRDefault="0099351E">
      <w:pPr>
        <w:pStyle w:val="Sansinterligne1"/>
        <w:numPr>
          <w:ilvl w:val="0"/>
          <w:numId w:val="164"/>
        </w:numPr>
        <w:tabs>
          <w:tab w:val="clear" w:pos="0"/>
          <w:tab w:val="num" w:pos="360"/>
        </w:tabs>
        <w:ind w:left="0" w:firstLine="0"/>
        <w:jc w:val="both"/>
        <w:rPr>
          <w:rFonts w:asciiTheme="majorHAnsi" w:hAnsiTheme="majorHAnsi"/>
        </w:rPr>
      </w:pPr>
      <w:r>
        <w:rPr>
          <w:rFonts w:asciiTheme="majorHAnsi" w:hAnsiTheme="majorHAnsi"/>
        </w:rPr>
        <w:t>Lors d’une vérification l’école présentera les documents suivants :</w:t>
      </w:r>
    </w:p>
    <w:p w:rsidR="00F04EEF" w:rsidRDefault="0099351E">
      <w:pPr>
        <w:pStyle w:val="Sansinterligne1"/>
        <w:numPr>
          <w:ilvl w:val="1"/>
          <w:numId w:val="164"/>
        </w:numPr>
        <w:tabs>
          <w:tab w:val="clear" w:pos="0"/>
        </w:tabs>
        <w:ind w:left="567" w:hanging="283"/>
        <w:jc w:val="both"/>
        <w:rPr>
          <w:rFonts w:asciiTheme="majorHAnsi" w:hAnsiTheme="majorHAnsi"/>
        </w:rPr>
      </w:pPr>
      <w:r>
        <w:rPr>
          <w:rFonts w:asciiTheme="majorHAnsi" w:hAnsiTheme="majorHAnsi"/>
        </w:rPr>
        <w:t>La liste officielle des élèves inscrits dans l’alternance : il s’agit de la liste (Eventuellement ajustée) envoyée à l’Administration et à l’Inspection par le CEFA</w:t>
      </w:r>
    </w:p>
    <w:p w:rsidR="00F04EEF" w:rsidRDefault="0099351E">
      <w:pPr>
        <w:pStyle w:val="Sansinterligne1"/>
        <w:numPr>
          <w:ilvl w:val="1"/>
          <w:numId w:val="164"/>
        </w:numPr>
        <w:tabs>
          <w:tab w:val="clear" w:pos="0"/>
        </w:tabs>
        <w:ind w:left="567" w:hanging="283"/>
        <w:jc w:val="both"/>
        <w:rPr>
          <w:rFonts w:asciiTheme="majorHAnsi" w:hAnsiTheme="majorHAnsi"/>
        </w:rPr>
      </w:pPr>
      <w:r>
        <w:rPr>
          <w:rFonts w:asciiTheme="majorHAnsi" w:hAnsiTheme="majorHAnsi"/>
        </w:rPr>
        <w:t>Une copie du « contrat » de chaque élève</w:t>
      </w:r>
    </w:p>
    <w:p w:rsidR="00F04EEF" w:rsidRDefault="0099351E">
      <w:pPr>
        <w:pStyle w:val="Sansinterligne1"/>
        <w:numPr>
          <w:ilvl w:val="1"/>
          <w:numId w:val="164"/>
        </w:numPr>
        <w:tabs>
          <w:tab w:val="clear" w:pos="0"/>
        </w:tabs>
        <w:ind w:left="567" w:hanging="283"/>
        <w:jc w:val="both"/>
        <w:rPr>
          <w:rFonts w:asciiTheme="majorHAnsi" w:hAnsiTheme="majorHAnsi"/>
        </w:rPr>
      </w:pPr>
      <w:r>
        <w:rPr>
          <w:rFonts w:asciiTheme="majorHAnsi" w:hAnsiTheme="majorHAnsi"/>
        </w:rPr>
        <w:t>La grille horaire spécifique introduite par l’école</w:t>
      </w:r>
    </w:p>
    <w:p w:rsidR="00F04EEF" w:rsidRDefault="0099351E">
      <w:pPr>
        <w:pStyle w:val="Sansinterligne1"/>
        <w:numPr>
          <w:ilvl w:val="1"/>
          <w:numId w:val="164"/>
        </w:numPr>
        <w:tabs>
          <w:tab w:val="clear" w:pos="0"/>
        </w:tabs>
        <w:ind w:left="567" w:hanging="283"/>
        <w:jc w:val="both"/>
        <w:rPr>
          <w:rFonts w:asciiTheme="majorHAnsi" w:hAnsiTheme="majorHAnsi"/>
        </w:rPr>
      </w:pPr>
      <w:r>
        <w:rPr>
          <w:rFonts w:asciiTheme="majorHAnsi" w:hAnsiTheme="majorHAnsi"/>
        </w:rPr>
        <w:t>Le registre de présence des élèves</w:t>
      </w:r>
    </w:p>
    <w:p w:rsidR="00F04EEF" w:rsidRDefault="0099351E">
      <w:pPr>
        <w:pStyle w:val="Sansinterligne1"/>
        <w:numPr>
          <w:ilvl w:val="1"/>
          <w:numId w:val="164"/>
        </w:numPr>
        <w:tabs>
          <w:tab w:val="clear" w:pos="0"/>
        </w:tabs>
        <w:ind w:left="567" w:hanging="283"/>
        <w:jc w:val="both"/>
        <w:rPr>
          <w:rFonts w:asciiTheme="majorHAnsi" w:hAnsiTheme="majorHAnsi"/>
        </w:rPr>
      </w:pPr>
      <w:r>
        <w:rPr>
          <w:rFonts w:asciiTheme="majorHAnsi" w:hAnsiTheme="majorHAnsi"/>
        </w:rPr>
        <w:t>Les modalités particulières d’organisation du temps scolaire</w:t>
      </w:r>
    </w:p>
    <w:p w:rsidR="00F04EEF" w:rsidRDefault="0099351E">
      <w:pPr>
        <w:ind w:left="567" w:hanging="283"/>
      </w:pPr>
      <w:r>
        <w:t xml:space="preserve">La formation peut se dérouler conformément au calendrier scolaire ou par modules. </w:t>
      </w:r>
    </w:p>
    <w:p w:rsidR="00F04EEF" w:rsidRDefault="00F04EEF"/>
    <w:p w:rsidR="00F04EEF" w:rsidRDefault="0099351E">
      <w:pPr>
        <w:rPr>
          <w:b/>
        </w:rPr>
      </w:pPr>
      <w:r>
        <w:rPr>
          <w:b/>
          <w:u w:val="single"/>
        </w:rPr>
        <w:t>Exemples</w:t>
      </w:r>
      <w:r>
        <w:rPr>
          <w:b/>
        </w:rPr>
        <w:t xml:space="preserve"> : </w:t>
      </w:r>
    </w:p>
    <w:p w:rsidR="00F04EEF" w:rsidRDefault="00F04EEF">
      <w:pPr>
        <w:rPr>
          <w:b/>
        </w:rPr>
      </w:pPr>
    </w:p>
    <w:p w:rsidR="00F04EEF" w:rsidRDefault="0099351E">
      <w:pPr>
        <w:numPr>
          <w:ilvl w:val="0"/>
          <w:numId w:val="162"/>
        </w:numPr>
        <w:tabs>
          <w:tab w:val="clear" w:pos="720"/>
          <w:tab w:val="num" w:pos="540"/>
        </w:tabs>
        <w:suppressAutoHyphens/>
        <w:ind w:left="284" w:hanging="284"/>
        <w:jc w:val="both"/>
      </w:pPr>
      <w:r>
        <w:t xml:space="preserve">Un élève qui suit une formation de « commis de cuisine » remplit son obligation d’activités de formation en entreprise s’il travaille pendant les vacances d’hiver. </w:t>
      </w:r>
    </w:p>
    <w:p w:rsidR="00F04EEF" w:rsidRDefault="0099351E">
      <w:pPr>
        <w:numPr>
          <w:ilvl w:val="0"/>
          <w:numId w:val="162"/>
        </w:numPr>
        <w:tabs>
          <w:tab w:val="clear" w:pos="720"/>
          <w:tab w:val="num" w:pos="540"/>
        </w:tabs>
        <w:suppressAutoHyphens/>
        <w:ind w:left="284" w:hanging="284"/>
        <w:jc w:val="both"/>
      </w:pPr>
      <w:r>
        <w:t>Un élève qui suit une formation d’« ouvrier jardinier» remplit son obligation d’activités de formation en entreprise s’il travaille pendant les vacances d’été.</w:t>
      </w:r>
    </w:p>
    <w:p w:rsidR="00F04EEF" w:rsidRDefault="0099351E">
      <w:pPr>
        <w:numPr>
          <w:ilvl w:val="0"/>
          <w:numId w:val="162"/>
        </w:numPr>
        <w:tabs>
          <w:tab w:val="clear" w:pos="720"/>
          <w:tab w:val="num" w:pos="540"/>
        </w:tabs>
        <w:suppressAutoHyphens/>
        <w:ind w:left="284" w:hanging="284"/>
        <w:jc w:val="both"/>
      </w:pPr>
      <w:r>
        <w:t>Pour le métier « Poseur de couvertures non métalliques » : on peut regrouper les périodes de formation en école pendant la période hivernale et, de ce fait, regrouper des heures de formation par le travail en entreprise dès que les conditions climatiques le permettent.</w:t>
      </w:r>
    </w:p>
    <w:p w:rsidR="00F04EEF" w:rsidRDefault="00F04EEF"/>
    <w:p w:rsidR="00F04EEF" w:rsidRDefault="0099351E">
      <w:pPr>
        <w:jc w:val="both"/>
      </w:pPr>
      <w:r>
        <w:t>Ces exemples illustrent que la formation peut être organisée en modules de formation ce qui signifie la possibilité de regrouper les heures de formation en école et/ou les heures d’activités de formation par le travail en entreprise, tout en respectant le volume horaire de chacune des catégories de formation.</w:t>
      </w:r>
    </w:p>
    <w:p w:rsidR="00F04EEF" w:rsidRDefault="00F04EEF">
      <w:pPr>
        <w:jc w:val="both"/>
      </w:pPr>
    </w:p>
    <w:p w:rsidR="00F04EEF" w:rsidRDefault="0099351E">
      <w:pPr>
        <w:jc w:val="both"/>
      </w:pPr>
      <w:r>
        <w:t>Sur avis motivé du conseil de classe et uniquement pour les élèves de forme 3 ayant satisfait à l’obligation scolaire, la partie de la formation assurée par l’enseignement peut être réduite à trois cents périodes par année de formation.</w:t>
      </w:r>
    </w:p>
    <w:p w:rsidR="00F04EEF" w:rsidRDefault="00F04EEF"/>
    <w:tbl>
      <w:tblPr>
        <w:tblW w:w="10213" w:type="dxa"/>
        <w:tblInd w:w="-25" w:type="dxa"/>
        <w:tblLayout w:type="fixed"/>
        <w:tblLook w:val="0000" w:firstRow="0" w:lastRow="0" w:firstColumn="0" w:lastColumn="0" w:noHBand="0" w:noVBand="0"/>
      </w:tblPr>
      <w:tblGrid>
        <w:gridCol w:w="2293"/>
        <w:gridCol w:w="3600"/>
        <w:gridCol w:w="4320"/>
      </w:tblGrid>
      <w:tr w:rsidR="00F04EEF">
        <w:trPr>
          <w:trHeight w:val="947"/>
        </w:trPr>
        <w:tc>
          <w:tcPr>
            <w:tcW w:w="2293" w:type="dxa"/>
            <w:tcBorders>
              <w:top w:val="single" w:sz="4" w:space="0" w:color="000000"/>
              <w:left w:val="single" w:sz="4" w:space="0" w:color="000000"/>
              <w:bottom w:val="single" w:sz="4" w:space="0" w:color="000000"/>
            </w:tcBorders>
          </w:tcPr>
          <w:p w:rsidR="00F04EEF" w:rsidRDefault="0099351E">
            <w:pPr>
              <w:jc w:val="center"/>
              <w:rPr>
                <w:b/>
              </w:rPr>
            </w:pPr>
            <w:r>
              <w:rPr>
                <w:b/>
              </w:rPr>
              <w:t>Enseignement spécialisé</w:t>
            </w:r>
          </w:p>
          <w:p w:rsidR="00F04EEF" w:rsidRDefault="0099351E">
            <w:pPr>
              <w:jc w:val="center"/>
              <w:rPr>
                <w:b/>
              </w:rPr>
            </w:pPr>
            <w:r>
              <w:rPr>
                <w:b/>
              </w:rPr>
              <w:t>Organisation de l’alternance</w:t>
            </w:r>
          </w:p>
        </w:tc>
        <w:tc>
          <w:tcPr>
            <w:tcW w:w="3600" w:type="dxa"/>
            <w:tcBorders>
              <w:top w:val="single" w:sz="4" w:space="0" w:color="000000"/>
              <w:left w:val="single" w:sz="4" w:space="0" w:color="000000"/>
              <w:bottom w:val="single" w:sz="4" w:space="0" w:color="000000"/>
            </w:tcBorders>
          </w:tcPr>
          <w:p w:rsidR="00F04EEF" w:rsidRDefault="0099351E">
            <w:pPr>
              <w:jc w:val="center"/>
              <w:rPr>
                <w:b/>
              </w:rPr>
            </w:pPr>
            <w:r>
              <w:rPr>
                <w:b/>
              </w:rPr>
              <w:t>Nombre de périodes de formation organisées au sein de l’établissement d’enseignement secondaire spécialisé</w:t>
            </w:r>
          </w:p>
        </w:tc>
        <w:tc>
          <w:tcPr>
            <w:tcW w:w="4320" w:type="dxa"/>
            <w:tcBorders>
              <w:top w:val="single" w:sz="4" w:space="0" w:color="000000"/>
              <w:left w:val="single" w:sz="4" w:space="0" w:color="000000"/>
              <w:bottom w:val="single" w:sz="4" w:space="0" w:color="000000"/>
              <w:right w:val="single" w:sz="4" w:space="0" w:color="000000"/>
            </w:tcBorders>
          </w:tcPr>
          <w:p w:rsidR="00F04EEF" w:rsidRDefault="0099351E">
            <w:pPr>
              <w:jc w:val="center"/>
              <w:rPr>
                <w:b/>
              </w:rPr>
            </w:pPr>
            <w:r>
              <w:rPr>
                <w:b/>
              </w:rPr>
              <w:t>Nombre d’heures d’activités de formation par le travail organisées en entreprise</w:t>
            </w:r>
          </w:p>
        </w:tc>
      </w:tr>
      <w:tr w:rsidR="00F04EEF">
        <w:tc>
          <w:tcPr>
            <w:tcW w:w="2293" w:type="dxa"/>
            <w:tcBorders>
              <w:top w:val="single" w:sz="4" w:space="0" w:color="000000"/>
              <w:left w:val="single" w:sz="4" w:space="0" w:color="000000"/>
              <w:bottom w:val="single" w:sz="4" w:space="0" w:color="000000"/>
            </w:tcBorders>
          </w:tcPr>
          <w:p w:rsidR="00F04EEF" w:rsidRDefault="00F04EEF"/>
          <w:p w:rsidR="00F04EEF" w:rsidRDefault="00F04EEF"/>
          <w:p w:rsidR="00F04EEF" w:rsidRDefault="00F04EEF"/>
          <w:p w:rsidR="00F04EEF" w:rsidRDefault="0099351E">
            <w:pPr>
              <w:jc w:val="center"/>
              <w:rPr>
                <w:b/>
              </w:rPr>
            </w:pPr>
            <w:r>
              <w:rPr>
                <w:b/>
              </w:rPr>
              <w:t>FORME 3</w:t>
            </w:r>
          </w:p>
          <w:p w:rsidR="00F04EEF" w:rsidRDefault="00F04EEF"/>
          <w:p w:rsidR="00F04EEF" w:rsidRDefault="00F04EEF"/>
          <w:p w:rsidR="00F04EEF" w:rsidRDefault="00F04EEF"/>
          <w:p w:rsidR="00F04EEF" w:rsidRDefault="00F04EEF"/>
        </w:tc>
        <w:tc>
          <w:tcPr>
            <w:tcW w:w="3600" w:type="dxa"/>
            <w:tcBorders>
              <w:top w:val="single" w:sz="4" w:space="0" w:color="000000"/>
              <w:left w:val="single" w:sz="4" w:space="0" w:color="000000"/>
              <w:bottom w:val="single" w:sz="4" w:space="0" w:color="000000"/>
            </w:tcBorders>
          </w:tcPr>
          <w:p w:rsidR="00F04EEF" w:rsidRDefault="0099351E">
            <w:r>
              <w:t>600 périodes de 50’ au moins par an réparties sur 20 semaines au moins.</w:t>
            </w:r>
          </w:p>
          <w:p w:rsidR="00F04EEF" w:rsidRDefault="00F04EEF"/>
          <w:p w:rsidR="00F04EEF" w:rsidRDefault="0099351E">
            <w:r>
              <w:t>Pour les élèves majeurs la partie assurée par l’enseignement peut être réduite à 300 périodes par année de formation</w:t>
            </w:r>
          </w:p>
        </w:tc>
        <w:tc>
          <w:tcPr>
            <w:tcW w:w="4320" w:type="dxa"/>
            <w:tcBorders>
              <w:top w:val="single" w:sz="4" w:space="0" w:color="000000"/>
              <w:left w:val="single" w:sz="4" w:space="0" w:color="000000"/>
              <w:bottom w:val="single" w:sz="4" w:space="0" w:color="000000"/>
              <w:right w:val="single" w:sz="4" w:space="0" w:color="000000"/>
            </w:tcBorders>
          </w:tcPr>
          <w:p w:rsidR="00F04EEF" w:rsidRDefault="0099351E">
            <w:r>
              <w:t>600 heures d’activités de formation par le travail en entreprise par an, réparties sur 20 semaines au moins.</w:t>
            </w:r>
          </w:p>
          <w:p w:rsidR="00F04EEF" w:rsidRDefault="00F04EEF"/>
          <w:p w:rsidR="00F04EEF" w:rsidRDefault="0099351E">
            <w:r>
              <w:t>Si ce nombre n’est pas atteint en entreprise, des périodes complémentaires de formation professionnelle sont organisées dans l’école à concurrence de 300 périodes maximum.</w:t>
            </w:r>
          </w:p>
        </w:tc>
      </w:tr>
      <w:tr w:rsidR="00F04EEF">
        <w:tc>
          <w:tcPr>
            <w:tcW w:w="2293" w:type="dxa"/>
            <w:tcBorders>
              <w:top w:val="single" w:sz="4" w:space="0" w:color="000000"/>
              <w:left w:val="single" w:sz="4" w:space="0" w:color="000000"/>
              <w:bottom w:val="single" w:sz="4" w:space="0" w:color="000000"/>
            </w:tcBorders>
          </w:tcPr>
          <w:p w:rsidR="00F04EEF" w:rsidRDefault="00F04EEF">
            <w:pPr>
              <w:snapToGrid w:val="0"/>
            </w:pPr>
          </w:p>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 w:rsidR="00F04EEF" w:rsidRDefault="00F04EEF">
            <w:pPr>
              <w:jc w:val="center"/>
              <w:rPr>
                <w:b/>
              </w:rPr>
            </w:pPr>
          </w:p>
          <w:p w:rsidR="00F04EEF" w:rsidRDefault="0099351E">
            <w:pPr>
              <w:jc w:val="center"/>
              <w:rPr>
                <w:b/>
              </w:rPr>
            </w:pPr>
            <w:r>
              <w:rPr>
                <w:b/>
              </w:rPr>
              <w:t>FORME 4</w:t>
            </w:r>
          </w:p>
          <w:p w:rsidR="00F04EEF" w:rsidRDefault="00F04EEF"/>
          <w:p w:rsidR="00F04EEF" w:rsidRDefault="00F04EEF"/>
          <w:p w:rsidR="00F04EEF" w:rsidRDefault="00F04EEF"/>
          <w:p w:rsidR="00F04EEF" w:rsidRDefault="00F04EEF"/>
        </w:tc>
        <w:tc>
          <w:tcPr>
            <w:tcW w:w="3600" w:type="dxa"/>
            <w:tcBorders>
              <w:top w:val="single" w:sz="4" w:space="0" w:color="000000"/>
              <w:left w:val="single" w:sz="4" w:space="0" w:color="000000"/>
              <w:bottom w:val="single" w:sz="4" w:space="0" w:color="000000"/>
            </w:tcBorders>
          </w:tcPr>
          <w:p w:rsidR="00F04EEF" w:rsidRDefault="00F04EEF"/>
          <w:p w:rsidR="00F04EEF" w:rsidRDefault="0099351E">
            <w:r>
              <w:t>600 périodes de 50’ au moins par an réparties sur 20 semaines au moins.</w:t>
            </w:r>
          </w:p>
          <w:p w:rsidR="00F04EEF" w:rsidRDefault="00F04EEF"/>
        </w:tc>
        <w:tc>
          <w:tcPr>
            <w:tcW w:w="4320" w:type="dxa"/>
            <w:tcBorders>
              <w:top w:val="single" w:sz="4" w:space="0" w:color="000000"/>
              <w:left w:val="single" w:sz="4" w:space="0" w:color="000000"/>
              <w:bottom w:val="single" w:sz="4" w:space="0" w:color="000000"/>
              <w:right w:val="single" w:sz="4" w:space="0" w:color="000000"/>
            </w:tcBorders>
          </w:tcPr>
          <w:p w:rsidR="00F04EEF" w:rsidRDefault="00F04EEF"/>
          <w:p w:rsidR="00F04EEF" w:rsidRDefault="0099351E">
            <w:r>
              <w:t>600 heures d’activités de formation par le travail en entreprise par an, réparties sur 20 semaines au moins.</w:t>
            </w:r>
          </w:p>
          <w:p w:rsidR="00F04EEF" w:rsidRDefault="00F04EEF"/>
          <w:p w:rsidR="00F04EEF" w:rsidRDefault="0099351E">
            <w:r>
              <w:t>Ces heures sont obligatoires tant pour les élèves mineurs que pour les élèves majeurs.</w:t>
            </w:r>
          </w:p>
          <w:p w:rsidR="00F04EEF" w:rsidRDefault="00F04EEF"/>
          <w:p w:rsidR="00F04EEF" w:rsidRDefault="0099351E">
            <w:r>
              <w:t xml:space="preserve">Si ce nombre n’est pas atteint en entreprise, des périodes complémentaires de formation professionnelle sont organisées dans l’école. </w:t>
            </w:r>
          </w:p>
          <w:p w:rsidR="00F04EEF" w:rsidRDefault="00F04EEF"/>
          <w:p w:rsidR="00F04EEF" w:rsidRDefault="0099351E">
            <w:r>
              <w:t>Au 2</w:t>
            </w:r>
            <w:r>
              <w:rPr>
                <w:vertAlign w:val="superscript"/>
              </w:rPr>
              <w:t>ème</w:t>
            </w:r>
            <w:r>
              <w:t xml:space="preserve"> degré, le nombre d’heures de formation en entreprise ne peut être inférieur à 300 par année de formation </w:t>
            </w:r>
          </w:p>
          <w:p w:rsidR="00F04EEF" w:rsidRDefault="00F04EEF"/>
          <w:p w:rsidR="00F04EEF" w:rsidRDefault="0099351E">
            <w:r>
              <w:t>Au 3</w:t>
            </w:r>
            <w:r>
              <w:rPr>
                <w:vertAlign w:val="superscript"/>
              </w:rPr>
              <w:t>ème</w:t>
            </w:r>
            <w:r>
              <w:t xml:space="preserve"> degré, le nombre </w:t>
            </w:r>
          </w:p>
          <w:p w:rsidR="00F04EEF" w:rsidRDefault="0099351E">
            <w:r>
              <w:t xml:space="preserve">d’heures de formation en entreprise ne peut être inférieur à 450 par année de formation. </w:t>
            </w:r>
          </w:p>
        </w:tc>
      </w:tr>
    </w:tbl>
    <w:p w:rsidR="00F04EEF" w:rsidRDefault="00F04EEF"/>
    <w:p w:rsidR="00F04EEF" w:rsidRDefault="0099351E">
      <w:pPr>
        <w:jc w:val="both"/>
      </w:pPr>
      <w:r>
        <w:t>A titre exceptionnel les élèves de forme 3 et de forme 4 inscrits en alternance peuvent être réunis pour autant que les spécificités des deux formations soient respectées.</w:t>
      </w:r>
    </w:p>
    <w:p w:rsidR="00F04EEF" w:rsidRDefault="0099351E">
      <w:pPr>
        <w:jc w:val="both"/>
      </w:pPr>
      <w:r>
        <w:t>Les élèves peuvent être regroupés avec ceux de l’enseignement secondaire spécialisé de plein exercice.</w:t>
      </w:r>
    </w:p>
    <w:p w:rsidR="00F04EEF" w:rsidRDefault="00F04EEF">
      <w:pPr>
        <w:jc w:val="both"/>
      </w:pPr>
    </w:p>
    <w:p w:rsidR="00F04EEF" w:rsidRDefault="0099351E">
      <w:pPr>
        <w:pStyle w:val="Titre3"/>
        <w:rPr>
          <w:sz w:val="22"/>
          <w:szCs w:val="22"/>
        </w:rPr>
      </w:pPr>
      <w:bookmarkStart w:id="3946" w:name="__RefHeading__337_957262308"/>
      <w:bookmarkStart w:id="3947" w:name="_4._Certificats_et"/>
      <w:bookmarkStart w:id="3948" w:name="_Toc291075586"/>
      <w:bookmarkStart w:id="3949" w:name="_Toc291076010"/>
      <w:bookmarkStart w:id="3950" w:name="_Toc291076434"/>
      <w:bookmarkStart w:id="3951" w:name="_Toc291076858"/>
      <w:bookmarkStart w:id="3952" w:name="_Toc291077282"/>
      <w:bookmarkStart w:id="3953" w:name="_Toc293652124"/>
      <w:bookmarkStart w:id="3954" w:name="_Toc293653706"/>
      <w:bookmarkStart w:id="3955" w:name="_Toc293654318"/>
      <w:bookmarkStart w:id="3956" w:name="_Toc294004898"/>
      <w:bookmarkStart w:id="3957" w:name="_Toc294185394"/>
      <w:bookmarkStart w:id="3958" w:name="_Toc324166224"/>
      <w:bookmarkStart w:id="3959" w:name="_Toc324767261"/>
      <w:bookmarkStart w:id="3960" w:name="_Toc414352938"/>
      <w:bookmarkStart w:id="3961" w:name="_Toc453836962"/>
      <w:bookmarkStart w:id="3962" w:name="_Toc47708648"/>
      <w:bookmarkEnd w:id="3946"/>
      <w:bookmarkEnd w:id="3947"/>
      <w:r>
        <w:rPr>
          <w:sz w:val="22"/>
          <w:szCs w:val="22"/>
        </w:rPr>
        <w:t>4. Certificats et attestation</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r>
        <w:rPr>
          <w:sz w:val="22"/>
          <w:szCs w:val="22"/>
        </w:rPr>
        <w:t>s</w:t>
      </w:r>
      <w:bookmarkEnd w:id="3962"/>
      <w:r>
        <w:rPr>
          <w:sz w:val="22"/>
          <w:szCs w:val="22"/>
        </w:rPr>
        <w:t xml:space="preserve"> </w:t>
      </w:r>
    </w:p>
    <w:p w:rsidR="00F04EEF" w:rsidRDefault="00F04EEF"/>
    <w:p w:rsidR="00F04EEF" w:rsidRDefault="0099351E">
      <w:pPr>
        <w:jc w:val="both"/>
      </w:pPr>
      <w:r>
        <w:t>Les certificats et attestations de forme 3 et de forme 4, délivrés dans l’enseignement secondaire spécialisé en alternance, sont identiques à ceux délivrés dans l’enseignement secondaire spécialisé de plein exercice. Cependant ils mentionnent qu’ils ont été délivrés dans l’enseignement secondaire spécialisé en alternance.</w:t>
      </w:r>
    </w:p>
    <w:p w:rsidR="00F04EEF" w:rsidRDefault="00F04EEF">
      <w:pPr>
        <w:jc w:val="both"/>
      </w:pPr>
    </w:p>
    <w:p w:rsidR="00F04EEF" w:rsidRDefault="0099351E">
      <w:pPr>
        <w:jc w:val="both"/>
      </w:pPr>
      <w:r>
        <w:t>Les certificats et attestations sont délivrés par l’établissement d’enseignement secondaire spécialisé selon les mêmes modalités que dans l’enseignement secondaire spécialisé de plein exercice.</w:t>
      </w:r>
    </w:p>
    <w:p w:rsidR="00F04EEF" w:rsidRDefault="0099351E">
      <w:pPr>
        <w:jc w:val="both"/>
      </w:pPr>
      <w:r>
        <w:rPr>
          <w:noProof/>
          <w:lang w:eastAsia="fr-BE"/>
        </w:rPr>
        <mc:AlternateContent>
          <mc:Choice Requires="wps">
            <w:drawing>
              <wp:anchor distT="0" distB="0" distL="114300" distR="114300" simplePos="0" relativeHeight="252336128" behindDoc="0" locked="0" layoutInCell="1" allowOverlap="1">
                <wp:simplePos x="0" y="0"/>
                <wp:positionH relativeFrom="column">
                  <wp:posOffset>6367145</wp:posOffset>
                </wp:positionH>
                <wp:positionV relativeFrom="paragraph">
                  <wp:posOffset>229869</wp:posOffset>
                </wp:positionV>
                <wp:extent cx="0" cy="466725"/>
                <wp:effectExtent l="0" t="0" r="19050" b="28575"/>
                <wp:wrapNone/>
                <wp:docPr id="158" name="Connecteur droit 158"/>
                <wp:cNvGraphicFramePr/>
                <a:graphic xmlns:a="http://schemas.openxmlformats.org/drawingml/2006/main">
                  <a:graphicData uri="http://schemas.microsoft.com/office/word/2010/wordprocessingShape">
                    <wps:wsp>
                      <wps:cNvCnPr/>
                      <wps:spPr>
                        <a:xfrm>
                          <a:off x="0" y="0"/>
                          <a:ext cx="0" cy="4667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417A8F" id="Connecteur droit 158" o:spid="_x0000_s1026" style="position:absolute;z-index:25233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35pt,18.1pt" to="501.35pt,5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" strokecolor="black [3213]"/>
            </w:pict>
          </mc:Fallback>
        </mc:AlternateContent>
      </w:r>
    </w:p>
    <w:p w:rsidR="00F04EEF" w:rsidRDefault="0099351E">
      <w:pPr>
        <w:suppressAutoHyphens/>
        <w:autoSpaceDE w:val="0"/>
        <w:autoSpaceDN w:val="0"/>
        <w:adjustRightInd w:val="0"/>
        <w:jc w:val="both"/>
        <w:rPr>
          <w:rFonts w:ascii="Cambria" w:eastAsia="Times New Roman" w:hAnsi="Cambria" w:cs="Calibri"/>
          <w:szCs w:val="24"/>
        </w:rPr>
      </w:pPr>
      <w:r>
        <w:rPr>
          <w:noProof/>
          <w:lang w:eastAsia="fr-BE"/>
        </w:rPr>
        <mc:AlternateContent>
          <mc:Choice Requires="wps">
            <w:drawing>
              <wp:anchor distT="0" distB="0" distL="114300" distR="114300" simplePos="0" relativeHeight="252338176" behindDoc="0" locked="0" layoutInCell="1" allowOverlap="1">
                <wp:simplePos x="0" y="0"/>
                <wp:positionH relativeFrom="column">
                  <wp:posOffset>0</wp:posOffset>
                </wp:positionH>
                <wp:positionV relativeFrom="paragraph">
                  <wp:posOffset>0</wp:posOffset>
                </wp:positionV>
                <wp:extent cx="0" cy="152400"/>
                <wp:effectExtent l="0" t="0" r="19050" b="19050"/>
                <wp:wrapNone/>
                <wp:docPr id="159" name="Connecteur droit 15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F7C0575" id="Connecteur droit 159" o:spid="_x0000_s1026" style="position:absolute;z-index:25233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0" to="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" strokecolor="black [3213]"/>
            </w:pict>
          </mc:Fallback>
        </mc:AlternateContent>
      </w:r>
      <w:r>
        <w:rPr>
          <w:rFonts w:ascii="Cambria" w:eastAsia="Times New Roman" w:hAnsi="Cambria" w:cs="Calibri"/>
          <w:szCs w:val="24"/>
        </w:rPr>
        <w:t>Les certificats de qualification de forme 3 ainsi que les certificats de qualification de sixième année, de septième année de forme 4, les certificats d’études de sixième et de septième année sont édités par le Service de l’Enseignement spécialisé de la Direction générale de l’Enseignement obligatoire.</w:t>
      </w:r>
    </w:p>
    <w:p w:rsidR="00F04EEF" w:rsidRDefault="00F04EEF">
      <w:pPr>
        <w:jc w:val="both"/>
      </w:pPr>
    </w:p>
    <w:p w:rsidR="00F04EEF" w:rsidRDefault="0099351E">
      <w:pPr>
        <w:jc w:val="both"/>
      </w:pPr>
      <w:r>
        <w:t>Les modèles de certificats et attestations sont annexés à la présente circulaire.</w:t>
      </w:r>
    </w:p>
    <w:p w:rsidR="00F04EEF" w:rsidRDefault="00F04EEF"/>
    <w:p w:rsidR="00F04EEF" w:rsidRDefault="00F04EEF"/>
    <w:p w:rsidR="00F04EEF" w:rsidRDefault="0099351E">
      <w:pPr>
        <w:rPr>
          <w:b/>
          <w:u w:val="single"/>
        </w:rPr>
      </w:pPr>
      <w:bookmarkStart w:id="3963" w:name="_5._Modalités_de"/>
      <w:bookmarkStart w:id="3964" w:name="__RefHeading__339_957262308"/>
      <w:bookmarkStart w:id="3965" w:name="_Toc291075587"/>
      <w:bookmarkStart w:id="3966" w:name="_Toc291076011"/>
      <w:bookmarkStart w:id="3967" w:name="_Toc291076435"/>
      <w:bookmarkStart w:id="3968" w:name="_Toc291076859"/>
      <w:bookmarkStart w:id="3969" w:name="_Toc291077283"/>
      <w:bookmarkStart w:id="3970" w:name="_Toc293652125"/>
      <w:bookmarkStart w:id="3971" w:name="_Toc293653707"/>
      <w:bookmarkStart w:id="3972" w:name="_Toc293654319"/>
      <w:bookmarkStart w:id="3973" w:name="_Toc294004899"/>
      <w:bookmarkStart w:id="3974" w:name="_Toc294185395"/>
      <w:bookmarkStart w:id="3975" w:name="_Toc324166225"/>
      <w:bookmarkStart w:id="3976" w:name="_Toc324767262"/>
      <w:bookmarkStart w:id="3977" w:name="_Toc414352939"/>
      <w:bookmarkStart w:id="3978" w:name="_Toc453836963"/>
      <w:bookmarkEnd w:id="3963"/>
      <w:bookmarkEnd w:id="3964"/>
      <w:r>
        <w:br w:type="page"/>
      </w:r>
    </w:p>
    <w:p w:rsidR="00F04EEF" w:rsidRDefault="0099351E">
      <w:pPr>
        <w:pStyle w:val="Titre3"/>
        <w:rPr>
          <w:sz w:val="22"/>
          <w:szCs w:val="22"/>
        </w:rPr>
      </w:pPr>
      <w:bookmarkStart w:id="3979" w:name="_Toc47708649"/>
      <w:r>
        <w:rPr>
          <w:sz w:val="22"/>
          <w:szCs w:val="22"/>
        </w:rPr>
        <w:t>5. Modalités de coopération avec le CEFA</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rsidR="00F04EEF" w:rsidRDefault="00F04EEF">
      <w:pPr>
        <w:rPr>
          <w:b/>
          <w:bCs/>
        </w:rPr>
      </w:pPr>
    </w:p>
    <w:p w:rsidR="00F04EEF" w:rsidRDefault="0099351E">
      <w:pPr>
        <w:jc w:val="both"/>
      </w:pPr>
      <w:r>
        <w:t xml:space="preserve">Une convention de collaboration est signée par le CEFA et l’établissement d’enseignement secondaire spécialisé conformément au modèle repris </w:t>
      </w:r>
      <w:hyperlink w:anchor="_Annexe_23_:_1" w:history="1">
        <w:r>
          <w:rPr>
            <w:rStyle w:val="Lienhypertexte"/>
            <w:rFonts w:cstheme="minorBidi"/>
          </w:rPr>
          <w:t xml:space="preserve">à </w:t>
        </w:r>
        <w:r>
          <w:rPr>
            <w:rStyle w:val="Lienhypertexte"/>
            <w:rFonts w:cs="Arial"/>
          </w:rPr>
          <w:t>l’annexe 23</w:t>
        </w:r>
      </w:hyperlink>
      <w:r>
        <w:t xml:space="preserve"> du présent chapitre. Ce document est conservé dans les deux établissements à disposition du service de vérification.</w:t>
      </w:r>
    </w:p>
    <w:p w:rsidR="00F04EEF" w:rsidRDefault="00F04EEF">
      <w:pPr>
        <w:jc w:val="both"/>
      </w:pPr>
    </w:p>
    <w:p w:rsidR="00F04EEF" w:rsidRDefault="0099351E">
      <w:pPr>
        <w:jc w:val="both"/>
      </w:pPr>
      <w:r>
        <w:t>Les formations visées à l’article 2bis, §1er, 3°, sont arrêtées, par le CEFA sur décision prise aux deux tiers des membres présents au Conseil de direction et après s’être assuré que l’établissement où sera organisée la formation a obtenu l’accord de son pouvoir organisateur.</w:t>
      </w:r>
    </w:p>
    <w:p w:rsidR="00F04EEF" w:rsidRDefault="00F04EEF">
      <w:pPr>
        <w:jc w:val="both"/>
      </w:pPr>
    </w:p>
    <w:p w:rsidR="00F04EEF" w:rsidRDefault="0099351E">
      <w:pPr>
        <w:jc w:val="both"/>
      </w:pPr>
      <w:r>
        <w:t xml:space="preserve">Le CEFA transmet pour le 1er octobre à l’Administration et à l’Inspecteur coordonnateur de l’enseignement spécialisé la liste des formations en alternance et la liste des élèves de l’enseignement spécialisé en alternance concernés. Toute modification de ces listes fait l’objet d’un nouvel envoi. Les informations à reprendre dans cette liste sont les suivantes : nom de l’élève, prénom de l’élève, date de naissance, phase, métier, nom et adresse de l’école d’enseignement spécialisé coopérante. </w:t>
      </w:r>
    </w:p>
    <w:p w:rsidR="00F04EEF" w:rsidRDefault="00F04EEF">
      <w:pPr>
        <w:jc w:val="center"/>
      </w:pP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5080"/>
      </w:tblGrid>
      <w:tr w:rsidR="00F04EEF">
        <w:tc>
          <w:tcPr>
            <w:tcW w:w="4968" w:type="dxa"/>
          </w:tcPr>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pPr>
            <w:r>
              <w:t>Monsieur William FUCHS</w:t>
            </w:r>
          </w:p>
          <w:p w:rsidR="00F04EEF" w:rsidRDefault="0099351E">
            <w:pPr>
              <w:jc w:val="center"/>
            </w:pPr>
            <w:r>
              <w:t>Directeur</w:t>
            </w:r>
          </w:p>
          <w:p w:rsidR="00F04EEF" w:rsidRDefault="0099351E">
            <w:pPr>
              <w:jc w:val="center"/>
            </w:pPr>
            <w:r>
              <w:t>Rue Adolphe Lavallée, 1</w:t>
            </w:r>
          </w:p>
          <w:p w:rsidR="00F04EEF" w:rsidRDefault="0099351E">
            <w:pPr>
              <w:jc w:val="center"/>
            </w:pPr>
            <w:r>
              <w:t>1080   BRUXELLES</w:t>
            </w:r>
          </w:p>
          <w:p w:rsidR="00F04EEF" w:rsidRDefault="0099351E">
            <w:pPr>
              <w:jc w:val="center"/>
            </w:pPr>
            <w:r>
              <w:sym w:font="Wingdings" w:char="F028"/>
            </w:r>
            <w:r>
              <w:t xml:space="preserve"> : 02/690.83.94 </w:t>
            </w:r>
          </w:p>
          <w:p w:rsidR="00F04EEF" w:rsidRDefault="0099351E">
            <w:pPr>
              <w:jc w:val="center"/>
            </w:pPr>
            <w:r>
              <w:rPr>
                <w:bCs/>
              </w:rPr>
              <w:sym w:font="Wingdings" w:char="F03A"/>
            </w:r>
            <w:r>
              <w:rPr>
                <w:bCs/>
              </w:rPr>
              <w:t> :</w:t>
            </w:r>
            <w:r>
              <w:t xml:space="preserve"> </w:t>
            </w:r>
            <w:hyperlink r:id="rId332" w:history="1">
              <w:r>
                <w:rPr>
                  <w:rStyle w:val="Lienhypertexte"/>
                  <w:rFonts w:cs="Arial"/>
                </w:rPr>
                <w:t>william.fuchs@cfwb.be</w:t>
              </w:r>
            </w:hyperlink>
          </w:p>
        </w:tc>
        <w:tc>
          <w:tcPr>
            <w:tcW w:w="5080" w:type="dxa"/>
          </w:tcPr>
          <w:p w:rsidR="00F04EEF" w:rsidRDefault="0099351E">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général de l’Inspection</w:t>
            </w:r>
          </w:p>
          <w:p w:rsidR="00F04EEF" w:rsidRDefault="0099351E">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Service de l’Inspection de l’Enseignement spécialisé</w:t>
            </w:r>
          </w:p>
          <w:p w:rsidR="00F04EEF" w:rsidRDefault="0099351E">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Monsieur Pierre FENAILLE</w:t>
            </w:r>
          </w:p>
          <w:p w:rsidR="00F04EEF" w:rsidRDefault="0099351E">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Inspecteur coordonnateur</w:t>
            </w:r>
          </w:p>
          <w:p w:rsidR="00F04EEF" w:rsidRDefault="0099351E">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3PO5</w:t>
            </w:r>
          </w:p>
          <w:p w:rsidR="00F04EEF" w:rsidRDefault="0099351E">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rsidR="00F04EEF" w:rsidRDefault="0099351E">
            <w:pPr>
              <w:jc w:val="center"/>
            </w:pPr>
            <w:r>
              <w:t>1080  BRUXELLES</w:t>
            </w:r>
          </w:p>
          <w:p w:rsidR="00F04EEF" w:rsidRDefault="0099351E">
            <w:pPr>
              <w:jc w:val="center"/>
            </w:pPr>
            <w:r>
              <w:sym w:font="Wingdings" w:char="F028"/>
            </w:r>
            <w:r>
              <w:t xml:space="preserve"> : 02/690.80.80 </w:t>
            </w:r>
            <w:r>
              <w:rPr>
                <w:bCs/>
              </w:rPr>
              <w:sym w:font="Wingdings" w:char="F03A"/>
            </w:r>
            <w:r>
              <w:rPr>
                <w:bCs/>
              </w:rPr>
              <w:t> :</w:t>
            </w:r>
            <w:r>
              <w:t xml:space="preserve"> </w:t>
            </w:r>
            <w:hyperlink r:id="rId333" w:history="1">
              <w:r>
                <w:rPr>
                  <w:rStyle w:val="Lienhypertexte"/>
                  <w:rFonts w:cs="Arial"/>
                </w:rPr>
                <w:t>pierre.fenaille@cfwb.be</w:t>
              </w:r>
            </w:hyperlink>
          </w:p>
        </w:tc>
      </w:tr>
    </w:tbl>
    <w:p w:rsidR="00F04EEF" w:rsidRDefault="00F04EEF">
      <w:bookmarkStart w:id="3980" w:name="__RefHeading__341_957262308"/>
      <w:bookmarkStart w:id="3981" w:name="_Toc291075588"/>
      <w:bookmarkStart w:id="3982" w:name="_Toc291076012"/>
      <w:bookmarkStart w:id="3983" w:name="_Toc291076436"/>
      <w:bookmarkStart w:id="3984" w:name="_Toc291076860"/>
      <w:bookmarkStart w:id="3985" w:name="_Toc291077284"/>
      <w:bookmarkStart w:id="3986" w:name="_Toc293652126"/>
      <w:bookmarkStart w:id="3987" w:name="_Toc293653708"/>
      <w:bookmarkStart w:id="3988" w:name="_Toc293654320"/>
      <w:bookmarkStart w:id="3989" w:name="_Toc294004900"/>
      <w:bookmarkStart w:id="3990" w:name="_Toc294185396"/>
      <w:bookmarkStart w:id="3991" w:name="_Toc324166226"/>
      <w:bookmarkStart w:id="3992" w:name="_Toc324767263"/>
      <w:bookmarkStart w:id="3993" w:name="_Toc414352940"/>
      <w:bookmarkStart w:id="3994" w:name="_Toc453836964"/>
      <w:bookmarkEnd w:id="3980"/>
    </w:p>
    <w:p w:rsidR="00F04EEF" w:rsidRDefault="0099351E">
      <w:pPr>
        <w:pStyle w:val="Titre3"/>
        <w:rPr>
          <w:sz w:val="22"/>
          <w:szCs w:val="22"/>
        </w:rPr>
      </w:pPr>
      <w:bookmarkStart w:id="3995" w:name="_Toc47708650"/>
      <w:r>
        <w:rPr>
          <w:sz w:val="22"/>
          <w:szCs w:val="22"/>
        </w:rPr>
        <w:t>6. Recours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rsidR="00F04EEF" w:rsidRDefault="00F04EEF">
      <w:pPr>
        <w:jc w:val="both"/>
        <w:rPr>
          <w:bCs/>
        </w:rPr>
      </w:pPr>
    </w:p>
    <w:p w:rsidR="00F04EEF" w:rsidRDefault="0099351E">
      <w:pPr>
        <w:jc w:val="both"/>
        <w:rPr>
          <w:bCs/>
        </w:rPr>
      </w:pPr>
      <w:r>
        <w:rPr>
          <w:bCs/>
        </w:rPr>
        <w:t xml:space="preserve">En cas de refus du Centre d’Education et de Formation en Alternance, tant pour la demande de coopération visée au </w:t>
      </w:r>
      <w:hyperlink w:anchor="_3._Modalités_d’organisation" w:history="1">
        <w:r>
          <w:rPr>
            <w:rStyle w:val="Lienhypertexte"/>
            <w:rFonts w:cs="Arial"/>
            <w:bCs/>
          </w:rPr>
          <w:t>point 3</w:t>
        </w:r>
      </w:hyperlink>
      <w:r>
        <w:rPr>
          <w:rStyle w:val="Lienhypertexte"/>
          <w:rFonts w:cs="Arial"/>
          <w:bCs/>
        </w:rPr>
        <w:t xml:space="preserve"> </w:t>
      </w:r>
      <w:r>
        <w:rPr>
          <w:bCs/>
        </w:rPr>
        <w:t xml:space="preserve">alinéa 5 que pour les formations visées au </w:t>
      </w:r>
      <w:hyperlink w:anchor="_5._Modalités_de" w:history="1">
        <w:r>
          <w:rPr>
            <w:rStyle w:val="Lienhypertexte"/>
            <w:rFonts w:cs="Arial"/>
            <w:bCs/>
          </w:rPr>
          <w:t>point 5</w:t>
        </w:r>
      </w:hyperlink>
      <w:r>
        <w:rPr>
          <w:bCs/>
        </w:rPr>
        <w:t xml:space="preserve"> alinéa 2, l’établissement d’enseignement spécialisé dispose d’un droit de recours.</w:t>
      </w:r>
    </w:p>
    <w:p w:rsidR="00F04EEF" w:rsidRDefault="00F04EEF">
      <w:pPr>
        <w:jc w:val="both"/>
        <w:rPr>
          <w:bCs/>
        </w:rPr>
      </w:pPr>
    </w:p>
    <w:p w:rsidR="00F04EEF" w:rsidRDefault="0099351E">
      <w:pPr>
        <w:jc w:val="both"/>
        <w:rPr>
          <w:bCs/>
        </w:rPr>
      </w:pPr>
      <w:r>
        <w:rPr>
          <w:bCs/>
        </w:rPr>
        <w:t>Les recours doivent être adressés au Président du Comité de concertation du caractère concerné. Les décisions sont prises à la majorité simple. Dans le cas où le recours est rejeté, le comité de concertation doit en motiver les raisons pertinentes auprès de l’établissement d’enseignement secondaire spécialisé.</w:t>
      </w:r>
    </w:p>
    <w:p w:rsidR="00F04EEF" w:rsidRDefault="00F04EEF">
      <w:pPr>
        <w:jc w:val="both"/>
        <w:rPr>
          <w:b/>
          <w:bCs/>
        </w:rPr>
      </w:pPr>
    </w:p>
    <w:p w:rsidR="00F04EEF" w:rsidRDefault="0099351E">
      <w:pPr>
        <w:pStyle w:val="Titre3"/>
        <w:rPr>
          <w:sz w:val="22"/>
          <w:szCs w:val="22"/>
        </w:rPr>
      </w:pPr>
      <w:bookmarkStart w:id="3996" w:name="_7._Comptabilisation_de"/>
      <w:bookmarkStart w:id="3997" w:name="__RefHeading__343_957262308"/>
      <w:bookmarkStart w:id="3998" w:name="_Toc291075589"/>
      <w:bookmarkStart w:id="3999" w:name="_Toc291076013"/>
      <w:bookmarkStart w:id="4000" w:name="_Toc291076437"/>
      <w:bookmarkStart w:id="4001" w:name="_Toc291076861"/>
      <w:bookmarkStart w:id="4002" w:name="_Toc291077285"/>
      <w:bookmarkStart w:id="4003" w:name="_Toc293652127"/>
      <w:bookmarkStart w:id="4004" w:name="_Toc293653709"/>
      <w:bookmarkStart w:id="4005" w:name="_Toc293654321"/>
      <w:bookmarkStart w:id="4006" w:name="_Toc294004901"/>
      <w:bookmarkStart w:id="4007" w:name="_Toc294185397"/>
      <w:bookmarkStart w:id="4008" w:name="_Toc324166227"/>
      <w:bookmarkStart w:id="4009" w:name="_Toc324767264"/>
      <w:bookmarkStart w:id="4010" w:name="_Toc414352941"/>
      <w:bookmarkStart w:id="4011" w:name="_Toc453836965"/>
      <w:bookmarkStart w:id="4012" w:name="_Toc47708651"/>
      <w:bookmarkEnd w:id="3996"/>
      <w:bookmarkEnd w:id="3997"/>
      <w:r>
        <w:rPr>
          <w:sz w:val="22"/>
          <w:szCs w:val="22"/>
        </w:rPr>
        <w:t>7. Comptabilisation de l’élève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r>
        <w:rPr>
          <w:sz w:val="22"/>
          <w:szCs w:val="22"/>
        </w:rPr>
        <w:t xml:space="preserve"> </w:t>
      </w:r>
    </w:p>
    <w:p w:rsidR="00F04EEF" w:rsidRDefault="00F04EEF">
      <w:pPr>
        <w:rPr>
          <w:b/>
          <w:bCs/>
        </w:rPr>
      </w:pPr>
    </w:p>
    <w:p w:rsidR="00F04EEF" w:rsidRDefault="0099351E">
      <w:pPr>
        <w:rPr>
          <w:b/>
        </w:rPr>
      </w:pPr>
      <w:r>
        <w:rPr>
          <w:rFonts w:ascii="Times New Roman" w:hAnsi="Times New Roman" w:cs="Times New Roman"/>
          <w:b/>
        </w:rPr>
        <w:t>▪</w:t>
      </w:r>
      <w:r>
        <w:rPr>
          <w:b/>
        </w:rPr>
        <w:t xml:space="preserve"> Dans l’enseignement spécialisé :</w:t>
      </w:r>
    </w:p>
    <w:p w:rsidR="00F04EEF" w:rsidRDefault="0099351E">
      <w:pPr>
        <w:rPr>
          <w:b/>
        </w:rPr>
      </w:pPr>
      <w:r>
        <w:rPr>
          <w:b/>
        </w:rPr>
        <w:t xml:space="preserve"> </w:t>
      </w: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Tout élève est comptabilisé selon les modalités prévues par le Décret du 3 mars 2004 organisant l’enseignement spécialisé en fonction du type et de la forme d’enseignement spécialisé.</w:t>
      </w:r>
    </w:p>
    <w:p w:rsidR="00F04EEF" w:rsidRDefault="00F04EEF"/>
    <w:p w:rsidR="00F04EEF" w:rsidRDefault="0099351E">
      <w:pPr>
        <w:rPr>
          <w:b/>
        </w:rPr>
      </w:pPr>
      <w:r>
        <w:rPr>
          <w:rFonts w:ascii="Times New Roman" w:hAnsi="Times New Roman" w:cs="Times New Roman"/>
          <w:b/>
        </w:rPr>
        <w:t>▪</w:t>
      </w:r>
      <w:r>
        <w:rPr>
          <w:b/>
        </w:rPr>
        <w:t xml:space="preserve"> Dans le CEFA : </w:t>
      </w:r>
    </w:p>
    <w:p w:rsidR="00F04EEF" w:rsidRDefault="00F04EEF">
      <w:pPr>
        <w:rPr>
          <w:b/>
        </w:rPr>
      </w:pPr>
    </w:p>
    <w:p w:rsidR="00F04EEF" w:rsidRDefault="0099351E">
      <w:pPr>
        <w:jc w:val="both"/>
      </w:pPr>
      <w:r>
        <w:t>Sur base de la situation au 15 janvier, l’élève qui suit une formation en alternance génère pour le CEFA un capital-périodes qui lui est attribué à partir du 1</w:t>
      </w:r>
      <w:r>
        <w:rPr>
          <w:vertAlign w:val="superscript"/>
        </w:rPr>
        <w:t>er</w:t>
      </w:r>
      <w:r>
        <w:t xml:space="preserve"> septembre de l’année scolaire suivante. (Article 15 §3 du Décret du 3 juillet 1991 organisant l’enseignement secondaire en alternance).</w:t>
      </w:r>
    </w:p>
    <w:p w:rsidR="00F04EEF" w:rsidRDefault="00F04EEF">
      <w:pPr>
        <w:jc w:val="both"/>
      </w:pPr>
    </w:p>
    <w:p w:rsidR="00F04EEF" w:rsidRDefault="0099351E">
      <w:pPr>
        <w:numPr>
          <w:ilvl w:val="0"/>
          <w:numId w:val="167"/>
        </w:numPr>
        <w:suppressAutoHyphens/>
        <w:jc w:val="both"/>
      </w:pPr>
      <w:r>
        <w:t>0,85 période hebdomadaire d’accompagnement est accordée au CEFA pour tout élève soumis à l’obligation scolaire à temps partiel régulièrement inscrit dans l’enseignement secondaire spécialisé et placé dans une situation d’alternance ;</w:t>
      </w:r>
    </w:p>
    <w:p w:rsidR="00F04EEF" w:rsidRDefault="0099351E">
      <w:pPr>
        <w:numPr>
          <w:ilvl w:val="0"/>
          <w:numId w:val="167"/>
        </w:numPr>
        <w:suppressAutoHyphens/>
        <w:jc w:val="both"/>
      </w:pPr>
      <w:r>
        <w:t>0,50 période hebdomadaire d’accompagnement est accordée au CEFA pour tout élève non soumis à l’obligation scolaire à temps partiel régulièrement inscrit dans l’enseignement secondaire spécialisé et placé dans une situation d’alternance ;</w:t>
      </w:r>
    </w:p>
    <w:p w:rsidR="00F04EEF" w:rsidRDefault="00F04EEF">
      <w:pPr>
        <w:jc w:val="both"/>
      </w:pPr>
    </w:p>
    <w:p w:rsidR="00F04EEF" w:rsidRDefault="0099351E">
      <w:pPr>
        <w:jc w:val="both"/>
      </w:pPr>
      <w:r>
        <w:t>Pour le calcul des périodes d’accompagnement visé ci-dessus, sont pris en considération les élèves inscrits au 15 janvier de l’année scolaire précédente, qui remplissaient à cette date, pour ce qui concerne les douze mois précédents, les conditions de fréquentation régulière des cours et des stages ou conventions au sein de l’établissement d’enseignement spécialisé où ils sont inscrits.</w:t>
      </w:r>
    </w:p>
    <w:p w:rsidR="00F04EEF" w:rsidRDefault="00F04EEF">
      <w:pPr>
        <w:jc w:val="both"/>
      </w:pPr>
    </w:p>
    <w:p w:rsidR="00F04EEF" w:rsidRDefault="0099351E">
      <w:pPr>
        <w:jc w:val="both"/>
      </w:pPr>
      <w:r>
        <w:t>L’attribution des périodes d’accompagnement au CEFA demeure acquise en cas d’exclusion définitive de l’élève de l’établissement d’enseignement spécialisé coopérant ou en cas de rupture du contrat après le 15 janvier de l’année scolaire précédente.</w:t>
      </w:r>
    </w:p>
    <w:p w:rsidR="00F04EEF" w:rsidRDefault="00F04EEF">
      <w:pPr>
        <w:jc w:val="both"/>
      </w:pPr>
    </w:p>
    <w:p w:rsidR="00F04EEF" w:rsidRDefault="0099351E">
      <w:pPr>
        <w:jc w:val="both"/>
      </w:pPr>
      <w:r>
        <w:t xml:space="preserve">Ce capital-périodes est prélevé sur le capital-périodes enseignant utilisable de l’école d’enseignement secondaire spécialisé concernée. La somme des capitaux-périodes transférés au CEFA est arrondie à l’unité supérieure. </w:t>
      </w:r>
    </w:p>
    <w:p w:rsidR="00F04EEF" w:rsidRDefault="0099351E">
      <w:pPr>
        <w:jc w:val="both"/>
      </w:pPr>
      <w:r>
        <w:t xml:space="preserve">La dépêche 101, qui précise l’encadrement de l’enseignement spécialisé, mentionnera le détail de ce calcul pour l’établissement.   </w:t>
      </w:r>
    </w:p>
    <w:p w:rsidR="00F04EEF" w:rsidRDefault="00F04EEF"/>
    <w:p w:rsidR="00F04EEF" w:rsidRDefault="0099351E">
      <w:pPr>
        <w:pStyle w:val="Titre3"/>
        <w:rPr>
          <w:sz w:val="22"/>
          <w:szCs w:val="22"/>
        </w:rPr>
      </w:pPr>
      <w:bookmarkStart w:id="4013" w:name="__RefHeading__345_957262308"/>
      <w:bookmarkStart w:id="4014" w:name="_Toc291075590"/>
      <w:bookmarkStart w:id="4015" w:name="_Toc291076014"/>
      <w:bookmarkStart w:id="4016" w:name="_Toc291076438"/>
      <w:bookmarkStart w:id="4017" w:name="_Toc291076862"/>
      <w:bookmarkStart w:id="4018" w:name="_Toc291077286"/>
      <w:bookmarkStart w:id="4019" w:name="_Toc293652128"/>
      <w:bookmarkStart w:id="4020" w:name="_Toc293653710"/>
      <w:bookmarkStart w:id="4021" w:name="_Toc293654322"/>
      <w:bookmarkStart w:id="4022" w:name="_Toc294004902"/>
      <w:bookmarkStart w:id="4023" w:name="_Toc294185398"/>
      <w:bookmarkStart w:id="4024" w:name="_Toc324166228"/>
      <w:bookmarkStart w:id="4025" w:name="_Toc324767265"/>
      <w:bookmarkStart w:id="4026" w:name="_Toc414352942"/>
      <w:bookmarkStart w:id="4027" w:name="_Toc453836966"/>
      <w:bookmarkStart w:id="4028" w:name="_Toc47708652"/>
      <w:bookmarkEnd w:id="4013"/>
      <w:r>
        <w:rPr>
          <w:sz w:val="22"/>
          <w:szCs w:val="22"/>
        </w:rPr>
        <w:t>8. Modalités particulières d’organisation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rsidR="00F04EEF" w:rsidRDefault="00F04EEF">
      <w:pPr>
        <w:rPr>
          <w:b/>
        </w:rPr>
      </w:pPr>
    </w:p>
    <w:p w:rsidR="00F04EEF" w:rsidRDefault="0099351E">
      <w:pPr>
        <w:pStyle w:val="Titre4"/>
      </w:pPr>
      <w:bookmarkStart w:id="4029" w:name="_Toc414352943"/>
      <w:bookmarkStart w:id="4030" w:name="_Toc453836967"/>
      <w:r>
        <w:t>8.1 Parents</w:t>
      </w:r>
      <w:bookmarkEnd w:id="4029"/>
      <w:bookmarkEnd w:id="4030"/>
      <w:r>
        <w:t xml:space="preserve"> </w:t>
      </w:r>
    </w:p>
    <w:p w:rsidR="00F04EEF" w:rsidRDefault="00F04EEF">
      <w:pPr>
        <w:rPr>
          <w:b/>
        </w:rPr>
      </w:pPr>
    </w:p>
    <w:p w:rsidR="00F04EEF" w:rsidRDefault="0099351E">
      <w:pPr>
        <w:jc w:val="both"/>
      </w:pPr>
      <w:r>
        <w:t xml:space="preserve">Vu le caractère complexe de l’enseignement en alternance, l’ensemble de ces dispositions doit associer l’élève, les équipes pédagogiques et les personnes investies de l’autorité parentale si l’élève est mineur. </w:t>
      </w:r>
    </w:p>
    <w:p w:rsidR="00F04EEF" w:rsidRDefault="00F04EEF">
      <w:pPr>
        <w:rPr>
          <w:b/>
        </w:rPr>
      </w:pPr>
    </w:p>
    <w:p w:rsidR="00F04EEF" w:rsidRDefault="0099351E">
      <w:pPr>
        <w:pStyle w:val="Titre4"/>
      </w:pPr>
      <w:bookmarkStart w:id="4031" w:name="_Toc414352944"/>
      <w:bookmarkStart w:id="4032" w:name="_Toc453836968"/>
      <w:r>
        <w:t>8.2 Guidance CPMS</w:t>
      </w:r>
      <w:bookmarkEnd w:id="4031"/>
      <w:bookmarkEnd w:id="4032"/>
      <w:r>
        <w:t xml:space="preserve"> </w:t>
      </w:r>
    </w:p>
    <w:p w:rsidR="00F04EEF" w:rsidRDefault="00F04EEF">
      <w:pPr>
        <w:rPr>
          <w:b/>
        </w:rPr>
      </w:pPr>
    </w:p>
    <w:p w:rsidR="00F04EEF" w:rsidRDefault="0099351E">
      <w:pPr>
        <w:jc w:val="both"/>
      </w:pPr>
      <w:r>
        <w:t>La guidance des élèves inscrits dans une formation en alternance est assurée par le CPMS de l’établissement d’enseignement secondaire spécialisé.</w:t>
      </w:r>
    </w:p>
    <w:p w:rsidR="00F04EEF" w:rsidRDefault="00F04EEF">
      <w:pPr>
        <w:jc w:val="both"/>
      </w:pPr>
    </w:p>
    <w:p w:rsidR="00F04EEF" w:rsidRDefault="0099351E">
      <w:pPr>
        <w:pStyle w:val="Titre4"/>
      </w:pPr>
      <w:bookmarkStart w:id="4033" w:name="_Toc414352945"/>
      <w:bookmarkStart w:id="4034" w:name="_Toc453836969"/>
      <w:r>
        <w:t>8.3 Suspension ou résiliation d’un contrat ou d’une convention</w:t>
      </w:r>
      <w:bookmarkEnd w:id="4033"/>
      <w:bookmarkEnd w:id="4034"/>
    </w:p>
    <w:p w:rsidR="00F04EEF" w:rsidRDefault="00F04EEF">
      <w:pPr>
        <w:jc w:val="both"/>
        <w:rPr>
          <w:b/>
        </w:rPr>
      </w:pPr>
    </w:p>
    <w:p w:rsidR="00F04EEF" w:rsidRDefault="0099351E">
      <w:pPr>
        <w:jc w:val="both"/>
      </w:pPr>
      <w:r>
        <w:t>En cas de suspension ou de résiliation d’un contrat d’apprentissage de professions exercées par les travailleurs salariés, d’une convention emploi-formation, d’une convention d’insertion socioprofessionnelle ou de toute autre forme de contrat reconnu par la législation du travail, l’élève réintègre l’école d’enseignement spécialisé à temps plein.</w:t>
      </w:r>
    </w:p>
    <w:p w:rsidR="00F04EEF" w:rsidRDefault="0099351E">
      <w:pPr>
        <w:jc w:val="both"/>
      </w:pPr>
      <w:r>
        <w:t>Il revient au conseil de classe de déterminer si l’élève doit être maintenu dans une grille alternance ou dans une grille de plein exercice.</w:t>
      </w:r>
    </w:p>
    <w:p w:rsidR="00F04EEF" w:rsidRDefault="00F04EEF">
      <w:pPr>
        <w:jc w:val="both"/>
      </w:pPr>
    </w:p>
    <w:p w:rsidR="00F04EEF" w:rsidRDefault="0099351E">
      <w:pPr>
        <w:pStyle w:val="Titre4"/>
      </w:pPr>
      <w:bookmarkStart w:id="4035" w:name="_Toc414352946"/>
      <w:bookmarkStart w:id="4036" w:name="_Toc453836970"/>
      <w:r>
        <w:t>8.4 Grilles horaires</w:t>
      </w:r>
      <w:bookmarkEnd w:id="4035"/>
      <w:bookmarkEnd w:id="4036"/>
    </w:p>
    <w:p w:rsidR="00F04EEF" w:rsidRDefault="00F04EEF">
      <w:pPr>
        <w:jc w:val="both"/>
      </w:pPr>
    </w:p>
    <w:p w:rsidR="00F04EEF" w:rsidRDefault="0099351E">
      <w:pPr>
        <w:numPr>
          <w:ilvl w:val="0"/>
          <w:numId w:val="168"/>
        </w:numPr>
        <w:suppressAutoHyphens/>
        <w:jc w:val="both"/>
      </w:pPr>
      <w:r>
        <w:t>Les grilles horaires permettent d’avertir l’Administration que l’école souhaite organiser l’alternance. L’envoi de ces grilles est simultané avec celui des grilles du plein exercice.</w:t>
      </w:r>
    </w:p>
    <w:p w:rsidR="00F04EEF" w:rsidRDefault="0099351E">
      <w:pPr>
        <w:numPr>
          <w:ilvl w:val="0"/>
          <w:numId w:val="168"/>
        </w:numPr>
        <w:suppressAutoHyphens/>
        <w:jc w:val="both"/>
      </w:pPr>
      <w:r>
        <w:t>Pour le module de préparation à l’alternance, organisé en phase 2 ou en phase 3, les grilles spécifiques sont établies en conformité avec la grille de référence de plein exercice du réseau</w:t>
      </w:r>
    </w:p>
    <w:p w:rsidR="00F04EEF" w:rsidRDefault="0099351E">
      <w:pPr>
        <w:numPr>
          <w:ilvl w:val="0"/>
          <w:numId w:val="168"/>
        </w:numPr>
        <w:suppressAutoHyphens/>
        <w:jc w:val="both"/>
      </w:pPr>
      <w:r>
        <w:t>Pour les élèves en alternance, les  grilles spécifiques sont établies en conformité avec les grilles de référence du réseau.</w:t>
      </w:r>
    </w:p>
    <w:p w:rsidR="00F04EEF" w:rsidRDefault="00F04EEF">
      <w:pPr>
        <w:jc w:val="both"/>
      </w:pPr>
    </w:p>
    <w:p w:rsidR="00F04EEF" w:rsidRDefault="0099351E">
      <w:pPr>
        <w:pStyle w:val="Titre4"/>
      </w:pPr>
      <w:bookmarkStart w:id="4037" w:name="_Toc414352948"/>
      <w:bookmarkStart w:id="4038" w:name="_Toc453836971"/>
      <w:r>
        <w:t>8.5 Conseil de classe</w:t>
      </w:r>
      <w:bookmarkEnd w:id="4037"/>
      <w:bookmarkEnd w:id="4038"/>
    </w:p>
    <w:p w:rsidR="00F04EEF" w:rsidRDefault="00F04EEF">
      <w:pPr>
        <w:jc w:val="both"/>
        <w:rPr>
          <w:b/>
        </w:rPr>
      </w:pPr>
    </w:p>
    <w:p w:rsidR="00F04EEF" w:rsidRDefault="0099351E">
      <w:pPr>
        <w:jc w:val="both"/>
      </w:pPr>
      <w:r>
        <w:t>Le conseil de classe est composé de l’ensemble des membres des personnels directeur et enseignant, auxiliaire d’éducation, paramédical, psychologique et social qui ont la charge de l’instruction, de l’éducation et de la formation des élèves et qui en portent la responsabilité.</w:t>
      </w:r>
    </w:p>
    <w:p w:rsidR="00F04EEF" w:rsidRDefault="0099351E">
      <w:pPr>
        <w:jc w:val="both"/>
      </w:pPr>
      <w:r>
        <w:t>Les chefs d'atelier sont tenus de participer aux conseils de classe des secteurs professionnels relevant de leurs compétences.</w:t>
      </w:r>
    </w:p>
    <w:p w:rsidR="00F04EEF" w:rsidRDefault="0099351E">
      <w:pPr>
        <w:jc w:val="both"/>
      </w:pPr>
      <w:r>
        <w:t xml:space="preserve">Les chefs de travaux d’atelier peuvent participer aux conseils de classe. </w:t>
      </w:r>
    </w:p>
    <w:p w:rsidR="00F04EEF" w:rsidRDefault="0099351E">
      <w:pPr>
        <w:jc w:val="both"/>
      </w:pPr>
      <w:r>
        <w:t>Le coordonnateur et/ou l’accompagnateur du CEFA participe(nt) au conseil de classe.</w:t>
      </w:r>
    </w:p>
    <w:p w:rsidR="00F04EEF" w:rsidRDefault="00F04EEF"/>
    <w:p w:rsidR="00F04EEF" w:rsidRDefault="0099351E">
      <w:pPr>
        <w:pStyle w:val="Titre4"/>
      </w:pPr>
      <w:bookmarkStart w:id="4039" w:name="_8.7_Qualification"/>
      <w:bookmarkStart w:id="4040" w:name="_8.7._Qualification"/>
      <w:bookmarkStart w:id="4041" w:name="_8.6._Qualification"/>
      <w:bookmarkStart w:id="4042" w:name="_Toc414352949"/>
      <w:bookmarkStart w:id="4043" w:name="_Toc453836972"/>
      <w:bookmarkEnd w:id="4039"/>
      <w:bookmarkEnd w:id="4040"/>
      <w:bookmarkEnd w:id="4041"/>
      <w:r>
        <w:t>8.6. Qualification</w:t>
      </w:r>
      <w:bookmarkEnd w:id="4042"/>
      <w:bookmarkEnd w:id="4043"/>
    </w:p>
    <w:p w:rsidR="00F04EEF" w:rsidRDefault="00F04EEF">
      <w:pPr>
        <w:jc w:val="both"/>
        <w:rPr>
          <w:b/>
        </w:rPr>
      </w:pPr>
    </w:p>
    <w:p w:rsidR="00F04EEF" w:rsidRDefault="0099351E">
      <w:pPr>
        <w:jc w:val="both"/>
      </w:pPr>
      <w:r>
        <w:t xml:space="preserve">Le jury se compose </w:t>
      </w:r>
      <w:r>
        <w:rPr>
          <w:b/>
        </w:rPr>
        <w:t xml:space="preserve">obligatoirement </w:t>
      </w:r>
      <w:r>
        <w:t xml:space="preserve">de </w:t>
      </w:r>
      <w:r>
        <w:rPr>
          <w:b/>
        </w:rPr>
        <w:t>toutes</w:t>
      </w:r>
      <w:r>
        <w:t xml:space="preserve"> les personnes suivantes :</w:t>
      </w:r>
    </w:p>
    <w:p w:rsidR="00F04EEF" w:rsidRDefault="00F04EEF">
      <w:pPr>
        <w:jc w:val="both"/>
      </w:pPr>
    </w:p>
    <w:p w:rsidR="00F04EEF" w:rsidRDefault="0099351E">
      <w:pPr>
        <w:jc w:val="both"/>
      </w:pPr>
      <w:r>
        <w:t>A. Le président (le chef d’établissement ou son délégué);</w:t>
      </w:r>
    </w:p>
    <w:p w:rsidR="00F04EEF" w:rsidRDefault="0099351E">
      <w:pPr>
        <w:jc w:val="both"/>
      </w:pPr>
      <w:r>
        <w:t>B. Membres du conseil de classe :</w:t>
      </w:r>
    </w:p>
    <w:p w:rsidR="00F04EEF" w:rsidRDefault="0099351E">
      <w:pPr>
        <w:numPr>
          <w:ilvl w:val="0"/>
          <w:numId w:val="162"/>
        </w:numPr>
        <w:tabs>
          <w:tab w:val="clear" w:pos="720"/>
          <w:tab w:val="num" w:pos="1134"/>
        </w:tabs>
        <w:suppressAutoHyphens/>
        <w:ind w:left="709" w:firstLine="0"/>
        <w:jc w:val="both"/>
      </w:pPr>
      <w:r>
        <w:t>le titulaire de classe ;</w:t>
      </w:r>
    </w:p>
    <w:p w:rsidR="00F04EEF" w:rsidRDefault="0099351E">
      <w:pPr>
        <w:numPr>
          <w:ilvl w:val="0"/>
          <w:numId w:val="162"/>
        </w:numPr>
        <w:tabs>
          <w:tab w:val="clear" w:pos="720"/>
          <w:tab w:val="num" w:pos="1134"/>
        </w:tabs>
        <w:suppressAutoHyphens/>
        <w:ind w:left="709" w:firstLine="0"/>
        <w:jc w:val="both"/>
      </w:pPr>
      <w:r>
        <w:t>les professeurs de cours techniques et de pratique professionnelle ;</w:t>
      </w:r>
    </w:p>
    <w:p w:rsidR="00F04EEF" w:rsidRDefault="0099351E">
      <w:pPr>
        <w:numPr>
          <w:ilvl w:val="0"/>
          <w:numId w:val="162"/>
        </w:numPr>
        <w:tabs>
          <w:tab w:val="clear" w:pos="720"/>
          <w:tab w:val="num" w:pos="1134"/>
        </w:tabs>
        <w:suppressAutoHyphens/>
        <w:ind w:left="709" w:firstLine="0"/>
        <w:jc w:val="both"/>
      </w:pPr>
      <w:r>
        <w:t>au moins un professeur de cours généraux (autre que le titulaire de classe).</w:t>
      </w:r>
    </w:p>
    <w:p w:rsidR="00F04EEF" w:rsidRDefault="0099351E">
      <w:pPr>
        <w:jc w:val="both"/>
      </w:pPr>
      <w:r>
        <w:t xml:space="preserve">C. Au moins 2 membres extérieurs à l’école. (Le nombre de membres extérieurs doit être inférieur au nombre de membres du conseil de classe). Il est souhaitable qu’un représentant de l’entreprise où l’élève a suivi sa formation puisse faire partie du jury. </w:t>
      </w:r>
    </w:p>
    <w:p w:rsidR="00F04EEF" w:rsidRDefault="0099351E">
      <w:pPr>
        <w:jc w:val="both"/>
      </w:pPr>
      <w:r>
        <w:t>D. Le coordonnateur et / ou l’accompagnateur du CEFA.</w:t>
      </w:r>
    </w:p>
    <w:p w:rsidR="00F04EEF" w:rsidRDefault="0099351E">
      <w:pPr>
        <w:jc w:val="both"/>
      </w:pPr>
      <w:r>
        <w:rPr>
          <w:noProof/>
          <w:lang w:eastAsia="fr-BE"/>
        </w:rPr>
        <mc:AlternateContent>
          <mc:Choice Requires="wps">
            <w:drawing>
              <wp:anchor distT="0" distB="0" distL="114300" distR="114300" simplePos="0" relativeHeight="252340224" behindDoc="0" locked="0" layoutInCell="1" allowOverlap="1">
                <wp:simplePos x="0" y="0"/>
                <wp:positionH relativeFrom="column">
                  <wp:posOffset>6372225</wp:posOffset>
                </wp:positionH>
                <wp:positionV relativeFrom="paragraph">
                  <wp:posOffset>255905</wp:posOffset>
                </wp:positionV>
                <wp:extent cx="0" cy="895350"/>
                <wp:effectExtent l="0" t="0" r="19050" b="19050"/>
                <wp:wrapNone/>
                <wp:docPr id="576" name="Connecteur droit 576"/>
                <wp:cNvGraphicFramePr/>
                <a:graphic xmlns:a="http://schemas.openxmlformats.org/drawingml/2006/main">
                  <a:graphicData uri="http://schemas.microsoft.com/office/word/2010/wordprocessingShape">
                    <wps:wsp>
                      <wps:cNvCnPr/>
                      <wps:spPr>
                        <a:xfrm>
                          <a:off x="0" y="0"/>
                          <a:ext cx="0" cy="895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066D167" id="Connecteur droit 576" o:spid="_x0000_s1026" style="position:absolute;z-index:25234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75pt,20.15pt" to="501.75pt,9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" strokecolor="black [3213]"/>
            </w:pict>
          </mc:Fallback>
        </mc:AlternateContent>
      </w:r>
    </w:p>
    <w:p w:rsidR="00F04EEF" w:rsidRDefault="0099351E">
      <w:pPr>
        <w:tabs>
          <w:tab w:val="left" w:pos="1276"/>
          <w:tab w:val="left" w:pos="3174"/>
          <w:tab w:val="left" w:pos="3968"/>
          <w:tab w:val="left" w:pos="4591"/>
          <w:tab w:val="left" w:pos="4818"/>
        </w:tabs>
        <w:suppressAutoHyphens/>
        <w:autoSpaceDE w:val="0"/>
        <w:autoSpaceDN w:val="0"/>
        <w:adjustRightInd w:val="0"/>
        <w:jc w:val="both"/>
        <w:rPr>
          <w:rFonts w:eastAsia="Times New Roman" w:cstheme="minorHAnsi"/>
          <w:sz w:val="20"/>
          <w:lang w:eastAsia="fr-BE"/>
        </w:rPr>
      </w:pPr>
      <w:r>
        <w:rPr>
          <w:rFonts w:eastAsia="Times New Roman" w:cstheme="minorHAnsi"/>
          <w:sz w:val="20"/>
          <w:lang w:eastAsia="fr-BE"/>
        </w:rPr>
        <w:t xml:space="preserve">La Direction devra faire parvenir, pour le </w:t>
      </w:r>
      <w:r>
        <w:rPr>
          <w:rFonts w:eastAsia="Times New Roman" w:cstheme="minorHAnsi"/>
          <w:b/>
          <w:sz w:val="20"/>
          <w:u w:val="single"/>
          <w:lang w:eastAsia="fr-BE"/>
        </w:rPr>
        <w:t>15 novembre</w:t>
      </w:r>
      <w:r>
        <w:rPr>
          <w:rFonts w:eastAsia="Times New Roman" w:cstheme="minorHAnsi"/>
          <w:sz w:val="20"/>
          <w:lang w:eastAsia="fr-BE"/>
        </w:rPr>
        <w:t xml:space="preserve">, </w:t>
      </w:r>
      <w:r>
        <w:rPr>
          <w:rFonts w:eastAsia="Times New Roman" w:cstheme="minorHAnsi"/>
          <w:b/>
          <w:sz w:val="20"/>
          <w:lang w:eastAsia="fr-BE"/>
        </w:rPr>
        <w:t xml:space="preserve">TOUTES les compositions de jury de qualification </w:t>
      </w:r>
      <w:r>
        <w:rPr>
          <w:rFonts w:eastAsia="Times New Roman" w:cstheme="minorHAnsi"/>
          <w:sz w:val="20"/>
          <w:lang w:eastAsia="fr-BE"/>
        </w:rPr>
        <w:t>en deux exemplaires originaux à l’attention de Madame Marie BORMANN (bureau 2F253) Rue A. Lavallée, 1 à 1080 Bruxelles.</w:t>
      </w:r>
    </w:p>
    <w:p w:rsidR="00F04EEF" w:rsidRDefault="00F04EEF">
      <w:pPr>
        <w:tabs>
          <w:tab w:val="left" w:pos="1276"/>
          <w:tab w:val="left" w:pos="3174"/>
          <w:tab w:val="left" w:pos="3968"/>
          <w:tab w:val="left" w:pos="4591"/>
          <w:tab w:val="left" w:pos="4818"/>
        </w:tabs>
        <w:suppressAutoHyphens/>
        <w:autoSpaceDE w:val="0"/>
        <w:autoSpaceDN w:val="0"/>
        <w:adjustRightInd w:val="0"/>
        <w:jc w:val="both"/>
        <w:rPr>
          <w:rFonts w:eastAsia="Times New Roman" w:cstheme="minorHAnsi"/>
          <w:sz w:val="20"/>
          <w:lang w:eastAsia="fr-BE"/>
        </w:rPr>
      </w:pPr>
    </w:p>
    <w:p w:rsidR="00F04EEF" w:rsidRDefault="0099351E">
      <w:pPr>
        <w:tabs>
          <w:tab w:val="left" w:pos="1276"/>
          <w:tab w:val="left" w:pos="3174"/>
          <w:tab w:val="left" w:pos="3968"/>
          <w:tab w:val="left" w:pos="4591"/>
          <w:tab w:val="left" w:pos="4818"/>
        </w:tabs>
        <w:suppressAutoHyphens/>
        <w:autoSpaceDE w:val="0"/>
        <w:autoSpaceDN w:val="0"/>
        <w:adjustRightInd w:val="0"/>
        <w:jc w:val="both"/>
        <w:rPr>
          <w:rFonts w:eastAsia="Times New Roman" w:cstheme="minorHAnsi"/>
          <w:sz w:val="20"/>
          <w:szCs w:val="24"/>
          <w:lang w:eastAsia="fr-BE"/>
        </w:rPr>
      </w:pPr>
      <w:r>
        <w:rPr>
          <w:rFonts w:eastAsia="Times New Roman" w:cstheme="minorHAnsi"/>
          <w:sz w:val="20"/>
          <w:lang w:eastAsia="fr-BE"/>
        </w:rPr>
        <w:t>Celles-ci seront vérifiées et conservées à l’Administration.  Une version validée sera transmise aux établissements scolaires via leur boîte mail. Les éventuelles demandes de corrections seront également transmises aux écoles par mail et/ou par courrier postal.</w:t>
      </w:r>
    </w:p>
    <w:p w:rsidR="00F04EEF" w:rsidRDefault="00F04EEF">
      <w:pPr>
        <w:suppressAutoHyphens/>
        <w:autoSpaceDE w:val="0"/>
        <w:autoSpaceDN w:val="0"/>
        <w:adjustRightInd w:val="0"/>
        <w:jc w:val="both"/>
        <w:rPr>
          <w:rFonts w:eastAsia="Times New Roman" w:cstheme="minorHAnsi"/>
          <w:szCs w:val="24"/>
        </w:rPr>
      </w:pPr>
    </w:p>
    <w:p w:rsidR="00F04EEF" w:rsidRDefault="00F04EEF">
      <w:pPr>
        <w:suppressAutoHyphens/>
        <w:autoSpaceDE w:val="0"/>
        <w:autoSpaceDN w:val="0"/>
        <w:adjustRightInd w:val="0"/>
        <w:jc w:val="both"/>
        <w:rPr>
          <w:rFonts w:eastAsia="Times New Roman" w:cstheme="minorHAnsi"/>
          <w:szCs w:val="24"/>
        </w:rPr>
      </w:pPr>
    </w:p>
    <w:p w:rsidR="00F04EEF" w:rsidRDefault="0099351E">
      <w:pPr>
        <w:suppressAutoHyphens/>
        <w:autoSpaceDE w:val="0"/>
        <w:autoSpaceDN w:val="0"/>
        <w:adjustRightInd w:val="0"/>
        <w:jc w:val="both"/>
        <w:rPr>
          <w:rFonts w:eastAsia="Times New Roman" w:cstheme="minorHAnsi"/>
          <w:color w:val="FF0000"/>
          <w:szCs w:val="24"/>
        </w:rPr>
      </w:pPr>
      <w:r>
        <w:rPr>
          <w:rFonts w:cstheme="minorHAnsi"/>
          <w:noProof/>
          <w:lang w:eastAsia="fr-BE"/>
        </w:rPr>
        <mc:AlternateContent>
          <mc:Choice Requires="wps">
            <w:drawing>
              <wp:anchor distT="0" distB="0" distL="114300" distR="114300" simplePos="0" relativeHeight="252344320" behindDoc="0" locked="0" layoutInCell="1" allowOverlap="1">
                <wp:simplePos x="0" y="0"/>
                <wp:positionH relativeFrom="column">
                  <wp:posOffset>6372225</wp:posOffset>
                </wp:positionH>
                <wp:positionV relativeFrom="paragraph">
                  <wp:posOffset>553720</wp:posOffset>
                </wp:positionV>
                <wp:extent cx="0" cy="209550"/>
                <wp:effectExtent l="0" t="0" r="19050" b="19050"/>
                <wp:wrapNone/>
                <wp:docPr id="578" name="Connecteur droit 578"/>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E6D77E" id="Connecteur droit 578" o:spid="_x0000_s1026" style="position:absolute;z-index:25234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75pt,43.6pt" to="501.75pt,6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" strokecolor="black [3213]"/>
            </w:pict>
          </mc:Fallback>
        </mc:AlternateContent>
      </w:r>
      <w:r>
        <w:rPr>
          <w:rFonts w:cstheme="minorHAnsi"/>
          <w:noProof/>
          <w:lang w:eastAsia="fr-BE"/>
        </w:rPr>
        <mc:AlternateContent>
          <mc:Choice Requires="wps">
            <w:drawing>
              <wp:anchor distT="0" distB="0" distL="114300" distR="114300" simplePos="0" relativeHeight="252342272" behindDoc="0" locked="0" layoutInCell="1" allowOverlap="1">
                <wp:simplePos x="0" y="0"/>
                <wp:positionH relativeFrom="column">
                  <wp:posOffset>6372225</wp:posOffset>
                </wp:positionH>
                <wp:positionV relativeFrom="paragraph">
                  <wp:posOffset>96520</wp:posOffset>
                </wp:positionV>
                <wp:extent cx="0" cy="152400"/>
                <wp:effectExtent l="0" t="0" r="19050" b="19050"/>
                <wp:wrapNone/>
                <wp:docPr id="577" name="Connecteur droit 577"/>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CFCA3EA" id="Connecteur droit 577" o:spid="_x0000_s1026" style="position:absolute;z-index:25234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75pt,7.6pt" to="501.7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" strokecolor="black [3213]"/>
            </w:pict>
          </mc:Fallback>
        </mc:AlternateContent>
      </w:r>
      <w:r>
        <w:rPr>
          <w:rFonts w:eastAsia="Times New Roman" w:cstheme="minorHAnsi"/>
          <w:b/>
          <w:szCs w:val="24"/>
        </w:rPr>
        <w:t xml:space="preserve">Le procès-verbal de la délibération du jury (en deux exemplaires originaux) accompagné de la composition de jury (en deux exemplaires originaux) ainsi que la liste des élèves certifiés (voir annexe 17 – chapitre 26) et la copie de la carte d’identité des élèves (ou passeport ou titre de séjour, UNIQUEMENT) seront adressés au gestionnaire de dossier ad’hoc en un seul envoi au terme des qualifications : </w:t>
      </w:r>
    </w:p>
    <w:p w:rsidR="00F04EEF" w:rsidRDefault="00F04EEF">
      <w:pPr>
        <w:jc w:val="both"/>
        <w:rPr>
          <w:b/>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47"/>
      </w:tblGrid>
      <w:tr w:rsidR="00F04EEF">
        <w:tc>
          <w:tcPr>
            <w:tcW w:w="9747" w:type="dxa"/>
          </w:tcPr>
          <w:p w:rsidR="00F04EEF" w:rsidRDefault="0099351E">
            <w:pPr>
              <w:jc w:val="center"/>
              <w:rPr>
                <w:bCs/>
              </w:rPr>
            </w:pPr>
            <w:r>
              <w:rPr>
                <w:bCs/>
              </w:rPr>
              <w:t>Direction générale de l’enseignement obligatoire</w:t>
            </w:r>
          </w:p>
          <w:p w:rsidR="00F04EEF" w:rsidRDefault="0099351E">
            <w:pPr>
              <w:jc w:val="center"/>
              <w:rPr>
                <w:bCs/>
              </w:rPr>
            </w:pPr>
            <w:r>
              <w:rPr>
                <w:bCs/>
              </w:rPr>
              <w:t>Service de l’enseignement spécialisé</w:t>
            </w:r>
          </w:p>
          <w:p w:rsidR="00F04EEF" w:rsidRDefault="0099351E">
            <w:pPr>
              <w:jc w:val="center"/>
              <w:rPr>
                <w:rStyle w:val="Lienhypertexte"/>
              </w:rPr>
            </w:pPr>
            <w:r>
              <w:rPr>
                <w:b/>
              </w:rPr>
              <w:t>-</w:t>
            </w:r>
            <w:r>
              <w:rPr>
                <w:bCs/>
              </w:rPr>
              <w:sym w:font="Wingdings" w:char="F03A"/>
            </w:r>
            <w:r>
              <w:rPr>
                <w:bCs/>
              </w:rPr>
              <w:t xml:space="preserve"> : </w:t>
            </w:r>
            <w:hyperlink r:id="rId334" w:history="1">
              <w:r>
                <w:rPr>
                  <w:rStyle w:val="Lienhypertexte"/>
                </w:rPr>
                <w:t>CQspecialise@cfwb.be</w:t>
              </w:r>
            </w:hyperlink>
          </w:p>
          <w:p w:rsidR="00F04EEF" w:rsidRDefault="0099351E">
            <w:pPr>
              <w:jc w:val="center"/>
              <w:rPr>
                <w:bCs/>
              </w:rPr>
            </w:pPr>
            <w:r>
              <w:rPr>
                <w:bCs/>
              </w:rPr>
              <w:t>Madame Marie BORMANN</w:t>
            </w:r>
          </w:p>
          <w:p w:rsidR="00F04EEF" w:rsidRDefault="0099351E">
            <w:pPr>
              <w:jc w:val="center"/>
              <w:rPr>
                <w:bCs/>
              </w:rPr>
            </w:pPr>
            <w:r>
              <w:rPr>
                <w:bCs/>
              </w:rPr>
              <w:t>Bureau 2 F 253</w:t>
            </w:r>
          </w:p>
          <w:p w:rsidR="00F04EEF" w:rsidRDefault="0099351E">
            <w:pPr>
              <w:jc w:val="center"/>
              <w:rPr>
                <w:bCs/>
              </w:rPr>
            </w:pPr>
            <w:r>
              <w:rPr>
                <w:bCs/>
              </w:rPr>
              <w:t>Rue Adolphe Lavallée, 1</w:t>
            </w:r>
          </w:p>
          <w:p w:rsidR="00F04EEF" w:rsidRDefault="0099351E">
            <w:pPr>
              <w:pStyle w:val="Retraitcorpsdetexte"/>
              <w:ind w:left="0" w:firstLine="0"/>
              <w:jc w:val="center"/>
              <w:rPr>
                <w:rFonts w:asciiTheme="majorHAnsi" w:hAnsiTheme="majorHAnsi"/>
                <w:szCs w:val="22"/>
              </w:rPr>
            </w:pPr>
            <w:r>
              <w:rPr>
                <w:rFonts w:asciiTheme="majorHAnsi" w:hAnsiTheme="majorHAnsi"/>
                <w:bCs/>
              </w:rPr>
              <w:t>1080   BRUXELLES</w:t>
            </w:r>
          </w:p>
        </w:tc>
      </w:tr>
    </w:tbl>
    <w:p w:rsidR="00F04EEF" w:rsidRDefault="00F04EEF">
      <w:pPr>
        <w:jc w:val="both"/>
        <w:rPr>
          <w:b/>
        </w:rPr>
      </w:pPr>
    </w:p>
    <w:p w:rsidR="00F04EEF" w:rsidRDefault="0099351E">
      <w:pPr>
        <w:pBdr>
          <w:top w:val="single" w:sz="4" w:space="1" w:color="000000"/>
          <w:left w:val="single" w:sz="4" w:space="4" w:color="000000"/>
          <w:bottom w:val="single" w:sz="4" w:space="1" w:color="000000"/>
          <w:right w:val="single" w:sz="4" w:space="4" w:color="000000"/>
        </w:pBdr>
        <w:jc w:val="both"/>
        <w:rPr>
          <w:b/>
          <w:u w:val="single"/>
        </w:rPr>
      </w:pPr>
      <w:r>
        <w:rPr>
          <w:b/>
          <w:u w:val="single"/>
        </w:rPr>
        <w:t xml:space="preserve">Remarques : </w:t>
      </w:r>
    </w:p>
    <w:p w:rsidR="00F04EEF" w:rsidRDefault="0099351E">
      <w:pPr>
        <w:pBdr>
          <w:top w:val="single" w:sz="4" w:space="1" w:color="000000"/>
          <w:left w:val="single" w:sz="4" w:space="4" w:color="000000"/>
          <w:bottom w:val="single" w:sz="4" w:space="1" w:color="000000"/>
          <w:right w:val="single" w:sz="4" w:space="4" w:color="000000"/>
        </w:pBdr>
        <w:jc w:val="both"/>
      </w:pPr>
      <w:r>
        <w:t xml:space="preserve">- Pour les épreuves se déroulant au mois de </w:t>
      </w:r>
      <w:r>
        <w:rPr>
          <w:u w:val="single"/>
        </w:rPr>
        <w:t>janvier</w:t>
      </w:r>
      <w:r>
        <w:t xml:space="preserve">, ces documents doivent parvenir à l’Administration </w:t>
      </w:r>
      <w:r>
        <w:rPr>
          <w:u w:val="single"/>
        </w:rPr>
        <w:t>début février</w:t>
      </w:r>
      <w:r>
        <w:t xml:space="preserve">. </w:t>
      </w:r>
    </w:p>
    <w:p w:rsidR="00F04EEF" w:rsidRDefault="0099351E">
      <w:pPr>
        <w:pBdr>
          <w:top w:val="single" w:sz="4" w:space="1" w:color="000000"/>
          <w:left w:val="single" w:sz="4" w:space="4" w:color="000000"/>
          <w:bottom w:val="single" w:sz="4" w:space="1" w:color="000000"/>
          <w:right w:val="single" w:sz="4" w:space="4" w:color="000000"/>
        </w:pBdr>
        <w:jc w:val="both"/>
      </w:pPr>
      <w:r>
        <w:t xml:space="preserve">- Pour les épreuves se déroulant au mois de </w:t>
      </w:r>
      <w:r>
        <w:rPr>
          <w:u w:val="single"/>
        </w:rPr>
        <w:t>juin,</w:t>
      </w:r>
      <w:r>
        <w:t xml:space="preserve"> ces documents doivent parvenir à l’Administration début </w:t>
      </w:r>
      <w:r>
        <w:rPr>
          <w:u w:val="single"/>
        </w:rPr>
        <w:t>juillet</w:t>
      </w:r>
      <w:r>
        <w:t>.</w:t>
      </w:r>
    </w:p>
    <w:p w:rsidR="00F04EEF" w:rsidRDefault="00F04EEF">
      <w:bookmarkStart w:id="4044" w:name="_9._Annexes"/>
      <w:bookmarkStart w:id="4045" w:name="__RefHeading__347_957262308"/>
      <w:bookmarkStart w:id="4046" w:name="_Toc291075591"/>
      <w:bookmarkStart w:id="4047" w:name="_Toc291076015"/>
      <w:bookmarkStart w:id="4048" w:name="_Toc291076439"/>
      <w:bookmarkStart w:id="4049" w:name="_Toc291076863"/>
      <w:bookmarkStart w:id="4050" w:name="_Toc291077287"/>
      <w:bookmarkStart w:id="4051" w:name="_Toc293652129"/>
      <w:bookmarkStart w:id="4052" w:name="_Toc293653711"/>
      <w:bookmarkStart w:id="4053" w:name="_Toc293654323"/>
      <w:bookmarkStart w:id="4054" w:name="_Toc294004903"/>
      <w:bookmarkStart w:id="4055" w:name="_Toc294185399"/>
      <w:bookmarkStart w:id="4056" w:name="_Toc324166229"/>
      <w:bookmarkStart w:id="4057" w:name="_Toc324767266"/>
      <w:bookmarkStart w:id="4058" w:name="_Toc414352950"/>
      <w:bookmarkEnd w:id="4044"/>
      <w:bookmarkEnd w:id="4045"/>
    </w:p>
    <w:p w:rsidR="00F04EEF" w:rsidRDefault="00F04EEF">
      <w:pPr>
        <w:autoSpaceDE w:val="0"/>
        <w:jc w:val="both"/>
      </w:pPr>
    </w:p>
    <w:p w:rsidR="00F04EEF" w:rsidRDefault="0099351E">
      <w:pPr>
        <w:pStyle w:val="Titre4"/>
      </w:pPr>
      <w:bookmarkStart w:id="4059" w:name="_8.8._Contrat_d’alternance"/>
      <w:bookmarkStart w:id="4060" w:name="_Toc453836973"/>
      <w:bookmarkEnd w:id="4059"/>
      <w:r>
        <w:t>8.7. Contrat d’alternance et plan de formation</w:t>
      </w:r>
      <w:bookmarkEnd w:id="4060"/>
    </w:p>
    <w:p w:rsidR="00F04EEF" w:rsidRDefault="00F04EEF">
      <w:pPr>
        <w:jc w:val="both"/>
        <w:rPr>
          <w:b/>
        </w:rPr>
      </w:pPr>
    </w:p>
    <w:p w:rsidR="00F04EEF" w:rsidRDefault="0099351E">
      <w:pPr>
        <w:jc w:val="both"/>
      </w:pPr>
      <w:bookmarkStart w:id="4061" w:name="_Toc453836974"/>
      <w:r>
        <w:t xml:space="preserve">Le contrat d’alternance est entré en vigueur le 1er septembre 2015. Il permet d’harmoniser le statut pour tous les jeunes de 15 à 25 ans suivant une formation en alternance. Le modèle de contrat d’alternance figure dans la </w:t>
      </w:r>
      <w:hyperlink r:id="rId335" w:history="1">
        <w:r>
          <w:rPr>
            <w:rStyle w:val="Lienhypertexte"/>
          </w:rPr>
          <w:t>circulaire n° 5392 du 2 septembre 2015</w:t>
        </w:r>
      </w:hyperlink>
      <w:r>
        <w:t>. En outre, le plan de formation qui fait partie intégrante du contrat d’alternance précise la répartition des compétences à acquérir par l’apprenant d’une part, en centre d’éducation et de formation en alternance et d’autre part, en entreprise.</w:t>
      </w:r>
      <w:bookmarkEnd w:id="4061"/>
    </w:p>
    <w:p w:rsidR="00F04EEF" w:rsidRDefault="00F04EEF">
      <w:pPr>
        <w:ind w:hanging="198"/>
        <w:jc w:val="both"/>
      </w:pPr>
    </w:p>
    <w:p w:rsidR="00F04EEF" w:rsidRDefault="0099351E">
      <w:pPr>
        <w:jc w:val="both"/>
      </w:pPr>
      <w:r>
        <w:t>Un plan de formation, s’appuyant sur le PIA/PIT, permet de suivre l’évolution des apprentissages de l’élève ; il est élaboré en collaboration entre l’école et l’entreprise.</w:t>
      </w:r>
    </w:p>
    <w:p w:rsidR="00F04EEF" w:rsidRDefault="0099351E">
      <w:pPr>
        <w:jc w:val="both"/>
      </w:pPr>
      <w:r>
        <w:t xml:space="preserve">Il précise notamment la liste des compétences seuils dont l’apprentissage est assuré par la formation en école et/ou en entreprise. </w:t>
      </w:r>
    </w:p>
    <w:p w:rsidR="00F04EEF" w:rsidRDefault="0099351E">
      <w:pPr>
        <w:jc w:val="both"/>
      </w:pPr>
      <w:r>
        <w:t>Il sera ajusté régulièrement notamment en fonction de l’évolution de l’élève.</w:t>
      </w:r>
    </w:p>
    <w:p w:rsidR="00F04EEF" w:rsidRDefault="00F04EEF">
      <w:pPr>
        <w:pStyle w:val="Paragraphedeliste"/>
        <w:ind w:left="0"/>
        <w:jc w:val="both"/>
        <w:rPr>
          <w:rFonts w:asciiTheme="majorHAnsi" w:hAnsiTheme="majorHAnsi"/>
          <w:sz w:val="22"/>
          <w:szCs w:val="22"/>
        </w:rPr>
      </w:pPr>
    </w:p>
    <w:p w:rsidR="00F04EEF" w:rsidRDefault="00F04EEF">
      <w:pPr>
        <w:pStyle w:val="Paragraphedeliste"/>
        <w:ind w:left="0"/>
        <w:jc w:val="both"/>
        <w:rPr>
          <w:rFonts w:asciiTheme="majorHAnsi" w:hAnsiTheme="majorHAnsi"/>
          <w:sz w:val="22"/>
          <w:szCs w:val="22"/>
        </w:rPr>
      </w:pPr>
    </w:p>
    <w:p w:rsidR="00F04EEF" w:rsidRDefault="0099351E">
      <w:pPr>
        <w:pStyle w:val="Titre3"/>
        <w:rPr>
          <w:sz w:val="22"/>
          <w:szCs w:val="22"/>
        </w:rPr>
      </w:pPr>
      <w:bookmarkStart w:id="4062" w:name="_9._Annexes_1"/>
      <w:bookmarkStart w:id="4063" w:name="_Toc453836975"/>
      <w:bookmarkStart w:id="4064" w:name="_Toc47708653"/>
      <w:bookmarkEnd w:id="4062"/>
      <w:r>
        <w:rPr>
          <w:sz w:val="22"/>
          <w:szCs w:val="22"/>
        </w:rPr>
        <w:t>9. Annexes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63"/>
      <w:bookmarkEnd w:id="4064"/>
    </w:p>
    <w:p w:rsidR="00F04EEF" w:rsidRDefault="00F04EEF"/>
    <w:p w:rsidR="00F04EEF" w:rsidRDefault="0099351E">
      <w:pPr>
        <w:rPr>
          <w:u w:val="single"/>
        </w:rPr>
      </w:pPr>
      <w:r>
        <w:rPr>
          <w:u w:val="single"/>
        </w:rPr>
        <w:t>Remarques concernant les annexes 7, 8 et 9 :</w:t>
      </w:r>
    </w:p>
    <w:p w:rsidR="00F04EEF" w:rsidRDefault="0099351E">
      <w:pPr>
        <w:numPr>
          <w:ilvl w:val="0"/>
          <w:numId w:val="190"/>
        </w:numPr>
        <w:spacing w:after="100" w:afterAutospacing="1"/>
        <w:ind w:left="284" w:hanging="284"/>
        <w:jc w:val="both"/>
        <w:rPr>
          <w:spacing w:val="1"/>
        </w:rPr>
      </w:pPr>
      <w:r>
        <w:rPr>
          <w:spacing w:val="1"/>
        </w:rPr>
        <w:t>Annexe 7 : Attestation d'orientation A (A.O.A.) : valide la réussite de l'année et autorise le passage dans l'année supérieure.</w:t>
      </w:r>
    </w:p>
    <w:p w:rsidR="00F04EEF" w:rsidRDefault="0099351E">
      <w:pPr>
        <w:numPr>
          <w:ilvl w:val="0"/>
          <w:numId w:val="190"/>
        </w:numPr>
        <w:spacing w:before="100" w:beforeAutospacing="1" w:after="100" w:afterAutospacing="1"/>
        <w:ind w:left="284" w:hanging="284"/>
        <w:jc w:val="both"/>
        <w:rPr>
          <w:spacing w:val="1"/>
        </w:rPr>
      </w:pPr>
      <w:r>
        <w:rPr>
          <w:spacing w:val="1"/>
        </w:rPr>
        <w:t>Annexe 8 : Attestation d'orientation B (A.O.B.) : valide la réussite de l'année et autorise le passage dans l'année supérieure moyennant certaines restrictions (par exemple : passage non autorisé vers l'enseignement général).</w:t>
      </w:r>
    </w:p>
    <w:p w:rsidR="00F04EEF" w:rsidRDefault="0099351E">
      <w:pPr>
        <w:numPr>
          <w:ilvl w:val="0"/>
          <w:numId w:val="190"/>
        </w:numPr>
        <w:suppressAutoHyphens/>
        <w:ind w:left="284" w:hanging="284"/>
        <w:jc w:val="both"/>
      </w:pPr>
      <w:r>
        <w:rPr>
          <w:spacing w:val="1"/>
        </w:rPr>
        <w:t>Annexe 9 : Attestation d'orientation C (A.O.C.) : stipule que l'élève n'a pas terminé l'année ou le degré avec fruit. Aucune A.O.C. ne peut être délivrée au sein du premier degré de l'enseignement secondaire.</w:t>
      </w:r>
    </w:p>
    <w:p w:rsidR="00F04EEF" w:rsidRDefault="00F04EEF"/>
    <w:p w:rsidR="00F04EEF" w:rsidRDefault="0099351E">
      <w:pPr>
        <w:rPr>
          <w:u w:val="single"/>
        </w:rPr>
      </w:pPr>
      <w:r>
        <w:rPr>
          <w:u w:val="single"/>
        </w:rPr>
        <w:t>Remarque concernant les annexes 10, 11 et 12 :</w:t>
      </w:r>
    </w:p>
    <w:p w:rsidR="00F04EEF" w:rsidRDefault="0099351E">
      <w:pPr>
        <w:jc w:val="both"/>
      </w:pPr>
      <w:r>
        <w:t>Le terme « sous réserve » vise deux hypothèses : sous réserve que les conditions d’équivalence soient respectées et sous réserve que l’élève recouvre la qualité d’élève régulier.</w:t>
      </w:r>
    </w:p>
    <w:p w:rsidR="00F04EEF" w:rsidRDefault="0099351E">
      <w:r>
        <w:br w:type="page"/>
      </w:r>
    </w:p>
    <w:p w:rsidR="00F04EEF" w:rsidRDefault="00F04EEF">
      <w:pPr>
        <w:jc w:val="both"/>
        <w:rPr>
          <w:color w:val="000000"/>
        </w:rPr>
      </w:pPr>
    </w:p>
    <w:p w:rsidR="00F04EEF" w:rsidRDefault="0099351E">
      <w:pPr>
        <w:pStyle w:val="Titre4"/>
        <w:rPr>
          <w:lang w:eastAsia="fr-FR"/>
        </w:rPr>
      </w:pPr>
      <w:bookmarkStart w:id="4065" w:name="_Annexe_1_:_10"/>
      <w:bookmarkStart w:id="4066" w:name="_Toc414352951"/>
      <w:bookmarkStart w:id="4067" w:name="_Toc453836976"/>
      <w:bookmarkEnd w:id="4065"/>
      <w:r>
        <w:rPr>
          <w:lang w:eastAsia="fr-FR"/>
        </w:rPr>
        <w:t>Annexe 1 : Convention de stage en entreprise dans le cadre du module de préparation à l’alternance</w:t>
      </w:r>
      <w:bookmarkEnd w:id="4066"/>
      <w:bookmarkEnd w:id="4067"/>
    </w:p>
    <w:p w:rsidR="00F04EEF" w:rsidRDefault="00F04EEF"/>
    <w:p w:rsidR="00F04EEF" w:rsidRDefault="0099351E">
      <w:pPr>
        <w:tabs>
          <w:tab w:val="left" w:pos="567"/>
        </w:tabs>
        <w:jc w:val="center"/>
        <w:rPr>
          <w:b/>
        </w:rPr>
      </w:pPr>
      <w:r>
        <w:rPr>
          <w:b/>
        </w:rPr>
        <w:t>COMMUNAUTE FRANCAISE</w:t>
      </w:r>
    </w:p>
    <w:p w:rsidR="00F04EEF" w:rsidRDefault="00F04EEF">
      <w:pPr>
        <w:tabs>
          <w:tab w:val="left" w:pos="567"/>
        </w:tabs>
        <w:jc w:val="center"/>
        <w:rPr>
          <w:b/>
          <w:caps/>
        </w:rPr>
      </w:pPr>
    </w:p>
    <w:p w:rsidR="00F04EEF" w:rsidRDefault="0099351E">
      <w:pPr>
        <w:tabs>
          <w:tab w:val="left" w:pos="567"/>
        </w:tabs>
        <w:jc w:val="center"/>
        <w:rPr>
          <w:b/>
          <w:caps/>
        </w:rPr>
      </w:pPr>
      <w:r>
        <w:rPr>
          <w:b/>
          <w:caps/>
        </w:rPr>
        <w:t>Enseignement secondaire spécialisé de forme 3 en alternance</w:t>
      </w:r>
    </w:p>
    <w:p w:rsidR="00F04EEF" w:rsidRDefault="00F04EEF">
      <w:pPr>
        <w:rPr>
          <w:b/>
          <w:bCs/>
        </w:rPr>
      </w:pPr>
    </w:p>
    <w:p w:rsidR="00F04EEF" w:rsidRDefault="0099351E">
      <w:r>
        <w:t>Groupe professionnel : ………</w:t>
      </w:r>
    </w:p>
    <w:p w:rsidR="00F04EEF" w:rsidRDefault="0099351E">
      <w:r>
        <w:t>Métier : ……….</w:t>
      </w:r>
    </w:p>
    <w:p w:rsidR="00F04EEF" w:rsidRDefault="0099351E">
      <w:r>
        <w:t>Année scolaire : ….../…...</w:t>
      </w:r>
    </w:p>
    <w:p w:rsidR="00F04EEF" w:rsidRDefault="00F04EEF"/>
    <w:p w:rsidR="00F04EEF" w:rsidRDefault="0099351E">
      <w:r>
        <w:tab/>
        <w:t>Entre les soussigné(e)s :</w:t>
      </w:r>
    </w:p>
    <w:p w:rsidR="00F04EEF" w:rsidRDefault="0099351E">
      <w:r>
        <w:t>1.</w:t>
      </w:r>
    </w:p>
    <w:p w:rsidR="00F04EEF" w:rsidRDefault="00F04EEF"/>
    <w:p w:rsidR="00F04EEF" w:rsidRDefault="00F04EEF"/>
    <w:p w:rsidR="00F04EEF" w:rsidRDefault="0099351E">
      <w:r>
        <w:t>(Dénomination de l’entreprise, de l’institution, de l’administration publique)</w:t>
      </w:r>
    </w:p>
    <w:p w:rsidR="00F04EEF" w:rsidRDefault="0099351E">
      <w:r>
        <w:t>située à (Adresse – téléphone  )</w:t>
      </w:r>
    </w:p>
    <w:p w:rsidR="00F04EEF" w:rsidRDefault="00F04EEF"/>
    <w:p w:rsidR="00F04EEF" w:rsidRDefault="00F04EEF"/>
    <w:p w:rsidR="00F04EEF" w:rsidRDefault="0099351E">
      <w:r>
        <w:t xml:space="preserve">Secteur d’activités : </w:t>
      </w:r>
    </w:p>
    <w:p w:rsidR="00F04EEF" w:rsidRDefault="0099351E">
      <w:r>
        <w:t xml:space="preserve">Forme juridique : </w:t>
      </w:r>
    </w:p>
    <w:p w:rsidR="00F04EEF" w:rsidRDefault="0099351E">
      <w:r>
        <w:rPr>
          <w:smallCaps/>
        </w:rPr>
        <w:t>N° ONSS ou RC</w:t>
      </w:r>
      <w:r>
        <w:t xml:space="preserve"> : </w:t>
      </w:r>
    </w:p>
    <w:p w:rsidR="00F04EEF" w:rsidRDefault="0099351E">
      <w:r>
        <w:t xml:space="preserve">Représentée par </w:t>
      </w:r>
      <w:r>
        <w:rPr>
          <w:smallCaps/>
        </w:rPr>
        <w:t>Madame/Monsieur</w:t>
      </w:r>
      <w:r>
        <w:t> :</w:t>
      </w:r>
    </w:p>
    <w:p w:rsidR="00F04EEF" w:rsidRDefault="0099351E">
      <w:pPr>
        <w:rPr>
          <w:smallCaps/>
        </w:rPr>
      </w:pPr>
      <w:r>
        <w:rPr>
          <w:smallCaps/>
        </w:rPr>
        <w:t>Fonction :</w:t>
      </w:r>
    </w:p>
    <w:p w:rsidR="00F04EEF" w:rsidRDefault="00F04EEF">
      <w:pPr>
        <w:rPr>
          <w:smallCaps/>
        </w:rPr>
      </w:pPr>
    </w:p>
    <w:p w:rsidR="00F04EEF" w:rsidRDefault="0099351E">
      <w:pPr>
        <w:rPr>
          <w:b/>
          <w:bCs/>
        </w:rPr>
      </w:pPr>
      <w:r>
        <w:rPr>
          <w:b/>
          <w:bCs/>
        </w:rPr>
        <w:t>ci-dessous dénommée l’entreprise ;</w:t>
      </w:r>
    </w:p>
    <w:p w:rsidR="00F04EEF" w:rsidRDefault="00F04EEF"/>
    <w:p w:rsidR="00F04EEF" w:rsidRDefault="0099351E">
      <w:pPr>
        <w:numPr>
          <w:ilvl w:val="0"/>
          <w:numId w:val="163"/>
        </w:numPr>
        <w:tabs>
          <w:tab w:val="clear" w:pos="720"/>
        </w:tabs>
        <w:suppressAutoHyphens/>
        <w:ind w:left="0" w:firstLine="0"/>
      </w:pPr>
      <w:r>
        <w:rPr>
          <w:smallCaps/>
        </w:rPr>
        <w:t>Madame/Monsieur</w:t>
      </w:r>
      <w:r>
        <w:t> :</w:t>
      </w:r>
    </w:p>
    <w:p w:rsidR="00F04EEF" w:rsidRDefault="0099351E">
      <w:pPr>
        <w:jc w:val="both"/>
      </w:pPr>
      <w:r>
        <w:rPr>
          <w:smallCaps/>
        </w:rPr>
        <w:t>Chef(fe) de l’établissement d’enseignement secondaire spécialisé de forme 3, de plein exercice ou son délégué</w:t>
      </w:r>
      <w:r>
        <w:t xml:space="preserve"> </w:t>
      </w:r>
      <w:r>
        <w:rPr>
          <w:i/>
          <w:iCs/>
        </w:rPr>
        <w:t>(Dénomination et adresse du siège administratif)</w:t>
      </w:r>
      <w:r>
        <w:t>,</w:t>
      </w:r>
    </w:p>
    <w:p w:rsidR="00F04EEF" w:rsidRDefault="00F04EEF">
      <w:pPr>
        <w:jc w:val="both"/>
      </w:pPr>
    </w:p>
    <w:p w:rsidR="00F04EEF" w:rsidRDefault="00F04EEF">
      <w:pPr>
        <w:jc w:val="both"/>
      </w:pPr>
    </w:p>
    <w:p w:rsidR="00F04EEF" w:rsidRDefault="0099351E">
      <w:r>
        <w:t>Téléphone :</w:t>
      </w:r>
    </w:p>
    <w:p w:rsidR="00F04EEF" w:rsidRDefault="00F04EEF"/>
    <w:p w:rsidR="00F04EEF" w:rsidRDefault="0099351E">
      <w:pPr>
        <w:rPr>
          <w:b/>
          <w:bCs/>
        </w:rPr>
      </w:pPr>
      <w:r>
        <w:rPr>
          <w:b/>
          <w:bCs/>
        </w:rPr>
        <w:t>ci-dessous dénommé l’établissement scolaire ;</w:t>
      </w:r>
    </w:p>
    <w:p w:rsidR="00F04EEF" w:rsidRDefault="00F04EEF"/>
    <w:p w:rsidR="00F04EEF" w:rsidRDefault="0099351E">
      <w:pPr>
        <w:numPr>
          <w:ilvl w:val="0"/>
          <w:numId w:val="163"/>
        </w:numPr>
        <w:tabs>
          <w:tab w:val="clear" w:pos="720"/>
        </w:tabs>
        <w:suppressAutoHyphens/>
        <w:ind w:left="0" w:firstLine="0"/>
        <w:rPr>
          <w:smallCaps/>
        </w:rPr>
      </w:pPr>
      <w:r>
        <w:rPr>
          <w:smallCaps/>
        </w:rPr>
        <w:t xml:space="preserve">Mademoiselle/Madame/Monsieur : </w:t>
      </w:r>
    </w:p>
    <w:p w:rsidR="00F04EEF" w:rsidRDefault="0099351E">
      <w:r>
        <w:t xml:space="preserve">Adresse : </w:t>
      </w:r>
    </w:p>
    <w:p w:rsidR="00F04EEF" w:rsidRDefault="0099351E">
      <w:r>
        <w:sym w:font="Wingdings" w:char="F028"/>
      </w:r>
      <w:r>
        <w:t> :</w:t>
      </w:r>
    </w:p>
    <w:p w:rsidR="00F04EEF" w:rsidRDefault="0099351E">
      <w:r>
        <w:t>Né(e) le :</w:t>
      </w:r>
    </w:p>
    <w:p w:rsidR="00F04EEF" w:rsidRDefault="0099351E">
      <w:pPr>
        <w:rPr>
          <w:smallCaps/>
        </w:rPr>
      </w:pPr>
      <w:r>
        <w:rPr>
          <w:smallCaps/>
        </w:rPr>
        <w:t>Elève de l’établissement scolaire susmentionné dans :</w:t>
      </w:r>
    </w:p>
    <w:p w:rsidR="00F04EEF" w:rsidRDefault="0099351E">
      <w:r>
        <w:t>le secteur d’activités :</w:t>
      </w:r>
    </w:p>
    <w:p w:rsidR="00F04EEF" w:rsidRDefault="0099351E">
      <w:r>
        <w:t>le groupe professionnel :</w:t>
      </w:r>
    </w:p>
    <w:p w:rsidR="00F04EEF" w:rsidRDefault="0099351E">
      <w:r>
        <w:t xml:space="preserve">le métier : </w:t>
      </w:r>
    </w:p>
    <w:p w:rsidR="00F04EEF" w:rsidRDefault="0099351E">
      <w:r>
        <w:t>dans l’enseignement secondaire spécialisé de forme 3, de plein exercice,</w:t>
      </w:r>
    </w:p>
    <w:p w:rsidR="00F04EEF" w:rsidRDefault="00F04EEF"/>
    <w:p w:rsidR="00F04EEF" w:rsidRDefault="0099351E">
      <w:pPr>
        <w:rPr>
          <w:b/>
          <w:bCs/>
        </w:rPr>
      </w:pPr>
      <w:r>
        <w:rPr>
          <w:b/>
          <w:bCs/>
        </w:rPr>
        <w:t>ci-dessous dénommé(e) le stagiaire :</w:t>
      </w:r>
    </w:p>
    <w:p w:rsidR="00F04EEF" w:rsidRDefault="00F04EEF"/>
    <w:p w:rsidR="00F04EEF" w:rsidRDefault="0099351E">
      <w:r>
        <w:t>Le stagiaire est représenté par (NOM et adresse des parents ou de la personne investie de l’autorité parentale</w:t>
      </w:r>
    </w:p>
    <w:p w:rsidR="00F04EEF" w:rsidRDefault="00F04EEF"/>
    <w:p w:rsidR="00F04EEF" w:rsidRDefault="0099351E">
      <w:pPr>
        <w:rPr>
          <w:b/>
        </w:rPr>
      </w:pPr>
      <w:r>
        <w:rPr>
          <w:b/>
        </w:rPr>
        <w:br w:type="page"/>
      </w:r>
    </w:p>
    <w:p w:rsidR="00F04EEF" w:rsidRDefault="0099351E">
      <w:pPr>
        <w:tabs>
          <w:tab w:val="left" w:pos="0"/>
        </w:tabs>
        <w:jc w:val="center"/>
        <w:rPr>
          <w:b/>
        </w:rPr>
      </w:pPr>
      <w:r>
        <w:rPr>
          <w:b/>
        </w:rPr>
        <w:t>Il est convenu ce qui suit :</w:t>
      </w:r>
    </w:p>
    <w:p w:rsidR="00F04EEF" w:rsidRDefault="00F04EEF">
      <w:pPr>
        <w:tabs>
          <w:tab w:val="left" w:pos="567"/>
        </w:tabs>
        <w:rPr>
          <w:b/>
        </w:rPr>
      </w:pPr>
    </w:p>
    <w:p w:rsidR="00F04EEF" w:rsidRDefault="0099351E">
      <w:pPr>
        <w:tabs>
          <w:tab w:val="left" w:pos="567"/>
        </w:tabs>
        <w:rPr>
          <w:b/>
        </w:rPr>
      </w:pPr>
      <w:r>
        <w:rPr>
          <w:b/>
        </w:rPr>
        <w:t>Article 1</w:t>
      </w:r>
      <w:r>
        <w:rPr>
          <w:b/>
          <w:vertAlign w:val="superscript"/>
        </w:rPr>
        <w:t>e </w:t>
      </w:r>
      <w:r>
        <w:rPr>
          <w:b/>
        </w:rPr>
        <w:t>:</w:t>
      </w:r>
    </w:p>
    <w:p w:rsidR="00F04EEF" w:rsidRDefault="0099351E">
      <w:pPr>
        <w:tabs>
          <w:tab w:val="left" w:pos="567"/>
        </w:tabs>
        <w:jc w:val="both"/>
      </w:pPr>
      <w:r>
        <w:t>L’entreprise susmentionnée accepte d’accueillir le stagiaire, inscrit à l’établissement scolaire susmentionné.</w:t>
      </w:r>
    </w:p>
    <w:p w:rsidR="00F04EEF" w:rsidRDefault="00F04EEF">
      <w:pPr>
        <w:tabs>
          <w:tab w:val="left" w:pos="567"/>
        </w:tabs>
        <w:jc w:val="both"/>
      </w:pPr>
    </w:p>
    <w:p w:rsidR="00F04EEF" w:rsidRDefault="0099351E">
      <w:pPr>
        <w:tabs>
          <w:tab w:val="left" w:pos="567"/>
        </w:tabs>
        <w:jc w:val="both"/>
      </w:pPr>
      <w:r>
        <w:t>Elle s’engage à encadrer le stagiaire, à le traiter en bon père de famille, à lui désigner un  « tuteur » et à lui offrir des situations de travail réelles dans une véritable perspective de formation.</w:t>
      </w:r>
    </w:p>
    <w:p w:rsidR="00F04EEF" w:rsidRDefault="00F04EEF">
      <w:pPr>
        <w:tabs>
          <w:tab w:val="left" w:pos="567"/>
        </w:tabs>
        <w:jc w:val="both"/>
      </w:pPr>
    </w:p>
    <w:p w:rsidR="00F04EEF" w:rsidRDefault="0099351E">
      <w:pPr>
        <w:tabs>
          <w:tab w:val="left" w:pos="567"/>
        </w:tabs>
        <w:jc w:val="both"/>
      </w:pPr>
      <w:r>
        <w:t xml:space="preserve">L’entreprise s’engage à respecter : </w:t>
      </w:r>
    </w:p>
    <w:p w:rsidR="00F04EEF" w:rsidRDefault="0099351E">
      <w:pPr>
        <w:numPr>
          <w:ilvl w:val="0"/>
          <w:numId w:val="162"/>
        </w:numPr>
        <w:tabs>
          <w:tab w:val="left" w:pos="567"/>
        </w:tabs>
        <w:suppressAutoHyphens/>
        <w:ind w:left="567" w:hanging="283"/>
        <w:jc w:val="both"/>
      </w:pPr>
      <w:r>
        <w:t>les projets éducatifs et pédagogiques en vigueur dans l’établissement scolaire ;</w:t>
      </w:r>
    </w:p>
    <w:p w:rsidR="00F04EEF" w:rsidRDefault="0099351E">
      <w:pPr>
        <w:numPr>
          <w:ilvl w:val="0"/>
          <w:numId w:val="162"/>
        </w:numPr>
        <w:tabs>
          <w:tab w:val="left" w:pos="567"/>
        </w:tabs>
        <w:suppressAutoHyphens/>
        <w:ind w:left="567" w:hanging="283"/>
        <w:jc w:val="both"/>
      </w:pPr>
      <w:r>
        <w:t>les choix pédagogiques définis par l’établissement scolaire en matière de formation professionnelle (Objectifs, contenu, modalités de supervision, d’évaluation continue et formative) ;</w:t>
      </w:r>
    </w:p>
    <w:p w:rsidR="00F04EEF" w:rsidRDefault="0099351E">
      <w:pPr>
        <w:numPr>
          <w:ilvl w:val="0"/>
          <w:numId w:val="162"/>
        </w:numPr>
        <w:tabs>
          <w:tab w:val="left" w:pos="567"/>
        </w:tabs>
        <w:suppressAutoHyphens/>
        <w:ind w:left="567" w:hanging="283"/>
        <w:jc w:val="both"/>
      </w:pPr>
      <w:r>
        <w:t>la planification des stages faite par l’établissement scolaire.</w:t>
      </w:r>
    </w:p>
    <w:p w:rsidR="00F04EEF" w:rsidRDefault="00F04EEF">
      <w:pPr>
        <w:tabs>
          <w:tab w:val="left" w:pos="567"/>
        </w:tabs>
      </w:pPr>
    </w:p>
    <w:p w:rsidR="00F04EEF" w:rsidRDefault="0099351E">
      <w:pPr>
        <w:tabs>
          <w:tab w:val="left" w:pos="567"/>
        </w:tabs>
        <w:rPr>
          <w:b/>
        </w:rPr>
      </w:pPr>
      <w:r>
        <w:rPr>
          <w:b/>
        </w:rPr>
        <w:t>Article 2 :</w:t>
      </w:r>
    </w:p>
    <w:p w:rsidR="00F04EEF" w:rsidRDefault="0099351E">
      <w:pPr>
        <w:jc w:val="both"/>
      </w:pPr>
      <w:r>
        <w:t>Les objectifs de la formation sont définis dans un document ci-annexé reprenant les compétences à développer et à exercer en cours de stage ainsi que les modes et les critères d’évaluation continue et formative.</w:t>
      </w:r>
    </w:p>
    <w:p w:rsidR="00F04EEF" w:rsidRDefault="00F04EEF">
      <w:pPr>
        <w:jc w:val="both"/>
      </w:pPr>
    </w:p>
    <w:p w:rsidR="00F04EEF" w:rsidRDefault="0099351E">
      <w:pPr>
        <w:jc w:val="both"/>
      </w:pPr>
      <w:r>
        <w:t>Ce document sera cosigné par le tuteur et par l’enseignant(e)-maître de stage visé à l’article 5.</w:t>
      </w:r>
    </w:p>
    <w:p w:rsidR="00F04EEF" w:rsidRDefault="00F04EEF">
      <w:pPr>
        <w:jc w:val="both"/>
      </w:pPr>
    </w:p>
    <w:p w:rsidR="00F04EEF" w:rsidRDefault="0099351E">
      <w:pPr>
        <w:jc w:val="both"/>
        <w:rPr>
          <w:b/>
        </w:rPr>
      </w:pPr>
      <w:r>
        <w:rPr>
          <w:b/>
        </w:rPr>
        <w:t>Article 3 :</w:t>
      </w:r>
    </w:p>
    <w:p w:rsidR="00F04EEF" w:rsidRDefault="0099351E">
      <w:pPr>
        <w:jc w:val="both"/>
      </w:pPr>
      <w:r>
        <w:t>L’entreprise s’engage à ne pas interrompre, par des propositions d’engagement, la poursuite de la formation scolaire du stagiaire.</w:t>
      </w:r>
    </w:p>
    <w:p w:rsidR="00F04EEF" w:rsidRDefault="00F04EEF">
      <w:pPr>
        <w:jc w:val="both"/>
      </w:pPr>
    </w:p>
    <w:p w:rsidR="00F04EEF" w:rsidRDefault="0099351E">
      <w:pPr>
        <w:jc w:val="both"/>
        <w:rPr>
          <w:b/>
        </w:rPr>
      </w:pPr>
      <w:r>
        <w:rPr>
          <w:b/>
        </w:rPr>
        <w:t>Article 4 :</w:t>
      </w:r>
    </w:p>
    <w:p w:rsidR="00F04EEF" w:rsidRDefault="0099351E">
      <w:pPr>
        <w:jc w:val="both"/>
      </w:pPr>
      <w:r>
        <w:t xml:space="preserve">La présente convention prend cours le </w:t>
      </w:r>
      <w:r>
        <w:tab/>
      </w:r>
      <w:r>
        <w:tab/>
      </w:r>
      <w:r>
        <w:tab/>
        <w:t xml:space="preserve"> </w:t>
      </w:r>
      <w:r>
        <w:tab/>
        <w:t>et se terminera le</w:t>
      </w:r>
    </w:p>
    <w:p w:rsidR="00F04EEF" w:rsidRDefault="00F04EEF">
      <w:pPr>
        <w:jc w:val="both"/>
      </w:pPr>
    </w:p>
    <w:p w:rsidR="00F04EEF" w:rsidRDefault="0099351E">
      <w:pPr>
        <w:jc w:val="both"/>
      </w:pPr>
      <w:r>
        <w:t>Toute modification devra faire l’objet d’un accord entre les deux parties.</w:t>
      </w:r>
    </w:p>
    <w:p w:rsidR="00F04EEF" w:rsidRDefault="0099351E">
      <w:pPr>
        <w:jc w:val="both"/>
      </w:pPr>
      <w:r>
        <w:t>Sont joints en annexe, l’horaire, le calendrier du stage et le règlement de travail.</w:t>
      </w:r>
    </w:p>
    <w:p w:rsidR="00F04EEF" w:rsidRDefault="00F04EEF">
      <w:pPr>
        <w:jc w:val="both"/>
      </w:pPr>
    </w:p>
    <w:p w:rsidR="00F04EEF" w:rsidRDefault="0099351E">
      <w:pPr>
        <w:jc w:val="both"/>
      </w:pPr>
      <w:r>
        <w:t>Toute modification dans la durée et les dates prévues dans l’exécution du contrat de stage n’est autorisé qu’avec accord des signataires de la présente convention et fera l’objet d’un avenant à la présente convention.</w:t>
      </w:r>
    </w:p>
    <w:p w:rsidR="00F04EEF" w:rsidRDefault="00F04EEF">
      <w:pPr>
        <w:jc w:val="both"/>
      </w:pPr>
    </w:p>
    <w:p w:rsidR="00F04EEF" w:rsidRDefault="0099351E">
      <w:pPr>
        <w:jc w:val="both"/>
      </w:pPr>
      <w:r>
        <w:t>En aucun cas, les prestations du stagiaire ne pourront excéder 40 heures/semaine et 8 heures par jour, en ce compris les périodes de formation scolaire.</w:t>
      </w:r>
    </w:p>
    <w:p w:rsidR="00F04EEF" w:rsidRDefault="00F04EEF">
      <w:pPr>
        <w:jc w:val="both"/>
      </w:pPr>
    </w:p>
    <w:p w:rsidR="00F04EEF" w:rsidRDefault="0099351E">
      <w:pPr>
        <w:jc w:val="both"/>
      </w:pPr>
      <w:r>
        <w:t>Le stagiaire ne peut fournir de prestations pendant plus de 4 heures et demie sans une interruption minimale d’une demi-heure.</w:t>
      </w:r>
    </w:p>
    <w:p w:rsidR="00F04EEF" w:rsidRDefault="00F04EEF">
      <w:pPr>
        <w:jc w:val="both"/>
      </w:pPr>
    </w:p>
    <w:p w:rsidR="00F04EEF" w:rsidRDefault="0099351E">
      <w:pPr>
        <w:jc w:val="both"/>
      </w:pPr>
      <w:r>
        <w:t>L’intervalle entre deux journées de stage doit être de 12 heures consécutives au moins.</w:t>
      </w:r>
    </w:p>
    <w:p w:rsidR="00F04EEF" w:rsidRDefault="0099351E">
      <w:pPr>
        <w:jc w:val="both"/>
      </w:pPr>
      <w:r>
        <w:t>Les stages de nuit (c’est-à-dire entre 23 heures et 6 heures) sont interdits. Si des stages sont organisés le dimanche, ils ne pourront l’être qu’un dimanche sur deux.</w:t>
      </w:r>
    </w:p>
    <w:p w:rsidR="00F04EEF" w:rsidRDefault="00F04EEF">
      <w:pPr>
        <w:jc w:val="both"/>
      </w:pPr>
    </w:p>
    <w:p w:rsidR="00F04EEF" w:rsidRDefault="0099351E">
      <w:pPr>
        <w:jc w:val="both"/>
        <w:rPr>
          <w:b/>
        </w:rPr>
      </w:pPr>
      <w:r>
        <w:rPr>
          <w:b/>
        </w:rPr>
        <w:t>Article 5 :</w:t>
      </w:r>
    </w:p>
    <w:p w:rsidR="00F04EEF" w:rsidRDefault="0099351E">
      <w:pPr>
        <w:jc w:val="both"/>
      </w:pPr>
      <w:r>
        <w:t>L’établissement scolaire désigne Madame/Monsieur :…………………………………</w:t>
      </w:r>
    </w:p>
    <w:p w:rsidR="00F04EEF" w:rsidRDefault="0099351E">
      <w:pPr>
        <w:jc w:val="both"/>
      </w:pPr>
      <w:r>
        <w:t>Membre de son personnel, en qualité « d’enseignant(e) – maître de stage » ayant le soin de conduire la formation en entreprise, en concordance avec les objectifs poursuivis.</w:t>
      </w:r>
    </w:p>
    <w:p w:rsidR="00F04EEF" w:rsidRDefault="00F04EEF">
      <w:pPr>
        <w:jc w:val="both"/>
      </w:pPr>
    </w:p>
    <w:p w:rsidR="00F04EEF" w:rsidRDefault="0099351E">
      <w:pPr>
        <w:jc w:val="both"/>
      </w:pPr>
      <w:r>
        <w:t>L’entreprise désigne Madame/Monsieur :……………………………………………..</w:t>
      </w:r>
    </w:p>
    <w:p w:rsidR="00F04EEF" w:rsidRDefault="0099351E">
      <w:pPr>
        <w:jc w:val="both"/>
      </w:pPr>
      <w:r>
        <w:t>Qui occupe la fonction de :…………………………………………………………….</w:t>
      </w:r>
    </w:p>
    <w:p w:rsidR="00F04EEF" w:rsidRDefault="0099351E">
      <w:pPr>
        <w:jc w:val="both"/>
      </w:pPr>
      <w:r>
        <w:t>en qualité de »tuteur », lequel partagera avec l’enseignant(e)- maître de stage le soin de conduire la formation en entreprise, en concordance avec les objectifs poursuivis.</w:t>
      </w:r>
    </w:p>
    <w:p w:rsidR="00F04EEF" w:rsidRDefault="00F04EEF"/>
    <w:p w:rsidR="00F04EEF" w:rsidRDefault="00F04EEF"/>
    <w:p w:rsidR="00F04EEF" w:rsidRDefault="0099351E">
      <w:pPr>
        <w:jc w:val="both"/>
        <w:rPr>
          <w:b/>
        </w:rPr>
      </w:pPr>
      <w:r>
        <w:rPr>
          <w:b/>
        </w:rPr>
        <w:t>Article 6 :</w:t>
      </w:r>
    </w:p>
    <w:p w:rsidR="00F04EEF" w:rsidRDefault="0099351E">
      <w:pPr>
        <w:jc w:val="both"/>
      </w:pPr>
      <w:r>
        <w:rPr>
          <w:b/>
        </w:rPr>
        <w:t>§ 1</w:t>
      </w:r>
      <w:r>
        <w:rPr>
          <w:b/>
          <w:vertAlign w:val="superscript"/>
        </w:rPr>
        <w:t>er</w:t>
      </w:r>
      <w:r>
        <w:rPr>
          <w:b/>
        </w:rPr>
        <w:t xml:space="preserve"> </w:t>
      </w:r>
      <w:r>
        <w:t>En cas de force majeure, le stagiaire qui ne peut se présenter dans l’entreprise avertit aussitôt l’établissement scolaire et l’entreprise.</w:t>
      </w:r>
    </w:p>
    <w:p w:rsidR="00F04EEF" w:rsidRDefault="0099351E">
      <w:pPr>
        <w:jc w:val="both"/>
      </w:pPr>
      <w:r>
        <w:rPr>
          <w:b/>
        </w:rPr>
        <w:t xml:space="preserve">§ 2  </w:t>
      </w:r>
      <w:r>
        <w:t>Le stagiaire informera l’enseignant(e) – maître de stage de tout problème de nature à influencer le bon déroulement du stage.</w:t>
      </w:r>
    </w:p>
    <w:p w:rsidR="00F04EEF" w:rsidRDefault="0099351E">
      <w:pPr>
        <w:jc w:val="both"/>
      </w:pPr>
      <w:r>
        <w:rPr>
          <w:b/>
        </w:rPr>
        <w:t xml:space="preserve">§ 3  </w:t>
      </w:r>
      <w:r>
        <w:t>Dans les plus brefs délais, le tuteur informera l’établissement scolaire de toute absence du stagiaire ou de tout autre problème pouvant apparaître au cours de la période de stage dans l’entreprise et de nature à influencer cette formation.</w:t>
      </w:r>
    </w:p>
    <w:p w:rsidR="00F04EEF" w:rsidRDefault="0099351E">
      <w:pPr>
        <w:jc w:val="both"/>
        <w:rPr>
          <w:b/>
        </w:rPr>
      </w:pPr>
      <w:r>
        <w:rPr>
          <w:b/>
        </w:rPr>
        <w:t xml:space="preserve">§ 4  </w:t>
      </w:r>
      <w:r>
        <w:t>L’entreprise sera à même, à tout moment, de renseigner l’établissement scolaire quant à la localisation du stagiaire.</w:t>
      </w:r>
      <w:r>
        <w:rPr>
          <w:b/>
        </w:rPr>
        <w:t xml:space="preserve"> </w:t>
      </w:r>
    </w:p>
    <w:p w:rsidR="00F04EEF" w:rsidRDefault="0099351E">
      <w:pPr>
        <w:jc w:val="both"/>
      </w:pPr>
      <w:r>
        <w:rPr>
          <w:b/>
        </w:rPr>
        <w:t xml:space="preserve">§ 5  </w:t>
      </w:r>
      <w:r>
        <w:t>L’enseignant(e) – maître de stage informera l’entreprise de tout problème pouvant apparaître durant la période de stage et de nature à influencer la formation du stagiaire</w:t>
      </w:r>
    </w:p>
    <w:p w:rsidR="00F04EEF" w:rsidRDefault="0099351E">
      <w:pPr>
        <w:jc w:val="both"/>
      </w:pPr>
      <w:r>
        <w:rPr>
          <w:b/>
        </w:rPr>
        <w:t xml:space="preserve">§ 6  </w:t>
      </w:r>
      <w:r>
        <w:t>Les informations dont objet aux paragraphes 2,3 et 4 doivent revêtir un caractère de confidentialité.</w:t>
      </w:r>
    </w:p>
    <w:p w:rsidR="00F04EEF" w:rsidRDefault="00F04EEF">
      <w:pPr>
        <w:jc w:val="both"/>
        <w:rPr>
          <w:b/>
        </w:rPr>
      </w:pPr>
    </w:p>
    <w:p w:rsidR="00F04EEF" w:rsidRDefault="0099351E">
      <w:pPr>
        <w:jc w:val="both"/>
        <w:rPr>
          <w:b/>
        </w:rPr>
      </w:pPr>
      <w:r>
        <w:rPr>
          <w:b/>
        </w:rPr>
        <w:t>Article 7 :</w:t>
      </w:r>
    </w:p>
    <w:p w:rsidR="00F04EEF" w:rsidRDefault="0099351E">
      <w:pPr>
        <w:jc w:val="both"/>
      </w:pPr>
      <w:r>
        <w:t>Le stagiaire continue de relever de la responsabilité de l’établissement scolaire où il est inscrit. Il n’existe entre lui et l’entreprise aucun engagement de louage de services.</w:t>
      </w:r>
    </w:p>
    <w:p w:rsidR="00F04EEF" w:rsidRDefault="0099351E">
      <w:pPr>
        <w:jc w:val="both"/>
      </w:pPr>
      <w:r>
        <w:t>Cette situation entraîne les conséquences suivantes :</w:t>
      </w:r>
    </w:p>
    <w:p w:rsidR="00F04EEF" w:rsidRDefault="0099351E">
      <w:pPr>
        <w:numPr>
          <w:ilvl w:val="0"/>
          <w:numId w:val="161"/>
        </w:numPr>
        <w:suppressAutoHyphens/>
        <w:ind w:left="426" w:hanging="426"/>
        <w:jc w:val="both"/>
      </w:pPr>
      <w:r>
        <w:t>le stagiaire reste entièrement sous statut scolaire et, de ce fait, n’est ni rémunéré, ni assujetti à la législation sur la sécurité sociale ;</w:t>
      </w:r>
    </w:p>
    <w:p w:rsidR="00F04EEF" w:rsidRDefault="0099351E">
      <w:pPr>
        <w:numPr>
          <w:ilvl w:val="0"/>
          <w:numId w:val="161"/>
        </w:numPr>
        <w:suppressAutoHyphens/>
        <w:ind w:left="426" w:hanging="426"/>
        <w:jc w:val="both"/>
      </w:pPr>
      <w:r>
        <w:t>en matière d’assurance :</w:t>
      </w:r>
    </w:p>
    <w:p w:rsidR="00F04EEF" w:rsidRDefault="0099351E">
      <w:pPr>
        <w:ind w:left="426"/>
        <w:jc w:val="both"/>
      </w:pPr>
      <w:r>
        <w:t>le pouvoir organisateur et/ou le (la) chef(fe) d’établissement veilleront à ce que leur contrat d’assurance couvre :</w:t>
      </w:r>
    </w:p>
    <w:p w:rsidR="00F04EEF" w:rsidRDefault="0099351E">
      <w:pPr>
        <w:numPr>
          <w:ilvl w:val="0"/>
          <w:numId w:val="166"/>
        </w:numPr>
        <w:tabs>
          <w:tab w:val="left" w:pos="1134"/>
        </w:tabs>
        <w:suppressAutoHyphens/>
        <w:ind w:left="426" w:hanging="426"/>
        <w:jc w:val="both"/>
      </w:pPr>
      <w:r>
        <w:t>la responsabilité civile du stagiaire et des enseignant(e)s – maîtres de stage au sein de l’entreprise ;</w:t>
      </w:r>
    </w:p>
    <w:p w:rsidR="00F04EEF" w:rsidRDefault="0099351E">
      <w:pPr>
        <w:numPr>
          <w:ilvl w:val="0"/>
          <w:numId w:val="166"/>
        </w:numPr>
        <w:tabs>
          <w:tab w:val="left" w:pos="1134"/>
        </w:tabs>
        <w:suppressAutoHyphens/>
        <w:ind w:left="426" w:hanging="426"/>
        <w:jc w:val="both"/>
      </w:pPr>
      <w:r>
        <w:t>les accidents corporels pouvant survenir au stagiaire au sein de l’entreprise, ainsi que sur les trajets domicile-entreprise ou établissement scolaire-entreprise ;</w:t>
      </w:r>
    </w:p>
    <w:p w:rsidR="00F04EEF" w:rsidRDefault="0099351E">
      <w:pPr>
        <w:numPr>
          <w:ilvl w:val="0"/>
          <w:numId w:val="166"/>
        </w:numPr>
        <w:tabs>
          <w:tab w:val="left" w:pos="1134"/>
        </w:tabs>
        <w:suppressAutoHyphens/>
        <w:ind w:left="426" w:hanging="426"/>
        <w:jc w:val="both"/>
      </w:pPr>
      <w:r>
        <w:t xml:space="preserve">les actes techniques que les enseignant(e)s – maîtres de stage seraient amenés à poser dans l’entreprise. </w:t>
      </w:r>
    </w:p>
    <w:p w:rsidR="00F04EEF" w:rsidRDefault="0099351E">
      <w:pPr>
        <w:tabs>
          <w:tab w:val="left" w:pos="1134"/>
        </w:tabs>
        <w:ind w:left="1134" w:hanging="425"/>
        <w:jc w:val="both"/>
      </w:pPr>
      <w:r>
        <w:tab/>
        <w:t>Dénomination de la compagnie d’assurance :</w:t>
      </w:r>
    </w:p>
    <w:p w:rsidR="00F04EEF" w:rsidRDefault="0099351E">
      <w:pPr>
        <w:tabs>
          <w:tab w:val="left" w:pos="1134"/>
        </w:tabs>
        <w:ind w:left="1134" w:hanging="425"/>
        <w:jc w:val="both"/>
      </w:pPr>
      <w:r>
        <w:tab/>
        <w:t>Numéro de police :</w:t>
      </w:r>
    </w:p>
    <w:p w:rsidR="00F04EEF" w:rsidRDefault="0099351E">
      <w:pPr>
        <w:numPr>
          <w:ilvl w:val="0"/>
          <w:numId w:val="166"/>
        </w:numPr>
        <w:tabs>
          <w:tab w:val="left" w:pos="1134"/>
        </w:tabs>
        <w:suppressAutoHyphens/>
        <w:ind w:left="1134" w:hanging="425"/>
        <w:jc w:val="both"/>
      </w:pPr>
      <w:r>
        <w:t>l’entreprise vérifiera que son contrat d’assurance couvre bien sa responsabilité civile vis-à-vis du stagiaire. A défaut, elle fera en sorte qu’il en soit ainsi.</w:t>
      </w:r>
    </w:p>
    <w:p w:rsidR="00F04EEF" w:rsidRDefault="0099351E">
      <w:pPr>
        <w:tabs>
          <w:tab w:val="left" w:pos="1134"/>
        </w:tabs>
        <w:ind w:left="1134" w:hanging="425"/>
        <w:jc w:val="both"/>
      </w:pPr>
      <w:r>
        <w:tab/>
        <w:t>Dénomination de la compagnie d’assurance :</w:t>
      </w:r>
    </w:p>
    <w:p w:rsidR="00F04EEF" w:rsidRDefault="0099351E">
      <w:pPr>
        <w:tabs>
          <w:tab w:val="left" w:pos="1134"/>
        </w:tabs>
        <w:ind w:left="1134" w:hanging="425"/>
        <w:jc w:val="both"/>
      </w:pPr>
      <w:r>
        <w:tab/>
        <w:t>Numéro de police :</w:t>
      </w:r>
    </w:p>
    <w:p w:rsidR="00F04EEF" w:rsidRDefault="00F04EEF">
      <w:pPr>
        <w:tabs>
          <w:tab w:val="left" w:pos="1134"/>
        </w:tabs>
      </w:pPr>
    </w:p>
    <w:p w:rsidR="00F04EEF" w:rsidRDefault="0099351E">
      <w:pPr>
        <w:tabs>
          <w:tab w:val="left" w:pos="1134"/>
        </w:tabs>
        <w:rPr>
          <w:b/>
        </w:rPr>
      </w:pPr>
      <w:r>
        <w:rPr>
          <w:b/>
        </w:rPr>
        <w:t>Article 8 :</w:t>
      </w:r>
    </w:p>
    <w:p w:rsidR="00F04EEF" w:rsidRDefault="0099351E">
      <w:pPr>
        <w:tabs>
          <w:tab w:val="left" w:pos="1134"/>
        </w:tabs>
        <w:jc w:val="both"/>
      </w:pPr>
      <w:r>
        <w:t>L’entreprise veille à se conformer à l’Arrêté Royal du 21 septembre 2004 relatif à la protection des stagiaires. Les résultats de l’analyse de risque, prescrite dans l’AR seront communiqués par l‘entreprise à l’école dès la signature de la convention. Elle fournit au stagiaire les vêtements et équipement de sécurité spécifiques à ses tâches.</w:t>
      </w:r>
    </w:p>
    <w:p w:rsidR="00F04EEF" w:rsidRDefault="0099351E">
      <w:pPr>
        <w:tabs>
          <w:tab w:val="left" w:pos="1134"/>
        </w:tabs>
        <w:jc w:val="both"/>
      </w:pPr>
      <w:r>
        <w:t>L’élève est tenu de se soumettre à une visite médicale organisée par le service de prévention de l’école aux frais de celle-ci. En cas de problème lors de la visite médicale, le stagiaire remettra une copie du résultat à l’entreprise.</w:t>
      </w:r>
    </w:p>
    <w:p w:rsidR="00F04EEF" w:rsidRDefault="00F04EEF">
      <w:pPr>
        <w:tabs>
          <w:tab w:val="left" w:pos="1134"/>
        </w:tabs>
        <w:jc w:val="both"/>
      </w:pPr>
    </w:p>
    <w:p w:rsidR="00F04EEF" w:rsidRDefault="0099351E">
      <w:pPr>
        <w:tabs>
          <w:tab w:val="left" w:pos="1134"/>
        </w:tabs>
        <w:jc w:val="both"/>
        <w:rPr>
          <w:b/>
        </w:rPr>
      </w:pPr>
      <w:r>
        <w:rPr>
          <w:b/>
        </w:rPr>
        <w:t>Article 9 :</w:t>
      </w:r>
    </w:p>
    <w:p w:rsidR="00F04EEF" w:rsidRDefault="0099351E">
      <w:pPr>
        <w:tabs>
          <w:tab w:val="left" w:pos="1134"/>
        </w:tabs>
        <w:jc w:val="both"/>
      </w:pPr>
      <w:r>
        <w:t>L’entreprise est tenue d’avertir l’établissement scolaire et/ou l’organisme chargé de la tutelle sanitaire de tout problème de nature médicale constaté dans l’entreprise.</w:t>
      </w:r>
    </w:p>
    <w:p w:rsidR="00F04EEF" w:rsidRDefault="00F04EEF">
      <w:pPr>
        <w:tabs>
          <w:tab w:val="left" w:pos="702"/>
          <w:tab w:val="left" w:pos="1134"/>
        </w:tabs>
        <w:jc w:val="both"/>
        <w:rPr>
          <w:b/>
        </w:rPr>
      </w:pPr>
    </w:p>
    <w:p w:rsidR="00F04EEF" w:rsidRDefault="0099351E">
      <w:pPr>
        <w:tabs>
          <w:tab w:val="left" w:pos="702"/>
          <w:tab w:val="left" w:pos="1134"/>
        </w:tabs>
        <w:jc w:val="both"/>
        <w:rPr>
          <w:b/>
        </w:rPr>
      </w:pPr>
      <w:r>
        <w:rPr>
          <w:b/>
        </w:rPr>
        <w:t>Article 10 :</w:t>
      </w:r>
    </w:p>
    <w:p w:rsidR="00F04EEF" w:rsidRDefault="0099351E">
      <w:pPr>
        <w:tabs>
          <w:tab w:val="left" w:pos="1134"/>
        </w:tabs>
        <w:jc w:val="both"/>
      </w:pPr>
      <w:r>
        <w:t>Le stagiaire accepte de se conformer au règlement en vigueur dans l’entreprise et aux dispositions dictées par des impératifs de sécurité.</w:t>
      </w:r>
    </w:p>
    <w:p w:rsidR="00F04EEF" w:rsidRDefault="00F04EEF">
      <w:pPr>
        <w:tabs>
          <w:tab w:val="left" w:pos="1134"/>
        </w:tabs>
        <w:jc w:val="both"/>
      </w:pPr>
    </w:p>
    <w:p w:rsidR="00F04EEF" w:rsidRDefault="0099351E">
      <w:pPr>
        <w:tabs>
          <w:tab w:val="left" w:pos="1134"/>
        </w:tabs>
        <w:jc w:val="both"/>
      </w:pPr>
      <w:r>
        <w:t>Il s’engage en outre, à ne pas dévoiler les informations à caractère confidentiel dont il aurait eu connaissance lors de son stage et à remettre à l’entreprise, à la fin du stage, tout document, matériau ou équipement mis à sa disposition au cours du stage.</w:t>
      </w:r>
    </w:p>
    <w:p w:rsidR="00F04EEF" w:rsidRDefault="00F04EEF">
      <w:pPr>
        <w:tabs>
          <w:tab w:val="left" w:pos="1134"/>
        </w:tabs>
        <w:jc w:val="both"/>
      </w:pPr>
    </w:p>
    <w:p w:rsidR="00F04EEF" w:rsidRDefault="0099351E">
      <w:pPr>
        <w:tabs>
          <w:tab w:val="left" w:pos="1134"/>
        </w:tabs>
        <w:jc w:val="both"/>
      </w:pPr>
      <w:r>
        <w:t>Sur le lieu du stage, le stagiaire doit être en possession de son carnet de stage (ou de tout document qui en tient lieu), lequel, validé par le responsable scolaire, devra préciser explicitement le lieu de stage, ainsi que les jours et heures de début et de fin des prestations, avec visa du tuteur en regard de ceux-ci.</w:t>
      </w:r>
    </w:p>
    <w:p w:rsidR="00F04EEF" w:rsidRDefault="0099351E">
      <w:pPr>
        <w:tabs>
          <w:tab w:val="left" w:pos="1134"/>
        </w:tabs>
        <w:jc w:val="both"/>
      </w:pPr>
      <w:r>
        <w:t>De même le stagiaire doit être en mesure de présenter sa convention de stage à toute demande formulée dans le cadre de la législation sociale.</w:t>
      </w:r>
    </w:p>
    <w:p w:rsidR="00F04EEF" w:rsidRDefault="00F04EEF">
      <w:pPr>
        <w:tabs>
          <w:tab w:val="left" w:pos="1134"/>
        </w:tabs>
        <w:jc w:val="both"/>
      </w:pPr>
    </w:p>
    <w:p w:rsidR="00F04EEF" w:rsidRDefault="0099351E">
      <w:pPr>
        <w:tabs>
          <w:tab w:val="left" w:pos="1134"/>
        </w:tabs>
        <w:jc w:val="both"/>
      </w:pPr>
      <w:r>
        <w:t>Le stagiaire demeure toujours sous la guidance du tuteur ou d’un membre du personnel qualifié. Des travaux étrangers à la profession  ne peuvent lui être confiés.</w:t>
      </w:r>
    </w:p>
    <w:p w:rsidR="00F04EEF" w:rsidRDefault="00F04EEF">
      <w:pPr>
        <w:tabs>
          <w:tab w:val="left" w:pos="1134"/>
        </w:tabs>
        <w:jc w:val="both"/>
      </w:pPr>
    </w:p>
    <w:p w:rsidR="00F04EEF" w:rsidRDefault="0099351E">
      <w:pPr>
        <w:tabs>
          <w:tab w:val="left" w:pos="1134"/>
        </w:tabs>
        <w:jc w:val="both"/>
        <w:rPr>
          <w:b/>
        </w:rPr>
      </w:pPr>
      <w:r>
        <w:rPr>
          <w:b/>
        </w:rPr>
        <w:t>Article 11 :</w:t>
      </w:r>
    </w:p>
    <w:p w:rsidR="00F04EEF" w:rsidRDefault="0099351E">
      <w:pPr>
        <w:tabs>
          <w:tab w:val="left" w:pos="1134"/>
        </w:tabs>
        <w:jc w:val="both"/>
      </w:pPr>
      <w:r>
        <w:t>Il pourra être mis fin à la convention de stage après concertation préalable entre les parties. Elle pourra être suspendue selon les mêmes modalités.</w:t>
      </w:r>
    </w:p>
    <w:p w:rsidR="00F04EEF" w:rsidRDefault="00F04EEF">
      <w:pPr>
        <w:tabs>
          <w:tab w:val="left" w:pos="1134"/>
        </w:tabs>
        <w:jc w:val="both"/>
        <w:rPr>
          <w:b/>
        </w:rPr>
      </w:pPr>
    </w:p>
    <w:p w:rsidR="00F04EEF" w:rsidRDefault="0099351E">
      <w:pPr>
        <w:tabs>
          <w:tab w:val="left" w:pos="1134"/>
        </w:tabs>
        <w:jc w:val="both"/>
        <w:rPr>
          <w:b/>
        </w:rPr>
      </w:pPr>
      <w:r>
        <w:rPr>
          <w:b/>
        </w:rPr>
        <w:t>Article 12 :</w:t>
      </w:r>
    </w:p>
    <w:p w:rsidR="00F04EEF" w:rsidRDefault="0099351E">
      <w:pPr>
        <w:tabs>
          <w:tab w:val="left" w:pos="1134"/>
        </w:tabs>
        <w:jc w:val="both"/>
      </w:pPr>
      <w:r>
        <w:t>Sans préjudice des articles de la présente convention, les dispositions convenues entre les établissements d’enseignement et des organismes sectoriels ou autres restent d’application.</w:t>
      </w:r>
    </w:p>
    <w:p w:rsidR="00F04EEF" w:rsidRDefault="00F04EEF">
      <w:pPr>
        <w:tabs>
          <w:tab w:val="left" w:pos="1134"/>
        </w:tabs>
        <w:jc w:val="both"/>
      </w:pPr>
    </w:p>
    <w:p w:rsidR="00F04EEF" w:rsidRDefault="0099351E">
      <w:pPr>
        <w:tabs>
          <w:tab w:val="left" w:pos="1134"/>
        </w:tabs>
        <w:jc w:val="both"/>
      </w:pPr>
      <w:r>
        <w:t>Elles sont éventuellement annexées à la présente.</w:t>
      </w:r>
    </w:p>
    <w:p w:rsidR="00F04EEF" w:rsidRDefault="00F04EEF">
      <w:pPr>
        <w:tabs>
          <w:tab w:val="left" w:pos="1134"/>
        </w:tabs>
        <w:jc w:val="both"/>
      </w:pPr>
    </w:p>
    <w:p w:rsidR="00F04EEF" w:rsidRDefault="0099351E">
      <w:pPr>
        <w:tabs>
          <w:tab w:val="left" w:pos="1134"/>
        </w:tabs>
        <w:jc w:val="both"/>
      </w:pPr>
      <w:r>
        <w:t>Fait en       exemplaires, le</w:t>
      </w:r>
    </w:p>
    <w:p w:rsidR="00F04EEF" w:rsidRDefault="00F04EEF">
      <w:pPr>
        <w:tabs>
          <w:tab w:val="left" w:pos="1134"/>
        </w:tabs>
      </w:pPr>
    </w:p>
    <w:p w:rsidR="00F04EEF" w:rsidRDefault="0099351E">
      <w:pPr>
        <w:tabs>
          <w:tab w:val="left" w:pos="1134"/>
          <w:tab w:val="left" w:pos="5103"/>
        </w:tabs>
      </w:pPr>
      <w:r>
        <w:t>Pour l’entreprise,</w:t>
      </w:r>
      <w:r>
        <w:tab/>
        <w:t>Cachet de l’entreprise</w:t>
      </w:r>
    </w:p>
    <w:p w:rsidR="00F04EEF" w:rsidRDefault="0099351E">
      <w:pPr>
        <w:tabs>
          <w:tab w:val="left" w:pos="1134"/>
          <w:tab w:val="left" w:pos="5103"/>
        </w:tabs>
      </w:pPr>
      <w:r>
        <w:t>Lu et approuvé,</w:t>
      </w:r>
    </w:p>
    <w:p w:rsidR="00F04EEF" w:rsidRDefault="00F04EEF">
      <w:pPr>
        <w:tabs>
          <w:tab w:val="left" w:pos="1134"/>
          <w:tab w:val="left" w:pos="5103"/>
        </w:tabs>
      </w:pPr>
    </w:p>
    <w:p w:rsidR="00F04EEF" w:rsidRDefault="00F04EEF">
      <w:pPr>
        <w:tabs>
          <w:tab w:val="left" w:pos="1134"/>
          <w:tab w:val="left" w:pos="5103"/>
        </w:tabs>
      </w:pPr>
    </w:p>
    <w:p w:rsidR="00F04EEF" w:rsidRDefault="0099351E">
      <w:pPr>
        <w:tabs>
          <w:tab w:val="left" w:pos="1134"/>
          <w:tab w:val="left" w:pos="5103"/>
        </w:tabs>
      </w:pPr>
      <w:r>
        <w:t>L’établissement scolaire,</w:t>
      </w:r>
      <w:r>
        <w:tab/>
        <w:t>Cachet de l’établissement</w:t>
      </w:r>
    </w:p>
    <w:p w:rsidR="00F04EEF" w:rsidRDefault="0099351E">
      <w:pPr>
        <w:tabs>
          <w:tab w:val="left" w:pos="1134"/>
          <w:tab w:val="left" w:pos="5103"/>
        </w:tabs>
      </w:pPr>
      <w:r>
        <w:t>Lu et approuvé,</w:t>
      </w:r>
    </w:p>
    <w:p w:rsidR="00F04EEF" w:rsidRDefault="00F04EEF">
      <w:pPr>
        <w:tabs>
          <w:tab w:val="left" w:pos="1134"/>
          <w:tab w:val="left" w:pos="5103"/>
        </w:tabs>
      </w:pPr>
    </w:p>
    <w:p w:rsidR="00F04EEF" w:rsidRDefault="00F04EEF">
      <w:pPr>
        <w:tabs>
          <w:tab w:val="left" w:pos="1134"/>
          <w:tab w:val="left" w:pos="5103"/>
        </w:tabs>
      </w:pPr>
    </w:p>
    <w:p w:rsidR="00F04EEF" w:rsidRDefault="00F04EEF">
      <w:pPr>
        <w:tabs>
          <w:tab w:val="left" w:pos="1134"/>
          <w:tab w:val="left" w:pos="5103"/>
        </w:tabs>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F04EEF">
        <w:tc>
          <w:tcPr>
            <w:tcW w:w="4797" w:type="dxa"/>
          </w:tcPr>
          <w:p w:rsidR="00F04EEF" w:rsidRDefault="0099351E">
            <w:pPr>
              <w:tabs>
                <w:tab w:val="left" w:pos="1134"/>
                <w:tab w:val="left" w:pos="5103"/>
              </w:tabs>
              <w:snapToGrid w:val="0"/>
            </w:pPr>
            <w:r>
              <w:t>Signature de l’élève,</w:t>
            </w:r>
          </w:p>
          <w:p w:rsidR="00F04EEF" w:rsidRDefault="0099351E">
            <w:pPr>
              <w:tabs>
                <w:tab w:val="left" w:pos="1134"/>
                <w:tab w:val="left" w:pos="5103"/>
              </w:tabs>
            </w:pPr>
            <w:r>
              <w:t>Lu et approuvé</w:t>
            </w:r>
          </w:p>
        </w:tc>
        <w:tc>
          <w:tcPr>
            <w:tcW w:w="4880" w:type="dxa"/>
          </w:tcPr>
          <w:p w:rsidR="00F04EEF" w:rsidRDefault="0099351E">
            <w:pPr>
              <w:tabs>
                <w:tab w:val="left" w:pos="1134"/>
                <w:tab w:val="left" w:pos="5103"/>
              </w:tabs>
              <w:snapToGrid w:val="0"/>
            </w:pPr>
            <w:r>
              <w:t>Signature des parents ou de la personne investie de l’autorité parentale,(Pour le stagiaire)</w:t>
            </w:r>
          </w:p>
        </w:tc>
      </w:tr>
      <w:tr w:rsidR="00F04EEF">
        <w:tc>
          <w:tcPr>
            <w:tcW w:w="4797" w:type="dxa"/>
          </w:tcPr>
          <w:p w:rsidR="00F04EEF" w:rsidRDefault="00F04EEF">
            <w:pPr>
              <w:tabs>
                <w:tab w:val="left" w:pos="1134"/>
                <w:tab w:val="left" w:pos="5103"/>
              </w:tabs>
              <w:snapToGrid w:val="0"/>
            </w:pPr>
          </w:p>
        </w:tc>
        <w:tc>
          <w:tcPr>
            <w:tcW w:w="4880" w:type="dxa"/>
          </w:tcPr>
          <w:p w:rsidR="00F04EEF" w:rsidRDefault="0099351E">
            <w:pPr>
              <w:tabs>
                <w:tab w:val="left" w:pos="1134"/>
                <w:tab w:val="left" w:pos="5103"/>
              </w:tabs>
              <w:snapToGrid w:val="0"/>
            </w:pPr>
            <w:r>
              <w:t>Lu et approuvé,</w:t>
            </w:r>
          </w:p>
        </w:tc>
      </w:tr>
    </w:tbl>
    <w:p w:rsidR="00F04EEF" w:rsidRDefault="0099351E">
      <w:pPr>
        <w:tabs>
          <w:tab w:val="left" w:pos="426"/>
          <w:tab w:val="left" w:pos="5103"/>
        </w:tabs>
        <w:rPr>
          <w:u w:val="single"/>
        </w:rPr>
      </w:pPr>
      <w:r>
        <w:rPr>
          <w:u w:val="single"/>
        </w:rPr>
        <w:t>Annexes :</w:t>
      </w:r>
    </w:p>
    <w:p w:rsidR="00F04EEF" w:rsidRDefault="00F04EEF">
      <w:pPr>
        <w:tabs>
          <w:tab w:val="left" w:pos="426"/>
          <w:tab w:val="left" w:pos="5103"/>
        </w:tabs>
        <w:rPr>
          <w:u w:val="single"/>
        </w:rPr>
      </w:pPr>
    </w:p>
    <w:p w:rsidR="00F04EEF" w:rsidRDefault="0099351E">
      <w:pPr>
        <w:numPr>
          <w:ilvl w:val="0"/>
          <w:numId w:val="134"/>
        </w:numPr>
        <w:tabs>
          <w:tab w:val="left" w:pos="426"/>
          <w:tab w:val="left" w:pos="5103"/>
        </w:tabs>
        <w:suppressAutoHyphens/>
        <w:ind w:left="927"/>
      </w:pPr>
      <w:r>
        <w:t>les objectifs de la formation, les compétences à développer et à exercer en cours de stage, ainsi que les modes et les critères d’évaluation continue et formative (Article 2)</w:t>
      </w:r>
    </w:p>
    <w:p w:rsidR="00F04EEF" w:rsidRDefault="0099351E">
      <w:pPr>
        <w:numPr>
          <w:ilvl w:val="0"/>
          <w:numId w:val="134"/>
        </w:numPr>
        <w:tabs>
          <w:tab w:val="left" w:pos="426"/>
          <w:tab w:val="left" w:pos="5103"/>
        </w:tabs>
        <w:suppressAutoHyphens/>
        <w:ind w:left="927"/>
      </w:pPr>
      <w:r>
        <w:t>la liste des compétences-seuils acquises par l’élève</w:t>
      </w:r>
    </w:p>
    <w:p w:rsidR="00F04EEF" w:rsidRDefault="0099351E">
      <w:pPr>
        <w:numPr>
          <w:ilvl w:val="0"/>
          <w:numId w:val="134"/>
        </w:numPr>
        <w:tabs>
          <w:tab w:val="left" w:pos="426"/>
          <w:tab w:val="left" w:pos="5103"/>
        </w:tabs>
        <w:suppressAutoHyphens/>
        <w:ind w:left="927"/>
      </w:pPr>
      <w:r>
        <w:t>l’horaire et le calendrier de la formation (Article 4)</w:t>
      </w:r>
    </w:p>
    <w:p w:rsidR="00F04EEF" w:rsidRDefault="0099351E">
      <w:pPr>
        <w:numPr>
          <w:ilvl w:val="0"/>
          <w:numId w:val="134"/>
        </w:numPr>
        <w:tabs>
          <w:tab w:val="left" w:pos="426"/>
          <w:tab w:val="left" w:pos="5103"/>
        </w:tabs>
        <w:suppressAutoHyphens/>
        <w:ind w:left="927"/>
      </w:pPr>
      <w:r>
        <w:t>les dispositions particulières éventuelles (Article 12)</w:t>
      </w:r>
    </w:p>
    <w:p w:rsidR="00F04EEF" w:rsidRDefault="0099351E">
      <w:r>
        <w:br w:type="page"/>
      </w:r>
    </w:p>
    <w:p w:rsidR="00F04EEF" w:rsidRDefault="0099351E">
      <w:pPr>
        <w:pStyle w:val="Titre4"/>
        <w:rPr>
          <w:lang w:eastAsia="fr-FR"/>
        </w:rPr>
      </w:pPr>
      <w:r>
        <w:rPr>
          <w:lang w:eastAsia="fr-FR"/>
        </w:rPr>
        <w:t>Annexe 2 : Attestation de fréquentation</w:t>
      </w:r>
    </w:p>
    <w:p w:rsidR="00F04EEF" w:rsidRDefault="00F04EEF">
      <w:pPr>
        <w:rPr>
          <w:lang w:eastAsia="fr-FR"/>
        </w:rPr>
      </w:pPr>
    </w:p>
    <w:p w:rsidR="00F04EEF" w:rsidRDefault="00F04EEF">
      <w:pPr>
        <w:rPr>
          <w:lang w:eastAsia="fr-FR"/>
        </w:rPr>
      </w:pPr>
    </w:p>
    <w:p w:rsidR="00F04EEF" w:rsidRDefault="0099351E">
      <w:pPr>
        <w:jc w:val="center"/>
        <w:rPr>
          <w:rFonts w:ascii="Georgia" w:hAnsi="Georgia"/>
          <w:b/>
          <w:lang w:eastAsia="fr-FR"/>
        </w:rPr>
      </w:pPr>
      <w:r>
        <w:rPr>
          <w:rFonts w:ascii="Georgia" w:hAnsi="Georgia"/>
          <w:b/>
          <w:lang w:eastAsia="fr-FR"/>
        </w:rPr>
        <w:t>COMMUNAUTE FRANÇAISE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3 EN ALTERNANCE</w:t>
      </w:r>
    </w:p>
    <w:p w:rsidR="00F04EEF" w:rsidRDefault="00F04EEF">
      <w:pPr>
        <w:rPr>
          <w:lang w:eastAsia="fr-FR"/>
        </w:rPr>
      </w:pPr>
    </w:p>
    <w:p w:rsidR="00F04EEF" w:rsidRDefault="00F04EEF">
      <w:pPr>
        <w:rPr>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FREQUENTATION</w:t>
      </w:r>
    </w:p>
    <w:p w:rsidR="00F04EEF" w:rsidRDefault="00F04EEF">
      <w:pPr>
        <w:shd w:val="clear" w:color="auto" w:fill="FFFFFF"/>
        <w:ind w:firstLine="539"/>
        <w:rPr>
          <w:rFonts w:ascii="Georgia" w:eastAsia="Times New Roman" w:hAnsi="Georgia"/>
          <w:color w:val="000000"/>
          <w:lang w:eastAsia="fr-FR"/>
        </w:rPr>
      </w:pPr>
    </w:p>
    <w:p w:rsidR="00F04EEF" w:rsidRDefault="00F04EEF">
      <w:pPr>
        <w:shd w:val="clear" w:color="auto" w:fill="FFFFFF"/>
        <w:ind w:firstLine="539"/>
        <w:rPr>
          <w:rFonts w:ascii="Georgia" w:eastAsia="Times New Roman" w:hAnsi="Georgia"/>
          <w:color w:val="000000"/>
          <w:lang w:eastAsia="fr-FR"/>
        </w:rPr>
      </w:pP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DENOMINATION ET SIEGE DE L'ETABLISSEMENT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color w:val="000000"/>
          <w:lang w:eastAsia="fr-FR"/>
        </w:rPr>
      </w:pP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Numéro Fase :</w:t>
      </w:r>
    </w:p>
    <w:p w:rsidR="00F04EEF" w:rsidRDefault="00F04EEF">
      <w:pPr>
        <w:shd w:val="clear" w:color="auto" w:fill="FFFFFF"/>
        <w:rPr>
          <w:rFonts w:ascii="Georgia" w:eastAsia="Times New Roman" w:hAnsi="Georgia"/>
          <w:color w:val="000000"/>
          <w:lang w:eastAsia="fr-FR"/>
        </w:rPr>
      </w:pPr>
    </w:p>
    <w:p w:rsidR="00F04EEF" w:rsidRDefault="0099351E">
      <w:pPr>
        <w:shd w:val="clear" w:color="auto" w:fill="FFFFFF"/>
        <w:rPr>
          <w:rFonts w:ascii="Georgia" w:eastAsia="Times New Roman" w:hAnsi="Georgia"/>
          <w:color w:val="000000"/>
          <w:lang w:eastAsia="fr-FR"/>
        </w:rPr>
      </w:pPr>
      <w:r>
        <w:rPr>
          <w:rFonts w:ascii="Georgia" w:eastAsia="Times New Roman" w:hAnsi="Georgia" w:cs="Arial"/>
          <w:lang w:eastAsia="fr-FR"/>
        </w:rPr>
        <w:t xml:space="preserve">Je </w:t>
      </w:r>
      <w:r>
        <w:rPr>
          <w:rFonts w:ascii="Georgia" w:eastAsia="Times New Roman" w:hAnsi="Georgia"/>
          <w:color w:val="000000"/>
          <w:lang w:eastAsia="fr-FR"/>
        </w:rPr>
        <w:t>soussigné(e) : ………………………………………………………………………………………………… (3)</w:t>
      </w: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Chef(fe) de l'établissement susmentionné, atteste que l'élève : ……………………………………... (3)</w:t>
      </w:r>
    </w:p>
    <w:p w:rsidR="00F04EEF" w:rsidRDefault="0099351E">
      <w:pPr>
        <w:shd w:val="clear" w:color="auto" w:fill="FFFFFF"/>
        <w:tabs>
          <w:tab w:val="left" w:leader="dot" w:pos="4368"/>
        </w:tabs>
        <w:rPr>
          <w:rFonts w:ascii="Georgia" w:eastAsia="Times New Roman" w:hAnsi="Georgia"/>
          <w:color w:val="000000"/>
          <w:lang w:eastAsia="fr-FR"/>
        </w:rPr>
      </w:pPr>
      <w:r>
        <w:rPr>
          <w:rFonts w:ascii="Georgia" w:eastAsia="Times New Roman" w:hAnsi="Georgia"/>
          <w:color w:val="000000"/>
          <w:spacing w:val="-4"/>
          <w:lang w:eastAsia="fr-FR"/>
        </w:rPr>
        <w:t xml:space="preserve">Né(e) à </w:t>
      </w:r>
      <w:r>
        <w:rPr>
          <w:rFonts w:ascii="Georgia" w:eastAsia="Times New Roman" w:hAnsi="Georgia"/>
          <w:color w:val="000000"/>
          <w:lang w:eastAsia="fr-FR"/>
        </w:rPr>
        <w:t>……………………………………………………………… (4), le…………………………………….......... (5)</w:t>
      </w:r>
    </w:p>
    <w:p w:rsidR="00F04EEF" w:rsidRDefault="0099351E">
      <w:pPr>
        <w:shd w:val="clear" w:color="auto" w:fill="FFFFFF"/>
        <w:tabs>
          <w:tab w:val="left" w:leader="dot" w:pos="4330"/>
          <w:tab w:val="left" w:leader="dot" w:pos="8285"/>
        </w:tabs>
        <w:spacing w:before="173"/>
        <w:rPr>
          <w:rFonts w:ascii="Georgia" w:eastAsia="Times New Roman" w:hAnsi="Georgia"/>
          <w:lang w:eastAsia="fr-FR"/>
        </w:rPr>
      </w:pPr>
      <w:r>
        <w:rPr>
          <w:rFonts w:ascii="Georgia" w:eastAsia="Times New Roman" w:hAnsi="Georgia"/>
          <w:color w:val="000000"/>
          <w:lang w:eastAsia="fr-FR"/>
        </w:rPr>
        <w:t>A suivi du ……………………………………………………(11) au……………………………………………(11)</w:t>
      </w:r>
      <w:r>
        <w:rPr>
          <w:rFonts w:ascii="Georgia" w:eastAsia="Times New Roman" w:hAnsi="Georgia"/>
          <w:lang w:eastAsia="fr-FR"/>
        </w:rPr>
        <w:t xml:space="preserve"> </w:t>
      </w:r>
      <w:r>
        <w:rPr>
          <w:rFonts w:ascii="Georgia" w:eastAsia="Times New Roman" w:hAnsi="Georgia"/>
          <w:color w:val="000000"/>
          <w:lang w:eastAsia="fr-FR"/>
        </w:rPr>
        <w:t>les cours de l'enseignement secondaire spécialisé de forme 3 en alternance dans l'établissement susmentionné.</w:t>
      </w:r>
    </w:p>
    <w:p w:rsidR="00F04EEF" w:rsidRDefault="0099351E">
      <w:pPr>
        <w:shd w:val="clear" w:color="auto" w:fill="FFFFFF"/>
        <w:tabs>
          <w:tab w:val="left" w:leader="dot" w:pos="6461"/>
        </w:tabs>
        <w:spacing w:before="202"/>
        <w:jc w:val="both"/>
        <w:rPr>
          <w:rFonts w:ascii="Georgia" w:eastAsia="Times New Roman" w:hAnsi="Georgia"/>
          <w:lang w:eastAsia="fr-FR"/>
        </w:rPr>
      </w:pPr>
      <w:r>
        <w:rPr>
          <w:rFonts w:ascii="Georgia" w:eastAsia="Times New Roman" w:hAnsi="Georgia"/>
          <w:color w:val="000000"/>
          <w:lang w:eastAsia="fr-FR"/>
        </w:rPr>
        <w:t>A cette date, l'élève était inscrit(e) en……………………………………….(16) phase du secteur professionnel :………………………………………………………………………………………………………… (17)</w:t>
      </w:r>
    </w:p>
    <w:p w:rsidR="00F04EEF" w:rsidRDefault="0099351E">
      <w:pPr>
        <w:shd w:val="clear" w:color="auto" w:fill="FFFFFF"/>
        <w:spacing w:before="221" w:line="230" w:lineRule="exact"/>
        <w:ind w:firstLine="10"/>
        <w:rPr>
          <w:rFonts w:ascii="Georgia" w:eastAsia="Times New Roman" w:hAnsi="Georgia"/>
          <w:lang w:eastAsia="fr-FR"/>
        </w:rPr>
      </w:pPr>
      <w:r>
        <w:rPr>
          <w:rFonts w:ascii="Georgia" w:eastAsia="Times New Roman" w:hAnsi="Georgia"/>
          <w:color w:val="000000"/>
          <w:lang w:eastAsia="fr-FR"/>
        </w:rPr>
        <w:t>La présente attestation est délivrée en exécution de l'article 57, 4°, du décret du 3 mars 2004 organisant l'enseignement spécialisé.</w:t>
      </w:r>
    </w:p>
    <w:p w:rsidR="00F04EEF" w:rsidRDefault="0099351E">
      <w:pPr>
        <w:shd w:val="clear" w:color="auto" w:fill="FFFFFF"/>
        <w:tabs>
          <w:tab w:val="left" w:leader="dot" w:pos="4330"/>
          <w:tab w:val="left" w:leader="dot" w:pos="7181"/>
        </w:tabs>
        <w:spacing w:before="432"/>
        <w:rPr>
          <w:rFonts w:ascii="Georgia" w:eastAsia="Times New Roman" w:hAnsi="Georgia"/>
          <w:lang w:eastAsia="fr-FR"/>
        </w:rPr>
      </w:pPr>
      <w:r>
        <w:rPr>
          <w:rFonts w:ascii="Georgia" w:eastAsia="Times New Roman" w:hAnsi="Georgia"/>
          <w:color w:val="000000"/>
          <w:lang w:eastAsia="fr-FR"/>
        </w:rPr>
        <w:t>Délivrée à ………………………………………………………... (6), le</w:t>
      </w:r>
      <w:r>
        <w:rPr>
          <w:rFonts w:ascii="Georgia" w:eastAsia="Times New Roman" w:hAnsi="Georgia"/>
          <w:color w:val="000000"/>
          <w:lang w:eastAsia="fr-FR"/>
        </w:rPr>
        <w:tab/>
        <w:t>……………………. (5)</w:t>
      </w:r>
    </w:p>
    <w:p w:rsidR="00F04EEF" w:rsidRDefault="00F04EEF">
      <w:pPr>
        <w:shd w:val="clear" w:color="auto" w:fill="FFFFFF"/>
        <w:tabs>
          <w:tab w:val="left" w:pos="4790"/>
        </w:tabs>
        <w:spacing w:before="432"/>
        <w:rPr>
          <w:rFonts w:ascii="Georgia" w:eastAsia="Times New Roman" w:hAnsi="Georgia"/>
          <w:color w:val="000000"/>
          <w:lang w:eastAsia="fr-FR"/>
        </w:rPr>
      </w:pPr>
    </w:p>
    <w:p w:rsidR="00F04EEF" w:rsidRDefault="00F04EEF">
      <w:pPr>
        <w:shd w:val="clear" w:color="auto" w:fill="FFFFFF"/>
        <w:tabs>
          <w:tab w:val="left" w:pos="4790"/>
        </w:tabs>
        <w:spacing w:before="432"/>
        <w:rPr>
          <w:rFonts w:ascii="Georgia" w:eastAsia="Times New Roman" w:hAnsi="Georgia"/>
          <w:color w:val="000000"/>
          <w:lang w:eastAsia="fr-FR"/>
        </w:rPr>
      </w:pPr>
    </w:p>
    <w:p w:rsidR="00F04EEF" w:rsidRDefault="0099351E">
      <w:pPr>
        <w:shd w:val="clear" w:color="auto" w:fill="FFFFFF"/>
        <w:tabs>
          <w:tab w:val="left" w:pos="4790"/>
        </w:tabs>
        <w:spacing w:before="432"/>
        <w:rPr>
          <w:rFonts w:ascii="Georgia" w:eastAsia="Times New Roman" w:hAnsi="Georgia"/>
          <w:lang w:eastAsia="fr-FR"/>
        </w:rPr>
      </w:pPr>
      <w:r>
        <w:rPr>
          <w:rFonts w:ascii="Georgia" w:eastAsia="Times New Roman" w:hAnsi="Georgia"/>
          <w:color w:val="000000"/>
          <w:lang w:eastAsia="fr-FR"/>
        </w:rPr>
        <w:t>Sceau de l'établissement :</w:t>
      </w:r>
      <w:r>
        <w:rPr>
          <w:rFonts w:ascii="Georgia" w:eastAsia="Times New Roman" w:hAnsi="Georgia"/>
          <w:color w:val="000000"/>
          <w:lang w:eastAsia="fr-FR"/>
        </w:rPr>
        <w:tab/>
        <w:t>Le (La) Chef(fe) d'établissement :</w:t>
      </w:r>
    </w:p>
    <w:p w:rsidR="00F04EEF" w:rsidRDefault="00F04EEF">
      <w:pPr>
        <w:ind w:left="360"/>
        <w:rPr>
          <w:rFonts w:ascii="Georgia" w:eastAsia="Times New Roman" w:hAnsi="Georgia"/>
          <w:color w:val="000000"/>
          <w:lang w:eastAsia="fr-FR"/>
        </w:rPr>
      </w:pPr>
    </w:p>
    <w:p w:rsidR="00F04EEF" w:rsidRDefault="0099351E">
      <w:pPr>
        <w:pStyle w:val="Titre4"/>
        <w:rPr>
          <w:lang w:eastAsia="fr-FR"/>
        </w:rPr>
      </w:pPr>
      <w:r>
        <w:rPr>
          <w:lang w:eastAsia="fr-FR"/>
        </w:rPr>
        <w:br w:type="page"/>
        <w:t>Annexe 3 : Attestation de compétences acquises</w:t>
      </w:r>
    </w:p>
    <w:p w:rsidR="00F04EEF" w:rsidRDefault="00F04EEF">
      <w:pPr>
        <w:jc w:val="both"/>
        <w:rPr>
          <w:rFonts w:ascii="Georgia" w:eastAsia="Times New Roman" w:hAnsi="Georgia"/>
          <w:lang w:eastAsia="fr-FR"/>
        </w:rPr>
      </w:pPr>
    </w:p>
    <w:p w:rsidR="00F04EEF" w:rsidRDefault="00F04EEF">
      <w:pPr>
        <w:rPr>
          <w:lang w:eastAsia="fr-FR"/>
        </w:rPr>
      </w:pPr>
    </w:p>
    <w:p w:rsidR="00F04EEF" w:rsidRDefault="0099351E">
      <w:pPr>
        <w:jc w:val="center"/>
        <w:rPr>
          <w:rFonts w:ascii="Georgia" w:hAnsi="Georgia"/>
          <w:b/>
          <w:lang w:eastAsia="fr-FR"/>
        </w:rPr>
      </w:pPr>
      <w:r>
        <w:rPr>
          <w:rFonts w:ascii="Georgia" w:hAnsi="Georgia"/>
          <w:b/>
          <w:lang w:eastAsia="fr-FR"/>
        </w:rPr>
        <w:t>COMMUNAUTE FRANÇAISE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3 EN ALTERNANCE</w:t>
      </w:r>
    </w:p>
    <w:p w:rsidR="00F04EEF" w:rsidRDefault="00F04EEF">
      <w:pPr>
        <w:rPr>
          <w:lang w:eastAsia="fr-FR"/>
        </w:rPr>
      </w:pPr>
    </w:p>
    <w:p w:rsidR="00F04EEF" w:rsidRDefault="00F04EEF">
      <w:pPr>
        <w:rPr>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COMPETENCES ACQUISES</w:t>
      </w:r>
    </w:p>
    <w:p w:rsidR="00F04EEF" w:rsidRDefault="00F04EEF">
      <w:pPr>
        <w:shd w:val="clear" w:color="auto" w:fill="FFFFFF"/>
        <w:rPr>
          <w:rFonts w:ascii="Georgia" w:eastAsia="Times New Roman" w:hAnsi="Georgia"/>
          <w:lang w:eastAsia="fr-FR"/>
        </w:rPr>
      </w:pPr>
    </w:p>
    <w:p w:rsidR="00F04EEF" w:rsidRDefault="00F04EEF">
      <w:pPr>
        <w:shd w:val="clear" w:color="auto" w:fill="FFFFFF"/>
        <w:rPr>
          <w:rFonts w:ascii="Georgia" w:eastAsia="Times New Roman" w:hAnsi="Georgia"/>
          <w:lang w:eastAsia="fr-FR"/>
        </w:rPr>
      </w:pP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DENOMINATION ET SIEGE DE L'ETABLISSEMENT:</w:t>
      </w:r>
    </w:p>
    <w:p w:rsidR="00F04EEF" w:rsidRDefault="0099351E">
      <w:pPr>
        <w:shd w:val="clear" w:color="auto" w:fill="FFFFFF"/>
        <w:spacing w:before="211"/>
        <w:rPr>
          <w:rFonts w:ascii="Georgia" w:eastAsia="Times New Roman" w:hAnsi="Georgia"/>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color w:val="000000"/>
          <w:lang w:eastAsia="fr-FR"/>
        </w:rPr>
      </w:pP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xml:space="preserve">Numéro Fase : </w:t>
      </w:r>
    </w:p>
    <w:p w:rsidR="00F04EEF" w:rsidRDefault="00F04EEF">
      <w:pPr>
        <w:shd w:val="clear" w:color="auto" w:fill="FFFFFF"/>
        <w:rPr>
          <w:rFonts w:ascii="Georgia" w:eastAsia="Times New Roman" w:hAnsi="Georgia"/>
          <w:color w:val="000000"/>
          <w:lang w:eastAsia="fr-FR"/>
        </w:rPr>
      </w:pPr>
    </w:p>
    <w:p w:rsidR="00F04EEF" w:rsidRDefault="0099351E">
      <w:pPr>
        <w:shd w:val="clear" w:color="auto" w:fill="FFFFFF"/>
        <w:rPr>
          <w:rFonts w:ascii="Georgia" w:eastAsia="Times New Roman" w:hAnsi="Georgia"/>
          <w:color w:val="000000"/>
          <w:lang w:eastAsia="fr-FR"/>
        </w:rPr>
      </w:pPr>
      <w:r>
        <w:rPr>
          <w:rFonts w:ascii="Georgia" w:eastAsia="Times New Roman" w:hAnsi="Georgia" w:cs="Arial"/>
          <w:lang w:eastAsia="fr-FR"/>
        </w:rPr>
        <w:t xml:space="preserve">Je </w:t>
      </w:r>
      <w:r>
        <w:rPr>
          <w:rFonts w:ascii="Georgia" w:eastAsia="Times New Roman" w:hAnsi="Georgia"/>
          <w:color w:val="000000"/>
          <w:lang w:eastAsia="fr-FR"/>
        </w:rPr>
        <w:t>soussigné(e) : ………………………………………………………………………………………………. (3)</w:t>
      </w: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Chef(fe) de l'établissement susmentionné, atteste que l'élève : …………………………………….. (3)</w:t>
      </w:r>
    </w:p>
    <w:p w:rsidR="00F04EEF" w:rsidRDefault="0099351E">
      <w:pPr>
        <w:shd w:val="clear" w:color="auto" w:fill="FFFFFF"/>
        <w:tabs>
          <w:tab w:val="left" w:leader="dot" w:pos="4368"/>
        </w:tabs>
        <w:rPr>
          <w:rFonts w:ascii="Georgia" w:eastAsia="Times New Roman" w:hAnsi="Georgia"/>
          <w:color w:val="000000"/>
          <w:lang w:eastAsia="fr-FR"/>
        </w:rPr>
      </w:pPr>
      <w:r>
        <w:rPr>
          <w:rFonts w:ascii="Georgia" w:eastAsia="Times New Roman" w:hAnsi="Georgia"/>
          <w:color w:val="000000"/>
          <w:spacing w:val="-4"/>
          <w:lang w:eastAsia="fr-FR"/>
        </w:rPr>
        <w:t xml:space="preserve">Né(e) à </w:t>
      </w:r>
      <w:r>
        <w:rPr>
          <w:rFonts w:ascii="Georgia" w:eastAsia="Times New Roman" w:hAnsi="Georgia"/>
          <w:color w:val="000000"/>
          <w:lang w:eastAsia="fr-FR"/>
        </w:rPr>
        <w:t>………………………………………………………………. (4), le……………………………………...... (5)</w:t>
      </w:r>
    </w:p>
    <w:p w:rsidR="00F04EEF" w:rsidRDefault="0099351E">
      <w:pPr>
        <w:shd w:val="clear" w:color="auto" w:fill="FFFFFF"/>
        <w:tabs>
          <w:tab w:val="left" w:leader="dot" w:pos="4330"/>
          <w:tab w:val="left" w:leader="dot" w:pos="8285"/>
        </w:tabs>
        <w:spacing w:before="173"/>
        <w:rPr>
          <w:rFonts w:ascii="Georgia" w:eastAsia="Times New Roman" w:hAnsi="Georgia"/>
          <w:lang w:eastAsia="fr-FR"/>
        </w:rPr>
      </w:pPr>
      <w:r>
        <w:rPr>
          <w:rFonts w:ascii="Georgia" w:eastAsia="Times New Roman" w:hAnsi="Georgia"/>
          <w:color w:val="000000"/>
          <w:lang w:eastAsia="fr-FR"/>
        </w:rPr>
        <w:t>A suivi du …………………………………………………… (11) au………………………………………… (11)</w:t>
      </w:r>
      <w:r>
        <w:rPr>
          <w:rFonts w:ascii="Georgia" w:eastAsia="Times New Roman" w:hAnsi="Georgia"/>
          <w:lang w:eastAsia="fr-FR"/>
        </w:rPr>
        <w:t xml:space="preserve"> </w:t>
      </w:r>
      <w:r>
        <w:rPr>
          <w:rFonts w:ascii="Georgia" w:eastAsia="Times New Roman" w:hAnsi="Georgia"/>
          <w:color w:val="000000"/>
          <w:lang w:eastAsia="fr-FR"/>
        </w:rPr>
        <w:t>les cours de l'enseignement secondaire spécialisé de forme 3 en alternance dans l'établissement susmentionné.</w:t>
      </w:r>
    </w:p>
    <w:p w:rsidR="00F04EEF" w:rsidRDefault="0099351E">
      <w:pPr>
        <w:shd w:val="clear" w:color="auto" w:fill="FFFFFF"/>
        <w:tabs>
          <w:tab w:val="left" w:leader="dot" w:pos="6173"/>
        </w:tabs>
        <w:spacing w:before="202"/>
        <w:jc w:val="both"/>
        <w:rPr>
          <w:rFonts w:ascii="Georgia" w:eastAsia="Times New Roman" w:hAnsi="Georgia"/>
          <w:lang w:eastAsia="fr-FR"/>
        </w:rPr>
      </w:pPr>
      <w:r>
        <w:rPr>
          <w:rFonts w:ascii="Georgia" w:eastAsia="Times New Roman" w:hAnsi="Georgia"/>
          <w:color w:val="000000"/>
          <w:lang w:eastAsia="fr-FR"/>
        </w:rPr>
        <w:t>A cette date,  l'élève était inscrit(e) en ………………………(16) phase du secteur</w:t>
      </w:r>
      <w:r>
        <w:rPr>
          <w:rFonts w:ascii="Georgia" w:eastAsia="Times New Roman" w:hAnsi="Georgia"/>
          <w:lang w:eastAsia="fr-FR"/>
        </w:rPr>
        <w:t xml:space="preserve"> </w:t>
      </w:r>
      <w:r>
        <w:rPr>
          <w:rFonts w:ascii="Georgia" w:eastAsia="Times New Roman" w:hAnsi="Georgia"/>
          <w:color w:val="000000"/>
          <w:lang w:eastAsia="fr-FR"/>
        </w:rPr>
        <w:t>professionnel - groupe professionnel – métier :………………………………………............................. (7) et a acquis les compétences décrites dans le document annexe.</w:t>
      </w:r>
    </w:p>
    <w:p w:rsidR="00F04EEF" w:rsidRDefault="0099351E">
      <w:pPr>
        <w:shd w:val="clear" w:color="auto" w:fill="FFFFFF"/>
        <w:spacing w:before="269" w:line="230" w:lineRule="exact"/>
        <w:ind w:firstLine="19"/>
        <w:rPr>
          <w:rFonts w:ascii="Georgia" w:eastAsia="Times New Roman" w:hAnsi="Georgia"/>
          <w:lang w:eastAsia="fr-FR"/>
        </w:rPr>
      </w:pPr>
      <w:r>
        <w:rPr>
          <w:rFonts w:ascii="Georgia" w:eastAsia="Times New Roman" w:hAnsi="Georgia"/>
          <w:color w:val="000000"/>
          <w:lang w:eastAsia="fr-FR"/>
        </w:rPr>
        <w:t>La présente attestation est délivrée en exécution de l'article 57, 4°, du décret du 3 mars 2004 organisant l'enseignement spécialisé.</w:t>
      </w:r>
    </w:p>
    <w:p w:rsidR="00F04EEF" w:rsidRDefault="0099351E">
      <w:pPr>
        <w:shd w:val="clear" w:color="auto" w:fill="FFFFFF"/>
        <w:tabs>
          <w:tab w:val="left" w:leader="dot" w:pos="4330"/>
          <w:tab w:val="left" w:leader="dot" w:pos="7181"/>
        </w:tabs>
        <w:spacing w:before="360"/>
        <w:rPr>
          <w:rFonts w:ascii="Georgia" w:eastAsia="Times New Roman" w:hAnsi="Georgia"/>
          <w:lang w:eastAsia="fr-FR"/>
        </w:rPr>
      </w:pPr>
      <w:r>
        <w:rPr>
          <w:rFonts w:ascii="Georgia" w:eastAsia="Times New Roman" w:hAnsi="Georgia"/>
          <w:color w:val="000000"/>
          <w:lang w:eastAsia="fr-FR"/>
        </w:rPr>
        <w:t>Délivrée à ………………………………………………….. (6), le</w:t>
      </w:r>
      <w:r>
        <w:rPr>
          <w:rFonts w:ascii="Georgia" w:eastAsia="Times New Roman" w:hAnsi="Georgia"/>
          <w:color w:val="000000"/>
          <w:lang w:eastAsia="fr-FR"/>
        </w:rPr>
        <w:tab/>
        <w:t>…………………… (5)</w:t>
      </w:r>
    </w:p>
    <w:p w:rsidR="00F04EEF" w:rsidRDefault="00F04EEF">
      <w:pPr>
        <w:rPr>
          <w:lang w:eastAsia="fr-FR"/>
        </w:rPr>
      </w:pPr>
    </w:p>
    <w:p w:rsidR="00F04EEF" w:rsidRDefault="00F04EEF">
      <w:pPr>
        <w:rPr>
          <w:lang w:eastAsia="fr-FR"/>
        </w:rPr>
      </w:pPr>
    </w:p>
    <w:p w:rsidR="00F04EEF" w:rsidRDefault="0099351E">
      <w:pPr>
        <w:shd w:val="clear" w:color="auto" w:fill="FFFFFF"/>
        <w:tabs>
          <w:tab w:val="left" w:pos="4790"/>
        </w:tabs>
        <w:spacing w:before="432"/>
        <w:rPr>
          <w:rFonts w:ascii="Georgia" w:eastAsia="Times New Roman" w:hAnsi="Georgia"/>
          <w:color w:val="000000"/>
          <w:lang w:eastAsia="fr-FR"/>
        </w:rPr>
      </w:pPr>
      <w:r>
        <w:rPr>
          <w:rFonts w:ascii="Georgia" w:eastAsia="Times New Roman" w:hAnsi="Georgia"/>
          <w:color w:val="000000"/>
          <w:lang w:eastAsia="fr-FR"/>
        </w:rPr>
        <w:t>Sceau de l'établissement :</w:t>
      </w:r>
      <w:r>
        <w:rPr>
          <w:rFonts w:ascii="Georgia" w:eastAsia="Times New Roman" w:hAnsi="Georgia"/>
          <w:color w:val="000000"/>
          <w:lang w:eastAsia="fr-FR"/>
        </w:rPr>
        <w:tab/>
      </w:r>
      <w:r>
        <w:rPr>
          <w:rFonts w:ascii="Georgia" w:eastAsia="Times New Roman" w:hAnsi="Georgia"/>
          <w:color w:val="000000"/>
          <w:lang w:eastAsia="fr-FR"/>
        </w:rPr>
        <w:tab/>
      </w:r>
      <w:r>
        <w:rPr>
          <w:rFonts w:ascii="Georgia" w:eastAsia="Times New Roman" w:hAnsi="Georgia"/>
          <w:color w:val="000000"/>
          <w:lang w:eastAsia="fr-FR"/>
        </w:rPr>
        <w:tab/>
        <w:t>Le (La) Chef(fe) d'établissement :</w:t>
      </w: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jc w:val="both"/>
        <w:rPr>
          <w:rFonts w:ascii="Georgia" w:eastAsia="Times New Roman" w:hAnsi="Georgia"/>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3bis : Composition du Jury de qualification de Forme 3</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SPÉCIALISÉ DE FORME 3 EN ALTERNANCE</w:t>
      </w:r>
    </w:p>
    <w:p w:rsidR="00F04EEF" w:rsidRDefault="00F04EEF">
      <w:pPr>
        <w:rPr>
          <w:rFonts w:ascii="Georgia" w:eastAsia="Times New Roman" w:hAnsi="Georgia"/>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 xml:space="preserve">COMPOSITION DU JURY DE QUALIFICATION DE FORME 3 </w:t>
      </w:r>
    </w:p>
    <w:p w:rsidR="00F04EEF" w:rsidRDefault="0099351E">
      <w:pPr>
        <w:shd w:val="clear" w:color="auto" w:fill="FFFFFF"/>
        <w:tabs>
          <w:tab w:val="left" w:leader="dot" w:pos="8256"/>
        </w:tabs>
        <w:spacing w:before="230"/>
        <w:rPr>
          <w:rFonts w:ascii="Georgia" w:eastAsia="Times New Roman" w:hAnsi="Georgia"/>
          <w:lang w:eastAsia="fr-FR"/>
        </w:rPr>
      </w:pPr>
      <w:r>
        <w:rPr>
          <w:rFonts w:ascii="Georgia" w:eastAsia="Times New Roman" w:hAnsi="Georgia"/>
          <w:color w:val="000000"/>
          <w:lang w:eastAsia="fr-FR"/>
        </w:rPr>
        <w:t>SECTEUR PROFESSIONNEL : …………………………………………………………………………………. (17)</w:t>
      </w: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GROUPE PROFESSIONNEL : ………………………………………………………………………………… (18)</w:t>
      </w: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METIER : ……………………………………………………………………………………………………………….. (7)</w:t>
      </w:r>
    </w:p>
    <w:p w:rsidR="00F04EEF" w:rsidRDefault="00F04EEF">
      <w:pPr>
        <w:rPr>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SIEGE DE L'ETABLISSEMENT :</w:t>
      </w: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 (1)</w:t>
      </w:r>
    </w:p>
    <w:p w:rsidR="00F04EEF" w:rsidRDefault="00F04EEF">
      <w:pPr>
        <w:shd w:val="clear" w:color="auto" w:fill="FFFFFF"/>
        <w:tabs>
          <w:tab w:val="left" w:leader="dot" w:pos="8256"/>
        </w:tabs>
        <w:rPr>
          <w:rFonts w:ascii="Georgia" w:eastAsia="Times New Roman" w:hAnsi="Georgia"/>
          <w:color w:val="000000"/>
          <w:lang w:eastAsia="fr-FR"/>
        </w:rPr>
      </w:pPr>
    </w:p>
    <w:p w:rsidR="00F04EEF" w:rsidRDefault="0099351E">
      <w:pPr>
        <w:tabs>
          <w:tab w:val="center" w:pos="4536"/>
          <w:tab w:val="left" w:leader="dot" w:pos="9923"/>
        </w:tabs>
        <w:spacing w:line="360" w:lineRule="auto"/>
        <w:jc w:val="both"/>
        <w:rPr>
          <w:rFonts w:ascii="Georgia" w:eastAsia="Times New Roman" w:hAnsi="Georgia" w:cs="Arial"/>
          <w:lang w:eastAsia="fr-FR"/>
        </w:rPr>
      </w:pPr>
      <w:r>
        <w:rPr>
          <w:rFonts w:ascii="Georgia" w:eastAsia="Times New Roman" w:hAnsi="Georgia"/>
          <w:color w:val="000000"/>
          <w:lang w:eastAsia="fr-FR"/>
        </w:rPr>
        <w:t xml:space="preserve">Numéro Fase : </w:t>
      </w:r>
      <w:r>
        <w:rPr>
          <w:rFonts w:ascii="Georgia" w:eastAsia="Times New Roman" w:hAnsi="Georgia" w:cs="Arial"/>
          <w:lang w:eastAsia="fr-FR"/>
        </w:rPr>
        <w:tab/>
      </w:r>
    </w:p>
    <w:p w:rsidR="00F04EEF" w:rsidRDefault="0099351E">
      <w:pPr>
        <w:tabs>
          <w:tab w:val="center" w:pos="4536"/>
          <w:tab w:val="left" w:leader="dot" w:pos="9923"/>
        </w:tabs>
        <w:spacing w:line="360" w:lineRule="auto"/>
        <w:jc w:val="both"/>
        <w:rPr>
          <w:rFonts w:ascii="Georgia" w:eastAsia="Times New Roman" w:hAnsi="Georgia" w:cs="Arial"/>
          <w:lang w:eastAsia="fr-FR"/>
        </w:rPr>
      </w:pPr>
      <w:r>
        <w:rPr>
          <w:rFonts w:ascii="Georgia" w:eastAsia="Times New Roman" w:hAnsi="Georgia" w:cs="Arial"/>
          <w:u w:val="single"/>
          <w:lang w:eastAsia="fr-FR"/>
        </w:rPr>
        <w:t>Année scolaire</w:t>
      </w:r>
      <w:r>
        <w:rPr>
          <w:rFonts w:ascii="Georgia" w:eastAsia="Times New Roman" w:hAnsi="Georgia" w:cs="Arial"/>
          <w:lang w:eastAsia="fr-FR"/>
        </w:rPr>
        <w:t xml:space="preserve"> : </w:t>
      </w:r>
      <w:r>
        <w:rPr>
          <w:rFonts w:ascii="Georgia" w:eastAsia="Times New Roman" w:hAnsi="Georgia" w:cs="Arial"/>
          <w:lang w:eastAsia="fr-FR"/>
        </w:rPr>
        <w:tab/>
      </w:r>
    </w:p>
    <w:p w:rsidR="00F04EEF" w:rsidRDefault="0099351E">
      <w:pPr>
        <w:tabs>
          <w:tab w:val="center" w:pos="4536"/>
          <w:tab w:val="right" w:leader="dot" w:pos="9923"/>
        </w:tabs>
        <w:jc w:val="both"/>
        <w:rPr>
          <w:rFonts w:ascii="Georgia" w:eastAsia="Times New Roman" w:hAnsi="Georgia" w:cs="Arial"/>
          <w:lang w:eastAsia="fr-FR"/>
        </w:rPr>
      </w:pPr>
      <w:r>
        <w:rPr>
          <w:rFonts w:ascii="Georgia" w:eastAsia="Times New Roman" w:hAnsi="Georgia" w:cs="Arial"/>
          <w:lang w:eastAsia="fr-FR"/>
        </w:rPr>
        <w:t>Le jury de qualification, établi conformément aux dispositions du Décret du 3 mars 2004 organisant l'Enseignement spécialisé</w:t>
      </w:r>
      <w:r>
        <w:rPr>
          <w:rFonts w:ascii="Georgia" w:eastAsia="Times New Roman" w:hAnsi="Georgia"/>
          <w:lang w:eastAsia="fr-FR"/>
        </w:rPr>
        <w:t xml:space="preserve"> </w:t>
      </w:r>
      <w:r>
        <w:rPr>
          <w:rFonts w:ascii="Georgia" w:eastAsia="Times New Roman" w:hAnsi="Georgia" w:cs="Arial"/>
          <w:lang w:eastAsia="fr-FR"/>
        </w:rPr>
        <w:t xml:space="preserve">et chargé de procéder aux épreuves de qualification pour l’année scolaire, la formation et l’établissement décrits ci-avant, est constitué comme suit : </w:t>
      </w:r>
    </w:p>
    <w:p w:rsidR="00F04EEF" w:rsidRDefault="00F04EEF">
      <w:pPr>
        <w:tabs>
          <w:tab w:val="center" w:pos="4536"/>
          <w:tab w:val="right" w:pos="9072"/>
        </w:tabs>
        <w:jc w:val="both"/>
        <w:rPr>
          <w:rFonts w:ascii="Georgia" w:eastAsia="Times New Roman" w:hAnsi="Georgia" w:cs="Arial"/>
          <w:lang w:eastAsia="fr-FR"/>
        </w:rPr>
      </w:pPr>
    </w:p>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u w:val="single"/>
          <w:lang w:eastAsia="fr-FR"/>
        </w:rPr>
        <w:t>Président(e) du jury</w:t>
      </w:r>
      <w:r>
        <w:rPr>
          <w:rFonts w:ascii="Georgia" w:eastAsia="Times New Roman" w:hAnsi="Georgia" w:cs="Arial"/>
          <w:lang w:eastAsia="fr-FR"/>
        </w:rPr>
        <w:t xml:space="preserve"> : </w:t>
      </w:r>
    </w:p>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…………………………………………………….……………(3), Chef(fe) d’établissement.</w:t>
      </w:r>
    </w:p>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u w:val="single"/>
          <w:lang w:eastAsia="fr-FR"/>
        </w:rPr>
        <w:t>Membres du conseil de classe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2410"/>
        <w:gridCol w:w="2268"/>
        <w:gridCol w:w="2268"/>
      </w:tblGrid>
      <w:tr w:rsidR="00F04EEF">
        <w:tc>
          <w:tcPr>
            <w:tcW w:w="534"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09" w:type="dxa"/>
          </w:tcPr>
          <w:p w:rsidR="00F04EEF" w:rsidRDefault="0099351E">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Nom (3)</w:t>
            </w:r>
          </w:p>
        </w:tc>
        <w:tc>
          <w:tcPr>
            <w:tcW w:w="2410" w:type="dxa"/>
          </w:tcPr>
          <w:p w:rsidR="00F04EEF" w:rsidRDefault="0099351E">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Prénom (3)</w:t>
            </w:r>
          </w:p>
        </w:tc>
        <w:tc>
          <w:tcPr>
            <w:tcW w:w="2268" w:type="dxa"/>
          </w:tcPr>
          <w:p w:rsidR="00F04EEF" w:rsidRDefault="0099351E">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Fonction (15)</w:t>
            </w:r>
          </w:p>
        </w:tc>
        <w:tc>
          <w:tcPr>
            <w:tcW w:w="2268" w:type="dxa"/>
          </w:tcPr>
          <w:p w:rsidR="00F04EEF" w:rsidRDefault="0099351E">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Cours enseignés</w:t>
            </w: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1</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2</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3</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4</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5</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bl>
    <w:p w:rsidR="00F04EEF" w:rsidRDefault="0099351E">
      <w:pPr>
        <w:tabs>
          <w:tab w:val="center" w:pos="4536"/>
          <w:tab w:val="right" w:pos="9072"/>
          <w:tab w:val="left" w:leader="dot" w:pos="9639"/>
        </w:tabs>
        <w:spacing w:line="360" w:lineRule="auto"/>
        <w:jc w:val="both"/>
        <w:rPr>
          <w:rFonts w:ascii="Georgia" w:eastAsia="Times New Roman" w:hAnsi="Georgia" w:cs="Arial"/>
          <w:lang w:eastAsia="fr-FR"/>
        </w:rPr>
      </w:pPr>
      <w:r>
        <w:rPr>
          <w:rFonts w:ascii="Georgia" w:eastAsia="Times New Roman" w:hAnsi="Georgia" w:cs="Arial"/>
          <w:u w:val="single"/>
          <w:lang w:eastAsia="fr-FR"/>
        </w:rPr>
        <w:t>Membres extérieurs du jury</w:t>
      </w:r>
      <w:r>
        <w:rPr>
          <w:rFonts w:ascii="Georgia" w:eastAsia="Times New Roman" w:hAnsi="Georgia" w:cs="Arial"/>
          <w:lang w:eastAsia="fr-FR"/>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3126"/>
        <w:gridCol w:w="3127"/>
        <w:gridCol w:w="2943"/>
      </w:tblGrid>
      <w:tr w:rsidR="00F04EEF">
        <w:tc>
          <w:tcPr>
            <w:tcW w:w="534"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09" w:type="dxa"/>
          </w:tcPr>
          <w:p w:rsidR="00F04EEF" w:rsidRDefault="0099351E">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Nom (3)</w:t>
            </w:r>
          </w:p>
        </w:tc>
        <w:tc>
          <w:tcPr>
            <w:tcW w:w="2410" w:type="dxa"/>
          </w:tcPr>
          <w:p w:rsidR="00F04EEF" w:rsidRDefault="0099351E">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Prénom  (3)</w:t>
            </w:r>
          </w:p>
        </w:tc>
        <w:tc>
          <w:tcPr>
            <w:tcW w:w="2268" w:type="dxa"/>
          </w:tcPr>
          <w:p w:rsidR="00F04EEF" w:rsidRDefault="0099351E">
            <w:pPr>
              <w:tabs>
                <w:tab w:val="center" w:pos="4536"/>
                <w:tab w:val="right" w:pos="9072"/>
              </w:tabs>
              <w:spacing w:line="360" w:lineRule="auto"/>
              <w:jc w:val="center"/>
              <w:rPr>
                <w:rFonts w:ascii="Georgia" w:eastAsia="Times New Roman" w:hAnsi="Georgia" w:cs="Arial"/>
                <w:lang w:eastAsia="fr-FR"/>
              </w:rPr>
            </w:pPr>
            <w:r>
              <w:rPr>
                <w:rFonts w:ascii="Georgia" w:eastAsia="Times New Roman" w:hAnsi="Georgia" w:cs="Arial"/>
                <w:lang w:eastAsia="fr-FR"/>
              </w:rPr>
              <w:t>Profession (15)</w:t>
            </w: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1</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2</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3</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4</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r w:rsidR="00F04EEF">
        <w:tc>
          <w:tcPr>
            <w:tcW w:w="534" w:type="dxa"/>
          </w:tcPr>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lang w:eastAsia="fr-FR"/>
              </w:rPr>
              <w:t>5</w:t>
            </w:r>
          </w:p>
        </w:tc>
        <w:tc>
          <w:tcPr>
            <w:tcW w:w="2409"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410"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c>
          <w:tcPr>
            <w:tcW w:w="2268" w:type="dxa"/>
          </w:tcPr>
          <w:p w:rsidR="00F04EEF" w:rsidRDefault="00F04EEF">
            <w:pPr>
              <w:tabs>
                <w:tab w:val="center" w:pos="4536"/>
                <w:tab w:val="right" w:pos="9072"/>
              </w:tabs>
              <w:spacing w:line="360" w:lineRule="auto"/>
              <w:jc w:val="both"/>
              <w:rPr>
                <w:rFonts w:ascii="Georgia" w:eastAsia="Times New Roman" w:hAnsi="Georgia" w:cs="Arial"/>
                <w:lang w:eastAsia="fr-FR"/>
              </w:rPr>
            </w:pPr>
          </w:p>
        </w:tc>
      </w:tr>
    </w:tbl>
    <w:p w:rsidR="00F04EEF" w:rsidRDefault="0099351E">
      <w:pPr>
        <w:tabs>
          <w:tab w:val="center" w:pos="4536"/>
          <w:tab w:val="right" w:pos="9072"/>
        </w:tabs>
        <w:spacing w:line="360" w:lineRule="auto"/>
        <w:jc w:val="both"/>
        <w:rPr>
          <w:rFonts w:ascii="Georgia" w:eastAsia="Times New Roman" w:hAnsi="Georgia" w:cs="Arial"/>
          <w:lang w:eastAsia="fr-FR"/>
        </w:rPr>
      </w:pPr>
      <w:r>
        <w:rPr>
          <w:rFonts w:ascii="Georgia" w:eastAsia="Times New Roman" w:hAnsi="Georgia" w:cs="Arial"/>
          <w:u w:val="single"/>
          <w:lang w:eastAsia="fr-FR"/>
        </w:rPr>
        <w:t>Délégué du Chef d’établissement</w:t>
      </w:r>
      <w:r>
        <w:rPr>
          <w:rFonts w:ascii="Georgia" w:eastAsia="Times New Roman" w:hAnsi="Georgia" w:cs="Arial"/>
          <w:lang w:eastAsia="fr-FR"/>
        </w:rPr>
        <w:t> :</w:t>
      </w:r>
    </w:p>
    <w:p w:rsidR="00F04EEF" w:rsidRDefault="0099351E">
      <w:pPr>
        <w:tabs>
          <w:tab w:val="center" w:pos="4536"/>
          <w:tab w:val="right" w:leader="dot" w:pos="9498"/>
        </w:tabs>
        <w:spacing w:line="360" w:lineRule="auto"/>
        <w:jc w:val="both"/>
        <w:rPr>
          <w:rFonts w:ascii="Georgia" w:eastAsia="Times New Roman" w:hAnsi="Georgia" w:cs="Arial"/>
          <w:lang w:eastAsia="fr-FR"/>
        </w:rPr>
      </w:pPr>
      <w:r>
        <w:rPr>
          <w:rFonts w:ascii="Georgia" w:eastAsia="Times New Roman" w:hAnsi="Georgia" w:cs="Arial"/>
          <w:lang w:eastAsia="fr-FR"/>
        </w:rPr>
        <w:t xml:space="preserve">En cas d’absence, le(la) Chef(fe) d’établissement sera remplacé(e) par Monsieur-Madame </w:t>
      </w:r>
    </w:p>
    <w:p w:rsidR="00F04EEF" w:rsidRDefault="0099351E">
      <w:pPr>
        <w:tabs>
          <w:tab w:val="center" w:pos="4536"/>
          <w:tab w:val="right" w:leader="dot" w:pos="9498"/>
        </w:tabs>
        <w:spacing w:line="360" w:lineRule="auto"/>
        <w:jc w:val="both"/>
        <w:rPr>
          <w:rFonts w:ascii="Georgia" w:eastAsia="Times New Roman" w:hAnsi="Georgia" w:cs="Arial"/>
          <w:lang w:eastAsia="fr-FR"/>
        </w:rPr>
      </w:pPr>
      <w:r>
        <w:rPr>
          <w:rFonts w:ascii="Georgia" w:eastAsia="Times New Roman" w:hAnsi="Georgia" w:cs="Arial"/>
          <w:lang w:eastAsia="fr-FR"/>
        </w:rPr>
        <w:t>………………………………………………………………………………………… (3), exerçant la fonction de (d’)………………………………………………………………………………………………. (15).</w:t>
      </w:r>
    </w:p>
    <w:p w:rsidR="00F04EEF" w:rsidRDefault="0099351E">
      <w:pPr>
        <w:tabs>
          <w:tab w:val="center" w:pos="4536"/>
          <w:tab w:val="left" w:pos="5103"/>
          <w:tab w:val="right" w:leader="dot" w:pos="9923"/>
        </w:tabs>
        <w:jc w:val="both"/>
        <w:rPr>
          <w:rFonts w:ascii="Georgia" w:eastAsia="Times New Roman" w:hAnsi="Georgia" w:cs="Arial"/>
          <w:lang w:eastAsia="fr-FR"/>
        </w:rPr>
      </w:pPr>
      <w:r>
        <w:rPr>
          <w:rFonts w:ascii="Georgia" w:eastAsia="Times New Roman" w:hAnsi="Georgia" w:cs="Arial"/>
          <w:lang w:eastAsia="fr-FR"/>
        </w:rPr>
        <w:t>Établi en deux exemplaires originaux, le……………………………………………………………………. (5)</w:t>
      </w:r>
    </w:p>
    <w:p w:rsidR="00F04EEF" w:rsidRDefault="00F04EEF">
      <w:pPr>
        <w:tabs>
          <w:tab w:val="center" w:pos="4536"/>
          <w:tab w:val="left" w:pos="5103"/>
          <w:tab w:val="right" w:leader="dot" w:pos="9923"/>
        </w:tabs>
        <w:jc w:val="both"/>
        <w:rPr>
          <w:rFonts w:ascii="Georgia" w:eastAsia="Times New Roman" w:hAnsi="Georgia" w:cs="Arial"/>
          <w:lang w:eastAsia="fr-FR"/>
        </w:rPr>
      </w:pPr>
    </w:p>
    <w:p w:rsidR="00F04EEF" w:rsidRDefault="0099351E">
      <w:pPr>
        <w:tabs>
          <w:tab w:val="center" w:pos="4536"/>
          <w:tab w:val="left" w:pos="5103"/>
          <w:tab w:val="right" w:leader="dot" w:pos="9923"/>
        </w:tabs>
        <w:jc w:val="both"/>
        <w:rPr>
          <w:rFonts w:ascii="Georgia" w:eastAsia="Times New Roman" w:hAnsi="Georgia" w:cs="Arial"/>
          <w:lang w:eastAsia="fr-FR"/>
        </w:rPr>
      </w:pPr>
      <w:r>
        <w:rPr>
          <w:rFonts w:ascii="Georgia" w:eastAsia="Times New Roman" w:hAnsi="Georgia" w:cs="Arial"/>
          <w:lang w:eastAsia="fr-FR"/>
        </w:rPr>
        <w:t xml:space="preserve">Le (La) Chef(fe) d’établissement, </w:t>
      </w:r>
    </w:p>
    <w:p w:rsidR="00F04EEF" w:rsidRDefault="00F04EEF">
      <w:pPr>
        <w:rPr>
          <w:rFonts w:ascii="Georgia" w:eastAsia="Times New Roman" w:hAnsi="Georgia"/>
          <w:lang w:eastAsia="fr-FR"/>
        </w:rPr>
      </w:pPr>
    </w:p>
    <w:p w:rsidR="00F04EEF" w:rsidRDefault="0099351E">
      <w:pPr>
        <w:pStyle w:val="Titre4"/>
        <w:rPr>
          <w:lang w:eastAsia="fr-FR"/>
        </w:rPr>
      </w:pPr>
      <w:r>
        <w:rPr>
          <w:lang w:eastAsia="fr-FR"/>
        </w:rPr>
        <w:br w:type="page"/>
        <w:t>Annexe 4 : Procès-verbal de délivrance du certificat de qualification de Forme 3</w:t>
      </w:r>
    </w:p>
    <w:p w:rsidR="00F04EEF" w:rsidRDefault="00F04EEF">
      <w:pPr>
        <w:jc w:val="both"/>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COMMUNAUTE FRANÇAISE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3 EN ALTERNANCE</w:t>
      </w:r>
    </w:p>
    <w:p w:rsidR="00F04EEF" w:rsidRDefault="00F04EEF">
      <w:pPr>
        <w:widowControl w:val="0"/>
        <w:autoSpaceDE w:val="0"/>
        <w:autoSpaceDN w:val="0"/>
        <w:adjustRightInd w:val="0"/>
        <w:spacing w:line="284" w:lineRule="exact"/>
        <w:ind w:left="3516" w:right="2928"/>
        <w:jc w:val="center"/>
        <w:rPr>
          <w:rFonts w:ascii="Georgia" w:eastAsia="Times New Roman" w:hAnsi="Georgia" w:cs="Century Schoolbook"/>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PROCES-VERBAL DE DELIVRANCE DU CERTIFICAT DE QUALIFICATION DE FORME 3</w:t>
      </w:r>
    </w:p>
    <w:p w:rsidR="00F04EEF" w:rsidRDefault="0099351E">
      <w:pPr>
        <w:shd w:val="clear" w:color="auto" w:fill="FFFFFF"/>
        <w:tabs>
          <w:tab w:val="left" w:leader="dot" w:pos="8256"/>
        </w:tabs>
        <w:spacing w:before="230"/>
        <w:rPr>
          <w:rFonts w:ascii="Georgia" w:eastAsia="Times New Roman" w:hAnsi="Georgia"/>
          <w:lang w:eastAsia="fr-FR"/>
        </w:rPr>
      </w:pPr>
      <w:r>
        <w:rPr>
          <w:rFonts w:ascii="Georgia" w:eastAsia="Times New Roman" w:hAnsi="Georgia"/>
          <w:color w:val="000000"/>
          <w:lang w:eastAsia="fr-FR"/>
        </w:rPr>
        <w:t>SECTEUR PROFESSIONNEL : ……………………………………………………………………………….. (17)</w:t>
      </w: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GROUPE PROFESSIONNEL : ……………………………………………………………………………………(18)</w:t>
      </w: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METIER : ……………………………………………………………………………………………………………….. (7)</w:t>
      </w:r>
    </w:p>
    <w:p w:rsidR="00F04EEF" w:rsidRDefault="00F04EEF">
      <w:pPr>
        <w:rPr>
          <w:lang w:eastAsia="fr-FR"/>
        </w:rPr>
      </w:pPr>
    </w:p>
    <w:p w:rsidR="00F04EEF" w:rsidRDefault="0099351E">
      <w:pPr>
        <w:rPr>
          <w:rFonts w:ascii="Georgia" w:eastAsia="Times New Roman" w:hAnsi="Georgia" w:cs="Century Schoolbook"/>
          <w:lang w:eastAsia="fr-FR"/>
        </w:rPr>
      </w:pPr>
      <w:r>
        <w:rPr>
          <w:rFonts w:ascii="Georgia" w:eastAsia="Times New Roman" w:hAnsi="Georgia"/>
          <w:color w:val="000000"/>
          <w:lang w:eastAsia="fr-FR"/>
        </w:rPr>
        <w:t>DENOMINATION ET SIEGE DE L'ETABLISSEMENT </w:t>
      </w:r>
    </w:p>
    <w:p w:rsidR="00F04EEF" w:rsidRDefault="0099351E">
      <w:pPr>
        <w:rPr>
          <w:rFonts w:ascii="Georgia" w:eastAsia="Times New Roman" w:hAnsi="Georgia" w:cs="Century Schoolbook"/>
          <w:lang w:eastAsia="fr-FR"/>
        </w:rPr>
      </w:pPr>
      <w:r>
        <w:rPr>
          <w:rFonts w:ascii="Georgia" w:eastAsia="Times New Roman" w:hAnsi="Georgia" w:cs="Century Schoolbook"/>
          <w:lang w:eastAsia="fr-FR"/>
        </w:rPr>
        <w:t>………………………………………………………………………………………………………………………………………………………………………………………………………………………………………………………………………… (1)</w:t>
      </w:r>
    </w:p>
    <w:p w:rsidR="00F04EEF" w:rsidRDefault="00F04EEF">
      <w:pPr>
        <w:jc w:val="center"/>
        <w:rPr>
          <w:rFonts w:ascii="Georgia" w:eastAsia="Times New Roman" w:hAnsi="Georgia"/>
          <w:w w:val="99"/>
          <w:lang w:eastAsia="fr-FR"/>
        </w:rPr>
      </w:pPr>
    </w:p>
    <w:p w:rsidR="00F04EEF" w:rsidRDefault="0099351E">
      <w:pPr>
        <w:widowControl w:val="0"/>
        <w:autoSpaceDE w:val="0"/>
        <w:autoSpaceDN w:val="0"/>
        <w:adjustRightInd w:val="0"/>
        <w:spacing w:line="240" w:lineRule="exact"/>
        <w:ind w:right="108"/>
        <w:jc w:val="both"/>
        <w:rPr>
          <w:rFonts w:ascii="Georgia" w:eastAsia="Times New Roman" w:hAnsi="Georgia" w:cs="Century Schoolbook"/>
          <w:lang w:eastAsia="fr-FR"/>
        </w:rPr>
      </w:pPr>
      <w:r>
        <w:rPr>
          <w:rFonts w:ascii="Georgia" w:eastAsia="Times New Roman" w:hAnsi="Georgia" w:cs="Century Schoolbook"/>
          <w:lang w:eastAsia="fr-FR"/>
        </w:rPr>
        <w:t xml:space="preserve">Numéro Fase : </w:t>
      </w:r>
    </w:p>
    <w:p w:rsidR="00F04EEF" w:rsidRDefault="00F04EEF">
      <w:pPr>
        <w:rPr>
          <w:rFonts w:ascii="Georgia" w:eastAsia="Times New Roman" w:hAnsi="Georgia"/>
          <w:lang w:eastAsia="fr-FR"/>
        </w:rPr>
      </w:pPr>
    </w:p>
    <w:p w:rsidR="00F04EEF" w:rsidRDefault="0099351E">
      <w:pPr>
        <w:widowControl w:val="0"/>
        <w:autoSpaceDE w:val="0"/>
        <w:autoSpaceDN w:val="0"/>
        <w:adjustRightInd w:val="0"/>
        <w:spacing w:line="240" w:lineRule="exact"/>
        <w:ind w:right="108"/>
        <w:jc w:val="both"/>
        <w:rPr>
          <w:rFonts w:ascii="Georgia" w:eastAsia="Times New Roman" w:hAnsi="Georgia" w:cs="Century Schoolbook"/>
          <w:lang w:eastAsia="fr-FR"/>
        </w:rPr>
      </w:pPr>
      <w:r>
        <w:rPr>
          <w:rFonts w:ascii="Georgia" w:eastAsia="Times New Roman" w:hAnsi="Georgia" w:cs="Century Schoolbook"/>
          <w:lang w:eastAsia="fr-FR"/>
        </w:rPr>
        <w:t>Le</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Jury</w:t>
      </w:r>
      <w:r>
        <w:rPr>
          <w:rFonts w:ascii="Georgia" w:eastAsia="Times New Roman" w:hAnsi="Georgia" w:cs="Century Schoolbook"/>
          <w:spacing w:val="5"/>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11"/>
          <w:lang w:eastAsia="fr-FR"/>
        </w:rPr>
        <w:t xml:space="preserve"> </w:t>
      </w:r>
      <w:r>
        <w:rPr>
          <w:rFonts w:ascii="Georgia" w:eastAsia="Times New Roman" w:hAnsi="Georgia" w:cs="Century Schoolbook"/>
          <w:lang w:eastAsia="fr-FR"/>
        </w:rPr>
        <w:t>qualification,</w:t>
      </w:r>
      <w:r>
        <w:rPr>
          <w:rFonts w:ascii="Georgia" w:eastAsia="Times New Roman" w:hAnsi="Georgia" w:cs="Century Schoolbook"/>
          <w:spacing w:val="-5"/>
          <w:lang w:eastAsia="fr-FR"/>
        </w:rPr>
        <w:t xml:space="preserve"> </w:t>
      </w:r>
      <w:r>
        <w:rPr>
          <w:rFonts w:ascii="Georgia" w:eastAsia="Times New Roman" w:hAnsi="Georgia" w:cs="Century Schoolbook"/>
          <w:lang w:eastAsia="fr-FR"/>
        </w:rPr>
        <w:t>constitué conformément</w:t>
      </w:r>
      <w:r>
        <w:rPr>
          <w:rFonts w:ascii="Georgia" w:eastAsia="Times New Roman" w:hAnsi="Georgia" w:cs="Century Schoolbook"/>
          <w:spacing w:val="5"/>
          <w:lang w:eastAsia="fr-FR"/>
        </w:rPr>
        <w:t xml:space="preserve"> </w:t>
      </w:r>
      <w:r>
        <w:rPr>
          <w:rFonts w:ascii="Georgia" w:eastAsia="Times New Roman" w:hAnsi="Georgia" w:cs="Century Schoolbook"/>
          <w:lang w:eastAsia="fr-FR"/>
        </w:rPr>
        <w:t>aux</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dispositions</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du</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D</w:t>
      </w:r>
      <w:r>
        <w:rPr>
          <w:rFonts w:ascii="Georgia" w:eastAsia="Times New Roman" w:hAnsi="Georgia" w:cs="Century Schoolbook"/>
          <w:spacing w:val="-1"/>
          <w:lang w:eastAsia="fr-FR"/>
        </w:rPr>
        <w:t>é</w:t>
      </w:r>
      <w:r>
        <w:rPr>
          <w:rFonts w:ascii="Georgia" w:eastAsia="Times New Roman" w:hAnsi="Georgia" w:cs="Century Schoolbook"/>
          <w:lang w:eastAsia="fr-FR"/>
        </w:rPr>
        <w:t>cret</w:t>
      </w:r>
      <w:r>
        <w:rPr>
          <w:rFonts w:ascii="Georgia" w:eastAsia="Times New Roman" w:hAnsi="Georgia" w:cs="Century Schoolbook"/>
          <w:spacing w:val="6"/>
          <w:lang w:eastAsia="fr-FR"/>
        </w:rPr>
        <w:t xml:space="preserve"> </w:t>
      </w:r>
      <w:r>
        <w:rPr>
          <w:rFonts w:ascii="Georgia" w:eastAsia="Times New Roman" w:hAnsi="Georgia" w:cs="Century Schoolbook"/>
          <w:lang w:eastAsia="fr-FR"/>
        </w:rPr>
        <w:t>du</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3 mars</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2004</w:t>
      </w:r>
      <w:r>
        <w:rPr>
          <w:rFonts w:ascii="Georgia" w:eastAsia="Times New Roman" w:hAnsi="Georgia" w:cs="Century Schoolbook"/>
          <w:spacing w:val="3"/>
          <w:lang w:eastAsia="fr-FR"/>
        </w:rPr>
        <w:t xml:space="preserve"> organisant l’enseignement spécialisé </w:t>
      </w:r>
      <w:r>
        <w:rPr>
          <w:rFonts w:ascii="Georgia" w:eastAsia="Times New Roman" w:hAnsi="Georgia" w:cs="Century Schoolbook"/>
          <w:lang w:eastAsia="fr-FR"/>
        </w:rPr>
        <w:t>chargé</w:t>
      </w:r>
      <w:r>
        <w:rPr>
          <w:rFonts w:ascii="Georgia" w:eastAsia="Times New Roman" w:hAnsi="Georgia" w:cs="Century Schoolbook"/>
          <w:spacing w:val="-4"/>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procéder</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aux</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épreuves</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2"/>
          <w:lang w:eastAsia="fr-FR"/>
        </w:rPr>
        <w:t xml:space="preserve"> </w:t>
      </w:r>
      <w:r>
        <w:rPr>
          <w:rFonts w:ascii="Georgia" w:eastAsia="Times New Roman" w:hAnsi="Georgia" w:cs="Century Schoolbook"/>
          <w:lang w:eastAsia="fr-FR"/>
        </w:rPr>
        <w:t>qualification</w:t>
      </w:r>
      <w:r>
        <w:rPr>
          <w:rFonts w:ascii="Georgia" w:eastAsia="Times New Roman" w:hAnsi="Georgia" w:cs="Century Schoolbook"/>
          <w:spacing w:val="-11"/>
          <w:lang w:eastAsia="fr-FR"/>
        </w:rPr>
        <w:t xml:space="preserve"> </w:t>
      </w:r>
      <w:r>
        <w:rPr>
          <w:rFonts w:ascii="Georgia" w:eastAsia="Times New Roman" w:hAnsi="Georgia" w:cs="Century Schoolbook"/>
          <w:lang w:eastAsia="fr-FR"/>
        </w:rPr>
        <w:t>en vue</w:t>
      </w:r>
      <w:r>
        <w:rPr>
          <w:rFonts w:ascii="Georgia" w:eastAsia="Times New Roman" w:hAnsi="Georgia" w:cs="Century Schoolbook"/>
          <w:spacing w:val="-1"/>
          <w:lang w:eastAsia="fr-FR"/>
        </w:rPr>
        <w:t xml:space="preserve"> </w:t>
      </w:r>
      <w:r>
        <w:rPr>
          <w:rFonts w:ascii="Georgia" w:eastAsia="Times New Roman" w:hAnsi="Georgia" w:cs="Century Schoolbook"/>
          <w:lang w:eastAsia="fr-FR"/>
        </w:rPr>
        <w:t>de</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la</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délivrance</w:t>
      </w:r>
      <w:r>
        <w:rPr>
          <w:rFonts w:ascii="Georgia" w:eastAsia="Times New Roman" w:hAnsi="Georgia" w:cs="Century Schoolbook"/>
          <w:spacing w:val="-9"/>
          <w:lang w:eastAsia="fr-FR"/>
        </w:rPr>
        <w:t xml:space="preserve"> </w:t>
      </w:r>
      <w:r>
        <w:rPr>
          <w:rFonts w:ascii="Georgia" w:eastAsia="Times New Roman" w:hAnsi="Georgia" w:cs="Century Schoolbook"/>
          <w:lang w:eastAsia="fr-FR"/>
        </w:rPr>
        <w:t>du certificat</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de qualification</w:t>
      </w:r>
      <w:r>
        <w:rPr>
          <w:rFonts w:ascii="Georgia" w:eastAsia="Times New Roman" w:hAnsi="Georgia" w:cs="Century Schoolbook"/>
          <w:spacing w:val="-14"/>
          <w:lang w:eastAsia="fr-FR"/>
        </w:rPr>
        <w:t xml:space="preserve"> </w:t>
      </w:r>
      <w:r>
        <w:rPr>
          <w:rFonts w:ascii="Georgia" w:eastAsia="Times New Roman" w:hAnsi="Georgia" w:cs="Century Schoolbook"/>
          <w:lang w:eastAsia="fr-FR"/>
        </w:rPr>
        <w:t>dans l'ensei</w:t>
      </w:r>
      <w:r>
        <w:rPr>
          <w:rFonts w:ascii="Georgia" w:eastAsia="Times New Roman" w:hAnsi="Georgia" w:cs="Century Schoolbook"/>
          <w:spacing w:val="-2"/>
          <w:lang w:eastAsia="fr-FR"/>
        </w:rPr>
        <w:t>g</w:t>
      </w:r>
      <w:r>
        <w:rPr>
          <w:rFonts w:ascii="Georgia" w:eastAsia="Times New Roman" w:hAnsi="Georgia" w:cs="Century Schoolbook"/>
          <w:lang w:eastAsia="fr-FR"/>
        </w:rPr>
        <w:t>nement</w:t>
      </w:r>
      <w:r>
        <w:rPr>
          <w:rFonts w:ascii="Georgia" w:eastAsia="Times New Roman" w:hAnsi="Georgia" w:cs="Century Schoolbook"/>
          <w:spacing w:val="-8"/>
          <w:lang w:eastAsia="fr-FR"/>
        </w:rPr>
        <w:t xml:space="preserve"> </w:t>
      </w:r>
      <w:r>
        <w:rPr>
          <w:rFonts w:ascii="Georgia" w:eastAsia="Times New Roman" w:hAnsi="Georgia" w:cs="Century Schoolbook"/>
          <w:lang w:eastAsia="fr-FR"/>
        </w:rPr>
        <w:t>susvisé</w:t>
      </w:r>
      <w:r>
        <w:rPr>
          <w:rFonts w:ascii="Georgia" w:eastAsia="Times New Roman" w:hAnsi="Georgia" w:cs="Century Schoolbook"/>
          <w:spacing w:val="-8"/>
          <w:lang w:eastAsia="fr-FR"/>
        </w:rPr>
        <w:t xml:space="preserve"> </w:t>
      </w:r>
      <w:r>
        <w:rPr>
          <w:rFonts w:ascii="Georgia" w:eastAsia="Times New Roman" w:hAnsi="Georgia" w:cs="Century Schoolbook"/>
          <w:lang w:eastAsia="fr-FR"/>
        </w:rPr>
        <w:t>après en</w:t>
      </w:r>
      <w:r>
        <w:rPr>
          <w:rFonts w:ascii="Georgia" w:eastAsia="Times New Roman" w:hAnsi="Georgia" w:cs="Century Schoolbook"/>
          <w:spacing w:val="-4"/>
          <w:lang w:eastAsia="fr-FR"/>
        </w:rPr>
        <w:t xml:space="preserve"> </w:t>
      </w:r>
      <w:r>
        <w:rPr>
          <w:rFonts w:ascii="Georgia" w:eastAsia="Times New Roman" w:hAnsi="Georgia" w:cs="Century Schoolbook"/>
          <w:lang w:eastAsia="fr-FR"/>
        </w:rPr>
        <w:t>avoir délibéré,</w:t>
      </w:r>
    </w:p>
    <w:p w:rsidR="00F04EEF" w:rsidRDefault="00F04EEF">
      <w:pPr>
        <w:widowControl w:val="0"/>
        <w:autoSpaceDE w:val="0"/>
        <w:autoSpaceDN w:val="0"/>
        <w:adjustRightInd w:val="0"/>
        <w:spacing w:line="240" w:lineRule="exact"/>
        <w:ind w:right="108"/>
        <w:jc w:val="both"/>
        <w:rPr>
          <w:rFonts w:ascii="Georgia" w:eastAsia="Times New Roman" w:hAnsi="Georgia" w:cs="Century Schoolbook"/>
          <w:lang w:eastAsia="fr-FR"/>
        </w:rPr>
      </w:pPr>
    </w:p>
    <w:p w:rsidR="00F04EEF" w:rsidRDefault="0099351E">
      <w:pPr>
        <w:widowControl w:val="0"/>
        <w:autoSpaceDE w:val="0"/>
        <w:autoSpaceDN w:val="0"/>
        <w:adjustRightInd w:val="0"/>
        <w:spacing w:line="244" w:lineRule="exact"/>
        <w:ind w:left="742" w:right="-20"/>
        <w:rPr>
          <w:rFonts w:ascii="Georgia" w:eastAsia="Times New Roman" w:hAnsi="Georgia" w:cs="Century Schoolbook"/>
          <w:lang w:eastAsia="fr-FR"/>
        </w:rPr>
      </w:pPr>
      <w:r>
        <w:rPr>
          <w:rFonts w:ascii="Georgia" w:eastAsia="Times New Roman" w:hAnsi="Georgia" w:cs="Century Schoolbook"/>
          <w:lang w:eastAsia="fr-FR"/>
        </w:rPr>
        <w:t>a) confère</w:t>
      </w:r>
      <w:r>
        <w:rPr>
          <w:rFonts w:ascii="Georgia" w:eastAsia="Times New Roman" w:hAnsi="Georgia" w:cs="Century Schoolbook"/>
          <w:spacing w:val="-8"/>
          <w:lang w:eastAsia="fr-FR"/>
        </w:rPr>
        <w:t xml:space="preserve"> </w:t>
      </w:r>
      <w:r>
        <w:rPr>
          <w:rFonts w:ascii="Georgia" w:eastAsia="Times New Roman" w:hAnsi="Georgia" w:cs="Century Schoolbook"/>
          <w:spacing w:val="-1"/>
          <w:lang w:eastAsia="fr-FR"/>
        </w:rPr>
        <w:t>l</w:t>
      </w:r>
      <w:r>
        <w:rPr>
          <w:rFonts w:ascii="Georgia" w:eastAsia="Times New Roman" w:hAnsi="Georgia" w:cs="Century Schoolbook"/>
          <w:lang w:eastAsia="fr-FR"/>
        </w:rPr>
        <w:t>e</w:t>
      </w:r>
      <w:r>
        <w:rPr>
          <w:rFonts w:ascii="Georgia" w:eastAsia="Times New Roman" w:hAnsi="Georgia" w:cs="Century Schoolbook"/>
          <w:spacing w:val="-1"/>
          <w:lang w:eastAsia="fr-FR"/>
        </w:rPr>
        <w:t xml:space="preserve"> </w:t>
      </w:r>
      <w:r>
        <w:rPr>
          <w:rFonts w:ascii="Georgia" w:eastAsia="Times New Roman" w:hAnsi="Georgia" w:cs="Century Schoolbook"/>
          <w:lang w:eastAsia="fr-FR"/>
        </w:rPr>
        <w:t>certificat</w:t>
      </w:r>
      <w:r>
        <w:rPr>
          <w:rFonts w:ascii="Georgia" w:eastAsia="Times New Roman" w:hAnsi="Georgia" w:cs="Century Schoolbook"/>
          <w:spacing w:val="-10"/>
          <w:lang w:eastAsia="fr-FR"/>
        </w:rPr>
        <w:t xml:space="preserve"> </w:t>
      </w:r>
      <w:r>
        <w:rPr>
          <w:rFonts w:ascii="Georgia" w:eastAsia="Times New Roman" w:hAnsi="Georgia" w:cs="Century Schoolbook"/>
          <w:lang w:eastAsia="fr-FR"/>
        </w:rPr>
        <w:t>à</w:t>
      </w:r>
    </w:p>
    <w:p w:rsidR="00F04EEF" w:rsidRDefault="00F04EEF">
      <w:pPr>
        <w:widowControl w:val="0"/>
        <w:autoSpaceDE w:val="0"/>
        <w:autoSpaceDN w:val="0"/>
        <w:adjustRightInd w:val="0"/>
        <w:spacing w:before="1" w:line="220" w:lineRule="exact"/>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6"/>
        <w:gridCol w:w="2422"/>
      </w:tblGrid>
      <w:tr w:rsidR="00F04EEF">
        <w:trPr>
          <w:trHeight w:hRule="exact" w:val="330"/>
        </w:trPr>
        <w:tc>
          <w:tcPr>
            <w:tcW w:w="2420"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Nom</w:t>
            </w:r>
            <w:r>
              <w:rPr>
                <w:rFonts w:ascii="Georgia" w:eastAsia="Times New Roman" w:hAnsi="Georgia" w:cs="Century Schoolbook"/>
                <w:spacing w:val="-6"/>
                <w:lang w:eastAsia="fr-FR"/>
              </w:rPr>
              <w:t xml:space="preserve"> (3)</w:t>
            </w:r>
          </w:p>
        </w:tc>
        <w:tc>
          <w:tcPr>
            <w:tcW w:w="2443"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Prénom</w:t>
            </w:r>
            <w:r>
              <w:rPr>
                <w:rFonts w:ascii="Georgia" w:eastAsia="Times New Roman" w:hAnsi="Georgia" w:cs="Century Schoolbook"/>
                <w:spacing w:val="-9"/>
                <w:lang w:eastAsia="fr-FR"/>
              </w:rPr>
              <w:t xml:space="preserve"> </w:t>
            </w:r>
            <w:r>
              <w:rPr>
                <w:rFonts w:ascii="Georgia" w:eastAsia="Times New Roman" w:hAnsi="Georgia" w:cs="Century Schoolbook"/>
                <w:lang w:eastAsia="fr-FR"/>
              </w:rPr>
              <w:t>(3)</w:t>
            </w:r>
          </w:p>
        </w:tc>
        <w:tc>
          <w:tcPr>
            <w:tcW w:w="2436"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Lieu de naissance (4)</w:t>
            </w:r>
          </w:p>
        </w:tc>
        <w:tc>
          <w:tcPr>
            <w:tcW w:w="2422"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Date de naissance  (5)</w:t>
            </w: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6"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6"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p w:rsidR="00F04EEF" w:rsidRDefault="00F04EEF">
            <w:pPr>
              <w:widowControl w:val="0"/>
              <w:autoSpaceDE w:val="0"/>
              <w:autoSpaceDN w:val="0"/>
              <w:adjustRightInd w:val="0"/>
              <w:rPr>
                <w:rFonts w:ascii="Georgia" w:eastAsia="Times New Roman" w:hAnsi="Georgia"/>
                <w:lang w:eastAsia="fr-FR"/>
              </w:rPr>
            </w:pPr>
          </w:p>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6"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6"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6"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6"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bl>
    <w:p w:rsidR="00F04EEF" w:rsidRDefault="00F04EEF">
      <w:pPr>
        <w:widowControl w:val="0"/>
        <w:autoSpaceDE w:val="0"/>
        <w:autoSpaceDN w:val="0"/>
        <w:adjustRightInd w:val="0"/>
        <w:spacing w:before="9" w:line="200" w:lineRule="exact"/>
        <w:rPr>
          <w:rFonts w:ascii="Georgia" w:eastAsia="Times New Roman" w:hAnsi="Georgia"/>
          <w:lang w:eastAsia="fr-FR"/>
        </w:rPr>
      </w:pPr>
    </w:p>
    <w:p w:rsidR="00F04EEF" w:rsidRDefault="0099351E">
      <w:pPr>
        <w:widowControl w:val="0"/>
        <w:autoSpaceDE w:val="0"/>
        <w:autoSpaceDN w:val="0"/>
        <w:adjustRightInd w:val="0"/>
        <w:spacing w:before="20" w:line="280" w:lineRule="exact"/>
        <w:ind w:left="742" w:right="-20"/>
        <w:rPr>
          <w:rFonts w:ascii="Georgia" w:eastAsia="Times New Roman" w:hAnsi="Georgia" w:cs="Century Schoolbook"/>
          <w:position w:val="-1"/>
          <w:lang w:eastAsia="fr-FR"/>
        </w:rPr>
      </w:pPr>
      <w:r>
        <w:rPr>
          <w:rFonts w:ascii="Georgia" w:eastAsia="Times New Roman" w:hAnsi="Georgia" w:cs="Century Schoolbook"/>
          <w:position w:val="-1"/>
          <w:lang w:eastAsia="fr-FR"/>
        </w:rPr>
        <w:t>b) ne</w:t>
      </w:r>
      <w:r>
        <w:rPr>
          <w:rFonts w:ascii="Georgia" w:eastAsia="Times New Roman" w:hAnsi="Georgia" w:cs="Century Schoolbook"/>
          <w:spacing w:val="-2"/>
          <w:position w:val="-1"/>
          <w:lang w:eastAsia="fr-FR"/>
        </w:rPr>
        <w:t xml:space="preserve"> </w:t>
      </w:r>
      <w:r>
        <w:rPr>
          <w:rFonts w:ascii="Georgia" w:eastAsia="Times New Roman" w:hAnsi="Georgia" w:cs="Century Schoolbook"/>
          <w:position w:val="-1"/>
          <w:lang w:eastAsia="fr-FR"/>
        </w:rPr>
        <w:t>conf</w:t>
      </w:r>
      <w:r>
        <w:rPr>
          <w:rFonts w:ascii="Georgia" w:eastAsia="Times New Roman" w:hAnsi="Georgia" w:cs="Century Schoolbook"/>
          <w:spacing w:val="-1"/>
          <w:position w:val="-1"/>
          <w:lang w:eastAsia="fr-FR"/>
        </w:rPr>
        <w:t>è</w:t>
      </w:r>
      <w:r>
        <w:rPr>
          <w:rFonts w:ascii="Georgia" w:eastAsia="Times New Roman" w:hAnsi="Georgia" w:cs="Century Schoolbook"/>
          <w:position w:val="-1"/>
          <w:lang w:eastAsia="fr-FR"/>
        </w:rPr>
        <w:t>re</w:t>
      </w:r>
      <w:r>
        <w:rPr>
          <w:rFonts w:ascii="Georgia" w:eastAsia="Times New Roman" w:hAnsi="Georgia" w:cs="Century Schoolbook"/>
          <w:spacing w:val="-7"/>
          <w:position w:val="-1"/>
          <w:lang w:eastAsia="fr-FR"/>
        </w:rPr>
        <w:t xml:space="preserve"> </w:t>
      </w:r>
      <w:r>
        <w:rPr>
          <w:rFonts w:ascii="Georgia" w:eastAsia="Times New Roman" w:hAnsi="Georgia" w:cs="Century Schoolbook"/>
          <w:position w:val="-1"/>
          <w:lang w:eastAsia="fr-FR"/>
        </w:rPr>
        <w:t>pas le</w:t>
      </w:r>
      <w:r>
        <w:rPr>
          <w:rFonts w:ascii="Georgia" w:eastAsia="Times New Roman" w:hAnsi="Georgia" w:cs="Century Schoolbook"/>
          <w:spacing w:val="-2"/>
          <w:position w:val="-1"/>
          <w:lang w:eastAsia="fr-FR"/>
        </w:rPr>
        <w:t xml:space="preserve"> </w:t>
      </w:r>
      <w:r>
        <w:rPr>
          <w:rFonts w:ascii="Georgia" w:eastAsia="Times New Roman" w:hAnsi="Georgia" w:cs="Century Schoolbook"/>
          <w:position w:val="-1"/>
          <w:lang w:eastAsia="fr-FR"/>
        </w:rPr>
        <w:t>certificat</w:t>
      </w:r>
      <w:r>
        <w:rPr>
          <w:rFonts w:ascii="Georgia" w:eastAsia="Times New Roman" w:hAnsi="Georgia" w:cs="Century Schoolbook"/>
          <w:spacing w:val="-9"/>
          <w:position w:val="-1"/>
          <w:lang w:eastAsia="fr-FR"/>
        </w:rPr>
        <w:t xml:space="preserve"> </w:t>
      </w:r>
      <w:r>
        <w:rPr>
          <w:rFonts w:ascii="Georgia" w:eastAsia="Times New Roman" w:hAnsi="Georgia" w:cs="Century Schoolbook"/>
          <w:position w:val="-1"/>
          <w:lang w:eastAsia="fr-FR"/>
        </w:rPr>
        <w:t>à</w:t>
      </w:r>
    </w:p>
    <w:p w:rsidR="00F04EEF" w:rsidRDefault="00F04EEF">
      <w:pPr>
        <w:widowControl w:val="0"/>
        <w:autoSpaceDE w:val="0"/>
        <w:autoSpaceDN w:val="0"/>
        <w:adjustRightInd w:val="0"/>
        <w:spacing w:before="20" w:line="280" w:lineRule="exact"/>
        <w:ind w:left="742" w:right="-20"/>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9"/>
        <w:gridCol w:w="2422"/>
      </w:tblGrid>
      <w:tr w:rsidR="00F04EEF">
        <w:trPr>
          <w:trHeight w:hRule="exact" w:val="330"/>
        </w:trPr>
        <w:tc>
          <w:tcPr>
            <w:tcW w:w="2420"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Nom</w:t>
            </w:r>
            <w:r>
              <w:rPr>
                <w:rFonts w:ascii="Georgia" w:eastAsia="Times New Roman" w:hAnsi="Georgia" w:cs="Century Schoolbook"/>
                <w:spacing w:val="-6"/>
                <w:lang w:eastAsia="fr-FR"/>
              </w:rPr>
              <w:t xml:space="preserve"> (3)</w:t>
            </w:r>
          </w:p>
        </w:tc>
        <w:tc>
          <w:tcPr>
            <w:tcW w:w="2443"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cs="Century Schoolbook"/>
                <w:lang w:eastAsia="fr-FR"/>
              </w:rPr>
              <w:t>Prénom</w:t>
            </w:r>
            <w:r>
              <w:rPr>
                <w:rFonts w:ascii="Georgia" w:eastAsia="Times New Roman" w:hAnsi="Georgia" w:cs="Century Schoolbook"/>
                <w:spacing w:val="-9"/>
                <w:lang w:eastAsia="fr-FR"/>
              </w:rPr>
              <w:t xml:space="preserve"> </w:t>
            </w:r>
            <w:r>
              <w:rPr>
                <w:rFonts w:ascii="Georgia" w:eastAsia="Times New Roman" w:hAnsi="Georgia" w:cs="Century Schoolbook"/>
                <w:lang w:eastAsia="fr-FR"/>
              </w:rPr>
              <w:t>(3)</w:t>
            </w:r>
          </w:p>
        </w:tc>
        <w:tc>
          <w:tcPr>
            <w:tcW w:w="2439"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Lieu de naissance (4)</w:t>
            </w:r>
          </w:p>
        </w:tc>
        <w:tc>
          <w:tcPr>
            <w:tcW w:w="2422" w:type="dxa"/>
          </w:tcPr>
          <w:p w:rsidR="00F04EEF" w:rsidRDefault="0099351E">
            <w:pPr>
              <w:widowControl w:val="0"/>
              <w:autoSpaceDE w:val="0"/>
              <w:autoSpaceDN w:val="0"/>
              <w:adjustRightInd w:val="0"/>
              <w:jc w:val="center"/>
              <w:rPr>
                <w:rFonts w:ascii="Georgia" w:eastAsia="Times New Roman" w:hAnsi="Georgia"/>
                <w:lang w:eastAsia="fr-FR"/>
              </w:rPr>
            </w:pPr>
            <w:r>
              <w:rPr>
                <w:rFonts w:ascii="Georgia" w:eastAsia="Times New Roman" w:hAnsi="Georgia"/>
                <w:lang w:eastAsia="fr-FR"/>
              </w:rPr>
              <w:t>Date de naissance (5)</w:t>
            </w: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9"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9"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9"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9"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9"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hRule="exact" w:val="330"/>
        </w:trPr>
        <w:tc>
          <w:tcPr>
            <w:tcW w:w="2420" w:type="dxa"/>
          </w:tcPr>
          <w:p w:rsidR="00F04EEF" w:rsidRDefault="00F04EEF">
            <w:pPr>
              <w:widowControl w:val="0"/>
              <w:autoSpaceDE w:val="0"/>
              <w:autoSpaceDN w:val="0"/>
              <w:adjustRightInd w:val="0"/>
              <w:rPr>
                <w:rFonts w:ascii="Georgia" w:eastAsia="Times New Roman" w:hAnsi="Georgia"/>
                <w:lang w:eastAsia="fr-FR"/>
              </w:rPr>
            </w:pPr>
          </w:p>
        </w:tc>
        <w:tc>
          <w:tcPr>
            <w:tcW w:w="2443" w:type="dxa"/>
          </w:tcPr>
          <w:p w:rsidR="00F04EEF" w:rsidRDefault="00F04EEF">
            <w:pPr>
              <w:widowControl w:val="0"/>
              <w:autoSpaceDE w:val="0"/>
              <w:autoSpaceDN w:val="0"/>
              <w:adjustRightInd w:val="0"/>
              <w:rPr>
                <w:rFonts w:ascii="Georgia" w:eastAsia="Times New Roman" w:hAnsi="Georgia"/>
                <w:lang w:eastAsia="fr-FR"/>
              </w:rPr>
            </w:pPr>
          </w:p>
        </w:tc>
        <w:tc>
          <w:tcPr>
            <w:tcW w:w="2439" w:type="dxa"/>
          </w:tcPr>
          <w:p w:rsidR="00F04EEF" w:rsidRDefault="00F04EEF">
            <w:pPr>
              <w:widowControl w:val="0"/>
              <w:autoSpaceDE w:val="0"/>
              <w:autoSpaceDN w:val="0"/>
              <w:adjustRightInd w:val="0"/>
              <w:rPr>
                <w:rFonts w:ascii="Georgia" w:eastAsia="Times New Roman" w:hAnsi="Georgia"/>
                <w:lang w:eastAsia="fr-FR"/>
              </w:rPr>
            </w:pPr>
          </w:p>
        </w:tc>
        <w:tc>
          <w:tcPr>
            <w:tcW w:w="2422" w:type="dxa"/>
          </w:tcPr>
          <w:p w:rsidR="00F04EEF" w:rsidRDefault="00F04EEF">
            <w:pPr>
              <w:widowControl w:val="0"/>
              <w:autoSpaceDE w:val="0"/>
              <w:autoSpaceDN w:val="0"/>
              <w:adjustRightInd w:val="0"/>
              <w:rPr>
                <w:rFonts w:ascii="Georgia" w:eastAsia="Times New Roman" w:hAnsi="Georgia"/>
                <w:lang w:eastAsia="fr-FR"/>
              </w:rPr>
            </w:pPr>
          </w:p>
        </w:tc>
      </w:tr>
    </w:tbl>
    <w:p w:rsidR="00F04EEF" w:rsidRDefault="00F04EEF">
      <w:pPr>
        <w:widowControl w:val="0"/>
        <w:autoSpaceDE w:val="0"/>
        <w:autoSpaceDN w:val="0"/>
        <w:adjustRightInd w:val="0"/>
        <w:spacing w:before="6" w:line="150" w:lineRule="exact"/>
        <w:rPr>
          <w:rFonts w:ascii="Georgia" w:eastAsia="Times New Roman" w:hAnsi="Georgia"/>
          <w:lang w:eastAsia="fr-FR"/>
        </w:rPr>
      </w:pPr>
    </w:p>
    <w:p w:rsidR="00F04EEF" w:rsidRDefault="0099351E">
      <w:pPr>
        <w:widowControl w:val="0"/>
        <w:autoSpaceDE w:val="0"/>
        <w:autoSpaceDN w:val="0"/>
        <w:adjustRightInd w:val="0"/>
        <w:spacing w:before="6" w:line="150" w:lineRule="exact"/>
        <w:rPr>
          <w:rFonts w:ascii="Georgia" w:eastAsia="Times New Roman" w:hAnsi="Georgia"/>
          <w:lang w:eastAsia="fr-FR"/>
        </w:rPr>
      </w:pPr>
      <w:r>
        <w:rPr>
          <w:rFonts w:ascii="Georgia" w:eastAsia="Times New Roman" w:hAnsi="Georgia"/>
          <w:lang w:eastAsia="fr-FR"/>
        </w:rPr>
        <w:br w:type="page"/>
      </w:r>
    </w:p>
    <w:p w:rsidR="00F04EEF" w:rsidRDefault="0099351E">
      <w:pPr>
        <w:widowControl w:val="0"/>
        <w:autoSpaceDE w:val="0"/>
        <w:autoSpaceDN w:val="0"/>
        <w:adjustRightInd w:val="0"/>
        <w:spacing w:before="65" w:line="240" w:lineRule="exact"/>
        <w:ind w:left="174" w:right="107" w:firstLine="568"/>
        <w:rPr>
          <w:rFonts w:ascii="Georgia" w:eastAsia="Times New Roman" w:hAnsi="Georgia" w:cs="Century Schoolbook"/>
          <w:lang w:eastAsia="fr-FR"/>
        </w:rPr>
      </w:pPr>
      <w:r>
        <w:rPr>
          <w:rFonts w:ascii="Georgia" w:eastAsia="Times New Roman" w:hAnsi="Georgia" w:cs="Century Schoolbook"/>
          <w:lang w:eastAsia="fr-FR"/>
        </w:rPr>
        <w:t>Les</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membres</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du</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Jury</w:t>
      </w:r>
      <w:r>
        <w:rPr>
          <w:rFonts w:ascii="Georgia" w:eastAsia="Times New Roman" w:hAnsi="Georgia" w:cs="Century Schoolbook"/>
          <w:spacing w:val="2"/>
          <w:lang w:eastAsia="fr-FR"/>
        </w:rPr>
        <w:t xml:space="preserve"> </w:t>
      </w:r>
      <w:r>
        <w:rPr>
          <w:rFonts w:ascii="Georgia" w:eastAsia="Times New Roman" w:hAnsi="Georgia" w:cs="Century Schoolbook"/>
          <w:lang w:eastAsia="fr-FR"/>
        </w:rPr>
        <w:t>:</w:t>
      </w:r>
      <w:r>
        <w:rPr>
          <w:rFonts w:ascii="Georgia" w:eastAsia="Times New Roman" w:hAnsi="Georgia" w:cs="Century Schoolbook"/>
          <w:spacing w:val="6"/>
          <w:lang w:eastAsia="fr-FR"/>
        </w:rPr>
        <w:t xml:space="preserve"> </w:t>
      </w:r>
    </w:p>
    <w:p w:rsidR="00F04EEF" w:rsidRDefault="00F04EEF">
      <w:pPr>
        <w:widowControl w:val="0"/>
        <w:autoSpaceDE w:val="0"/>
        <w:autoSpaceDN w:val="0"/>
        <w:adjustRightInd w:val="0"/>
        <w:spacing w:before="65" w:line="240" w:lineRule="exact"/>
        <w:ind w:left="174" w:right="107" w:firstLine="568"/>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14"/>
        <w:gridCol w:w="3233"/>
        <w:gridCol w:w="3215"/>
      </w:tblGrid>
      <w:tr w:rsidR="00F04EEF">
        <w:trPr>
          <w:trHeight w:val="404"/>
        </w:trPr>
        <w:tc>
          <w:tcPr>
            <w:tcW w:w="3214" w:type="dxa"/>
          </w:tcPr>
          <w:p w:rsidR="00F04EEF" w:rsidRDefault="0099351E">
            <w:pPr>
              <w:widowControl w:val="0"/>
              <w:autoSpaceDE w:val="0"/>
              <w:autoSpaceDN w:val="0"/>
              <w:adjustRightInd w:val="0"/>
              <w:spacing w:line="266" w:lineRule="exact"/>
              <w:ind w:left="43" w:right="-20"/>
              <w:jc w:val="center"/>
              <w:rPr>
                <w:rFonts w:ascii="Georgia" w:eastAsia="Times New Roman" w:hAnsi="Georgia"/>
                <w:lang w:eastAsia="fr-FR"/>
              </w:rPr>
            </w:pPr>
            <w:r>
              <w:rPr>
                <w:rFonts w:ascii="Georgia" w:eastAsia="Times New Roman" w:hAnsi="Georgia" w:cs="Century Schoolbook"/>
                <w:lang w:eastAsia="fr-FR"/>
              </w:rPr>
              <w:t>Nom (3)</w:t>
            </w:r>
          </w:p>
        </w:tc>
        <w:tc>
          <w:tcPr>
            <w:tcW w:w="3233" w:type="dxa"/>
          </w:tcPr>
          <w:p w:rsidR="00F04EEF" w:rsidRDefault="0099351E">
            <w:pPr>
              <w:widowControl w:val="0"/>
              <w:autoSpaceDE w:val="0"/>
              <w:autoSpaceDN w:val="0"/>
              <w:adjustRightInd w:val="0"/>
              <w:spacing w:line="266" w:lineRule="exact"/>
              <w:ind w:left="43" w:right="-20"/>
              <w:jc w:val="center"/>
              <w:rPr>
                <w:rFonts w:ascii="Georgia" w:eastAsia="Times New Roman" w:hAnsi="Georgia"/>
                <w:lang w:eastAsia="fr-FR"/>
              </w:rPr>
            </w:pPr>
            <w:r>
              <w:rPr>
                <w:rFonts w:ascii="Georgia" w:eastAsia="Times New Roman" w:hAnsi="Georgia" w:cs="Century Schoolbook"/>
                <w:lang w:eastAsia="fr-FR"/>
              </w:rPr>
              <w:t>Prénom (3)</w:t>
            </w:r>
          </w:p>
        </w:tc>
        <w:tc>
          <w:tcPr>
            <w:tcW w:w="3215" w:type="dxa"/>
          </w:tcPr>
          <w:p w:rsidR="00F04EEF" w:rsidRDefault="0099351E">
            <w:pPr>
              <w:widowControl w:val="0"/>
              <w:autoSpaceDE w:val="0"/>
              <w:autoSpaceDN w:val="0"/>
              <w:adjustRightInd w:val="0"/>
              <w:spacing w:line="266" w:lineRule="exact"/>
              <w:ind w:left="43" w:right="-20"/>
              <w:jc w:val="center"/>
              <w:rPr>
                <w:rFonts w:ascii="Georgia" w:eastAsia="Times New Roman" w:hAnsi="Georgia"/>
                <w:lang w:eastAsia="fr-FR"/>
              </w:rPr>
            </w:pPr>
            <w:r>
              <w:rPr>
                <w:rFonts w:ascii="Georgia" w:eastAsia="Times New Roman" w:hAnsi="Georgia" w:cs="Century Schoolbook"/>
                <w:lang w:eastAsia="fr-FR"/>
              </w:rPr>
              <w:t>Signature</w:t>
            </w: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p w:rsidR="00F04EEF" w:rsidRDefault="00F04EEF">
            <w:pPr>
              <w:widowControl w:val="0"/>
              <w:autoSpaceDE w:val="0"/>
              <w:autoSpaceDN w:val="0"/>
              <w:adjustRightInd w:val="0"/>
              <w:rPr>
                <w:rFonts w:ascii="Georgia" w:eastAsia="Times New Roman" w:hAnsi="Georgia"/>
                <w:lang w:eastAsia="fr-FR"/>
              </w:rPr>
            </w:pPr>
          </w:p>
          <w:p w:rsidR="00F04EEF" w:rsidRDefault="00F04EEF">
            <w:pPr>
              <w:widowControl w:val="0"/>
              <w:autoSpaceDE w:val="0"/>
              <w:autoSpaceDN w:val="0"/>
              <w:adjustRightInd w:val="0"/>
              <w:rPr>
                <w:rFonts w:ascii="Georgia" w:eastAsia="Times New Roman" w:hAnsi="Georgia"/>
                <w:lang w:eastAsia="fr-FR"/>
              </w:rPr>
            </w:pP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tc>
      </w:tr>
      <w:tr w:rsidR="00F04EEF">
        <w:trPr>
          <w:trHeight w:val="750"/>
        </w:trPr>
        <w:tc>
          <w:tcPr>
            <w:tcW w:w="3214" w:type="dxa"/>
          </w:tcPr>
          <w:p w:rsidR="00F04EEF" w:rsidRDefault="00F04EEF">
            <w:pPr>
              <w:widowControl w:val="0"/>
              <w:autoSpaceDE w:val="0"/>
              <w:autoSpaceDN w:val="0"/>
              <w:adjustRightInd w:val="0"/>
              <w:rPr>
                <w:rFonts w:ascii="Georgia" w:eastAsia="Times New Roman" w:hAnsi="Georgia"/>
                <w:lang w:eastAsia="fr-FR"/>
              </w:rPr>
            </w:pPr>
          </w:p>
        </w:tc>
        <w:tc>
          <w:tcPr>
            <w:tcW w:w="3233" w:type="dxa"/>
          </w:tcPr>
          <w:p w:rsidR="00F04EEF" w:rsidRDefault="00F04EEF">
            <w:pPr>
              <w:widowControl w:val="0"/>
              <w:autoSpaceDE w:val="0"/>
              <w:autoSpaceDN w:val="0"/>
              <w:adjustRightInd w:val="0"/>
              <w:rPr>
                <w:rFonts w:ascii="Georgia" w:eastAsia="Times New Roman" w:hAnsi="Georgia"/>
                <w:lang w:eastAsia="fr-FR"/>
              </w:rPr>
            </w:pPr>
          </w:p>
        </w:tc>
        <w:tc>
          <w:tcPr>
            <w:tcW w:w="3215" w:type="dxa"/>
          </w:tcPr>
          <w:p w:rsidR="00F04EEF" w:rsidRDefault="00F04EEF">
            <w:pPr>
              <w:widowControl w:val="0"/>
              <w:autoSpaceDE w:val="0"/>
              <w:autoSpaceDN w:val="0"/>
              <w:adjustRightInd w:val="0"/>
              <w:rPr>
                <w:rFonts w:ascii="Georgia" w:eastAsia="Times New Roman" w:hAnsi="Georgia"/>
                <w:lang w:eastAsia="fr-FR"/>
              </w:rPr>
            </w:pPr>
          </w:p>
        </w:tc>
      </w:tr>
    </w:tbl>
    <w:p w:rsidR="00F04EEF" w:rsidRDefault="00F04EEF">
      <w:pPr>
        <w:widowControl w:val="0"/>
        <w:autoSpaceDE w:val="0"/>
        <w:autoSpaceDN w:val="0"/>
        <w:adjustRightInd w:val="0"/>
        <w:spacing w:before="2" w:line="150" w:lineRule="exact"/>
        <w:rPr>
          <w:rFonts w:ascii="Georgia" w:eastAsia="Times New Roman" w:hAnsi="Georgia"/>
          <w:lang w:eastAsia="fr-FR"/>
        </w:rPr>
      </w:pPr>
    </w:p>
    <w:p w:rsidR="00F04EEF" w:rsidRDefault="0099351E">
      <w:pPr>
        <w:widowControl w:val="0"/>
        <w:autoSpaceDE w:val="0"/>
        <w:autoSpaceDN w:val="0"/>
        <w:adjustRightInd w:val="0"/>
        <w:spacing w:before="20" w:line="399" w:lineRule="auto"/>
        <w:rPr>
          <w:rFonts w:ascii="Georgia" w:eastAsia="Times New Roman" w:hAnsi="Georgia" w:cs="Century Schoolbook"/>
          <w:lang w:eastAsia="fr-FR"/>
        </w:rPr>
      </w:pPr>
      <w:r>
        <w:rPr>
          <w:rFonts w:ascii="Georgia" w:eastAsia="Times New Roman" w:hAnsi="Georgia" w:cs="Century Schoolbook"/>
          <w:lang w:eastAsia="fr-FR"/>
        </w:rPr>
        <w:t>Sceau</w:t>
      </w:r>
      <w:r>
        <w:rPr>
          <w:rFonts w:ascii="Georgia" w:eastAsia="Times New Roman" w:hAnsi="Georgia" w:cs="Century Schoolbook"/>
          <w:spacing w:val="-7"/>
          <w:lang w:eastAsia="fr-FR"/>
        </w:rPr>
        <w:t xml:space="preserve"> </w:t>
      </w:r>
      <w:r>
        <w:rPr>
          <w:rFonts w:ascii="Georgia" w:eastAsia="Times New Roman" w:hAnsi="Georgia" w:cs="Century Schoolbook"/>
          <w:lang w:eastAsia="fr-FR"/>
        </w:rPr>
        <w:t xml:space="preserve">de l'établissement : </w:t>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r>
      <w:r>
        <w:rPr>
          <w:rFonts w:ascii="Georgia" w:eastAsia="Times New Roman" w:hAnsi="Georgia" w:cs="Century Schoolbook"/>
          <w:lang w:eastAsia="fr-FR"/>
        </w:rPr>
        <w:tab/>
        <w:t>Le</w:t>
      </w:r>
      <w:r>
        <w:rPr>
          <w:rFonts w:ascii="Georgia" w:eastAsia="Times New Roman" w:hAnsi="Georgia" w:cs="Century Schoolbook"/>
          <w:spacing w:val="-3"/>
          <w:lang w:eastAsia="fr-FR"/>
        </w:rPr>
        <w:t xml:space="preserve"> </w:t>
      </w:r>
      <w:r>
        <w:rPr>
          <w:rFonts w:ascii="Georgia" w:eastAsia="Times New Roman" w:hAnsi="Georgia" w:cs="Century Schoolbook"/>
          <w:lang w:eastAsia="fr-FR"/>
        </w:rPr>
        <w:t>(</w:t>
      </w:r>
      <w:smartTag w:uri="urn:schemas-microsoft-com:office:smarttags" w:element="PersonName">
        <w:smartTagPr>
          <w:attr w:name="ProductID" w:val="La) Pr￩sident"/>
        </w:smartTagPr>
        <w:r>
          <w:rPr>
            <w:rFonts w:ascii="Georgia" w:eastAsia="Times New Roman" w:hAnsi="Georgia" w:cs="Century Schoolbook"/>
            <w:lang w:eastAsia="fr-FR"/>
          </w:rPr>
          <w:t>La) Président</w:t>
        </w:r>
      </w:smartTag>
      <w:r>
        <w:rPr>
          <w:rFonts w:ascii="Georgia" w:eastAsia="Times New Roman" w:hAnsi="Georgia" w:cs="Century Schoolbook"/>
          <w:lang w:eastAsia="fr-FR"/>
        </w:rPr>
        <w:t>(e) :</w:t>
      </w:r>
    </w:p>
    <w:p w:rsidR="00F04EEF" w:rsidRDefault="00F04EEF">
      <w:pPr>
        <w:widowControl w:val="0"/>
        <w:autoSpaceDE w:val="0"/>
        <w:autoSpaceDN w:val="0"/>
        <w:adjustRightInd w:val="0"/>
        <w:spacing w:before="20" w:line="399" w:lineRule="auto"/>
        <w:ind w:right="1440"/>
        <w:rPr>
          <w:rFonts w:ascii="Georgia" w:eastAsia="Times New Roman" w:hAnsi="Georgia" w:cs="Century Schoolbook"/>
          <w:lang w:eastAsia="fr-FR"/>
        </w:rPr>
      </w:pPr>
    </w:p>
    <w:p w:rsidR="00F04EEF" w:rsidRDefault="00F04EEF">
      <w:pPr>
        <w:widowControl w:val="0"/>
        <w:autoSpaceDE w:val="0"/>
        <w:autoSpaceDN w:val="0"/>
        <w:adjustRightInd w:val="0"/>
        <w:spacing w:before="20" w:line="399" w:lineRule="auto"/>
        <w:ind w:right="1440"/>
        <w:rPr>
          <w:rFonts w:ascii="Georgia" w:eastAsia="Times New Roman" w:hAnsi="Georgia" w:cs="Century Schoolbook"/>
          <w:lang w:eastAsia="fr-FR"/>
        </w:rPr>
      </w:pPr>
    </w:p>
    <w:p w:rsidR="00F04EEF" w:rsidRDefault="0099351E">
      <w:pPr>
        <w:widowControl w:val="0"/>
        <w:autoSpaceDE w:val="0"/>
        <w:autoSpaceDN w:val="0"/>
        <w:adjustRightInd w:val="0"/>
        <w:spacing w:before="20" w:line="399" w:lineRule="auto"/>
        <w:rPr>
          <w:rFonts w:ascii="Georgia" w:eastAsia="Times New Roman" w:hAnsi="Georgia" w:cs="Century Schoolbook"/>
          <w:lang w:eastAsia="fr-FR"/>
        </w:rPr>
      </w:pPr>
      <w:r>
        <w:rPr>
          <w:rFonts w:ascii="Georgia" w:eastAsia="Times New Roman" w:hAnsi="Georgia" w:cs="Century Schoolbook"/>
          <w:lang w:eastAsia="fr-FR"/>
        </w:rPr>
        <w:t>Fait à ………………………………………………………….. (6),</w:t>
      </w:r>
      <w:r>
        <w:rPr>
          <w:rFonts w:ascii="Georgia" w:eastAsia="Times New Roman" w:hAnsi="Georgia" w:cs="Century Schoolbook"/>
          <w:spacing w:val="-21"/>
          <w:lang w:eastAsia="fr-FR"/>
        </w:rPr>
        <w:t xml:space="preserve"> </w:t>
      </w:r>
      <w:r>
        <w:rPr>
          <w:rFonts w:ascii="Georgia" w:eastAsia="Times New Roman" w:hAnsi="Georgia" w:cs="Century Schoolbook"/>
          <w:lang w:eastAsia="fr-FR"/>
        </w:rPr>
        <w:t>le……………………………………………… (5)</w:t>
      </w:r>
    </w:p>
    <w:p w:rsidR="00F04EEF" w:rsidRDefault="00F04EEF">
      <w:pPr>
        <w:widowControl w:val="0"/>
        <w:autoSpaceDE w:val="0"/>
        <w:autoSpaceDN w:val="0"/>
        <w:adjustRightInd w:val="0"/>
        <w:spacing w:before="5" w:line="170" w:lineRule="exact"/>
        <w:rPr>
          <w:rFonts w:ascii="Georgia" w:eastAsia="Times New Roman" w:hAnsi="Georgia" w:cs="Century Schoolbook"/>
          <w:lang w:eastAsia="fr-FR"/>
        </w:rPr>
      </w:pPr>
    </w:p>
    <w:p w:rsidR="00F04EEF" w:rsidRDefault="00F04EEF">
      <w:pPr>
        <w:jc w:val="both"/>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F04EEF">
      <w:pPr>
        <w:shd w:val="clear" w:color="auto" w:fill="FFFFFF"/>
        <w:jc w:val="both"/>
        <w:rPr>
          <w:rFonts w:ascii="Georgia" w:eastAsia="Times New Roman" w:hAnsi="Georgia"/>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F04EEF">
      <w:pPr>
        <w:shd w:val="clear" w:color="auto" w:fill="FFFFFF"/>
        <w:tabs>
          <w:tab w:val="left" w:pos="5597"/>
        </w:tabs>
        <w:rPr>
          <w:rFonts w:ascii="Georgia" w:eastAsia="Times New Roman" w:hAnsi="Georgia"/>
          <w:color w:val="000000"/>
          <w:lang w:eastAsia="fr-FR"/>
        </w:rPr>
      </w:pPr>
    </w:p>
    <w:p w:rsidR="00F04EEF" w:rsidRDefault="0099351E">
      <w:pPr>
        <w:shd w:val="clear" w:color="auto" w:fill="FFFFFF"/>
        <w:tabs>
          <w:tab w:val="left" w:pos="5597"/>
        </w:tabs>
        <w:rPr>
          <w:rFonts w:ascii="Georgia" w:eastAsia="Times New Roman" w:hAnsi="Georgia"/>
          <w:lang w:eastAsia="fr-FR"/>
        </w:rPr>
      </w:pPr>
      <w:r>
        <w:rPr>
          <w:rFonts w:ascii="Georgia" w:eastAsia="Times New Roman" w:hAnsi="Georgia"/>
          <w:color w:val="000000"/>
          <w:lang w:eastAsia="fr-FR"/>
        </w:rPr>
        <w:tab/>
      </w:r>
      <w:r>
        <w:rPr>
          <w:rFonts w:ascii="Georgia" w:eastAsia="Times New Roman" w:hAnsi="Georgia"/>
          <w:color w:val="000000"/>
          <w:lang w:eastAsia="fr-FR"/>
        </w:rPr>
        <w:tab/>
      </w:r>
    </w:p>
    <w:p w:rsidR="00F04EEF" w:rsidRDefault="00F04EEF">
      <w:pPr>
        <w:rPr>
          <w:rFonts w:ascii="Georgia" w:eastAsia="Times New Roman" w:hAnsi="Georgia"/>
          <w:b/>
          <w:u w:val="single"/>
          <w:lang w:eastAsia="fr-FR"/>
        </w:rPr>
      </w:pPr>
    </w:p>
    <w:p w:rsidR="00F04EEF" w:rsidRDefault="0099351E">
      <w:pPr>
        <w:pStyle w:val="Titre4"/>
        <w:rPr>
          <w:lang w:eastAsia="fr-FR"/>
        </w:rPr>
      </w:pPr>
      <w:r>
        <w:rPr>
          <w:lang w:eastAsia="fr-FR"/>
        </w:rPr>
        <w:t>Annexe 5 : Déclaration de perte du certificat de qualification</w:t>
      </w:r>
    </w:p>
    <w:p w:rsidR="00F04EEF" w:rsidRDefault="00F04EEF">
      <w:pPr>
        <w:rPr>
          <w:lang w:eastAsia="fr-FR"/>
        </w:rPr>
      </w:pPr>
    </w:p>
    <w:p w:rsidR="00F04EEF" w:rsidRDefault="00F04EEF">
      <w:pPr>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COMMUNAUTE FRANÇAISE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3 EN ALTERNANCE</w:t>
      </w: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DECLARATION DE PERTE DU CERTIFICAT DE QUALIFICATION</w:t>
      </w:r>
    </w:p>
    <w:p w:rsidR="00F04EEF" w:rsidRDefault="0099351E">
      <w:pPr>
        <w:shd w:val="clear" w:color="auto" w:fill="FFFFFF"/>
        <w:tabs>
          <w:tab w:val="left" w:leader="dot" w:pos="8256"/>
        </w:tabs>
        <w:spacing w:before="230"/>
        <w:rPr>
          <w:rFonts w:ascii="Georgia" w:eastAsia="Times New Roman" w:hAnsi="Georgia"/>
          <w:lang w:eastAsia="fr-FR"/>
        </w:rPr>
      </w:pPr>
      <w:r>
        <w:rPr>
          <w:rFonts w:ascii="Georgia" w:eastAsia="Times New Roman" w:hAnsi="Georgia"/>
          <w:color w:val="000000"/>
          <w:lang w:eastAsia="fr-FR"/>
        </w:rPr>
        <w:t>SECTEUR PROFESSIONNEL : ………………………………………………………………………………… (17)</w:t>
      </w: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GROUPE PROFESSIONNEL : …………………………………………………………………………………. (18)</w:t>
      </w: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METIER : ………………………………………………………………………………………………………………. (7)</w:t>
      </w:r>
    </w:p>
    <w:p w:rsidR="00F04EEF" w:rsidRDefault="00F04EEF">
      <w:pPr>
        <w:rPr>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SIEGE DE L'ETABLISSEMENT :</w:t>
      </w: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 (1)</w:t>
      </w:r>
    </w:p>
    <w:p w:rsidR="00F04EEF" w:rsidRDefault="00F04EEF">
      <w:pPr>
        <w:shd w:val="clear" w:color="auto" w:fill="FFFFFF"/>
        <w:tabs>
          <w:tab w:val="left" w:leader="dot" w:pos="8256"/>
        </w:tabs>
        <w:rPr>
          <w:rFonts w:ascii="Georgia" w:eastAsia="Times New Roman" w:hAnsi="Georgia"/>
          <w:color w:val="000000"/>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 xml:space="preserve">Numéro Fase : </w:t>
      </w:r>
    </w:p>
    <w:p w:rsidR="00F04EEF" w:rsidRDefault="00F04EEF">
      <w:pPr>
        <w:shd w:val="clear" w:color="auto" w:fill="FFFFFF"/>
        <w:tabs>
          <w:tab w:val="left" w:leader="dot" w:pos="8256"/>
        </w:tabs>
        <w:rPr>
          <w:rFonts w:ascii="Georgia" w:eastAsia="Times New Roman" w:hAnsi="Georgia"/>
          <w:color w:val="000000"/>
          <w:lang w:eastAsia="fr-FR"/>
        </w:rPr>
      </w:pPr>
    </w:p>
    <w:p w:rsidR="00F04EEF" w:rsidRDefault="0099351E">
      <w:pPr>
        <w:shd w:val="clear" w:color="auto" w:fill="FFFFFF"/>
        <w:tabs>
          <w:tab w:val="left" w:leader="dot" w:pos="8256"/>
        </w:tabs>
        <w:rPr>
          <w:rFonts w:ascii="Georgia" w:eastAsia="Times New Roman" w:hAnsi="Georgia"/>
          <w:lang w:eastAsia="fr-FR"/>
        </w:rPr>
      </w:pPr>
      <w:r>
        <w:rPr>
          <w:rFonts w:ascii="Georgia" w:eastAsia="Times New Roman" w:hAnsi="Georgia" w:cs="Arial"/>
          <w:lang w:eastAsia="fr-FR"/>
        </w:rPr>
        <w:t xml:space="preserve">Je </w:t>
      </w:r>
      <w:r>
        <w:rPr>
          <w:rFonts w:ascii="Georgia" w:eastAsia="Times New Roman" w:hAnsi="Georgia"/>
          <w:color w:val="000000"/>
          <w:lang w:eastAsia="fr-FR"/>
        </w:rPr>
        <w:t>soussigné(e) : ………………………………………………………………………………………………. (3)</w:t>
      </w: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Chef(fe) de l'établissement susmentionné, certifie que l'élève : ……....................................... (3)</w:t>
      </w:r>
    </w:p>
    <w:p w:rsidR="00F04EEF" w:rsidRDefault="0099351E">
      <w:pPr>
        <w:shd w:val="clear" w:color="auto" w:fill="FFFFFF"/>
        <w:tabs>
          <w:tab w:val="left" w:leader="dot" w:pos="4368"/>
        </w:tabs>
        <w:rPr>
          <w:rFonts w:ascii="Georgia" w:eastAsia="Times New Roman" w:hAnsi="Georgia"/>
          <w:color w:val="000000"/>
          <w:lang w:eastAsia="fr-FR"/>
        </w:rPr>
      </w:pPr>
      <w:r>
        <w:rPr>
          <w:rFonts w:ascii="Georgia" w:eastAsia="Times New Roman" w:hAnsi="Georgia"/>
          <w:color w:val="000000"/>
          <w:spacing w:val="-4"/>
          <w:lang w:eastAsia="fr-FR"/>
        </w:rPr>
        <w:t xml:space="preserve">Né(e) à </w:t>
      </w:r>
      <w:r>
        <w:rPr>
          <w:rFonts w:ascii="Georgia" w:eastAsia="Times New Roman" w:hAnsi="Georgia"/>
          <w:color w:val="000000"/>
          <w:lang w:eastAsia="fr-FR"/>
        </w:rPr>
        <w:t>…………………………………………………………… (4), le………………………………………………. (5)</w:t>
      </w:r>
    </w:p>
    <w:p w:rsidR="00F04EEF" w:rsidRDefault="00F04EEF">
      <w:pPr>
        <w:shd w:val="clear" w:color="auto" w:fill="FFFFFF"/>
        <w:jc w:val="both"/>
        <w:rPr>
          <w:rFonts w:ascii="Georgia" w:eastAsia="Times New Roman" w:hAnsi="Georgia"/>
          <w:color w:val="000000"/>
          <w:lang w:eastAsia="fr-FR"/>
        </w:rPr>
      </w:pPr>
    </w:p>
    <w:p w:rsidR="00F04EEF" w:rsidRDefault="0099351E">
      <w:pPr>
        <w:shd w:val="clear" w:color="auto" w:fill="FFFFFF"/>
        <w:jc w:val="both"/>
        <w:rPr>
          <w:rFonts w:ascii="Georgia" w:eastAsia="Times New Roman" w:hAnsi="Georgia"/>
          <w:color w:val="000000"/>
          <w:lang w:eastAsia="fr-FR"/>
        </w:rPr>
      </w:pPr>
      <w:r>
        <w:rPr>
          <w:rFonts w:ascii="Georgia" w:eastAsia="Times New Roman" w:hAnsi="Georgia"/>
          <w:color w:val="000000"/>
          <w:lang w:eastAsia="fr-FR"/>
        </w:rPr>
        <w:t>A suivi régulièrement la troisième phase en qualité d'élève régulier (régulière) dans l'enseignement secondaire spécialisé en alternance et a subi, avec succès, devant un jury, des épreuves de qualification dans l'établissement susmentionné, dans l’enseignement et dans le métier susmentionnés.</w:t>
      </w:r>
    </w:p>
    <w:p w:rsidR="00F04EEF" w:rsidRDefault="00F04EEF">
      <w:pPr>
        <w:shd w:val="clear" w:color="auto" w:fill="FFFFFF"/>
        <w:jc w:val="both"/>
        <w:rPr>
          <w:rFonts w:ascii="Georgia" w:eastAsia="Times New Roman" w:hAnsi="Georgia"/>
          <w:color w:val="000000"/>
          <w:lang w:eastAsia="fr-FR"/>
        </w:rPr>
      </w:pPr>
    </w:p>
    <w:p w:rsidR="00F04EEF" w:rsidRDefault="0099351E">
      <w:pPr>
        <w:shd w:val="clear" w:color="auto" w:fill="FFFFFF"/>
        <w:ind w:right="10" w:firstLine="9"/>
        <w:jc w:val="both"/>
        <w:rPr>
          <w:rFonts w:ascii="Georgia" w:eastAsia="Times New Roman" w:hAnsi="Georgia"/>
          <w:lang w:eastAsia="fr-FR"/>
        </w:rPr>
      </w:pPr>
      <w:r>
        <w:rPr>
          <w:rFonts w:ascii="Georgia" w:eastAsia="Times New Roman" w:hAnsi="Georgia"/>
          <w:color w:val="000000"/>
          <w:lang w:eastAsia="fr-FR"/>
        </w:rPr>
        <w:t>J’atteste que toutes les prescriptions légales et réglementaires ont été respectées pendant toute la durée des études.</w:t>
      </w:r>
    </w:p>
    <w:p w:rsidR="00F04EEF" w:rsidRDefault="0099351E">
      <w:pPr>
        <w:shd w:val="clear" w:color="auto" w:fill="FFFFFF"/>
        <w:spacing w:before="192"/>
        <w:rPr>
          <w:rFonts w:ascii="Georgia" w:eastAsia="Times New Roman" w:hAnsi="Georgia"/>
          <w:color w:val="000000"/>
          <w:lang w:eastAsia="fr-FR"/>
        </w:rPr>
      </w:pPr>
      <w:r>
        <w:rPr>
          <w:rFonts w:ascii="Georgia" w:eastAsia="Times New Roman" w:hAnsi="Georgia"/>
          <w:color w:val="000000"/>
          <w:lang w:eastAsia="fr-FR"/>
        </w:rPr>
        <w:t>En foi de quoi, le certificat de qualification a été délivré à…………………………………………(6), le………………………………………………………………………(5).</w:t>
      </w:r>
    </w:p>
    <w:p w:rsidR="00F04EEF" w:rsidRDefault="0099351E">
      <w:pPr>
        <w:shd w:val="clear" w:color="auto" w:fill="FFFFFF"/>
        <w:spacing w:before="192"/>
        <w:rPr>
          <w:rFonts w:ascii="Georgia" w:eastAsia="Times New Roman" w:hAnsi="Georgia"/>
          <w:color w:val="000000"/>
          <w:lang w:eastAsia="fr-FR"/>
        </w:rPr>
      </w:pPr>
      <w:r>
        <w:rPr>
          <w:rFonts w:ascii="Georgia" w:eastAsia="Times New Roman" w:hAnsi="Georgia"/>
          <w:color w:val="000000"/>
          <w:lang w:eastAsia="fr-FR"/>
        </w:rPr>
        <w:t>L’élève a déclaré avoir perdu celui-ci.</w:t>
      </w:r>
    </w:p>
    <w:p w:rsidR="00F04EEF" w:rsidRDefault="00F04EEF">
      <w:pPr>
        <w:shd w:val="clear" w:color="auto" w:fill="FFFFFF"/>
        <w:spacing w:before="192"/>
        <w:rPr>
          <w:rFonts w:ascii="Georgia" w:eastAsia="Times New Roman" w:hAnsi="Georgia"/>
          <w:color w:val="000000"/>
          <w:lang w:eastAsia="fr-FR"/>
        </w:rPr>
      </w:pPr>
    </w:p>
    <w:p w:rsidR="00F04EEF" w:rsidRDefault="00F04EEF">
      <w:pPr>
        <w:shd w:val="clear" w:color="auto" w:fill="FFFFFF"/>
        <w:tabs>
          <w:tab w:val="left" w:pos="5597"/>
        </w:tabs>
        <w:rPr>
          <w:rFonts w:ascii="Georgia" w:eastAsia="Times New Roman" w:hAnsi="Georgia"/>
          <w:color w:val="000000"/>
          <w:lang w:eastAsia="fr-FR"/>
        </w:rPr>
      </w:pPr>
    </w:p>
    <w:p w:rsidR="00F04EEF" w:rsidRDefault="00F04EEF">
      <w:pPr>
        <w:shd w:val="clear" w:color="auto" w:fill="FFFFFF"/>
        <w:tabs>
          <w:tab w:val="left" w:pos="5597"/>
        </w:tabs>
        <w:rPr>
          <w:rFonts w:ascii="Georgia" w:eastAsia="Times New Roman" w:hAnsi="Georgia"/>
          <w:color w:val="000000"/>
          <w:lang w:eastAsia="fr-FR"/>
        </w:rPr>
      </w:pPr>
    </w:p>
    <w:p w:rsidR="00F04EEF" w:rsidRDefault="0099351E">
      <w:pPr>
        <w:shd w:val="clear" w:color="auto" w:fill="FFFFFF"/>
        <w:tabs>
          <w:tab w:val="left" w:pos="5597"/>
        </w:tabs>
        <w:rPr>
          <w:rFonts w:ascii="Georgia" w:eastAsia="Times New Roman" w:hAnsi="Georgia"/>
          <w:color w:val="000000"/>
          <w:lang w:eastAsia="fr-FR"/>
        </w:rPr>
      </w:pPr>
      <w:r>
        <w:rPr>
          <w:rFonts w:ascii="Georgia" w:eastAsia="Times New Roman" w:hAnsi="Georgia"/>
          <w:color w:val="000000"/>
          <w:lang w:eastAsia="fr-FR"/>
        </w:rPr>
        <w:t>Le (La) Chef(fe) d'établissement</w:t>
      </w:r>
      <w:r>
        <w:rPr>
          <w:rFonts w:ascii="Georgia" w:eastAsia="Times New Roman" w:hAnsi="Georgia"/>
          <w:color w:val="000000"/>
          <w:lang w:eastAsia="fr-FR"/>
        </w:rPr>
        <w:tab/>
      </w:r>
      <w:r>
        <w:rPr>
          <w:rFonts w:ascii="Georgia" w:eastAsia="Times New Roman" w:hAnsi="Georgia"/>
          <w:color w:val="000000"/>
          <w:lang w:eastAsia="fr-FR"/>
        </w:rPr>
        <w:tab/>
      </w:r>
      <w:r>
        <w:rPr>
          <w:rFonts w:ascii="Georgia" w:eastAsia="Times New Roman" w:hAnsi="Georgia"/>
          <w:color w:val="000000"/>
          <w:lang w:eastAsia="fr-FR"/>
        </w:rPr>
        <w:tab/>
        <w:t>Sceau du Ministère :</w:t>
      </w:r>
    </w:p>
    <w:p w:rsidR="00F04EEF" w:rsidRDefault="00F04EEF">
      <w:pPr>
        <w:shd w:val="clear" w:color="auto" w:fill="FFFFFF"/>
        <w:tabs>
          <w:tab w:val="left" w:pos="5597"/>
        </w:tabs>
        <w:ind w:left="557"/>
        <w:rPr>
          <w:rFonts w:ascii="Georgia" w:eastAsia="Times New Roman" w:hAnsi="Georgia"/>
          <w:lang w:eastAsia="fr-FR"/>
        </w:rPr>
      </w:pPr>
    </w:p>
    <w:p w:rsidR="00F04EEF" w:rsidRDefault="00F04EEF">
      <w:pPr>
        <w:shd w:val="clear" w:color="auto" w:fill="FFFFFF"/>
        <w:tabs>
          <w:tab w:val="left" w:pos="5597"/>
        </w:tabs>
        <w:ind w:left="557"/>
        <w:rPr>
          <w:rFonts w:ascii="Georgia" w:eastAsia="Times New Roman" w:hAnsi="Georgia"/>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rFonts w:ascii="Georgia" w:eastAsia="Times New Roman" w:hAnsi="Georgia"/>
          <w:color w:val="000000"/>
          <w:lang w:eastAsia="fr-FR"/>
        </w:rPr>
      </w:pP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6 : Certificat d’enseignement secondaire du deuxième degré</w:t>
      </w: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3 EN ALTERNANCE</w:t>
      </w:r>
    </w:p>
    <w:p w:rsidR="00F04EEF" w:rsidRDefault="00F04EEF">
      <w:pPr>
        <w:rPr>
          <w:lang w:eastAsia="fr-FR"/>
        </w:rPr>
      </w:pPr>
    </w:p>
    <w:p w:rsidR="00F04EEF" w:rsidRDefault="00F04EEF">
      <w:pPr>
        <w:rPr>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D’ENSEIGNEMENT SECONDAIRE PROFESSIONNEL DU DEUXIÈME DEGRÉ</w:t>
      </w:r>
    </w:p>
    <w:p w:rsidR="00F04EEF" w:rsidRDefault="00F04EEF">
      <w:pPr>
        <w:jc w:val="both"/>
        <w:rPr>
          <w:rFonts w:ascii="Georgia" w:eastAsia="Times New Roman" w:hAnsi="Georgia" w:cs="Arial"/>
          <w:sz w:val="21"/>
          <w:szCs w:val="21"/>
          <w:lang w:eastAsia="fr-FR"/>
        </w:rPr>
      </w:pPr>
    </w:p>
    <w:p w:rsidR="00F04EEF" w:rsidRDefault="0099351E">
      <w:pPr>
        <w:rPr>
          <w:rFonts w:ascii="Georgia" w:eastAsia="Times New Roman" w:hAnsi="Georgia" w:cs="Arial"/>
          <w:lang w:eastAsia="fr-FR"/>
        </w:rPr>
      </w:pPr>
      <w:r>
        <w:rPr>
          <w:rFonts w:ascii="Georgia" w:eastAsia="Times New Roman" w:hAnsi="Georgia" w:cs="Arial"/>
          <w:u w:val="single"/>
          <w:lang w:eastAsia="fr-FR"/>
        </w:rPr>
        <w:t>SECTEUR PROFESSIONNEL</w:t>
      </w:r>
      <w:r>
        <w:rPr>
          <w:rFonts w:ascii="Georgia" w:eastAsia="Times New Roman" w:hAnsi="Georgia" w:cs="Arial"/>
          <w:lang w:eastAsia="fr-FR"/>
        </w:rPr>
        <w:t> : ………………………………………………………………………………… (17)</w:t>
      </w:r>
    </w:p>
    <w:p w:rsidR="00F04EEF" w:rsidRDefault="0099351E">
      <w:pPr>
        <w:rPr>
          <w:rFonts w:ascii="Georgia" w:eastAsia="Times New Roman" w:hAnsi="Georgia" w:cs="Arial"/>
          <w:lang w:eastAsia="fr-FR"/>
        </w:rPr>
      </w:pPr>
      <w:r>
        <w:rPr>
          <w:rFonts w:ascii="Georgia" w:eastAsia="Times New Roman" w:hAnsi="Georgia" w:cs="Arial"/>
          <w:u w:val="single"/>
          <w:lang w:eastAsia="fr-FR"/>
        </w:rPr>
        <w:t>GROUPE PROFESSIONNEL</w:t>
      </w:r>
      <w:r>
        <w:rPr>
          <w:rFonts w:ascii="Georgia" w:eastAsia="Times New Roman" w:hAnsi="Georgia" w:cs="Arial"/>
          <w:lang w:eastAsia="fr-FR"/>
        </w:rPr>
        <w:t> : ………………………………………………………………………………… (18)</w:t>
      </w:r>
    </w:p>
    <w:p w:rsidR="00F04EEF" w:rsidRDefault="0099351E">
      <w:pPr>
        <w:jc w:val="both"/>
        <w:rPr>
          <w:rFonts w:ascii="Georgia" w:eastAsia="Times New Roman" w:hAnsi="Georgia" w:cs="Arial"/>
          <w:lang w:eastAsia="fr-FR"/>
        </w:rPr>
      </w:pPr>
      <w:r>
        <w:rPr>
          <w:rFonts w:ascii="Georgia" w:eastAsia="Times New Roman" w:hAnsi="Georgia" w:cs="Arial"/>
          <w:u w:val="single"/>
          <w:lang w:eastAsia="fr-FR"/>
        </w:rPr>
        <w:t>MÉTIER</w:t>
      </w:r>
      <w:r>
        <w:rPr>
          <w:rFonts w:ascii="Georgia" w:eastAsia="Times New Roman" w:hAnsi="Georgia" w:cs="Arial"/>
          <w:lang w:eastAsia="fr-FR"/>
        </w:rPr>
        <w:t xml:space="preserve"> : …………………………………………………………………………………………………………………. (7)</w:t>
      </w:r>
    </w:p>
    <w:p w:rsidR="00F04EEF" w:rsidRDefault="00F04EEF">
      <w:pPr>
        <w:jc w:val="both"/>
        <w:rPr>
          <w:rFonts w:ascii="Georgia" w:eastAsia="Times New Roman" w:hAnsi="Georgia" w:cs="Arial"/>
          <w:u w:val="single"/>
          <w:lang w:eastAsia="fr-FR"/>
        </w:rPr>
      </w:pPr>
    </w:p>
    <w:p w:rsidR="00F04EEF" w:rsidRDefault="0099351E">
      <w:pPr>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SIEGE :</w:t>
      </w: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 (1)</w:t>
      </w:r>
    </w:p>
    <w:p w:rsidR="00F04EEF" w:rsidRDefault="00F04EEF">
      <w:pPr>
        <w:jc w:val="both"/>
        <w:rPr>
          <w:rFonts w:ascii="Georgia" w:eastAsia="Times New Roman" w:hAnsi="Georgia" w:cs="Arial"/>
          <w:u w:val="single"/>
          <w:lang w:eastAsia="fr-FR"/>
        </w:rPr>
      </w:pPr>
    </w:p>
    <w:p w:rsidR="00F04EEF" w:rsidRDefault="0099351E">
      <w:pPr>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COOPERANT :</w:t>
      </w:r>
    </w:p>
    <w:p w:rsidR="00F04EEF" w:rsidRDefault="0099351E">
      <w:pPr>
        <w:shd w:val="clear" w:color="auto" w:fill="FFFFFF"/>
        <w:rPr>
          <w:rFonts w:ascii="Georgia" w:eastAsia="Times New Roman" w:hAnsi="Georgia"/>
          <w:lang w:eastAsia="fr-FR"/>
        </w:rPr>
      </w:pPr>
      <w:r>
        <w:rPr>
          <w:rFonts w:ascii="Georgia" w:eastAsia="Times New Roman" w:hAnsi="Georgia"/>
          <w:color w:val="000000"/>
          <w:lang w:eastAsia="fr-FR"/>
        </w:rPr>
        <w:t>………………………………………………………………………………………………………………………………………………………………………………………………………………………………………………………………………… (2)</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Numéro Fase :</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cs="Arial"/>
          <w:lang w:eastAsia="fr-FR"/>
        </w:rPr>
      </w:pPr>
      <w:r>
        <w:rPr>
          <w:rFonts w:ascii="Georgia" w:eastAsia="Times New Roman" w:hAnsi="Georgia" w:cs="Arial"/>
          <w:lang w:eastAsia="fr-FR"/>
        </w:rPr>
        <w:t>Chef(fe) de l’établissement coopérant susmentionné, sur avis conforme du conseil de classe, certifie que l’élève : ……………………………………………………………………………………………….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 (4) le …………………………………………………. (5)</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p>
    <w:p w:rsidR="00F04EEF" w:rsidRDefault="0099351E">
      <w:pPr>
        <w:jc w:val="both"/>
        <w:rPr>
          <w:rFonts w:ascii="Georgia" w:eastAsia="Times New Roman" w:hAnsi="Georgia" w:cs="Arial"/>
          <w:lang w:eastAsia="fr-FR"/>
        </w:rPr>
      </w:pPr>
      <w:r>
        <w:rPr>
          <w:rFonts w:ascii="Georgia" w:eastAsia="Times New Roman" w:hAnsi="Georgia" w:cs="Arial"/>
          <w:lang w:eastAsia="fr-FR"/>
        </w:rPr>
        <w:t>A suivi du ………………………………………….. (11) au ………………………………………………….. (11)</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En qualité d’élève régulier (régulière) la troisième phase de l’enseignement secondaire spécialisé de forme 3 en alternance visé à l’article 2 bis, §1</w:t>
      </w:r>
      <w:r>
        <w:rPr>
          <w:rFonts w:ascii="Georgia" w:eastAsia="Times New Roman" w:hAnsi="Georgia" w:cs="Arial"/>
          <w:vertAlign w:val="superscript"/>
          <w:lang w:eastAsia="fr-FR"/>
        </w:rPr>
        <w:t>er</w:t>
      </w:r>
      <w:r>
        <w:rPr>
          <w:rFonts w:ascii="Georgia" w:eastAsia="Times New Roman" w:hAnsi="Georgia" w:cs="Arial"/>
          <w:lang w:eastAsia="fr-FR"/>
        </w:rPr>
        <w:t xml:space="preserve">, 3° du Décret du 3 juillet 1991 organisant l’enseignement secondaire en alternance et a terminé cette phase avec fruit dans l’établissement, dans le secteur professionnel, dans le groupe professionnel et dans le  métier susmentionnés. </w:t>
      </w:r>
    </w:p>
    <w:p w:rsidR="00F04EEF" w:rsidRDefault="00F04EEF">
      <w:pPr>
        <w:jc w:val="both"/>
        <w:rPr>
          <w:rFonts w:ascii="Georgia" w:eastAsia="Times New Roman" w:hAnsi="Georgia" w:cs="Arial"/>
          <w:lang w:eastAsia="fr-FR"/>
        </w:rPr>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Georgia" w:eastAsia="Times New Roman" w:hAnsi="Georgia" w:cs="Arial"/>
          <w:lang w:eastAsia="fr-FR"/>
        </w:rPr>
      </w:pPr>
      <w:r>
        <w:rPr>
          <w:rFonts w:ascii="Georgia" w:eastAsia="Times New Roman" w:hAnsi="Georgia" w:cs="Arial"/>
          <w:lang w:eastAsia="fr-FR"/>
        </w:rPr>
        <w:t>J’atteste que toutes les prescriptions légales et réglementaires ont été respectées pendant toute la durée des études et que toutes les compétences nécessaires à l’octroi de ce titre ont été acquises par l’élève.</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En foi de quoi, je délivre le présent certificat.</w:t>
      </w:r>
    </w:p>
    <w:p w:rsidR="00F04EEF" w:rsidRDefault="00F04EEF">
      <w:pPr>
        <w:spacing w:line="360" w:lineRule="auto"/>
        <w:jc w:val="both"/>
        <w:rPr>
          <w:rFonts w:ascii="Georgia" w:eastAsia="Times New Roman" w:hAnsi="Georgia" w:cs="Arial"/>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Délivré à  ………………………………………………….. (6), le ……………………………………………….. (5)</w:t>
      </w:r>
    </w:p>
    <w:p w:rsidR="00F04EEF" w:rsidRDefault="00F04EEF">
      <w:pPr>
        <w:spacing w:line="360" w:lineRule="auto"/>
        <w:jc w:val="both"/>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Le (</w:t>
      </w:r>
      <w:smartTag w:uri="urn:schemas-microsoft-com:office:smarttags" w:element="PersonName">
        <w:smartTagPr>
          <w:attr w:name="ProductID" w:val="La) Chef"/>
        </w:smartTagPr>
        <w:r>
          <w:rPr>
            <w:rFonts w:ascii="Georgia" w:eastAsia="Times New Roman" w:hAnsi="Georgia" w:cs="Arial"/>
            <w:lang w:eastAsia="fr-FR"/>
          </w:rPr>
          <w:t>La) Chef</w:t>
        </w:r>
      </w:smartTag>
      <w:r>
        <w:rPr>
          <w:rFonts w:ascii="Georgia" w:eastAsia="Times New Roman" w:hAnsi="Georgia" w:cs="Arial"/>
          <w:lang w:eastAsia="fr-FR"/>
        </w:rPr>
        <w:t xml:space="preserve"> (fe) d’établissement, </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Le (La) Représentant(e) du CEFA</w:t>
      </w:r>
    </w:p>
    <w:p w:rsidR="00F04EEF" w:rsidRDefault="00F04EEF">
      <w:pPr>
        <w:spacing w:line="360" w:lineRule="auto"/>
        <w:jc w:val="both"/>
        <w:rPr>
          <w:rFonts w:ascii="Georgia" w:hAnsi="Georgia" w:cs="Arial"/>
        </w:rPr>
      </w:pPr>
    </w:p>
    <w:p w:rsidR="00F04EEF" w:rsidRDefault="00F04EEF">
      <w:pPr>
        <w:spacing w:line="360" w:lineRule="auto"/>
        <w:jc w:val="both"/>
        <w:rPr>
          <w:rFonts w:ascii="Georgia" w:hAnsi="Georgia" w:cs="Arial"/>
        </w:rPr>
      </w:pPr>
    </w:p>
    <w:p w:rsidR="00F04EEF" w:rsidRDefault="0099351E">
      <w:pPr>
        <w:spacing w:line="360" w:lineRule="auto"/>
        <w:jc w:val="both"/>
        <w:rPr>
          <w:rFonts w:ascii="Georgia" w:eastAsia="Times New Roman" w:hAnsi="Georgia" w:cs="Arial"/>
          <w:lang w:eastAsia="fr-FR"/>
        </w:rPr>
      </w:pPr>
      <w:r>
        <w:rPr>
          <w:rFonts w:ascii="Georgia" w:hAnsi="Georgia" w:cs="Arial"/>
        </w:rPr>
        <w:t xml:space="preserve">Sceau de l’établissement                                                            </w:t>
      </w:r>
      <w:r>
        <w:rPr>
          <w:rFonts w:ascii="Georgia" w:hAnsi="Georgia" w:cs="Arial"/>
        </w:rPr>
        <w:tab/>
      </w:r>
    </w:p>
    <w:p w:rsidR="00F04EEF" w:rsidRDefault="0099351E">
      <w:pPr>
        <w:pStyle w:val="Titre4"/>
        <w:rPr>
          <w:lang w:eastAsia="fr-FR"/>
        </w:rPr>
      </w:pPr>
      <w:r>
        <w:rPr>
          <w:lang w:eastAsia="fr-FR"/>
        </w:rPr>
        <w:br w:type="page"/>
        <w:t>Annexe 6 bis : Attestation de validation d’une unité d’acquis d’apprentissage</w:t>
      </w:r>
    </w:p>
    <w:p w:rsidR="00F04EEF" w:rsidRDefault="00F04EEF">
      <w:pPr>
        <w:jc w:val="both"/>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ENSEIGNEMENT SECONDAIRE SPECIALISE DE FORME 3 EN ALTERNANCE </w:t>
      </w:r>
    </w:p>
    <w:p w:rsidR="00F04EEF" w:rsidRDefault="00F04EEF">
      <w:pPr>
        <w:spacing w:line="360" w:lineRule="auto"/>
        <w:jc w:val="both"/>
        <w:rPr>
          <w:rFonts w:ascii="Georgia" w:eastAsia="Times New Roman" w:hAnsi="Georgia" w:cs="Arial"/>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VALIDATION D’UNE UNITE D’ACQUIS D’APPRENTISSAGE</w:t>
      </w:r>
    </w:p>
    <w:p w:rsidR="00F04EEF" w:rsidRDefault="00F04EEF">
      <w:pPr>
        <w:spacing w:line="360" w:lineRule="auto"/>
        <w:jc w:val="both"/>
        <w:rPr>
          <w:rFonts w:ascii="Georgia" w:eastAsia="Times New Roman" w:hAnsi="Georgia" w:cs="Arial"/>
          <w:lang w:eastAsia="fr-FR"/>
        </w:rPr>
      </w:pPr>
    </w:p>
    <w:p w:rsidR="00F04EEF" w:rsidRDefault="0099351E">
      <w:pPr>
        <w:ind w:left="284" w:hanging="284"/>
        <w:jc w:val="both"/>
        <w:rPr>
          <w:rFonts w:ascii="Georgia" w:eastAsia="Times New Roman" w:hAnsi="Georgia"/>
          <w:lang w:eastAsia="fr-FR"/>
        </w:rPr>
      </w:pPr>
      <w:r>
        <w:rPr>
          <w:rFonts w:ascii="Georgia" w:eastAsia="Times New Roman" w:hAnsi="Georgia"/>
          <w:u w:val="single"/>
          <w:lang w:eastAsia="fr-FR"/>
        </w:rPr>
        <w:t>SECTEUR PROFESSIONNEL</w:t>
      </w:r>
      <w:r>
        <w:rPr>
          <w:rFonts w:ascii="Georgia" w:eastAsia="Times New Roman" w:hAnsi="Georgia"/>
          <w:lang w:eastAsia="fr-FR"/>
        </w:rPr>
        <w:t> : ………………………………………………………………………………… (17)</w:t>
      </w:r>
    </w:p>
    <w:p w:rsidR="00F04EEF" w:rsidRDefault="0099351E">
      <w:pPr>
        <w:ind w:left="284" w:hanging="284"/>
        <w:jc w:val="both"/>
        <w:rPr>
          <w:rFonts w:ascii="Georgia" w:eastAsia="Times New Roman" w:hAnsi="Georgia"/>
          <w:lang w:eastAsia="fr-FR"/>
        </w:rPr>
      </w:pPr>
      <w:r>
        <w:rPr>
          <w:rFonts w:ascii="Georgia" w:eastAsia="Times New Roman" w:hAnsi="Georgia"/>
          <w:u w:val="single"/>
          <w:lang w:eastAsia="fr-FR"/>
        </w:rPr>
        <w:t>GROUPE PROFESSIONNEL</w:t>
      </w:r>
      <w:r>
        <w:rPr>
          <w:rFonts w:ascii="Georgia" w:eastAsia="Times New Roman" w:hAnsi="Georgia"/>
          <w:vertAlign w:val="superscript"/>
          <w:lang w:eastAsia="fr-FR"/>
        </w:rPr>
        <w:t> </w:t>
      </w:r>
      <w:r>
        <w:rPr>
          <w:rFonts w:ascii="Georgia" w:eastAsia="Times New Roman" w:hAnsi="Georgia"/>
          <w:lang w:eastAsia="fr-FR"/>
        </w:rPr>
        <w:t>: …………………………………………………………………………………. (18)</w:t>
      </w:r>
    </w:p>
    <w:p w:rsidR="00F04EEF" w:rsidRDefault="0099351E">
      <w:pPr>
        <w:ind w:left="284" w:hanging="284"/>
        <w:jc w:val="both"/>
        <w:rPr>
          <w:rFonts w:ascii="Georgia" w:eastAsia="Times New Roman" w:hAnsi="Georgia"/>
          <w:lang w:eastAsia="fr-FR"/>
        </w:rPr>
      </w:pPr>
      <w:r>
        <w:rPr>
          <w:rFonts w:ascii="Georgia" w:eastAsia="Times New Roman" w:hAnsi="Georgia"/>
          <w:u w:val="single"/>
          <w:lang w:eastAsia="fr-FR"/>
        </w:rPr>
        <w:t>METIER </w:t>
      </w:r>
      <w:r>
        <w:rPr>
          <w:rFonts w:ascii="Georgia" w:eastAsia="Times New Roman" w:hAnsi="Georgia"/>
          <w:lang w:eastAsia="fr-FR"/>
        </w:rPr>
        <w:t>: ………………………………………………………………………………………………………………… (7)</w:t>
      </w:r>
    </w:p>
    <w:p w:rsidR="00F04EEF" w:rsidRDefault="00F04EEF">
      <w:pPr>
        <w:spacing w:line="360" w:lineRule="auto"/>
        <w:jc w:val="both"/>
        <w:rPr>
          <w:rFonts w:ascii="Georgia" w:eastAsia="Times New Roman" w:hAnsi="Georgia" w:cs="Arial"/>
          <w:u w:val="single"/>
          <w:lang w:eastAsia="fr-FR"/>
        </w:rPr>
      </w:pPr>
    </w:p>
    <w:p w:rsidR="00F04EEF" w:rsidRDefault="0099351E">
      <w:pPr>
        <w:spacing w:line="360" w:lineRule="auto"/>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SIEGE :</w:t>
      </w:r>
    </w:p>
    <w:p w:rsidR="00F04EEF" w:rsidRDefault="0099351E">
      <w:pPr>
        <w:jc w:val="both"/>
        <w:rPr>
          <w:rFonts w:ascii="Georgia" w:eastAsia="Times New Roman" w:hAnsi="Georgia"/>
          <w:u w:val="single"/>
          <w:lang w:eastAsia="fr-FR"/>
        </w:rPr>
      </w:pPr>
      <w:r>
        <w:rPr>
          <w:rFonts w:ascii="Georgia" w:eastAsia="Times New Roman" w:hAnsi="Georgia"/>
          <w:caps/>
          <w:lang w:eastAsia="fr-FR"/>
        </w:rPr>
        <w:t>…………………………………………………………………………………………………………………………………………………………………………………………………………………………………………………………………………. (1)</w:t>
      </w:r>
    </w:p>
    <w:p w:rsidR="00F04EEF" w:rsidRDefault="0099351E">
      <w:pPr>
        <w:spacing w:line="360" w:lineRule="auto"/>
        <w:jc w:val="both"/>
        <w:rPr>
          <w:rFonts w:ascii="Georgia" w:eastAsia="Times New Roman" w:hAnsi="Georgia" w:cs="Arial"/>
          <w:u w:val="single"/>
          <w:lang w:eastAsia="fr-FR"/>
        </w:rPr>
      </w:pPr>
      <w:r>
        <w:rPr>
          <w:rFonts w:ascii="Georgia" w:eastAsia="Times New Roman" w:hAnsi="Georgia" w:cs="Arial"/>
          <w:u w:val="single"/>
          <w:lang w:eastAsia="fr-FR"/>
        </w:rPr>
        <w:t>DENOMINATION ET ADRESSE DE L’ETABLISSEMENT COOPERANT :</w:t>
      </w:r>
    </w:p>
    <w:p w:rsidR="00F04EEF" w:rsidRDefault="0099351E">
      <w:pPr>
        <w:jc w:val="both"/>
        <w:rPr>
          <w:rFonts w:ascii="Georgia" w:eastAsia="Times New Roman" w:hAnsi="Georgia"/>
          <w:u w:val="single"/>
          <w:lang w:eastAsia="fr-FR"/>
        </w:rPr>
      </w:pPr>
      <w:r>
        <w:rPr>
          <w:rFonts w:ascii="Georgia" w:eastAsia="Times New Roman" w:hAnsi="Georgia"/>
          <w:caps/>
          <w:lang w:eastAsia="fr-FR"/>
        </w:rPr>
        <w:t>………………………………………………………………………………………………………………………………………………………………………………………………………………………………………………………………………. (2)</w:t>
      </w:r>
    </w:p>
    <w:p w:rsidR="00F04EEF" w:rsidRDefault="00F04EEF">
      <w:pPr>
        <w:spacing w:line="360" w:lineRule="auto"/>
        <w:jc w:val="both"/>
        <w:rPr>
          <w:rFonts w:ascii="Georgia" w:eastAsia="Times New Roman" w:hAnsi="Georgia" w:cs="Arial"/>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 xml:space="preserve">Numéro Fase : </w:t>
      </w:r>
    </w:p>
    <w:p w:rsidR="00F04EEF" w:rsidRDefault="00F04EEF">
      <w:pPr>
        <w:rPr>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spacing w:line="360" w:lineRule="auto"/>
        <w:rPr>
          <w:rFonts w:ascii="Georgia" w:eastAsia="Times New Roman" w:hAnsi="Georgia" w:cs="Arial"/>
          <w:lang w:eastAsia="fr-FR"/>
        </w:rPr>
      </w:pPr>
      <w:r>
        <w:rPr>
          <w:rFonts w:ascii="Georgia" w:eastAsia="Times New Roman" w:hAnsi="Georgia" w:cs="Arial"/>
          <w:lang w:eastAsia="fr-FR"/>
        </w:rPr>
        <w:t>Chef(fe) de l’établissement coopérant susmentionné, certifie que l’élève : ………………………………………………………………………………………………………. (3)</w:t>
      </w: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A satisfait à l’épreuve de validation relative à l’unité d’acquis d’apprentissage intitulée : ……………………………………………………………………………………………………………………………… (19)</w:t>
      </w: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Et reprise au profil de certification…………………………………………………………………………… (20)</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Et reprise au profil de formation…………………………………………………………………………………(21)</w:t>
      </w:r>
    </w:p>
    <w:p w:rsidR="00F04EEF" w:rsidRDefault="00F04EEF">
      <w:pPr>
        <w:tabs>
          <w:tab w:val="left" w:pos="8505"/>
        </w:tabs>
        <w:jc w:val="both"/>
        <w:rPr>
          <w:rFonts w:ascii="Georgia" w:eastAsia="Times New Roman" w:hAnsi="Georgia"/>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En foi de quoi, je délivre la présente attestation.</w:t>
      </w:r>
    </w:p>
    <w:p w:rsidR="00F04EEF" w:rsidRDefault="00F04EEF">
      <w:pPr>
        <w:spacing w:line="360" w:lineRule="auto"/>
        <w:jc w:val="both"/>
        <w:rPr>
          <w:rFonts w:ascii="Georgia" w:eastAsia="Times New Roman" w:hAnsi="Georgia" w:cs="Arial"/>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Délivré à ……………………………………………… (6), le ………………………………………………………. (5)</w:t>
      </w:r>
    </w:p>
    <w:p w:rsidR="00F04EEF" w:rsidRDefault="00F04EEF">
      <w:pPr>
        <w:spacing w:line="360" w:lineRule="auto"/>
        <w:jc w:val="both"/>
        <w:rPr>
          <w:rFonts w:ascii="Georgia" w:eastAsia="Times New Roman" w:hAnsi="Georgia" w:cs="Arial"/>
          <w:lang w:eastAsia="fr-FR"/>
        </w:rPr>
      </w:pPr>
    </w:p>
    <w:p w:rsidR="00F04EEF" w:rsidRDefault="00F04EEF">
      <w:pPr>
        <w:rPr>
          <w:lang w:eastAsia="fr-FR"/>
        </w:rPr>
      </w:pPr>
    </w:p>
    <w:p w:rsidR="00F04EEF" w:rsidRDefault="00F04EEF">
      <w:pPr>
        <w:rPr>
          <w:lang w:eastAsia="fr-FR"/>
        </w:rPr>
      </w:pPr>
    </w:p>
    <w:p w:rsidR="00F04EEF" w:rsidRDefault="0099351E">
      <w:pPr>
        <w:jc w:val="center"/>
        <w:rPr>
          <w:rFonts w:ascii="Georgia" w:hAnsi="Georgia"/>
          <w:lang w:eastAsia="fr-FR"/>
        </w:rPr>
      </w:pPr>
      <w:r>
        <w:rPr>
          <w:rFonts w:ascii="Georgia" w:hAnsi="Georgia"/>
          <w:lang w:eastAsia="fr-FR"/>
        </w:rPr>
        <w:t>Le (La) Chef(fe) d’établissement,</w:t>
      </w:r>
    </w:p>
    <w:p w:rsidR="00F04EEF" w:rsidRDefault="00F04EEF">
      <w:pPr>
        <w:rPr>
          <w:rFonts w:ascii="Times New Roman" w:eastAsia="Times New Roman" w:hAnsi="Times New Roman"/>
          <w:sz w:val="24"/>
          <w:szCs w:val="20"/>
          <w:lang w:eastAsia="fr-FR"/>
        </w:rPr>
      </w:pPr>
    </w:p>
    <w:p w:rsidR="00F04EEF" w:rsidRDefault="00F04EEF">
      <w:pPr>
        <w:rPr>
          <w:lang w:eastAsia="fr-FR"/>
        </w:rPr>
      </w:pPr>
    </w:p>
    <w:p w:rsidR="00F04EEF" w:rsidRDefault="00F04EEF">
      <w:pPr>
        <w:rPr>
          <w:rFonts w:ascii="Georgia" w:hAnsi="Georgia"/>
          <w:lang w:eastAsia="fr-FR"/>
        </w:rPr>
      </w:pPr>
    </w:p>
    <w:p w:rsidR="00F04EEF" w:rsidRDefault="00F04EEF">
      <w:pPr>
        <w:rPr>
          <w:rFonts w:ascii="Georgia" w:hAnsi="Georgia"/>
          <w:lang w:eastAsia="fr-FR"/>
        </w:rPr>
      </w:pPr>
    </w:p>
    <w:p w:rsidR="00F04EEF" w:rsidRDefault="00F04EEF">
      <w:pPr>
        <w:rPr>
          <w:rFonts w:ascii="Georgia" w:hAnsi="Georgia"/>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7 : Attestation d’orientation A</w:t>
      </w:r>
    </w:p>
    <w:p w:rsidR="00F04EEF" w:rsidRDefault="00F04EEF">
      <w:pPr>
        <w:rPr>
          <w:rFonts w:ascii="Georgia" w:eastAsia="Times New Roman" w:hAnsi="Georgia"/>
          <w:lang w:eastAsia="fr-FR"/>
        </w:rPr>
      </w:pP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A</w:t>
      </w:r>
    </w:p>
    <w:p w:rsidR="00F04EEF" w:rsidRDefault="00F04EEF">
      <w:pPr>
        <w:tabs>
          <w:tab w:val="left" w:pos="8505"/>
        </w:tabs>
        <w:jc w:val="center"/>
        <w:rPr>
          <w:rFonts w:ascii="Georgia" w:eastAsia="Times New Roman" w:hAnsi="Georgia"/>
          <w:b/>
          <w:lang w:eastAsia="fr-FR"/>
        </w:rPr>
      </w:pPr>
    </w:p>
    <w:p w:rsidR="00F04EEF" w:rsidRDefault="00F04EEF">
      <w:pPr>
        <w:tabs>
          <w:tab w:val="left" w:pos="8505"/>
        </w:tabs>
        <w:jc w:val="center"/>
        <w:rPr>
          <w:rFonts w:ascii="Georgia" w:eastAsia="Times New Roman" w:hAnsi="Georgia"/>
          <w:b/>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Forme d’enseignement en alternance : </w:t>
      </w:r>
      <w:r>
        <w:rPr>
          <w:rFonts w:ascii="Georgia" w:eastAsia="Times New Roman" w:hAnsi="Georgia"/>
          <w:lang w:eastAsia="fr-FR"/>
        </w:rPr>
        <w:tab/>
        <w:t>(8)</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Année d’études : </w:t>
      </w:r>
      <w:r>
        <w:rPr>
          <w:rFonts w:ascii="Georgia" w:eastAsia="Times New Roman" w:hAnsi="Georgia"/>
          <w:lang w:eastAsia="fr-FR"/>
        </w:rPr>
        <w:tab/>
        <w:t>(10)</w:t>
      </w:r>
    </w:p>
    <w:p w:rsidR="00F04EEF" w:rsidRDefault="00F04EEF">
      <w:pPr>
        <w:tabs>
          <w:tab w:val="right" w:leader="dot" w:pos="9072"/>
        </w:tabs>
        <w:jc w:val="both"/>
        <w:rPr>
          <w:rFonts w:ascii="Georgia" w:eastAsia="Times New Roman" w:hAnsi="Georgia" w:cs="Arial"/>
          <w:lang w:eastAsia="fr-FR"/>
        </w:rPr>
      </w:pPr>
    </w:p>
    <w:p w:rsidR="00F04EEF" w:rsidRDefault="0099351E">
      <w:pPr>
        <w:tabs>
          <w:tab w:val="right" w:leader="dot" w:pos="9072"/>
        </w:tabs>
        <w:jc w:val="both"/>
        <w:rPr>
          <w:rFonts w:ascii="Georgia" w:eastAsia="Times New Roman" w:hAnsi="Georgia" w:cs="Arial"/>
          <w:lang w:eastAsia="fr-FR"/>
        </w:rPr>
      </w:pPr>
      <w:r>
        <w:rPr>
          <w:rFonts w:ascii="Georgia" w:eastAsia="Times New Roman" w:hAnsi="Georgia" w:cs="Arial"/>
          <w:lang w:eastAsia="fr-FR"/>
        </w:rPr>
        <w:t>Je soussigné(e) :</w:t>
      </w:r>
      <w:r>
        <w:rPr>
          <w:rFonts w:ascii="Georgia" w:eastAsia="Times New Roman" w:hAnsi="Georgia" w:cs="Arial"/>
          <w:lang w:eastAsia="fr-FR"/>
        </w:rPr>
        <w:tab/>
        <w:t>(3)</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ab/>
        <w:t>(3)</w:t>
      </w:r>
    </w:p>
    <w:p w:rsidR="00F04EEF" w:rsidRDefault="0099351E">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rsidR="00F04EEF" w:rsidRDefault="0099351E">
      <w:pPr>
        <w:tabs>
          <w:tab w:val="right" w:leader="dot" w:pos="5760"/>
          <w:tab w:val="right" w:leader="dot" w:pos="9072"/>
        </w:tabs>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right" w:leader="dot" w:pos="5760"/>
          <w:tab w:val="right" w:leader="dot" w:pos="9543"/>
        </w:tabs>
        <w:spacing w:line="360" w:lineRule="auto"/>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8931"/>
        </w:tabs>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F04EEF">
      <w:pPr>
        <w:tabs>
          <w:tab w:val="left" w:pos="180"/>
          <w:tab w:val="right" w:pos="9000"/>
        </w:tabs>
        <w:jc w:val="center"/>
        <w:rPr>
          <w:rFonts w:ascii="Georgia" w:eastAsia="Times New Roman" w:hAnsi="Georgia" w:cs="Arial"/>
          <w:lang w:eastAsia="fr-FR"/>
        </w:rPr>
      </w:pPr>
    </w:p>
    <w:p w:rsidR="00F04EEF" w:rsidRDefault="00F04EEF">
      <w:pPr>
        <w:tabs>
          <w:tab w:val="left" w:pos="180"/>
          <w:tab w:val="right" w:pos="9000"/>
        </w:tabs>
        <w:jc w:val="center"/>
        <w:rPr>
          <w:rFonts w:ascii="Georgia" w:eastAsia="Times New Roman" w:hAnsi="Georgia" w:cs="Arial"/>
          <w:lang w:eastAsia="fr-FR"/>
        </w:rPr>
      </w:pPr>
    </w:p>
    <w:p w:rsidR="00F04EEF" w:rsidRDefault="00F04EEF">
      <w:pPr>
        <w:tabs>
          <w:tab w:val="left" w:pos="180"/>
          <w:tab w:val="right" w:pos="9000"/>
        </w:tabs>
        <w:jc w:val="center"/>
        <w:rPr>
          <w:rFonts w:ascii="Georgia" w:eastAsia="Times New Roman" w:hAnsi="Georgia" w:cs="Arial"/>
          <w:lang w:eastAsia="fr-FR"/>
        </w:rPr>
      </w:pPr>
    </w:p>
    <w:p w:rsidR="00F04EEF" w:rsidRDefault="00F04EEF">
      <w:pPr>
        <w:tabs>
          <w:tab w:val="left" w:pos="180"/>
          <w:tab w:val="right" w:pos="9000"/>
        </w:tabs>
        <w:jc w:val="center"/>
        <w:rPr>
          <w:rFonts w:ascii="Georgia" w:eastAsia="Times New Roman" w:hAnsi="Georgia" w:cs="Arial"/>
          <w:lang w:eastAsia="fr-FR"/>
        </w:rPr>
      </w:pPr>
    </w:p>
    <w:p w:rsidR="00F04EEF" w:rsidRDefault="0099351E">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t>Le (La) Chef(fe) d’établissement,</w:t>
      </w:r>
    </w:p>
    <w:p w:rsidR="00F04EEF" w:rsidRDefault="00F04EEF">
      <w:pPr>
        <w:tabs>
          <w:tab w:val="left" w:pos="180"/>
          <w:tab w:val="right" w:pos="9000"/>
        </w:tabs>
        <w:jc w:val="center"/>
        <w:rPr>
          <w:rFonts w:ascii="Georgia" w:eastAsia="Times New Roman" w:hAnsi="Georgia" w:cs="Arial"/>
          <w:lang w:eastAsia="fr-FR"/>
        </w:rPr>
      </w:pPr>
    </w:p>
    <w:p w:rsidR="00F04EEF" w:rsidRDefault="00F04EEF">
      <w:pPr>
        <w:jc w:val="both"/>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8 : Attestation d’orientation B</w:t>
      </w:r>
    </w:p>
    <w:p w:rsidR="00F04EEF" w:rsidRDefault="00F04EEF">
      <w:pPr>
        <w:rPr>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B</w:t>
      </w:r>
    </w:p>
    <w:p w:rsidR="00F04EEF" w:rsidRDefault="00F04EEF">
      <w:pPr>
        <w:tabs>
          <w:tab w:val="left" w:pos="8505"/>
        </w:tabs>
        <w:jc w:val="center"/>
        <w:rPr>
          <w:rFonts w:ascii="Georgia" w:eastAsia="Times New Roman" w:hAnsi="Georgia"/>
          <w:b/>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Forme d’enseignement en alternance : ……………………………………………………………………. (8)</w:t>
      </w:r>
    </w:p>
    <w:p w:rsidR="00F04EEF" w:rsidRDefault="0099351E">
      <w:pPr>
        <w:jc w:val="both"/>
        <w:rPr>
          <w:rFonts w:ascii="Georgia" w:eastAsia="Times New Roman" w:hAnsi="Georgia"/>
          <w:lang w:eastAsia="fr-FR"/>
        </w:rPr>
      </w:pPr>
      <w:r>
        <w:rPr>
          <w:rFonts w:ascii="Georgia" w:eastAsia="Times New Roman" w:hAnsi="Georgia"/>
          <w:lang w:eastAsia="fr-FR"/>
        </w:rPr>
        <w:t>Orientation d’études : ……………………………………………………………………………………………… (9)</w:t>
      </w:r>
    </w:p>
    <w:p w:rsidR="00F04EEF" w:rsidRDefault="0099351E">
      <w:pPr>
        <w:jc w:val="both"/>
        <w:rPr>
          <w:rFonts w:ascii="Georgia" w:eastAsia="Times New Roman" w:hAnsi="Georgia"/>
          <w:lang w:eastAsia="fr-FR"/>
        </w:rPr>
      </w:pPr>
      <w:r>
        <w:rPr>
          <w:rFonts w:ascii="Georgia" w:eastAsia="Times New Roman" w:hAnsi="Georgia"/>
          <w:lang w:eastAsia="fr-FR"/>
        </w:rPr>
        <w:t>Année d’études : ……………………………………………………………………………………………………. (10)</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right" w:leader="dot" w:pos="5760"/>
          <w:tab w:val="right" w:leader="dot" w:pos="9543"/>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 à l’exclusion de :</w:t>
      </w: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392"/>
        <w:gridCol w:w="2188"/>
        <w:gridCol w:w="3198"/>
      </w:tblGrid>
      <w:tr w:rsidR="00F04EEF">
        <w:trPr>
          <w:trHeight w:val="668"/>
        </w:trPr>
        <w:tc>
          <w:tcPr>
            <w:tcW w:w="506" w:type="dxa"/>
          </w:tcPr>
          <w:p w:rsidR="00F04EEF" w:rsidRDefault="00F04EEF">
            <w:pPr>
              <w:tabs>
                <w:tab w:val="left" w:pos="8505"/>
                <w:tab w:val="left" w:pos="8789"/>
              </w:tabs>
              <w:jc w:val="center"/>
              <w:rPr>
                <w:rFonts w:ascii="Georgia" w:eastAsia="Times New Roman" w:hAnsi="Georgia"/>
                <w:lang w:eastAsia="fr-FR"/>
              </w:rPr>
            </w:pPr>
          </w:p>
        </w:tc>
        <w:tc>
          <w:tcPr>
            <w:tcW w:w="3392" w:type="dxa"/>
          </w:tcPr>
          <w:p w:rsidR="00F04EEF" w:rsidRDefault="0099351E">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La(les) orientation(s) d’études (9)</w:t>
            </w:r>
          </w:p>
        </w:tc>
        <w:tc>
          <w:tcPr>
            <w:tcW w:w="2188"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De la forme</w:t>
            </w:r>
          </w:p>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d’enseignement (8)</w:t>
            </w:r>
          </w:p>
        </w:tc>
        <w:tc>
          <w:tcPr>
            <w:tcW w:w="3198" w:type="dxa"/>
          </w:tcPr>
          <w:p w:rsidR="00F04EEF" w:rsidRDefault="0099351E">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De la section (14)</w:t>
            </w:r>
          </w:p>
        </w:tc>
      </w:tr>
      <w:tr w:rsidR="00F04EEF">
        <w:trPr>
          <w:trHeight w:val="333"/>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1)</w:t>
            </w:r>
          </w:p>
        </w:tc>
        <w:tc>
          <w:tcPr>
            <w:tcW w:w="339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2188" w:type="dxa"/>
          </w:tcPr>
          <w:p w:rsidR="00F04EEF" w:rsidRDefault="00F04EEF">
            <w:pPr>
              <w:tabs>
                <w:tab w:val="left" w:pos="8505"/>
                <w:tab w:val="left" w:pos="8789"/>
              </w:tabs>
              <w:jc w:val="center"/>
              <w:rPr>
                <w:rFonts w:ascii="Georgia" w:eastAsia="Times New Roman" w:hAnsi="Georgia"/>
                <w:lang w:eastAsia="fr-FR"/>
              </w:rPr>
            </w:pPr>
          </w:p>
        </w:tc>
        <w:tc>
          <w:tcPr>
            <w:tcW w:w="3198" w:type="dxa"/>
          </w:tcPr>
          <w:p w:rsidR="00F04EEF" w:rsidRDefault="00F04EEF">
            <w:pPr>
              <w:tabs>
                <w:tab w:val="left" w:pos="8505"/>
                <w:tab w:val="left" w:pos="8789"/>
              </w:tabs>
              <w:jc w:val="center"/>
              <w:rPr>
                <w:rFonts w:ascii="Georgia" w:eastAsia="Times New Roman" w:hAnsi="Georgia"/>
                <w:lang w:eastAsia="fr-FR"/>
              </w:rPr>
            </w:pPr>
          </w:p>
        </w:tc>
      </w:tr>
      <w:tr w:rsidR="00F04EEF">
        <w:trPr>
          <w:trHeight w:val="320"/>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2)</w:t>
            </w:r>
          </w:p>
        </w:tc>
        <w:tc>
          <w:tcPr>
            <w:tcW w:w="339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2188" w:type="dxa"/>
          </w:tcPr>
          <w:p w:rsidR="00F04EEF" w:rsidRDefault="00F04EEF">
            <w:pPr>
              <w:tabs>
                <w:tab w:val="left" w:pos="8505"/>
                <w:tab w:val="left" w:pos="8789"/>
              </w:tabs>
              <w:jc w:val="center"/>
              <w:rPr>
                <w:rFonts w:ascii="Georgia" w:eastAsia="Times New Roman" w:hAnsi="Georgia"/>
                <w:lang w:eastAsia="fr-FR"/>
              </w:rPr>
            </w:pPr>
          </w:p>
        </w:tc>
        <w:tc>
          <w:tcPr>
            <w:tcW w:w="3198" w:type="dxa"/>
          </w:tcPr>
          <w:p w:rsidR="00F04EEF" w:rsidRDefault="00F04EEF">
            <w:pPr>
              <w:tabs>
                <w:tab w:val="left" w:pos="8505"/>
                <w:tab w:val="left" w:pos="8789"/>
              </w:tabs>
              <w:jc w:val="center"/>
              <w:rPr>
                <w:rFonts w:ascii="Georgia" w:eastAsia="Times New Roman" w:hAnsi="Georgia"/>
                <w:lang w:eastAsia="fr-FR"/>
              </w:rPr>
            </w:pPr>
          </w:p>
        </w:tc>
      </w:tr>
      <w:tr w:rsidR="00F04EEF">
        <w:trPr>
          <w:trHeight w:val="333"/>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3)</w:t>
            </w:r>
          </w:p>
        </w:tc>
        <w:tc>
          <w:tcPr>
            <w:tcW w:w="339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2188" w:type="dxa"/>
          </w:tcPr>
          <w:p w:rsidR="00F04EEF" w:rsidRDefault="00F04EEF">
            <w:pPr>
              <w:tabs>
                <w:tab w:val="left" w:pos="8505"/>
                <w:tab w:val="left" w:pos="8789"/>
              </w:tabs>
              <w:jc w:val="center"/>
              <w:rPr>
                <w:rFonts w:ascii="Georgia" w:eastAsia="Times New Roman" w:hAnsi="Georgia"/>
                <w:lang w:eastAsia="fr-FR"/>
              </w:rPr>
            </w:pPr>
          </w:p>
        </w:tc>
        <w:tc>
          <w:tcPr>
            <w:tcW w:w="3198" w:type="dxa"/>
          </w:tcPr>
          <w:p w:rsidR="00F04EEF" w:rsidRDefault="00F04EEF">
            <w:pPr>
              <w:tabs>
                <w:tab w:val="left" w:pos="8505"/>
                <w:tab w:val="left" w:pos="8789"/>
              </w:tabs>
              <w:jc w:val="center"/>
              <w:rPr>
                <w:rFonts w:ascii="Georgia" w:eastAsia="Times New Roman" w:hAnsi="Georgia"/>
                <w:lang w:eastAsia="fr-FR"/>
              </w:rPr>
            </w:pPr>
          </w:p>
        </w:tc>
      </w:tr>
      <w:tr w:rsidR="00F04EEF">
        <w:trPr>
          <w:trHeight w:val="333"/>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4)</w:t>
            </w:r>
          </w:p>
        </w:tc>
        <w:tc>
          <w:tcPr>
            <w:tcW w:w="339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2188" w:type="dxa"/>
          </w:tcPr>
          <w:p w:rsidR="00F04EEF" w:rsidRDefault="00F04EEF">
            <w:pPr>
              <w:tabs>
                <w:tab w:val="left" w:pos="8505"/>
                <w:tab w:val="left" w:pos="8789"/>
              </w:tabs>
              <w:jc w:val="center"/>
              <w:rPr>
                <w:rFonts w:ascii="Georgia" w:eastAsia="Times New Roman" w:hAnsi="Georgia"/>
                <w:lang w:eastAsia="fr-FR"/>
              </w:rPr>
            </w:pPr>
          </w:p>
        </w:tc>
        <w:tc>
          <w:tcPr>
            <w:tcW w:w="3198" w:type="dxa"/>
          </w:tcPr>
          <w:p w:rsidR="00F04EEF" w:rsidRDefault="00F04EEF">
            <w:pPr>
              <w:tabs>
                <w:tab w:val="left" w:pos="8505"/>
                <w:tab w:val="left" w:pos="8789"/>
              </w:tabs>
              <w:jc w:val="center"/>
              <w:rPr>
                <w:rFonts w:ascii="Georgia" w:eastAsia="Times New Roman" w:hAnsi="Georgia"/>
                <w:lang w:eastAsia="fr-FR"/>
              </w:rPr>
            </w:pPr>
          </w:p>
        </w:tc>
      </w:tr>
    </w:tbl>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F04EEF">
      <w:pPr>
        <w:tabs>
          <w:tab w:val="left" w:pos="8505"/>
        </w:tabs>
        <w:jc w:val="both"/>
        <w:rPr>
          <w:rFonts w:ascii="Georgia" w:eastAsia="Times New Roman" w:hAnsi="Georgia"/>
          <w:lang w:eastAsia="fr-FR"/>
        </w:rPr>
      </w:pPr>
    </w:p>
    <w:p w:rsidR="00F04EEF" w:rsidRDefault="0099351E">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t>Le (La) Chef(fe) d’établissement,</w:t>
      </w:r>
    </w:p>
    <w:p w:rsidR="00F04EEF" w:rsidRDefault="0099351E">
      <w:pPr>
        <w:pStyle w:val="Titre4"/>
        <w:rPr>
          <w:lang w:eastAsia="fr-FR"/>
        </w:rPr>
      </w:pPr>
      <w:r>
        <w:rPr>
          <w:lang w:eastAsia="fr-FR"/>
        </w:rPr>
        <w:br w:type="page"/>
        <w:t>Annexe 9 : Attestation d’orientation C</w:t>
      </w:r>
    </w:p>
    <w:p w:rsidR="00F04EEF" w:rsidRDefault="00F04EEF">
      <w:pPr>
        <w:rPr>
          <w:lang w:eastAsia="fr-FR"/>
        </w:rPr>
      </w:pP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rPr>
          <w:lang w:eastAsia="fr-FR"/>
        </w:rPr>
      </w:pPr>
    </w:p>
    <w:p w:rsidR="00F04EEF" w:rsidRDefault="00F04EEF">
      <w:pPr>
        <w:rPr>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C</w:t>
      </w:r>
    </w:p>
    <w:p w:rsidR="00F04EEF" w:rsidRDefault="00F04EEF">
      <w:pPr>
        <w:jc w:val="both"/>
        <w:rPr>
          <w:rFonts w:ascii="Georgia" w:eastAsia="Times New Roman" w:hAnsi="Georgia"/>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Forme d’enseignement en alternance : ……………………………………………………………………. (8)</w:t>
      </w:r>
    </w:p>
    <w:p w:rsidR="00F04EEF" w:rsidRDefault="0099351E">
      <w:pPr>
        <w:jc w:val="both"/>
        <w:rPr>
          <w:rFonts w:ascii="Georgia" w:eastAsia="Times New Roman" w:hAnsi="Georgia"/>
          <w:lang w:eastAsia="fr-FR"/>
        </w:rPr>
      </w:pPr>
      <w:r>
        <w:rPr>
          <w:rFonts w:ascii="Georgia" w:eastAsia="Times New Roman" w:hAnsi="Georgia"/>
          <w:lang w:eastAsia="fr-FR"/>
        </w:rPr>
        <w:t>Orientation d’études : ……………………………………………………………………………………………… (9)</w:t>
      </w:r>
    </w:p>
    <w:p w:rsidR="00F04EEF" w:rsidRDefault="0099351E">
      <w:pPr>
        <w:jc w:val="both"/>
        <w:rPr>
          <w:rFonts w:ascii="Georgia" w:eastAsia="Times New Roman" w:hAnsi="Georgia"/>
          <w:lang w:eastAsia="fr-FR"/>
        </w:rPr>
      </w:pPr>
      <w:r>
        <w:rPr>
          <w:rFonts w:ascii="Georgia" w:eastAsia="Times New Roman" w:hAnsi="Georgia"/>
          <w:lang w:eastAsia="fr-FR"/>
        </w:rPr>
        <w:t>Année d’études : ……………………………………………………………………………………………………. (10)</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right" w:leader="dot" w:pos="5760"/>
          <w:tab w:val="right" w:leader="dot" w:pos="9543"/>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2° n’a pas terminé cette année avec fruit dans l’établissement, dans la forme d’enseignement, dans la section et dans l’orientation d’études susmentionnées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3° ne peut être admis(e) dans l’année d’études supérieure conformément aux conditions d’admission.</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Le (La) Chef(fe) d’établissement,</w:t>
      </w:r>
    </w:p>
    <w:p w:rsidR="00F04EEF" w:rsidRDefault="00F04EEF">
      <w:pPr>
        <w:jc w:val="both"/>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F04EEF">
      <w:pPr>
        <w:rPr>
          <w:lang w:eastAsia="fr-FR"/>
        </w:rPr>
      </w:pPr>
    </w:p>
    <w:p w:rsidR="00F04EEF" w:rsidRDefault="00F04EEF">
      <w:pPr>
        <w:shd w:val="clear" w:color="auto" w:fill="FFFFFF"/>
        <w:ind w:left="11"/>
        <w:jc w:val="center"/>
        <w:rPr>
          <w:rFonts w:ascii="Georgia" w:eastAsia="Times New Roman" w:hAnsi="Georgia"/>
          <w:color w:val="000000"/>
          <w:lang w:eastAsia="fr-FR"/>
        </w:rPr>
      </w:pPr>
    </w:p>
    <w:p w:rsidR="00F04EEF" w:rsidRDefault="00F04EEF">
      <w:pPr>
        <w:shd w:val="clear" w:color="auto" w:fill="FFFFFF"/>
        <w:ind w:left="11"/>
        <w:jc w:val="center"/>
        <w:rPr>
          <w:rFonts w:ascii="Georgia" w:eastAsia="Times New Roman" w:hAnsi="Georgia"/>
          <w:color w:val="000000"/>
          <w:lang w:eastAsia="fr-FR"/>
        </w:rPr>
      </w:pPr>
    </w:p>
    <w:p w:rsidR="00F04EEF" w:rsidRDefault="00F04EEF">
      <w:pPr>
        <w:shd w:val="clear" w:color="auto" w:fill="FFFFFF"/>
        <w:ind w:left="11"/>
        <w:jc w:val="center"/>
        <w:rPr>
          <w:rFonts w:ascii="Georgia" w:eastAsia="Times New Roman" w:hAnsi="Georgia"/>
          <w:color w:val="000000"/>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10 : Attestation d’orientation A – Sous réserve</w:t>
      </w:r>
    </w:p>
    <w:p w:rsidR="00F04EEF" w:rsidRDefault="00F04EEF">
      <w:pPr>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jc w:val="center"/>
        <w:rPr>
          <w:rFonts w:ascii="Georgia" w:hAnsi="Georgia"/>
          <w:b/>
          <w:lang w:eastAsia="fr-FR"/>
        </w:rPr>
      </w:pP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A – Sous réserve</w:t>
      </w:r>
    </w:p>
    <w:p w:rsidR="00F04EEF" w:rsidRDefault="00F04EEF">
      <w:pPr>
        <w:tabs>
          <w:tab w:val="left" w:pos="8505"/>
        </w:tabs>
        <w:jc w:val="center"/>
        <w:rPr>
          <w:rFonts w:ascii="Georgia" w:eastAsia="Times New Roman" w:hAnsi="Georgia"/>
          <w:lang w:eastAsia="fr-FR"/>
        </w:rPr>
      </w:pPr>
    </w:p>
    <w:p w:rsidR="00F04EEF" w:rsidRDefault="00F04EEF">
      <w:pPr>
        <w:tabs>
          <w:tab w:val="left" w:pos="8505"/>
        </w:tabs>
        <w:jc w:val="center"/>
        <w:rPr>
          <w:rFonts w:ascii="Georgia" w:eastAsia="Times New Roman" w:hAnsi="Georgia"/>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Forme d’enseignement en alternance : ……………………………………………………………………. (8)</w:t>
      </w:r>
    </w:p>
    <w:p w:rsidR="00F04EEF" w:rsidRDefault="0099351E">
      <w:pPr>
        <w:jc w:val="both"/>
        <w:rPr>
          <w:rFonts w:ascii="Georgia" w:eastAsia="Times New Roman" w:hAnsi="Georgia"/>
          <w:lang w:eastAsia="fr-FR"/>
        </w:rPr>
      </w:pPr>
      <w:r>
        <w:rPr>
          <w:rFonts w:ascii="Georgia" w:eastAsia="Times New Roman" w:hAnsi="Georgia"/>
          <w:lang w:eastAsia="fr-FR"/>
        </w:rPr>
        <w:t>Orientation d’études : ……………………………………………………………………………………………… (9)</w:t>
      </w:r>
    </w:p>
    <w:p w:rsidR="00F04EEF" w:rsidRDefault="0099351E">
      <w:pPr>
        <w:jc w:val="both"/>
        <w:rPr>
          <w:rFonts w:ascii="Georgia" w:eastAsia="Times New Roman" w:hAnsi="Georgia"/>
          <w:lang w:eastAsia="fr-FR"/>
        </w:rPr>
      </w:pPr>
      <w:r>
        <w:rPr>
          <w:rFonts w:ascii="Georgia" w:eastAsia="Times New Roman" w:hAnsi="Georgia"/>
          <w:lang w:eastAsia="fr-FR"/>
        </w:rPr>
        <w:t>Année d’études : ……………………………………………………………………………………………………. (10)</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spécialise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99351E">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ab/>
      </w:r>
    </w:p>
    <w:p w:rsidR="00F04EEF" w:rsidRDefault="00F04EEF">
      <w:pPr>
        <w:tabs>
          <w:tab w:val="left" w:pos="180"/>
          <w:tab w:val="right" w:pos="9000"/>
        </w:tabs>
        <w:jc w:val="center"/>
        <w:rPr>
          <w:rFonts w:ascii="Georgia" w:eastAsia="Times New Roman" w:hAnsi="Georgia" w:cs="Arial"/>
          <w:lang w:eastAsia="fr-FR"/>
        </w:rPr>
      </w:pPr>
    </w:p>
    <w:p w:rsidR="00F04EEF" w:rsidRDefault="0099351E">
      <w:pPr>
        <w:tabs>
          <w:tab w:val="left" w:pos="180"/>
          <w:tab w:val="right" w:pos="9000"/>
        </w:tabs>
        <w:jc w:val="cente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t>Le (La) Chef(fe) d’établissement,</w:t>
      </w: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11 : Attestation d’orientation B – Sous réserve</w:t>
      </w:r>
    </w:p>
    <w:p w:rsidR="00F04EEF" w:rsidRDefault="00F04EEF">
      <w:pPr>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B – Sous réserve</w:t>
      </w:r>
    </w:p>
    <w:p w:rsidR="00F04EEF" w:rsidRDefault="00F04EEF">
      <w:pPr>
        <w:tabs>
          <w:tab w:val="left" w:pos="8505"/>
        </w:tabs>
        <w:jc w:val="center"/>
        <w:rPr>
          <w:rFonts w:ascii="Georgia" w:eastAsia="Times New Roman" w:hAnsi="Georgia"/>
          <w:b/>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Forme d’enseignement en alternance : ……………………………………………………………………. (8)</w:t>
      </w:r>
    </w:p>
    <w:p w:rsidR="00F04EEF" w:rsidRDefault="0099351E">
      <w:pPr>
        <w:jc w:val="both"/>
        <w:rPr>
          <w:rFonts w:ascii="Georgia" w:eastAsia="Times New Roman" w:hAnsi="Georgia"/>
          <w:lang w:eastAsia="fr-FR"/>
        </w:rPr>
      </w:pPr>
      <w:r>
        <w:rPr>
          <w:rFonts w:ascii="Georgia" w:eastAsia="Times New Roman" w:hAnsi="Georgia"/>
          <w:lang w:eastAsia="fr-FR"/>
        </w:rPr>
        <w:t>Orientation d’études : ……………………………………………………………………………………………… (9)</w:t>
      </w:r>
    </w:p>
    <w:p w:rsidR="00F04EEF" w:rsidRDefault="0099351E">
      <w:pPr>
        <w:jc w:val="both"/>
        <w:rPr>
          <w:rFonts w:ascii="Georgia" w:eastAsia="Times New Roman" w:hAnsi="Georgia"/>
          <w:lang w:eastAsia="fr-FR"/>
        </w:rPr>
      </w:pPr>
      <w:r>
        <w:rPr>
          <w:rFonts w:ascii="Georgia" w:eastAsia="Times New Roman" w:hAnsi="Georgia"/>
          <w:lang w:eastAsia="fr-FR"/>
        </w:rPr>
        <w:t>Année d’études : ……………………………………………………………………………………………………. (10)</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2° a terminé cette année avec fruit dans l’établissement, dans la forme d’enseignement, dans la section et dans l’orientation d’études susmentionnées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3° peut être admis(e) dans l’année d’études supérieure conformément aux conditions d’admission, à l’exclusion de :</w:t>
      </w:r>
    </w:p>
    <w:p w:rsidR="00F04EEF" w:rsidRDefault="00F04EEF">
      <w:pPr>
        <w:tabs>
          <w:tab w:val="left" w:pos="8505"/>
        </w:tabs>
        <w:jc w:val="both"/>
        <w:rPr>
          <w:rFonts w:ascii="Georgia" w:eastAsia="Times New Roman" w:hAnsi="Georgia"/>
          <w:lang w:eastAsia="fr-FR"/>
        </w:rPr>
      </w:pP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472"/>
        <w:gridCol w:w="1904"/>
        <w:gridCol w:w="3402"/>
      </w:tblGrid>
      <w:tr w:rsidR="00F04EEF">
        <w:trPr>
          <w:trHeight w:val="668"/>
        </w:trPr>
        <w:tc>
          <w:tcPr>
            <w:tcW w:w="506" w:type="dxa"/>
          </w:tcPr>
          <w:p w:rsidR="00F04EEF" w:rsidRDefault="00F04EEF">
            <w:pPr>
              <w:tabs>
                <w:tab w:val="left" w:pos="8505"/>
                <w:tab w:val="left" w:pos="8789"/>
              </w:tabs>
              <w:jc w:val="center"/>
              <w:rPr>
                <w:rFonts w:ascii="Georgia" w:eastAsia="Times New Roman" w:hAnsi="Georgia"/>
                <w:lang w:eastAsia="fr-FR"/>
              </w:rPr>
            </w:pPr>
          </w:p>
        </w:tc>
        <w:tc>
          <w:tcPr>
            <w:tcW w:w="3472" w:type="dxa"/>
          </w:tcPr>
          <w:p w:rsidR="00F04EEF" w:rsidRDefault="0099351E">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La(les) orientation(s) d’études (9)</w:t>
            </w:r>
          </w:p>
        </w:tc>
        <w:tc>
          <w:tcPr>
            <w:tcW w:w="1904"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De la forme</w:t>
            </w:r>
          </w:p>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d’enseignement (8)</w:t>
            </w:r>
          </w:p>
        </w:tc>
        <w:tc>
          <w:tcPr>
            <w:tcW w:w="3402" w:type="dxa"/>
          </w:tcPr>
          <w:p w:rsidR="00F04EEF" w:rsidRDefault="0099351E">
            <w:pPr>
              <w:tabs>
                <w:tab w:val="left" w:pos="8505"/>
                <w:tab w:val="left" w:pos="8789"/>
              </w:tabs>
              <w:spacing w:before="120"/>
              <w:jc w:val="center"/>
              <w:rPr>
                <w:rFonts w:ascii="Georgia" w:eastAsia="Times New Roman" w:hAnsi="Georgia"/>
                <w:lang w:eastAsia="fr-FR"/>
              </w:rPr>
            </w:pPr>
            <w:r>
              <w:rPr>
                <w:rFonts w:ascii="Georgia" w:eastAsia="Times New Roman" w:hAnsi="Georgia"/>
                <w:lang w:eastAsia="fr-FR"/>
              </w:rPr>
              <w:t>De la section (14)</w:t>
            </w:r>
          </w:p>
        </w:tc>
      </w:tr>
      <w:tr w:rsidR="00F04EEF">
        <w:trPr>
          <w:trHeight w:val="333"/>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1)</w:t>
            </w:r>
          </w:p>
        </w:tc>
        <w:tc>
          <w:tcPr>
            <w:tcW w:w="347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1904" w:type="dxa"/>
          </w:tcPr>
          <w:p w:rsidR="00F04EEF" w:rsidRDefault="00F04EEF">
            <w:pPr>
              <w:tabs>
                <w:tab w:val="left" w:pos="8505"/>
                <w:tab w:val="left" w:pos="8789"/>
              </w:tabs>
              <w:jc w:val="center"/>
              <w:rPr>
                <w:rFonts w:ascii="Georgia" w:eastAsia="Times New Roman" w:hAnsi="Georgia"/>
                <w:lang w:eastAsia="fr-FR"/>
              </w:rPr>
            </w:pPr>
          </w:p>
        </w:tc>
        <w:tc>
          <w:tcPr>
            <w:tcW w:w="3402" w:type="dxa"/>
          </w:tcPr>
          <w:p w:rsidR="00F04EEF" w:rsidRDefault="00F04EEF">
            <w:pPr>
              <w:tabs>
                <w:tab w:val="left" w:pos="8505"/>
                <w:tab w:val="left" w:pos="8789"/>
              </w:tabs>
              <w:jc w:val="center"/>
              <w:rPr>
                <w:rFonts w:ascii="Georgia" w:eastAsia="Times New Roman" w:hAnsi="Georgia"/>
                <w:lang w:eastAsia="fr-FR"/>
              </w:rPr>
            </w:pPr>
          </w:p>
        </w:tc>
      </w:tr>
      <w:tr w:rsidR="00F04EEF">
        <w:trPr>
          <w:trHeight w:val="320"/>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2)</w:t>
            </w:r>
          </w:p>
        </w:tc>
        <w:tc>
          <w:tcPr>
            <w:tcW w:w="347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1904" w:type="dxa"/>
          </w:tcPr>
          <w:p w:rsidR="00F04EEF" w:rsidRDefault="00F04EEF">
            <w:pPr>
              <w:tabs>
                <w:tab w:val="left" w:pos="8505"/>
                <w:tab w:val="left" w:pos="8789"/>
              </w:tabs>
              <w:jc w:val="center"/>
              <w:rPr>
                <w:rFonts w:ascii="Georgia" w:eastAsia="Times New Roman" w:hAnsi="Georgia"/>
                <w:lang w:eastAsia="fr-FR"/>
              </w:rPr>
            </w:pPr>
          </w:p>
        </w:tc>
        <w:tc>
          <w:tcPr>
            <w:tcW w:w="3402" w:type="dxa"/>
          </w:tcPr>
          <w:p w:rsidR="00F04EEF" w:rsidRDefault="00F04EEF">
            <w:pPr>
              <w:tabs>
                <w:tab w:val="left" w:pos="8505"/>
                <w:tab w:val="left" w:pos="8789"/>
              </w:tabs>
              <w:jc w:val="center"/>
              <w:rPr>
                <w:rFonts w:ascii="Georgia" w:eastAsia="Times New Roman" w:hAnsi="Georgia"/>
                <w:lang w:eastAsia="fr-FR"/>
              </w:rPr>
            </w:pPr>
          </w:p>
        </w:tc>
      </w:tr>
      <w:tr w:rsidR="00F04EEF">
        <w:trPr>
          <w:trHeight w:val="333"/>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3)</w:t>
            </w:r>
          </w:p>
        </w:tc>
        <w:tc>
          <w:tcPr>
            <w:tcW w:w="347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1904" w:type="dxa"/>
          </w:tcPr>
          <w:p w:rsidR="00F04EEF" w:rsidRDefault="00F04EEF">
            <w:pPr>
              <w:tabs>
                <w:tab w:val="left" w:pos="8505"/>
                <w:tab w:val="left" w:pos="8789"/>
              </w:tabs>
              <w:jc w:val="center"/>
              <w:rPr>
                <w:rFonts w:ascii="Georgia" w:eastAsia="Times New Roman" w:hAnsi="Georgia"/>
                <w:lang w:eastAsia="fr-FR"/>
              </w:rPr>
            </w:pPr>
          </w:p>
        </w:tc>
        <w:tc>
          <w:tcPr>
            <w:tcW w:w="3402" w:type="dxa"/>
          </w:tcPr>
          <w:p w:rsidR="00F04EEF" w:rsidRDefault="00F04EEF">
            <w:pPr>
              <w:tabs>
                <w:tab w:val="left" w:pos="8505"/>
                <w:tab w:val="left" w:pos="8789"/>
              </w:tabs>
              <w:jc w:val="center"/>
              <w:rPr>
                <w:rFonts w:ascii="Georgia" w:eastAsia="Times New Roman" w:hAnsi="Georgia"/>
                <w:lang w:eastAsia="fr-FR"/>
              </w:rPr>
            </w:pPr>
          </w:p>
        </w:tc>
      </w:tr>
      <w:tr w:rsidR="00F04EEF">
        <w:trPr>
          <w:trHeight w:val="333"/>
        </w:trPr>
        <w:tc>
          <w:tcPr>
            <w:tcW w:w="506" w:type="dxa"/>
          </w:tcPr>
          <w:p w:rsidR="00F04EEF" w:rsidRDefault="0099351E">
            <w:pPr>
              <w:tabs>
                <w:tab w:val="left" w:pos="8505"/>
                <w:tab w:val="left" w:pos="8789"/>
              </w:tabs>
              <w:jc w:val="center"/>
              <w:rPr>
                <w:rFonts w:ascii="Georgia" w:eastAsia="Times New Roman" w:hAnsi="Georgia"/>
                <w:lang w:eastAsia="fr-FR"/>
              </w:rPr>
            </w:pPr>
            <w:r>
              <w:rPr>
                <w:rFonts w:ascii="Georgia" w:eastAsia="Times New Roman" w:hAnsi="Georgia"/>
                <w:lang w:eastAsia="fr-FR"/>
              </w:rPr>
              <w:t>4)</w:t>
            </w:r>
          </w:p>
        </w:tc>
        <w:tc>
          <w:tcPr>
            <w:tcW w:w="3472" w:type="dxa"/>
          </w:tcPr>
          <w:p w:rsidR="00F04EEF" w:rsidRDefault="00F04EEF">
            <w:pPr>
              <w:tabs>
                <w:tab w:val="left" w:pos="8505"/>
                <w:tab w:val="left" w:pos="8789"/>
              </w:tabs>
              <w:jc w:val="center"/>
              <w:rPr>
                <w:rFonts w:ascii="Georgia" w:eastAsia="Times New Roman" w:hAnsi="Georgia"/>
                <w:lang w:eastAsia="fr-FR"/>
              </w:rPr>
            </w:pPr>
          </w:p>
          <w:p w:rsidR="00F04EEF" w:rsidRDefault="00F04EEF">
            <w:pPr>
              <w:tabs>
                <w:tab w:val="left" w:pos="8505"/>
                <w:tab w:val="left" w:pos="8789"/>
              </w:tabs>
              <w:jc w:val="center"/>
              <w:rPr>
                <w:rFonts w:ascii="Georgia" w:eastAsia="Times New Roman" w:hAnsi="Georgia"/>
                <w:lang w:eastAsia="fr-FR"/>
              </w:rPr>
            </w:pPr>
          </w:p>
        </w:tc>
        <w:tc>
          <w:tcPr>
            <w:tcW w:w="1904" w:type="dxa"/>
          </w:tcPr>
          <w:p w:rsidR="00F04EEF" w:rsidRDefault="00F04EEF">
            <w:pPr>
              <w:tabs>
                <w:tab w:val="left" w:pos="8505"/>
                <w:tab w:val="left" w:pos="8789"/>
              </w:tabs>
              <w:jc w:val="center"/>
              <w:rPr>
                <w:rFonts w:ascii="Georgia" w:eastAsia="Times New Roman" w:hAnsi="Georgia"/>
                <w:lang w:eastAsia="fr-FR"/>
              </w:rPr>
            </w:pPr>
          </w:p>
        </w:tc>
        <w:tc>
          <w:tcPr>
            <w:tcW w:w="3402" w:type="dxa"/>
          </w:tcPr>
          <w:p w:rsidR="00F04EEF" w:rsidRDefault="00F04EEF">
            <w:pPr>
              <w:tabs>
                <w:tab w:val="left" w:pos="8505"/>
                <w:tab w:val="left" w:pos="8789"/>
              </w:tabs>
              <w:jc w:val="center"/>
              <w:rPr>
                <w:rFonts w:ascii="Georgia" w:eastAsia="Times New Roman" w:hAnsi="Georgia"/>
                <w:lang w:eastAsia="fr-FR"/>
              </w:rPr>
            </w:pPr>
          </w:p>
        </w:tc>
      </w:tr>
    </w:tbl>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(5)</w:t>
      </w:r>
    </w:p>
    <w:p w:rsidR="00F04EEF" w:rsidRDefault="00F04EEF">
      <w:pPr>
        <w:tabs>
          <w:tab w:val="left" w:pos="8505"/>
        </w:tabs>
        <w:jc w:val="both"/>
        <w:rPr>
          <w:rFonts w:ascii="Georgia" w:eastAsia="Times New Roman" w:hAnsi="Georgia"/>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Le (La) Chef(fe) d’établissement,</w:t>
      </w:r>
    </w:p>
    <w:p w:rsidR="00F04EEF" w:rsidRDefault="0099351E">
      <w:pPr>
        <w:rPr>
          <w:rFonts w:ascii="Georgia" w:eastAsia="Times New Roman" w:hAnsi="Georgia"/>
          <w:lang w:eastAsia="fr-FR"/>
        </w:rPr>
      </w:pPr>
      <w:r>
        <w:rPr>
          <w:rFonts w:ascii="Georgia" w:eastAsia="Times New Roman" w:hAnsi="Georgia"/>
          <w:lang w:eastAsia="fr-FR"/>
        </w:rPr>
        <w:br w:type="page"/>
      </w:r>
    </w:p>
    <w:p w:rsidR="00F04EEF" w:rsidRDefault="0099351E">
      <w:pPr>
        <w:pStyle w:val="Titre4"/>
        <w:rPr>
          <w:lang w:eastAsia="fr-FR"/>
        </w:rPr>
      </w:pPr>
      <w:r>
        <w:rPr>
          <w:lang w:eastAsia="fr-FR"/>
        </w:rPr>
        <w:t>Annexe 12 : Attestation d’orientation C – Sous réserve</w:t>
      </w:r>
    </w:p>
    <w:p w:rsidR="00F04EEF" w:rsidRDefault="00F04EEF">
      <w:pPr>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D’ORIENTATION C – Sous réserve</w:t>
      </w:r>
    </w:p>
    <w:p w:rsidR="00F04EEF" w:rsidRDefault="00F04EEF">
      <w:pPr>
        <w:tabs>
          <w:tab w:val="left" w:pos="8505"/>
        </w:tabs>
        <w:jc w:val="center"/>
        <w:rPr>
          <w:rFonts w:ascii="Georgia" w:eastAsia="Times New Roman" w:hAnsi="Georgia"/>
          <w:b/>
          <w:lang w:eastAsia="fr-FR"/>
        </w:rPr>
      </w:pPr>
    </w:p>
    <w:p w:rsidR="00F04EEF" w:rsidRDefault="00F04EEF">
      <w:pPr>
        <w:tabs>
          <w:tab w:val="left" w:pos="8505"/>
        </w:tabs>
        <w:jc w:val="center"/>
        <w:rPr>
          <w:rFonts w:ascii="Georgia" w:eastAsia="Times New Roman" w:hAnsi="Georgia"/>
          <w:b/>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Forme d’enseignement en alternance : ……………………………………………………………………. (8)</w:t>
      </w:r>
    </w:p>
    <w:p w:rsidR="00F04EEF" w:rsidRDefault="0099351E">
      <w:pPr>
        <w:jc w:val="both"/>
        <w:rPr>
          <w:rFonts w:ascii="Georgia" w:eastAsia="Times New Roman" w:hAnsi="Georgia"/>
          <w:lang w:eastAsia="fr-FR"/>
        </w:rPr>
      </w:pPr>
      <w:r>
        <w:rPr>
          <w:rFonts w:ascii="Georgia" w:eastAsia="Times New Roman" w:hAnsi="Georgia"/>
          <w:lang w:eastAsia="fr-FR"/>
        </w:rPr>
        <w:t>Orientation d’études : ……………………………………………………………………………………………… (9)</w:t>
      </w:r>
    </w:p>
    <w:p w:rsidR="00F04EEF" w:rsidRDefault="0099351E">
      <w:pPr>
        <w:jc w:val="both"/>
        <w:rPr>
          <w:rFonts w:ascii="Georgia" w:eastAsia="Times New Roman" w:hAnsi="Georgia"/>
          <w:lang w:eastAsia="fr-FR"/>
        </w:rPr>
      </w:pPr>
      <w:r>
        <w:rPr>
          <w:rFonts w:ascii="Georgia" w:eastAsia="Times New Roman" w:hAnsi="Georgia"/>
          <w:lang w:eastAsia="fr-FR"/>
        </w:rPr>
        <w:t>Année d’études : ……………………………………………………………………………………………………. (10)</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Pr>
          <w:rFonts w:ascii="Georgia" w:eastAsia="Times New Roman" w:hAnsi="Georgia"/>
          <w:vertAlign w:val="superscript"/>
          <w:lang w:eastAsia="fr-FR"/>
        </w:rPr>
        <w:t>er</w:t>
      </w:r>
      <w:r>
        <w:rPr>
          <w:rFonts w:ascii="Georgia" w:eastAsia="Times New Roman" w:hAnsi="Georgia"/>
          <w:lang w:eastAsia="fr-FR"/>
        </w:rPr>
        <w:t xml:space="preserve"> – 1° du décret du 3 juillet 1991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2° n’a pas terminé cette année avec fruit dans l’établissement, dans la forme d’enseignement, dans la section et dans l’orientation d’études susmentionnées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3° ne peut être admis(e) dans l’année d’études supérieure conformément aux conditions d’admission.</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F04EEF">
      <w:pPr>
        <w:tabs>
          <w:tab w:val="left" w:pos="8505"/>
        </w:tabs>
        <w:jc w:val="both"/>
        <w:rPr>
          <w:rFonts w:ascii="Georgia" w:eastAsia="Times New Roman" w:hAnsi="Georgia"/>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Le (La) Chef(fe) d’établissement,</w:t>
      </w: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99351E">
      <w:pPr>
        <w:rPr>
          <w:rFonts w:ascii="Georgia" w:eastAsia="Times New Roman" w:hAnsi="Georgia"/>
          <w:color w:val="000000"/>
          <w:lang w:eastAsia="fr-FR"/>
        </w:rPr>
      </w:pPr>
      <w:r>
        <w:rPr>
          <w:rFonts w:ascii="Georgia" w:eastAsia="Times New Roman" w:hAnsi="Georgia"/>
          <w:color w:val="000000"/>
          <w:lang w:eastAsia="fr-FR"/>
        </w:rPr>
        <w:br w:type="page"/>
      </w:r>
    </w:p>
    <w:p w:rsidR="00F04EEF" w:rsidRDefault="0099351E">
      <w:pPr>
        <w:pStyle w:val="Titre4"/>
        <w:rPr>
          <w:lang w:eastAsia="fr-FR"/>
        </w:rPr>
      </w:pPr>
      <w:r>
        <w:rPr>
          <w:lang w:eastAsia="fr-FR"/>
        </w:rPr>
        <w:t>Annexe 13 : Rapport sur les compétences acquises au terme de la 1ère année du 2ème degré de l’enseignement professionnel organisé conformément aux dispositions de l’article 22 de l’arrêté royal du 29 juin 1984 relatif à l’organisation de l’enseignement secondaire</w:t>
      </w:r>
    </w:p>
    <w:p w:rsidR="00F04EEF" w:rsidRDefault="00F04EEF">
      <w:pPr>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Rapport sur les compétences acquises au terme de la 1ère année du 2ème degré de l’enseignement professionnel organisé conformément aux dispositions de l’article 22 de l’arrêté royal du 29 juin 1984 relatif à l’organisation de l’enseignement secondaire</w:t>
      </w:r>
    </w:p>
    <w:p w:rsidR="00F04EEF" w:rsidRDefault="00F04EEF">
      <w:pPr>
        <w:tabs>
          <w:tab w:val="left" w:pos="8505"/>
        </w:tabs>
        <w:jc w:val="center"/>
        <w:rPr>
          <w:rFonts w:ascii="Georgia" w:eastAsia="Times New Roman" w:hAnsi="Georgia"/>
          <w:b/>
          <w:lang w:eastAsia="fr-FR"/>
        </w:rPr>
      </w:pPr>
    </w:p>
    <w:p w:rsidR="00F04EEF" w:rsidRDefault="00F04EEF">
      <w:pPr>
        <w:tabs>
          <w:tab w:val="left" w:pos="8505"/>
        </w:tabs>
        <w:jc w:val="center"/>
        <w:rPr>
          <w:rFonts w:ascii="Georgia" w:eastAsia="Times New Roman" w:hAnsi="Georgia"/>
          <w:b/>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Numéro Fase :</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Chef(fe) de l’établissement susmentionné,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F04EEF">
      <w:pPr>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en qualité d’élève régulier (régulière), l’année d’études susvisée de l’enseignement secondaire spécialisé de forme 4 en alternance et a terminé cette année dans l’établissement susmentionné dans l’orientation d’études : ………………………………………………………………. (9)</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Rapport sur les compétences acquises : (13)</w:t>
      </w:r>
    </w:p>
    <w:p w:rsidR="00F04EEF" w:rsidRDefault="00F04EEF">
      <w:pPr>
        <w:tabs>
          <w:tab w:val="left" w:pos="8505"/>
        </w:tabs>
        <w:jc w:val="both"/>
        <w:rPr>
          <w:rFonts w:ascii="Georgia" w:eastAsia="Times New Roman" w:hAnsi="Georgia"/>
          <w:lang w:eastAsia="fr-FR"/>
        </w:rPr>
      </w:pPr>
    </w:p>
    <w:p w:rsidR="00F04EEF" w:rsidRDefault="00F04EEF">
      <w:pPr>
        <w:tabs>
          <w:tab w:val="left" w:pos="8505"/>
        </w:tabs>
        <w:jc w:val="both"/>
        <w:rPr>
          <w:rFonts w:ascii="Georgia" w:eastAsia="Times New Roman" w:hAnsi="Georgia"/>
          <w:lang w:eastAsia="fr-FR"/>
        </w:rPr>
      </w:pPr>
    </w:p>
    <w:p w:rsidR="00F04EEF" w:rsidRDefault="00F04EEF">
      <w:pPr>
        <w:tabs>
          <w:tab w:val="left" w:pos="8505"/>
        </w:tabs>
        <w:jc w:val="both"/>
        <w:rPr>
          <w:rFonts w:ascii="Georgia" w:eastAsia="Times New Roman" w:hAnsi="Georgia"/>
          <w:lang w:eastAsia="fr-FR"/>
        </w:rPr>
      </w:pP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L’élève est admissible en 2</w:t>
      </w:r>
      <w:r>
        <w:rPr>
          <w:rFonts w:ascii="Georgia" w:eastAsia="Times New Roman" w:hAnsi="Georgia"/>
          <w:vertAlign w:val="superscript"/>
          <w:lang w:eastAsia="fr-FR"/>
        </w:rPr>
        <w:t>ème</w:t>
      </w:r>
      <w:r>
        <w:rPr>
          <w:rFonts w:ascii="Georgia" w:eastAsia="Times New Roman" w:hAnsi="Georgia"/>
          <w:lang w:eastAsia="fr-FR"/>
        </w:rPr>
        <w:t xml:space="preserve"> année du 2</w:t>
      </w:r>
      <w:r>
        <w:rPr>
          <w:rFonts w:ascii="Georgia" w:eastAsia="Times New Roman" w:hAnsi="Georgia"/>
          <w:vertAlign w:val="superscript"/>
          <w:lang w:eastAsia="fr-FR"/>
        </w:rPr>
        <w:t>ème</w:t>
      </w:r>
      <w:r>
        <w:rPr>
          <w:rFonts w:ascii="Georgia" w:eastAsia="Times New Roman" w:hAnsi="Georgia"/>
          <w:lang w:eastAsia="fr-FR"/>
        </w:rPr>
        <w:t xml:space="preserve"> degré de l’enseignement professionnel organisé conformément aux dispositions de l’article 22, § 3 de l’arrêté royal du 29 juin 1984, dans le même établissement et dans la même orientation d’études.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La poursuite des études dans une autre forme, dans une autre orientation d’études ou dans un autre établissement est soumise au respect des dispositions règlementaires.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w:t>
      </w:r>
      <w:r>
        <w:rPr>
          <w:rFonts w:ascii="Georgia" w:eastAsia="Times New Roman" w:hAnsi="Georgia" w:cs="Arial"/>
          <w:lang w:eastAsia="fr-FR"/>
        </w:rPr>
        <w:tab/>
        <w:t>Le (La) Chef(fe) d’établissement,</w:t>
      </w:r>
    </w:p>
    <w:p w:rsidR="00F04EEF" w:rsidRDefault="00F04EEF">
      <w:pPr>
        <w:jc w:val="center"/>
        <w:rPr>
          <w:rFonts w:ascii="Georgia" w:eastAsia="Times New Roman" w:hAnsi="Georgia" w:cs="Arial"/>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14 : Attestation de fréquentation partielle en tant qu’élève régulier</w:t>
      </w:r>
    </w:p>
    <w:p w:rsidR="00F04EEF" w:rsidRDefault="00F04EEF">
      <w:pPr>
        <w:jc w:val="both"/>
        <w:rPr>
          <w:rFonts w:ascii="Georgia" w:eastAsia="Times New Roman" w:hAnsi="Georgia"/>
          <w:lang w:eastAsia="fr-FR"/>
        </w:rPr>
      </w:pP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FREQUENTATION PARTIELLE EN TANT QU’ELEVE REGULIER</w:t>
      </w: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Forme d’enseignement en alternance : ……………………………………………………………………. (8)</w:t>
      </w:r>
    </w:p>
    <w:p w:rsidR="00F04EEF" w:rsidRDefault="0099351E">
      <w:pPr>
        <w:jc w:val="both"/>
        <w:rPr>
          <w:rFonts w:ascii="Georgia" w:eastAsia="Times New Roman" w:hAnsi="Georgia"/>
          <w:lang w:eastAsia="fr-FR"/>
        </w:rPr>
      </w:pPr>
      <w:r>
        <w:rPr>
          <w:rFonts w:ascii="Georgia" w:eastAsia="Times New Roman" w:hAnsi="Georgia"/>
          <w:lang w:eastAsia="fr-FR"/>
        </w:rPr>
        <w:t>Orientation d’études : ……………………………………………………………………………………………… (9)</w:t>
      </w:r>
    </w:p>
    <w:p w:rsidR="00F04EEF" w:rsidRDefault="0099351E">
      <w:pPr>
        <w:jc w:val="both"/>
        <w:rPr>
          <w:rFonts w:ascii="Georgia" w:eastAsia="Times New Roman" w:hAnsi="Georgia"/>
          <w:lang w:eastAsia="fr-FR"/>
        </w:rPr>
      </w:pPr>
      <w:r>
        <w:rPr>
          <w:rFonts w:ascii="Georgia" w:eastAsia="Times New Roman" w:hAnsi="Georgia"/>
          <w:lang w:eastAsia="fr-FR"/>
        </w:rPr>
        <w:t>Année d’études : ……………………………………………………………………………………………………. (10)</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right" w:leader="dot" w:pos="5760"/>
          <w:tab w:val="right" w:leader="dot" w:pos="9543"/>
        </w:tabs>
        <w:jc w:val="both"/>
        <w:rPr>
          <w:rFonts w:ascii="Georgia" w:eastAsia="Times New Roman" w:hAnsi="Georgia"/>
          <w:lang w:eastAsia="fr-FR"/>
        </w:rPr>
      </w:pPr>
    </w:p>
    <w:p w:rsidR="00F04EEF" w:rsidRDefault="0099351E">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1° en qualité d’élève régulier (régulière), l’année d’études susmentionnée de l’enseignement secondaire spécialisé de forme 4 en alternance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 xml:space="preserve">2° L’élève a enregistré (12)…………………………..demi-jours d’absence injustifiée en application de l’article 26 du décret du 21 novembre 2013 organisant divers dispositifs scolaires favorisant le bien-être des jeunes à l’école, l’accrochage scolaire, la prévention de la violence à l’école et l’accompagnement des démarches d’orientation scolaire. </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Sceau de l’établissement,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Le (La) Chef(fe) d’établissement,</w:t>
      </w:r>
    </w:p>
    <w:p w:rsidR="00F04EEF" w:rsidRDefault="00F04EEF">
      <w:pPr>
        <w:rPr>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15 : certificat d’enseignement secondaire professionnel du deuxième degré</w:t>
      </w:r>
    </w:p>
    <w:p w:rsidR="00F04EEF" w:rsidRDefault="00F04EEF">
      <w:pPr>
        <w:jc w:val="both"/>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D’ENSEIGNEMENT SECONDAIRE PROFESSIONNEL DU DEUXIEME DEGRE</w:t>
      </w:r>
    </w:p>
    <w:p w:rsidR="00F04EEF" w:rsidRDefault="00F04EEF">
      <w:pPr>
        <w:rPr>
          <w:lang w:eastAsia="fr-FR"/>
        </w:rPr>
      </w:pPr>
    </w:p>
    <w:p w:rsidR="00F04EEF" w:rsidRDefault="00F04EEF">
      <w:pPr>
        <w:rPr>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Forme d’enseignement en alternance : Professionnelle</w:t>
      </w:r>
    </w:p>
    <w:p w:rsidR="00F04EEF" w:rsidRDefault="0099351E">
      <w:pPr>
        <w:jc w:val="both"/>
        <w:rPr>
          <w:rFonts w:ascii="Georgia" w:eastAsia="Times New Roman" w:hAnsi="Georgia"/>
          <w:lang w:eastAsia="fr-FR"/>
        </w:rPr>
      </w:pPr>
      <w:r>
        <w:rPr>
          <w:rFonts w:ascii="Georgia" w:eastAsia="Times New Roman" w:hAnsi="Georgia"/>
          <w:lang w:eastAsia="fr-FR"/>
        </w:rPr>
        <w:t>Orientation d’études : ……………………………………………………………………………………………… (9)</w:t>
      </w:r>
    </w:p>
    <w:p w:rsidR="00F04EEF" w:rsidRDefault="0099351E">
      <w:pPr>
        <w:jc w:val="both"/>
        <w:rPr>
          <w:rFonts w:ascii="Georgia" w:eastAsia="Times New Roman" w:hAnsi="Georgia"/>
          <w:lang w:eastAsia="fr-FR"/>
        </w:rPr>
      </w:pPr>
      <w:r>
        <w:rPr>
          <w:rFonts w:ascii="Georgia" w:eastAsia="Times New Roman" w:hAnsi="Georgia"/>
          <w:lang w:eastAsia="fr-FR"/>
        </w:rPr>
        <w:t>Année d’études : ……………………………………………………………………………………………………. (10)</w:t>
      </w:r>
    </w:p>
    <w:p w:rsidR="00F04EEF" w:rsidRDefault="00F04EEF">
      <w:pPr>
        <w:jc w:val="both"/>
        <w:rPr>
          <w:rFonts w:ascii="Georgia" w:eastAsia="Times New Roman" w:hAnsi="Georgia" w:cs="Arial"/>
          <w:lang w:eastAsia="fr-FR"/>
        </w:rPr>
      </w:pPr>
    </w:p>
    <w:p w:rsidR="00F04EEF" w:rsidRDefault="0099351E">
      <w:pPr>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jc w:val="both"/>
        <w:rPr>
          <w:rFonts w:ascii="Georgia" w:eastAsia="Times New Roman" w:hAnsi="Georgia"/>
          <w:lang w:eastAsia="fr-FR"/>
        </w:rPr>
      </w:pPr>
      <w:r>
        <w:rPr>
          <w:rFonts w:ascii="Georgia" w:eastAsia="Times New Roman" w:hAnsi="Georgia"/>
          <w:lang w:eastAsia="fr-FR"/>
        </w:rPr>
        <w:t xml:space="preserve">Chef(fe) de l’établissement susmentionné, sur avis conforme du Conseil de classe, certifie que l’élève : </w:t>
      </w:r>
      <w:r>
        <w:rPr>
          <w:rFonts w:ascii="Georgia" w:eastAsia="Times New Roman" w:hAnsi="Georgia" w:cs="Arial"/>
          <w:lang w:eastAsia="fr-FR"/>
        </w:rPr>
        <w:t>……………………………………………………………………………………………… (3)</w:t>
      </w:r>
    </w:p>
    <w:p w:rsidR="00F04EEF" w:rsidRDefault="0099351E">
      <w:pPr>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jc w:val="both"/>
        <w:rPr>
          <w:rFonts w:ascii="Georgia" w:eastAsia="Times New Roman" w:hAnsi="Georgia"/>
          <w:lang w:eastAsia="fr-FR"/>
        </w:rPr>
      </w:pPr>
      <w:r>
        <w:rPr>
          <w:rFonts w:ascii="Georgia" w:eastAsia="Times New Roman" w:hAnsi="Georgia"/>
          <w:lang w:eastAsia="fr-FR"/>
        </w:rPr>
        <w:t>a suivi du…………………………………………………… (11) au …..…………………………………………… (11)</w:t>
      </w:r>
    </w:p>
    <w:p w:rsidR="00F04EEF" w:rsidRDefault="00F04EEF">
      <w:pPr>
        <w:tabs>
          <w:tab w:val="right" w:leader="dot" w:pos="5760"/>
          <w:tab w:val="right" w:leader="dot" w:pos="9543"/>
        </w:tabs>
        <w:jc w:val="both"/>
        <w:rPr>
          <w:rFonts w:ascii="Georgia" w:eastAsia="Times New Roman" w:hAnsi="Georgia"/>
          <w:lang w:eastAsia="fr-FR"/>
        </w:rPr>
      </w:pPr>
    </w:p>
    <w:p w:rsidR="00F04EEF" w:rsidRDefault="0099351E">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en qualité d’élève régulier (régulière), la quatrième année d’études de l’enseignement secondaire spécialisé professionnel de forme 4 en alternance visé à l’article 2bis, §1</w:t>
      </w:r>
      <w:r>
        <w:rPr>
          <w:rFonts w:ascii="Georgia" w:eastAsia="Times New Roman" w:hAnsi="Georgia"/>
          <w:vertAlign w:val="superscript"/>
          <w:lang w:eastAsia="fr-FR"/>
        </w:rPr>
        <w:t>er</w:t>
      </w:r>
      <w:r>
        <w:rPr>
          <w:rFonts w:ascii="Georgia" w:eastAsia="Times New Roman" w:hAnsi="Georgia"/>
          <w:lang w:eastAsia="fr-FR"/>
        </w:rPr>
        <w:t>, 1° du décret du 3 juillet 1991 et a terminé cette année avec fruit dans l’établissement, dans la forme d’enseignement et dans l’orientation d’études susmentionnées.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 pendant toute la durée des études et que toutes les compétences nécessaires à l’octroi de ce titre ont été acquises par l’élève.</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right" w:leader="dot" w:pos="5400"/>
          <w:tab w:val="right" w:leader="dot" w:pos="9540"/>
        </w:tabs>
        <w:spacing w:line="360" w:lineRule="auto"/>
        <w:jc w:val="both"/>
        <w:rPr>
          <w:rFonts w:ascii="Georgia" w:eastAsia="Times New Roman" w:hAnsi="Georgia" w:cs="Arial"/>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F04EEF">
      <w:pPr>
        <w:tabs>
          <w:tab w:val="left" w:pos="8505"/>
        </w:tabs>
        <w:jc w:val="both"/>
        <w:rPr>
          <w:rFonts w:ascii="Georgia" w:eastAsia="Times New Roman" w:hAnsi="Georgia"/>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Le (La) Chef(fe) d’établissement,</w:t>
      </w: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jc w:val="center"/>
        <w:rPr>
          <w:rFonts w:ascii="Georgia" w:eastAsia="Times New Roman" w:hAnsi="Georgia" w:cs="Arial"/>
          <w:lang w:eastAsia="fr-FR"/>
        </w:rPr>
      </w:pPr>
      <w:r>
        <w:rPr>
          <w:rFonts w:ascii="Georgia" w:eastAsia="Times New Roman" w:hAnsi="Georgia" w:cs="Arial"/>
          <w:lang w:eastAsia="fr-FR"/>
        </w:rPr>
        <w:t>Sceau de l’établissement,</w:t>
      </w:r>
    </w:p>
    <w:p w:rsidR="00F04EEF" w:rsidRDefault="00F04EEF">
      <w:pPr>
        <w:rPr>
          <w:lang w:eastAsia="fr-FR"/>
        </w:rPr>
      </w:pPr>
    </w:p>
    <w:p w:rsidR="00F04EEF" w:rsidRDefault="0099351E">
      <w:pPr>
        <w:pStyle w:val="Titre4"/>
        <w:ind w:left="0"/>
        <w:rPr>
          <w:rFonts w:ascii="Georgia" w:eastAsia="Times New Roman" w:hAnsi="Georgia" w:cs="Arial"/>
          <w:strike/>
          <w:lang w:eastAsia="fr-FR"/>
        </w:rPr>
      </w:pPr>
      <w:r>
        <w:rPr>
          <w:lang w:eastAsia="fr-FR"/>
        </w:rPr>
        <w:br w:type="page"/>
        <w:t>Annexe 16: Certificat relatif aux connaissances de gestion de base</w:t>
      </w:r>
    </w:p>
    <w:p w:rsidR="00F04EEF" w:rsidRDefault="00F04EEF">
      <w:pPr>
        <w:jc w:val="both"/>
        <w:rPr>
          <w:rFonts w:ascii="Georgia" w:eastAsia="Times New Roman" w:hAnsi="Georgia"/>
          <w:lang w:eastAsia="fr-FR"/>
        </w:rPr>
      </w:pP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CERTIFICAT RELATIF AUX CONNAISSANCES DE GESTION DE BASE</w:t>
      </w: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Forme d’enseignement en alternance :</w:t>
      </w:r>
      <w:r>
        <w:rPr>
          <w:rFonts w:ascii="Georgia" w:eastAsia="Times New Roman" w:hAnsi="Georgia"/>
          <w:lang w:eastAsia="fr-FR"/>
        </w:rPr>
        <w:tab/>
        <w:t>(8)</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Année d’études : </w:t>
      </w:r>
      <w:r>
        <w:rPr>
          <w:rFonts w:ascii="Georgia" w:eastAsia="Times New Roman" w:hAnsi="Georgia"/>
          <w:lang w:eastAsia="fr-FR"/>
        </w:rPr>
        <w:tab/>
        <w:t>(10)</w:t>
      </w:r>
    </w:p>
    <w:p w:rsidR="00F04EEF" w:rsidRDefault="00F04EEF">
      <w:pPr>
        <w:tabs>
          <w:tab w:val="right" w:leader="dot" w:pos="9072"/>
        </w:tabs>
        <w:jc w:val="both"/>
        <w:rPr>
          <w:rFonts w:ascii="Georgia" w:eastAsia="Times New Roman" w:hAnsi="Georgia"/>
          <w:lang w:eastAsia="fr-FR"/>
        </w:rPr>
      </w:pPr>
    </w:p>
    <w:p w:rsidR="00F04EEF" w:rsidRDefault="0099351E">
      <w:pPr>
        <w:tabs>
          <w:tab w:val="right" w:leader="dot" w:pos="9072"/>
        </w:tabs>
        <w:jc w:val="both"/>
        <w:rPr>
          <w:rFonts w:ascii="Georgia" w:eastAsia="Times New Roman" w:hAnsi="Georgia" w:cs="Arial"/>
          <w:lang w:eastAsia="fr-FR"/>
        </w:rPr>
      </w:pPr>
      <w:r>
        <w:rPr>
          <w:rFonts w:ascii="Georgia" w:eastAsia="Times New Roman" w:hAnsi="Georgia" w:cs="Arial"/>
          <w:lang w:eastAsia="fr-FR"/>
        </w:rPr>
        <w:t>Je soussigné(e) :</w:t>
      </w:r>
      <w:r>
        <w:rPr>
          <w:rFonts w:ascii="Georgia" w:eastAsia="Times New Roman" w:hAnsi="Georgia" w:cs="Arial"/>
          <w:lang w:eastAsia="fr-FR"/>
        </w:rPr>
        <w:tab/>
        <w:t>(3)</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sur avis conforme du Conseil de classe, certifie que l’élève : </w:t>
      </w:r>
      <w:r>
        <w:rPr>
          <w:rFonts w:ascii="Georgia" w:eastAsia="Times New Roman" w:hAnsi="Georgia" w:cs="Arial"/>
          <w:lang w:eastAsia="fr-FR"/>
        </w:rPr>
        <w:tab/>
        <w:t>(3)</w:t>
      </w:r>
    </w:p>
    <w:p w:rsidR="00F04EEF" w:rsidRDefault="0099351E">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rsidR="00F04EEF" w:rsidRDefault="00F04EEF">
      <w:pPr>
        <w:tabs>
          <w:tab w:val="right" w:leader="dot" w:pos="5760"/>
          <w:tab w:val="right" w:leader="dot" w:pos="9543"/>
        </w:tabs>
        <w:jc w:val="both"/>
        <w:rPr>
          <w:rFonts w:ascii="Georgia" w:eastAsia="Times New Roman" w:hAnsi="Georgia"/>
          <w:lang w:eastAsia="fr-FR"/>
        </w:rPr>
      </w:pPr>
    </w:p>
    <w:p w:rsidR="00F04EEF" w:rsidRDefault="0099351E">
      <w:pPr>
        <w:tabs>
          <w:tab w:val="left" w:pos="8505"/>
          <w:tab w:val="left" w:pos="8931"/>
        </w:tabs>
        <w:jc w:val="both"/>
        <w:rPr>
          <w:rFonts w:ascii="Georgia" w:eastAsia="Times New Roman" w:hAnsi="Georgia" w:cs="Arial"/>
          <w:lang w:eastAsia="fr-FR"/>
        </w:rPr>
      </w:pPr>
      <w:r>
        <w:rPr>
          <w:rFonts w:ascii="Georgia" w:eastAsia="Times New Roman" w:hAnsi="Georgia" w:cs="Arial"/>
          <w:lang w:eastAsia="fr-FR"/>
        </w:rPr>
        <w:t>a satisfait aux exigences du programme de connaissances de gestion de base prévu à l’article 6 de l’arrêté royal du 21 octobre 1998 portant exécution du Chapitre Ier du Titre II de la loi-programme du 10 février 1998 pour la promotion de l’entreprise indépendante.</w:t>
      </w:r>
    </w:p>
    <w:p w:rsidR="00F04EEF" w:rsidRDefault="00F04EEF">
      <w:pPr>
        <w:tabs>
          <w:tab w:val="right" w:leader="dot" w:pos="5760"/>
          <w:tab w:val="right" w:leader="dot" w:pos="9180"/>
        </w:tabs>
        <w:ind w:right="-110"/>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le présent titre.</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 xml:space="preserve"> </w:t>
      </w:r>
      <w:r>
        <w:rPr>
          <w:rFonts w:ascii="Georgia" w:eastAsia="Times New Roman" w:hAnsi="Georgia" w:cs="Arial"/>
          <w:lang w:eastAsia="fr-FR"/>
        </w:rPr>
        <w:tab/>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p>
    <w:p w:rsidR="00F04EEF" w:rsidRDefault="00F04EEF">
      <w:pPr>
        <w:rPr>
          <w:rFonts w:ascii="Georgia" w:eastAsia="Times New Roman" w:hAnsi="Georgia"/>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99351E">
      <w:pPr>
        <w:jc w:val="center"/>
        <w:rPr>
          <w:rFonts w:ascii="Georgia" w:eastAsia="Times New Roman" w:hAnsi="Georgia" w:cs="Arial"/>
          <w:lang w:eastAsia="fr-FR"/>
        </w:rPr>
      </w:pPr>
      <w:r>
        <w:rPr>
          <w:rFonts w:ascii="Georgia" w:eastAsia="Times New Roman" w:hAnsi="Georgia" w:cs="Arial"/>
          <w:lang w:eastAsia="fr-FR"/>
        </w:rPr>
        <w:t>Sceau de l’Etablissement,</w:t>
      </w: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cs="Arial"/>
          <w:lang w:eastAsia="fr-FR"/>
        </w:rPr>
      </w:pPr>
    </w:p>
    <w:p w:rsidR="00F04EEF" w:rsidRDefault="00F04EEF">
      <w:pPr>
        <w:jc w:val="center"/>
        <w:rPr>
          <w:rFonts w:ascii="Georgia" w:eastAsia="Times New Roman" w:hAnsi="Georgia"/>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17 : Attestation de compétences professionnelles du deuxième degré professionnel</w:t>
      </w:r>
    </w:p>
    <w:p w:rsidR="00F04EEF" w:rsidRDefault="00F04EEF">
      <w:pPr>
        <w:rPr>
          <w:lang w:eastAsia="fr-FR"/>
        </w:rPr>
      </w:pP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COMPETENCES PROFESSIONNELLES DU DEUXIEME DEGRE PROFESSIONNEL</w:t>
      </w:r>
    </w:p>
    <w:p w:rsidR="00F04EEF" w:rsidRDefault="00F04EEF">
      <w:pPr>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99351E">
      <w:pPr>
        <w:shd w:val="clear" w:color="auto" w:fill="FFFFFF"/>
        <w:tabs>
          <w:tab w:val="left" w:leader="dot" w:pos="8256"/>
        </w:tabs>
        <w:rPr>
          <w:rFonts w:ascii="Georgia" w:eastAsia="Times New Roman" w:hAnsi="Georgia"/>
          <w:color w:val="000000"/>
          <w:lang w:eastAsia="fr-FR"/>
        </w:rPr>
      </w:pPr>
      <w:r>
        <w:rPr>
          <w:rFonts w:ascii="Georgia" w:eastAsia="Times New Roman" w:hAnsi="Georgia"/>
          <w:color w:val="000000"/>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 xml:space="preserve">Forme d’enseignement en alternance : Professionnelle </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rsidR="00F04EEF" w:rsidRDefault="00F04EEF">
      <w:pPr>
        <w:tabs>
          <w:tab w:val="right" w:leader="dot" w:pos="9540"/>
        </w:tabs>
        <w:jc w:val="both"/>
        <w:rPr>
          <w:rFonts w:ascii="Georgia" w:eastAsia="Times New Roman" w:hAnsi="Georgia" w:cs="Arial"/>
          <w:lang w:eastAsia="fr-FR"/>
        </w:rPr>
      </w:pPr>
    </w:p>
    <w:p w:rsidR="00F04EEF" w:rsidRDefault="0099351E">
      <w:pPr>
        <w:tabs>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Je soussigné(e) : </w:t>
      </w:r>
      <w:r>
        <w:rPr>
          <w:rFonts w:ascii="Georgia" w:eastAsia="Times New Roman" w:hAnsi="Georgia" w:cs="Arial"/>
          <w:lang w:eastAsia="fr-FR"/>
        </w:rPr>
        <w:tab/>
        <w:t>(3)</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sur avis conforme du Conseil de classe, certifie que l’élève : </w:t>
      </w:r>
      <w:r>
        <w:rPr>
          <w:rFonts w:ascii="Georgia" w:eastAsia="Times New Roman" w:hAnsi="Georgia" w:cs="Arial"/>
          <w:lang w:eastAsia="fr-FR"/>
        </w:rPr>
        <w:tab/>
        <w:t>(3)</w:t>
      </w:r>
    </w:p>
    <w:p w:rsidR="00F04EEF" w:rsidRDefault="0099351E">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rsidR="00F04EEF" w:rsidRDefault="0099351E">
      <w:pPr>
        <w:tabs>
          <w:tab w:val="right" w:leader="dot" w:pos="5760"/>
          <w:tab w:val="right" w:leader="dot" w:pos="9072"/>
        </w:tabs>
        <w:jc w:val="both"/>
        <w:rPr>
          <w:rFonts w:ascii="Georgia" w:eastAsia="Times New Roman" w:hAnsi="Georgia"/>
          <w:lang w:eastAsia="fr-FR"/>
        </w:rPr>
      </w:pPr>
      <w:r>
        <w:rPr>
          <w:rFonts w:ascii="Georgia" w:eastAsia="Times New Roman" w:hAnsi="Georgia"/>
          <w:lang w:eastAsia="fr-FR"/>
        </w:rPr>
        <w:t>a suivi du ………………………………………………… (11) au …………………………………………………. (11°</w:t>
      </w:r>
    </w:p>
    <w:p w:rsidR="00F04EEF" w:rsidRDefault="00F04EEF">
      <w:pPr>
        <w:tabs>
          <w:tab w:val="right" w:leader="dot" w:pos="5760"/>
          <w:tab w:val="right" w:leader="dot" w:pos="9543"/>
        </w:tabs>
        <w:jc w:val="both"/>
        <w:rPr>
          <w:rFonts w:ascii="Georgia" w:eastAsia="Times New Roman" w:hAnsi="Georgia"/>
          <w:lang w:eastAsia="fr-FR"/>
        </w:rPr>
      </w:pPr>
    </w:p>
    <w:p w:rsidR="00F04EEF" w:rsidRDefault="0099351E">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a atteint dans l’enseignement secondaire spécialisé de forme 4 en alternance en qualité d’élève régulier (régulière), des compétences professionnelles suffisantes du niveau du 2</w:t>
      </w:r>
      <w:r>
        <w:rPr>
          <w:rFonts w:ascii="Georgia" w:eastAsia="Times New Roman" w:hAnsi="Georgia"/>
          <w:vertAlign w:val="superscript"/>
          <w:lang w:eastAsia="fr-FR"/>
        </w:rPr>
        <w:t>ème</w:t>
      </w:r>
      <w:r>
        <w:rPr>
          <w:rFonts w:ascii="Georgia" w:eastAsia="Times New Roman" w:hAnsi="Georgia"/>
          <w:lang w:eastAsia="fr-FR"/>
        </w:rPr>
        <w:t xml:space="preserve"> degré de l’enseignement secondaire de plein exercice.</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J’atteste que toutes les prescriptions légales et réglementaires ont été respectées pendant toute la durée des études et que toutes les compétences nécessaires à l’octroi de ce titre ont été acquises par l’élève.</w:t>
      </w:r>
    </w:p>
    <w:p w:rsidR="00F04EEF" w:rsidRDefault="00F04EEF">
      <w:pPr>
        <w:tabs>
          <w:tab w:val="left" w:pos="8505"/>
        </w:tabs>
        <w:jc w:val="both"/>
        <w:rPr>
          <w:rFonts w:ascii="Georgia" w:eastAsia="Times New Roman" w:hAnsi="Georgia"/>
          <w:lang w:eastAsia="fr-FR"/>
        </w:rPr>
      </w:pPr>
    </w:p>
    <w:p w:rsidR="00F04EEF" w:rsidRDefault="0099351E">
      <w:pPr>
        <w:tabs>
          <w:tab w:val="left" w:pos="8505"/>
        </w:tabs>
        <w:jc w:val="both"/>
        <w:rPr>
          <w:rFonts w:ascii="Georgia" w:eastAsia="Times New Roman" w:hAnsi="Georgia"/>
          <w:lang w:eastAsia="fr-FR"/>
        </w:rPr>
      </w:pPr>
      <w:r>
        <w:rPr>
          <w:rFonts w:ascii="Georgia" w:eastAsia="Times New Roman" w:hAnsi="Georgia"/>
          <w:lang w:eastAsia="fr-FR"/>
        </w:rPr>
        <w:t>En foi de quoi, je délivre la présente attestation.</w:t>
      </w:r>
    </w:p>
    <w:p w:rsidR="00F04EEF" w:rsidRDefault="00F04EEF">
      <w:pPr>
        <w:tabs>
          <w:tab w:val="left" w:pos="8505"/>
        </w:tabs>
        <w:jc w:val="both"/>
        <w:rPr>
          <w:rFonts w:ascii="Georgia" w:eastAsia="Times New Roman" w:hAnsi="Georgia"/>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Délivrée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 xml:space="preserve">Le (La) Chef(fe) d’établissement, </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t>Sceau de l’établissement,</w:t>
      </w:r>
    </w:p>
    <w:p w:rsidR="00F04EEF" w:rsidRDefault="00F04EEF">
      <w:pPr>
        <w:ind w:left="708" w:hanging="708"/>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F04EEF">
      <w:pPr>
        <w:rPr>
          <w:rFonts w:ascii="Georgia" w:eastAsia="Times New Roman" w:hAnsi="Georgia" w:cs="Arial"/>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Le (</w:t>
      </w:r>
      <w:smartTag w:uri="urn:schemas-microsoft-com:office:smarttags" w:element="PersonName">
        <w:smartTagPr>
          <w:attr w:name="ProductID" w:val="La) Titulaire"/>
        </w:smartTagPr>
        <w:r>
          <w:rPr>
            <w:rFonts w:ascii="Georgia" w:eastAsia="Times New Roman" w:hAnsi="Georgia" w:cs="Arial"/>
            <w:lang w:eastAsia="fr-FR"/>
          </w:rPr>
          <w:t>La) Titulaire</w:t>
        </w:r>
      </w:smartTag>
      <w:r>
        <w:rPr>
          <w:rFonts w:ascii="Georgia" w:eastAsia="Times New Roman" w:hAnsi="Georgia" w:cs="Arial"/>
          <w:lang w:eastAsia="fr-FR"/>
        </w:rPr>
        <w:t>,</w:t>
      </w:r>
      <w:r>
        <w:rPr>
          <w:rFonts w:ascii="Georgia" w:eastAsia="Times New Roman" w:hAnsi="Georgia" w:cs="Arial"/>
          <w:lang w:eastAsia="fr-FR"/>
        </w:rPr>
        <w:tab/>
      </w:r>
      <w:r>
        <w:rPr>
          <w:rFonts w:ascii="Georgia" w:eastAsia="Times New Roman" w:hAnsi="Georgia" w:cs="Arial"/>
          <w:lang w:eastAsia="fr-FR"/>
        </w:rPr>
        <w:tab/>
        <w:t xml:space="preserve">          Le Délégué du pouvoir organisateur (mention facultative),</w:t>
      </w:r>
    </w:p>
    <w:p w:rsidR="00F04EEF" w:rsidRDefault="00F04EEF">
      <w:pPr>
        <w:rPr>
          <w:rFonts w:ascii="Georgia" w:eastAsia="Times New Roman" w:hAnsi="Georgia"/>
          <w:lang w:eastAsia="fr-FR"/>
        </w:rPr>
      </w:pPr>
    </w:p>
    <w:p w:rsidR="00F04EEF" w:rsidRDefault="0099351E">
      <w:pPr>
        <w:pStyle w:val="Titre4"/>
        <w:rPr>
          <w:lang w:eastAsia="fr-FR"/>
        </w:rPr>
      </w:pPr>
      <w:r>
        <w:rPr>
          <w:lang w:eastAsia="fr-FR"/>
        </w:rPr>
        <w:br w:type="page"/>
        <w:t>Annexe 18: Attestation de fréquentation régulière</w:t>
      </w:r>
    </w:p>
    <w:p w:rsidR="00F04EEF" w:rsidRDefault="00F04EEF">
      <w:pPr>
        <w:jc w:val="both"/>
        <w:rPr>
          <w:rFonts w:ascii="Georgia" w:eastAsia="Times New Roman" w:hAnsi="Georgia"/>
          <w:lang w:eastAsia="fr-FR"/>
        </w:rPr>
      </w:pP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COMMUNAUTE FRANCAISE </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ENSEIGNEMENT SECONDAIRE SPECIALISE DE FORME 4 EN ALTERNANCE</w:t>
      </w:r>
    </w:p>
    <w:p w:rsidR="00F04EEF" w:rsidRDefault="00F04EEF">
      <w:pPr>
        <w:tabs>
          <w:tab w:val="left" w:pos="8505"/>
        </w:tabs>
        <w:jc w:val="center"/>
        <w:rPr>
          <w:rFonts w:ascii="Georgia" w:eastAsia="Times New Roman" w:hAnsi="Georgia"/>
          <w:b/>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ar-SA"/>
        </w:rPr>
      </w:pPr>
      <w:r>
        <w:rPr>
          <w:rFonts w:ascii="Georgia" w:hAnsi="Georgia"/>
          <w:lang w:eastAsia="ar-SA"/>
        </w:rPr>
        <w:t>ATTESTATION DE FREQUENTATION REGULIERE</w:t>
      </w:r>
    </w:p>
    <w:p w:rsidR="00F04EEF" w:rsidRDefault="00F04EEF">
      <w:pPr>
        <w:rPr>
          <w:rFonts w:ascii="Georgia" w:eastAsia="Times New Roman" w:hAnsi="Georgia"/>
          <w:lang w:eastAsia="fr-FR"/>
        </w:rPr>
      </w:pPr>
    </w:p>
    <w:p w:rsidR="00F04EEF" w:rsidRDefault="0099351E">
      <w:pPr>
        <w:rPr>
          <w:rFonts w:ascii="Georgia" w:hAnsi="Georgia"/>
          <w:lang w:eastAsia="fr-FR"/>
        </w:rPr>
      </w:pPr>
      <w:r>
        <w:rPr>
          <w:rFonts w:ascii="Georgia" w:hAnsi="Georgia"/>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lang w:eastAsia="fr-FR"/>
        </w:rPr>
        <w:t>Numéro Fase :</w:t>
      </w:r>
    </w:p>
    <w:p w:rsidR="00F04EEF" w:rsidRDefault="00F04EEF">
      <w:pPr>
        <w:tabs>
          <w:tab w:val="right" w:leader="dot" w:pos="9543"/>
        </w:tabs>
        <w:jc w:val="both"/>
        <w:rPr>
          <w:rFonts w:ascii="Georgia" w:eastAsia="Times New Roman" w:hAnsi="Georgia"/>
          <w:lang w:eastAsia="fr-FR"/>
        </w:rPr>
      </w:pP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Forme d’enseignement en alternance :</w:t>
      </w:r>
      <w:r>
        <w:rPr>
          <w:rFonts w:ascii="Georgia" w:eastAsia="Times New Roman" w:hAnsi="Georgia"/>
          <w:lang w:eastAsia="fr-FR"/>
        </w:rPr>
        <w:tab/>
        <w:t>(8)</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Orientation d’études : </w:t>
      </w:r>
      <w:r>
        <w:rPr>
          <w:rFonts w:ascii="Georgia" w:eastAsia="Times New Roman" w:hAnsi="Georgia"/>
          <w:lang w:eastAsia="fr-FR"/>
        </w:rPr>
        <w:tab/>
        <w:t>(9)</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Année d’études : </w:t>
      </w:r>
      <w:r>
        <w:rPr>
          <w:rFonts w:ascii="Georgia" w:eastAsia="Times New Roman" w:hAnsi="Georgia"/>
          <w:lang w:eastAsia="fr-FR"/>
        </w:rPr>
        <w:tab/>
        <w:t>(10)</w:t>
      </w:r>
    </w:p>
    <w:p w:rsidR="00F04EEF" w:rsidRDefault="00F04EEF">
      <w:pPr>
        <w:tabs>
          <w:tab w:val="right" w:leader="dot" w:pos="9072"/>
        </w:tabs>
        <w:jc w:val="both"/>
        <w:rPr>
          <w:rFonts w:ascii="Georgia" w:eastAsia="Times New Roman" w:hAnsi="Georgia"/>
          <w:lang w:eastAsia="fr-FR"/>
        </w:rPr>
      </w:pPr>
    </w:p>
    <w:p w:rsidR="00F04EEF" w:rsidRDefault="0099351E">
      <w:pPr>
        <w:tabs>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Je soussigné(e) : </w:t>
      </w:r>
      <w:r>
        <w:rPr>
          <w:rFonts w:ascii="Georgia" w:eastAsia="Times New Roman" w:hAnsi="Georgia" w:cs="Arial"/>
          <w:lang w:eastAsia="fr-FR"/>
        </w:rPr>
        <w:tab/>
        <w:t>(3)</w:t>
      </w:r>
    </w:p>
    <w:p w:rsidR="00F04EEF" w:rsidRDefault="0099351E">
      <w:pPr>
        <w:tabs>
          <w:tab w:val="right" w:leader="dot" w:pos="9072"/>
        </w:tabs>
        <w:jc w:val="both"/>
        <w:rPr>
          <w:rFonts w:ascii="Georgia" w:eastAsia="Times New Roman" w:hAnsi="Georgia"/>
          <w:lang w:eastAsia="fr-FR"/>
        </w:rPr>
      </w:pPr>
      <w:r>
        <w:rPr>
          <w:rFonts w:ascii="Georgia" w:eastAsia="Times New Roman" w:hAnsi="Georgia"/>
          <w:lang w:eastAsia="fr-FR"/>
        </w:rPr>
        <w:t xml:space="preserve">Chef(fe) de l’établissement susmentionné certifie que l’élève : </w:t>
      </w:r>
      <w:r>
        <w:rPr>
          <w:rFonts w:ascii="Georgia" w:eastAsia="Times New Roman" w:hAnsi="Georgia" w:cs="Arial"/>
          <w:lang w:eastAsia="fr-FR"/>
        </w:rPr>
        <w:tab/>
        <w:t>(3)</w:t>
      </w:r>
    </w:p>
    <w:p w:rsidR="00F04EEF" w:rsidRDefault="0099351E">
      <w:pPr>
        <w:tabs>
          <w:tab w:val="right" w:leader="dot" w:pos="5040"/>
          <w:tab w:val="right" w:leader="dot" w:pos="9072"/>
        </w:tabs>
        <w:jc w:val="both"/>
        <w:rPr>
          <w:rFonts w:ascii="Georgia" w:eastAsia="Times New Roman" w:hAnsi="Georgia" w:cs="Arial"/>
          <w:lang w:eastAsia="fr-FR"/>
        </w:rPr>
      </w:pPr>
      <w:r>
        <w:rPr>
          <w:rFonts w:ascii="Georgia" w:eastAsia="Times New Roman" w:hAnsi="Georgia" w:cs="Arial"/>
          <w:lang w:eastAsia="fr-FR"/>
        </w:rPr>
        <w:t xml:space="preserve">Né(e) à </w:t>
      </w:r>
      <w:r>
        <w:rPr>
          <w:rFonts w:ascii="Georgia" w:eastAsia="Times New Roman" w:hAnsi="Georgia" w:cs="Arial"/>
          <w:lang w:eastAsia="fr-FR"/>
        </w:rPr>
        <w:tab/>
        <w:t xml:space="preserve"> (4), le </w:t>
      </w:r>
      <w:r>
        <w:rPr>
          <w:rFonts w:ascii="Georgia" w:eastAsia="Times New Roman" w:hAnsi="Georgia" w:cs="Arial"/>
          <w:lang w:eastAsia="fr-FR"/>
        </w:rPr>
        <w:tab/>
        <w:t>(5)</w:t>
      </w:r>
    </w:p>
    <w:p w:rsidR="00F04EEF" w:rsidRDefault="00F04EEF">
      <w:pPr>
        <w:tabs>
          <w:tab w:val="right" w:leader="dot" w:pos="5760"/>
          <w:tab w:val="right" w:leader="dot" w:pos="9072"/>
        </w:tabs>
        <w:jc w:val="both"/>
        <w:rPr>
          <w:rFonts w:ascii="Georgia" w:eastAsia="Times New Roman" w:hAnsi="Georgia"/>
          <w:lang w:eastAsia="fr-FR"/>
        </w:rPr>
      </w:pPr>
    </w:p>
    <w:p w:rsidR="00F04EEF" w:rsidRDefault="0099351E">
      <w:pPr>
        <w:tabs>
          <w:tab w:val="right" w:leader="dot" w:pos="5760"/>
          <w:tab w:val="right" w:leader="dot" w:pos="9072"/>
        </w:tabs>
        <w:jc w:val="both"/>
        <w:rPr>
          <w:rFonts w:ascii="Georgia" w:eastAsia="Times New Roman" w:hAnsi="Georgia"/>
          <w:lang w:eastAsia="fr-FR"/>
        </w:rPr>
      </w:pPr>
      <w:r>
        <w:rPr>
          <w:rFonts w:ascii="Georgia" w:eastAsia="Times New Roman" w:hAnsi="Georgia"/>
          <w:lang w:eastAsia="fr-FR"/>
        </w:rPr>
        <w:t>a suivi régulièrement du</w:t>
      </w:r>
      <w:r>
        <w:rPr>
          <w:rFonts w:ascii="Georgia" w:eastAsia="Times New Roman" w:hAnsi="Georgia"/>
          <w:lang w:eastAsia="fr-FR"/>
        </w:rPr>
        <w:tab/>
        <w:t>(11) au</w:t>
      </w:r>
      <w:r>
        <w:rPr>
          <w:rFonts w:ascii="Georgia" w:eastAsia="Times New Roman" w:hAnsi="Georgia"/>
          <w:lang w:eastAsia="fr-FR"/>
        </w:rPr>
        <w:tab/>
        <w:t>(11)</w:t>
      </w:r>
    </w:p>
    <w:p w:rsidR="00F04EEF" w:rsidRDefault="0099351E">
      <w:pPr>
        <w:tabs>
          <w:tab w:val="right" w:leader="dot" w:pos="5760"/>
          <w:tab w:val="right" w:leader="dot" w:pos="9543"/>
        </w:tabs>
        <w:jc w:val="both"/>
        <w:rPr>
          <w:rFonts w:ascii="Georgia" w:eastAsia="Times New Roman" w:hAnsi="Georgia"/>
          <w:lang w:eastAsia="fr-FR"/>
        </w:rPr>
      </w:pPr>
      <w:r>
        <w:rPr>
          <w:rFonts w:ascii="Georgia" w:eastAsia="Times New Roman" w:hAnsi="Georgia"/>
          <w:lang w:eastAsia="fr-FR"/>
        </w:rPr>
        <w:t>dans l’enseignement secondaire spécialisé de forme 4 en alternance l’année d’études susvisée, dans la forme d’enseignement et dans l’orientation d’études susmentionnées.</w:t>
      </w:r>
    </w:p>
    <w:p w:rsidR="00F04EEF" w:rsidRDefault="00F04EEF">
      <w:pPr>
        <w:tabs>
          <w:tab w:val="left" w:pos="8505"/>
        </w:tabs>
        <w:jc w:val="both"/>
        <w:rPr>
          <w:rFonts w:ascii="Georgia" w:eastAsia="Times New Roman" w:hAnsi="Georgia"/>
          <w:lang w:eastAsia="fr-FR"/>
        </w:rPr>
      </w:pPr>
    </w:p>
    <w:p w:rsidR="00F04EEF" w:rsidRDefault="00F04EEF">
      <w:pPr>
        <w:tabs>
          <w:tab w:val="right" w:leader="dot" w:pos="5400"/>
          <w:tab w:val="right" w:leader="dot" w:pos="9072"/>
        </w:tabs>
        <w:spacing w:line="360" w:lineRule="auto"/>
        <w:jc w:val="both"/>
        <w:rPr>
          <w:rFonts w:ascii="Georgia" w:eastAsia="Times New Roman" w:hAnsi="Georgia" w:cs="Arial"/>
          <w:lang w:eastAsia="fr-FR"/>
        </w:rPr>
      </w:pPr>
    </w:p>
    <w:p w:rsidR="00F04EEF" w:rsidRDefault="0099351E">
      <w:pPr>
        <w:tabs>
          <w:tab w:val="right" w:leader="dot" w:pos="5400"/>
          <w:tab w:val="right" w:leader="dot" w:pos="9072"/>
        </w:tabs>
        <w:spacing w:line="360" w:lineRule="auto"/>
        <w:jc w:val="both"/>
        <w:rPr>
          <w:rFonts w:ascii="Georgia" w:eastAsia="Times New Roman" w:hAnsi="Georgia" w:cs="Arial"/>
          <w:lang w:eastAsia="fr-FR"/>
        </w:rPr>
      </w:pPr>
      <w:r>
        <w:rPr>
          <w:rFonts w:ascii="Georgia" w:eastAsia="Times New Roman" w:hAnsi="Georgia" w:cs="Arial"/>
          <w:lang w:eastAsia="fr-FR"/>
        </w:rPr>
        <w:t xml:space="preserve">Délivré à </w:t>
      </w:r>
      <w:r>
        <w:rPr>
          <w:rFonts w:ascii="Georgia" w:eastAsia="Times New Roman" w:hAnsi="Georgia" w:cs="Arial"/>
          <w:lang w:eastAsia="fr-FR"/>
        </w:rPr>
        <w:tab/>
        <w:t>(6), le</w:t>
      </w:r>
      <w:r>
        <w:rPr>
          <w:rFonts w:ascii="Georgia" w:eastAsia="Times New Roman" w:hAnsi="Georgia" w:cs="Arial"/>
          <w:lang w:eastAsia="fr-FR"/>
        </w:rPr>
        <w:tab/>
        <w:t xml:space="preserve">(5) </w:t>
      </w:r>
    </w:p>
    <w:p w:rsidR="00F04EEF" w:rsidRDefault="00F04EEF">
      <w:pPr>
        <w:tabs>
          <w:tab w:val="left" w:pos="8505"/>
        </w:tabs>
        <w:jc w:val="both"/>
        <w:rPr>
          <w:rFonts w:ascii="Georgia" w:eastAsia="Times New Roman" w:hAnsi="Georgia"/>
          <w:lang w:eastAsia="fr-FR"/>
        </w:rPr>
      </w:pPr>
    </w:p>
    <w:p w:rsidR="00F04EEF" w:rsidRDefault="0099351E">
      <w:pPr>
        <w:rPr>
          <w:rFonts w:ascii="Georgia" w:eastAsia="Times New Roman" w:hAnsi="Georgia" w:cs="Arial"/>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p>
    <w:p w:rsidR="00F04EEF" w:rsidRDefault="00F04EEF">
      <w:pPr>
        <w:rPr>
          <w:rFonts w:ascii="Georgia" w:eastAsia="Times New Roman" w:hAnsi="Georgia"/>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F04EEF">
      <w:pPr>
        <w:jc w:val="both"/>
        <w:rPr>
          <w:rFonts w:ascii="Georgia" w:eastAsia="Times New Roman" w:hAnsi="Georgia"/>
          <w:color w:val="000000"/>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19: Attestation de validation d’une unité d’acquis d’apprentissage</w:t>
      </w:r>
    </w:p>
    <w:p w:rsidR="00F04EEF" w:rsidRDefault="00F04EEF">
      <w:pPr>
        <w:jc w:val="both"/>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ENSEIGNEMENT SECONDAIRE SPECIALISE DE FORME 4 EN ALTERNANCE </w:t>
      </w:r>
    </w:p>
    <w:p w:rsidR="00F04EEF" w:rsidRDefault="00F04EEF">
      <w:pPr>
        <w:spacing w:line="360" w:lineRule="auto"/>
        <w:jc w:val="both"/>
        <w:rPr>
          <w:rFonts w:ascii="Georgia" w:eastAsia="Times New Roman" w:hAnsi="Georgia" w:cs="Arial"/>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cs="Arial"/>
          <w:b/>
          <w:u w:val="single"/>
          <w:lang w:eastAsia="ar-SA"/>
        </w:rPr>
      </w:pPr>
      <w:r>
        <w:rPr>
          <w:rFonts w:ascii="Georgia" w:hAnsi="Georgia"/>
          <w:lang w:eastAsia="ar-SA"/>
        </w:rPr>
        <w:t>ATTESTATION DE VALIDATION D’UNE UNITE D’ACQUIS D’APPRENTISSAGE</w:t>
      </w:r>
    </w:p>
    <w:p w:rsidR="00F04EEF" w:rsidRDefault="00F04EEF">
      <w:pPr>
        <w:spacing w:line="360" w:lineRule="auto"/>
        <w:jc w:val="both"/>
        <w:rPr>
          <w:rFonts w:ascii="Georgia" w:eastAsia="Times New Roman" w:hAnsi="Georgia" w:cs="Arial"/>
          <w:lang w:eastAsia="fr-FR"/>
        </w:rPr>
      </w:pPr>
    </w:p>
    <w:p w:rsidR="00F04EEF" w:rsidRDefault="0099351E">
      <w:pPr>
        <w:rPr>
          <w:rFonts w:ascii="Georgia" w:hAnsi="Georgia"/>
          <w:lang w:eastAsia="fr-FR"/>
        </w:rPr>
      </w:pPr>
      <w:r>
        <w:rPr>
          <w:rFonts w:ascii="Georgia" w:hAnsi="Georgia"/>
          <w:lang w:eastAsia="fr-FR"/>
        </w:rPr>
        <w:t>DENOMINATION ET ADRESSE DE L'ETABLISSEMENT SIEGE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(1)</w:t>
      </w:r>
    </w:p>
    <w:p w:rsidR="00F04EEF" w:rsidRDefault="00F04EEF">
      <w:pPr>
        <w:shd w:val="clear" w:color="auto" w:fill="FFFFFF"/>
        <w:rPr>
          <w:rFonts w:ascii="Georgia" w:eastAsia="Times New Roman" w:hAnsi="Georgia"/>
          <w:lang w:eastAsia="fr-FR"/>
        </w:rPr>
      </w:pPr>
    </w:p>
    <w:p w:rsidR="00F04EEF" w:rsidRDefault="0099351E">
      <w:pPr>
        <w:tabs>
          <w:tab w:val="right" w:leader="dot" w:pos="9543"/>
        </w:tabs>
        <w:jc w:val="both"/>
        <w:rPr>
          <w:rFonts w:ascii="Georgia" w:eastAsia="Times New Roman" w:hAnsi="Georgia"/>
          <w:lang w:eastAsia="fr-FR"/>
        </w:rPr>
      </w:pPr>
      <w:r>
        <w:rPr>
          <w:rFonts w:ascii="Georgia" w:eastAsia="Times New Roman" w:hAnsi="Georgia"/>
          <w:color w:val="000000"/>
          <w:lang w:eastAsia="fr-FR"/>
        </w:rPr>
        <w:t>DENOMINATION ET ADRESSE DE L'ETABLISSEMENT </w:t>
      </w:r>
      <w:r>
        <w:rPr>
          <w:rFonts w:ascii="Georgia" w:eastAsia="Times New Roman" w:hAnsi="Georgia"/>
          <w:lang w:eastAsia="fr-FR"/>
        </w:rPr>
        <w:t>COOPERANT :</w:t>
      </w:r>
    </w:p>
    <w:p w:rsidR="00F04EEF" w:rsidRDefault="0099351E">
      <w:pPr>
        <w:shd w:val="clear" w:color="auto" w:fill="FFFFFF"/>
        <w:rPr>
          <w:rFonts w:ascii="Georgia" w:eastAsia="Times New Roman" w:hAnsi="Georgia"/>
          <w:color w:val="000000"/>
          <w:lang w:eastAsia="fr-FR"/>
        </w:rPr>
      </w:pPr>
      <w:r>
        <w:rPr>
          <w:rFonts w:ascii="Georgia" w:eastAsia="Times New Roman" w:hAnsi="Georgia"/>
          <w:color w:val="000000"/>
          <w:lang w:eastAsia="fr-FR"/>
        </w:rPr>
        <w:t>………………………………………………………………………………………………………………………………………………………………………………………………………………………………………………………………………… (2)</w:t>
      </w:r>
    </w:p>
    <w:p w:rsidR="00F04EEF" w:rsidRDefault="00F04EEF">
      <w:pPr>
        <w:spacing w:line="360" w:lineRule="auto"/>
        <w:jc w:val="both"/>
        <w:rPr>
          <w:rFonts w:ascii="Georgia" w:eastAsia="Times New Roman" w:hAnsi="Georgia" w:cs="Arial"/>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 xml:space="preserve">Numéro Fase : </w:t>
      </w: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Orientation d’études : ……………………………………………………………………………………………… (9)</w:t>
      </w: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Forme d’enseignement : …………………………………………………………………………………………… (8)</w:t>
      </w: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Je soussigné(e) : …………………………………………………………………………………………………. (3)</w:t>
      </w:r>
    </w:p>
    <w:p w:rsidR="00F04EEF" w:rsidRDefault="0099351E">
      <w:pPr>
        <w:spacing w:line="360" w:lineRule="auto"/>
        <w:rPr>
          <w:rFonts w:ascii="Georgia" w:eastAsia="Times New Roman" w:hAnsi="Georgia" w:cs="Arial"/>
          <w:lang w:eastAsia="fr-FR"/>
        </w:rPr>
      </w:pPr>
      <w:r>
        <w:rPr>
          <w:rFonts w:ascii="Georgia" w:eastAsia="Times New Roman" w:hAnsi="Georgia" w:cs="Arial"/>
          <w:lang w:eastAsia="fr-FR"/>
        </w:rPr>
        <w:t>Chef(fe) de l’établissement susmentionné, certifie que l’élève : …………………………………………………………………………………………………………. (3)</w:t>
      </w: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Né(e) à …………………………………………… (4), le ……………………………………………………………… (5)</w:t>
      </w: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A satisfait à l’épreuve de validation relative à l’unité d’acquis d’apprentissage intitulée : ……………………………………………………………………………………………………………………………… (19)</w:t>
      </w:r>
    </w:p>
    <w:p w:rsidR="00F04EEF" w:rsidRDefault="0099351E">
      <w:pPr>
        <w:jc w:val="both"/>
        <w:rPr>
          <w:rFonts w:ascii="Georgia" w:eastAsia="Times New Roman" w:hAnsi="Georgia"/>
          <w:lang w:eastAsia="fr-FR"/>
        </w:rPr>
      </w:pPr>
      <w:r>
        <w:rPr>
          <w:rFonts w:ascii="Georgia" w:eastAsia="Times New Roman" w:hAnsi="Georgia"/>
          <w:lang w:eastAsia="fr-FR"/>
        </w:rPr>
        <w:t>Et reprise au profil de certification …………………………………………………………………………… (20)</w:t>
      </w:r>
    </w:p>
    <w:p w:rsidR="00F04EEF" w:rsidRDefault="00F04EEF">
      <w:pPr>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Et reprise au profil de formation………………………………………………………………………………. (21)</w:t>
      </w:r>
    </w:p>
    <w:p w:rsidR="00F04EEF" w:rsidRDefault="00F04EEF">
      <w:pPr>
        <w:spacing w:line="360" w:lineRule="auto"/>
        <w:jc w:val="both"/>
        <w:rPr>
          <w:rFonts w:ascii="Georgia" w:eastAsia="Times New Roman" w:hAnsi="Georgia" w:cs="Arial"/>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En foi de quoi, je délivre la présente attestation.</w:t>
      </w:r>
    </w:p>
    <w:p w:rsidR="00F04EEF" w:rsidRDefault="00F04EEF">
      <w:pPr>
        <w:spacing w:line="360" w:lineRule="auto"/>
        <w:jc w:val="both"/>
        <w:rPr>
          <w:rFonts w:ascii="Georgia" w:eastAsia="Times New Roman" w:hAnsi="Georgia" w:cs="Arial"/>
          <w:lang w:eastAsia="fr-FR"/>
        </w:rPr>
      </w:pPr>
    </w:p>
    <w:p w:rsidR="00F04EEF" w:rsidRDefault="0099351E">
      <w:pPr>
        <w:spacing w:line="360" w:lineRule="auto"/>
        <w:jc w:val="both"/>
        <w:rPr>
          <w:rFonts w:ascii="Georgia" w:eastAsia="Times New Roman" w:hAnsi="Georgia" w:cs="Arial"/>
          <w:lang w:eastAsia="fr-FR"/>
        </w:rPr>
      </w:pPr>
      <w:r>
        <w:rPr>
          <w:rFonts w:ascii="Georgia" w:eastAsia="Times New Roman" w:hAnsi="Georgia" w:cs="Arial"/>
          <w:lang w:eastAsia="fr-FR"/>
        </w:rPr>
        <w:t>Délivré à ……………………………………………… (6), le ……………………………………………………….. (5)</w:t>
      </w:r>
    </w:p>
    <w:p w:rsidR="00F04EEF" w:rsidRDefault="00F04EEF">
      <w:pPr>
        <w:spacing w:line="360" w:lineRule="auto"/>
        <w:jc w:val="both"/>
        <w:rPr>
          <w:rFonts w:ascii="Georgia" w:eastAsia="Times New Roman" w:hAnsi="Georgia" w:cs="Arial"/>
          <w:lang w:eastAsia="fr-FR"/>
        </w:rPr>
      </w:pPr>
    </w:p>
    <w:p w:rsidR="00F04EEF" w:rsidRDefault="0099351E">
      <w:pPr>
        <w:jc w:val="both"/>
        <w:rPr>
          <w:rFonts w:ascii="Georgia" w:eastAsia="Times New Roman" w:hAnsi="Georgia"/>
          <w:szCs w:val="20"/>
          <w:lang w:eastAsia="fr-FR"/>
        </w:rPr>
      </w:pPr>
      <w:r>
        <w:rPr>
          <w:rFonts w:ascii="Georgia" w:eastAsia="Times New Roman" w:hAnsi="Georgia" w:cs="Arial"/>
          <w:lang w:eastAsia="fr-FR"/>
        </w:rPr>
        <w:t>Le (La) Chef(fe) d’établissement,</w:t>
      </w:r>
      <w:r>
        <w:rPr>
          <w:rFonts w:ascii="Georgia" w:eastAsia="Times New Roman" w:hAnsi="Georgia" w:cs="Arial"/>
          <w:lang w:eastAsia="fr-FR"/>
        </w:rPr>
        <w:tab/>
      </w:r>
      <w:r>
        <w:rPr>
          <w:rFonts w:ascii="Georgia" w:eastAsia="Times New Roman" w:hAnsi="Georgia" w:cs="Arial"/>
          <w:lang w:eastAsia="fr-FR"/>
        </w:rPr>
        <w:tab/>
      </w:r>
      <w:r>
        <w:rPr>
          <w:rFonts w:ascii="Georgia" w:eastAsia="Times New Roman" w:hAnsi="Georgia" w:cs="Arial"/>
          <w:lang w:eastAsia="fr-FR"/>
        </w:rPr>
        <w:tab/>
      </w:r>
    </w:p>
    <w:p w:rsidR="00F04EEF" w:rsidRDefault="00F04EEF">
      <w:pPr>
        <w:jc w:val="center"/>
        <w:rPr>
          <w:rFonts w:ascii="Georgia" w:eastAsia="Times New Roman" w:hAnsi="Georgia"/>
          <w:lang w:eastAsia="fr-FR"/>
        </w:rPr>
      </w:pPr>
    </w:p>
    <w:p w:rsidR="00F04EEF" w:rsidRDefault="00F04EEF">
      <w:pPr>
        <w:jc w:val="center"/>
        <w:rPr>
          <w:rFonts w:ascii="Georgia" w:eastAsia="Times New Roman" w:hAnsi="Georgia"/>
          <w:lang w:eastAsia="fr-FR"/>
        </w:rPr>
      </w:pPr>
    </w:p>
    <w:p w:rsidR="00F04EEF" w:rsidRDefault="00F04EEF">
      <w:pPr>
        <w:jc w:val="center"/>
        <w:rPr>
          <w:rFonts w:ascii="Georgia" w:eastAsia="Times New Roman" w:hAnsi="Georgia"/>
          <w:lang w:eastAsia="fr-FR"/>
        </w:rPr>
      </w:pPr>
    </w:p>
    <w:p w:rsidR="00F04EEF" w:rsidRDefault="00F04EEF">
      <w:pPr>
        <w:spacing w:line="360" w:lineRule="auto"/>
        <w:jc w:val="both"/>
        <w:rPr>
          <w:rFonts w:ascii="Georgia" w:eastAsia="Times New Roman" w:hAnsi="Georgia"/>
          <w:lang w:eastAsia="fr-FR"/>
        </w:rPr>
      </w:pPr>
    </w:p>
    <w:p w:rsidR="00F04EEF" w:rsidRDefault="00F04EEF">
      <w:pPr>
        <w:spacing w:line="360" w:lineRule="auto"/>
        <w:jc w:val="both"/>
        <w:rPr>
          <w:rFonts w:ascii="Georgia" w:eastAsia="Times New Roman" w:hAnsi="Georgia"/>
          <w:lang w:eastAsia="fr-FR"/>
        </w:rPr>
      </w:pPr>
    </w:p>
    <w:p w:rsidR="00F04EEF" w:rsidRDefault="00F04EEF">
      <w:pPr>
        <w:spacing w:line="360" w:lineRule="auto"/>
        <w:jc w:val="both"/>
        <w:rPr>
          <w:rFonts w:ascii="Georgia" w:eastAsia="Times New Roman" w:hAnsi="Georgia"/>
          <w:lang w:eastAsia="fr-FR"/>
        </w:rPr>
      </w:pPr>
    </w:p>
    <w:p w:rsidR="00F04EEF" w:rsidRDefault="00F04EEF">
      <w:pPr>
        <w:spacing w:line="360" w:lineRule="auto"/>
        <w:jc w:val="both"/>
        <w:rPr>
          <w:rFonts w:ascii="Georgia" w:eastAsia="Times New Roman" w:hAnsi="Georgia"/>
          <w:lang w:eastAsia="fr-FR"/>
        </w:rPr>
      </w:pPr>
    </w:p>
    <w:p w:rsidR="00F04EEF" w:rsidRDefault="00F04EEF">
      <w:pPr>
        <w:spacing w:line="360" w:lineRule="auto"/>
        <w:jc w:val="both"/>
        <w:rPr>
          <w:rFonts w:ascii="Georgia" w:eastAsia="Times New Roman" w:hAnsi="Georgia"/>
          <w:lang w:eastAsia="fr-FR"/>
        </w:rPr>
      </w:pPr>
    </w:p>
    <w:p w:rsidR="00F04EEF" w:rsidRDefault="00F04EEF">
      <w:pPr>
        <w:rPr>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ageBreakBefore/>
        <w:tabs>
          <w:tab w:val="left" w:pos="567"/>
        </w:tabs>
        <w:autoSpaceDE w:val="0"/>
        <w:autoSpaceDN w:val="0"/>
        <w:adjustRightInd w:val="0"/>
        <w:ind w:left="567"/>
        <w:jc w:val="both"/>
        <w:outlineLvl w:val="3"/>
        <w:rPr>
          <w:rFonts w:ascii="Cambria" w:hAnsi="Cambria" w:cs="Calibri"/>
          <w:b/>
          <w:szCs w:val="24"/>
          <w:u w:val="single"/>
          <w:lang w:eastAsia="fr-BE"/>
        </w:rPr>
      </w:pPr>
      <w:r>
        <w:rPr>
          <w:rFonts w:ascii="Cambria" w:hAnsi="Cambria" w:cs="Calibri"/>
          <w:b/>
          <w:szCs w:val="24"/>
          <w:u w:val="single"/>
          <w:lang w:eastAsia="fr-FR"/>
        </w:rPr>
        <w:t>Annexe 20 : Instructions pour la rédaction des attestations, des avis délivrés dans l’enseignement secondaire spécialisé de forme 3 et de forme 4 en alternance</w:t>
      </w: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ENSEIGNEMENT SECONDAIRE SPECIALISE DE FORME 3 ET DE FORME 4 </w:t>
      </w:r>
    </w:p>
    <w:p w:rsidR="00F04EEF" w:rsidRDefault="0099351E">
      <w:pPr>
        <w:jc w:val="center"/>
        <w:rPr>
          <w:rFonts w:ascii="Georgia" w:hAnsi="Georgia"/>
          <w:b/>
          <w:lang w:eastAsia="fr-FR"/>
        </w:rPr>
      </w:pPr>
      <w:r>
        <w:rPr>
          <w:rFonts w:ascii="Georgia" w:hAnsi="Georgia"/>
          <w:b/>
          <w:lang w:eastAsia="fr-FR"/>
        </w:rPr>
        <w:t>EN ALTERNANCE</w:t>
      </w:r>
    </w:p>
    <w:p w:rsidR="00F04EEF" w:rsidRDefault="00F04EEF">
      <w:pPr>
        <w:jc w:val="both"/>
        <w:rPr>
          <w:rFonts w:ascii="Georgia" w:eastAsia="Times New Roman" w:hAnsi="Georgia"/>
          <w:lang w:eastAsia="fr-FR"/>
        </w:rPr>
      </w:pPr>
    </w:p>
    <w:p w:rsidR="00F04EEF" w:rsidRDefault="0099351E">
      <w:pPr>
        <w:pBdr>
          <w:top w:val="single" w:sz="4" w:space="1" w:color="auto"/>
          <w:left w:val="single" w:sz="4" w:space="4" w:color="auto"/>
          <w:bottom w:val="single" w:sz="4" w:space="1" w:color="auto"/>
          <w:right w:val="single" w:sz="4" w:space="4" w:color="auto"/>
        </w:pBdr>
        <w:jc w:val="center"/>
        <w:rPr>
          <w:rFonts w:ascii="Georgia" w:eastAsia="Times New Roman" w:hAnsi="Georgia"/>
          <w:lang w:eastAsia="fr-FR"/>
        </w:rPr>
      </w:pPr>
      <w:r>
        <w:rPr>
          <w:rFonts w:ascii="Georgia" w:eastAsia="Times New Roman" w:hAnsi="Georgia"/>
          <w:lang w:eastAsia="fr-FR"/>
        </w:rPr>
        <w:t>Instructions pour la rédaction des attestations, des certificats et des avis délivrés dans l’enseignement secondaire spécialisé de forme 3 et de forme 4 en alternance</w:t>
      </w:r>
    </w:p>
    <w:p w:rsidR="00F04EEF" w:rsidRDefault="00F04EEF">
      <w:pPr>
        <w:ind w:firstLine="708"/>
        <w:jc w:val="center"/>
        <w:rPr>
          <w:rFonts w:ascii="Georgia" w:eastAsia="Times New Roman" w:hAnsi="Georgia"/>
          <w:lang w:eastAsia="fr-FR"/>
        </w:rPr>
      </w:pPr>
    </w:p>
    <w:p w:rsidR="00F04EEF" w:rsidRDefault="0099351E">
      <w:pPr>
        <w:jc w:val="both"/>
        <w:rPr>
          <w:rFonts w:ascii="Georgia" w:eastAsia="Times New Roman" w:hAnsi="Georgia"/>
          <w:color w:val="000000"/>
          <w:lang w:eastAsia="fr-FR"/>
        </w:rPr>
      </w:pPr>
      <w:r>
        <w:rPr>
          <w:rFonts w:ascii="Georgia" w:eastAsia="Times New Roman" w:hAnsi="Georgia"/>
          <w:u w:val="single"/>
          <w:lang w:eastAsia="fr-FR"/>
        </w:rPr>
        <w:t>Remarques liminaires</w:t>
      </w:r>
      <w:r>
        <w:rPr>
          <w:rFonts w:ascii="Georgia" w:eastAsia="Times New Roman" w:hAnsi="Georgia"/>
          <w:lang w:eastAsia="fr-FR"/>
        </w:rPr>
        <w:t> : les titres doivent être établis par ordinateur.</w:t>
      </w:r>
      <w:r>
        <w:rPr>
          <w:rFonts w:ascii="Georgia" w:eastAsia="Times New Roman" w:hAnsi="Georgia"/>
          <w:color w:val="000000"/>
          <w:lang w:eastAsia="fr-FR"/>
        </w:rPr>
        <w:t xml:space="preserve"> Ils devront présenter une stricte conformité avec les modèles réglementairement fixés et ne peuvent comporter ni rature ni surcharge.</w:t>
      </w:r>
    </w:p>
    <w:p w:rsidR="00F04EEF" w:rsidRDefault="0099351E">
      <w:pPr>
        <w:jc w:val="both"/>
        <w:rPr>
          <w:rFonts w:ascii="Georgia" w:eastAsia="Times New Roman" w:hAnsi="Georgia"/>
          <w:color w:val="000000"/>
          <w:lang w:eastAsia="fr-FR"/>
        </w:rPr>
      </w:pPr>
      <w:r>
        <w:rPr>
          <w:rFonts w:ascii="Georgia" w:eastAsia="Times New Roman" w:hAnsi="Georgia"/>
          <w:color w:val="000000"/>
          <w:lang w:eastAsia="fr-FR"/>
        </w:rPr>
        <w:t>En outre, les attestations, le procès-verbal, certifcats et avis doivent avoir le format A4 et être imprimés conformément aux modèles annexés au présent arrêté.</w:t>
      </w:r>
    </w:p>
    <w:p w:rsidR="00F04EEF" w:rsidRDefault="0099351E">
      <w:pPr>
        <w:jc w:val="both"/>
        <w:rPr>
          <w:rFonts w:ascii="Georgia" w:eastAsia="Times New Roman" w:hAnsi="Georgia"/>
          <w:color w:val="000000"/>
          <w:lang w:eastAsia="fr-FR"/>
        </w:rPr>
      </w:pPr>
      <w:r>
        <w:rPr>
          <w:rFonts w:ascii="Georgia" w:eastAsia="Times New Roman" w:hAnsi="Georgia"/>
          <w:color w:val="000000"/>
          <w:lang w:eastAsia="fr-FR"/>
        </w:rPr>
        <w:t>Les certificats doivent être imprimés en noir, en format portrait, sur un papier blanc présentant un grammage minimal de 135 grammes. Le certificat ne doit pas présenter d’altération ni d’ornementation et avoir la même police et taille d’écriture. Un espace suffisant doit être laissé afin que chaque partie puisse signer ledit certificat sans empiéter sur un autre cosignataire ou empiéter sur le texte. Les signatures artistiques et colorées ne sont pas autorisées.</w:t>
      </w:r>
    </w:p>
    <w:p w:rsidR="00F04EEF" w:rsidRDefault="0099351E">
      <w:pPr>
        <w:jc w:val="both"/>
        <w:rPr>
          <w:rFonts w:ascii="Georgia" w:eastAsia="Times New Roman" w:hAnsi="Georgia"/>
          <w:lang w:eastAsia="fr-FR"/>
        </w:rPr>
      </w:pPr>
      <w:r>
        <w:rPr>
          <w:rFonts w:ascii="Georgia" w:eastAsia="Times New Roman" w:hAnsi="Georgia"/>
          <w:lang w:eastAsia="fr-FR"/>
        </w:rPr>
        <w:t>Le document doit être personnalisé en fonction du sexe de l’élève et du chef d’établissement.</w:t>
      </w:r>
    </w:p>
    <w:p w:rsidR="00F04EEF" w:rsidRDefault="00F04EEF">
      <w:pPr>
        <w:jc w:val="both"/>
        <w:rPr>
          <w:rFonts w:ascii="Georgia" w:eastAsia="Times New Roman" w:hAnsi="Georgia"/>
          <w:lang w:eastAsia="fr-FR"/>
        </w:rPr>
      </w:pPr>
    </w:p>
    <w:p w:rsidR="00F04EEF" w:rsidRDefault="0099351E">
      <w:pPr>
        <w:jc w:val="both"/>
        <w:rPr>
          <w:rFonts w:ascii="Georgia" w:eastAsia="Times New Roman" w:hAnsi="Georgia"/>
          <w:color w:val="000000"/>
          <w:lang w:eastAsia="fr-FR"/>
        </w:rPr>
      </w:pPr>
      <w:r>
        <w:rPr>
          <w:rFonts w:ascii="Georgia" w:eastAsia="Times New Roman" w:hAnsi="Georgia"/>
          <w:color w:val="000000"/>
          <w:lang w:eastAsia="fr-FR"/>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rsidR="00F04EEF" w:rsidRDefault="00F04EEF">
      <w:pPr>
        <w:jc w:val="both"/>
        <w:rPr>
          <w:rFonts w:ascii="Georgia" w:eastAsia="Times New Roman" w:hAnsi="Georgia"/>
          <w:color w:val="000000"/>
          <w:lang w:eastAsia="fr-FR"/>
        </w:rPr>
      </w:pPr>
    </w:p>
    <w:p w:rsidR="00F04EEF" w:rsidRDefault="0099351E">
      <w:pPr>
        <w:numPr>
          <w:ilvl w:val="0"/>
          <w:numId w:val="159"/>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Dénomination et adresse de l’établissement siège</w:t>
      </w:r>
    </w:p>
    <w:p w:rsidR="00F04EEF" w:rsidRDefault="00F04EEF">
      <w:pPr>
        <w:rPr>
          <w:rFonts w:ascii="Georgia" w:eastAsia="Times New Roman" w:hAnsi="Georgia"/>
          <w:color w:val="000000"/>
          <w:u w:val="single"/>
          <w:lang w:eastAsia="fr-FR"/>
        </w:rPr>
      </w:pPr>
    </w:p>
    <w:p w:rsidR="00F04EEF" w:rsidRDefault="0099351E">
      <w:pPr>
        <w:jc w:val="both"/>
        <w:rPr>
          <w:rFonts w:ascii="Georgia" w:eastAsia="Times New Roman" w:hAnsi="Georgia"/>
          <w:color w:val="000000"/>
          <w:lang w:eastAsia="fr-FR"/>
        </w:rPr>
      </w:pPr>
      <w:r>
        <w:rPr>
          <w:rFonts w:ascii="Georgia" w:eastAsia="Times New Roman" w:hAnsi="Georgia"/>
          <w:color w:val="000000"/>
          <w:lang w:eastAsia="fr-FR"/>
        </w:rPr>
        <w:t>Dénomination réglementaire de l’établissement siège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rsidR="00F04EEF" w:rsidRDefault="00F04EEF">
      <w:pPr>
        <w:jc w:val="both"/>
        <w:rPr>
          <w:rFonts w:ascii="Georgia" w:eastAsia="Times New Roman" w:hAnsi="Georgia"/>
          <w:color w:val="000000"/>
          <w:lang w:eastAsia="fr-FR"/>
        </w:rPr>
      </w:pPr>
    </w:p>
    <w:p w:rsidR="00F04EEF" w:rsidRDefault="0099351E">
      <w:pPr>
        <w:numPr>
          <w:ilvl w:val="0"/>
          <w:numId w:val="159"/>
        </w:numPr>
        <w:ind w:hanging="720"/>
        <w:jc w:val="both"/>
        <w:rPr>
          <w:rFonts w:ascii="Georgia" w:eastAsia="Times New Roman" w:hAnsi="Georgia"/>
          <w:color w:val="000000"/>
          <w:u w:val="single"/>
          <w:lang w:eastAsia="fr-FR"/>
        </w:rPr>
      </w:pPr>
      <w:r>
        <w:rPr>
          <w:rFonts w:ascii="Georgia" w:eastAsia="Times New Roman" w:hAnsi="Georgia"/>
          <w:u w:val="single"/>
          <w:lang w:eastAsia="fr-FR"/>
        </w:rPr>
        <w:t>Dénomination et adresse de l’établissement coopérant</w:t>
      </w:r>
    </w:p>
    <w:p w:rsidR="00F04EEF" w:rsidRDefault="00F04EEF">
      <w:pPr>
        <w:jc w:val="both"/>
        <w:rPr>
          <w:rFonts w:ascii="Georgia" w:eastAsia="Times New Roman" w:hAnsi="Georgia"/>
          <w:u w:val="single"/>
          <w:lang w:eastAsia="fr-FR"/>
        </w:rPr>
      </w:pPr>
    </w:p>
    <w:p w:rsidR="00F04EEF" w:rsidRDefault="0099351E">
      <w:pPr>
        <w:jc w:val="both"/>
        <w:rPr>
          <w:rFonts w:ascii="Georgia" w:eastAsia="Times New Roman" w:hAnsi="Georgia"/>
          <w:color w:val="000000"/>
          <w:u w:val="single"/>
          <w:lang w:eastAsia="fr-FR"/>
        </w:rPr>
      </w:pPr>
      <w:r>
        <w:rPr>
          <w:rFonts w:ascii="Georgia" w:eastAsia="Times New Roman" w:hAnsi="Georgia"/>
          <w:lang w:eastAsia="fr-FR"/>
        </w:rPr>
        <w:t>Quand les cours ont été suivis dans un établissement coopérant, les coordonnées de l’établissement coopérant où les cours ont été effectivement suivis, avec indication du terme « établissement coopérant », pourront être reprises.</w:t>
      </w:r>
    </w:p>
    <w:p w:rsidR="00F04EEF" w:rsidRDefault="00F04EEF">
      <w:pPr>
        <w:rPr>
          <w:rFonts w:ascii="Georgia" w:eastAsia="Times New Roman" w:hAnsi="Georgia"/>
          <w:color w:val="000000"/>
          <w:lang w:eastAsia="fr-FR"/>
        </w:rPr>
      </w:pPr>
    </w:p>
    <w:p w:rsidR="00F04EEF" w:rsidRDefault="0099351E">
      <w:pPr>
        <w:numPr>
          <w:ilvl w:val="0"/>
          <w:numId w:val="159"/>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Nom et prénom du chef d’établissement ou de l’élève</w:t>
      </w:r>
    </w:p>
    <w:p w:rsidR="00F04EEF" w:rsidRDefault="00F04EEF">
      <w:pPr>
        <w:rPr>
          <w:rFonts w:ascii="Georgia" w:eastAsia="Times New Roman" w:hAnsi="Georgia"/>
          <w:color w:val="000000"/>
          <w:u w:val="single"/>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Le nom du chef d’établissement ou de l’élève, selon le cas, sera écrit en lettres minuscules, hormis la première lettre qui sera en lettre majuscule (Exemple : Dupont).</w:t>
      </w:r>
    </w:p>
    <w:p w:rsidR="00F04EEF" w:rsidRDefault="00F04EEF">
      <w:pPr>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rsidR="00F04EEF" w:rsidRDefault="00F04EEF">
      <w:pPr>
        <w:jc w:val="both"/>
        <w:rPr>
          <w:rFonts w:ascii="Georgia" w:eastAsia="Times New Roman" w:hAnsi="Georgia"/>
          <w:color w:val="000000"/>
          <w:lang w:eastAsia="fr-FR"/>
        </w:rPr>
      </w:pPr>
    </w:p>
    <w:p w:rsidR="00F04EEF" w:rsidRDefault="0099351E">
      <w:pPr>
        <w:jc w:val="both"/>
        <w:rPr>
          <w:rFonts w:ascii="Georgia" w:eastAsia="Times New Roman" w:hAnsi="Georgia"/>
          <w:color w:val="000000"/>
          <w:lang w:eastAsia="fr-FR"/>
        </w:rPr>
      </w:pPr>
      <w:r>
        <w:rPr>
          <w:rFonts w:ascii="Georgia" w:eastAsia="Times New Roman" w:hAnsi="Georgia"/>
          <w:color w:val="000000"/>
          <w:lang w:eastAsia="fr-FR"/>
        </w:rPr>
        <w:t>Le nom et le premier prénom (ou le prénom composé avec tiret) de l’élève seront repris comme indiqués sur l’acte de naissance, la carte d’identité ou à défaut, le passeport ou le titre de séjour.</w:t>
      </w:r>
    </w:p>
    <w:p w:rsidR="00F04EEF" w:rsidRDefault="00F04EEF">
      <w:pPr>
        <w:jc w:val="both"/>
        <w:rPr>
          <w:rFonts w:ascii="Georgia" w:eastAsia="Times New Roman" w:hAnsi="Georgia"/>
          <w:color w:val="000000"/>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Le chef d’établissement est le chef de l’établissement coopérant.</w:t>
      </w:r>
    </w:p>
    <w:p w:rsidR="00F04EEF" w:rsidRDefault="00F04EEF">
      <w:pPr>
        <w:jc w:val="both"/>
        <w:rPr>
          <w:rFonts w:ascii="Georgia" w:eastAsia="Times New Roman" w:hAnsi="Georgia"/>
          <w:lang w:eastAsia="fr-FR"/>
        </w:rPr>
      </w:pPr>
    </w:p>
    <w:p w:rsidR="00F04EEF" w:rsidRDefault="0099351E">
      <w:pPr>
        <w:numPr>
          <w:ilvl w:val="0"/>
          <w:numId w:val="159"/>
        </w:numPr>
        <w:ind w:hanging="720"/>
        <w:rPr>
          <w:rFonts w:ascii="Georgia" w:eastAsia="Times New Roman" w:hAnsi="Georgia"/>
          <w:color w:val="000000"/>
          <w:u w:val="single"/>
          <w:lang w:eastAsia="fr-FR"/>
        </w:rPr>
      </w:pPr>
      <w:r>
        <w:rPr>
          <w:rFonts w:ascii="Georgia" w:eastAsia="Times New Roman" w:hAnsi="Georgia"/>
          <w:color w:val="000000"/>
          <w:u w:val="single"/>
          <w:lang w:eastAsia="fr-FR"/>
        </w:rPr>
        <w:t>Lieu de naissance</w:t>
      </w:r>
    </w:p>
    <w:p w:rsidR="00F04EEF" w:rsidRDefault="00F04EEF">
      <w:pPr>
        <w:rPr>
          <w:rFonts w:ascii="Georgia" w:eastAsia="Times New Roman" w:hAnsi="Georgia"/>
          <w:color w:val="000000"/>
          <w:u w:val="single"/>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26. Ce sigle de nationalité sera le seul à être admis sur les différents titres. Il conviendra de se référer à la dénomination officielle du pays au moment de la délivrance du titre.</w:t>
      </w:r>
    </w:p>
    <w:p w:rsidR="00F04EEF" w:rsidRDefault="00F04EEF">
      <w:pPr>
        <w:jc w:val="both"/>
        <w:rPr>
          <w:rFonts w:ascii="Georgia" w:eastAsia="Times New Roman" w:hAnsi="Georgia"/>
          <w:lang w:eastAsia="fr-FR"/>
        </w:rPr>
      </w:pPr>
    </w:p>
    <w:p w:rsidR="00F04EEF" w:rsidRDefault="0099351E">
      <w:pPr>
        <w:numPr>
          <w:ilvl w:val="0"/>
          <w:numId w:val="159"/>
        </w:numPr>
        <w:ind w:hanging="720"/>
        <w:rPr>
          <w:rFonts w:ascii="Georgia" w:eastAsia="Times New Roman" w:hAnsi="Georgia"/>
          <w:color w:val="000000"/>
          <w:u w:val="single"/>
          <w:lang w:eastAsia="fr-FR"/>
        </w:rPr>
      </w:pPr>
      <w:r>
        <w:rPr>
          <w:rFonts w:ascii="Georgia" w:eastAsia="Times New Roman" w:hAnsi="Georgia"/>
          <w:color w:val="000000"/>
          <w:u w:val="single"/>
          <w:lang w:eastAsia="fr-FR"/>
        </w:rPr>
        <w:t>Mois</w:t>
      </w:r>
    </w:p>
    <w:p w:rsidR="00F04EEF" w:rsidRDefault="00F04EEF">
      <w:pPr>
        <w:rPr>
          <w:rFonts w:ascii="Georgia" w:eastAsia="Times New Roman" w:hAnsi="Georgia"/>
          <w:lang w:eastAsia="fr-FR"/>
        </w:rPr>
      </w:pPr>
    </w:p>
    <w:p w:rsidR="00F04EEF" w:rsidRDefault="0099351E">
      <w:pPr>
        <w:rPr>
          <w:rFonts w:ascii="Georgia" w:eastAsia="Times New Roman" w:hAnsi="Georgia"/>
          <w:color w:val="000000"/>
          <w:lang w:eastAsia="fr-FR"/>
        </w:rPr>
      </w:pPr>
      <w:r>
        <w:rPr>
          <w:rFonts w:ascii="Georgia" w:eastAsia="Times New Roman" w:hAnsi="Georgia"/>
          <w:color w:val="000000"/>
          <w:lang w:eastAsia="fr-FR"/>
        </w:rPr>
        <w:t>Le mois sera écrit en toutes lettres. L’emploi d’un cachet dateur n’est pas autorisé.</w:t>
      </w:r>
    </w:p>
    <w:p w:rsidR="00F04EEF" w:rsidRDefault="00F04EEF">
      <w:pPr>
        <w:rPr>
          <w:rFonts w:ascii="Georgia" w:eastAsia="Times New Roman" w:hAnsi="Georgia"/>
          <w:color w:val="000000"/>
          <w:lang w:eastAsia="fr-FR"/>
        </w:rPr>
      </w:pPr>
    </w:p>
    <w:p w:rsidR="00F04EEF" w:rsidRDefault="0099351E">
      <w:pPr>
        <w:numPr>
          <w:ilvl w:val="0"/>
          <w:numId w:val="159"/>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Commune</w:t>
      </w:r>
    </w:p>
    <w:p w:rsidR="00F04EEF" w:rsidRDefault="00F04EEF">
      <w:pPr>
        <w:rPr>
          <w:rFonts w:ascii="Georgia" w:eastAsia="Times New Roman" w:hAnsi="Georgia"/>
          <w:color w:val="000000"/>
          <w:u w:val="single"/>
          <w:lang w:eastAsia="fr-FR"/>
        </w:rPr>
      </w:pPr>
    </w:p>
    <w:p w:rsidR="00F04EEF" w:rsidRDefault="0099351E">
      <w:pPr>
        <w:rPr>
          <w:rFonts w:ascii="Georgia" w:eastAsia="Times New Roman" w:hAnsi="Georgia"/>
          <w:lang w:eastAsia="fr-FR"/>
        </w:rPr>
      </w:pPr>
      <w:r>
        <w:rPr>
          <w:rFonts w:ascii="Georgia" w:eastAsia="Times New Roman" w:hAnsi="Georgia"/>
          <w:color w:val="000000"/>
          <w:lang w:eastAsia="fr-FR"/>
        </w:rPr>
        <w:t xml:space="preserve">Il s’agit de la commune où est situé le siège de </w:t>
      </w:r>
      <w:r>
        <w:rPr>
          <w:rFonts w:ascii="Georgia" w:eastAsia="Times New Roman" w:hAnsi="Georgia"/>
          <w:lang w:eastAsia="fr-FR"/>
        </w:rPr>
        <w:t>l’établissement et/ou l’élève suit la majorité de sa formation.</w:t>
      </w:r>
    </w:p>
    <w:p w:rsidR="00F04EEF" w:rsidRDefault="0099351E">
      <w:pPr>
        <w:jc w:val="both"/>
        <w:rPr>
          <w:rFonts w:ascii="Georgia" w:eastAsia="Times New Roman" w:hAnsi="Georgia"/>
          <w:color w:val="000000"/>
          <w:lang w:eastAsia="fr-FR"/>
        </w:rPr>
      </w:pPr>
      <w:r>
        <w:rPr>
          <w:rFonts w:ascii="Georgia" w:eastAsia="Times New Roman" w:hAnsi="Georgia"/>
          <w:color w:val="000000"/>
          <w:lang w:eastAsia="fr-FR"/>
        </w:rPr>
        <w:t>Le nom de la commune sera écrit en lettres minuscules, hormis la première lettre qui sera en lettre majuscule conformément au libellé figurant à l’annexe 27 du présent arrêté.</w:t>
      </w:r>
    </w:p>
    <w:p w:rsidR="00F04EEF" w:rsidRDefault="00F04EEF">
      <w:pPr>
        <w:ind w:firstLine="360"/>
        <w:rPr>
          <w:rFonts w:ascii="Georgia" w:eastAsia="Times New Roman" w:hAnsi="Georgia"/>
          <w:color w:val="000000"/>
          <w:lang w:eastAsia="fr-FR"/>
        </w:rPr>
      </w:pPr>
    </w:p>
    <w:p w:rsidR="00F04EEF" w:rsidRDefault="0099351E">
      <w:pPr>
        <w:numPr>
          <w:ilvl w:val="0"/>
          <w:numId w:val="159"/>
        </w:numPr>
        <w:ind w:left="0" w:firstLine="0"/>
        <w:rPr>
          <w:rFonts w:ascii="Georgia" w:eastAsia="Times New Roman" w:hAnsi="Georgia"/>
          <w:color w:val="000000"/>
          <w:u w:val="single"/>
          <w:lang w:eastAsia="fr-FR"/>
        </w:rPr>
      </w:pPr>
      <w:r>
        <w:rPr>
          <w:rFonts w:ascii="Georgia" w:eastAsia="Times New Roman" w:hAnsi="Georgia"/>
          <w:color w:val="000000"/>
          <w:u w:val="single"/>
          <w:lang w:eastAsia="fr-FR"/>
        </w:rPr>
        <w:t>Féminisation des métiers</w:t>
      </w:r>
    </w:p>
    <w:p w:rsidR="00F04EEF" w:rsidRDefault="00F04EEF">
      <w:pPr>
        <w:rPr>
          <w:rFonts w:ascii="Georgia" w:eastAsia="Times New Roman" w:hAnsi="Georgia"/>
          <w:color w:val="000000"/>
          <w:u w:val="single"/>
          <w:lang w:eastAsia="fr-FR"/>
        </w:rPr>
      </w:pPr>
    </w:p>
    <w:p w:rsidR="00F04EEF" w:rsidRDefault="0099351E">
      <w:pPr>
        <w:jc w:val="both"/>
        <w:rPr>
          <w:rFonts w:ascii="Georgia" w:eastAsia="Times New Roman" w:hAnsi="Georgia"/>
          <w:color w:val="000000"/>
          <w:lang w:eastAsia="fr-FR"/>
        </w:rPr>
      </w:pPr>
      <w:r>
        <w:rPr>
          <w:rFonts w:ascii="Georgia" w:eastAsia="Times New Roman" w:hAnsi="Georgia"/>
          <w:color w:val="000000"/>
          <w:lang w:eastAsia="fr-FR"/>
        </w:rPr>
        <w:t>Lorsque l’on mentionne des noms de métier, il convient de les féminiser, soit en indiquant le nom au féminin ou au masculin, selon qu’il s’agit d’une ou d’un élève. Le métier sera écrit en lettres minuscules hormis la première lettre qui sera majuscule.</w:t>
      </w:r>
    </w:p>
    <w:p w:rsidR="00F04EEF" w:rsidRDefault="00F04EEF">
      <w:pPr>
        <w:jc w:val="both"/>
        <w:rPr>
          <w:rFonts w:ascii="Georgia" w:eastAsia="Times New Roman" w:hAnsi="Georgia"/>
          <w:color w:val="000000"/>
          <w:lang w:eastAsia="fr-FR"/>
        </w:rPr>
      </w:pPr>
    </w:p>
    <w:p w:rsidR="00F04EEF" w:rsidRDefault="0099351E">
      <w:pPr>
        <w:rPr>
          <w:rFonts w:ascii="Georgia" w:eastAsia="Times New Roman" w:hAnsi="Georgia"/>
          <w:color w:val="000000"/>
          <w:lang w:eastAsia="fr-FR"/>
        </w:rPr>
      </w:pPr>
      <w:r>
        <w:rPr>
          <w:rFonts w:ascii="Georgia" w:eastAsia="Times New Roman" w:hAnsi="Georgia"/>
          <w:color w:val="000000"/>
          <w:lang w:eastAsia="fr-FR"/>
        </w:rPr>
        <w:t>Exemple : "encodeuse de données" lorsqu’il s’agit d’une fille ou "encodeur de données" lorsqu’il s’agit d’un garçon.</w:t>
      </w:r>
    </w:p>
    <w:p w:rsidR="00F04EEF" w:rsidRDefault="00F04EEF">
      <w:pPr>
        <w:rPr>
          <w:rFonts w:ascii="Georgia" w:eastAsia="Times New Roman" w:hAnsi="Georgia"/>
          <w:color w:val="000000"/>
          <w:lang w:eastAsia="fr-FR"/>
        </w:rPr>
      </w:pPr>
    </w:p>
    <w:p w:rsidR="00F04EEF" w:rsidRDefault="0099351E">
      <w:pPr>
        <w:numPr>
          <w:ilvl w:val="0"/>
          <w:numId w:val="159"/>
        </w:numPr>
        <w:ind w:hanging="720"/>
        <w:rPr>
          <w:rFonts w:ascii="Georgia" w:eastAsia="Times New Roman" w:hAnsi="Georgia"/>
          <w:color w:val="000000"/>
          <w:u w:val="single"/>
          <w:lang w:eastAsia="fr-FR"/>
        </w:rPr>
      </w:pPr>
      <w:r>
        <w:rPr>
          <w:rFonts w:ascii="Georgia" w:eastAsia="Times New Roman" w:hAnsi="Georgia"/>
          <w:u w:val="single"/>
          <w:lang w:eastAsia="fr-FR"/>
        </w:rPr>
        <w:t>Forme d’enseignement en alternance</w:t>
      </w:r>
    </w:p>
    <w:p w:rsidR="00F04EEF" w:rsidRDefault="00F04EEF">
      <w:pPr>
        <w:rPr>
          <w:rFonts w:ascii="Georgia" w:eastAsia="Times New Roman" w:hAnsi="Georgia"/>
          <w:u w:val="single"/>
          <w:lang w:eastAsia="fr-FR"/>
        </w:rPr>
      </w:pPr>
    </w:p>
    <w:p w:rsidR="00F04EEF" w:rsidRDefault="0099351E">
      <w:pPr>
        <w:rPr>
          <w:rFonts w:ascii="Georgia" w:eastAsia="Times New Roman" w:hAnsi="Georgia"/>
          <w:lang w:eastAsia="fr-FR"/>
        </w:rPr>
      </w:pPr>
      <w:r>
        <w:rPr>
          <w:rFonts w:ascii="Georgia" w:eastAsia="Times New Roman" w:hAnsi="Georgia"/>
          <w:lang w:eastAsia="fr-FR"/>
        </w:rPr>
        <w:t>Technique ou Professionnelle.</w:t>
      </w:r>
    </w:p>
    <w:p w:rsidR="00F04EEF" w:rsidRDefault="00F04EEF">
      <w:pPr>
        <w:rPr>
          <w:rFonts w:ascii="Georgia" w:eastAsia="Times New Roman" w:hAnsi="Georgia"/>
          <w:lang w:eastAsia="fr-FR"/>
        </w:rPr>
      </w:pPr>
    </w:p>
    <w:p w:rsidR="00F04EEF" w:rsidRDefault="0099351E">
      <w:pPr>
        <w:numPr>
          <w:ilvl w:val="0"/>
          <w:numId w:val="159"/>
        </w:numPr>
        <w:ind w:hanging="720"/>
        <w:rPr>
          <w:rFonts w:ascii="Georgia" w:eastAsia="Times New Roman" w:hAnsi="Georgia"/>
          <w:color w:val="000000"/>
          <w:u w:val="single"/>
          <w:lang w:eastAsia="fr-FR"/>
        </w:rPr>
      </w:pPr>
      <w:r>
        <w:rPr>
          <w:rFonts w:ascii="Georgia" w:eastAsia="Times New Roman" w:hAnsi="Georgia"/>
          <w:u w:val="single"/>
          <w:lang w:eastAsia="fr-FR"/>
        </w:rPr>
        <w:t>Orientation d’études</w:t>
      </w:r>
    </w:p>
    <w:p w:rsidR="00F04EEF" w:rsidRDefault="00F04EEF">
      <w:pPr>
        <w:rPr>
          <w:rFonts w:ascii="Georgia" w:eastAsia="Times New Roman" w:hAnsi="Georgia"/>
          <w:lang w:eastAsia="fr-FR"/>
        </w:rPr>
      </w:pPr>
    </w:p>
    <w:p w:rsidR="00F04EEF" w:rsidRDefault="0099351E">
      <w:pPr>
        <w:jc w:val="both"/>
        <w:rPr>
          <w:rFonts w:ascii="Georgia" w:eastAsia="Times New Roman" w:hAnsi="Georgia"/>
          <w:color w:val="000000"/>
          <w:u w:val="single"/>
          <w:lang w:eastAsia="fr-FR"/>
        </w:rPr>
      </w:pPr>
      <w:r>
        <w:rPr>
          <w:rFonts w:ascii="Georgia" w:eastAsia="Times New Roman" w:hAnsi="Georgia"/>
          <w:lang w:eastAsia="fr-FR"/>
        </w:rPr>
        <w:t xml:space="preserve">Dénomination de l’orientation d’études qui, en application de l’article 14 de l’arrêté du Gouvernement de </w:t>
      </w:r>
      <w:smartTag w:uri="urn:schemas-microsoft-com:office:smarttags" w:element="PersonName">
        <w:smartTagPr>
          <w:attr w:name="ProductID" w:val="la Communaut￩"/>
        </w:smartTagPr>
        <w:r>
          <w:rPr>
            <w:rFonts w:ascii="Georgia" w:eastAsia="Times New Roman" w:hAnsi="Georgia"/>
            <w:lang w:eastAsia="fr-FR"/>
          </w:rPr>
          <w:t>la Communauté</w:t>
        </w:r>
      </w:smartTag>
      <w:r>
        <w:rPr>
          <w:rFonts w:ascii="Georgia" w:eastAsia="Times New Roman" w:hAnsi="Georgia"/>
          <w:lang w:eastAsia="fr-FR"/>
        </w:rPr>
        <w:t xml:space="preserve"> française du 4 janvier 1999, doit correspondre à celle de l’une des options de base groupées du répertoire actualisé fixé par l’arrêté du Gouvernement du 14 juin 1993 (article 49 du décret « missions »).</w:t>
      </w:r>
    </w:p>
    <w:p w:rsidR="00F04EEF" w:rsidRDefault="00F04EEF">
      <w:pPr>
        <w:jc w:val="both"/>
        <w:rPr>
          <w:rFonts w:ascii="Georgia" w:eastAsia="Times New Roman" w:hAnsi="Georgia"/>
          <w:color w:val="000000"/>
          <w:lang w:eastAsia="fr-FR"/>
        </w:rPr>
      </w:pPr>
    </w:p>
    <w:p w:rsidR="00F04EEF" w:rsidRDefault="0099351E">
      <w:pPr>
        <w:numPr>
          <w:ilvl w:val="0"/>
          <w:numId w:val="159"/>
        </w:numPr>
        <w:ind w:hanging="720"/>
        <w:jc w:val="both"/>
        <w:rPr>
          <w:rFonts w:ascii="Georgia" w:eastAsia="Times New Roman" w:hAnsi="Georgia"/>
          <w:color w:val="000000"/>
          <w:u w:val="single"/>
          <w:lang w:eastAsia="fr-FR"/>
        </w:rPr>
      </w:pPr>
      <w:r>
        <w:rPr>
          <w:rFonts w:ascii="Georgia" w:eastAsia="Times New Roman" w:hAnsi="Georgia"/>
          <w:u w:val="single"/>
          <w:lang w:eastAsia="fr-FR"/>
        </w:rPr>
        <w:t>Année d’études</w:t>
      </w:r>
    </w:p>
    <w:p w:rsidR="00F04EEF" w:rsidRDefault="00F04EEF">
      <w:pPr>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Année d’études suivie par l’élève.</w:t>
      </w:r>
    </w:p>
    <w:p w:rsidR="00F04EEF" w:rsidRDefault="00F04EEF">
      <w:pPr>
        <w:jc w:val="both"/>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99351E">
      <w:pPr>
        <w:numPr>
          <w:ilvl w:val="0"/>
          <w:numId w:val="159"/>
        </w:numPr>
        <w:ind w:hanging="720"/>
        <w:jc w:val="both"/>
        <w:rPr>
          <w:rFonts w:ascii="Georgia" w:eastAsia="Times New Roman" w:hAnsi="Georgia"/>
          <w:u w:val="single"/>
          <w:lang w:eastAsia="fr-FR"/>
        </w:rPr>
      </w:pPr>
      <w:r>
        <w:rPr>
          <w:rFonts w:ascii="Georgia" w:eastAsia="Times New Roman" w:hAnsi="Georgia"/>
          <w:u w:val="single"/>
          <w:lang w:eastAsia="fr-FR"/>
        </w:rPr>
        <w:t>A suivi du…..au….</w:t>
      </w:r>
    </w:p>
    <w:p w:rsidR="00F04EEF" w:rsidRDefault="00F04EEF">
      <w:pPr>
        <w:jc w:val="both"/>
        <w:rPr>
          <w:rFonts w:ascii="Georgia" w:eastAsia="Times New Roman" w:hAnsi="Georgia"/>
          <w:lang w:eastAsia="fr-FR"/>
        </w:rPr>
      </w:pPr>
    </w:p>
    <w:p w:rsidR="00F04EEF" w:rsidRDefault="0099351E">
      <w:pPr>
        <w:jc w:val="both"/>
        <w:rPr>
          <w:rFonts w:ascii="Georgia" w:eastAsia="Times New Roman" w:hAnsi="Georgia"/>
          <w:lang w:eastAsia="fr-FR"/>
        </w:rPr>
      </w:pPr>
      <w:r>
        <w:rPr>
          <w:rFonts w:ascii="Georgia" w:eastAsia="Times New Roman" w:hAnsi="Georgia"/>
          <w:lang w:eastAsia="fr-FR"/>
        </w:rPr>
        <w:t>Reprendre la période de fréquentation effective.</w:t>
      </w:r>
    </w:p>
    <w:p w:rsidR="00F04EEF" w:rsidRDefault="00F04EEF">
      <w:pPr>
        <w:jc w:val="both"/>
        <w:rPr>
          <w:rFonts w:ascii="Georgia" w:eastAsia="Times New Roman" w:hAnsi="Georgia"/>
          <w:lang w:eastAsia="fr-FR"/>
        </w:rPr>
      </w:pPr>
    </w:p>
    <w:p w:rsidR="00F04EEF" w:rsidRDefault="0099351E">
      <w:pPr>
        <w:numPr>
          <w:ilvl w:val="0"/>
          <w:numId w:val="159"/>
        </w:numPr>
        <w:ind w:hanging="720"/>
        <w:jc w:val="both"/>
        <w:rPr>
          <w:rFonts w:ascii="Georgia" w:eastAsia="Times New Roman" w:hAnsi="Georgia"/>
          <w:color w:val="000000"/>
          <w:u w:val="single"/>
          <w:lang w:eastAsia="fr-FR"/>
        </w:rPr>
      </w:pPr>
      <w:r>
        <w:rPr>
          <w:rFonts w:ascii="Georgia" w:eastAsia="Times New Roman" w:hAnsi="Georgia"/>
          <w:color w:val="000000"/>
          <w:u w:val="single"/>
          <w:lang w:eastAsia="fr-FR"/>
        </w:rPr>
        <w:t>Nombre de demi-jours d’absence injustifiée</w:t>
      </w:r>
    </w:p>
    <w:p w:rsidR="00F04EEF" w:rsidRDefault="00F04EEF">
      <w:pPr>
        <w:jc w:val="both"/>
        <w:rPr>
          <w:rFonts w:ascii="Georgia" w:eastAsia="Times New Roman" w:hAnsi="Georgia"/>
          <w:color w:val="000000"/>
          <w:lang w:eastAsia="fr-FR"/>
        </w:rPr>
      </w:pPr>
    </w:p>
    <w:p w:rsidR="00F04EEF" w:rsidRDefault="0099351E">
      <w:pPr>
        <w:jc w:val="both"/>
        <w:rPr>
          <w:rFonts w:ascii="Georgia" w:eastAsia="Times New Roman" w:hAnsi="Georgia"/>
          <w:color w:val="000000"/>
          <w:lang w:eastAsia="fr-FR"/>
        </w:rPr>
      </w:pPr>
      <w:r>
        <w:rPr>
          <w:rFonts w:ascii="Georgia" w:eastAsia="Times New Roman" w:hAnsi="Georgia"/>
          <w:lang w:eastAsia="fr-FR"/>
        </w:rPr>
        <w:t>Il s’agit du nombre de demi-jours d’absence injustifiée enregistré par l’élève entre le 1er  jour de son inscription et la date de son départ de l’établissement, en application de l’article 26 du  décret du 21 novembre 2013 organisant divers dispositifs scolaires favorisant le bien-être des jeunes à l’école, l’accrochage scolaire, la prévention de la violence à l’école et l’accompagnement des démarches d’orientation scolaire.</w:t>
      </w:r>
    </w:p>
    <w:p w:rsidR="00F04EEF" w:rsidRDefault="00F04EEF">
      <w:pPr>
        <w:ind w:firstLine="708"/>
        <w:jc w:val="center"/>
        <w:rPr>
          <w:rFonts w:ascii="Georgia" w:eastAsia="Times New Roman" w:hAnsi="Georgia"/>
          <w:lang w:eastAsia="fr-FR"/>
        </w:rPr>
      </w:pPr>
    </w:p>
    <w:p w:rsidR="00F04EEF" w:rsidRDefault="0099351E">
      <w:pPr>
        <w:numPr>
          <w:ilvl w:val="0"/>
          <w:numId w:val="284"/>
        </w:numPr>
        <w:ind w:hanging="720"/>
        <w:rPr>
          <w:rFonts w:ascii="Georgia" w:eastAsia="Times New Roman" w:hAnsi="Georgia"/>
          <w:u w:val="single"/>
          <w:lang w:eastAsia="fr-FR"/>
        </w:rPr>
      </w:pPr>
      <w:r>
        <w:rPr>
          <w:rFonts w:ascii="Georgia" w:eastAsia="Times New Roman" w:hAnsi="Georgia"/>
          <w:u w:val="single"/>
          <w:lang w:eastAsia="fr-FR"/>
        </w:rPr>
        <w:t>Rapport de compétences</w:t>
      </w:r>
    </w:p>
    <w:p w:rsidR="00F04EEF" w:rsidRDefault="00F04EEF">
      <w:pPr>
        <w:rPr>
          <w:rFonts w:ascii="Georgia" w:eastAsia="Times New Roman" w:hAnsi="Georgia"/>
          <w:u w:val="single"/>
          <w:lang w:eastAsia="fr-FR"/>
        </w:rPr>
      </w:pPr>
    </w:p>
    <w:p w:rsidR="00F04EEF" w:rsidRDefault="0099351E">
      <w:pPr>
        <w:rPr>
          <w:rFonts w:ascii="Georgia" w:eastAsia="Times New Roman" w:hAnsi="Georgia"/>
          <w:lang w:eastAsia="fr-FR"/>
        </w:rPr>
      </w:pPr>
      <w:r>
        <w:rPr>
          <w:rFonts w:ascii="Georgia" w:eastAsia="Times New Roman" w:hAnsi="Georgia"/>
          <w:lang w:eastAsia="fr-FR"/>
        </w:rPr>
        <w:t>Le rapport peut être annexé au document.</w:t>
      </w:r>
    </w:p>
    <w:p w:rsidR="00F04EEF" w:rsidRDefault="00F04EEF">
      <w:pPr>
        <w:rPr>
          <w:rFonts w:ascii="Georgia" w:eastAsia="Times New Roman" w:hAnsi="Georgia"/>
          <w:lang w:eastAsia="fr-FR"/>
        </w:rPr>
      </w:pPr>
    </w:p>
    <w:p w:rsidR="00F04EEF" w:rsidRDefault="0099351E">
      <w:pPr>
        <w:numPr>
          <w:ilvl w:val="0"/>
          <w:numId w:val="284"/>
        </w:numPr>
        <w:ind w:hanging="720"/>
        <w:rPr>
          <w:rFonts w:ascii="Georgia" w:eastAsia="Times New Roman" w:hAnsi="Georgia"/>
          <w:u w:val="single"/>
          <w:lang w:eastAsia="fr-FR"/>
        </w:rPr>
      </w:pPr>
      <w:r>
        <w:rPr>
          <w:rFonts w:ascii="Georgia" w:eastAsia="Times New Roman" w:hAnsi="Georgia"/>
          <w:u w:val="single"/>
          <w:lang w:eastAsia="fr-FR"/>
        </w:rPr>
        <w:t xml:space="preserve">Section d’enseignement en alternance </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Qualification</w:t>
      </w:r>
    </w:p>
    <w:p w:rsidR="00F04EEF" w:rsidRDefault="00F04EEF">
      <w:pPr>
        <w:rPr>
          <w:rFonts w:ascii="Georgia" w:eastAsia="Times New Roman" w:hAnsi="Georgia"/>
          <w:lang w:eastAsia="fr-FR"/>
        </w:rPr>
      </w:pPr>
    </w:p>
    <w:p w:rsidR="00F04EEF" w:rsidRDefault="0099351E">
      <w:pPr>
        <w:numPr>
          <w:ilvl w:val="0"/>
          <w:numId w:val="284"/>
        </w:numPr>
        <w:ind w:left="709" w:hanging="709"/>
        <w:rPr>
          <w:rFonts w:ascii="Georgia" w:eastAsia="Times New Roman" w:hAnsi="Georgia"/>
          <w:u w:val="single"/>
          <w:lang w:eastAsia="fr-FR"/>
        </w:rPr>
      </w:pPr>
      <w:r>
        <w:rPr>
          <w:rFonts w:ascii="Georgia" w:eastAsia="Times New Roman" w:hAnsi="Georgia"/>
          <w:u w:val="single"/>
          <w:lang w:eastAsia="fr-FR"/>
        </w:rPr>
        <w:t>Fonction</w:t>
      </w:r>
    </w:p>
    <w:p w:rsidR="00F04EEF" w:rsidRDefault="00F04EEF">
      <w:pPr>
        <w:rPr>
          <w:rFonts w:ascii="Georgia" w:eastAsia="Times New Roman" w:hAnsi="Georgia"/>
          <w:u w:val="single"/>
          <w:lang w:eastAsia="fr-FR"/>
        </w:rPr>
      </w:pPr>
    </w:p>
    <w:p w:rsidR="00F04EEF" w:rsidRDefault="0099351E">
      <w:pPr>
        <w:rPr>
          <w:rFonts w:ascii="Georgia" w:eastAsia="Times New Roman" w:hAnsi="Georgia"/>
          <w:lang w:eastAsia="fr-FR"/>
        </w:rPr>
      </w:pPr>
      <w:r>
        <w:rPr>
          <w:rFonts w:ascii="Georgia" w:eastAsia="Times New Roman" w:hAnsi="Georgia"/>
          <w:lang w:eastAsia="fr-FR"/>
        </w:rPr>
        <w:t>Fonction exercée au sein de l’établissement.</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16.</w:t>
      </w:r>
      <w:r>
        <w:rPr>
          <w:rFonts w:ascii="Georgia" w:eastAsia="Times New Roman" w:hAnsi="Georgia"/>
          <w:lang w:eastAsia="fr-FR"/>
        </w:rPr>
        <w:tab/>
        <w:t>Indiquer selon le cas, en toutes lettres : première, deuxième ou troisième.</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 xml:space="preserve">17. </w:t>
      </w:r>
      <w:r>
        <w:rPr>
          <w:rFonts w:ascii="Georgia" w:eastAsia="Times New Roman" w:hAnsi="Georgia"/>
          <w:lang w:eastAsia="fr-FR"/>
        </w:rPr>
        <w:tab/>
      </w:r>
      <w:r>
        <w:rPr>
          <w:rFonts w:ascii="Georgia" w:eastAsia="Times New Roman" w:hAnsi="Georgia"/>
          <w:u w:val="single"/>
          <w:lang w:eastAsia="fr-FR"/>
        </w:rPr>
        <w:t>Secteur professionnel</w:t>
      </w:r>
      <w:r>
        <w:rPr>
          <w:rFonts w:ascii="Georgia" w:eastAsia="Times New Roman" w:hAnsi="Georgia"/>
          <w:lang w:eastAsia="fr-FR"/>
        </w:rPr>
        <w:t xml:space="preserve"> : </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Le secteur professionnel sera écrit en lettres minuscules hormis la première lettre qui sera majuscule.</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18.</w:t>
      </w:r>
      <w:r>
        <w:rPr>
          <w:rFonts w:ascii="Georgia" w:eastAsia="Times New Roman" w:hAnsi="Georgia"/>
          <w:lang w:eastAsia="fr-FR"/>
        </w:rPr>
        <w:tab/>
      </w:r>
      <w:r>
        <w:rPr>
          <w:rFonts w:ascii="Georgia" w:eastAsia="Times New Roman" w:hAnsi="Georgia"/>
          <w:u w:val="single"/>
          <w:lang w:eastAsia="fr-FR"/>
        </w:rPr>
        <w:t>Groupe professionnel</w:t>
      </w:r>
      <w:r>
        <w:rPr>
          <w:rFonts w:ascii="Georgia" w:eastAsia="Times New Roman" w:hAnsi="Georgia"/>
          <w:lang w:eastAsia="fr-FR"/>
        </w:rPr>
        <w:t> :</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Le groupe professionnel sera écrit en lettres minuscules hormis la première lettre qui sera majuscule.</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19.</w:t>
      </w:r>
      <w:r>
        <w:rPr>
          <w:rFonts w:ascii="Georgia" w:eastAsia="Times New Roman" w:hAnsi="Georgia"/>
          <w:lang w:eastAsia="fr-FR"/>
        </w:rPr>
        <w:tab/>
      </w:r>
      <w:r>
        <w:rPr>
          <w:rFonts w:ascii="Georgia" w:eastAsia="Times New Roman" w:hAnsi="Georgia"/>
          <w:u w:val="single"/>
          <w:lang w:eastAsia="fr-FR"/>
        </w:rPr>
        <w:t>Intitulé de l’UAA</w:t>
      </w:r>
      <w:r>
        <w:rPr>
          <w:rFonts w:ascii="Georgia" w:eastAsia="Times New Roman" w:hAnsi="Georgia"/>
          <w:lang w:eastAsia="fr-FR"/>
        </w:rPr>
        <w:t> :</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Reprendre l’intitulé de l’UAA tel que spécifié dans le profil de certification.</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20.</w:t>
      </w:r>
      <w:r>
        <w:rPr>
          <w:rFonts w:ascii="Georgia" w:eastAsia="Times New Roman" w:hAnsi="Georgia"/>
          <w:lang w:eastAsia="fr-FR"/>
        </w:rPr>
        <w:tab/>
      </w:r>
      <w:r>
        <w:rPr>
          <w:rFonts w:ascii="Georgia" w:eastAsia="Times New Roman" w:hAnsi="Georgia"/>
          <w:u w:val="single"/>
          <w:lang w:eastAsia="fr-FR"/>
        </w:rPr>
        <w:t>Profil de certification</w:t>
      </w:r>
      <w:r>
        <w:rPr>
          <w:rFonts w:ascii="Georgia" w:eastAsia="Times New Roman" w:hAnsi="Georgia"/>
          <w:lang w:eastAsia="fr-FR"/>
        </w:rPr>
        <w:t> :</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Mentionner le nom du profil de certification concerné.</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21.</w:t>
      </w:r>
      <w:r>
        <w:rPr>
          <w:rFonts w:ascii="Georgia" w:eastAsia="Times New Roman" w:hAnsi="Georgia"/>
          <w:lang w:eastAsia="fr-FR"/>
        </w:rPr>
        <w:tab/>
      </w:r>
      <w:r>
        <w:rPr>
          <w:rFonts w:ascii="Georgia" w:eastAsia="Times New Roman" w:hAnsi="Georgia"/>
          <w:u w:val="single"/>
          <w:lang w:eastAsia="fr-FR"/>
        </w:rPr>
        <w:t>Profil de formation</w:t>
      </w:r>
      <w:r>
        <w:rPr>
          <w:rFonts w:ascii="Georgia" w:eastAsia="Times New Roman" w:hAnsi="Georgia"/>
          <w:lang w:eastAsia="fr-FR"/>
        </w:rPr>
        <w:t xml:space="preserve"> : </w:t>
      </w:r>
    </w:p>
    <w:p w:rsidR="00F04EEF" w:rsidRDefault="00F04EEF">
      <w:pPr>
        <w:rPr>
          <w:rFonts w:ascii="Georgia" w:eastAsia="Times New Roman" w:hAnsi="Georgia"/>
          <w:lang w:eastAsia="fr-FR"/>
        </w:rPr>
      </w:pPr>
    </w:p>
    <w:p w:rsidR="00F04EEF" w:rsidRDefault="0099351E">
      <w:pPr>
        <w:rPr>
          <w:rFonts w:ascii="Georgia" w:eastAsia="Times New Roman" w:hAnsi="Georgia"/>
          <w:lang w:eastAsia="fr-FR"/>
        </w:rPr>
      </w:pPr>
      <w:r>
        <w:rPr>
          <w:rFonts w:ascii="Georgia" w:eastAsia="Times New Roman" w:hAnsi="Georgia"/>
          <w:lang w:eastAsia="fr-FR"/>
        </w:rPr>
        <w:t>Mentionner le nom du profil de formation concerné.</w:t>
      </w:r>
    </w:p>
    <w:p w:rsidR="00F04EEF" w:rsidRDefault="00F04EEF">
      <w:pPr>
        <w:rPr>
          <w:rFonts w:ascii="Georgia" w:eastAsia="Times New Roman" w:hAnsi="Georgia"/>
          <w:lang w:eastAsia="fr-FR"/>
        </w:rPr>
      </w:pPr>
    </w:p>
    <w:p w:rsidR="00F04EEF" w:rsidRDefault="00F04EEF">
      <w:pPr>
        <w:rPr>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F04EEF">
      <w:pPr>
        <w:rPr>
          <w:color w:val="000000"/>
          <w:lang w:eastAsia="fr-FR"/>
        </w:rPr>
      </w:pPr>
    </w:p>
    <w:p w:rsidR="00F04EEF" w:rsidRDefault="0099351E">
      <w:pPr>
        <w:pStyle w:val="Titre4"/>
        <w:rPr>
          <w:lang w:eastAsia="fr-FR"/>
        </w:rPr>
      </w:pPr>
      <w:r>
        <w:rPr>
          <w:lang w:eastAsia="fr-FR"/>
        </w:rPr>
        <w:br w:type="page"/>
        <w:t>Annexe 21: Liste des communes par ordre alphabétique</w:t>
      </w:r>
    </w:p>
    <w:p w:rsidR="00F04EEF" w:rsidRDefault="00F04EEF">
      <w:pPr>
        <w:jc w:val="both"/>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ENSEIGNEMENT SECONDAIRE SPECIALISE DE FORME 3 ET DE FORME 4 </w:t>
      </w:r>
    </w:p>
    <w:p w:rsidR="00F04EEF" w:rsidRDefault="0099351E">
      <w:pPr>
        <w:jc w:val="center"/>
        <w:rPr>
          <w:rFonts w:ascii="Georgia" w:hAnsi="Georgia"/>
          <w:b/>
          <w:lang w:eastAsia="fr-FR"/>
        </w:rPr>
      </w:pPr>
      <w:r>
        <w:rPr>
          <w:rFonts w:ascii="Georgia" w:hAnsi="Georgia"/>
          <w:b/>
          <w:lang w:eastAsia="fr-FR"/>
        </w:rPr>
        <w:t>EN ALTERNANCE</w:t>
      </w:r>
    </w:p>
    <w:p w:rsidR="00F04EEF" w:rsidRDefault="00F04EEF">
      <w:pPr>
        <w:jc w:val="both"/>
        <w:rPr>
          <w:rFonts w:ascii="Georgia" w:eastAsia="Times New Roman" w:hAnsi="Georgia"/>
          <w:lang w:eastAsia="fr-FR"/>
        </w:rPr>
      </w:pPr>
    </w:p>
    <w:p w:rsidR="00F04EEF" w:rsidRDefault="00F04EEF">
      <w:pPr>
        <w:jc w:val="both"/>
        <w:rPr>
          <w:rFonts w:ascii="Georgia" w:eastAsia="Times New Roman" w:hAnsi="Georgia"/>
          <w:lang w:eastAsia="fr-FR"/>
        </w:rPr>
      </w:pPr>
    </w:p>
    <w:p w:rsidR="00F04EEF" w:rsidRDefault="0099351E">
      <w:pPr>
        <w:pBdr>
          <w:top w:val="single" w:sz="4" w:space="1" w:color="auto"/>
          <w:left w:val="single" w:sz="4" w:space="4" w:color="auto"/>
          <w:bottom w:val="single" w:sz="4" w:space="1" w:color="auto"/>
          <w:right w:val="single" w:sz="4" w:space="4" w:color="auto"/>
        </w:pBdr>
        <w:jc w:val="center"/>
        <w:rPr>
          <w:rFonts w:ascii="Georgia" w:eastAsia="Times New Roman" w:hAnsi="Georgia"/>
          <w:caps/>
          <w:lang w:eastAsia="fr-FR"/>
        </w:rPr>
      </w:pPr>
      <w:r>
        <w:rPr>
          <w:rFonts w:ascii="Georgia" w:eastAsia="Times New Roman" w:hAnsi="Georgia"/>
          <w:caps/>
          <w:lang w:eastAsia="fr-FR"/>
        </w:rPr>
        <w:t>Liste des communes par ordre alphabétique</w:t>
      </w:r>
    </w:p>
    <w:p w:rsidR="00F04EEF" w:rsidRDefault="00F04EEF">
      <w:pPr>
        <w:jc w:val="both"/>
        <w:rPr>
          <w:rFonts w:ascii="Georgia" w:eastAsia="Times New Roman" w:hAnsi="Georgia"/>
          <w:lang w:eastAsia="fr-FR"/>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Aiseau-Presles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Jemeppe-sur-Sambre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Amay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Jette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Amblève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Jodoigne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Andenne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Juprelle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Anderlecht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Jurbise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Anderlues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Koekelberg</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Anhée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La Bruyère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Ans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La Calamine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Anthisnes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La Hulpe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Antoing</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La Louvière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Arlon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La Roche-en-Ardenne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Assesse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Lasne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Ath</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Le Roeulx</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Attert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Léglise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Aubange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Lens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Aubel</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Les Bons Villers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Auderghem</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Lessines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Awans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Leuze-en-Hainaut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Aywaille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Libin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Baelen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Libramont-Chevigny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Bassenge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Liège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Bastogne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Liège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Beaumont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Lierneux</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Beauraing</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Limbourg</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Beauvechain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Lincent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Beloeil</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Lobbes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Berchem-Sainte-Agathe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Lontzen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Berloz</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Malmedy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Bernissart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Manage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Bertogne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Manhay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Bertrix</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Marche-en-Famenne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Beyne-Heusay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Marchin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Bièvre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Martelange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Binche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Meix-devant-Virton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Blégny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Merbes-le-Château</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Bouillon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Messancy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Boussu</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Mettet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Braine-l'Alleud</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Modave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Braine-le-Château</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Molenbeek-Saint-Jean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Braine-le-Comte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Momignies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Braives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Mons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Brugelette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Mont-de-l'Enclus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Brunehaut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Mont-Saint-Guibert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Bruxelles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Montigny-le-Tilleul</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Bullange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Morlanwelz</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Burdinne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Mouscron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Burg-Reuland</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Musson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Butgenbach</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Namur</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Celles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Nandrin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Cerfontaine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Nassogne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Chapelle-lez-Herlaimont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Neufchâteau</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Charleroi</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Neupré</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Chastre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Nivelles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Châtelet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Ohey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Chaudfontaine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Olne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Chaumont-Gistoux</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Onhaye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Chièvres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Oreye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Chimay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Orp-Jauche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Chiny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Ottignies-Louvain-la-Neuve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Ciney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Ouffet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Clavier</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Oupeye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Colfontaine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Paliseul</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Comblain-au-Pont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Pecq</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Comines-Warneton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Pepinster</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Courcelles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Péruwelz</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Court-Saint-Etienne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Perwez</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Couvin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Philippeville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Crisnée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Plombières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Dalhem</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Pont-à-Celles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Daverdisse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Profondeville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Dinant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Quaregnon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Dison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Quévy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Doische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Quiévrain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Donceel</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Raeren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Dour</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Ramillies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Durbuy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Rebecq</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Ecaussinnes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Remicourt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Eghezée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Rendeux</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Ellezelles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Rixensart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Enghien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Rochefort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Engis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Rouvroy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Erezée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Rumes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Erquelinnes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Saint-Georges-sur-Meuse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Esneux</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Saint-Ghislain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Estaimpuis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Saint-Gilles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Estinnes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Saint-Hubert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Etalle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Saint-Josse-ten-Noode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Etterbeek</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Saint-Léger</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Eupen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Saint-Nicolas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Evere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Saint-Vith</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Faimes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Sainte-Ode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Farciennes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Sambreville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Fauvillers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Schaerbeek</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Fernelmont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Seneffe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Ferrières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Seraing</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Fexhe-le-Haut-Clocher</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Silly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Flémalle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Sivry-Rance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Fléron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Soignies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Fleurus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Sombreffe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Flobecq</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Somme-Leuze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Floreffe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Soumagne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Florennes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Spa</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Florenville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Sprimont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Fontaine-l'Evêque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Stavelot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Forest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Stoumont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Fosses-la-Ville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Tellin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Frameries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Tenneville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Frasnes-lez-Anvaing</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Theux</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Froidchapelle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Thimister-Clermont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Ganshoren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Thuin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Gedinne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Tinlot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Geer</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Tintigny</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Gembloux</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Tournai</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Genappe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Trois-Ponts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Gerpinnes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Trooz</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Gesves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Tubize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Gouvy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Uccle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Grâce-Hollogne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Vaux-sur-Sûre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Grez-Doiceau</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Verlaine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Habay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Verviers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Ham-sur-Heure-Nalinnes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Vielsalm</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Hamoir</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Villers-la-Ville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Hamois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Villers-le-Bouillet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Hannut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Viroinval</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Hastière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Virton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Havelange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Visé</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Hélécine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Vresse-sur-Semois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Hensies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Waimes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Herbeumont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Walcourt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Héron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Walhain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Herstal</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Wanze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Herve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Waremme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Honnelles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Wasseiges</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Hotton</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Waterloo</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Houffalize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Watermael-Boitsfort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Houyet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Wavre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Huy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Welkenraedt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Incourt</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Wellin</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Ittre</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Woluwe-Saint-Lambert</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Ixelles</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Woluwe-Saint-Pierre</w:t>
            </w:r>
          </w:p>
        </w:tc>
      </w:tr>
      <w:tr w:rsidR="00F04EEF">
        <w:tc>
          <w:tcPr>
            <w:tcW w:w="3543"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Jalhay</w:t>
            </w:r>
          </w:p>
        </w:tc>
        <w:tc>
          <w:tcPr>
            <w:tcW w:w="3827" w:type="dxa"/>
            <w:vAlign w:val="bottom"/>
          </w:tcPr>
          <w:p w:rsidR="00F04EEF" w:rsidRDefault="0099351E">
            <w:pPr>
              <w:rPr>
                <w:rFonts w:ascii="Georgia" w:eastAsia="Times New Roman" w:hAnsi="Georgia"/>
                <w:color w:val="000000"/>
                <w:lang w:eastAsia="fr-FR"/>
              </w:rPr>
            </w:pPr>
            <w:r>
              <w:rPr>
                <w:rFonts w:ascii="Georgia" w:eastAsia="Times New Roman" w:hAnsi="Georgia"/>
                <w:color w:val="000000"/>
                <w:lang w:eastAsia="fr-FR"/>
              </w:rPr>
              <w:t>Yvoir</w:t>
            </w:r>
          </w:p>
        </w:tc>
      </w:tr>
    </w:tbl>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F04EEF">
      <w:pPr>
        <w:rPr>
          <w:lang w:eastAsia="fr-FR"/>
        </w:rPr>
      </w:pPr>
    </w:p>
    <w:p w:rsidR="00F04EEF" w:rsidRDefault="0099351E">
      <w:pPr>
        <w:rPr>
          <w:rFonts w:ascii="Georgia" w:eastAsia="Times New Roman" w:hAnsi="Georgia"/>
          <w:b/>
          <w:u w:val="single"/>
          <w:lang w:eastAsia="fr-FR"/>
        </w:rPr>
      </w:pPr>
      <w:r>
        <w:rPr>
          <w:rFonts w:ascii="Georgia" w:eastAsia="Times New Roman" w:hAnsi="Georgia"/>
          <w:b/>
          <w:u w:val="single"/>
          <w:lang w:eastAsia="fr-FR"/>
        </w:rPr>
        <w:br w:type="page"/>
      </w:r>
    </w:p>
    <w:p w:rsidR="00F04EEF" w:rsidRDefault="0099351E">
      <w:pPr>
        <w:pStyle w:val="Titre4"/>
        <w:rPr>
          <w:lang w:eastAsia="fr-FR"/>
        </w:rPr>
      </w:pPr>
      <w:r>
        <w:rPr>
          <w:lang w:eastAsia="fr-FR"/>
        </w:rPr>
        <w:t>Annexe 22 : Sigle des pays</w:t>
      </w:r>
    </w:p>
    <w:p w:rsidR="00F04EEF" w:rsidRDefault="00F04EEF">
      <w:pPr>
        <w:jc w:val="both"/>
        <w:rPr>
          <w:rFonts w:ascii="Georgia" w:eastAsia="Times New Roman" w:hAnsi="Georgia"/>
          <w:lang w:eastAsia="fr-FR"/>
        </w:rPr>
      </w:pP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COMMUNAUTE FRANCAISE</w:t>
      </w:r>
    </w:p>
    <w:p w:rsidR="00F04EEF" w:rsidRDefault="00F04EEF">
      <w:pPr>
        <w:jc w:val="center"/>
        <w:rPr>
          <w:rFonts w:ascii="Georgia" w:hAnsi="Georgia"/>
          <w:b/>
          <w:lang w:eastAsia="fr-FR"/>
        </w:rPr>
      </w:pPr>
    </w:p>
    <w:p w:rsidR="00F04EEF" w:rsidRDefault="0099351E">
      <w:pPr>
        <w:jc w:val="center"/>
        <w:rPr>
          <w:rFonts w:ascii="Georgia" w:hAnsi="Georgia"/>
          <w:b/>
          <w:lang w:eastAsia="fr-FR"/>
        </w:rPr>
      </w:pPr>
      <w:r>
        <w:rPr>
          <w:rFonts w:ascii="Georgia" w:hAnsi="Georgia"/>
          <w:b/>
          <w:lang w:eastAsia="fr-FR"/>
        </w:rPr>
        <w:t xml:space="preserve">ENSEIGNEMENT SECONDAIRE SPECIALISE DE FORME 3 ET DE FORME 4 </w:t>
      </w:r>
    </w:p>
    <w:p w:rsidR="00F04EEF" w:rsidRDefault="0099351E">
      <w:pPr>
        <w:jc w:val="center"/>
        <w:rPr>
          <w:rFonts w:ascii="Georgia" w:hAnsi="Georgia"/>
          <w:b/>
          <w:lang w:eastAsia="fr-FR"/>
        </w:rPr>
      </w:pPr>
      <w:r>
        <w:rPr>
          <w:rFonts w:ascii="Georgia" w:hAnsi="Georgia"/>
          <w:b/>
          <w:lang w:eastAsia="fr-FR"/>
        </w:rPr>
        <w:t>EN ALTERNANCE</w:t>
      </w:r>
    </w:p>
    <w:p w:rsidR="00F04EEF" w:rsidRDefault="00F04EEF">
      <w:pPr>
        <w:rPr>
          <w:rFonts w:ascii="Georgia" w:eastAsia="Times New Roman" w:hAnsi="Georgia"/>
          <w:lang w:eastAsia="fr-FR"/>
        </w:rPr>
      </w:pPr>
    </w:p>
    <w:p w:rsidR="00F04EEF" w:rsidRDefault="0099351E">
      <w:pPr>
        <w:pBdr>
          <w:top w:val="single" w:sz="8" w:space="1" w:color="auto"/>
          <w:left w:val="single" w:sz="8" w:space="4" w:color="auto"/>
          <w:bottom w:val="single" w:sz="8" w:space="1" w:color="auto"/>
          <w:right w:val="single" w:sz="8" w:space="4" w:color="auto"/>
        </w:pBdr>
        <w:jc w:val="center"/>
        <w:rPr>
          <w:rFonts w:ascii="Georgia" w:hAnsi="Georgia"/>
          <w:lang w:eastAsia="fr-FR"/>
        </w:rPr>
      </w:pPr>
      <w:r>
        <w:rPr>
          <w:rFonts w:ascii="Georgia" w:hAnsi="Georgia"/>
          <w:lang w:eastAsia="fr-FR"/>
        </w:rPr>
        <w:t>SIGLES DES PAYS</w:t>
      </w:r>
    </w:p>
    <w:p w:rsidR="00F04EEF" w:rsidRDefault="00F04EEF">
      <w:pPr>
        <w:shd w:val="clear" w:color="auto" w:fill="FFFFFF"/>
        <w:spacing w:before="221"/>
        <w:rPr>
          <w:rFonts w:ascii="Georgia" w:eastAsia="Times New Roman" w:hAnsi="Georgia"/>
          <w:color w:val="000000"/>
          <w:spacing w:val="-3"/>
          <w:lang w:eastAsia="fr-FR"/>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rsidR="00F04EEF">
        <w:trPr>
          <w:trHeight w:val="300"/>
        </w:trPr>
        <w:tc>
          <w:tcPr>
            <w:tcW w:w="4219" w:type="dxa"/>
            <w:shd w:val="clear" w:color="auto" w:fill="auto"/>
            <w:hideMark/>
          </w:tcPr>
          <w:p w:rsidR="00F04EEF" w:rsidRDefault="0099351E">
            <w:pPr>
              <w:jc w:val="center"/>
              <w:rPr>
                <w:rFonts w:ascii="Georgia" w:eastAsia="Times New Roman" w:hAnsi="Georgia"/>
                <w:b/>
                <w:color w:val="000000"/>
                <w:sz w:val="24"/>
                <w:szCs w:val="24"/>
                <w:lang w:val="fr-FR" w:eastAsia="fr-BE"/>
              </w:rPr>
            </w:pPr>
            <w:r>
              <w:rPr>
                <w:rFonts w:ascii="Georgia" w:eastAsia="Times New Roman" w:hAnsi="Georgia"/>
                <w:b/>
                <w:color w:val="000000"/>
                <w:sz w:val="24"/>
                <w:szCs w:val="24"/>
                <w:lang w:val="fr-FR" w:eastAsia="fr-BE"/>
              </w:rPr>
              <w:t>Pays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val="fr-FR" w:eastAsia="fr-BE"/>
              </w:rPr>
            </w:pPr>
            <w:r>
              <w:rPr>
                <w:rFonts w:ascii="Georgia" w:eastAsia="Times New Roman" w:hAnsi="Georgia"/>
                <w:b/>
                <w:bCs/>
                <w:color w:val="000000"/>
                <w:sz w:val="24"/>
                <w:szCs w:val="24"/>
                <w:lang w:val="fr-FR" w:eastAsia="fr-BE"/>
              </w:rPr>
              <w:t>Sigle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AFGHANISTAN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AF</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AFRIQUE DU SUD</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ZA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AFRIQUE NON SPECIFIE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AFR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ALBANIE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ALGERIE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ALLEMAGNE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AMERIQUE NON SPECIFIE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AME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ANDORRE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ANGOLA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ANTIGUA ET BARBUDA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APATRIDES OU INDETERMINES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API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ARABIE SAOUDITE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ARGENTINE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ARMENIE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 xml:space="preserve">AM </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ASIE NON SPECIFIE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ASI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AUSTRALIE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AUTRICHE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AZERBAIDJAN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BAHAMAS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BAHREIN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BH</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BANGLADESH</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BARBADE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BB</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BELGIQUE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BELIZE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BENIN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BJ</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BHOUTAN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BIELORUSSIE (BELARUS)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BIRMANIE  (MYANMAR)</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BOLIVIE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BOSNIE-HERZEGOVINE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BOTSWANA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BW</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BRESIL</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BRUNEI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BULGARIE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BURKINA FASO</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BF</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BURUNDI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BI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CAMBODGE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KH</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CAMEROUN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CANADA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CAP-VERT</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CV</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CHILI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CHINE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CHYPRE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CITE DU VATICAN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COLOMBIE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COMORES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CONGO (BRAZZAVILLE)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CONGO (KINSHASA – ex ZAÏRE)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COREE DU NORD</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KP</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COREE DU SUD</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COSTA RICA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COTE D'IVOIRE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CROATIE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CUBA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DANEMARK</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DK</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DJIBOUTI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DJ</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DOMINIQUE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EGYPTE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EL SALVADOR</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SV</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EMIRATS ARABES UNIS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AE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EQUATEUR</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EC</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ERYTHREE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ESPAGNE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ESTONIE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ETATS-UNIS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ETHIOPIE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EUROPE NON SPECIFIE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EUR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FIDJI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FJ</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FINLANDE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FRANCE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GABON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GAMBIE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GEORGIE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GHANA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GH</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GRECE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GRENADE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GUATEMALA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GUINEE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GUINEE BISSAU</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GW</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GUINEE EQUATORIALE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GQ</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GUYANA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HAITI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HONDURAS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HONG-KONG</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HK</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HONGRIE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HU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ILES MARSHALL</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MH</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ILES SALOMON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SB</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INDE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INDONESIE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IRAK</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IQ</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IRAN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IRLANDE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ISLANDE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ISRAEL</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ITALIE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IT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JAMAIQUE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JM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JAPON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JP</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JORDANIE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JO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KAZAKHSTAN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KENYA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KIRGHIZISTAN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KIRIBATI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KOSOVO</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XZ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KOWEIT</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KW</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LAOS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LESOTHO</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LETTONIE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LV</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LIBAN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LB</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LIBERIA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LIBYE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LIECHTENSTEIN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LITUANIE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LUXEMBOURG</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MACEDOINE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MK</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MADAGASCAR</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MALAISIE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MALAWI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MW</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MALDIVES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MV</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MALTE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MAROC</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MAURICE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MAURITANIE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MEXIQUE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MX</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MICRONESIE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FM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MOLDAVIE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MONACO</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MC</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MONGOLIE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MONTENEGRO</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MOZAMBIQUE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MZ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NAMIBIE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NAURU</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NEPAL</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NP</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NICARAGUA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NIGER</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NIGERIA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NORVEGE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NOUVELLE-ZELANDE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OCEANIE NON SPECIFIE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OCE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OMAN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OM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OUGANDA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OUZBEKISTAN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PAKISTAN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PK</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PALAOS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PW</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PALESTINE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PANAMA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PA</w:t>
            </w:r>
          </w:p>
        </w:tc>
      </w:tr>
      <w:tr w:rsidR="00F04EEF">
        <w:trPr>
          <w:trHeight w:val="325"/>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 xml:space="preserve">PAPOUASIE-NOUVELLE GUINEE </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 xml:space="preserve">PG </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PARAGUAY</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PAYS-BAS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NL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PEROU</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PHILIPPINES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PH</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POLOGNE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PORTUGAL</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PT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QATAR</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QA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REFUGIES POLITIQUES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 xml:space="preserve">REF </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REPUBLIQUE CENTRAFRICAINE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CF</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REPUBLIQUE DOMINICAINE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DO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ROUMANIE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ROYAUME-UNI</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GB</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RUSSIE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RWANDA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RW</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SAINT-CHRISTOPHE-ET-NIEVES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KN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SAINTE-LUCIE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LC</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SAINT-MARIN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SM</w:t>
            </w:r>
          </w:p>
        </w:tc>
      </w:tr>
      <w:tr w:rsidR="00F04EEF">
        <w:trPr>
          <w:trHeight w:val="6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 xml:space="preserve">SAINT-VINCENT-ET-LES- GRENADINES </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VC</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SAMOA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WS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SAO TOME ET PRINCIPE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SENEGAL</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SN</w:t>
            </w:r>
          </w:p>
        </w:tc>
      </w:tr>
      <w:tr w:rsidR="00F04EEF">
        <w:trPr>
          <w:trHeight w:val="300"/>
        </w:trPr>
        <w:tc>
          <w:tcPr>
            <w:tcW w:w="4219" w:type="dxa"/>
            <w:shd w:val="clear" w:color="auto" w:fill="auto"/>
            <w:noWrap/>
            <w:vAlign w:val="bottom"/>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SERBIE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RS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SEYCHELLES</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SC</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SIERRA LEONE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SINGAPOUR</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SLOVAQUIE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SK</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SLOVENIE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SI</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SOMALIE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SOUDAN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SOUDAN DU SUD</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SS</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SRI LANKA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LK</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SUEDE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SUISSE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CH</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SURINAM</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SWAZILAND</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SYRIE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SY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TADJIKISTAN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TJ</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TAIWAN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TW</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TANZANIE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TCHAD</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TD</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TCHEQUIE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CZ</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THAILANDE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TH</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TIMOR-LESTE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TL</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TOGO</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TG</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TONGA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TO</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TRINITAD ET TOBAGO</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TT</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TUNISIE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TURKMENISTAN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TURQUIE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TR</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TUVALU</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TV</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UKRAINE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UA</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URUGUAY</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UY</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VANUATU</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VENEZUELA</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VIETNAM</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VN</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YEMEN</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YE</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YOUGOSLAVIE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YU</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ZAMBIE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ZM</w:t>
            </w:r>
          </w:p>
        </w:tc>
      </w:tr>
      <w:tr w:rsidR="00F04EEF">
        <w:trPr>
          <w:trHeight w:val="300"/>
        </w:trPr>
        <w:tc>
          <w:tcPr>
            <w:tcW w:w="4219" w:type="dxa"/>
            <w:shd w:val="clear" w:color="auto" w:fill="auto"/>
            <w:hideMark/>
          </w:tcPr>
          <w:p w:rsidR="00F04EEF" w:rsidRDefault="0099351E">
            <w:pPr>
              <w:rPr>
                <w:rFonts w:ascii="Georgia" w:eastAsia="Times New Roman" w:hAnsi="Georgia"/>
                <w:color w:val="000000"/>
                <w:sz w:val="24"/>
                <w:szCs w:val="24"/>
                <w:lang w:eastAsia="fr-BE"/>
              </w:rPr>
            </w:pPr>
            <w:r>
              <w:rPr>
                <w:rFonts w:ascii="Georgia" w:eastAsia="Times New Roman" w:hAnsi="Georgia"/>
                <w:color w:val="000000"/>
                <w:sz w:val="24"/>
                <w:szCs w:val="24"/>
                <w:lang w:val="fr-FR" w:eastAsia="fr-BE"/>
              </w:rPr>
              <w:t>ZIMBABWE</w:t>
            </w:r>
          </w:p>
        </w:tc>
        <w:tc>
          <w:tcPr>
            <w:tcW w:w="1309" w:type="dxa"/>
            <w:shd w:val="clear" w:color="auto" w:fill="auto"/>
            <w:hideMark/>
          </w:tcPr>
          <w:p w:rsidR="00F04EEF" w:rsidRDefault="0099351E">
            <w:pPr>
              <w:jc w:val="center"/>
              <w:rPr>
                <w:rFonts w:ascii="Georgia" w:eastAsia="Times New Roman" w:hAnsi="Georgia"/>
                <w:b/>
                <w:bCs/>
                <w:color w:val="000000"/>
                <w:sz w:val="24"/>
                <w:szCs w:val="24"/>
                <w:lang w:eastAsia="fr-BE"/>
              </w:rPr>
            </w:pPr>
            <w:r>
              <w:rPr>
                <w:rFonts w:ascii="Georgia" w:eastAsia="Times New Roman" w:hAnsi="Georgia"/>
                <w:b/>
                <w:bCs/>
                <w:color w:val="000000"/>
                <w:sz w:val="24"/>
                <w:szCs w:val="24"/>
                <w:lang w:val="fr-FR" w:eastAsia="fr-BE"/>
              </w:rPr>
              <w:t>ZW</w:t>
            </w:r>
          </w:p>
        </w:tc>
      </w:tr>
    </w:tbl>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F04EEF">
      <w:pPr>
        <w:rPr>
          <w:rFonts w:ascii="Georgia" w:eastAsia="Times New Roman" w:hAnsi="Georgia"/>
          <w:lang w:eastAsia="fr-FR"/>
        </w:rPr>
      </w:pPr>
    </w:p>
    <w:p w:rsidR="00F04EEF" w:rsidRDefault="00F04EEF">
      <w:pPr>
        <w:tabs>
          <w:tab w:val="left" w:pos="426"/>
          <w:tab w:val="left" w:pos="5103"/>
        </w:tabs>
      </w:pPr>
    </w:p>
    <w:p w:rsidR="00F04EEF" w:rsidRDefault="0099351E">
      <w:pPr>
        <w:rPr>
          <w:b/>
          <w:u w:val="single"/>
        </w:rPr>
      </w:pPr>
      <w:bookmarkStart w:id="4068" w:name="_Annexe_28_:"/>
      <w:bookmarkStart w:id="4069" w:name="_Annexe_31:_Convention"/>
      <w:bookmarkStart w:id="4070" w:name="_Toc414352981"/>
      <w:bookmarkStart w:id="4071" w:name="_Toc453837006"/>
      <w:bookmarkEnd w:id="4068"/>
      <w:bookmarkEnd w:id="4069"/>
      <w:r>
        <w:br w:type="page"/>
      </w:r>
    </w:p>
    <w:p w:rsidR="00F04EEF" w:rsidRDefault="0099351E">
      <w:pPr>
        <w:pStyle w:val="Titre4"/>
        <w:rPr>
          <w:lang w:eastAsia="fr-FR"/>
        </w:rPr>
      </w:pPr>
      <w:bookmarkStart w:id="4072" w:name="_Annexe_23_:_1"/>
      <w:bookmarkEnd w:id="4072"/>
      <w:r>
        <w:rPr>
          <w:lang w:eastAsia="fr-FR"/>
        </w:rPr>
        <w:t>Annexe 23 : Convention de la collaboration entre l’établissement d’enseignement secondaire spécialisé et le centre d’éducation et de formation en alternance</w:t>
      </w:r>
      <w:bookmarkEnd w:id="4070"/>
      <w:bookmarkEnd w:id="4071"/>
    </w:p>
    <w:p w:rsidR="00F04EEF" w:rsidRDefault="00F04EEF">
      <w:pPr>
        <w:tabs>
          <w:tab w:val="left" w:pos="1125"/>
        </w:tabs>
      </w:pPr>
    </w:p>
    <w:p w:rsidR="00F04EEF" w:rsidRDefault="0099351E">
      <w:pPr>
        <w:jc w:val="both"/>
      </w:pPr>
      <w:r>
        <w:t>La présente convention a pour objet de définir la collaboration entre un établissement d’enseignement secondaire spécialisé coopérant et le Centre d'Education et de Formation en Alternance (CEFA).</w:t>
      </w:r>
    </w:p>
    <w:p w:rsidR="00F04EEF" w:rsidRDefault="00F04EEF">
      <w:pPr>
        <w:jc w:val="both"/>
      </w:pPr>
    </w:p>
    <w:p w:rsidR="00F04EEF" w:rsidRDefault="0099351E">
      <w:pPr>
        <w:jc w:val="both"/>
      </w:pPr>
      <w:r>
        <w:t>La présente convention est établie entre :</w:t>
      </w:r>
    </w:p>
    <w:p w:rsidR="00F04EEF" w:rsidRDefault="00F04EEF">
      <w:pPr>
        <w:jc w:val="both"/>
      </w:pPr>
    </w:p>
    <w:p w:rsidR="00F04EEF" w:rsidRDefault="0099351E">
      <w:pPr>
        <w:jc w:val="both"/>
      </w:pPr>
      <w:r>
        <w:t>L’établissement d’enseignement secondaire spécialisé :</w:t>
      </w:r>
    </w:p>
    <w:p w:rsidR="00F04EEF" w:rsidRDefault="0099351E">
      <w:pPr>
        <w:jc w:val="both"/>
      </w:pPr>
      <w:r>
        <w:t>NOM :</w:t>
      </w:r>
    </w:p>
    <w:p w:rsidR="00F04EEF" w:rsidRDefault="0099351E">
      <w:pPr>
        <w:jc w:val="both"/>
      </w:pPr>
      <w:r>
        <w:t>ADRESSE :</w:t>
      </w:r>
    </w:p>
    <w:p w:rsidR="00F04EEF" w:rsidRDefault="0099351E">
      <w:pPr>
        <w:jc w:val="both"/>
      </w:pPr>
      <w:r>
        <w:t>N° MATRICULE :</w:t>
      </w:r>
    </w:p>
    <w:p w:rsidR="00F04EEF" w:rsidRDefault="0099351E">
      <w:pPr>
        <w:jc w:val="both"/>
      </w:pPr>
      <w:r>
        <w:t>Pouvoir organisateur :</w:t>
      </w:r>
    </w:p>
    <w:p w:rsidR="00F04EEF" w:rsidRDefault="0099351E">
      <w:pPr>
        <w:jc w:val="both"/>
      </w:pPr>
      <w:r>
        <w:t>Appelé établissement coopérant</w:t>
      </w:r>
    </w:p>
    <w:p w:rsidR="00F04EEF" w:rsidRDefault="00F04EEF">
      <w:pPr>
        <w:jc w:val="both"/>
      </w:pPr>
    </w:p>
    <w:p w:rsidR="00F04EEF" w:rsidRDefault="0099351E">
      <w:pPr>
        <w:jc w:val="both"/>
      </w:pPr>
      <w:r>
        <w:t>et</w:t>
      </w:r>
    </w:p>
    <w:p w:rsidR="00F04EEF" w:rsidRDefault="00F04EEF">
      <w:pPr>
        <w:jc w:val="both"/>
      </w:pPr>
    </w:p>
    <w:p w:rsidR="00F04EEF" w:rsidRDefault="0099351E">
      <w:pPr>
        <w:jc w:val="both"/>
      </w:pPr>
      <w:r>
        <w:t xml:space="preserve">Le CEFA </w:t>
      </w:r>
    </w:p>
    <w:p w:rsidR="00F04EEF" w:rsidRDefault="0099351E">
      <w:pPr>
        <w:jc w:val="both"/>
      </w:pPr>
      <w:r>
        <w:t>NOM :</w:t>
      </w:r>
    </w:p>
    <w:p w:rsidR="00F04EEF" w:rsidRDefault="0099351E">
      <w:pPr>
        <w:jc w:val="both"/>
      </w:pPr>
      <w:r>
        <w:t>ADRESSE</w:t>
      </w:r>
    </w:p>
    <w:p w:rsidR="00F04EEF" w:rsidRDefault="0099351E">
      <w:pPr>
        <w:jc w:val="both"/>
      </w:pPr>
      <w:r>
        <w:t>N° MATRICULE :</w:t>
      </w:r>
    </w:p>
    <w:p w:rsidR="00F04EEF" w:rsidRDefault="0099351E">
      <w:pPr>
        <w:jc w:val="both"/>
      </w:pPr>
      <w:r>
        <w:t>Pouvoir organisateur :</w:t>
      </w:r>
    </w:p>
    <w:p w:rsidR="00F04EEF" w:rsidRDefault="0099351E">
      <w:pPr>
        <w:jc w:val="both"/>
      </w:pPr>
      <w:r>
        <w:t>Appelé établissement siège</w:t>
      </w:r>
    </w:p>
    <w:p w:rsidR="00F04EEF" w:rsidRDefault="00F04EEF">
      <w:pPr>
        <w:jc w:val="both"/>
      </w:pPr>
    </w:p>
    <w:p w:rsidR="00F04EEF" w:rsidRDefault="0099351E">
      <w:pPr>
        <w:jc w:val="both"/>
        <w:rPr>
          <w:b/>
        </w:rPr>
      </w:pPr>
      <w:r>
        <w:rPr>
          <w:b/>
        </w:rPr>
        <w:t>Article 1 : Principes généraux</w:t>
      </w:r>
    </w:p>
    <w:p w:rsidR="00F04EEF" w:rsidRDefault="0099351E">
      <w:pPr>
        <w:jc w:val="both"/>
      </w:pPr>
      <w:r>
        <w:t>L’établissement d’enseignement secondaire spécialisé assume la responsabilité des gestions pédagogique et administrative (dossier, assurance, sécurité, registre de présence, gestion financière,...) des élèves qui y restent inscrits, en collaboration avec le CEFA.</w:t>
      </w:r>
    </w:p>
    <w:p w:rsidR="00F04EEF" w:rsidRDefault="00F04EEF">
      <w:pPr>
        <w:jc w:val="both"/>
      </w:pPr>
    </w:p>
    <w:p w:rsidR="00F04EEF" w:rsidRDefault="0099351E">
      <w:pPr>
        <w:jc w:val="both"/>
      </w:pPr>
      <w:r>
        <w:t>Le CEFA assume la responsabilité de l’accompagnement de l’élève en entreprise (Recherche de contrats, suivis, contacts avec les partenaires professionnels, …), en collaboration avec l’enseignement spécialisé.</w:t>
      </w:r>
    </w:p>
    <w:p w:rsidR="00F04EEF" w:rsidRDefault="00F04EEF">
      <w:pPr>
        <w:jc w:val="both"/>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L’inscription d’un élève dans l’enseignement spécialisé génère l’encadrement fixé par le Décret du 3 mars 2004 organisant l’enseignement spécialisé et le subventionnement/la dotation prévu(e) par la règlementation en vigueur.</w:t>
      </w:r>
    </w:p>
    <w:p w:rsidR="00F04EEF" w:rsidRDefault="00F04EEF">
      <w:pPr>
        <w:jc w:val="both"/>
      </w:pPr>
    </w:p>
    <w:p w:rsidR="00F04EEF" w:rsidRDefault="0099351E">
      <w:pPr>
        <w:jc w:val="both"/>
      </w:pPr>
      <w:r>
        <w:t>L’élève qui suit une formation en alternance génère pour le CEFA un capital-périodes défini à l’article 15 du décret du 3 juillet 1991 et à l’article 9 de l’AGCF du 1</w:t>
      </w:r>
      <w:r>
        <w:rPr>
          <w:vertAlign w:val="superscript"/>
        </w:rPr>
        <w:t>er</w:t>
      </w:r>
      <w:r>
        <w:t xml:space="preserve"> avril 2010. Ce capital-périodes est prélevé sur le capital-périodes utilisable des écoles d’enseignement spécialisé concernées. La somme des capitaux-périodes  transférés est arrondie à l’unité supérieure.</w:t>
      </w:r>
    </w:p>
    <w:p w:rsidR="00F04EEF" w:rsidRDefault="00F04EEF">
      <w:pPr>
        <w:jc w:val="both"/>
      </w:pPr>
    </w:p>
    <w:p w:rsidR="00F04EEF" w:rsidRDefault="0099351E">
      <w:pPr>
        <w:jc w:val="both"/>
      </w:pPr>
      <w:r>
        <w:t>La formation générale, sociale et professionnelle (Article 54 du Décret du 3 mars 2004 organisant l'Enseignement spécialisé) est assurée par l’établissement d’enseignement spécialisé.</w:t>
      </w:r>
    </w:p>
    <w:p w:rsidR="00F04EEF" w:rsidRDefault="00F04EEF">
      <w:pPr>
        <w:jc w:val="both"/>
      </w:pPr>
    </w:p>
    <w:p w:rsidR="00F04EEF" w:rsidRDefault="0099351E">
      <w:pPr>
        <w:jc w:val="both"/>
      </w:pPr>
      <w:r>
        <w:t xml:space="preserve">Les membres du personnel de l’enseignement spécialisé restent placés sous l’autorité de la direction de l’établissement dont ils relèvent. </w:t>
      </w:r>
    </w:p>
    <w:p w:rsidR="00F04EEF" w:rsidRDefault="00F04EEF">
      <w:pPr>
        <w:jc w:val="both"/>
      </w:pPr>
    </w:p>
    <w:p w:rsidR="00F04EEF" w:rsidRDefault="0099351E">
      <w:pPr>
        <w:jc w:val="both"/>
      </w:pPr>
      <w:r>
        <w:t>Le (La) Chef(fe) de l’établissement de l’enseignement secondaire spécialisé est membre effectif du Conseil de direction du CEFA dès que son établissement est déclaré coopérant.</w:t>
      </w:r>
    </w:p>
    <w:p w:rsidR="00F04EEF" w:rsidRDefault="00F04EEF">
      <w:pPr>
        <w:jc w:val="both"/>
      </w:pPr>
    </w:p>
    <w:p w:rsidR="00F04EEF" w:rsidRDefault="0099351E">
      <w:pPr>
        <w:jc w:val="both"/>
      </w:pPr>
      <w:r>
        <w:t xml:space="preserve">La guidance PMS sera assurée par le centre PMS de l'établissement spécialisé. </w:t>
      </w:r>
    </w:p>
    <w:p w:rsidR="00F04EEF" w:rsidRDefault="00F04EEF">
      <w:pPr>
        <w:jc w:val="both"/>
      </w:pPr>
    </w:p>
    <w:p w:rsidR="00F04EEF" w:rsidRDefault="00F04EEF">
      <w:pPr>
        <w:jc w:val="both"/>
        <w:rPr>
          <w:b/>
        </w:rPr>
      </w:pPr>
    </w:p>
    <w:p w:rsidR="00F04EEF" w:rsidRDefault="00F04EEF">
      <w:pPr>
        <w:jc w:val="both"/>
        <w:rPr>
          <w:b/>
        </w:rPr>
      </w:pPr>
    </w:p>
    <w:p w:rsidR="00F04EEF" w:rsidRDefault="0099351E">
      <w:pPr>
        <w:jc w:val="both"/>
        <w:rPr>
          <w:b/>
        </w:rPr>
      </w:pPr>
      <w:r>
        <w:rPr>
          <w:b/>
        </w:rPr>
        <w:t>Article 2 : Les tâches du CEFA</w:t>
      </w:r>
    </w:p>
    <w:p w:rsidR="00F04EEF" w:rsidRDefault="0099351E">
      <w:pPr>
        <w:jc w:val="both"/>
      </w:pPr>
      <w:r>
        <w:t>Le coordonnateur et/ou les accompagnateurs du CEFA assument la tâche d’accompagnement des élèves de l’enseignement secondaire spécialisé placés en alternance pour tout ce qui concerne la formation en entreprise, en collaboration avec les membres de l’équipe éducative de l’établissement d’enseignement secondaire spécialisé, conformément à l’article 15 du décret du 3 juillet 1991 organisant l’enseignement secondaire en alternance. Dans ce cadre ils doivent :</w:t>
      </w:r>
    </w:p>
    <w:p w:rsidR="00F04EEF" w:rsidRDefault="0099351E">
      <w:pPr>
        <w:numPr>
          <w:ilvl w:val="0"/>
          <w:numId w:val="165"/>
        </w:numPr>
        <w:tabs>
          <w:tab w:val="clear" w:pos="705"/>
        </w:tabs>
        <w:suppressAutoHyphens/>
        <w:ind w:left="0" w:hanging="284"/>
        <w:jc w:val="both"/>
      </w:pPr>
      <w:r>
        <w:t>Rechercher et finaliser des contrats et des conventions, en assurer le suivi, ce qui implique notamment la vérification, sur les lieux de la formation en alternance, de la présence régulière de l’élève et de la concordance entre contrats et convention avec la formation suivie par l’élève.</w:t>
      </w:r>
    </w:p>
    <w:p w:rsidR="00F04EEF" w:rsidRDefault="0099351E">
      <w:pPr>
        <w:numPr>
          <w:ilvl w:val="0"/>
          <w:numId w:val="165"/>
        </w:numPr>
        <w:tabs>
          <w:tab w:val="clear" w:pos="705"/>
        </w:tabs>
        <w:suppressAutoHyphens/>
        <w:ind w:left="0" w:hanging="284"/>
        <w:jc w:val="both"/>
      </w:pPr>
      <w:r>
        <w:t>Nouer et développer les contacts avec les milieux socio-économiques locaux et régionaux et les associations professionnelles.</w:t>
      </w:r>
    </w:p>
    <w:p w:rsidR="00F04EEF" w:rsidRDefault="0099351E">
      <w:pPr>
        <w:numPr>
          <w:ilvl w:val="0"/>
          <w:numId w:val="165"/>
        </w:numPr>
        <w:tabs>
          <w:tab w:val="clear" w:pos="705"/>
        </w:tabs>
        <w:suppressAutoHyphens/>
        <w:ind w:left="0" w:hanging="284"/>
        <w:jc w:val="both"/>
      </w:pPr>
      <w:r>
        <w:t>Etablir des contacts réguliers avec l’équipe éducative de l’enseignement secondaire spécialisé et participer aux conseils de classe.</w:t>
      </w:r>
    </w:p>
    <w:p w:rsidR="00F04EEF" w:rsidRDefault="0099351E">
      <w:pPr>
        <w:numPr>
          <w:ilvl w:val="0"/>
          <w:numId w:val="165"/>
        </w:numPr>
        <w:tabs>
          <w:tab w:val="clear" w:pos="705"/>
        </w:tabs>
        <w:suppressAutoHyphens/>
        <w:ind w:left="0" w:hanging="284"/>
        <w:jc w:val="both"/>
      </w:pPr>
      <w:r>
        <w:t>Participer à toute initiative de nature à favoriser le développement social et culturel de l’élève.</w:t>
      </w:r>
    </w:p>
    <w:p w:rsidR="00F04EEF" w:rsidRDefault="0099351E">
      <w:pPr>
        <w:numPr>
          <w:ilvl w:val="0"/>
          <w:numId w:val="165"/>
        </w:numPr>
        <w:tabs>
          <w:tab w:val="clear" w:pos="705"/>
        </w:tabs>
        <w:suppressAutoHyphens/>
        <w:ind w:left="0" w:hanging="284"/>
        <w:jc w:val="both"/>
      </w:pPr>
      <w:r>
        <w:t>Participer, avec l’équipe éducative, aux contacts réguliers avec le Centre psycho-médico-social chargé de la guidance des élèves.</w:t>
      </w:r>
    </w:p>
    <w:p w:rsidR="00F04EEF" w:rsidRDefault="0099351E">
      <w:pPr>
        <w:pStyle w:val="para"/>
        <w:ind w:left="0" w:firstLine="0"/>
        <w:rPr>
          <w:rFonts w:asciiTheme="majorHAnsi" w:hAnsiTheme="majorHAnsi" w:cs="Times New Roman"/>
          <w:i/>
          <w:szCs w:val="22"/>
        </w:rPr>
      </w:pPr>
      <w:r>
        <w:rPr>
          <w:rFonts w:asciiTheme="majorHAnsi" w:hAnsiTheme="majorHAnsi" w:cs="Times New Roman"/>
          <w:i/>
          <w:szCs w:val="22"/>
        </w:rPr>
        <w:tab/>
      </w:r>
    </w:p>
    <w:p w:rsidR="00F04EEF" w:rsidRDefault="0099351E">
      <w:pPr>
        <w:pStyle w:val="para"/>
        <w:ind w:left="0" w:firstLine="0"/>
        <w:rPr>
          <w:rFonts w:asciiTheme="majorHAnsi" w:hAnsiTheme="majorHAnsi" w:cs="Times New Roman"/>
          <w:szCs w:val="22"/>
        </w:rPr>
      </w:pPr>
      <w:r>
        <w:rPr>
          <w:rFonts w:asciiTheme="majorHAnsi" w:hAnsiTheme="majorHAnsi" w:cs="Times New Roman"/>
          <w:szCs w:val="22"/>
        </w:rPr>
        <w:t>Le coordonnateur et les accompagnateurs sont placés sous l’autorité administrative du directeur de l’établissement auprès duquel le Centre d’éducation et de formation en alternance a son siège. Le Conseil de direction définit le cadre des missions du coordonnateur et des accompagnateurs.</w:t>
      </w:r>
    </w:p>
    <w:p w:rsidR="00F04EEF" w:rsidRDefault="00F04EEF">
      <w:pPr>
        <w:pStyle w:val="para"/>
        <w:ind w:left="0" w:firstLine="0"/>
        <w:rPr>
          <w:rFonts w:asciiTheme="majorHAnsi" w:hAnsiTheme="majorHAnsi" w:cs="Times New Roman"/>
          <w:szCs w:val="22"/>
        </w:rPr>
      </w:pPr>
    </w:p>
    <w:p w:rsidR="00F04EEF" w:rsidRDefault="0099351E">
      <w:pPr>
        <w:jc w:val="both"/>
      </w:pPr>
      <w:r>
        <w:t>La liste des formations en alternance et la liste des élèves de l’enseignement spécialisé en alternance concernés sont transmises pour le 1</w:t>
      </w:r>
      <w:r>
        <w:rPr>
          <w:vertAlign w:val="superscript"/>
        </w:rPr>
        <w:t>er</w:t>
      </w:r>
      <w:r>
        <w:t xml:space="preserve"> octobre à l’Administration et à l’Inspecteur coordonnateur de l’enseignement spécialisé. Toute modification de ces listes fait l’objet d’un nouvel envoi.</w:t>
      </w:r>
    </w:p>
    <w:p w:rsidR="00F04EEF" w:rsidRDefault="00F04EEF">
      <w:pPr>
        <w:pStyle w:val="para"/>
        <w:ind w:left="0" w:firstLine="0"/>
        <w:rPr>
          <w:rFonts w:asciiTheme="majorHAnsi" w:hAnsiTheme="majorHAnsi" w:cs="Times New Roman"/>
          <w:szCs w:val="22"/>
        </w:rPr>
      </w:pPr>
    </w:p>
    <w:p w:rsidR="00F04EEF" w:rsidRDefault="0099351E">
      <w:pPr>
        <w:jc w:val="both"/>
        <w:rPr>
          <w:b/>
        </w:rPr>
      </w:pPr>
      <w:r>
        <w:rPr>
          <w:b/>
        </w:rPr>
        <w:t>Article 3 : Les tâches de l’enseignement spécialisé</w:t>
      </w:r>
    </w:p>
    <w:p w:rsidR="00F04EEF" w:rsidRDefault="0099351E">
      <w:pPr>
        <w:jc w:val="both"/>
      </w:pPr>
      <w:r>
        <w:t>L’établissement d’enseignement secondaire spécialisé assume la préparation des élèves qui envisagent une formation en alternance.</w:t>
      </w:r>
    </w:p>
    <w:p w:rsidR="00F04EEF" w:rsidRDefault="00F04EEF">
      <w:pPr>
        <w:jc w:val="both"/>
      </w:pPr>
    </w:p>
    <w:p w:rsidR="00F04EEF" w:rsidRDefault="0099351E">
      <w:pPr>
        <w:jc w:val="both"/>
      </w:pPr>
      <w:r>
        <w:t>Le passage d’un élève de l’enseignement spécialisé de plein exercice vers l’enseignement spécialisé en alternance est de la compétence du conseil de classe de l’enseignement secondaire spécialisé.</w:t>
      </w:r>
    </w:p>
    <w:p w:rsidR="00F04EEF" w:rsidRDefault="0099351E">
      <w:pPr>
        <w:jc w:val="both"/>
      </w:pPr>
      <w:r>
        <w:t>Pour ces élèves, l’établissement d’enseignement secondaire spécialisé transmet les informations nécessaires à la mise en alternance.</w:t>
      </w:r>
    </w:p>
    <w:p w:rsidR="00F04EEF" w:rsidRDefault="00F04EEF">
      <w:pPr>
        <w:jc w:val="both"/>
      </w:pPr>
    </w:p>
    <w:p w:rsidR="00F04EEF" w:rsidRDefault="0099351E">
      <w:pPr>
        <w:jc w:val="both"/>
      </w:pPr>
      <w:r>
        <w:t>La formation générale, sociale et professionnelle est assurée par l’établissement d’enseignement secondaire spécialisé selon les grilles de référence approuvées.</w:t>
      </w:r>
    </w:p>
    <w:p w:rsidR="00F04EEF" w:rsidRDefault="0099351E">
      <w:pPr>
        <w:jc w:val="both"/>
      </w:pPr>
      <w:r>
        <w:t>L’organisation des conseils de classe et des épreuves de qualification ainsi que l’évaluation certificative sont de la compétence de l’établissement d’enseignement secondaire spécialisé.</w:t>
      </w:r>
    </w:p>
    <w:p w:rsidR="00F04EEF" w:rsidRDefault="00F04EEF">
      <w:pPr>
        <w:jc w:val="both"/>
      </w:pPr>
    </w:p>
    <w:p w:rsidR="00F04EEF" w:rsidRDefault="0099351E">
      <w:pPr>
        <w:jc w:val="both"/>
        <w:rPr>
          <w:b/>
        </w:rPr>
      </w:pPr>
      <w:r>
        <w:rPr>
          <w:b/>
        </w:rPr>
        <w:t>Article 4 :</w:t>
      </w:r>
      <w:r>
        <w:t xml:space="preserve"> </w:t>
      </w:r>
      <w:r>
        <w:rPr>
          <w:b/>
        </w:rPr>
        <w:t xml:space="preserve">Conseil de direction </w:t>
      </w:r>
    </w:p>
    <w:p w:rsidR="00F04EEF" w:rsidRDefault="0099351E">
      <w:pPr>
        <w:jc w:val="both"/>
      </w:pPr>
      <w:r>
        <w:t>Il propose aux Pouvoirs organisateurs l'affectation des ressources matérielles et/ou financières attribuées par la Communauté française ou tout autre pouvoir public.  Il contrôle que ces ressources matérielles ou financières pro méritées par le Centre d'éducation et de formation en alternance soient bien affectées par les Pouvoirs organisateurs aux missions de celui-ci.</w:t>
      </w:r>
    </w:p>
    <w:p w:rsidR="00F04EEF" w:rsidRDefault="00F04EEF">
      <w:pPr>
        <w:jc w:val="both"/>
      </w:pPr>
    </w:p>
    <w:p w:rsidR="00F04EEF" w:rsidRDefault="0099351E">
      <w:pPr>
        <w:jc w:val="both"/>
      </w:pPr>
      <w:r>
        <w:t>Les formations visées à l'article 2bis, § 1</w:t>
      </w:r>
      <w:r>
        <w:rPr>
          <w:vertAlign w:val="superscript"/>
        </w:rPr>
        <w:t>er</w:t>
      </w:r>
      <w:r>
        <w:t xml:space="preserve">, 3° sont arrêtées par le Centre d'éducation et de formation en alternance sur décision prise aux deux tiers des membres présents du Conseil de direction. </w:t>
      </w:r>
    </w:p>
    <w:p w:rsidR="00F04EEF" w:rsidRDefault="00F04EEF">
      <w:pPr>
        <w:jc w:val="both"/>
      </w:pPr>
    </w:p>
    <w:p w:rsidR="00F04EEF" w:rsidRDefault="0099351E">
      <w:pPr>
        <w:jc w:val="both"/>
      </w:pPr>
      <w:r>
        <w:t xml:space="preserve">Le lien entre le Conseil de direction et les différents acteurs de l’alternance (formateurs, accompagnateurs, jeunes, chargés de missions, institutions régionales locales, participation </w:t>
      </w:r>
      <w:r>
        <w:rPr>
          <w:w w:val="110"/>
        </w:rPr>
        <w:t xml:space="preserve">à </w:t>
      </w:r>
      <w:r>
        <w:t>certaines réunions ou activités spécifiques dans les établissements coopérants, etc.….) est assuré par le coordonnateur.</w:t>
      </w:r>
    </w:p>
    <w:p w:rsidR="00F04EEF" w:rsidRDefault="0099351E">
      <w:pPr>
        <w:pStyle w:val="Style"/>
        <w:tabs>
          <w:tab w:val="left" w:pos="1"/>
          <w:tab w:val="right" w:pos="8083"/>
        </w:tabs>
        <w:spacing w:line="316" w:lineRule="exact"/>
        <w:jc w:val="both"/>
        <w:rPr>
          <w:rFonts w:asciiTheme="majorHAnsi" w:hAnsiTheme="majorHAnsi"/>
          <w:sz w:val="22"/>
          <w:szCs w:val="22"/>
        </w:rPr>
      </w:pPr>
      <w:r>
        <w:rPr>
          <w:rFonts w:asciiTheme="majorHAnsi" w:hAnsiTheme="majorHAnsi"/>
          <w:sz w:val="22"/>
          <w:szCs w:val="22"/>
        </w:rPr>
        <w:t xml:space="preserve"> </w:t>
      </w:r>
    </w:p>
    <w:p w:rsidR="00F04EEF" w:rsidRDefault="0099351E">
      <w:pPr>
        <w:jc w:val="both"/>
      </w:pPr>
      <w:r>
        <w:t xml:space="preserve">Le Conseil de direction définit les moyens nécessaires à l’accomplissement des tâches incombant au CEFA : frais de déplacement, administratifs et de fonctionnement. </w:t>
      </w:r>
    </w:p>
    <w:p w:rsidR="00F04EEF" w:rsidRDefault="0099351E">
      <w:pPr>
        <w:jc w:val="both"/>
      </w:pPr>
      <w:r>
        <w:t>Un montant sera prélevé sur les subventions/dotations de fonctionnement des établissements coopérants pour couvrir ces frais. Ce montant est exprimé soit de manière forfaitaire, soit de manière détaillée selon des frais admissibles par le Conseil de direction.</w:t>
      </w:r>
    </w:p>
    <w:p w:rsidR="00F04EEF" w:rsidRDefault="00F04EEF">
      <w:pPr>
        <w:jc w:val="both"/>
      </w:pPr>
    </w:p>
    <w:p w:rsidR="00F04EEF" w:rsidRDefault="0099351E">
      <w:pPr>
        <w:jc w:val="both"/>
        <w:rPr>
          <w:b/>
        </w:rPr>
      </w:pPr>
      <w:r>
        <w:rPr>
          <w:b/>
        </w:rPr>
        <w:t>Article 5 : Durée et reconduction</w:t>
      </w:r>
    </w:p>
    <w:p w:rsidR="00F04EEF" w:rsidRDefault="0099351E">
      <w:pPr>
        <w:jc w:val="both"/>
      </w:pPr>
      <w:r>
        <w:t>La présente convention prend effet le 01/09/2… et est conclue pour une durée d'un an.</w:t>
      </w:r>
    </w:p>
    <w:p w:rsidR="00F04EEF" w:rsidRDefault="0099351E">
      <w:pPr>
        <w:jc w:val="both"/>
      </w:pPr>
      <w:r>
        <w:t xml:space="preserve">Sauf avis contraire notifié par l'une des parties, la présente convention sera tacitement renouvelée d'année scolaire en année scolaire.  </w:t>
      </w:r>
    </w:p>
    <w:p w:rsidR="00F04EEF" w:rsidRDefault="00F04EEF">
      <w:pPr>
        <w:jc w:val="both"/>
      </w:pPr>
    </w:p>
    <w:p w:rsidR="00F04EEF" w:rsidRDefault="0099351E">
      <w:pPr>
        <w:jc w:val="both"/>
        <w:rPr>
          <w:b/>
        </w:rPr>
      </w:pPr>
      <w:r>
        <w:rPr>
          <w:b/>
        </w:rPr>
        <w:t xml:space="preserve">Article 6 : Dispositions finales </w:t>
      </w:r>
    </w:p>
    <w:p w:rsidR="00F04EEF" w:rsidRDefault="0099351E">
      <w:pPr>
        <w:jc w:val="both"/>
      </w:pPr>
      <w:r>
        <w:t>Indépendamment de ce que prévoit la présente convention, les Pouvoirs organisateurs sont tenus de se conformer aux textes légaux, règlements et instructions administratives qui les concernent.</w:t>
      </w:r>
    </w:p>
    <w:p w:rsidR="00F04EEF" w:rsidRDefault="00F04EEF">
      <w:pPr>
        <w:jc w:val="both"/>
      </w:pPr>
    </w:p>
    <w:p w:rsidR="00F04EEF" w:rsidRDefault="0099351E">
      <w:pPr>
        <w:jc w:val="both"/>
        <w:rPr>
          <w:b/>
        </w:rPr>
      </w:pPr>
      <w:r>
        <w:rPr>
          <w:b/>
        </w:rPr>
        <w:t>Article 7 : Signataires</w:t>
      </w:r>
    </w:p>
    <w:p w:rsidR="00F04EEF" w:rsidRDefault="0099351E">
      <w:pPr>
        <w:jc w:val="both"/>
      </w:pPr>
      <w:r>
        <w:t>1) Pour l’établissement :</w:t>
      </w:r>
    </w:p>
    <w:p w:rsidR="00F04EEF" w:rsidRDefault="0099351E">
      <w:pPr>
        <w:jc w:val="both"/>
      </w:pPr>
      <w:r>
        <w:t>(NOM et adresse de l'établissement d'enseignement)</w:t>
      </w:r>
    </w:p>
    <w:p w:rsidR="00F04EEF" w:rsidRDefault="00F04EEF">
      <w:pPr>
        <w:jc w:val="both"/>
      </w:pPr>
    </w:p>
    <w:p w:rsidR="00F04EEF" w:rsidRDefault="0099351E">
      <w:pPr>
        <w:jc w:val="both"/>
      </w:pPr>
      <w:r>
        <w:t>Dénommé « Etablissement siège » du CEFA.</w:t>
      </w:r>
    </w:p>
    <w:p w:rsidR="00F04EEF" w:rsidRDefault="00F04EEF">
      <w:pPr>
        <w:jc w:val="both"/>
      </w:pPr>
    </w:p>
    <w:p w:rsidR="00F04EEF" w:rsidRDefault="0099351E">
      <w:pPr>
        <w:jc w:val="both"/>
      </w:pPr>
      <w:r>
        <w:t>Représenté par :</w:t>
      </w:r>
    </w:p>
    <w:p w:rsidR="00F04EEF" w:rsidRDefault="0099351E">
      <w:pPr>
        <w:jc w:val="both"/>
      </w:pPr>
      <w:r>
        <w:t>(NOM, prénom du délégué dûment mandaté par le pouvoir organisateur)</w:t>
      </w:r>
    </w:p>
    <w:p w:rsidR="00F04EEF" w:rsidRDefault="00F04EEF">
      <w:pPr>
        <w:jc w:val="both"/>
      </w:pPr>
    </w:p>
    <w:p w:rsidR="00F04EEF" w:rsidRDefault="00F04EEF">
      <w:pPr>
        <w:jc w:val="both"/>
      </w:pPr>
    </w:p>
    <w:p w:rsidR="00F04EEF" w:rsidRDefault="0099351E">
      <w:pPr>
        <w:jc w:val="both"/>
      </w:pPr>
      <w:r>
        <w:t>Signature :</w:t>
      </w:r>
    </w:p>
    <w:p w:rsidR="00F04EEF" w:rsidRDefault="00F04EEF">
      <w:pPr>
        <w:jc w:val="both"/>
      </w:pPr>
    </w:p>
    <w:p w:rsidR="00F04EEF" w:rsidRDefault="00F04EEF">
      <w:pPr>
        <w:jc w:val="both"/>
      </w:pPr>
    </w:p>
    <w:p w:rsidR="00F04EEF" w:rsidRDefault="0099351E">
      <w:pPr>
        <w:jc w:val="both"/>
      </w:pPr>
      <w:r>
        <w:t>2) Pour l’établissement :</w:t>
      </w:r>
    </w:p>
    <w:p w:rsidR="00F04EEF" w:rsidRDefault="0099351E">
      <w:pPr>
        <w:jc w:val="both"/>
      </w:pPr>
      <w:r>
        <w:t>(NOM et adresse de l'établissement d'enseignement)</w:t>
      </w:r>
    </w:p>
    <w:p w:rsidR="00F04EEF" w:rsidRDefault="00F04EEF">
      <w:pPr>
        <w:jc w:val="both"/>
      </w:pPr>
    </w:p>
    <w:p w:rsidR="00F04EEF" w:rsidRDefault="0099351E">
      <w:pPr>
        <w:jc w:val="both"/>
      </w:pPr>
      <w:r>
        <w:t>Dénommé « Etablissement coopérant » du CEFA.</w:t>
      </w:r>
    </w:p>
    <w:p w:rsidR="00F04EEF" w:rsidRDefault="00F04EEF">
      <w:pPr>
        <w:jc w:val="both"/>
      </w:pPr>
    </w:p>
    <w:p w:rsidR="00F04EEF" w:rsidRDefault="0099351E">
      <w:pPr>
        <w:jc w:val="both"/>
      </w:pPr>
      <w:r>
        <w:t>Représenté par :</w:t>
      </w:r>
    </w:p>
    <w:p w:rsidR="00F04EEF" w:rsidRDefault="0099351E">
      <w:pPr>
        <w:jc w:val="both"/>
      </w:pPr>
      <w:r>
        <w:t>(NOM, prénom du délégué dûment mandaté par le pouvoir organisateur)</w:t>
      </w:r>
    </w:p>
    <w:p w:rsidR="00F04EEF" w:rsidRDefault="00F04EEF">
      <w:pPr>
        <w:jc w:val="both"/>
      </w:pPr>
    </w:p>
    <w:p w:rsidR="00F04EEF" w:rsidRDefault="00F04EEF">
      <w:pPr>
        <w:jc w:val="both"/>
      </w:pPr>
    </w:p>
    <w:p w:rsidR="00F04EEF" w:rsidRDefault="0099351E">
      <w:pPr>
        <w:jc w:val="both"/>
      </w:pPr>
      <w:r>
        <w:t>Signature :</w:t>
      </w:r>
    </w:p>
    <w:p w:rsidR="00F04EEF" w:rsidRDefault="00F04EEF">
      <w:pPr>
        <w:jc w:val="both"/>
      </w:pPr>
    </w:p>
    <w:p w:rsidR="00F04EEF" w:rsidRDefault="0099351E">
      <w:r>
        <w:br w:type="page"/>
      </w:r>
    </w:p>
    <w:p w:rsidR="00F04EEF" w:rsidRDefault="0099351E">
      <w:pPr>
        <w:pStyle w:val="Titre4"/>
        <w:rPr>
          <w:lang w:eastAsia="fr-FR"/>
        </w:rPr>
      </w:pPr>
      <w:bookmarkStart w:id="4073" w:name="_Toc414352983"/>
      <w:bookmarkStart w:id="4074" w:name="_Toc453837008"/>
      <w:r>
        <w:rPr>
          <w:lang w:eastAsia="fr-FR"/>
        </w:rPr>
        <w:t>Annexe 24 : Composition du jury de qualification</w:t>
      </w:r>
      <w:bookmarkEnd w:id="4073"/>
      <w:bookmarkEnd w:id="4074"/>
    </w:p>
    <w:p w:rsidR="00F04EEF" w:rsidRDefault="00F04EEF">
      <w:pPr>
        <w:jc w:val="center"/>
        <w:rPr>
          <w:b/>
        </w:rPr>
      </w:pPr>
    </w:p>
    <w:p w:rsidR="00F04EEF" w:rsidRDefault="0099351E">
      <w:pPr>
        <w:jc w:val="center"/>
        <w:rPr>
          <w:b/>
        </w:rPr>
      </w:pPr>
      <w:r>
        <w:rPr>
          <w:b/>
        </w:rPr>
        <w:t>COMMUNAUTE FRANCAISE</w:t>
      </w:r>
    </w:p>
    <w:p w:rsidR="00F04EEF" w:rsidRDefault="00F04EEF">
      <w:pPr>
        <w:jc w:val="center"/>
      </w:pPr>
    </w:p>
    <w:p w:rsidR="00F04EEF" w:rsidRDefault="0099351E">
      <w:pPr>
        <w:jc w:val="center"/>
        <w:rPr>
          <w:b/>
          <w:caps/>
        </w:rPr>
      </w:pPr>
      <w:r>
        <w:rPr>
          <w:b/>
          <w:caps/>
        </w:rPr>
        <w:t>Enseignement secondaire spécialisé de forme 4 en alternance</w:t>
      </w:r>
    </w:p>
    <w:p w:rsidR="00F04EEF" w:rsidRDefault="00F04EEF">
      <w:pPr>
        <w:tabs>
          <w:tab w:val="left" w:pos="962"/>
          <w:tab w:val="left" w:pos="1303"/>
          <w:tab w:val="left" w:pos="1586"/>
          <w:tab w:val="left" w:pos="1813"/>
          <w:tab w:val="left" w:pos="3174"/>
          <w:tab w:val="left" w:pos="3967"/>
          <w:tab w:val="left" w:pos="4591"/>
          <w:tab w:val="left" w:pos="4818"/>
        </w:tabs>
        <w:jc w:val="both"/>
      </w:pPr>
    </w:p>
    <w:p w:rsidR="00F04EEF" w:rsidRDefault="0099351E">
      <w:pPr>
        <w:pStyle w:val="En-tte"/>
        <w:tabs>
          <w:tab w:val="clear" w:pos="9072"/>
          <w:tab w:val="right" w:leader="dot" w:pos="9356"/>
        </w:tabs>
        <w:spacing w:line="360" w:lineRule="auto"/>
        <w:jc w:val="both"/>
        <w:rPr>
          <w:rFonts w:asciiTheme="majorHAnsi" w:hAnsiTheme="majorHAnsi"/>
          <w:szCs w:val="22"/>
        </w:rPr>
      </w:pPr>
      <w:r>
        <w:rPr>
          <w:rFonts w:asciiTheme="majorHAnsi" w:hAnsiTheme="majorHAnsi"/>
          <w:b/>
          <w:szCs w:val="22"/>
          <w:u w:val="single"/>
        </w:rPr>
        <w:t>Dénomination et adresse de l’établissement</w:t>
      </w:r>
      <w:r>
        <w:rPr>
          <w:rFonts w:asciiTheme="majorHAnsi" w:hAnsiTheme="majorHAnsi"/>
          <w:b/>
          <w:szCs w:val="22"/>
        </w:rPr>
        <w:t xml:space="preserve"> :</w:t>
      </w:r>
      <w:r>
        <w:rPr>
          <w:rFonts w:asciiTheme="majorHAnsi" w:hAnsiTheme="majorHAnsi"/>
          <w:szCs w:val="22"/>
        </w:rPr>
        <w:tab/>
      </w:r>
    </w:p>
    <w:p w:rsidR="00F04EEF" w:rsidRDefault="00F04EEF">
      <w:pPr>
        <w:pStyle w:val="Retraitcorpsdetexte"/>
        <w:ind w:left="0"/>
        <w:rPr>
          <w:rFonts w:asciiTheme="majorHAnsi" w:hAnsiTheme="majorHAnsi"/>
          <w:szCs w:val="22"/>
        </w:rPr>
      </w:pPr>
    </w:p>
    <w:p w:rsidR="00F04EEF" w:rsidRDefault="00F04EEF">
      <w:pPr>
        <w:pStyle w:val="Retraitcorpsdetexte"/>
        <w:ind w:left="0"/>
        <w:rPr>
          <w:rFonts w:asciiTheme="majorHAnsi" w:hAnsiTheme="majorHAnsi"/>
          <w:szCs w:val="22"/>
        </w:rPr>
      </w:pPr>
    </w:p>
    <w:p w:rsidR="00F04EEF" w:rsidRDefault="0099351E">
      <w:pPr>
        <w:pStyle w:val="Retraitcorpsdetexte"/>
        <w:ind w:left="0" w:firstLine="0"/>
        <w:jc w:val="left"/>
        <w:rPr>
          <w:rFonts w:asciiTheme="majorHAnsi" w:hAnsiTheme="majorHAnsi"/>
          <w:szCs w:val="22"/>
        </w:rPr>
      </w:pPr>
      <w:r>
        <w:rPr>
          <w:rFonts w:asciiTheme="majorHAnsi" w:hAnsiTheme="majorHAnsi"/>
          <w:szCs w:val="22"/>
        </w:rPr>
        <w:t>Le jury de qualification chargé de procéder aux épreuves de qualification, établi conformément aux dispositions de l’article 28 de l’Arrêté Royal du 29 juin 1984 relatif à l’organisation de l’enseignement secondaire, est composé comme suit pour l’année scolaire 20../20.. :</w:t>
      </w:r>
    </w:p>
    <w:p w:rsidR="00F04EEF" w:rsidRDefault="00F04EEF">
      <w:pPr>
        <w:pStyle w:val="Retraitcorpsdetexte"/>
        <w:ind w:left="0" w:firstLine="0"/>
        <w:rPr>
          <w:rFonts w:asciiTheme="majorHAnsi" w:hAnsiTheme="majorHAnsi"/>
          <w:szCs w:val="22"/>
        </w:rPr>
      </w:pPr>
    </w:p>
    <w:p w:rsidR="00F04EEF" w:rsidRDefault="00F04EEF">
      <w:pPr>
        <w:pStyle w:val="Retraitcorpsdetexte"/>
        <w:ind w:left="0" w:firstLine="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u w:val="single"/>
        </w:rPr>
        <w:t>Enseignement</w:t>
      </w:r>
      <w:r>
        <w:rPr>
          <w:rFonts w:asciiTheme="majorHAnsi" w:hAnsiTheme="majorHAnsi"/>
          <w:szCs w:val="22"/>
        </w:rPr>
        <w:t> : (Technique ou professionnel)</w:t>
      </w:r>
    </w:p>
    <w:p w:rsidR="00F04EEF" w:rsidRDefault="00F04EEF">
      <w:pPr>
        <w:pStyle w:val="Retraitcorpsdetexte"/>
        <w:ind w:left="0" w:firstLine="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u w:val="single"/>
        </w:rPr>
        <w:t>Option de base groupée</w:t>
      </w:r>
      <w:r>
        <w:rPr>
          <w:rFonts w:asciiTheme="majorHAnsi" w:hAnsiTheme="majorHAnsi"/>
          <w:szCs w:val="22"/>
        </w:rPr>
        <w:t> :</w:t>
      </w:r>
    </w:p>
    <w:p w:rsidR="00F04EEF" w:rsidRDefault="00F04EEF">
      <w:pPr>
        <w:pStyle w:val="Retraitcorpsdetexte"/>
        <w:ind w:left="0" w:firstLine="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u w:val="single"/>
        </w:rPr>
        <w:t>Année d’études</w:t>
      </w:r>
      <w:r>
        <w:rPr>
          <w:rFonts w:asciiTheme="majorHAnsi" w:hAnsiTheme="majorHAnsi"/>
          <w:szCs w:val="22"/>
        </w:rPr>
        <w:t> : (6</w:t>
      </w:r>
      <w:r>
        <w:rPr>
          <w:rFonts w:asciiTheme="majorHAnsi" w:hAnsiTheme="majorHAnsi"/>
          <w:szCs w:val="22"/>
          <w:vertAlign w:val="superscript"/>
        </w:rPr>
        <w:t>e</w:t>
      </w:r>
      <w:r>
        <w:rPr>
          <w:rFonts w:asciiTheme="majorHAnsi" w:hAnsiTheme="majorHAnsi"/>
          <w:szCs w:val="22"/>
        </w:rPr>
        <w:t xml:space="preserve"> ou 7</w:t>
      </w:r>
      <w:r>
        <w:rPr>
          <w:rFonts w:asciiTheme="majorHAnsi" w:hAnsiTheme="majorHAnsi"/>
          <w:szCs w:val="22"/>
          <w:vertAlign w:val="superscript"/>
        </w:rPr>
        <w:t>e</w:t>
      </w:r>
      <w:r>
        <w:rPr>
          <w:rFonts w:asciiTheme="majorHAnsi" w:hAnsiTheme="majorHAnsi"/>
          <w:szCs w:val="22"/>
        </w:rPr>
        <w:t xml:space="preserve"> sp./perf.)</w:t>
      </w:r>
    </w:p>
    <w:p w:rsidR="00F04EEF" w:rsidRDefault="00F04EEF">
      <w:pPr>
        <w:pStyle w:val="Retraitcorpsdetexte"/>
        <w:ind w:left="0" w:firstLine="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u w:val="single"/>
        </w:rPr>
        <w:t>Président</w:t>
      </w:r>
      <w:r>
        <w:rPr>
          <w:rFonts w:asciiTheme="majorHAnsi" w:hAnsiTheme="majorHAnsi"/>
          <w:szCs w:val="22"/>
        </w:rPr>
        <w:t> : (Le chef d’établissement ou son délégué, ou le délégué du P.O.)</w:t>
      </w:r>
    </w:p>
    <w:p w:rsidR="00F04EEF" w:rsidRDefault="00F04EEF">
      <w:pPr>
        <w:pStyle w:val="Retraitcorpsdetexte"/>
        <w:ind w:left="0" w:firstLine="0"/>
        <w:rPr>
          <w:rFonts w:asciiTheme="majorHAnsi" w:hAnsiTheme="majorHAnsi"/>
          <w:szCs w:val="22"/>
        </w:rPr>
      </w:pPr>
    </w:p>
    <w:p w:rsidR="00F04EEF" w:rsidRDefault="00F04EEF">
      <w:pPr>
        <w:pStyle w:val="Retraitcorpsdetexte"/>
        <w:ind w:left="0" w:firstLine="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u w:val="single"/>
        </w:rPr>
        <w:t>Membres du corps professoral</w:t>
      </w:r>
      <w:r>
        <w:rPr>
          <w:rFonts w:asciiTheme="majorHAnsi" w:hAnsiTheme="majorHAnsi"/>
          <w:szCs w:val="22"/>
        </w:rPr>
        <w:t> :</w:t>
      </w:r>
    </w:p>
    <w:p w:rsidR="00F04EEF" w:rsidRDefault="00F04EEF">
      <w:pPr>
        <w:pStyle w:val="Retraitcorpsdetexte"/>
        <w:ind w:left="0" w:firstLine="0"/>
        <w:rPr>
          <w:rFonts w:asciiTheme="majorHAnsi" w:hAnsiTheme="maj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F04EEF">
        <w:tc>
          <w:tcPr>
            <w:tcW w:w="4390" w:type="dxa"/>
          </w:tcPr>
          <w:p w:rsidR="00F04EEF" w:rsidRDefault="0099351E">
            <w:pPr>
              <w:pStyle w:val="Retraitcorpsdetexte"/>
              <w:snapToGrid w:val="0"/>
              <w:ind w:left="0" w:firstLine="0"/>
              <w:rPr>
                <w:rFonts w:asciiTheme="majorHAnsi" w:hAnsiTheme="majorHAnsi"/>
                <w:szCs w:val="22"/>
              </w:rPr>
            </w:pPr>
            <w:r>
              <w:rPr>
                <w:rFonts w:asciiTheme="majorHAnsi" w:hAnsiTheme="majorHAnsi"/>
                <w:szCs w:val="22"/>
              </w:rPr>
              <w:t xml:space="preserve">NOM et prénom </w:t>
            </w: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snapToGrid w:val="0"/>
              <w:ind w:left="0" w:firstLine="0"/>
              <w:rPr>
                <w:rFonts w:asciiTheme="majorHAnsi" w:hAnsiTheme="majorHAnsi"/>
                <w:szCs w:val="22"/>
              </w:rPr>
            </w:pPr>
          </w:p>
        </w:tc>
        <w:tc>
          <w:tcPr>
            <w:tcW w:w="5036" w:type="dxa"/>
          </w:tcPr>
          <w:p w:rsidR="00F04EEF" w:rsidRDefault="0099351E">
            <w:pPr>
              <w:pStyle w:val="Retraitcorpsdetexte"/>
              <w:snapToGrid w:val="0"/>
              <w:ind w:left="0" w:firstLine="0"/>
              <w:rPr>
                <w:rFonts w:asciiTheme="majorHAnsi" w:hAnsiTheme="majorHAnsi"/>
                <w:szCs w:val="22"/>
              </w:rPr>
            </w:pPr>
            <w:r>
              <w:rPr>
                <w:rFonts w:asciiTheme="majorHAnsi" w:hAnsiTheme="majorHAnsi"/>
                <w:szCs w:val="22"/>
              </w:rPr>
              <w:t>Cours enseignés ayant un rapport direct avec la qualification à sanctionner.</w:t>
            </w:r>
          </w:p>
        </w:tc>
      </w:tr>
    </w:tbl>
    <w:p w:rsidR="00F04EEF" w:rsidRDefault="00F04EEF">
      <w:pPr>
        <w:pStyle w:val="Retraitcorpsdetexte"/>
        <w:ind w:left="0" w:firstLine="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u w:val="single"/>
        </w:rPr>
        <w:t>Membres étrangers</w:t>
      </w:r>
      <w:r>
        <w:rPr>
          <w:rFonts w:asciiTheme="majorHAnsi" w:hAnsiTheme="majorHAnsi"/>
          <w:szCs w:val="22"/>
        </w:rPr>
        <w:t> :</w:t>
      </w:r>
    </w:p>
    <w:p w:rsidR="00F04EEF" w:rsidRDefault="00F04EEF">
      <w:pPr>
        <w:pStyle w:val="Retraitcorpsdetexte"/>
        <w:ind w:left="0"/>
        <w:rPr>
          <w:rFonts w:asciiTheme="majorHAnsi" w:hAnsiTheme="maj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F04EEF">
        <w:tc>
          <w:tcPr>
            <w:tcW w:w="4390" w:type="dxa"/>
          </w:tcPr>
          <w:p w:rsidR="00F04EEF" w:rsidRDefault="0099351E">
            <w:pPr>
              <w:pStyle w:val="Retraitcorpsdetexte"/>
              <w:snapToGrid w:val="0"/>
              <w:ind w:left="0" w:firstLine="0"/>
              <w:rPr>
                <w:rFonts w:asciiTheme="majorHAnsi" w:hAnsiTheme="majorHAnsi"/>
                <w:szCs w:val="22"/>
              </w:rPr>
            </w:pPr>
            <w:r>
              <w:rPr>
                <w:rFonts w:asciiTheme="majorHAnsi" w:hAnsiTheme="majorHAnsi"/>
                <w:szCs w:val="22"/>
              </w:rPr>
              <w:t xml:space="preserve">NOM et prénom </w:t>
            </w:r>
          </w:p>
          <w:p w:rsidR="00F04EEF" w:rsidRDefault="00F04EEF">
            <w:pPr>
              <w:pStyle w:val="Retraitcorpsdetexte"/>
              <w:snapToGrid w:val="0"/>
              <w:ind w:left="0" w:firstLine="0"/>
              <w:rPr>
                <w:rFonts w:asciiTheme="majorHAnsi" w:hAnsiTheme="majorHAnsi"/>
                <w:szCs w:val="22"/>
              </w:rPr>
            </w:pPr>
          </w:p>
          <w:p w:rsidR="00F04EEF" w:rsidRDefault="00F04EEF">
            <w:pPr>
              <w:pStyle w:val="Retraitcorpsdetexte"/>
              <w:ind w:left="0" w:firstLine="0"/>
              <w:rPr>
                <w:rFonts w:asciiTheme="majorHAnsi" w:hAnsiTheme="majorHAnsi"/>
                <w:szCs w:val="22"/>
              </w:rPr>
            </w:pPr>
          </w:p>
        </w:tc>
        <w:tc>
          <w:tcPr>
            <w:tcW w:w="5036" w:type="dxa"/>
          </w:tcPr>
          <w:p w:rsidR="00F04EEF" w:rsidRDefault="0099351E">
            <w:pPr>
              <w:pStyle w:val="Retraitcorpsdetexte"/>
              <w:snapToGrid w:val="0"/>
              <w:ind w:left="0" w:firstLine="0"/>
              <w:rPr>
                <w:rFonts w:asciiTheme="majorHAnsi" w:hAnsiTheme="majorHAnsi"/>
                <w:szCs w:val="22"/>
              </w:rPr>
            </w:pPr>
            <w:r>
              <w:rPr>
                <w:rFonts w:asciiTheme="majorHAnsi" w:hAnsiTheme="majorHAnsi"/>
                <w:szCs w:val="22"/>
              </w:rPr>
              <w:t>Qualité (Indiquer, par ex., la profession, l’employeur, etc.)</w:t>
            </w:r>
          </w:p>
        </w:tc>
      </w:tr>
    </w:tbl>
    <w:p w:rsidR="00F04EEF" w:rsidRDefault="00F04EEF">
      <w:pPr>
        <w:pStyle w:val="Retraitcorpsdetexte"/>
        <w:ind w:left="0"/>
        <w:rPr>
          <w:rFonts w:asciiTheme="majorHAnsi" w:hAnsiTheme="majorHAnsi"/>
          <w:szCs w:val="22"/>
        </w:rPr>
      </w:pPr>
    </w:p>
    <w:p w:rsidR="00F04EEF" w:rsidRDefault="00F04EEF">
      <w:pPr>
        <w:pStyle w:val="Retraitcorpsdetexte"/>
        <w:ind w:left="0"/>
        <w:rPr>
          <w:rFonts w:asciiTheme="majorHAnsi" w:hAnsiTheme="majorHAnsi"/>
          <w:szCs w:val="22"/>
        </w:rPr>
      </w:pPr>
    </w:p>
    <w:p w:rsidR="00F04EEF" w:rsidRDefault="0099351E">
      <w:pPr>
        <w:pStyle w:val="Retraitcorpsdetexte"/>
        <w:ind w:left="0" w:firstLine="0"/>
        <w:rPr>
          <w:rFonts w:asciiTheme="majorHAnsi" w:hAnsiTheme="majorHAnsi"/>
          <w:szCs w:val="22"/>
        </w:rPr>
      </w:pPr>
      <w:r>
        <w:rPr>
          <w:rFonts w:asciiTheme="majorHAnsi" w:hAnsiTheme="majorHAnsi"/>
          <w:szCs w:val="22"/>
        </w:rPr>
        <w:t>Fait à</w:t>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r>
      <w:r>
        <w:rPr>
          <w:rFonts w:asciiTheme="majorHAnsi" w:hAnsiTheme="majorHAnsi"/>
          <w:szCs w:val="22"/>
        </w:rPr>
        <w:tab/>
        <w:t>le</w:t>
      </w:r>
    </w:p>
    <w:p w:rsidR="00F04EEF" w:rsidRDefault="00F04EEF">
      <w:pPr>
        <w:pStyle w:val="Retraitcorpsdetexte"/>
        <w:ind w:left="0" w:right="2984"/>
        <w:rPr>
          <w:rFonts w:asciiTheme="majorHAnsi" w:hAnsiTheme="majorHAnsi"/>
          <w:szCs w:val="22"/>
        </w:rPr>
      </w:pPr>
    </w:p>
    <w:p w:rsidR="00F04EEF" w:rsidRDefault="0099351E">
      <w:pPr>
        <w:pStyle w:val="Retraitcorpsdetexte"/>
        <w:ind w:left="0" w:right="2984" w:firstLine="0"/>
        <w:rPr>
          <w:rFonts w:asciiTheme="majorHAnsi" w:hAnsiTheme="majorHAnsi"/>
          <w:szCs w:val="22"/>
        </w:rPr>
      </w:pPr>
      <w:r>
        <w:rPr>
          <w:rFonts w:asciiTheme="majorHAnsi" w:hAnsiTheme="majorHAnsi"/>
          <w:szCs w:val="22"/>
        </w:rPr>
        <w:t>Le Président,</w:t>
      </w:r>
    </w:p>
    <w:p w:rsidR="00F04EEF" w:rsidRDefault="00F04EEF">
      <w:pPr>
        <w:pStyle w:val="Retraitcorpsdetexte"/>
        <w:ind w:left="0" w:right="2984" w:firstLine="0"/>
        <w:rPr>
          <w:rFonts w:asciiTheme="majorHAnsi" w:hAnsiTheme="majorHAnsi"/>
          <w:szCs w:val="22"/>
        </w:rPr>
      </w:pPr>
    </w:p>
    <w:p w:rsidR="00F04EEF" w:rsidRDefault="00F04EEF">
      <w:pPr>
        <w:pStyle w:val="Retraitcorpsdetexte"/>
        <w:ind w:left="0" w:right="2984" w:firstLine="0"/>
        <w:rPr>
          <w:rFonts w:asciiTheme="majorHAnsi" w:hAnsiTheme="majorHAnsi"/>
          <w:szCs w:val="22"/>
        </w:rPr>
      </w:pPr>
    </w:p>
    <w:p w:rsidR="00F04EEF" w:rsidRDefault="0099351E">
      <w:pPr>
        <w:pStyle w:val="Titre4"/>
        <w:rPr>
          <w:lang w:eastAsia="fr-FR"/>
        </w:rPr>
      </w:pPr>
      <w:r>
        <w:br w:type="page"/>
      </w:r>
      <w:bookmarkStart w:id="4075" w:name="_Toc414352984"/>
      <w:bookmarkStart w:id="4076" w:name="_Toc453837009"/>
      <w:r>
        <w:rPr>
          <w:lang w:eastAsia="fr-FR"/>
        </w:rPr>
        <w:t>Annexe 25: Certificat d’enseignement secondaire du 2ème degré en alternance</w:t>
      </w:r>
      <w:bookmarkEnd w:id="4075"/>
      <w:bookmarkEnd w:id="4076"/>
    </w:p>
    <w:p w:rsidR="00F04EEF" w:rsidRDefault="00F04EEF">
      <w:pPr>
        <w:jc w:val="both"/>
      </w:pPr>
    </w:p>
    <w:p w:rsidR="00F04EEF" w:rsidRDefault="0099351E">
      <w:pPr>
        <w:jc w:val="center"/>
      </w:pPr>
      <w:r>
        <w:t>(Décret organisant l’enseignement spécialisé du 3 mars 2004)</w:t>
      </w:r>
    </w:p>
    <w:p w:rsidR="00F04EEF" w:rsidRDefault="00F04EEF">
      <w:pPr>
        <w:jc w:val="both"/>
      </w:pPr>
    </w:p>
    <w:p w:rsidR="00F04EEF" w:rsidRDefault="00F04EEF">
      <w:pPr>
        <w:jc w:val="both"/>
      </w:pPr>
    </w:p>
    <w:p w:rsidR="00F04EEF" w:rsidRDefault="0099351E">
      <w:r>
        <w:t>Numéro FASE :</w:t>
      </w:r>
    </w:p>
    <w:p w:rsidR="00F04EEF" w:rsidRDefault="00F04EEF">
      <w:pPr>
        <w:jc w:val="both"/>
      </w:pPr>
    </w:p>
    <w:p w:rsidR="00F04EEF" w:rsidRDefault="0099351E">
      <w:pPr>
        <w:spacing w:line="360" w:lineRule="auto"/>
        <w:jc w:val="both"/>
        <w:rPr>
          <w:b/>
          <w:u w:val="single"/>
        </w:rPr>
      </w:pPr>
      <w:r>
        <w:rPr>
          <w:b/>
          <w:u w:val="single"/>
        </w:rPr>
        <w:t>Secteur professionnel :</w:t>
      </w:r>
    </w:p>
    <w:p w:rsidR="00F04EEF" w:rsidRDefault="0099351E">
      <w:pPr>
        <w:spacing w:line="360" w:lineRule="auto"/>
        <w:jc w:val="both"/>
        <w:rPr>
          <w:b/>
          <w:u w:val="single"/>
        </w:rPr>
      </w:pPr>
      <w:r>
        <w:rPr>
          <w:b/>
          <w:u w:val="single"/>
        </w:rPr>
        <w:t>Groupe professionnel :</w:t>
      </w:r>
    </w:p>
    <w:p w:rsidR="00F04EEF" w:rsidRDefault="0099351E">
      <w:pPr>
        <w:spacing w:line="360" w:lineRule="auto"/>
        <w:jc w:val="both"/>
        <w:rPr>
          <w:b/>
          <w:u w:val="single"/>
        </w:rPr>
      </w:pPr>
      <w:r>
        <w:rPr>
          <w:b/>
          <w:u w:val="single"/>
        </w:rPr>
        <w:t>Métier:</w:t>
      </w:r>
    </w:p>
    <w:p w:rsidR="00F04EEF" w:rsidRDefault="00F04EEF">
      <w:pPr>
        <w:spacing w:line="360" w:lineRule="auto"/>
        <w:jc w:val="both"/>
      </w:pPr>
    </w:p>
    <w:p w:rsidR="00F04EEF" w:rsidRDefault="0099351E">
      <w:pPr>
        <w:spacing w:line="360" w:lineRule="auto"/>
        <w:jc w:val="both"/>
      </w:pPr>
      <w:r>
        <w:t>DENOMINATION ET SIEGE DE L’ETABLISSEMENT :</w:t>
      </w:r>
    </w:p>
    <w:p w:rsidR="00F04EEF" w:rsidRDefault="00F04EEF">
      <w:pPr>
        <w:spacing w:line="360" w:lineRule="auto"/>
        <w:jc w:val="both"/>
      </w:pPr>
    </w:p>
    <w:p w:rsidR="00F04EEF" w:rsidRDefault="00F04EEF">
      <w:pPr>
        <w:spacing w:line="360" w:lineRule="auto"/>
        <w:jc w:val="both"/>
      </w:pPr>
    </w:p>
    <w:p w:rsidR="00F04EEF" w:rsidRDefault="00F04EEF">
      <w:pPr>
        <w:spacing w:line="360" w:lineRule="auto"/>
        <w:jc w:val="both"/>
      </w:pPr>
    </w:p>
    <w:p w:rsidR="00F04EEF" w:rsidRDefault="0099351E">
      <w:pPr>
        <w:spacing w:line="360" w:lineRule="auto"/>
        <w:jc w:val="both"/>
      </w:pPr>
      <w:r>
        <w:t>Je soussigné(e)</w:t>
      </w:r>
      <w:r>
        <w:tab/>
      </w:r>
      <w:r>
        <w:tab/>
      </w:r>
      <w:r>
        <w:tab/>
      </w:r>
      <w:r>
        <w:tab/>
      </w:r>
    </w:p>
    <w:p w:rsidR="00F04EEF" w:rsidRDefault="00F04EEF">
      <w:pPr>
        <w:spacing w:line="360" w:lineRule="auto"/>
        <w:jc w:val="both"/>
      </w:pPr>
    </w:p>
    <w:p w:rsidR="00F04EEF" w:rsidRDefault="0099351E">
      <w:pPr>
        <w:spacing w:line="360" w:lineRule="auto"/>
        <w:jc w:val="both"/>
      </w:pPr>
      <w:r>
        <w:t>Chef(fe) de l’établissement susmentionné certifie que l’élève :</w:t>
      </w:r>
    </w:p>
    <w:p w:rsidR="00F04EEF" w:rsidRDefault="0099351E">
      <w:pPr>
        <w:spacing w:line="360" w:lineRule="auto"/>
        <w:jc w:val="both"/>
      </w:pPr>
      <w:r>
        <w:t>(NOM, Prénom)</w:t>
      </w:r>
    </w:p>
    <w:p w:rsidR="00F04EEF" w:rsidRDefault="0099351E">
      <w:pPr>
        <w:spacing w:line="360" w:lineRule="auto"/>
        <w:jc w:val="both"/>
      </w:pPr>
      <w:r>
        <w:t>Né(e) le</w:t>
      </w:r>
      <w:r>
        <w:tab/>
      </w:r>
      <w:r>
        <w:tab/>
      </w:r>
      <w:r>
        <w:tab/>
      </w:r>
      <w:r>
        <w:tab/>
      </w:r>
      <w:r>
        <w:tab/>
      </w:r>
      <w:r>
        <w:tab/>
      </w:r>
      <w:r>
        <w:tab/>
        <w:t>à</w:t>
      </w:r>
    </w:p>
    <w:p w:rsidR="00F04EEF" w:rsidRDefault="00F04EEF">
      <w:pPr>
        <w:spacing w:line="360" w:lineRule="auto"/>
        <w:jc w:val="both"/>
      </w:pPr>
    </w:p>
    <w:p w:rsidR="00F04EEF" w:rsidRDefault="0099351E">
      <w:pPr>
        <w:jc w:val="both"/>
      </w:pPr>
      <w:r>
        <w:t xml:space="preserve">A suivi et terminé avec fruit en qualité d’élève régulier(e) la troisième phase de l’enseignement secondaire spécialisé de plein exercice de forme 3 dans le secteur professionnel, groupe professionnel et métier susmentionnés. </w:t>
      </w:r>
    </w:p>
    <w:p w:rsidR="00F04EEF" w:rsidRDefault="00F04EEF">
      <w:pPr>
        <w:spacing w:line="360" w:lineRule="auto"/>
        <w:jc w:val="both"/>
      </w:pPr>
    </w:p>
    <w:p w:rsidR="00F04EEF" w:rsidRDefault="0099351E">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 présent certificat, déclaré équivalent au certificat d’enseignement secondaire ordinaire du deuxième degré, est délivré en exécution de l’article 57, 3° du Décret du 3 mars 2004 organisant l’enseignement spécialisé</w:t>
      </w:r>
    </w:p>
    <w:p w:rsidR="00F04EEF" w:rsidRDefault="00F04EEF">
      <w:pPr>
        <w:jc w:val="both"/>
      </w:pPr>
    </w:p>
    <w:p w:rsidR="00F04EEF" w:rsidRDefault="0099351E">
      <w:pPr>
        <w:spacing w:line="360" w:lineRule="auto"/>
        <w:jc w:val="both"/>
      </w:pPr>
      <w:r>
        <w:t>J’atteste que toutes les prescriptions légales et réglementaires ont été respectées.</w:t>
      </w:r>
    </w:p>
    <w:p w:rsidR="00F04EEF" w:rsidRDefault="00F04EEF">
      <w:pPr>
        <w:spacing w:line="360" w:lineRule="auto"/>
        <w:jc w:val="both"/>
      </w:pPr>
    </w:p>
    <w:p w:rsidR="00F04EEF" w:rsidRDefault="0099351E">
      <w:pPr>
        <w:spacing w:line="360" w:lineRule="auto"/>
        <w:jc w:val="both"/>
      </w:pPr>
      <w:r>
        <w:t>En foi de quoi, je délivre le présent titre.</w:t>
      </w:r>
    </w:p>
    <w:p w:rsidR="00F04EEF" w:rsidRDefault="00F04EEF">
      <w:pPr>
        <w:spacing w:line="360" w:lineRule="auto"/>
        <w:jc w:val="both"/>
      </w:pPr>
    </w:p>
    <w:p w:rsidR="00F04EEF" w:rsidRDefault="0099351E">
      <w:pPr>
        <w:spacing w:line="360" w:lineRule="auto"/>
        <w:jc w:val="both"/>
      </w:pPr>
      <w:r>
        <w:t xml:space="preserve">Délivré à </w:t>
      </w:r>
      <w:r>
        <w:tab/>
      </w:r>
      <w:r>
        <w:tab/>
      </w:r>
      <w:r>
        <w:tab/>
      </w:r>
      <w:r>
        <w:tab/>
      </w:r>
      <w:r>
        <w:tab/>
      </w:r>
      <w:r>
        <w:tab/>
      </w:r>
      <w:r>
        <w:tab/>
      </w:r>
      <w:r>
        <w:tab/>
        <w:t>, le</w:t>
      </w:r>
    </w:p>
    <w:p w:rsidR="00F04EEF" w:rsidRDefault="00F04EEF">
      <w:pPr>
        <w:spacing w:line="360" w:lineRule="auto"/>
        <w:jc w:val="both"/>
      </w:pPr>
    </w:p>
    <w:p w:rsidR="00F04EEF" w:rsidRDefault="0099351E">
      <w:pPr>
        <w:spacing w:line="360" w:lineRule="auto"/>
        <w:jc w:val="both"/>
      </w:pPr>
      <w:r>
        <w:t>Sceau de l’établissement </w:t>
      </w:r>
      <w:r>
        <w:tab/>
      </w:r>
      <w:r>
        <w:tab/>
      </w:r>
      <w:r>
        <w:tab/>
      </w:r>
      <w:r>
        <w:tab/>
      </w:r>
      <w:r>
        <w:tab/>
        <w:t>Le (La) Chef(fe) d’établissement</w:t>
      </w:r>
    </w:p>
    <w:p w:rsidR="00F04EEF" w:rsidRDefault="00F04EEF">
      <w:pPr>
        <w:rPr>
          <w:spacing w:val="-3"/>
        </w:rPr>
      </w:pPr>
    </w:p>
    <w:p w:rsidR="00F04EEF" w:rsidRDefault="00F04EEF">
      <w:pPr>
        <w:rPr>
          <w:spacing w:val="-3"/>
        </w:rPr>
      </w:pPr>
    </w:p>
    <w:p w:rsidR="00F04EEF" w:rsidRDefault="00F04EEF"/>
    <w:p w:rsidR="00F04EEF" w:rsidRDefault="00F04EEF">
      <w:pPr>
        <w:rPr>
          <w:spacing w:val="-3"/>
        </w:rPr>
      </w:pPr>
    </w:p>
    <w:p w:rsidR="00F04EEF" w:rsidRDefault="0099351E">
      <w:pPr>
        <w:rPr>
          <w:spacing w:val="-3"/>
        </w:rPr>
      </w:pPr>
      <w:r>
        <w:rPr>
          <w:spacing w:val="-3"/>
        </w:rPr>
        <w:br w:type="page"/>
      </w:r>
    </w:p>
    <w:p w:rsidR="00F04EEF" w:rsidRDefault="0099351E">
      <w:pPr>
        <w:pStyle w:val="Titre2"/>
      </w:pPr>
      <w:bookmarkStart w:id="4077" w:name="_Toc477624031"/>
      <w:bookmarkStart w:id="4078" w:name="_Toc477767912"/>
      <w:bookmarkStart w:id="4079" w:name="_Toc47708654"/>
      <w:r>
        <w:t>Chapitre</w:t>
      </w:r>
      <w:bookmarkEnd w:id="4077"/>
      <w:bookmarkEnd w:id="4078"/>
      <w:r>
        <w:t xml:space="preserve"> 29 :</w:t>
      </w:r>
      <w:bookmarkStart w:id="4080" w:name="_Toc477624032"/>
      <w:bookmarkStart w:id="4081" w:name="_Toc477767913"/>
      <w:r>
        <w:t xml:space="preserve"> Stages dans l’enseignement secondaire spécialisé des formes 1, 2, 3</w:t>
      </w:r>
      <w:bookmarkEnd w:id="4080"/>
      <w:bookmarkEnd w:id="4081"/>
      <w:r>
        <w:t xml:space="preserve"> et 4</w:t>
      </w:r>
      <w:bookmarkEnd w:id="4079"/>
    </w:p>
    <w:p w:rsidR="00F04EEF" w:rsidRDefault="00F04EEF">
      <w:pPr>
        <w:rPr>
          <w:spacing w:val="-3"/>
        </w:rPr>
      </w:pPr>
    </w:p>
    <w:sdt>
      <w:sdtPr>
        <w:rPr>
          <w:rFonts w:asciiTheme="majorHAnsi" w:eastAsiaTheme="minorHAnsi" w:hAnsiTheme="majorHAnsi"/>
          <w:lang w:eastAsia="en-US"/>
        </w:rPr>
        <w:id w:val="-1429812491"/>
        <w:docPartObj>
          <w:docPartGallery w:val="Cover Pages"/>
          <w:docPartUnique/>
        </w:docPartObj>
      </w:sdtPr>
      <w:sdtEndPr>
        <w:rPr>
          <w:rFonts w:asciiTheme="minorHAnsi" w:hAnsiTheme="minorHAnsi"/>
        </w:rPr>
      </w:sdtEndPr>
      <w:sdtContent>
        <w:p w:rsidR="00F04EEF" w:rsidRDefault="00F04EEF">
          <w:pPr>
            <w:pStyle w:val="Sansinterligne"/>
            <w:rPr>
              <w:rFonts w:asciiTheme="majorHAnsi" w:hAnsiTheme="majorHAnsi"/>
            </w:rPr>
          </w:pPr>
        </w:p>
        <w:p w:rsidR="00F04EEF" w:rsidRDefault="00F04EEF"/>
        <w:p w:rsidR="00F04EEF" w:rsidRDefault="00F04EEF"/>
        <w:p w:rsidR="00F04EEF" w:rsidRDefault="00F42422"/>
      </w:sdtContent>
    </w:sdt>
    <w:p w:rsidR="00F04EEF" w:rsidRDefault="0099351E">
      <w:pPr>
        <w:rPr>
          <w:b/>
          <w:u w:val="single"/>
        </w:rPr>
      </w:pPr>
      <w:r>
        <w:rPr>
          <w:b/>
          <w:u w:val="single"/>
        </w:rPr>
        <w:t>Bases légales :</w:t>
      </w:r>
    </w:p>
    <w:p w:rsidR="00F04EEF" w:rsidRDefault="00F04EEF">
      <w:pPr>
        <w:rPr>
          <w:b/>
          <w:u w:val="single"/>
        </w:rPr>
      </w:pPr>
    </w:p>
    <w:p w:rsidR="00F04EEF" w:rsidRDefault="00F42422">
      <w:pPr>
        <w:numPr>
          <w:ilvl w:val="0"/>
          <w:numId w:val="181"/>
        </w:numPr>
        <w:tabs>
          <w:tab w:val="clear" w:pos="360"/>
        </w:tabs>
        <w:autoSpaceDE w:val="0"/>
        <w:autoSpaceDN w:val="0"/>
        <w:adjustRightInd w:val="0"/>
        <w:jc w:val="both"/>
      </w:pPr>
      <w:hyperlink r:id="rId336" w:history="1">
        <w:r w:rsidR="0099351E">
          <w:rPr>
            <w:rStyle w:val="Lienhypertexte"/>
          </w:rPr>
          <w:t>Décret du 24 juillet 1997 définissant les missions prioritaires de l’enseignement fondamental et de l’enseignement secondaire et organisant les structures propres à les atteindre ;</w:t>
        </w:r>
      </w:hyperlink>
    </w:p>
    <w:p w:rsidR="00F04EEF" w:rsidRDefault="00F42422">
      <w:pPr>
        <w:numPr>
          <w:ilvl w:val="0"/>
          <w:numId w:val="181"/>
        </w:numPr>
        <w:tabs>
          <w:tab w:val="clear" w:pos="360"/>
        </w:tabs>
        <w:autoSpaceDE w:val="0"/>
        <w:autoSpaceDN w:val="0"/>
        <w:adjustRightInd w:val="0"/>
        <w:jc w:val="both"/>
      </w:pPr>
      <w:hyperlink r:id="rId337" w:history="1">
        <w:r w:rsidR="0099351E">
          <w:rPr>
            <w:rStyle w:val="Lienhypertexte"/>
          </w:rPr>
          <w:t>Décret du 3 mars 2004 organisant l’enseignement spécialisé</w:t>
        </w:r>
      </w:hyperlink>
      <w:r w:rsidR="0099351E">
        <w:t> ;</w:t>
      </w:r>
    </w:p>
    <w:p w:rsidR="00F04EEF" w:rsidRDefault="00F42422">
      <w:pPr>
        <w:numPr>
          <w:ilvl w:val="0"/>
          <w:numId w:val="181"/>
        </w:numPr>
        <w:tabs>
          <w:tab w:val="clear" w:pos="360"/>
        </w:tabs>
        <w:autoSpaceDE w:val="0"/>
        <w:autoSpaceDN w:val="0"/>
        <w:adjustRightInd w:val="0"/>
        <w:jc w:val="both"/>
      </w:pPr>
      <w:hyperlink r:id="rId338" w:history="1">
        <w:r w:rsidR="0099351E">
          <w:rPr>
            <w:rStyle w:val="Lienhypertexte"/>
          </w:rPr>
          <w:t>Décret du 5 décembre 2013 modifiant les grilles-horaires de la section de qualification de l’enseignement secondaire ordinaire de plein exercice et organisant les stages dans l’enseignement secondaire ordinaire de plein exercice et dans l’enseignement secondaire spécialisé de forme 3 et de forme 4 </w:t>
        </w:r>
      </w:hyperlink>
      <w:r w:rsidR="0099351E">
        <w:t>;</w:t>
      </w:r>
    </w:p>
    <w:p w:rsidR="00F04EEF" w:rsidRDefault="00F42422">
      <w:pPr>
        <w:numPr>
          <w:ilvl w:val="0"/>
          <w:numId w:val="181"/>
        </w:numPr>
        <w:tabs>
          <w:tab w:val="clear" w:pos="360"/>
        </w:tabs>
        <w:autoSpaceDE w:val="0"/>
        <w:autoSpaceDN w:val="0"/>
        <w:adjustRightInd w:val="0"/>
        <w:jc w:val="both"/>
      </w:pPr>
      <w:hyperlink r:id="rId339" w:history="1">
        <w:r w:rsidR="0099351E">
          <w:rPr>
            <w:rStyle w:val="Lienhypertexte"/>
          </w:rPr>
          <w:t>Arrêté du Gouvernement de la Communauté française du 15 mai 2014 fixant les modalités d’organisation des stages dans l’enseignement secondaire spécialisé de forme 3.</w:t>
        </w:r>
      </w:hyperlink>
      <w:r w:rsidR="0099351E">
        <w:t xml:space="preserve"> Cet arrêté abroge l’arrêté du Gouvernement de la Communauté française du 27 octobre 2006 portant organisation des stages pour les élèves d’enseignement secondaire spécialisé de forme 3 ;</w:t>
      </w:r>
    </w:p>
    <w:p w:rsidR="00F04EEF" w:rsidRDefault="00F42422">
      <w:pPr>
        <w:numPr>
          <w:ilvl w:val="0"/>
          <w:numId w:val="181"/>
        </w:numPr>
        <w:tabs>
          <w:tab w:val="clear" w:pos="360"/>
        </w:tabs>
        <w:autoSpaceDE w:val="0"/>
        <w:autoSpaceDN w:val="0"/>
        <w:adjustRightInd w:val="0"/>
        <w:jc w:val="both"/>
      </w:pPr>
      <w:hyperlink r:id="rId340" w:history="1">
        <w:r w:rsidR="0099351E">
          <w:rPr>
            <w:rStyle w:val="Lienhypertexte"/>
          </w:rPr>
          <w:t>Décret du 30 avril 2009 relatif à la création d’instances de pilotage inter-réseaux de l’enseignement qualifiant (IPIEQ) et à l’octroi d’incitant visant un redéploiement plus efficient de l’offre d’enseignement qualifiant dans une perspective de développement territorial.</w:t>
        </w:r>
      </w:hyperlink>
    </w:p>
    <w:p w:rsidR="00F04EEF" w:rsidRDefault="00F42422">
      <w:pPr>
        <w:numPr>
          <w:ilvl w:val="0"/>
          <w:numId w:val="181"/>
        </w:numPr>
        <w:tabs>
          <w:tab w:val="left" w:pos="1031"/>
        </w:tabs>
        <w:suppressAutoHyphens/>
        <w:jc w:val="both"/>
      </w:pPr>
      <w:hyperlink r:id="rId341" w:history="1">
        <w:r w:rsidR="0099351E">
          <w:rPr>
            <w:rStyle w:val="Lienhypertexte"/>
            <w:rFonts w:cstheme="minorBidi"/>
          </w:rPr>
          <w:t>Décret du 3 mars 2004</w:t>
        </w:r>
      </w:hyperlink>
      <w:r w:rsidR="0099351E">
        <w:t>, chapitre 5, section 3, article 48 et Arrêté du Gouvernement du 20 juillet 2005, chapitre 1.</w:t>
      </w:r>
    </w:p>
    <w:p w:rsidR="00F04EEF" w:rsidRDefault="00F42422">
      <w:pPr>
        <w:numPr>
          <w:ilvl w:val="0"/>
          <w:numId w:val="181"/>
        </w:numPr>
        <w:suppressAutoHyphens/>
        <w:jc w:val="both"/>
      </w:pPr>
      <w:hyperlink r:id="rId342" w:history="1">
        <w:r w:rsidR="0099351E">
          <w:rPr>
            <w:rStyle w:val="Lienhypertexte"/>
            <w:rFonts w:cstheme="minorBidi"/>
          </w:rPr>
          <w:t>Décret du 3 mars 2004</w:t>
        </w:r>
      </w:hyperlink>
      <w:r w:rsidR="0099351E">
        <w:t>, chapitre 5, section 4, art 52 et A Gt du 20 juillet 2005 chapitre 2.</w:t>
      </w:r>
    </w:p>
    <w:p w:rsidR="00F04EEF" w:rsidRDefault="00F42422">
      <w:pPr>
        <w:pStyle w:val="Paragraphedeliste"/>
        <w:numPr>
          <w:ilvl w:val="0"/>
          <w:numId w:val="181"/>
        </w:numPr>
        <w:jc w:val="both"/>
        <w:rPr>
          <w:rFonts w:asciiTheme="majorHAnsi" w:hAnsiTheme="majorHAnsi"/>
          <w:sz w:val="22"/>
          <w:szCs w:val="22"/>
        </w:rPr>
      </w:pPr>
      <w:hyperlink r:id="rId343" w:history="1">
        <w:r w:rsidR="0099351E">
          <w:rPr>
            <w:rStyle w:val="Lienhypertexte"/>
            <w:rFonts w:asciiTheme="majorHAnsi" w:hAnsiTheme="majorHAnsi" w:cs="Arial"/>
            <w:sz w:val="22"/>
            <w:szCs w:val="22"/>
          </w:rPr>
          <w:t>Arrêté du Gouvernement de la Communauté française du 16 décembre 2015 déterminant les modalités particulières des stages des élèves frontaliers dans les pays limitrophes ou dans une autre Communauté </w:t>
        </w:r>
      </w:hyperlink>
      <w:r w:rsidR="0099351E">
        <w:rPr>
          <w:rFonts w:asciiTheme="majorHAnsi" w:hAnsiTheme="majorHAnsi"/>
          <w:sz w:val="22"/>
          <w:szCs w:val="22"/>
        </w:rPr>
        <w:t>;</w:t>
      </w:r>
    </w:p>
    <w:p w:rsidR="00F04EEF" w:rsidRDefault="00F42422">
      <w:pPr>
        <w:numPr>
          <w:ilvl w:val="0"/>
          <w:numId w:val="181"/>
        </w:numPr>
        <w:suppressAutoHyphens/>
        <w:jc w:val="both"/>
      </w:pPr>
      <w:hyperlink r:id="rId344" w:history="1">
        <w:r w:rsidR="0099351E">
          <w:rPr>
            <w:rStyle w:val="Lienhypertexte"/>
            <w:rFonts w:cstheme="minorBidi"/>
          </w:rPr>
          <w:t>Circulaire 5038 du 22 octobre 2014 relative à l’o</w:t>
        </w:r>
        <w:r w:rsidR="0099351E">
          <w:rPr>
            <w:rStyle w:val="Lienhypertexte"/>
            <w:rFonts w:cs="Arial"/>
            <w:bCs/>
            <w:spacing w:val="2"/>
            <w:lang w:eastAsia="fr-BE"/>
          </w:rPr>
          <w:t>rganisation des visites et stages dans l’enseignement secondaire ordinaire et spécialisé de forme 4 de plein exercice – documents administratifs ;</w:t>
        </w:r>
      </w:hyperlink>
    </w:p>
    <w:p w:rsidR="00F04EEF" w:rsidRDefault="00F42422">
      <w:pPr>
        <w:numPr>
          <w:ilvl w:val="0"/>
          <w:numId w:val="181"/>
        </w:numPr>
        <w:suppressAutoHyphens/>
        <w:jc w:val="both"/>
      </w:pPr>
      <w:hyperlink r:id="rId345" w:history="1">
        <w:r w:rsidR="0099351E">
          <w:rPr>
            <w:rStyle w:val="Lienhypertexte"/>
            <w:rFonts w:cs="Arial"/>
            <w:bCs/>
            <w:spacing w:val="2"/>
            <w:lang w:eastAsia="fr-BE"/>
          </w:rPr>
          <w:t>Circulaire 5648 du 14 mars 2016 relative aux nouvelles mesures concernant l'organisation des visites et stages dans l'enseignement secondaire ordinaire et spécialisé de forme 4 de plein exercice - Modalités des stages dans les pays limitrophes et les autres Communautés - Document explicatif des types de stage vis-à-vis du milieu professionnel - Profil de fonction des tuteurs en entreprise</w:t>
        </w:r>
      </w:hyperlink>
      <w:r w:rsidR="0099351E">
        <w:rPr>
          <w:rFonts w:cs="Arial"/>
          <w:bCs/>
          <w:color w:val="0A0A0A"/>
          <w:spacing w:val="2"/>
          <w:lang w:eastAsia="fr-BE"/>
        </w:rPr>
        <w:t>.</w:t>
      </w:r>
    </w:p>
    <w:p w:rsidR="00F04EEF" w:rsidRDefault="00F04EEF">
      <w:pPr>
        <w:rPr>
          <w:b/>
          <w:u w:val="single"/>
        </w:rPr>
      </w:pPr>
      <w:bookmarkStart w:id="4082" w:name="_Toc453837019"/>
      <w:bookmarkStart w:id="4083" w:name="_Toc414353003"/>
    </w:p>
    <w:p w:rsidR="00F04EEF" w:rsidRDefault="0099351E">
      <w:pPr>
        <w:pStyle w:val="Titre3"/>
        <w:rPr>
          <w:sz w:val="22"/>
          <w:szCs w:val="22"/>
        </w:rPr>
      </w:pPr>
      <w:bookmarkStart w:id="4084" w:name="_Toc47708655"/>
      <w:r>
        <w:rPr>
          <w:sz w:val="22"/>
          <w:szCs w:val="22"/>
        </w:rPr>
        <w:t>1. Forme 3</w:t>
      </w:r>
      <w:bookmarkEnd w:id="4082"/>
      <w:bookmarkEnd w:id="4084"/>
    </w:p>
    <w:p w:rsidR="00F04EEF" w:rsidRDefault="00F04EEF"/>
    <w:p w:rsidR="00F04EEF" w:rsidRDefault="0099351E">
      <w:pPr>
        <w:pStyle w:val="Titre4"/>
      </w:pPr>
      <w:bookmarkStart w:id="4085" w:name="_1.1._Préambule"/>
      <w:bookmarkStart w:id="4086" w:name="_Toc453837020"/>
      <w:bookmarkEnd w:id="4085"/>
      <w:r>
        <w:t>1.1. Préambule</w:t>
      </w:r>
      <w:bookmarkEnd w:id="4083"/>
      <w:bookmarkEnd w:id="4086"/>
    </w:p>
    <w:p w:rsidR="00F04EEF" w:rsidRDefault="00F04EEF">
      <w:pPr>
        <w:autoSpaceDE w:val="0"/>
        <w:autoSpaceDN w:val="0"/>
        <w:adjustRightInd w:val="0"/>
      </w:pPr>
    </w:p>
    <w:p w:rsidR="00F04EEF" w:rsidRDefault="0099351E">
      <w:pPr>
        <w:autoSpaceDE w:val="0"/>
        <w:autoSpaceDN w:val="0"/>
        <w:adjustRightInd w:val="0"/>
        <w:jc w:val="both"/>
      </w:pPr>
      <w:r>
        <w:t xml:space="preserve">Les stages sont </w:t>
      </w:r>
      <w:r>
        <w:rPr>
          <w:b/>
        </w:rPr>
        <w:t>OBLIGATOIRES</w:t>
      </w:r>
      <w:r>
        <w:t xml:space="preserve"> pour l’ensemble des formations organisées en 2</w:t>
      </w:r>
      <w:r>
        <w:rPr>
          <w:vertAlign w:val="superscript"/>
        </w:rPr>
        <w:t>ème</w:t>
      </w:r>
      <w:r>
        <w:t xml:space="preserve"> et en 3</w:t>
      </w:r>
      <w:r>
        <w:rPr>
          <w:vertAlign w:val="superscript"/>
        </w:rPr>
        <w:t>ème</w:t>
      </w:r>
      <w:r>
        <w:t xml:space="preserve"> phase de l’enseignement de forme 3, sauf indication contraire du profil de certification pour ce qui concerne la 3</w:t>
      </w:r>
      <w:r>
        <w:rPr>
          <w:vertAlign w:val="superscript"/>
        </w:rPr>
        <w:t>ème</w:t>
      </w:r>
      <w:r>
        <w:t xml:space="preserve"> phase. </w:t>
      </w:r>
    </w:p>
    <w:p w:rsidR="00F04EEF" w:rsidRDefault="00F04EEF">
      <w:pPr>
        <w:autoSpaceDE w:val="0"/>
        <w:autoSpaceDN w:val="0"/>
        <w:adjustRightInd w:val="0"/>
        <w:jc w:val="both"/>
      </w:pPr>
    </w:p>
    <w:p w:rsidR="00F04EEF" w:rsidRDefault="0099351E">
      <w:pPr>
        <w:autoSpaceDE w:val="0"/>
        <w:autoSpaceDN w:val="0"/>
        <w:adjustRightInd w:val="0"/>
        <w:jc w:val="both"/>
        <w:rPr>
          <w:b/>
        </w:rPr>
      </w:pPr>
      <w:r>
        <w:rPr>
          <w:b/>
        </w:rPr>
        <w:t>Il ne peut pas être délivré de Certificat de qualification aux élèves qui n’ont pas effectué les stages prévus en 2</w:t>
      </w:r>
      <w:r>
        <w:rPr>
          <w:b/>
          <w:vertAlign w:val="superscript"/>
        </w:rPr>
        <w:t>ème</w:t>
      </w:r>
      <w:r>
        <w:rPr>
          <w:b/>
        </w:rPr>
        <w:t xml:space="preserve"> phase et en 3</w:t>
      </w:r>
      <w:r>
        <w:rPr>
          <w:b/>
          <w:vertAlign w:val="superscript"/>
        </w:rPr>
        <w:t>ème</w:t>
      </w:r>
      <w:r>
        <w:rPr>
          <w:b/>
        </w:rPr>
        <w:t xml:space="preserve"> phase, toutefois l’autorisation de présenter la ou les épreuves de qualification demeure un droit pour l’élève.</w:t>
      </w:r>
    </w:p>
    <w:p w:rsidR="00F04EEF" w:rsidRDefault="00F04EEF">
      <w:pPr>
        <w:jc w:val="both"/>
        <w:rPr>
          <w:b/>
          <w:u w:val="single"/>
        </w:rPr>
      </w:pPr>
    </w:p>
    <w:p w:rsidR="00F04EEF" w:rsidRDefault="0099351E">
      <w:pPr>
        <w:rPr>
          <w:b/>
          <w:u w:val="single"/>
        </w:rPr>
      </w:pPr>
      <w:bookmarkStart w:id="4087" w:name="_Toc414353004"/>
      <w:bookmarkStart w:id="4088" w:name="_Toc453837021"/>
      <w:r>
        <w:br w:type="page"/>
      </w:r>
    </w:p>
    <w:p w:rsidR="00F04EEF" w:rsidRDefault="0099351E">
      <w:pPr>
        <w:pStyle w:val="Titre4"/>
      </w:pPr>
      <w:r>
        <w:t>1.2. Définitions</w:t>
      </w:r>
      <w:bookmarkEnd w:id="4087"/>
      <w:bookmarkEnd w:id="4088"/>
    </w:p>
    <w:p w:rsidR="00F04EEF" w:rsidRDefault="00F04EEF">
      <w:pPr>
        <w:autoSpaceDE w:val="0"/>
        <w:autoSpaceDN w:val="0"/>
        <w:adjustRightInd w:val="0"/>
        <w:rPr>
          <w:b/>
        </w:rPr>
      </w:pPr>
    </w:p>
    <w:p w:rsidR="00F04EEF" w:rsidRDefault="0099351E">
      <w:pPr>
        <w:autoSpaceDE w:val="0"/>
        <w:autoSpaceDN w:val="0"/>
        <w:adjustRightInd w:val="0"/>
        <w:jc w:val="both"/>
      </w:pPr>
      <w:r>
        <w:t>L’article 14 du décret du 5 décembre 2013 précité définit ce qu’il faut entendre par :</w:t>
      </w:r>
    </w:p>
    <w:p w:rsidR="00F04EEF" w:rsidRDefault="00F04EEF">
      <w:pPr>
        <w:autoSpaceDE w:val="0"/>
        <w:autoSpaceDN w:val="0"/>
        <w:adjustRightInd w:val="0"/>
        <w:jc w:val="both"/>
      </w:pPr>
    </w:p>
    <w:p w:rsidR="00F04EEF" w:rsidRDefault="0099351E">
      <w:pPr>
        <w:autoSpaceDE w:val="0"/>
        <w:autoSpaceDN w:val="0"/>
        <w:adjustRightInd w:val="0"/>
        <w:jc w:val="both"/>
      </w:pPr>
      <w:r>
        <w:rPr>
          <w:b/>
        </w:rPr>
        <w:t>Milieu professionnel</w:t>
      </w:r>
      <w:r>
        <w:t> : employeur, public ou privé, des secteurs marchand et non-marchand, actif dans la production de biens ou de services, susceptible d’accueillir des stagiaires dans les conditions définies par le décret précité.</w:t>
      </w:r>
    </w:p>
    <w:p w:rsidR="00F04EEF" w:rsidRDefault="00F04EEF">
      <w:pPr>
        <w:autoSpaceDE w:val="0"/>
        <w:autoSpaceDN w:val="0"/>
        <w:adjustRightInd w:val="0"/>
        <w:jc w:val="both"/>
      </w:pPr>
    </w:p>
    <w:p w:rsidR="00F04EEF" w:rsidRDefault="0099351E">
      <w:pPr>
        <w:autoSpaceDE w:val="0"/>
        <w:autoSpaceDN w:val="0"/>
        <w:adjustRightInd w:val="0"/>
        <w:jc w:val="both"/>
      </w:pPr>
      <w:r>
        <w:rPr>
          <w:b/>
        </w:rPr>
        <w:t>Visites</w:t>
      </w:r>
      <w:r>
        <w:t> : périodes de contact et de découverte, individuels ou collectifs, notamment des métiers, du milieu professionnel, des centres de compétence et de référence professionnelle, des centres de technologies avancées, d’autres écoles organisées dans le cadre du processus d’orientation des élèves de l’enseignement secondaire spécialisé de forme 3.</w:t>
      </w:r>
    </w:p>
    <w:p w:rsidR="00F04EEF" w:rsidRDefault="00F04EEF">
      <w:pPr>
        <w:autoSpaceDE w:val="0"/>
        <w:autoSpaceDN w:val="0"/>
        <w:adjustRightInd w:val="0"/>
        <w:jc w:val="both"/>
      </w:pPr>
    </w:p>
    <w:p w:rsidR="00F04EEF" w:rsidRDefault="0099351E">
      <w:pPr>
        <w:autoSpaceDE w:val="0"/>
        <w:autoSpaceDN w:val="0"/>
        <w:adjustRightInd w:val="0"/>
        <w:jc w:val="both"/>
      </w:pPr>
      <w:r>
        <w:rPr>
          <w:b/>
        </w:rPr>
        <w:t>Stages</w:t>
      </w:r>
      <w:r>
        <w:t> : périodes d’immersion en milieu professionnel, individuelle ou en très petits groupes de moins de 6 élèves, organisées au cours des 2</w:t>
      </w:r>
      <w:r>
        <w:rPr>
          <w:vertAlign w:val="superscript"/>
        </w:rPr>
        <w:t>e</w:t>
      </w:r>
      <w:r>
        <w:t xml:space="preserve"> et 3</w:t>
      </w:r>
      <w:r>
        <w:rPr>
          <w:vertAlign w:val="superscript"/>
        </w:rPr>
        <w:t>e</w:t>
      </w:r>
      <w:r>
        <w:t xml:space="preserve"> phases de l’enseignement secondaire spécialisé de forme 3.</w:t>
      </w:r>
    </w:p>
    <w:p w:rsidR="00F04EEF" w:rsidRDefault="00F04EEF">
      <w:pPr>
        <w:autoSpaceDE w:val="0"/>
        <w:autoSpaceDN w:val="0"/>
        <w:adjustRightInd w:val="0"/>
      </w:pPr>
    </w:p>
    <w:p w:rsidR="00F04EEF" w:rsidRDefault="0099351E">
      <w:pPr>
        <w:autoSpaceDE w:val="0"/>
        <w:autoSpaceDN w:val="0"/>
        <w:adjustRightInd w:val="0"/>
        <w:jc w:val="both"/>
        <w:rPr>
          <w:b/>
        </w:rPr>
      </w:pPr>
      <w:r>
        <w:rPr>
          <w:b/>
        </w:rPr>
        <w:t xml:space="preserve">Maître de stage : </w:t>
      </w:r>
      <w:r>
        <w:t>le chef d’établissement désigne l’enseignant ou les enseignants chargé(s) de la préparation, de l’accompagnement et de l’évaluation des stages. Pour chaque élève en stage, est désigné, au sein de l’équipe éducative qui en a la charge, un maître de stage unique, seul interlocuteur du milieu professionnel concerné en dehors du chef d’établissement ou de son délégué.</w:t>
      </w:r>
    </w:p>
    <w:p w:rsidR="00F04EEF" w:rsidRDefault="00F04EEF">
      <w:pPr>
        <w:autoSpaceDE w:val="0"/>
        <w:autoSpaceDN w:val="0"/>
        <w:adjustRightInd w:val="0"/>
        <w:jc w:val="both"/>
      </w:pPr>
    </w:p>
    <w:p w:rsidR="00F04EEF" w:rsidRDefault="0099351E">
      <w:pPr>
        <w:autoSpaceDE w:val="0"/>
        <w:autoSpaceDN w:val="0"/>
        <w:adjustRightInd w:val="0"/>
        <w:jc w:val="both"/>
      </w:pPr>
      <w:r>
        <w:t xml:space="preserve">Peut être désigné comme maître de stage : </w:t>
      </w:r>
    </w:p>
    <w:p w:rsidR="00F04EEF" w:rsidRDefault="00F04EEF">
      <w:pPr>
        <w:autoSpaceDE w:val="0"/>
        <w:autoSpaceDN w:val="0"/>
        <w:adjustRightInd w:val="0"/>
        <w:jc w:val="both"/>
      </w:pPr>
    </w:p>
    <w:p w:rsidR="00F04EEF" w:rsidRDefault="0099351E">
      <w:pPr>
        <w:numPr>
          <w:ilvl w:val="0"/>
          <w:numId w:val="171"/>
        </w:numPr>
        <w:tabs>
          <w:tab w:val="clear" w:pos="720"/>
          <w:tab w:val="num" w:pos="993"/>
        </w:tabs>
        <w:autoSpaceDE w:val="0"/>
        <w:autoSpaceDN w:val="0"/>
        <w:adjustRightInd w:val="0"/>
        <w:ind w:left="927"/>
        <w:jc w:val="both"/>
      </w:pPr>
      <w:r>
        <w:t>tout membre de l’équipe des enseignants chargés de cours aux élèves concernés, y compris les cours de formation commune ;</w:t>
      </w:r>
    </w:p>
    <w:p w:rsidR="00F04EEF" w:rsidRDefault="0099351E">
      <w:pPr>
        <w:numPr>
          <w:ilvl w:val="0"/>
          <w:numId w:val="171"/>
        </w:numPr>
        <w:tabs>
          <w:tab w:val="clear" w:pos="720"/>
          <w:tab w:val="num" w:pos="993"/>
        </w:tabs>
        <w:autoSpaceDE w:val="0"/>
        <w:autoSpaceDN w:val="0"/>
        <w:adjustRightInd w:val="0"/>
        <w:ind w:left="927"/>
        <w:jc w:val="both"/>
      </w:pPr>
      <w:r>
        <w:t>un chef de travaux d’atelier ;</w:t>
      </w:r>
    </w:p>
    <w:p w:rsidR="00F04EEF" w:rsidRDefault="0099351E">
      <w:pPr>
        <w:numPr>
          <w:ilvl w:val="0"/>
          <w:numId w:val="171"/>
        </w:numPr>
        <w:tabs>
          <w:tab w:val="clear" w:pos="720"/>
          <w:tab w:val="num" w:pos="993"/>
        </w:tabs>
        <w:autoSpaceDE w:val="0"/>
        <w:autoSpaceDN w:val="0"/>
        <w:adjustRightInd w:val="0"/>
        <w:ind w:left="927"/>
      </w:pPr>
      <w:r>
        <w:t>un chef d’atelier ;</w:t>
      </w:r>
    </w:p>
    <w:p w:rsidR="00F04EEF" w:rsidRDefault="0099351E">
      <w:pPr>
        <w:numPr>
          <w:ilvl w:val="0"/>
          <w:numId w:val="171"/>
        </w:numPr>
        <w:tabs>
          <w:tab w:val="clear" w:pos="720"/>
          <w:tab w:val="num" w:pos="993"/>
        </w:tabs>
        <w:autoSpaceDE w:val="0"/>
        <w:autoSpaceDN w:val="0"/>
        <w:adjustRightInd w:val="0"/>
        <w:ind w:left="927"/>
      </w:pPr>
      <w:r>
        <w:t>un enseignant chargé de périodes de coordination pédagogique.</w:t>
      </w:r>
    </w:p>
    <w:p w:rsidR="00F04EEF" w:rsidRDefault="00F04EEF">
      <w:pPr>
        <w:autoSpaceDE w:val="0"/>
        <w:autoSpaceDN w:val="0"/>
        <w:adjustRightInd w:val="0"/>
      </w:pPr>
    </w:p>
    <w:p w:rsidR="00F04EEF" w:rsidRDefault="0099351E">
      <w:pPr>
        <w:autoSpaceDE w:val="0"/>
        <w:autoSpaceDN w:val="0"/>
        <w:adjustRightInd w:val="0"/>
        <w:jc w:val="both"/>
      </w:pPr>
      <w:r>
        <w:t>La préparation, l’accompagnement et l’évaluation des stages font partie des tâches pédagogiques habituelles des maîtres de stage. Lorsqu’ils accomplissent ces tâches, que ce soit dans l’établissement scolaire ou en dehors de celui-ci, ils sont considérés comme en activité de service.</w:t>
      </w:r>
    </w:p>
    <w:p w:rsidR="00F04EEF" w:rsidRDefault="00F04EEF">
      <w:pPr>
        <w:autoSpaceDE w:val="0"/>
        <w:autoSpaceDN w:val="0"/>
        <w:adjustRightInd w:val="0"/>
        <w:jc w:val="both"/>
      </w:pPr>
    </w:p>
    <w:p w:rsidR="00F04EEF" w:rsidRDefault="0099351E">
      <w:pPr>
        <w:autoSpaceDE w:val="0"/>
        <w:autoSpaceDN w:val="0"/>
        <w:adjustRightInd w:val="0"/>
        <w:jc w:val="both"/>
        <w:rPr>
          <w:b/>
        </w:rPr>
      </w:pPr>
      <w:r>
        <w:rPr>
          <w:b/>
        </w:rPr>
        <w:t xml:space="preserve">Tuteur : </w:t>
      </w:r>
      <w:r>
        <w:t xml:space="preserve">la désignation d’un tuteur est indispensable dans chaque milieu professionnel accueillant au moins un stagiaire. Les établissements scolaires collaborent avec les milieux professionnels concernés afin que soient désignés des tuteurs compétents. </w:t>
      </w:r>
    </w:p>
    <w:p w:rsidR="00F04EEF" w:rsidRDefault="00F04EEF">
      <w:pPr>
        <w:autoSpaceDE w:val="0"/>
        <w:autoSpaceDN w:val="0"/>
        <w:adjustRightInd w:val="0"/>
        <w:jc w:val="both"/>
      </w:pPr>
    </w:p>
    <w:p w:rsidR="00F04EEF" w:rsidRDefault="0099351E">
      <w:pPr>
        <w:autoSpaceDE w:val="0"/>
        <w:autoSpaceDN w:val="0"/>
        <w:adjustRightInd w:val="0"/>
        <w:jc w:val="both"/>
        <w:rPr>
          <w:b/>
        </w:rPr>
      </w:pPr>
      <w:r>
        <w:rPr>
          <w:b/>
        </w:rPr>
        <w:t>Carnet de stage :</w:t>
      </w:r>
      <w:r>
        <w:t xml:space="preserve"> le carnet de stage est obligatoire pour les stages de pratique accompagnée et pour les stages de pratique en responsabilité.</w:t>
      </w:r>
    </w:p>
    <w:p w:rsidR="00F04EEF" w:rsidRDefault="00F04EEF">
      <w:pPr>
        <w:autoSpaceDE w:val="0"/>
        <w:autoSpaceDN w:val="0"/>
        <w:adjustRightInd w:val="0"/>
      </w:pPr>
    </w:p>
    <w:p w:rsidR="00F04EEF" w:rsidRDefault="0099351E">
      <w:pPr>
        <w:autoSpaceDE w:val="0"/>
        <w:autoSpaceDN w:val="0"/>
        <w:adjustRightInd w:val="0"/>
      </w:pPr>
      <w:r>
        <w:t>Il reprend au moins les éléments suivants :</w:t>
      </w:r>
    </w:p>
    <w:p w:rsidR="00F04EEF" w:rsidRDefault="00F04EEF">
      <w:pPr>
        <w:autoSpaceDE w:val="0"/>
        <w:autoSpaceDN w:val="0"/>
        <w:adjustRightInd w:val="0"/>
      </w:pPr>
    </w:p>
    <w:p w:rsidR="00F04EEF" w:rsidRDefault="0099351E">
      <w:pPr>
        <w:numPr>
          <w:ilvl w:val="0"/>
          <w:numId w:val="171"/>
        </w:numPr>
        <w:autoSpaceDE w:val="0"/>
        <w:autoSpaceDN w:val="0"/>
        <w:adjustRightInd w:val="0"/>
        <w:ind w:left="993"/>
      </w:pPr>
      <w:r>
        <w:t>un exemplaire de la convention ;</w:t>
      </w:r>
    </w:p>
    <w:p w:rsidR="00F04EEF" w:rsidRDefault="0099351E">
      <w:pPr>
        <w:numPr>
          <w:ilvl w:val="0"/>
          <w:numId w:val="171"/>
        </w:numPr>
        <w:autoSpaceDE w:val="0"/>
        <w:autoSpaceDN w:val="0"/>
        <w:adjustRightInd w:val="0"/>
        <w:ind w:left="993"/>
      </w:pPr>
      <w:r>
        <w:t>le type de stage ;</w:t>
      </w:r>
    </w:p>
    <w:p w:rsidR="00F04EEF" w:rsidRDefault="0099351E">
      <w:pPr>
        <w:numPr>
          <w:ilvl w:val="0"/>
          <w:numId w:val="171"/>
        </w:numPr>
        <w:autoSpaceDE w:val="0"/>
        <w:autoSpaceDN w:val="0"/>
        <w:adjustRightInd w:val="0"/>
        <w:ind w:left="993"/>
      </w:pPr>
      <w:r>
        <w:t>les objectifs du stage ;</w:t>
      </w:r>
    </w:p>
    <w:p w:rsidR="00F04EEF" w:rsidRDefault="0099351E">
      <w:pPr>
        <w:numPr>
          <w:ilvl w:val="0"/>
          <w:numId w:val="171"/>
        </w:numPr>
        <w:autoSpaceDE w:val="0"/>
        <w:autoSpaceDN w:val="0"/>
        <w:adjustRightInd w:val="0"/>
        <w:ind w:left="993"/>
      </w:pPr>
      <w:r>
        <w:t>le calendrier et les horaires ;</w:t>
      </w:r>
    </w:p>
    <w:p w:rsidR="00F04EEF" w:rsidRDefault="0099351E">
      <w:pPr>
        <w:numPr>
          <w:ilvl w:val="0"/>
          <w:numId w:val="171"/>
        </w:numPr>
        <w:autoSpaceDE w:val="0"/>
        <w:autoSpaceDN w:val="0"/>
        <w:adjustRightInd w:val="0"/>
        <w:ind w:left="993"/>
      </w:pPr>
      <w:r>
        <w:t>les modalités d’évaluation ;</w:t>
      </w:r>
    </w:p>
    <w:p w:rsidR="00F04EEF" w:rsidRDefault="0099351E">
      <w:pPr>
        <w:numPr>
          <w:ilvl w:val="0"/>
          <w:numId w:val="171"/>
        </w:numPr>
        <w:autoSpaceDE w:val="0"/>
        <w:autoSpaceDN w:val="0"/>
        <w:adjustRightInd w:val="0"/>
        <w:ind w:left="993"/>
      </w:pPr>
      <w:r>
        <w:t>ce qui est attendu de la part du milieu professionnel en matière de développement des aptitudes et compétences professionnelles.</w:t>
      </w:r>
    </w:p>
    <w:p w:rsidR="00F04EEF" w:rsidRDefault="00F04EEF">
      <w:pPr>
        <w:autoSpaceDE w:val="0"/>
        <w:autoSpaceDN w:val="0"/>
        <w:adjustRightInd w:val="0"/>
      </w:pPr>
    </w:p>
    <w:p w:rsidR="00F04EEF" w:rsidRDefault="0099351E">
      <w:pPr>
        <w:autoSpaceDE w:val="0"/>
        <w:autoSpaceDN w:val="0"/>
        <w:adjustRightInd w:val="0"/>
        <w:jc w:val="both"/>
      </w:pPr>
      <w:r>
        <w:t>Il accompagne l’élève aussi bien à l’école que sur le lieu de stage.</w:t>
      </w:r>
    </w:p>
    <w:p w:rsidR="00F04EEF" w:rsidRDefault="0099351E">
      <w:pPr>
        <w:autoSpaceDE w:val="0"/>
        <w:autoSpaceDN w:val="0"/>
        <w:adjustRightInd w:val="0"/>
        <w:jc w:val="both"/>
      </w:pPr>
      <w:r>
        <w:t>L’élève y note les activités et les apprentissages réalisés. Le milieu professionnel y note des éléments d’évaluation.</w:t>
      </w:r>
    </w:p>
    <w:p w:rsidR="00F04EEF" w:rsidRDefault="0099351E">
      <w:pPr>
        <w:autoSpaceDE w:val="0"/>
        <w:autoSpaceDN w:val="0"/>
        <w:adjustRightInd w:val="0"/>
        <w:jc w:val="both"/>
      </w:pPr>
      <w:r>
        <w:t>Sa tenue s’effectue sous la responsabilité du maître de stage, en collaboration avec le tuteur.</w:t>
      </w:r>
    </w:p>
    <w:p w:rsidR="00F04EEF" w:rsidRDefault="0099351E">
      <w:pPr>
        <w:autoSpaceDE w:val="0"/>
        <w:autoSpaceDN w:val="0"/>
        <w:adjustRightInd w:val="0"/>
        <w:jc w:val="both"/>
      </w:pPr>
      <w:r>
        <w:t>Il peut tenir lieu de rapport de stage si le chef d’établissement ou le pouvoir organisateur en décide ainsi après concertation avec l’équipe éducative.</w:t>
      </w:r>
    </w:p>
    <w:p w:rsidR="00F04EEF" w:rsidRDefault="00F04EEF">
      <w:pPr>
        <w:autoSpaceDE w:val="0"/>
        <w:autoSpaceDN w:val="0"/>
        <w:adjustRightInd w:val="0"/>
        <w:jc w:val="both"/>
      </w:pPr>
    </w:p>
    <w:p w:rsidR="00F04EEF" w:rsidRDefault="00F04EEF">
      <w:bookmarkStart w:id="4089" w:name="_Toc414353005"/>
      <w:bookmarkStart w:id="4090" w:name="_Toc453837022"/>
    </w:p>
    <w:p w:rsidR="00F04EEF" w:rsidRDefault="00F04EEF"/>
    <w:p w:rsidR="00F04EEF" w:rsidRDefault="0099351E">
      <w:pPr>
        <w:pStyle w:val="Titre4"/>
      </w:pPr>
      <w:r>
        <w:t>1.3. Les catégories de stages</w:t>
      </w:r>
      <w:bookmarkEnd w:id="4089"/>
      <w:bookmarkEnd w:id="4090"/>
    </w:p>
    <w:p w:rsidR="00F04EEF" w:rsidRDefault="00F04EEF">
      <w:pPr>
        <w:autoSpaceDE w:val="0"/>
        <w:autoSpaceDN w:val="0"/>
        <w:adjustRightInd w:val="0"/>
      </w:pPr>
    </w:p>
    <w:p w:rsidR="00F04EEF" w:rsidRDefault="0099351E">
      <w:pPr>
        <w:autoSpaceDE w:val="0"/>
        <w:autoSpaceDN w:val="0"/>
        <w:adjustRightInd w:val="0"/>
      </w:pPr>
      <w:r>
        <w:t>Trois catégories de stages sont à distinguer.</w:t>
      </w:r>
    </w:p>
    <w:p w:rsidR="00F04EEF" w:rsidRDefault="00F04EEF">
      <w:pPr>
        <w:autoSpaceDE w:val="0"/>
        <w:autoSpaceDN w:val="0"/>
        <w:adjustRightInd w:val="0"/>
      </w:pPr>
    </w:p>
    <w:p w:rsidR="00F04EEF" w:rsidRDefault="0099351E">
      <w:pPr>
        <w:pStyle w:val="Titre5"/>
      </w:pPr>
      <w:bookmarkStart w:id="4091" w:name="_Toc414353006"/>
      <w:r>
        <w:t>1.3.1. Les stages d’observation et d’initiation</w:t>
      </w:r>
      <w:bookmarkEnd w:id="4091"/>
    </w:p>
    <w:p w:rsidR="00F04EEF" w:rsidRDefault="00F04EEF">
      <w:pPr>
        <w:autoSpaceDE w:val="0"/>
        <w:autoSpaceDN w:val="0"/>
        <w:adjustRightInd w:val="0"/>
      </w:pPr>
    </w:p>
    <w:p w:rsidR="00F04EEF" w:rsidRDefault="0099351E">
      <w:pPr>
        <w:autoSpaceDE w:val="0"/>
        <w:autoSpaceDN w:val="0"/>
        <w:adjustRightInd w:val="0"/>
        <w:jc w:val="both"/>
      </w:pPr>
      <w:r>
        <w:t>Les stages d’observation et d’initiation font partie de la mise en projet de l’élève et s’inscrivent dans un processus large d’orientation. Ils ont pour objectif de permettre à l’élève de :</w:t>
      </w:r>
    </w:p>
    <w:p w:rsidR="00F04EEF" w:rsidRDefault="0099351E">
      <w:pPr>
        <w:numPr>
          <w:ilvl w:val="0"/>
          <w:numId w:val="171"/>
        </w:numPr>
        <w:tabs>
          <w:tab w:val="clear" w:pos="720"/>
          <w:tab w:val="num" w:pos="1080"/>
        </w:tabs>
        <w:autoSpaceDE w:val="0"/>
        <w:autoSpaceDN w:val="0"/>
        <w:adjustRightInd w:val="0"/>
        <w:ind w:left="927"/>
        <w:jc w:val="both"/>
      </w:pPr>
      <w:r>
        <w:t>découvrir un ou plusieurs métier(s) pour définir ou préciser un projet de formation ;</w:t>
      </w:r>
    </w:p>
    <w:p w:rsidR="00F04EEF" w:rsidRDefault="0099351E">
      <w:pPr>
        <w:numPr>
          <w:ilvl w:val="0"/>
          <w:numId w:val="171"/>
        </w:numPr>
        <w:tabs>
          <w:tab w:val="clear" w:pos="720"/>
          <w:tab w:val="num" w:pos="1080"/>
        </w:tabs>
        <w:autoSpaceDE w:val="0"/>
        <w:autoSpaceDN w:val="0"/>
        <w:adjustRightInd w:val="0"/>
        <w:ind w:left="927"/>
        <w:jc w:val="both"/>
      </w:pPr>
      <w:r>
        <w:t>s’initier à des activités professionnelles et/ou à la vie professionnelle ;</w:t>
      </w:r>
    </w:p>
    <w:p w:rsidR="00F04EEF" w:rsidRDefault="0099351E">
      <w:pPr>
        <w:numPr>
          <w:ilvl w:val="0"/>
          <w:numId w:val="171"/>
        </w:numPr>
        <w:tabs>
          <w:tab w:val="clear" w:pos="720"/>
          <w:tab w:val="num" w:pos="1080"/>
        </w:tabs>
        <w:autoSpaceDE w:val="0"/>
        <w:autoSpaceDN w:val="0"/>
        <w:adjustRightInd w:val="0"/>
        <w:ind w:left="927"/>
        <w:jc w:val="both"/>
      </w:pPr>
      <w:r>
        <w:t>cibler ses intérêts.</w:t>
      </w:r>
    </w:p>
    <w:p w:rsidR="00F04EEF" w:rsidRDefault="00F04EEF">
      <w:pPr>
        <w:autoSpaceDE w:val="0"/>
        <w:autoSpaceDN w:val="0"/>
        <w:adjustRightInd w:val="0"/>
        <w:jc w:val="both"/>
      </w:pPr>
    </w:p>
    <w:p w:rsidR="00F04EEF" w:rsidRDefault="0099351E">
      <w:pPr>
        <w:autoSpaceDE w:val="0"/>
        <w:autoSpaceDN w:val="0"/>
        <w:adjustRightInd w:val="0"/>
        <w:jc w:val="both"/>
      </w:pPr>
      <w:r>
        <w:t>Ils sont organisés par les établissements scolaires dans le cadre de leur projet d’établissement.</w:t>
      </w:r>
    </w:p>
    <w:p w:rsidR="00F04EEF" w:rsidRDefault="00F04EEF">
      <w:pPr>
        <w:autoSpaceDE w:val="0"/>
        <w:autoSpaceDN w:val="0"/>
        <w:adjustRightInd w:val="0"/>
        <w:jc w:val="both"/>
      </w:pPr>
    </w:p>
    <w:p w:rsidR="00F04EEF" w:rsidRDefault="0099351E">
      <w:pPr>
        <w:autoSpaceDE w:val="0"/>
        <w:autoSpaceDN w:val="0"/>
        <w:adjustRightInd w:val="0"/>
        <w:jc w:val="both"/>
      </w:pPr>
      <w:r>
        <w:t>Ils peuvent consister notamment en :</w:t>
      </w:r>
    </w:p>
    <w:p w:rsidR="00F04EEF" w:rsidRDefault="00F04EEF">
      <w:pPr>
        <w:autoSpaceDE w:val="0"/>
        <w:autoSpaceDN w:val="0"/>
        <w:adjustRightInd w:val="0"/>
        <w:jc w:val="both"/>
      </w:pPr>
    </w:p>
    <w:p w:rsidR="00F04EEF" w:rsidRDefault="0099351E">
      <w:pPr>
        <w:numPr>
          <w:ilvl w:val="0"/>
          <w:numId w:val="171"/>
        </w:numPr>
        <w:tabs>
          <w:tab w:val="clear" w:pos="720"/>
          <w:tab w:val="num" w:pos="1080"/>
        </w:tabs>
        <w:autoSpaceDE w:val="0"/>
        <w:autoSpaceDN w:val="0"/>
        <w:adjustRightInd w:val="0"/>
        <w:ind w:left="927"/>
        <w:jc w:val="both"/>
      </w:pPr>
      <w:r>
        <w:t>la participation à des essais et démonstrations ;</w:t>
      </w:r>
    </w:p>
    <w:p w:rsidR="00F04EEF" w:rsidRDefault="0099351E">
      <w:pPr>
        <w:numPr>
          <w:ilvl w:val="0"/>
          <w:numId w:val="171"/>
        </w:numPr>
        <w:tabs>
          <w:tab w:val="clear" w:pos="720"/>
          <w:tab w:val="num" w:pos="1080"/>
        </w:tabs>
        <w:autoSpaceDE w:val="0"/>
        <w:autoSpaceDN w:val="0"/>
        <w:adjustRightInd w:val="0"/>
        <w:ind w:left="927"/>
        <w:jc w:val="both"/>
      </w:pPr>
      <w:r>
        <w:t>l’assistance à des activités de production ;</w:t>
      </w:r>
    </w:p>
    <w:p w:rsidR="00F04EEF" w:rsidRDefault="0099351E">
      <w:pPr>
        <w:numPr>
          <w:ilvl w:val="0"/>
          <w:numId w:val="171"/>
        </w:numPr>
        <w:tabs>
          <w:tab w:val="clear" w:pos="720"/>
          <w:tab w:val="num" w:pos="1080"/>
        </w:tabs>
        <w:autoSpaceDE w:val="0"/>
        <w:autoSpaceDN w:val="0"/>
        <w:adjustRightInd w:val="0"/>
        <w:ind w:left="927"/>
        <w:jc w:val="both"/>
      </w:pPr>
      <w:r>
        <w:t>la rencontre avec des membres du milieu professionnel.</w:t>
      </w:r>
    </w:p>
    <w:p w:rsidR="00F04EEF" w:rsidRDefault="00F04EEF">
      <w:pPr>
        <w:autoSpaceDE w:val="0"/>
        <w:autoSpaceDN w:val="0"/>
        <w:adjustRightInd w:val="0"/>
      </w:pPr>
    </w:p>
    <w:p w:rsidR="00F04EEF" w:rsidRDefault="0099351E">
      <w:pPr>
        <w:autoSpaceDE w:val="0"/>
        <w:autoSpaceDN w:val="0"/>
        <w:adjustRightInd w:val="0"/>
        <w:jc w:val="both"/>
      </w:pPr>
      <w:r>
        <w:t>Les élèves en stage d’observation et d’initiation ne prennent pas part au travail dans le milieu professionnel ; ils sont pris en charge globalement par le milieu professionnel et disposent d’un faible degré d’autonomie.</w:t>
      </w:r>
    </w:p>
    <w:p w:rsidR="00F04EEF" w:rsidRDefault="00F04EEF">
      <w:pPr>
        <w:autoSpaceDE w:val="0"/>
        <w:autoSpaceDN w:val="0"/>
        <w:adjustRightInd w:val="0"/>
        <w:jc w:val="both"/>
      </w:pPr>
    </w:p>
    <w:p w:rsidR="00F04EEF" w:rsidRDefault="0099351E">
      <w:pPr>
        <w:autoSpaceDE w:val="0"/>
        <w:autoSpaceDN w:val="0"/>
        <w:adjustRightInd w:val="0"/>
        <w:jc w:val="both"/>
      </w:pPr>
      <w:r>
        <w:t>Lors de la recherche de lieux de stage, l’élève ou l’établissement communique aux milieux professionnels avec lesquels il établit un premier contact un document explicatif des types de stages et des attentes de l’enseignement vis-à-vis du milieu professionnel.</w:t>
      </w:r>
    </w:p>
    <w:p w:rsidR="00F04EEF" w:rsidRDefault="00F04EEF">
      <w:pPr>
        <w:autoSpaceDE w:val="0"/>
        <w:autoSpaceDN w:val="0"/>
        <w:adjustRightInd w:val="0"/>
        <w:jc w:val="both"/>
      </w:pPr>
    </w:p>
    <w:p w:rsidR="00F04EEF" w:rsidRDefault="0099351E">
      <w:pPr>
        <w:autoSpaceDE w:val="0"/>
        <w:autoSpaceDN w:val="0"/>
        <w:adjustRightInd w:val="0"/>
        <w:jc w:val="both"/>
      </w:pPr>
      <w:r>
        <w:t>Ces stages s’adressent aux élèves de la 2</w:t>
      </w:r>
      <w:r>
        <w:rPr>
          <w:vertAlign w:val="superscript"/>
        </w:rPr>
        <w:t>ème</w:t>
      </w:r>
      <w:r>
        <w:t xml:space="preserve"> ou de la 3</w:t>
      </w:r>
      <w:r>
        <w:rPr>
          <w:vertAlign w:val="superscript"/>
        </w:rPr>
        <w:t>ème</w:t>
      </w:r>
      <w:r>
        <w:t xml:space="preserve"> phase.</w:t>
      </w:r>
    </w:p>
    <w:p w:rsidR="00F04EEF" w:rsidRDefault="00F04EEF">
      <w:pPr>
        <w:autoSpaceDE w:val="0"/>
        <w:autoSpaceDN w:val="0"/>
        <w:adjustRightInd w:val="0"/>
      </w:pPr>
    </w:p>
    <w:p w:rsidR="00F04EEF" w:rsidRDefault="0099351E">
      <w:pPr>
        <w:pStyle w:val="Titre5"/>
      </w:pPr>
      <w:bookmarkStart w:id="4092" w:name="_Toc414353007"/>
      <w:r>
        <w:t>1.3.2. Les stages de pratique accompagnée</w:t>
      </w:r>
      <w:bookmarkEnd w:id="4092"/>
    </w:p>
    <w:p w:rsidR="00F04EEF" w:rsidRDefault="00F04EEF">
      <w:pPr>
        <w:autoSpaceDE w:val="0"/>
        <w:autoSpaceDN w:val="0"/>
        <w:adjustRightInd w:val="0"/>
      </w:pPr>
    </w:p>
    <w:p w:rsidR="00F04EEF" w:rsidRDefault="0099351E">
      <w:pPr>
        <w:autoSpaceDE w:val="0"/>
        <w:autoSpaceDN w:val="0"/>
        <w:adjustRightInd w:val="0"/>
      </w:pPr>
      <w:r>
        <w:t>Les stages de pratique accompagnée ont pour objectif de permettre à l’élève de :</w:t>
      </w:r>
    </w:p>
    <w:p w:rsidR="00F04EEF" w:rsidRDefault="00F04EEF">
      <w:pPr>
        <w:autoSpaceDE w:val="0"/>
        <w:autoSpaceDN w:val="0"/>
        <w:adjustRightInd w:val="0"/>
      </w:pPr>
    </w:p>
    <w:p w:rsidR="00F04EEF" w:rsidRDefault="0099351E">
      <w:pPr>
        <w:numPr>
          <w:ilvl w:val="0"/>
          <w:numId w:val="171"/>
        </w:numPr>
        <w:tabs>
          <w:tab w:val="clear" w:pos="720"/>
          <w:tab w:val="num" w:pos="1080"/>
        </w:tabs>
        <w:autoSpaceDE w:val="0"/>
        <w:autoSpaceDN w:val="0"/>
        <w:adjustRightInd w:val="0"/>
        <w:ind w:left="927"/>
        <w:jc w:val="both"/>
      </w:pPr>
      <w:r>
        <w:t>découvrir le monde professionnel ;</w:t>
      </w:r>
    </w:p>
    <w:p w:rsidR="00F04EEF" w:rsidRDefault="0099351E">
      <w:pPr>
        <w:numPr>
          <w:ilvl w:val="0"/>
          <w:numId w:val="171"/>
        </w:numPr>
        <w:tabs>
          <w:tab w:val="clear" w:pos="720"/>
          <w:tab w:val="num" w:pos="1080"/>
        </w:tabs>
        <w:autoSpaceDE w:val="0"/>
        <w:autoSpaceDN w:val="0"/>
        <w:adjustRightInd w:val="0"/>
        <w:ind w:left="927"/>
        <w:jc w:val="both"/>
      </w:pPr>
      <w:r>
        <w:t>approfondir son projet de formation ;</w:t>
      </w:r>
    </w:p>
    <w:p w:rsidR="00F04EEF" w:rsidRDefault="0099351E">
      <w:pPr>
        <w:numPr>
          <w:ilvl w:val="0"/>
          <w:numId w:val="171"/>
        </w:numPr>
        <w:tabs>
          <w:tab w:val="clear" w:pos="720"/>
          <w:tab w:val="num" w:pos="1080"/>
        </w:tabs>
        <w:autoSpaceDE w:val="0"/>
        <w:autoSpaceDN w:val="0"/>
        <w:adjustRightInd w:val="0"/>
        <w:ind w:left="927"/>
        <w:jc w:val="both"/>
      </w:pPr>
      <w:r>
        <w:t>confirmer son choix professionnel ;</w:t>
      </w:r>
    </w:p>
    <w:p w:rsidR="00F04EEF" w:rsidRDefault="0099351E">
      <w:pPr>
        <w:numPr>
          <w:ilvl w:val="0"/>
          <w:numId w:val="171"/>
        </w:numPr>
        <w:tabs>
          <w:tab w:val="clear" w:pos="720"/>
          <w:tab w:val="num" w:pos="1080"/>
        </w:tabs>
        <w:autoSpaceDE w:val="0"/>
        <w:autoSpaceDN w:val="0"/>
        <w:adjustRightInd w:val="0"/>
        <w:ind w:left="927"/>
        <w:jc w:val="both"/>
      </w:pPr>
      <w:r>
        <w:t>mettre en œuvre les compétences qu’il a acquises à l’école en participant au processus de production. Ce travail consiste en l’exécution de tâches de plus en plus complexes en fonction du programme d’études. Il s’effectue sous guidance rapprochée du milieu professionnel ; l’élève dispose d’une autonomie modérée.</w:t>
      </w:r>
    </w:p>
    <w:p w:rsidR="00F04EEF" w:rsidRDefault="00F04EEF">
      <w:pPr>
        <w:autoSpaceDE w:val="0"/>
        <w:autoSpaceDN w:val="0"/>
        <w:adjustRightInd w:val="0"/>
        <w:jc w:val="both"/>
      </w:pPr>
    </w:p>
    <w:p w:rsidR="00F04EEF" w:rsidRDefault="0099351E">
      <w:pPr>
        <w:autoSpaceDE w:val="0"/>
        <w:autoSpaceDN w:val="0"/>
        <w:adjustRightInd w:val="0"/>
        <w:jc w:val="both"/>
      </w:pPr>
      <w:r>
        <w:t>Ces stages s’inscrivent dans le projet pédagogique des établissements. Ils font partie intégrante de la formation de l’élève ; ils interviennent dans le processus d’évaluation des élèves.</w:t>
      </w:r>
    </w:p>
    <w:p w:rsidR="00F04EEF" w:rsidRDefault="00F04EEF">
      <w:pPr>
        <w:autoSpaceDE w:val="0"/>
        <w:autoSpaceDN w:val="0"/>
        <w:adjustRightInd w:val="0"/>
        <w:jc w:val="both"/>
      </w:pPr>
    </w:p>
    <w:p w:rsidR="00F04EEF" w:rsidRDefault="0099351E">
      <w:pPr>
        <w:autoSpaceDE w:val="0"/>
        <w:autoSpaceDN w:val="0"/>
        <w:adjustRightInd w:val="0"/>
        <w:jc w:val="both"/>
      </w:pPr>
      <w:r>
        <w:t>Ils sont obligatoires dès lors qu’ils sont organisés par l’établissement scolaire et que celui-ci en a inséré les règles dans son règlement des études.</w:t>
      </w:r>
    </w:p>
    <w:p w:rsidR="00F04EEF" w:rsidRDefault="00F04EEF">
      <w:pPr>
        <w:autoSpaceDE w:val="0"/>
        <w:autoSpaceDN w:val="0"/>
        <w:adjustRightInd w:val="0"/>
        <w:jc w:val="both"/>
      </w:pPr>
    </w:p>
    <w:p w:rsidR="00F04EEF" w:rsidRDefault="0099351E">
      <w:pPr>
        <w:autoSpaceDE w:val="0"/>
        <w:autoSpaceDN w:val="0"/>
        <w:adjustRightInd w:val="0"/>
        <w:jc w:val="both"/>
      </w:pPr>
      <w:r>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rsidR="00F04EEF" w:rsidRDefault="00F04EEF">
      <w:pPr>
        <w:autoSpaceDE w:val="0"/>
        <w:autoSpaceDN w:val="0"/>
        <w:adjustRightInd w:val="0"/>
        <w:jc w:val="both"/>
      </w:pPr>
    </w:p>
    <w:p w:rsidR="00F04EEF" w:rsidRDefault="0099351E">
      <w:pPr>
        <w:autoSpaceDE w:val="0"/>
        <w:autoSpaceDN w:val="0"/>
        <w:adjustRightInd w:val="0"/>
        <w:jc w:val="both"/>
      </w:pPr>
      <w:r>
        <w:t>Ces stages s’adressent aux élèves de la 2</w:t>
      </w:r>
      <w:r>
        <w:rPr>
          <w:vertAlign w:val="superscript"/>
        </w:rPr>
        <w:t>ème</w:t>
      </w:r>
      <w:r>
        <w:t xml:space="preserve"> ou de la 3</w:t>
      </w:r>
      <w:r>
        <w:rPr>
          <w:vertAlign w:val="superscript"/>
        </w:rPr>
        <w:t>ème</w:t>
      </w:r>
      <w:r>
        <w:t xml:space="preserve"> phase.</w:t>
      </w:r>
    </w:p>
    <w:p w:rsidR="00F04EEF" w:rsidRDefault="00F04EEF">
      <w:pPr>
        <w:autoSpaceDE w:val="0"/>
        <w:autoSpaceDN w:val="0"/>
        <w:adjustRightInd w:val="0"/>
      </w:pPr>
    </w:p>
    <w:p w:rsidR="00F04EEF" w:rsidRDefault="0099351E">
      <w:pPr>
        <w:pStyle w:val="Titre5"/>
      </w:pPr>
      <w:bookmarkStart w:id="4093" w:name="_Toc414353008"/>
      <w:bookmarkStart w:id="4094" w:name="_Toc453837023"/>
      <w:r>
        <w:t>1.3.3. Les stages de pratique en responsabilité</w:t>
      </w:r>
      <w:bookmarkEnd w:id="4093"/>
      <w:bookmarkEnd w:id="4094"/>
    </w:p>
    <w:p w:rsidR="00F04EEF" w:rsidRDefault="00F04EEF">
      <w:pPr>
        <w:autoSpaceDE w:val="0"/>
        <w:autoSpaceDN w:val="0"/>
        <w:adjustRightInd w:val="0"/>
      </w:pPr>
    </w:p>
    <w:p w:rsidR="00F04EEF" w:rsidRDefault="0099351E">
      <w:pPr>
        <w:autoSpaceDE w:val="0"/>
        <w:autoSpaceDN w:val="0"/>
        <w:adjustRightInd w:val="0"/>
        <w:jc w:val="both"/>
      </w:pPr>
      <w:r>
        <w:t>Les stages de pratique en responsabilité ont pour objectif de permettre à l’élève d’acquérir et de perfectionner la maîtrise du métier complémentairement aux savoirs, compétences et aptitudes professionnels enseignés à l’école.</w:t>
      </w:r>
    </w:p>
    <w:p w:rsidR="00F04EEF" w:rsidRDefault="00F04EEF">
      <w:pPr>
        <w:autoSpaceDE w:val="0"/>
        <w:autoSpaceDN w:val="0"/>
        <w:adjustRightInd w:val="0"/>
        <w:jc w:val="both"/>
      </w:pPr>
    </w:p>
    <w:p w:rsidR="00F04EEF" w:rsidRDefault="0099351E">
      <w:pPr>
        <w:autoSpaceDE w:val="0"/>
        <w:autoSpaceDN w:val="0"/>
        <w:adjustRightInd w:val="0"/>
        <w:jc w:val="both"/>
      </w:pPr>
      <w:r>
        <w:t>A cette fin, les élèves sont appelés à exécuter, en autonomie, des tâches de plus en plus complexes en fonction du programme d’études, sous la supervision du milieu professionnel.</w:t>
      </w:r>
    </w:p>
    <w:p w:rsidR="00F04EEF" w:rsidRDefault="00F04EEF">
      <w:pPr>
        <w:autoSpaceDE w:val="0"/>
        <w:autoSpaceDN w:val="0"/>
        <w:adjustRightInd w:val="0"/>
        <w:jc w:val="both"/>
      </w:pPr>
    </w:p>
    <w:p w:rsidR="00F04EEF" w:rsidRDefault="0099351E">
      <w:pPr>
        <w:autoSpaceDE w:val="0"/>
        <w:autoSpaceDN w:val="0"/>
        <w:adjustRightInd w:val="0"/>
        <w:jc w:val="both"/>
      </w:pPr>
      <w:r>
        <w:t>Ces stages s’inscrivent dans le projet pédagogique des établissements. Ils font partie intégrante de la formation de l’élève ; ils interviennent dans le processus d’évaluation de l’élève.</w:t>
      </w:r>
    </w:p>
    <w:p w:rsidR="00F04EEF" w:rsidRDefault="00F04EEF">
      <w:pPr>
        <w:autoSpaceDE w:val="0"/>
        <w:autoSpaceDN w:val="0"/>
        <w:adjustRightInd w:val="0"/>
        <w:jc w:val="both"/>
      </w:pPr>
    </w:p>
    <w:p w:rsidR="00F04EEF" w:rsidRDefault="0099351E">
      <w:pPr>
        <w:autoSpaceDE w:val="0"/>
        <w:autoSpaceDN w:val="0"/>
        <w:adjustRightInd w:val="0"/>
        <w:jc w:val="both"/>
      </w:pPr>
      <w:r>
        <w:t>Ils sont obligatoires dès lors qu’ils sont organisés par l’établissement scolaire et que celui-ci en a inséré les règles dans son règlement des études.</w:t>
      </w:r>
    </w:p>
    <w:p w:rsidR="00F04EEF" w:rsidRDefault="00F04EEF">
      <w:pPr>
        <w:autoSpaceDE w:val="0"/>
        <w:autoSpaceDN w:val="0"/>
        <w:adjustRightInd w:val="0"/>
        <w:jc w:val="both"/>
      </w:pPr>
    </w:p>
    <w:p w:rsidR="00F04EEF" w:rsidRDefault="0099351E">
      <w:pPr>
        <w:autoSpaceDE w:val="0"/>
        <w:autoSpaceDN w:val="0"/>
        <w:adjustRightInd w:val="0"/>
        <w:jc w:val="both"/>
      </w:pPr>
      <w:r>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rsidR="00F04EEF" w:rsidRDefault="00F04EEF">
      <w:pPr>
        <w:autoSpaceDE w:val="0"/>
        <w:autoSpaceDN w:val="0"/>
        <w:adjustRightInd w:val="0"/>
        <w:jc w:val="both"/>
      </w:pPr>
    </w:p>
    <w:p w:rsidR="00F04EEF" w:rsidRDefault="0099351E">
      <w:pPr>
        <w:autoSpaceDE w:val="0"/>
        <w:autoSpaceDN w:val="0"/>
        <w:adjustRightInd w:val="0"/>
        <w:jc w:val="both"/>
      </w:pPr>
      <w:r>
        <w:t>Ces stages s’adressent aux élèves de 3</w:t>
      </w:r>
      <w:r>
        <w:rPr>
          <w:vertAlign w:val="superscript"/>
        </w:rPr>
        <w:t>ème</w:t>
      </w:r>
      <w:r>
        <w:t xml:space="preserve"> phase.</w:t>
      </w:r>
    </w:p>
    <w:p w:rsidR="00F04EEF" w:rsidRDefault="00F04EEF"/>
    <w:p w:rsidR="00F04EEF" w:rsidRDefault="0099351E">
      <w:pPr>
        <w:pStyle w:val="Titre4"/>
      </w:pPr>
      <w:bookmarkStart w:id="4095" w:name="_1.4._Lieux_de"/>
      <w:bookmarkStart w:id="4096" w:name="_Toc414353009"/>
      <w:bookmarkStart w:id="4097" w:name="_Toc453837024"/>
      <w:bookmarkEnd w:id="4095"/>
      <w:r>
        <w:t>1.4. Lieux de stages</w:t>
      </w:r>
      <w:bookmarkEnd w:id="4096"/>
      <w:bookmarkEnd w:id="4097"/>
    </w:p>
    <w:p w:rsidR="00F04EEF" w:rsidRDefault="00F04EEF">
      <w:pPr>
        <w:autoSpaceDE w:val="0"/>
        <w:autoSpaceDN w:val="0"/>
        <w:adjustRightInd w:val="0"/>
      </w:pPr>
    </w:p>
    <w:p w:rsidR="00F04EEF" w:rsidRDefault="0099351E">
      <w:pPr>
        <w:autoSpaceDE w:val="0"/>
        <w:autoSpaceDN w:val="0"/>
        <w:adjustRightInd w:val="0"/>
        <w:jc w:val="both"/>
      </w:pPr>
      <w:r>
        <w:t>Le choix des lieux de stage doit répondre aux objectifs de formation.</w:t>
      </w:r>
    </w:p>
    <w:p w:rsidR="00F04EEF" w:rsidRDefault="00F04EEF">
      <w:pPr>
        <w:autoSpaceDE w:val="0"/>
        <w:autoSpaceDN w:val="0"/>
        <w:adjustRightInd w:val="0"/>
        <w:jc w:val="both"/>
      </w:pPr>
    </w:p>
    <w:p w:rsidR="00F04EEF" w:rsidRDefault="0099351E">
      <w:pPr>
        <w:autoSpaceDE w:val="0"/>
        <w:autoSpaceDN w:val="0"/>
        <w:adjustRightInd w:val="0"/>
        <w:jc w:val="both"/>
      </w:pPr>
      <w:r>
        <w:t>Il faut tenir compte notamment de :</w:t>
      </w:r>
    </w:p>
    <w:p w:rsidR="00F04EEF" w:rsidRDefault="00F04EEF">
      <w:pPr>
        <w:autoSpaceDE w:val="0"/>
        <w:autoSpaceDN w:val="0"/>
        <w:adjustRightInd w:val="0"/>
        <w:jc w:val="both"/>
      </w:pPr>
    </w:p>
    <w:p w:rsidR="00F04EEF" w:rsidRDefault="0099351E">
      <w:pPr>
        <w:numPr>
          <w:ilvl w:val="0"/>
          <w:numId w:val="171"/>
        </w:numPr>
        <w:autoSpaceDE w:val="0"/>
        <w:autoSpaceDN w:val="0"/>
        <w:adjustRightInd w:val="0"/>
        <w:ind w:left="709" w:hanging="425"/>
        <w:jc w:val="both"/>
      </w:pPr>
      <w:r>
        <w:t>l’aptitude du milieu professionnel à fournir un éventail de travaux de caractère formatif sur le plan professionnel ;</w:t>
      </w:r>
    </w:p>
    <w:p w:rsidR="00F04EEF" w:rsidRDefault="0099351E">
      <w:pPr>
        <w:numPr>
          <w:ilvl w:val="0"/>
          <w:numId w:val="171"/>
        </w:numPr>
        <w:autoSpaceDE w:val="0"/>
        <w:autoSpaceDN w:val="0"/>
        <w:adjustRightInd w:val="0"/>
        <w:ind w:left="709" w:hanging="425"/>
        <w:jc w:val="both"/>
      </w:pPr>
      <w:r>
        <w:t xml:space="preserve">la capacité du milieu professionnel de désigner en son sein un tuteur présentant les qualités requises pour l’accompagnement du stagiaire ; </w:t>
      </w:r>
    </w:p>
    <w:p w:rsidR="00F04EEF" w:rsidRDefault="0099351E">
      <w:pPr>
        <w:numPr>
          <w:ilvl w:val="0"/>
          <w:numId w:val="171"/>
        </w:numPr>
        <w:autoSpaceDE w:val="0"/>
        <w:autoSpaceDN w:val="0"/>
        <w:adjustRightInd w:val="0"/>
        <w:ind w:left="709" w:hanging="425"/>
        <w:jc w:val="both"/>
      </w:pPr>
      <w:r>
        <w:t>la capacité d’accueil du milieu professionnel en matière de nombre de stagiaires ;</w:t>
      </w:r>
    </w:p>
    <w:p w:rsidR="00F04EEF" w:rsidRDefault="0099351E">
      <w:pPr>
        <w:numPr>
          <w:ilvl w:val="0"/>
          <w:numId w:val="171"/>
        </w:numPr>
        <w:autoSpaceDE w:val="0"/>
        <w:autoSpaceDN w:val="0"/>
        <w:adjustRightInd w:val="0"/>
        <w:ind w:left="709" w:hanging="425"/>
        <w:jc w:val="both"/>
      </w:pPr>
      <w:r>
        <w:t>les expériences antérieures de collaboration positive avec l’établissement scolaire.</w:t>
      </w:r>
    </w:p>
    <w:p w:rsidR="00F04EEF" w:rsidRDefault="00F04EEF">
      <w:pPr>
        <w:autoSpaceDE w:val="0"/>
        <w:autoSpaceDN w:val="0"/>
        <w:adjustRightInd w:val="0"/>
      </w:pPr>
    </w:p>
    <w:p w:rsidR="00F04EEF" w:rsidRDefault="00F04EEF">
      <w:pPr>
        <w:autoSpaceDE w:val="0"/>
        <w:autoSpaceDN w:val="0"/>
        <w:adjustRightInd w:val="0"/>
      </w:pPr>
    </w:p>
    <w:p w:rsidR="00F04EEF" w:rsidRDefault="0099351E">
      <w:pPr>
        <w:autoSpaceDE w:val="0"/>
        <w:autoSpaceDN w:val="0"/>
        <w:adjustRightInd w:val="0"/>
        <w:jc w:val="both"/>
      </w:pPr>
      <w:r>
        <w:t>Les stages ne peuvent pas être organisés chez les membres du corps professoral, leur conjoint ou leurs parents, ni chez les parents du stagiaire jusqu’au 3</w:t>
      </w:r>
      <w:r>
        <w:rPr>
          <w:vertAlign w:val="superscript"/>
        </w:rPr>
        <w:t>ème</w:t>
      </w:r>
      <w:r>
        <w:t xml:space="preserve"> degré ni chez les cohabitants et/ou personnes vivant sous le même toit, sauf dérogation accordée par le Ministre qui a l’enseignement spécialisé dans ses attributions.</w:t>
      </w:r>
    </w:p>
    <w:p w:rsidR="00F04EEF" w:rsidRDefault="00F04EEF">
      <w:pPr>
        <w:autoSpaceDE w:val="0"/>
        <w:autoSpaceDN w:val="0"/>
        <w:adjustRightInd w:val="0"/>
        <w:jc w:val="both"/>
      </w:pPr>
    </w:p>
    <w:p w:rsidR="00F04EEF" w:rsidRDefault="0099351E">
      <w:pPr>
        <w:autoSpaceDE w:val="0"/>
        <w:autoSpaceDN w:val="0"/>
        <w:adjustRightInd w:val="0"/>
        <w:jc w:val="both"/>
        <w:rPr>
          <w:u w:val="single"/>
        </w:rPr>
      </w:pPr>
      <w:r>
        <w:rPr>
          <w:u w:val="single"/>
        </w:rPr>
        <w:t>Stages de pratique accompagnée et stages de pratique en responsabilité.</w:t>
      </w:r>
    </w:p>
    <w:p w:rsidR="00F04EEF" w:rsidRDefault="00F04EEF">
      <w:pPr>
        <w:autoSpaceDE w:val="0"/>
        <w:autoSpaceDN w:val="0"/>
        <w:adjustRightInd w:val="0"/>
        <w:jc w:val="both"/>
      </w:pPr>
    </w:p>
    <w:p w:rsidR="00F04EEF" w:rsidRDefault="0099351E">
      <w:pPr>
        <w:autoSpaceDE w:val="0"/>
        <w:autoSpaceDN w:val="0"/>
        <w:adjustRightInd w:val="0"/>
        <w:jc w:val="both"/>
      </w:pPr>
      <w:r>
        <w:t>Le chef d’établissement dans l’enseignement organisé par la Fédération Wallonie-Bruxelles ou le Pouvoir organisateur dans l’enseignement subventionnée par la Fédération Wallonie-Bruxelles garantit à chaque élève un lieu de stage adéquat.</w:t>
      </w:r>
    </w:p>
    <w:p w:rsidR="00F04EEF" w:rsidRDefault="00F04EEF">
      <w:pPr>
        <w:autoSpaceDE w:val="0"/>
        <w:autoSpaceDN w:val="0"/>
        <w:adjustRightInd w:val="0"/>
        <w:jc w:val="both"/>
      </w:pPr>
    </w:p>
    <w:p w:rsidR="00F04EEF" w:rsidRDefault="0099351E">
      <w:pPr>
        <w:autoSpaceDE w:val="0"/>
        <w:autoSpaceDN w:val="0"/>
        <w:adjustRightInd w:val="0"/>
        <w:jc w:val="both"/>
      </w:pPr>
      <w:r>
        <w:t>Les modalités de l’intervention des élèves dans la recherche des lieux de stage sont définies dans le règlement des études. Dans ce cas, l’équipe éducative assure une préparation des élèves à la recherche de lieux de stage et les soutient dans leur recherche. Cela implique notamment qu’elle fournisse aux élèves une liste de lieux de stage possibles, même si l’élève peut proposer lui-même d’autres lieux qui répondent aux critères précisés par l’équipe éducative.</w:t>
      </w:r>
    </w:p>
    <w:p w:rsidR="00F04EEF" w:rsidRDefault="00F04EEF">
      <w:pPr>
        <w:autoSpaceDE w:val="0"/>
        <w:autoSpaceDN w:val="0"/>
        <w:adjustRightInd w:val="0"/>
      </w:pPr>
    </w:p>
    <w:p w:rsidR="00F04EEF" w:rsidRDefault="0099351E">
      <w:pPr>
        <w:autoSpaceDE w:val="0"/>
        <w:autoSpaceDN w:val="0"/>
        <w:adjustRightInd w:val="0"/>
        <w:jc w:val="both"/>
      </w:pPr>
      <w:r>
        <w:t>Dans tous les cas, le chef d’établissement dans l’enseignement organisé par la Fédération Wallonie-Bruxelles ou le Pouvoir organisateur dans l’enseignement subventionné par la Fédération Wallonie-Bruxelles est responsable en dernier ressort de la recherche de lieux de stage ; l’élève ne pourra pas être tenu pour responsable de l’absence de lieu de stage, sauf si le chef d’établissement a pris une mesure disciplinaire d’exclusion du lieu de stage à l’égard de l’élève et qu’il  n’a pas été possible de lui retrouver un autre lieu de stage.</w:t>
      </w:r>
    </w:p>
    <w:p w:rsidR="00F04EEF" w:rsidRDefault="0099351E">
      <w:pPr>
        <w:autoSpaceDE w:val="0"/>
        <w:autoSpaceDN w:val="0"/>
        <w:adjustRightInd w:val="0"/>
        <w:jc w:val="both"/>
      </w:pPr>
      <w:r>
        <w:t>Lors de la recherche de lieux de stage, l’élève ou l’établissement communique aux milieux professionnels avec lesquels il établit un premier contact un document explicatif des types de stage et des attentes de l’enseignement vis-à-vis du milieu professionnel.</w:t>
      </w:r>
    </w:p>
    <w:p w:rsidR="00F04EEF" w:rsidRDefault="00F04EEF">
      <w:pPr>
        <w:autoSpaceDE w:val="0"/>
        <w:autoSpaceDN w:val="0"/>
        <w:adjustRightInd w:val="0"/>
        <w:jc w:val="both"/>
      </w:pPr>
    </w:p>
    <w:p w:rsidR="00F04EEF" w:rsidRDefault="0099351E">
      <w:pPr>
        <w:autoSpaceDE w:val="0"/>
        <w:autoSpaceDN w:val="0"/>
        <w:adjustRightInd w:val="0"/>
        <w:jc w:val="both"/>
      </w:pPr>
      <w:r>
        <w:t xml:space="preserve">Dans le cas où un établissement peine à trouver des lieux de stage en suffisance, le chef d’établissement dans l’enseignement organisé par la Fédération Wallonie-Bruxelles ou le Pouvoir organisateur en informe, au moyen de </w:t>
      </w:r>
      <w:hyperlink w:anchor="_Annexe_7_:_" w:history="1">
        <w:r>
          <w:rPr>
            <w:rStyle w:val="Lienhypertexte"/>
          </w:rPr>
          <w:t>l’annexe 7</w:t>
        </w:r>
      </w:hyperlink>
      <w:r>
        <w:t xml:space="preserve"> :</w:t>
      </w:r>
    </w:p>
    <w:p w:rsidR="00F04EEF" w:rsidRDefault="00F04EEF">
      <w:pPr>
        <w:autoSpaceDE w:val="0"/>
        <w:autoSpaceDN w:val="0"/>
        <w:adjustRightInd w:val="0"/>
        <w:jc w:val="both"/>
      </w:pPr>
    </w:p>
    <w:p w:rsidR="00F04EEF" w:rsidRDefault="0099351E">
      <w:pPr>
        <w:numPr>
          <w:ilvl w:val="0"/>
          <w:numId w:val="171"/>
        </w:numPr>
        <w:autoSpaceDE w:val="0"/>
        <w:autoSpaceDN w:val="0"/>
        <w:adjustRightInd w:val="0"/>
        <w:ind w:left="993"/>
        <w:jc w:val="both"/>
      </w:pPr>
      <w:r>
        <w:t>l’Instance de pilotage inter-réseaux de l’enseignement qualifiant (IPIEQ) concernée ;</w:t>
      </w:r>
    </w:p>
    <w:p w:rsidR="00F04EEF" w:rsidRDefault="0099351E">
      <w:pPr>
        <w:numPr>
          <w:ilvl w:val="0"/>
          <w:numId w:val="171"/>
        </w:numPr>
        <w:autoSpaceDE w:val="0"/>
        <w:autoSpaceDN w:val="0"/>
        <w:adjustRightInd w:val="0"/>
        <w:ind w:left="993"/>
        <w:jc w:val="both"/>
      </w:pPr>
      <w:r>
        <w:t>le Service de l’enseignement spécialisé ; celui-ci établit un cadastre des demandes non satisfaites, par zone, par secteur professionnel et par formation, qui sera communiqué au Ministre qui a l’enseignement secondaire dans ses attributions, il apporte son soutien aux établissements dans la recherche de lieux de stage.</w:t>
      </w:r>
    </w:p>
    <w:p w:rsidR="00F04EEF" w:rsidRDefault="00F04EEF">
      <w:pPr>
        <w:autoSpaceDE w:val="0"/>
        <w:autoSpaceDN w:val="0"/>
        <w:adjustRightInd w:val="0"/>
      </w:pPr>
    </w:p>
    <w:p w:rsidR="00F04EEF" w:rsidRDefault="0099351E">
      <w:pPr>
        <w:autoSpaceDE w:val="0"/>
        <w:autoSpaceDN w:val="0"/>
        <w:adjustRightInd w:val="0"/>
        <w:jc w:val="both"/>
        <w:rPr>
          <w:u w:val="single"/>
        </w:rPr>
      </w:pPr>
      <w:r>
        <w:rPr>
          <w:u w:val="single"/>
        </w:rPr>
        <w:t>Stages à l’étranger :</w:t>
      </w:r>
    </w:p>
    <w:p w:rsidR="00F04EEF" w:rsidRDefault="00F04EEF">
      <w:pPr>
        <w:autoSpaceDE w:val="0"/>
        <w:autoSpaceDN w:val="0"/>
        <w:adjustRightInd w:val="0"/>
        <w:jc w:val="both"/>
      </w:pPr>
    </w:p>
    <w:p w:rsidR="00F04EEF" w:rsidRDefault="0099351E">
      <w:pPr>
        <w:autoSpaceDE w:val="0"/>
        <w:autoSpaceDN w:val="0"/>
        <w:adjustRightInd w:val="0"/>
        <w:jc w:val="both"/>
      </w:pPr>
      <w:r>
        <w:t>Des stages peuvent être organisés à l’étranger ou dans une autre Communauté.</w:t>
      </w:r>
    </w:p>
    <w:p w:rsidR="00F04EEF" w:rsidRDefault="00F04EEF">
      <w:pPr>
        <w:autoSpaceDE w:val="0"/>
        <w:autoSpaceDN w:val="0"/>
        <w:adjustRightInd w:val="0"/>
        <w:jc w:val="both"/>
      </w:pPr>
    </w:p>
    <w:p w:rsidR="00F04EEF" w:rsidRDefault="0099351E">
      <w:pPr>
        <w:autoSpaceDE w:val="0"/>
        <w:autoSpaceDN w:val="0"/>
        <w:adjustRightInd w:val="0"/>
        <w:jc w:val="both"/>
      </w:pPr>
      <w:r>
        <w:t xml:space="preserve">Tout stage à l’étranger fait l’objet d’une autorisation ministérielle basée sur un dossier introduit, au moins six semaines avant le début du stage, par le chef d’établissement sur base du formulaire figurant en </w:t>
      </w:r>
      <w:hyperlink w:anchor="_Annexe_9_:_" w:history="1">
        <w:r>
          <w:rPr>
            <w:rStyle w:val="Lienhypertexte"/>
          </w:rPr>
          <w:t>annexe 9</w:t>
        </w:r>
      </w:hyperlink>
      <w:r>
        <w:t>.</w:t>
      </w:r>
    </w:p>
    <w:p w:rsidR="00F04EEF" w:rsidRDefault="00F04EEF">
      <w:pPr>
        <w:autoSpaceDE w:val="0"/>
        <w:autoSpaceDN w:val="0"/>
        <w:adjustRightInd w:val="0"/>
        <w:jc w:val="both"/>
      </w:pPr>
    </w:p>
    <w:p w:rsidR="00F04EEF" w:rsidRDefault="0099351E">
      <w:pPr>
        <w:autoSpaceDE w:val="0"/>
        <w:autoSpaceDN w:val="0"/>
        <w:adjustRightInd w:val="0"/>
        <w:jc w:val="both"/>
      </w:pPr>
      <w:r>
        <w:t>Toutefois, lorsque le stage des élèves frontaliers est effectué dans un des pays limitrophes ou dans une autre Communauté, l’autorisation ministérielle est accordée automatiquement pour autant que les conditions suivantes soient remplies et attestées par l’établissement scolaire :</w:t>
      </w:r>
    </w:p>
    <w:p w:rsidR="00F04EEF" w:rsidRDefault="0099351E">
      <w:pPr>
        <w:autoSpaceDE w:val="0"/>
        <w:autoSpaceDN w:val="0"/>
        <w:adjustRightInd w:val="0"/>
        <w:jc w:val="both"/>
      </w:pPr>
      <w:r>
        <w:t>1° l’élève possède une maîtrise fonctionnelle de la langue utilisée dans l’entreprise dans laquelle il effectue son stage ;</w:t>
      </w:r>
    </w:p>
    <w:p w:rsidR="00F04EEF" w:rsidRDefault="0099351E">
      <w:pPr>
        <w:autoSpaceDE w:val="0"/>
        <w:autoSpaceDN w:val="0"/>
        <w:adjustRightInd w:val="0"/>
        <w:jc w:val="both"/>
      </w:pPr>
      <w:r>
        <w:t>2° le tuteur en entreprise possède une maîtrise fonctionnelle du français ;</w:t>
      </w:r>
    </w:p>
    <w:p w:rsidR="00F04EEF" w:rsidRDefault="0099351E">
      <w:pPr>
        <w:autoSpaceDE w:val="0"/>
        <w:autoSpaceDN w:val="0"/>
        <w:adjustRightInd w:val="0"/>
        <w:jc w:val="both"/>
      </w:pPr>
      <w:r>
        <w:t>3° l’établissement scolaire a vérifié auprès de sa compagnie d’assurance en responsabilité civile et accidents que les risques encourus dans le cas  d’un élève qui effectue un stage dans un pays limitrophe ou dans une autre Communauté sont bien couverts.</w:t>
      </w:r>
    </w:p>
    <w:p w:rsidR="00F04EEF" w:rsidRDefault="00F04EEF">
      <w:pPr>
        <w:autoSpaceDE w:val="0"/>
        <w:autoSpaceDN w:val="0"/>
        <w:adjustRightInd w:val="0"/>
        <w:jc w:val="both"/>
      </w:pPr>
    </w:p>
    <w:p w:rsidR="00F04EEF" w:rsidRDefault="0099351E">
      <w:pPr>
        <w:autoSpaceDE w:val="0"/>
        <w:autoSpaceDN w:val="0"/>
        <w:adjustRightInd w:val="0"/>
        <w:jc w:val="both"/>
      </w:pPr>
      <w:r>
        <w:t>L’autorisation est automatique pour l’élève et les membres de l’équipe éducative qui accompagnent éventuellement le jeune lorsque celui-ci participe à des échanges financés ou cofinancés par la Commission européenne ou une autorité publique belge.</w:t>
      </w:r>
    </w:p>
    <w:p w:rsidR="00F04EEF" w:rsidRDefault="00F04EEF"/>
    <w:p w:rsidR="00F04EEF" w:rsidRDefault="0099351E">
      <w:pPr>
        <w:pStyle w:val="Titre4"/>
      </w:pPr>
      <w:bookmarkStart w:id="4098" w:name="_1.5._L’organisation_des"/>
      <w:bookmarkStart w:id="4099" w:name="_Toc414353010"/>
      <w:bookmarkStart w:id="4100" w:name="_Toc453837025"/>
      <w:bookmarkEnd w:id="4098"/>
      <w:r>
        <w:t>1.5. L’organisation des stages</w:t>
      </w:r>
      <w:bookmarkEnd w:id="4099"/>
      <w:bookmarkEnd w:id="4100"/>
    </w:p>
    <w:p w:rsidR="00F04EEF" w:rsidRDefault="00F04EEF">
      <w:pPr>
        <w:autoSpaceDE w:val="0"/>
        <w:autoSpaceDN w:val="0"/>
        <w:adjustRightInd w:val="0"/>
      </w:pPr>
    </w:p>
    <w:p w:rsidR="00F04EEF" w:rsidRDefault="0099351E">
      <w:pPr>
        <w:autoSpaceDE w:val="0"/>
        <w:autoSpaceDN w:val="0"/>
        <w:adjustRightInd w:val="0"/>
        <w:jc w:val="both"/>
      </w:pPr>
      <w:r>
        <w:t>Les stages impliquent une relation tripartite entre l’établissement scolaire, l’élève (et ses parents ou ses représentants légaux s’il est mineur) et le milieu professionnel.</w:t>
      </w:r>
    </w:p>
    <w:p w:rsidR="00F04EEF" w:rsidRDefault="0099351E">
      <w:pPr>
        <w:autoSpaceDE w:val="0"/>
        <w:autoSpaceDN w:val="0"/>
        <w:adjustRightInd w:val="0"/>
        <w:jc w:val="both"/>
      </w:pPr>
      <w:r>
        <w:t>Cette relation est régie par une convention fixant notamment les droits et devoirs des parties concernées.</w:t>
      </w:r>
    </w:p>
    <w:p w:rsidR="00F04EEF" w:rsidRDefault="00F04EEF">
      <w:pPr>
        <w:autoSpaceDE w:val="0"/>
        <w:autoSpaceDN w:val="0"/>
        <w:adjustRightInd w:val="0"/>
        <w:jc w:val="both"/>
      </w:pPr>
    </w:p>
    <w:p w:rsidR="00F04EEF" w:rsidRDefault="0099351E">
      <w:pPr>
        <w:autoSpaceDE w:val="0"/>
        <w:autoSpaceDN w:val="0"/>
        <w:adjustRightInd w:val="0"/>
        <w:jc w:val="both"/>
      </w:pPr>
      <w:r>
        <w:t>Les modalités d’organisation et d’évaluation se trouvent :</w:t>
      </w:r>
    </w:p>
    <w:p w:rsidR="00F04EEF" w:rsidRDefault="00F04EEF">
      <w:pPr>
        <w:autoSpaceDE w:val="0"/>
        <w:autoSpaceDN w:val="0"/>
        <w:adjustRightInd w:val="0"/>
        <w:jc w:val="both"/>
      </w:pPr>
    </w:p>
    <w:p w:rsidR="00F04EEF" w:rsidRDefault="0099351E">
      <w:pPr>
        <w:numPr>
          <w:ilvl w:val="0"/>
          <w:numId w:val="171"/>
        </w:numPr>
        <w:tabs>
          <w:tab w:val="clear" w:pos="720"/>
          <w:tab w:val="num" w:pos="993"/>
        </w:tabs>
        <w:autoSpaceDE w:val="0"/>
        <w:autoSpaceDN w:val="0"/>
        <w:adjustRightInd w:val="0"/>
        <w:ind w:left="927"/>
      </w:pPr>
      <w:r>
        <w:t xml:space="preserve">en </w:t>
      </w:r>
      <w:hyperlink w:anchor="_Annexe_1_:_20" w:history="1">
        <w:r>
          <w:rPr>
            <w:rStyle w:val="Lienhypertexte"/>
          </w:rPr>
          <w:t>annexe 1</w:t>
        </w:r>
      </w:hyperlink>
      <w:r>
        <w:t xml:space="preserve"> pour les stages d’observation ;</w:t>
      </w:r>
    </w:p>
    <w:p w:rsidR="00F04EEF" w:rsidRDefault="0099351E">
      <w:pPr>
        <w:numPr>
          <w:ilvl w:val="0"/>
          <w:numId w:val="171"/>
        </w:numPr>
        <w:tabs>
          <w:tab w:val="clear" w:pos="720"/>
          <w:tab w:val="num" w:pos="993"/>
        </w:tabs>
        <w:autoSpaceDE w:val="0"/>
        <w:autoSpaceDN w:val="0"/>
        <w:adjustRightInd w:val="0"/>
        <w:ind w:left="927"/>
        <w:jc w:val="both"/>
      </w:pPr>
      <w:r>
        <w:t xml:space="preserve">en </w:t>
      </w:r>
      <w:hyperlink w:anchor="_Annexe_3_:_3" w:history="1">
        <w:r>
          <w:rPr>
            <w:rStyle w:val="Lienhypertexte"/>
            <w:rFonts w:cstheme="minorBidi"/>
          </w:rPr>
          <w:t>annexe 3</w:t>
        </w:r>
      </w:hyperlink>
      <w:r>
        <w:t xml:space="preserve"> pour les stages de pratique accompagnée. Concernant ces stages, ils peuvent se dérouler pendant les congés et vacances scolaires à l’exception des vacances d’été et moyennant une décision motivée du conseil de classe ;</w:t>
      </w:r>
    </w:p>
    <w:p w:rsidR="00F04EEF" w:rsidRDefault="00F04EEF">
      <w:pPr>
        <w:autoSpaceDE w:val="0"/>
        <w:autoSpaceDN w:val="0"/>
        <w:adjustRightInd w:val="0"/>
        <w:ind w:left="927"/>
      </w:pPr>
    </w:p>
    <w:p w:rsidR="00F04EEF" w:rsidRDefault="0099351E">
      <w:pPr>
        <w:numPr>
          <w:ilvl w:val="0"/>
          <w:numId w:val="171"/>
        </w:numPr>
        <w:tabs>
          <w:tab w:val="clear" w:pos="720"/>
          <w:tab w:val="num" w:pos="993"/>
        </w:tabs>
        <w:autoSpaceDE w:val="0"/>
        <w:autoSpaceDN w:val="0"/>
        <w:adjustRightInd w:val="0"/>
        <w:ind w:left="927"/>
      </w:pPr>
      <w:r>
        <w:t xml:space="preserve">en </w:t>
      </w:r>
      <w:hyperlink w:anchor="_Annexe_5_:_1" w:history="1">
        <w:r>
          <w:rPr>
            <w:rStyle w:val="Lienhypertexte"/>
          </w:rPr>
          <w:t>annexe 5</w:t>
        </w:r>
      </w:hyperlink>
      <w:r>
        <w:t xml:space="preserve"> pour les stages de pratique en responsabilité. Concernant ces stages, ils peuvent se dérouler pendant les congés et vacances scolaires à l’exception des vacances d’été et moyennant une décision motivée du conseil de classe.</w:t>
      </w:r>
    </w:p>
    <w:p w:rsidR="00F04EEF" w:rsidRDefault="00F04EEF">
      <w:pPr>
        <w:autoSpaceDE w:val="0"/>
        <w:autoSpaceDN w:val="0"/>
        <w:adjustRightInd w:val="0"/>
      </w:pPr>
    </w:p>
    <w:p w:rsidR="00F04EEF" w:rsidRDefault="0099351E">
      <w:pPr>
        <w:autoSpaceDE w:val="0"/>
        <w:autoSpaceDN w:val="0"/>
        <w:adjustRightInd w:val="0"/>
        <w:jc w:val="both"/>
      </w:pPr>
      <w:r>
        <w:t>Les modèles de convention se trouvent :</w:t>
      </w:r>
    </w:p>
    <w:p w:rsidR="00F04EEF" w:rsidRDefault="00F04EEF">
      <w:pPr>
        <w:autoSpaceDE w:val="0"/>
        <w:autoSpaceDN w:val="0"/>
        <w:adjustRightInd w:val="0"/>
        <w:jc w:val="both"/>
      </w:pPr>
    </w:p>
    <w:p w:rsidR="00F04EEF" w:rsidRDefault="0099351E">
      <w:pPr>
        <w:autoSpaceDE w:val="0"/>
        <w:autoSpaceDN w:val="0"/>
        <w:adjustRightInd w:val="0"/>
        <w:ind w:left="993" w:hanging="284"/>
        <w:jc w:val="both"/>
      </w:pPr>
      <w:r>
        <w:t xml:space="preserve">- </w:t>
      </w:r>
      <w:r>
        <w:tab/>
      </w:r>
      <w:hyperlink w:anchor="_Annexe_2_:_6" w:history="1">
        <w:r>
          <w:rPr>
            <w:rStyle w:val="Lienhypertexte"/>
            <w:rFonts w:cstheme="minorBidi"/>
            <w:color w:val="auto"/>
            <w:u w:val="none"/>
          </w:rPr>
          <w:t xml:space="preserve">en </w:t>
        </w:r>
        <w:r>
          <w:rPr>
            <w:rStyle w:val="Lienhypertexte"/>
          </w:rPr>
          <w:t>annexe 2</w:t>
        </w:r>
      </w:hyperlink>
      <w:r>
        <w:t xml:space="preserve"> pour les stages d’observation et d’initiation ;</w:t>
      </w:r>
    </w:p>
    <w:p w:rsidR="00F04EEF" w:rsidRDefault="0099351E">
      <w:pPr>
        <w:autoSpaceDE w:val="0"/>
        <w:autoSpaceDN w:val="0"/>
        <w:adjustRightInd w:val="0"/>
        <w:ind w:left="993" w:hanging="284"/>
        <w:jc w:val="both"/>
      </w:pPr>
      <w:r>
        <w:t xml:space="preserve">- </w:t>
      </w:r>
      <w:r>
        <w:tab/>
        <w:t xml:space="preserve">en </w:t>
      </w:r>
      <w:hyperlink w:anchor="_Annexe_4_:_6" w:history="1">
        <w:r>
          <w:rPr>
            <w:rStyle w:val="Lienhypertexte"/>
          </w:rPr>
          <w:t>annexe 4</w:t>
        </w:r>
      </w:hyperlink>
      <w:r>
        <w:t xml:space="preserve"> pour les stages de pratique accompagnée et pour les stages de pratique en responsabilité.</w:t>
      </w:r>
    </w:p>
    <w:p w:rsidR="00F04EEF" w:rsidRDefault="00F04EEF">
      <w:pPr>
        <w:autoSpaceDE w:val="0"/>
        <w:autoSpaceDN w:val="0"/>
        <w:adjustRightInd w:val="0"/>
      </w:pPr>
    </w:p>
    <w:p w:rsidR="00F04EEF" w:rsidRDefault="0099351E">
      <w:pPr>
        <w:autoSpaceDE w:val="0"/>
        <w:autoSpaceDN w:val="0"/>
        <w:adjustRightInd w:val="0"/>
        <w:jc w:val="both"/>
      </w:pPr>
      <w:r>
        <w:t>En début d’année scolaire, le chef d’établissement ou son délégué arrête le planning prévisionnel et les modalités d’organisation des stages après concertation au sein de l’organe de démocratie sociale compétent.</w:t>
      </w:r>
    </w:p>
    <w:p w:rsidR="00F04EEF" w:rsidRDefault="00F04EEF">
      <w:pPr>
        <w:autoSpaceDE w:val="0"/>
        <w:autoSpaceDN w:val="0"/>
        <w:adjustRightInd w:val="0"/>
        <w:jc w:val="both"/>
      </w:pPr>
    </w:p>
    <w:p w:rsidR="00F04EEF" w:rsidRDefault="0099351E">
      <w:pPr>
        <w:autoSpaceDE w:val="0"/>
        <w:autoSpaceDN w:val="0"/>
        <w:adjustRightInd w:val="0"/>
        <w:jc w:val="both"/>
      </w:pPr>
      <w:r>
        <w:t>Les stages ne sont pas inscrits dans la grille-horaire des élèves.</w:t>
      </w:r>
    </w:p>
    <w:p w:rsidR="00F04EEF" w:rsidRDefault="00F04EEF">
      <w:pPr>
        <w:autoSpaceDE w:val="0"/>
        <w:autoSpaceDN w:val="0"/>
        <w:adjustRightInd w:val="0"/>
        <w:jc w:val="both"/>
      </w:pPr>
    </w:p>
    <w:p w:rsidR="00F04EEF" w:rsidRDefault="0099351E">
      <w:pPr>
        <w:autoSpaceDE w:val="0"/>
        <w:autoSpaceDN w:val="0"/>
        <w:adjustRightInd w:val="0"/>
        <w:jc w:val="both"/>
      </w:pPr>
      <w:r>
        <w:t>Vu le niveau d’avancement dans les apprentissages qui est susceptible de varier fortement d’un élève à l’autre, le chef d’établissement peut décider, sur avis du conseil de classe, que tous les élèves ne seront pas mis en stage en même temps. Dans tous les cas, l’établissement doit permettre à tous les élèves d’acquérir les compétences et savoirs prévus dans les référentiels et programmes de tous les cours.</w:t>
      </w:r>
    </w:p>
    <w:p w:rsidR="00F04EEF" w:rsidRDefault="00F04EEF">
      <w:pPr>
        <w:autoSpaceDE w:val="0"/>
        <w:autoSpaceDN w:val="0"/>
        <w:adjustRightInd w:val="0"/>
        <w:jc w:val="both"/>
      </w:pPr>
    </w:p>
    <w:p w:rsidR="00F04EEF" w:rsidRDefault="0099351E">
      <w:pPr>
        <w:pStyle w:val="Titre4"/>
      </w:pPr>
      <w:bookmarkStart w:id="4101" w:name="_Toc414353011"/>
      <w:bookmarkStart w:id="4102" w:name="_Toc453837026"/>
      <w:r>
        <w:t>1.6. Le personnel enseignant déchargé de cours en raison de l’organisation des stages.</w:t>
      </w:r>
      <w:bookmarkEnd w:id="4101"/>
      <w:bookmarkEnd w:id="4102"/>
    </w:p>
    <w:p w:rsidR="00F04EEF" w:rsidRDefault="00F04EEF">
      <w:pPr>
        <w:autoSpaceDE w:val="0"/>
        <w:autoSpaceDN w:val="0"/>
        <w:adjustRightInd w:val="0"/>
      </w:pPr>
    </w:p>
    <w:p w:rsidR="00F04EEF" w:rsidRDefault="0099351E">
      <w:pPr>
        <w:autoSpaceDE w:val="0"/>
        <w:autoSpaceDN w:val="0"/>
        <w:adjustRightInd w:val="0"/>
        <w:jc w:val="both"/>
      </w:pPr>
      <w:r>
        <w:t>Dans la limite de leur horaire hebdomadaire habituel, le chef d’établissement peut charger les membres du personnel, déchargés de cours en raison de l’organisation des stages, de tâches éducatives et pédagogiques ou d’encadrement des élèves, telles que le remplacement de professeurs absents, la prise en charge d’activités de remédiation ou de dépassement, de surveillance, de prestations en médiathèque.</w:t>
      </w:r>
    </w:p>
    <w:p w:rsidR="00F04EEF" w:rsidRDefault="00F04EEF">
      <w:pPr>
        <w:autoSpaceDE w:val="0"/>
        <w:autoSpaceDN w:val="0"/>
        <w:adjustRightInd w:val="0"/>
      </w:pPr>
    </w:p>
    <w:p w:rsidR="00F04EEF" w:rsidRDefault="0099351E">
      <w:pPr>
        <w:pStyle w:val="Titre4"/>
      </w:pPr>
      <w:bookmarkStart w:id="4103" w:name="_Toc414353012"/>
      <w:bookmarkStart w:id="4104" w:name="_Toc453837027"/>
      <w:r>
        <w:t>1.7. Evaluation critériée des lieux de stage</w:t>
      </w:r>
      <w:bookmarkEnd w:id="4103"/>
      <w:bookmarkEnd w:id="4104"/>
    </w:p>
    <w:p w:rsidR="00F04EEF" w:rsidRDefault="00F04EEF">
      <w:pPr>
        <w:autoSpaceDE w:val="0"/>
        <w:autoSpaceDN w:val="0"/>
        <w:adjustRightInd w:val="0"/>
      </w:pPr>
    </w:p>
    <w:p w:rsidR="00F04EEF" w:rsidRDefault="0099351E">
      <w:pPr>
        <w:autoSpaceDE w:val="0"/>
        <w:autoSpaceDN w:val="0"/>
        <w:adjustRightInd w:val="0"/>
        <w:jc w:val="both"/>
      </w:pPr>
      <w:r>
        <w:t xml:space="preserve">L’évaluation des stages se fait au moyen de la grille critériée d’évaluation des lieux de stage figurant en </w:t>
      </w:r>
      <w:hyperlink w:anchor="_Annexe_6_:_" w:history="1">
        <w:r>
          <w:rPr>
            <w:rStyle w:val="Lienhypertexte"/>
          </w:rPr>
          <w:t>annexe 6</w:t>
        </w:r>
      </w:hyperlink>
      <w:r>
        <w:t>.</w:t>
      </w:r>
    </w:p>
    <w:p w:rsidR="00F04EEF" w:rsidRDefault="00F04EEF">
      <w:pPr>
        <w:autoSpaceDE w:val="0"/>
        <w:autoSpaceDN w:val="0"/>
        <w:adjustRightInd w:val="0"/>
        <w:jc w:val="both"/>
      </w:pPr>
    </w:p>
    <w:p w:rsidR="00F04EEF" w:rsidRDefault="0099351E">
      <w:pPr>
        <w:autoSpaceDE w:val="0"/>
        <w:autoSpaceDN w:val="0"/>
        <w:adjustRightInd w:val="0"/>
        <w:jc w:val="both"/>
      </w:pPr>
      <w:r>
        <w:t>Les établissements remplissent cette grille pour chaque lieu de stage avec la collaboration du ou des maître(s) de stage concerné(s). Ils la tiennent à la disposition du service de l’Inspection.</w:t>
      </w:r>
    </w:p>
    <w:p w:rsidR="00F04EEF" w:rsidRDefault="00F04EEF"/>
    <w:p w:rsidR="00F04EEF" w:rsidRDefault="0099351E">
      <w:pPr>
        <w:pStyle w:val="Titre4"/>
      </w:pPr>
      <w:bookmarkStart w:id="4105" w:name="_1.8._Durée_des"/>
      <w:bookmarkStart w:id="4106" w:name="_Toc414353013"/>
      <w:bookmarkStart w:id="4107" w:name="_Toc453837028"/>
      <w:bookmarkEnd w:id="4105"/>
      <w:r>
        <w:t>1.8. Durée des stages</w:t>
      </w:r>
      <w:bookmarkEnd w:id="4106"/>
      <w:bookmarkEnd w:id="4107"/>
    </w:p>
    <w:p w:rsidR="00F04EEF" w:rsidRDefault="00F04EEF">
      <w:pPr>
        <w:autoSpaceDE w:val="0"/>
        <w:autoSpaceDN w:val="0"/>
        <w:adjustRightInd w:val="0"/>
      </w:pPr>
    </w:p>
    <w:p w:rsidR="00F04EEF" w:rsidRDefault="0099351E">
      <w:pPr>
        <w:autoSpaceDE w:val="0"/>
        <w:autoSpaceDN w:val="0"/>
        <w:adjustRightInd w:val="0"/>
        <w:jc w:val="both"/>
      </w:pPr>
      <w:r>
        <w:t>Les stages d’observation et d’initiation ont une durée maximale de 15 jours ouvrables par année scolaire.</w:t>
      </w:r>
    </w:p>
    <w:p w:rsidR="00F04EEF" w:rsidRDefault="00F04EEF">
      <w:pPr>
        <w:autoSpaceDE w:val="0"/>
        <w:autoSpaceDN w:val="0"/>
        <w:adjustRightInd w:val="0"/>
        <w:jc w:val="both"/>
      </w:pPr>
    </w:p>
    <w:p w:rsidR="00F04EEF" w:rsidRDefault="0099351E">
      <w:pPr>
        <w:autoSpaceDE w:val="0"/>
        <w:autoSpaceDN w:val="0"/>
        <w:adjustRightInd w:val="0"/>
        <w:jc w:val="both"/>
      </w:pPr>
      <w:r>
        <w:t>Les stages de pratique accompagnée en 2</w:t>
      </w:r>
      <w:r>
        <w:rPr>
          <w:vertAlign w:val="superscript"/>
        </w:rPr>
        <w:t>ème</w:t>
      </w:r>
      <w:r>
        <w:t xml:space="preserve"> phase ont une durée minimale de 15 jours ouvrables et une durée maximale de 30 jours ouvrables au cours de la phase.</w:t>
      </w:r>
    </w:p>
    <w:p w:rsidR="00F04EEF" w:rsidRDefault="00F04EEF">
      <w:pPr>
        <w:autoSpaceDE w:val="0"/>
        <w:autoSpaceDN w:val="0"/>
        <w:adjustRightInd w:val="0"/>
        <w:jc w:val="both"/>
      </w:pPr>
    </w:p>
    <w:p w:rsidR="00F04EEF" w:rsidRDefault="0099351E">
      <w:pPr>
        <w:autoSpaceDE w:val="0"/>
        <w:autoSpaceDN w:val="0"/>
        <w:adjustRightInd w:val="0"/>
        <w:jc w:val="both"/>
      </w:pPr>
      <w:r>
        <w:t>Dans les formations pour lesquelles un profil de certification n’a pas encore été établi en application de l’article 47 du décret du 24 juillet 1997 définissant les missions prioritaires de l’enseignement fondamental et de l’enseignement secondaire et organisant les structures propres à les atteindre, les stages de pratique accompagnée et/ou de pratique en responsabilité en 3</w:t>
      </w:r>
      <w:r>
        <w:rPr>
          <w:vertAlign w:val="superscript"/>
        </w:rPr>
        <w:t>ème</w:t>
      </w:r>
      <w:r>
        <w:t xml:space="preserve"> phase ont une durée minimale de 30 jours ouvrables et une durée maximale de 40 jours ouvrables. Toutefois, si la 3</w:t>
      </w:r>
      <w:r>
        <w:rPr>
          <w:vertAlign w:val="superscript"/>
        </w:rPr>
        <w:t>ème</w:t>
      </w:r>
      <w:r>
        <w:t xml:space="preserve"> phase dépasse la durée d’une année scolaire, la durée des stages peut atteindre 75 jours ouvrables.</w:t>
      </w:r>
    </w:p>
    <w:p w:rsidR="00F04EEF" w:rsidRDefault="00F04EEF">
      <w:pPr>
        <w:autoSpaceDE w:val="0"/>
        <w:autoSpaceDN w:val="0"/>
        <w:adjustRightInd w:val="0"/>
        <w:jc w:val="both"/>
      </w:pPr>
    </w:p>
    <w:p w:rsidR="00F04EEF" w:rsidRDefault="0099351E">
      <w:pPr>
        <w:autoSpaceDE w:val="0"/>
        <w:autoSpaceDN w:val="0"/>
        <w:adjustRightInd w:val="0"/>
        <w:jc w:val="both"/>
      </w:pPr>
      <w:r>
        <w:t>En 3</w:t>
      </w:r>
      <w:r>
        <w:rPr>
          <w:vertAlign w:val="superscript"/>
        </w:rPr>
        <w:t>ème</w:t>
      </w:r>
      <w:r>
        <w:t xml:space="preserve"> phase, au moins deux stages doivent être organisés ; l’un d’eux doit comporter au moins 20 jours ouvrables consécutifs.</w:t>
      </w:r>
    </w:p>
    <w:p w:rsidR="00F04EEF" w:rsidRDefault="00F04EEF">
      <w:pPr>
        <w:autoSpaceDE w:val="0"/>
        <w:autoSpaceDN w:val="0"/>
        <w:adjustRightInd w:val="0"/>
        <w:jc w:val="both"/>
      </w:pPr>
    </w:p>
    <w:p w:rsidR="00F04EEF" w:rsidRDefault="0099351E">
      <w:pPr>
        <w:autoSpaceDE w:val="0"/>
        <w:autoSpaceDN w:val="0"/>
        <w:adjustRightInd w:val="0"/>
        <w:jc w:val="both"/>
      </w:pPr>
      <w:r>
        <w:t>La durée maximale des stages peut être dépassée sur proposition du conseil de classe et avis favorable de l’Inspection.</w:t>
      </w:r>
    </w:p>
    <w:p w:rsidR="00F04EEF" w:rsidRDefault="00F04EEF">
      <w:pPr>
        <w:autoSpaceDE w:val="0"/>
        <w:autoSpaceDN w:val="0"/>
        <w:adjustRightInd w:val="0"/>
      </w:pPr>
    </w:p>
    <w:p w:rsidR="00F04EEF" w:rsidRDefault="0099351E">
      <w:pPr>
        <w:pStyle w:val="Titre4"/>
      </w:pPr>
      <w:bookmarkStart w:id="4108" w:name="_Toc414353014"/>
      <w:bookmarkStart w:id="4109" w:name="_Toc453837029"/>
      <w:r>
        <w:t>1.9. Dispense de stage</w:t>
      </w:r>
      <w:bookmarkEnd w:id="4108"/>
      <w:bookmarkEnd w:id="4109"/>
    </w:p>
    <w:p w:rsidR="00F04EEF" w:rsidRDefault="00F04EEF">
      <w:pPr>
        <w:autoSpaceDE w:val="0"/>
        <w:autoSpaceDN w:val="0"/>
        <w:adjustRightInd w:val="0"/>
      </w:pPr>
    </w:p>
    <w:p w:rsidR="00F04EEF" w:rsidRDefault="0099351E">
      <w:pPr>
        <w:autoSpaceDE w:val="0"/>
        <w:autoSpaceDN w:val="0"/>
        <w:adjustRightInd w:val="0"/>
        <w:jc w:val="both"/>
      </w:pPr>
      <w:r>
        <w:t>Pour les formations dans lesquelles des stages ont été rendus obligatoires par le Gouvernement, le chef d’établissement dans l’enseignement organisé par la Fédération Wallonie-Bruxelles ou le Pouvoir organisateur dans l’enseignement subventionné par la Fédération Wallonie-Bruxelles peut introduire des demandes de dispense motivées par des raisons extérieures aux élèves eux-mêmes telles que le manque d’offre de stages et la grande difficulté de déplacement des élèves vers des lieux de stage. La demande peut porter sur une formation ou sur un nombre restreint d’élèves au sein d’une formation. La demande porte sur une année scolaire spécifique.</w:t>
      </w:r>
    </w:p>
    <w:p w:rsidR="00F04EEF" w:rsidRDefault="0099351E">
      <w:pPr>
        <w:autoSpaceDE w:val="0"/>
        <w:autoSpaceDN w:val="0"/>
        <w:adjustRightInd w:val="0"/>
        <w:jc w:val="both"/>
      </w:pPr>
      <w:r>
        <w:t xml:space="preserve">Cette demande doit être introduite au moyen de </w:t>
      </w:r>
      <w:hyperlink w:anchor="_Annexe_8_:_" w:history="1">
        <w:r>
          <w:rPr>
            <w:rStyle w:val="Lienhypertexte"/>
          </w:rPr>
          <w:t>l’annexe 8</w:t>
        </w:r>
      </w:hyperlink>
      <w:r>
        <w:t>.</w:t>
      </w:r>
    </w:p>
    <w:p w:rsidR="00F04EEF" w:rsidRDefault="0099351E">
      <w:pPr>
        <w:autoSpaceDE w:val="0"/>
        <w:autoSpaceDN w:val="0"/>
        <w:adjustRightInd w:val="0"/>
        <w:jc w:val="both"/>
      </w:pPr>
      <w:r>
        <w:t>Le conseil de classe prévoit des activités de remplacement pour les élèves dispensés.</w:t>
      </w:r>
    </w:p>
    <w:p w:rsidR="00F04EEF" w:rsidRDefault="0099351E">
      <w:pPr>
        <w:autoSpaceDE w:val="0"/>
        <w:autoSpaceDN w:val="0"/>
        <w:adjustRightInd w:val="0"/>
        <w:jc w:val="both"/>
      </w:pPr>
      <w:r>
        <w:t>Le service de l’Inspection peut être chargé d’une mission d’inspection concernant ces demandes.</w:t>
      </w:r>
    </w:p>
    <w:p w:rsidR="00F04EEF" w:rsidRDefault="00F04EEF">
      <w:pPr>
        <w:autoSpaceDE w:val="0"/>
        <w:autoSpaceDN w:val="0"/>
        <w:adjustRightInd w:val="0"/>
      </w:pPr>
    </w:p>
    <w:p w:rsidR="00F04EEF" w:rsidRDefault="0099351E">
      <w:pPr>
        <w:rPr>
          <w:b/>
          <w:u w:val="single"/>
        </w:rPr>
      </w:pPr>
      <w:bookmarkStart w:id="4110" w:name="_Toc414353015"/>
      <w:bookmarkStart w:id="4111" w:name="_Toc453837030"/>
      <w:r>
        <w:br w:type="page"/>
      </w:r>
    </w:p>
    <w:p w:rsidR="00F04EEF" w:rsidRDefault="0099351E">
      <w:pPr>
        <w:pStyle w:val="Titre4"/>
      </w:pPr>
      <w:bookmarkStart w:id="4112" w:name="_1.10._Liste_et"/>
      <w:bookmarkEnd w:id="4112"/>
      <w:r>
        <w:t>1.10. Liste et coordonnées des IPIEQ</w:t>
      </w:r>
      <w:bookmarkEnd w:id="4110"/>
      <w:bookmarkEnd w:id="4111"/>
    </w:p>
    <w:p w:rsidR="00F04EEF" w:rsidRDefault="00F04EEF">
      <w:pPr>
        <w:autoSpaceDE w:val="0"/>
        <w:autoSpaceDN w:val="0"/>
        <w:adjustRightInd w:val="0"/>
      </w:pPr>
    </w:p>
    <w:p w:rsidR="00F04EEF" w:rsidRDefault="0099351E">
      <w:pPr>
        <w:jc w:val="both"/>
      </w:pPr>
      <w:r>
        <w:rPr>
          <w:b/>
          <w:u w:val="single"/>
        </w:rPr>
        <w:t>Remarque :</w:t>
      </w:r>
      <w:r>
        <w:t xml:space="preserve"> </w:t>
      </w:r>
      <w:hyperlink w:anchor="_Annexe_7_:_" w:history="1">
        <w:r>
          <w:rPr>
            <w:rStyle w:val="Lienhypertexte"/>
            <w:rFonts w:cs="Arial"/>
          </w:rPr>
          <w:t>l’annexe 7</w:t>
        </w:r>
      </w:hyperlink>
      <w:r>
        <w:rPr>
          <w:rStyle w:val="Lienhypertexte"/>
          <w:rFonts w:cs="Arial"/>
          <w:u w:val="none"/>
        </w:rPr>
        <w:t xml:space="preserve"> </w:t>
      </w:r>
      <w:r>
        <w:t>doit être adressée au Président de l’instance concernée</w:t>
      </w:r>
    </w:p>
    <w:p w:rsidR="00F04EEF" w:rsidRDefault="0099351E">
      <w:pPr>
        <w:rPr>
          <w:color w:val="000000"/>
        </w:rPr>
      </w:pPr>
      <w:r>
        <w:rPr>
          <w:noProof/>
          <w:lang w:eastAsia="fr-BE"/>
        </w:rPr>
        <mc:AlternateContent>
          <mc:Choice Requires="wps">
            <w:drawing>
              <wp:anchor distT="0" distB="0" distL="114300" distR="114300" simplePos="0" relativeHeight="252354560" behindDoc="0" locked="0" layoutInCell="1" allowOverlap="1">
                <wp:simplePos x="0" y="0"/>
                <wp:positionH relativeFrom="column">
                  <wp:posOffset>6348095</wp:posOffset>
                </wp:positionH>
                <wp:positionV relativeFrom="paragraph">
                  <wp:posOffset>5978525</wp:posOffset>
                </wp:positionV>
                <wp:extent cx="0" cy="742950"/>
                <wp:effectExtent l="0" t="0" r="19050" b="19050"/>
                <wp:wrapNone/>
                <wp:docPr id="583" name="Connecteur droit 583"/>
                <wp:cNvGraphicFramePr/>
                <a:graphic xmlns:a="http://schemas.openxmlformats.org/drawingml/2006/main">
                  <a:graphicData uri="http://schemas.microsoft.com/office/word/2010/wordprocessingShape">
                    <wps:wsp>
                      <wps:cNvCnPr/>
                      <wps:spPr>
                        <a:xfrm>
                          <a:off x="0" y="0"/>
                          <a:ext cx="0" cy="742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79D11CB" id="Connecteur droit 583" o:spid="_x0000_s1026" style="position:absolute;z-index:25235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85pt,470.75pt" to="499.85pt,5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" strokecolor="black [3213]"/>
            </w:pict>
          </mc:Fallback>
        </mc:AlternateContent>
      </w:r>
      <w:r>
        <w:rPr>
          <w:noProof/>
          <w:lang w:eastAsia="fr-BE"/>
        </w:rPr>
        <mc:AlternateContent>
          <mc:Choice Requires="wps">
            <w:drawing>
              <wp:anchor distT="0" distB="0" distL="114300" distR="114300" simplePos="0" relativeHeight="252352512" behindDoc="0" locked="0" layoutInCell="1" allowOverlap="1">
                <wp:simplePos x="0" y="0"/>
                <wp:positionH relativeFrom="column">
                  <wp:posOffset>6348095</wp:posOffset>
                </wp:positionH>
                <wp:positionV relativeFrom="paragraph">
                  <wp:posOffset>4559300</wp:posOffset>
                </wp:positionV>
                <wp:extent cx="0" cy="742950"/>
                <wp:effectExtent l="0" t="0" r="19050" b="19050"/>
                <wp:wrapNone/>
                <wp:docPr id="582" name="Connecteur droit 582"/>
                <wp:cNvGraphicFramePr/>
                <a:graphic xmlns:a="http://schemas.openxmlformats.org/drawingml/2006/main">
                  <a:graphicData uri="http://schemas.microsoft.com/office/word/2010/wordprocessingShape">
                    <wps:wsp>
                      <wps:cNvCnPr/>
                      <wps:spPr>
                        <a:xfrm>
                          <a:off x="0" y="0"/>
                          <a:ext cx="0" cy="742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15135DF" id="Connecteur droit 582" o:spid="_x0000_s1026" style="position:absolute;z-index:25235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85pt,359pt" to="499.85pt,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" strokecolor="black [3213]"/>
            </w:pict>
          </mc:Fallback>
        </mc:AlternateContent>
      </w:r>
      <w:r>
        <w:rPr>
          <w:noProof/>
          <w:lang w:eastAsia="fr-BE"/>
        </w:rPr>
        <mc:AlternateContent>
          <mc:Choice Requires="wps">
            <w:drawing>
              <wp:anchor distT="0" distB="0" distL="114300" distR="114300" simplePos="0" relativeHeight="252350464" behindDoc="0" locked="0" layoutInCell="1" allowOverlap="1">
                <wp:simplePos x="0" y="0"/>
                <wp:positionH relativeFrom="column">
                  <wp:posOffset>6348095</wp:posOffset>
                </wp:positionH>
                <wp:positionV relativeFrom="paragraph">
                  <wp:posOffset>3292475</wp:posOffset>
                </wp:positionV>
                <wp:extent cx="0" cy="742950"/>
                <wp:effectExtent l="0" t="0" r="19050" b="19050"/>
                <wp:wrapNone/>
                <wp:docPr id="581" name="Connecteur droit 581"/>
                <wp:cNvGraphicFramePr/>
                <a:graphic xmlns:a="http://schemas.openxmlformats.org/drawingml/2006/main">
                  <a:graphicData uri="http://schemas.microsoft.com/office/word/2010/wordprocessingShape">
                    <wps:wsp>
                      <wps:cNvCnPr/>
                      <wps:spPr>
                        <a:xfrm>
                          <a:off x="0" y="0"/>
                          <a:ext cx="0" cy="742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2A727F6" id="Connecteur droit 581" o:spid="_x0000_s1026" style="position:absolute;z-index:25235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85pt,259.25pt" to="499.85pt,3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" strokecolor="black [3213]"/>
            </w:pict>
          </mc:Fallback>
        </mc:AlternateContent>
      </w:r>
      <w:r>
        <w:rPr>
          <w:noProof/>
          <w:lang w:eastAsia="fr-BE"/>
        </w:rPr>
        <mc:AlternateContent>
          <mc:Choice Requires="wps">
            <w:drawing>
              <wp:anchor distT="0" distB="0" distL="114300" distR="114300" simplePos="0" relativeHeight="252348416" behindDoc="0" locked="0" layoutInCell="1" allowOverlap="1">
                <wp:simplePos x="0" y="0"/>
                <wp:positionH relativeFrom="column">
                  <wp:posOffset>6348095</wp:posOffset>
                </wp:positionH>
                <wp:positionV relativeFrom="paragraph">
                  <wp:posOffset>2006600</wp:posOffset>
                </wp:positionV>
                <wp:extent cx="0" cy="742950"/>
                <wp:effectExtent l="0" t="0" r="19050" b="19050"/>
                <wp:wrapNone/>
                <wp:docPr id="580" name="Connecteur droit 580"/>
                <wp:cNvGraphicFramePr/>
                <a:graphic xmlns:a="http://schemas.openxmlformats.org/drawingml/2006/main">
                  <a:graphicData uri="http://schemas.microsoft.com/office/word/2010/wordprocessingShape">
                    <wps:wsp>
                      <wps:cNvCnPr/>
                      <wps:spPr>
                        <a:xfrm>
                          <a:off x="0" y="0"/>
                          <a:ext cx="0" cy="742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BBC9433" id="Connecteur droit 580" o:spid="_x0000_s1026" style="position:absolute;z-index:25234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85pt,158pt" to="499.85pt,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" strokecolor="black [3213]"/>
            </w:pict>
          </mc:Fallback>
        </mc:AlternateContent>
      </w:r>
      <w:r>
        <w:rPr>
          <w:noProof/>
          <w:lang w:eastAsia="fr-BE"/>
        </w:rPr>
        <mc:AlternateContent>
          <mc:Choice Requires="wps">
            <w:drawing>
              <wp:anchor distT="0" distB="0" distL="114300" distR="114300" simplePos="0" relativeHeight="252346368" behindDoc="0" locked="0" layoutInCell="1" allowOverlap="1">
                <wp:simplePos x="0" y="0"/>
                <wp:positionH relativeFrom="column">
                  <wp:posOffset>6348095</wp:posOffset>
                </wp:positionH>
                <wp:positionV relativeFrom="paragraph">
                  <wp:posOffset>720725</wp:posOffset>
                </wp:positionV>
                <wp:extent cx="0" cy="742950"/>
                <wp:effectExtent l="0" t="0" r="19050" b="19050"/>
                <wp:wrapNone/>
                <wp:docPr id="579" name="Connecteur droit 579"/>
                <wp:cNvGraphicFramePr/>
                <a:graphic xmlns:a="http://schemas.openxmlformats.org/drawingml/2006/main">
                  <a:graphicData uri="http://schemas.microsoft.com/office/word/2010/wordprocessingShape">
                    <wps:wsp>
                      <wps:cNvCnPr/>
                      <wps:spPr>
                        <a:xfrm>
                          <a:off x="0" y="0"/>
                          <a:ext cx="0" cy="742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F8E4528" id="Connecteur droit 579" o:spid="_x0000_s1026" style="position:absolute;z-index:25234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85pt,56.75pt" to="499.85pt,1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4668"/>
      </w:tblGrid>
      <w:tr w:rsidR="00F04EEF">
        <w:tc>
          <w:tcPr>
            <w:tcW w:w="4756" w:type="dxa"/>
          </w:tcPr>
          <w:p w:rsidR="00F04EEF" w:rsidRDefault="0099351E">
            <w:pPr>
              <w:pBdr>
                <w:right w:val="single" w:sz="18" w:space="4" w:color="auto"/>
              </w:pBdr>
              <w:jc w:val="center"/>
            </w:pPr>
            <w:r>
              <w:t>IPIEQ 1 - Instance de Pilotage Inter-réseaux de l'Enseignement Qualifiant de la zone de Bruxelles-Capitale</w:t>
            </w:r>
          </w:p>
          <w:p w:rsidR="00F04EEF" w:rsidRDefault="0099351E">
            <w:pPr>
              <w:pBdr>
                <w:right w:val="single" w:sz="18" w:space="4" w:color="auto"/>
              </w:pBdr>
              <w:jc w:val="center"/>
            </w:pPr>
            <w:r>
              <w:rPr>
                <w:color w:val="000000"/>
              </w:rPr>
              <w:t>Avenue de l' Astronomie, 14</w:t>
            </w:r>
            <w:r>
              <w:br/>
              <w:t>1210 Bruxelles</w:t>
            </w:r>
          </w:p>
          <w:p w:rsidR="00F04EEF" w:rsidRDefault="0099351E">
            <w:pPr>
              <w:pBdr>
                <w:right w:val="single" w:sz="18" w:space="4" w:color="auto"/>
              </w:pBdr>
              <w:jc w:val="center"/>
              <w:rPr>
                <w:color w:val="000000"/>
              </w:rPr>
            </w:pPr>
            <w:r>
              <w:rPr>
                <w:color w:val="000000"/>
              </w:rPr>
              <w:t>+32(0)2 371 76.83</w:t>
            </w:r>
          </w:p>
          <w:p w:rsidR="00F04EEF" w:rsidRDefault="00F42422">
            <w:pPr>
              <w:pBdr>
                <w:right w:val="single" w:sz="18" w:space="4" w:color="auto"/>
              </w:pBdr>
              <w:jc w:val="center"/>
              <w:rPr>
                <w:color w:val="000000"/>
              </w:rPr>
            </w:pPr>
            <w:hyperlink r:id="rId346" w:history="1">
              <w:r w:rsidR="0099351E">
                <w:rPr>
                  <w:rStyle w:val="Lienhypertexte"/>
                </w:rPr>
                <w:t>denis.baton@cfwb.be</w:t>
              </w:r>
            </w:hyperlink>
          </w:p>
        </w:tc>
        <w:tc>
          <w:tcPr>
            <w:tcW w:w="4756" w:type="dxa"/>
          </w:tcPr>
          <w:p w:rsidR="00F04EEF" w:rsidRDefault="0099351E">
            <w:pPr>
              <w:pBdr>
                <w:right w:val="single" w:sz="18" w:space="4" w:color="auto"/>
              </w:pBdr>
              <w:jc w:val="center"/>
            </w:pPr>
            <w:r>
              <w:t>IPIEQ 2 - Instance de Pilotage Inter-réseaux de l'Enseignement Qualifiant de la zone du Brabant wallon</w:t>
            </w:r>
          </w:p>
          <w:p w:rsidR="00F04EEF" w:rsidRDefault="0099351E">
            <w:pPr>
              <w:pBdr>
                <w:right w:val="single" w:sz="18" w:space="4" w:color="auto"/>
              </w:pBdr>
              <w:jc w:val="center"/>
            </w:pPr>
            <w:r>
              <w:rPr>
                <w:color w:val="000000"/>
              </w:rPr>
              <w:t>Avenue Robert Schuman, 10</w:t>
            </w:r>
            <w:r>
              <w:br/>
              <w:t>1400 Nivelles</w:t>
            </w:r>
          </w:p>
          <w:p w:rsidR="00F04EEF" w:rsidRDefault="0099351E">
            <w:pPr>
              <w:pBdr>
                <w:right w:val="single" w:sz="18" w:space="4" w:color="auto"/>
              </w:pBdr>
              <w:jc w:val="center"/>
              <w:rPr>
                <w:color w:val="000000"/>
              </w:rPr>
            </w:pPr>
            <w:r>
              <w:rPr>
                <w:color w:val="000000"/>
              </w:rPr>
              <w:t xml:space="preserve">+32(0)67.79.49.84 </w:t>
            </w:r>
          </w:p>
          <w:p w:rsidR="00F04EEF" w:rsidRDefault="0099351E">
            <w:pPr>
              <w:pBdr>
                <w:right w:val="single" w:sz="18" w:space="4" w:color="auto"/>
              </w:pBdr>
              <w:jc w:val="center"/>
              <w:rPr>
                <w:color w:val="000000"/>
              </w:rPr>
            </w:pPr>
            <w:r>
              <w:rPr>
                <w:color w:val="000000"/>
              </w:rPr>
              <w:t>+32(0)477.95.33.34</w:t>
            </w:r>
          </w:p>
          <w:p w:rsidR="00F04EEF" w:rsidRDefault="00F42422">
            <w:pPr>
              <w:pBdr>
                <w:right w:val="single" w:sz="18" w:space="4" w:color="auto"/>
              </w:pBdr>
              <w:jc w:val="center"/>
              <w:rPr>
                <w:color w:val="000000"/>
              </w:rPr>
            </w:pPr>
            <w:hyperlink r:id="rId347" w:history="1">
              <w:r w:rsidR="0099351E">
                <w:rPr>
                  <w:rStyle w:val="Lienhypertexte"/>
                  <w:color w:val="0563C1"/>
                </w:rPr>
                <w:t>elodie.warnier@cfwb.be</w:t>
              </w:r>
            </w:hyperlink>
          </w:p>
        </w:tc>
      </w:tr>
      <w:tr w:rsidR="00F04EEF">
        <w:tc>
          <w:tcPr>
            <w:tcW w:w="4756" w:type="dxa"/>
          </w:tcPr>
          <w:p w:rsidR="00F04EEF" w:rsidRDefault="0099351E">
            <w:pPr>
              <w:pBdr>
                <w:right w:val="single" w:sz="18" w:space="4" w:color="auto"/>
              </w:pBdr>
              <w:jc w:val="center"/>
            </w:pPr>
            <w:r>
              <w:t>IPIEQ 3 - Instance de Pilotage Inter-réseaux de l'Enseignement Qualifiant de la zone de Huy-Waremme</w:t>
            </w:r>
          </w:p>
          <w:p w:rsidR="00F04EEF" w:rsidRDefault="0099351E">
            <w:pPr>
              <w:pBdr>
                <w:right w:val="single" w:sz="18" w:space="4" w:color="auto"/>
              </w:pBdr>
              <w:jc w:val="center"/>
            </w:pPr>
            <w:r>
              <w:t>103 rue des Saules</w:t>
            </w:r>
            <w:r>
              <w:br/>
              <w:t>4500 Huy</w:t>
            </w:r>
          </w:p>
          <w:p w:rsidR="00F04EEF" w:rsidRDefault="0099351E">
            <w:pPr>
              <w:pBdr>
                <w:right w:val="single" w:sz="18" w:space="4" w:color="auto"/>
              </w:pBdr>
              <w:jc w:val="center"/>
            </w:pPr>
            <w:r>
              <w:t>+32(0)85 27 08 06</w:t>
            </w:r>
          </w:p>
          <w:p w:rsidR="00F04EEF" w:rsidRDefault="0099351E">
            <w:pPr>
              <w:pBdr>
                <w:right w:val="single" w:sz="18" w:space="4" w:color="auto"/>
              </w:pBdr>
              <w:jc w:val="center"/>
              <w:rPr>
                <w:color w:val="000000"/>
              </w:rPr>
            </w:pPr>
            <w:r>
              <w:rPr>
                <w:color w:val="000000"/>
              </w:rPr>
              <w:t>+32(0)473 37 56 72</w:t>
            </w:r>
          </w:p>
          <w:p w:rsidR="00F04EEF" w:rsidRDefault="0099351E">
            <w:pPr>
              <w:pBdr>
                <w:right w:val="single" w:sz="18" w:space="4" w:color="auto"/>
              </w:pBdr>
              <w:jc w:val="center"/>
              <w:rPr>
                <w:color w:val="000000"/>
              </w:rPr>
            </w:pPr>
            <w:r>
              <w:rPr>
                <w:color w:val="3366FF"/>
                <w:u w:val="single"/>
                <w:lang w:eastAsia="fr-BE"/>
              </w:rPr>
              <w:t>sebastien.zanussi@cfwb.be</w:t>
            </w:r>
          </w:p>
        </w:tc>
        <w:tc>
          <w:tcPr>
            <w:tcW w:w="4756" w:type="dxa"/>
          </w:tcPr>
          <w:p w:rsidR="00F04EEF" w:rsidRDefault="0099351E">
            <w:pPr>
              <w:pBdr>
                <w:right w:val="single" w:sz="18" w:space="4" w:color="auto"/>
              </w:pBdr>
              <w:jc w:val="center"/>
            </w:pPr>
            <w:r>
              <w:t>IPIEQ 4 - Instance de Pilotage Inter-réseaux de l'Enseignement Qualifiant de la zone de Liège</w:t>
            </w:r>
          </w:p>
          <w:p w:rsidR="00F04EEF" w:rsidRDefault="0099351E">
            <w:pPr>
              <w:pBdr>
                <w:right w:val="single" w:sz="18" w:space="4" w:color="auto"/>
              </w:pBdr>
              <w:jc w:val="center"/>
            </w:pPr>
            <w:r>
              <w:t>4 quai Banning</w:t>
            </w:r>
            <w:r>
              <w:br/>
              <w:t>4000 Liège</w:t>
            </w:r>
          </w:p>
          <w:p w:rsidR="00F04EEF" w:rsidRDefault="0099351E">
            <w:pPr>
              <w:pBdr>
                <w:right w:val="single" w:sz="18" w:space="4" w:color="auto"/>
              </w:pBdr>
              <w:jc w:val="center"/>
            </w:pPr>
            <w:r>
              <w:t xml:space="preserve">+32(0)4 </w:t>
            </w:r>
            <w:r>
              <w:rPr>
                <w:color w:val="000000"/>
              </w:rPr>
              <w:t>229.12.09</w:t>
            </w:r>
          </w:p>
          <w:p w:rsidR="00F04EEF" w:rsidRDefault="0099351E">
            <w:pPr>
              <w:pBdr>
                <w:right w:val="single" w:sz="18" w:space="4" w:color="auto"/>
              </w:pBdr>
              <w:jc w:val="center"/>
              <w:rPr>
                <w:color w:val="000000"/>
              </w:rPr>
            </w:pPr>
            <w:r>
              <w:rPr>
                <w:color w:val="000000"/>
              </w:rPr>
              <w:t>+32(0) 492.14.03.82</w:t>
            </w:r>
          </w:p>
          <w:p w:rsidR="00F04EEF" w:rsidRDefault="00F42422">
            <w:pPr>
              <w:jc w:val="center"/>
            </w:pPr>
            <w:hyperlink r:id="rId348" w:history="1">
              <w:r w:rsidR="0099351E">
                <w:rPr>
                  <w:rStyle w:val="Lienhypertexte"/>
                  <w:color w:val="0563C1"/>
                </w:rPr>
                <w:t>christine.petit-jean@cfwb.be</w:t>
              </w:r>
            </w:hyperlink>
          </w:p>
          <w:p w:rsidR="00F04EEF" w:rsidRDefault="00F04EEF">
            <w:pPr>
              <w:pBdr>
                <w:right w:val="single" w:sz="18" w:space="4" w:color="auto"/>
              </w:pBdr>
              <w:jc w:val="center"/>
              <w:rPr>
                <w:color w:val="000000"/>
              </w:rPr>
            </w:pPr>
          </w:p>
        </w:tc>
      </w:tr>
      <w:tr w:rsidR="00F04EEF">
        <w:tc>
          <w:tcPr>
            <w:tcW w:w="4756" w:type="dxa"/>
          </w:tcPr>
          <w:p w:rsidR="00F04EEF" w:rsidRDefault="0099351E">
            <w:pPr>
              <w:pBdr>
                <w:right w:val="single" w:sz="18" w:space="4" w:color="auto"/>
              </w:pBdr>
              <w:jc w:val="center"/>
            </w:pPr>
            <w:r>
              <w:t>IPIEQ 5 - Instance de Pilotage Inter-réseaux de l'Enseignement Qualifiant de la zone de Verviers</w:t>
            </w:r>
          </w:p>
          <w:p w:rsidR="00F04EEF" w:rsidRDefault="0099351E">
            <w:pPr>
              <w:pBdr>
                <w:right w:val="single" w:sz="18" w:space="4" w:color="auto"/>
              </w:pBdr>
              <w:jc w:val="center"/>
            </w:pPr>
            <w:r>
              <w:t>29 place Verte</w:t>
            </w:r>
            <w:r>
              <w:br/>
              <w:t>4800 Verviers</w:t>
            </w:r>
          </w:p>
          <w:p w:rsidR="00F04EEF" w:rsidRDefault="0099351E">
            <w:pPr>
              <w:pBdr>
                <w:right w:val="single" w:sz="18" w:space="4" w:color="auto"/>
              </w:pBdr>
              <w:jc w:val="center"/>
              <w:rPr>
                <w:color w:val="000000"/>
              </w:rPr>
            </w:pPr>
            <w:r>
              <w:rPr>
                <w:color w:val="000000"/>
              </w:rPr>
              <w:t>+32(0)87 32 59 80</w:t>
            </w:r>
          </w:p>
          <w:p w:rsidR="00F04EEF" w:rsidRDefault="00F42422">
            <w:pPr>
              <w:pBdr>
                <w:right w:val="single" w:sz="18" w:space="4" w:color="auto"/>
              </w:pBdr>
              <w:jc w:val="center"/>
            </w:pPr>
            <w:hyperlink r:id="rId349" w:history="1">
              <w:r w:rsidR="0099351E">
                <w:rPr>
                  <w:rStyle w:val="Lienhypertexte"/>
                  <w:color w:val="0563C1"/>
                </w:rPr>
                <w:t>yana.charlier@cfwb.be</w:t>
              </w:r>
            </w:hyperlink>
          </w:p>
        </w:tc>
        <w:tc>
          <w:tcPr>
            <w:tcW w:w="4756" w:type="dxa"/>
          </w:tcPr>
          <w:p w:rsidR="00F04EEF" w:rsidRDefault="0099351E">
            <w:pPr>
              <w:pBdr>
                <w:right w:val="single" w:sz="18" w:space="4" w:color="auto"/>
              </w:pBdr>
              <w:jc w:val="center"/>
            </w:pPr>
            <w:r>
              <w:t>IPIEQ 6 - Instance de Pilotage Inter-réseaux de l'Enseignement Qualifiant de la zone de Namur</w:t>
            </w:r>
          </w:p>
          <w:p w:rsidR="00F04EEF" w:rsidRDefault="0099351E">
            <w:pPr>
              <w:pBdr>
                <w:right w:val="single" w:sz="18" w:space="4" w:color="auto"/>
              </w:pBdr>
              <w:jc w:val="center"/>
            </w:pPr>
            <w:r>
              <w:rPr>
                <w:color w:val="000000"/>
              </w:rPr>
              <w:t>Boulevard du Nord, 14 </w:t>
            </w:r>
            <w:r>
              <w:br/>
              <w:t>5000 Namur</w:t>
            </w:r>
          </w:p>
          <w:p w:rsidR="00F04EEF" w:rsidRDefault="0099351E">
            <w:pPr>
              <w:pBdr>
                <w:right w:val="single" w:sz="18" w:space="4" w:color="auto"/>
              </w:pBdr>
              <w:jc w:val="center"/>
              <w:rPr>
                <w:color w:val="000000"/>
              </w:rPr>
            </w:pPr>
            <w:r>
              <w:rPr>
                <w:color w:val="000000"/>
              </w:rPr>
              <w:t>+32(0)81 24.95.58</w:t>
            </w:r>
          </w:p>
          <w:p w:rsidR="00F04EEF" w:rsidRDefault="0099351E">
            <w:pPr>
              <w:pBdr>
                <w:right w:val="single" w:sz="18" w:space="4" w:color="auto"/>
              </w:pBdr>
              <w:jc w:val="center"/>
              <w:rPr>
                <w:color w:val="000000"/>
              </w:rPr>
            </w:pPr>
            <w:r>
              <w:rPr>
                <w:color w:val="000000"/>
              </w:rPr>
              <w:t>+32 (0)492.14.47.08</w:t>
            </w:r>
          </w:p>
          <w:p w:rsidR="00F04EEF" w:rsidRDefault="00F42422">
            <w:pPr>
              <w:pBdr>
                <w:right w:val="single" w:sz="18" w:space="4" w:color="auto"/>
              </w:pBdr>
              <w:jc w:val="center"/>
            </w:pPr>
            <w:hyperlink r:id="rId350" w:history="1">
              <w:r w:rsidR="0099351E">
                <w:rPr>
                  <w:rStyle w:val="Lienhypertexte"/>
                  <w:color w:val="0563C1"/>
                </w:rPr>
                <w:t xml:space="preserve">laurie.martin@cfwb.be </w:t>
              </w:r>
            </w:hyperlink>
          </w:p>
        </w:tc>
      </w:tr>
      <w:tr w:rsidR="00F04EEF">
        <w:tc>
          <w:tcPr>
            <w:tcW w:w="4756" w:type="dxa"/>
          </w:tcPr>
          <w:p w:rsidR="00F04EEF" w:rsidRDefault="0099351E">
            <w:pPr>
              <w:pBdr>
                <w:right w:val="single" w:sz="18" w:space="4" w:color="auto"/>
              </w:pBdr>
              <w:jc w:val="center"/>
            </w:pPr>
            <w:r>
              <w:t>IPIEQ 7 - Instance de Pilotage Inter-réseaux de l'Enseignement Qualifiant de la zone du Luxembourg</w:t>
            </w:r>
          </w:p>
          <w:p w:rsidR="00F04EEF" w:rsidRDefault="0099351E">
            <w:pPr>
              <w:pBdr>
                <w:right w:val="single" w:sz="18" w:space="4" w:color="auto"/>
              </w:pBdr>
              <w:jc w:val="center"/>
            </w:pPr>
            <w:r>
              <w:t>79 rue des Déportés bte 3</w:t>
            </w:r>
            <w:r>
              <w:br/>
              <w:t>6700 Arlon</w:t>
            </w:r>
          </w:p>
          <w:p w:rsidR="00F04EEF" w:rsidRDefault="0099351E">
            <w:pPr>
              <w:pBdr>
                <w:right w:val="single" w:sz="18" w:space="4" w:color="auto"/>
              </w:pBdr>
              <w:jc w:val="center"/>
              <w:rPr>
                <w:color w:val="000000"/>
              </w:rPr>
            </w:pPr>
            <w:r>
              <w:rPr>
                <w:color w:val="000000"/>
              </w:rPr>
              <w:t>+32(0) 63.24.25.37</w:t>
            </w:r>
          </w:p>
          <w:p w:rsidR="00F04EEF" w:rsidRDefault="0099351E">
            <w:pPr>
              <w:pBdr>
                <w:right w:val="single" w:sz="18" w:space="4" w:color="auto"/>
              </w:pBdr>
              <w:jc w:val="center"/>
              <w:rPr>
                <w:color w:val="000000"/>
              </w:rPr>
            </w:pPr>
            <w:r>
              <w:rPr>
                <w:color w:val="000000"/>
              </w:rPr>
              <w:t>+32(0) 492.14.47.09 </w:t>
            </w:r>
          </w:p>
          <w:p w:rsidR="00F04EEF" w:rsidRDefault="00F42422">
            <w:pPr>
              <w:pBdr>
                <w:right w:val="single" w:sz="18" w:space="4" w:color="auto"/>
              </w:pBdr>
              <w:jc w:val="center"/>
            </w:pPr>
            <w:hyperlink r:id="rId351" w:history="1">
              <w:r w:rsidR="0099351E">
                <w:rPr>
                  <w:rStyle w:val="Lienhypertexte"/>
                  <w:color w:val="0563C1"/>
                </w:rPr>
                <w:t>dina.petit@cfwb.be</w:t>
              </w:r>
            </w:hyperlink>
          </w:p>
        </w:tc>
        <w:tc>
          <w:tcPr>
            <w:tcW w:w="4756" w:type="dxa"/>
          </w:tcPr>
          <w:p w:rsidR="00F04EEF" w:rsidRDefault="0099351E">
            <w:pPr>
              <w:pBdr>
                <w:right w:val="single" w:sz="18" w:space="4" w:color="auto"/>
              </w:pBdr>
              <w:jc w:val="center"/>
            </w:pPr>
            <w:r>
              <w:t>IPIEQ 8 - Instance de Pilotage Inter-réseaux de l'Enseignement Qualifiant de la zone du Hainaut occidental</w:t>
            </w:r>
          </w:p>
          <w:p w:rsidR="00F04EEF" w:rsidRDefault="0099351E">
            <w:pPr>
              <w:pBdr>
                <w:right w:val="single" w:sz="18" w:space="4" w:color="auto"/>
              </w:pBdr>
              <w:jc w:val="center"/>
            </w:pPr>
            <w:r>
              <w:rPr>
                <w:color w:val="000000"/>
              </w:rPr>
              <w:t>Rue du Moulin de Marvis, 7-9</w:t>
            </w:r>
            <w:r>
              <w:br/>
              <w:t>7500 Tournai</w:t>
            </w:r>
          </w:p>
          <w:p w:rsidR="00F04EEF" w:rsidRDefault="0099351E">
            <w:pPr>
              <w:pBdr>
                <w:right w:val="single" w:sz="18" w:space="4" w:color="auto"/>
              </w:pBdr>
              <w:jc w:val="center"/>
              <w:rPr>
                <w:color w:val="000000"/>
              </w:rPr>
            </w:pPr>
            <w:r>
              <w:rPr>
                <w:color w:val="000000"/>
              </w:rPr>
              <w:t>+32(0) 69.88.16.33</w:t>
            </w:r>
          </w:p>
          <w:p w:rsidR="00F04EEF" w:rsidRDefault="0099351E">
            <w:pPr>
              <w:pBdr>
                <w:right w:val="single" w:sz="18" w:space="4" w:color="auto"/>
              </w:pBdr>
              <w:jc w:val="center"/>
              <w:rPr>
                <w:color w:val="000000"/>
              </w:rPr>
            </w:pPr>
            <w:r>
              <w:rPr>
                <w:color w:val="000000"/>
              </w:rPr>
              <w:t>+32(0) 492.14.61.66</w:t>
            </w:r>
          </w:p>
          <w:p w:rsidR="00F04EEF" w:rsidRDefault="00F42422">
            <w:pPr>
              <w:pBdr>
                <w:right w:val="single" w:sz="18" w:space="4" w:color="auto"/>
              </w:pBdr>
              <w:jc w:val="center"/>
            </w:pPr>
            <w:hyperlink r:id="rId352" w:history="1">
              <w:r w:rsidR="0099351E">
                <w:rPr>
                  <w:rStyle w:val="Lienhypertexte"/>
                  <w:color w:val="0563C1"/>
                </w:rPr>
                <w:t>damien.gillot@cfwb.be</w:t>
              </w:r>
            </w:hyperlink>
          </w:p>
        </w:tc>
      </w:tr>
      <w:tr w:rsidR="00F04EEF">
        <w:tc>
          <w:tcPr>
            <w:tcW w:w="4756" w:type="dxa"/>
          </w:tcPr>
          <w:p w:rsidR="00F04EEF" w:rsidRDefault="0099351E">
            <w:pPr>
              <w:pBdr>
                <w:right w:val="single" w:sz="18" w:space="4" w:color="auto"/>
              </w:pBdr>
              <w:jc w:val="center"/>
            </w:pPr>
            <w:r>
              <w:t>IPIEQ 9 - Instance de Pilotage Inter-réseaux de l'Enseignement Qualifiant de la zone de Mons – Centre</w:t>
            </w:r>
          </w:p>
          <w:p w:rsidR="00F04EEF" w:rsidRDefault="0099351E">
            <w:pPr>
              <w:pBdr>
                <w:right w:val="single" w:sz="18" w:space="4" w:color="auto"/>
              </w:pBdr>
              <w:jc w:val="center"/>
              <w:rPr>
                <w:lang w:val="en-US"/>
              </w:rPr>
            </w:pPr>
            <w:r>
              <w:rPr>
                <w:lang w:val="en-US"/>
              </w:rPr>
              <w:t>6 square Roosevelt</w:t>
            </w:r>
            <w:r>
              <w:rPr>
                <w:lang w:val="en-US"/>
              </w:rPr>
              <w:br/>
              <w:t>7000 Mons</w:t>
            </w:r>
          </w:p>
          <w:p w:rsidR="00F04EEF" w:rsidRDefault="0099351E">
            <w:pPr>
              <w:pBdr>
                <w:right w:val="single" w:sz="18" w:space="4" w:color="auto"/>
              </w:pBdr>
              <w:jc w:val="center"/>
              <w:rPr>
                <w:color w:val="000000"/>
                <w:lang w:val="en-US"/>
              </w:rPr>
            </w:pPr>
            <w:r>
              <w:rPr>
                <w:color w:val="000000"/>
                <w:lang w:val="en-US"/>
              </w:rPr>
              <w:t>+32(0)</w:t>
            </w:r>
            <w:r>
              <w:rPr>
                <w:color w:val="000000"/>
                <w:lang w:val="nl-BE"/>
              </w:rPr>
              <w:t xml:space="preserve"> 65.40.93.41</w:t>
            </w:r>
          </w:p>
          <w:p w:rsidR="00F04EEF" w:rsidRDefault="0099351E">
            <w:pPr>
              <w:pBdr>
                <w:right w:val="single" w:sz="18" w:space="4" w:color="auto"/>
              </w:pBdr>
              <w:jc w:val="center"/>
              <w:rPr>
                <w:color w:val="000000"/>
                <w:lang w:val="en-US"/>
              </w:rPr>
            </w:pPr>
            <w:r>
              <w:rPr>
                <w:color w:val="000000"/>
                <w:lang w:val="en-US"/>
              </w:rPr>
              <w:t>+32(0)</w:t>
            </w:r>
            <w:r>
              <w:rPr>
                <w:color w:val="000000"/>
                <w:lang w:val="nl-BE"/>
              </w:rPr>
              <w:t xml:space="preserve"> 492.14.47.45</w:t>
            </w:r>
          </w:p>
          <w:p w:rsidR="00F04EEF" w:rsidRDefault="00F42422">
            <w:pPr>
              <w:pBdr>
                <w:right w:val="single" w:sz="18" w:space="4" w:color="auto"/>
              </w:pBdr>
              <w:jc w:val="center"/>
              <w:rPr>
                <w:lang w:val="en-US"/>
              </w:rPr>
            </w:pPr>
            <w:hyperlink r:id="rId353" w:history="1">
              <w:r w:rsidR="0099351E">
                <w:rPr>
                  <w:rStyle w:val="Lienhypertexte"/>
                  <w:lang w:val="nl-BE"/>
                </w:rPr>
                <w:t>valentine.salerni@cfwb.be</w:t>
              </w:r>
            </w:hyperlink>
            <w:r w:rsidR="0099351E">
              <w:rPr>
                <w:lang w:val="en-US"/>
              </w:rPr>
              <w:t xml:space="preserve"> </w:t>
            </w:r>
          </w:p>
        </w:tc>
        <w:tc>
          <w:tcPr>
            <w:tcW w:w="4756" w:type="dxa"/>
          </w:tcPr>
          <w:p w:rsidR="00F04EEF" w:rsidRDefault="0099351E">
            <w:pPr>
              <w:pBdr>
                <w:right w:val="single" w:sz="18" w:space="4" w:color="auto"/>
              </w:pBdr>
              <w:jc w:val="center"/>
            </w:pPr>
            <w:r>
              <w:t>IPIEQ 10 - Instance de Pilotage Inter-réseaux de l'Enseignement Qualifiant de la zone de Charleroi - Hainaut Sud</w:t>
            </w:r>
          </w:p>
          <w:p w:rsidR="00F04EEF" w:rsidRDefault="0099351E">
            <w:pPr>
              <w:pBdr>
                <w:right w:val="single" w:sz="18" w:space="4" w:color="auto"/>
              </w:pBdr>
              <w:jc w:val="center"/>
            </w:pPr>
            <w:r>
              <w:rPr>
                <w:color w:val="000000"/>
              </w:rPr>
              <w:t>Avenue Général Michel, 1E / 7</w:t>
            </w:r>
            <w:r>
              <w:br/>
              <w:t>6000 Charleroi</w:t>
            </w:r>
          </w:p>
          <w:p w:rsidR="00F04EEF" w:rsidRDefault="0099351E">
            <w:pPr>
              <w:pBdr>
                <w:right w:val="single" w:sz="18" w:space="4" w:color="auto"/>
              </w:pBdr>
              <w:jc w:val="center"/>
            </w:pPr>
            <w:r>
              <w:t>+32(0)</w:t>
            </w:r>
            <w:r>
              <w:rPr>
                <w:color w:val="000000"/>
              </w:rPr>
              <w:t xml:space="preserve"> 71.15.98.20</w:t>
            </w:r>
          </w:p>
          <w:p w:rsidR="00F04EEF" w:rsidRDefault="0099351E">
            <w:pPr>
              <w:pBdr>
                <w:right w:val="single" w:sz="18" w:space="4" w:color="auto"/>
              </w:pBdr>
              <w:jc w:val="center"/>
              <w:rPr>
                <w:color w:val="000000"/>
              </w:rPr>
            </w:pPr>
            <w:r>
              <w:rPr>
                <w:color w:val="000000"/>
              </w:rPr>
              <w:t>+32(0) 474.94.14.46</w:t>
            </w:r>
          </w:p>
          <w:p w:rsidR="00F04EEF" w:rsidRDefault="00F42422">
            <w:pPr>
              <w:pBdr>
                <w:right w:val="single" w:sz="18" w:space="4" w:color="auto"/>
              </w:pBdr>
              <w:jc w:val="center"/>
            </w:pPr>
            <w:hyperlink r:id="rId354" w:history="1">
              <w:r w:rsidR="0099351E">
                <w:rPr>
                  <w:rStyle w:val="Lienhypertexte"/>
                  <w:color w:val="0563C1"/>
                </w:rPr>
                <w:t xml:space="preserve">aurore.bisconti@cfwb.be </w:t>
              </w:r>
            </w:hyperlink>
          </w:p>
        </w:tc>
      </w:tr>
    </w:tbl>
    <w:p w:rsidR="00F04EEF" w:rsidRDefault="00F04EEF"/>
    <w:p w:rsidR="00F04EEF" w:rsidRDefault="0099351E">
      <w:pPr>
        <w:pStyle w:val="Titre3"/>
        <w:rPr>
          <w:sz w:val="22"/>
          <w:szCs w:val="22"/>
        </w:rPr>
      </w:pPr>
      <w:bookmarkStart w:id="4113" w:name="_Toc453837031"/>
      <w:bookmarkStart w:id="4114" w:name="_Toc47708656"/>
      <w:r>
        <w:rPr>
          <w:sz w:val="22"/>
          <w:szCs w:val="22"/>
        </w:rPr>
        <w:t>2. Forme 2</w:t>
      </w:r>
      <w:bookmarkEnd w:id="4113"/>
      <w:bookmarkEnd w:id="4114"/>
    </w:p>
    <w:p w:rsidR="00F04EEF" w:rsidRDefault="00F04EEF">
      <w:pPr>
        <w:jc w:val="both"/>
        <w:rPr>
          <w:b/>
          <w:u w:val="single"/>
        </w:rPr>
      </w:pPr>
    </w:p>
    <w:p w:rsidR="00F04EEF" w:rsidRDefault="0099351E">
      <w:pPr>
        <w:pStyle w:val="Titre4"/>
      </w:pPr>
      <w:bookmarkStart w:id="4115" w:name="_Toc453837032"/>
      <w:r>
        <w:t>2.1. Le projet</w:t>
      </w:r>
      <w:bookmarkEnd w:id="4115"/>
    </w:p>
    <w:p w:rsidR="00F04EEF" w:rsidRDefault="00F04EEF">
      <w:pPr>
        <w:tabs>
          <w:tab w:val="left" w:pos="1031"/>
        </w:tabs>
        <w:jc w:val="both"/>
        <w:rPr>
          <w:b/>
        </w:rPr>
      </w:pPr>
    </w:p>
    <w:p w:rsidR="00F04EEF" w:rsidRDefault="0099351E">
      <w:pPr>
        <w:jc w:val="both"/>
      </w:pPr>
      <w:r>
        <w:t>Dans le cadre du PIA et du PIT, la Direction de l’école doit prendre contact avec les parents afin d’établir, avec leur collaboration et celle de l’élève, un projet de vie.</w:t>
      </w:r>
    </w:p>
    <w:p w:rsidR="00F04EEF" w:rsidRDefault="0099351E">
      <w:pPr>
        <w:jc w:val="both"/>
      </w:pPr>
      <w:r>
        <w:t>A partir de ce projet, les partenaires (école, parents et élève) détermineront, si possible une orientation de formation, un stage et / ou une recherche d’un lieu de vie correspondant au projet.</w:t>
      </w:r>
    </w:p>
    <w:p w:rsidR="00F04EEF" w:rsidRDefault="00F04EEF">
      <w:pPr>
        <w:jc w:val="both"/>
        <w:rPr>
          <w:b/>
        </w:rPr>
      </w:pPr>
    </w:p>
    <w:p w:rsidR="00F04EEF" w:rsidRDefault="0099351E">
      <w:pPr>
        <w:rPr>
          <w:b/>
          <w:u w:val="single"/>
        </w:rPr>
      </w:pPr>
      <w:bookmarkStart w:id="4116" w:name="_Toc324767288"/>
      <w:bookmarkStart w:id="4117" w:name="_Toc324768146"/>
      <w:bookmarkStart w:id="4118" w:name="_Toc412204207"/>
      <w:bookmarkStart w:id="4119" w:name="_Toc453837033"/>
      <w:r>
        <w:br w:type="page"/>
      </w:r>
    </w:p>
    <w:p w:rsidR="00F04EEF" w:rsidRDefault="0099351E">
      <w:pPr>
        <w:pStyle w:val="Titre4"/>
      </w:pPr>
      <w:r>
        <w:t>2.2. La convention de stage</w:t>
      </w:r>
      <w:bookmarkEnd w:id="4116"/>
      <w:bookmarkEnd w:id="4117"/>
      <w:bookmarkEnd w:id="4118"/>
      <w:bookmarkEnd w:id="4119"/>
    </w:p>
    <w:p w:rsidR="00F04EEF" w:rsidRDefault="00F04EEF">
      <w:pPr>
        <w:tabs>
          <w:tab w:val="left" w:pos="1031"/>
        </w:tabs>
        <w:jc w:val="both"/>
      </w:pPr>
    </w:p>
    <w:p w:rsidR="00F04EEF" w:rsidRDefault="0099351E">
      <w:pPr>
        <w:jc w:val="both"/>
      </w:pPr>
      <w:r>
        <w:t xml:space="preserve">Une convention de stage doit être élaborée, conformément au modèle repris en </w:t>
      </w:r>
      <w:hyperlink w:anchor="_Annexe_10_:_2" w:history="1">
        <w:r>
          <w:rPr>
            <w:rStyle w:val="Lienhypertexte"/>
            <w:rFonts w:cs="Arial"/>
          </w:rPr>
          <w:t>annexe 10,</w:t>
        </w:r>
      </w:hyperlink>
      <w:r>
        <w:t xml:space="preserve"> pour l’élève de l’enseignement secondaire spécialisé de forme 2 de plein exercice, effectuant un stage dans le cadre de son immersion socio-professionnelle.</w:t>
      </w:r>
    </w:p>
    <w:p w:rsidR="00F04EEF" w:rsidRDefault="00F04EEF">
      <w:pPr>
        <w:tabs>
          <w:tab w:val="left" w:pos="1031"/>
          <w:tab w:val="left" w:pos="1292"/>
        </w:tabs>
        <w:jc w:val="both"/>
      </w:pPr>
    </w:p>
    <w:p w:rsidR="00F04EEF" w:rsidRDefault="0099351E">
      <w:pPr>
        <w:pStyle w:val="Titre4"/>
      </w:pPr>
      <w:bookmarkStart w:id="4120" w:name="_Toc324767289"/>
      <w:bookmarkStart w:id="4121" w:name="_Toc324768147"/>
      <w:bookmarkStart w:id="4122" w:name="_Toc412204208"/>
      <w:bookmarkStart w:id="4123" w:name="_Toc453837034"/>
      <w:r>
        <w:t>2.3 Partenaires à la convention</w:t>
      </w:r>
      <w:bookmarkEnd w:id="4120"/>
      <w:bookmarkEnd w:id="4121"/>
      <w:bookmarkEnd w:id="4122"/>
      <w:bookmarkEnd w:id="4123"/>
    </w:p>
    <w:p w:rsidR="00F04EEF" w:rsidRDefault="00F04EEF"/>
    <w:p w:rsidR="00F04EEF" w:rsidRDefault="0099351E">
      <w:pPr>
        <w:numPr>
          <w:ilvl w:val="0"/>
          <w:numId w:val="182"/>
        </w:numPr>
        <w:tabs>
          <w:tab w:val="clear" w:pos="1755"/>
        </w:tabs>
        <w:ind w:left="360"/>
        <w:jc w:val="both"/>
      </w:pPr>
      <w:r>
        <w:t>l’établissement scolaire</w:t>
      </w:r>
    </w:p>
    <w:p w:rsidR="00F04EEF" w:rsidRDefault="0099351E">
      <w:pPr>
        <w:numPr>
          <w:ilvl w:val="0"/>
          <w:numId w:val="182"/>
        </w:numPr>
        <w:tabs>
          <w:tab w:val="clear" w:pos="1755"/>
        </w:tabs>
        <w:ind w:left="360"/>
        <w:jc w:val="both"/>
      </w:pPr>
      <w:r>
        <w:t>l’institution d’accueil</w:t>
      </w:r>
    </w:p>
    <w:p w:rsidR="00F04EEF" w:rsidRDefault="0099351E">
      <w:pPr>
        <w:numPr>
          <w:ilvl w:val="0"/>
          <w:numId w:val="182"/>
        </w:numPr>
        <w:tabs>
          <w:tab w:val="clear" w:pos="1755"/>
        </w:tabs>
        <w:ind w:left="360"/>
        <w:jc w:val="both"/>
      </w:pPr>
      <w:r>
        <w:t>l’élève majeur ou la personne exerçant l’autorité parentale.</w:t>
      </w:r>
    </w:p>
    <w:p w:rsidR="00F04EEF" w:rsidRDefault="00F04EEF">
      <w:pPr>
        <w:tabs>
          <w:tab w:val="left" w:pos="1031"/>
          <w:tab w:val="left" w:pos="1292"/>
        </w:tabs>
        <w:jc w:val="both"/>
      </w:pPr>
    </w:p>
    <w:p w:rsidR="00F04EEF" w:rsidRDefault="0099351E">
      <w:pPr>
        <w:pStyle w:val="Titre4"/>
      </w:pPr>
      <w:bookmarkStart w:id="4124" w:name="_Toc324767290"/>
      <w:bookmarkStart w:id="4125" w:name="_Toc324768148"/>
      <w:bookmarkStart w:id="4126" w:name="_Toc412204209"/>
      <w:bookmarkStart w:id="4127" w:name="_Toc453837035"/>
      <w:r>
        <w:t>2.4. Mentions</w:t>
      </w:r>
      <w:bookmarkEnd w:id="4124"/>
      <w:bookmarkEnd w:id="4125"/>
      <w:bookmarkEnd w:id="4126"/>
      <w:bookmarkEnd w:id="4127"/>
      <w:r>
        <w:t xml:space="preserve"> </w:t>
      </w:r>
    </w:p>
    <w:p w:rsidR="00F04EEF" w:rsidRDefault="00F04EEF">
      <w:pPr>
        <w:tabs>
          <w:tab w:val="left" w:pos="1292"/>
        </w:tabs>
        <w:jc w:val="both"/>
        <w:rPr>
          <w:b/>
        </w:rPr>
      </w:pPr>
    </w:p>
    <w:p w:rsidR="00F04EEF" w:rsidRDefault="0099351E">
      <w:pPr>
        <w:tabs>
          <w:tab w:val="left" w:pos="540"/>
        </w:tabs>
        <w:jc w:val="both"/>
      </w:pPr>
      <w:r>
        <w:t>La convention reprend notamment les mentions et dispositions suivantes :</w:t>
      </w:r>
    </w:p>
    <w:p w:rsidR="00F04EEF" w:rsidRDefault="0099351E">
      <w:pPr>
        <w:numPr>
          <w:ilvl w:val="0"/>
          <w:numId w:val="182"/>
        </w:numPr>
        <w:tabs>
          <w:tab w:val="clear" w:pos="1755"/>
        </w:tabs>
        <w:ind w:left="360"/>
        <w:jc w:val="both"/>
      </w:pPr>
      <w:r>
        <w:t>la date d’entrée en vigueur, la durée, les spécifications relatives à l’horaire et à l’objet de la convention ;</w:t>
      </w:r>
    </w:p>
    <w:p w:rsidR="00F04EEF" w:rsidRDefault="0099351E">
      <w:pPr>
        <w:numPr>
          <w:ilvl w:val="0"/>
          <w:numId w:val="182"/>
        </w:numPr>
        <w:tabs>
          <w:tab w:val="clear" w:pos="1755"/>
        </w:tabs>
        <w:ind w:left="360"/>
        <w:jc w:val="both"/>
      </w:pPr>
      <w:r>
        <w:t>l’identité de l’élève et de son représentant légal, si ce dernier est mineur ;</w:t>
      </w:r>
    </w:p>
    <w:p w:rsidR="00F04EEF" w:rsidRDefault="0099351E">
      <w:pPr>
        <w:numPr>
          <w:ilvl w:val="0"/>
          <w:numId w:val="182"/>
        </w:numPr>
        <w:tabs>
          <w:tab w:val="clear" w:pos="1755"/>
        </w:tabs>
        <w:ind w:left="360"/>
        <w:jc w:val="both"/>
      </w:pPr>
      <w:r>
        <w:t>la dénomination de l’institution d’accueil et l’identité des membres du personnel chargés de l’accompagnement ;</w:t>
      </w:r>
    </w:p>
    <w:p w:rsidR="00F04EEF" w:rsidRDefault="0099351E">
      <w:pPr>
        <w:numPr>
          <w:ilvl w:val="0"/>
          <w:numId w:val="182"/>
        </w:numPr>
        <w:tabs>
          <w:tab w:val="clear" w:pos="1755"/>
        </w:tabs>
        <w:ind w:left="360"/>
        <w:jc w:val="both"/>
      </w:pPr>
      <w:r>
        <w:t>la dénomination de l’établissement scolaire et l’identité des membres du personnel chargés de l’encadrement ;</w:t>
      </w:r>
    </w:p>
    <w:p w:rsidR="00F04EEF" w:rsidRDefault="0099351E">
      <w:pPr>
        <w:numPr>
          <w:ilvl w:val="0"/>
          <w:numId w:val="182"/>
        </w:numPr>
        <w:tabs>
          <w:tab w:val="clear" w:pos="1755"/>
        </w:tabs>
        <w:ind w:left="360"/>
        <w:jc w:val="both"/>
      </w:pPr>
      <w:r>
        <w:t>les obligations réciproques du stagiaire, de l’établissement scolaire et de l’institution d’accueil ;</w:t>
      </w:r>
    </w:p>
    <w:p w:rsidR="00F04EEF" w:rsidRDefault="0099351E">
      <w:pPr>
        <w:numPr>
          <w:ilvl w:val="0"/>
          <w:numId w:val="182"/>
        </w:numPr>
        <w:tabs>
          <w:tab w:val="clear" w:pos="1755"/>
        </w:tabs>
        <w:ind w:left="360"/>
        <w:jc w:val="both"/>
      </w:pPr>
      <w:r>
        <w:t>les responsabilités en matière d’assurances ;</w:t>
      </w:r>
    </w:p>
    <w:p w:rsidR="00F04EEF" w:rsidRDefault="0099351E">
      <w:pPr>
        <w:numPr>
          <w:ilvl w:val="0"/>
          <w:numId w:val="182"/>
        </w:numPr>
        <w:tabs>
          <w:tab w:val="clear" w:pos="1755"/>
        </w:tabs>
        <w:ind w:left="360"/>
        <w:jc w:val="both"/>
      </w:pPr>
      <w:r>
        <w:t>les modes de résiliation et d’expiration de la convention.</w:t>
      </w:r>
    </w:p>
    <w:p w:rsidR="00F04EEF" w:rsidRDefault="00F04EEF">
      <w:bookmarkStart w:id="4128" w:name="_Toc324767291"/>
      <w:bookmarkStart w:id="4129" w:name="_Toc324768149"/>
      <w:bookmarkStart w:id="4130" w:name="_Toc412204210"/>
    </w:p>
    <w:p w:rsidR="00F04EEF" w:rsidRDefault="0099351E">
      <w:pPr>
        <w:pStyle w:val="Titre4"/>
      </w:pPr>
      <w:bookmarkStart w:id="4131" w:name="_Toc453837036"/>
      <w:r>
        <w:t>2.5. Moment et durée</w:t>
      </w:r>
      <w:bookmarkEnd w:id="4128"/>
      <w:bookmarkEnd w:id="4129"/>
      <w:bookmarkEnd w:id="4130"/>
      <w:bookmarkEnd w:id="4131"/>
    </w:p>
    <w:p w:rsidR="00F04EEF" w:rsidRDefault="00F04EEF">
      <w:pPr>
        <w:tabs>
          <w:tab w:val="left" w:pos="540"/>
        </w:tabs>
        <w:jc w:val="both"/>
      </w:pPr>
    </w:p>
    <w:p w:rsidR="00F04EEF" w:rsidRDefault="0099351E">
      <w:pPr>
        <w:jc w:val="both"/>
      </w:pPr>
      <w:r>
        <w:t>Les stages peuvent être organisés, pendant la 2</w:t>
      </w:r>
      <w:r>
        <w:rPr>
          <w:vertAlign w:val="superscript"/>
        </w:rPr>
        <w:t>ème</w:t>
      </w:r>
      <w:r>
        <w:t xml:space="preserve"> phase de la formation, dès que le conseil de classe constate que les compétences acquises par l’élève lui donnent le maximum de chance d’insertion.</w:t>
      </w:r>
    </w:p>
    <w:p w:rsidR="00F04EEF" w:rsidRDefault="0099351E">
      <w:pPr>
        <w:jc w:val="both"/>
      </w:pPr>
      <w:r>
        <w:t>La durée maximale des stages est de 75 jours ouvrables.</w:t>
      </w:r>
    </w:p>
    <w:p w:rsidR="00F04EEF" w:rsidRDefault="0099351E">
      <w:pPr>
        <w:jc w:val="both"/>
      </w:pPr>
      <w:r>
        <w:t xml:space="preserve">Cette durée peut être dépassée sur proposition du conseil de classe et avis favorable de l’inspection. </w:t>
      </w:r>
    </w:p>
    <w:p w:rsidR="00F04EEF" w:rsidRDefault="00F04EEF">
      <w:pPr>
        <w:tabs>
          <w:tab w:val="left" w:pos="540"/>
          <w:tab w:val="left" w:pos="1292"/>
        </w:tabs>
        <w:jc w:val="both"/>
      </w:pPr>
    </w:p>
    <w:p w:rsidR="00F04EEF" w:rsidRDefault="0099351E">
      <w:pPr>
        <w:jc w:val="both"/>
        <w:rPr>
          <w:b/>
          <w:u w:val="single"/>
        </w:rPr>
      </w:pPr>
      <w:r>
        <w:rPr>
          <w:b/>
          <w:u w:val="single"/>
        </w:rPr>
        <w:t xml:space="preserve">Remarques : </w:t>
      </w:r>
    </w:p>
    <w:p w:rsidR="00F04EEF" w:rsidRDefault="00F04EEF">
      <w:pPr>
        <w:jc w:val="both"/>
        <w:rPr>
          <w:b/>
          <w:u w:val="single"/>
        </w:rPr>
      </w:pPr>
    </w:p>
    <w:p w:rsidR="00F04EEF" w:rsidRDefault="0099351E">
      <w:pPr>
        <w:numPr>
          <w:ilvl w:val="0"/>
          <w:numId w:val="183"/>
        </w:numPr>
        <w:tabs>
          <w:tab w:val="clear" w:pos="720"/>
        </w:tabs>
        <w:ind w:left="360"/>
        <w:jc w:val="both"/>
      </w:pPr>
      <w:r>
        <w:t xml:space="preserve">Le jour ouvrable correspond à la durée de la journée de travail du personnel de l’entreprise qui accueille le stagiaire </w:t>
      </w:r>
    </w:p>
    <w:p w:rsidR="00F04EEF" w:rsidRDefault="0099351E">
      <w:pPr>
        <w:numPr>
          <w:ilvl w:val="0"/>
          <w:numId w:val="183"/>
        </w:numPr>
        <w:tabs>
          <w:tab w:val="clear" w:pos="720"/>
        </w:tabs>
        <w:ind w:left="360"/>
        <w:jc w:val="both"/>
      </w:pPr>
      <w:r>
        <w:t>La convention peut être conclue avec une entreprise de travail adapté, une entreprise, une administration publique ou une institution d’accueil.</w:t>
      </w:r>
    </w:p>
    <w:p w:rsidR="00F04EEF" w:rsidRDefault="00F04EEF">
      <w:pPr>
        <w:tabs>
          <w:tab w:val="left" w:pos="1031"/>
        </w:tabs>
        <w:jc w:val="both"/>
        <w:rPr>
          <w:b/>
          <w:u w:val="single"/>
        </w:rPr>
      </w:pPr>
    </w:p>
    <w:p w:rsidR="00F04EEF" w:rsidRDefault="0099351E">
      <w:pPr>
        <w:pStyle w:val="Titre3"/>
        <w:rPr>
          <w:sz w:val="22"/>
          <w:szCs w:val="22"/>
        </w:rPr>
      </w:pPr>
      <w:bookmarkStart w:id="4132" w:name="_Toc453837037"/>
      <w:bookmarkStart w:id="4133" w:name="_Toc47708657"/>
      <w:r>
        <w:rPr>
          <w:sz w:val="22"/>
          <w:szCs w:val="22"/>
        </w:rPr>
        <w:t>3. Forme 1</w:t>
      </w:r>
      <w:bookmarkEnd w:id="4132"/>
      <w:bookmarkEnd w:id="4133"/>
    </w:p>
    <w:p w:rsidR="00F04EEF" w:rsidRDefault="00F04EEF">
      <w:pPr>
        <w:jc w:val="both"/>
        <w:rPr>
          <w:b/>
          <w:u w:val="single"/>
        </w:rPr>
      </w:pPr>
    </w:p>
    <w:p w:rsidR="00F04EEF" w:rsidRDefault="0099351E">
      <w:pPr>
        <w:pStyle w:val="Titre4"/>
      </w:pPr>
      <w:bookmarkStart w:id="4134" w:name="_Toc324767283"/>
      <w:bookmarkStart w:id="4135" w:name="_Toc324768141"/>
      <w:bookmarkStart w:id="4136" w:name="_Toc412204202"/>
      <w:bookmarkStart w:id="4137" w:name="_Toc453837038"/>
      <w:r>
        <w:t>3.1. Le projet</w:t>
      </w:r>
      <w:bookmarkEnd w:id="4134"/>
      <w:bookmarkEnd w:id="4135"/>
      <w:bookmarkEnd w:id="4136"/>
      <w:bookmarkEnd w:id="4137"/>
    </w:p>
    <w:p w:rsidR="00F04EEF" w:rsidRDefault="00F04EEF">
      <w:pPr>
        <w:tabs>
          <w:tab w:val="left" w:pos="1031"/>
        </w:tabs>
        <w:jc w:val="both"/>
        <w:rPr>
          <w:b/>
        </w:rPr>
      </w:pPr>
    </w:p>
    <w:p w:rsidR="00F04EEF" w:rsidRDefault="0099351E">
      <w:pPr>
        <w:jc w:val="both"/>
      </w:pPr>
      <w:r>
        <w:t>Dans le cadre du P.I.A. et du P.I.T., la Direction de l’école doit prendre contact avec les parents afin d’établir, avec leur collaboration et celle de l’élève, un projet de vie.</w:t>
      </w:r>
    </w:p>
    <w:p w:rsidR="00F04EEF" w:rsidRDefault="0099351E">
      <w:pPr>
        <w:jc w:val="both"/>
      </w:pPr>
      <w:r>
        <w:t>A partir de ce projet, les partenaires (école, parents et élève) détermineront, si possible une orientation de formation, un stage et / ou une recherche d’un lieu de vie correspondant au projet.</w:t>
      </w:r>
    </w:p>
    <w:p w:rsidR="00F04EEF" w:rsidRDefault="00F04EEF">
      <w:pPr>
        <w:tabs>
          <w:tab w:val="left" w:pos="1031"/>
        </w:tabs>
        <w:jc w:val="both"/>
      </w:pPr>
    </w:p>
    <w:p w:rsidR="00F04EEF" w:rsidRDefault="0099351E">
      <w:pPr>
        <w:pStyle w:val="Titre4"/>
      </w:pPr>
      <w:bookmarkStart w:id="4138" w:name="_Toc324767284"/>
      <w:bookmarkStart w:id="4139" w:name="_Toc324768142"/>
      <w:bookmarkStart w:id="4140" w:name="_Toc412204203"/>
      <w:bookmarkStart w:id="4141" w:name="_Toc453837039"/>
      <w:r>
        <w:t>3.2. La convention de stage</w:t>
      </w:r>
      <w:bookmarkEnd w:id="4138"/>
      <w:bookmarkEnd w:id="4139"/>
      <w:bookmarkEnd w:id="4140"/>
      <w:bookmarkEnd w:id="4141"/>
    </w:p>
    <w:p w:rsidR="00F04EEF" w:rsidRDefault="00F04EEF">
      <w:pPr>
        <w:jc w:val="both"/>
      </w:pPr>
    </w:p>
    <w:p w:rsidR="00F04EEF" w:rsidRDefault="0099351E">
      <w:pPr>
        <w:jc w:val="both"/>
      </w:pPr>
      <w:r>
        <w:t>Dès que le projet de vie de l’élève est défini, les stages peuvent être organisés.</w:t>
      </w:r>
    </w:p>
    <w:p w:rsidR="00F04EEF" w:rsidRDefault="0099351E">
      <w:pPr>
        <w:jc w:val="both"/>
      </w:pPr>
      <w:r>
        <w:t xml:space="preserve">Une convention de stage doit être élaborée, conformément au modèle repris en </w:t>
      </w:r>
      <w:hyperlink w:anchor="_Annexe_11_:_1" w:history="1">
        <w:r>
          <w:rPr>
            <w:rStyle w:val="Lienhypertexte"/>
            <w:rFonts w:cs="Arial"/>
          </w:rPr>
          <w:t>annexe 11</w:t>
        </w:r>
      </w:hyperlink>
      <w:r>
        <w:t>, pour l’élève de l’enseignement secondaire spécialisé de forme 1 de plein exercice, effectuant un stage dans le cadre de son insertion sociale.</w:t>
      </w:r>
    </w:p>
    <w:p w:rsidR="00F04EEF" w:rsidRDefault="00F04EEF">
      <w:pPr>
        <w:tabs>
          <w:tab w:val="left" w:pos="1292"/>
        </w:tabs>
        <w:jc w:val="both"/>
      </w:pPr>
    </w:p>
    <w:p w:rsidR="00F04EEF" w:rsidRDefault="0099351E">
      <w:pPr>
        <w:pStyle w:val="Titre4"/>
      </w:pPr>
      <w:bookmarkStart w:id="4142" w:name="_Toc324767285"/>
      <w:bookmarkStart w:id="4143" w:name="_Toc324768143"/>
      <w:bookmarkStart w:id="4144" w:name="_Toc412204204"/>
      <w:bookmarkStart w:id="4145" w:name="_Toc453837040"/>
      <w:r>
        <w:t>3.3. Partenaires à la convention</w:t>
      </w:r>
      <w:bookmarkEnd w:id="4142"/>
      <w:bookmarkEnd w:id="4143"/>
      <w:bookmarkEnd w:id="4144"/>
      <w:bookmarkEnd w:id="4145"/>
    </w:p>
    <w:p w:rsidR="00F04EEF" w:rsidRDefault="00F04EEF">
      <w:pPr>
        <w:tabs>
          <w:tab w:val="left" w:pos="1031"/>
          <w:tab w:val="left" w:pos="1292"/>
        </w:tabs>
        <w:jc w:val="both"/>
      </w:pPr>
    </w:p>
    <w:p w:rsidR="00F04EEF" w:rsidRDefault="0099351E">
      <w:pPr>
        <w:numPr>
          <w:ilvl w:val="0"/>
          <w:numId w:val="182"/>
        </w:numPr>
        <w:tabs>
          <w:tab w:val="clear" w:pos="1755"/>
        </w:tabs>
        <w:ind w:left="360"/>
        <w:jc w:val="both"/>
      </w:pPr>
      <w:r>
        <w:t>l’établissement scolaire ;</w:t>
      </w:r>
    </w:p>
    <w:p w:rsidR="00F04EEF" w:rsidRDefault="0099351E">
      <w:pPr>
        <w:numPr>
          <w:ilvl w:val="0"/>
          <w:numId w:val="182"/>
        </w:numPr>
        <w:tabs>
          <w:tab w:val="clear" w:pos="1755"/>
        </w:tabs>
        <w:ind w:left="360"/>
        <w:jc w:val="both"/>
      </w:pPr>
      <w:r>
        <w:t>l’institution d’accueil ;</w:t>
      </w:r>
    </w:p>
    <w:p w:rsidR="00F04EEF" w:rsidRDefault="0099351E">
      <w:pPr>
        <w:numPr>
          <w:ilvl w:val="0"/>
          <w:numId w:val="182"/>
        </w:numPr>
        <w:tabs>
          <w:tab w:val="clear" w:pos="1755"/>
        </w:tabs>
        <w:ind w:left="360"/>
        <w:jc w:val="both"/>
      </w:pPr>
      <w:r>
        <w:t>l’élève majeur ou la personne exerçant l’autorité parentale.</w:t>
      </w:r>
    </w:p>
    <w:p w:rsidR="00F04EEF" w:rsidRDefault="00F04EEF">
      <w:pPr>
        <w:tabs>
          <w:tab w:val="left" w:pos="1031"/>
          <w:tab w:val="left" w:pos="1292"/>
        </w:tabs>
        <w:jc w:val="both"/>
      </w:pPr>
    </w:p>
    <w:p w:rsidR="00F04EEF" w:rsidRDefault="0099351E">
      <w:pPr>
        <w:pStyle w:val="Titre4"/>
      </w:pPr>
      <w:bookmarkStart w:id="4146" w:name="_Toc324767286"/>
      <w:bookmarkStart w:id="4147" w:name="_Toc324768144"/>
      <w:bookmarkStart w:id="4148" w:name="_Toc412204205"/>
      <w:bookmarkStart w:id="4149" w:name="_Toc453837041"/>
      <w:r>
        <w:t>3.4. Mentions</w:t>
      </w:r>
      <w:bookmarkEnd w:id="4146"/>
      <w:bookmarkEnd w:id="4147"/>
      <w:bookmarkEnd w:id="4148"/>
      <w:bookmarkEnd w:id="4149"/>
      <w:r>
        <w:t xml:space="preserve"> </w:t>
      </w:r>
    </w:p>
    <w:p w:rsidR="00F04EEF" w:rsidRDefault="00F04EEF">
      <w:pPr>
        <w:tabs>
          <w:tab w:val="left" w:pos="1292"/>
        </w:tabs>
        <w:jc w:val="both"/>
        <w:rPr>
          <w:b/>
        </w:rPr>
      </w:pPr>
    </w:p>
    <w:p w:rsidR="00F04EEF" w:rsidRDefault="0099351E">
      <w:pPr>
        <w:jc w:val="both"/>
      </w:pPr>
      <w:r>
        <w:t>La convention reprend notamment les mentions et dispositions suivantes :</w:t>
      </w:r>
    </w:p>
    <w:p w:rsidR="00F04EEF" w:rsidRDefault="00F04EEF">
      <w:pPr>
        <w:jc w:val="both"/>
      </w:pPr>
    </w:p>
    <w:p w:rsidR="00F04EEF" w:rsidRDefault="0099351E">
      <w:pPr>
        <w:numPr>
          <w:ilvl w:val="0"/>
          <w:numId w:val="182"/>
        </w:numPr>
        <w:tabs>
          <w:tab w:val="clear" w:pos="1755"/>
        </w:tabs>
        <w:ind w:left="360"/>
        <w:jc w:val="both"/>
      </w:pPr>
      <w:r>
        <w:t>la date d’entrée en vigueur, la durée, les spécifications relatives à l’horaire et à l’objet de la convention ;</w:t>
      </w:r>
    </w:p>
    <w:p w:rsidR="00F04EEF" w:rsidRDefault="0099351E">
      <w:pPr>
        <w:numPr>
          <w:ilvl w:val="0"/>
          <w:numId w:val="182"/>
        </w:numPr>
        <w:tabs>
          <w:tab w:val="clear" w:pos="1755"/>
        </w:tabs>
        <w:ind w:left="360"/>
        <w:jc w:val="both"/>
      </w:pPr>
      <w:r>
        <w:t>l’identité de l’élève et de son représentant légal, si ce dernier est mineur ;</w:t>
      </w:r>
    </w:p>
    <w:p w:rsidR="00F04EEF" w:rsidRDefault="0099351E">
      <w:pPr>
        <w:numPr>
          <w:ilvl w:val="0"/>
          <w:numId w:val="182"/>
        </w:numPr>
        <w:tabs>
          <w:tab w:val="clear" w:pos="1755"/>
        </w:tabs>
        <w:ind w:left="360"/>
        <w:jc w:val="both"/>
      </w:pPr>
      <w:r>
        <w:t>la dénomination de l’institution d’accueil et l’identité des membres du personnel chargés de l’accompagnement ;</w:t>
      </w:r>
    </w:p>
    <w:p w:rsidR="00F04EEF" w:rsidRDefault="0099351E">
      <w:pPr>
        <w:numPr>
          <w:ilvl w:val="0"/>
          <w:numId w:val="182"/>
        </w:numPr>
        <w:tabs>
          <w:tab w:val="clear" w:pos="1755"/>
        </w:tabs>
        <w:ind w:left="360"/>
        <w:jc w:val="both"/>
      </w:pPr>
      <w:r>
        <w:t>la dénomination de l’établissement scolaire et l’identité des membres du personnel chargés de l’encadrement ;</w:t>
      </w:r>
    </w:p>
    <w:p w:rsidR="00F04EEF" w:rsidRDefault="0099351E">
      <w:pPr>
        <w:numPr>
          <w:ilvl w:val="0"/>
          <w:numId w:val="182"/>
        </w:numPr>
        <w:tabs>
          <w:tab w:val="clear" w:pos="1755"/>
        </w:tabs>
        <w:ind w:left="360"/>
        <w:jc w:val="both"/>
      </w:pPr>
      <w:r>
        <w:t>les obligations réciproques du stagiaire, de l’établissement scolaire et de l’institution d’accueil ;</w:t>
      </w:r>
    </w:p>
    <w:p w:rsidR="00F04EEF" w:rsidRDefault="0099351E">
      <w:pPr>
        <w:numPr>
          <w:ilvl w:val="0"/>
          <w:numId w:val="182"/>
        </w:numPr>
        <w:tabs>
          <w:tab w:val="clear" w:pos="1755"/>
        </w:tabs>
        <w:ind w:left="360"/>
        <w:jc w:val="both"/>
      </w:pPr>
      <w:r>
        <w:t>les responsabilités en matière d’assurances ;</w:t>
      </w:r>
    </w:p>
    <w:p w:rsidR="00F04EEF" w:rsidRDefault="0099351E">
      <w:pPr>
        <w:numPr>
          <w:ilvl w:val="0"/>
          <w:numId w:val="182"/>
        </w:numPr>
        <w:tabs>
          <w:tab w:val="clear" w:pos="1755"/>
        </w:tabs>
        <w:ind w:left="360"/>
        <w:jc w:val="both"/>
      </w:pPr>
      <w:r>
        <w:t>les modes de résiliation et d’expiration de la convention.</w:t>
      </w:r>
    </w:p>
    <w:p w:rsidR="00F04EEF" w:rsidRDefault="00F04EEF">
      <w:pPr>
        <w:tabs>
          <w:tab w:val="left" w:pos="1292"/>
        </w:tabs>
        <w:jc w:val="both"/>
      </w:pPr>
    </w:p>
    <w:p w:rsidR="00F04EEF" w:rsidRDefault="0099351E">
      <w:pPr>
        <w:tabs>
          <w:tab w:val="left" w:pos="540"/>
          <w:tab w:val="left" w:pos="1031"/>
        </w:tabs>
        <w:jc w:val="both"/>
        <w:rPr>
          <w:b/>
        </w:rPr>
      </w:pPr>
      <w:r>
        <w:rPr>
          <w:b/>
          <w:u w:val="single"/>
        </w:rPr>
        <w:t>Remarque :</w:t>
      </w:r>
      <w:r>
        <w:rPr>
          <w:b/>
        </w:rPr>
        <w:t xml:space="preserve"> la convention peut être conclue avec une institution d’accueil.</w:t>
      </w:r>
    </w:p>
    <w:p w:rsidR="00F04EEF" w:rsidRDefault="00F04EEF">
      <w:pPr>
        <w:jc w:val="both"/>
        <w:rPr>
          <w:b/>
          <w:u w:val="single"/>
        </w:rPr>
      </w:pPr>
    </w:p>
    <w:p w:rsidR="00F04EEF" w:rsidRDefault="0099351E">
      <w:pPr>
        <w:pStyle w:val="Titre3"/>
        <w:rPr>
          <w:sz w:val="22"/>
          <w:szCs w:val="22"/>
        </w:rPr>
      </w:pPr>
      <w:bookmarkStart w:id="4150" w:name="_Toc414353016"/>
      <w:bookmarkStart w:id="4151" w:name="_Toc453837042"/>
      <w:bookmarkStart w:id="4152" w:name="_Toc47708658"/>
      <w:r>
        <w:rPr>
          <w:sz w:val="22"/>
          <w:szCs w:val="22"/>
        </w:rPr>
        <w:t>4. Annexes</w:t>
      </w:r>
      <w:bookmarkEnd w:id="4150"/>
      <w:bookmarkEnd w:id="4151"/>
      <w:bookmarkEnd w:id="4152"/>
    </w:p>
    <w:p w:rsidR="00F04EEF" w:rsidRDefault="0099351E">
      <w:pPr>
        <w:jc w:val="both"/>
        <w:rPr>
          <w:b/>
          <w:u w:val="single"/>
        </w:rPr>
      </w:pPr>
      <w:r>
        <w:rPr>
          <w:b/>
          <w:u w:val="single"/>
        </w:rPr>
        <w:br w:type="page"/>
      </w:r>
    </w:p>
    <w:p w:rsidR="00F04EEF" w:rsidRDefault="0099351E">
      <w:pPr>
        <w:pStyle w:val="Titre4"/>
      </w:pPr>
      <w:bookmarkStart w:id="4153" w:name="_Annexe_1_:_20"/>
      <w:bookmarkStart w:id="4154" w:name="_Toc414353017"/>
      <w:bookmarkStart w:id="4155" w:name="_Toc453837043"/>
      <w:bookmarkEnd w:id="4153"/>
      <w:r>
        <w:t>Annexe 1 : Modalités propres aux stages d’observation et d’initiation</w:t>
      </w:r>
      <w:bookmarkEnd w:id="4154"/>
      <w:bookmarkEnd w:id="4155"/>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Lieu </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Milieu professionnel (pour les stages d’observation et d’initiation, un centre de compétence, un centre de référence professionnelle ou un centre de technologies avancées peuvent être considérés comme « milieu professionnel » si le (la) chef(fe) d’établissement l’estime utile)</w:t>
      </w:r>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Degré d’autonomie </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Faible / prise en charge globale par le milieu professionnel</w:t>
      </w:r>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Horaire</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Horaire scolaire (sauf exceptions justifiées par le métier ou le milieu professionnel)</w:t>
      </w:r>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Type d’activités</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Essais, démonstrations…</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Assistance à des activités de production</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Rencontre avec des membres du milieu professionnel</w:t>
      </w:r>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Suivi assuré par l’établissement scolaire</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Au moins 1 jour sur 2 sous forme de visites, téléphones, courriels…</w:t>
      </w:r>
    </w:p>
    <w:p w:rsidR="00F04EEF" w:rsidRDefault="00F04EEF">
      <w:pPr>
        <w:pStyle w:val="Paragraphedeliste1"/>
        <w:ind w:left="0"/>
        <w:jc w:val="both"/>
        <w:rPr>
          <w:rFonts w:asciiTheme="majorHAnsi" w:hAnsiTheme="majorHAnsi"/>
        </w:rPr>
      </w:pPr>
    </w:p>
    <w:p w:rsidR="00F04EEF" w:rsidRDefault="0099351E">
      <w:pPr>
        <w:pStyle w:val="Paragraphedeliste1"/>
        <w:ind w:left="0"/>
        <w:jc w:val="both"/>
        <w:rPr>
          <w:rFonts w:asciiTheme="majorHAnsi" w:hAnsiTheme="majorHAnsi"/>
          <w:u w:val="single"/>
        </w:rPr>
      </w:pPr>
      <w:r>
        <w:rPr>
          <w:rFonts w:asciiTheme="majorHAnsi" w:hAnsiTheme="majorHAnsi"/>
          <w:u w:val="single"/>
        </w:rPr>
        <w:t>Encadrement</w:t>
      </w:r>
    </w:p>
    <w:p w:rsidR="00F04EEF" w:rsidRDefault="0099351E">
      <w:pPr>
        <w:pStyle w:val="Paragraphedeliste1"/>
        <w:numPr>
          <w:ilvl w:val="0"/>
          <w:numId w:val="172"/>
        </w:numPr>
        <w:tabs>
          <w:tab w:val="left" w:pos="1418"/>
        </w:tabs>
        <w:ind w:left="360"/>
        <w:jc w:val="both"/>
        <w:rPr>
          <w:rFonts w:asciiTheme="majorHAnsi" w:hAnsiTheme="majorHAnsi"/>
        </w:rPr>
      </w:pPr>
      <w:r>
        <w:rPr>
          <w:rFonts w:asciiTheme="majorHAnsi" w:hAnsiTheme="majorHAnsi"/>
        </w:rPr>
        <w:t>Partenariat contractualisé école-milieu professionnel (convention)</w:t>
      </w:r>
    </w:p>
    <w:p w:rsidR="00F04EEF" w:rsidRDefault="00F04EEF">
      <w:pPr>
        <w:jc w:val="both"/>
        <w:rPr>
          <w:u w:val="single"/>
        </w:rPr>
      </w:pPr>
    </w:p>
    <w:p w:rsidR="00F04EEF" w:rsidRDefault="0099351E">
      <w:pPr>
        <w:jc w:val="both"/>
        <w:rPr>
          <w:u w:val="single"/>
        </w:rPr>
      </w:pPr>
      <w:r>
        <w:rPr>
          <w:u w:val="single"/>
        </w:rPr>
        <w:t>Type d’évaluation dans l’établissement scolaire </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Formative et pronostique (en collaboration avec le milieu professionnel)</w:t>
      </w:r>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Aspects financiers</w:t>
      </w:r>
    </w:p>
    <w:p w:rsidR="00F04EEF" w:rsidRDefault="0099351E">
      <w:pPr>
        <w:pStyle w:val="Paragraphedeliste1"/>
        <w:numPr>
          <w:ilvl w:val="0"/>
          <w:numId w:val="172"/>
        </w:numPr>
        <w:tabs>
          <w:tab w:val="num" w:pos="1431"/>
        </w:tabs>
        <w:suppressAutoHyphens w:val="0"/>
        <w:ind w:left="360"/>
        <w:contextualSpacing/>
        <w:jc w:val="both"/>
        <w:rPr>
          <w:rFonts w:asciiTheme="majorHAnsi" w:hAnsiTheme="majorHAnsi"/>
        </w:rPr>
      </w:pPr>
      <w:r>
        <w:rPr>
          <w:rFonts w:asciiTheme="majorHAnsi" w:hAnsiTheme="majorHAnsi"/>
        </w:rPr>
        <w:t>Sans objet.</w:t>
      </w:r>
    </w:p>
    <w:p w:rsidR="00F04EEF" w:rsidRDefault="0099351E">
      <w:pPr>
        <w:pStyle w:val="Titre4"/>
      </w:pPr>
      <w:bookmarkStart w:id="4156" w:name="_Annexe_2_:_6"/>
      <w:bookmarkEnd w:id="4156"/>
      <w:r>
        <w:br w:type="page"/>
      </w:r>
      <w:bookmarkStart w:id="4157" w:name="_Toc414353018"/>
      <w:bookmarkStart w:id="4158" w:name="_Toc453837044"/>
      <w:r>
        <w:t>Annexe 2 : Convention-type pour les stages d’observation et d’initiation</w:t>
      </w:r>
      <w:bookmarkEnd w:id="4157"/>
      <w:bookmarkEnd w:id="4158"/>
    </w:p>
    <w:p w:rsidR="00F04EEF" w:rsidRDefault="00F04EEF">
      <w:pPr>
        <w:rPr>
          <w:b/>
          <w:u w:val="single"/>
        </w:rPr>
      </w:pPr>
    </w:p>
    <w:p w:rsidR="00F04EEF" w:rsidRDefault="0099351E">
      <w:pPr>
        <w:jc w:val="center"/>
        <w:rPr>
          <w:b/>
        </w:rPr>
      </w:pPr>
      <w:r>
        <w:rPr>
          <w:b/>
        </w:rPr>
        <w:t>ENSEIGNEMENT SECONDAIRE SPECIALISE DE FORME 3</w:t>
      </w:r>
    </w:p>
    <w:p w:rsidR="00F04EEF" w:rsidRDefault="0099351E">
      <w:pPr>
        <w:jc w:val="center"/>
        <w:rPr>
          <w:b/>
        </w:rPr>
      </w:pPr>
      <w:r>
        <w:rPr>
          <w:b/>
        </w:rPr>
        <w:t>CONVENTION DE STAGE EN ENTREPRISE</w:t>
      </w:r>
    </w:p>
    <w:p w:rsidR="00F04EEF" w:rsidRDefault="0099351E">
      <w:pPr>
        <w:jc w:val="center"/>
        <w:rPr>
          <w:b/>
        </w:rPr>
      </w:pPr>
      <w:r>
        <w:rPr>
          <w:b/>
        </w:rPr>
        <w:t>(stages d’observation et d’initiation)</w:t>
      </w:r>
    </w:p>
    <w:p w:rsidR="00F04EEF" w:rsidRDefault="00F04EEF">
      <w:pPr>
        <w:jc w:val="center"/>
        <w:rPr>
          <w:b/>
        </w:rPr>
      </w:pPr>
    </w:p>
    <w:p w:rsidR="00F04EEF" w:rsidRDefault="00F04EEF">
      <w:pPr>
        <w:jc w:val="center"/>
        <w:rPr>
          <w:b/>
        </w:rPr>
      </w:pPr>
    </w:p>
    <w:p w:rsidR="00F04EEF" w:rsidRDefault="0099351E">
      <w:r>
        <w:t>Phase  ………….</w:t>
      </w:r>
    </w:p>
    <w:p w:rsidR="00F04EEF" w:rsidRDefault="0099351E">
      <w:r>
        <w:t>Année scolaire  ……/……</w:t>
      </w:r>
    </w:p>
    <w:p w:rsidR="00F04EEF" w:rsidRDefault="0099351E">
      <w:r>
        <w:t>Entre les soussigné(e)s :</w:t>
      </w:r>
    </w:p>
    <w:p w:rsidR="00F04EEF" w:rsidRDefault="00F04EEF"/>
    <w:p w:rsidR="00F04EEF" w:rsidRDefault="0099351E">
      <w:r>
        <w:t>1/  ......................................................................................................................</w:t>
      </w:r>
    </w:p>
    <w:p w:rsidR="00F04EEF" w:rsidRDefault="0099351E">
      <w:pPr>
        <w:jc w:val="both"/>
      </w:pPr>
      <w:r>
        <w:t>(dénomination de l’entreprise, de l’institution, de l’administration publique,…)</w:t>
      </w:r>
    </w:p>
    <w:p w:rsidR="00F04EEF" w:rsidRDefault="00F04EEF">
      <w:pPr>
        <w:jc w:val="both"/>
      </w:pPr>
    </w:p>
    <w:p w:rsidR="00F04EEF" w:rsidRDefault="0099351E">
      <w:r>
        <w:t>Situé(e) à (adresse – tél  – adresse électronique)</w:t>
      </w:r>
    </w:p>
    <w:p w:rsidR="00F04EEF" w:rsidRDefault="0099351E">
      <w:r>
        <w:t>...........................................................................................................................</w:t>
      </w:r>
    </w:p>
    <w:p w:rsidR="00F04EEF" w:rsidRDefault="00F04EEF"/>
    <w:p w:rsidR="00F04EEF" w:rsidRDefault="0099351E">
      <w:r>
        <w:t>Secteur d’activités : ...............................................................................................</w:t>
      </w:r>
    </w:p>
    <w:p w:rsidR="00F04EEF" w:rsidRDefault="0099351E">
      <w:r>
        <w:t>Forme juridique (*) : .............................................................................................</w:t>
      </w:r>
    </w:p>
    <w:p w:rsidR="00F04EEF" w:rsidRDefault="0099351E">
      <w:r>
        <w:t>N° ONSS ou RC (*) : .............................................................................................</w:t>
      </w:r>
    </w:p>
    <w:p w:rsidR="00F04EEF" w:rsidRDefault="0099351E">
      <w:r>
        <w:t>Représenté(e) par Madame/Monsieur :  ...............................................................</w:t>
      </w:r>
    </w:p>
    <w:p w:rsidR="00F04EEF" w:rsidRDefault="0099351E">
      <w:r>
        <w:t>Fonction : ..............................................................................................................</w:t>
      </w:r>
    </w:p>
    <w:p w:rsidR="00F04EEF" w:rsidRDefault="00F04EEF"/>
    <w:p w:rsidR="00F04EEF" w:rsidRDefault="0099351E">
      <w:r>
        <w:t>ci-dessous dénommé(e) l’entreprise;</w:t>
      </w:r>
    </w:p>
    <w:p w:rsidR="00F04EEF" w:rsidRDefault="0099351E">
      <w:r>
        <w:t>(*) s’il échet</w:t>
      </w:r>
    </w:p>
    <w:p w:rsidR="00F04EEF" w:rsidRDefault="00F04EEF"/>
    <w:p w:rsidR="00F04EEF" w:rsidRDefault="0099351E">
      <w:r>
        <w:t>2/ Madame/Monsieur: ...........................................................................................</w:t>
      </w:r>
    </w:p>
    <w:p w:rsidR="00F04EEF" w:rsidRDefault="0099351E">
      <w:r>
        <w:t>Chef(fe) de l’établissement d’enseignement secondaire spécialisé de plein exercice ou son délégué (dénomination et adresse du siège administratif)</w:t>
      </w:r>
    </w:p>
    <w:p w:rsidR="00F04EEF" w:rsidRDefault="0099351E">
      <w:r>
        <w:t>..........................................................................................................................</w:t>
      </w:r>
    </w:p>
    <w:p w:rsidR="00F04EEF" w:rsidRDefault="0099351E">
      <w:r>
        <w:t>..........................................................................................................................</w:t>
      </w:r>
    </w:p>
    <w:p w:rsidR="00F04EEF" w:rsidRDefault="00F04EEF"/>
    <w:p w:rsidR="00F04EEF" w:rsidRDefault="0099351E">
      <w:r>
        <w:t xml:space="preserve">Téléphone, adresse électronique : </w:t>
      </w:r>
    </w:p>
    <w:p w:rsidR="00F04EEF" w:rsidRDefault="0099351E">
      <w:r>
        <w:t>..........................................................................................................................</w:t>
      </w:r>
    </w:p>
    <w:p w:rsidR="00F04EEF" w:rsidRDefault="0099351E">
      <w:r>
        <w:t>..........................................................................................................................</w:t>
      </w:r>
    </w:p>
    <w:p w:rsidR="00F04EEF" w:rsidRDefault="0099351E">
      <w:r>
        <w:t>..........................................................................................................................</w:t>
      </w:r>
    </w:p>
    <w:p w:rsidR="00F04EEF" w:rsidRDefault="00F04EEF"/>
    <w:p w:rsidR="00F04EEF" w:rsidRDefault="0099351E">
      <w:r>
        <w:t>ci-dessous dénommé l’établissement scolaire;</w:t>
      </w:r>
    </w:p>
    <w:p w:rsidR="00F04EEF" w:rsidRDefault="00F04EEF"/>
    <w:p w:rsidR="00F04EEF" w:rsidRDefault="0099351E">
      <w:r>
        <w:t>3/ Mademoiselle/Madame/Monsieur : ..................................................................</w:t>
      </w:r>
    </w:p>
    <w:p w:rsidR="00F04EEF" w:rsidRDefault="0099351E">
      <w:r>
        <w:t>Adresse : ................................................................................................................</w:t>
      </w:r>
    </w:p>
    <w:p w:rsidR="00F04EEF" w:rsidRDefault="0099351E">
      <w:r>
        <w:t>..........................................................................................................................</w:t>
      </w:r>
    </w:p>
    <w:p w:rsidR="00F04EEF" w:rsidRDefault="0099351E">
      <w:r>
        <w:t>Téléphone : ............................................................................................................</w:t>
      </w:r>
    </w:p>
    <w:p w:rsidR="00F04EEF" w:rsidRDefault="0099351E">
      <w:r>
        <w:t>Né(e) le :  _ _  / _ _ / _ _ _ _</w:t>
      </w:r>
    </w:p>
    <w:p w:rsidR="00F04EEF" w:rsidRDefault="0099351E">
      <w:r>
        <w:t xml:space="preserve">Elève de l’établissement scolaire susmentionné dans : </w:t>
      </w:r>
    </w:p>
    <w:p w:rsidR="00F04EEF" w:rsidRDefault="0099351E">
      <w:r>
        <w:t>le secteur professionnel : …………………………………………………………………………………………………</w:t>
      </w:r>
    </w:p>
    <w:p w:rsidR="00F04EEF" w:rsidRDefault="0099351E">
      <w:r>
        <w:t>le groupe professionnel : …………………………………………………………………………………………………</w:t>
      </w:r>
    </w:p>
    <w:p w:rsidR="00F04EEF" w:rsidRDefault="0099351E">
      <w:r>
        <w:t>le métier : ………………………………………………………………………………………………………………………</w:t>
      </w:r>
    </w:p>
    <w:p w:rsidR="00F04EEF" w:rsidRDefault="00F04EEF">
      <w:pPr>
        <w:jc w:val="both"/>
      </w:pPr>
    </w:p>
    <w:p w:rsidR="00F04EEF" w:rsidRDefault="0099351E">
      <w:pPr>
        <w:jc w:val="both"/>
      </w:pPr>
      <w:r>
        <w:t>dans l’enseignement secondaire spécialisé de forme 3, ci-dessous dénommé(e) le stagiaire;</w:t>
      </w:r>
    </w:p>
    <w:p w:rsidR="00F04EEF" w:rsidRDefault="0099351E">
      <w:pPr>
        <w:jc w:val="both"/>
      </w:pPr>
      <w:r>
        <w:t>Le stagiaire mineur est représenté par (nom et adresse des parents ou de la personne investie l’autorité parentale) ......................................................................................................................</w:t>
      </w:r>
    </w:p>
    <w:p w:rsidR="00F04EEF" w:rsidRDefault="00F04EEF"/>
    <w:p w:rsidR="00F04EEF" w:rsidRDefault="0099351E">
      <w:r>
        <w:t>il est convenu ce qui suit :</w:t>
      </w:r>
    </w:p>
    <w:p w:rsidR="00F04EEF" w:rsidRDefault="00F04EEF">
      <w:pPr>
        <w:rPr>
          <w:b/>
        </w:rPr>
      </w:pPr>
    </w:p>
    <w:p w:rsidR="00F04EEF" w:rsidRDefault="0099351E">
      <w:r>
        <w:rPr>
          <w:b/>
        </w:rPr>
        <w:t>Article 1</w:t>
      </w:r>
      <w:r>
        <w:rPr>
          <w:b/>
          <w:vertAlign w:val="superscript"/>
        </w:rPr>
        <w:t>er</w:t>
      </w:r>
      <w:r>
        <w:rPr>
          <w:b/>
        </w:rPr>
        <w:t xml:space="preserve"> : </w:t>
      </w:r>
      <w:r>
        <w:t>Droits et devoirs des parties concernées par le stage</w:t>
      </w:r>
    </w:p>
    <w:p w:rsidR="00F04EEF" w:rsidRDefault="00F04EEF">
      <w:pPr>
        <w:jc w:val="both"/>
      </w:pPr>
    </w:p>
    <w:p w:rsidR="00F04EEF" w:rsidRDefault="0099351E">
      <w:pPr>
        <w:jc w:val="both"/>
      </w:pPr>
      <w:r>
        <w:t xml:space="preserve">Le stage suppose une relation tripartite entre l’établissement scolaire, l’élève (et ses parents ou ses représentants légaux s’il est mineur) et le milieu professionnel. </w:t>
      </w:r>
    </w:p>
    <w:p w:rsidR="00F04EEF" w:rsidRDefault="00F04EEF">
      <w:pPr>
        <w:pStyle w:val="Paragraphedeliste1"/>
        <w:ind w:left="0"/>
        <w:jc w:val="both"/>
        <w:rPr>
          <w:rFonts w:asciiTheme="majorHAnsi" w:hAnsiTheme="majorHAnsi"/>
        </w:rPr>
      </w:pPr>
    </w:p>
    <w:p w:rsidR="00F04EEF" w:rsidRDefault="0099351E">
      <w:pPr>
        <w:pStyle w:val="Paragraphedeliste1"/>
        <w:numPr>
          <w:ilvl w:val="0"/>
          <w:numId w:val="173"/>
        </w:numPr>
        <w:suppressAutoHyphens w:val="0"/>
        <w:ind w:left="360"/>
        <w:contextualSpacing/>
        <w:jc w:val="both"/>
        <w:rPr>
          <w:rFonts w:asciiTheme="majorHAnsi" w:hAnsiTheme="majorHAnsi"/>
        </w:rPr>
      </w:pPr>
      <w:r>
        <w:rPr>
          <w:rFonts w:asciiTheme="majorHAnsi" w:hAnsiTheme="majorHAnsi"/>
        </w:rPr>
        <w:t>Le milieu professionnel s’engage à</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réaliser une analyse de risques auxquels le stagiaire peut être exposé,</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accueillir le stagiaire, notamment en lui donnant et en lui commentant le règlement de travail,</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assurer l’encadrement du stagiaire en bon père de famille et lui désigner un «tuteur»,</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 xml:space="preserve">lui offrir des opportunités de découverte du milieu professionnel, </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 xml:space="preserve">respecter les objectifs du stage tels que définis par l’établissement scolaire, </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respecter la planification des stages convenue avec l’établissement scolaire ainsi que le nombre d’heures à prester par jour et par stagiaire,</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fournir au stagiaire les vêtements et équipements de sécurité si nécessaire,</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informer l’établissement scolaire de toute absence du stagiaire et de tout autre problème pouvant apparaître au cours de la période de stage et de nature à influencer cette formation,</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couvrir sa responsabilité civile vis-à-vis du stagiaire par une police d’assurance,</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être à même, à tout moment, de renseigner l’établissement scolaire quant à la localisation du stagiaire,</w:t>
      </w:r>
    </w:p>
    <w:p w:rsidR="00F04EEF" w:rsidRDefault="0099351E">
      <w:pPr>
        <w:numPr>
          <w:ilvl w:val="0"/>
          <w:numId w:val="174"/>
        </w:numPr>
        <w:autoSpaceDE w:val="0"/>
        <w:autoSpaceDN w:val="0"/>
        <w:adjustRightInd w:val="0"/>
        <w:ind w:left="927"/>
        <w:jc w:val="both"/>
        <w:rPr>
          <w:rFonts w:cs="Century Schoolbook"/>
          <w:lang w:eastAsia="fr-BE"/>
        </w:rPr>
      </w:pPr>
      <w:r>
        <w:rPr>
          <w:rFonts w:cs="Century Schoolbook"/>
          <w:lang w:eastAsia="fr-BE"/>
        </w:rPr>
        <w:t>assurer la sécurité du stagiaire en tout temps.</w:t>
      </w:r>
    </w:p>
    <w:p w:rsidR="00F04EEF" w:rsidRDefault="00F04EEF">
      <w:pPr>
        <w:autoSpaceDE w:val="0"/>
        <w:autoSpaceDN w:val="0"/>
        <w:adjustRightInd w:val="0"/>
        <w:jc w:val="both"/>
        <w:rPr>
          <w:rFonts w:cs="Century Schoolbook"/>
          <w:lang w:eastAsia="fr-BE"/>
        </w:rPr>
      </w:pPr>
    </w:p>
    <w:p w:rsidR="00F04EEF" w:rsidRDefault="0099351E">
      <w:pPr>
        <w:pStyle w:val="Paragraphedeliste1"/>
        <w:numPr>
          <w:ilvl w:val="0"/>
          <w:numId w:val="173"/>
        </w:numPr>
        <w:suppressAutoHyphens w:val="0"/>
        <w:ind w:left="360"/>
        <w:contextualSpacing/>
        <w:jc w:val="both"/>
        <w:rPr>
          <w:rFonts w:asciiTheme="majorHAnsi" w:hAnsiTheme="majorHAnsi"/>
        </w:rPr>
      </w:pPr>
      <w:r>
        <w:rPr>
          <w:rFonts w:asciiTheme="majorHAnsi" w:hAnsiTheme="majorHAnsi"/>
        </w:rPr>
        <w:t>L’établissement scolaire s’engage à</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définir, dans un document,  le type de stage sollicité, sa durée et son horaire, les objectifs du stage,</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préparer l’élève au stage et aux obligations et responsabilités qui y sont attachées,</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désigner un membre de son personnel (dénommé « maître de stage ») qui soit l’interlocuteur privilégié du milieu professionnel et du stagiaire,</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informer le milieu professionnel de tout problème pouvant apparaître au cours de la période de stage et de nature à l’influencer,</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assurer le suivi du stagiaire en établissant un lien régulier avec le milieu professionnel pour vérifier que le stage se passe dans de bonnes conditions,</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intervenir en cas de problème (absentéisme, comportement non-adéquat, problèmes divers).</w:t>
      </w:r>
    </w:p>
    <w:p w:rsidR="00F04EEF" w:rsidRDefault="00F04EEF">
      <w:pPr>
        <w:autoSpaceDE w:val="0"/>
        <w:autoSpaceDN w:val="0"/>
        <w:adjustRightInd w:val="0"/>
        <w:jc w:val="both"/>
        <w:rPr>
          <w:rFonts w:cs="Century Schoolbook"/>
          <w:b/>
          <w:bCs/>
          <w:lang w:eastAsia="fr-BE"/>
        </w:rPr>
      </w:pPr>
    </w:p>
    <w:p w:rsidR="00F04EEF" w:rsidRDefault="00F04EEF">
      <w:pPr>
        <w:autoSpaceDE w:val="0"/>
        <w:autoSpaceDN w:val="0"/>
        <w:adjustRightInd w:val="0"/>
        <w:jc w:val="both"/>
        <w:rPr>
          <w:rFonts w:cs="Century Schoolbook"/>
          <w:b/>
          <w:bCs/>
          <w:lang w:eastAsia="fr-BE"/>
        </w:rPr>
      </w:pPr>
    </w:p>
    <w:p w:rsidR="00F04EEF" w:rsidRDefault="00F04EEF">
      <w:pPr>
        <w:autoSpaceDE w:val="0"/>
        <w:autoSpaceDN w:val="0"/>
        <w:adjustRightInd w:val="0"/>
        <w:jc w:val="both"/>
        <w:rPr>
          <w:rFonts w:cs="Century Schoolbook"/>
          <w:b/>
          <w:bCs/>
          <w:lang w:eastAsia="fr-BE"/>
        </w:rPr>
      </w:pPr>
    </w:p>
    <w:p w:rsidR="00F04EEF" w:rsidRDefault="0099351E">
      <w:pPr>
        <w:pStyle w:val="Paragraphedeliste1"/>
        <w:numPr>
          <w:ilvl w:val="0"/>
          <w:numId w:val="173"/>
        </w:numPr>
        <w:suppressAutoHyphens w:val="0"/>
        <w:ind w:left="360"/>
        <w:contextualSpacing/>
        <w:jc w:val="both"/>
        <w:rPr>
          <w:rFonts w:asciiTheme="majorHAnsi" w:hAnsiTheme="majorHAnsi"/>
        </w:rPr>
      </w:pPr>
      <w:r>
        <w:rPr>
          <w:rFonts w:asciiTheme="majorHAnsi" w:hAnsiTheme="majorHAnsi"/>
        </w:rPr>
        <w:t>Le stagiaire s’engage à</w:t>
      </w:r>
    </w:p>
    <w:p w:rsidR="00F04EEF" w:rsidRDefault="0099351E">
      <w:pPr>
        <w:numPr>
          <w:ilvl w:val="0"/>
          <w:numId w:val="175"/>
        </w:numPr>
        <w:autoSpaceDE w:val="0"/>
        <w:autoSpaceDN w:val="0"/>
        <w:adjustRightInd w:val="0"/>
        <w:ind w:left="927"/>
        <w:jc w:val="both"/>
        <w:rPr>
          <w:rFonts w:cs="Century Schoolbook"/>
          <w:lang w:eastAsia="fr-BE"/>
        </w:rPr>
      </w:pPr>
      <w:r>
        <w:t xml:space="preserve">se </w:t>
      </w:r>
      <w:r>
        <w:rPr>
          <w:rFonts w:cs="Century Schoolbook"/>
          <w:lang w:eastAsia="fr-BE"/>
        </w:rPr>
        <w:t xml:space="preserve">conformer au règlement en vigueur dans le milieu professionnel et aux dispositions dictées par des impératifs de sécurité, </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respecter les horaires du stage, respecter les personnes en charge de sa guidance, se montrer actif et responsable,</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 xml:space="preserve">informer le maître de stage de tout problème de nature à influencer le bon déroulement du stage, </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être toujours en possession de son carnet de stage,</w:t>
      </w:r>
    </w:p>
    <w:p w:rsidR="00F04EEF" w:rsidRDefault="0099351E">
      <w:pPr>
        <w:numPr>
          <w:ilvl w:val="0"/>
          <w:numId w:val="175"/>
        </w:numPr>
        <w:autoSpaceDE w:val="0"/>
        <w:autoSpaceDN w:val="0"/>
        <w:adjustRightInd w:val="0"/>
        <w:ind w:left="927"/>
        <w:jc w:val="both"/>
        <w:rPr>
          <w:rFonts w:cs="Century Schoolbook"/>
          <w:lang w:eastAsia="fr-BE"/>
        </w:rPr>
      </w:pPr>
      <w:r>
        <w:rPr>
          <w:rFonts w:cs="Century Schoolbook"/>
          <w:lang w:eastAsia="fr-BE"/>
        </w:rPr>
        <w:t>demeurer toujours sous la  guidance du tuteur ou d’un membre du personnel qualifié.</w:t>
      </w:r>
    </w:p>
    <w:p w:rsidR="00F04EEF" w:rsidRDefault="00F04EEF">
      <w:pPr>
        <w:jc w:val="both"/>
      </w:pPr>
    </w:p>
    <w:p w:rsidR="00F04EEF" w:rsidRDefault="0099351E">
      <w:pPr>
        <w:rPr>
          <w:b/>
        </w:rPr>
      </w:pPr>
      <w:r>
        <w:rPr>
          <w:b/>
        </w:rPr>
        <w:t>Article 2</w:t>
      </w:r>
    </w:p>
    <w:p w:rsidR="00F04EEF" w:rsidRDefault="00F04EEF">
      <w:pPr>
        <w:jc w:val="both"/>
      </w:pPr>
    </w:p>
    <w:p w:rsidR="00F04EEF" w:rsidRDefault="0099351E">
      <w:pPr>
        <w:jc w:val="both"/>
      </w:pPr>
      <w:r>
        <w:t>Les objectifs du stage sont définis dans un document ci-annexé. Ce document sera cosigné par le tuteur et par le maître de stage visé à l’article 5.</w:t>
      </w:r>
    </w:p>
    <w:p w:rsidR="00F04EEF" w:rsidRDefault="00F04EEF">
      <w:pPr>
        <w:jc w:val="both"/>
        <w:rPr>
          <w:b/>
        </w:rPr>
      </w:pPr>
    </w:p>
    <w:p w:rsidR="00F04EEF" w:rsidRDefault="0099351E">
      <w:pPr>
        <w:rPr>
          <w:b/>
        </w:rPr>
      </w:pPr>
      <w:r>
        <w:rPr>
          <w:b/>
        </w:rPr>
        <w:t>Article 3</w:t>
      </w:r>
    </w:p>
    <w:p w:rsidR="00F04EEF" w:rsidRDefault="00F04EEF">
      <w:pPr>
        <w:jc w:val="both"/>
      </w:pPr>
    </w:p>
    <w:p w:rsidR="00F04EEF" w:rsidRDefault="0099351E">
      <w:pPr>
        <w:jc w:val="both"/>
      </w:pPr>
      <w:r>
        <w:t>La présente convention prend cours le...............................et se terminera le ....................................... sauf accord des parties.</w:t>
      </w:r>
    </w:p>
    <w:p w:rsidR="00F04EEF" w:rsidRDefault="0099351E">
      <w:pPr>
        <w:jc w:val="both"/>
      </w:pPr>
      <w:r>
        <w:t>Sont joints en annexe, l’horaire et le calendrier de la formation.</w:t>
      </w:r>
    </w:p>
    <w:p w:rsidR="00F04EEF" w:rsidRDefault="0099351E">
      <w:pPr>
        <w:jc w:val="both"/>
      </w:pPr>
      <w:r>
        <w:t>Toute modification dans la durée et les dates prévues dans l’exécution du contrat de stage n’est autorisée qu’avec l’accord de tous les signataires de la présente convention et fera l’objet d’un avenant à la présente convention.</w:t>
      </w:r>
    </w:p>
    <w:p w:rsidR="00F04EEF" w:rsidRDefault="0099351E">
      <w:pPr>
        <w:jc w:val="both"/>
      </w:pPr>
      <w:r>
        <w:t>En aucun cas, les périodes d’observation et d’initiation du stagiaire ne pourront excéder 40 heures/semaine et 8 heures par jour, en ce compris les périodes de formation scolaire.</w:t>
      </w:r>
    </w:p>
    <w:p w:rsidR="00F04EEF" w:rsidRDefault="0099351E">
      <w:pPr>
        <w:jc w:val="both"/>
      </w:pPr>
      <w:r>
        <w:t>L’intervalle entre deux journées de stage doit être de 12 heures consécutives au moins.</w:t>
      </w:r>
    </w:p>
    <w:p w:rsidR="00F04EEF" w:rsidRDefault="0099351E">
      <w:pPr>
        <w:jc w:val="both"/>
      </w:pPr>
      <w:r>
        <w:t xml:space="preserve">Les stages de nuit (c’est-à-dire entre 23 heures et 6 heures) et les stages organisés le dimanche sont interdits. </w:t>
      </w:r>
    </w:p>
    <w:p w:rsidR="00F04EEF" w:rsidRDefault="00F04EEF">
      <w:pPr>
        <w:rPr>
          <w:b/>
        </w:rPr>
      </w:pPr>
    </w:p>
    <w:p w:rsidR="00F04EEF" w:rsidRDefault="0099351E">
      <w:pPr>
        <w:rPr>
          <w:b/>
        </w:rPr>
      </w:pPr>
      <w:r>
        <w:rPr>
          <w:b/>
        </w:rPr>
        <w:t>Article 4</w:t>
      </w:r>
    </w:p>
    <w:p w:rsidR="00F04EEF" w:rsidRDefault="00F04EEF"/>
    <w:p w:rsidR="00F04EEF" w:rsidRDefault="0099351E">
      <w:r>
        <w:t>L’établissement scolaire désigne Madame/Monsieur: ..........................................................................................................................</w:t>
      </w:r>
    </w:p>
    <w:p w:rsidR="00F04EEF" w:rsidRDefault="0099351E">
      <w:pPr>
        <w:jc w:val="both"/>
      </w:pPr>
      <w:r>
        <w:t>membre de son personnel, en qualité de «maître de stage » et lui confie le soin de suivre l’élève en stage, en concordance avec les objectifs poursuivis.</w:t>
      </w:r>
    </w:p>
    <w:p w:rsidR="00F04EEF" w:rsidRDefault="0099351E">
      <w:r>
        <w:t>L’entreprise désigne Madame/Monsieur: ..........................................................................................................................</w:t>
      </w:r>
    </w:p>
    <w:p w:rsidR="00F04EEF" w:rsidRDefault="0099351E">
      <w:r>
        <w:t>qui occupe la fonction de: ..........................................................................................................................</w:t>
      </w:r>
    </w:p>
    <w:p w:rsidR="00F04EEF" w:rsidRDefault="0099351E">
      <w:pPr>
        <w:jc w:val="both"/>
      </w:pPr>
      <w:r>
        <w:t>en qualité de «tuteur», lequel partagera avec le maître de stage le soin d’accompagner le stagiaire, en concordance avec les objectifs poursuivis.</w:t>
      </w:r>
    </w:p>
    <w:p w:rsidR="00F04EEF" w:rsidRDefault="00F04EEF">
      <w:pPr>
        <w:rPr>
          <w:b/>
        </w:rPr>
      </w:pPr>
    </w:p>
    <w:p w:rsidR="00F04EEF" w:rsidRDefault="0099351E">
      <w:pPr>
        <w:rPr>
          <w:b/>
        </w:rPr>
      </w:pPr>
      <w:r>
        <w:rPr>
          <w:b/>
        </w:rPr>
        <w:t>Article 5</w:t>
      </w:r>
    </w:p>
    <w:p w:rsidR="00F04EEF" w:rsidRDefault="00F04EEF">
      <w:pPr>
        <w:jc w:val="both"/>
      </w:pPr>
    </w:p>
    <w:p w:rsidR="00F04EEF" w:rsidRDefault="0099351E">
      <w:pPr>
        <w:jc w:val="both"/>
      </w:pPr>
      <w:r>
        <w:t>§ 1</w:t>
      </w:r>
      <w:r>
        <w:rPr>
          <w:vertAlign w:val="superscript"/>
        </w:rPr>
        <w:t>er</w:t>
      </w:r>
      <w:r>
        <w:t>. En cas de force majeure, le stagiaire qui ne peut se présenter dans l’entreprise avertit aussitôt l’établissement scolaire et l’entreprise.</w:t>
      </w:r>
    </w:p>
    <w:p w:rsidR="00F04EEF" w:rsidRDefault="0099351E">
      <w:pPr>
        <w:jc w:val="both"/>
      </w:pPr>
      <w:r>
        <w:t>§ 2. Le stagiaire informera le maître de stage de tout problème de nature à influencer le bon déroulement du stage.</w:t>
      </w:r>
    </w:p>
    <w:p w:rsidR="00F04EEF" w:rsidRDefault="0099351E">
      <w:pPr>
        <w:jc w:val="both"/>
      </w:pPr>
      <w:r>
        <w:t>§ 3. Dans les plus brefs délais, le tuteur informera l’établissement scolaire de toute absence du stagiaire ou de tout autre problème pouvant apparaître au cours de la période de stage dans l’entreprise et de nature à influencer cette formation.</w:t>
      </w:r>
    </w:p>
    <w:p w:rsidR="00F04EEF" w:rsidRDefault="0099351E">
      <w:pPr>
        <w:jc w:val="both"/>
      </w:pPr>
      <w:r>
        <w:t>§ 4. L’entreprise sera à même, à tout moment, de renseigner l’établissement scolaire quant à la localisation du stagiaire.</w:t>
      </w:r>
    </w:p>
    <w:p w:rsidR="00F04EEF" w:rsidRDefault="0099351E">
      <w:pPr>
        <w:jc w:val="both"/>
      </w:pPr>
      <w:r>
        <w:t>§ 5. Le maître de stage informera l’entreprise de tout problème pouvant apparaître au cours de la période de stage et de nature à influencer la formation du stagiaire.</w:t>
      </w:r>
    </w:p>
    <w:p w:rsidR="00F04EEF" w:rsidRDefault="0099351E">
      <w:pPr>
        <w:jc w:val="both"/>
      </w:pPr>
      <w:r>
        <w:t>§ 6. Les informations dont objet aux paragraphes 2, 3 et 5 doivent revêtir un caractère de confidentialité.</w:t>
      </w:r>
    </w:p>
    <w:p w:rsidR="00F04EEF" w:rsidRDefault="00F04EEF">
      <w:pPr>
        <w:rPr>
          <w:b/>
        </w:rPr>
      </w:pPr>
    </w:p>
    <w:p w:rsidR="00F04EEF" w:rsidRDefault="0099351E">
      <w:pPr>
        <w:rPr>
          <w:b/>
        </w:rPr>
      </w:pPr>
      <w:r>
        <w:rPr>
          <w:b/>
        </w:rPr>
        <w:t>Article 6</w:t>
      </w:r>
    </w:p>
    <w:p w:rsidR="00F04EEF" w:rsidRDefault="00F04EEF">
      <w:pPr>
        <w:jc w:val="both"/>
      </w:pPr>
    </w:p>
    <w:p w:rsidR="00F04EEF" w:rsidRDefault="0099351E">
      <w:pPr>
        <w:jc w:val="both"/>
      </w:pPr>
      <w:r>
        <w:t>Le stagiaire continue de relever de la responsabilité de l’établissement scolaire où il est inscrit. Il n’existe entre lui et l’entreprise aucun engagement de louage de services.</w:t>
      </w:r>
    </w:p>
    <w:p w:rsidR="00F04EEF" w:rsidRDefault="0099351E">
      <w:pPr>
        <w:jc w:val="both"/>
      </w:pPr>
      <w:r>
        <w:t>Cette situation entraîne les conséquences suivantes :</w:t>
      </w:r>
    </w:p>
    <w:p w:rsidR="00F04EEF" w:rsidRDefault="0099351E">
      <w:pPr>
        <w:pStyle w:val="Paragraphedeliste1"/>
        <w:numPr>
          <w:ilvl w:val="0"/>
          <w:numId w:val="176"/>
        </w:numPr>
        <w:suppressAutoHyphens w:val="0"/>
        <w:ind w:left="360"/>
        <w:contextualSpacing/>
        <w:jc w:val="both"/>
        <w:rPr>
          <w:rFonts w:asciiTheme="majorHAnsi" w:hAnsiTheme="majorHAnsi"/>
        </w:rPr>
      </w:pPr>
      <w:r>
        <w:rPr>
          <w:rFonts w:asciiTheme="majorHAnsi" w:hAnsiTheme="majorHAnsi"/>
        </w:rPr>
        <w:t>le stagiaire reste entièrement sous statut scolaire et, de ce fait, n’est ni rémunéré, ni assujetti à la législation sur la sécurité sociale;</w:t>
      </w:r>
    </w:p>
    <w:p w:rsidR="00F04EEF" w:rsidRDefault="0099351E">
      <w:pPr>
        <w:pStyle w:val="Paragraphedeliste1"/>
        <w:numPr>
          <w:ilvl w:val="0"/>
          <w:numId w:val="176"/>
        </w:numPr>
        <w:suppressAutoHyphens w:val="0"/>
        <w:ind w:left="360"/>
        <w:contextualSpacing/>
        <w:jc w:val="both"/>
        <w:rPr>
          <w:rFonts w:asciiTheme="majorHAnsi" w:hAnsiTheme="majorHAnsi"/>
        </w:rPr>
      </w:pPr>
      <w:r>
        <w:rPr>
          <w:rFonts w:asciiTheme="majorHAnsi" w:hAnsiTheme="majorHAnsi"/>
        </w:rPr>
        <w:t>en matière d’assurance:</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 pouvoir organisateur et/ou le (la) chef(fe) d’établissement veilleront à ce que leur contrat d’assurance couvre:</w:t>
      </w:r>
    </w:p>
    <w:p w:rsidR="00F04EEF" w:rsidRDefault="0099351E">
      <w:pPr>
        <w:ind w:left="1418" w:hanging="284"/>
        <w:jc w:val="both"/>
      </w:pPr>
      <w:r>
        <w:t>• la responsabilité civile du stagiaire et des maîtres de stage au sein de l’entreprise;</w:t>
      </w:r>
    </w:p>
    <w:p w:rsidR="00F04EEF" w:rsidRDefault="0099351E">
      <w:pPr>
        <w:ind w:left="1418" w:hanging="284"/>
        <w:jc w:val="both"/>
      </w:pPr>
      <w:r>
        <w:t>• les accidents corporels pouvant survenir au stagiaire au sein de l’entreprise, ainsi que sur les trajets domicile-entreprise ou établissement scolaire-entreprise;</w:t>
      </w:r>
    </w:p>
    <w:p w:rsidR="00F04EEF" w:rsidRDefault="0099351E">
      <w:pPr>
        <w:ind w:left="1418" w:hanging="284"/>
        <w:jc w:val="both"/>
      </w:pPr>
      <w:r>
        <w:t>• les actes techniques que les maîtres de stage seraient amenés à poser dans les entreprises.</w:t>
      </w:r>
    </w:p>
    <w:p w:rsidR="00F04EEF" w:rsidRDefault="0099351E">
      <w:r>
        <w:t>(dénomination de la compagnie d’assurance :.............................................</w:t>
      </w:r>
    </w:p>
    <w:p w:rsidR="00F04EEF" w:rsidRDefault="0099351E">
      <w:r>
        <w:t>numéro de police ....................................................................................</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l’entreprise vérifiera que son contrat d’assurance couvre bien sa responsabilité civile vis-à-vis du stagiaire. A défaut, elle fera en sorte qu’il en soit ainsi.</w:t>
      </w:r>
    </w:p>
    <w:p w:rsidR="00F04EEF" w:rsidRDefault="0099351E">
      <w:r>
        <w:t>(dénomination de la compagnie d’assurance :.............................................</w:t>
      </w:r>
    </w:p>
    <w:p w:rsidR="00F04EEF" w:rsidRDefault="0099351E">
      <w:r>
        <w:t>numéro de police ...................................................................................</w:t>
      </w:r>
    </w:p>
    <w:p w:rsidR="00F04EEF" w:rsidRDefault="00F04EEF">
      <w:pPr>
        <w:rPr>
          <w:b/>
        </w:rPr>
      </w:pPr>
    </w:p>
    <w:p w:rsidR="00F04EEF" w:rsidRDefault="0099351E">
      <w:pPr>
        <w:rPr>
          <w:b/>
        </w:rPr>
      </w:pPr>
      <w:r>
        <w:rPr>
          <w:b/>
        </w:rPr>
        <w:t>Article 7</w:t>
      </w:r>
    </w:p>
    <w:p w:rsidR="00F04EEF" w:rsidRDefault="00F04EEF">
      <w:pPr>
        <w:jc w:val="both"/>
      </w:pPr>
    </w:p>
    <w:p w:rsidR="00F04EEF" w:rsidRDefault="0099351E">
      <w:pPr>
        <w:jc w:val="both"/>
      </w:pPr>
      <w:r>
        <w:t>L’entreprise veille à fournir au stagiaire les vêtements et équipements de sécurité spécifiques à des tâches particulières.</w:t>
      </w:r>
    </w:p>
    <w:p w:rsidR="00F04EEF" w:rsidRDefault="00F04EEF">
      <w:pPr>
        <w:rPr>
          <w:b/>
        </w:rPr>
      </w:pPr>
    </w:p>
    <w:p w:rsidR="00F04EEF" w:rsidRDefault="0099351E">
      <w:pPr>
        <w:rPr>
          <w:b/>
        </w:rPr>
      </w:pPr>
      <w:r>
        <w:rPr>
          <w:b/>
        </w:rPr>
        <w:t>Article 8</w:t>
      </w:r>
    </w:p>
    <w:p w:rsidR="00F04EEF" w:rsidRDefault="00F04EEF">
      <w:pPr>
        <w:jc w:val="both"/>
      </w:pPr>
    </w:p>
    <w:p w:rsidR="00F04EEF" w:rsidRDefault="0099351E">
      <w:pPr>
        <w:jc w:val="both"/>
      </w:pPr>
      <w:r>
        <w:t>L’entreprise est tenue d’avertir l’établissement scolaire et/ou l’organisme chargé de la tutelle sanitaire de tout problème de nature médicale constaté dans l’entreprise.</w:t>
      </w:r>
    </w:p>
    <w:p w:rsidR="00F04EEF" w:rsidRDefault="00F04EEF">
      <w:pPr>
        <w:rPr>
          <w:b/>
        </w:rPr>
      </w:pPr>
    </w:p>
    <w:p w:rsidR="00F04EEF" w:rsidRDefault="0099351E">
      <w:pPr>
        <w:rPr>
          <w:b/>
        </w:rPr>
      </w:pPr>
      <w:r>
        <w:rPr>
          <w:b/>
        </w:rPr>
        <w:t>Article 9</w:t>
      </w:r>
    </w:p>
    <w:p w:rsidR="00F04EEF" w:rsidRDefault="00F04EEF">
      <w:pPr>
        <w:jc w:val="both"/>
      </w:pPr>
    </w:p>
    <w:p w:rsidR="00F04EEF" w:rsidRDefault="0099351E">
      <w:pPr>
        <w:jc w:val="both"/>
      </w:pPr>
      <w:r>
        <w:t>Le stagiaire accepte de se conformer au règlement en vigueur dans l’entreprise et aux dispositions dictées par des impératifs de sécurité.</w:t>
      </w:r>
    </w:p>
    <w:p w:rsidR="00F04EEF" w:rsidRDefault="0099351E">
      <w:pPr>
        <w:jc w:val="both"/>
      </w:pPr>
      <w:r>
        <w:t>Il s’engage, en outre, à ne pas dévoiler les informations à caractère confidentiel dont il aurait eu connaissance lors de son stage et à remettre à l’entreprise, à la fin du stage, tout document, matériau ou équipement mis à sa disposition au cours du stage.</w:t>
      </w:r>
    </w:p>
    <w:p w:rsidR="00F04EEF" w:rsidRDefault="0099351E">
      <w:pPr>
        <w:jc w:val="both"/>
      </w:pPr>
      <w: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rsidR="00F04EEF" w:rsidRDefault="0099351E">
      <w:pPr>
        <w:jc w:val="both"/>
      </w:pPr>
      <w:r>
        <w:t>De même, le stagiaire doit être en mesure de présenter sa convention de stage à toute demande formulée dans le cadre de la législation sociale.</w:t>
      </w:r>
    </w:p>
    <w:p w:rsidR="00F04EEF" w:rsidRDefault="0099351E">
      <w:pPr>
        <w:jc w:val="both"/>
      </w:pPr>
      <w:r>
        <w:t xml:space="preserve">Le stagiaire demeure toujours sous la  guidance du tuteur ou d’un membre du personnel qualifié. </w:t>
      </w:r>
    </w:p>
    <w:p w:rsidR="00F04EEF" w:rsidRDefault="00F04EEF">
      <w:pPr>
        <w:rPr>
          <w:b/>
        </w:rPr>
      </w:pPr>
    </w:p>
    <w:p w:rsidR="00F04EEF" w:rsidRDefault="0099351E">
      <w:pPr>
        <w:rPr>
          <w:b/>
        </w:rPr>
      </w:pPr>
      <w:r>
        <w:rPr>
          <w:b/>
        </w:rPr>
        <w:t>Article 10</w:t>
      </w:r>
    </w:p>
    <w:p w:rsidR="00F04EEF" w:rsidRDefault="00F04EEF">
      <w:pPr>
        <w:jc w:val="both"/>
      </w:pPr>
    </w:p>
    <w:p w:rsidR="00F04EEF" w:rsidRDefault="0099351E">
      <w:pPr>
        <w:jc w:val="both"/>
      </w:pPr>
      <w:r>
        <w:t>Il peut être mis fin à la convention de stage après concertation préalable entre toutes les parties. Elle peut être suspendue selon les mêmes modalités.</w:t>
      </w:r>
    </w:p>
    <w:p w:rsidR="00F04EEF" w:rsidRDefault="00F04EEF">
      <w:pPr>
        <w:jc w:val="both"/>
        <w:rPr>
          <w:b/>
        </w:rPr>
      </w:pPr>
    </w:p>
    <w:p w:rsidR="00F04EEF" w:rsidRDefault="0099351E">
      <w:pPr>
        <w:rPr>
          <w:b/>
        </w:rPr>
      </w:pPr>
      <w:r>
        <w:rPr>
          <w:b/>
        </w:rPr>
        <w:t>Article 11</w:t>
      </w:r>
    </w:p>
    <w:p w:rsidR="00F04EEF" w:rsidRDefault="00F04EEF">
      <w:pPr>
        <w:jc w:val="both"/>
      </w:pPr>
    </w:p>
    <w:p w:rsidR="00F04EEF" w:rsidRDefault="0099351E">
      <w:r>
        <w:t>Sans préjudice des articles de la présente convention, les dispositions convenues entre les établissements d’enseignement et des organismes sectoriels ou autres restent d’application. Elles sont éventuellement annexées à la présente.</w:t>
      </w:r>
    </w:p>
    <w:p w:rsidR="00F04EEF" w:rsidRDefault="00F04EEF"/>
    <w:p w:rsidR="00F04EEF" w:rsidRDefault="0099351E">
      <w:r>
        <w:t>Fait en...............................................exemplaires, le .................................</w:t>
      </w:r>
    </w:p>
    <w:p w:rsidR="00F04EEF" w:rsidRDefault="00F04EEF"/>
    <w:p w:rsidR="00F04EEF" w:rsidRDefault="0099351E">
      <w:r>
        <w:t>Pour l’entreprise,</w:t>
      </w:r>
    </w:p>
    <w:p w:rsidR="00F04EEF" w:rsidRDefault="0099351E">
      <w:r>
        <w:t>Lu et approuvé,  Cachet de l’entreprise,</w:t>
      </w:r>
    </w:p>
    <w:p w:rsidR="00F04EEF" w:rsidRDefault="00F04EEF"/>
    <w:p w:rsidR="00F04EEF" w:rsidRDefault="00F04EEF"/>
    <w:p w:rsidR="00F04EEF" w:rsidRDefault="0099351E">
      <w:r>
        <w:t>L’établissement scolaire,</w:t>
      </w:r>
    </w:p>
    <w:p w:rsidR="00F04EEF" w:rsidRDefault="0099351E">
      <w:r>
        <w:t>Lu et approuvé,  Cachet de l’établissement,</w:t>
      </w:r>
    </w:p>
    <w:p w:rsidR="00F04EEF" w:rsidRDefault="00F04EEF"/>
    <w:p w:rsidR="00F04EEF" w:rsidRDefault="00F04EEF"/>
    <w:p w:rsidR="00F04EEF" w:rsidRDefault="0099351E">
      <w:r>
        <w:t>L’élève,</w:t>
      </w:r>
    </w:p>
    <w:p w:rsidR="00F04EEF" w:rsidRDefault="0099351E">
      <w:r>
        <w:t>Lu et approuvé,</w:t>
      </w:r>
    </w:p>
    <w:p w:rsidR="00F04EEF" w:rsidRDefault="00F04EEF"/>
    <w:p w:rsidR="00F04EEF" w:rsidRDefault="00F04EEF"/>
    <w:p w:rsidR="00F04EEF" w:rsidRDefault="0099351E">
      <w:r>
        <w:t>Les parents ou la personne investie de l’autorité parentale (pour le stagiaire mineur),</w:t>
      </w:r>
    </w:p>
    <w:p w:rsidR="00F04EEF" w:rsidRDefault="0099351E">
      <w:r>
        <w:t>Lu et approuvé,</w:t>
      </w:r>
    </w:p>
    <w:p w:rsidR="00F04EEF" w:rsidRDefault="00F04EEF">
      <w:pPr>
        <w:rPr>
          <w:b/>
        </w:rPr>
      </w:pPr>
    </w:p>
    <w:p w:rsidR="00F04EEF" w:rsidRDefault="00F04EEF">
      <w:pPr>
        <w:rPr>
          <w:b/>
        </w:rPr>
      </w:pPr>
    </w:p>
    <w:p w:rsidR="00F04EEF" w:rsidRDefault="0099351E">
      <w:pPr>
        <w:rPr>
          <w:b/>
        </w:rPr>
      </w:pPr>
      <w:r>
        <w:rPr>
          <w:b/>
        </w:rPr>
        <w:t>Annexes à joindre</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les objectifs de la formation (article 2);</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l’horaire et le calendrier de la formation (article 3);</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les dispositions particulières éventuelles (article 11).</w:t>
      </w:r>
    </w:p>
    <w:p w:rsidR="00F04EEF" w:rsidRDefault="0099351E">
      <w:pPr>
        <w:pStyle w:val="Titre4"/>
      </w:pPr>
      <w:bookmarkStart w:id="4159" w:name="_Annexe_3_:_3"/>
      <w:bookmarkEnd w:id="4159"/>
      <w:r>
        <w:br w:type="page"/>
      </w:r>
      <w:bookmarkStart w:id="4160" w:name="_Toc414353019"/>
      <w:bookmarkStart w:id="4161" w:name="_Toc453837045"/>
      <w:r>
        <w:t>Annexe 3 : Modalités propres aux stages de pratique accompagnée</w:t>
      </w:r>
      <w:bookmarkEnd w:id="4160"/>
      <w:bookmarkEnd w:id="4161"/>
    </w:p>
    <w:p w:rsidR="00F04EEF" w:rsidRDefault="00F04EEF">
      <w:pPr>
        <w:pStyle w:val="Paragraphedeliste1"/>
        <w:ind w:left="0"/>
        <w:jc w:val="both"/>
        <w:rPr>
          <w:rFonts w:asciiTheme="majorHAnsi" w:hAnsiTheme="majorHAnsi"/>
        </w:rPr>
      </w:pPr>
    </w:p>
    <w:p w:rsidR="00F04EEF" w:rsidRDefault="0099351E">
      <w:pPr>
        <w:tabs>
          <w:tab w:val="num" w:pos="1068"/>
        </w:tabs>
        <w:jc w:val="both"/>
        <w:rPr>
          <w:u w:val="single"/>
        </w:rPr>
      </w:pPr>
      <w:r>
        <w:rPr>
          <w:u w:val="single"/>
        </w:rPr>
        <w:t>Lieu </w:t>
      </w:r>
    </w:p>
    <w:p w:rsidR="00F04EEF" w:rsidRDefault="00F04EEF">
      <w:pPr>
        <w:tabs>
          <w:tab w:val="num" w:pos="106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Milieu professionnel</w:t>
      </w:r>
    </w:p>
    <w:p w:rsidR="00F04EEF" w:rsidRDefault="00F04EEF">
      <w:pPr>
        <w:pStyle w:val="Paragraphedeliste1"/>
        <w:ind w:left="0"/>
        <w:jc w:val="both"/>
        <w:rPr>
          <w:rFonts w:asciiTheme="majorHAnsi" w:hAnsiTheme="majorHAnsi"/>
        </w:rPr>
      </w:pPr>
    </w:p>
    <w:p w:rsidR="00F04EEF" w:rsidRDefault="0099351E">
      <w:pPr>
        <w:tabs>
          <w:tab w:val="num" w:pos="1068"/>
        </w:tabs>
        <w:jc w:val="both"/>
        <w:rPr>
          <w:u w:val="single"/>
        </w:rPr>
      </w:pPr>
      <w:r>
        <w:rPr>
          <w:u w:val="single"/>
        </w:rPr>
        <w:t>Degré d’autonomie</w:t>
      </w:r>
    </w:p>
    <w:p w:rsidR="00F04EEF" w:rsidRDefault="00F04EEF">
      <w:pPr>
        <w:tabs>
          <w:tab w:val="num" w:pos="106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Modérée / travail sous guidance du milieu professionnel</w:t>
      </w:r>
    </w:p>
    <w:p w:rsidR="00F04EEF" w:rsidRDefault="00F04EEF">
      <w:pPr>
        <w:pStyle w:val="Paragraphedeliste1"/>
        <w:ind w:left="0"/>
        <w:jc w:val="both"/>
        <w:rPr>
          <w:rFonts w:asciiTheme="majorHAnsi" w:hAnsiTheme="majorHAnsi"/>
        </w:rPr>
      </w:pPr>
    </w:p>
    <w:p w:rsidR="00F04EEF" w:rsidRDefault="0099351E">
      <w:pPr>
        <w:tabs>
          <w:tab w:val="num" w:pos="1068"/>
        </w:tabs>
        <w:jc w:val="both"/>
        <w:rPr>
          <w:u w:val="single"/>
        </w:rPr>
      </w:pPr>
      <w:r>
        <w:rPr>
          <w:u w:val="single"/>
        </w:rPr>
        <w:t>Horaire</w:t>
      </w:r>
    </w:p>
    <w:p w:rsidR="00F04EEF" w:rsidRDefault="00F04EEF">
      <w:pPr>
        <w:tabs>
          <w:tab w:val="num" w:pos="106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Horaire du milieu professionnel / stages pendant les congés scolaires autorisés (décision du conseil de classe)</w:t>
      </w:r>
    </w:p>
    <w:p w:rsidR="00F04EEF" w:rsidRDefault="00F04EEF">
      <w:pPr>
        <w:pStyle w:val="Paragraphedeliste1"/>
        <w:ind w:left="0"/>
        <w:jc w:val="both"/>
        <w:rPr>
          <w:rFonts w:asciiTheme="majorHAnsi" w:hAnsiTheme="majorHAnsi"/>
        </w:rPr>
      </w:pPr>
    </w:p>
    <w:p w:rsidR="00F04EEF" w:rsidRDefault="0099351E">
      <w:pPr>
        <w:tabs>
          <w:tab w:val="num" w:pos="1068"/>
        </w:tabs>
        <w:jc w:val="both"/>
        <w:rPr>
          <w:u w:val="single"/>
        </w:rPr>
      </w:pPr>
      <w:r>
        <w:rPr>
          <w:u w:val="single"/>
        </w:rPr>
        <w:t>Type d’activités</w:t>
      </w:r>
    </w:p>
    <w:p w:rsidR="00F04EEF" w:rsidRDefault="00F04EEF">
      <w:pPr>
        <w:tabs>
          <w:tab w:val="num" w:pos="106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Exécution sous guidance de tâches de plus en plus complexes en fonction du programme d’études</w:t>
      </w:r>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 xml:space="preserve">Suivi assuré par l’établissement scolaire </w:t>
      </w:r>
    </w:p>
    <w:p w:rsidR="00F04EEF" w:rsidRDefault="00F04EEF">
      <w:pPr>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Au moins 2 fois par semaine sous forme de visites, téléphones, courriels…</w:t>
      </w:r>
    </w:p>
    <w:p w:rsidR="00F04EEF" w:rsidRDefault="00F04EEF">
      <w:pPr>
        <w:pStyle w:val="Paragraphedeliste1"/>
        <w:ind w:left="0"/>
        <w:jc w:val="both"/>
        <w:rPr>
          <w:rFonts w:asciiTheme="majorHAnsi" w:hAnsiTheme="majorHAnsi"/>
        </w:rPr>
      </w:pPr>
    </w:p>
    <w:p w:rsidR="00F04EEF" w:rsidRDefault="0099351E">
      <w:pPr>
        <w:tabs>
          <w:tab w:val="num" w:pos="1068"/>
        </w:tabs>
        <w:jc w:val="both"/>
        <w:rPr>
          <w:u w:val="single"/>
        </w:rPr>
      </w:pPr>
      <w:r>
        <w:rPr>
          <w:u w:val="single"/>
        </w:rPr>
        <w:t>Encadrement</w:t>
      </w:r>
    </w:p>
    <w:p w:rsidR="00F04EEF" w:rsidRDefault="00F04EEF">
      <w:pPr>
        <w:tabs>
          <w:tab w:val="num" w:pos="106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Partenariat contractualisé école-milieu professionnel (convention)</w:t>
      </w:r>
    </w:p>
    <w:p w:rsidR="00F04EEF" w:rsidRDefault="00F04EEF">
      <w:pPr>
        <w:pStyle w:val="Paragraphedeliste1"/>
        <w:ind w:left="0"/>
        <w:jc w:val="both"/>
        <w:rPr>
          <w:rFonts w:asciiTheme="majorHAnsi" w:hAnsiTheme="majorHAnsi"/>
        </w:rPr>
      </w:pPr>
    </w:p>
    <w:p w:rsidR="00F04EEF" w:rsidRDefault="0099351E">
      <w:pPr>
        <w:tabs>
          <w:tab w:val="num" w:pos="1068"/>
        </w:tabs>
        <w:jc w:val="both"/>
        <w:rPr>
          <w:u w:val="single"/>
        </w:rPr>
      </w:pPr>
      <w:r>
        <w:rPr>
          <w:u w:val="single"/>
        </w:rPr>
        <w:t>Type d’évaluation</w:t>
      </w:r>
    </w:p>
    <w:p w:rsidR="00F04EEF" w:rsidRDefault="00F04EEF">
      <w:pPr>
        <w:tabs>
          <w:tab w:val="num" w:pos="106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Formative et/ou certificative (en collaboration avec le milieu professionnel) ; l’évaluation peut être réalisée sur le lieu de stage</w:t>
      </w:r>
    </w:p>
    <w:p w:rsidR="00F04EEF" w:rsidRDefault="00F04EEF">
      <w:pPr>
        <w:pStyle w:val="Paragraphedeliste1"/>
        <w:ind w:left="0"/>
        <w:jc w:val="both"/>
        <w:rPr>
          <w:rFonts w:asciiTheme="majorHAnsi" w:hAnsiTheme="majorHAnsi"/>
        </w:rPr>
      </w:pPr>
    </w:p>
    <w:p w:rsidR="00F04EEF" w:rsidRDefault="0099351E">
      <w:pPr>
        <w:jc w:val="both"/>
        <w:rPr>
          <w:u w:val="single"/>
        </w:rPr>
      </w:pPr>
      <w:r>
        <w:rPr>
          <w:u w:val="single"/>
        </w:rPr>
        <w:t>Aspects financiers</w:t>
      </w:r>
    </w:p>
    <w:p w:rsidR="00F04EEF" w:rsidRDefault="00F04EEF">
      <w:pPr>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rsidR="00F04EEF" w:rsidRDefault="0099351E">
      <w:pPr>
        <w:pStyle w:val="Titre4"/>
      </w:pPr>
      <w:bookmarkStart w:id="4162" w:name="_Annexe_4_:_6"/>
      <w:bookmarkEnd w:id="4162"/>
      <w:r>
        <w:br w:type="page"/>
      </w:r>
      <w:bookmarkStart w:id="4163" w:name="_Toc414353020"/>
      <w:bookmarkStart w:id="4164" w:name="_Toc453837046"/>
      <w:r>
        <w:t>Annexe 4 : Convention-type pour les stages de pratique accompagnée et de pratique en responsabilité</w:t>
      </w:r>
      <w:bookmarkEnd w:id="4163"/>
      <w:bookmarkEnd w:id="4164"/>
    </w:p>
    <w:p w:rsidR="00F04EEF" w:rsidRDefault="00F04EEF">
      <w:pPr>
        <w:jc w:val="both"/>
        <w:rPr>
          <w:b/>
        </w:rPr>
      </w:pPr>
    </w:p>
    <w:p w:rsidR="00F04EEF" w:rsidRDefault="0099351E">
      <w:pPr>
        <w:jc w:val="center"/>
        <w:rPr>
          <w:b/>
        </w:rPr>
      </w:pPr>
      <w:r>
        <w:rPr>
          <w:b/>
        </w:rPr>
        <w:t>ENSEIGNEMENT SECONDAIRE SPECIALISE DE FORME 3</w:t>
      </w:r>
    </w:p>
    <w:p w:rsidR="00F04EEF" w:rsidRDefault="0099351E">
      <w:pPr>
        <w:jc w:val="center"/>
        <w:rPr>
          <w:b/>
        </w:rPr>
      </w:pPr>
      <w:r>
        <w:rPr>
          <w:b/>
        </w:rPr>
        <w:t>CONVENTION DE STAGE EN ENTREPRISE DANS LE CADRE DE LA FORMATION QUALIFIANTE</w:t>
      </w:r>
    </w:p>
    <w:p w:rsidR="00F04EEF" w:rsidRDefault="0099351E">
      <w:pPr>
        <w:jc w:val="center"/>
        <w:rPr>
          <w:b/>
        </w:rPr>
      </w:pPr>
      <w:r>
        <w:rPr>
          <w:b/>
        </w:rPr>
        <w:t>(stages de pratique accompagnée et de pratique en responsabilité)</w:t>
      </w:r>
    </w:p>
    <w:p w:rsidR="00F04EEF" w:rsidRDefault="00F04EEF">
      <w:pPr>
        <w:jc w:val="center"/>
        <w:rPr>
          <w:b/>
        </w:rPr>
      </w:pPr>
    </w:p>
    <w:p w:rsidR="00F04EEF" w:rsidRDefault="0099351E">
      <w:r>
        <w:t>Phase ……………</w:t>
      </w:r>
    </w:p>
    <w:p w:rsidR="00F04EEF" w:rsidRDefault="0099351E">
      <w:r>
        <w:t>Année scolaire  ……/……</w:t>
      </w:r>
    </w:p>
    <w:p w:rsidR="00F04EEF" w:rsidRDefault="00F04EEF"/>
    <w:p w:rsidR="00F04EEF" w:rsidRDefault="0099351E">
      <w:r>
        <w:t>Entre les soussigné(e)s :</w:t>
      </w:r>
    </w:p>
    <w:p w:rsidR="00F04EEF" w:rsidRDefault="00F04EEF"/>
    <w:p w:rsidR="00F04EEF" w:rsidRDefault="0099351E">
      <w:r>
        <w:t>1/  ......................................................................................................................</w:t>
      </w:r>
    </w:p>
    <w:p w:rsidR="00F04EEF" w:rsidRDefault="0099351E">
      <w:r>
        <w:t>(dénomination de l’entreprise, de l’institution, de l’administration publique, du pôle technologique,…)</w:t>
      </w:r>
    </w:p>
    <w:p w:rsidR="00F04EEF" w:rsidRDefault="0099351E">
      <w:r>
        <w:t>Situé(e) à (adresse – tél– adresse électronique)</w:t>
      </w:r>
    </w:p>
    <w:p w:rsidR="00F04EEF" w:rsidRDefault="0099351E">
      <w:r>
        <w:t>...........................................................................................................................</w:t>
      </w:r>
    </w:p>
    <w:p w:rsidR="00F04EEF" w:rsidRDefault="0099351E">
      <w:r>
        <w:t>...........................................................................................................................</w:t>
      </w:r>
    </w:p>
    <w:p w:rsidR="00F04EEF" w:rsidRDefault="0099351E">
      <w:r>
        <w:t>Secteur d’activités : ...............................................................................................</w:t>
      </w:r>
    </w:p>
    <w:p w:rsidR="00F04EEF" w:rsidRDefault="0099351E">
      <w:r>
        <w:t>Forme juridique (*) : .............................................................................................</w:t>
      </w:r>
    </w:p>
    <w:p w:rsidR="00F04EEF" w:rsidRDefault="0099351E">
      <w:r>
        <w:t>N° ONSS ou RC (*) : .............................................................................................</w:t>
      </w:r>
    </w:p>
    <w:p w:rsidR="00F04EEF" w:rsidRDefault="0099351E">
      <w:r>
        <w:t>Représenté(e) par Madame/Monsieur : .....................................................................</w:t>
      </w:r>
    </w:p>
    <w:p w:rsidR="00F04EEF" w:rsidRDefault="0099351E">
      <w:r>
        <w:t>Fonction : .............................................................................................................</w:t>
      </w:r>
    </w:p>
    <w:p w:rsidR="00F04EEF" w:rsidRDefault="0099351E">
      <w:r>
        <w:t>ci-dessous dénommé(e) l’entreprise;</w:t>
      </w:r>
    </w:p>
    <w:p w:rsidR="00F04EEF" w:rsidRDefault="0099351E">
      <w:r>
        <w:t>(*) s’il échet</w:t>
      </w:r>
    </w:p>
    <w:p w:rsidR="00F04EEF" w:rsidRDefault="00F04EEF"/>
    <w:p w:rsidR="00F04EEF" w:rsidRDefault="0099351E">
      <w:r>
        <w:t>2/ Madame/Monsieur: ...........................................................................................</w:t>
      </w:r>
    </w:p>
    <w:p w:rsidR="00F04EEF" w:rsidRDefault="0099351E">
      <w:r>
        <w:t>Chef(fe) de l’établissement d’enseignement secondaire spécialisé de plein exercice ou son délégué (dénomination et adresse du siège administratif)</w:t>
      </w:r>
    </w:p>
    <w:p w:rsidR="00F04EEF" w:rsidRDefault="0099351E">
      <w:r>
        <w:t>...........................................................................................................................</w:t>
      </w:r>
    </w:p>
    <w:p w:rsidR="00F04EEF" w:rsidRDefault="0099351E">
      <w:r>
        <w:t>...........................................................................................................................</w:t>
      </w:r>
    </w:p>
    <w:p w:rsidR="00F04EEF" w:rsidRDefault="0099351E">
      <w:r>
        <w:t xml:space="preserve">Téléphone, adresse électronique : </w:t>
      </w:r>
    </w:p>
    <w:p w:rsidR="00F04EEF" w:rsidRDefault="0099351E">
      <w:r>
        <w:t>...........................................................................................................................</w:t>
      </w:r>
    </w:p>
    <w:p w:rsidR="00F04EEF" w:rsidRDefault="0099351E">
      <w:r>
        <w:t>...........................................................................................................................</w:t>
      </w:r>
    </w:p>
    <w:p w:rsidR="00F04EEF" w:rsidRDefault="0099351E">
      <w:r>
        <w:t>ci-dessous dénommé l’établissement scolaire;</w:t>
      </w:r>
    </w:p>
    <w:p w:rsidR="00F04EEF" w:rsidRDefault="00F04EEF"/>
    <w:p w:rsidR="00F04EEF" w:rsidRDefault="0099351E">
      <w:r>
        <w:t>3/ Mademoiselle/Madame/Monsieur : ..................................................................</w:t>
      </w:r>
    </w:p>
    <w:p w:rsidR="00F04EEF" w:rsidRDefault="0099351E">
      <w:r>
        <w:t>Adresse : ................................................................................................................</w:t>
      </w:r>
    </w:p>
    <w:p w:rsidR="00F04EEF" w:rsidRDefault="0099351E">
      <w:r>
        <w:t>Téléphone : ............................................................................................................</w:t>
      </w:r>
    </w:p>
    <w:p w:rsidR="00F04EEF" w:rsidRDefault="0099351E">
      <w:r>
        <w:t>Né(e) le :  _ _  / _ _ / _ _ _ _</w:t>
      </w:r>
    </w:p>
    <w:p w:rsidR="00F04EEF" w:rsidRDefault="0099351E">
      <w:r>
        <w:t>Elève de l’établissement scolaire susmentionné dans :</w:t>
      </w:r>
    </w:p>
    <w:p w:rsidR="00F04EEF" w:rsidRDefault="0099351E">
      <w:r>
        <w:t>le secteur professionnel : …………………………………………………………………………………………………</w:t>
      </w:r>
    </w:p>
    <w:p w:rsidR="00F04EEF" w:rsidRDefault="0099351E">
      <w:r>
        <w:t>le groupe professionnel : …………………………………………………………………………………………………</w:t>
      </w:r>
    </w:p>
    <w:p w:rsidR="00F04EEF" w:rsidRDefault="0099351E">
      <w:r>
        <w:t>le métier : ………………………………………………………………………………………………………………………</w:t>
      </w:r>
    </w:p>
    <w:p w:rsidR="00F04EEF" w:rsidRDefault="00F04EEF"/>
    <w:p w:rsidR="00F04EEF" w:rsidRDefault="0099351E">
      <w:pPr>
        <w:jc w:val="both"/>
      </w:pPr>
      <w:r>
        <w:t>dans l’enseignement secondaire spécialisé de forme 3, ci-dessous dénommé(e) le stagiaire;</w:t>
      </w:r>
    </w:p>
    <w:p w:rsidR="00F04EEF" w:rsidRDefault="0099351E">
      <w:pPr>
        <w:jc w:val="both"/>
      </w:pPr>
      <w:r>
        <w:t>Le stagiaire mineur est représenté par (nom et adresse des parents ou de la personne investie l’autorité parentale) :................................................................................................</w:t>
      </w:r>
    </w:p>
    <w:p w:rsidR="00F04EEF" w:rsidRDefault="00F04EEF"/>
    <w:p w:rsidR="00F04EEF" w:rsidRDefault="0099351E">
      <w:r>
        <w:t>il est convenu ce qui suit :</w:t>
      </w:r>
    </w:p>
    <w:p w:rsidR="00F04EEF" w:rsidRDefault="00F04EEF">
      <w:pPr>
        <w:rPr>
          <w:b/>
        </w:rPr>
      </w:pPr>
    </w:p>
    <w:p w:rsidR="00F04EEF" w:rsidRDefault="0099351E">
      <w:pPr>
        <w:rPr>
          <w:b/>
        </w:rPr>
      </w:pPr>
      <w:r>
        <w:rPr>
          <w:b/>
        </w:rPr>
        <w:t>Article 1er</w:t>
      </w:r>
    </w:p>
    <w:p w:rsidR="00F04EEF" w:rsidRDefault="00F04EEF">
      <w:pPr>
        <w:pStyle w:val="Paragraphedeliste1"/>
        <w:ind w:left="0"/>
        <w:jc w:val="both"/>
        <w:rPr>
          <w:rFonts w:asciiTheme="majorHAnsi" w:hAnsiTheme="majorHAnsi"/>
        </w:rPr>
      </w:pPr>
    </w:p>
    <w:p w:rsidR="00F04EEF" w:rsidRDefault="0099351E">
      <w:pPr>
        <w:pStyle w:val="Paragraphedeliste1"/>
        <w:ind w:left="0"/>
        <w:jc w:val="both"/>
        <w:rPr>
          <w:rFonts w:asciiTheme="majorHAnsi" w:hAnsiTheme="majorHAnsi"/>
        </w:rPr>
      </w:pPr>
      <w:r>
        <w:rPr>
          <w:rFonts w:asciiTheme="majorHAnsi" w:hAnsiTheme="majorHAnsi"/>
        </w:rPr>
        <w:t xml:space="preserve">Le stage suppose une relation tripartite entre l’établissement scolaire, l’élève (et ses parents ou ses représentants légaux s’il est mineur) et le milieu professionnel. </w:t>
      </w:r>
    </w:p>
    <w:p w:rsidR="00F04EEF" w:rsidRDefault="00F04EEF">
      <w:pPr>
        <w:pStyle w:val="Paragraphedeliste1"/>
        <w:ind w:left="0"/>
        <w:jc w:val="both"/>
        <w:rPr>
          <w:rFonts w:asciiTheme="majorHAnsi" w:hAnsiTheme="majorHAnsi"/>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L’entreprise s’engage à</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réaliser une analyse des risques auxquels le stagiaire peut être exposé,</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accueillir le stagiaire, notamment en lui donnant et en lui commentant le règlement de travail,</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assurer l’encadrement du stagiaire en bon père de famille et lui désigner un «tuteur»,</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 xml:space="preserve">lui offrir des situations de travail réelles dans une véritable perspective de formation, </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 xml:space="preserve">respecter les objectifs du stage tels que définis par l’établissement scolaire, </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respecter les choix pédagogiques définis par l’établissement scolaire en matière de formation professionnelle (objectifs, contenu, modalités de supervision, d’évaluation continue et formative),</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respecter la planification des stages convenue avec l’établissement scolaire ainsi que le nombre d’heures à prester par jour et par stagiaire,</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ne pas interrompre, par des propositions d’engagement, la poursuite de la formation scolaire du stagiaire,</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fournir au stagiaire les vêtements et équipements de sécurité spécifiques à des tâches particulières,</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avertir l’établissement scolaire et/ou l’organisme chargé de la tutelle sanitaire de tout problème de nature médicale constaté dans le milieu professionnel,</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informer l’établissement scolaire de toute absence du stagiaire et de tout autre problème pouvant apparaître au cours de la période de stage et de nature à influencer cette formation,</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couvrir sa responsabilité civile vis-à-vis du stagiaire par une police d’assurance,</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être à même, à tout moment, de renseigner l’établissement scolaire quant à la localisation du stagiaire,</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garantir, via la convention, au stagiaire et à l’établissement scolaire le respect des règlementations fédérales et régionales en matière de droit social, de sécurité, d’hygiène,</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garantir, via la convention, à l’établissement scolaire et au stagiaire une information sur les indemnités et libéralités envisagées.</w:t>
      </w:r>
    </w:p>
    <w:p w:rsidR="00F04EEF" w:rsidRDefault="00F04EEF">
      <w:pPr>
        <w:autoSpaceDE w:val="0"/>
        <w:autoSpaceDN w:val="0"/>
        <w:adjustRightInd w:val="0"/>
        <w:jc w:val="both"/>
        <w:rPr>
          <w:rFonts w:cs="Century Schoolbook"/>
          <w:lang w:eastAsia="fr-BE"/>
        </w:rPr>
      </w:pPr>
    </w:p>
    <w:p w:rsidR="00F04EEF" w:rsidRDefault="0099351E">
      <w:pPr>
        <w:pStyle w:val="Paragraphedeliste1"/>
        <w:numPr>
          <w:ilvl w:val="0"/>
          <w:numId w:val="173"/>
        </w:numPr>
        <w:suppressAutoHyphens w:val="0"/>
        <w:ind w:left="360"/>
        <w:contextualSpacing/>
        <w:jc w:val="both"/>
        <w:rPr>
          <w:rFonts w:asciiTheme="majorHAnsi" w:hAnsiTheme="majorHAnsi"/>
        </w:rPr>
      </w:pPr>
      <w:r>
        <w:rPr>
          <w:rFonts w:asciiTheme="majorHAnsi" w:hAnsiTheme="majorHAnsi"/>
        </w:rPr>
        <w:t>L’établissement scolaire s’engage à</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définir, dans le carnet de stage,  le type de stage sollicité, sa durée et son horaire, les objectifs de la formation et plus particulièrement de la formation en milieu professionnel durant le stage, les savoirs, aptitudes et compétences professionnelles à acquérir par le jeune durant le stage et les modalités d’évaluation formative ou certificative, en ce compris les grilles critériées quand elles existent,</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préparer l’élève au stage et aux obligations et responsabilités qui y sont attachées,</w:t>
      </w:r>
    </w:p>
    <w:p w:rsidR="00F04EEF" w:rsidRDefault="0099351E">
      <w:pPr>
        <w:numPr>
          <w:ilvl w:val="3"/>
          <w:numId w:val="173"/>
        </w:numPr>
        <w:autoSpaceDE w:val="0"/>
        <w:autoSpaceDN w:val="0"/>
        <w:adjustRightInd w:val="0"/>
        <w:ind w:left="927"/>
        <w:jc w:val="both"/>
        <w:rPr>
          <w:rFonts w:cs="Century Schoolbook"/>
          <w:lang w:eastAsia="fr-BE"/>
        </w:rPr>
      </w:pPr>
      <w:r>
        <w:rPr>
          <w:rFonts w:cs="Century Schoolbook"/>
          <w:lang w:eastAsia="fr-BE"/>
        </w:rPr>
        <w:t>assurer une formation préalable au stage qui prépare l’élève à en tirer les meilleurs bénéfices et s’assurer que l’élève a acquis les compétences de base qui lui permettent de tirer les meilleurs bénéfices du stage,</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désigner un membre de son personnel (dénommé « maître de stage ») qui soit l’interlocuteur privilégié du milieu professionnel et du stagiaire,</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informer le milieu professionnel de tout problème pouvant apparaître au cours de la période de stage et de nature à l’influencer,</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assurer le suivi du stagiaire en établissant un lien régulier avec le milieu professionnel pour vérifier que le stage se passe dans de bonnes conditions,</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intervenir en cas de problème (absentéisme, comportement non-adéquat, problèmes divers).</w:t>
      </w:r>
    </w:p>
    <w:p w:rsidR="00F04EEF" w:rsidRDefault="00F04EEF">
      <w:pPr>
        <w:autoSpaceDE w:val="0"/>
        <w:autoSpaceDN w:val="0"/>
        <w:adjustRightInd w:val="0"/>
        <w:jc w:val="both"/>
        <w:rPr>
          <w:rFonts w:cs="Century Schoolbook"/>
          <w:b/>
          <w:bCs/>
          <w:lang w:eastAsia="fr-B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Le stagiaire s’engage à</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 xml:space="preserve">se conformer au règlement en vigueur dans le milieu professionnel et aux dispositions dictées par des impératifs de sécurité, </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respecter les horaires du stage, respecter les personnes en charge de sa guidance, se montrer actif et responsable,</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informer le maître de stage de tout problème de nature à influencer le bon déroulement du stage,</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 xml:space="preserve">être toujours en possession de son carnet de stage, </w:t>
      </w:r>
    </w:p>
    <w:p w:rsidR="00F04EEF" w:rsidRDefault="0099351E">
      <w:pPr>
        <w:numPr>
          <w:ilvl w:val="0"/>
          <w:numId w:val="178"/>
        </w:numPr>
        <w:autoSpaceDE w:val="0"/>
        <w:autoSpaceDN w:val="0"/>
        <w:adjustRightInd w:val="0"/>
        <w:ind w:left="927"/>
        <w:jc w:val="both"/>
        <w:rPr>
          <w:rFonts w:cs="Century Schoolbook"/>
          <w:lang w:eastAsia="fr-BE"/>
        </w:rPr>
      </w:pPr>
      <w:r>
        <w:rPr>
          <w:rFonts w:cs="Century Schoolbook"/>
          <w:lang w:eastAsia="fr-BE"/>
        </w:rPr>
        <w:t>demeurer toujours sous la  guidance du tuteur ou d’un membre du personnel qualifié.</w:t>
      </w:r>
    </w:p>
    <w:p w:rsidR="00F04EEF" w:rsidRDefault="00F04EEF">
      <w:pPr>
        <w:jc w:val="both"/>
      </w:pPr>
    </w:p>
    <w:p w:rsidR="00F04EEF" w:rsidRDefault="0099351E">
      <w:pPr>
        <w:rPr>
          <w:b/>
        </w:rPr>
      </w:pPr>
      <w:r>
        <w:rPr>
          <w:b/>
        </w:rPr>
        <w:t>Article 2</w:t>
      </w:r>
    </w:p>
    <w:p w:rsidR="00F04EEF" w:rsidRDefault="00F04EEF">
      <w:pPr>
        <w:jc w:val="both"/>
      </w:pPr>
    </w:p>
    <w:p w:rsidR="00F04EEF" w:rsidRDefault="0099351E">
      <w:pPr>
        <w:jc w:val="both"/>
      </w:pPr>
      <w:r>
        <w:t>Les objectifs de la formation sont définis dans un document ci-annexé reprenant les compétences à développer et à exercer en cours de stage ainsi que les modes et les critères d’évaluation continue et formative.</w:t>
      </w:r>
    </w:p>
    <w:p w:rsidR="00F04EEF" w:rsidRDefault="0099351E">
      <w:pPr>
        <w:jc w:val="both"/>
      </w:pPr>
      <w:r>
        <w:t>Ce document sera cosigné par le tuteur et par le maître de stage visés à l’article 5.</w:t>
      </w:r>
    </w:p>
    <w:p w:rsidR="00F04EEF" w:rsidRDefault="00F04EEF">
      <w:pPr>
        <w:jc w:val="both"/>
        <w:rPr>
          <w:b/>
        </w:rPr>
      </w:pPr>
    </w:p>
    <w:p w:rsidR="00F04EEF" w:rsidRDefault="0099351E">
      <w:pPr>
        <w:jc w:val="both"/>
        <w:rPr>
          <w:b/>
        </w:rPr>
      </w:pPr>
      <w:r>
        <w:rPr>
          <w:b/>
        </w:rPr>
        <w:t>Article 3</w:t>
      </w:r>
    </w:p>
    <w:p w:rsidR="00F04EEF" w:rsidRDefault="00F04EEF">
      <w:pPr>
        <w:jc w:val="both"/>
      </w:pPr>
    </w:p>
    <w:p w:rsidR="00F04EEF" w:rsidRDefault="0099351E">
      <w:pPr>
        <w:jc w:val="both"/>
      </w:pPr>
      <w:r>
        <w:t>L’entreprise s’engage à ne pas interrompre, par des propositions d’engagement, la poursuite de la formation scolaire du stagiaire.</w:t>
      </w:r>
    </w:p>
    <w:p w:rsidR="00F04EEF" w:rsidRDefault="00F04EEF">
      <w:pPr>
        <w:rPr>
          <w:b/>
        </w:rPr>
      </w:pPr>
    </w:p>
    <w:p w:rsidR="00F04EEF" w:rsidRDefault="0099351E">
      <w:pPr>
        <w:rPr>
          <w:b/>
        </w:rPr>
      </w:pPr>
      <w:r>
        <w:rPr>
          <w:b/>
        </w:rPr>
        <w:t>Article 4</w:t>
      </w:r>
    </w:p>
    <w:p w:rsidR="00F04EEF" w:rsidRDefault="00F04EEF">
      <w:pPr>
        <w:jc w:val="both"/>
      </w:pPr>
    </w:p>
    <w:p w:rsidR="00F04EEF" w:rsidRDefault="0099351E">
      <w:pPr>
        <w:jc w:val="both"/>
      </w:pPr>
      <w:r>
        <w:t>La présente convention prend cours le..............................................et se terminera le ....................................... sauf accord des parties.</w:t>
      </w:r>
    </w:p>
    <w:p w:rsidR="00F04EEF" w:rsidRDefault="0099351E">
      <w:pPr>
        <w:jc w:val="both"/>
      </w:pPr>
      <w:r>
        <w:t>Sont joints en annexe, l’horaire et le calendrier de la formation.</w:t>
      </w:r>
    </w:p>
    <w:p w:rsidR="00F04EEF" w:rsidRDefault="0099351E">
      <w:pPr>
        <w:jc w:val="both"/>
      </w:pPr>
      <w:r>
        <w:t>Toute modification dans la durée et les dates prévues dans l’exécution du contrat de stage n’est autorisée qu’avec l’accord de tous les signataires de la présente convention et fera l’objet d’un avenant à la présente convention.</w:t>
      </w:r>
    </w:p>
    <w:p w:rsidR="00F04EEF" w:rsidRDefault="0099351E">
      <w:pPr>
        <w:jc w:val="both"/>
      </w:pPr>
      <w:r>
        <w:t>En aucun cas, les prestations du stagiaire ne pourront excéder 40 heures/semaine et 8 heures par jour, en ce compris les périodes de formation scolaire.</w:t>
      </w:r>
    </w:p>
    <w:p w:rsidR="00F04EEF" w:rsidRDefault="0099351E">
      <w:pPr>
        <w:jc w:val="both"/>
      </w:pPr>
      <w:r>
        <w:t>Le stagiaire ne peut fournir de prestations pendant plus de 4 heures et demie sans une interruption minimale d’une demi-heure.</w:t>
      </w:r>
    </w:p>
    <w:p w:rsidR="00F04EEF" w:rsidRDefault="0099351E">
      <w:pPr>
        <w:jc w:val="both"/>
      </w:pPr>
      <w:r>
        <w:t>L’intervalle entre deux journées de stage doit être de 12 heures consécutives au moins.</w:t>
      </w:r>
    </w:p>
    <w:p w:rsidR="00F04EEF" w:rsidRDefault="0099351E">
      <w:pPr>
        <w:jc w:val="both"/>
      </w:pPr>
      <w:r>
        <w:t>Les stages de nuit (c’est-à-dire entre 23 heures et 6 heures) sont interdits. Si des stages sont organisés le dimanche, ils ne pourront l’être qu’un dimanche sur deux.</w:t>
      </w:r>
    </w:p>
    <w:p w:rsidR="00F04EEF" w:rsidRDefault="00F04EEF">
      <w:pPr>
        <w:rPr>
          <w:b/>
        </w:rPr>
      </w:pPr>
    </w:p>
    <w:p w:rsidR="00F04EEF" w:rsidRDefault="0099351E">
      <w:pPr>
        <w:rPr>
          <w:b/>
        </w:rPr>
      </w:pPr>
      <w:r>
        <w:rPr>
          <w:b/>
        </w:rPr>
        <w:t>Article 5</w:t>
      </w:r>
    </w:p>
    <w:p w:rsidR="00F04EEF" w:rsidRDefault="00F04EEF"/>
    <w:p w:rsidR="00F04EEF" w:rsidRDefault="0099351E">
      <w:r>
        <w:t>L’établissement scolaire désigne Madame/Monsieur ………………………...................................</w:t>
      </w:r>
    </w:p>
    <w:p w:rsidR="00F04EEF" w:rsidRDefault="0099351E">
      <w:pPr>
        <w:jc w:val="both"/>
      </w:pPr>
      <w:r>
        <w:t>membre de son personnel, en qualité de « maître de stage » et lui confie le soin de conduire la formation en entreprise, en concordance avec les objectifs poursuivis.</w:t>
      </w:r>
    </w:p>
    <w:p w:rsidR="00F04EEF" w:rsidRDefault="0099351E">
      <w:r>
        <w:t>L’entreprise désigne Madame/Monsieur ………………….............................................................</w:t>
      </w:r>
    </w:p>
    <w:p w:rsidR="00F04EEF" w:rsidRDefault="0099351E">
      <w:r>
        <w:t>qui occupe la fonction de: ……………………………..........................................................................</w:t>
      </w:r>
    </w:p>
    <w:p w:rsidR="00F04EEF" w:rsidRDefault="0099351E">
      <w:r>
        <w:t>en qualité de «tuteur», lequel partagera avec le maître de stage le soin de conduire la formation en entreprise, en concordance avec les objectifs poursuivis.</w:t>
      </w:r>
    </w:p>
    <w:p w:rsidR="00F04EEF" w:rsidRDefault="00F04EEF">
      <w:pPr>
        <w:rPr>
          <w:b/>
        </w:rPr>
      </w:pPr>
    </w:p>
    <w:p w:rsidR="00F04EEF" w:rsidRDefault="0099351E">
      <w:pPr>
        <w:rPr>
          <w:b/>
        </w:rPr>
      </w:pPr>
      <w:r>
        <w:rPr>
          <w:b/>
        </w:rPr>
        <w:t>Article 6</w:t>
      </w:r>
    </w:p>
    <w:p w:rsidR="00F04EEF" w:rsidRDefault="00F04EEF">
      <w:pPr>
        <w:jc w:val="both"/>
      </w:pPr>
    </w:p>
    <w:p w:rsidR="00F04EEF" w:rsidRDefault="0099351E">
      <w:pPr>
        <w:jc w:val="both"/>
      </w:pPr>
      <w:r>
        <w:t>§ 1</w:t>
      </w:r>
      <w:r>
        <w:rPr>
          <w:vertAlign w:val="superscript"/>
        </w:rPr>
        <w:t>er</w:t>
      </w:r>
      <w:r>
        <w:t>. En cas de force majeure, le stagiaire qui ne peut se présenter dans l’entreprise avertit aussitôt l’établissement scolaire et l’entreprise.</w:t>
      </w:r>
    </w:p>
    <w:p w:rsidR="00F04EEF" w:rsidRDefault="0099351E">
      <w:pPr>
        <w:jc w:val="both"/>
      </w:pPr>
      <w:r>
        <w:t>§ 2. Le stagiaire informera le maître de stage de tout problème de nature à influencer le bon déroulement du stage.</w:t>
      </w:r>
    </w:p>
    <w:p w:rsidR="00F04EEF" w:rsidRDefault="0099351E">
      <w:pPr>
        <w:jc w:val="both"/>
      </w:pPr>
      <w:r>
        <w:t>§ 3. Dans les plus brefs délais, le tuteur informera l’établissement scolaire de toute absence du stagiaire ou de tout autre problème pouvant apparaître au cours de la période de stage dans l’entreprise et de nature à influencer cette formation.</w:t>
      </w:r>
    </w:p>
    <w:p w:rsidR="00F04EEF" w:rsidRDefault="0099351E">
      <w:pPr>
        <w:jc w:val="both"/>
      </w:pPr>
      <w:r>
        <w:t>§ 4. L’entreprise sera à même, à tout moment, de renseigner l’établissement scolaire quant à la localisation du stagiaire.</w:t>
      </w:r>
    </w:p>
    <w:p w:rsidR="00F04EEF" w:rsidRDefault="0099351E">
      <w:pPr>
        <w:jc w:val="both"/>
      </w:pPr>
      <w:r>
        <w:t>§ 5. Le maître de stage informera l’entreprise de tout problème pouvant apparaître au cours de la période de stage et de nature à influencer la formation du stagiaire.</w:t>
      </w:r>
    </w:p>
    <w:p w:rsidR="00F04EEF" w:rsidRDefault="0099351E">
      <w:pPr>
        <w:jc w:val="both"/>
      </w:pPr>
      <w:r>
        <w:t>§ 6. Les informations dont objet aux paragraphes 2, 3 et 5 doivent revêtir un caractère de confidentialité.</w:t>
      </w:r>
    </w:p>
    <w:p w:rsidR="00F04EEF" w:rsidRDefault="00F04EEF">
      <w:pPr>
        <w:jc w:val="both"/>
      </w:pPr>
    </w:p>
    <w:p w:rsidR="00F04EEF" w:rsidRDefault="0099351E">
      <w:pPr>
        <w:rPr>
          <w:b/>
        </w:rPr>
      </w:pPr>
      <w:r>
        <w:rPr>
          <w:b/>
        </w:rPr>
        <w:t>Article 7</w:t>
      </w:r>
    </w:p>
    <w:p w:rsidR="00F04EEF" w:rsidRDefault="00F04EEF">
      <w:pPr>
        <w:jc w:val="both"/>
      </w:pPr>
    </w:p>
    <w:p w:rsidR="00F04EEF" w:rsidRDefault="0099351E">
      <w:pPr>
        <w:jc w:val="both"/>
      </w:pPr>
      <w:r>
        <w:t>Le stagiaire continue de relever de la responsabilité de l’établissement scolaire où il est inscrit. Il n’existe entre lui et l’entreprise aucun engagement de louage de services.</w:t>
      </w:r>
    </w:p>
    <w:p w:rsidR="00F04EEF" w:rsidRDefault="0099351E">
      <w:pPr>
        <w:jc w:val="both"/>
      </w:pPr>
      <w:r>
        <w:t>Cette situation entraîne les conséquences suivantes :</w:t>
      </w:r>
    </w:p>
    <w:p w:rsidR="00F04EEF" w:rsidRDefault="0099351E">
      <w:pPr>
        <w:pStyle w:val="Paragraphedeliste1"/>
        <w:numPr>
          <w:ilvl w:val="0"/>
          <w:numId w:val="229"/>
        </w:numPr>
        <w:suppressAutoHyphens w:val="0"/>
        <w:contextualSpacing/>
        <w:jc w:val="both"/>
        <w:rPr>
          <w:rFonts w:asciiTheme="majorHAnsi" w:hAnsiTheme="majorHAnsi"/>
        </w:rPr>
      </w:pPr>
      <w:r>
        <w:rPr>
          <w:rFonts w:asciiTheme="majorHAnsi" w:hAnsiTheme="majorHAnsi"/>
        </w:rPr>
        <w:t>le stagiaire reste entièrement sous statut scolaire et, de ce fait, n’est ni rémunéré, ni assujetti à la législation sur la sécurité sociale;</w:t>
      </w:r>
    </w:p>
    <w:p w:rsidR="00F04EEF" w:rsidRDefault="0099351E">
      <w:pPr>
        <w:pStyle w:val="Paragraphedeliste1"/>
        <w:numPr>
          <w:ilvl w:val="0"/>
          <w:numId w:val="229"/>
        </w:numPr>
        <w:suppressAutoHyphens w:val="0"/>
        <w:contextualSpacing/>
        <w:jc w:val="both"/>
        <w:rPr>
          <w:rFonts w:asciiTheme="majorHAnsi" w:hAnsiTheme="majorHAnsi"/>
        </w:rPr>
      </w:pPr>
      <w:r>
        <w:rPr>
          <w:rFonts w:asciiTheme="majorHAnsi" w:hAnsiTheme="majorHAnsi"/>
        </w:rPr>
        <w:t>en matière d’assurance:</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 pouvoir organisateur et/ou le (la) chef(fe) d’établissement veilleront à ce que leur contrat d’assurance couvre:</w:t>
      </w:r>
    </w:p>
    <w:p w:rsidR="00F04EEF" w:rsidRDefault="0099351E">
      <w:pPr>
        <w:ind w:left="1134"/>
        <w:jc w:val="both"/>
      </w:pPr>
      <w:r>
        <w:t>• la responsabilité civile du stagiaire et des maîtres de stage au sein de l’entreprise;</w:t>
      </w:r>
    </w:p>
    <w:p w:rsidR="00F04EEF" w:rsidRDefault="0099351E">
      <w:pPr>
        <w:ind w:left="1134"/>
        <w:jc w:val="both"/>
      </w:pPr>
      <w:r>
        <w:t>• les accidents corporels pouvant survenir au stagiaire au sein de l’entreprise, ainsi que sur les trajets domicile-entreprise ou établissement scolaire-entreprise;</w:t>
      </w:r>
    </w:p>
    <w:p w:rsidR="00F04EEF" w:rsidRDefault="0099351E">
      <w:pPr>
        <w:ind w:left="1134"/>
        <w:jc w:val="both"/>
      </w:pPr>
      <w:r>
        <w:t>• les actes techniques que les maîtres de stage seraient amenés à poser dans les entreprises.</w:t>
      </w:r>
    </w:p>
    <w:p w:rsidR="00F04EEF" w:rsidRDefault="0099351E">
      <w:r>
        <w:t>(dénomination de la compagnie d’assurance :...........................................................</w:t>
      </w:r>
    </w:p>
    <w:p w:rsidR="00F04EEF" w:rsidRDefault="0099351E">
      <w:r>
        <w:t>numéro de police ..................................................................................</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l’entreprise vérifiera que son contrat d’assurance couvre bien sa responsabilité civile vis-à-vis du stagiaire. A défaut, elle fera en sorte qu’il en soit ainsi.</w:t>
      </w:r>
    </w:p>
    <w:p w:rsidR="00F04EEF" w:rsidRDefault="0099351E">
      <w:r>
        <w:t>(dénomination de la compagnie d’assurance :.............................................</w:t>
      </w:r>
    </w:p>
    <w:p w:rsidR="00F04EEF" w:rsidRDefault="0099351E">
      <w:r>
        <w:t>numéro de police .....................................................................................</w:t>
      </w:r>
    </w:p>
    <w:p w:rsidR="00F04EEF" w:rsidRDefault="00F04EEF">
      <w:pPr>
        <w:rPr>
          <w:b/>
        </w:rPr>
      </w:pPr>
    </w:p>
    <w:p w:rsidR="00F04EEF" w:rsidRDefault="0099351E">
      <w:pPr>
        <w:rPr>
          <w:b/>
        </w:rPr>
      </w:pPr>
      <w:r>
        <w:rPr>
          <w:b/>
        </w:rPr>
        <w:t>Article 8</w:t>
      </w:r>
    </w:p>
    <w:p w:rsidR="00F04EEF" w:rsidRDefault="00F04EEF">
      <w:pPr>
        <w:jc w:val="both"/>
      </w:pPr>
    </w:p>
    <w:p w:rsidR="00F04EEF" w:rsidRDefault="0099351E">
      <w:pPr>
        <w:jc w:val="both"/>
      </w:pPr>
      <w:r>
        <w:t>L’entreprise veille à fournir au stagiaire les vêtements et équipements de sécurité spécifiques à des tâches particulières.</w:t>
      </w:r>
    </w:p>
    <w:p w:rsidR="00F04EEF" w:rsidRDefault="00F04EEF">
      <w:pPr>
        <w:jc w:val="both"/>
        <w:rPr>
          <w:b/>
        </w:rPr>
      </w:pPr>
    </w:p>
    <w:p w:rsidR="00F04EEF" w:rsidRDefault="0099351E">
      <w:pPr>
        <w:jc w:val="both"/>
        <w:rPr>
          <w:b/>
        </w:rPr>
      </w:pPr>
      <w:r>
        <w:rPr>
          <w:b/>
        </w:rPr>
        <w:t>Article 9</w:t>
      </w:r>
    </w:p>
    <w:p w:rsidR="00F04EEF" w:rsidRDefault="00F04EEF">
      <w:pPr>
        <w:jc w:val="both"/>
      </w:pPr>
    </w:p>
    <w:p w:rsidR="00F04EEF" w:rsidRDefault="0099351E">
      <w:pPr>
        <w:jc w:val="both"/>
      </w:pPr>
      <w:r>
        <w:t>L’entreprise est tenue d’avertir l’établissement scolaire et/ou l’organisme chargé de la tutelle sanitaire de tout problème de nature médicale constaté dans l’entreprise.</w:t>
      </w:r>
    </w:p>
    <w:p w:rsidR="00F04EEF" w:rsidRDefault="00F04EEF">
      <w:pPr>
        <w:rPr>
          <w:b/>
        </w:rPr>
      </w:pPr>
    </w:p>
    <w:p w:rsidR="00F04EEF" w:rsidRDefault="0099351E">
      <w:pPr>
        <w:rPr>
          <w:b/>
        </w:rPr>
      </w:pPr>
      <w:r>
        <w:rPr>
          <w:b/>
        </w:rPr>
        <w:t>Article 10</w:t>
      </w:r>
    </w:p>
    <w:p w:rsidR="00F04EEF" w:rsidRDefault="00F04EEF">
      <w:pPr>
        <w:jc w:val="both"/>
      </w:pPr>
    </w:p>
    <w:p w:rsidR="00F04EEF" w:rsidRDefault="0099351E">
      <w:pPr>
        <w:jc w:val="both"/>
      </w:pPr>
      <w:r>
        <w:t>Le stagiaire accepte de se conformer au règlement en vigueur dans l’entreprise et aux dispositions dictées par des impératifs de sécurité.</w:t>
      </w:r>
    </w:p>
    <w:p w:rsidR="00F04EEF" w:rsidRDefault="0099351E">
      <w:pPr>
        <w:jc w:val="both"/>
      </w:pPr>
      <w:r>
        <w:t>Il s’engage, en outre, à ne pas dévoiler les informations à caractère confidentiel dont il aurait eu connaissance lors de son stage et à remettre à l’entreprise, à la fin du stage, tout document, matériau ou équipement mis à sa disposition au cours du stage.</w:t>
      </w:r>
    </w:p>
    <w:p w:rsidR="00F04EEF" w:rsidRDefault="0099351E">
      <w:pPr>
        <w:jc w:val="both"/>
      </w:pPr>
      <w: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rsidR="00F04EEF" w:rsidRDefault="0099351E">
      <w:pPr>
        <w:jc w:val="both"/>
      </w:pPr>
      <w:r>
        <w:t>De même, le stagiaire doit être en mesure de présenter sa convention de stage à toute demande formulée dans le cadre de la législation sociale.</w:t>
      </w:r>
    </w:p>
    <w:p w:rsidR="00F04EEF" w:rsidRDefault="0099351E">
      <w:pPr>
        <w:jc w:val="both"/>
      </w:pPr>
      <w:r>
        <w:t>Le stagiaire demeure toujours sous la  guidance du tuteur ou d’un membre du personnel qualifié. Des travaux étrangers à la profession ne peuvent lui être confiés.</w:t>
      </w:r>
    </w:p>
    <w:p w:rsidR="00F04EEF" w:rsidRDefault="00F04EEF">
      <w:pPr>
        <w:rPr>
          <w:b/>
        </w:rPr>
      </w:pPr>
    </w:p>
    <w:p w:rsidR="00F04EEF" w:rsidRDefault="0099351E">
      <w:pPr>
        <w:rPr>
          <w:b/>
        </w:rPr>
      </w:pPr>
      <w:r>
        <w:rPr>
          <w:b/>
        </w:rPr>
        <w:t>Article 11</w:t>
      </w:r>
    </w:p>
    <w:p w:rsidR="00F04EEF" w:rsidRDefault="00F04EEF">
      <w:pPr>
        <w:jc w:val="both"/>
      </w:pPr>
    </w:p>
    <w:p w:rsidR="00F04EEF" w:rsidRDefault="0099351E">
      <w:pPr>
        <w:jc w:val="both"/>
      </w:pPr>
      <w:r>
        <w:t>Il peut être mis fin à la convention de stage après concertation préalable entre toutes les parties. Elle peut être suspendue selon les mêmes modalités.</w:t>
      </w:r>
    </w:p>
    <w:p w:rsidR="00F04EEF" w:rsidRDefault="00F04EEF">
      <w:pPr>
        <w:rPr>
          <w:b/>
        </w:rPr>
      </w:pPr>
    </w:p>
    <w:p w:rsidR="00F04EEF" w:rsidRDefault="0099351E">
      <w:pPr>
        <w:jc w:val="both"/>
        <w:rPr>
          <w:b/>
        </w:rPr>
      </w:pPr>
      <w:r>
        <w:rPr>
          <w:b/>
        </w:rPr>
        <w:t>Article 12</w:t>
      </w:r>
    </w:p>
    <w:p w:rsidR="00F04EEF" w:rsidRDefault="00F04EEF">
      <w:pPr>
        <w:jc w:val="both"/>
      </w:pPr>
    </w:p>
    <w:p w:rsidR="00F04EEF" w:rsidRDefault="0099351E">
      <w:pPr>
        <w:jc w:val="both"/>
      </w:pPr>
      <w:r>
        <w:t>Par définition, le stage est gratuit et n’entraîne pas de rémunération ; toutefois, des indemnités pour frais réellement exposés et des libéralités sont possibles dans le respect de la loi sur le travail ; indemnités et libéralités doivent être mentionnées dans un document en annexe de la présente convention de stage.</w:t>
      </w:r>
    </w:p>
    <w:p w:rsidR="00F04EEF" w:rsidRDefault="00F04EEF">
      <w:pPr>
        <w:rPr>
          <w:b/>
        </w:rPr>
      </w:pPr>
    </w:p>
    <w:p w:rsidR="00F04EEF" w:rsidRDefault="0099351E">
      <w:pPr>
        <w:rPr>
          <w:b/>
        </w:rPr>
      </w:pPr>
      <w:r>
        <w:rPr>
          <w:b/>
        </w:rPr>
        <w:t>Article 13</w:t>
      </w:r>
    </w:p>
    <w:p w:rsidR="00F04EEF" w:rsidRDefault="00F04EEF">
      <w:pPr>
        <w:jc w:val="both"/>
      </w:pPr>
    </w:p>
    <w:p w:rsidR="00F04EEF" w:rsidRDefault="0099351E">
      <w:pPr>
        <w:jc w:val="both"/>
      </w:pPr>
      <w:r>
        <w:t>Sans préjudice des articles de la présente convention, les dispositions convenues entre les établissements d’enseignement et des organismes sectoriels ou autres restent d’application. Elles sont éventuellement annexées à la présente.</w:t>
      </w:r>
    </w:p>
    <w:p w:rsidR="00F04EEF" w:rsidRDefault="00F04EEF"/>
    <w:p w:rsidR="00F04EEF" w:rsidRDefault="0099351E">
      <w:r>
        <w:t>Fait en...............................................exemplaires, le .................................</w:t>
      </w:r>
    </w:p>
    <w:p w:rsidR="00F04EEF" w:rsidRDefault="00F04EEF"/>
    <w:p w:rsidR="00F04EEF" w:rsidRDefault="0099351E">
      <w:r>
        <w:t>Pour l’entreprise,</w:t>
      </w:r>
    </w:p>
    <w:p w:rsidR="00F04EEF" w:rsidRDefault="0099351E">
      <w:r>
        <w:t>Lu et approuvé,  Cachet de l’entreprise,</w:t>
      </w:r>
    </w:p>
    <w:p w:rsidR="00F04EEF" w:rsidRDefault="00F04EEF"/>
    <w:p w:rsidR="00F04EEF" w:rsidRDefault="00F04EEF"/>
    <w:p w:rsidR="00F04EEF" w:rsidRDefault="0099351E">
      <w:r>
        <w:t>L’établissement scolaire,</w:t>
      </w:r>
    </w:p>
    <w:p w:rsidR="00F04EEF" w:rsidRDefault="0099351E">
      <w:r>
        <w:t>Lu et approuvé, Cachet de l’établissement,</w:t>
      </w:r>
    </w:p>
    <w:p w:rsidR="00F04EEF" w:rsidRDefault="00F04EEF"/>
    <w:p w:rsidR="00F04EEF" w:rsidRDefault="00F04EEF"/>
    <w:p w:rsidR="00F04EEF" w:rsidRDefault="0099351E">
      <w:r>
        <w:t>L’élève,</w:t>
      </w:r>
    </w:p>
    <w:p w:rsidR="00F04EEF" w:rsidRDefault="0099351E">
      <w:r>
        <w:t>Lu et approuvé,</w:t>
      </w:r>
    </w:p>
    <w:p w:rsidR="00F04EEF" w:rsidRDefault="00F04EEF"/>
    <w:p w:rsidR="00F04EEF" w:rsidRDefault="00F04EEF"/>
    <w:p w:rsidR="00F04EEF" w:rsidRDefault="0099351E">
      <w:r>
        <w:t>Les parents ou la personne investie de l’autorité parentale (pour le stagiaire mineur),</w:t>
      </w:r>
    </w:p>
    <w:p w:rsidR="00F04EEF" w:rsidRDefault="0099351E">
      <w:r>
        <w:t>Lu et approuvé,</w:t>
      </w:r>
    </w:p>
    <w:p w:rsidR="00F04EEF" w:rsidRDefault="00F04EEF">
      <w:pPr>
        <w:rPr>
          <w:b/>
        </w:rPr>
      </w:pPr>
    </w:p>
    <w:p w:rsidR="00F04EEF" w:rsidRDefault="00F04EEF">
      <w:pPr>
        <w:rPr>
          <w:b/>
        </w:rPr>
      </w:pPr>
    </w:p>
    <w:p w:rsidR="00F04EEF" w:rsidRDefault="0099351E">
      <w:pPr>
        <w:rPr>
          <w:b/>
        </w:rPr>
      </w:pPr>
      <w:r>
        <w:rPr>
          <w:b/>
        </w:rPr>
        <w:t>Annexes</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les objectifs de la formation, les compétences à développer et à exercer en cours de stage, ainsi que les modes et les critères d’évaluation continue et formative (article 2);</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l’horaire et le calendrier de la formation (article 4);</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les éventuelles indemnités et libéralités prévues (article 12) ;</w:t>
      </w:r>
    </w:p>
    <w:p w:rsidR="00F04EEF" w:rsidRDefault="0099351E">
      <w:pPr>
        <w:pStyle w:val="Paragraphedeliste1"/>
        <w:numPr>
          <w:ilvl w:val="0"/>
          <w:numId w:val="177"/>
        </w:numPr>
        <w:suppressAutoHyphens w:val="0"/>
        <w:ind w:left="927"/>
        <w:contextualSpacing/>
        <w:jc w:val="both"/>
        <w:rPr>
          <w:rFonts w:asciiTheme="majorHAnsi" w:hAnsiTheme="majorHAnsi"/>
        </w:rPr>
      </w:pPr>
      <w:r>
        <w:rPr>
          <w:rFonts w:asciiTheme="majorHAnsi" w:hAnsiTheme="majorHAnsi"/>
        </w:rPr>
        <w:t>les dispositions particulières éventuelles (article 13).</w:t>
      </w:r>
    </w:p>
    <w:p w:rsidR="00F04EEF" w:rsidRDefault="0099351E">
      <w:pPr>
        <w:pStyle w:val="Titre4"/>
      </w:pPr>
      <w:bookmarkStart w:id="4165" w:name="_Annexe_5_:_1"/>
      <w:bookmarkEnd w:id="4165"/>
      <w:r>
        <w:br w:type="page"/>
      </w:r>
      <w:bookmarkStart w:id="4166" w:name="_Toc414353021"/>
      <w:bookmarkStart w:id="4167" w:name="_Toc453837047"/>
      <w:r>
        <w:t>Annexe 5 : Modalités propres aux stages de pratique en responsabilité</w:t>
      </w:r>
      <w:bookmarkEnd w:id="4166"/>
      <w:bookmarkEnd w:id="4167"/>
    </w:p>
    <w:p w:rsidR="00F04EEF" w:rsidRDefault="00F04EEF">
      <w:pPr>
        <w:pStyle w:val="Paragraphedeliste1"/>
        <w:ind w:left="0"/>
        <w:jc w:val="both"/>
        <w:rPr>
          <w:rFonts w:asciiTheme="majorHAnsi" w:hAnsiTheme="majorHAnsi"/>
        </w:rPr>
      </w:pPr>
    </w:p>
    <w:p w:rsidR="00F04EEF" w:rsidRDefault="0099351E">
      <w:pPr>
        <w:tabs>
          <w:tab w:val="num" w:pos="1428"/>
        </w:tabs>
        <w:jc w:val="both"/>
        <w:rPr>
          <w:u w:val="single"/>
        </w:rPr>
      </w:pPr>
      <w:r>
        <w:rPr>
          <w:u w:val="single"/>
        </w:rPr>
        <w:t>Lieu</w:t>
      </w:r>
    </w:p>
    <w:p w:rsidR="00F04EEF" w:rsidRDefault="00F04EEF">
      <w:pPr>
        <w:tabs>
          <w:tab w:val="num" w:pos="142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Milieu professionnel</w:t>
      </w:r>
    </w:p>
    <w:p w:rsidR="00F04EEF" w:rsidRDefault="00F04EEF">
      <w:pPr>
        <w:pStyle w:val="Paragraphedeliste1"/>
        <w:ind w:left="0"/>
        <w:jc w:val="both"/>
        <w:rPr>
          <w:rFonts w:asciiTheme="majorHAnsi" w:hAnsiTheme="majorHAnsi"/>
        </w:rPr>
      </w:pPr>
    </w:p>
    <w:p w:rsidR="00F04EEF" w:rsidRDefault="0099351E">
      <w:pPr>
        <w:tabs>
          <w:tab w:val="num" w:pos="1428"/>
        </w:tabs>
        <w:jc w:val="both"/>
        <w:rPr>
          <w:u w:val="single"/>
        </w:rPr>
      </w:pPr>
      <w:r>
        <w:rPr>
          <w:u w:val="single"/>
        </w:rPr>
        <w:t>Degré d’autonomie</w:t>
      </w:r>
    </w:p>
    <w:p w:rsidR="00F04EEF" w:rsidRDefault="00F04EEF">
      <w:pPr>
        <w:tabs>
          <w:tab w:val="num" w:pos="142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Elevé / travail supervisé par le milieu professionnel</w:t>
      </w:r>
    </w:p>
    <w:p w:rsidR="00F04EEF" w:rsidRDefault="00F04EEF">
      <w:pPr>
        <w:pStyle w:val="Paragraphedeliste1"/>
        <w:ind w:left="0"/>
        <w:jc w:val="both"/>
        <w:rPr>
          <w:rFonts w:asciiTheme="majorHAnsi" w:hAnsiTheme="majorHAnsi"/>
        </w:rPr>
      </w:pPr>
    </w:p>
    <w:p w:rsidR="00F04EEF" w:rsidRDefault="0099351E">
      <w:pPr>
        <w:tabs>
          <w:tab w:val="num" w:pos="1428"/>
        </w:tabs>
        <w:jc w:val="both"/>
        <w:rPr>
          <w:u w:val="single"/>
        </w:rPr>
      </w:pPr>
      <w:r>
        <w:rPr>
          <w:u w:val="single"/>
        </w:rPr>
        <w:t>Horaire</w:t>
      </w:r>
    </w:p>
    <w:p w:rsidR="00F04EEF" w:rsidRDefault="00F04EEF">
      <w:pPr>
        <w:tabs>
          <w:tab w:val="num" w:pos="142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Horaire du milieu professionnel / stages pendant les congés scolaires autorisés (décision du conseil de classe)</w:t>
      </w:r>
    </w:p>
    <w:p w:rsidR="00F04EEF" w:rsidRDefault="00F04EEF">
      <w:pPr>
        <w:tabs>
          <w:tab w:val="num" w:pos="1428"/>
        </w:tabs>
        <w:jc w:val="both"/>
      </w:pPr>
    </w:p>
    <w:p w:rsidR="00F04EEF" w:rsidRDefault="0099351E">
      <w:pPr>
        <w:tabs>
          <w:tab w:val="num" w:pos="1428"/>
        </w:tabs>
        <w:jc w:val="both"/>
        <w:rPr>
          <w:u w:val="single"/>
        </w:rPr>
      </w:pPr>
      <w:r>
        <w:rPr>
          <w:u w:val="single"/>
        </w:rPr>
        <w:t>Type d’activités</w:t>
      </w:r>
    </w:p>
    <w:p w:rsidR="00F04EEF" w:rsidRDefault="00F04EEF">
      <w:pPr>
        <w:tabs>
          <w:tab w:val="num" w:pos="142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Exécution en autonomie de tâches de plus en plus complexes en fonction du programme d’études</w:t>
      </w:r>
    </w:p>
    <w:p w:rsidR="00F04EEF" w:rsidRDefault="00F04EEF">
      <w:pPr>
        <w:jc w:val="both"/>
        <w:rPr>
          <w:u w:val="single"/>
        </w:rPr>
      </w:pPr>
    </w:p>
    <w:p w:rsidR="00F04EEF" w:rsidRDefault="0099351E">
      <w:pPr>
        <w:jc w:val="both"/>
        <w:rPr>
          <w:u w:val="single"/>
        </w:rPr>
      </w:pPr>
      <w:r>
        <w:rPr>
          <w:u w:val="single"/>
        </w:rPr>
        <w:t xml:space="preserve">Suivi assuré par l’établissement scolaire </w:t>
      </w:r>
    </w:p>
    <w:p w:rsidR="00F04EEF" w:rsidRDefault="00F04EEF">
      <w:pPr>
        <w:jc w:val="both"/>
        <w:rPr>
          <w:u w:val="single"/>
        </w:rPr>
      </w:pPr>
    </w:p>
    <w:p w:rsidR="00F04EEF" w:rsidRDefault="0099351E">
      <w:pPr>
        <w:pStyle w:val="Paragraphedeliste1"/>
        <w:numPr>
          <w:ilvl w:val="0"/>
          <w:numId w:val="172"/>
        </w:numPr>
        <w:tabs>
          <w:tab w:val="num" w:pos="1431"/>
        </w:tabs>
        <w:suppressAutoHyphens w:val="0"/>
        <w:ind w:left="0" w:firstLine="0"/>
        <w:contextualSpacing/>
        <w:jc w:val="both"/>
        <w:rPr>
          <w:rFonts w:asciiTheme="majorHAnsi" w:hAnsiTheme="majorHAnsi"/>
        </w:rPr>
      </w:pPr>
      <w:r>
        <w:rPr>
          <w:rFonts w:asciiTheme="majorHAnsi" w:hAnsiTheme="majorHAnsi"/>
        </w:rPr>
        <w:t>Au moins 2 fois par semaine sous forme de visites, téléphones, courriels…</w:t>
      </w:r>
    </w:p>
    <w:p w:rsidR="00F04EEF" w:rsidRDefault="00F04EEF">
      <w:pPr>
        <w:tabs>
          <w:tab w:val="num" w:pos="1428"/>
        </w:tabs>
        <w:jc w:val="both"/>
      </w:pPr>
    </w:p>
    <w:p w:rsidR="00F04EEF" w:rsidRDefault="0099351E">
      <w:pPr>
        <w:tabs>
          <w:tab w:val="num" w:pos="1428"/>
        </w:tabs>
        <w:jc w:val="both"/>
        <w:rPr>
          <w:u w:val="single"/>
        </w:rPr>
      </w:pPr>
      <w:r>
        <w:rPr>
          <w:u w:val="single"/>
        </w:rPr>
        <w:t>Encadrement</w:t>
      </w:r>
    </w:p>
    <w:p w:rsidR="00F04EEF" w:rsidRDefault="00F04EEF">
      <w:pPr>
        <w:tabs>
          <w:tab w:val="num" w:pos="142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Partenariat contractualisé école-milieu professionnel (convention)</w:t>
      </w:r>
    </w:p>
    <w:p w:rsidR="00F04EEF" w:rsidRDefault="00F04EEF">
      <w:pPr>
        <w:pStyle w:val="Paragraphedeliste1"/>
        <w:ind w:left="0"/>
        <w:jc w:val="both"/>
        <w:rPr>
          <w:rFonts w:asciiTheme="majorHAnsi" w:hAnsiTheme="majorHAnsi"/>
        </w:rPr>
      </w:pPr>
    </w:p>
    <w:p w:rsidR="00F04EEF" w:rsidRDefault="0099351E">
      <w:pPr>
        <w:tabs>
          <w:tab w:val="num" w:pos="1428"/>
        </w:tabs>
        <w:jc w:val="both"/>
        <w:rPr>
          <w:u w:val="single"/>
        </w:rPr>
      </w:pPr>
      <w:r>
        <w:rPr>
          <w:u w:val="single"/>
        </w:rPr>
        <w:t>Type d’évaluation</w:t>
      </w:r>
    </w:p>
    <w:p w:rsidR="00F04EEF" w:rsidRDefault="00F04EEF">
      <w:pPr>
        <w:tabs>
          <w:tab w:val="num" w:pos="142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Formative et/ou certificative (en collaboration avec le milieu professionnel) ; l’évaluation peut être réalisée sur le lieu de stage</w:t>
      </w:r>
    </w:p>
    <w:p w:rsidR="00F04EEF" w:rsidRDefault="00F04EEF">
      <w:pPr>
        <w:pStyle w:val="Paragraphedeliste1"/>
        <w:ind w:left="0"/>
        <w:jc w:val="both"/>
        <w:rPr>
          <w:rFonts w:asciiTheme="majorHAnsi" w:hAnsiTheme="majorHAnsi"/>
        </w:rPr>
      </w:pPr>
    </w:p>
    <w:p w:rsidR="00F04EEF" w:rsidRDefault="0099351E">
      <w:pPr>
        <w:tabs>
          <w:tab w:val="num" w:pos="1428"/>
        </w:tabs>
        <w:jc w:val="both"/>
        <w:rPr>
          <w:u w:val="single"/>
        </w:rPr>
      </w:pPr>
      <w:r>
        <w:rPr>
          <w:u w:val="single"/>
        </w:rPr>
        <w:t>Aspects financiers</w:t>
      </w:r>
    </w:p>
    <w:p w:rsidR="00F04EEF" w:rsidRDefault="00F04EEF">
      <w:pPr>
        <w:tabs>
          <w:tab w:val="num" w:pos="1428"/>
        </w:tabs>
        <w:jc w:val="both"/>
        <w:rPr>
          <w:u w:val="single"/>
        </w:rPr>
      </w:pPr>
    </w:p>
    <w:p w:rsidR="00F04EEF" w:rsidRDefault="0099351E">
      <w:pPr>
        <w:pStyle w:val="Paragraphedeliste1"/>
        <w:numPr>
          <w:ilvl w:val="0"/>
          <w:numId w:val="173"/>
        </w:numPr>
        <w:suppressAutoHyphens w:val="0"/>
        <w:ind w:left="0" w:firstLine="0"/>
        <w:contextualSpacing/>
        <w:jc w:val="both"/>
        <w:rPr>
          <w:rFonts w:asciiTheme="majorHAnsi" w:hAnsiTheme="majorHAnsi"/>
        </w:rPr>
      </w:pPr>
      <w:r>
        <w:rPr>
          <w:rFonts w:asciiTheme="majorHAnsi" w:hAnsiTheme="maj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rsidR="00F04EEF" w:rsidRDefault="0099351E">
      <w:pPr>
        <w:pStyle w:val="Titre4"/>
      </w:pPr>
      <w:bookmarkStart w:id="4168" w:name="_Annexe_6_:_"/>
      <w:bookmarkEnd w:id="4168"/>
      <w:r>
        <w:br w:type="page"/>
      </w:r>
      <w:bookmarkStart w:id="4169" w:name="_Toc414353022"/>
      <w:bookmarkStart w:id="4170" w:name="_Toc453837048"/>
      <w:r>
        <w:t>Annexe 6 : Grille critériée d’évaluation des lieux de stage</w:t>
      </w:r>
      <w:bookmarkEnd w:id="4169"/>
      <w:bookmarkEnd w:id="4170"/>
    </w:p>
    <w:p w:rsidR="00F04EEF" w:rsidRDefault="00F04EEF">
      <w:pPr>
        <w:tabs>
          <w:tab w:val="num" w:pos="1431"/>
        </w:tabs>
        <w:jc w:val="both"/>
      </w:pPr>
    </w:p>
    <w:p w:rsidR="00F04EEF" w:rsidRDefault="00F04EEF">
      <w:pPr>
        <w:tabs>
          <w:tab w:val="num" w:pos="1431"/>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30"/>
        <w:gridCol w:w="882"/>
      </w:tblGrid>
      <w:tr w:rsidR="00F04EEF">
        <w:tc>
          <w:tcPr>
            <w:tcW w:w="8330" w:type="dxa"/>
          </w:tcPr>
          <w:p w:rsidR="00F04EEF" w:rsidRDefault="0099351E">
            <w:pPr>
              <w:tabs>
                <w:tab w:val="num" w:pos="1431"/>
              </w:tabs>
              <w:jc w:val="both"/>
            </w:pPr>
            <w:r>
              <w:t>Le milieu professionnel présente un panel d’activités en lien avec le contenu du (des) profil(s) de formation et/ou les objectifs du stage.</w:t>
            </w:r>
          </w:p>
          <w:p w:rsidR="00F04EEF" w:rsidRDefault="00F04EEF">
            <w:pPr>
              <w:tabs>
                <w:tab w:val="num" w:pos="1431"/>
              </w:tabs>
              <w:jc w:val="both"/>
            </w:pPr>
          </w:p>
        </w:tc>
        <w:tc>
          <w:tcPr>
            <w:tcW w:w="882" w:type="dxa"/>
          </w:tcPr>
          <w:p w:rsidR="00F04EEF" w:rsidRDefault="00F04EEF">
            <w:pPr>
              <w:tabs>
                <w:tab w:val="num" w:pos="1431"/>
              </w:tabs>
              <w:jc w:val="both"/>
            </w:pPr>
          </w:p>
        </w:tc>
      </w:tr>
      <w:tr w:rsidR="00F04EEF">
        <w:tc>
          <w:tcPr>
            <w:tcW w:w="8330" w:type="dxa"/>
          </w:tcPr>
          <w:p w:rsidR="00F04EEF" w:rsidRDefault="0099351E">
            <w:pPr>
              <w:tabs>
                <w:tab w:val="num" w:pos="1431"/>
              </w:tabs>
              <w:jc w:val="both"/>
              <w:rPr>
                <w:lang w:eastAsia="fr-BE"/>
              </w:rPr>
            </w:pPr>
            <w:r>
              <w:t xml:space="preserve">Le milieu professionnel désigne un tuteur </w:t>
            </w:r>
            <w:r>
              <w:rPr>
                <w:lang w:eastAsia="fr-BE"/>
              </w:rPr>
              <w:t>présentant les qualités requises pour l’accompagnement du stagiaire, telles que définies par le profil de fonction.</w:t>
            </w:r>
          </w:p>
          <w:p w:rsidR="00F04EEF" w:rsidRDefault="00F04EEF">
            <w:pPr>
              <w:tabs>
                <w:tab w:val="num" w:pos="1431"/>
              </w:tabs>
              <w:jc w:val="both"/>
            </w:pPr>
          </w:p>
        </w:tc>
        <w:tc>
          <w:tcPr>
            <w:tcW w:w="882" w:type="dxa"/>
          </w:tcPr>
          <w:p w:rsidR="00F04EEF" w:rsidRDefault="00F04EEF">
            <w:pPr>
              <w:tabs>
                <w:tab w:val="num" w:pos="1431"/>
              </w:tabs>
              <w:jc w:val="both"/>
            </w:pPr>
          </w:p>
        </w:tc>
      </w:tr>
      <w:tr w:rsidR="00F04EEF">
        <w:tc>
          <w:tcPr>
            <w:tcW w:w="8330" w:type="dxa"/>
          </w:tcPr>
          <w:p w:rsidR="00F04EEF" w:rsidRDefault="0099351E">
            <w:pPr>
              <w:tabs>
                <w:tab w:val="num" w:pos="1431"/>
              </w:tabs>
              <w:jc w:val="both"/>
            </w:pPr>
            <w:r>
              <w:t>Le milieu professionnel n’accepte pas plus de 1 stagiaire pour 5 travailleurs occupés (le nombre de 5 peut être réduit pour des raisons à exposer précisément).</w:t>
            </w:r>
          </w:p>
          <w:p w:rsidR="00F04EEF" w:rsidRDefault="00F04EEF">
            <w:pPr>
              <w:tabs>
                <w:tab w:val="num" w:pos="1431"/>
              </w:tabs>
              <w:jc w:val="both"/>
            </w:pPr>
          </w:p>
        </w:tc>
        <w:tc>
          <w:tcPr>
            <w:tcW w:w="882" w:type="dxa"/>
          </w:tcPr>
          <w:p w:rsidR="00F04EEF" w:rsidRDefault="00F04EEF">
            <w:pPr>
              <w:tabs>
                <w:tab w:val="num" w:pos="1431"/>
              </w:tabs>
              <w:jc w:val="both"/>
            </w:pPr>
          </w:p>
        </w:tc>
      </w:tr>
      <w:tr w:rsidR="00F04EEF">
        <w:tc>
          <w:tcPr>
            <w:tcW w:w="8330" w:type="dxa"/>
          </w:tcPr>
          <w:p w:rsidR="00F04EEF" w:rsidRDefault="0099351E">
            <w:pPr>
              <w:tabs>
                <w:tab w:val="num" w:pos="1431"/>
              </w:tabs>
              <w:jc w:val="both"/>
            </w:pPr>
            <w:r>
              <w:t>Le milieu professionnel entretient des relations suivies avec le maître de stage avant, pendant et après le stage pour la préparation, l’accompagnement et l’évaluation du jeune.</w:t>
            </w:r>
          </w:p>
          <w:p w:rsidR="00F04EEF" w:rsidRDefault="00F04EEF">
            <w:pPr>
              <w:tabs>
                <w:tab w:val="num" w:pos="1431"/>
              </w:tabs>
              <w:jc w:val="both"/>
            </w:pPr>
          </w:p>
        </w:tc>
        <w:tc>
          <w:tcPr>
            <w:tcW w:w="882" w:type="dxa"/>
          </w:tcPr>
          <w:p w:rsidR="00F04EEF" w:rsidRDefault="00F04EEF">
            <w:pPr>
              <w:tabs>
                <w:tab w:val="num" w:pos="1431"/>
              </w:tabs>
              <w:jc w:val="both"/>
            </w:pPr>
          </w:p>
        </w:tc>
      </w:tr>
      <w:tr w:rsidR="00F04EEF">
        <w:tc>
          <w:tcPr>
            <w:tcW w:w="8330" w:type="dxa"/>
          </w:tcPr>
          <w:p w:rsidR="00F04EEF" w:rsidRDefault="0099351E">
            <w:pPr>
              <w:tabs>
                <w:tab w:val="num" w:pos="1431"/>
              </w:tabs>
              <w:jc w:val="both"/>
            </w:pPr>
            <w:r>
              <w:t>Le milieu professionnel respecte les objectifs du stage et offre un espace de formation à l’élève en ne le cantonnant pas à des tâches sans intérêt.</w:t>
            </w:r>
          </w:p>
          <w:p w:rsidR="00F04EEF" w:rsidRDefault="00F04EEF">
            <w:pPr>
              <w:tabs>
                <w:tab w:val="num" w:pos="1431"/>
              </w:tabs>
              <w:jc w:val="both"/>
            </w:pPr>
          </w:p>
        </w:tc>
        <w:tc>
          <w:tcPr>
            <w:tcW w:w="882" w:type="dxa"/>
          </w:tcPr>
          <w:p w:rsidR="00F04EEF" w:rsidRDefault="00F04EEF">
            <w:pPr>
              <w:tabs>
                <w:tab w:val="num" w:pos="1431"/>
              </w:tabs>
              <w:jc w:val="both"/>
            </w:pPr>
          </w:p>
        </w:tc>
      </w:tr>
      <w:tr w:rsidR="00F04EEF">
        <w:tc>
          <w:tcPr>
            <w:tcW w:w="8330" w:type="dxa"/>
          </w:tcPr>
          <w:p w:rsidR="00F04EEF" w:rsidRDefault="0099351E">
            <w:pPr>
              <w:tabs>
                <w:tab w:val="num" w:pos="1431"/>
              </w:tabs>
              <w:jc w:val="both"/>
            </w:pPr>
            <w:r>
              <w:t>Si le milieu professionnel a déjà accueilli des stagiaires, cela s’est passé à la satisfaction de tous les partenaires concernés.</w:t>
            </w:r>
          </w:p>
          <w:p w:rsidR="00F04EEF" w:rsidRDefault="00F04EEF">
            <w:pPr>
              <w:tabs>
                <w:tab w:val="num" w:pos="1431"/>
              </w:tabs>
              <w:jc w:val="both"/>
            </w:pPr>
          </w:p>
        </w:tc>
        <w:tc>
          <w:tcPr>
            <w:tcW w:w="882" w:type="dxa"/>
          </w:tcPr>
          <w:p w:rsidR="00F04EEF" w:rsidRDefault="00F04EEF">
            <w:pPr>
              <w:tabs>
                <w:tab w:val="num" w:pos="1431"/>
              </w:tabs>
              <w:jc w:val="both"/>
            </w:pPr>
          </w:p>
        </w:tc>
      </w:tr>
    </w:tbl>
    <w:p w:rsidR="00F04EEF" w:rsidRDefault="00F04EEF">
      <w:pPr>
        <w:tabs>
          <w:tab w:val="num" w:pos="1431"/>
        </w:tabs>
        <w:jc w:val="both"/>
      </w:pPr>
    </w:p>
    <w:p w:rsidR="00F04EEF" w:rsidRDefault="0099351E">
      <w:pPr>
        <w:pStyle w:val="Titre4"/>
      </w:pPr>
      <w:bookmarkStart w:id="4171" w:name="_Annexe_7_:_"/>
      <w:bookmarkStart w:id="4172" w:name="_Annexe_7_:"/>
      <w:bookmarkEnd w:id="4171"/>
      <w:bookmarkEnd w:id="4172"/>
      <w:r>
        <w:br w:type="page"/>
      </w:r>
      <w:bookmarkStart w:id="4173" w:name="_Toc414353023"/>
      <w:bookmarkStart w:id="4174" w:name="_Toc453837049"/>
      <w:r>
        <w:t>Annexe 7 : Demande d’aide dans la recherche de lieux de stage - Enseignement spécialisé de forme 3</w:t>
      </w:r>
      <w:bookmarkEnd w:id="4173"/>
      <w:bookmarkEnd w:id="4174"/>
    </w:p>
    <w:p w:rsidR="00F04EEF" w:rsidRDefault="00F04EEF">
      <w:pPr>
        <w:jc w:val="both"/>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F04EEF">
        <w:tc>
          <w:tcPr>
            <w:tcW w:w="9212" w:type="dxa"/>
            <w:vAlign w:val="center"/>
          </w:tcPr>
          <w:p w:rsidR="00F04EEF" w:rsidRDefault="0099351E">
            <w:pPr>
              <w:spacing w:after="120"/>
            </w:pPr>
            <w:r>
              <w:t>N° FASE de l’établissement : ......................</w:t>
            </w:r>
          </w:p>
          <w:p w:rsidR="00F04EEF" w:rsidRDefault="0099351E">
            <w:pPr>
              <w:spacing w:after="120"/>
            </w:pPr>
            <w:r>
              <w:t>Dénomination de l’établissement : ..................................................................................</w:t>
            </w:r>
          </w:p>
        </w:tc>
      </w:tr>
    </w:tbl>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340"/>
        <w:gridCol w:w="4784"/>
      </w:tblGrid>
      <w:tr w:rsidR="00F04EEF">
        <w:trPr>
          <w:trHeight w:val="386"/>
        </w:trPr>
        <w:tc>
          <w:tcPr>
            <w:tcW w:w="9212" w:type="dxa"/>
            <w:gridSpan w:val="4"/>
            <w:vAlign w:val="center"/>
          </w:tcPr>
          <w:p w:rsidR="00F04EEF" w:rsidRDefault="0099351E">
            <w:r>
              <w:t>La demande de lieux de stage concerne l’élève ou les élèves :</w:t>
            </w:r>
          </w:p>
        </w:tc>
      </w:tr>
      <w:tr w:rsidR="00F04EEF">
        <w:trPr>
          <w:trHeight w:val="292"/>
        </w:trPr>
        <w:tc>
          <w:tcPr>
            <w:tcW w:w="2088" w:type="dxa"/>
            <w:gridSpan w:val="2"/>
            <w:vAlign w:val="center"/>
          </w:tcPr>
          <w:p w:rsidR="00F04EEF" w:rsidRDefault="0099351E">
            <w:r>
              <w:t>NOM(s) et prénom(s)</w:t>
            </w:r>
          </w:p>
        </w:tc>
        <w:tc>
          <w:tcPr>
            <w:tcW w:w="7124" w:type="dxa"/>
            <w:gridSpan w:val="2"/>
            <w:vAlign w:val="center"/>
          </w:tcPr>
          <w:p w:rsidR="00F04EEF" w:rsidRDefault="0099351E">
            <w:r>
              <w:t>………………………………………………………………………………………….....……………………………………………………………………………………….…</w:t>
            </w:r>
          </w:p>
        </w:tc>
      </w:tr>
      <w:tr w:rsidR="00F04EEF">
        <w:trPr>
          <w:trHeight w:val="292"/>
        </w:trPr>
        <w:tc>
          <w:tcPr>
            <w:tcW w:w="9212" w:type="dxa"/>
            <w:gridSpan w:val="4"/>
            <w:vAlign w:val="center"/>
          </w:tcPr>
          <w:p w:rsidR="00F04EEF" w:rsidRDefault="0099351E">
            <w:r>
              <w:t xml:space="preserve">Inscrit(s) en                            </w:t>
            </w:r>
          </w:p>
        </w:tc>
      </w:tr>
      <w:tr w:rsidR="00F04EEF">
        <w:trPr>
          <w:trHeight w:val="288"/>
        </w:trPr>
        <w:tc>
          <w:tcPr>
            <w:tcW w:w="1548" w:type="dxa"/>
            <w:vMerge w:val="restart"/>
            <w:vAlign w:val="center"/>
          </w:tcPr>
          <w:p w:rsidR="00F04EEF" w:rsidRDefault="0099351E">
            <w:r>
              <w:sym w:font="Wingdings" w:char="F0A8"/>
            </w:r>
            <w:r>
              <w:t xml:space="preserve">     Forme 3       </w:t>
            </w:r>
          </w:p>
        </w:tc>
        <w:tc>
          <w:tcPr>
            <w:tcW w:w="2880" w:type="dxa"/>
            <w:gridSpan w:val="2"/>
            <w:vAlign w:val="center"/>
          </w:tcPr>
          <w:p w:rsidR="00F04EEF" w:rsidRDefault="0099351E">
            <w:r>
              <w:t>Secteur : ………………………</w:t>
            </w:r>
          </w:p>
        </w:tc>
        <w:tc>
          <w:tcPr>
            <w:tcW w:w="4784" w:type="dxa"/>
            <w:vMerge w:val="restart"/>
            <w:vAlign w:val="center"/>
          </w:tcPr>
          <w:p w:rsidR="00F04EEF" w:rsidRDefault="0099351E">
            <w:pPr>
              <w:jc w:val="center"/>
            </w:pPr>
            <w:r>
              <w:t>Métier : ......................................................................</w:t>
            </w:r>
          </w:p>
        </w:tc>
      </w:tr>
      <w:tr w:rsidR="00F04EEF">
        <w:trPr>
          <w:trHeight w:val="288"/>
        </w:trPr>
        <w:tc>
          <w:tcPr>
            <w:tcW w:w="1548" w:type="dxa"/>
            <w:vMerge/>
            <w:vAlign w:val="center"/>
          </w:tcPr>
          <w:p w:rsidR="00F04EEF" w:rsidRDefault="00F04EEF"/>
        </w:tc>
        <w:tc>
          <w:tcPr>
            <w:tcW w:w="2880" w:type="dxa"/>
            <w:gridSpan w:val="2"/>
            <w:vAlign w:val="center"/>
          </w:tcPr>
          <w:p w:rsidR="00F04EEF" w:rsidRDefault="0099351E">
            <w:r>
              <w:t>Groupe : ………………………</w:t>
            </w:r>
          </w:p>
        </w:tc>
        <w:tc>
          <w:tcPr>
            <w:tcW w:w="4784" w:type="dxa"/>
            <w:vMerge/>
            <w:vAlign w:val="center"/>
          </w:tcPr>
          <w:p w:rsidR="00F04EEF" w:rsidRDefault="00F04EEF">
            <w:pPr>
              <w:jc w:val="center"/>
            </w:pPr>
          </w:p>
        </w:tc>
      </w:tr>
    </w:tbl>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12"/>
      </w:tblGrid>
      <w:tr w:rsidR="00F04EEF">
        <w:tc>
          <w:tcPr>
            <w:tcW w:w="9212" w:type="dxa"/>
          </w:tcPr>
          <w:p w:rsidR="00F04EEF" w:rsidRDefault="0099351E">
            <w:r>
              <w:t>Enumération des démarche(s) entreprise(s) dans la recherche de lieux de stage* :</w:t>
            </w:r>
          </w:p>
          <w:p w:rsidR="00F04EEF" w:rsidRDefault="0099351E">
            <w:pPr>
              <w:spacing w:after="120"/>
            </w:pPr>
            <w:r>
              <w:t>………………………………………………………………………………………………………………………………………………………………………………………………………………………………………………………………………………………………………………………………………………………………………</w:t>
            </w:r>
          </w:p>
          <w:p w:rsidR="00F04EEF" w:rsidRDefault="0099351E">
            <w:pPr>
              <w:pStyle w:val="Paragraphedeliste1"/>
              <w:ind w:left="0"/>
              <w:jc w:val="both"/>
              <w:rPr>
                <w:rFonts w:asciiTheme="majorHAnsi" w:hAnsiTheme="majorHAnsi"/>
              </w:rPr>
            </w:pPr>
            <w:r>
              <w:rPr>
                <w:rFonts w:asciiTheme="majorHAnsi" w:hAnsiTheme="majorHAnsi"/>
              </w:rPr>
              <w:t>Motif(s) éventuel(s) de refus de la ou des entreprises contactée(s)* :</w:t>
            </w:r>
          </w:p>
          <w:p w:rsidR="00F04EEF" w:rsidRDefault="0099351E">
            <w:r>
              <w:t>………………………………………………………………………………………………………………………………………………………………………………………………………………………………………………………………………………………………………………………………………………………………………</w:t>
            </w:r>
          </w:p>
          <w:p w:rsidR="00F04EEF" w:rsidRDefault="0099351E">
            <w:pPr>
              <w:jc w:val="both"/>
              <w:rPr>
                <w:b/>
              </w:rPr>
            </w:pPr>
            <w:r>
              <w:rPr>
                <w:b/>
              </w:rPr>
              <w:t>* Joindre tout document officiel attestant des démarches entreprises et des réponses obtenues.</w:t>
            </w:r>
          </w:p>
        </w:tc>
      </w:tr>
    </w:tbl>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F04EEF">
        <w:tc>
          <w:tcPr>
            <w:tcW w:w="9212" w:type="dxa"/>
          </w:tcPr>
          <w:p w:rsidR="00F04EEF" w:rsidRDefault="0099351E">
            <w:pPr>
              <w:pStyle w:val="Default"/>
              <w:spacing w:before="120" w:after="120"/>
              <w:jc w:val="both"/>
              <w:rPr>
                <w:rFonts w:asciiTheme="majorHAnsi" w:hAnsiTheme="majorHAnsi"/>
                <w:sz w:val="22"/>
                <w:szCs w:val="22"/>
              </w:rPr>
            </w:pPr>
            <w:r>
              <w:rPr>
                <w:rFonts w:asciiTheme="majorHAnsi" w:hAnsiTheme="majorHAnsi"/>
                <w:bCs/>
                <w:sz w:val="22"/>
                <w:szCs w:val="22"/>
              </w:rPr>
              <w:t xml:space="preserve">Date : </w:t>
            </w:r>
          </w:p>
          <w:p w:rsidR="00F04EEF" w:rsidRDefault="0099351E">
            <w:pPr>
              <w:tabs>
                <w:tab w:val="left" w:pos="5954"/>
              </w:tabs>
              <w:rPr>
                <w:bCs/>
              </w:rPr>
            </w:pPr>
            <w:r>
              <w:rPr>
                <w:bCs/>
              </w:rPr>
              <w:t xml:space="preserve">Nom et prénom du (de la) Chef(fe) d’établissement                          Signature (de la) Chef(fe) </w:t>
            </w:r>
          </w:p>
          <w:p w:rsidR="00F04EEF" w:rsidRDefault="0099351E">
            <w:pPr>
              <w:tabs>
                <w:tab w:val="left" w:pos="5954"/>
              </w:tabs>
              <w:rPr>
                <w:bCs/>
              </w:rPr>
            </w:pPr>
            <w:r>
              <w:rPr>
                <w:bCs/>
              </w:rPr>
              <w:t xml:space="preserve">                                                                                                                        d'établissement</w:t>
            </w:r>
          </w:p>
          <w:p w:rsidR="00F04EEF" w:rsidRDefault="00F04EEF">
            <w:pPr>
              <w:rPr>
                <w:b/>
              </w:rPr>
            </w:pPr>
          </w:p>
        </w:tc>
      </w:tr>
    </w:tbl>
    <w:p w:rsidR="00F04EEF" w:rsidRDefault="00F04EEF">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4"/>
        <w:gridCol w:w="4644"/>
      </w:tblGrid>
      <w:tr w:rsidR="00F04EEF">
        <w:trPr>
          <w:trHeight w:val="1233"/>
        </w:trPr>
        <w:tc>
          <w:tcPr>
            <w:tcW w:w="9288" w:type="dxa"/>
            <w:gridSpan w:val="2"/>
            <w:vAlign w:val="center"/>
          </w:tcPr>
          <w:p w:rsidR="00F04EEF" w:rsidRDefault="0099351E">
            <w:pPr>
              <w:jc w:val="center"/>
              <w:rPr>
                <w:b/>
              </w:rPr>
            </w:pPr>
            <w:r>
              <w:rPr>
                <w:b/>
              </w:rPr>
              <w:t xml:space="preserve">Le présent formulaire de demande de lieux de stage doit être adressé simultanément </w:t>
            </w:r>
          </w:p>
          <w:p w:rsidR="00F04EEF" w:rsidRDefault="0099351E">
            <w:pPr>
              <w:numPr>
                <w:ilvl w:val="0"/>
                <w:numId w:val="179"/>
              </w:numPr>
              <w:ind w:left="0"/>
              <w:rPr>
                <w:b/>
              </w:rPr>
            </w:pPr>
            <w:r>
              <w:rPr>
                <w:b/>
              </w:rPr>
              <w:t>à l’Instance de Pilotage Inter-réseaux de l’Enseignement Qualifiant (IPIEQ), concernée et reprise dans la liste figurant ci-dessous</w:t>
            </w:r>
          </w:p>
          <w:p w:rsidR="00F04EEF" w:rsidRDefault="0099351E">
            <w:pPr>
              <w:numPr>
                <w:ilvl w:val="0"/>
                <w:numId w:val="179"/>
              </w:numPr>
              <w:ind w:left="0"/>
            </w:pPr>
            <w:r>
              <w:rPr>
                <w:b/>
              </w:rPr>
              <w:t>au service de l’enseignement spécialisé</w:t>
            </w:r>
          </w:p>
        </w:tc>
      </w:tr>
      <w:tr w:rsidR="00F04EEF">
        <w:tc>
          <w:tcPr>
            <w:tcW w:w="4644" w:type="dxa"/>
          </w:tcPr>
          <w:p w:rsidR="00F04EEF" w:rsidRDefault="0099351E">
            <w:pPr>
              <w:jc w:val="center"/>
            </w:pPr>
            <w:r>
              <w:t>IPIEQ …</w:t>
            </w:r>
          </w:p>
          <w:p w:rsidR="00F04EEF" w:rsidRDefault="0099351E">
            <w:pPr>
              <w:jc w:val="both"/>
            </w:pPr>
            <w:r>
              <w:rPr>
                <w:bdr w:val="single" w:sz="4" w:space="0" w:color="auto"/>
              </w:rPr>
              <w:t xml:space="preserve"> </w:t>
            </w:r>
          </w:p>
          <w:p w:rsidR="00F04EEF" w:rsidRDefault="00F04EEF">
            <w:pPr>
              <w:pStyle w:val="Paragraphedeliste1"/>
              <w:ind w:left="0"/>
              <w:jc w:val="both"/>
              <w:rPr>
                <w:rFonts w:asciiTheme="majorHAnsi" w:hAnsiTheme="majorHAnsi"/>
              </w:rPr>
            </w:pPr>
          </w:p>
        </w:tc>
        <w:tc>
          <w:tcPr>
            <w:tcW w:w="4644" w:type="dxa"/>
          </w:tcPr>
          <w:p w:rsidR="00F04EEF" w:rsidRDefault="0099351E">
            <w:pPr>
              <w:autoSpaceDE w:val="0"/>
              <w:autoSpaceDN w:val="0"/>
              <w:adjustRightInd w:val="0"/>
              <w:ind w:hanging="360"/>
              <w:jc w:val="center"/>
              <w:rPr>
                <w:color w:val="000000"/>
              </w:rPr>
            </w:pPr>
            <w:r>
              <w:rPr>
                <w:bCs/>
                <w:color w:val="000000"/>
              </w:rPr>
              <w:t>Direction générale de l’enseignement obligatoire</w:t>
            </w:r>
          </w:p>
          <w:p w:rsidR="00F04EEF" w:rsidRDefault="0099351E">
            <w:pPr>
              <w:autoSpaceDE w:val="0"/>
              <w:autoSpaceDN w:val="0"/>
              <w:adjustRightInd w:val="0"/>
              <w:jc w:val="center"/>
              <w:rPr>
                <w:color w:val="000000"/>
              </w:rPr>
            </w:pPr>
            <w:r>
              <w:rPr>
                <w:color w:val="000000"/>
              </w:rPr>
              <w:t>Service de l’enseignement spécialisé</w:t>
            </w:r>
          </w:p>
          <w:p w:rsidR="00F04EEF" w:rsidRDefault="0099351E">
            <w:pPr>
              <w:autoSpaceDE w:val="0"/>
              <w:autoSpaceDN w:val="0"/>
              <w:adjustRightInd w:val="0"/>
              <w:jc w:val="center"/>
              <w:rPr>
                <w:color w:val="000000"/>
                <w:lang w:val="en-US"/>
              </w:rPr>
            </w:pPr>
            <w:r>
              <w:rPr>
                <w:color w:val="000000"/>
                <w:lang w:val="en-US"/>
              </w:rPr>
              <w:t>Madame Christine WILLEMS</w:t>
            </w:r>
          </w:p>
          <w:p w:rsidR="00F04EEF" w:rsidRDefault="0099351E">
            <w:pPr>
              <w:autoSpaceDE w:val="0"/>
              <w:autoSpaceDN w:val="0"/>
              <w:adjustRightInd w:val="0"/>
              <w:jc w:val="center"/>
              <w:rPr>
                <w:color w:val="000000"/>
                <w:lang w:val="en-US"/>
              </w:rPr>
            </w:pPr>
            <w:r>
              <w:rPr>
                <w:color w:val="000000"/>
                <w:lang w:val="en-US"/>
              </w:rPr>
              <w:t>Bureau 2 F 243</w:t>
            </w:r>
          </w:p>
          <w:p w:rsidR="00F04EEF" w:rsidRDefault="0099351E">
            <w:pPr>
              <w:autoSpaceDE w:val="0"/>
              <w:autoSpaceDN w:val="0"/>
              <w:adjustRightInd w:val="0"/>
              <w:jc w:val="center"/>
              <w:rPr>
                <w:bCs/>
                <w:color w:val="000000"/>
              </w:rPr>
            </w:pPr>
            <w:r>
              <w:rPr>
                <w:bCs/>
                <w:color w:val="000000"/>
              </w:rPr>
              <w:t>Rue Adolphe Lavallée, 1</w:t>
            </w:r>
          </w:p>
          <w:p w:rsidR="00F04EEF" w:rsidRDefault="0099351E">
            <w:pPr>
              <w:autoSpaceDE w:val="0"/>
              <w:autoSpaceDN w:val="0"/>
              <w:adjustRightInd w:val="0"/>
              <w:jc w:val="center"/>
            </w:pPr>
            <w:r>
              <w:rPr>
                <w:bCs/>
                <w:color w:val="000000"/>
              </w:rPr>
              <w:t>1080 Bruxelles</w:t>
            </w:r>
          </w:p>
        </w:tc>
      </w:tr>
    </w:tbl>
    <w:p w:rsidR="00F04EEF" w:rsidRDefault="00F04EEF">
      <w:pPr>
        <w:tabs>
          <w:tab w:val="num" w:pos="1431"/>
        </w:tabs>
        <w:jc w:val="both"/>
      </w:pPr>
    </w:p>
    <w:p w:rsidR="00F04EEF" w:rsidRDefault="0099351E">
      <w:pPr>
        <w:tabs>
          <w:tab w:val="num" w:pos="1431"/>
        </w:tabs>
        <w:jc w:val="both"/>
      </w:pPr>
      <w:r>
        <w:t>La liste et les coordonnées des IPIEQ – Instances de pilotage Inter-réseaux de l’Enseignement Qualifiant seront fournies par circulaire aux établissements scolaires.</w:t>
      </w:r>
    </w:p>
    <w:p w:rsidR="00F04EEF" w:rsidRDefault="0099351E">
      <w:pPr>
        <w:pStyle w:val="Titre4"/>
      </w:pPr>
      <w:bookmarkStart w:id="4175" w:name="_Annexe_8_:_"/>
      <w:bookmarkEnd w:id="4175"/>
      <w:r>
        <w:br w:type="page"/>
      </w:r>
      <w:bookmarkStart w:id="4176" w:name="_Toc414353024"/>
      <w:bookmarkStart w:id="4177" w:name="_Toc453837050"/>
      <w:r>
        <w:t>Annexe 8 : Demande de dispense totale ou partielle de stages rendus obligatoires par le Gouvernement - Enseignement spécialisé de forme 3</w:t>
      </w:r>
      <w:bookmarkEnd w:id="4176"/>
      <w:bookmarkEnd w:id="4177"/>
    </w:p>
    <w:p w:rsidR="00F04EEF" w:rsidRDefault="00F04EEF">
      <w:pPr>
        <w:jc w:val="both"/>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F04EEF">
        <w:tc>
          <w:tcPr>
            <w:tcW w:w="9212" w:type="dxa"/>
            <w:vAlign w:val="center"/>
          </w:tcPr>
          <w:p w:rsidR="00F04EEF" w:rsidRDefault="0099351E">
            <w:r>
              <w:t>N° FASE de l’établissement : ......................</w:t>
            </w:r>
          </w:p>
          <w:p w:rsidR="00F04EEF" w:rsidRDefault="0099351E">
            <w:r>
              <w:t>Dénomination de l’établissement : ..................................................................................</w:t>
            </w:r>
          </w:p>
        </w:tc>
      </w:tr>
    </w:tbl>
    <w:p w:rsidR="00F04EEF" w:rsidRDefault="00F04EEF">
      <w:pPr>
        <w:ind w:firstLine="709"/>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3123"/>
        <w:gridCol w:w="4001"/>
      </w:tblGrid>
      <w:tr w:rsidR="00F04EEF">
        <w:trPr>
          <w:trHeight w:val="386"/>
        </w:trPr>
        <w:tc>
          <w:tcPr>
            <w:tcW w:w="9212" w:type="dxa"/>
            <w:gridSpan w:val="4"/>
            <w:vAlign w:val="center"/>
          </w:tcPr>
          <w:p w:rsidR="00F04EEF" w:rsidRDefault="0099351E">
            <w:r>
              <w:t>O  La demande totale de dispense concerne l’élève ou les élèves :</w:t>
            </w:r>
          </w:p>
          <w:p w:rsidR="00F04EEF" w:rsidRDefault="0099351E">
            <w:r>
              <w:t>O  La demande partielle de dispense concerne l’élève ou les élèves :</w:t>
            </w:r>
          </w:p>
        </w:tc>
      </w:tr>
      <w:tr w:rsidR="00F04EEF">
        <w:trPr>
          <w:trHeight w:val="292"/>
        </w:trPr>
        <w:tc>
          <w:tcPr>
            <w:tcW w:w="2088" w:type="dxa"/>
            <w:gridSpan w:val="2"/>
            <w:vAlign w:val="center"/>
          </w:tcPr>
          <w:p w:rsidR="00F04EEF" w:rsidRDefault="0099351E">
            <w:r>
              <w:t>NOM(s) et prénom(s)</w:t>
            </w:r>
          </w:p>
        </w:tc>
        <w:tc>
          <w:tcPr>
            <w:tcW w:w="7124" w:type="dxa"/>
            <w:gridSpan w:val="2"/>
            <w:vAlign w:val="center"/>
          </w:tcPr>
          <w:p w:rsidR="00F04EEF" w:rsidRDefault="0099351E">
            <w:r>
              <w:t>…………………………………………………………………………………………...</w:t>
            </w:r>
          </w:p>
          <w:p w:rsidR="00F04EEF" w:rsidRDefault="0099351E">
            <w:pPr>
              <w:spacing w:after="120"/>
            </w:pPr>
            <w:r>
              <w:t>………………………………………………………………………………………….....………</w:t>
            </w:r>
          </w:p>
        </w:tc>
      </w:tr>
      <w:tr w:rsidR="00F04EEF">
        <w:trPr>
          <w:trHeight w:val="292"/>
        </w:trPr>
        <w:tc>
          <w:tcPr>
            <w:tcW w:w="9212" w:type="dxa"/>
            <w:gridSpan w:val="4"/>
            <w:vAlign w:val="center"/>
          </w:tcPr>
          <w:p w:rsidR="00F04EEF" w:rsidRDefault="0099351E">
            <w:r>
              <w:t>Inscrit(s) en</w:t>
            </w:r>
          </w:p>
        </w:tc>
      </w:tr>
      <w:tr w:rsidR="00F04EEF">
        <w:trPr>
          <w:trHeight w:val="288"/>
        </w:trPr>
        <w:tc>
          <w:tcPr>
            <w:tcW w:w="1548" w:type="dxa"/>
            <w:vMerge w:val="restart"/>
            <w:vAlign w:val="center"/>
          </w:tcPr>
          <w:p w:rsidR="00F04EEF" w:rsidRDefault="0099351E">
            <w:r>
              <w:sym w:font="Wingdings" w:char="F0A8"/>
            </w:r>
            <w:r>
              <w:t xml:space="preserve">     Forme 3       </w:t>
            </w:r>
          </w:p>
        </w:tc>
        <w:tc>
          <w:tcPr>
            <w:tcW w:w="3663" w:type="dxa"/>
            <w:gridSpan w:val="2"/>
            <w:vAlign w:val="center"/>
          </w:tcPr>
          <w:p w:rsidR="00F04EEF" w:rsidRDefault="0099351E">
            <w:pPr>
              <w:spacing w:after="120"/>
            </w:pPr>
            <w:r>
              <w:t>Secteur : ………………………</w:t>
            </w:r>
          </w:p>
        </w:tc>
        <w:tc>
          <w:tcPr>
            <w:tcW w:w="4001" w:type="dxa"/>
            <w:vMerge w:val="restart"/>
            <w:vAlign w:val="center"/>
          </w:tcPr>
          <w:p w:rsidR="00F04EEF" w:rsidRDefault="0099351E">
            <w:pPr>
              <w:jc w:val="center"/>
            </w:pPr>
            <w:r>
              <w:t>Métier : ...............................................................</w:t>
            </w:r>
          </w:p>
        </w:tc>
      </w:tr>
      <w:tr w:rsidR="00F04EEF">
        <w:trPr>
          <w:trHeight w:val="288"/>
        </w:trPr>
        <w:tc>
          <w:tcPr>
            <w:tcW w:w="1548" w:type="dxa"/>
            <w:vMerge/>
            <w:vAlign w:val="center"/>
          </w:tcPr>
          <w:p w:rsidR="00F04EEF" w:rsidRDefault="00F04EEF"/>
        </w:tc>
        <w:tc>
          <w:tcPr>
            <w:tcW w:w="3663" w:type="dxa"/>
            <w:gridSpan w:val="2"/>
            <w:vAlign w:val="center"/>
          </w:tcPr>
          <w:p w:rsidR="00F04EEF" w:rsidRDefault="0099351E">
            <w:pPr>
              <w:spacing w:after="120"/>
            </w:pPr>
            <w:r>
              <w:t>Groupe : ………………………</w:t>
            </w:r>
          </w:p>
        </w:tc>
        <w:tc>
          <w:tcPr>
            <w:tcW w:w="4001" w:type="dxa"/>
            <w:vMerge/>
            <w:vAlign w:val="center"/>
          </w:tcPr>
          <w:p w:rsidR="00F04EEF" w:rsidRDefault="00F04EEF">
            <w:pPr>
              <w:jc w:val="center"/>
            </w:pPr>
          </w:p>
        </w:tc>
      </w:tr>
    </w:tbl>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rsidR="00F04EEF">
        <w:trPr>
          <w:trHeight w:val="882"/>
        </w:trPr>
        <w:tc>
          <w:tcPr>
            <w:tcW w:w="9000" w:type="dxa"/>
            <w:vAlign w:val="center"/>
          </w:tcPr>
          <w:p w:rsidR="00F04EEF" w:rsidRDefault="0099351E">
            <w:r>
              <w:t>La demande de dispense à l’obligation d’organiser des stages est motivée par :</w:t>
            </w:r>
          </w:p>
          <w:p w:rsidR="00F04EEF" w:rsidRDefault="0099351E">
            <w:r>
              <w:t xml:space="preserve">  O  le manque d’offre de stages - </w:t>
            </w:r>
            <w:r>
              <w:rPr>
                <w:b/>
              </w:rPr>
              <w:t>1</w:t>
            </w:r>
          </w:p>
          <w:p w:rsidR="00F04EEF" w:rsidRDefault="0099351E">
            <w:r>
              <w:t xml:space="preserve">  O  la grande difficulté de déplacement du ou des élève(s) vers des lieux de stage - </w:t>
            </w:r>
            <w:r>
              <w:rPr>
                <w:b/>
              </w:rPr>
              <w:t>2</w:t>
            </w:r>
          </w:p>
          <w:p w:rsidR="00F04EEF" w:rsidRDefault="0099351E">
            <w:r>
              <w:t xml:space="preserve">  O  d’autres motifs extérieurs à l’élève ou aux élèves – </w:t>
            </w:r>
            <w:r>
              <w:rPr>
                <w:b/>
              </w:rPr>
              <w:t>3</w:t>
            </w:r>
          </w:p>
        </w:tc>
      </w:tr>
      <w:tr w:rsidR="00F04EEF">
        <w:trPr>
          <w:trHeight w:val="2471"/>
        </w:trPr>
        <w:tc>
          <w:tcPr>
            <w:tcW w:w="9000" w:type="dxa"/>
          </w:tcPr>
          <w:p w:rsidR="00F04EEF" w:rsidRDefault="00F04EEF">
            <w:pPr>
              <w:jc w:val="both"/>
              <w:rPr>
                <w:bdr w:val="single" w:sz="4" w:space="0" w:color="auto"/>
              </w:rPr>
            </w:pPr>
          </w:p>
          <w:p w:rsidR="00F04EEF" w:rsidRDefault="0099351E">
            <w:pPr>
              <w:spacing w:after="120"/>
              <w:jc w:val="both"/>
            </w:pPr>
            <w:r>
              <w:rPr>
                <w:b/>
                <w:bdr w:val="single" w:sz="4" w:space="0" w:color="auto"/>
              </w:rPr>
              <w:t xml:space="preserve"> 1</w:t>
            </w:r>
            <w:r>
              <w:rPr>
                <w:bdr w:val="single" w:sz="4" w:space="0" w:color="auto"/>
              </w:rPr>
              <w:t>. Manque d’offre de stages</w:t>
            </w:r>
          </w:p>
          <w:p w:rsidR="00F04EEF" w:rsidRDefault="0099351E">
            <w:pPr>
              <w:pStyle w:val="Paragraphedeliste1"/>
              <w:ind w:left="0"/>
              <w:jc w:val="both"/>
              <w:rPr>
                <w:rFonts w:asciiTheme="majorHAnsi" w:hAnsiTheme="majorHAnsi"/>
              </w:rPr>
            </w:pPr>
            <w:r>
              <w:rPr>
                <w:rFonts w:asciiTheme="majorHAnsi" w:hAnsiTheme="majorHAnsi"/>
              </w:rPr>
              <w:t>Enumération des démarches entreprises dans la recherche de lieux de stage* :</w:t>
            </w:r>
          </w:p>
          <w:p w:rsidR="00F04EEF" w:rsidRDefault="0099351E">
            <w:pPr>
              <w:pStyle w:val="Paragraphedeliste1"/>
              <w:ind w:left="0"/>
              <w:jc w:val="both"/>
              <w:rPr>
                <w:rFonts w:asciiTheme="majorHAnsi" w:hAnsiTheme="majorHAnsi"/>
              </w:rPr>
            </w:pPr>
            <w:r>
              <w:rPr>
                <w:rFonts w:asciiTheme="majorHAnsi" w:hAnsiTheme="majorHAnsi"/>
              </w:rPr>
              <w:t>…………………………………………………………………………………………………………………………………………………………………………………………………………………………………………………………………………………………………………………………………………………………………………….</w:t>
            </w:r>
          </w:p>
          <w:p w:rsidR="00F04EEF" w:rsidRDefault="0099351E">
            <w:pPr>
              <w:pStyle w:val="Paragraphedeliste1"/>
              <w:ind w:left="0"/>
              <w:jc w:val="both"/>
              <w:rPr>
                <w:rFonts w:asciiTheme="majorHAnsi" w:hAnsiTheme="majorHAnsi"/>
              </w:rPr>
            </w:pPr>
            <w:r>
              <w:rPr>
                <w:rFonts w:asciiTheme="majorHAnsi" w:hAnsiTheme="majorHAnsi"/>
              </w:rPr>
              <w:t>Motif(s) éventuel(s) de refus de la ou des entreprises contactée(s)* :</w:t>
            </w:r>
          </w:p>
          <w:p w:rsidR="00F04EEF" w:rsidRDefault="0099351E">
            <w:pPr>
              <w:pStyle w:val="Paragraphedeliste1"/>
              <w:spacing w:after="120"/>
              <w:ind w:left="0"/>
              <w:jc w:val="both"/>
              <w:rPr>
                <w:rFonts w:asciiTheme="majorHAnsi" w:hAnsiTheme="majorHAnsi"/>
              </w:rPr>
            </w:pPr>
            <w:r>
              <w:rPr>
                <w:rFonts w:asciiTheme="majorHAnsi" w:hAnsiTheme="majorHAnsi"/>
              </w:rPr>
              <w:t>………………………………………………………………………………………………………………………………………</w:t>
            </w:r>
          </w:p>
          <w:p w:rsidR="00F04EEF" w:rsidRDefault="0099351E">
            <w:pPr>
              <w:jc w:val="both"/>
              <w:rPr>
                <w:b/>
              </w:rPr>
            </w:pPr>
            <w:r>
              <w:rPr>
                <w:b/>
              </w:rPr>
              <w:t>* Joindre tout document officiel attestant des démarches entreprises et des réponses obtenues.</w:t>
            </w:r>
          </w:p>
        </w:tc>
      </w:tr>
      <w:tr w:rsidR="00F04EEF">
        <w:trPr>
          <w:trHeight w:val="1313"/>
        </w:trPr>
        <w:tc>
          <w:tcPr>
            <w:tcW w:w="9000" w:type="dxa"/>
          </w:tcPr>
          <w:p w:rsidR="00F04EEF" w:rsidRDefault="00F04EEF">
            <w:pPr>
              <w:jc w:val="both"/>
            </w:pPr>
          </w:p>
          <w:p w:rsidR="00F04EEF" w:rsidRDefault="0099351E">
            <w:pPr>
              <w:spacing w:after="120"/>
              <w:jc w:val="both"/>
            </w:pPr>
            <w:r>
              <w:rPr>
                <w:bdr w:val="single" w:sz="4" w:space="0" w:color="auto"/>
              </w:rPr>
              <w:t xml:space="preserve"> </w:t>
            </w:r>
            <w:r>
              <w:rPr>
                <w:b/>
                <w:bdr w:val="single" w:sz="4" w:space="0" w:color="auto"/>
              </w:rPr>
              <w:t>2</w:t>
            </w:r>
            <w:r>
              <w:rPr>
                <w:bdr w:val="single" w:sz="4" w:space="0" w:color="auto"/>
              </w:rPr>
              <w:t>. Difficulté de déplacement du ou des élèves vers des lieux de stage</w:t>
            </w:r>
          </w:p>
          <w:p w:rsidR="00F04EEF" w:rsidRDefault="0099351E">
            <w:pPr>
              <w:pStyle w:val="Paragraphedeliste1"/>
              <w:ind w:left="0"/>
              <w:jc w:val="both"/>
              <w:rPr>
                <w:rFonts w:asciiTheme="majorHAnsi" w:hAnsiTheme="majorHAnsi"/>
              </w:rPr>
            </w:pPr>
            <w:r>
              <w:rPr>
                <w:rFonts w:asciiTheme="majorHAnsi" w:hAnsiTheme="majorHAnsi"/>
              </w:rPr>
              <w:t>Explicitation du ou des difficulté(s) de déplacement du  ou des élève(s) vers des lieux de stages :</w:t>
            </w:r>
          </w:p>
          <w:p w:rsidR="00F04EEF" w:rsidRDefault="0099351E">
            <w:pPr>
              <w:pStyle w:val="Paragraphedeliste1"/>
              <w:ind w:left="0"/>
              <w:jc w:val="both"/>
              <w:rPr>
                <w:rFonts w:asciiTheme="majorHAnsi" w:hAnsiTheme="majorHAnsi"/>
              </w:rPr>
            </w:pPr>
            <w:r>
              <w:rPr>
                <w:rFonts w:asciiTheme="majorHAnsi" w:hAnsiTheme="majorHAnsi"/>
              </w:rPr>
              <w:t>………………………………………………………………………………………………………………………………………</w:t>
            </w:r>
          </w:p>
          <w:p w:rsidR="00F04EEF" w:rsidRDefault="00F04EEF">
            <w:pPr>
              <w:jc w:val="both"/>
            </w:pPr>
          </w:p>
        </w:tc>
      </w:tr>
      <w:tr w:rsidR="00F04EEF">
        <w:trPr>
          <w:trHeight w:val="935"/>
        </w:trPr>
        <w:tc>
          <w:tcPr>
            <w:tcW w:w="9000" w:type="dxa"/>
          </w:tcPr>
          <w:p w:rsidR="00F04EEF" w:rsidRDefault="00F04EEF">
            <w:pPr>
              <w:jc w:val="both"/>
            </w:pPr>
          </w:p>
          <w:p w:rsidR="00F04EEF" w:rsidRDefault="0099351E">
            <w:pPr>
              <w:spacing w:after="120"/>
              <w:jc w:val="both"/>
            </w:pPr>
            <w:r>
              <w:rPr>
                <w:b/>
                <w:bdr w:val="single" w:sz="4" w:space="0" w:color="auto"/>
              </w:rPr>
              <w:t>3</w:t>
            </w:r>
            <w:r>
              <w:rPr>
                <w:bdr w:val="single" w:sz="4" w:space="0" w:color="auto"/>
              </w:rPr>
              <w:t>. Autres motifs extérieurs à l’élève ou aux élèves</w:t>
            </w:r>
          </w:p>
          <w:p w:rsidR="00F04EEF" w:rsidRDefault="0099351E">
            <w:pPr>
              <w:spacing w:after="120"/>
              <w:jc w:val="both"/>
            </w:pPr>
            <w:r>
              <w:t>……………………………………………………………………………………………………………………………</w:t>
            </w:r>
          </w:p>
        </w:tc>
      </w:tr>
    </w:tbl>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4"/>
      </w:tblGrid>
      <w:tr w:rsidR="00F04EEF">
        <w:tc>
          <w:tcPr>
            <w:tcW w:w="9288" w:type="dxa"/>
          </w:tcPr>
          <w:p w:rsidR="00F04EEF" w:rsidRDefault="00F04EEF">
            <w:pPr>
              <w:jc w:val="both"/>
            </w:pPr>
          </w:p>
          <w:p w:rsidR="00F04EEF" w:rsidRDefault="0099351E">
            <w:pPr>
              <w:jc w:val="both"/>
            </w:pPr>
            <w:r>
              <w:t>Propositions d’organisation alternative :</w:t>
            </w:r>
          </w:p>
          <w:p w:rsidR="00F04EEF" w:rsidRDefault="0099351E">
            <w:pPr>
              <w:jc w:val="both"/>
            </w:pPr>
            <w:r>
              <w:t>………………………………………………………………………………………………………………………………………………………………………………………………………………………………………………………………………………</w:t>
            </w:r>
          </w:p>
        </w:tc>
      </w:tr>
    </w:tbl>
    <w:p w:rsidR="00F04EEF" w:rsidRDefault="00F04EE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F04EEF">
        <w:tc>
          <w:tcPr>
            <w:tcW w:w="9212" w:type="dxa"/>
          </w:tcPr>
          <w:p w:rsidR="00F04EEF" w:rsidRDefault="0099351E">
            <w:pPr>
              <w:pStyle w:val="Default"/>
              <w:spacing w:before="120" w:after="120"/>
              <w:jc w:val="both"/>
              <w:rPr>
                <w:rFonts w:asciiTheme="majorHAnsi" w:hAnsiTheme="majorHAnsi"/>
                <w:sz w:val="22"/>
                <w:szCs w:val="22"/>
              </w:rPr>
            </w:pPr>
            <w:r>
              <w:rPr>
                <w:rFonts w:asciiTheme="majorHAnsi" w:hAnsiTheme="majorHAnsi"/>
                <w:bCs/>
                <w:sz w:val="22"/>
                <w:szCs w:val="22"/>
              </w:rPr>
              <w:t xml:space="preserve">Date : </w:t>
            </w:r>
          </w:p>
          <w:p w:rsidR="00F04EEF" w:rsidRDefault="0099351E">
            <w:pPr>
              <w:rPr>
                <w:bCs/>
              </w:rPr>
            </w:pPr>
            <w:r>
              <w:rPr>
                <w:bCs/>
              </w:rPr>
              <w:t xml:space="preserve">NOM et prénom du (de la) Chef(fe) d’établissement </w:t>
            </w:r>
          </w:p>
          <w:p w:rsidR="00F04EEF" w:rsidRDefault="0099351E">
            <w:r>
              <w:rPr>
                <w:bCs/>
              </w:rPr>
              <w:t>Signature (de la) Chef(fe) d'établissement</w:t>
            </w:r>
          </w:p>
          <w:p w:rsidR="00F04EEF" w:rsidRDefault="00F04EEF">
            <w:pPr>
              <w:rPr>
                <w:b/>
              </w:rPr>
            </w:pPr>
          </w:p>
        </w:tc>
      </w:tr>
    </w:tbl>
    <w:p w:rsidR="00F04EEF" w:rsidRDefault="0099351E">
      <w:pPr>
        <w:pBdr>
          <w:top w:val="single" w:sz="4" w:space="1" w:color="auto"/>
          <w:left w:val="single" w:sz="4" w:space="4" w:color="auto"/>
          <w:bottom w:val="single" w:sz="4" w:space="1" w:color="auto"/>
          <w:right w:val="single" w:sz="4" w:space="4" w:color="auto"/>
        </w:pBdr>
        <w:jc w:val="center"/>
        <w:rPr>
          <w:b/>
          <w:u w:val="single"/>
        </w:rPr>
      </w:pPr>
      <w:r>
        <w:rPr>
          <w:b/>
          <w:u w:val="single"/>
        </w:rPr>
        <w:t>Cette demande doit être adressée à l’adresse suivante</w:t>
      </w:r>
    </w:p>
    <w:p w:rsidR="00F04EEF" w:rsidRDefault="0099351E">
      <w:pPr>
        <w:pBdr>
          <w:top w:val="single" w:sz="4" w:space="1" w:color="auto"/>
          <w:left w:val="single" w:sz="4" w:space="4" w:color="auto"/>
          <w:bottom w:val="single" w:sz="4" w:space="1" w:color="auto"/>
          <w:right w:val="single" w:sz="4" w:space="4" w:color="auto"/>
        </w:pBdr>
        <w:jc w:val="center"/>
      </w:pPr>
      <w:r>
        <w:t>Direction générale de l’enseignement obligatoire</w:t>
      </w:r>
    </w:p>
    <w:p w:rsidR="00F04EEF" w:rsidRDefault="0099351E">
      <w:pPr>
        <w:pBdr>
          <w:top w:val="single" w:sz="4" w:space="1" w:color="auto"/>
          <w:left w:val="single" w:sz="4" w:space="4" w:color="auto"/>
          <w:bottom w:val="single" w:sz="4" w:space="1" w:color="auto"/>
          <w:right w:val="single" w:sz="4" w:space="4" w:color="auto"/>
        </w:pBdr>
        <w:jc w:val="center"/>
        <w:rPr>
          <w:lang w:val="en-US"/>
        </w:rPr>
      </w:pPr>
      <w:r>
        <w:t>Service de l’enseignement spécialisé</w:t>
      </w:r>
      <w:r>
        <w:rPr>
          <w:lang w:val="en-US"/>
        </w:rPr>
        <w:t>Bureau 2 F 251</w:t>
      </w:r>
      <w:r>
        <w:rPr>
          <w:lang w:val="en-US"/>
        </w:rPr>
        <w:br/>
        <w:t>Rue Adolphe Lavallée, 1 1080   BRUXELLES</w:t>
      </w:r>
    </w:p>
    <w:p w:rsidR="00F04EEF" w:rsidRDefault="0099351E">
      <w:pPr>
        <w:pStyle w:val="Titre4"/>
      </w:pPr>
      <w:bookmarkStart w:id="4178" w:name="_Annexe_9_:_"/>
      <w:bookmarkEnd w:id="4178"/>
      <w:r>
        <w:br w:type="page"/>
      </w:r>
      <w:bookmarkStart w:id="4179" w:name="_Toc414353025"/>
      <w:bookmarkStart w:id="4180" w:name="_Toc453837051"/>
      <w:r>
        <w:t>Annexe 9 : Demande d’autorisation de stage à l’étranger – Enseignement spécialisé de forme 3</w:t>
      </w:r>
      <w:bookmarkEnd w:id="4179"/>
      <w:bookmarkEnd w:id="4180"/>
    </w:p>
    <w:p w:rsidR="00F04EEF" w:rsidRDefault="00F04EEF">
      <w:pPr>
        <w:jc w:val="both"/>
        <w:rPr>
          <w:b/>
          <w:u w:val="single"/>
        </w:rPr>
      </w:pPr>
    </w:p>
    <w:p w:rsidR="00F04EEF" w:rsidRDefault="0099351E">
      <w:pPr>
        <w:rPr>
          <w:b/>
        </w:rPr>
      </w:pPr>
      <w:r>
        <w:rPr>
          <w:b/>
          <w:u w:val="single"/>
        </w:rPr>
        <w:t>Remarque préliminaire</w:t>
      </w:r>
      <w:r>
        <w:rPr>
          <w:b/>
        </w:rPr>
        <w:t> :</w:t>
      </w:r>
    </w:p>
    <w:p w:rsidR="00F04EEF" w:rsidRDefault="0099351E">
      <w:pPr>
        <w:jc w:val="both"/>
        <w:rPr>
          <w:b/>
        </w:rPr>
      </w:pPr>
      <w:r>
        <w:rPr>
          <w:b/>
        </w:rPr>
        <w:t>Cette demande n’a pas pour objet l’organisation de stages dans les pays limitrophes pour les élèves frontaliers ou dans une autre communauté et l’organisation de stages organisés dans le cadre d’échanges financés ou cofinancés par la Commission européenne ou une autorité publique belge.</w:t>
      </w:r>
    </w:p>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F04EEF">
        <w:tc>
          <w:tcPr>
            <w:tcW w:w="9212" w:type="dxa"/>
          </w:tcPr>
          <w:p w:rsidR="00F04EEF" w:rsidRDefault="0099351E">
            <w:r>
              <w:t>N° FASE de l’établissement : ......................</w:t>
            </w:r>
          </w:p>
          <w:p w:rsidR="00F04EEF" w:rsidRDefault="0099351E">
            <w:r>
              <w:t>Dénomination de l’établissement : ..................................................................................</w:t>
            </w:r>
          </w:p>
        </w:tc>
      </w:tr>
    </w:tbl>
    <w:p w:rsidR="00F04EEF" w:rsidRDefault="00F04EEF">
      <w:pPr>
        <w:rPr>
          <w:b/>
          <w:u w:val="single"/>
        </w:rPr>
      </w:pPr>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840"/>
        <w:gridCol w:w="4784"/>
      </w:tblGrid>
      <w:tr w:rsidR="00F04EEF">
        <w:trPr>
          <w:trHeight w:val="386"/>
        </w:trPr>
        <w:tc>
          <w:tcPr>
            <w:tcW w:w="9712" w:type="dxa"/>
            <w:gridSpan w:val="4"/>
            <w:vAlign w:val="center"/>
          </w:tcPr>
          <w:p w:rsidR="00F04EEF" w:rsidRDefault="0099351E">
            <w:r>
              <w:t>La demande d’autorisation de stage à l’étranger concerne l’élève suivant :</w:t>
            </w:r>
          </w:p>
        </w:tc>
      </w:tr>
      <w:tr w:rsidR="00F04EEF">
        <w:trPr>
          <w:trHeight w:val="292"/>
        </w:trPr>
        <w:tc>
          <w:tcPr>
            <w:tcW w:w="2088" w:type="dxa"/>
            <w:gridSpan w:val="2"/>
            <w:vAlign w:val="center"/>
          </w:tcPr>
          <w:p w:rsidR="00F04EEF" w:rsidRDefault="0099351E">
            <w:r>
              <w:t>NOM et prénom</w:t>
            </w:r>
          </w:p>
        </w:tc>
        <w:tc>
          <w:tcPr>
            <w:tcW w:w="7624" w:type="dxa"/>
            <w:gridSpan w:val="2"/>
            <w:vAlign w:val="center"/>
          </w:tcPr>
          <w:p w:rsidR="00F04EEF" w:rsidRDefault="0099351E">
            <w:r>
              <w:t>…………………………………………………………………………………………...</w:t>
            </w:r>
          </w:p>
          <w:p w:rsidR="00F04EEF" w:rsidRDefault="0099351E">
            <w:pPr>
              <w:spacing w:after="120"/>
            </w:pPr>
            <w:r>
              <w:t>…………………………………………………………………………………………...</w:t>
            </w:r>
          </w:p>
        </w:tc>
      </w:tr>
      <w:tr w:rsidR="00F04EEF">
        <w:trPr>
          <w:trHeight w:val="292"/>
        </w:trPr>
        <w:tc>
          <w:tcPr>
            <w:tcW w:w="9712" w:type="dxa"/>
            <w:gridSpan w:val="4"/>
            <w:vAlign w:val="center"/>
          </w:tcPr>
          <w:p w:rsidR="00F04EEF" w:rsidRDefault="0099351E">
            <w:r>
              <w:t xml:space="preserve">Inscrit en :                            </w:t>
            </w:r>
          </w:p>
        </w:tc>
      </w:tr>
      <w:tr w:rsidR="00F04EEF">
        <w:trPr>
          <w:trHeight w:val="288"/>
        </w:trPr>
        <w:tc>
          <w:tcPr>
            <w:tcW w:w="1548" w:type="dxa"/>
            <w:vMerge w:val="restart"/>
            <w:vAlign w:val="center"/>
          </w:tcPr>
          <w:p w:rsidR="00F04EEF" w:rsidRDefault="0099351E">
            <w:r>
              <w:sym w:font="Wingdings" w:char="F0A8"/>
            </w:r>
            <w:r>
              <w:t xml:space="preserve">     Forme 3       </w:t>
            </w:r>
          </w:p>
        </w:tc>
        <w:tc>
          <w:tcPr>
            <w:tcW w:w="3380" w:type="dxa"/>
            <w:gridSpan w:val="2"/>
            <w:vAlign w:val="center"/>
          </w:tcPr>
          <w:p w:rsidR="00F04EEF" w:rsidRDefault="0099351E">
            <w:r>
              <w:t>Secteur : ………………………</w:t>
            </w:r>
          </w:p>
        </w:tc>
        <w:tc>
          <w:tcPr>
            <w:tcW w:w="4784" w:type="dxa"/>
            <w:vMerge w:val="restart"/>
            <w:vAlign w:val="center"/>
          </w:tcPr>
          <w:p w:rsidR="00F04EEF" w:rsidRDefault="0099351E">
            <w:pPr>
              <w:jc w:val="center"/>
            </w:pPr>
            <w:r>
              <w:t>Métier : ......................................................................</w:t>
            </w:r>
          </w:p>
        </w:tc>
      </w:tr>
      <w:tr w:rsidR="00F04EEF">
        <w:trPr>
          <w:trHeight w:val="288"/>
        </w:trPr>
        <w:tc>
          <w:tcPr>
            <w:tcW w:w="1548" w:type="dxa"/>
            <w:vMerge/>
            <w:vAlign w:val="center"/>
          </w:tcPr>
          <w:p w:rsidR="00F04EEF" w:rsidRDefault="00F04EEF"/>
        </w:tc>
        <w:tc>
          <w:tcPr>
            <w:tcW w:w="3380" w:type="dxa"/>
            <w:gridSpan w:val="2"/>
            <w:vAlign w:val="center"/>
          </w:tcPr>
          <w:p w:rsidR="00F04EEF" w:rsidRDefault="0099351E">
            <w:r>
              <w:t>Groupe : ………………………</w:t>
            </w:r>
          </w:p>
        </w:tc>
        <w:tc>
          <w:tcPr>
            <w:tcW w:w="4784" w:type="dxa"/>
            <w:vMerge/>
            <w:vAlign w:val="center"/>
          </w:tcPr>
          <w:p w:rsidR="00F04EEF" w:rsidRDefault="00F04EEF">
            <w:pPr>
              <w:jc w:val="center"/>
            </w:pPr>
          </w:p>
        </w:tc>
      </w:tr>
    </w:tbl>
    <w:p w:rsidR="00F04EEF" w:rsidRDefault="00F04EEF">
      <w:pPr>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rsidR="00F04EEF">
        <w:tc>
          <w:tcPr>
            <w:tcW w:w="9288" w:type="dxa"/>
          </w:tcPr>
          <w:p w:rsidR="00F04EEF" w:rsidRDefault="0099351E">
            <w:r>
              <w:t>Coordonnées complètes du lieu de stage :</w:t>
            </w:r>
          </w:p>
          <w:p w:rsidR="00F04EEF" w:rsidRDefault="0099351E">
            <w:r>
              <w:t>……………………………………………………………………………………………………………………………………………………………………………………………………………………………………………………………………………………</w:t>
            </w:r>
          </w:p>
        </w:tc>
      </w:tr>
      <w:tr w:rsidR="00F04EEF">
        <w:tc>
          <w:tcPr>
            <w:tcW w:w="9288" w:type="dxa"/>
          </w:tcPr>
          <w:p w:rsidR="00F04EEF" w:rsidRDefault="0099351E">
            <w:r>
              <w:t>Coordonnées complètes du lieu d’hébergement :</w:t>
            </w:r>
          </w:p>
          <w:p w:rsidR="00F04EEF" w:rsidRDefault="0099351E">
            <w:r>
              <w:t>………………………………………………………………………………………………………………………………………………………………………………………………………………………………………………………………………………</w:t>
            </w:r>
          </w:p>
        </w:tc>
      </w:tr>
    </w:tbl>
    <w:p w:rsidR="00F04EEF" w:rsidRDefault="00F04EEF">
      <w:pPr>
        <w:rPr>
          <w:b/>
          <w:u w:val="single"/>
        </w:rPr>
      </w:pPr>
    </w:p>
    <w:p w:rsidR="00F04EEF" w:rsidRDefault="0099351E">
      <w:pPr>
        <w:jc w:val="both"/>
        <w:rPr>
          <w:b/>
        </w:rPr>
      </w:pPr>
      <w:r>
        <w:rPr>
          <w:b/>
        </w:rPr>
        <w:t>Cette demande d’autorisation de stage à l’étranger doit être complétée d’un dossier reprenant les documents suivants :</w:t>
      </w:r>
    </w:p>
    <w:p w:rsidR="00F04EEF" w:rsidRDefault="00F04EEF">
      <w:pPr>
        <w:jc w:val="both"/>
        <w:rPr>
          <w:b/>
        </w:rPr>
      </w:pPr>
    </w:p>
    <w:p w:rsidR="00F04EEF" w:rsidRDefault="0099351E">
      <w:pPr>
        <w:pStyle w:val="Paragraphedeliste1"/>
        <w:numPr>
          <w:ilvl w:val="0"/>
          <w:numId w:val="180"/>
        </w:numPr>
        <w:suppressAutoHyphens w:val="0"/>
        <w:ind w:left="0"/>
        <w:contextualSpacing/>
        <w:jc w:val="both"/>
        <w:rPr>
          <w:rFonts w:asciiTheme="majorHAnsi" w:hAnsiTheme="majorHAnsi"/>
          <w:b/>
        </w:rPr>
      </w:pPr>
      <w:r>
        <w:rPr>
          <w:rFonts w:asciiTheme="majorHAnsi" w:hAnsiTheme="majorHAnsi"/>
          <w:b/>
        </w:rPr>
        <w:t>Document présentant les objectifs visés</w:t>
      </w:r>
    </w:p>
    <w:p w:rsidR="00F04EEF" w:rsidRDefault="0099351E">
      <w:pPr>
        <w:pStyle w:val="Paragraphedeliste1"/>
        <w:numPr>
          <w:ilvl w:val="0"/>
          <w:numId w:val="180"/>
        </w:numPr>
        <w:suppressAutoHyphens w:val="0"/>
        <w:ind w:left="0"/>
        <w:contextualSpacing/>
        <w:jc w:val="both"/>
        <w:rPr>
          <w:rFonts w:asciiTheme="majorHAnsi" w:hAnsiTheme="majorHAnsi"/>
          <w:b/>
        </w:rPr>
      </w:pPr>
      <w:r>
        <w:rPr>
          <w:rFonts w:asciiTheme="majorHAnsi" w:hAnsiTheme="majorHAnsi"/>
          <w:b/>
        </w:rPr>
        <w:t>Copie de la convention de stage</w:t>
      </w:r>
    </w:p>
    <w:p w:rsidR="00F04EEF" w:rsidRDefault="0099351E">
      <w:pPr>
        <w:pStyle w:val="Paragraphedeliste1"/>
        <w:numPr>
          <w:ilvl w:val="0"/>
          <w:numId w:val="180"/>
        </w:numPr>
        <w:suppressAutoHyphens w:val="0"/>
        <w:ind w:left="0"/>
        <w:contextualSpacing/>
        <w:jc w:val="both"/>
        <w:rPr>
          <w:rFonts w:asciiTheme="majorHAnsi" w:hAnsiTheme="majorHAnsi"/>
          <w:b/>
        </w:rPr>
      </w:pPr>
      <w:r>
        <w:rPr>
          <w:rFonts w:asciiTheme="majorHAnsi" w:hAnsiTheme="majorHAnsi"/>
          <w:b/>
        </w:rPr>
        <w:t>Liste des membres du personnel encadrant ce stage à l’étranger</w:t>
      </w:r>
    </w:p>
    <w:p w:rsidR="00F04EEF" w:rsidRDefault="0099351E">
      <w:pPr>
        <w:pStyle w:val="Paragraphedeliste1"/>
        <w:numPr>
          <w:ilvl w:val="0"/>
          <w:numId w:val="180"/>
        </w:numPr>
        <w:suppressAutoHyphens w:val="0"/>
        <w:ind w:left="0"/>
        <w:contextualSpacing/>
        <w:jc w:val="both"/>
        <w:rPr>
          <w:rFonts w:asciiTheme="majorHAnsi" w:hAnsiTheme="majorHAnsi"/>
          <w:b/>
        </w:rPr>
      </w:pPr>
      <w:r>
        <w:rPr>
          <w:rFonts w:asciiTheme="majorHAnsi" w:hAnsiTheme="majorHAnsi"/>
          <w:b/>
        </w:rPr>
        <w:t>Tout autre document pouvant étayer cette demande</w:t>
      </w:r>
    </w:p>
    <w:p w:rsidR="00F04EEF" w:rsidRDefault="00F04EEF">
      <w:pPr>
        <w:jc w:val="both"/>
        <w:rPr>
          <w:b/>
        </w:rPr>
      </w:pPr>
    </w:p>
    <w:p w:rsidR="00F04EEF" w:rsidRDefault="0099351E">
      <w:pPr>
        <w:rPr>
          <w:b/>
        </w:rPr>
      </w:pPr>
      <w:r>
        <w:rPr>
          <w:b/>
          <w:u w:val="single"/>
        </w:rPr>
        <w:t>Remarque complémentaire</w:t>
      </w:r>
      <w:r>
        <w:rPr>
          <w:b/>
        </w:rPr>
        <w:t> :</w:t>
      </w:r>
    </w:p>
    <w:p w:rsidR="00F04EEF" w:rsidRDefault="0099351E">
      <w:pPr>
        <w:jc w:val="both"/>
        <w:rPr>
          <w:b/>
        </w:rPr>
      </w:pPr>
      <w:r>
        <w:rPr>
          <w:b/>
        </w:rPr>
        <w:t>Pour la participation d’élèves étrangers, séjournant légalement sur le territoire, à des activités scolaires organisées en dehors du territoire belge et à l’intérieur de l’Union européenne, Il y a lieu de se référer à la circulaire N°3211 du 02/07/2010 (</w:t>
      </w:r>
      <w:hyperlink r:id="rId355" w:history="1">
        <w:r>
          <w:rPr>
            <w:rStyle w:val="Lienhypertexte"/>
            <w:b/>
          </w:rPr>
          <w:t>www.adm.cfwb.be</w:t>
        </w:r>
      </w:hyperlink>
      <w:r>
        <w:rPr>
          <w:b/>
        </w:rPr>
        <w:t xml:space="preserve">) </w:t>
      </w:r>
    </w:p>
    <w:p w:rsidR="00F04EEF" w:rsidRDefault="00F04EEF">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F04EEF">
        <w:tc>
          <w:tcPr>
            <w:tcW w:w="9212" w:type="dxa"/>
          </w:tcPr>
          <w:p w:rsidR="00F04EEF" w:rsidRDefault="0099351E">
            <w:pPr>
              <w:pStyle w:val="Default"/>
              <w:spacing w:before="120" w:after="120"/>
              <w:jc w:val="both"/>
              <w:rPr>
                <w:rFonts w:asciiTheme="majorHAnsi" w:hAnsiTheme="majorHAnsi"/>
                <w:sz w:val="22"/>
                <w:szCs w:val="22"/>
              </w:rPr>
            </w:pPr>
            <w:r>
              <w:rPr>
                <w:rFonts w:asciiTheme="majorHAnsi" w:hAnsiTheme="majorHAnsi"/>
                <w:bCs/>
                <w:sz w:val="22"/>
                <w:szCs w:val="22"/>
              </w:rPr>
              <w:t xml:space="preserve">Date : </w:t>
            </w:r>
          </w:p>
          <w:p w:rsidR="00F04EEF" w:rsidRDefault="0099351E">
            <w:pPr>
              <w:rPr>
                <w:bCs/>
              </w:rPr>
            </w:pPr>
            <w:r>
              <w:rPr>
                <w:bCs/>
              </w:rPr>
              <w:t xml:space="preserve">NOM et prénom du (de la) Chef(fe) d’établissement                             </w:t>
            </w:r>
          </w:p>
          <w:p w:rsidR="00F04EEF" w:rsidRDefault="0099351E">
            <w:r>
              <w:rPr>
                <w:bCs/>
              </w:rPr>
              <w:t>Signature du (de la) Chef(fe) d’établissement</w:t>
            </w:r>
          </w:p>
          <w:p w:rsidR="00F04EEF" w:rsidRDefault="00F04EEF">
            <w:pPr>
              <w:rPr>
                <w:b/>
              </w:rPr>
            </w:pPr>
          </w:p>
        </w:tc>
      </w:tr>
    </w:tbl>
    <w:p w:rsidR="00F04EEF" w:rsidRDefault="00F04EEF">
      <w:pPr>
        <w:rPr>
          <w:b/>
          <w:u w:val="single"/>
        </w:rPr>
      </w:pPr>
    </w:p>
    <w:p w:rsidR="00F04EEF" w:rsidRDefault="0099351E">
      <w:pPr>
        <w:jc w:val="both"/>
      </w:pPr>
      <w:r>
        <w:rPr>
          <w:noProof/>
          <w:lang w:eastAsia="fr-BE"/>
        </w:rPr>
        <mc:AlternateContent>
          <mc:Choice Requires="wps">
            <w:drawing>
              <wp:anchor distT="0" distB="0" distL="114300" distR="114300" simplePos="0" relativeHeight="251887616" behindDoc="0" locked="0" layoutInCell="1" allowOverlap="1">
                <wp:simplePos x="0" y="0"/>
                <wp:positionH relativeFrom="column">
                  <wp:posOffset>80645</wp:posOffset>
                </wp:positionH>
                <wp:positionV relativeFrom="paragraph">
                  <wp:posOffset>84455</wp:posOffset>
                </wp:positionV>
                <wp:extent cx="5657850" cy="1287780"/>
                <wp:effectExtent l="0" t="0" r="15240" b="27940"/>
                <wp:wrapNone/>
                <wp:docPr id="597" name="Rectangle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7850" cy="1287780"/>
                        </a:xfrm>
                        <a:prstGeom prst="rect">
                          <a:avLst/>
                        </a:prstGeom>
                        <a:solidFill>
                          <a:srgbClr val="FFFFFF"/>
                        </a:solidFill>
                        <a:ln w="9525">
                          <a:solidFill>
                            <a:srgbClr val="000000"/>
                          </a:solidFill>
                          <a:miter lim="800000"/>
                          <a:headEnd/>
                          <a:tailEnd/>
                        </a:ln>
                      </wps:spPr>
                      <wps:txbx>
                        <w:txbxContent>
                          <w:p w:rsidR="00F04EEF" w:rsidRDefault="0099351E">
                            <w:pPr>
                              <w:jc w:val="center"/>
                              <w:rPr>
                                <w:b/>
                                <w:u w:val="single"/>
                              </w:rPr>
                            </w:pPr>
                            <w:r>
                              <w:rPr>
                                <w:b/>
                                <w:u w:val="single"/>
                              </w:rPr>
                              <w:t>Cette demande doit être adressée à l’adresse suivante</w:t>
                            </w:r>
                          </w:p>
                          <w:p w:rsidR="00F04EEF" w:rsidRDefault="0099351E">
                            <w:pPr>
                              <w:jc w:val="center"/>
                            </w:pPr>
                            <w:r>
                              <w:t>Direction générale de l’enseignement obligatoire</w:t>
                            </w:r>
                          </w:p>
                          <w:p w:rsidR="00F04EEF" w:rsidRDefault="0099351E">
                            <w:pPr>
                              <w:jc w:val="center"/>
                            </w:pPr>
                            <w:r>
                              <w:t>Service de l’enseignement spécialisé</w:t>
                            </w:r>
                          </w:p>
                          <w:p w:rsidR="00F04EEF" w:rsidRDefault="0099351E">
                            <w:pPr>
                              <w:jc w:val="center"/>
                            </w:pPr>
                            <w:r>
                              <w:t>Madame Véronique ROMBAUT</w:t>
                            </w:r>
                          </w:p>
                          <w:p w:rsidR="00F04EEF" w:rsidRDefault="0099351E">
                            <w:pPr>
                              <w:jc w:val="center"/>
                            </w:pPr>
                            <w:r>
                              <w:t>Bureau 2 F 251</w:t>
                            </w:r>
                          </w:p>
                          <w:p w:rsidR="00F04EEF" w:rsidRDefault="0099351E">
                            <w:pPr>
                              <w:jc w:val="center"/>
                              <w:rPr>
                                <w:lang w:val="en-US"/>
                              </w:rPr>
                            </w:pPr>
                            <w:r>
                              <w:rPr>
                                <w:lang w:val="en-US"/>
                              </w:rPr>
                              <w:t>Rue Adolphe Lavallée, 1</w:t>
                            </w:r>
                          </w:p>
                          <w:p w:rsidR="00F04EEF" w:rsidRDefault="0099351E">
                            <w:pPr>
                              <w:jc w:val="center"/>
                              <w:rPr>
                                <w:lang w:val="en-US"/>
                              </w:rPr>
                            </w:pPr>
                            <w:r>
                              <w:rPr>
                                <w:lang w:val="en-US"/>
                              </w:rPr>
                              <w:t>1080   BRUXELLES</w:t>
                            </w:r>
                          </w:p>
                          <w:p w:rsidR="00F04EEF" w:rsidRDefault="00F04EE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7" o:spid="_x0000_s1075" style="position:absolute;left:0;text-align:left;margin-left:6.35pt;margin-top:6.65pt;width:445.5pt;height:101.4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">
                <v:textbox>
                  <w:txbxContent>
                    <w:p>
                      <w:pPr>
                        <w:jc w:val="center"/>
                        <w:rPr>
                          <w:b/>
                          <w:u w:val="single"/>
                        </w:rPr>
                      </w:pPr>
                      <w:r>
                        <w:rPr>
                          <w:b/>
                          <w:u w:val="single"/>
                        </w:rPr>
                        <w:t>Cette demande doit être adressée à l’adresse suivante</w:t>
                      </w:r>
                    </w:p>
                    <w:p>
                      <w:pPr>
                        <w:jc w:val="center"/>
                      </w:pPr>
                      <w:r>
                        <w:t>Direction générale de l’enseignement obligatoire</w:t>
                      </w:r>
                    </w:p>
                    <w:p>
                      <w:pPr>
                        <w:jc w:val="center"/>
                      </w:pPr>
                      <w:r>
                        <w:t>Service de l’enseignement spécialisé</w:t>
                      </w:r>
                    </w:p>
                    <w:p>
                      <w:pPr>
                        <w:jc w:val="center"/>
                      </w:pPr>
                      <w:r>
                        <w:t>Madame Véronique ROMBAUT</w:t>
                      </w:r>
                    </w:p>
                    <w:p>
                      <w:pPr>
                        <w:jc w:val="center"/>
                      </w:pPr>
                      <w:r>
                        <w:t>Bureau 2 F 251</w:t>
                      </w:r>
                    </w:p>
                    <w:p>
                      <w:pPr>
                        <w:jc w:val="center"/>
                        <w:rPr>
                          <w:lang w:val="en-US"/>
                        </w:rPr>
                      </w:pPr>
                      <w:r>
                        <w:rPr>
                          <w:lang w:val="en-US"/>
                        </w:rPr>
                        <w:t>Rue Adolphe Lavallée, 1</w:t>
                      </w:r>
                    </w:p>
                    <w:p>
                      <w:pPr>
                        <w:jc w:val="center"/>
                        <w:rPr>
                          <w:lang w:val="en-US"/>
                        </w:rPr>
                      </w:pPr>
                      <w:r>
                        <w:rPr>
                          <w:lang w:val="en-US"/>
                        </w:rPr>
                        <w:t>1080   BRUXELLES</w:t>
                      </w:r>
                    </w:p>
                    <w:p>
                      <w:pPr>
                        <w:jc w:val="center"/>
                      </w:pPr>
                    </w:p>
                  </w:txbxContent>
                </v:textbox>
              </v:rect>
            </w:pict>
          </mc:Fallback>
        </mc:AlternateContent>
      </w:r>
    </w:p>
    <w:p w:rsidR="00F04EEF" w:rsidRDefault="00F04EEF">
      <w:pPr>
        <w:jc w:val="both"/>
      </w:pPr>
    </w:p>
    <w:p w:rsidR="00F04EEF" w:rsidRDefault="00F04EEF">
      <w:pPr>
        <w:jc w:val="both"/>
      </w:pPr>
    </w:p>
    <w:p w:rsidR="00F04EEF" w:rsidRDefault="00F04EEF">
      <w:pPr>
        <w:autoSpaceDE w:val="0"/>
        <w:autoSpaceDN w:val="0"/>
        <w:adjustRightInd w:val="0"/>
      </w:pPr>
    </w:p>
    <w:p w:rsidR="00F04EEF" w:rsidRDefault="0099351E">
      <w:pPr>
        <w:jc w:val="both"/>
        <w:rPr>
          <w:b/>
          <w:u w:val="single"/>
        </w:rPr>
      </w:pPr>
      <w:r>
        <w:rPr>
          <w:b/>
          <w:u w:val="single"/>
        </w:rPr>
        <w:br w:type="page"/>
      </w:r>
    </w:p>
    <w:p w:rsidR="00F04EEF" w:rsidRDefault="0099351E">
      <w:pPr>
        <w:pStyle w:val="Titre4"/>
      </w:pPr>
      <w:bookmarkStart w:id="4181" w:name="_Annexe_10_:_2"/>
      <w:bookmarkStart w:id="4182" w:name="_Toc412204214"/>
      <w:bookmarkStart w:id="4183" w:name="_Toc453837052"/>
      <w:bookmarkEnd w:id="4181"/>
      <w:r>
        <w:t>Annexe 10 : Enseignement secondaire spécialisé de forme 2, de plein exercice</w:t>
      </w:r>
      <w:bookmarkEnd w:id="4182"/>
      <w:bookmarkEnd w:id="4183"/>
    </w:p>
    <w:p w:rsidR="00F04EEF" w:rsidRDefault="00F04EEF">
      <w:pPr>
        <w:jc w:val="both"/>
        <w:rPr>
          <w:b/>
        </w:rPr>
      </w:pPr>
    </w:p>
    <w:p w:rsidR="00F04EEF" w:rsidRDefault="0099351E">
      <w:pPr>
        <w:pBdr>
          <w:top w:val="single" w:sz="4" w:space="1" w:color="auto"/>
          <w:left w:val="single" w:sz="4" w:space="4" w:color="auto"/>
          <w:bottom w:val="single" w:sz="4" w:space="1" w:color="auto"/>
          <w:right w:val="single" w:sz="4" w:space="4" w:color="auto"/>
        </w:pBdr>
        <w:jc w:val="center"/>
        <w:rPr>
          <w:b/>
          <w:bCs/>
        </w:rPr>
      </w:pPr>
      <w:r>
        <w:rPr>
          <w:b/>
          <w:bCs/>
        </w:rPr>
        <w:t>CONVENTION DE STAGE EN ENTREPRISE DANS LE CADRE DE L’IMMERSION SOCIO-PROFESSIONNELLE</w:t>
      </w:r>
    </w:p>
    <w:p w:rsidR="00F04EEF" w:rsidRDefault="00F04EEF">
      <w:pPr>
        <w:jc w:val="both"/>
      </w:pPr>
    </w:p>
    <w:p w:rsidR="00F04EEF" w:rsidRDefault="0099351E">
      <w:pPr>
        <w:jc w:val="both"/>
      </w:pPr>
      <w:r>
        <w:t>Année scolaire : ………./……….</w:t>
      </w:r>
    </w:p>
    <w:p w:rsidR="00F04EEF" w:rsidRDefault="00F04EEF">
      <w:pPr>
        <w:jc w:val="both"/>
      </w:pPr>
    </w:p>
    <w:p w:rsidR="00F04EEF" w:rsidRDefault="0099351E">
      <w:pPr>
        <w:jc w:val="both"/>
      </w:pPr>
      <w:r>
        <w:rPr>
          <w:b/>
          <w:bCs/>
        </w:rPr>
        <w:t>Entre les soussigné(e)s</w:t>
      </w:r>
      <w:r>
        <w:t> :</w:t>
      </w:r>
    </w:p>
    <w:p w:rsidR="00F04EEF" w:rsidRDefault="0099351E">
      <w:pPr>
        <w:jc w:val="both"/>
        <w:rPr>
          <w:iCs/>
        </w:rPr>
      </w:pPr>
      <w:r>
        <w:rPr>
          <w:iCs/>
        </w:rPr>
        <w:t>(Dénomination de l’entreprise de travail adapté, de l’entreprise, de l’administration publique)</w:t>
      </w:r>
    </w:p>
    <w:p w:rsidR="00F04EEF" w:rsidRDefault="0099351E">
      <w:pPr>
        <w:jc w:val="both"/>
      </w:pPr>
      <w:r>
        <w:t xml:space="preserve">située à </w:t>
      </w:r>
      <w:r>
        <w:rPr>
          <w:iCs/>
        </w:rPr>
        <w:t>(Adresse – tél )</w:t>
      </w:r>
    </w:p>
    <w:p w:rsidR="00F04EEF" w:rsidRDefault="00F04EEF">
      <w:pPr>
        <w:pStyle w:val="Corpsdetexte3"/>
        <w:rPr>
          <w:rFonts w:asciiTheme="majorHAnsi" w:hAnsiTheme="majorHAnsi"/>
          <w:smallCaps/>
          <w:sz w:val="22"/>
          <w:szCs w:val="22"/>
        </w:rPr>
      </w:pPr>
    </w:p>
    <w:p w:rsidR="00F04EEF" w:rsidRDefault="00F04EEF">
      <w:pPr>
        <w:pStyle w:val="Corpsdetexte3"/>
        <w:rPr>
          <w:rFonts w:asciiTheme="majorHAnsi" w:hAnsiTheme="majorHAnsi"/>
          <w:smallCaps/>
          <w:sz w:val="22"/>
          <w:szCs w:val="22"/>
        </w:rPr>
      </w:pPr>
    </w:p>
    <w:p w:rsidR="00F04EEF" w:rsidRDefault="0099351E">
      <w:pPr>
        <w:pStyle w:val="Corpsdetexte3"/>
        <w:spacing w:after="0"/>
        <w:rPr>
          <w:rFonts w:asciiTheme="majorHAnsi" w:hAnsiTheme="majorHAnsi"/>
          <w:smallCaps/>
          <w:sz w:val="22"/>
          <w:szCs w:val="22"/>
        </w:rPr>
      </w:pPr>
      <w:r>
        <w:rPr>
          <w:rFonts w:asciiTheme="majorHAnsi" w:hAnsiTheme="majorHAnsi"/>
          <w:smallCaps/>
          <w:sz w:val="22"/>
          <w:szCs w:val="22"/>
        </w:rPr>
        <w:t>Secteur d’activités :</w:t>
      </w:r>
    </w:p>
    <w:p w:rsidR="00F04EEF" w:rsidRDefault="0099351E">
      <w:r>
        <w:rPr>
          <w:smallCaps/>
        </w:rPr>
        <w:t>Forme juridique :</w:t>
      </w:r>
    </w:p>
    <w:p w:rsidR="00F04EEF" w:rsidRDefault="0099351E">
      <w:r>
        <w:rPr>
          <w:smallCaps/>
        </w:rPr>
        <w:t>N° ONSS ou RC :</w:t>
      </w:r>
    </w:p>
    <w:p w:rsidR="00F04EEF" w:rsidRDefault="0099351E">
      <w:pPr>
        <w:rPr>
          <w:smallCaps/>
        </w:rPr>
      </w:pPr>
      <w:r>
        <w:t xml:space="preserve">Représentée par </w:t>
      </w:r>
      <w:r>
        <w:rPr>
          <w:smallCaps/>
        </w:rPr>
        <w:t>Madame/Monsieur :</w:t>
      </w:r>
    </w:p>
    <w:p w:rsidR="00F04EEF" w:rsidRDefault="0099351E">
      <w:pPr>
        <w:jc w:val="both"/>
        <w:rPr>
          <w:smallCaps/>
        </w:rPr>
      </w:pPr>
      <w:r>
        <w:rPr>
          <w:smallCaps/>
        </w:rPr>
        <w:t>Fonction :</w:t>
      </w:r>
    </w:p>
    <w:p w:rsidR="00F04EEF" w:rsidRDefault="00F04EEF">
      <w:pPr>
        <w:jc w:val="both"/>
      </w:pPr>
    </w:p>
    <w:p w:rsidR="00F04EEF" w:rsidRDefault="0099351E">
      <w:pPr>
        <w:jc w:val="both"/>
      </w:pPr>
      <w:r>
        <w:rPr>
          <w:b/>
          <w:bCs/>
        </w:rPr>
        <w:t>Ci-dessous dénommée l’entreprise</w:t>
      </w:r>
      <w:r>
        <w:t> ;</w:t>
      </w:r>
    </w:p>
    <w:p w:rsidR="00F04EEF" w:rsidRDefault="0099351E">
      <w:pPr>
        <w:numPr>
          <w:ilvl w:val="0"/>
          <w:numId w:val="186"/>
        </w:numPr>
        <w:ind w:left="0"/>
        <w:jc w:val="both"/>
      </w:pPr>
      <w:r>
        <w:t>Madame/Monsieur :</w:t>
      </w:r>
    </w:p>
    <w:p w:rsidR="00F04EEF" w:rsidRDefault="00F04EEF">
      <w:pPr>
        <w:jc w:val="both"/>
      </w:pPr>
    </w:p>
    <w:p w:rsidR="00F04EEF" w:rsidRDefault="0099351E">
      <w:pPr>
        <w:jc w:val="both"/>
        <w:rPr>
          <w:i/>
          <w:iCs/>
        </w:rPr>
      </w:pPr>
      <w:r>
        <w:t xml:space="preserve">Chef(fe) de l’établissement d’enseignement secondaire spécialisé de forme 2, de plein exercice ou son délégué </w:t>
      </w:r>
      <w:r>
        <w:rPr>
          <w:iCs/>
        </w:rPr>
        <w:t>(Dénomination et adresse du siège administratif)</w:t>
      </w:r>
    </w:p>
    <w:p w:rsidR="00F04EEF" w:rsidRDefault="00F04EEF">
      <w:pPr>
        <w:jc w:val="both"/>
      </w:pPr>
    </w:p>
    <w:p w:rsidR="00F04EEF" w:rsidRDefault="0099351E">
      <w:pPr>
        <w:jc w:val="both"/>
      </w:pPr>
      <w:r>
        <w:sym w:font="Wingdings" w:char="F028"/>
      </w:r>
      <w:r>
        <w:t xml:space="preserve">  et </w:t>
      </w:r>
      <w:r>
        <w:rPr>
          <w:bCs/>
        </w:rPr>
        <w:sym w:font="Wingdings" w:char="F03A"/>
      </w:r>
      <w:r>
        <w:t> :</w:t>
      </w:r>
    </w:p>
    <w:p w:rsidR="00F04EEF" w:rsidRDefault="00F04EEF">
      <w:pPr>
        <w:jc w:val="both"/>
      </w:pPr>
    </w:p>
    <w:p w:rsidR="00F04EEF" w:rsidRDefault="00F04EEF">
      <w:pPr>
        <w:jc w:val="both"/>
      </w:pPr>
    </w:p>
    <w:p w:rsidR="00F04EEF" w:rsidRDefault="0099351E">
      <w:pPr>
        <w:jc w:val="both"/>
      </w:pPr>
      <w:r>
        <w:rPr>
          <w:b/>
          <w:bCs/>
        </w:rPr>
        <w:t>Ci-dessous dénommé l’établissement scolaire</w:t>
      </w:r>
      <w:r>
        <w:t> ;</w:t>
      </w:r>
    </w:p>
    <w:p w:rsidR="00F04EEF" w:rsidRDefault="0099351E">
      <w:pPr>
        <w:numPr>
          <w:ilvl w:val="0"/>
          <w:numId w:val="186"/>
        </w:numPr>
        <w:ind w:left="0"/>
        <w:jc w:val="both"/>
      </w:pPr>
      <w:r>
        <w:t>Mademoiselle/Madame/Monsieur :</w:t>
      </w:r>
    </w:p>
    <w:p w:rsidR="00F04EEF" w:rsidRDefault="0099351E">
      <w:pPr>
        <w:ind w:firstLine="720"/>
        <w:jc w:val="both"/>
      </w:pPr>
      <w:r>
        <w:t>Adresse :</w:t>
      </w:r>
    </w:p>
    <w:p w:rsidR="00F04EEF" w:rsidRDefault="0099351E">
      <w:pPr>
        <w:ind w:firstLine="720"/>
        <w:jc w:val="both"/>
      </w:pPr>
      <w:r>
        <w:sym w:font="Wingdings" w:char="F028"/>
      </w:r>
      <w:r>
        <w:t xml:space="preserve"> et </w:t>
      </w:r>
      <w:r>
        <w:rPr>
          <w:bCs/>
        </w:rPr>
        <w:sym w:font="Wingdings" w:char="F03A"/>
      </w:r>
      <w:r>
        <w:t>  :</w:t>
      </w:r>
    </w:p>
    <w:p w:rsidR="00F04EEF" w:rsidRDefault="0099351E">
      <w:pPr>
        <w:ind w:firstLine="720"/>
        <w:jc w:val="both"/>
      </w:pPr>
      <w:r>
        <w:t>Né(e) le </w:t>
      </w:r>
    </w:p>
    <w:p w:rsidR="00F04EEF" w:rsidRDefault="0099351E">
      <w:pPr>
        <w:jc w:val="both"/>
      </w:pPr>
      <w:r>
        <w:t>Elève de l’établissement scolaire susmentionné dans la forme 2 d’enseignement secondaire spécialisé.</w:t>
      </w:r>
    </w:p>
    <w:p w:rsidR="00F04EEF" w:rsidRDefault="00F04EEF">
      <w:pPr>
        <w:jc w:val="both"/>
        <w:rPr>
          <w:b/>
          <w:bCs/>
        </w:rPr>
      </w:pPr>
    </w:p>
    <w:p w:rsidR="00F04EEF" w:rsidRDefault="0099351E">
      <w:pPr>
        <w:jc w:val="both"/>
        <w:rPr>
          <w:b/>
          <w:bCs/>
        </w:rPr>
      </w:pPr>
      <w:r>
        <w:rPr>
          <w:b/>
          <w:bCs/>
        </w:rPr>
        <w:t>Ci-dessous dénommé(e) le stagiaire :</w:t>
      </w:r>
    </w:p>
    <w:p w:rsidR="00F04EEF" w:rsidRDefault="0099351E">
      <w:pPr>
        <w:jc w:val="both"/>
      </w:pPr>
      <w:r>
        <w:t>Le stagiaire est représenté par (NOM et adresse des parents ou de la personne investie de l’autorité parentale)</w:t>
      </w:r>
    </w:p>
    <w:p w:rsidR="00F04EEF" w:rsidRDefault="00F04EEF">
      <w:pPr>
        <w:jc w:val="both"/>
        <w:rPr>
          <w:b/>
        </w:rPr>
      </w:pPr>
    </w:p>
    <w:p w:rsidR="00F04EEF" w:rsidRDefault="0099351E">
      <w:pPr>
        <w:jc w:val="center"/>
        <w:rPr>
          <w:b/>
        </w:rPr>
      </w:pPr>
      <w:r>
        <w:rPr>
          <w:b/>
        </w:rPr>
        <w:t>Il est convenu ce qui suit :</w:t>
      </w:r>
    </w:p>
    <w:p w:rsidR="00F04EEF" w:rsidRDefault="00F04EEF">
      <w:pPr>
        <w:jc w:val="both"/>
        <w:rPr>
          <w:b/>
        </w:rPr>
      </w:pPr>
    </w:p>
    <w:p w:rsidR="00F04EEF" w:rsidRDefault="0099351E">
      <w:pPr>
        <w:jc w:val="both"/>
        <w:rPr>
          <w:b/>
        </w:rPr>
      </w:pPr>
      <w:r>
        <w:rPr>
          <w:b/>
        </w:rPr>
        <w:t>Article 1</w:t>
      </w:r>
      <w:r>
        <w:rPr>
          <w:b/>
          <w:vertAlign w:val="superscript"/>
        </w:rPr>
        <w:t>er </w:t>
      </w:r>
      <w:r>
        <w:rPr>
          <w:b/>
        </w:rPr>
        <w:t>:</w:t>
      </w:r>
    </w:p>
    <w:p w:rsidR="00F04EEF" w:rsidRDefault="00F04EEF">
      <w:pPr>
        <w:jc w:val="both"/>
        <w:rPr>
          <w:b/>
        </w:rPr>
      </w:pPr>
    </w:p>
    <w:p w:rsidR="00F04EEF" w:rsidRDefault="0099351E">
      <w:pPr>
        <w:jc w:val="both"/>
      </w:pPr>
      <w:r>
        <w:t>L’entreprise susmentionnée s’engage à favoriser l’immersion socio-professionnelle du stagiaire en l’intégrant dans ses activités en fonction des compétences définies en annexe de la présente convention.</w:t>
      </w:r>
    </w:p>
    <w:p w:rsidR="00F04EEF" w:rsidRDefault="00F04EEF">
      <w:pPr>
        <w:jc w:val="both"/>
      </w:pPr>
    </w:p>
    <w:p w:rsidR="00F04EEF" w:rsidRDefault="0099351E">
      <w:pPr>
        <w:jc w:val="both"/>
        <w:rPr>
          <w:b/>
        </w:rPr>
      </w:pPr>
      <w:r>
        <w:rPr>
          <w:b/>
        </w:rPr>
        <w:t>Article 2 :</w:t>
      </w:r>
    </w:p>
    <w:p w:rsidR="00F04EEF" w:rsidRDefault="00F04EEF">
      <w:pPr>
        <w:jc w:val="both"/>
        <w:rPr>
          <w:b/>
        </w:rPr>
      </w:pPr>
    </w:p>
    <w:p w:rsidR="00F04EEF" w:rsidRDefault="0099351E">
      <w:r>
        <w:t>La présente convention prend cours le</w:t>
      </w:r>
      <w:r>
        <w:tab/>
      </w:r>
      <w:r>
        <w:tab/>
      </w:r>
      <w:r>
        <w:tab/>
      </w:r>
      <w:r>
        <w:tab/>
      </w:r>
      <w:r>
        <w:tab/>
      </w:r>
      <w:r>
        <w:tab/>
      </w:r>
      <w:r>
        <w:tab/>
        <w:t>et se terminera le</w:t>
      </w:r>
    </w:p>
    <w:p w:rsidR="00F04EEF" w:rsidRDefault="0099351E">
      <w:pPr>
        <w:jc w:val="both"/>
      </w:pPr>
      <w:r>
        <w:t>Toute modification devra faire l’objet d’un accord entre les deux parties. Sont joints en annexe, l’horaire, le calendrier du stage et le règlement de travail.</w:t>
      </w:r>
    </w:p>
    <w:p w:rsidR="00F04EEF" w:rsidRDefault="00F04EEF">
      <w:pPr>
        <w:jc w:val="both"/>
      </w:pPr>
    </w:p>
    <w:p w:rsidR="00F04EEF" w:rsidRDefault="0099351E">
      <w:pPr>
        <w:jc w:val="both"/>
        <w:rPr>
          <w:b/>
        </w:rPr>
      </w:pPr>
      <w:r>
        <w:rPr>
          <w:b/>
        </w:rPr>
        <w:t>Article 3 :</w:t>
      </w:r>
    </w:p>
    <w:p w:rsidR="00F04EEF" w:rsidRDefault="00F04EEF">
      <w:pPr>
        <w:jc w:val="both"/>
        <w:rPr>
          <w:b/>
        </w:rPr>
      </w:pPr>
    </w:p>
    <w:p w:rsidR="00F04EEF" w:rsidRDefault="0099351E">
      <w:pPr>
        <w:jc w:val="both"/>
      </w:pPr>
      <w:r>
        <w:t>Le stagiaire est tenu de respecter l’horaire ainsi que le règlement de travail de l’entreprise et se conformer à toutes les consignes d’organisation et de sécurité qui lui seront données</w:t>
      </w:r>
    </w:p>
    <w:p w:rsidR="00F04EEF" w:rsidRDefault="00F04EEF">
      <w:pPr>
        <w:jc w:val="both"/>
      </w:pPr>
    </w:p>
    <w:p w:rsidR="00F04EEF" w:rsidRDefault="0099351E">
      <w:pPr>
        <w:jc w:val="both"/>
        <w:rPr>
          <w:b/>
        </w:rPr>
      </w:pPr>
      <w:r>
        <w:rPr>
          <w:b/>
        </w:rPr>
        <w:t>Article 4 :</w:t>
      </w:r>
    </w:p>
    <w:p w:rsidR="00F04EEF" w:rsidRDefault="00F04EEF">
      <w:pPr>
        <w:jc w:val="both"/>
        <w:rPr>
          <w:b/>
        </w:rPr>
      </w:pPr>
    </w:p>
    <w:p w:rsidR="00F04EEF" w:rsidRDefault="0099351E">
      <w:pPr>
        <w:jc w:val="both"/>
      </w:pPr>
      <w:r>
        <w:t>Le stagiaire est tenu d’effectuer les trajets entre son domicile et le lieu de stage par ses propres moyens et par le chemin le plus direct.</w:t>
      </w:r>
    </w:p>
    <w:p w:rsidR="00F04EEF" w:rsidRDefault="00F04EEF">
      <w:pPr>
        <w:jc w:val="both"/>
      </w:pPr>
    </w:p>
    <w:p w:rsidR="00F04EEF" w:rsidRDefault="0099351E">
      <w:pPr>
        <w:jc w:val="both"/>
        <w:rPr>
          <w:b/>
        </w:rPr>
      </w:pPr>
      <w:r>
        <w:rPr>
          <w:b/>
        </w:rPr>
        <w:t>Article 5 :</w:t>
      </w:r>
    </w:p>
    <w:p w:rsidR="00F04EEF" w:rsidRDefault="00F04EEF">
      <w:pPr>
        <w:jc w:val="both"/>
        <w:rPr>
          <w:b/>
        </w:rPr>
      </w:pPr>
    </w:p>
    <w:p w:rsidR="00F04EEF" w:rsidRDefault="0099351E">
      <w:pPr>
        <w:jc w:val="both"/>
      </w:pPr>
      <w:r>
        <w:t>Le stagiaire est tenu de prévenir, dans les plus brefs délais :</w:t>
      </w:r>
    </w:p>
    <w:p w:rsidR="00F04EEF" w:rsidRDefault="0099351E">
      <w:pPr>
        <w:numPr>
          <w:ilvl w:val="1"/>
          <w:numId w:val="185"/>
        </w:numPr>
        <w:tabs>
          <w:tab w:val="clear" w:pos="1440"/>
        </w:tabs>
        <w:ind w:left="992" w:hanging="425"/>
        <w:jc w:val="both"/>
      </w:pPr>
      <w:r>
        <w:t>l’entreprise et l’établissement scolaire en cas d’absence(s) ;</w:t>
      </w:r>
    </w:p>
    <w:p w:rsidR="00F04EEF" w:rsidRDefault="0099351E">
      <w:pPr>
        <w:numPr>
          <w:ilvl w:val="1"/>
          <w:numId w:val="185"/>
        </w:numPr>
        <w:tabs>
          <w:tab w:val="clear" w:pos="1440"/>
        </w:tabs>
        <w:ind w:left="992" w:hanging="425"/>
        <w:jc w:val="both"/>
      </w:pPr>
      <w:r>
        <w:t>l’entreprise en cas de retard.</w:t>
      </w:r>
    </w:p>
    <w:p w:rsidR="00F04EEF" w:rsidRDefault="00F04EEF">
      <w:pPr>
        <w:jc w:val="both"/>
      </w:pPr>
    </w:p>
    <w:p w:rsidR="00F04EEF" w:rsidRDefault="0099351E">
      <w:pPr>
        <w:jc w:val="both"/>
        <w:rPr>
          <w:b/>
        </w:rPr>
      </w:pPr>
      <w:r>
        <w:rPr>
          <w:b/>
        </w:rPr>
        <w:t>Article 6 :</w:t>
      </w:r>
    </w:p>
    <w:p w:rsidR="00F04EEF" w:rsidRDefault="00F04EEF">
      <w:pPr>
        <w:jc w:val="both"/>
        <w:rPr>
          <w:b/>
        </w:rPr>
      </w:pPr>
    </w:p>
    <w:p w:rsidR="00F04EEF" w:rsidRDefault="0099351E">
      <w:pPr>
        <w:jc w:val="both"/>
        <w:rPr>
          <w:b/>
        </w:rPr>
      </w:pPr>
      <w:r>
        <w:t>En cas de non-respect des consignes, ainsi qu’en cas d’inconduite ou d’absences injustifiées, l’entreprise ou l’établissement scolaire pourra mettre fin au présent contrat après en avoir averti les autres parties.</w:t>
      </w:r>
    </w:p>
    <w:p w:rsidR="00F04EEF" w:rsidRDefault="00F04EEF">
      <w:pPr>
        <w:jc w:val="both"/>
      </w:pPr>
    </w:p>
    <w:p w:rsidR="00F04EEF" w:rsidRDefault="0099351E">
      <w:pPr>
        <w:jc w:val="both"/>
        <w:rPr>
          <w:b/>
        </w:rPr>
      </w:pPr>
      <w:r>
        <w:rPr>
          <w:b/>
        </w:rPr>
        <w:t>Article 7 :</w:t>
      </w:r>
    </w:p>
    <w:p w:rsidR="00F04EEF" w:rsidRDefault="00F04EEF">
      <w:pPr>
        <w:jc w:val="both"/>
        <w:rPr>
          <w:b/>
        </w:rPr>
      </w:pPr>
    </w:p>
    <w:p w:rsidR="00F04EEF" w:rsidRDefault="0099351E">
      <w:pPr>
        <w:jc w:val="both"/>
      </w:pPr>
      <w:r>
        <w:t>L’établissement scolaire désigne Madame/Monsieur :</w:t>
      </w:r>
      <w:r>
        <w:tab/>
      </w:r>
      <w:r>
        <w:tab/>
      </w:r>
      <w:r>
        <w:tab/>
      </w:r>
      <w:r>
        <w:tab/>
      </w:r>
      <w:r>
        <w:tab/>
        <w:t>, membre de son personnel, en qualité « d’enseignant(e) – maître de stage » ayant le soin de conduire l’immersion socio-professionnelle, en concordance avec les objectifs poursuivis.</w:t>
      </w:r>
    </w:p>
    <w:p w:rsidR="00F04EEF" w:rsidRDefault="00F04EEF">
      <w:pPr>
        <w:jc w:val="both"/>
      </w:pPr>
    </w:p>
    <w:p w:rsidR="00F04EEF" w:rsidRDefault="0099351E">
      <w:pPr>
        <w:jc w:val="both"/>
      </w:pPr>
      <w:r>
        <w:t>L’entreprise désigne Madame/Monsieur :</w:t>
      </w:r>
      <w:r>
        <w:tab/>
      </w:r>
      <w:r>
        <w:tab/>
      </w:r>
      <w:r>
        <w:tab/>
      </w:r>
      <w:r>
        <w:tab/>
      </w:r>
      <w:r>
        <w:tab/>
      </w:r>
      <w:r>
        <w:tab/>
      </w:r>
      <w:r>
        <w:tab/>
        <w:t>, qui occupe la fonction de :</w:t>
      </w:r>
      <w:r>
        <w:tab/>
      </w:r>
      <w:r>
        <w:tab/>
      </w:r>
      <w:r>
        <w:tab/>
      </w:r>
      <w:r>
        <w:tab/>
      </w:r>
      <w:r>
        <w:tab/>
      </w:r>
      <w:r>
        <w:tab/>
      </w:r>
      <w:r>
        <w:tab/>
      </w:r>
      <w:r>
        <w:tab/>
        <w:t>, en qualité de « tuteur », lequel partagera avec l’enseignant(e)- maître de stage le soin de conduire l’immersion socio-professionnelle, en concordance avec les objectifs poursuivis.</w:t>
      </w:r>
    </w:p>
    <w:p w:rsidR="00F04EEF" w:rsidRDefault="00F04EEF">
      <w:pPr>
        <w:jc w:val="both"/>
      </w:pPr>
    </w:p>
    <w:p w:rsidR="00F04EEF" w:rsidRDefault="0099351E">
      <w:pPr>
        <w:tabs>
          <w:tab w:val="left" w:pos="1134"/>
        </w:tabs>
        <w:jc w:val="both"/>
        <w:rPr>
          <w:b/>
        </w:rPr>
      </w:pPr>
      <w:r>
        <w:rPr>
          <w:b/>
        </w:rPr>
        <w:t>Article 8 :</w:t>
      </w:r>
    </w:p>
    <w:p w:rsidR="00F04EEF" w:rsidRDefault="00F04EEF">
      <w:pPr>
        <w:tabs>
          <w:tab w:val="left" w:pos="1134"/>
        </w:tabs>
        <w:jc w:val="both"/>
        <w:rPr>
          <w:b/>
        </w:rPr>
      </w:pPr>
    </w:p>
    <w:p w:rsidR="00F04EEF" w:rsidRDefault="0099351E">
      <w:pPr>
        <w:tabs>
          <w:tab w:val="left" w:pos="1134"/>
        </w:tabs>
        <w:jc w:val="both"/>
      </w:pPr>
      <w:r>
        <w:t>L’entreprise est tenue d’avertir l’établissement scolaire de tout problème de nature médicale constaté dans l’entreprise.</w:t>
      </w:r>
    </w:p>
    <w:p w:rsidR="00F04EEF" w:rsidRDefault="00F04EEF">
      <w:pPr>
        <w:tabs>
          <w:tab w:val="left" w:pos="1134"/>
        </w:tabs>
        <w:jc w:val="both"/>
      </w:pPr>
    </w:p>
    <w:p w:rsidR="00F04EEF" w:rsidRDefault="0099351E">
      <w:pPr>
        <w:tabs>
          <w:tab w:val="left" w:pos="1134"/>
        </w:tabs>
        <w:jc w:val="both"/>
        <w:rPr>
          <w:b/>
        </w:rPr>
      </w:pPr>
      <w:r>
        <w:rPr>
          <w:b/>
        </w:rPr>
        <w:t>Article 9 :</w:t>
      </w:r>
    </w:p>
    <w:p w:rsidR="00F04EEF" w:rsidRDefault="00F04EEF">
      <w:pPr>
        <w:tabs>
          <w:tab w:val="left" w:pos="1134"/>
        </w:tabs>
        <w:jc w:val="both"/>
        <w:rPr>
          <w:b/>
        </w:rPr>
      </w:pPr>
    </w:p>
    <w:p w:rsidR="00F04EEF" w:rsidRDefault="0099351E">
      <w:pPr>
        <w:jc w:val="both"/>
      </w:pPr>
      <w:r>
        <w:t>Le stagiaire continue de relever de la responsabilité de l’établissement scolaire où il est inscrit. Il n’existe entre lui et l’entreprise aucun engagement de louage de services.</w:t>
      </w:r>
    </w:p>
    <w:p w:rsidR="00F04EEF" w:rsidRDefault="00F04EEF">
      <w:pPr>
        <w:jc w:val="both"/>
      </w:pPr>
    </w:p>
    <w:p w:rsidR="00F04EEF" w:rsidRDefault="0099351E">
      <w:pPr>
        <w:jc w:val="both"/>
      </w:pPr>
      <w:r>
        <w:t>Cette situation entraîne les conséquences suivantes :</w:t>
      </w:r>
    </w:p>
    <w:p w:rsidR="00F04EEF" w:rsidRDefault="00F04EEF">
      <w:pPr>
        <w:jc w:val="both"/>
      </w:pPr>
    </w:p>
    <w:p w:rsidR="00F04EEF" w:rsidRDefault="0099351E">
      <w:pPr>
        <w:numPr>
          <w:ilvl w:val="0"/>
          <w:numId w:val="187"/>
        </w:numPr>
        <w:tabs>
          <w:tab w:val="clear" w:pos="720"/>
        </w:tabs>
        <w:ind w:left="851" w:hanging="500"/>
        <w:jc w:val="both"/>
      </w:pPr>
      <w:r>
        <w:t>Le stagiaire reste entièrement sous statut scolaire et, de ce fait, n’est ni rémunéré, ni assujetti à la législation sur la sécurité sociale ;</w:t>
      </w:r>
    </w:p>
    <w:p w:rsidR="00F04EEF" w:rsidRDefault="0099351E">
      <w:pPr>
        <w:numPr>
          <w:ilvl w:val="0"/>
          <w:numId w:val="187"/>
        </w:numPr>
        <w:tabs>
          <w:tab w:val="clear" w:pos="720"/>
          <w:tab w:val="num" w:pos="360"/>
        </w:tabs>
        <w:ind w:left="851" w:hanging="500"/>
        <w:jc w:val="both"/>
      </w:pPr>
      <w:r>
        <w:t>En matière d’assurance :</w:t>
      </w:r>
    </w:p>
    <w:p w:rsidR="00F04EEF" w:rsidRDefault="0099351E">
      <w:pPr>
        <w:ind w:left="851"/>
        <w:jc w:val="both"/>
      </w:pPr>
      <w:r>
        <w:t>Le pouvoir organisateur et/ou le (la) chef(fe) d’établissement veilleront à ce que leur contrat d’assurance couvre :</w:t>
      </w:r>
    </w:p>
    <w:p w:rsidR="00F04EEF" w:rsidRDefault="0099351E">
      <w:pPr>
        <w:numPr>
          <w:ilvl w:val="1"/>
          <w:numId w:val="185"/>
        </w:numPr>
        <w:tabs>
          <w:tab w:val="clear" w:pos="1440"/>
          <w:tab w:val="left" w:pos="360"/>
        </w:tabs>
        <w:ind w:left="1701" w:hanging="567"/>
        <w:jc w:val="both"/>
      </w:pPr>
      <w:r>
        <w:t>la responsabilité civile du stagiaire et des enseignant(e)s – maîtres de stage au sein de l’entreprise ;</w:t>
      </w:r>
    </w:p>
    <w:p w:rsidR="00F04EEF" w:rsidRDefault="0099351E">
      <w:pPr>
        <w:numPr>
          <w:ilvl w:val="1"/>
          <w:numId w:val="185"/>
        </w:numPr>
        <w:tabs>
          <w:tab w:val="clear" w:pos="1440"/>
          <w:tab w:val="num" w:pos="360"/>
        </w:tabs>
        <w:ind w:left="1701" w:hanging="567"/>
        <w:jc w:val="both"/>
      </w:pPr>
      <w:r>
        <w:t>les accidents corporels pouvant survenir au stagiaire au sein de l’entreprise, ainsi que sur les trajets domicile-entreprise ou établissement scolaire-entreprise ;</w:t>
      </w:r>
    </w:p>
    <w:p w:rsidR="00F04EEF" w:rsidRDefault="0099351E">
      <w:pPr>
        <w:numPr>
          <w:ilvl w:val="1"/>
          <w:numId w:val="185"/>
        </w:numPr>
        <w:tabs>
          <w:tab w:val="clear" w:pos="1440"/>
        </w:tabs>
        <w:ind w:left="1701" w:hanging="567"/>
        <w:jc w:val="both"/>
      </w:pPr>
      <w:r>
        <w:t xml:space="preserve">les actes techniques que les enseignant(e)s – maîtres de stage seraient amenés à poser dans l’entreprise. </w:t>
      </w:r>
    </w:p>
    <w:p w:rsidR="00F04EEF" w:rsidRDefault="00F04EEF">
      <w:pPr>
        <w:tabs>
          <w:tab w:val="left" w:pos="1134"/>
        </w:tabs>
        <w:jc w:val="both"/>
      </w:pPr>
    </w:p>
    <w:p w:rsidR="00F04EEF" w:rsidRDefault="0099351E">
      <w:pPr>
        <w:pStyle w:val="Corpsdetexte3"/>
        <w:tabs>
          <w:tab w:val="left" w:pos="360"/>
        </w:tabs>
        <w:rPr>
          <w:rFonts w:asciiTheme="majorHAnsi" w:hAnsiTheme="majorHAnsi"/>
          <w:sz w:val="22"/>
          <w:szCs w:val="22"/>
        </w:rPr>
      </w:pPr>
      <w:r>
        <w:rPr>
          <w:rFonts w:asciiTheme="majorHAnsi" w:hAnsiTheme="majorHAnsi"/>
          <w:sz w:val="22"/>
          <w:szCs w:val="22"/>
        </w:rPr>
        <w:t>Dénomination de la compagnie d’assurance :</w:t>
      </w:r>
    </w:p>
    <w:p w:rsidR="00F04EEF" w:rsidRDefault="0099351E">
      <w:pPr>
        <w:tabs>
          <w:tab w:val="left" w:pos="360"/>
        </w:tabs>
        <w:jc w:val="both"/>
      </w:pPr>
      <w:r>
        <w:t>Numéro de police :</w:t>
      </w:r>
    </w:p>
    <w:p w:rsidR="00F04EEF" w:rsidRDefault="00F04EEF">
      <w:pPr>
        <w:tabs>
          <w:tab w:val="left" w:pos="1134"/>
        </w:tabs>
        <w:jc w:val="both"/>
      </w:pPr>
    </w:p>
    <w:p w:rsidR="00F04EEF" w:rsidRDefault="0099351E">
      <w:pPr>
        <w:jc w:val="both"/>
      </w:pPr>
      <w:r>
        <w:t>L’entreprise vérifiera que son contrat d’assurance couvre bien sa responsabilité civile vis-à-vis du stagiaire. A défaut, elle fera en sorte qu’il en soit ainsi.</w:t>
      </w:r>
    </w:p>
    <w:p w:rsidR="00F04EEF" w:rsidRDefault="00F04EEF"/>
    <w:p w:rsidR="00F04EEF" w:rsidRDefault="0099351E">
      <w:r>
        <w:t>Dénomination de la compagnie d’assurance :</w:t>
      </w:r>
    </w:p>
    <w:p w:rsidR="00F04EEF" w:rsidRDefault="0099351E">
      <w:pPr>
        <w:pStyle w:val="Corpsdetexte3"/>
        <w:rPr>
          <w:rFonts w:asciiTheme="majorHAnsi" w:hAnsiTheme="majorHAnsi"/>
          <w:sz w:val="22"/>
          <w:szCs w:val="22"/>
        </w:rPr>
      </w:pPr>
      <w:r>
        <w:rPr>
          <w:rFonts w:asciiTheme="majorHAnsi" w:hAnsiTheme="majorHAnsi"/>
          <w:sz w:val="22"/>
          <w:szCs w:val="22"/>
        </w:rPr>
        <w:t>Numéro de police :</w:t>
      </w:r>
    </w:p>
    <w:p w:rsidR="00F04EEF" w:rsidRDefault="00F04EEF">
      <w:pPr>
        <w:tabs>
          <w:tab w:val="left" w:pos="1134"/>
        </w:tabs>
        <w:jc w:val="both"/>
      </w:pPr>
    </w:p>
    <w:p w:rsidR="00F04EEF" w:rsidRDefault="0099351E">
      <w:pPr>
        <w:tabs>
          <w:tab w:val="left" w:pos="1134"/>
        </w:tabs>
        <w:jc w:val="both"/>
      </w:pPr>
      <w:r>
        <w:t xml:space="preserve">Fait en </w:t>
      </w:r>
      <w:r>
        <w:tab/>
      </w:r>
      <w:r>
        <w:tab/>
        <w:t>exemplaires, le</w:t>
      </w:r>
    </w:p>
    <w:p w:rsidR="00F04EEF" w:rsidRDefault="00F04EEF">
      <w:pPr>
        <w:tabs>
          <w:tab w:val="left" w:pos="1134"/>
        </w:tabs>
        <w:jc w:val="both"/>
      </w:pPr>
    </w:p>
    <w:p w:rsidR="00F04EEF" w:rsidRDefault="0099351E">
      <w:pPr>
        <w:tabs>
          <w:tab w:val="left" w:pos="1134"/>
          <w:tab w:val="left" w:pos="5103"/>
        </w:tabs>
        <w:jc w:val="both"/>
      </w:pPr>
      <w:r>
        <w:t>Pour l’entreprise,</w:t>
      </w:r>
      <w:r>
        <w:tab/>
      </w:r>
      <w:r>
        <w:tab/>
        <w:t>Cachet de l’entreprise</w:t>
      </w:r>
    </w:p>
    <w:p w:rsidR="00F04EEF" w:rsidRDefault="0099351E">
      <w:pPr>
        <w:tabs>
          <w:tab w:val="left" w:pos="900"/>
          <w:tab w:val="left" w:pos="1440"/>
          <w:tab w:val="left" w:pos="5103"/>
        </w:tabs>
        <w:jc w:val="both"/>
      </w:pPr>
      <w:r>
        <w:t>Lu et approuvé,</w:t>
      </w: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99351E">
      <w:pPr>
        <w:tabs>
          <w:tab w:val="left" w:pos="1134"/>
          <w:tab w:val="left" w:pos="5103"/>
        </w:tabs>
        <w:jc w:val="both"/>
      </w:pPr>
      <w:r>
        <w:t>L’établissement scolaire,</w:t>
      </w:r>
      <w:r>
        <w:tab/>
      </w:r>
      <w:r>
        <w:tab/>
        <w:t>Cachet de l’établissement</w:t>
      </w:r>
    </w:p>
    <w:p w:rsidR="00F04EEF" w:rsidRDefault="0099351E">
      <w:pPr>
        <w:tabs>
          <w:tab w:val="left" w:pos="1620"/>
          <w:tab w:val="left" w:pos="5103"/>
        </w:tabs>
        <w:jc w:val="both"/>
      </w:pPr>
      <w:r>
        <w:t>Lu et approuvé,</w:t>
      </w: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99351E">
      <w:pPr>
        <w:tabs>
          <w:tab w:val="left" w:pos="1134"/>
          <w:tab w:val="left" w:pos="5103"/>
        </w:tabs>
        <w:jc w:val="both"/>
      </w:pPr>
      <w:r>
        <w:t>Signature du stagiaire,</w:t>
      </w:r>
    </w:p>
    <w:p w:rsidR="00F04EEF" w:rsidRDefault="0099351E">
      <w:pPr>
        <w:tabs>
          <w:tab w:val="left" w:pos="1440"/>
          <w:tab w:val="left" w:pos="5103"/>
        </w:tabs>
        <w:jc w:val="both"/>
      </w:pPr>
      <w:r>
        <w:t>Lu et approuvé</w:t>
      </w: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99351E">
      <w:pPr>
        <w:tabs>
          <w:tab w:val="left" w:pos="1134"/>
          <w:tab w:val="left" w:pos="5103"/>
        </w:tabs>
        <w:jc w:val="both"/>
      </w:pPr>
      <w:r>
        <w:t>Signature des parents ou de la personne investie de l’autorité parentale,</w:t>
      </w:r>
    </w:p>
    <w:p w:rsidR="00F04EEF" w:rsidRDefault="0099351E">
      <w:pPr>
        <w:tabs>
          <w:tab w:val="left" w:pos="1134"/>
          <w:tab w:val="left" w:pos="5103"/>
        </w:tabs>
        <w:jc w:val="both"/>
      </w:pPr>
      <w:r>
        <w:t>(Pour le stagiaire)</w:t>
      </w:r>
    </w:p>
    <w:p w:rsidR="00F04EEF" w:rsidRDefault="0099351E">
      <w:pPr>
        <w:tabs>
          <w:tab w:val="left" w:pos="3420"/>
          <w:tab w:val="left" w:pos="5103"/>
        </w:tabs>
        <w:jc w:val="both"/>
      </w:pPr>
      <w:r>
        <w:t>Lu et approuvé,</w:t>
      </w:r>
    </w:p>
    <w:p w:rsidR="00F04EEF" w:rsidRDefault="00F04EEF">
      <w:pPr>
        <w:jc w:val="both"/>
      </w:pPr>
    </w:p>
    <w:p w:rsidR="00F04EEF" w:rsidRDefault="00F04EEF">
      <w:pPr>
        <w:jc w:val="both"/>
      </w:pPr>
    </w:p>
    <w:p w:rsidR="00F04EEF" w:rsidRDefault="0099351E">
      <w:pPr>
        <w:tabs>
          <w:tab w:val="left" w:pos="1134"/>
          <w:tab w:val="left" w:pos="5103"/>
        </w:tabs>
        <w:jc w:val="both"/>
        <w:rPr>
          <w:u w:val="single"/>
        </w:rPr>
      </w:pPr>
      <w:r>
        <w:rPr>
          <w:u w:val="single"/>
        </w:rPr>
        <w:t>Annexes</w:t>
      </w:r>
      <w:r>
        <w:t> :</w:t>
      </w:r>
    </w:p>
    <w:p w:rsidR="00F04EEF" w:rsidRDefault="0099351E">
      <w:pPr>
        <w:numPr>
          <w:ilvl w:val="0"/>
          <w:numId w:val="188"/>
        </w:numPr>
        <w:tabs>
          <w:tab w:val="left" w:pos="1134"/>
          <w:tab w:val="left" w:pos="5103"/>
        </w:tabs>
        <w:ind w:left="927"/>
        <w:jc w:val="both"/>
      </w:pPr>
      <w:r>
        <w:t>la liste des compétences acquises par l’élève ;</w:t>
      </w:r>
    </w:p>
    <w:p w:rsidR="00F04EEF" w:rsidRDefault="0099351E">
      <w:pPr>
        <w:numPr>
          <w:ilvl w:val="0"/>
          <w:numId w:val="188"/>
        </w:numPr>
        <w:tabs>
          <w:tab w:val="left" w:pos="1134"/>
          <w:tab w:val="left" w:pos="5103"/>
        </w:tabs>
        <w:ind w:left="927"/>
        <w:jc w:val="both"/>
      </w:pPr>
      <w:r>
        <w:t>la liste des compétences à développer ;</w:t>
      </w:r>
    </w:p>
    <w:p w:rsidR="00F04EEF" w:rsidRDefault="0099351E">
      <w:pPr>
        <w:numPr>
          <w:ilvl w:val="0"/>
          <w:numId w:val="188"/>
        </w:numPr>
        <w:tabs>
          <w:tab w:val="left" w:pos="1134"/>
          <w:tab w:val="left" w:pos="5103"/>
        </w:tabs>
        <w:ind w:left="927"/>
        <w:jc w:val="both"/>
      </w:pPr>
      <w:r>
        <w:t>l’horaire et le calendrier de la formation (Article 2).</w:t>
      </w:r>
    </w:p>
    <w:p w:rsidR="00F04EEF" w:rsidRDefault="00F04EEF">
      <w:pPr>
        <w:jc w:val="both"/>
      </w:pPr>
      <w:bookmarkStart w:id="4184" w:name="_Annexe_3_:_"/>
      <w:bookmarkEnd w:id="4184"/>
    </w:p>
    <w:p w:rsidR="00F04EEF" w:rsidRDefault="00F04EEF">
      <w:pPr>
        <w:jc w:val="both"/>
      </w:pPr>
    </w:p>
    <w:p w:rsidR="00F04EEF" w:rsidRDefault="0099351E">
      <w:pPr>
        <w:pStyle w:val="Titre4"/>
      </w:pPr>
      <w:bookmarkStart w:id="4185" w:name="_Annexe_11_:_1"/>
      <w:bookmarkEnd w:id="4185"/>
      <w:r>
        <w:br w:type="page"/>
      </w:r>
      <w:bookmarkStart w:id="4186" w:name="_Toc412204213"/>
      <w:bookmarkStart w:id="4187" w:name="_Toc453837053"/>
      <w:r>
        <w:t>Annexe 11 : Enseignement secondaire spécialisé de forme 1, de plein exercice</w:t>
      </w:r>
      <w:bookmarkEnd w:id="4186"/>
      <w:bookmarkEnd w:id="4187"/>
    </w:p>
    <w:p w:rsidR="00F04EEF" w:rsidRDefault="00F04EEF">
      <w:pPr>
        <w:jc w:val="both"/>
        <w:rPr>
          <w:b/>
        </w:rPr>
      </w:pPr>
    </w:p>
    <w:p w:rsidR="00F04EEF" w:rsidRDefault="0099351E">
      <w:pPr>
        <w:pBdr>
          <w:top w:val="single" w:sz="4" w:space="1" w:color="auto"/>
          <w:left w:val="single" w:sz="4" w:space="4" w:color="auto"/>
          <w:bottom w:val="single" w:sz="4" w:space="1" w:color="auto"/>
          <w:right w:val="single" w:sz="4" w:space="0" w:color="auto"/>
        </w:pBdr>
        <w:jc w:val="center"/>
        <w:rPr>
          <w:b/>
          <w:bCs/>
        </w:rPr>
      </w:pPr>
      <w:r>
        <w:rPr>
          <w:b/>
          <w:bCs/>
        </w:rPr>
        <w:t>CONVENTION DE STAGE EN INSTITUTION D’ACCUEIL DANS LE CADRE DE L’IMMERSION SOCIALE</w:t>
      </w:r>
    </w:p>
    <w:p w:rsidR="00F04EEF" w:rsidRDefault="00F04EEF">
      <w:pPr>
        <w:jc w:val="both"/>
      </w:pPr>
    </w:p>
    <w:p w:rsidR="00F04EEF" w:rsidRDefault="0099351E">
      <w:pPr>
        <w:jc w:val="both"/>
      </w:pPr>
      <w:r>
        <w:t>Année scolaire : ………./……….</w:t>
      </w:r>
    </w:p>
    <w:p w:rsidR="00F04EEF" w:rsidRDefault="00F04EEF">
      <w:pPr>
        <w:jc w:val="both"/>
      </w:pPr>
    </w:p>
    <w:p w:rsidR="00F04EEF" w:rsidRDefault="0099351E">
      <w:pPr>
        <w:jc w:val="both"/>
      </w:pPr>
      <w:r>
        <w:rPr>
          <w:b/>
          <w:bCs/>
        </w:rPr>
        <w:t>Entre les soussigné(e)s</w:t>
      </w:r>
      <w:r>
        <w:t> :</w:t>
      </w:r>
    </w:p>
    <w:p w:rsidR="00F04EEF" w:rsidRDefault="0099351E">
      <w:pPr>
        <w:jc w:val="both"/>
        <w:rPr>
          <w:iCs/>
        </w:rPr>
      </w:pPr>
      <w:r>
        <w:rPr>
          <w:iCs/>
        </w:rPr>
        <w:t>(Dénomination de l’institution d’accueil)</w:t>
      </w:r>
    </w:p>
    <w:p w:rsidR="00F04EEF" w:rsidRDefault="0099351E">
      <w:pPr>
        <w:jc w:val="both"/>
      </w:pPr>
      <w:r>
        <w:t xml:space="preserve">située à </w:t>
      </w:r>
      <w:r>
        <w:rPr>
          <w:iCs/>
        </w:rPr>
        <w:t>(Adresse – tél )</w:t>
      </w:r>
    </w:p>
    <w:p w:rsidR="00F04EEF" w:rsidRDefault="00F04EEF"/>
    <w:p w:rsidR="00F04EEF" w:rsidRDefault="00F04EEF"/>
    <w:p w:rsidR="00F04EEF" w:rsidRDefault="00F04EEF"/>
    <w:p w:rsidR="00F04EEF" w:rsidRDefault="0099351E">
      <w:r>
        <w:rPr>
          <w:smallCaps/>
        </w:rPr>
        <w:t>Forme juridique :</w:t>
      </w:r>
    </w:p>
    <w:p w:rsidR="00F04EEF" w:rsidRDefault="0099351E">
      <w:r>
        <w:rPr>
          <w:smallCaps/>
        </w:rPr>
        <w:t xml:space="preserve">N° ONSS ou RC : </w:t>
      </w:r>
    </w:p>
    <w:p w:rsidR="00F04EEF" w:rsidRDefault="0099351E">
      <w:pPr>
        <w:rPr>
          <w:smallCaps/>
        </w:rPr>
      </w:pPr>
      <w:r>
        <w:t xml:space="preserve">Représentée par </w:t>
      </w:r>
      <w:r>
        <w:rPr>
          <w:smallCaps/>
        </w:rPr>
        <w:t xml:space="preserve">Madame/Monsieur : </w:t>
      </w:r>
    </w:p>
    <w:p w:rsidR="00F04EEF" w:rsidRDefault="0099351E">
      <w:pPr>
        <w:jc w:val="both"/>
        <w:rPr>
          <w:smallCaps/>
        </w:rPr>
      </w:pPr>
      <w:r>
        <w:rPr>
          <w:smallCaps/>
        </w:rPr>
        <w:t>Fonction :</w:t>
      </w:r>
    </w:p>
    <w:p w:rsidR="00F04EEF" w:rsidRDefault="00F04EEF">
      <w:pPr>
        <w:jc w:val="both"/>
        <w:rPr>
          <w:b/>
          <w:bCs/>
        </w:rPr>
      </w:pPr>
    </w:p>
    <w:p w:rsidR="00F04EEF" w:rsidRDefault="00F04EEF">
      <w:pPr>
        <w:jc w:val="both"/>
        <w:rPr>
          <w:b/>
          <w:bCs/>
        </w:rPr>
      </w:pPr>
    </w:p>
    <w:p w:rsidR="00F04EEF" w:rsidRDefault="0099351E">
      <w:pPr>
        <w:jc w:val="both"/>
        <w:rPr>
          <w:smallCaps/>
        </w:rPr>
      </w:pPr>
      <w:r>
        <w:rPr>
          <w:b/>
          <w:bCs/>
        </w:rPr>
        <w:t>Ci-dessous dénommée l’institution d’accueil ;</w:t>
      </w:r>
    </w:p>
    <w:p w:rsidR="00F04EEF" w:rsidRDefault="0099351E">
      <w:pPr>
        <w:numPr>
          <w:ilvl w:val="0"/>
          <w:numId w:val="184"/>
        </w:numPr>
        <w:ind w:left="0"/>
        <w:jc w:val="both"/>
      </w:pPr>
      <w:r>
        <w:rPr>
          <w:smallCaps/>
        </w:rPr>
        <w:t>Madame/Monsieur</w:t>
      </w:r>
      <w:r>
        <w:t> :</w:t>
      </w:r>
    </w:p>
    <w:p w:rsidR="00F04EEF" w:rsidRDefault="0099351E">
      <w:pPr>
        <w:jc w:val="both"/>
      </w:pPr>
      <w:r>
        <w:t xml:space="preserve">Chef(fe) de l’établissement d’enseignement secondaire spécialisé de forme 1, de plein exercice ou son délégué </w:t>
      </w:r>
      <w:r>
        <w:rPr>
          <w:iCs/>
        </w:rPr>
        <w:t>(Dénomination et adresse du siège administratif)</w:t>
      </w:r>
    </w:p>
    <w:p w:rsidR="00F04EEF" w:rsidRDefault="00F04EEF">
      <w:pPr>
        <w:jc w:val="both"/>
      </w:pPr>
    </w:p>
    <w:p w:rsidR="00F04EEF" w:rsidRDefault="0099351E">
      <w:pPr>
        <w:jc w:val="both"/>
      </w:pPr>
      <w:r>
        <w:sym w:font="Wingdings" w:char="F028"/>
      </w:r>
      <w:r>
        <w:t xml:space="preserve">  et </w:t>
      </w:r>
      <w:r>
        <w:rPr>
          <w:bCs/>
        </w:rPr>
        <w:sym w:font="Wingdings" w:char="F03A"/>
      </w:r>
      <w:r>
        <w:t> :</w:t>
      </w:r>
    </w:p>
    <w:p w:rsidR="00F04EEF" w:rsidRDefault="00F04EEF">
      <w:pPr>
        <w:jc w:val="both"/>
        <w:rPr>
          <w:b/>
          <w:bCs/>
        </w:rPr>
      </w:pPr>
    </w:p>
    <w:p w:rsidR="00F04EEF" w:rsidRDefault="0099351E">
      <w:pPr>
        <w:jc w:val="both"/>
      </w:pPr>
      <w:r>
        <w:rPr>
          <w:b/>
          <w:bCs/>
        </w:rPr>
        <w:t>Ci-dessous dénommé l’établissement scolaire ;</w:t>
      </w:r>
    </w:p>
    <w:p w:rsidR="00F04EEF" w:rsidRDefault="0099351E">
      <w:pPr>
        <w:numPr>
          <w:ilvl w:val="0"/>
          <w:numId w:val="184"/>
        </w:numPr>
        <w:ind w:left="0"/>
        <w:jc w:val="both"/>
      </w:pPr>
      <w:r>
        <w:rPr>
          <w:smallCaps/>
        </w:rPr>
        <w:t xml:space="preserve">Mademoiselle/Madame/Monsieur : </w:t>
      </w:r>
    </w:p>
    <w:p w:rsidR="00F04EEF" w:rsidRDefault="0099351E">
      <w:pPr>
        <w:numPr>
          <w:ilvl w:val="0"/>
          <w:numId w:val="184"/>
        </w:numPr>
        <w:ind w:left="0"/>
        <w:jc w:val="both"/>
      </w:pPr>
      <w:r>
        <w:rPr>
          <w:smallCaps/>
        </w:rPr>
        <w:t>Ad</w:t>
      </w:r>
      <w:r>
        <w:t>resse :</w:t>
      </w:r>
    </w:p>
    <w:p w:rsidR="00F04EEF" w:rsidRDefault="0099351E">
      <w:pPr>
        <w:ind w:firstLine="720"/>
        <w:jc w:val="both"/>
      </w:pPr>
      <w:r>
        <w:sym w:font="Wingdings" w:char="F028"/>
      </w:r>
      <w:r>
        <w:t xml:space="preserve"> et </w:t>
      </w:r>
      <w:r>
        <w:rPr>
          <w:bCs/>
        </w:rPr>
        <w:sym w:font="Wingdings" w:char="F03A"/>
      </w:r>
      <w:r>
        <w:t> :</w:t>
      </w:r>
    </w:p>
    <w:p w:rsidR="00F04EEF" w:rsidRDefault="0099351E">
      <w:pPr>
        <w:jc w:val="both"/>
      </w:pPr>
      <w:r>
        <w:t xml:space="preserve">Né(e) le : </w:t>
      </w:r>
    </w:p>
    <w:p w:rsidR="00F04EEF" w:rsidRDefault="0099351E">
      <w:pPr>
        <w:ind w:firstLine="11"/>
        <w:jc w:val="both"/>
      </w:pPr>
      <w:r>
        <w:t>Elève de l’établissement scolaire susmentionné dans la forme 1 d’enseignement secondaire spécialisé</w:t>
      </w:r>
    </w:p>
    <w:p w:rsidR="00F04EEF" w:rsidRDefault="00F04EEF">
      <w:pPr>
        <w:jc w:val="both"/>
        <w:rPr>
          <w:b/>
          <w:bCs/>
        </w:rPr>
      </w:pPr>
    </w:p>
    <w:p w:rsidR="00F04EEF" w:rsidRDefault="0099351E">
      <w:pPr>
        <w:jc w:val="both"/>
        <w:rPr>
          <w:b/>
          <w:bCs/>
        </w:rPr>
      </w:pPr>
      <w:r>
        <w:rPr>
          <w:b/>
          <w:bCs/>
        </w:rPr>
        <w:t>Ci-dessous dénommé(e) le stagiaire :</w:t>
      </w:r>
    </w:p>
    <w:p w:rsidR="00F04EEF" w:rsidRDefault="0099351E">
      <w:pPr>
        <w:jc w:val="both"/>
      </w:pPr>
      <w:r>
        <w:t>Le stagiaire est représenté par (NOM et adresse des parents ou de la personne investie de l’autorité parentale)</w:t>
      </w:r>
    </w:p>
    <w:p w:rsidR="00F04EEF" w:rsidRDefault="00F04EEF">
      <w:pPr>
        <w:rPr>
          <w:b/>
        </w:rPr>
      </w:pPr>
    </w:p>
    <w:p w:rsidR="00F04EEF" w:rsidRDefault="00F04EEF">
      <w:pPr>
        <w:jc w:val="center"/>
        <w:rPr>
          <w:b/>
        </w:rPr>
      </w:pPr>
    </w:p>
    <w:p w:rsidR="00F04EEF" w:rsidRDefault="0099351E">
      <w:pPr>
        <w:jc w:val="center"/>
        <w:rPr>
          <w:b/>
        </w:rPr>
      </w:pPr>
      <w:r>
        <w:rPr>
          <w:b/>
        </w:rPr>
        <w:t>Il est convenu ce qui suit :</w:t>
      </w:r>
    </w:p>
    <w:p w:rsidR="00F04EEF" w:rsidRDefault="00F04EEF">
      <w:pPr>
        <w:jc w:val="both"/>
        <w:rPr>
          <w:b/>
        </w:rPr>
      </w:pPr>
    </w:p>
    <w:p w:rsidR="00F04EEF" w:rsidRDefault="0099351E">
      <w:pPr>
        <w:jc w:val="both"/>
        <w:rPr>
          <w:b/>
        </w:rPr>
      </w:pPr>
      <w:r>
        <w:rPr>
          <w:b/>
        </w:rPr>
        <w:t>Article 1</w:t>
      </w:r>
      <w:r>
        <w:rPr>
          <w:b/>
          <w:vertAlign w:val="superscript"/>
        </w:rPr>
        <w:t>er </w:t>
      </w:r>
      <w:r>
        <w:rPr>
          <w:b/>
        </w:rPr>
        <w:t>:</w:t>
      </w:r>
    </w:p>
    <w:p w:rsidR="00F04EEF" w:rsidRDefault="00F04EEF">
      <w:pPr>
        <w:jc w:val="both"/>
        <w:rPr>
          <w:b/>
        </w:rPr>
      </w:pPr>
    </w:p>
    <w:p w:rsidR="00F04EEF" w:rsidRDefault="0099351E">
      <w:pPr>
        <w:jc w:val="both"/>
      </w:pPr>
      <w:r>
        <w:t>L’institution d’accueil s’engage à favoriser l’immersion sociale du stagiaire en l’intégrant dans ses activités.</w:t>
      </w:r>
    </w:p>
    <w:p w:rsidR="00F04EEF" w:rsidRDefault="00F04EEF">
      <w:pPr>
        <w:jc w:val="both"/>
      </w:pPr>
    </w:p>
    <w:p w:rsidR="00F04EEF" w:rsidRDefault="0099351E">
      <w:pPr>
        <w:jc w:val="both"/>
        <w:rPr>
          <w:b/>
        </w:rPr>
      </w:pPr>
      <w:r>
        <w:rPr>
          <w:b/>
        </w:rPr>
        <w:t>Article 2 :</w:t>
      </w:r>
    </w:p>
    <w:p w:rsidR="00F04EEF" w:rsidRDefault="00F04EEF">
      <w:pPr>
        <w:jc w:val="both"/>
        <w:rPr>
          <w:b/>
        </w:rPr>
      </w:pPr>
    </w:p>
    <w:p w:rsidR="00F04EEF" w:rsidRDefault="0099351E">
      <w:pPr>
        <w:jc w:val="both"/>
      </w:pPr>
      <w:r>
        <w:t xml:space="preserve">La présente convention prend cours le </w:t>
      </w:r>
      <w:r>
        <w:tab/>
      </w:r>
      <w:r>
        <w:tab/>
      </w:r>
      <w:r>
        <w:tab/>
      </w:r>
      <w:r>
        <w:tab/>
      </w:r>
      <w:r>
        <w:tab/>
        <w:t>et se</w:t>
      </w:r>
    </w:p>
    <w:p w:rsidR="00F04EEF" w:rsidRDefault="0099351E">
      <w:pPr>
        <w:jc w:val="both"/>
      </w:pPr>
      <w:r>
        <w:t>terminera le</w:t>
      </w:r>
    </w:p>
    <w:p w:rsidR="00F04EEF" w:rsidRDefault="00F04EEF">
      <w:pPr>
        <w:jc w:val="both"/>
      </w:pPr>
    </w:p>
    <w:p w:rsidR="00F04EEF" w:rsidRDefault="0099351E">
      <w:pPr>
        <w:jc w:val="both"/>
      </w:pPr>
      <w:r>
        <w:t>Toute modification devra faire l’objet d’un accord entre les deux parties. Sont joints en annexe, l’horaire et le calendrier du stage.</w:t>
      </w:r>
    </w:p>
    <w:p w:rsidR="00F04EEF" w:rsidRDefault="00F04EEF">
      <w:pPr>
        <w:jc w:val="both"/>
      </w:pPr>
    </w:p>
    <w:p w:rsidR="00F04EEF" w:rsidRDefault="0099351E">
      <w:pPr>
        <w:jc w:val="both"/>
        <w:rPr>
          <w:b/>
        </w:rPr>
      </w:pPr>
      <w:r>
        <w:rPr>
          <w:b/>
        </w:rPr>
        <w:t>Article 3 :</w:t>
      </w:r>
    </w:p>
    <w:p w:rsidR="00F04EEF" w:rsidRDefault="00F04EEF">
      <w:pPr>
        <w:jc w:val="both"/>
        <w:rPr>
          <w:b/>
        </w:rPr>
      </w:pPr>
    </w:p>
    <w:p w:rsidR="00F04EEF" w:rsidRDefault="0099351E">
      <w:pPr>
        <w:jc w:val="both"/>
      </w:pPr>
      <w:r>
        <w:t>Le stagiaire est tenu de prévenir, dans les plus brefs délais, l’institution d’accueil et l’établissement scolaire en cas d’absence(s)</w:t>
      </w:r>
    </w:p>
    <w:p w:rsidR="00F04EEF" w:rsidRDefault="00F04EEF">
      <w:pPr>
        <w:jc w:val="both"/>
      </w:pPr>
    </w:p>
    <w:p w:rsidR="00F04EEF" w:rsidRDefault="0099351E">
      <w:pPr>
        <w:jc w:val="both"/>
        <w:rPr>
          <w:b/>
        </w:rPr>
      </w:pPr>
      <w:r>
        <w:rPr>
          <w:b/>
        </w:rPr>
        <w:t>Article 4 :</w:t>
      </w:r>
    </w:p>
    <w:p w:rsidR="00F04EEF" w:rsidRDefault="00F04EEF">
      <w:pPr>
        <w:jc w:val="both"/>
        <w:rPr>
          <w:b/>
        </w:rPr>
      </w:pPr>
    </w:p>
    <w:p w:rsidR="00F04EEF" w:rsidRDefault="0099351E">
      <w:pPr>
        <w:jc w:val="both"/>
        <w:rPr>
          <w:b/>
        </w:rPr>
      </w:pPr>
      <w:r>
        <w:t>L’institution d’accueil ou l’établissement scolaire pourra mettre fin au présent contrat après en avoir averti les autres parties.</w:t>
      </w:r>
    </w:p>
    <w:p w:rsidR="00F04EEF" w:rsidRDefault="00F04EEF">
      <w:pPr>
        <w:jc w:val="both"/>
      </w:pPr>
    </w:p>
    <w:p w:rsidR="00F04EEF" w:rsidRDefault="0099351E">
      <w:pPr>
        <w:jc w:val="both"/>
        <w:rPr>
          <w:b/>
        </w:rPr>
      </w:pPr>
      <w:r>
        <w:rPr>
          <w:b/>
        </w:rPr>
        <w:t>Article 5 :</w:t>
      </w:r>
    </w:p>
    <w:p w:rsidR="00F04EEF" w:rsidRDefault="00F04EEF">
      <w:pPr>
        <w:jc w:val="both"/>
        <w:rPr>
          <w:b/>
        </w:rPr>
      </w:pPr>
    </w:p>
    <w:p w:rsidR="00F04EEF" w:rsidRDefault="0099351E">
      <w:pPr>
        <w:jc w:val="both"/>
      </w:pPr>
      <w:r>
        <w:t>L’établissement scolaire désigne Madame/Monsieur :</w:t>
      </w:r>
      <w:r>
        <w:tab/>
      </w:r>
      <w:r>
        <w:tab/>
      </w:r>
      <w:r>
        <w:tab/>
      </w:r>
      <w:r>
        <w:tab/>
      </w:r>
      <w:r>
        <w:tab/>
        <w:t>, membre de son personnel, en qualité « d’enseignant(e) – maître de stage » ayant le soin de conduire l’immersion sociale.</w:t>
      </w:r>
    </w:p>
    <w:p w:rsidR="00F04EEF" w:rsidRDefault="00F04EEF">
      <w:pPr>
        <w:jc w:val="both"/>
      </w:pPr>
    </w:p>
    <w:p w:rsidR="00F04EEF" w:rsidRDefault="0099351E">
      <w:pPr>
        <w:jc w:val="both"/>
      </w:pPr>
      <w:r>
        <w:t>L’institution d’accueil désigne Madame/Monsieur :</w:t>
      </w:r>
      <w:r>
        <w:tab/>
      </w:r>
      <w:r>
        <w:tab/>
      </w:r>
      <w:r>
        <w:tab/>
      </w:r>
      <w:r>
        <w:tab/>
      </w:r>
      <w:r>
        <w:tab/>
        <w:t>, qui occupe la fonction de :</w:t>
      </w:r>
      <w:r>
        <w:tab/>
      </w:r>
      <w:r>
        <w:tab/>
      </w:r>
      <w:r>
        <w:tab/>
      </w:r>
      <w:r>
        <w:tab/>
      </w:r>
      <w:r>
        <w:tab/>
      </w:r>
      <w:r>
        <w:tab/>
      </w:r>
      <w:r>
        <w:tab/>
      </w:r>
      <w:r>
        <w:tab/>
        <w:t xml:space="preserve"> en qualité de « tuteur », lequel partagera avec l’enseignant(e)- maître de stage le soin de conduire l’immersion sociale.</w:t>
      </w:r>
    </w:p>
    <w:p w:rsidR="00F04EEF" w:rsidRDefault="00F04EEF">
      <w:pPr>
        <w:jc w:val="both"/>
      </w:pPr>
    </w:p>
    <w:p w:rsidR="00F04EEF" w:rsidRDefault="0099351E">
      <w:pPr>
        <w:tabs>
          <w:tab w:val="left" w:pos="1134"/>
        </w:tabs>
        <w:jc w:val="both"/>
        <w:rPr>
          <w:b/>
        </w:rPr>
      </w:pPr>
      <w:r>
        <w:rPr>
          <w:b/>
        </w:rPr>
        <w:t>Article 6 :</w:t>
      </w:r>
    </w:p>
    <w:p w:rsidR="00F04EEF" w:rsidRDefault="00F04EEF">
      <w:pPr>
        <w:tabs>
          <w:tab w:val="left" w:pos="1134"/>
        </w:tabs>
        <w:jc w:val="both"/>
        <w:rPr>
          <w:b/>
        </w:rPr>
      </w:pPr>
    </w:p>
    <w:p w:rsidR="00F04EEF" w:rsidRDefault="0099351E">
      <w:pPr>
        <w:tabs>
          <w:tab w:val="left" w:pos="1134"/>
        </w:tabs>
        <w:jc w:val="both"/>
      </w:pPr>
      <w:r>
        <w:t>L’institution d’accueil est tenue d’avertir l’établissement scolaire de tout problème de nature médicale constaté dans l’institution.</w:t>
      </w:r>
    </w:p>
    <w:p w:rsidR="00F04EEF" w:rsidRDefault="00F04EEF">
      <w:pPr>
        <w:tabs>
          <w:tab w:val="left" w:pos="1134"/>
        </w:tabs>
        <w:jc w:val="both"/>
        <w:rPr>
          <w:b/>
        </w:rPr>
      </w:pPr>
    </w:p>
    <w:p w:rsidR="00F04EEF" w:rsidRDefault="0099351E">
      <w:pPr>
        <w:tabs>
          <w:tab w:val="left" w:pos="1134"/>
        </w:tabs>
        <w:jc w:val="both"/>
        <w:rPr>
          <w:b/>
        </w:rPr>
      </w:pPr>
      <w:r>
        <w:rPr>
          <w:b/>
        </w:rPr>
        <w:t>Article 7 :</w:t>
      </w:r>
    </w:p>
    <w:p w:rsidR="00F04EEF" w:rsidRDefault="00F04EEF">
      <w:pPr>
        <w:tabs>
          <w:tab w:val="left" w:pos="1134"/>
        </w:tabs>
        <w:jc w:val="both"/>
        <w:rPr>
          <w:b/>
        </w:rPr>
      </w:pPr>
    </w:p>
    <w:p w:rsidR="00F04EEF" w:rsidRDefault="0099351E">
      <w:pPr>
        <w:jc w:val="both"/>
      </w:pPr>
      <w:r>
        <w:t xml:space="preserve">Le stagiaire continue de relever de la responsabilité de l’établissement scolaire où il est inscrit. </w:t>
      </w:r>
    </w:p>
    <w:p w:rsidR="00F04EEF" w:rsidRDefault="00F04EEF">
      <w:pPr>
        <w:jc w:val="both"/>
      </w:pPr>
    </w:p>
    <w:p w:rsidR="00F04EEF" w:rsidRDefault="0099351E">
      <w:pPr>
        <w:jc w:val="both"/>
      </w:pPr>
      <w:r>
        <w:t>Cette situation entraîne les conséquences suivantes :</w:t>
      </w:r>
    </w:p>
    <w:p w:rsidR="00F04EEF" w:rsidRDefault="0099351E">
      <w:pPr>
        <w:numPr>
          <w:ilvl w:val="0"/>
          <w:numId w:val="230"/>
        </w:numPr>
        <w:jc w:val="both"/>
      </w:pPr>
      <w:r>
        <w:t>Le stagiaire reste entièrement sous statut scolaire ;</w:t>
      </w:r>
    </w:p>
    <w:p w:rsidR="00F04EEF" w:rsidRDefault="0099351E">
      <w:pPr>
        <w:numPr>
          <w:ilvl w:val="0"/>
          <w:numId w:val="230"/>
        </w:numPr>
        <w:jc w:val="both"/>
      </w:pPr>
      <w:r>
        <w:t>En matière d’assurance :</w:t>
      </w:r>
    </w:p>
    <w:p w:rsidR="00F04EEF" w:rsidRDefault="0099351E">
      <w:pPr>
        <w:ind w:left="709"/>
        <w:jc w:val="both"/>
      </w:pPr>
      <w:r>
        <w:t>Le pouvoir organisateur et/ou le (la) chef(fe) d’établissement veilleront à ce que leur contrat d’assurance couvre :</w:t>
      </w:r>
    </w:p>
    <w:p w:rsidR="00F04EEF" w:rsidRDefault="0099351E">
      <w:pPr>
        <w:numPr>
          <w:ilvl w:val="1"/>
          <w:numId w:val="185"/>
        </w:numPr>
        <w:tabs>
          <w:tab w:val="clear" w:pos="1440"/>
        </w:tabs>
        <w:ind w:left="709" w:hanging="425"/>
        <w:jc w:val="both"/>
      </w:pPr>
      <w:r>
        <w:t>la responsabilité civile du stagiaire et des enseignant(e)s – maîtres de stage au sein de l’institution d’accueil ;</w:t>
      </w:r>
    </w:p>
    <w:p w:rsidR="00F04EEF" w:rsidRDefault="0099351E">
      <w:pPr>
        <w:numPr>
          <w:ilvl w:val="1"/>
          <w:numId w:val="185"/>
        </w:numPr>
        <w:tabs>
          <w:tab w:val="clear" w:pos="1440"/>
          <w:tab w:val="num" w:pos="360"/>
        </w:tabs>
        <w:ind w:left="709" w:hanging="425"/>
        <w:jc w:val="both"/>
      </w:pPr>
      <w:r>
        <w:t>les accidents corporels pouvant survenir au stagiaire au sein de l’institution d’accueil, ainsi que sur les trajets domicile-institution d’accueil ou institution d’accueil-établissement scolaire ;</w:t>
      </w:r>
    </w:p>
    <w:p w:rsidR="00F04EEF" w:rsidRDefault="0099351E">
      <w:pPr>
        <w:numPr>
          <w:ilvl w:val="1"/>
          <w:numId w:val="185"/>
        </w:numPr>
        <w:tabs>
          <w:tab w:val="clear" w:pos="1440"/>
          <w:tab w:val="num" w:pos="360"/>
        </w:tabs>
        <w:ind w:left="709" w:hanging="425"/>
        <w:jc w:val="both"/>
      </w:pPr>
      <w:r>
        <w:t xml:space="preserve">les actes techniques que les enseignant(e)s – maîtres de stage seraient amenés à poser dans l’institution d’accueil. </w:t>
      </w:r>
    </w:p>
    <w:p w:rsidR="00F04EEF" w:rsidRDefault="00F04EEF">
      <w:pPr>
        <w:tabs>
          <w:tab w:val="left" w:pos="1134"/>
        </w:tabs>
        <w:ind w:left="709"/>
        <w:jc w:val="both"/>
      </w:pPr>
    </w:p>
    <w:p w:rsidR="00F04EEF" w:rsidRDefault="0099351E">
      <w:pPr>
        <w:pStyle w:val="Corpsdetexte3"/>
        <w:rPr>
          <w:rFonts w:asciiTheme="majorHAnsi" w:hAnsiTheme="majorHAnsi"/>
          <w:sz w:val="22"/>
          <w:szCs w:val="22"/>
        </w:rPr>
      </w:pPr>
      <w:r>
        <w:rPr>
          <w:rFonts w:asciiTheme="majorHAnsi" w:hAnsiTheme="majorHAnsi"/>
          <w:sz w:val="22"/>
          <w:szCs w:val="22"/>
        </w:rPr>
        <w:t>Dénomination de la compagnie d’assurance :</w:t>
      </w:r>
    </w:p>
    <w:p w:rsidR="00F04EEF" w:rsidRDefault="0099351E">
      <w:pPr>
        <w:pStyle w:val="Corpsdetexte3"/>
        <w:rPr>
          <w:rFonts w:asciiTheme="majorHAnsi" w:hAnsiTheme="majorHAnsi"/>
          <w:sz w:val="22"/>
          <w:szCs w:val="22"/>
        </w:rPr>
      </w:pPr>
      <w:r>
        <w:rPr>
          <w:rFonts w:asciiTheme="majorHAnsi" w:hAnsiTheme="majorHAnsi"/>
          <w:sz w:val="22"/>
          <w:szCs w:val="22"/>
        </w:rPr>
        <w:t xml:space="preserve">Numéro de police : </w:t>
      </w:r>
    </w:p>
    <w:p w:rsidR="00F04EEF" w:rsidRDefault="00F04EEF">
      <w:pPr>
        <w:tabs>
          <w:tab w:val="left" w:pos="1134"/>
        </w:tabs>
        <w:jc w:val="both"/>
      </w:pPr>
    </w:p>
    <w:p w:rsidR="00F04EEF" w:rsidRDefault="0099351E">
      <w:pPr>
        <w:jc w:val="both"/>
      </w:pPr>
      <w:r>
        <w:t>L’institution d’accueil vérifiera que son contrat d’assurance couvre bien sa responsabilité civile vis-à-vis du stagiaire. A défaut, elle fera en sorte qu’il en soit ainsi.</w:t>
      </w:r>
    </w:p>
    <w:p w:rsidR="00F04EEF" w:rsidRDefault="00F04EEF">
      <w:pPr>
        <w:rPr>
          <w:iCs/>
        </w:rPr>
      </w:pPr>
    </w:p>
    <w:p w:rsidR="00F04EEF" w:rsidRDefault="0099351E">
      <w:r>
        <w:rPr>
          <w:iCs/>
        </w:rPr>
        <w:t>Dénomination de la compagnie d’assurance</w:t>
      </w:r>
      <w:r>
        <w:t> :</w:t>
      </w:r>
    </w:p>
    <w:p w:rsidR="00F04EEF" w:rsidRDefault="0099351E">
      <w:pPr>
        <w:jc w:val="both"/>
      </w:pPr>
      <w:r>
        <w:rPr>
          <w:iCs/>
        </w:rPr>
        <w:t>Numéro de police</w:t>
      </w:r>
      <w:r>
        <w:t> :</w:t>
      </w:r>
    </w:p>
    <w:p w:rsidR="00F04EEF" w:rsidRDefault="00F04EEF">
      <w:pPr>
        <w:tabs>
          <w:tab w:val="left" w:pos="1134"/>
        </w:tabs>
        <w:jc w:val="both"/>
      </w:pPr>
    </w:p>
    <w:p w:rsidR="00F04EEF" w:rsidRDefault="00F04EEF">
      <w:pPr>
        <w:tabs>
          <w:tab w:val="left" w:pos="1134"/>
        </w:tabs>
        <w:jc w:val="both"/>
      </w:pPr>
    </w:p>
    <w:p w:rsidR="00F04EEF" w:rsidRDefault="0099351E">
      <w:pPr>
        <w:pStyle w:val="Corpsdetexte3"/>
        <w:tabs>
          <w:tab w:val="left" w:pos="1134"/>
        </w:tabs>
        <w:rPr>
          <w:rFonts w:asciiTheme="majorHAnsi" w:hAnsiTheme="majorHAnsi"/>
          <w:sz w:val="22"/>
          <w:szCs w:val="22"/>
        </w:rPr>
      </w:pPr>
      <w:r>
        <w:rPr>
          <w:rFonts w:asciiTheme="majorHAnsi" w:hAnsiTheme="majorHAnsi"/>
          <w:sz w:val="22"/>
          <w:szCs w:val="22"/>
        </w:rPr>
        <w:t xml:space="preserve">Fait en </w:t>
      </w:r>
      <w:r>
        <w:rPr>
          <w:rFonts w:asciiTheme="majorHAnsi" w:hAnsiTheme="majorHAnsi"/>
          <w:sz w:val="22"/>
          <w:szCs w:val="22"/>
        </w:rPr>
        <w:tab/>
      </w:r>
      <w:r>
        <w:rPr>
          <w:rFonts w:asciiTheme="majorHAnsi" w:hAnsiTheme="majorHAnsi"/>
          <w:sz w:val="22"/>
          <w:szCs w:val="22"/>
        </w:rPr>
        <w:tab/>
        <w:t>exemplaires, le</w:t>
      </w:r>
    </w:p>
    <w:p w:rsidR="00F04EEF" w:rsidRDefault="00F04EEF">
      <w:pPr>
        <w:tabs>
          <w:tab w:val="left" w:pos="1134"/>
        </w:tabs>
        <w:jc w:val="both"/>
      </w:pPr>
    </w:p>
    <w:p w:rsidR="00F04EEF" w:rsidRDefault="0099351E">
      <w:pPr>
        <w:tabs>
          <w:tab w:val="left" w:pos="1134"/>
          <w:tab w:val="left" w:pos="5103"/>
        </w:tabs>
        <w:jc w:val="both"/>
      </w:pPr>
      <w:r>
        <w:t>Pour l’institution d’accueil,</w:t>
      </w:r>
      <w:r>
        <w:tab/>
      </w:r>
      <w:r>
        <w:tab/>
        <w:t>Cachet de l’institution d’accueil</w:t>
      </w:r>
    </w:p>
    <w:p w:rsidR="00F04EEF" w:rsidRDefault="0099351E">
      <w:pPr>
        <w:tabs>
          <w:tab w:val="left" w:pos="900"/>
          <w:tab w:val="left" w:pos="1440"/>
          <w:tab w:val="left" w:pos="5103"/>
        </w:tabs>
        <w:jc w:val="both"/>
      </w:pPr>
      <w:r>
        <w:t>Lu et approuvé,</w:t>
      </w: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99351E">
      <w:pPr>
        <w:tabs>
          <w:tab w:val="left" w:pos="1134"/>
          <w:tab w:val="left" w:pos="5103"/>
        </w:tabs>
        <w:jc w:val="both"/>
      </w:pPr>
      <w:r>
        <w:t>L’établissement scolaire,</w:t>
      </w:r>
      <w:r>
        <w:tab/>
      </w:r>
      <w:r>
        <w:tab/>
        <w:t>Cachet de l’établissement</w:t>
      </w:r>
    </w:p>
    <w:p w:rsidR="00F04EEF" w:rsidRDefault="0099351E">
      <w:pPr>
        <w:tabs>
          <w:tab w:val="left" w:pos="1620"/>
          <w:tab w:val="left" w:pos="5103"/>
        </w:tabs>
        <w:jc w:val="both"/>
      </w:pPr>
      <w:r>
        <w:t>Lu et approuvé,</w:t>
      </w: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99351E">
      <w:pPr>
        <w:tabs>
          <w:tab w:val="left" w:pos="1134"/>
          <w:tab w:val="left" w:pos="5103"/>
        </w:tabs>
        <w:ind w:hanging="360"/>
        <w:jc w:val="both"/>
      </w:pPr>
      <w:r>
        <w:t>Signature du stagiaire,</w:t>
      </w:r>
    </w:p>
    <w:p w:rsidR="00F04EEF" w:rsidRDefault="0099351E">
      <w:pPr>
        <w:tabs>
          <w:tab w:val="left" w:pos="1440"/>
          <w:tab w:val="left" w:pos="5103"/>
        </w:tabs>
        <w:ind w:hanging="360"/>
        <w:jc w:val="both"/>
      </w:pPr>
      <w:r>
        <w:t>Lu et approuvé</w:t>
      </w: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F04EEF">
      <w:pPr>
        <w:tabs>
          <w:tab w:val="left" w:pos="1134"/>
          <w:tab w:val="left" w:pos="5103"/>
        </w:tabs>
        <w:jc w:val="both"/>
      </w:pPr>
    </w:p>
    <w:p w:rsidR="00F04EEF" w:rsidRDefault="0099351E">
      <w:pPr>
        <w:tabs>
          <w:tab w:val="left" w:pos="1134"/>
          <w:tab w:val="left" w:pos="5103"/>
        </w:tabs>
        <w:jc w:val="both"/>
      </w:pPr>
      <w:r>
        <w:t>Signature des parents ou de la personne investie de l’autorité parentale,</w:t>
      </w:r>
    </w:p>
    <w:p w:rsidR="00F04EEF" w:rsidRDefault="0099351E">
      <w:pPr>
        <w:tabs>
          <w:tab w:val="left" w:pos="1134"/>
          <w:tab w:val="left" w:pos="5103"/>
        </w:tabs>
        <w:jc w:val="both"/>
      </w:pPr>
      <w:r>
        <w:t>(Pour le stagiaire)</w:t>
      </w:r>
    </w:p>
    <w:p w:rsidR="00F04EEF" w:rsidRDefault="0099351E">
      <w:pPr>
        <w:tabs>
          <w:tab w:val="left" w:pos="1134"/>
          <w:tab w:val="left" w:pos="5103"/>
        </w:tabs>
        <w:jc w:val="both"/>
      </w:pPr>
      <w:r>
        <w:t>Lu et approuvé,</w:t>
      </w:r>
    </w:p>
    <w:p w:rsidR="00F04EEF" w:rsidRDefault="0099351E">
      <w:bookmarkStart w:id="4188" w:name="_Chapitre_26_:"/>
      <w:bookmarkEnd w:id="4188"/>
      <w:r>
        <w:br w:type="page"/>
      </w:r>
    </w:p>
    <w:sdt>
      <w:sdtPr>
        <w:id w:val="1035547279"/>
        <w:docPartObj>
          <w:docPartGallery w:val="Cover Pages"/>
          <w:docPartUnique/>
        </w:docPartObj>
      </w:sdtPr>
      <w:sdtEndPr/>
      <w:sdtContent>
        <w:p w:rsidR="00F04EEF" w:rsidRDefault="00F04EEF"/>
        <w:p w:rsidR="00F04EEF" w:rsidRDefault="0099351E">
          <w:pPr>
            <w:pStyle w:val="Titre2"/>
          </w:pPr>
          <w:bookmarkStart w:id="4189" w:name="_Chapitre_30_:"/>
          <w:bookmarkStart w:id="4190" w:name="_Toc47708659"/>
          <w:bookmarkEnd w:id="4189"/>
          <w:r>
            <w:t>Chapitre 30 : Approbation des grilles-horaires</w:t>
          </w:r>
          <w:bookmarkEnd w:id="4190"/>
        </w:p>
        <w:p w:rsidR="00F04EEF" w:rsidRDefault="00F04EEF">
          <w:pPr>
            <w:rPr>
              <w:lang w:eastAsia="fr-BE"/>
            </w:rPr>
          </w:pPr>
        </w:p>
        <w:p w:rsidR="00F04EEF" w:rsidRDefault="00F04EEF">
          <w:pPr>
            <w:rPr>
              <w:lang w:eastAsia="fr-BE"/>
            </w:rPr>
          </w:pPr>
        </w:p>
        <w:p w:rsidR="00F04EEF" w:rsidRDefault="0099351E">
          <w:pPr>
            <w:rPr>
              <w:lang w:eastAsia="fr-BE"/>
            </w:rPr>
          </w:pPr>
          <w:r>
            <w:rPr>
              <w:lang w:eastAsia="fr-BE"/>
            </w:rPr>
            <w:t xml:space="preserve">Les différentes étapes afférentes à la procédure d’approbation des grilles horaires sont les suivantes : </w:t>
          </w:r>
        </w:p>
        <w:p w:rsidR="00F04EEF" w:rsidRDefault="00F04EEF"/>
        <w:p w:rsidR="00F04EEF" w:rsidRDefault="0099351E">
          <w:pPr>
            <w:spacing w:line="276" w:lineRule="auto"/>
            <w:jc w:val="both"/>
          </w:pPr>
          <w:r>
            <w:rPr>
              <w:noProof/>
              <w:lang w:eastAsia="fr-BE"/>
            </w:rPr>
            <mc:AlternateContent>
              <mc:Choice Requires="wps">
                <w:drawing>
                  <wp:anchor distT="0" distB="0" distL="114300" distR="114300" simplePos="0" relativeHeight="252356608" behindDoc="0" locked="0" layoutInCell="1" allowOverlap="1">
                    <wp:simplePos x="0" y="0"/>
                    <wp:positionH relativeFrom="column">
                      <wp:posOffset>6376670</wp:posOffset>
                    </wp:positionH>
                    <wp:positionV relativeFrom="paragraph">
                      <wp:posOffset>204470</wp:posOffset>
                    </wp:positionV>
                    <wp:extent cx="0" cy="171450"/>
                    <wp:effectExtent l="0" t="0" r="19050" b="19050"/>
                    <wp:wrapNone/>
                    <wp:docPr id="585" name="Connecteur droit 585"/>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7E32EB8" id="Connecteur droit 585" o:spid="_x0000_s1026" style="position:absolute;z-index:25235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16.1pt" to="502.1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" strokecolor="black [3213]"/>
                </w:pict>
              </mc:Fallback>
            </mc:AlternateContent>
          </w:r>
          <w:r>
            <w:t>Au plus tard :</w:t>
          </w:r>
          <w:r>
            <w:rPr>
              <w:noProof/>
              <w:lang w:eastAsia="fr-BE"/>
            </w:rPr>
            <w:t xml:space="preserve"> </w:t>
          </w:r>
        </w:p>
        <w:p w:rsidR="00F04EEF" w:rsidRDefault="00F04EEF">
          <w:pPr>
            <w:spacing w:line="276" w:lineRule="auto"/>
            <w:jc w:val="both"/>
          </w:pPr>
        </w:p>
        <w:p w:rsidR="00F04EEF" w:rsidRDefault="0099351E">
          <w:pPr>
            <w:numPr>
              <w:ilvl w:val="0"/>
              <w:numId w:val="265"/>
            </w:numPr>
            <w:spacing w:line="276" w:lineRule="auto"/>
            <w:ind w:left="397" w:hanging="357"/>
            <w:jc w:val="both"/>
          </w:pPr>
          <w:r>
            <w:t xml:space="preserve">31 mars: </w:t>
          </w:r>
        </w:p>
        <w:p w:rsidR="00F04EEF" w:rsidRDefault="00F04EEF">
          <w:pPr>
            <w:spacing w:line="276" w:lineRule="auto"/>
            <w:ind w:left="397"/>
            <w:jc w:val="both"/>
          </w:pPr>
        </w:p>
        <w:p w:rsidR="00F04EEF" w:rsidRDefault="0099351E">
          <w:pPr>
            <w:spacing w:line="276" w:lineRule="auto"/>
            <w:ind w:left="397"/>
            <w:jc w:val="both"/>
          </w:pPr>
          <w:r>
            <w:t>Dépôt par les réseaux des grilles nouvelles ou modifiées, devant entrer en vigueur au 1er septembre de l’année scolaire suivante, auprès de la Direction générale de l’Enseignement obligatoire.</w:t>
          </w:r>
        </w:p>
        <w:p w:rsidR="00F04EEF" w:rsidRDefault="0099351E">
          <w:pPr>
            <w:spacing w:line="276" w:lineRule="auto"/>
            <w:ind w:left="397"/>
            <w:jc w:val="both"/>
          </w:pPr>
          <w:r>
            <w:rPr>
              <w:noProof/>
              <w:lang w:eastAsia="fr-BE"/>
            </w:rPr>
            <mc:AlternateContent>
              <mc:Choice Requires="wps">
                <w:drawing>
                  <wp:anchor distT="0" distB="0" distL="114300" distR="114300" simplePos="0" relativeHeight="252358656" behindDoc="0" locked="0" layoutInCell="1" allowOverlap="1">
                    <wp:simplePos x="0" y="0"/>
                    <wp:positionH relativeFrom="column">
                      <wp:posOffset>6376670</wp:posOffset>
                    </wp:positionH>
                    <wp:positionV relativeFrom="paragraph">
                      <wp:posOffset>123190</wp:posOffset>
                    </wp:positionV>
                    <wp:extent cx="0" cy="171450"/>
                    <wp:effectExtent l="0" t="0" r="19050" b="19050"/>
                    <wp:wrapNone/>
                    <wp:docPr id="586" name="Connecteur droit 586"/>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E07FBD9" id="Connecteur droit 586" o:spid="_x0000_s1026" style="position:absolute;z-index:25235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9.7pt" to="502.1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" strokecolor="black [3213]"/>
                </w:pict>
              </mc:Fallback>
            </mc:AlternateContent>
          </w:r>
        </w:p>
        <w:p w:rsidR="00F04EEF" w:rsidRDefault="0099351E">
          <w:pPr>
            <w:numPr>
              <w:ilvl w:val="0"/>
              <w:numId w:val="266"/>
            </w:numPr>
            <w:spacing w:line="276" w:lineRule="auto"/>
            <w:ind w:left="397" w:hanging="357"/>
            <w:jc w:val="both"/>
          </w:pPr>
          <w:r>
            <w:t xml:space="preserve">30 avril : </w:t>
          </w:r>
        </w:p>
        <w:p w:rsidR="00F04EEF" w:rsidRDefault="00F04EEF">
          <w:pPr>
            <w:spacing w:line="276" w:lineRule="auto"/>
            <w:ind w:left="397"/>
            <w:jc w:val="both"/>
          </w:pPr>
        </w:p>
        <w:p w:rsidR="00F04EEF" w:rsidRDefault="0099351E">
          <w:pPr>
            <w:spacing w:line="276" w:lineRule="auto"/>
            <w:ind w:left="397"/>
            <w:jc w:val="both"/>
          </w:pPr>
          <w:r>
            <w:t>Vérification par l’Administration de la légalité des grilles nouvelles ou modifiées et transmission de son avis et des grilles nouvelles ou modifiées à l’Inspection pédagogique.</w:t>
          </w:r>
        </w:p>
        <w:p w:rsidR="00F04EEF" w:rsidRDefault="0099351E">
          <w:pPr>
            <w:spacing w:line="276" w:lineRule="auto"/>
            <w:ind w:left="397"/>
            <w:jc w:val="both"/>
          </w:pPr>
          <w:r>
            <w:rPr>
              <w:noProof/>
              <w:lang w:eastAsia="fr-BE"/>
            </w:rPr>
            <mc:AlternateContent>
              <mc:Choice Requires="wps">
                <w:drawing>
                  <wp:anchor distT="0" distB="0" distL="114300" distR="114300" simplePos="0" relativeHeight="252360704" behindDoc="0" locked="0" layoutInCell="1" allowOverlap="1">
                    <wp:simplePos x="0" y="0"/>
                    <wp:positionH relativeFrom="column">
                      <wp:posOffset>6376670</wp:posOffset>
                    </wp:positionH>
                    <wp:positionV relativeFrom="paragraph">
                      <wp:posOffset>215265</wp:posOffset>
                    </wp:positionV>
                    <wp:extent cx="0" cy="171450"/>
                    <wp:effectExtent l="0" t="0" r="19050" b="19050"/>
                    <wp:wrapNone/>
                    <wp:docPr id="587" name="Connecteur droit 587"/>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8AFB1D3" id="Connecteur droit 587" o:spid="_x0000_s1026" style="position:absolute;z-index:25236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16.95pt" to="502.1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" strokecolor="black [3213]"/>
                </w:pict>
              </mc:Fallback>
            </mc:AlternateContent>
          </w:r>
        </w:p>
        <w:p w:rsidR="00F04EEF" w:rsidRDefault="0099351E">
          <w:pPr>
            <w:numPr>
              <w:ilvl w:val="0"/>
              <w:numId w:val="266"/>
            </w:numPr>
            <w:spacing w:line="276" w:lineRule="auto"/>
            <w:ind w:left="426" w:hanging="426"/>
            <w:jc w:val="both"/>
          </w:pPr>
          <w:r>
            <w:t xml:space="preserve">28 mai : </w:t>
          </w:r>
        </w:p>
        <w:p w:rsidR="00F04EEF" w:rsidRDefault="00F04EEF">
          <w:pPr>
            <w:spacing w:line="276" w:lineRule="auto"/>
            <w:ind w:left="426"/>
            <w:jc w:val="both"/>
          </w:pPr>
        </w:p>
        <w:p w:rsidR="00F04EEF" w:rsidRDefault="0099351E">
          <w:pPr>
            <w:spacing w:line="276" w:lineRule="auto"/>
            <w:ind w:left="426"/>
            <w:jc w:val="both"/>
          </w:pPr>
          <w:r>
            <w:t>Transmission des grilles nouvelles ou modifiées avec l’avis de l’Administration et de l’Inspection pédagogique au Conseil Général pour l’Enseignement Secondaire.</w:t>
          </w:r>
        </w:p>
        <w:p w:rsidR="00F04EEF" w:rsidRDefault="00F04EEF">
          <w:pPr>
            <w:spacing w:line="276" w:lineRule="auto"/>
            <w:ind w:left="426"/>
            <w:jc w:val="both"/>
          </w:pPr>
        </w:p>
        <w:p w:rsidR="00F04EEF" w:rsidRDefault="0099351E">
          <w:pPr>
            <w:spacing w:line="276" w:lineRule="auto"/>
            <w:ind w:left="426"/>
            <w:jc w:val="both"/>
          </w:pPr>
          <w:r>
            <w:t>Remise d’avis du Conseil Général pour l’Enseignement Secondaire sur les grilles nouvelles ou modifiées.</w:t>
          </w:r>
        </w:p>
        <w:p w:rsidR="00F04EEF" w:rsidRDefault="0099351E">
          <w:pPr>
            <w:spacing w:line="276" w:lineRule="auto"/>
            <w:jc w:val="both"/>
          </w:pPr>
          <w:r>
            <w:rPr>
              <w:noProof/>
              <w:lang w:eastAsia="fr-BE"/>
            </w:rPr>
            <mc:AlternateContent>
              <mc:Choice Requires="wps">
                <w:drawing>
                  <wp:anchor distT="0" distB="0" distL="114300" distR="114300" simplePos="0" relativeHeight="252362752" behindDoc="0" locked="0" layoutInCell="1" allowOverlap="1">
                    <wp:simplePos x="0" y="0"/>
                    <wp:positionH relativeFrom="column">
                      <wp:posOffset>6376670</wp:posOffset>
                    </wp:positionH>
                    <wp:positionV relativeFrom="paragraph">
                      <wp:posOffset>137795</wp:posOffset>
                    </wp:positionV>
                    <wp:extent cx="0" cy="171450"/>
                    <wp:effectExtent l="0" t="0" r="19050" b="19050"/>
                    <wp:wrapNone/>
                    <wp:docPr id="588" name="Connecteur droit 588"/>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0E6E164" id="Connecteur droit 588" o:spid="_x0000_s1026" style="position:absolute;z-index:25236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10.85pt" to="502.1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" strokecolor="black [3213]"/>
                </w:pict>
              </mc:Fallback>
            </mc:AlternateContent>
          </w:r>
        </w:p>
        <w:p w:rsidR="00F04EEF" w:rsidRDefault="0099351E">
          <w:pPr>
            <w:numPr>
              <w:ilvl w:val="0"/>
              <w:numId w:val="266"/>
            </w:numPr>
            <w:spacing w:line="276" w:lineRule="auto"/>
            <w:ind w:left="397" w:hanging="397"/>
            <w:jc w:val="both"/>
          </w:pPr>
          <w:r>
            <w:t xml:space="preserve">10 juin : </w:t>
          </w:r>
        </w:p>
        <w:p w:rsidR="00F04EEF" w:rsidRDefault="00F04EEF">
          <w:pPr>
            <w:spacing w:line="276" w:lineRule="auto"/>
            <w:ind w:left="397"/>
            <w:jc w:val="both"/>
          </w:pPr>
        </w:p>
        <w:p w:rsidR="00F04EEF" w:rsidRDefault="0099351E">
          <w:pPr>
            <w:spacing w:line="276" w:lineRule="auto"/>
            <w:ind w:left="397"/>
            <w:jc w:val="both"/>
          </w:pPr>
          <w:r>
            <w:t>Transmission des grilles nouvelles ou modifiées par le chargé de mission assurant le Secrétariat du Conseil général précité (accompagnées des trois avis susmentionnés) au Ministre ayant en charge l’Enseignement spécialisé chargé de les approuver.</w:t>
          </w:r>
        </w:p>
        <w:p w:rsidR="00F04EEF" w:rsidRDefault="0099351E">
          <w:pPr>
            <w:spacing w:line="276" w:lineRule="auto"/>
            <w:ind w:left="397"/>
            <w:jc w:val="both"/>
          </w:pPr>
          <w:r>
            <w:rPr>
              <w:noProof/>
              <w:lang w:eastAsia="fr-BE"/>
            </w:rPr>
            <mc:AlternateContent>
              <mc:Choice Requires="wps">
                <w:drawing>
                  <wp:anchor distT="0" distB="0" distL="114300" distR="114300" simplePos="0" relativeHeight="252364800" behindDoc="0" locked="0" layoutInCell="1" allowOverlap="1">
                    <wp:simplePos x="0" y="0"/>
                    <wp:positionH relativeFrom="column">
                      <wp:posOffset>6376670</wp:posOffset>
                    </wp:positionH>
                    <wp:positionV relativeFrom="paragraph">
                      <wp:posOffset>243205</wp:posOffset>
                    </wp:positionV>
                    <wp:extent cx="0" cy="171450"/>
                    <wp:effectExtent l="0" t="0" r="19050" b="19050"/>
                    <wp:wrapNone/>
                    <wp:docPr id="589" name="Connecteur droit 589"/>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CDDA054" id="Connecteur droit 589" o:spid="_x0000_s1026" style="position:absolute;z-index:25236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19.15pt" to="502.1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" strokecolor="black [3213]"/>
                </w:pict>
              </mc:Fallback>
            </mc:AlternateContent>
          </w:r>
        </w:p>
        <w:p w:rsidR="00F04EEF" w:rsidRDefault="0099351E">
          <w:pPr>
            <w:numPr>
              <w:ilvl w:val="0"/>
              <w:numId w:val="266"/>
            </w:numPr>
            <w:spacing w:line="276" w:lineRule="auto"/>
            <w:ind w:left="397" w:hanging="397"/>
            <w:jc w:val="both"/>
          </w:pPr>
          <w:r>
            <w:t>25 juin</w:t>
          </w:r>
        </w:p>
        <w:p w:rsidR="00F04EEF" w:rsidRDefault="00F04EEF">
          <w:pPr>
            <w:pStyle w:val="Paragraphedeliste"/>
            <w:spacing w:line="276" w:lineRule="auto"/>
            <w:ind w:left="426"/>
            <w:jc w:val="both"/>
            <w:rPr>
              <w:rFonts w:asciiTheme="majorHAnsi" w:hAnsiTheme="majorHAnsi"/>
              <w:sz w:val="22"/>
              <w:szCs w:val="22"/>
            </w:rPr>
          </w:pPr>
        </w:p>
        <w:p w:rsidR="00F04EEF" w:rsidRDefault="0099351E">
          <w:pPr>
            <w:pStyle w:val="Paragraphedeliste"/>
            <w:spacing w:line="276" w:lineRule="auto"/>
            <w:ind w:left="426"/>
            <w:jc w:val="both"/>
            <w:rPr>
              <w:rFonts w:asciiTheme="majorHAnsi" w:hAnsiTheme="majorHAnsi"/>
              <w:sz w:val="22"/>
              <w:szCs w:val="22"/>
            </w:rPr>
          </w:pPr>
          <w:r>
            <w:rPr>
              <w:rFonts w:asciiTheme="majorHAnsi" w:hAnsiTheme="majorHAnsi"/>
              <w:sz w:val="22"/>
              <w:szCs w:val="22"/>
            </w:rPr>
            <w:t>Transmission par le Ministre concerné des grilles nouvelles ou modifiées approuvées par ses soins à la Direction générale de l’Enseignement obligatoire.</w:t>
          </w:r>
        </w:p>
        <w:p w:rsidR="00F04EEF" w:rsidRDefault="00F04EEF"/>
        <w:p w:rsidR="00F04EEF" w:rsidRDefault="0099351E">
          <w:r>
            <w:br w:type="page"/>
          </w:r>
        </w:p>
        <w:p w:rsidR="00F04EEF" w:rsidRDefault="00F04EEF">
          <w:pPr>
            <w:rPr>
              <w:rFonts w:eastAsiaTheme="minorEastAsia"/>
              <w:lang w:eastAsia="fr-BE"/>
            </w:rPr>
          </w:pPr>
        </w:p>
        <w:p w:rsidR="00F04EEF" w:rsidRDefault="00F04EEF">
          <w:pPr>
            <w:pStyle w:val="Sansinterligne"/>
            <w:rPr>
              <w:rFonts w:asciiTheme="majorHAnsi" w:hAnsiTheme="majorHAnsi"/>
            </w:rPr>
          </w:pPr>
        </w:p>
        <w:p w:rsidR="00F04EEF" w:rsidRDefault="0099351E">
          <w:pPr>
            <w:pStyle w:val="Titre1"/>
          </w:pPr>
          <w:bookmarkStart w:id="4191" w:name="_Toc477624068"/>
          <w:bookmarkStart w:id="4192" w:name="_Toc477767951"/>
          <w:bookmarkStart w:id="4193" w:name="_Toc47708660"/>
          <w:r>
            <w:t>INDEX</w:t>
          </w:r>
          <w:bookmarkEnd w:id="4191"/>
          <w:bookmarkEnd w:id="4192"/>
          <w:bookmarkEnd w:id="4193"/>
        </w:p>
        <w:p w:rsidR="00F04EEF" w:rsidRDefault="00F04EEF">
          <w:pPr>
            <w:pStyle w:val="Sansinterligne"/>
            <w:jc w:val="center"/>
            <w:rPr>
              <w:rFonts w:asciiTheme="majorHAnsi" w:eastAsiaTheme="majorEastAsia" w:hAnsiTheme="majorHAnsi" w:cstheme="majorBidi"/>
              <w:caps/>
              <w:color w:val="7030A0"/>
            </w:rPr>
          </w:pPr>
        </w:p>
        <w:p w:rsidR="00F04EEF" w:rsidRDefault="00F04EEF">
          <w:pPr>
            <w:pStyle w:val="Sansinterligne"/>
            <w:jc w:val="center"/>
            <w:rPr>
              <w:rFonts w:asciiTheme="majorHAnsi" w:eastAsiaTheme="majorEastAsia" w:hAnsiTheme="majorHAnsi" w:cstheme="majorBidi"/>
              <w:caps/>
              <w:color w:val="7030A0"/>
            </w:rPr>
          </w:pPr>
        </w:p>
        <w:p w:rsidR="00F04EEF" w:rsidRDefault="00F04EEF">
          <w:pPr>
            <w:pStyle w:val="Sansinterligne"/>
            <w:jc w:val="center"/>
            <w:rPr>
              <w:rFonts w:asciiTheme="majorHAnsi" w:eastAsiaTheme="majorEastAsia" w:hAnsiTheme="majorHAnsi" w:cstheme="majorBidi"/>
              <w:caps/>
              <w:color w:val="7030A0"/>
            </w:rPr>
          </w:pPr>
        </w:p>
        <w:p w:rsidR="00F04EEF" w:rsidRDefault="00F04EEF">
          <w:pPr>
            <w:pStyle w:val="Sansinterligne"/>
            <w:jc w:val="center"/>
            <w:rPr>
              <w:rFonts w:asciiTheme="majorHAnsi" w:eastAsiaTheme="majorEastAsia" w:hAnsiTheme="majorHAnsi" w:cstheme="majorBidi"/>
              <w:caps/>
              <w:color w:val="7030A0"/>
            </w:rPr>
          </w:pPr>
        </w:p>
        <w:p w:rsidR="00F04EEF" w:rsidRDefault="00F04EEF"/>
        <w:p w:rsidR="00F04EEF" w:rsidRDefault="0099351E">
          <w:pPr>
            <w:pStyle w:val="Titre2"/>
          </w:pPr>
          <w:bookmarkStart w:id="4194" w:name="_INDEX_I_:"/>
          <w:bookmarkStart w:id="4195" w:name="_Toc477624069"/>
          <w:bookmarkStart w:id="4196" w:name="_Toc477767952"/>
          <w:bookmarkStart w:id="4197" w:name="_Toc47708661"/>
          <w:bookmarkEnd w:id="4194"/>
          <w:r>
            <w:t>INDEX I</w:t>
          </w:r>
          <w:bookmarkStart w:id="4198" w:name="_Toc477624070"/>
          <w:bookmarkStart w:id="4199" w:name="_Toc477767953"/>
          <w:bookmarkEnd w:id="4195"/>
          <w:bookmarkEnd w:id="4196"/>
          <w:r>
            <w:t> : Les personnes-ressources de la Direction générale de l’Enseignement obligatoire pour les établissements d’Enseignement spécialisé</w:t>
          </w:r>
          <w:bookmarkEnd w:id="4198"/>
          <w:bookmarkEnd w:id="4199"/>
          <w:bookmarkEnd w:id="4197"/>
        </w:p>
        <w:p w:rsidR="00F04EEF" w:rsidRDefault="00F04EEF"/>
        <w:p w:rsidR="00F04EEF" w:rsidRDefault="00F42422"/>
      </w:sdtContent>
    </w:sdt>
    <w:p w:rsidR="00F04EEF" w:rsidRDefault="00F04EEF"/>
    <w:p w:rsidR="00F04EEF" w:rsidRDefault="00F04EEF"/>
    <w:p w:rsidR="00F04EEF" w:rsidRDefault="00F04EEF"/>
    <w:p w:rsidR="00F04EEF" w:rsidRDefault="0099351E">
      <w:pPr>
        <w:pStyle w:val="Titre3"/>
        <w:rPr>
          <w:szCs w:val="22"/>
        </w:rPr>
      </w:pPr>
      <w:bookmarkStart w:id="4200" w:name="_Toc4145091"/>
      <w:bookmarkStart w:id="4201" w:name="_Toc47708662"/>
      <w:r>
        <w:rPr>
          <w:szCs w:val="22"/>
        </w:rPr>
        <w:t>1. Direction générale de l’enseignement obligatoire</w:t>
      </w:r>
      <w:bookmarkEnd w:id="4200"/>
      <w:bookmarkEnd w:id="4201"/>
    </w:p>
    <w:p w:rsidR="00F04EEF" w:rsidRDefault="0099351E">
      <w:pPr>
        <w:rPr>
          <w:b/>
          <w:u w:val="single"/>
        </w:rPr>
      </w:pPr>
      <w:r>
        <w:rPr>
          <w:b/>
          <w:u w:val="single"/>
        </w:rPr>
        <w:t xml:space="preserve"> </w:t>
      </w:r>
      <w:bookmarkStart w:id="4202" w:name="_Toc4145092"/>
      <w:r>
        <w:rPr>
          <w:b/>
          <w:u w:val="single"/>
        </w:rPr>
        <w:t>Monsieur Fabrice AERTS-BANCKEN, Directeur général</w:t>
      </w:r>
      <w:bookmarkEnd w:id="4202"/>
    </w:p>
    <w:p w:rsidR="00F04EEF" w:rsidRDefault="00F04EEF"/>
    <w:p w:rsidR="00F04EEF" w:rsidRDefault="0099351E">
      <w:r>
        <w:t>Adresse : 3ème étage, rue Adolphe Lavallée 1 à 1080 BRUXELLES</w:t>
      </w:r>
    </w:p>
    <w:p w:rsidR="00F04EEF" w:rsidRDefault="00F04EEF"/>
    <w:p w:rsidR="00F04EEF" w:rsidRDefault="0099351E">
      <w:r>
        <w:t xml:space="preserve">Secrétariat : 02/690.83.00  </w:t>
      </w:r>
    </w:p>
    <w:p w:rsidR="00F04EEF" w:rsidRDefault="00F04EEF"/>
    <w:p w:rsidR="00F04EEF" w:rsidRDefault="00F04EEF"/>
    <w:p w:rsidR="00F04EEF" w:rsidRDefault="0099351E">
      <w:pPr>
        <w:pStyle w:val="Titre3"/>
        <w:jc w:val="both"/>
        <w:rPr>
          <w:sz w:val="22"/>
          <w:szCs w:val="22"/>
        </w:rPr>
      </w:pPr>
      <w:bookmarkStart w:id="4203" w:name="_Toc47708663"/>
      <w:r>
        <w:rPr>
          <w:sz w:val="22"/>
          <w:szCs w:val="22"/>
        </w:rPr>
        <w:t>2. Service général de l’enseignement fondamental ordinaire et de l’enseignement spécialisé</w:t>
      </w:r>
      <w:bookmarkEnd w:id="4203"/>
    </w:p>
    <w:p w:rsidR="00F04EEF" w:rsidRDefault="0099351E">
      <w:pPr>
        <w:rPr>
          <w:b/>
          <w:u w:val="single"/>
        </w:rPr>
      </w:pPr>
      <w:r>
        <w:rPr>
          <w:b/>
          <w:u w:val="single"/>
        </w:rPr>
        <w:t>Monsieur Pierre ERCOLINI, Directeur général adjoint</w:t>
      </w:r>
    </w:p>
    <w:p w:rsidR="00F04EEF" w:rsidRDefault="00F04EEF"/>
    <w:p w:rsidR="00F04EEF" w:rsidRDefault="0099351E">
      <w:r>
        <w:t>Adresse : 2ème étage, rue Adolphe Lavallée 1 à 1080 BRUXELLES</w:t>
      </w:r>
    </w:p>
    <w:p w:rsidR="00F04EEF" w:rsidRDefault="00F04EEF"/>
    <w:p w:rsidR="00F04EEF" w:rsidRDefault="0099351E">
      <w:r>
        <w:t>Secrétariat :</w:t>
      </w:r>
    </w:p>
    <w:p w:rsidR="00F04EEF" w:rsidRDefault="0099351E">
      <w:r>
        <w:t>Anne-Françoise FOSSION</w:t>
      </w:r>
      <w:r>
        <w:tab/>
        <w:t xml:space="preserve">Tél : 02/690.83.93 </w:t>
      </w:r>
    </w:p>
    <w:p w:rsidR="00F04EEF" w:rsidRDefault="00F04EEF"/>
    <w:p w:rsidR="00F04EEF" w:rsidRDefault="0099351E">
      <w:pPr>
        <w:pStyle w:val="Titre3"/>
        <w:rPr>
          <w:sz w:val="22"/>
          <w:szCs w:val="22"/>
        </w:rPr>
      </w:pPr>
      <w:bookmarkStart w:id="4204" w:name="_Toc47708664"/>
      <w:r>
        <w:rPr>
          <w:sz w:val="22"/>
          <w:szCs w:val="22"/>
        </w:rPr>
        <w:t>3. Direction des Affaires générales et de l’Enseignement spécialisé</w:t>
      </w:r>
      <w:bookmarkEnd w:id="4204"/>
    </w:p>
    <w:p w:rsidR="00F04EEF" w:rsidRDefault="0099351E">
      <w:pPr>
        <w:rPr>
          <w:b/>
          <w:u w:val="single"/>
        </w:rPr>
      </w:pPr>
      <w:r>
        <w:rPr>
          <w:b/>
          <w:u w:val="single"/>
        </w:rPr>
        <w:t xml:space="preserve"> Monsieur William FUCHS, Directeur</w:t>
      </w:r>
    </w:p>
    <w:p w:rsidR="00F04EEF" w:rsidRDefault="00F04EEF"/>
    <w:p w:rsidR="00F04EEF" w:rsidRDefault="0099351E">
      <w:r>
        <w:t>Adresse : 2ème étage, rue Adolphe Lavallée 1 à  1080 BRUXELLES</w:t>
      </w:r>
    </w:p>
    <w:p w:rsidR="00F04EEF" w:rsidRDefault="0099351E">
      <w:r>
        <w:t xml:space="preserve">Tél : 02/690.83.94 </w:t>
      </w:r>
    </w:p>
    <w:p w:rsidR="00F04EEF" w:rsidRDefault="00F04EEF"/>
    <w:p w:rsidR="00F04EEF" w:rsidRDefault="00F04EEF">
      <w:pPr>
        <w:pBdr>
          <w:top w:val="single" w:sz="4" w:space="1" w:color="auto"/>
          <w:left w:val="single" w:sz="4" w:space="4" w:color="auto"/>
          <w:bottom w:val="single" w:sz="4" w:space="1" w:color="auto"/>
          <w:right w:val="single" w:sz="4" w:space="4" w:color="auto"/>
        </w:pBdr>
        <w:jc w:val="both"/>
        <w:rPr>
          <w:b/>
        </w:rPr>
      </w:pPr>
    </w:p>
    <w:p w:rsidR="00F04EEF" w:rsidRDefault="0099351E">
      <w:pPr>
        <w:pBdr>
          <w:top w:val="single" w:sz="4" w:space="1" w:color="auto"/>
          <w:left w:val="single" w:sz="4" w:space="4" w:color="auto"/>
          <w:bottom w:val="single" w:sz="4" w:space="1" w:color="auto"/>
          <w:right w:val="single" w:sz="4" w:space="4" w:color="auto"/>
        </w:pBdr>
        <w:jc w:val="both"/>
        <w:rPr>
          <w:b/>
        </w:rPr>
      </w:pPr>
      <w:r>
        <w:rPr>
          <w:b/>
        </w:rPr>
        <w:t xml:space="preserve">Pour toutes questions relatives à l’enseignement spécialisé, vous pouvez envoyer un mail à l’adresse suivante : </w:t>
      </w:r>
      <w:r>
        <w:rPr>
          <w:b/>
          <w:color w:val="0000FF"/>
        </w:rPr>
        <w:t>enseignement_specialise@cfwb.be</w:t>
      </w:r>
      <w:r>
        <w:rPr>
          <w:b/>
        </w:rPr>
        <w:t xml:space="preserve">     </w:t>
      </w:r>
    </w:p>
    <w:p w:rsidR="00F04EEF" w:rsidRDefault="00F04EEF">
      <w:pPr>
        <w:pBdr>
          <w:top w:val="single" w:sz="4" w:space="1" w:color="auto"/>
          <w:left w:val="single" w:sz="4" w:space="4" w:color="auto"/>
          <w:bottom w:val="single" w:sz="4" w:space="1" w:color="auto"/>
          <w:right w:val="single" w:sz="4" w:space="4" w:color="auto"/>
        </w:pBdr>
        <w:jc w:val="both"/>
        <w:rPr>
          <w:b/>
        </w:rPr>
      </w:pPr>
    </w:p>
    <w:p w:rsidR="00F04EEF" w:rsidRDefault="00F04EEF">
      <w:pPr>
        <w:pStyle w:val="Corpsdetexte"/>
        <w:rPr>
          <w:szCs w:val="22"/>
        </w:rPr>
      </w:pPr>
    </w:p>
    <w:p w:rsidR="00F04EEF" w:rsidRDefault="0099351E">
      <w:pPr>
        <w:pBdr>
          <w:top w:val="single" w:sz="4" w:space="1" w:color="000000"/>
          <w:left w:val="single" w:sz="4" w:space="4" w:color="000000"/>
          <w:bottom w:val="single" w:sz="4" w:space="1" w:color="000000"/>
          <w:right w:val="single" w:sz="4" w:space="4" w:color="000000"/>
        </w:pBdr>
        <w:jc w:val="center"/>
        <w:rPr>
          <w:b/>
          <w:color w:val="FF0000"/>
        </w:rPr>
      </w:pPr>
      <w:r>
        <w:t xml:space="preserve">Les numéros de téléphone du bâtiment 1, rue Adolphe Lavallée commencent tous par </w:t>
      </w:r>
      <w:r>
        <w:rPr>
          <w:b/>
          <w:color w:val="FF0000"/>
        </w:rPr>
        <w:t>02/690…</w:t>
      </w:r>
    </w:p>
    <w:p w:rsidR="00F04EEF" w:rsidRDefault="0099351E">
      <w:pPr>
        <w:pBdr>
          <w:top w:val="single" w:sz="4" w:space="1" w:color="000000"/>
          <w:left w:val="single" w:sz="4" w:space="4" w:color="000000"/>
          <w:bottom w:val="single" w:sz="4" w:space="1" w:color="000000"/>
          <w:right w:val="single" w:sz="4" w:space="4" w:color="000000"/>
        </w:pBdr>
        <w:jc w:val="center"/>
      </w:pPr>
      <w:r>
        <w:t xml:space="preserve">Procédure commune pour adresser un mail à tous les agents : </w:t>
      </w:r>
      <w:hyperlink r:id="rId356" w:history="1">
        <w:r>
          <w:rPr>
            <w:rStyle w:val="Lienhypertexte"/>
            <w:rFonts w:cs="Arial"/>
          </w:rPr>
          <w:t>prenom.nom@cfwb.be</w:t>
        </w:r>
      </w:hyperlink>
      <w:r>
        <w:t xml:space="preserve"> </w:t>
      </w:r>
    </w:p>
    <w:p w:rsidR="00F04EEF" w:rsidRDefault="0099351E">
      <w:pPr>
        <w:pBdr>
          <w:top w:val="single" w:sz="4" w:space="1" w:color="000000"/>
          <w:left w:val="single" w:sz="4" w:space="4" w:color="000000"/>
          <w:bottom w:val="single" w:sz="4" w:space="1" w:color="000000"/>
          <w:right w:val="single" w:sz="4" w:space="4" w:color="000000"/>
        </w:pBdr>
        <w:jc w:val="center"/>
      </w:pPr>
      <w:r>
        <w:t>(Le tout en minuscule et sans accent).</w:t>
      </w:r>
      <w:r>
        <w:br w:type="page"/>
      </w:r>
    </w:p>
    <w:p w:rsidR="00F04EEF" w:rsidRDefault="0099351E">
      <w:pPr>
        <w:pStyle w:val="Titre3"/>
        <w:jc w:val="both"/>
        <w:rPr>
          <w:sz w:val="22"/>
          <w:szCs w:val="22"/>
        </w:rPr>
      </w:pPr>
      <w:bookmarkStart w:id="4205" w:name="_Matières_traitées_par"/>
      <w:bookmarkStart w:id="4206" w:name="_Toc47708665"/>
      <w:bookmarkEnd w:id="4205"/>
      <w:r>
        <w:rPr>
          <w:sz w:val="22"/>
          <w:szCs w:val="22"/>
        </w:rPr>
        <w:t xml:space="preserve">4. </w:t>
      </w:r>
      <w:bookmarkStart w:id="4207" w:name="_Toc453314256"/>
      <w:bookmarkStart w:id="4208" w:name="_Toc454980291"/>
      <w:r>
        <w:rPr>
          <w:sz w:val="22"/>
          <w:szCs w:val="22"/>
        </w:rPr>
        <w:t>Matières traitées par les agent(e)s de la Direction des Affaires générales et de l’Enseignement spécialisé</w:t>
      </w:r>
      <w:bookmarkEnd w:id="4207"/>
      <w:bookmarkEnd w:id="4208"/>
      <w:bookmarkEnd w:id="4206"/>
    </w:p>
    <w:p w:rsidR="00F04EEF" w:rsidRDefault="0099351E">
      <w:r>
        <w:rPr>
          <w:noProof/>
          <w:lang w:eastAsia="fr-BE"/>
        </w:rPr>
        <mc:AlternateContent>
          <mc:Choice Requires="wps">
            <w:drawing>
              <wp:anchor distT="0" distB="0" distL="114300" distR="114300" simplePos="0" relativeHeight="252366848" behindDoc="0" locked="0" layoutInCell="1" allowOverlap="1">
                <wp:simplePos x="0" y="0"/>
                <wp:positionH relativeFrom="column">
                  <wp:posOffset>6281420</wp:posOffset>
                </wp:positionH>
                <wp:positionV relativeFrom="paragraph">
                  <wp:posOffset>7892414</wp:posOffset>
                </wp:positionV>
                <wp:extent cx="0" cy="542925"/>
                <wp:effectExtent l="0" t="0" r="19050" b="28575"/>
                <wp:wrapNone/>
                <wp:docPr id="590" name="Connecteur droit 590"/>
                <wp:cNvGraphicFramePr/>
                <a:graphic xmlns:a="http://schemas.openxmlformats.org/drawingml/2006/main">
                  <a:graphicData uri="http://schemas.microsoft.com/office/word/2010/wordprocessingShape">
                    <wps:wsp>
                      <wps:cNvCnPr/>
                      <wps:spPr>
                        <a:xfrm>
                          <a:off x="0" y="0"/>
                          <a:ext cx="0" cy="542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91D498" id="Connecteur droit 590" o:spid="_x0000_s1026" style="position:absolute;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4.6pt,621.45pt" to="494.6pt,6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" strokecolor="black [3213]"/>
            </w:pict>
          </mc:Fallback>
        </mc:AlternateContent>
      </w:r>
    </w:p>
    <w:tbl>
      <w:tblPr>
        <w:tblW w:w="9243" w:type="dxa"/>
        <w:tblInd w:w="108" w:type="dxa"/>
        <w:tblLayout w:type="fixed"/>
        <w:tblLook w:val="0000" w:firstRow="0" w:lastRow="0" w:firstColumn="0" w:lastColumn="0" w:noHBand="0" w:noVBand="0"/>
      </w:tblPr>
      <w:tblGrid>
        <w:gridCol w:w="4500"/>
        <w:gridCol w:w="2758"/>
        <w:gridCol w:w="1985"/>
      </w:tblGrid>
      <w:tr w:rsidR="00F04EEF">
        <w:trPr>
          <w:trHeight w:val="517"/>
          <w:tblHeader/>
        </w:trPr>
        <w:tc>
          <w:tcPr>
            <w:tcW w:w="4500" w:type="dxa"/>
            <w:tcBorders>
              <w:top w:val="single" w:sz="4" w:space="0" w:color="000000"/>
              <w:left w:val="single" w:sz="4" w:space="0" w:color="000000"/>
              <w:bottom w:val="single" w:sz="4" w:space="0" w:color="000000"/>
            </w:tcBorders>
            <w:shd w:val="clear" w:color="auto" w:fill="0099FF"/>
            <w:vAlign w:val="center"/>
          </w:tcPr>
          <w:p w:rsidR="00F04EEF" w:rsidRDefault="0099351E">
            <w:pPr>
              <w:tabs>
                <w:tab w:val="left" w:pos="1134"/>
              </w:tabs>
              <w:snapToGrid w:val="0"/>
              <w:jc w:val="center"/>
              <w:rPr>
                <w:b/>
              </w:rPr>
            </w:pPr>
            <w:r>
              <w:rPr>
                <w:b/>
              </w:rPr>
              <w:t>Matière</w:t>
            </w:r>
          </w:p>
        </w:tc>
        <w:tc>
          <w:tcPr>
            <w:tcW w:w="2758" w:type="dxa"/>
            <w:tcBorders>
              <w:top w:val="single" w:sz="4" w:space="0" w:color="000000"/>
              <w:left w:val="single" w:sz="4" w:space="0" w:color="000000"/>
              <w:bottom w:val="single" w:sz="4" w:space="0" w:color="000000"/>
              <w:right w:val="single" w:sz="4" w:space="0" w:color="auto"/>
            </w:tcBorders>
            <w:shd w:val="clear" w:color="auto" w:fill="0099FF"/>
            <w:vAlign w:val="center"/>
          </w:tcPr>
          <w:p w:rsidR="00F04EEF" w:rsidRDefault="0099351E">
            <w:pPr>
              <w:snapToGrid w:val="0"/>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F04EEF" w:rsidRDefault="0099351E">
            <w:pPr>
              <w:tabs>
                <w:tab w:val="left" w:pos="1134"/>
              </w:tabs>
              <w:snapToGrid w:val="0"/>
              <w:jc w:val="center"/>
              <w:rPr>
                <w:b/>
                <w:bCs/>
              </w:rPr>
            </w:pPr>
            <w:r>
              <w:rPr>
                <w:b/>
                <w:bCs/>
              </w:rPr>
              <w:t>Tél</w:t>
            </w:r>
          </w:p>
        </w:tc>
      </w:tr>
      <w:tr w:rsidR="00F04EEF">
        <w:trPr>
          <w:trHeight w:val="373"/>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ind w:firstLine="75"/>
            </w:pPr>
            <w:r>
              <w:t>Organisation générale du spécialisé</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rPr>
                <w:lang w:val="en-GB"/>
              </w:rPr>
            </w:pPr>
            <w:r>
              <w:rPr>
                <w:lang w:val="en-GB"/>
              </w:rPr>
              <w:t>William FUCHS</w:t>
            </w:r>
          </w:p>
          <w:p w:rsidR="00F04EEF" w:rsidRDefault="0099351E">
            <w:pPr>
              <w:tabs>
                <w:tab w:val="left" w:pos="1134"/>
              </w:tabs>
              <w:snapToGrid w:val="0"/>
              <w:rPr>
                <w:lang w:val="en-GB"/>
              </w:rPr>
            </w:pPr>
            <w:r>
              <w:rPr>
                <w:lang w:val="en-GB"/>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rPr>
                <w:lang w:val="en-GB"/>
              </w:rPr>
            </w:pPr>
            <w:r>
              <w:rPr>
                <w:lang w:val="en-GB"/>
              </w:rPr>
              <w:t>83.94</w:t>
            </w:r>
          </w:p>
          <w:p w:rsidR="00F04EEF" w:rsidRDefault="0099351E">
            <w:pPr>
              <w:tabs>
                <w:tab w:val="left" w:pos="1134"/>
              </w:tabs>
              <w:snapToGrid w:val="0"/>
              <w:jc w:val="center"/>
              <w:rPr>
                <w:lang w:val="en-GB"/>
              </w:rPr>
            </w:pPr>
            <w:r>
              <w:rPr>
                <w:lang w:val="en-GB"/>
              </w:rPr>
              <w:t>83.99</w:t>
            </w:r>
          </w:p>
        </w:tc>
      </w:tr>
      <w:tr w:rsidR="00F04EEF">
        <w:trPr>
          <w:trHeight w:val="350"/>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rPr>
                <w:lang w:val="en-GB"/>
              </w:rPr>
            </w:pPr>
            <w:r>
              <w:rPr>
                <w:lang w:val="en-GB"/>
              </w:rPr>
              <w:t>Législation</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rPr>
                <w:lang w:val="en-GB"/>
              </w:rPr>
            </w:pPr>
            <w:r>
              <w:rPr>
                <w:lang w:val="en-GB"/>
              </w:rPr>
              <w:t>William FUCHS</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83.94</w:t>
            </w:r>
          </w:p>
        </w:tc>
      </w:tr>
      <w:tr w:rsidR="00F04EEF">
        <w:trPr>
          <w:trHeight w:val="663"/>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Calcul et contrôle de l’encadrement</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r>
              <w:t>Isabelle THOMAS</w:t>
            </w:r>
          </w:p>
          <w:p w:rsidR="00F04EEF" w:rsidRDefault="0099351E">
            <w:pPr>
              <w:snapToGrid w:val="0"/>
            </w:pPr>
            <w:r>
              <w:t>Noémie SOMME</w:t>
            </w:r>
          </w:p>
          <w:p w:rsidR="00F04EEF" w:rsidRDefault="0099351E">
            <w:pPr>
              <w:snapToGrid w:val="0"/>
            </w:pPr>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88.92</w:t>
            </w:r>
          </w:p>
          <w:p w:rsidR="00F04EEF" w:rsidRDefault="0099351E">
            <w:pPr>
              <w:tabs>
                <w:tab w:val="left" w:pos="1134"/>
              </w:tabs>
              <w:snapToGrid w:val="0"/>
              <w:jc w:val="center"/>
            </w:pPr>
            <w:r>
              <w:t>84.01</w:t>
            </w:r>
          </w:p>
          <w:p w:rsidR="00F04EEF" w:rsidRDefault="0099351E">
            <w:pPr>
              <w:tabs>
                <w:tab w:val="left" w:pos="1134"/>
              </w:tabs>
              <w:snapToGrid w:val="0"/>
              <w:jc w:val="center"/>
            </w:pPr>
            <w:r>
              <w:t>84.19</w:t>
            </w:r>
          </w:p>
        </w:tc>
      </w:tr>
      <w:tr w:rsidR="00F04EEF">
        <w:trPr>
          <w:trHeight w:val="544"/>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 xml:space="preserve">Rationalisation </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r>
              <w:t>Véronique ROMBAUT</w:t>
            </w:r>
          </w:p>
          <w:p w:rsidR="00F04EEF" w:rsidRDefault="0099351E">
            <w:r>
              <w:t>Isabelle THOMAS</w:t>
            </w:r>
          </w:p>
          <w:p w:rsidR="00F04EEF" w:rsidRDefault="0099351E">
            <w:r>
              <w:t>Noémie SOMME</w:t>
            </w:r>
          </w:p>
          <w:p w:rsidR="00F04EEF" w:rsidRDefault="0099351E">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jc w:val="center"/>
            </w:pPr>
            <w:r>
              <w:t>83.99</w:t>
            </w:r>
          </w:p>
          <w:p w:rsidR="00F04EEF" w:rsidRDefault="0099351E">
            <w:pPr>
              <w:tabs>
                <w:tab w:val="left" w:pos="1134"/>
              </w:tabs>
              <w:jc w:val="center"/>
            </w:pPr>
            <w:r>
              <w:t>88.92</w:t>
            </w:r>
          </w:p>
          <w:p w:rsidR="00F04EEF" w:rsidRDefault="0099351E">
            <w:pPr>
              <w:tabs>
                <w:tab w:val="left" w:pos="1134"/>
              </w:tabs>
              <w:jc w:val="center"/>
            </w:pPr>
            <w:r>
              <w:t>84.01</w:t>
            </w:r>
          </w:p>
          <w:p w:rsidR="00F04EEF" w:rsidRDefault="0099351E">
            <w:pPr>
              <w:tabs>
                <w:tab w:val="left" w:pos="1134"/>
              </w:tabs>
              <w:jc w:val="center"/>
            </w:pPr>
            <w:r>
              <w:t>84.19</w:t>
            </w:r>
          </w:p>
        </w:tc>
      </w:tr>
      <w:tr w:rsidR="00F04EEF">
        <w:trPr>
          <w:trHeight w:val="639"/>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Programmation</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r>
              <w:t>Véronique ROMBAUT</w:t>
            </w:r>
          </w:p>
          <w:p w:rsidR="00F04EEF" w:rsidRDefault="0099351E">
            <w: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jc w:val="center"/>
            </w:pPr>
            <w:r>
              <w:t>83.99</w:t>
            </w:r>
          </w:p>
          <w:p w:rsidR="00F04EEF" w:rsidRDefault="0099351E">
            <w:pPr>
              <w:tabs>
                <w:tab w:val="left" w:pos="1134"/>
              </w:tabs>
              <w:jc w:val="center"/>
            </w:pPr>
            <w:r>
              <w:t>84.69</w:t>
            </w:r>
          </w:p>
        </w:tc>
      </w:tr>
      <w:tr w:rsidR="00F04EEF">
        <w:trPr>
          <w:trHeight w:val="639"/>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Transfert de reliquat</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r>
              <w:t>Véronique ROMBAUT</w:t>
            </w:r>
          </w:p>
          <w:p w:rsidR="00F04EEF" w:rsidRDefault="0099351E">
            <w:r>
              <w:t>Isabelle THOMAS</w:t>
            </w:r>
          </w:p>
          <w:p w:rsidR="00F04EEF" w:rsidRDefault="0099351E">
            <w:pPr>
              <w:snapToGrid w:val="0"/>
            </w:pPr>
            <w:r>
              <w:t>Noémie SOMME</w:t>
            </w:r>
          </w:p>
          <w:p w:rsidR="00F04EEF" w:rsidRDefault="0099351E">
            <w:pPr>
              <w:snapToGrid w:val="0"/>
            </w:pPr>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jc w:val="center"/>
            </w:pPr>
            <w:r>
              <w:t>83.99</w:t>
            </w:r>
          </w:p>
          <w:p w:rsidR="00F04EEF" w:rsidRDefault="0099351E">
            <w:pPr>
              <w:tabs>
                <w:tab w:val="left" w:pos="1134"/>
              </w:tabs>
              <w:jc w:val="center"/>
            </w:pPr>
            <w:r>
              <w:t>88.92</w:t>
            </w:r>
          </w:p>
          <w:p w:rsidR="00F04EEF" w:rsidRDefault="0099351E">
            <w:pPr>
              <w:tabs>
                <w:tab w:val="left" w:pos="1134"/>
              </w:tabs>
              <w:snapToGrid w:val="0"/>
              <w:jc w:val="center"/>
            </w:pPr>
            <w:r>
              <w:t>84.01</w:t>
            </w:r>
          </w:p>
          <w:p w:rsidR="00F04EEF" w:rsidRDefault="0099351E">
            <w:pPr>
              <w:tabs>
                <w:tab w:val="left" w:pos="1134"/>
              </w:tabs>
              <w:snapToGrid w:val="0"/>
              <w:jc w:val="center"/>
            </w:pPr>
            <w:r>
              <w:t>84.19</w:t>
            </w:r>
          </w:p>
        </w:tc>
      </w:tr>
      <w:tr w:rsidR="00F04EEF">
        <w:trPr>
          <w:trHeight w:val="413"/>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Pédagogies adaptées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84.11</w:t>
            </w:r>
          </w:p>
        </w:tc>
      </w:tr>
      <w:tr w:rsidR="00F04EEF">
        <w:trPr>
          <w:trHeight w:val="405"/>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Admission aux subventions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83.99</w:t>
            </w:r>
          </w:p>
        </w:tc>
      </w:tr>
      <w:tr w:rsidR="00F04EEF">
        <w:trPr>
          <w:trHeight w:val="1636"/>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Gestion des populations scolaires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Christine WILLEMS</w:t>
            </w:r>
          </w:p>
          <w:p w:rsidR="00F04EEF" w:rsidRDefault="0099351E">
            <w:pPr>
              <w:tabs>
                <w:tab w:val="left" w:pos="1134"/>
              </w:tabs>
            </w:pPr>
            <w:r>
              <w:t>Véronique ROMBAUT</w:t>
            </w:r>
          </w:p>
          <w:p w:rsidR="00F04EEF" w:rsidRDefault="0099351E">
            <w:r>
              <w:t>Isabelle THOMAS</w:t>
            </w:r>
          </w:p>
          <w:p w:rsidR="00F04EEF" w:rsidRDefault="0099351E">
            <w:pPr>
              <w:tabs>
                <w:tab w:val="left" w:pos="1134"/>
              </w:tabs>
            </w:pPr>
            <w:r>
              <w:t>Noémie SOMME</w:t>
            </w:r>
          </w:p>
          <w:p w:rsidR="00F04EEF" w:rsidRDefault="0099351E">
            <w:pPr>
              <w:tabs>
                <w:tab w:val="left" w:pos="1134"/>
              </w:tabs>
            </w:pPr>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84.11</w:t>
            </w:r>
          </w:p>
          <w:p w:rsidR="00F04EEF" w:rsidRDefault="0099351E">
            <w:pPr>
              <w:tabs>
                <w:tab w:val="left" w:pos="1134"/>
              </w:tabs>
              <w:jc w:val="center"/>
            </w:pPr>
            <w:r>
              <w:t>83.99</w:t>
            </w:r>
          </w:p>
          <w:p w:rsidR="00F04EEF" w:rsidRDefault="0099351E">
            <w:pPr>
              <w:tabs>
                <w:tab w:val="left" w:pos="1134"/>
              </w:tabs>
              <w:snapToGrid w:val="0"/>
              <w:jc w:val="center"/>
            </w:pPr>
            <w:r>
              <w:t>88.92</w:t>
            </w:r>
          </w:p>
          <w:p w:rsidR="00F04EEF" w:rsidRDefault="0099351E">
            <w:pPr>
              <w:tabs>
                <w:tab w:val="left" w:pos="1134"/>
              </w:tabs>
              <w:jc w:val="center"/>
            </w:pPr>
            <w:r>
              <w:t>84.01</w:t>
            </w:r>
          </w:p>
          <w:p w:rsidR="00F04EEF" w:rsidRDefault="0099351E">
            <w:pPr>
              <w:tabs>
                <w:tab w:val="left" w:pos="1134"/>
              </w:tabs>
              <w:jc w:val="center"/>
            </w:pPr>
            <w:r>
              <w:t>84.19</w:t>
            </w:r>
          </w:p>
        </w:tc>
      </w:tr>
      <w:tr w:rsidR="00F04EEF">
        <w:trPr>
          <w:trHeight w:val="426"/>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Assistance transfert données électroniques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84.11</w:t>
            </w:r>
          </w:p>
        </w:tc>
      </w:tr>
      <w:tr w:rsidR="00F04EEF">
        <w:trPr>
          <w:trHeight w:val="1088"/>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 xml:space="preserve">Intégrations </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Stéphanie PIRSOUL</w:t>
            </w:r>
          </w:p>
          <w:p w:rsidR="00F04EEF" w:rsidRDefault="0099351E">
            <w:pPr>
              <w:tabs>
                <w:tab w:val="left" w:pos="1134"/>
              </w:tabs>
              <w:snapToGrid w:val="0"/>
            </w:pPr>
            <w:r>
              <w:t>Alae-Eddine ASBAGUI</w:t>
            </w:r>
          </w:p>
          <w:p w:rsidR="00F04EEF" w:rsidRDefault="0099351E">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84.07</w:t>
            </w:r>
          </w:p>
          <w:p w:rsidR="00F04EEF" w:rsidRDefault="0099351E">
            <w:pPr>
              <w:tabs>
                <w:tab w:val="left" w:pos="1134"/>
              </w:tabs>
              <w:snapToGrid w:val="0"/>
              <w:jc w:val="center"/>
            </w:pPr>
            <w:r>
              <w:t>86.20</w:t>
            </w:r>
          </w:p>
          <w:p w:rsidR="00F04EEF" w:rsidRDefault="0099351E">
            <w:pPr>
              <w:tabs>
                <w:tab w:val="left" w:pos="1134"/>
              </w:tabs>
              <w:snapToGrid w:val="0"/>
              <w:jc w:val="center"/>
            </w:pPr>
            <w:r>
              <w:t>84.11</w:t>
            </w:r>
          </w:p>
        </w:tc>
      </w:tr>
      <w:tr w:rsidR="00F04EEF">
        <w:trPr>
          <w:trHeight w:val="641"/>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Changements d’école</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Claudia LEFRERE</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84.00</w:t>
            </w:r>
          </w:p>
        </w:tc>
      </w:tr>
      <w:tr w:rsidR="00F04EEF">
        <w:trPr>
          <w:trHeight w:val="641"/>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Formation en cours de carrière</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Esther RUSURA</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88.96</w:t>
            </w:r>
          </w:p>
        </w:tc>
      </w:tr>
      <w:tr w:rsidR="00F04EEF">
        <w:trPr>
          <w:trHeight w:val="641"/>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Formation initiale des Directeurs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Esther RUSURA</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88.96</w:t>
            </w:r>
          </w:p>
        </w:tc>
      </w:tr>
      <w:tr w:rsidR="00F04EEF">
        <w:trPr>
          <w:trHeight w:val="1028"/>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Plaintes (établissements organisés ET subventionnés par la Fédération Wallonie-Bruxelles)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rPr>
                <w:lang w:val="fr-FR"/>
              </w:rPr>
            </w:pPr>
            <w:r>
              <w:rPr>
                <w:lang w:val="fr-FR"/>
              </w:rPr>
              <w:t>Daphné JOIE</w:t>
            </w:r>
          </w:p>
          <w:p w:rsidR="00F04EEF" w:rsidRDefault="0099351E">
            <w:pPr>
              <w:tabs>
                <w:tab w:val="left" w:pos="1134"/>
              </w:tabs>
              <w:snapToGrid w:val="0"/>
            </w:pPr>
            <w:r>
              <w:t>Françoise FERET</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86.28</w:t>
            </w:r>
          </w:p>
          <w:p w:rsidR="00F04EEF" w:rsidRDefault="0099351E">
            <w:pPr>
              <w:tabs>
                <w:tab w:val="left" w:pos="1134"/>
              </w:tabs>
              <w:snapToGrid w:val="0"/>
              <w:jc w:val="center"/>
            </w:pPr>
            <w:r>
              <w:t>83.97</w:t>
            </w:r>
          </w:p>
        </w:tc>
      </w:tr>
      <w:tr w:rsidR="00F04EEF">
        <w:trPr>
          <w:trHeight w:val="1068"/>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Secrétariat du Conseil Supérieur et de la Commission permanente de l’enseignement fondamental spécialisé</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Patrick MALCOTTE</w:t>
            </w:r>
          </w:p>
          <w:p w:rsidR="00F04EEF" w:rsidRDefault="0099351E">
            <w:pPr>
              <w:tabs>
                <w:tab w:val="left" w:pos="1134"/>
              </w:tabs>
              <w:snapToGrid w:val="0"/>
            </w:pPr>
            <w:r>
              <w:t>(chargé de mission)</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84.27</w:t>
            </w:r>
          </w:p>
        </w:tc>
      </w:tr>
      <w:tr w:rsidR="00F04EEF">
        <w:tc>
          <w:tcPr>
            <w:tcW w:w="4500" w:type="dxa"/>
            <w:tcBorders>
              <w:top w:val="single" w:sz="4" w:space="0" w:color="000000"/>
              <w:left w:val="single" w:sz="4" w:space="0" w:color="000000"/>
              <w:bottom w:val="single" w:sz="4" w:space="0" w:color="000000"/>
            </w:tcBorders>
            <w:vAlign w:val="center"/>
          </w:tcPr>
          <w:p w:rsidR="00F04EEF" w:rsidRDefault="0099351E">
            <w:pPr>
              <w:tabs>
                <w:tab w:val="left" w:pos="1310"/>
              </w:tabs>
              <w:snapToGrid w:val="0"/>
            </w:pPr>
            <w:r>
              <w:t>Secrétariat des Commissions Consultatives et du Conseil de recours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Nathalie DUJARDIN</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88.59</w:t>
            </w:r>
          </w:p>
          <w:p w:rsidR="00F04EEF" w:rsidRDefault="0099351E">
            <w:pPr>
              <w:tabs>
                <w:tab w:val="left" w:pos="1134"/>
              </w:tabs>
              <w:snapToGrid w:val="0"/>
              <w:jc w:val="center"/>
              <w:rPr>
                <w:w w:val="90"/>
              </w:rPr>
            </w:pPr>
            <w:r>
              <w:rPr>
                <w:w w:val="90"/>
              </w:rPr>
              <w:t>0472/94.31.95</w:t>
            </w:r>
          </w:p>
        </w:tc>
      </w:tr>
      <w:tr w:rsidR="00F04EEF">
        <w:trPr>
          <w:trHeight w:val="395"/>
        </w:trPr>
        <w:tc>
          <w:tcPr>
            <w:tcW w:w="4500"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rPr>
                <w:color w:val="000000"/>
              </w:rPr>
            </w:pPr>
            <w:r>
              <w:rPr>
                <w:color w:val="000000"/>
              </w:rPr>
              <w:t>Stages</w:t>
            </w:r>
          </w:p>
        </w:tc>
        <w:tc>
          <w:tcPr>
            <w:tcW w:w="2758"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rPr>
                <w:color w:val="000000"/>
              </w:rPr>
            </w:pPr>
            <w:r>
              <w:rPr>
                <w:color w:val="000000"/>
              </w:rPr>
              <w:t>Christine WILLEMS</w:t>
            </w:r>
          </w:p>
          <w:p w:rsidR="00F04EEF" w:rsidRDefault="0099351E">
            <w:pPr>
              <w:tabs>
                <w:tab w:val="left" w:pos="1134"/>
              </w:tabs>
              <w:snapToGrid w:val="0"/>
              <w:rPr>
                <w:color w:val="000000"/>
              </w:rPr>
            </w:pPr>
            <w:r>
              <w:rPr>
                <w:color w:val="000000"/>
              </w:rPr>
              <w:t>Véronique ROMBAUT</w:t>
            </w:r>
          </w:p>
        </w:tc>
        <w:tc>
          <w:tcPr>
            <w:tcW w:w="1985" w:type="dxa"/>
            <w:tcBorders>
              <w:top w:val="single" w:sz="4" w:space="0" w:color="000000"/>
              <w:left w:val="single" w:sz="4" w:space="0" w:color="auto"/>
              <w:bottom w:val="single" w:sz="4" w:space="0" w:color="auto"/>
              <w:right w:val="single" w:sz="4" w:space="0" w:color="auto"/>
            </w:tcBorders>
            <w:vAlign w:val="center"/>
          </w:tcPr>
          <w:p w:rsidR="00F04EEF" w:rsidRDefault="0099351E">
            <w:pPr>
              <w:tabs>
                <w:tab w:val="left" w:pos="1134"/>
              </w:tabs>
              <w:snapToGrid w:val="0"/>
              <w:jc w:val="center"/>
            </w:pPr>
            <w:r>
              <w:t>84.11</w:t>
            </w:r>
          </w:p>
          <w:p w:rsidR="00F04EEF" w:rsidRDefault="0099351E">
            <w:pPr>
              <w:tabs>
                <w:tab w:val="left" w:pos="1134"/>
              </w:tabs>
              <w:snapToGrid w:val="0"/>
              <w:jc w:val="center"/>
            </w:pPr>
            <w:r>
              <w:t>83.99</w:t>
            </w:r>
          </w:p>
        </w:tc>
      </w:tr>
    </w:tbl>
    <w:p w:rsidR="00F04EEF" w:rsidRDefault="00F04EEF">
      <w:pPr>
        <w:tabs>
          <w:tab w:val="left" w:pos="1134"/>
        </w:tabs>
        <w:jc w:val="both"/>
      </w:pPr>
    </w:p>
    <w:p w:rsidR="00F04EEF" w:rsidRDefault="0099351E">
      <w:pPr>
        <w:pStyle w:val="Titre3"/>
        <w:rPr>
          <w:sz w:val="22"/>
          <w:szCs w:val="22"/>
        </w:rPr>
      </w:pPr>
      <w:bookmarkStart w:id="4209" w:name="_Toc47708666"/>
      <w:r>
        <w:rPr>
          <w:sz w:val="22"/>
          <w:szCs w:val="22"/>
        </w:rPr>
        <w:t xml:space="preserve">5. </w:t>
      </w:r>
      <w:bookmarkStart w:id="4210" w:name="_Toc453314257"/>
      <w:bookmarkStart w:id="4211" w:name="_Toc454980292"/>
      <w:r>
        <w:rPr>
          <w:sz w:val="22"/>
          <w:szCs w:val="22"/>
        </w:rPr>
        <w:t>Budget</w:t>
      </w:r>
      <w:bookmarkEnd w:id="4210"/>
      <w:bookmarkEnd w:id="4211"/>
      <w:bookmarkEnd w:id="4209"/>
    </w:p>
    <w:p w:rsidR="00F04EEF" w:rsidRDefault="00F04EEF">
      <w:pPr>
        <w:tabs>
          <w:tab w:val="left" w:pos="1134"/>
        </w:tabs>
        <w:jc w:val="both"/>
        <w:rPr>
          <w:b/>
          <w:bCs/>
        </w:rPr>
      </w:pPr>
    </w:p>
    <w:tbl>
      <w:tblPr>
        <w:tblW w:w="9243" w:type="dxa"/>
        <w:tblInd w:w="108" w:type="dxa"/>
        <w:tblLayout w:type="fixed"/>
        <w:tblLook w:val="0000" w:firstRow="0" w:lastRow="0" w:firstColumn="0" w:lastColumn="0" w:noHBand="0" w:noVBand="0"/>
      </w:tblPr>
      <w:tblGrid>
        <w:gridCol w:w="4536"/>
        <w:gridCol w:w="2722"/>
        <w:gridCol w:w="1985"/>
      </w:tblGrid>
      <w:tr w:rsidR="00F04EEF">
        <w:trPr>
          <w:trHeight w:val="671"/>
        </w:trPr>
        <w:tc>
          <w:tcPr>
            <w:tcW w:w="4536" w:type="dxa"/>
            <w:tcBorders>
              <w:top w:val="single" w:sz="4" w:space="0" w:color="000000"/>
              <w:left w:val="single" w:sz="4" w:space="0" w:color="000000"/>
              <w:bottom w:val="single" w:sz="4" w:space="0" w:color="000000"/>
            </w:tcBorders>
            <w:shd w:val="clear" w:color="auto" w:fill="0099FF"/>
            <w:vAlign w:val="center"/>
          </w:tcPr>
          <w:p w:rsidR="00F04EEF" w:rsidRDefault="0099351E">
            <w:pPr>
              <w:tabs>
                <w:tab w:val="left" w:pos="1134"/>
              </w:tabs>
              <w:snapToGrid w:val="0"/>
              <w:jc w:val="center"/>
              <w:rPr>
                <w:b/>
              </w:rPr>
            </w:pPr>
            <w:r>
              <w:rPr>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rsidR="00F04EEF" w:rsidRDefault="0099351E">
            <w:pPr>
              <w:snapToGrid w:val="0"/>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F04EEF" w:rsidRDefault="0099351E">
            <w:pPr>
              <w:tabs>
                <w:tab w:val="left" w:pos="1134"/>
              </w:tabs>
              <w:snapToGrid w:val="0"/>
              <w:jc w:val="center"/>
              <w:rPr>
                <w:b/>
                <w:bCs/>
              </w:rPr>
            </w:pPr>
            <w:r>
              <w:rPr>
                <w:b/>
                <w:bCs/>
              </w:rPr>
              <w:t>Tél</w:t>
            </w:r>
          </w:p>
        </w:tc>
      </w:tr>
      <w:tr w:rsidR="00F04EEF">
        <w:trPr>
          <w:trHeight w:val="600"/>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Subventions de fonctionnement</w:t>
            </w:r>
          </w:p>
        </w:tc>
        <w:tc>
          <w:tcPr>
            <w:tcW w:w="2722"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Véronique ROMBAUT</w:t>
            </w:r>
          </w:p>
          <w:p w:rsidR="00F04EEF" w:rsidRDefault="0099351E">
            <w:pPr>
              <w:tabs>
                <w:tab w:val="left" w:pos="1134"/>
              </w:tabs>
            </w:pPr>
            <w: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83.99</w:t>
            </w:r>
          </w:p>
          <w:p w:rsidR="00F04EEF" w:rsidRDefault="0099351E">
            <w:pPr>
              <w:tabs>
                <w:tab w:val="left" w:pos="1134"/>
              </w:tabs>
              <w:jc w:val="center"/>
            </w:pPr>
            <w:r>
              <w:t>84.69</w:t>
            </w:r>
          </w:p>
        </w:tc>
      </w:tr>
      <w:tr w:rsidR="00F04EEF">
        <w:trPr>
          <w:trHeight w:val="602"/>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Subventions pour surveillances de midi</w:t>
            </w:r>
          </w:p>
        </w:tc>
        <w:tc>
          <w:tcPr>
            <w:tcW w:w="2722"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rPr>
                <w:color w:val="000000"/>
                <w:lang w:val="fr-FR"/>
              </w:rPr>
            </w:pPr>
            <w:r>
              <w:rPr>
                <w:color w:val="000000"/>
                <w:lang w:val="fr-FR"/>
              </w:rPr>
              <w:t>Marie BORMANN</w:t>
            </w:r>
          </w:p>
          <w:p w:rsidR="00F04EEF" w:rsidRDefault="0099351E">
            <w:pPr>
              <w:tabs>
                <w:tab w:val="left" w:pos="1134"/>
              </w:tabs>
              <w:snapToGrid w:val="0"/>
              <w:rPr>
                <w:color w:val="000000"/>
                <w:lang w:val="fr-FR"/>
              </w:rPr>
            </w:pPr>
            <w:r>
              <w:rPr>
                <w:color w:val="000000"/>
                <w:lang w:val="fr-FR"/>
              </w:rPr>
              <w:t>Véronique ROMBAUT</w:t>
            </w:r>
          </w:p>
          <w:p w:rsidR="00F04EEF" w:rsidRDefault="0099351E">
            <w:pPr>
              <w:tabs>
                <w:tab w:val="left" w:pos="1134"/>
              </w:tabs>
            </w:pPr>
            <w:r>
              <w:t>Jérôme DEGUELDRE</w:t>
            </w:r>
          </w:p>
        </w:tc>
        <w:tc>
          <w:tcPr>
            <w:tcW w:w="1985" w:type="dxa"/>
            <w:tcBorders>
              <w:top w:val="single" w:sz="4" w:space="0" w:color="000000"/>
              <w:left w:val="single" w:sz="4" w:space="0" w:color="auto"/>
              <w:bottom w:val="single" w:sz="4" w:space="0" w:color="auto"/>
              <w:right w:val="single" w:sz="4" w:space="0" w:color="auto"/>
            </w:tcBorders>
            <w:vAlign w:val="center"/>
          </w:tcPr>
          <w:p w:rsidR="00F04EEF" w:rsidRDefault="0099351E">
            <w:pPr>
              <w:tabs>
                <w:tab w:val="left" w:pos="1134"/>
              </w:tabs>
              <w:snapToGrid w:val="0"/>
              <w:jc w:val="center"/>
              <w:rPr>
                <w:color w:val="000000"/>
              </w:rPr>
            </w:pPr>
            <w:r>
              <w:rPr>
                <w:color w:val="000000"/>
              </w:rPr>
              <w:t>02/413.26.36</w:t>
            </w:r>
          </w:p>
          <w:p w:rsidR="00F04EEF" w:rsidRDefault="0099351E">
            <w:pPr>
              <w:tabs>
                <w:tab w:val="left" w:pos="1134"/>
              </w:tabs>
              <w:snapToGrid w:val="0"/>
              <w:jc w:val="center"/>
              <w:rPr>
                <w:color w:val="000000"/>
              </w:rPr>
            </w:pPr>
            <w:r>
              <w:rPr>
                <w:color w:val="000000"/>
              </w:rPr>
              <w:t>83.99</w:t>
            </w:r>
          </w:p>
          <w:p w:rsidR="00F04EEF" w:rsidRDefault="0099351E">
            <w:pPr>
              <w:tabs>
                <w:tab w:val="left" w:pos="1134"/>
              </w:tabs>
              <w:jc w:val="center"/>
            </w:pPr>
            <w:r>
              <w:t>84.69</w:t>
            </w:r>
          </w:p>
        </w:tc>
      </w:tr>
    </w:tbl>
    <w:p w:rsidR="00F04EEF" w:rsidRDefault="00F04EEF">
      <w:pPr>
        <w:tabs>
          <w:tab w:val="left" w:pos="1134"/>
        </w:tabs>
        <w:jc w:val="both"/>
      </w:pPr>
    </w:p>
    <w:p w:rsidR="00F04EEF" w:rsidRDefault="0099351E">
      <w:pPr>
        <w:pStyle w:val="Titre3"/>
        <w:rPr>
          <w:sz w:val="22"/>
          <w:szCs w:val="22"/>
        </w:rPr>
      </w:pPr>
      <w:bookmarkStart w:id="4212" w:name="_Toc47708667"/>
      <w:r>
        <w:rPr>
          <w:sz w:val="22"/>
          <w:szCs w:val="22"/>
        </w:rPr>
        <w:t xml:space="preserve">6. </w:t>
      </w:r>
      <w:bookmarkStart w:id="4213" w:name="_Toc453314258"/>
      <w:bookmarkStart w:id="4214" w:name="_Toc454980293"/>
      <w:r>
        <w:rPr>
          <w:sz w:val="22"/>
          <w:szCs w:val="22"/>
        </w:rPr>
        <w:t>Demandes de dérogation</w:t>
      </w:r>
      <w:bookmarkEnd w:id="4213"/>
      <w:bookmarkEnd w:id="4214"/>
      <w:bookmarkEnd w:id="4212"/>
    </w:p>
    <w:p w:rsidR="00F04EEF" w:rsidRDefault="00F04EEF">
      <w:pPr>
        <w:tabs>
          <w:tab w:val="left" w:pos="1134"/>
        </w:tabs>
        <w:jc w:val="both"/>
        <w:rPr>
          <w:b/>
          <w:caps/>
          <w:color w:val="0000FF"/>
        </w:rPr>
      </w:pPr>
    </w:p>
    <w:tbl>
      <w:tblPr>
        <w:tblW w:w="9243" w:type="dxa"/>
        <w:tblInd w:w="108" w:type="dxa"/>
        <w:tblLayout w:type="fixed"/>
        <w:tblLook w:val="0000" w:firstRow="0" w:lastRow="0" w:firstColumn="0" w:lastColumn="0" w:noHBand="0" w:noVBand="0"/>
      </w:tblPr>
      <w:tblGrid>
        <w:gridCol w:w="4536"/>
        <w:gridCol w:w="2722"/>
        <w:gridCol w:w="1985"/>
      </w:tblGrid>
      <w:tr w:rsidR="00F04EEF">
        <w:trPr>
          <w:trHeight w:val="680"/>
        </w:trPr>
        <w:tc>
          <w:tcPr>
            <w:tcW w:w="4536" w:type="dxa"/>
            <w:tcBorders>
              <w:top w:val="single" w:sz="4" w:space="0" w:color="000000"/>
              <w:left w:val="single" w:sz="4" w:space="0" w:color="000000"/>
              <w:bottom w:val="single" w:sz="4" w:space="0" w:color="000000"/>
            </w:tcBorders>
            <w:shd w:val="clear" w:color="auto" w:fill="0099FF"/>
            <w:vAlign w:val="center"/>
          </w:tcPr>
          <w:p w:rsidR="00F04EEF" w:rsidRDefault="0099351E">
            <w:pPr>
              <w:tabs>
                <w:tab w:val="left" w:pos="1134"/>
              </w:tabs>
              <w:snapToGrid w:val="0"/>
              <w:jc w:val="center"/>
              <w:rPr>
                <w:b/>
              </w:rPr>
            </w:pPr>
            <w:r>
              <w:rPr>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rsidR="00F04EEF" w:rsidRDefault="0099351E">
            <w:pPr>
              <w:snapToGrid w:val="0"/>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F04EEF" w:rsidRDefault="0099351E">
            <w:pPr>
              <w:tabs>
                <w:tab w:val="left" w:pos="1134"/>
              </w:tabs>
              <w:snapToGrid w:val="0"/>
              <w:jc w:val="center"/>
              <w:rPr>
                <w:b/>
                <w:bCs/>
              </w:rPr>
            </w:pPr>
            <w:r>
              <w:rPr>
                <w:b/>
                <w:bCs/>
              </w:rPr>
              <w:t>Tél</w:t>
            </w:r>
          </w:p>
        </w:tc>
      </w:tr>
      <w:tr w:rsidR="00F04EEF">
        <w:trPr>
          <w:trHeight w:val="397"/>
        </w:trPr>
        <w:tc>
          <w:tcPr>
            <w:tcW w:w="4536" w:type="dxa"/>
            <w:tcBorders>
              <w:top w:val="single" w:sz="4" w:space="0" w:color="000000"/>
              <w:left w:val="single" w:sz="4" w:space="0" w:color="000000"/>
              <w:bottom w:val="single" w:sz="4" w:space="0" w:color="000000"/>
            </w:tcBorders>
            <w:vAlign w:val="center"/>
          </w:tcPr>
          <w:p w:rsidR="00F04EEF" w:rsidRDefault="0099351E">
            <w:pPr>
              <w:snapToGrid w:val="0"/>
            </w:pPr>
            <w:r>
              <w:t>0,25 %</w:t>
            </w:r>
          </w:p>
        </w:tc>
        <w:tc>
          <w:tcPr>
            <w:tcW w:w="2722" w:type="dxa"/>
            <w:tcBorders>
              <w:top w:val="single" w:sz="4" w:space="0" w:color="000000"/>
              <w:left w:val="single" w:sz="4" w:space="0" w:color="000000"/>
              <w:right w:val="single" w:sz="4" w:space="0" w:color="auto"/>
            </w:tcBorders>
            <w:vAlign w:val="center"/>
          </w:tcPr>
          <w:p w:rsidR="00F04EEF" w:rsidRDefault="0099351E">
            <w:pPr>
              <w:tabs>
                <w:tab w:val="left" w:pos="1134"/>
              </w:tabs>
              <w:snapToGrid w:val="0"/>
            </w:pPr>
            <w:r>
              <w:t>Christine WILLEMS</w:t>
            </w:r>
          </w:p>
        </w:tc>
        <w:tc>
          <w:tcPr>
            <w:tcW w:w="1985" w:type="dxa"/>
            <w:tcBorders>
              <w:top w:val="single" w:sz="4" w:space="0" w:color="000000"/>
              <w:left w:val="single" w:sz="4" w:space="0" w:color="auto"/>
              <w:right w:val="single" w:sz="4" w:space="0" w:color="auto"/>
            </w:tcBorders>
            <w:vAlign w:val="center"/>
          </w:tcPr>
          <w:p w:rsidR="00F04EEF" w:rsidRDefault="0099351E">
            <w:pPr>
              <w:tabs>
                <w:tab w:val="left" w:pos="1134"/>
              </w:tabs>
              <w:snapToGrid w:val="0"/>
              <w:jc w:val="center"/>
            </w:pPr>
            <w:r>
              <w:t>84.11</w:t>
            </w:r>
          </w:p>
        </w:tc>
      </w:tr>
      <w:tr w:rsidR="00F04EEF">
        <w:trPr>
          <w:trHeight w:val="343"/>
        </w:trPr>
        <w:tc>
          <w:tcPr>
            <w:tcW w:w="4536" w:type="dxa"/>
            <w:tcBorders>
              <w:top w:val="single" w:sz="4" w:space="0" w:color="000000"/>
              <w:left w:val="single" w:sz="4" w:space="0" w:color="000000"/>
              <w:bottom w:val="single" w:sz="2" w:space="0" w:color="auto"/>
            </w:tcBorders>
            <w:vAlign w:val="center"/>
          </w:tcPr>
          <w:p w:rsidR="00F04EEF" w:rsidRDefault="0099351E">
            <w:pPr>
              <w:snapToGrid w:val="0"/>
            </w:pPr>
            <w:r>
              <w:t>Paramédical</w:t>
            </w:r>
          </w:p>
        </w:tc>
        <w:tc>
          <w:tcPr>
            <w:tcW w:w="2722" w:type="dxa"/>
            <w:vMerge w:val="restart"/>
            <w:tcBorders>
              <w:top w:val="single" w:sz="4" w:space="0" w:color="000000"/>
              <w:left w:val="single" w:sz="4" w:space="0" w:color="000000"/>
              <w:right w:val="single" w:sz="4" w:space="0" w:color="auto"/>
            </w:tcBorders>
            <w:vAlign w:val="center"/>
          </w:tcPr>
          <w:p w:rsidR="00F04EEF" w:rsidRDefault="0099351E">
            <w:r>
              <w:t>Véronique ROMBAUT</w:t>
            </w:r>
          </w:p>
        </w:tc>
        <w:tc>
          <w:tcPr>
            <w:tcW w:w="1985" w:type="dxa"/>
            <w:vMerge w:val="restart"/>
            <w:tcBorders>
              <w:top w:val="single" w:sz="4" w:space="0" w:color="000000"/>
              <w:left w:val="single" w:sz="4" w:space="0" w:color="auto"/>
              <w:right w:val="single" w:sz="4" w:space="0" w:color="auto"/>
            </w:tcBorders>
            <w:vAlign w:val="center"/>
          </w:tcPr>
          <w:p w:rsidR="00F04EEF" w:rsidRDefault="0099351E">
            <w:pPr>
              <w:tabs>
                <w:tab w:val="left" w:pos="1134"/>
              </w:tabs>
              <w:jc w:val="center"/>
            </w:pPr>
            <w:r>
              <w:t>83.99</w:t>
            </w:r>
          </w:p>
        </w:tc>
      </w:tr>
      <w:tr w:rsidR="00F04EEF">
        <w:trPr>
          <w:trHeight w:val="390"/>
        </w:trPr>
        <w:tc>
          <w:tcPr>
            <w:tcW w:w="4536" w:type="dxa"/>
            <w:tcBorders>
              <w:top w:val="single" w:sz="2" w:space="0" w:color="auto"/>
              <w:left w:val="single" w:sz="4" w:space="0" w:color="000000"/>
              <w:bottom w:val="single" w:sz="4" w:space="0" w:color="000000"/>
            </w:tcBorders>
            <w:vAlign w:val="center"/>
          </w:tcPr>
          <w:p w:rsidR="00F04EEF" w:rsidRDefault="0099351E">
            <w:pPr>
              <w:snapToGrid w:val="0"/>
            </w:pPr>
            <w:r>
              <w:t>Recouvrement de la qualité d’élève régulier</w:t>
            </w:r>
          </w:p>
        </w:tc>
        <w:tc>
          <w:tcPr>
            <w:tcW w:w="2722" w:type="dxa"/>
            <w:vMerge/>
            <w:tcBorders>
              <w:left w:val="single" w:sz="4" w:space="0" w:color="000000"/>
              <w:bottom w:val="single" w:sz="4" w:space="0" w:color="auto"/>
              <w:right w:val="single" w:sz="4" w:space="0" w:color="auto"/>
            </w:tcBorders>
            <w:vAlign w:val="center"/>
          </w:tcPr>
          <w:p w:rsidR="00F04EEF" w:rsidRDefault="00F04EEF"/>
        </w:tc>
        <w:tc>
          <w:tcPr>
            <w:tcW w:w="1985" w:type="dxa"/>
            <w:vMerge/>
            <w:tcBorders>
              <w:left w:val="single" w:sz="4" w:space="0" w:color="auto"/>
              <w:bottom w:val="single" w:sz="4" w:space="0" w:color="auto"/>
              <w:right w:val="single" w:sz="4" w:space="0" w:color="auto"/>
            </w:tcBorders>
            <w:vAlign w:val="center"/>
          </w:tcPr>
          <w:p w:rsidR="00F04EEF" w:rsidRDefault="00F04EEF">
            <w:pPr>
              <w:tabs>
                <w:tab w:val="left" w:pos="1134"/>
              </w:tabs>
              <w:jc w:val="center"/>
            </w:pPr>
          </w:p>
        </w:tc>
      </w:tr>
      <w:tr w:rsidR="00F04EEF">
        <w:trPr>
          <w:trHeight w:val="377"/>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Agé de moins de 2 ans et demi</w:t>
            </w:r>
          </w:p>
        </w:tc>
        <w:tc>
          <w:tcPr>
            <w:tcW w:w="2722" w:type="dxa"/>
            <w:vMerge w:val="restart"/>
            <w:tcBorders>
              <w:left w:val="single" w:sz="4" w:space="0" w:color="000000"/>
              <w:right w:val="single" w:sz="4" w:space="0" w:color="auto"/>
            </w:tcBorders>
            <w:vAlign w:val="center"/>
          </w:tcPr>
          <w:p w:rsidR="00F04EEF" w:rsidRDefault="0099351E">
            <w:pPr>
              <w:tabs>
                <w:tab w:val="left" w:pos="1134"/>
              </w:tabs>
              <w:snapToGrid w:val="0"/>
            </w:pPr>
            <w:r>
              <w:rPr>
                <w:lang w:val="nl-NL"/>
              </w:rPr>
              <w:t>Alae-Eddine ASGAGUI</w:t>
            </w:r>
          </w:p>
          <w:p w:rsidR="00F04EEF" w:rsidRDefault="00F04EEF">
            <w:pPr>
              <w:tabs>
                <w:tab w:val="left" w:pos="1134"/>
              </w:tabs>
              <w:snapToGrid w:val="0"/>
            </w:pPr>
          </w:p>
        </w:tc>
        <w:tc>
          <w:tcPr>
            <w:tcW w:w="1985" w:type="dxa"/>
            <w:vMerge w:val="restart"/>
            <w:tcBorders>
              <w:left w:val="single" w:sz="4" w:space="0" w:color="auto"/>
              <w:right w:val="single" w:sz="4" w:space="0" w:color="auto"/>
            </w:tcBorders>
            <w:vAlign w:val="center"/>
          </w:tcPr>
          <w:p w:rsidR="00F04EEF" w:rsidRDefault="0099351E">
            <w:pPr>
              <w:tabs>
                <w:tab w:val="left" w:pos="1134"/>
              </w:tabs>
              <w:snapToGrid w:val="0"/>
              <w:jc w:val="center"/>
            </w:pPr>
            <w:r>
              <w:t>86.20</w:t>
            </w:r>
          </w:p>
          <w:p w:rsidR="00F04EEF" w:rsidRDefault="00F04EEF">
            <w:pPr>
              <w:tabs>
                <w:tab w:val="left" w:pos="1134"/>
              </w:tabs>
              <w:snapToGrid w:val="0"/>
              <w:jc w:val="center"/>
            </w:pPr>
          </w:p>
        </w:tc>
      </w:tr>
      <w:tr w:rsidR="00F04EEF">
        <w:trPr>
          <w:trHeight w:val="377"/>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Agé de moins de 5 ans</w:t>
            </w:r>
          </w:p>
        </w:tc>
        <w:tc>
          <w:tcPr>
            <w:tcW w:w="2722" w:type="dxa"/>
            <w:vMerge/>
            <w:tcBorders>
              <w:left w:val="single" w:sz="4" w:space="0" w:color="000000"/>
              <w:right w:val="single" w:sz="4" w:space="0" w:color="auto"/>
            </w:tcBorders>
            <w:vAlign w:val="center"/>
          </w:tcPr>
          <w:p w:rsidR="00F04EEF" w:rsidRDefault="00F04EEF">
            <w:pPr>
              <w:tabs>
                <w:tab w:val="left" w:pos="1134"/>
              </w:tabs>
              <w:snapToGrid w:val="0"/>
            </w:pPr>
          </w:p>
        </w:tc>
        <w:tc>
          <w:tcPr>
            <w:tcW w:w="1985" w:type="dxa"/>
            <w:vMerge/>
            <w:tcBorders>
              <w:left w:val="single" w:sz="4" w:space="0" w:color="auto"/>
              <w:right w:val="single" w:sz="4" w:space="0" w:color="auto"/>
            </w:tcBorders>
            <w:vAlign w:val="center"/>
          </w:tcPr>
          <w:p w:rsidR="00F04EEF" w:rsidRDefault="00F04EEF">
            <w:pPr>
              <w:tabs>
                <w:tab w:val="left" w:pos="1134"/>
              </w:tabs>
              <w:snapToGrid w:val="0"/>
              <w:jc w:val="center"/>
            </w:pPr>
          </w:p>
        </w:tc>
      </w:tr>
      <w:tr w:rsidR="00F04EEF">
        <w:trPr>
          <w:trHeight w:val="377"/>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Forme 4 (article 63)</w:t>
            </w:r>
          </w:p>
        </w:tc>
        <w:tc>
          <w:tcPr>
            <w:tcW w:w="2722" w:type="dxa"/>
            <w:vMerge/>
            <w:tcBorders>
              <w:left w:val="single" w:sz="4" w:space="0" w:color="000000"/>
              <w:bottom w:val="single" w:sz="4" w:space="0" w:color="000000"/>
              <w:right w:val="single" w:sz="4" w:space="0" w:color="auto"/>
            </w:tcBorders>
            <w:vAlign w:val="center"/>
          </w:tcPr>
          <w:p w:rsidR="00F04EEF" w:rsidRDefault="00F04EEF">
            <w:pPr>
              <w:tabs>
                <w:tab w:val="left" w:pos="1134"/>
              </w:tabs>
              <w:snapToGrid w:val="0"/>
            </w:pPr>
          </w:p>
        </w:tc>
        <w:tc>
          <w:tcPr>
            <w:tcW w:w="1985" w:type="dxa"/>
            <w:vMerge/>
            <w:tcBorders>
              <w:left w:val="single" w:sz="4" w:space="0" w:color="auto"/>
              <w:bottom w:val="single" w:sz="4" w:space="0" w:color="000000"/>
              <w:right w:val="single" w:sz="4" w:space="0" w:color="auto"/>
            </w:tcBorders>
            <w:vAlign w:val="center"/>
          </w:tcPr>
          <w:p w:rsidR="00F04EEF" w:rsidRDefault="00F04EEF">
            <w:pPr>
              <w:tabs>
                <w:tab w:val="left" w:pos="1134"/>
              </w:tabs>
              <w:snapToGrid w:val="0"/>
              <w:jc w:val="center"/>
            </w:pPr>
          </w:p>
        </w:tc>
      </w:tr>
      <w:tr w:rsidR="00F04EEF">
        <w:trPr>
          <w:trHeight w:val="377"/>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Agé de plus de 21 ans</w:t>
            </w:r>
            <w:r>
              <w:rPr>
                <w:b/>
              </w:rPr>
              <w:t xml:space="preserve"> non</w:t>
            </w:r>
            <w:r>
              <w:t xml:space="preserve"> pédagogique</w:t>
            </w:r>
          </w:p>
        </w:tc>
        <w:tc>
          <w:tcPr>
            <w:tcW w:w="2722" w:type="dxa"/>
            <w:vMerge w:val="restart"/>
            <w:tcBorders>
              <w:left w:val="single" w:sz="4" w:space="0" w:color="000000"/>
              <w:right w:val="single" w:sz="4" w:space="0" w:color="auto"/>
            </w:tcBorders>
            <w:vAlign w:val="center"/>
          </w:tcPr>
          <w:p w:rsidR="00F04EEF" w:rsidRDefault="0099351E">
            <w:pPr>
              <w:tabs>
                <w:tab w:val="left" w:pos="1134"/>
              </w:tabs>
              <w:snapToGrid w:val="0"/>
              <w:rPr>
                <w:lang w:val="nl-NL"/>
              </w:rPr>
            </w:pPr>
            <w:r>
              <w:rPr>
                <w:lang w:val="nl-NL"/>
              </w:rPr>
              <w:t>Alae-Eddine ASBAGUI</w:t>
            </w:r>
          </w:p>
          <w:p w:rsidR="00F04EEF" w:rsidRDefault="00F04EEF">
            <w:pPr>
              <w:tabs>
                <w:tab w:val="left" w:pos="1134"/>
              </w:tabs>
              <w:snapToGrid w:val="0"/>
            </w:pPr>
          </w:p>
        </w:tc>
        <w:tc>
          <w:tcPr>
            <w:tcW w:w="1985" w:type="dxa"/>
            <w:vMerge w:val="restart"/>
            <w:tcBorders>
              <w:left w:val="single" w:sz="4" w:space="0" w:color="auto"/>
              <w:right w:val="single" w:sz="4" w:space="0" w:color="auto"/>
            </w:tcBorders>
            <w:vAlign w:val="center"/>
          </w:tcPr>
          <w:p w:rsidR="00F04EEF" w:rsidRDefault="0099351E">
            <w:pPr>
              <w:tabs>
                <w:tab w:val="left" w:pos="1134"/>
              </w:tabs>
              <w:snapToGrid w:val="0"/>
              <w:jc w:val="center"/>
            </w:pPr>
            <w:r>
              <w:t>86.20</w:t>
            </w:r>
          </w:p>
          <w:p w:rsidR="00F04EEF" w:rsidRDefault="00F04EEF">
            <w:pPr>
              <w:tabs>
                <w:tab w:val="left" w:pos="1134"/>
              </w:tabs>
              <w:snapToGrid w:val="0"/>
              <w:jc w:val="center"/>
            </w:pPr>
          </w:p>
        </w:tc>
      </w:tr>
      <w:tr w:rsidR="00F04EEF">
        <w:trPr>
          <w:trHeight w:val="515"/>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Agé de plus de 21 ans pédagogique</w:t>
            </w:r>
          </w:p>
        </w:tc>
        <w:tc>
          <w:tcPr>
            <w:tcW w:w="2722" w:type="dxa"/>
            <w:vMerge/>
            <w:tcBorders>
              <w:left w:val="single" w:sz="4" w:space="0" w:color="000000"/>
              <w:bottom w:val="single" w:sz="4" w:space="0" w:color="000000"/>
              <w:right w:val="single" w:sz="4" w:space="0" w:color="auto"/>
            </w:tcBorders>
            <w:vAlign w:val="center"/>
          </w:tcPr>
          <w:p w:rsidR="00F04EEF" w:rsidRDefault="00F04EEF">
            <w:pPr>
              <w:tabs>
                <w:tab w:val="left" w:pos="1134"/>
              </w:tabs>
              <w:snapToGrid w:val="0"/>
            </w:pPr>
          </w:p>
        </w:tc>
        <w:tc>
          <w:tcPr>
            <w:tcW w:w="1985" w:type="dxa"/>
            <w:vMerge/>
            <w:tcBorders>
              <w:left w:val="single" w:sz="4" w:space="0" w:color="auto"/>
              <w:bottom w:val="single" w:sz="4" w:space="0" w:color="000000"/>
              <w:right w:val="single" w:sz="4" w:space="0" w:color="auto"/>
            </w:tcBorders>
            <w:vAlign w:val="center"/>
          </w:tcPr>
          <w:p w:rsidR="00F04EEF" w:rsidRDefault="00F04EEF">
            <w:pPr>
              <w:tabs>
                <w:tab w:val="left" w:pos="1134"/>
              </w:tabs>
              <w:snapToGrid w:val="0"/>
              <w:jc w:val="center"/>
              <w:rPr>
                <w:color w:val="000000"/>
              </w:rPr>
            </w:pPr>
          </w:p>
        </w:tc>
      </w:tr>
      <w:tr w:rsidR="00F04EEF">
        <w:trPr>
          <w:trHeight w:val="967"/>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rPr>
                <w:color w:val="000000"/>
              </w:rPr>
            </w:pPr>
            <w:r>
              <w:rPr>
                <w:color w:val="000000"/>
              </w:rPr>
              <w:t>Jour de fermeture exceptionnel</w:t>
            </w:r>
          </w:p>
        </w:tc>
        <w:tc>
          <w:tcPr>
            <w:tcW w:w="2722" w:type="dxa"/>
            <w:tcBorders>
              <w:left w:val="single" w:sz="4" w:space="0" w:color="000000"/>
              <w:bottom w:val="single" w:sz="4" w:space="0" w:color="000000"/>
              <w:right w:val="single" w:sz="4" w:space="0" w:color="auto"/>
            </w:tcBorders>
            <w:vAlign w:val="center"/>
          </w:tcPr>
          <w:p w:rsidR="00F04EEF" w:rsidRDefault="0099351E">
            <w:pPr>
              <w:tabs>
                <w:tab w:val="left" w:pos="1134"/>
              </w:tabs>
              <w:snapToGrid w:val="0"/>
            </w:pPr>
            <w:r>
              <w:t>Véronique ROMBAUT</w:t>
            </w:r>
          </w:p>
        </w:tc>
        <w:tc>
          <w:tcPr>
            <w:tcW w:w="1985" w:type="dxa"/>
            <w:tcBorders>
              <w:left w:val="single" w:sz="4" w:space="0" w:color="auto"/>
              <w:bottom w:val="single" w:sz="4" w:space="0" w:color="auto"/>
              <w:right w:val="single" w:sz="4" w:space="0" w:color="auto"/>
            </w:tcBorders>
            <w:vAlign w:val="center"/>
          </w:tcPr>
          <w:p w:rsidR="00F04EEF" w:rsidRDefault="0099351E">
            <w:pPr>
              <w:tabs>
                <w:tab w:val="left" w:pos="1134"/>
              </w:tabs>
              <w:snapToGrid w:val="0"/>
              <w:jc w:val="center"/>
            </w:pPr>
            <w:r>
              <w:t>83.99</w:t>
            </w:r>
          </w:p>
        </w:tc>
      </w:tr>
    </w:tbl>
    <w:p w:rsidR="00F04EEF" w:rsidRDefault="00F04EEF">
      <w:pPr>
        <w:tabs>
          <w:tab w:val="left" w:pos="1134"/>
        </w:tabs>
        <w:jc w:val="both"/>
      </w:pPr>
    </w:p>
    <w:p w:rsidR="00F04EEF" w:rsidRDefault="0099351E">
      <w:pPr>
        <w:pStyle w:val="Titre3"/>
        <w:rPr>
          <w:sz w:val="22"/>
          <w:szCs w:val="22"/>
        </w:rPr>
      </w:pPr>
      <w:bookmarkStart w:id="4215" w:name="_Toc47708668"/>
      <w:r>
        <w:rPr>
          <w:sz w:val="22"/>
          <w:szCs w:val="22"/>
        </w:rPr>
        <w:t xml:space="preserve">7. </w:t>
      </w:r>
      <w:bookmarkStart w:id="4216" w:name="_Toc453314259"/>
      <w:bookmarkStart w:id="4217" w:name="_Toc454980294"/>
      <w:r>
        <w:rPr>
          <w:sz w:val="22"/>
          <w:szCs w:val="22"/>
        </w:rPr>
        <w:t>Enseignement secondaire spécialisé</w:t>
      </w:r>
      <w:bookmarkEnd w:id="4216"/>
      <w:bookmarkEnd w:id="4217"/>
      <w:bookmarkEnd w:id="4215"/>
    </w:p>
    <w:p w:rsidR="00F04EEF" w:rsidRDefault="00F04EEF">
      <w:pPr>
        <w:tabs>
          <w:tab w:val="left" w:pos="1134"/>
        </w:tabs>
        <w:jc w:val="both"/>
        <w:rPr>
          <w:b/>
          <w:caps/>
          <w:color w:val="0000FF"/>
        </w:rPr>
      </w:pPr>
    </w:p>
    <w:tbl>
      <w:tblPr>
        <w:tblW w:w="9243" w:type="dxa"/>
        <w:tblInd w:w="108" w:type="dxa"/>
        <w:tblLayout w:type="fixed"/>
        <w:tblLook w:val="0000" w:firstRow="0" w:lastRow="0" w:firstColumn="0" w:lastColumn="0" w:noHBand="0" w:noVBand="0"/>
      </w:tblPr>
      <w:tblGrid>
        <w:gridCol w:w="4536"/>
        <w:gridCol w:w="2722"/>
        <w:gridCol w:w="1985"/>
      </w:tblGrid>
      <w:tr w:rsidR="00F04EEF">
        <w:trPr>
          <w:trHeight w:val="255"/>
        </w:trPr>
        <w:tc>
          <w:tcPr>
            <w:tcW w:w="4536" w:type="dxa"/>
            <w:tcBorders>
              <w:top w:val="single" w:sz="4" w:space="0" w:color="000000"/>
              <w:left w:val="single" w:sz="4" w:space="0" w:color="000000"/>
              <w:bottom w:val="single" w:sz="4" w:space="0" w:color="000000"/>
            </w:tcBorders>
            <w:shd w:val="clear" w:color="auto" w:fill="0099FF"/>
            <w:vAlign w:val="center"/>
          </w:tcPr>
          <w:p w:rsidR="00F04EEF" w:rsidRDefault="0099351E">
            <w:pPr>
              <w:tabs>
                <w:tab w:val="left" w:pos="1134"/>
              </w:tabs>
              <w:snapToGrid w:val="0"/>
              <w:jc w:val="center"/>
              <w:rPr>
                <w:b/>
              </w:rPr>
            </w:pPr>
            <w:r>
              <w:rPr>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rsidR="00F04EEF" w:rsidRDefault="0099351E">
            <w:pPr>
              <w:snapToGrid w:val="0"/>
              <w:ind w:right="-108"/>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F04EEF" w:rsidRDefault="0099351E">
            <w:pPr>
              <w:tabs>
                <w:tab w:val="left" w:pos="1134"/>
              </w:tabs>
              <w:snapToGrid w:val="0"/>
              <w:jc w:val="center"/>
              <w:rPr>
                <w:b/>
                <w:bCs/>
              </w:rPr>
            </w:pPr>
            <w:r>
              <w:rPr>
                <w:b/>
                <w:bCs/>
              </w:rPr>
              <w:t>Tél</w:t>
            </w:r>
          </w:p>
        </w:tc>
      </w:tr>
      <w:tr w:rsidR="00F04EEF">
        <w:trPr>
          <w:trHeight w:val="387"/>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Structures du secondaire</w:t>
            </w:r>
          </w:p>
        </w:tc>
        <w:tc>
          <w:tcPr>
            <w:tcW w:w="2722" w:type="dxa"/>
            <w:tcBorders>
              <w:top w:val="single" w:sz="4" w:space="0" w:color="000000"/>
              <w:left w:val="single" w:sz="4" w:space="0" w:color="000000"/>
              <w:bottom w:val="single" w:sz="4" w:space="0" w:color="000000"/>
              <w:right w:val="single" w:sz="4" w:space="0" w:color="auto"/>
            </w:tcBorders>
            <w:vAlign w:val="center"/>
          </w:tcPr>
          <w:p w:rsidR="00F04EEF" w:rsidRDefault="0099351E">
            <w:pPr>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84.11</w:t>
            </w:r>
          </w:p>
        </w:tc>
      </w:tr>
      <w:tr w:rsidR="00F04EEF">
        <w:trPr>
          <w:trHeight w:val="369"/>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Grilles-horaire</w:t>
            </w:r>
          </w:p>
        </w:tc>
        <w:tc>
          <w:tcPr>
            <w:tcW w:w="2722"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134"/>
              </w:tabs>
              <w:snapToGrid w:val="0"/>
              <w:jc w:val="center"/>
            </w:pPr>
            <w:r>
              <w:t>84.11</w:t>
            </w:r>
          </w:p>
        </w:tc>
      </w:tr>
      <w:tr w:rsidR="00F04EEF">
        <w:trPr>
          <w:trHeight w:val="843"/>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Composition des jurys de qualification, procès-verbaux et certificats de qualification de la forme 3</w:t>
            </w:r>
          </w:p>
        </w:tc>
        <w:tc>
          <w:tcPr>
            <w:tcW w:w="2722"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rPr>
                <w:lang w:val="nl-NL"/>
              </w:rPr>
            </w:pPr>
            <w:r>
              <w:t>Marie BORMANN</w:t>
            </w:r>
          </w:p>
        </w:tc>
        <w:tc>
          <w:tcPr>
            <w:tcW w:w="1985" w:type="dxa"/>
            <w:tcBorders>
              <w:top w:val="single" w:sz="4" w:space="0" w:color="000000"/>
              <w:left w:val="single" w:sz="4" w:space="0" w:color="auto"/>
              <w:bottom w:val="single" w:sz="4" w:space="0" w:color="000000"/>
              <w:right w:val="single" w:sz="4" w:space="0" w:color="auto"/>
            </w:tcBorders>
            <w:vAlign w:val="center"/>
          </w:tcPr>
          <w:p w:rsidR="00F04EEF" w:rsidRDefault="0099351E">
            <w:pPr>
              <w:tabs>
                <w:tab w:val="left" w:pos="1336"/>
              </w:tabs>
              <w:snapToGrid w:val="0"/>
              <w:jc w:val="center"/>
            </w:pPr>
            <w:r>
              <w:t>02/413.26.36</w:t>
            </w:r>
          </w:p>
        </w:tc>
      </w:tr>
      <w:tr w:rsidR="00F04EEF">
        <w:trPr>
          <w:trHeight w:val="351"/>
        </w:trPr>
        <w:tc>
          <w:tcPr>
            <w:tcW w:w="4536" w:type="dxa"/>
            <w:tcBorders>
              <w:top w:val="single" w:sz="4" w:space="0" w:color="000000"/>
              <w:left w:val="single" w:sz="4" w:space="0" w:color="000000"/>
              <w:bottom w:val="single" w:sz="4" w:space="0" w:color="000000"/>
            </w:tcBorders>
            <w:vAlign w:val="center"/>
          </w:tcPr>
          <w:p w:rsidR="00F04EEF" w:rsidRDefault="0099351E">
            <w:pPr>
              <w:tabs>
                <w:tab w:val="left" w:pos="1134"/>
              </w:tabs>
              <w:snapToGrid w:val="0"/>
            </w:pPr>
            <w:r>
              <w:t>Certificats d’enseignement secondaire supérieur, certificats d’études de 6</w:t>
            </w:r>
            <w:r>
              <w:rPr>
                <w:vertAlign w:val="superscript"/>
              </w:rPr>
              <w:t>ème</w:t>
            </w:r>
            <w:r>
              <w:t xml:space="preserve"> et 7</w:t>
            </w:r>
            <w:r>
              <w:rPr>
                <w:vertAlign w:val="superscript"/>
              </w:rPr>
              <w:t>ème</w:t>
            </w:r>
            <w:r>
              <w:t>, certificats de qualification de 6</w:t>
            </w:r>
            <w:r>
              <w:rPr>
                <w:vertAlign w:val="superscript"/>
              </w:rPr>
              <w:t>ème</w:t>
            </w:r>
            <w:r>
              <w:t xml:space="preserve"> et 7</w:t>
            </w:r>
            <w:r>
              <w:rPr>
                <w:vertAlign w:val="superscript"/>
              </w:rPr>
              <w:t>ème</w:t>
            </w:r>
            <w:r>
              <w:t xml:space="preserve"> de l’enseignement de secondaire spécialisé de forme 4</w:t>
            </w:r>
          </w:p>
        </w:tc>
        <w:tc>
          <w:tcPr>
            <w:tcW w:w="2722" w:type="dxa"/>
            <w:tcBorders>
              <w:top w:val="single" w:sz="4" w:space="0" w:color="000000"/>
              <w:left w:val="single" w:sz="4" w:space="0" w:color="000000"/>
              <w:bottom w:val="single" w:sz="4" w:space="0" w:color="000000"/>
              <w:right w:val="single" w:sz="4" w:space="0" w:color="auto"/>
            </w:tcBorders>
            <w:vAlign w:val="center"/>
          </w:tcPr>
          <w:p w:rsidR="00F04EEF" w:rsidRDefault="0099351E">
            <w:pPr>
              <w:tabs>
                <w:tab w:val="left" w:pos="1134"/>
              </w:tabs>
              <w:snapToGrid w:val="0"/>
              <w:rPr>
                <w:lang w:val="nl-NL"/>
              </w:rPr>
            </w:pPr>
            <w:r>
              <w:rPr>
                <w:lang w:val="nl-NL"/>
              </w:rPr>
              <w:t>Marie BORMANN</w:t>
            </w:r>
          </w:p>
          <w:p w:rsidR="00F04EEF" w:rsidRDefault="00F04EEF">
            <w:pPr>
              <w:tabs>
                <w:tab w:val="left" w:pos="1134"/>
              </w:tabs>
              <w:snapToGrid w:val="0"/>
              <w:rPr>
                <w:lang w:val="nl-NL"/>
              </w:rPr>
            </w:pPr>
          </w:p>
        </w:tc>
        <w:tc>
          <w:tcPr>
            <w:tcW w:w="1985" w:type="dxa"/>
            <w:tcBorders>
              <w:top w:val="single" w:sz="4" w:space="0" w:color="000000"/>
              <w:left w:val="single" w:sz="4" w:space="0" w:color="auto"/>
              <w:bottom w:val="single" w:sz="4" w:space="0" w:color="auto"/>
              <w:right w:val="single" w:sz="4" w:space="0" w:color="auto"/>
            </w:tcBorders>
            <w:vAlign w:val="center"/>
          </w:tcPr>
          <w:p w:rsidR="00F04EEF" w:rsidRDefault="0099351E">
            <w:pPr>
              <w:tabs>
                <w:tab w:val="left" w:pos="1134"/>
              </w:tabs>
              <w:snapToGrid w:val="0"/>
              <w:jc w:val="center"/>
            </w:pPr>
            <w:r>
              <w:t>02/413.26.36</w:t>
            </w:r>
          </w:p>
        </w:tc>
      </w:tr>
      <w:tr w:rsidR="00F04EEF">
        <w:trPr>
          <w:trHeight w:val="351"/>
        </w:trPr>
        <w:tc>
          <w:tcPr>
            <w:tcW w:w="4536" w:type="dxa"/>
            <w:tcBorders>
              <w:top w:val="single" w:sz="4" w:space="0" w:color="000000"/>
              <w:left w:val="single" w:sz="4" w:space="0" w:color="000000"/>
              <w:bottom w:val="single" w:sz="4" w:space="0" w:color="000000"/>
            </w:tcBorders>
            <w:vAlign w:val="center"/>
          </w:tcPr>
          <w:p w:rsidR="00F04EEF" w:rsidRDefault="00F04EEF">
            <w:pPr>
              <w:tabs>
                <w:tab w:val="left" w:pos="1134"/>
              </w:tabs>
              <w:snapToGrid w:val="0"/>
            </w:pPr>
          </w:p>
        </w:tc>
        <w:tc>
          <w:tcPr>
            <w:tcW w:w="4707" w:type="dxa"/>
            <w:gridSpan w:val="2"/>
            <w:tcBorders>
              <w:top w:val="single" w:sz="4" w:space="0" w:color="000000"/>
              <w:left w:val="single" w:sz="4" w:space="0" w:color="000000"/>
              <w:bottom w:val="single" w:sz="4" w:space="0" w:color="000000"/>
              <w:right w:val="single" w:sz="4" w:space="0" w:color="000000"/>
            </w:tcBorders>
            <w:vAlign w:val="center"/>
          </w:tcPr>
          <w:p w:rsidR="00F04EEF" w:rsidRDefault="00F42422">
            <w:pPr>
              <w:tabs>
                <w:tab w:val="left" w:pos="1134"/>
              </w:tabs>
              <w:snapToGrid w:val="0"/>
              <w:jc w:val="center"/>
            </w:pPr>
            <w:hyperlink r:id="rId357" w:history="1">
              <w:r w:rsidR="0099351E">
                <w:rPr>
                  <w:rStyle w:val="Lienhypertexte"/>
                  <w:rFonts w:cstheme="minorBidi"/>
                </w:rPr>
                <w:t>CQspecialise@cfwb.be</w:t>
              </w:r>
            </w:hyperlink>
            <w:r w:rsidR="0099351E">
              <w:t xml:space="preserve"> </w:t>
            </w:r>
          </w:p>
        </w:tc>
      </w:tr>
    </w:tbl>
    <w:p w:rsidR="00F04EEF" w:rsidRDefault="0099351E">
      <w:r>
        <w:br w:type="page"/>
      </w:r>
    </w:p>
    <w:p w:rsidR="00F04EEF" w:rsidRDefault="0099351E">
      <w:pPr>
        <w:pStyle w:val="Titre3"/>
        <w:rPr>
          <w:sz w:val="22"/>
          <w:szCs w:val="22"/>
        </w:rPr>
      </w:pPr>
      <w:bookmarkStart w:id="4218" w:name="_Toc47708669"/>
      <w:r>
        <w:rPr>
          <w:sz w:val="22"/>
          <w:szCs w:val="22"/>
        </w:rPr>
        <w:t xml:space="preserve">8. </w:t>
      </w:r>
      <w:bookmarkStart w:id="4219" w:name="_Toc453314260"/>
      <w:bookmarkStart w:id="4220" w:name="_Toc454980295"/>
      <w:r>
        <w:rPr>
          <w:sz w:val="22"/>
          <w:szCs w:val="22"/>
        </w:rPr>
        <w:t>Gestion des écoles</w:t>
      </w:r>
      <w:bookmarkEnd w:id="4219"/>
      <w:bookmarkEnd w:id="4220"/>
      <w:bookmarkEnd w:id="4218"/>
    </w:p>
    <w:p w:rsidR="00F04EEF" w:rsidRDefault="00F04EEF">
      <w:pPr>
        <w:jc w:val="both"/>
      </w:pPr>
    </w:p>
    <w:tbl>
      <w:tblPr>
        <w:tblW w:w="9243" w:type="dxa"/>
        <w:tblInd w:w="108" w:type="dxa"/>
        <w:tblLayout w:type="fixed"/>
        <w:tblLook w:val="0000" w:firstRow="0" w:lastRow="0" w:firstColumn="0" w:lastColumn="0" w:noHBand="0" w:noVBand="0"/>
      </w:tblPr>
      <w:tblGrid>
        <w:gridCol w:w="4536"/>
        <w:gridCol w:w="2552"/>
        <w:gridCol w:w="2155"/>
      </w:tblGrid>
      <w:tr w:rsidR="00F04EEF">
        <w:trPr>
          <w:trHeight w:val="207"/>
        </w:trPr>
        <w:tc>
          <w:tcPr>
            <w:tcW w:w="4536" w:type="dxa"/>
            <w:tcBorders>
              <w:top w:val="single" w:sz="4" w:space="0" w:color="000000"/>
              <w:left w:val="single" w:sz="4" w:space="0" w:color="000000"/>
              <w:bottom w:val="single" w:sz="4" w:space="0" w:color="000000"/>
            </w:tcBorders>
            <w:shd w:val="clear" w:color="auto" w:fill="0099FF"/>
          </w:tcPr>
          <w:p w:rsidR="00F04EEF" w:rsidRDefault="0099351E">
            <w:pPr>
              <w:tabs>
                <w:tab w:val="left" w:pos="1134"/>
              </w:tabs>
              <w:snapToGrid w:val="0"/>
              <w:jc w:val="center"/>
              <w:rPr>
                <w:b/>
              </w:rPr>
            </w:pPr>
            <w:r>
              <w:rPr>
                <w:b/>
              </w:rPr>
              <w:t>Matière</w:t>
            </w:r>
          </w:p>
        </w:tc>
        <w:tc>
          <w:tcPr>
            <w:tcW w:w="2552" w:type="dxa"/>
            <w:tcBorders>
              <w:top w:val="single" w:sz="4" w:space="0" w:color="000000"/>
              <w:left w:val="single" w:sz="4" w:space="0" w:color="000000"/>
              <w:bottom w:val="single" w:sz="4" w:space="0" w:color="000000"/>
              <w:right w:val="single" w:sz="4" w:space="0" w:color="auto"/>
            </w:tcBorders>
            <w:shd w:val="clear" w:color="auto" w:fill="0099FF"/>
          </w:tcPr>
          <w:p w:rsidR="00F04EEF" w:rsidRDefault="0099351E">
            <w:pPr>
              <w:snapToGrid w:val="0"/>
              <w:jc w:val="center"/>
              <w:rPr>
                <w:b/>
                <w:bCs/>
              </w:rPr>
            </w:pPr>
            <w:r>
              <w:rPr>
                <w:b/>
                <w:bCs/>
              </w:rPr>
              <w:t>Personne de contact</w:t>
            </w:r>
          </w:p>
        </w:tc>
        <w:tc>
          <w:tcPr>
            <w:tcW w:w="2155" w:type="dxa"/>
            <w:tcBorders>
              <w:top w:val="single" w:sz="4" w:space="0" w:color="auto"/>
              <w:left w:val="single" w:sz="4" w:space="0" w:color="auto"/>
              <w:bottom w:val="single" w:sz="4" w:space="0" w:color="000000"/>
              <w:right w:val="single" w:sz="4" w:space="0" w:color="auto"/>
            </w:tcBorders>
            <w:shd w:val="clear" w:color="auto" w:fill="0099FF"/>
          </w:tcPr>
          <w:p w:rsidR="00F04EEF" w:rsidRDefault="0099351E">
            <w:pPr>
              <w:tabs>
                <w:tab w:val="left" w:pos="1134"/>
              </w:tabs>
              <w:snapToGrid w:val="0"/>
              <w:jc w:val="center"/>
              <w:rPr>
                <w:b/>
                <w:bCs/>
              </w:rPr>
            </w:pPr>
            <w:r>
              <w:rPr>
                <w:b/>
                <w:bCs/>
              </w:rPr>
              <w:t>Tél</w:t>
            </w:r>
          </w:p>
        </w:tc>
      </w:tr>
      <w:tr w:rsidR="00F04EEF">
        <w:trPr>
          <w:trHeight w:val="1218"/>
        </w:trPr>
        <w:tc>
          <w:tcPr>
            <w:tcW w:w="4536" w:type="dxa"/>
            <w:tcBorders>
              <w:top w:val="single" w:sz="4" w:space="0" w:color="000000"/>
              <w:left w:val="single" w:sz="4" w:space="0" w:color="000000"/>
              <w:bottom w:val="single" w:sz="4" w:space="0" w:color="000000"/>
            </w:tcBorders>
          </w:tcPr>
          <w:p w:rsidR="00F04EEF" w:rsidRDefault="0099351E">
            <w:pPr>
              <w:tabs>
                <w:tab w:val="left" w:pos="1134"/>
              </w:tabs>
              <w:snapToGrid w:val="0"/>
              <w:jc w:val="both"/>
            </w:pPr>
            <w:r>
              <w:t xml:space="preserve">Gestion des populations scolaires, des attributions, de la signalétique et de la structure des écoles </w:t>
            </w:r>
          </w:p>
        </w:tc>
        <w:tc>
          <w:tcPr>
            <w:tcW w:w="2552" w:type="dxa"/>
            <w:tcBorders>
              <w:top w:val="single" w:sz="4" w:space="0" w:color="000000"/>
              <w:left w:val="single" w:sz="4" w:space="0" w:color="000000"/>
              <w:bottom w:val="single" w:sz="4" w:space="0" w:color="000000"/>
              <w:right w:val="single" w:sz="4" w:space="0" w:color="auto"/>
            </w:tcBorders>
            <w:vAlign w:val="center"/>
          </w:tcPr>
          <w:p w:rsidR="00F04EEF" w:rsidRDefault="0099351E">
            <w:r>
              <w:t>Isabelle THOMAS</w:t>
            </w:r>
          </w:p>
          <w:p w:rsidR="00F04EEF" w:rsidRDefault="0099351E">
            <w:pPr>
              <w:snapToGrid w:val="0"/>
            </w:pPr>
            <w:r>
              <w:t>Noémie SOMME</w:t>
            </w:r>
          </w:p>
          <w:p w:rsidR="00F04EEF" w:rsidRDefault="0099351E">
            <w:pPr>
              <w:snapToGrid w:val="0"/>
            </w:pPr>
            <w:r>
              <w:t>Adeline PETIT</w:t>
            </w:r>
          </w:p>
        </w:tc>
        <w:tc>
          <w:tcPr>
            <w:tcW w:w="2155" w:type="dxa"/>
            <w:tcBorders>
              <w:top w:val="single" w:sz="4" w:space="0" w:color="000000"/>
              <w:left w:val="single" w:sz="4" w:space="0" w:color="auto"/>
              <w:bottom w:val="single" w:sz="4" w:space="0" w:color="auto"/>
              <w:right w:val="single" w:sz="4" w:space="0" w:color="auto"/>
            </w:tcBorders>
            <w:vAlign w:val="center"/>
          </w:tcPr>
          <w:p w:rsidR="00F04EEF" w:rsidRDefault="0099351E">
            <w:pPr>
              <w:tabs>
                <w:tab w:val="left" w:pos="1134"/>
              </w:tabs>
              <w:snapToGrid w:val="0"/>
              <w:jc w:val="center"/>
            </w:pPr>
            <w:r>
              <w:t>88.92</w:t>
            </w:r>
          </w:p>
          <w:p w:rsidR="00F04EEF" w:rsidRDefault="0099351E">
            <w:pPr>
              <w:tabs>
                <w:tab w:val="left" w:pos="1134"/>
              </w:tabs>
              <w:snapToGrid w:val="0"/>
              <w:jc w:val="center"/>
            </w:pPr>
            <w:r>
              <w:t>84.01</w:t>
            </w:r>
          </w:p>
          <w:p w:rsidR="00F04EEF" w:rsidRDefault="0099351E">
            <w:pPr>
              <w:tabs>
                <w:tab w:val="left" w:pos="1134"/>
              </w:tabs>
              <w:snapToGrid w:val="0"/>
              <w:jc w:val="center"/>
            </w:pPr>
            <w:r>
              <w:t>84.19</w:t>
            </w:r>
          </w:p>
        </w:tc>
      </w:tr>
    </w:tbl>
    <w:p w:rsidR="00F04EEF" w:rsidRDefault="00F04EEF">
      <w:pPr>
        <w:jc w:val="both"/>
      </w:pPr>
    </w:p>
    <w:p w:rsidR="00F04EEF" w:rsidRDefault="0099351E">
      <w:pPr>
        <w:pStyle w:val="Titre3"/>
        <w:jc w:val="both"/>
        <w:rPr>
          <w:sz w:val="22"/>
          <w:szCs w:val="22"/>
        </w:rPr>
      </w:pPr>
      <w:bookmarkStart w:id="4221" w:name="_9._Matières_traitées"/>
      <w:bookmarkStart w:id="4222" w:name="_Toc47708670"/>
      <w:bookmarkEnd w:id="4221"/>
      <w:r>
        <w:rPr>
          <w:sz w:val="22"/>
          <w:szCs w:val="22"/>
        </w:rPr>
        <w:t xml:space="preserve">9. </w:t>
      </w:r>
      <w:bookmarkStart w:id="4223" w:name="_Toc453314261"/>
      <w:bookmarkStart w:id="4224" w:name="_Toc454980296"/>
      <w:r>
        <w:rPr>
          <w:sz w:val="22"/>
          <w:szCs w:val="22"/>
        </w:rPr>
        <w:t>Matières traitées par les directions transversales à la Direction générale de l’Enseignement obligatoire</w:t>
      </w:r>
      <w:bookmarkEnd w:id="4223"/>
      <w:bookmarkEnd w:id="4224"/>
      <w:bookmarkEnd w:id="4222"/>
    </w:p>
    <w:p w:rsidR="00F04EEF" w:rsidRDefault="00F04EEF"/>
    <w:tbl>
      <w:tblPr>
        <w:tblStyle w:val="Grilledutableau"/>
        <w:tblW w:w="9351" w:type="dxa"/>
        <w:tblLayout w:type="fixed"/>
        <w:tblLook w:val="04A0" w:firstRow="1" w:lastRow="0" w:firstColumn="1" w:lastColumn="0" w:noHBand="0" w:noVBand="1"/>
      </w:tblPr>
      <w:tblGrid>
        <w:gridCol w:w="3823"/>
        <w:gridCol w:w="2976"/>
        <w:gridCol w:w="2268"/>
        <w:gridCol w:w="284"/>
      </w:tblGrid>
      <w:tr w:rsidR="00F04EEF">
        <w:trPr>
          <w:cantSplit/>
        </w:trPr>
        <w:tc>
          <w:tcPr>
            <w:tcW w:w="3823" w:type="dxa"/>
            <w:shd w:val="clear" w:color="auto" w:fill="0099FF"/>
          </w:tcPr>
          <w:p w:rsidR="00F04EEF" w:rsidRDefault="0099351E">
            <w:pPr>
              <w:tabs>
                <w:tab w:val="left" w:pos="1134"/>
              </w:tabs>
              <w:snapToGrid w:val="0"/>
              <w:jc w:val="center"/>
              <w:rPr>
                <w:b/>
              </w:rPr>
            </w:pPr>
            <w:r>
              <w:rPr>
                <w:b/>
              </w:rPr>
              <w:t>Matière</w:t>
            </w:r>
          </w:p>
        </w:tc>
        <w:tc>
          <w:tcPr>
            <w:tcW w:w="2976" w:type="dxa"/>
            <w:shd w:val="clear" w:color="auto" w:fill="0099FF"/>
          </w:tcPr>
          <w:p w:rsidR="00F04EEF" w:rsidRDefault="0099351E">
            <w:pPr>
              <w:snapToGrid w:val="0"/>
              <w:jc w:val="center"/>
              <w:rPr>
                <w:b/>
                <w:bCs/>
              </w:rPr>
            </w:pPr>
            <w:r>
              <w:rPr>
                <w:b/>
                <w:bCs/>
              </w:rPr>
              <w:t>Personne de contact</w:t>
            </w:r>
          </w:p>
        </w:tc>
        <w:tc>
          <w:tcPr>
            <w:tcW w:w="2552" w:type="dxa"/>
            <w:gridSpan w:val="2"/>
            <w:shd w:val="clear" w:color="auto" w:fill="0099FF"/>
          </w:tcPr>
          <w:p w:rsidR="00F04EEF" w:rsidRDefault="0099351E">
            <w:pPr>
              <w:tabs>
                <w:tab w:val="left" w:pos="1134"/>
              </w:tabs>
              <w:snapToGrid w:val="0"/>
              <w:jc w:val="center"/>
              <w:rPr>
                <w:b/>
                <w:bCs/>
              </w:rPr>
            </w:pPr>
            <w:r>
              <w:rPr>
                <w:b/>
                <w:bCs/>
              </w:rPr>
              <w:t>Tél</w:t>
            </w:r>
          </w:p>
        </w:tc>
      </w:tr>
      <w:tr w:rsidR="00F04EEF">
        <w:trPr>
          <w:cantSplit/>
        </w:trPr>
        <w:tc>
          <w:tcPr>
            <w:tcW w:w="3823" w:type="dxa"/>
          </w:tcPr>
          <w:p w:rsidR="00F04EEF" w:rsidRDefault="0099351E">
            <w:pPr>
              <w:autoSpaceDE w:val="0"/>
              <w:snapToGrid w:val="0"/>
              <w:jc w:val="both"/>
              <w:rPr>
                <w:b/>
                <w:bCs/>
              </w:rPr>
            </w:pPr>
            <w:r>
              <w:rPr>
                <w:b/>
                <w:bCs/>
              </w:rPr>
              <w:t>Centres Psycho-médico-sociaux</w:t>
            </w:r>
          </w:p>
        </w:tc>
        <w:tc>
          <w:tcPr>
            <w:tcW w:w="2976" w:type="dxa"/>
          </w:tcPr>
          <w:p w:rsidR="00F04EEF" w:rsidRDefault="0099351E">
            <w:pPr>
              <w:autoSpaceDE w:val="0"/>
              <w:snapToGrid w:val="0"/>
              <w:jc w:val="center"/>
            </w:pPr>
            <w:r>
              <w:t>Natalia MOLANO VASQUEZ</w:t>
            </w:r>
          </w:p>
        </w:tc>
        <w:tc>
          <w:tcPr>
            <w:tcW w:w="2268" w:type="dxa"/>
          </w:tcPr>
          <w:p w:rsidR="00F04EEF" w:rsidRDefault="0099351E">
            <w:pPr>
              <w:autoSpaceDE w:val="0"/>
              <w:snapToGrid w:val="0"/>
              <w:jc w:val="center"/>
            </w:pPr>
            <w:r>
              <w:t>83.39</w:t>
            </w:r>
          </w:p>
        </w:tc>
        <w:tc>
          <w:tcPr>
            <w:tcW w:w="284" w:type="dxa"/>
          </w:tcPr>
          <w:p w:rsidR="00F04EEF" w:rsidRDefault="00F04EEF">
            <w:pPr>
              <w:autoSpaceDE w:val="0"/>
              <w:snapToGrid w:val="0"/>
              <w:jc w:val="center"/>
            </w:pPr>
          </w:p>
        </w:tc>
      </w:tr>
      <w:tr w:rsidR="00F04EEF">
        <w:trPr>
          <w:cantSplit/>
        </w:trPr>
        <w:tc>
          <w:tcPr>
            <w:tcW w:w="3823" w:type="dxa"/>
          </w:tcPr>
          <w:p w:rsidR="00F04EEF" w:rsidRDefault="0099351E">
            <w:pPr>
              <w:autoSpaceDE w:val="0"/>
              <w:snapToGrid w:val="0"/>
              <w:jc w:val="both"/>
              <w:rPr>
                <w:b/>
                <w:bCs/>
              </w:rPr>
            </w:pPr>
            <w:r>
              <w:rPr>
                <w:b/>
                <w:bCs/>
              </w:rPr>
              <w:t>Gratuité d’accès de l’enseignement et frais perceptibles</w:t>
            </w:r>
          </w:p>
        </w:tc>
        <w:tc>
          <w:tcPr>
            <w:tcW w:w="5528" w:type="dxa"/>
            <w:gridSpan w:val="3"/>
          </w:tcPr>
          <w:p w:rsidR="00F04EEF" w:rsidRDefault="00F04EEF">
            <w:pPr>
              <w:autoSpaceDE w:val="0"/>
              <w:snapToGrid w:val="0"/>
              <w:jc w:val="center"/>
            </w:pPr>
          </w:p>
          <w:p w:rsidR="00F04EEF" w:rsidRDefault="00F42422">
            <w:pPr>
              <w:autoSpaceDE w:val="0"/>
              <w:snapToGrid w:val="0"/>
              <w:jc w:val="center"/>
              <w:rPr>
                <w:b/>
                <w:bCs/>
              </w:rPr>
            </w:pPr>
            <w:hyperlink r:id="rId358" w:history="1">
              <w:r w:rsidR="0099351E">
                <w:rPr>
                  <w:rStyle w:val="Lienhypertexte"/>
                  <w:lang w:val="de-DE"/>
                </w:rPr>
                <w:t>gratuite.ensobligatoire@cfwb.be</w:t>
              </w:r>
            </w:hyperlink>
          </w:p>
        </w:tc>
      </w:tr>
      <w:tr w:rsidR="00F04EEF">
        <w:trPr>
          <w:cantSplit/>
        </w:trPr>
        <w:tc>
          <w:tcPr>
            <w:tcW w:w="3823" w:type="dxa"/>
          </w:tcPr>
          <w:p w:rsidR="00F04EEF" w:rsidRDefault="00F04EEF">
            <w:pPr>
              <w:autoSpaceDE w:val="0"/>
              <w:snapToGrid w:val="0"/>
              <w:ind w:right="170"/>
              <w:jc w:val="both"/>
              <w:rPr>
                <w:b/>
                <w:bCs/>
              </w:rPr>
            </w:pPr>
          </w:p>
        </w:tc>
        <w:tc>
          <w:tcPr>
            <w:tcW w:w="2976" w:type="dxa"/>
            <w:vAlign w:val="center"/>
          </w:tcPr>
          <w:p w:rsidR="00F04EEF" w:rsidRDefault="0099351E">
            <w:pPr>
              <w:autoSpaceDE w:val="0"/>
              <w:autoSpaceDN w:val="0"/>
              <w:ind w:right="170"/>
              <w:rPr>
                <w:lang w:val="de-DE"/>
              </w:rPr>
            </w:pPr>
            <w:r>
              <w:rPr>
                <w:lang w:val="de-DE"/>
              </w:rPr>
              <w:t>Julie FRANCOIS</w:t>
            </w:r>
          </w:p>
        </w:tc>
        <w:tc>
          <w:tcPr>
            <w:tcW w:w="2552" w:type="dxa"/>
            <w:gridSpan w:val="2"/>
            <w:vAlign w:val="center"/>
          </w:tcPr>
          <w:p w:rsidR="00F04EEF" w:rsidRDefault="0099351E">
            <w:pPr>
              <w:autoSpaceDE w:val="0"/>
              <w:autoSpaceDN w:val="0"/>
              <w:ind w:right="170"/>
              <w:jc w:val="center"/>
            </w:pPr>
            <w:r>
              <w:t>89.25</w:t>
            </w:r>
          </w:p>
        </w:tc>
      </w:tr>
      <w:tr w:rsidR="00F04EEF">
        <w:trPr>
          <w:cantSplit/>
        </w:trPr>
        <w:tc>
          <w:tcPr>
            <w:tcW w:w="3823" w:type="dxa"/>
            <w:vAlign w:val="center"/>
          </w:tcPr>
          <w:p w:rsidR="00F04EEF" w:rsidRDefault="0099351E">
            <w:pPr>
              <w:autoSpaceDE w:val="0"/>
              <w:snapToGrid w:val="0"/>
              <w:ind w:right="170"/>
              <w:rPr>
                <w:b/>
                <w:bCs/>
              </w:rPr>
            </w:pPr>
            <w:r>
              <w:rPr>
                <w:b/>
                <w:bCs/>
                <w:u w:val="single"/>
              </w:rPr>
              <w:t>Inscriptions / exclusions</w:t>
            </w:r>
          </w:p>
        </w:tc>
        <w:tc>
          <w:tcPr>
            <w:tcW w:w="5528" w:type="dxa"/>
            <w:gridSpan w:val="3"/>
            <w:vAlign w:val="center"/>
          </w:tcPr>
          <w:p w:rsidR="00F04EEF" w:rsidRDefault="00F42422">
            <w:pPr>
              <w:autoSpaceDE w:val="0"/>
              <w:autoSpaceDN w:val="0"/>
              <w:jc w:val="center"/>
            </w:pPr>
            <w:hyperlink r:id="rId359" w:history="1">
              <w:r w:rsidR="0099351E">
                <w:rPr>
                  <w:rStyle w:val="Lienhypertexte"/>
                </w:rPr>
                <w:t>exclusion-inscription@cfwb.be</w:t>
              </w:r>
            </w:hyperlink>
          </w:p>
        </w:tc>
      </w:tr>
      <w:tr w:rsidR="00F04EEF">
        <w:trPr>
          <w:cantSplit/>
        </w:trPr>
        <w:tc>
          <w:tcPr>
            <w:tcW w:w="3823" w:type="dxa"/>
          </w:tcPr>
          <w:p w:rsidR="00F04EEF" w:rsidRDefault="0099351E">
            <w:pPr>
              <w:autoSpaceDE w:val="0"/>
              <w:autoSpaceDN w:val="0"/>
              <w:ind w:right="170"/>
            </w:pPr>
            <w:r>
              <w:t>Questions relatives aux inscriptions et aux exclusions</w:t>
            </w:r>
          </w:p>
          <w:p w:rsidR="00F04EEF" w:rsidRDefault="00F04EEF">
            <w:pPr>
              <w:autoSpaceDE w:val="0"/>
              <w:snapToGrid w:val="0"/>
              <w:ind w:right="170"/>
              <w:jc w:val="both"/>
              <w:rPr>
                <w:b/>
                <w:bCs/>
                <w:u w:val="single"/>
              </w:rPr>
            </w:pPr>
          </w:p>
        </w:tc>
        <w:tc>
          <w:tcPr>
            <w:tcW w:w="2976" w:type="dxa"/>
          </w:tcPr>
          <w:p w:rsidR="00F04EEF" w:rsidRDefault="0099351E">
            <w:pPr>
              <w:autoSpaceDE w:val="0"/>
              <w:autoSpaceDN w:val="0"/>
              <w:ind w:right="170"/>
            </w:pPr>
            <w:r>
              <w:t>Laura BIETHERES</w:t>
            </w:r>
          </w:p>
          <w:p w:rsidR="00F04EEF" w:rsidRDefault="0099351E">
            <w:pPr>
              <w:autoSpaceDE w:val="0"/>
              <w:autoSpaceDN w:val="0"/>
              <w:ind w:right="170"/>
            </w:pPr>
            <w:r>
              <w:t>Sabrina MONTANTE</w:t>
            </w:r>
          </w:p>
          <w:p w:rsidR="00F04EEF" w:rsidRDefault="0099351E">
            <w:pPr>
              <w:autoSpaceDE w:val="0"/>
              <w:autoSpaceDN w:val="0"/>
              <w:ind w:right="170"/>
            </w:pPr>
            <w:r>
              <w:t>Arlette RUSURA</w:t>
            </w:r>
          </w:p>
        </w:tc>
        <w:tc>
          <w:tcPr>
            <w:tcW w:w="2552" w:type="dxa"/>
            <w:gridSpan w:val="2"/>
          </w:tcPr>
          <w:p w:rsidR="00F04EEF" w:rsidRDefault="0099351E">
            <w:pPr>
              <w:autoSpaceDE w:val="0"/>
              <w:autoSpaceDN w:val="0"/>
              <w:ind w:right="170"/>
              <w:jc w:val="center"/>
            </w:pPr>
            <w:r>
              <w:t>85.47</w:t>
            </w:r>
          </w:p>
          <w:p w:rsidR="00F04EEF" w:rsidRDefault="0099351E">
            <w:pPr>
              <w:autoSpaceDE w:val="0"/>
              <w:autoSpaceDN w:val="0"/>
              <w:ind w:right="170"/>
              <w:jc w:val="center"/>
            </w:pPr>
            <w:r>
              <w:t>84.97</w:t>
            </w:r>
          </w:p>
          <w:p w:rsidR="00F04EEF" w:rsidRDefault="0099351E">
            <w:pPr>
              <w:autoSpaceDE w:val="0"/>
              <w:autoSpaceDN w:val="0"/>
              <w:ind w:right="170"/>
              <w:jc w:val="center"/>
            </w:pPr>
            <w:r>
              <w:t>88.93</w:t>
            </w:r>
          </w:p>
        </w:tc>
      </w:tr>
      <w:tr w:rsidR="00F04EEF">
        <w:trPr>
          <w:cantSplit/>
        </w:trPr>
        <w:tc>
          <w:tcPr>
            <w:tcW w:w="3823" w:type="dxa"/>
          </w:tcPr>
          <w:p w:rsidR="00F04EEF" w:rsidRDefault="0099351E">
            <w:pPr>
              <w:autoSpaceDE w:val="0"/>
              <w:autoSpaceDN w:val="0"/>
              <w:ind w:right="170"/>
            </w:pPr>
            <w:r>
              <w:t>Questions relatives à l’inscription en première année commune de l’enseignement ordinaire</w:t>
            </w:r>
          </w:p>
        </w:tc>
        <w:tc>
          <w:tcPr>
            <w:tcW w:w="5528" w:type="dxa"/>
            <w:gridSpan w:val="3"/>
            <w:vAlign w:val="center"/>
          </w:tcPr>
          <w:p w:rsidR="00F04EEF" w:rsidRDefault="00F42422">
            <w:pPr>
              <w:autoSpaceDE w:val="0"/>
              <w:autoSpaceDN w:val="0"/>
              <w:jc w:val="center"/>
            </w:pPr>
            <w:hyperlink r:id="rId360" w:history="1">
              <w:r w:rsidR="0099351E">
                <w:rPr>
                  <w:rStyle w:val="Lienhypertexte"/>
                </w:rPr>
                <w:t>inscription@cfwb.be</w:t>
              </w:r>
            </w:hyperlink>
          </w:p>
        </w:tc>
      </w:tr>
      <w:tr w:rsidR="00F04EEF">
        <w:trPr>
          <w:cantSplit/>
        </w:trPr>
        <w:tc>
          <w:tcPr>
            <w:tcW w:w="9351" w:type="dxa"/>
            <w:gridSpan w:val="4"/>
          </w:tcPr>
          <w:p w:rsidR="00F04EEF" w:rsidRDefault="0099351E">
            <w:pPr>
              <w:autoSpaceDE w:val="0"/>
              <w:autoSpaceDN w:val="0"/>
              <w:jc w:val="center"/>
            </w:pPr>
            <w:r>
              <w:rPr>
                <w:b/>
                <w:bCs/>
                <w:u w:val="single"/>
              </w:rPr>
              <w:t>Assistance aux établissements</w:t>
            </w:r>
          </w:p>
        </w:tc>
      </w:tr>
      <w:tr w:rsidR="00F04EEF">
        <w:trPr>
          <w:cantSplit/>
        </w:trPr>
        <w:tc>
          <w:tcPr>
            <w:tcW w:w="3823" w:type="dxa"/>
          </w:tcPr>
          <w:p w:rsidR="00F04EEF" w:rsidRDefault="0099351E">
            <w:pPr>
              <w:autoSpaceDE w:val="0"/>
              <w:autoSpaceDN w:val="0"/>
              <w:ind w:right="170"/>
              <w:jc w:val="both"/>
              <w:rPr>
                <w:b/>
                <w:bCs/>
                <w:u w:val="single"/>
              </w:rPr>
            </w:pPr>
            <w:r>
              <w:t>« Assistance Ecoles »</w:t>
            </w:r>
          </w:p>
        </w:tc>
        <w:tc>
          <w:tcPr>
            <w:tcW w:w="5528" w:type="dxa"/>
            <w:gridSpan w:val="3"/>
          </w:tcPr>
          <w:p w:rsidR="00F04EEF" w:rsidRDefault="0099351E">
            <w:pPr>
              <w:autoSpaceDE w:val="0"/>
              <w:autoSpaceDN w:val="0"/>
              <w:ind w:right="170"/>
              <w:jc w:val="center"/>
            </w:pPr>
            <w:r>
              <w:t>0800/20.410</w:t>
            </w:r>
          </w:p>
        </w:tc>
      </w:tr>
      <w:tr w:rsidR="00F04EEF">
        <w:trPr>
          <w:cantSplit/>
        </w:trPr>
        <w:tc>
          <w:tcPr>
            <w:tcW w:w="3823" w:type="dxa"/>
          </w:tcPr>
          <w:p w:rsidR="00F04EEF" w:rsidRDefault="0099351E">
            <w:pPr>
              <w:autoSpaceDE w:val="0"/>
              <w:autoSpaceDN w:val="0"/>
              <w:ind w:right="170"/>
            </w:pPr>
            <w:r>
              <w:t>Services d’accrochage scolaire (S.A.S.)</w:t>
            </w:r>
          </w:p>
        </w:tc>
        <w:tc>
          <w:tcPr>
            <w:tcW w:w="2976" w:type="dxa"/>
          </w:tcPr>
          <w:p w:rsidR="00F04EEF" w:rsidRDefault="0099351E">
            <w:pPr>
              <w:autoSpaceDE w:val="0"/>
              <w:autoSpaceDN w:val="0"/>
              <w:ind w:right="170"/>
              <w:jc w:val="both"/>
            </w:pPr>
            <w:r>
              <w:t>Céline PLUMEREL</w:t>
            </w:r>
          </w:p>
          <w:p w:rsidR="00F04EEF" w:rsidRDefault="0099351E">
            <w:pPr>
              <w:autoSpaceDE w:val="0"/>
              <w:autoSpaceDN w:val="0"/>
              <w:ind w:right="170"/>
              <w:jc w:val="both"/>
            </w:pPr>
            <w:r>
              <w:t>Patricia BUYL</w:t>
            </w:r>
          </w:p>
          <w:p w:rsidR="00F04EEF" w:rsidRDefault="00F04EEF">
            <w:pPr>
              <w:autoSpaceDE w:val="0"/>
              <w:autoSpaceDN w:val="0"/>
              <w:ind w:right="170"/>
              <w:jc w:val="both"/>
            </w:pPr>
          </w:p>
        </w:tc>
        <w:tc>
          <w:tcPr>
            <w:tcW w:w="2552" w:type="dxa"/>
            <w:gridSpan w:val="2"/>
          </w:tcPr>
          <w:p w:rsidR="00F04EEF" w:rsidRDefault="0099351E">
            <w:pPr>
              <w:autoSpaceDE w:val="0"/>
              <w:autoSpaceDN w:val="0"/>
              <w:ind w:right="170"/>
              <w:jc w:val="center"/>
            </w:pPr>
            <w:r>
              <w:t>84.65</w:t>
            </w:r>
          </w:p>
          <w:p w:rsidR="00F04EEF" w:rsidRDefault="0099351E">
            <w:pPr>
              <w:autoSpaceDE w:val="0"/>
              <w:autoSpaceDN w:val="0"/>
              <w:ind w:right="170"/>
              <w:jc w:val="center"/>
            </w:pPr>
            <w:r>
              <w:t>83.56</w:t>
            </w:r>
          </w:p>
          <w:p w:rsidR="00F04EEF" w:rsidRDefault="0099351E">
            <w:pPr>
              <w:autoSpaceDE w:val="0"/>
              <w:autoSpaceDN w:val="0"/>
              <w:ind w:right="170"/>
              <w:jc w:val="center"/>
            </w:pPr>
            <w:r>
              <w:t>83.21</w:t>
            </w:r>
          </w:p>
        </w:tc>
      </w:tr>
      <w:tr w:rsidR="00F04EEF">
        <w:trPr>
          <w:cantSplit/>
        </w:trPr>
        <w:tc>
          <w:tcPr>
            <w:tcW w:w="3823" w:type="dxa"/>
            <w:vAlign w:val="center"/>
          </w:tcPr>
          <w:p w:rsidR="00F04EEF" w:rsidRDefault="0099351E">
            <w:pPr>
              <w:autoSpaceDE w:val="0"/>
              <w:autoSpaceDN w:val="0"/>
              <w:ind w:right="170"/>
              <w:rPr>
                <w:b/>
                <w:bCs/>
                <w:u w:val="single"/>
              </w:rPr>
            </w:pPr>
            <w:r>
              <w:rPr>
                <w:b/>
                <w:bCs/>
                <w:u w:val="single"/>
              </w:rPr>
              <w:t>Médiation scolaire</w:t>
            </w:r>
          </w:p>
        </w:tc>
        <w:tc>
          <w:tcPr>
            <w:tcW w:w="5528" w:type="dxa"/>
            <w:gridSpan w:val="3"/>
            <w:vAlign w:val="center"/>
          </w:tcPr>
          <w:p w:rsidR="00F04EEF" w:rsidRDefault="00F42422">
            <w:pPr>
              <w:autoSpaceDE w:val="0"/>
              <w:autoSpaceDN w:val="0"/>
              <w:jc w:val="center"/>
            </w:pPr>
            <w:hyperlink r:id="rId361" w:history="1">
              <w:r w:rsidR="0099351E">
                <w:rPr>
                  <w:rStyle w:val="Lienhypertexte"/>
                </w:rPr>
                <w:t>mediationscolaire@cfwb.be</w:t>
              </w:r>
            </w:hyperlink>
          </w:p>
        </w:tc>
      </w:tr>
      <w:tr w:rsidR="00F04EEF">
        <w:trPr>
          <w:cantSplit/>
        </w:trPr>
        <w:tc>
          <w:tcPr>
            <w:tcW w:w="3823" w:type="dxa"/>
          </w:tcPr>
          <w:p w:rsidR="00F04EEF" w:rsidRDefault="00F04EEF">
            <w:pPr>
              <w:autoSpaceDE w:val="0"/>
              <w:autoSpaceDN w:val="0"/>
              <w:ind w:right="170"/>
              <w:jc w:val="both"/>
            </w:pPr>
          </w:p>
        </w:tc>
        <w:tc>
          <w:tcPr>
            <w:tcW w:w="2976" w:type="dxa"/>
          </w:tcPr>
          <w:p w:rsidR="00F04EEF" w:rsidRDefault="0099351E">
            <w:pPr>
              <w:autoSpaceDE w:val="0"/>
              <w:autoSpaceDN w:val="0"/>
              <w:ind w:right="170"/>
            </w:pPr>
            <w:r>
              <w:t>Thérèse LUCAS</w:t>
            </w:r>
          </w:p>
          <w:p w:rsidR="00F04EEF" w:rsidRDefault="0099351E">
            <w:pPr>
              <w:autoSpaceDE w:val="0"/>
              <w:autoSpaceDN w:val="0"/>
            </w:pPr>
            <w:r>
              <w:t>(Coordonnatrice Région wallonne)</w:t>
            </w:r>
          </w:p>
          <w:p w:rsidR="00F04EEF" w:rsidRDefault="00F04EEF">
            <w:pPr>
              <w:autoSpaceDE w:val="0"/>
              <w:autoSpaceDN w:val="0"/>
              <w:ind w:right="170"/>
              <w:jc w:val="center"/>
            </w:pPr>
          </w:p>
          <w:p w:rsidR="00F04EEF" w:rsidRDefault="0099351E">
            <w:pPr>
              <w:autoSpaceDE w:val="0"/>
              <w:autoSpaceDN w:val="0"/>
              <w:ind w:right="170"/>
            </w:pPr>
            <w:r>
              <w:t xml:space="preserve">Juliette VILET </w:t>
            </w:r>
          </w:p>
          <w:p w:rsidR="00F04EEF" w:rsidRDefault="0099351E">
            <w:pPr>
              <w:autoSpaceDE w:val="0"/>
              <w:autoSpaceDN w:val="0"/>
              <w:ind w:right="170"/>
            </w:pPr>
            <w:r>
              <w:t>Claudine BILOCQ</w:t>
            </w:r>
          </w:p>
          <w:p w:rsidR="00F04EEF" w:rsidRDefault="0099351E">
            <w:pPr>
              <w:autoSpaceDE w:val="0"/>
              <w:autoSpaceDN w:val="0"/>
              <w:ind w:right="170"/>
            </w:pPr>
            <w:r>
              <w:t>(Coordonnatrices Région de Bruxelles-Capitale)</w:t>
            </w:r>
          </w:p>
          <w:p w:rsidR="00F04EEF" w:rsidRDefault="00F04EEF">
            <w:pPr>
              <w:autoSpaceDE w:val="0"/>
              <w:autoSpaceDN w:val="0"/>
              <w:ind w:right="170"/>
            </w:pPr>
          </w:p>
          <w:p w:rsidR="00F04EEF" w:rsidRDefault="0099351E">
            <w:pPr>
              <w:autoSpaceDE w:val="0"/>
              <w:autoSpaceDN w:val="0"/>
              <w:ind w:right="170"/>
            </w:pPr>
            <w:r>
              <w:t>Céline PLUMEREL</w:t>
            </w:r>
          </w:p>
          <w:p w:rsidR="00F04EEF" w:rsidRDefault="0099351E">
            <w:pPr>
              <w:autoSpaceDE w:val="0"/>
              <w:autoSpaceDN w:val="0"/>
              <w:ind w:right="170"/>
            </w:pPr>
            <w:r>
              <w:t>(Cellule administrative)</w:t>
            </w:r>
          </w:p>
        </w:tc>
        <w:tc>
          <w:tcPr>
            <w:tcW w:w="2552" w:type="dxa"/>
            <w:gridSpan w:val="2"/>
          </w:tcPr>
          <w:p w:rsidR="00F04EEF" w:rsidRDefault="0099351E">
            <w:pPr>
              <w:autoSpaceDE w:val="0"/>
              <w:autoSpaceDN w:val="0"/>
              <w:ind w:right="-108"/>
              <w:jc w:val="center"/>
            </w:pPr>
            <w:r>
              <w:t>0473/94.64.55</w:t>
            </w:r>
          </w:p>
          <w:p w:rsidR="00F04EEF" w:rsidRDefault="00F04EEF">
            <w:pPr>
              <w:autoSpaceDE w:val="0"/>
              <w:autoSpaceDN w:val="0"/>
              <w:ind w:right="-108"/>
              <w:jc w:val="center"/>
            </w:pPr>
          </w:p>
          <w:p w:rsidR="00F04EEF" w:rsidRDefault="00F04EEF">
            <w:pPr>
              <w:autoSpaceDE w:val="0"/>
              <w:autoSpaceDN w:val="0"/>
              <w:ind w:right="-108"/>
              <w:jc w:val="center"/>
            </w:pPr>
          </w:p>
          <w:p w:rsidR="00F04EEF" w:rsidRDefault="00F04EEF">
            <w:pPr>
              <w:autoSpaceDE w:val="0"/>
              <w:autoSpaceDN w:val="0"/>
              <w:ind w:right="-108"/>
              <w:jc w:val="center"/>
            </w:pPr>
          </w:p>
          <w:p w:rsidR="00F04EEF" w:rsidRDefault="0099351E">
            <w:pPr>
              <w:autoSpaceDE w:val="0"/>
              <w:autoSpaceDN w:val="0"/>
              <w:ind w:right="-108"/>
              <w:jc w:val="center"/>
            </w:pPr>
            <w:r>
              <w:t>0479/65.16.60</w:t>
            </w:r>
          </w:p>
          <w:p w:rsidR="00F04EEF" w:rsidRDefault="0099351E">
            <w:pPr>
              <w:autoSpaceDE w:val="0"/>
              <w:autoSpaceDN w:val="0"/>
              <w:ind w:right="-108"/>
              <w:jc w:val="center"/>
            </w:pPr>
            <w:r>
              <w:t>0478/88.36.92</w:t>
            </w:r>
          </w:p>
          <w:p w:rsidR="00F04EEF" w:rsidRDefault="00F04EEF">
            <w:pPr>
              <w:autoSpaceDE w:val="0"/>
              <w:autoSpaceDN w:val="0"/>
              <w:ind w:right="-108"/>
              <w:jc w:val="center"/>
            </w:pPr>
          </w:p>
          <w:p w:rsidR="00F04EEF" w:rsidRDefault="00F04EEF">
            <w:pPr>
              <w:autoSpaceDE w:val="0"/>
              <w:autoSpaceDN w:val="0"/>
              <w:ind w:right="-108"/>
              <w:jc w:val="center"/>
            </w:pPr>
          </w:p>
          <w:p w:rsidR="00F04EEF" w:rsidRDefault="00F04EEF">
            <w:pPr>
              <w:autoSpaceDE w:val="0"/>
              <w:autoSpaceDN w:val="0"/>
              <w:ind w:right="-108"/>
              <w:jc w:val="center"/>
            </w:pPr>
          </w:p>
          <w:p w:rsidR="00F04EEF" w:rsidRDefault="0099351E">
            <w:pPr>
              <w:autoSpaceDE w:val="0"/>
              <w:autoSpaceDN w:val="0"/>
              <w:ind w:right="170"/>
              <w:jc w:val="center"/>
            </w:pPr>
            <w:r>
              <w:t>84.65</w:t>
            </w:r>
          </w:p>
          <w:p w:rsidR="00F04EEF" w:rsidRDefault="00F04EEF">
            <w:pPr>
              <w:autoSpaceDE w:val="0"/>
              <w:autoSpaceDN w:val="0"/>
              <w:ind w:right="-108"/>
              <w:jc w:val="center"/>
            </w:pPr>
          </w:p>
        </w:tc>
      </w:tr>
      <w:tr w:rsidR="00F04EEF">
        <w:trPr>
          <w:cantSplit/>
        </w:trPr>
        <w:tc>
          <w:tcPr>
            <w:tcW w:w="3823" w:type="dxa"/>
            <w:vAlign w:val="center"/>
          </w:tcPr>
          <w:p w:rsidR="00F04EEF" w:rsidRDefault="0099351E">
            <w:pPr>
              <w:rPr>
                <w:b/>
              </w:rPr>
            </w:pPr>
            <w:r>
              <w:rPr>
                <w:b/>
              </w:rPr>
              <w:t>Equipes Mobiles</w:t>
            </w:r>
          </w:p>
        </w:tc>
        <w:tc>
          <w:tcPr>
            <w:tcW w:w="5528" w:type="dxa"/>
            <w:gridSpan w:val="3"/>
            <w:vAlign w:val="center"/>
          </w:tcPr>
          <w:p w:rsidR="00F04EEF" w:rsidRDefault="00F42422">
            <w:pPr>
              <w:autoSpaceDE w:val="0"/>
              <w:autoSpaceDN w:val="0"/>
              <w:jc w:val="center"/>
            </w:pPr>
            <w:hyperlink r:id="rId362" w:history="1">
              <w:r w:rsidR="0099351E">
                <w:rPr>
                  <w:rStyle w:val="Lienhypertexte"/>
                </w:rPr>
                <w:t>equipemobile@cfwb.be</w:t>
              </w:r>
            </w:hyperlink>
          </w:p>
        </w:tc>
      </w:tr>
      <w:tr w:rsidR="00F04EEF">
        <w:trPr>
          <w:cantSplit/>
        </w:trPr>
        <w:tc>
          <w:tcPr>
            <w:tcW w:w="3823" w:type="dxa"/>
          </w:tcPr>
          <w:p w:rsidR="00F04EEF" w:rsidRDefault="00F04EEF">
            <w:pPr>
              <w:autoSpaceDE w:val="0"/>
              <w:autoSpaceDN w:val="0"/>
              <w:ind w:right="170"/>
              <w:jc w:val="both"/>
            </w:pPr>
          </w:p>
        </w:tc>
        <w:tc>
          <w:tcPr>
            <w:tcW w:w="2976" w:type="dxa"/>
          </w:tcPr>
          <w:p w:rsidR="00F04EEF" w:rsidRDefault="0099351E">
            <w:pPr>
              <w:autoSpaceDE w:val="0"/>
              <w:autoSpaceDN w:val="0"/>
              <w:ind w:right="170"/>
            </w:pPr>
            <w:r>
              <w:t>Bruno</w:t>
            </w:r>
            <w:r>
              <w:rPr>
                <w:color w:val="1F497D"/>
              </w:rPr>
              <w:t xml:space="preserve"> </w:t>
            </w:r>
            <w:r>
              <w:t>SEDRAN (Coordonnateur)</w:t>
            </w:r>
          </w:p>
        </w:tc>
        <w:tc>
          <w:tcPr>
            <w:tcW w:w="2552" w:type="dxa"/>
            <w:gridSpan w:val="2"/>
          </w:tcPr>
          <w:p w:rsidR="00F04EEF" w:rsidRDefault="0099351E">
            <w:pPr>
              <w:autoSpaceDE w:val="0"/>
              <w:autoSpaceDN w:val="0"/>
              <w:ind w:right="170"/>
              <w:jc w:val="center"/>
            </w:pPr>
            <w:r>
              <w:t>83.81</w:t>
            </w:r>
          </w:p>
          <w:p w:rsidR="00F04EEF" w:rsidRDefault="00F04EEF">
            <w:pPr>
              <w:autoSpaceDE w:val="0"/>
              <w:autoSpaceDN w:val="0"/>
              <w:ind w:right="170"/>
              <w:jc w:val="center"/>
            </w:pPr>
          </w:p>
        </w:tc>
      </w:tr>
      <w:tr w:rsidR="00F04EEF">
        <w:trPr>
          <w:cantSplit/>
        </w:trPr>
        <w:tc>
          <w:tcPr>
            <w:tcW w:w="3823" w:type="dxa"/>
            <w:vAlign w:val="center"/>
          </w:tcPr>
          <w:p w:rsidR="00F04EEF" w:rsidRDefault="0099351E">
            <w:pPr>
              <w:rPr>
                <w:b/>
              </w:rPr>
            </w:pPr>
            <w:r>
              <w:rPr>
                <w:b/>
              </w:rPr>
              <w:t>Contrôle de l’obligation scolaire</w:t>
            </w:r>
          </w:p>
        </w:tc>
        <w:tc>
          <w:tcPr>
            <w:tcW w:w="5528" w:type="dxa"/>
            <w:gridSpan w:val="3"/>
            <w:vAlign w:val="center"/>
          </w:tcPr>
          <w:p w:rsidR="00F04EEF" w:rsidRDefault="00F42422">
            <w:pPr>
              <w:autoSpaceDE w:val="0"/>
              <w:autoSpaceDN w:val="0"/>
              <w:ind w:right="170"/>
              <w:jc w:val="center"/>
            </w:pPr>
            <w:hyperlink r:id="rId363" w:history="1">
              <w:r w:rsidR="0099351E">
                <w:rPr>
                  <w:rStyle w:val="Lienhypertexte"/>
                </w:rPr>
                <w:t>obsi@cfwb.be</w:t>
              </w:r>
            </w:hyperlink>
            <w:r w:rsidR="0099351E">
              <w:t xml:space="preserve"> </w:t>
            </w:r>
          </w:p>
        </w:tc>
      </w:tr>
      <w:tr w:rsidR="00F04EEF">
        <w:trPr>
          <w:cantSplit/>
        </w:trPr>
        <w:tc>
          <w:tcPr>
            <w:tcW w:w="3823" w:type="dxa"/>
          </w:tcPr>
          <w:p w:rsidR="00F04EEF" w:rsidRDefault="0099351E">
            <w:pPr>
              <w:numPr>
                <w:ilvl w:val="0"/>
                <w:numId w:val="11"/>
              </w:numPr>
              <w:snapToGrid w:val="0"/>
              <w:jc w:val="both"/>
            </w:pPr>
            <w:r>
              <w:t>Coordination du  service :</w:t>
            </w:r>
          </w:p>
          <w:p w:rsidR="00F04EEF" w:rsidRDefault="00F04EEF">
            <w:pPr>
              <w:snapToGrid w:val="0"/>
              <w:jc w:val="both"/>
            </w:pPr>
          </w:p>
          <w:p w:rsidR="00F04EEF" w:rsidRDefault="0099351E">
            <w:pPr>
              <w:numPr>
                <w:ilvl w:val="0"/>
                <w:numId w:val="11"/>
              </w:numPr>
              <w:snapToGrid w:val="0"/>
              <w:jc w:val="both"/>
            </w:pPr>
            <w:r>
              <w:t>Assistance administrative :</w:t>
            </w:r>
          </w:p>
          <w:p w:rsidR="00F04EEF" w:rsidRDefault="00F04EEF">
            <w:pPr>
              <w:snapToGrid w:val="0"/>
              <w:jc w:val="both"/>
            </w:pPr>
          </w:p>
          <w:p w:rsidR="00F04EEF" w:rsidRDefault="0099351E">
            <w:pPr>
              <w:numPr>
                <w:ilvl w:val="0"/>
                <w:numId w:val="11"/>
              </w:numPr>
              <w:snapToGrid w:val="0"/>
              <w:jc w:val="both"/>
            </w:pPr>
            <w:r>
              <w:t>Assistance technique :</w:t>
            </w:r>
          </w:p>
        </w:tc>
        <w:tc>
          <w:tcPr>
            <w:tcW w:w="2976" w:type="dxa"/>
          </w:tcPr>
          <w:p w:rsidR="00F04EEF" w:rsidRDefault="0099351E">
            <w:pPr>
              <w:snapToGrid w:val="0"/>
              <w:jc w:val="both"/>
            </w:pPr>
            <w:r>
              <w:t>Nora BELHADI</w:t>
            </w:r>
          </w:p>
          <w:p w:rsidR="00F04EEF" w:rsidRDefault="0099351E">
            <w:pPr>
              <w:snapToGrid w:val="0"/>
              <w:jc w:val="both"/>
            </w:pPr>
            <w:r>
              <w:t>Emeline THEATRE</w:t>
            </w:r>
          </w:p>
          <w:p w:rsidR="00F04EEF" w:rsidRDefault="0099351E">
            <w:pPr>
              <w:snapToGrid w:val="0"/>
              <w:jc w:val="both"/>
            </w:pPr>
            <w:r>
              <w:t>Tarek AIT LAKHFIF</w:t>
            </w:r>
          </w:p>
          <w:p w:rsidR="00F04EEF" w:rsidRDefault="00F04EEF">
            <w:pPr>
              <w:snapToGrid w:val="0"/>
              <w:jc w:val="both"/>
            </w:pPr>
          </w:p>
          <w:p w:rsidR="00F04EEF" w:rsidRDefault="0099351E">
            <w:pPr>
              <w:snapToGrid w:val="0"/>
              <w:jc w:val="both"/>
            </w:pPr>
            <w:r>
              <w:t>Touria SOURY</w:t>
            </w:r>
          </w:p>
        </w:tc>
        <w:tc>
          <w:tcPr>
            <w:tcW w:w="2552" w:type="dxa"/>
            <w:gridSpan w:val="2"/>
          </w:tcPr>
          <w:p w:rsidR="00F04EEF" w:rsidRDefault="0099351E">
            <w:pPr>
              <w:snapToGrid w:val="0"/>
              <w:jc w:val="center"/>
            </w:pPr>
            <w:r>
              <w:t>89.22</w:t>
            </w:r>
          </w:p>
          <w:p w:rsidR="00F04EEF" w:rsidRDefault="0099351E">
            <w:pPr>
              <w:snapToGrid w:val="0"/>
              <w:jc w:val="center"/>
            </w:pPr>
            <w:r>
              <w:t>83.13</w:t>
            </w:r>
          </w:p>
          <w:p w:rsidR="00F04EEF" w:rsidRDefault="0099351E">
            <w:pPr>
              <w:snapToGrid w:val="0"/>
              <w:jc w:val="center"/>
            </w:pPr>
            <w:r>
              <w:t>84.38</w:t>
            </w:r>
          </w:p>
          <w:p w:rsidR="00F04EEF" w:rsidRDefault="00F04EEF">
            <w:pPr>
              <w:snapToGrid w:val="0"/>
              <w:jc w:val="center"/>
            </w:pPr>
          </w:p>
          <w:p w:rsidR="00F04EEF" w:rsidRDefault="0099351E">
            <w:pPr>
              <w:snapToGrid w:val="0"/>
              <w:jc w:val="center"/>
            </w:pPr>
            <w:r>
              <w:t>86.19</w:t>
            </w:r>
          </w:p>
        </w:tc>
      </w:tr>
      <w:tr w:rsidR="00F04EEF">
        <w:trPr>
          <w:cantSplit/>
        </w:trPr>
        <w:tc>
          <w:tcPr>
            <w:tcW w:w="3823" w:type="dxa"/>
            <w:vAlign w:val="center"/>
          </w:tcPr>
          <w:p w:rsidR="00F04EEF" w:rsidRDefault="0099351E">
            <w:pPr>
              <w:rPr>
                <w:b/>
              </w:rPr>
            </w:pPr>
            <w:r>
              <w:rPr>
                <w:b/>
              </w:rPr>
              <w:t>Contrôle de l’inscription scolaire</w:t>
            </w:r>
          </w:p>
        </w:tc>
        <w:tc>
          <w:tcPr>
            <w:tcW w:w="2976" w:type="dxa"/>
            <w:vAlign w:val="center"/>
          </w:tcPr>
          <w:p w:rsidR="00F04EEF" w:rsidRDefault="00F42422">
            <w:pPr>
              <w:snapToGrid w:val="0"/>
              <w:rPr>
                <w:color w:val="0000FF"/>
              </w:rPr>
            </w:pPr>
            <w:hyperlink r:id="rId364" w:history="1">
              <w:r w:rsidR="0099351E">
                <w:rPr>
                  <w:rStyle w:val="Lienhypertexte"/>
                </w:rPr>
                <w:t>obsi_inscription@cfwb.be</w:t>
              </w:r>
            </w:hyperlink>
            <w:r w:rsidR="0099351E">
              <w:rPr>
                <w:color w:val="0000FF"/>
              </w:rPr>
              <w:t xml:space="preserve"> </w:t>
            </w:r>
          </w:p>
        </w:tc>
        <w:tc>
          <w:tcPr>
            <w:tcW w:w="2552" w:type="dxa"/>
            <w:gridSpan w:val="2"/>
          </w:tcPr>
          <w:p w:rsidR="00F04EEF" w:rsidRDefault="0099351E">
            <w:pPr>
              <w:snapToGrid w:val="0"/>
              <w:jc w:val="center"/>
            </w:pPr>
            <w:r>
              <w:t>88.32</w:t>
            </w:r>
          </w:p>
        </w:tc>
      </w:tr>
      <w:tr w:rsidR="00F04EEF">
        <w:trPr>
          <w:cantSplit/>
        </w:trPr>
        <w:tc>
          <w:tcPr>
            <w:tcW w:w="3823" w:type="dxa"/>
          </w:tcPr>
          <w:p w:rsidR="00F04EEF" w:rsidRDefault="0099351E">
            <w:pPr>
              <w:jc w:val="both"/>
              <w:rPr>
                <w:b/>
              </w:rPr>
            </w:pPr>
            <w:r>
              <w:rPr>
                <w:b/>
              </w:rPr>
              <w:t>Contrôle de la fréquentation scolaire</w:t>
            </w:r>
          </w:p>
        </w:tc>
        <w:tc>
          <w:tcPr>
            <w:tcW w:w="5528" w:type="dxa"/>
            <w:gridSpan w:val="3"/>
          </w:tcPr>
          <w:p w:rsidR="00F04EEF" w:rsidRDefault="00F42422">
            <w:pPr>
              <w:snapToGrid w:val="0"/>
              <w:jc w:val="center"/>
              <w:rPr>
                <w:i/>
                <w:iCs/>
              </w:rPr>
            </w:pPr>
            <w:hyperlink r:id="rId365" w:history="1">
              <w:r w:rsidR="0099351E">
                <w:rPr>
                  <w:rStyle w:val="Lienhypertexte"/>
                </w:rPr>
                <w:t>obsi@cfwb.be</w:t>
              </w:r>
            </w:hyperlink>
          </w:p>
        </w:tc>
      </w:tr>
      <w:tr w:rsidR="00F04EEF">
        <w:trPr>
          <w:cantSplit/>
        </w:trPr>
        <w:tc>
          <w:tcPr>
            <w:tcW w:w="3823" w:type="dxa"/>
            <w:shd w:val="clear" w:color="auto" w:fill="FFFFFF" w:themeFill="background1"/>
          </w:tcPr>
          <w:p w:rsidR="00F04EEF" w:rsidRDefault="0099351E">
            <w:pPr>
              <w:tabs>
                <w:tab w:val="left" w:pos="1134"/>
              </w:tabs>
              <w:suppressAutoHyphens/>
              <w:snapToGrid w:val="0"/>
              <w:rPr>
                <w:lang w:val="fr-FR" w:eastAsia="fr-FR"/>
              </w:rPr>
            </w:pPr>
            <w:r>
              <w:rPr>
                <w:lang w:val="fr-FR" w:eastAsia="fr-FR"/>
              </w:rPr>
              <w:t>Brabant wallon</w:t>
            </w:r>
          </w:p>
          <w:p w:rsidR="00F04EEF" w:rsidRDefault="00F04EEF">
            <w:pPr>
              <w:tabs>
                <w:tab w:val="left" w:pos="1134"/>
              </w:tabs>
              <w:suppressAutoHyphens/>
              <w:snapToGrid w:val="0"/>
              <w:rPr>
                <w:lang w:val="fr-FR" w:eastAsia="fr-FR"/>
              </w:rPr>
            </w:pPr>
          </w:p>
          <w:p w:rsidR="00F04EEF" w:rsidRDefault="0099351E">
            <w:pPr>
              <w:tabs>
                <w:tab w:val="left" w:pos="1134"/>
              </w:tabs>
              <w:suppressAutoHyphens/>
              <w:snapToGrid w:val="0"/>
              <w:rPr>
                <w:lang w:val="fr-FR" w:eastAsia="fr-FR"/>
              </w:rPr>
            </w:pPr>
            <w:r>
              <w:rPr>
                <w:lang w:val="fr-FR" w:eastAsia="fr-FR"/>
              </w:rPr>
              <w:t xml:space="preserve">Bruxelles </w:t>
            </w:r>
          </w:p>
          <w:p w:rsidR="00F04EEF" w:rsidRDefault="00F04EEF">
            <w:pPr>
              <w:tabs>
                <w:tab w:val="left" w:pos="1134"/>
              </w:tabs>
              <w:suppressAutoHyphens/>
              <w:snapToGrid w:val="0"/>
              <w:rPr>
                <w:lang w:val="fr-FR" w:eastAsia="fr-FR"/>
              </w:rPr>
            </w:pPr>
          </w:p>
          <w:p w:rsidR="00F04EEF" w:rsidRDefault="00F04EEF">
            <w:pPr>
              <w:tabs>
                <w:tab w:val="left" w:pos="1134"/>
              </w:tabs>
              <w:suppressAutoHyphens/>
              <w:snapToGrid w:val="0"/>
              <w:rPr>
                <w:lang w:val="fr-FR" w:eastAsia="fr-FR"/>
              </w:rPr>
            </w:pPr>
          </w:p>
          <w:p w:rsidR="00F04EEF" w:rsidRDefault="0099351E">
            <w:pPr>
              <w:tabs>
                <w:tab w:val="left" w:pos="1134"/>
              </w:tabs>
              <w:snapToGrid w:val="0"/>
              <w:jc w:val="both"/>
              <w:rPr>
                <w:lang w:val="fr-FR" w:eastAsia="fr-FR"/>
              </w:rPr>
            </w:pPr>
            <w:r>
              <w:rPr>
                <w:lang w:val="fr-FR" w:eastAsia="fr-FR"/>
              </w:rPr>
              <w:t>Hainaut</w:t>
            </w:r>
          </w:p>
          <w:p w:rsidR="00F04EEF" w:rsidRDefault="00F04EEF">
            <w:pPr>
              <w:tabs>
                <w:tab w:val="left" w:pos="1134"/>
              </w:tabs>
              <w:snapToGrid w:val="0"/>
              <w:jc w:val="both"/>
              <w:rPr>
                <w:lang w:val="fr-FR" w:eastAsia="fr-FR"/>
              </w:rPr>
            </w:pPr>
          </w:p>
          <w:p w:rsidR="00F04EEF" w:rsidRDefault="00F04EEF">
            <w:pPr>
              <w:tabs>
                <w:tab w:val="left" w:pos="1134"/>
              </w:tabs>
              <w:snapToGrid w:val="0"/>
              <w:jc w:val="both"/>
              <w:rPr>
                <w:lang w:val="fr-FR" w:eastAsia="fr-FR"/>
              </w:rPr>
            </w:pPr>
          </w:p>
          <w:p w:rsidR="00F04EEF" w:rsidRDefault="00F04EEF">
            <w:pPr>
              <w:tabs>
                <w:tab w:val="left" w:pos="1134"/>
              </w:tabs>
              <w:snapToGrid w:val="0"/>
              <w:jc w:val="both"/>
              <w:rPr>
                <w:lang w:val="fr-FR" w:eastAsia="fr-FR"/>
              </w:rPr>
            </w:pPr>
          </w:p>
          <w:p w:rsidR="00F04EEF" w:rsidRDefault="00F04EEF">
            <w:pPr>
              <w:tabs>
                <w:tab w:val="left" w:pos="1134"/>
              </w:tabs>
              <w:snapToGrid w:val="0"/>
              <w:jc w:val="both"/>
              <w:rPr>
                <w:lang w:val="fr-FR" w:eastAsia="fr-FR"/>
              </w:rPr>
            </w:pPr>
          </w:p>
          <w:p w:rsidR="00F04EEF" w:rsidRDefault="0099351E">
            <w:pPr>
              <w:tabs>
                <w:tab w:val="left" w:pos="1134"/>
              </w:tabs>
              <w:suppressAutoHyphens/>
              <w:snapToGrid w:val="0"/>
              <w:rPr>
                <w:lang w:val="fr-FR" w:eastAsia="fr-FR"/>
              </w:rPr>
            </w:pPr>
            <w:r>
              <w:rPr>
                <w:lang w:val="fr-FR" w:eastAsia="fr-FR"/>
              </w:rPr>
              <w:t>Liège</w:t>
            </w:r>
          </w:p>
          <w:p w:rsidR="00F04EEF" w:rsidRDefault="00F04EEF">
            <w:pPr>
              <w:tabs>
                <w:tab w:val="left" w:pos="1134"/>
              </w:tabs>
              <w:snapToGrid w:val="0"/>
              <w:jc w:val="both"/>
              <w:rPr>
                <w:lang w:val="fr-FR" w:eastAsia="fr-FR"/>
              </w:rPr>
            </w:pPr>
          </w:p>
          <w:p w:rsidR="00F04EEF" w:rsidRDefault="00F04EEF">
            <w:pPr>
              <w:tabs>
                <w:tab w:val="left" w:pos="1134"/>
              </w:tabs>
              <w:snapToGrid w:val="0"/>
              <w:jc w:val="both"/>
              <w:rPr>
                <w:lang w:val="fr-FR" w:eastAsia="fr-FR"/>
              </w:rPr>
            </w:pPr>
          </w:p>
          <w:p w:rsidR="00F04EEF" w:rsidRDefault="0099351E">
            <w:pPr>
              <w:tabs>
                <w:tab w:val="left" w:pos="1134"/>
              </w:tabs>
              <w:suppressAutoHyphens/>
              <w:snapToGrid w:val="0"/>
              <w:rPr>
                <w:lang w:val="fr-FR" w:eastAsia="fr-FR"/>
              </w:rPr>
            </w:pPr>
            <w:r>
              <w:rPr>
                <w:lang w:val="fr-FR" w:eastAsia="fr-FR"/>
              </w:rPr>
              <w:t>Luxembourg</w:t>
            </w:r>
          </w:p>
          <w:p w:rsidR="00F04EEF" w:rsidRDefault="00F04EEF">
            <w:pPr>
              <w:tabs>
                <w:tab w:val="left" w:pos="1134"/>
              </w:tabs>
              <w:suppressAutoHyphens/>
              <w:snapToGrid w:val="0"/>
              <w:rPr>
                <w:lang w:val="fr-FR" w:eastAsia="fr-FR"/>
              </w:rPr>
            </w:pPr>
          </w:p>
          <w:p w:rsidR="00F04EEF" w:rsidRDefault="0099351E">
            <w:r>
              <w:rPr>
                <w:lang w:val="fr-FR" w:eastAsia="fr-FR"/>
              </w:rPr>
              <w:t>Namur</w:t>
            </w:r>
          </w:p>
        </w:tc>
        <w:tc>
          <w:tcPr>
            <w:tcW w:w="2976" w:type="dxa"/>
            <w:shd w:val="clear" w:color="auto" w:fill="FFFFFF" w:themeFill="background1"/>
          </w:tcPr>
          <w:p w:rsidR="00F04EEF" w:rsidRDefault="0099351E">
            <w:pPr>
              <w:tabs>
                <w:tab w:val="left" w:pos="1134"/>
              </w:tabs>
              <w:snapToGrid w:val="0"/>
              <w:jc w:val="both"/>
              <w:rPr>
                <w:lang w:eastAsia="fr-FR"/>
              </w:rPr>
            </w:pPr>
            <w:r>
              <w:rPr>
                <w:lang w:eastAsia="fr-FR"/>
              </w:rPr>
              <w:t>Demis HOUTRELLE</w:t>
            </w:r>
          </w:p>
          <w:p w:rsidR="00F04EEF" w:rsidRDefault="00F04EEF">
            <w:pPr>
              <w:tabs>
                <w:tab w:val="left" w:pos="1134"/>
              </w:tabs>
              <w:snapToGrid w:val="0"/>
              <w:jc w:val="both"/>
              <w:rPr>
                <w:lang w:eastAsia="fr-FR"/>
              </w:rPr>
            </w:pPr>
          </w:p>
          <w:p w:rsidR="00F04EEF" w:rsidRDefault="0099351E">
            <w:pPr>
              <w:tabs>
                <w:tab w:val="left" w:pos="1134"/>
              </w:tabs>
              <w:snapToGrid w:val="0"/>
              <w:jc w:val="both"/>
              <w:rPr>
                <w:lang w:eastAsia="fr-FR"/>
              </w:rPr>
            </w:pPr>
            <w:r>
              <w:rPr>
                <w:lang w:eastAsia="fr-FR"/>
              </w:rPr>
              <w:t>Laetitia DETHIER</w:t>
            </w:r>
          </w:p>
          <w:p w:rsidR="00F04EEF" w:rsidRDefault="0099351E">
            <w:pPr>
              <w:tabs>
                <w:tab w:val="left" w:pos="1134"/>
              </w:tabs>
              <w:snapToGrid w:val="0"/>
              <w:jc w:val="both"/>
              <w:rPr>
                <w:lang w:eastAsia="fr-FR"/>
              </w:rPr>
            </w:pPr>
            <w:r>
              <w:rPr>
                <w:lang w:eastAsia="fr-FR"/>
              </w:rPr>
              <w:t>Jennifer PLANCKE</w:t>
            </w:r>
          </w:p>
          <w:p w:rsidR="00F04EEF" w:rsidRDefault="0099351E">
            <w:pPr>
              <w:tabs>
                <w:tab w:val="left" w:pos="1134"/>
              </w:tabs>
              <w:snapToGrid w:val="0"/>
              <w:jc w:val="both"/>
              <w:rPr>
                <w:lang w:val="en-US" w:eastAsia="fr-FR"/>
              </w:rPr>
            </w:pPr>
            <w:r>
              <w:rPr>
                <w:lang w:eastAsia="fr-FR"/>
              </w:rPr>
              <w:t>Evelyne DE DREE</w:t>
            </w:r>
            <w:r>
              <w:rPr>
                <w:lang w:val="en-US" w:eastAsia="fr-FR"/>
              </w:rPr>
              <w:t xml:space="preserve"> </w:t>
            </w:r>
          </w:p>
          <w:p w:rsidR="00F04EEF" w:rsidRDefault="0099351E">
            <w:pPr>
              <w:tabs>
                <w:tab w:val="left" w:pos="1134"/>
              </w:tabs>
              <w:snapToGrid w:val="0"/>
              <w:jc w:val="both"/>
              <w:rPr>
                <w:lang w:val="en-US" w:eastAsia="fr-FR"/>
              </w:rPr>
            </w:pPr>
            <w:r>
              <w:rPr>
                <w:lang w:val="en-US" w:eastAsia="fr-FR"/>
              </w:rPr>
              <w:t>Geoffroy SINON</w:t>
            </w:r>
          </w:p>
          <w:p w:rsidR="00F04EEF" w:rsidRDefault="0099351E">
            <w:pPr>
              <w:tabs>
                <w:tab w:val="left" w:pos="1134"/>
              </w:tabs>
              <w:snapToGrid w:val="0"/>
              <w:jc w:val="both"/>
              <w:rPr>
                <w:lang w:val="en-US" w:eastAsia="fr-FR"/>
              </w:rPr>
            </w:pPr>
            <w:r>
              <w:rPr>
                <w:lang w:eastAsia="fr-FR"/>
              </w:rPr>
              <w:t>Demis HOUTRELLE</w:t>
            </w:r>
          </w:p>
          <w:p w:rsidR="00F04EEF" w:rsidRDefault="00F04EEF">
            <w:pPr>
              <w:tabs>
                <w:tab w:val="left" w:pos="1134"/>
              </w:tabs>
              <w:snapToGrid w:val="0"/>
              <w:jc w:val="both"/>
              <w:rPr>
                <w:lang w:eastAsia="fr-FR"/>
              </w:rPr>
            </w:pPr>
          </w:p>
          <w:p w:rsidR="00F04EEF" w:rsidRDefault="0099351E">
            <w:pPr>
              <w:tabs>
                <w:tab w:val="left" w:pos="1134"/>
              </w:tabs>
              <w:snapToGrid w:val="0"/>
              <w:jc w:val="both"/>
              <w:rPr>
                <w:lang w:eastAsia="fr-FR"/>
              </w:rPr>
            </w:pPr>
            <w:r>
              <w:rPr>
                <w:lang w:eastAsia="fr-FR"/>
              </w:rPr>
              <w:t>Géraldine THUNIS</w:t>
            </w:r>
          </w:p>
          <w:p w:rsidR="00F04EEF" w:rsidRDefault="0099351E">
            <w:pPr>
              <w:tabs>
                <w:tab w:val="left" w:pos="1134"/>
              </w:tabs>
              <w:snapToGrid w:val="0"/>
              <w:jc w:val="both"/>
              <w:rPr>
                <w:lang w:eastAsia="fr-FR"/>
              </w:rPr>
            </w:pPr>
            <w:r>
              <w:rPr>
                <w:lang w:eastAsia="fr-FR"/>
              </w:rPr>
              <w:t>Evelyne DE DREE</w:t>
            </w:r>
          </w:p>
          <w:p w:rsidR="00F04EEF" w:rsidRDefault="0099351E">
            <w:pPr>
              <w:tabs>
                <w:tab w:val="left" w:pos="1134"/>
              </w:tabs>
              <w:snapToGrid w:val="0"/>
              <w:jc w:val="both"/>
              <w:rPr>
                <w:lang w:eastAsia="fr-FR"/>
              </w:rPr>
            </w:pPr>
            <w:r>
              <w:rPr>
                <w:lang w:eastAsia="fr-FR"/>
              </w:rPr>
              <w:t>Hinde Hana KERKOUB</w:t>
            </w:r>
          </w:p>
          <w:p w:rsidR="00F04EEF" w:rsidRDefault="0099351E">
            <w:pPr>
              <w:tabs>
                <w:tab w:val="left" w:pos="1134"/>
              </w:tabs>
              <w:snapToGrid w:val="0"/>
              <w:jc w:val="both"/>
              <w:rPr>
                <w:lang w:val="en-GB" w:eastAsia="fr-FR"/>
              </w:rPr>
            </w:pPr>
            <w:r>
              <w:rPr>
                <w:lang w:val="en-GB" w:eastAsia="fr-FR"/>
              </w:rPr>
              <w:t>Samia LEDHEM</w:t>
            </w:r>
          </w:p>
          <w:p w:rsidR="00F04EEF" w:rsidRDefault="00F04EEF">
            <w:pPr>
              <w:tabs>
                <w:tab w:val="left" w:pos="1134"/>
              </w:tabs>
              <w:snapToGrid w:val="0"/>
              <w:jc w:val="both"/>
              <w:rPr>
                <w:lang w:val="en-GB" w:eastAsia="fr-FR"/>
              </w:rPr>
            </w:pPr>
          </w:p>
          <w:p w:rsidR="00F04EEF" w:rsidRDefault="0099351E">
            <w:pPr>
              <w:tabs>
                <w:tab w:val="left" w:pos="1134"/>
              </w:tabs>
              <w:snapToGrid w:val="0"/>
              <w:jc w:val="both"/>
              <w:rPr>
                <w:lang w:val="en-US" w:eastAsia="fr-FR"/>
              </w:rPr>
            </w:pPr>
            <w:r>
              <w:rPr>
                <w:lang w:val="en-US" w:eastAsia="fr-FR"/>
              </w:rPr>
              <w:t>Geoffroy SINON</w:t>
            </w:r>
          </w:p>
          <w:p w:rsidR="00F04EEF" w:rsidRDefault="0099351E">
            <w:pPr>
              <w:tabs>
                <w:tab w:val="left" w:pos="1134"/>
              </w:tabs>
              <w:snapToGrid w:val="0"/>
              <w:jc w:val="both"/>
              <w:rPr>
                <w:lang w:val="en-US" w:eastAsia="fr-FR"/>
              </w:rPr>
            </w:pPr>
            <w:r>
              <w:rPr>
                <w:lang w:val="en-US" w:eastAsia="fr-FR"/>
              </w:rPr>
              <w:t>Patrick GOSSE</w:t>
            </w:r>
          </w:p>
          <w:p w:rsidR="00F04EEF" w:rsidRDefault="00F04EEF">
            <w:pPr>
              <w:tabs>
                <w:tab w:val="left" w:pos="1134"/>
              </w:tabs>
              <w:snapToGrid w:val="0"/>
              <w:jc w:val="both"/>
              <w:rPr>
                <w:lang w:val="en-US" w:eastAsia="fr-FR"/>
              </w:rPr>
            </w:pPr>
          </w:p>
          <w:p w:rsidR="00F04EEF" w:rsidRDefault="0099351E">
            <w:pPr>
              <w:tabs>
                <w:tab w:val="left" w:pos="1134"/>
              </w:tabs>
              <w:snapToGrid w:val="0"/>
              <w:jc w:val="both"/>
              <w:rPr>
                <w:lang w:val="en-GB" w:eastAsia="fr-FR"/>
              </w:rPr>
            </w:pPr>
            <w:r>
              <w:rPr>
                <w:lang w:val="en-GB" w:eastAsia="fr-FR"/>
              </w:rPr>
              <w:t>Samia LEDHEM</w:t>
            </w:r>
          </w:p>
          <w:p w:rsidR="00F04EEF" w:rsidRDefault="00F04EEF">
            <w:pPr>
              <w:tabs>
                <w:tab w:val="left" w:pos="1134"/>
              </w:tabs>
              <w:snapToGrid w:val="0"/>
              <w:jc w:val="both"/>
              <w:rPr>
                <w:lang w:eastAsia="fr-FR"/>
              </w:rPr>
            </w:pPr>
          </w:p>
          <w:p w:rsidR="00F04EEF" w:rsidRDefault="0099351E">
            <w:pPr>
              <w:snapToGrid w:val="0"/>
              <w:jc w:val="both"/>
            </w:pPr>
            <w:r>
              <w:rPr>
                <w:lang w:eastAsia="fr-FR"/>
              </w:rPr>
              <w:t>Demis HOUTRELLE</w:t>
            </w:r>
          </w:p>
        </w:tc>
        <w:tc>
          <w:tcPr>
            <w:tcW w:w="2552" w:type="dxa"/>
            <w:gridSpan w:val="2"/>
            <w:shd w:val="clear" w:color="auto" w:fill="FFFFFF" w:themeFill="background1"/>
          </w:tcPr>
          <w:p w:rsidR="00F04EEF" w:rsidRDefault="0099351E">
            <w:pPr>
              <w:tabs>
                <w:tab w:val="left" w:pos="1134"/>
              </w:tabs>
              <w:snapToGrid w:val="0"/>
              <w:jc w:val="center"/>
              <w:rPr>
                <w:lang w:val="fr-FR" w:eastAsia="fr-FR"/>
              </w:rPr>
            </w:pPr>
            <w:r>
              <w:rPr>
                <w:lang w:val="fr-FR" w:eastAsia="fr-FR"/>
              </w:rPr>
              <w:t>83.34</w:t>
            </w:r>
          </w:p>
          <w:p w:rsidR="00F04EEF" w:rsidRDefault="00F04EEF">
            <w:pPr>
              <w:tabs>
                <w:tab w:val="left" w:pos="1134"/>
              </w:tabs>
              <w:snapToGrid w:val="0"/>
              <w:jc w:val="center"/>
              <w:rPr>
                <w:lang w:val="fr-FR" w:eastAsia="fr-FR"/>
              </w:rPr>
            </w:pPr>
          </w:p>
          <w:p w:rsidR="00F04EEF" w:rsidRDefault="0099351E">
            <w:pPr>
              <w:tabs>
                <w:tab w:val="left" w:pos="1134"/>
              </w:tabs>
              <w:snapToGrid w:val="0"/>
              <w:jc w:val="center"/>
              <w:rPr>
                <w:lang w:val="fr-FR" w:eastAsia="fr-FR"/>
              </w:rPr>
            </w:pPr>
            <w:r>
              <w:rPr>
                <w:lang w:val="fr-FR" w:eastAsia="fr-FR"/>
              </w:rPr>
              <w:t>83.62</w:t>
            </w:r>
          </w:p>
          <w:p w:rsidR="00F04EEF" w:rsidRDefault="0099351E">
            <w:pPr>
              <w:tabs>
                <w:tab w:val="left" w:pos="1134"/>
              </w:tabs>
              <w:snapToGrid w:val="0"/>
              <w:jc w:val="center"/>
              <w:rPr>
                <w:lang w:val="fr-FR" w:eastAsia="fr-FR"/>
              </w:rPr>
            </w:pPr>
            <w:r>
              <w:rPr>
                <w:lang w:val="fr-FR" w:eastAsia="fr-FR"/>
              </w:rPr>
              <w:t>83.65</w:t>
            </w:r>
          </w:p>
          <w:p w:rsidR="00F04EEF" w:rsidRDefault="0099351E">
            <w:pPr>
              <w:tabs>
                <w:tab w:val="left" w:pos="1134"/>
              </w:tabs>
              <w:snapToGrid w:val="0"/>
              <w:jc w:val="center"/>
              <w:rPr>
                <w:lang w:val="fr-FR" w:eastAsia="fr-FR"/>
              </w:rPr>
            </w:pPr>
            <w:r>
              <w:rPr>
                <w:lang w:val="fr-FR" w:eastAsia="fr-FR"/>
              </w:rPr>
              <w:t>02/413.26.27</w:t>
            </w:r>
          </w:p>
          <w:p w:rsidR="00F04EEF" w:rsidRDefault="0099351E">
            <w:pPr>
              <w:tabs>
                <w:tab w:val="left" w:pos="1134"/>
              </w:tabs>
              <w:snapToGrid w:val="0"/>
              <w:jc w:val="center"/>
              <w:rPr>
                <w:lang w:val="fr-FR" w:eastAsia="fr-FR"/>
              </w:rPr>
            </w:pPr>
            <w:r>
              <w:rPr>
                <w:lang w:val="fr-FR" w:eastAsia="fr-FR"/>
              </w:rPr>
              <w:t>83.57</w:t>
            </w:r>
          </w:p>
          <w:p w:rsidR="00F04EEF" w:rsidRDefault="0099351E">
            <w:pPr>
              <w:tabs>
                <w:tab w:val="left" w:pos="1134"/>
              </w:tabs>
              <w:snapToGrid w:val="0"/>
              <w:jc w:val="center"/>
              <w:rPr>
                <w:lang w:val="fr-FR" w:eastAsia="fr-FR"/>
              </w:rPr>
            </w:pPr>
            <w:r>
              <w:rPr>
                <w:lang w:val="fr-FR" w:eastAsia="fr-FR"/>
              </w:rPr>
              <w:t>83.34</w:t>
            </w:r>
          </w:p>
          <w:p w:rsidR="00F04EEF" w:rsidRDefault="00F04EEF">
            <w:pPr>
              <w:tabs>
                <w:tab w:val="left" w:pos="1134"/>
              </w:tabs>
              <w:snapToGrid w:val="0"/>
              <w:rPr>
                <w:lang w:val="fr-FR" w:eastAsia="fr-FR"/>
              </w:rPr>
            </w:pPr>
          </w:p>
          <w:p w:rsidR="00F04EEF" w:rsidRDefault="0099351E">
            <w:pPr>
              <w:tabs>
                <w:tab w:val="left" w:pos="1134"/>
              </w:tabs>
              <w:snapToGrid w:val="0"/>
              <w:jc w:val="center"/>
              <w:rPr>
                <w:lang w:val="fr-FR" w:eastAsia="fr-FR"/>
              </w:rPr>
            </w:pPr>
            <w:r>
              <w:rPr>
                <w:lang w:val="fr-FR" w:eastAsia="fr-FR"/>
              </w:rPr>
              <w:t>83.73</w:t>
            </w:r>
          </w:p>
          <w:p w:rsidR="00F04EEF" w:rsidRDefault="0099351E">
            <w:pPr>
              <w:tabs>
                <w:tab w:val="left" w:pos="1134"/>
              </w:tabs>
              <w:snapToGrid w:val="0"/>
              <w:jc w:val="center"/>
              <w:rPr>
                <w:lang w:val="fr-FR" w:eastAsia="fr-FR"/>
              </w:rPr>
            </w:pPr>
            <w:r>
              <w:rPr>
                <w:lang w:val="fr-FR" w:eastAsia="fr-FR"/>
              </w:rPr>
              <w:t>02/413.26.27</w:t>
            </w:r>
          </w:p>
          <w:p w:rsidR="00F04EEF" w:rsidRDefault="0099351E">
            <w:pPr>
              <w:tabs>
                <w:tab w:val="left" w:pos="1134"/>
              </w:tabs>
              <w:snapToGrid w:val="0"/>
              <w:jc w:val="center"/>
              <w:rPr>
                <w:lang w:val="fr-FR" w:eastAsia="fr-FR"/>
              </w:rPr>
            </w:pPr>
            <w:r>
              <w:rPr>
                <w:lang w:val="fr-FR" w:eastAsia="fr-FR"/>
              </w:rPr>
              <w:t>82.15</w:t>
            </w:r>
          </w:p>
          <w:p w:rsidR="00F04EEF" w:rsidRDefault="0099351E">
            <w:pPr>
              <w:tabs>
                <w:tab w:val="left" w:pos="1134"/>
              </w:tabs>
              <w:snapToGrid w:val="0"/>
              <w:jc w:val="center"/>
              <w:rPr>
                <w:lang w:val="fr-FR" w:eastAsia="fr-FR"/>
              </w:rPr>
            </w:pPr>
            <w:r>
              <w:rPr>
                <w:lang w:val="fr-FR" w:eastAsia="fr-FR"/>
              </w:rPr>
              <w:t>02/413.26.58</w:t>
            </w:r>
          </w:p>
          <w:p w:rsidR="00F04EEF" w:rsidRDefault="00F04EEF">
            <w:pPr>
              <w:tabs>
                <w:tab w:val="left" w:pos="1134"/>
              </w:tabs>
              <w:snapToGrid w:val="0"/>
              <w:jc w:val="center"/>
              <w:rPr>
                <w:lang w:val="fr-FR" w:eastAsia="fr-FR"/>
              </w:rPr>
            </w:pPr>
          </w:p>
          <w:p w:rsidR="00F04EEF" w:rsidRDefault="0099351E">
            <w:pPr>
              <w:tabs>
                <w:tab w:val="left" w:pos="1134"/>
              </w:tabs>
              <w:snapToGrid w:val="0"/>
              <w:jc w:val="center"/>
              <w:rPr>
                <w:lang w:val="fr-FR" w:eastAsia="fr-FR"/>
              </w:rPr>
            </w:pPr>
            <w:r>
              <w:rPr>
                <w:lang w:val="fr-FR" w:eastAsia="fr-FR"/>
              </w:rPr>
              <w:t>83.57</w:t>
            </w:r>
          </w:p>
          <w:p w:rsidR="00F04EEF" w:rsidRDefault="0099351E">
            <w:pPr>
              <w:tabs>
                <w:tab w:val="left" w:pos="1134"/>
              </w:tabs>
              <w:snapToGrid w:val="0"/>
              <w:jc w:val="center"/>
              <w:rPr>
                <w:lang w:val="fr-FR" w:eastAsia="fr-FR"/>
              </w:rPr>
            </w:pPr>
            <w:r>
              <w:rPr>
                <w:lang w:val="fr-FR" w:eastAsia="fr-FR"/>
              </w:rPr>
              <w:t>85.10</w:t>
            </w:r>
          </w:p>
          <w:p w:rsidR="00F04EEF" w:rsidRDefault="00F04EEF">
            <w:pPr>
              <w:tabs>
                <w:tab w:val="left" w:pos="1134"/>
              </w:tabs>
              <w:snapToGrid w:val="0"/>
              <w:jc w:val="center"/>
              <w:rPr>
                <w:lang w:val="fr-FR" w:eastAsia="fr-FR"/>
              </w:rPr>
            </w:pPr>
          </w:p>
          <w:p w:rsidR="00F04EEF" w:rsidRDefault="0099351E">
            <w:pPr>
              <w:tabs>
                <w:tab w:val="left" w:pos="1134"/>
              </w:tabs>
              <w:snapToGrid w:val="0"/>
              <w:jc w:val="center"/>
              <w:rPr>
                <w:lang w:val="fr-FR" w:eastAsia="fr-FR"/>
              </w:rPr>
            </w:pPr>
            <w:r>
              <w:rPr>
                <w:lang w:val="fr-FR" w:eastAsia="fr-FR"/>
              </w:rPr>
              <w:t>02/413.26.58</w:t>
            </w:r>
          </w:p>
          <w:p w:rsidR="00F04EEF" w:rsidRDefault="00F04EEF">
            <w:pPr>
              <w:tabs>
                <w:tab w:val="left" w:pos="1134"/>
              </w:tabs>
              <w:snapToGrid w:val="0"/>
              <w:jc w:val="center"/>
              <w:rPr>
                <w:lang w:val="fr-FR" w:eastAsia="fr-FR"/>
              </w:rPr>
            </w:pPr>
          </w:p>
          <w:p w:rsidR="00F04EEF" w:rsidRDefault="0099351E">
            <w:pPr>
              <w:tabs>
                <w:tab w:val="left" w:pos="1134"/>
              </w:tabs>
              <w:snapToGrid w:val="0"/>
              <w:jc w:val="center"/>
            </w:pPr>
            <w:r>
              <w:rPr>
                <w:lang w:val="fr-FR" w:eastAsia="fr-FR"/>
              </w:rPr>
              <w:t>83.34</w:t>
            </w:r>
          </w:p>
        </w:tc>
      </w:tr>
      <w:tr w:rsidR="00F04EEF">
        <w:trPr>
          <w:cantSplit/>
        </w:trPr>
        <w:tc>
          <w:tcPr>
            <w:tcW w:w="3823" w:type="dxa"/>
          </w:tcPr>
          <w:p w:rsidR="00F04EEF" w:rsidRDefault="0099351E">
            <w:pPr>
              <w:snapToGrid w:val="0"/>
              <w:jc w:val="both"/>
              <w:rPr>
                <w:b/>
              </w:rPr>
            </w:pPr>
            <w:r>
              <w:rPr>
                <w:b/>
              </w:rPr>
              <w:t>Enseignement à domicile</w:t>
            </w:r>
          </w:p>
        </w:tc>
        <w:tc>
          <w:tcPr>
            <w:tcW w:w="2976" w:type="dxa"/>
          </w:tcPr>
          <w:p w:rsidR="00F04EEF" w:rsidRDefault="00F04EEF">
            <w:pPr>
              <w:snapToGrid w:val="0"/>
              <w:jc w:val="both"/>
              <w:rPr>
                <w:lang w:val="en-GB"/>
              </w:rPr>
            </w:pPr>
          </w:p>
        </w:tc>
        <w:tc>
          <w:tcPr>
            <w:tcW w:w="2552" w:type="dxa"/>
            <w:gridSpan w:val="2"/>
          </w:tcPr>
          <w:p w:rsidR="00F04EEF" w:rsidRDefault="0099351E">
            <w:pPr>
              <w:snapToGrid w:val="0"/>
              <w:jc w:val="center"/>
            </w:pPr>
            <w:r>
              <w:t>86.90</w:t>
            </w:r>
          </w:p>
        </w:tc>
      </w:tr>
      <w:tr w:rsidR="00F04EEF">
        <w:trPr>
          <w:cantSplit/>
        </w:trPr>
        <w:tc>
          <w:tcPr>
            <w:tcW w:w="3823" w:type="dxa"/>
          </w:tcPr>
          <w:p w:rsidR="00F04EEF" w:rsidRDefault="00F04EEF">
            <w:pPr>
              <w:snapToGrid w:val="0"/>
              <w:jc w:val="both"/>
            </w:pPr>
          </w:p>
        </w:tc>
        <w:tc>
          <w:tcPr>
            <w:tcW w:w="2976" w:type="dxa"/>
          </w:tcPr>
          <w:p w:rsidR="00F04EEF" w:rsidRDefault="0099351E">
            <w:pPr>
              <w:snapToGrid w:val="0"/>
              <w:jc w:val="both"/>
              <w:rPr>
                <w:lang w:val="en-GB"/>
              </w:rPr>
            </w:pPr>
            <w:r>
              <w:rPr>
                <w:lang w:val="en-GB"/>
              </w:rPr>
              <w:t xml:space="preserve">Thibault TOURNAY </w:t>
            </w:r>
          </w:p>
        </w:tc>
        <w:tc>
          <w:tcPr>
            <w:tcW w:w="2552" w:type="dxa"/>
            <w:gridSpan w:val="2"/>
          </w:tcPr>
          <w:p w:rsidR="00F04EEF" w:rsidRDefault="0099351E">
            <w:pPr>
              <w:snapToGrid w:val="0"/>
              <w:jc w:val="center"/>
            </w:pPr>
            <w:r>
              <w:t>87.84</w:t>
            </w:r>
          </w:p>
          <w:p w:rsidR="00F04EEF" w:rsidRDefault="00F04EEF">
            <w:pPr>
              <w:snapToGrid w:val="0"/>
              <w:jc w:val="center"/>
            </w:pPr>
          </w:p>
        </w:tc>
      </w:tr>
      <w:tr w:rsidR="00F04EEF">
        <w:trPr>
          <w:cantSplit/>
        </w:trPr>
        <w:tc>
          <w:tcPr>
            <w:tcW w:w="3823" w:type="dxa"/>
          </w:tcPr>
          <w:p w:rsidR="00F04EEF" w:rsidRDefault="0099351E">
            <w:pPr>
              <w:snapToGrid w:val="0"/>
              <w:rPr>
                <w:b/>
                <w:sz w:val="22"/>
                <w:szCs w:val="22"/>
              </w:rPr>
            </w:pPr>
            <w:r>
              <w:rPr>
                <w:b/>
                <w:sz w:val="22"/>
                <w:szCs w:val="22"/>
              </w:rPr>
              <w:t>Service des classes de dépaysement </w:t>
            </w:r>
          </w:p>
        </w:tc>
        <w:tc>
          <w:tcPr>
            <w:tcW w:w="2976" w:type="dxa"/>
          </w:tcPr>
          <w:p w:rsidR="00F04EEF" w:rsidRDefault="00F04EEF">
            <w:pPr>
              <w:snapToGrid w:val="0"/>
              <w:jc w:val="both"/>
              <w:rPr>
                <w:lang w:val="en-GB"/>
              </w:rPr>
            </w:pPr>
          </w:p>
        </w:tc>
        <w:tc>
          <w:tcPr>
            <w:tcW w:w="2552" w:type="dxa"/>
            <w:gridSpan w:val="2"/>
          </w:tcPr>
          <w:p w:rsidR="00F04EEF" w:rsidRDefault="00F04EEF">
            <w:pPr>
              <w:snapToGrid w:val="0"/>
              <w:jc w:val="center"/>
            </w:pPr>
          </w:p>
        </w:tc>
      </w:tr>
      <w:tr w:rsidR="00F04EEF">
        <w:trPr>
          <w:cantSplit/>
        </w:trPr>
        <w:tc>
          <w:tcPr>
            <w:tcW w:w="3823" w:type="dxa"/>
          </w:tcPr>
          <w:p w:rsidR="00F04EEF" w:rsidRDefault="00F04EEF">
            <w:pPr>
              <w:snapToGrid w:val="0"/>
              <w:jc w:val="center"/>
              <w:rPr>
                <w:b/>
                <w:bCs/>
                <w:u w:val="single"/>
              </w:rPr>
            </w:pPr>
          </w:p>
        </w:tc>
        <w:tc>
          <w:tcPr>
            <w:tcW w:w="2976" w:type="dxa"/>
          </w:tcPr>
          <w:p w:rsidR="00F04EEF" w:rsidRDefault="0099351E">
            <w:pPr>
              <w:snapToGrid w:val="0"/>
            </w:pPr>
            <w:r>
              <w:t>Cindy JUVENOIS</w:t>
            </w:r>
          </w:p>
          <w:p w:rsidR="00F04EEF" w:rsidRDefault="00F04EEF">
            <w:pPr>
              <w:snapToGrid w:val="0"/>
              <w:rPr>
                <w:lang w:val="en-GB"/>
              </w:rPr>
            </w:pPr>
          </w:p>
        </w:tc>
        <w:tc>
          <w:tcPr>
            <w:tcW w:w="2552" w:type="dxa"/>
            <w:gridSpan w:val="2"/>
          </w:tcPr>
          <w:p w:rsidR="00F04EEF" w:rsidRDefault="0099351E">
            <w:pPr>
              <w:snapToGrid w:val="0"/>
              <w:jc w:val="center"/>
            </w:pPr>
            <w:r>
              <w:t>87.42</w:t>
            </w:r>
          </w:p>
        </w:tc>
      </w:tr>
      <w:tr w:rsidR="00F04EEF">
        <w:trPr>
          <w:cantSplit/>
        </w:trPr>
        <w:tc>
          <w:tcPr>
            <w:tcW w:w="3823" w:type="dxa"/>
          </w:tcPr>
          <w:p w:rsidR="00F04EEF" w:rsidRDefault="0099351E">
            <w:pPr>
              <w:snapToGrid w:val="0"/>
              <w:jc w:val="center"/>
            </w:pPr>
            <w:r>
              <w:rPr>
                <w:b/>
                <w:bCs/>
                <w:u w:val="single"/>
              </w:rPr>
              <w:t>Autre(s) service(s)</w:t>
            </w:r>
          </w:p>
        </w:tc>
        <w:tc>
          <w:tcPr>
            <w:tcW w:w="2976" w:type="dxa"/>
          </w:tcPr>
          <w:p w:rsidR="00F04EEF" w:rsidRDefault="00F04EEF">
            <w:pPr>
              <w:snapToGrid w:val="0"/>
              <w:jc w:val="both"/>
              <w:rPr>
                <w:lang w:val="en-GB"/>
              </w:rPr>
            </w:pPr>
          </w:p>
        </w:tc>
        <w:tc>
          <w:tcPr>
            <w:tcW w:w="2552" w:type="dxa"/>
            <w:gridSpan w:val="2"/>
          </w:tcPr>
          <w:p w:rsidR="00F04EEF" w:rsidRDefault="00F04EEF">
            <w:pPr>
              <w:snapToGrid w:val="0"/>
              <w:jc w:val="center"/>
            </w:pPr>
          </w:p>
        </w:tc>
      </w:tr>
      <w:tr w:rsidR="00F04EEF">
        <w:trPr>
          <w:cantSplit/>
        </w:trPr>
        <w:tc>
          <w:tcPr>
            <w:tcW w:w="3823" w:type="dxa"/>
          </w:tcPr>
          <w:p w:rsidR="00F04EEF" w:rsidRDefault="0099351E">
            <w:pPr>
              <w:snapToGrid w:val="0"/>
              <w:jc w:val="both"/>
            </w:pPr>
            <w:r>
              <w:t>Vérification comptable (tous réseaux)</w:t>
            </w:r>
          </w:p>
        </w:tc>
        <w:tc>
          <w:tcPr>
            <w:tcW w:w="2976" w:type="dxa"/>
          </w:tcPr>
          <w:p w:rsidR="00F04EEF" w:rsidRDefault="0099351E">
            <w:pPr>
              <w:snapToGrid w:val="0"/>
              <w:jc w:val="both"/>
              <w:rPr>
                <w:lang w:val="en-GB"/>
              </w:rPr>
            </w:pPr>
            <w:r>
              <w:rPr>
                <w:lang w:val="en-GB"/>
              </w:rPr>
              <w:t>Sylvie LEMASSON</w:t>
            </w:r>
          </w:p>
        </w:tc>
        <w:tc>
          <w:tcPr>
            <w:tcW w:w="2552" w:type="dxa"/>
            <w:gridSpan w:val="2"/>
          </w:tcPr>
          <w:p w:rsidR="00F04EEF" w:rsidRDefault="0099351E">
            <w:pPr>
              <w:snapToGrid w:val="0"/>
              <w:jc w:val="center"/>
            </w:pPr>
            <w:r>
              <w:t>83.46</w:t>
            </w:r>
          </w:p>
        </w:tc>
      </w:tr>
      <w:tr w:rsidR="00F04EEF">
        <w:trPr>
          <w:trHeight w:val="678"/>
        </w:trPr>
        <w:tc>
          <w:tcPr>
            <w:tcW w:w="3823" w:type="dxa"/>
          </w:tcPr>
          <w:p w:rsidR="00F04EEF" w:rsidRDefault="0099351E">
            <w:pPr>
              <w:tabs>
                <w:tab w:val="left" w:pos="1134"/>
              </w:tabs>
              <w:snapToGrid w:val="0"/>
              <w:rPr>
                <w:color w:val="000000"/>
              </w:rPr>
            </w:pPr>
            <w:r>
              <w:rPr>
                <w:color w:val="000000"/>
              </w:rPr>
              <w:t>Sécurité-Hygiène</w:t>
            </w:r>
          </w:p>
          <w:p w:rsidR="00F04EEF" w:rsidRDefault="0099351E">
            <w:pPr>
              <w:pStyle w:val="Paragraphedeliste"/>
              <w:numPr>
                <w:ilvl w:val="0"/>
                <w:numId w:val="67"/>
              </w:numPr>
              <w:tabs>
                <w:tab w:val="left" w:pos="1134"/>
              </w:tabs>
              <w:snapToGrid w:val="0"/>
              <w:ind w:left="0"/>
              <w:rPr>
                <w:rFonts w:asciiTheme="majorHAnsi" w:hAnsiTheme="majorHAnsi"/>
                <w:color w:val="000000"/>
                <w:sz w:val="22"/>
                <w:szCs w:val="22"/>
              </w:rPr>
            </w:pPr>
            <w:r>
              <w:rPr>
                <w:rFonts w:asciiTheme="majorHAnsi" w:hAnsiTheme="majorHAnsi"/>
                <w:color w:val="000000"/>
                <w:sz w:val="22"/>
                <w:szCs w:val="22"/>
              </w:rPr>
              <w:t>enseignement subventionné</w:t>
            </w:r>
          </w:p>
          <w:p w:rsidR="00F04EEF" w:rsidRDefault="00F04EEF">
            <w:pPr>
              <w:pStyle w:val="Paragraphedeliste"/>
              <w:tabs>
                <w:tab w:val="left" w:pos="1134"/>
              </w:tabs>
              <w:snapToGrid w:val="0"/>
              <w:ind w:left="0"/>
              <w:rPr>
                <w:rFonts w:asciiTheme="majorHAnsi" w:hAnsiTheme="majorHAnsi"/>
                <w:color w:val="000000"/>
                <w:sz w:val="22"/>
                <w:szCs w:val="22"/>
              </w:rPr>
            </w:pPr>
          </w:p>
          <w:p w:rsidR="00F04EEF" w:rsidRDefault="0099351E">
            <w:pPr>
              <w:pStyle w:val="Paragraphedeliste"/>
              <w:numPr>
                <w:ilvl w:val="0"/>
                <w:numId w:val="67"/>
              </w:numPr>
              <w:tabs>
                <w:tab w:val="left" w:pos="1134"/>
              </w:tabs>
              <w:snapToGrid w:val="0"/>
              <w:ind w:left="0"/>
              <w:rPr>
                <w:rFonts w:asciiTheme="majorHAnsi" w:hAnsiTheme="majorHAnsi"/>
                <w:color w:val="000000"/>
                <w:sz w:val="22"/>
                <w:szCs w:val="22"/>
              </w:rPr>
            </w:pPr>
            <w:r>
              <w:rPr>
                <w:color w:val="000000"/>
                <w:sz w:val="22"/>
                <w:szCs w:val="22"/>
              </w:rPr>
              <w:t>Enseignement organisé par Wallonie-Bruxelles Enseignement (WBE)</w:t>
            </w:r>
          </w:p>
        </w:tc>
        <w:tc>
          <w:tcPr>
            <w:tcW w:w="2976" w:type="dxa"/>
          </w:tcPr>
          <w:p w:rsidR="00F04EEF" w:rsidRDefault="0099351E">
            <w:pPr>
              <w:tabs>
                <w:tab w:val="left" w:pos="1134"/>
              </w:tabs>
              <w:snapToGrid w:val="0"/>
              <w:rPr>
                <w:lang w:val="fr-FR"/>
              </w:rPr>
            </w:pPr>
            <w:r>
              <w:rPr>
                <w:lang w:val="fr-FR"/>
              </w:rPr>
              <w:t>Sylvie LEMASSON</w:t>
            </w:r>
          </w:p>
          <w:p w:rsidR="00F04EEF" w:rsidRDefault="00F04EEF">
            <w:pPr>
              <w:tabs>
                <w:tab w:val="left" w:pos="1134"/>
              </w:tabs>
              <w:snapToGrid w:val="0"/>
              <w:rPr>
                <w:lang w:val="fr-FR"/>
              </w:rPr>
            </w:pPr>
          </w:p>
          <w:p w:rsidR="00F04EEF" w:rsidRDefault="0099351E">
            <w:pPr>
              <w:tabs>
                <w:tab w:val="left" w:pos="1134"/>
              </w:tabs>
              <w:snapToGrid w:val="0"/>
              <w:rPr>
                <w:lang w:val="fr-FR"/>
              </w:rPr>
            </w:pPr>
            <w:r>
              <w:t>Julien NICAISE</w:t>
            </w:r>
          </w:p>
        </w:tc>
        <w:tc>
          <w:tcPr>
            <w:tcW w:w="2552" w:type="dxa"/>
            <w:gridSpan w:val="2"/>
          </w:tcPr>
          <w:p w:rsidR="00F04EEF" w:rsidRDefault="0099351E">
            <w:pPr>
              <w:tabs>
                <w:tab w:val="left" w:pos="1134"/>
              </w:tabs>
              <w:snapToGrid w:val="0"/>
              <w:jc w:val="center"/>
            </w:pPr>
            <w:r>
              <w:t>83.46</w:t>
            </w:r>
          </w:p>
          <w:p w:rsidR="00F04EEF" w:rsidRDefault="00F04EEF">
            <w:pPr>
              <w:tabs>
                <w:tab w:val="left" w:pos="1134"/>
              </w:tabs>
              <w:snapToGrid w:val="0"/>
              <w:jc w:val="center"/>
            </w:pPr>
          </w:p>
          <w:p w:rsidR="00F04EEF" w:rsidRDefault="0099351E">
            <w:pPr>
              <w:tabs>
                <w:tab w:val="left" w:pos="1134"/>
              </w:tabs>
              <w:snapToGrid w:val="0"/>
              <w:jc w:val="center"/>
            </w:pPr>
            <w:r>
              <w:t>02/413.3931</w:t>
            </w:r>
          </w:p>
        </w:tc>
      </w:tr>
    </w:tbl>
    <w:p w:rsidR="00F04EEF" w:rsidRDefault="0099351E">
      <w:pPr>
        <w:jc w:val="both"/>
      </w:pPr>
      <w:r>
        <w:rPr>
          <w:noProof/>
          <w:lang w:eastAsia="fr-BE"/>
        </w:rPr>
        <mc:AlternateContent>
          <mc:Choice Requires="wps">
            <w:drawing>
              <wp:anchor distT="0" distB="0" distL="114300" distR="114300" simplePos="0" relativeHeight="252370944" behindDoc="0" locked="0" layoutInCell="1" allowOverlap="1">
                <wp:simplePos x="0" y="0"/>
                <wp:positionH relativeFrom="column">
                  <wp:posOffset>6300470</wp:posOffset>
                </wp:positionH>
                <wp:positionV relativeFrom="paragraph">
                  <wp:posOffset>-481330</wp:posOffset>
                </wp:positionV>
                <wp:extent cx="0" cy="409575"/>
                <wp:effectExtent l="0" t="0" r="19050" b="28575"/>
                <wp:wrapNone/>
                <wp:docPr id="592" name="Connecteur droit 592"/>
                <wp:cNvGraphicFramePr/>
                <a:graphic xmlns:a="http://schemas.openxmlformats.org/drawingml/2006/main">
                  <a:graphicData uri="http://schemas.microsoft.com/office/word/2010/wordprocessingShape">
                    <wps:wsp>
                      <wps:cNvCnPr/>
                      <wps:spPr>
                        <a:xfrm>
                          <a:off x="0" y="0"/>
                          <a:ext cx="0" cy="4095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280881C" id="Connecteur droit 592" o:spid="_x0000_s1026" style="position:absolute;z-index:25237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37.9pt" to="496.1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" strokecolor="black [3213]"/>
            </w:pict>
          </mc:Fallback>
        </mc:AlternateContent>
      </w:r>
      <w:r>
        <w:rPr>
          <w:noProof/>
          <w:lang w:eastAsia="fr-BE"/>
        </w:rPr>
        <mc:AlternateContent>
          <mc:Choice Requires="wps">
            <w:drawing>
              <wp:anchor distT="0" distB="0" distL="114300" distR="114300" simplePos="0" relativeHeight="252368896" behindDoc="0" locked="0" layoutInCell="1" allowOverlap="1">
                <wp:simplePos x="0" y="0"/>
                <wp:positionH relativeFrom="column">
                  <wp:posOffset>6300470</wp:posOffset>
                </wp:positionH>
                <wp:positionV relativeFrom="paragraph">
                  <wp:posOffset>-1360170</wp:posOffset>
                </wp:positionV>
                <wp:extent cx="0" cy="171450"/>
                <wp:effectExtent l="0" t="0" r="19050" b="19050"/>
                <wp:wrapNone/>
                <wp:docPr id="591" name="Connecteur droit 591"/>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4156307" id="Connecteur droit 591" o:spid="_x0000_s1026" style="position:absolute;z-index:25236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07.1pt" to="496.1pt,-9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" strokecolor="black [3213]"/>
            </w:pict>
          </mc:Fallback>
        </mc:AlternateContent>
      </w:r>
    </w:p>
    <w:p w:rsidR="00F04EEF" w:rsidRDefault="0099351E">
      <w:pPr>
        <w:rPr>
          <w:b/>
          <w:u w:val="single"/>
        </w:rPr>
      </w:pPr>
      <w:r>
        <w:rPr>
          <w:b/>
          <w:u w:val="single"/>
        </w:rPr>
        <w:t>Service du médiateur de la Wallonie et de la Fédération Wallonie-Bruxelles</w:t>
      </w:r>
    </w:p>
    <w:p w:rsidR="00F04EEF" w:rsidRDefault="0099351E">
      <w:pPr>
        <w:pStyle w:val="Sous-titre"/>
        <w:spacing w:after="0" w:line="240" w:lineRule="auto"/>
        <w:rPr>
          <w:color w:val="auto"/>
        </w:rPr>
      </w:pPr>
      <w:r>
        <w:rPr>
          <w:color w:val="auto"/>
        </w:rPr>
        <w:t>Rue Lucien Namèche, 54</w:t>
      </w:r>
    </w:p>
    <w:p w:rsidR="00F04EEF" w:rsidRDefault="0099351E">
      <w:pPr>
        <w:pStyle w:val="Sous-titre"/>
        <w:spacing w:after="0" w:line="240" w:lineRule="auto"/>
        <w:rPr>
          <w:color w:val="auto"/>
        </w:rPr>
      </w:pPr>
      <w:r>
        <w:rPr>
          <w:color w:val="auto"/>
        </w:rPr>
        <w:t>5000 NAMUR</w:t>
      </w:r>
    </w:p>
    <w:p w:rsidR="00F04EEF" w:rsidRDefault="0099351E">
      <w:pPr>
        <w:pStyle w:val="Sous-titre"/>
        <w:spacing w:after="0" w:line="240" w:lineRule="auto"/>
        <w:rPr>
          <w:color w:val="auto"/>
        </w:rPr>
      </w:pPr>
      <w:r>
        <w:rPr>
          <w:color w:val="auto"/>
        </w:rPr>
        <w:t>Tel : 0800/19.199 – 081/32.19.11</w:t>
      </w:r>
    </w:p>
    <w:p w:rsidR="00F04EEF" w:rsidRDefault="0099351E">
      <w:pPr>
        <w:pStyle w:val="Sous-titre"/>
        <w:spacing w:after="0" w:line="240" w:lineRule="auto"/>
        <w:rPr>
          <w:color w:val="auto"/>
        </w:rPr>
      </w:pPr>
      <w:r>
        <w:rPr>
          <w:color w:val="auto"/>
        </w:rPr>
        <w:t xml:space="preserve">E-mail : </w:t>
      </w:r>
      <w:hyperlink r:id="rId366" w:history="1">
        <w:r>
          <w:rPr>
            <w:rStyle w:val="Lienhypertexte"/>
            <w:rFonts w:cs="Arial"/>
            <w:color w:val="4F81BD" w:themeColor="accent1"/>
          </w:rPr>
          <w:t>courrier@le-mediateur.be</w:t>
        </w:r>
      </w:hyperlink>
    </w:p>
    <w:p w:rsidR="00F04EEF" w:rsidRDefault="00F04EEF">
      <w:pPr>
        <w:jc w:val="both"/>
      </w:pPr>
    </w:p>
    <w:p w:rsidR="00F04EEF" w:rsidRDefault="00F04EEF"/>
    <w:p w:rsidR="00F04EEF" w:rsidRDefault="0099351E">
      <w:pPr>
        <w:rPr>
          <w:lang w:val="fr-FR"/>
        </w:rPr>
      </w:pPr>
      <w:r>
        <w:rPr>
          <w:lang w:val="fr-FR"/>
        </w:rPr>
        <w:br w:type="page"/>
      </w:r>
    </w:p>
    <w:p w:rsidR="00F04EEF" w:rsidRDefault="00F04EEF">
      <w:pPr>
        <w:jc w:val="both"/>
        <w:rPr>
          <w:lang w:val="fr-FR"/>
        </w:rPr>
      </w:pPr>
    </w:p>
    <w:p w:rsidR="00F04EEF" w:rsidRDefault="0099351E">
      <w:pPr>
        <w:pStyle w:val="Titre2"/>
      </w:pPr>
      <w:bookmarkStart w:id="4225" w:name="_INDEX_II_:"/>
      <w:bookmarkStart w:id="4226" w:name="_Toc47708671"/>
      <w:bookmarkEnd w:id="4225"/>
      <w:r>
        <w:t>INDEX II : Aide-mémoire des documents à envoyer par le chef d’établissement d’Enseignement spécialisé</w:t>
      </w:r>
      <w:bookmarkEnd w:id="4226"/>
    </w:p>
    <w:p w:rsidR="00F04EEF" w:rsidRDefault="00F04EEF">
      <w:pPr>
        <w:spacing w:line="360" w:lineRule="auto"/>
        <w:jc w:val="both"/>
      </w:pPr>
    </w:p>
    <w:p w:rsidR="00F04EEF" w:rsidRDefault="00F04EEF">
      <w:pPr>
        <w:spacing w:line="360" w:lineRule="auto"/>
        <w:jc w:val="both"/>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00"/>
        <w:gridCol w:w="2113"/>
        <w:gridCol w:w="1985"/>
      </w:tblGrid>
      <w:tr w:rsidR="00F04EEF">
        <w:tc>
          <w:tcPr>
            <w:tcW w:w="3708" w:type="dxa"/>
            <w:shd w:val="clear" w:color="auto" w:fill="66FF99"/>
          </w:tcPr>
          <w:p w:rsidR="00F04EEF" w:rsidRDefault="0099351E">
            <w:pPr>
              <w:jc w:val="center"/>
              <w:rPr>
                <w:b/>
              </w:rPr>
            </w:pPr>
            <w:r>
              <w:rPr>
                <w:b/>
              </w:rPr>
              <w:t>Objet</w:t>
            </w:r>
          </w:p>
        </w:tc>
        <w:tc>
          <w:tcPr>
            <w:tcW w:w="1800" w:type="dxa"/>
            <w:shd w:val="clear" w:color="auto" w:fill="66FF99"/>
          </w:tcPr>
          <w:p w:rsidR="00F04EEF" w:rsidRDefault="0099351E">
            <w:pPr>
              <w:jc w:val="center"/>
              <w:rPr>
                <w:b/>
              </w:rPr>
            </w:pPr>
            <w:r>
              <w:rPr>
                <w:b/>
              </w:rPr>
              <w:t>Type de documents</w:t>
            </w:r>
          </w:p>
        </w:tc>
        <w:tc>
          <w:tcPr>
            <w:tcW w:w="2113" w:type="dxa"/>
            <w:shd w:val="clear" w:color="auto" w:fill="66FF99"/>
          </w:tcPr>
          <w:p w:rsidR="00F04EEF" w:rsidRDefault="0099351E">
            <w:pPr>
              <w:jc w:val="center"/>
              <w:rPr>
                <w:b/>
              </w:rPr>
            </w:pPr>
            <w:r>
              <w:rPr>
                <w:b/>
              </w:rPr>
              <w:t>Destinataire(s)</w:t>
            </w:r>
          </w:p>
        </w:tc>
        <w:tc>
          <w:tcPr>
            <w:tcW w:w="1985" w:type="dxa"/>
            <w:shd w:val="clear" w:color="auto" w:fill="66FF99"/>
          </w:tcPr>
          <w:p w:rsidR="00F04EEF" w:rsidRDefault="0099351E">
            <w:pPr>
              <w:jc w:val="center"/>
              <w:rPr>
                <w:b/>
              </w:rPr>
            </w:pPr>
            <w:r>
              <w:rPr>
                <w:b/>
              </w:rPr>
              <w:t>Quand ?</w:t>
            </w:r>
          </w:p>
        </w:tc>
      </w:tr>
      <w:tr w:rsidR="00F04EEF">
        <w:tc>
          <w:tcPr>
            <w:tcW w:w="3708" w:type="dxa"/>
            <w:vAlign w:val="center"/>
          </w:tcPr>
          <w:p w:rsidR="00F04EEF" w:rsidRDefault="0099351E">
            <w:pPr>
              <w:tabs>
                <w:tab w:val="left" w:pos="1134"/>
              </w:tabs>
              <w:snapToGrid w:val="0"/>
            </w:pPr>
            <w:r>
              <w:t>Nom de la personne chargée de la gestion des dossiers élèves</w:t>
            </w:r>
          </w:p>
          <w:p w:rsidR="00F04EEF" w:rsidRDefault="00F04EEF"/>
        </w:tc>
        <w:tc>
          <w:tcPr>
            <w:tcW w:w="1800" w:type="dxa"/>
            <w:vAlign w:val="center"/>
          </w:tcPr>
          <w:p w:rsidR="00F04EEF" w:rsidRDefault="0099351E">
            <w:pPr>
              <w:jc w:val="center"/>
            </w:pPr>
            <w:r>
              <w:t>Courrier</w:t>
            </w:r>
          </w:p>
        </w:tc>
        <w:tc>
          <w:tcPr>
            <w:tcW w:w="2113" w:type="dxa"/>
            <w:vAlign w:val="center"/>
          </w:tcPr>
          <w:p w:rsidR="00F04EEF" w:rsidRDefault="0099351E">
            <w:pPr>
              <w:jc w:val="center"/>
            </w:pPr>
            <w:r>
              <w:t>Vérificateur de la population</w:t>
            </w:r>
          </w:p>
        </w:tc>
        <w:tc>
          <w:tcPr>
            <w:tcW w:w="1985" w:type="dxa"/>
            <w:vAlign w:val="center"/>
          </w:tcPr>
          <w:p w:rsidR="00F04EEF" w:rsidRDefault="0099351E">
            <w:pPr>
              <w:jc w:val="center"/>
              <w:rPr>
                <w:b/>
              </w:rPr>
            </w:pPr>
            <w:r>
              <w:rPr>
                <w:b/>
              </w:rPr>
              <w:t>début d'année scolaire</w:t>
            </w:r>
          </w:p>
          <w:p w:rsidR="00F04EEF" w:rsidRDefault="00F04EEF">
            <w:pPr>
              <w:jc w:val="center"/>
            </w:pPr>
          </w:p>
        </w:tc>
      </w:tr>
      <w:tr w:rsidR="00F04EEF">
        <w:tc>
          <w:tcPr>
            <w:tcW w:w="3708" w:type="dxa"/>
            <w:vAlign w:val="center"/>
          </w:tcPr>
          <w:p w:rsidR="00F04EEF" w:rsidRDefault="0099351E">
            <w:pPr>
              <w:tabs>
                <w:tab w:val="left" w:pos="1134"/>
              </w:tabs>
              <w:snapToGrid w:val="0"/>
            </w:pPr>
            <w:r>
              <w:t>Augmentation de 10% de la population scolaire</w:t>
            </w:r>
          </w:p>
        </w:tc>
        <w:tc>
          <w:tcPr>
            <w:tcW w:w="1800" w:type="dxa"/>
            <w:vAlign w:val="center"/>
          </w:tcPr>
          <w:p w:rsidR="00F04EEF" w:rsidRDefault="0099351E">
            <w:pPr>
              <w:jc w:val="center"/>
            </w:pPr>
            <w:r>
              <w:t xml:space="preserve">Courrier </w:t>
            </w:r>
            <w:r>
              <w:br/>
              <w:t>(ou par téléphone)</w:t>
            </w:r>
          </w:p>
        </w:tc>
        <w:tc>
          <w:tcPr>
            <w:tcW w:w="2113" w:type="dxa"/>
            <w:vAlign w:val="center"/>
          </w:tcPr>
          <w:p w:rsidR="00F04EEF" w:rsidRDefault="0099351E">
            <w:pPr>
              <w:jc w:val="center"/>
            </w:pPr>
            <w:r>
              <w:t>Vérificateur de la population</w:t>
            </w:r>
          </w:p>
        </w:tc>
        <w:tc>
          <w:tcPr>
            <w:tcW w:w="1985" w:type="dxa"/>
            <w:vAlign w:val="center"/>
          </w:tcPr>
          <w:p w:rsidR="00F04EEF" w:rsidRDefault="0099351E">
            <w:pPr>
              <w:jc w:val="center"/>
              <w:rPr>
                <w:b/>
              </w:rPr>
            </w:pPr>
            <w:r>
              <w:rPr>
                <w:b/>
              </w:rPr>
              <w:t>dès connaissance</w:t>
            </w:r>
          </w:p>
          <w:p w:rsidR="00F04EEF" w:rsidRDefault="00F04EEF">
            <w:pPr>
              <w:jc w:val="center"/>
              <w:rPr>
                <w:b/>
              </w:rPr>
            </w:pPr>
          </w:p>
        </w:tc>
      </w:tr>
      <w:tr w:rsidR="00F04EEF">
        <w:tc>
          <w:tcPr>
            <w:tcW w:w="3708" w:type="dxa"/>
            <w:vAlign w:val="center"/>
          </w:tcPr>
          <w:p w:rsidR="00F04EEF" w:rsidRDefault="0099351E">
            <w:pPr>
              <w:tabs>
                <w:tab w:val="left" w:pos="1134"/>
              </w:tabs>
              <w:snapToGrid w:val="0"/>
              <w:rPr>
                <w:b/>
              </w:rPr>
            </w:pPr>
            <w:r>
              <w:t xml:space="preserve">Absence du chef d'établissement, </w:t>
            </w:r>
            <w:r>
              <w:br/>
              <w:t>de l’administrateur, du personnel enseignant, du personnel auxiliaire d’éducation ou du paramédical</w:t>
            </w:r>
          </w:p>
        </w:tc>
        <w:tc>
          <w:tcPr>
            <w:tcW w:w="1800" w:type="dxa"/>
            <w:vAlign w:val="center"/>
          </w:tcPr>
          <w:p w:rsidR="00F04EEF" w:rsidRDefault="0099351E">
            <w:pPr>
              <w:jc w:val="center"/>
            </w:pPr>
            <w:r>
              <w:t>Courrier</w:t>
            </w:r>
          </w:p>
        </w:tc>
        <w:tc>
          <w:tcPr>
            <w:tcW w:w="2113" w:type="dxa"/>
            <w:vAlign w:val="center"/>
          </w:tcPr>
          <w:p w:rsidR="00F04EEF" w:rsidRDefault="0099351E">
            <w:pPr>
              <w:jc w:val="center"/>
            </w:pPr>
            <w:r>
              <w:t>Vérificateur de la population</w:t>
            </w:r>
          </w:p>
        </w:tc>
        <w:tc>
          <w:tcPr>
            <w:tcW w:w="1985" w:type="dxa"/>
            <w:vAlign w:val="center"/>
          </w:tcPr>
          <w:p w:rsidR="00F04EEF" w:rsidRDefault="0099351E">
            <w:pPr>
              <w:jc w:val="center"/>
              <w:rPr>
                <w:b/>
              </w:rPr>
            </w:pPr>
            <w:r>
              <w:rPr>
                <w:b/>
              </w:rPr>
              <w:t>dès connaissance</w:t>
            </w:r>
          </w:p>
        </w:tc>
      </w:tr>
      <w:tr w:rsidR="00F04EEF">
        <w:tc>
          <w:tcPr>
            <w:tcW w:w="3708" w:type="dxa"/>
            <w:vAlign w:val="center"/>
          </w:tcPr>
          <w:p w:rsidR="00F04EEF" w:rsidRDefault="0099351E">
            <w:pPr>
              <w:tabs>
                <w:tab w:val="left" w:pos="1134"/>
              </w:tabs>
              <w:snapToGrid w:val="0"/>
            </w:pPr>
            <w:r>
              <w:t>Demi-jours ou jours de congé de réserve</w:t>
            </w:r>
          </w:p>
          <w:p w:rsidR="00F04EEF" w:rsidRDefault="00F04EEF">
            <w:pPr>
              <w:tabs>
                <w:tab w:val="left" w:pos="1134"/>
              </w:tabs>
              <w:snapToGrid w:val="0"/>
              <w:rPr>
                <w:b/>
              </w:rPr>
            </w:pPr>
          </w:p>
        </w:tc>
        <w:tc>
          <w:tcPr>
            <w:tcW w:w="1800" w:type="dxa"/>
            <w:vAlign w:val="center"/>
          </w:tcPr>
          <w:p w:rsidR="00F04EEF" w:rsidRDefault="0099351E">
            <w:pPr>
              <w:jc w:val="center"/>
            </w:pPr>
            <w:r>
              <w:t>Courrier</w:t>
            </w:r>
          </w:p>
        </w:tc>
        <w:tc>
          <w:tcPr>
            <w:tcW w:w="2113" w:type="dxa"/>
            <w:vAlign w:val="center"/>
          </w:tcPr>
          <w:p w:rsidR="00F04EEF" w:rsidRDefault="0099351E">
            <w:pPr>
              <w:tabs>
                <w:tab w:val="left" w:pos="1134"/>
              </w:tabs>
              <w:snapToGrid w:val="0"/>
              <w:jc w:val="center"/>
            </w:pPr>
            <w:r>
              <w:t>Inspection</w:t>
            </w:r>
          </w:p>
          <w:p w:rsidR="00F04EEF" w:rsidRDefault="00F04EEF">
            <w:pPr>
              <w:tabs>
                <w:tab w:val="left" w:pos="1134"/>
              </w:tabs>
              <w:snapToGrid w:val="0"/>
              <w:jc w:val="center"/>
            </w:pPr>
          </w:p>
          <w:p w:rsidR="00F04EEF" w:rsidRDefault="0099351E">
            <w:pPr>
              <w:jc w:val="center"/>
            </w:pPr>
            <w:r>
              <w:t>Vérificateur de la population</w:t>
            </w:r>
          </w:p>
        </w:tc>
        <w:tc>
          <w:tcPr>
            <w:tcW w:w="1985" w:type="dxa"/>
            <w:vAlign w:val="center"/>
          </w:tcPr>
          <w:p w:rsidR="00F04EEF" w:rsidRDefault="0099351E">
            <w:pPr>
              <w:jc w:val="center"/>
              <w:rPr>
                <w:b/>
              </w:rPr>
            </w:pPr>
            <w:r>
              <w:rPr>
                <w:b/>
              </w:rPr>
              <w:t>dès connaissance</w:t>
            </w:r>
          </w:p>
        </w:tc>
      </w:tr>
      <w:tr w:rsidR="00F04EEF">
        <w:tc>
          <w:tcPr>
            <w:tcW w:w="3708" w:type="dxa"/>
            <w:vAlign w:val="center"/>
          </w:tcPr>
          <w:p w:rsidR="00F04EEF" w:rsidRDefault="0099351E">
            <w:pPr>
              <w:tabs>
                <w:tab w:val="left" w:pos="1134"/>
              </w:tabs>
              <w:snapToGrid w:val="0"/>
            </w:pPr>
            <w:r>
              <w:t>Changement de direction / Nouvelle désignation</w:t>
            </w:r>
          </w:p>
        </w:tc>
        <w:tc>
          <w:tcPr>
            <w:tcW w:w="1800" w:type="dxa"/>
            <w:vAlign w:val="center"/>
          </w:tcPr>
          <w:p w:rsidR="00F04EEF" w:rsidRDefault="0099351E">
            <w:pPr>
              <w:jc w:val="center"/>
            </w:pPr>
            <w:r>
              <w:t>Courrier</w:t>
            </w:r>
          </w:p>
        </w:tc>
        <w:tc>
          <w:tcPr>
            <w:tcW w:w="2113" w:type="dxa"/>
            <w:vAlign w:val="center"/>
          </w:tcPr>
          <w:p w:rsidR="00F04EEF" w:rsidRDefault="0099351E">
            <w:pPr>
              <w:tabs>
                <w:tab w:val="left" w:pos="1134"/>
              </w:tabs>
              <w:snapToGrid w:val="0"/>
              <w:jc w:val="center"/>
            </w:pPr>
            <w:r>
              <w:t>Inspection</w:t>
            </w:r>
          </w:p>
          <w:p w:rsidR="00F04EEF" w:rsidRDefault="00F04EEF">
            <w:pPr>
              <w:tabs>
                <w:tab w:val="left" w:pos="1134"/>
              </w:tabs>
              <w:snapToGrid w:val="0"/>
              <w:jc w:val="center"/>
            </w:pPr>
          </w:p>
          <w:p w:rsidR="00F04EEF" w:rsidRDefault="0099351E">
            <w:pPr>
              <w:tabs>
                <w:tab w:val="left" w:pos="1134"/>
              </w:tabs>
              <w:jc w:val="center"/>
            </w:pPr>
            <w:r>
              <w:t>Vérificateur de la population</w:t>
            </w:r>
          </w:p>
          <w:p w:rsidR="00F04EEF" w:rsidRDefault="00F04EEF">
            <w:pPr>
              <w:tabs>
                <w:tab w:val="left" w:pos="1134"/>
              </w:tabs>
              <w:jc w:val="center"/>
            </w:pPr>
          </w:p>
          <w:p w:rsidR="00F04EEF" w:rsidRDefault="0099351E">
            <w:pPr>
              <w:jc w:val="center"/>
            </w:pPr>
            <w:r>
              <w:t>Administration</w:t>
            </w:r>
          </w:p>
        </w:tc>
        <w:tc>
          <w:tcPr>
            <w:tcW w:w="1985" w:type="dxa"/>
            <w:vAlign w:val="center"/>
          </w:tcPr>
          <w:p w:rsidR="00F04EEF" w:rsidRDefault="0099351E">
            <w:pPr>
              <w:jc w:val="center"/>
              <w:rPr>
                <w:b/>
              </w:rPr>
            </w:pPr>
            <w:r>
              <w:rPr>
                <w:b/>
              </w:rPr>
              <w:t>dès connaissance</w:t>
            </w:r>
          </w:p>
        </w:tc>
      </w:tr>
      <w:tr w:rsidR="00F04EEF">
        <w:trPr>
          <w:trHeight w:val="604"/>
        </w:trPr>
        <w:tc>
          <w:tcPr>
            <w:tcW w:w="3708" w:type="dxa"/>
            <w:vAlign w:val="center"/>
          </w:tcPr>
          <w:p w:rsidR="00F04EEF" w:rsidRDefault="0099351E">
            <w:pPr>
              <w:tabs>
                <w:tab w:val="left" w:pos="1134"/>
              </w:tabs>
              <w:snapToGrid w:val="0"/>
              <w:rPr>
                <w:b/>
              </w:rPr>
            </w:pPr>
            <w:r>
              <w:t>Intégration</w:t>
            </w:r>
            <w:r>
              <w:rPr>
                <w:b/>
              </w:rPr>
              <w:t xml:space="preserve"> AUTRE</w:t>
            </w:r>
            <w:r>
              <w:t xml:space="preserve"> que permanente totale</w:t>
            </w:r>
          </w:p>
        </w:tc>
        <w:tc>
          <w:tcPr>
            <w:tcW w:w="1800" w:type="dxa"/>
            <w:vAlign w:val="center"/>
          </w:tcPr>
          <w:p w:rsidR="00F04EEF" w:rsidRDefault="0099351E">
            <w:pPr>
              <w:jc w:val="center"/>
            </w:pPr>
            <w:r>
              <w:t xml:space="preserve">Annexes </w:t>
            </w:r>
            <w:hyperlink w:anchor="_Chapitre_13_:" w:history="1">
              <w:r>
                <w:rPr>
                  <w:rStyle w:val="Lienhypertexte"/>
                  <w:rFonts w:cs="Arial"/>
                </w:rPr>
                <w:t>chapitre 13</w:t>
              </w:r>
            </w:hyperlink>
          </w:p>
        </w:tc>
        <w:tc>
          <w:tcPr>
            <w:tcW w:w="2113" w:type="dxa"/>
            <w:vAlign w:val="center"/>
          </w:tcPr>
          <w:p w:rsidR="00F04EEF" w:rsidRDefault="0099351E">
            <w:pPr>
              <w:jc w:val="center"/>
            </w:pPr>
            <w:r>
              <w:t>Administration</w:t>
            </w:r>
          </w:p>
        </w:tc>
        <w:tc>
          <w:tcPr>
            <w:tcW w:w="1985" w:type="dxa"/>
            <w:vAlign w:val="center"/>
          </w:tcPr>
          <w:p w:rsidR="00F04EEF" w:rsidRDefault="0099351E">
            <w:pPr>
              <w:jc w:val="center"/>
              <w:rPr>
                <w:b/>
              </w:rPr>
            </w:pPr>
            <w:r>
              <w:rPr>
                <w:b/>
              </w:rPr>
              <w:t>dès connaissance</w:t>
            </w:r>
          </w:p>
        </w:tc>
      </w:tr>
      <w:tr w:rsidR="00F04EEF">
        <w:tc>
          <w:tcPr>
            <w:tcW w:w="3708" w:type="dxa"/>
            <w:vAlign w:val="center"/>
          </w:tcPr>
          <w:p w:rsidR="00F04EEF" w:rsidRDefault="0099351E">
            <w:pPr>
              <w:tabs>
                <w:tab w:val="left" w:pos="1134"/>
              </w:tabs>
              <w:snapToGrid w:val="0"/>
            </w:pPr>
            <w:r>
              <w:t>Demande de prise en charge d’élèves d’enseignement spécialisé de type 4 ou de pédagogies adaptées par du personnel paramédical</w:t>
            </w:r>
          </w:p>
        </w:tc>
        <w:tc>
          <w:tcPr>
            <w:tcW w:w="1800" w:type="dxa"/>
            <w:vAlign w:val="center"/>
          </w:tcPr>
          <w:p w:rsidR="00F04EEF" w:rsidRDefault="00F42422">
            <w:pPr>
              <w:jc w:val="center"/>
            </w:pPr>
            <w:hyperlink w:anchor="_Annexe_1_:" w:history="1">
              <w:r w:rsidR="0099351E">
                <w:rPr>
                  <w:rStyle w:val="Lienhypertexte"/>
                  <w:rFonts w:cs="Arial"/>
                </w:rPr>
                <w:t>Annexe 1</w:t>
              </w:r>
            </w:hyperlink>
            <w:r w:rsidR="0099351E">
              <w:t xml:space="preserve"> </w:t>
            </w:r>
            <w:hyperlink w:anchor="_chapitre_5_:" w:history="1">
              <w:r w:rsidR="0099351E">
                <w:rPr>
                  <w:rStyle w:val="Lienhypertexte"/>
                  <w:rFonts w:cs="Arial"/>
                </w:rPr>
                <w:t>chapitre 5</w:t>
              </w:r>
            </w:hyperlink>
          </w:p>
        </w:tc>
        <w:tc>
          <w:tcPr>
            <w:tcW w:w="2113" w:type="dxa"/>
            <w:vAlign w:val="center"/>
          </w:tcPr>
          <w:p w:rsidR="00F04EEF" w:rsidRDefault="0099351E">
            <w:pPr>
              <w:jc w:val="center"/>
            </w:pPr>
            <w:r>
              <w:t>Administration</w:t>
            </w:r>
          </w:p>
        </w:tc>
        <w:tc>
          <w:tcPr>
            <w:tcW w:w="1985" w:type="dxa"/>
            <w:vAlign w:val="center"/>
          </w:tcPr>
          <w:p w:rsidR="00F04EEF" w:rsidRDefault="0099351E">
            <w:pPr>
              <w:jc w:val="center"/>
              <w:rPr>
                <w:b/>
              </w:rPr>
            </w:pPr>
            <w:r>
              <w:rPr>
                <w:b/>
              </w:rPr>
              <w:t>Pour le 15 septembre</w:t>
            </w:r>
          </w:p>
        </w:tc>
      </w:tr>
      <w:tr w:rsidR="00F04EEF">
        <w:tc>
          <w:tcPr>
            <w:tcW w:w="3708" w:type="dxa"/>
            <w:vAlign w:val="center"/>
          </w:tcPr>
          <w:p w:rsidR="00F04EEF" w:rsidRDefault="0099351E">
            <w:pPr>
              <w:tabs>
                <w:tab w:val="left" w:pos="1134"/>
              </w:tabs>
              <w:snapToGrid w:val="0"/>
            </w:pPr>
            <w:r>
              <w:t>Intégration permanente totale</w:t>
            </w:r>
          </w:p>
        </w:tc>
        <w:tc>
          <w:tcPr>
            <w:tcW w:w="1800" w:type="dxa"/>
            <w:vAlign w:val="center"/>
          </w:tcPr>
          <w:p w:rsidR="00F04EEF" w:rsidRDefault="0099351E">
            <w:pPr>
              <w:jc w:val="center"/>
            </w:pPr>
            <w:r>
              <w:t xml:space="preserve">Annexes </w:t>
            </w:r>
            <w:hyperlink w:anchor="_Chapitre_13_:" w:history="1">
              <w:r>
                <w:rPr>
                  <w:rStyle w:val="Lienhypertexte"/>
                  <w:rFonts w:cs="Arial"/>
                </w:rPr>
                <w:t>chapitre 13</w:t>
              </w:r>
            </w:hyperlink>
          </w:p>
          <w:p w:rsidR="00F04EEF" w:rsidRDefault="00F04EEF">
            <w:pPr>
              <w:jc w:val="center"/>
            </w:pPr>
          </w:p>
        </w:tc>
        <w:tc>
          <w:tcPr>
            <w:tcW w:w="2113" w:type="dxa"/>
            <w:vAlign w:val="center"/>
          </w:tcPr>
          <w:p w:rsidR="00F04EEF" w:rsidRDefault="0099351E">
            <w:pPr>
              <w:jc w:val="center"/>
            </w:pPr>
            <w:r>
              <w:t>Administration</w:t>
            </w:r>
          </w:p>
        </w:tc>
        <w:tc>
          <w:tcPr>
            <w:tcW w:w="1985" w:type="dxa"/>
            <w:vAlign w:val="center"/>
          </w:tcPr>
          <w:p w:rsidR="00F04EEF" w:rsidRDefault="0099351E">
            <w:pPr>
              <w:jc w:val="center"/>
              <w:rPr>
                <w:b/>
              </w:rPr>
            </w:pPr>
            <w:r>
              <w:rPr>
                <w:b/>
              </w:rPr>
              <w:t>30 septembre (sauf dérogation)</w:t>
            </w:r>
          </w:p>
          <w:p w:rsidR="00F04EEF" w:rsidRDefault="00F04EEF">
            <w:pPr>
              <w:jc w:val="center"/>
              <w:rPr>
                <w:b/>
              </w:rPr>
            </w:pPr>
          </w:p>
        </w:tc>
      </w:tr>
      <w:tr w:rsidR="00F04EEF">
        <w:tc>
          <w:tcPr>
            <w:tcW w:w="3708" w:type="dxa"/>
            <w:vAlign w:val="center"/>
          </w:tcPr>
          <w:p w:rsidR="00F04EEF" w:rsidRDefault="0099351E">
            <w:pPr>
              <w:tabs>
                <w:tab w:val="left" w:pos="1134"/>
              </w:tabs>
              <w:snapToGrid w:val="0"/>
              <w:rPr>
                <w:b/>
              </w:rPr>
            </w:pPr>
            <w:r>
              <w:t>Variation de 5% de la population scolaire par rapport au 15 janvier précédent</w:t>
            </w:r>
          </w:p>
        </w:tc>
        <w:tc>
          <w:tcPr>
            <w:tcW w:w="1800" w:type="dxa"/>
            <w:vAlign w:val="center"/>
          </w:tcPr>
          <w:p w:rsidR="00F04EEF" w:rsidRDefault="0099351E">
            <w:pPr>
              <w:jc w:val="center"/>
            </w:pPr>
            <w:r>
              <w:t>Courrier (ou par téléphone)</w:t>
            </w:r>
          </w:p>
        </w:tc>
        <w:tc>
          <w:tcPr>
            <w:tcW w:w="2113" w:type="dxa"/>
            <w:vAlign w:val="center"/>
          </w:tcPr>
          <w:p w:rsidR="00F04EEF" w:rsidRDefault="0099351E">
            <w:pPr>
              <w:jc w:val="center"/>
            </w:pPr>
            <w:r>
              <w:t>Vérificateur de la population</w:t>
            </w:r>
          </w:p>
        </w:tc>
        <w:tc>
          <w:tcPr>
            <w:tcW w:w="1985" w:type="dxa"/>
            <w:vAlign w:val="center"/>
          </w:tcPr>
          <w:p w:rsidR="00F04EEF" w:rsidRDefault="0099351E">
            <w:pPr>
              <w:jc w:val="center"/>
              <w:rPr>
                <w:b/>
              </w:rPr>
            </w:pPr>
            <w:r>
              <w:rPr>
                <w:b/>
              </w:rPr>
              <w:t>aux environs du 30 septembre</w:t>
            </w:r>
          </w:p>
          <w:p w:rsidR="00F04EEF" w:rsidRDefault="00F04EEF">
            <w:pPr>
              <w:jc w:val="center"/>
              <w:rPr>
                <w:b/>
              </w:rPr>
            </w:pPr>
          </w:p>
        </w:tc>
      </w:tr>
      <w:tr w:rsidR="00F04EEF">
        <w:trPr>
          <w:trHeight w:val="1373"/>
        </w:trPr>
        <w:tc>
          <w:tcPr>
            <w:tcW w:w="3708" w:type="dxa"/>
            <w:vAlign w:val="center"/>
          </w:tcPr>
          <w:p w:rsidR="00F04EEF" w:rsidRDefault="0099351E">
            <w:pPr>
              <w:tabs>
                <w:tab w:val="left" w:pos="1134"/>
              </w:tabs>
              <w:snapToGrid w:val="0"/>
            </w:pPr>
            <w:r>
              <w:t>Population scolaire</w:t>
            </w:r>
          </w:p>
        </w:tc>
        <w:tc>
          <w:tcPr>
            <w:tcW w:w="1800" w:type="dxa"/>
            <w:vAlign w:val="center"/>
          </w:tcPr>
          <w:p w:rsidR="00F04EEF" w:rsidRDefault="0099351E">
            <w:pPr>
              <w:jc w:val="center"/>
            </w:pPr>
            <w:r>
              <w:t>Fichiers informatiques</w:t>
            </w:r>
          </w:p>
          <w:p w:rsidR="00F04EEF" w:rsidRDefault="0099351E">
            <w:pPr>
              <w:jc w:val="center"/>
            </w:pPr>
            <w:r>
              <w:t>ou</w:t>
            </w:r>
          </w:p>
          <w:p w:rsidR="00F04EEF" w:rsidRDefault="0099351E">
            <w:pPr>
              <w:jc w:val="center"/>
            </w:pPr>
            <w:r>
              <w:t>tableaux à compléter</w:t>
            </w:r>
          </w:p>
        </w:tc>
        <w:tc>
          <w:tcPr>
            <w:tcW w:w="2113" w:type="dxa"/>
            <w:vAlign w:val="center"/>
          </w:tcPr>
          <w:p w:rsidR="00F04EEF" w:rsidRDefault="0099351E">
            <w:pPr>
              <w:jc w:val="center"/>
            </w:pPr>
            <w:r>
              <w:t>Administration</w:t>
            </w:r>
          </w:p>
          <w:p w:rsidR="00F04EEF" w:rsidRDefault="00F04EEF">
            <w:pPr>
              <w:jc w:val="center"/>
            </w:pPr>
          </w:p>
        </w:tc>
        <w:tc>
          <w:tcPr>
            <w:tcW w:w="1985" w:type="dxa"/>
            <w:vAlign w:val="center"/>
          </w:tcPr>
          <w:p w:rsidR="00F04EEF" w:rsidRDefault="0099351E">
            <w:pPr>
              <w:jc w:val="center"/>
              <w:rPr>
                <w:b/>
              </w:rPr>
            </w:pPr>
            <w:r>
              <w:rPr>
                <w:b/>
              </w:rPr>
              <w:t>aux environs du 1</w:t>
            </w:r>
            <w:r>
              <w:rPr>
                <w:b/>
                <w:vertAlign w:val="superscript"/>
              </w:rPr>
              <w:t>er</w:t>
            </w:r>
            <w:r>
              <w:rPr>
                <w:b/>
              </w:rPr>
              <w:t xml:space="preserve"> octobre et du 16 janvier</w:t>
            </w:r>
          </w:p>
        </w:tc>
      </w:tr>
      <w:tr w:rsidR="00F04EEF">
        <w:tc>
          <w:tcPr>
            <w:tcW w:w="3708" w:type="dxa"/>
            <w:vAlign w:val="center"/>
          </w:tcPr>
          <w:p w:rsidR="00F04EEF" w:rsidRDefault="0099351E">
            <w:pPr>
              <w:tabs>
                <w:tab w:val="left" w:pos="1134"/>
              </w:tabs>
              <w:snapToGrid w:val="0"/>
            </w:pPr>
            <w:r>
              <w:t>Demande de dérogation d’élèves bénéficiaires paramédical</w:t>
            </w:r>
          </w:p>
          <w:p w:rsidR="00F04EEF" w:rsidRDefault="00F04EEF">
            <w:pPr>
              <w:tabs>
                <w:tab w:val="left" w:pos="1134"/>
              </w:tabs>
              <w:snapToGrid w:val="0"/>
              <w:rPr>
                <w:b/>
              </w:rPr>
            </w:pPr>
          </w:p>
        </w:tc>
        <w:tc>
          <w:tcPr>
            <w:tcW w:w="1800" w:type="dxa"/>
            <w:vAlign w:val="center"/>
          </w:tcPr>
          <w:p w:rsidR="00F04EEF" w:rsidRDefault="0099351E">
            <w:pPr>
              <w:jc w:val="center"/>
            </w:pPr>
            <w:r>
              <w:t>Dossier argumenté pour chaque élève</w:t>
            </w:r>
          </w:p>
          <w:p w:rsidR="00F04EEF" w:rsidRDefault="00F04EEF">
            <w:pPr>
              <w:jc w:val="center"/>
            </w:pPr>
          </w:p>
        </w:tc>
        <w:tc>
          <w:tcPr>
            <w:tcW w:w="2113" w:type="dxa"/>
            <w:vAlign w:val="center"/>
          </w:tcPr>
          <w:p w:rsidR="00F04EEF" w:rsidRDefault="0099351E">
            <w:pPr>
              <w:jc w:val="center"/>
            </w:pPr>
            <w:r>
              <w:t>Administration</w:t>
            </w:r>
          </w:p>
        </w:tc>
        <w:tc>
          <w:tcPr>
            <w:tcW w:w="1985" w:type="dxa"/>
            <w:vAlign w:val="center"/>
          </w:tcPr>
          <w:p w:rsidR="00F04EEF" w:rsidRDefault="0099351E">
            <w:pPr>
              <w:jc w:val="center"/>
              <w:rPr>
                <w:b/>
              </w:rPr>
            </w:pPr>
            <w:r>
              <w:rPr>
                <w:b/>
              </w:rPr>
              <w:t>AVANT le 1</w:t>
            </w:r>
            <w:r>
              <w:rPr>
                <w:b/>
                <w:vertAlign w:val="superscript"/>
              </w:rPr>
              <w:t>er</w:t>
            </w:r>
            <w:r>
              <w:rPr>
                <w:b/>
              </w:rPr>
              <w:t xml:space="preserve"> octobre</w:t>
            </w:r>
          </w:p>
        </w:tc>
      </w:tr>
      <w:tr w:rsidR="00F04EEF">
        <w:tc>
          <w:tcPr>
            <w:tcW w:w="3708" w:type="dxa"/>
            <w:vAlign w:val="center"/>
          </w:tcPr>
          <w:p w:rsidR="00F04EEF" w:rsidRDefault="0099351E">
            <w:pPr>
              <w:tabs>
                <w:tab w:val="left" w:pos="1134"/>
              </w:tabs>
              <w:snapToGrid w:val="0"/>
            </w:pPr>
            <w:r>
              <w:t>Horaires début et fin des cours</w:t>
            </w:r>
          </w:p>
          <w:p w:rsidR="00F04EEF" w:rsidRDefault="00F04EEF">
            <w:pPr>
              <w:tabs>
                <w:tab w:val="left" w:pos="1134"/>
              </w:tabs>
              <w:snapToGrid w:val="0"/>
              <w:rPr>
                <w:b/>
              </w:rPr>
            </w:pPr>
          </w:p>
        </w:tc>
        <w:tc>
          <w:tcPr>
            <w:tcW w:w="1800" w:type="dxa"/>
            <w:vAlign w:val="center"/>
          </w:tcPr>
          <w:p w:rsidR="00F04EEF" w:rsidRDefault="00F42422">
            <w:pPr>
              <w:jc w:val="center"/>
            </w:pPr>
            <w:hyperlink w:anchor="_Chapitre_15_:" w:history="1">
              <w:r w:rsidR="0099351E">
                <w:rPr>
                  <w:rStyle w:val="Lienhypertexte"/>
                  <w:rFonts w:cs="Arial"/>
                </w:rPr>
                <w:t>Chapitre 15</w:t>
              </w:r>
              <w:r w:rsidR="0099351E">
                <w:rPr>
                  <w:rStyle w:val="Lienhypertexte"/>
                  <w:rFonts w:cstheme="minorBidi"/>
                </w:rPr>
                <w:t xml:space="preserve"> </w:t>
              </w:r>
            </w:hyperlink>
            <w:r w:rsidR="0099351E">
              <w:t xml:space="preserve"> </w:t>
            </w:r>
            <w:hyperlink w:anchor="_Annexe_1_:_14" w:history="1">
              <w:r w:rsidR="0099351E">
                <w:rPr>
                  <w:rStyle w:val="Lienhypertexte"/>
                  <w:rFonts w:cs="Arial"/>
                </w:rPr>
                <w:t>Annexe 1</w:t>
              </w:r>
            </w:hyperlink>
          </w:p>
        </w:tc>
        <w:tc>
          <w:tcPr>
            <w:tcW w:w="2113" w:type="dxa"/>
            <w:vAlign w:val="center"/>
          </w:tcPr>
          <w:p w:rsidR="00F04EEF" w:rsidRDefault="0099351E">
            <w:pPr>
              <w:jc w:val="center"/>
            </w:pPr>
            <w:r>
              <w:t>Vérificateur de la population</w:t>
            </w:r>
          </w:p>
          <w:p w:rsidR="00F04EEF" w:rsidRDefault="00F04EEF">
            <w:pPr>
              <w:jc w:val="center"/>
            </w:pPr>
          </w:p>
        </w:tc>
        <w:tc>
          <w:tcPr>
            <w:tcW w:w="1985" w:type="dxa"/>
            <w:vAlign w:val="center"/>
          </w:tcPr>
          <w:p w:rsidR="00F04EEF" w:rsidRDefault="0099351E">
            <w:pPr>
              <w:jc w:val="center"/>
              <w:rPr>
                <w:b/>
              </w:rPr>
            </w:pPr>
            <w:r>
              <w:rPr>
                <w:b/>
              </w:rPr>
              <w:t>15 octobre</w:t>
            </w:r>
          </w:p>
        </w:tc>
      </w:tr>
      <w:tr w:rsidR="00F04EEF">
        <w:trPr>
          <w:trHeight w:val="1309"/>
        </w:trPr>
        <w:tc>
          <w:tcPr>
            <w:tcW w:w="3708" w:type="dxa"/>
            <w:vAlign w:val="center"/>
          </w:tcPr>
          <w:p w:rsidR="00F04EEF" w:rsidRDefault="0099351E">
            <w:pPr>
              <w:tabs>
                <w:tab w:val="left" w:pos="1134"/>
              </w:tabs>
              <w:snapToGrid w:val="0"/>
            </w:pPr>
            <w:r>
              <w:t>Attributions du personnel</w:t>
            </w:r>
          </w:p>
        </w:tc>
        <w:tc>
          <w:tcPr>
            <w:tcW w:w="1800" w:type="dxa"/>
            <w:vAlign w:val="center"/>
          </w:tcPr>
          <w:p w:rsidR="00F04EEF" w:rsidRDefault="0099351E">
            <w:pPr>
              <w:jc w:val="center"/>
            </w:pPr>
            <w:r>
              <w:rPr>
                <w:rFonts w:cs="Arial"/>
              </w:rPr>
              <w:t xml:space="preserve">Sous format Excel </w:t>
            </w:r>
            <w:r>
              <w:t xml:space="preserve"> </w:t>
            </w:r>
          </w:p>
        </w:tc>
        <w:tc>
          <w:tcPr>
            <w:tcW w:w="2113" w:type="dxa"/>
            <w:vAlign w:val="center"/>
          </w:tcPr>
          <w:p w:rsidR="00F04EEF" w:rsidRDefault="0099351E">
            <w:pPr>
              <w:tabs>
                <w:tab w:val="left" w:pos="1134"/>
              </w:tabs>
              <w:snapToGrid w:val="0"/>
              <w:jc w:val="center"/>
            </w:pPr>
            <w:r>
              <w:t>Administration</w:t>
            </w:r>
          </w:p>
          <w:p w:rsidR="00F04EEF" w:rsidRDefault="00F04EEF">
            <w:pPr>
              <w:tabs>
                <w:tab w:val="left" w:pos="1134"/>
              </w:tabs>
              <w:snapToGrid w:val="0"/>
              <w:jc w:val="center"/>
            </w:pPr>
          </w:p>
          <w:p w:rsidR="00F04EEF" w:rsidRDefault="0099351E">
            <w:pPr>
              <w:jc w:val="center"/>
            </w:pPr>
            <w:r>
              <w:t>Vérificateur de la population</w:t>
            </w:r>
          </w:p>
        </w:tc>
        <w:tc>
          <w:tcPr>
            <w:tcW w:w="1985" w:type="dxa"/>
            <w:vAlign w:val="center"/>
          </w:tcPr>
          <w:p w:rsidR="00F04EEF" w:rsidRDefault="0099351E">
            <w:pPr>
              <w:tabs>
                <w:tab w:val="left" w:pos="1134"/>
              </w:tabs>
              <w:snapToGrid w:val="0"/>
              <w:jc w:val="center"/>
              <w:rPr>
                <w:b/>
              </w:rPr>
            </w:pPr>
            <w:r>
              <w:rPr>
                <w:b/>
              </w:rPr>
              <w:t>aux environs du 20 octobre</w:t>
            </w:r>
          </w:p>
        </w:tc>
      </w:tr>
      <w:tr w:rsidR="00F04EEF">
        <w:trPr>
          <w:trHeight w:val="1684"/>
        </w:trPr>
        <w:tc>
          <w:tcPr>
            <w:tcW w:w="3708" w:type="dxa"/>
            <w:vAlign w:val="center"/>
          </w:tcPr>
          <w:p w:rsidR="00F04EEF" w:rsidRDefault="0099351E">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i/>
              </w:rPr>
              <w:t xml:space="preserve">du réseau organisé par la </w:t>
            </w:r>
            <w:r>
              <w:rPr>
                <w:b/>
                <w:i/>
              </w:rPr>
              <w:t>FWB</w:t>
            </w:r>
          </w:p>
        </w:tc>
        <w:tc>
          <w:tcPr>
            <w:tcW w:w="1800" w:type="dxa"/>
            <w:vAlign w:val="center"/>
          </w:tcPr>
          <w:p w:rsidR="00F04EEF" w:rsidRDefault="0099351E">
            <w:pPr>
              <w:jc w:val="center"/>
            </w:pPr>
            <w:r>
              <w:t xml:space="preserve">Courrier du </w:t>
            </w:r>
          </w:p>
          <w:p w:rsidR="00F04EEF" w:rsidRDefault="0099351E">
            <w:pPr>
              <w:jc w:val="center"/>
            </w:pPr>
            <w:r>
              <w:t>chef de l’établissement avec dossier de motivation</w:t>
            </w:r>
          </w:p>
        </w:tc>
        <w:tc>
          <w:tcPr>
            <w:tcW w:w="2113" w:type="dxa"/>
            <w:vAlign w:val="center"/>
          </w:tcPr>
          <w:p w:rsidR="00F04EEF" w:rsidRDefault="0099351E">
            <w:pPr>
              <w:tabs>
                <w:tab w:val="left" w:pos="1134"/>
              </w:tabs>
              <w:snapToGrid w:val="0"/>
              <w:jc w:val="center"/>
            </w:pPr>
            <w:r>
              <w:t>Administration</w:t>
            </w:r>
          </w:p>
        </w:tc>
        <w:tc>
          <w:tcPr>
            <w:tcW w:w="1985" w:type="dxa"/>
            <w:vAlign w:val="center"/>
          </w:tcPr>
          <w:p w:rsidR="00F04EEF" w:rsidRDefault="0099351E">
            <w:pPr>
              <w:tabs>
                <w:tab w:val="left" w:pos="1134"/>
              </w:tabs>
              <w:snapToGrid w:val="0"/>
              <w:jc w:val="center"/>
              <w:rPr>
                <w:b/>
              </w:rPr>
            </w:pPr>
            <w:r>
              <w:rPr>
                <w:b/>
              </w:rPr>
              <w:t>avant le 10</w:t>
            </w:r>
          </w:p>
          <w:p w:rsidR="00F04EEF" w:rsidRDefault="0099351E">
            <w:pPr>
              <w:tabs>
                <w:tab w:val="left" w:pos="1134"/>
              </w:tabs>
              <w:snapToGrid w:val="0"/>
              <w:jc w:val="center"/>
              <w:rPr>
                <w:b/>
              </w:rPr>
            </w:pPr>
            <w:r>
              <w:rPr>
                <w:b/>
              </w:rPr>
              <w:t>avril</w:t>
            </w:r>
          </w:p>
          <w:p w:rsidR="00F04EEF" w:rsidRDefault="0099351E">
            <w:pPr>
              <w:tabs>
                <w:tab w:val="left" w:pos="1134"/>
              </w:tabs>
              <w:snapToGrid w:val="0"/>
              <w:jc w:val="center"/>
              <w:rPr>
                <w:b/>
              </w:rPr>
            </w:pPr>
            <w:r>
              <w:rPr>
                <w:b/>
              </w:rPr>
              <w:t>(dès que possible)</w:t>
            </w:r>
          </w:p>
        </w:tc>
      </w:tr>
      <w:tr w:rsidR="00F04EEF">
        <w:trPr>
          <w:trHeight w:val="1409"/>
        </w:trPr>
        <w:tc>
          <w:tcPr>
            <w:tcW w:w="3708" w:type="dxa"/>
            <w:vAlign w:val="center"/>
          </w:tcPr>
          <w:p w:rsidR="00F04EEF" w:rsidRDefault="0099351E">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b/>
                <w:i/>
              </w:rPr>
              <w:t>subventionné</w:t>
            </w:r>
          </w:p>
        </w:tc>
        <w:tc>
          <w:tcPr>
            <w:tcW w:w="1800" w:type="dxa"/>
            <w:vAlign w:val="center"/>
          </w:tcPr>
          <w:p w:rsidR="00F04EEF" w:rsidRDefault="0099351E">
            <w:pPr>
              <w:jc w:val="center"/>
            </w:pPr>
            <w:r>
              <w:t>Courrier du président du P.O. avec dossier de motivation</w:t>
            </w:r>
          </w:p>
        </w:tc>
        <w:tc>
          <w:tcPr>
            <w:tcW w:w="2113" w:type="dxa"/>
            <w:vAlign w:val="center"/>
          </w:tcPr>
          <w:p w:rsidR="00F04EEF" w:rsidRDefault="0099351E">
            <w:pPr>
              <w:tabs>
                <w:tab w:val="left" w:pos="1134"/>
              </w:tabs>
              <w:snapToGrid w:val="0"/>
              <w:jc w:val="center"/>
            </w:pPr>
            <w:r>
              <w:t>Administration</w:t>
            </w:r>
          </w:p>
        </w:tc>
        <w:tc>
          <w:tcPr>
            <w:tcW w:w="1985" w:type="dxa"/>
            <w:vAlign w:val="center"/>
          </w:tcPr>
          <w:p w:rsidR="00F04EEF" w:rsidRDefault="0099351E">
            <w:pPr>
              <w:tabs>
                <w:tab w:val="left" w:pos="1134"/>
              </w:tabs>
              <w:snapToGrid w:val="0"/>
              <w:jc w:val="center"/>
              <w:rPr>
                <w:b/>
              </w:rPr>
            </w:pPr>
            <w:r>
              <w:rPr>
                <w:b/>
              </w:rPr>
              <w:t>avant le 10 avril</w:t>
            </w:r>
          </w:p>
          <w:p w:rsidR="00F04EEF" w:rsidRDefault="0099351E">
            <w:pPr>
              <w:tabs>
                <w:tab w:val="left" w:pos="1134"/>
              </w:tabs>
              <w:snapToGrid w:val="0"/>
              <w:jc w:val="center"/>
              <w:rPr>
                <w:b/>
              </w:rPr>
            </w:pPr>
            <w:r>
              <w:rPr>
                <w:b/>
              </w:rPr>
              <w:t>(dès que possible)</w:t>
            </w:r>
          </w:p>
        </w:tc>
      </w:tr>
      <w:tr w:rsidR="00F04EEF">
        <w:tc>
          <w:tcPr>
            <w:tcW w:w="3708" w:type="dxa"/>
            <w:vAlign w:val="center"/>
          </w:tcPr>
          <w:p w:rsidR="00F04EEF" w:rsidRDefault="0099351E">
            <w:pPr>
              <w:tabs>
                <w:tab w:val="left" w:pos="1134"/>
              </w:tabs>
              <w:snapToGrid w:val="0"/>
              <w:rPr>
                <w:b/>
              </w:rPr>
            </w:pPr>
            <w:r>
              <w:t>Demandes de dérogation, élèves plus de 21 ans</w:t>
            </w:r>
            <w:r>
              <w:rPr>
                <w:b/>
              </w:rPr>
              <w:t xml:space="preserve">, NON </w:t>
            </w:r>
            <w:r>
              <w:t>pédagogique</w:t>
            </w:r>
          </w:p>
        </w:tc>
        <w:tc>
          <w:tcPr>
            <w:tcW w:w="1800" w:type="dxa"/>
            <w:vAlign w:val="center"/>
          </w:tcPr>
          <w:p w:rsidR="00F04EEF" w:rsidRDefault="00F42422">
            <w:pPr>
              <w:jc w:val="center"/>
            </w:pPr>
            <w:hyperlink w:anchor="_Chapitre_18_:" w:history="1">
              <w:r w:rsidR="0099351E">
                <w:rPr>
                  <w:rStyle w:val="Lienhypertexte"/>
                  <w:rFonts w:cs="Arial"/>
                </w:rPr>
                <w:t>Chapitre 18</w:t>
              </w:r>
            </w:hyperlink>
          </w:p>
        </w:tc>
        <w:tc>
          <w:tcPr>
            <w:tcW w:w="2113" w:type="dxa"/>
            <w:vAlign w:val="center"/>
          </w:tcPr>
          <w:p w:rsidR="00F04EEF" w:rsidRDefault="0099351E">
            <w:pPr>
              <w:tabs>
                <w:tab w:val="left" w:pos="1134"/>
              </w:tabs>
              <w:snapToGrid w:val="0"/>
              <w:jc w:val="center"/>
            </w:pPr>
            <w:r>
              <w:t>Administration</w:t>
            </w:r>
          </w:p>
        </w:tc>
        <w:tc>
          <w:tcPr>
            <w:tcW w:w="1985" w:type="dxa"/>
            <w:vAlign w:val="center"/>
          </w:tcPr>
          <w:p w:rsidR="00F04EEF" w:rsidRDefault="00F04EEF">
            <w:pPr>
              <w:tabs>
                <w:tab w:val="left" w:pos="1134"/>
              </w:tabs>
              <w:snapToGrid w:val="0"/>
              <w:jc w:val="center"/>
              <w:rPr>
                <w:b/>
              </w:rPr>
            </w:pPr>
          </w:p>
          <w:p w:rsidR="00F04EEF" w:rsidRDefault="0099351E">
            <w:pPr>
              <w:tabs>
                <w:tab w:val="left" w:pos="1134"/>
              </w:tabs>
              <w:snapToGrid w:val="0"/>
              <w:jc w:val="center"/>
              <w:rPr>
                <w:b/>
              </w:rPr>
            </w:pPr>
            <w:r>
              <w:rPr>
                <w:b/>
              </w:rPr>
              <w:t>A déterminer via la circulaire</w:t>
            </w:r>
          </w:p>
          <w:p w:rsidR="00F04EEF" w:rsidRDefault="00F04EEF">
            <w:pPr>
              <w:tabs>
                <w:tab w:val="left" w:pos="1134"/>
              </w:tabs>
              <w:snapToGrid w:val="0"/>
              <w:jc w:val="center"/>
              <w:rPr>
                <w:b/>
              </w:rPr>
            </w:pPr>
          </w:p>
        </w:tc>
      </w:tr>
      <w:tr w:rsidR="00F04EEF">
        <w:trPr>
          <w:trHeight w:val="1355"/>
        </w:trPr>
        <w:tc>
          <w:tcPr>
            <w:tcW w:w="3708" w:type="dxa"/>
            <w:vAlign w:val="center"/>
          </w:tcPr>
          <w:p w:rsidR="00F04EEF" w:rsidRDefault="0099351E">
            <w:pPr>
              <w:tabs>
                <w:tab w:val="left" w:pos="360"/>
                <w:tab w:val="left" w:pos="1134"/>
              </w:tabs>
              <w:snapToGrid w:val="0"/>
              <w:rPr>
                <w:b/>
                <w:i/>
              </w:rPr>
            </w:pPr>
            <w:r>
              <w:t xml:space="preserve">Programmation d'une nouvelle implantation, forme, ne nécessitant </w:t>
            </w:r>
            <w:r>
              <w:rPr>
                <w:b/>
                <w:i/>
              </w:rPr>
              <w:t>pas de dérogation</w:t>
            </w:r>
            <w:r>
              <w:t xml:space="preserve"> pour un établissement </w:t>
            </w:r>
            <w:r>
              <w:rPr>
                <w:i/>
              </w:rPr>
              <w:t xml:space="preserve">scolaire (tous réseaux confondus) </w:t>
            </w:r>
          </w:p>
        </w:tc>
        <w:tc>
          <w:tcPr>
            <w:tcW w:w="1800" w:type="dxa"/>
            <w:vAlign w:val="center"/>
          </w:tcPr>
          <w:p w:rsidR="00F04EEF" w:rsidRDefault="0099351E">
            <w:pPr>
              <w:jc w:val="center"/>
            </w:pPr>
            <w:r>
              <w:t>Lettre du P.O.</w:t>
            </w:r>
          </w:p>
        </w:tc>
        <w:tc>
          <w:tcPr>
            <w:tcW w:w="2113" w:type="dxa"/>
            <w:vAlign w:val="center"/>
          </w:tcPr>
          <w:p w:rsidR="00F04EEF" w:rsidRDefault="0099351E">
            <w:pPr>
              <w:tabs>
                <w:tab w:val="left" w:pos="1134"/>
              </w:tabs>
              <w:snapToGrid w:val="0"/>
              <w:jc w:val="center"/>
            </w:pPr>
            <w:r>
              <w:t>Administration</w:t>
            </w:r>
          </w:p>
        </w:tc>
        <w:tc>
          <w:tcPr>
            <w:tcW w:w="1985" w:type="dxa"/>
            <w:vAlign w:val="center"/>
          </w:tcPr>
          <w:p w:rsidR="00F04EEF" w:rsidRDefault="0099351E">
            <w:pPr>
              <w:tabs>
                <w:tab w:val="left" w:pos="1134"/>
              </w:tabs>
              <w:snapToGrid w:val="0"/>
              <w:jc w:val="center"/>
              <w:rPr>
                <w:b/>
              </w:rPr>
            </w:pPr>
            <w:r>
              <w:rPr>
                <w:b/>
              </w:rPr>
              <w:t>avant le 30 mai (dès que possible)</w:t>
            </w:r>
          </w:p>
        </w:tc>
      </w:tr>
      <w:tr w:rsidR="00F04EEF">
        <w:trPr>
          <w:trHeight w:val="808"/>
        </w:trPr>
        <w:tc>
          <w:tcPr>
            <w:tcW w:w="3708" w:type="dxa"/>
            <w:vAlign w:val="center"/>
          </w:tcPr>
          <w:p w:rsidR="00F04EEF" w:rsidRDefault="0099351E">
            <w:pPr>
              <w:tabs>
                <w:tab w:val="left" w:pos="1134"/>
              </w:tabs>
              <w:snapToGrid w:val="0"/>
              <w:rPr>
                <w:color w:val="000000"/>
              </w:rPr>
            </w:pPr>
            <w:r>
              <w:rPr>
                <w:color w:val="000000"/>
              </w:rPr>
              <w:t>Demandes de dérogation, élèves plus de 21 ans, pédagogique</w:t>
            </w:r>
          </w:p>
        </w:tc>
        <w:tc>
          <w:tcPr>
            <w:tcW w:w="1800" w:type="dxa"/>
            <w:vAlign w:val="center"/>
          </w:tcPr>
          <w:p w:rsidR="00F04EEF" w:rsidRDefault="00F42422">
            <w:pPr>
              <w:jc w:val="center"/>
              <w:rPr>
                <w:color w:val="0000FF"/>
              </w:rPr>
            </w:pPr>
            <w:hyperlink w:anchor="_Chapitre_18_:" w:history="1">
              <w:r w:rsidR="0099351E">
                <w:rPr>
                  <w:rStyle w:val="Lienhypertexte"/>
                  <w:rFonts w:cs="Arial"/>
                </w:rPr>
                <w:t>Chapitre 18</w:t>
              </w:r>
            </w:hyperlink>
          </w:p>
        </w:tc>
        <w:tc>
          <w:tcPr>
            <w:tcW w:w="2113" w:type="dxa"/>
            <w:vAlign w:val="center"/>
          </w:tcPr>
          <w:p w:rsidR="00F04EEF" w:rsidRDefault="0099351E">
            <w:pPr>
              <w:tabs>
                <w:tab w:val="left" w:pos="1134"/>
              </w:tabs>
              <w:snapToGrid w:val="0"/>
              <w:jc w:val="center"/>
              <w:rPr>
                <w:color w:val="000000"/>
              </w:rPr>
            </w:pPr>
            <w:r>
              <w:rPr>
                <w:color w:val="000000"/>
              </w:rPr>
              <w:t>Administration</w:t>
            </w:r>
          </w:p>
        </w:tc>
        <w:tc>
          <w:tcPr>
            <w:tcW w:w="1985" w:type="dxa"/>
            <w:vAlign w:val="center"/>
          </w:tcPr>
          <w:p w:rsidR="00F04EEF" w:rsidRDefault="0099351E">
            <w:pPr>
              <w:tabs>
                <w:tab w:val="left" w:pos="1134"/>
              </w:tabs>
              <w:snapToGrid w:val="0"/>
              <w:jc w:val="center"/>
              <w:rPr>
                <w:b/>
              </w:rPr>
            </w:pPr>
            <w:r>
              <w:rPr>
                <w:b/>
              </w:rPr>
              <w:t>dès la fin du conseil de classe</w:t>
            </w:r>
          </w:p>
        </w:tc>
      </w:tr>
      <w:tr w:rsidR="00F04EEF">
        <w:trPr>
          <w:trHeight w:val="834"/>
        </w:trPr>
        <w:tc>
          <w:tcPr>
            <w:tcW w:w="3708" w:type="dxa"/>
            <w:vAlign w:val="center"/>
          </w:tcPr>
          <w:p w:rsidR="00F04EEF" w:rsidRDefault="0099351E">
            <w:pPr>
              <w:tabs>
                <w:tab w:val="left" w:pos="1134"/>
              </w:tabs>
              <w:snapToGrid w:val="0"/>
              <w:rPr>
                <w:color w:val="000000"/>
              </w:rPr>
            </w:pPr>
            <w:r>
              <w:rPr>
                <w:bCs/>
                <w:iCs/>
                <w:color w:val="000000"/>
              </w:rPr>
              <w:t>Demandes de dérogations pour les élèves de moins de 2 ans et six mois</w:t>
            </w:r>
          </w:p>
        </w:tc>
        <w:tc>
          <w:tcPr>
            <w:tcW w:w="1800" w:type="dxa"/>
            <w:vAlign w:val="center"/>
          </w:tcPr>
          <w:p w:rsidR="00F04EEF" w:rsidRDefault="00F42422">
            <w:pPr>
              <w:jc w:val="center"/>
              <w:rPr>
                <w:color w:val="0000FF"/>
              </w:rPr>
            </w:pPr>
            <w:hyperlink w:anchor="_Chapitre_18_:" w:history="1">
              <w:r w:rsidR="0099351E">
                <w:rPr>
                  <w:rStyle w:val="Lienhypertexte"/>
                  <w:rFonts w:cs="Arial"/>
                </w:rPr>
                <w:t>Chapitre 18</w:t>
              </w:r>
            </w:hyperlink>
          </w:p>
        </w:tc>
        <w:tc>
          <w:tcPr>
            <w:tcW w:w="2113" w:type="dxa"/>
            <w:vAlign w:val="center"/>
          </w:tcPr>
          <w:p w:rsidR="00F04EEF" w:rsidRDefault="0099351E">
            <w:pPr>
              <w:tabs>
                <w:tab w:val="left" w:pos="1134"/>
              </w:tabs>
              <w:snapToGrid w:val="0"/>
              <w:jc w:val="center"/>
              <w:rPr>
                <w:color w:val="000000"/>
              </w:rPr>
            </w:pPr>
            <w:r>
              <w:rPr>
                <w:color w:val="000000"/>
              </w:rPr>
              <w:t>Administration</w:t>
            </w:r>
          </w:p>
        </w:tc>
        <w:tc>
          <w:tcPr>
            <w:tcW w:w="1985" w:type="dxa"/>
            <w:vAlign w:val="center"/>
          </w:tcPr>
          <w:p w:rsidR="00F04EEF" w:rsidRDefault="0099351E">
            <w:pPr>
              <w:tabs>
                <w:tab w:val="left" w:pos="1134"/>
              </w:tabs>
              <w:snapToGrid w:val="0"/>
              <w:jc w:val="center"/>
              <w:rPr>
                <w:b/>
              </w:rPr>
            </w:pPr>
            <w:r>
              <w:rPr>
                <w:b/>
              </w:rPr>
              <w:t>dès que sa nécessité est constatée</w:t>
            </w:r>
          </w:p>
        </w:tc>
      </w:tr>
      <w:tr w:rsidR="00F04EEF">
        <w:trPr>
          <w:trHeight w:val="888"/>
        </w:trPr>
        <w:tc>
          <w:tcPr>
            <w:tcW w:w="3708" w:type="dxa"/>
            <w:vAlign w:val="center"/>
          </w:tcPr>
          <w:p w:rsidR="00F04EEF" w:rsidRDefault="0099351E">
            <w:pPr>
              <w:tabs>
                <w:tab w:val="left" w:pos="1134"/>
              </w:tabs>
              <w:snapToGrid w:val="0"/>
              <w:rPr>
                <w:color w:val="000000"/>
              </w:rPr>
            </w:pPr>
            <w:r>
              <w:rPr>
                <w:bCs/>
                <w:color w:val="000000"/>
              </w:rPr>
              <w:t>Demandes de dérogation liée au cursus de l’élève à besoins spécifiques</w:t>
            </w:r>
            <w:r>
              <w:rPr>
                <w:color w:val="000000"/>
              </w:rPr>
              <w:t xml:space="preserve"> </w:t>
            </w:r>
            <w:r>
              <w:rPr>
                <w:color w:val="000000"/>
              </w:rPr>
              <w:sym w:font="Wingdings" w:char="F0E8"/>
            </w:r>
            <w:r>
              <w:rPr>
                <w:color w:val="000000"/>
              </w:rPr>
              <w:t xml:space="preserve"> article 63</w:t>
            </w:r>
          </w:p>
        </w:tc>
        <w:tc>
          <w:tcPr>
            <w:tcW w:w="1800" w:type="dxa"/>
            <w:vAlign w:val="center"/>
          </w:tcPr>
          <w:p w:rsidR="00F04EEF" w:rsidRDefault="00F42422">
            <w:pPr>
              <w:jc w:val="center"/>
              <w:rPr>
                <w:color w:val="000000"/>
              </w:rPr>
            </w:pPr>
            <w:hyperlink w:anchor="_Chapitre_1_:" w:history="1">
              <w:r w:rsidR="0099351E">
                <w:rPr>
                  <w:rStyle w:val="Lienhypertexte"/>
                  <w:rFonts w:cstheme="minorBidi"/>
                </w:rPr>
                <w:t>Chapitre 1</w:t>
              </w:r>
            </w:hyperlink>
            <w:r w:rsidR="0099351E">
              <w:rPr>
                <w:color w:val="000000"/>
              </w:rPr>
              <w:t xml:space="preserve">, </w:t>
            </w:r>
          </w:p>
          <w:p w:rsidR="00F04EEF" w:rsidRDefault="00F42422">
            <w:pPr>
              <w:jc w:val="center"/>
              <w:rPr>
                <w:color w:val="000000"/>
              </w:rPr>
            </w:pPr>
            <w:hyperlink w:anchor="_1.1.7._Dérogation_liée" w:history="1">
              <w:r w:rsidR="0099351E">
                <w:rPr>
                  <w:rStyle w:val="Lienhypertexte"/>
                  <w:rFonts w:cstheme="minorBidi"/>
                </w:rPr>
                <w:t>point 1.1.7.</w:t>
              </w:r>
            </w:hyperlink>
          </w:p>
        </w:tc>
        <w:tc>
          <w:tcPr>
            <w:tcW w:w="2113" w:type="dxa"/>
            <w:vAlign w:val="center"/>
          </w:tcPr>
          <w:p w:rsidR="00F04EEF" w:rsidRDefault="0099351E">
            <w:pPr>
              <w:tabs>
                <w:tab w:val="left" w:pos="1134"/>
              </w:tabs>
              <w:snapToGrid w:val="0"/>
              <w:jc w:val="center"/>
              <w:rPr>
                <w:color w:val="000000"/>
              </w:rPr>
            </w:pPr>
            <w:r>
              <w:rPr>
                <w:color w:val="000000"/>
              </w:rPr>
              <w:t>Inspection</w:t>
            </w:r>
          </w:p>
        </w:tc>
        <w:tc>
          <w:tcPr>
            <w:tcW w:w="1985" w:type="dxa"/>
            <w:vAlign w:val="center"/>
          </w:tcPr>
          <w:p w:rsidR="00F04EEF" w:rsidRDefault="0099351E">
            <w:pPr>
              <w:tabs>
                <w:tab w:val="left" w:pos="1134"/>
              </w:tabs>
              <w:snapToGrid w:val="0"/>
              <w:jc w:val="center"/>
              <w:rPr>
                <w:b/>
              </w:rPr>
            </w:pPr>
            <w:r>
              <w:rPr>
                <w:b/>
              </w:rPr>
              <w:t>dès que sa nécessité est constatée</w:t>
            </w:r>
          </w:p>
        </w:tc>
      </w:tr>
      <w:tr w:rsidR="00F04EEF">
        <w:trPr>
          <w:trHeight w:val="972"/>
        </w:trPr>
        <w:tc>
          <w:tcPr>
            <w:tcW w:w="3708" w:type="dxa"/>
            <w:vAlign w:val="center"/>
          </w:tcPr>
          <w:p w:rsidR="00F04EEF" w:rsidRDefault="0099351E">
            <w:pPr>
              <w:tabs>
                <w:tab w:val="left" w:pos="1134"/>
              </w:tabs>
              <w:snapToGrid w:val="0"/>
              <w:rPr>
                <w:color w:val="000000"/>
              </w:rPr>
            </w:pPr>
            <w:r>
              <w:rPr>
                <w:color w:val="000000"/>
              </w:rPr>
              <w:t>Demandes de dérogation à l’inscription dès l’âge de 5 ans dans l’Enseignement primaire spécialisé</w:t>
            </w:r>
          </w:p>
        </w:tc>
        <w:tc>
          <w:tcPr>
            <w:tcW w:w="1800" w:type="dxa"/>
            <w:vAlign w:val="center"/>
          </w:tcPr>
          <w:p w:rsidR="00F04EEF" w:rsidRDefault="00F42422">
            <w:pPr>
              <w:jc w:val="center"/>
              <w:rPr>
                <w:color w:val="0000FF"/>
              </w:rPr>
            </w:pPr>
            <w:hyperlink w:anchor="_Chapitre_18_:" w:history="1">
              <w:r w:rsidR="0099351E">
                <w:rPr>
                  <w:rStyle w:val="Lienhypertexte"/>
                  <w:rFonts w:cs="Arial"/>
                </w:rPr>
                <w:t>Chapitre 18</w:t>
              </w:r>
            </w:hyperlink>
          </w:p>
        </w:tc>
        <w:tc>
          <w:tcPr>
            <w:tcW w:w="2113" w:type="dxa"/>
            <w:vAlign w:val="center"/>
          </w:tcPr>
          <w:p w:rsidR="00F04EEF" w:rsidRDefault="0099351E">
            <w:pPr>
              <w:tabs>
                <w:tab w:val="left" w:pos="1134"/>
              </w:tabs>
              <w:snapToGrid w:val="0"/>
              <w:jc w:val="center"/>
              <w:rPr>
                <w:color w:val="000000"/>
              </w:rPr>
            </w:pPr>
            <w:r>
              <w:rPr>
                <w:color w:val="000000"/>
              </w:rPr>
              <w:t>Inspection</w:t>
            </w:r>
          </w:p>
        </w:tc>
        <w:tc>
          <w:tcPr>
            <w:tcW w:w="1985" w:type="dxa"/>
            <w:vAlign w:val="center"/>
          </w:tcPr>
          <w:p w:rsidR="00F04EEF" w:rsidRDefault="0099351E">
            <w:pPr>
              <w:tabs>
                <w:tab w:val="left" w:pos="1134"/>
              </w:tabs>
              <w:snapToGrid w:val="0"/>
              <w:jc w:val="center"/>
              <w:rPr>
                <w:b/>
              </w:rPr>
            </w:pPr>
            <w:r>
              <w:rPr>
                <w:b/>
              </w:rPr>
              <w:t>dès que sa nécessité est constatée</w:t>
            </w:r>
          </w:p>
        </w:tc>
      </w:tr>
      <w:tr w:rsidR="00F04EEF">
        <w:tc>
          <w:tcPr>
            <w:tcW w:w="3708" w:type="dxa"/>
            <w:vAlign w:val="center"/>
          </w:tcPr>
          <w:p w:rsidR="00F04EEF" w:rsidRDefault="0099351E">
            <w:pPr>
              <w:tabs>
                <w:tab w:val="left" w:pos="1134"/>
              </w:tabs>
              <w:snapToGrid w:val="0"/>
            </w:pPr>
            <w:r>
              <w:t>Qualification dans l’Enseignement de forme 3</w:t>
            </w:r>
          </w:p>
        </w:tc>
        <w:tc>
          <w:tcPr>
            <w:tcW w:w="1800" w:type="dxa"/>
            <w:vAlign w:val="center"/>
          </w:tcPr>
          <w:p w:rsidR="00F04EEF" w:rsidRDefault="00F42422">
            <w:pPr>
              <w:jc w:val="center"/>
            </w:pPr>
            <w:hyperlink w:anchor="_Chapitre_27_:" w:history="1">
              <w:r w:rsidR="0099351E">
                <w:rPr>
                  <w:rStyle w:val="Lienhypertexte"/>
                  <w:rFonts w:cs="Arial"/>
                </w:rPr>
                <w:t>Chapitre 27</w:t>
              </w:r>
            </w:hyperlink>
          </w:p>
        </w:tc>
        <w:tc>
          <w:tcPr>
            <w:tcW w:w="2113" w:type="dxa"/>
            <w:vAlign w:val="center"/>
          </w:tcPr>
          <w:p w:rsidR="00F04EEF" w:rsidRDefault="0099351E">
            <w:pPr>
              <w:tabs>
                <w:tab w:val="left" w:pos="1134"/>
              </w:tabs>
              <w:snapToGrid w:val="0"/>
              <w:jc w:val="center"/>
            </w:pPr>
            <w:r>
              <w:t>Administration</w:t>
            </w:r>
          </w:p>
        </w:tc>
        <w:tc>
          <w:tcPr>
            <w:tcW w:w="1985" w:type="dxa"/>
            <w:vAlign w:val="center"/>
          </w:tcPr>
          <w:p w:rsidR="00F04EEF" w:rsidRDefault="0099351E">
            <w:pPr>
              <w:tabs>
                <w:tab w:val="left" w:pos="1134"/>
              </w:tabs>
              <w:snapToGrid w:val="0"/>
              <w:jc w:val="center"/>
              <w:rPr>
                <w:b/>
              </w:rPr>
            </w:pPr>
            <w:r>
              <w:rPr>
                <w:b/>
              </w:rPr>
              <w:t>Au terme des qualifications</w:t>
            </w:r>
          </w:p>
        </w:tc>
      </w:tr>
    </w:tbl>
    <w:p w:rsidR="00F04EEF" w:rsidRDefault="00F04EEF">
      <w:pPr>
        <w:rPr>
          <w:rFonts w:eastAsiaTheme="minorEastAsia"/>
          <w:lang w:eastAsia="fr-BE"/>
        </w:rPr>
      </w:pPr>
    </w:p>
    <w:p w:rsidR="00F04EEF" w:rsidRDefault="0099351E">
      <w:pPr>
        <w:rPr>
          <w:rFonts w:eastAsiaTheme="minorEastAsia"/>
          <w:lang w:eastAsia="fr-BE"/>
        </w:rPr>
      </w:pPr>
      <w:r>
        <w:rPr>
          <w:rFonts w:eastAsiaTheme="minorEastAsia"/>
          <w:lang w:eastAsia="fr-BE"/>
        </w:rPr>
        <w:br w:type="page"/>
      </w:r>
    </w:p>
    <w:p w:rsidR="00F04EEF" w:rsidRDefault="00F04EEF">
      <w:pPr>
        <w:rPr>
          <w:rFonts w:eastAsiaTheme="minorEastAsia"/>
          <w:lang w:eastAsia="fr-BE"/>
        </w:rPr>
      </w:pPr>
    </w:p>
    <w:p w:rsidR="00F04EEF" w:rsidRDefault="0099351E">
      <w:pPr>
        <w:pStyle w:val="Titre2"/>
      </w:pPr>
      <w:bookmarkStart w:id="4227" w:name="_INDEX_III_:"/>
      <w:bookmarkStart w:id="4228" w:name="_Toc47708672"/>
      <w:bookmarkEnd w:id="4227"/>
      <w:r>
        <w:t>INDEX III : Lien avec d’autres circulaires</w:t>
      </w:r>
      <w:bookmarkEnd w:id="4228"/>
    </w:p>
    <w:p w:rsidR="00F04EEF" w:rsidRDefault="00F04EEF">
      <w:pPr>
        <w:rPr>
          <w:rFonts w:eastAsiaTheme="minorEastAsia"/>
          <w:lang w:eastAsia="fr-BE"/>
        </w:rPr>
      </w:pPr>
    </w:p>
    <w:p w:rsidR="00F04EEF" w:rsidRDefault="00F04EEF">
      <w:pPr>
        <w:rPr>
          <w:rFonts w:eastAsiaTheme="minorEastAsia"/>
          <w:lang w:eastAsia="fr-B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410"/>
        <w:gridCol w:w="5528"/>
      </w:tblGrid>
      <w:tr w:rsidR="00F04EEF">
        <w:tc>
          <w:tcPr>
            <w:tcW w:w="1526" w:type="dxa"/>
          </w:tcPr>
          <w:p w:rsidR="00F04EEF" w:rsidRDefault="0099351E">
            <w:pPr>
              <w:jc w:val="center"/>
              <w:rPr>
                <w:b/>
              </w:rPr>
            </w:pPr>
            <w:r>
              <w:rPr>
                <w:b/>
              </w:rPr>
              <w:t>Circulaire n°</w:t>
            </w:r>
          </w:p>
        </w:tc>
        <w:tc>
          <w:tcPr>
            <w:tcW w:w="2410" w:type="dxa"/>
          </w:tcPr>
          <w:p w:rsidR="00F04EEF" w:rsidRDefault="0099351E">
            <w:pPr>
              <w:jc w:val="center"/>
              <w:rPr>
                <w:b/>
              </w:rPr>
            </w:pPr>
            <w:r>
              <w:rPr>
                <w:b/>
              </w:rPr>
              <w:t>Date de parution</w:t>
            </w:r>
          </w:p>
        </w:tc>
        <w:tc>
          <w:tcPr>
            <w:tcW w:w="5528" w:type="dxa"/>
          </w:tcPr>
          <w:p w:rsidR="00F04EEF" w:rsidRDefault="0099351E">
            <w:pPr>
              <w:jc w:val="center"/>
              <w:rPr>
                <w:b/>
              </w:rPr>
            </w:pPr>
            <w:r>
              <w:rPr>
                <w:b/>
              </w:rPr>
              <w:t>Intitulé</w:t>
            </w:r>
          </w:p>
        </w:tc>
      </w:tr>
      <w:tr w:rsidR="00F04EEF">
        <w:tc>
          <w:tcPr>
            <w:tcW w:w="1526" w:type="dxa"/>
          </w:tcPr>
          <w:p w:rsidR="00F04EEF" w:rsidRDefault="0099351E">
            <w:pPr>
              <w:jc w:val="center"/>
            </w:pPr>
            <w:r>
              <w:t>28</w:t>
            </w:r>
          </w:p>
        </w:tc>
        <w:tc>
          <w:tcPr>
            <w:tcW w:w="2410" w:type="dxa"/>
          </w:tcPr>
          <w:p w:rsidR="00F04EEF" w:rsidRDefault="0099351E">
            <w:pPr>
              <w:jc w:val="center"/>
            </w:pPr>
            <w:r>
              <w:t>12 janvier 2000</w:t>
            </w:r>
          </w:p>
        </w:tc>
        <w:tc>
          <w:tcPr>
            <w:tcW w:w="5528" w:type="dxa"/>
          </w:tcPr>
          <w:p w:rsidR="00F04EEF" w:rsidRDefault="00F42422">
            <w:hyperlink r:id="rId367" w:history="1">
              <w:r w:rsidR="0099351E">
                <w:rPr>
                  <w:rStyle w:val="Lienhypertexte"/>
                  <w:rFonts w:cs="Arial"/>
                </w:rPr>
                <w:t>Complémentarité entre le secteur de l’Enseignement et le secteur de l’Aide à la Jeunesse.</w:t>
              </w:r>
            </w:hyperlink>
          </w:p>
        </w:tc>
      </w:tr>
      <w:tr w:rsidR="00F04EEF">
        <w:tc>
          <w:tcPr>
            <w:tcW w:w="1526" w:type="dxa"/>
          </w:tcPr>
          <w:p w:rsidR="00F04EEF" w:rsidRDefault="0099351E">
            <w:pPr>
              <w:jc w:val="center"/>
            </w:pPr>
            <w:r>
              <w:t>1000</w:t>
            </w:r>
          </w:p>
        </w:tc>
        <w:tc>
          <w:tcPr>
            <w:tcW w:w="2410" w:type="dxa"/>
          </w:tcPr>
          <w:p w:rsidR="00F04EEF" w:rsidRDefault="0099351E">
            <w:pPr>
              <w:jc w:val="center"/>
            </w:pPr>
            <w:r>
              <w:t>19 novembre 2004</w:t>
            </w:r>
          </w:p>
        </w:tc>
        <w:tc>
          <w:tcPr>
            <w:tcW w:w="5528" w:type="dxa"/>
          </w:tcPr>
          <w:p w:rsidR="00F04EEF" w:rsidRDefault="00F42422">
            <w:hyperlink r:id="rId368" w:history="1">
              <w:r w:rsidR="0099351E">
                <w:rPr>
                  <w:rStyle w:val="Lienhypertexte"/>
                  <w:rFonts w:cs="Arial"/>
                </w:rPr>
                <w:t>Equipes mobiles susceptibles d’intervenir au sein des établissements scolaires concernés par un phénomène de violence ou de décrochage scolaire</w:t>
              </w:r>
            </w:hyperlink>
            <w:r w:rsidR="0099351E">
              <w:t>.</w:t>
            </w:r>
          </w:p>
        </w:tc>
      </w:tr>
      <w:tr w:rsidR="00F04EEF">
        <w:tc>
          <w:tcPr>
            <w:tcW w:w="1526" w:type="dxa"/>
          </w:tcPr>
          <w:p w:rsidR="00F04EEF" w:rsidRDefault="0099351E">
            <w:pPr>
              <w:jc w:val="center"/>
            </w:pPr>
            <w:r>
              <w:t>1667</w:t>
            </w:r>
          </w:p>
        </w:tc>
        <w:tc>
          <w:tcPr>
            <w:tcW w:w="2410" w:type="dxa"/>
          </w:tcPr>
          <w:p w:rsidR="00F04EEF" w:rsidRDefault="0099351E">
            <w:pPr>
              <w:jc w:val="center"/>
            </w:pPr>
            <w:r>
              <w:t>23 octobre 2006</w:t>
            </w:r>
          </w:p>
        </w:tc>
        <w:tc>
          <w:tcPr>
            <w:tcW w:w="5528" w:type="dxa"/>
          </w:tcPr>
          <w:p w:rsidR="00F04EEF" w:rsidRDefault="00F42422">
            <w:hyperlink r:id="rId369" w:history="1">
              <w:r w:rsidR="0099351E">
                <w:rPr>
                  <w:rStyle w:val="Lienhypertexte"/>
                  <w:rFonts w:cs="Arial"/>
                </w:rPr>
                <w:t>Collaboration entre les centres psycho-médico-sociaux et le service du contrôle de l’obligation scolaire dans le cadre de la lutte contre le décrochage scolaire dans l’enseignement fondamental et secondaire ordinaire et spécialisé, organisé ou subventionné par la Communauté française</w:t>
              </w:r>
            </w:hyperlink>
            <w:r w:rsidR="0099351E">
              <w:t>.</w:t>
            </w:r>
          </w:p>
        </w:tc>
      </w:tr>
      <w:tr w:rsidR="00F04EEF">
        <w:tc>
          <w:tcPr>
            <w:tcW w:w="1526" w:type="dxa"/>
          </w:tcPr>
          <w:p w:rsidR="00F04EEF" w:rsidRDefault="0099351E">
            <w:pPr>
              <w:jc w:val="center"/>
            </w:pPr>
            <w:r>
              <w:t>1721</w:t>
            </w:r>
          </w:p>
        </w:tc>
        <w:tc>
          <w:tcPr>
            <w:tcW w:w="2410" w:type="dxa"/>
          </w:tcPr>
          <w:p w:rsidR="00F04EEF" w:rsidRDefault="0099351E">
            <w:pPr>
              <w:jc w:val="center"/>
            </w:pPr>
            <w:r>
              <w:t>4 janvier 2007</w:t>
            </w:r>
          </w:p>
        </w:tc>
        <w:tc>
          <w:tcPr>
            <w:tcW w:w="5528" w:type="dxa"/>
          </w:tcPr>
          <w:p w:rsidR="00F04EEF" w:rsidRDefault="00F42422">
            <w:hyperlink r:id="rId370" w:history="1">
              <w:r w:rsidR="0099351E">
                <w:rPr>
                  <w:rStyle w:val="Lienhypertexte"/>
                  <w:rFonts w:cs="Arial"/>
                </w:rPr>
                <w:t>Circulaire ministérielle PLP 41 du 7 juillet 2006 en vue du renforcement et/ou de l’ajustement de la politique de sécurité locale ainsi que de l’approche spécifique en matière de criminalité juvénile avec, en particulier, un point de contact pour les écoles </w:t>
              </w:r>
            </w:hyperlink>
          </w:p>
        </w:tc>
      </w:tr>
      <w:tr w:rsidR="00F04EEF">
        <w:tc>
          <w:tcPr>
            <w:tcW w:w="1526" w:type="dxa"/>
          </w:tcPr>
          <w:p w:rsidR="00F04EEF" w:rsidRDefault="0099351E">
            <w:pPr>
              <w:jc w:val="center"/>
            </w:pPr>
            <w:r>
              <w:t>2080</w:t>
            </w:r>
          </w:p>
        </w:tc>
        <w:tc>
          <w:tcPr>
            <w:tcW w:w="2410" w:type="dxa"/>
          </w:tcPr>
          <w:p w:rsidR="00F04EEF" w:rsidRDefault="0099351E">
            <w:pPr>
              <w:jc w:val="center"/>
            </w:pPr>
            <w:r>
              <w:t>24 octobre 2007</w:t>
            </w:r>
          </w:p>
        </w:tc>
        <w:tc>
          <w:tcPr>
            <w:tcW w:w="5528" w:type="dxa"/>
          </w:tcPr>
          <w:p w:rsidR="00F04EEF" w:rsidRDefault="00F42422">
            <w:hyperlink r:id="rId371" w:history="1">
              <w:r w:rsidR="0099351E">
                <w:rPr>
                  <w:rStyle w:val="Lienhypertexte"/>
                  <w:rFonts w:cs="Arial"/>
                </w:rPr>
                <w:t>Prise en compte des élèves exclus pour la définition du montant des dotations ou subventions et de l’encadrement </w:t>
              </w:r>
            </w:hyperlink>
          </w:p>
        </w:tc>
      </w:tr>
      <w:tr w:rsidR="00F04EEF">
        <w:tc>
          <w:tcPr>
            <w:tcW w:w="1526" w:type="dxa"/>
          </w:tcPr>
          <w:p w:rsidR="00F04EEF" w:rsidRDefault="0099351E">
            <w:pPr>
              <w:jc w:val="center"/>
            </w:pPr>
            <w:r>
              <w:t>2214</w:t>
            </w:r>
          </w:p>
        </w:tc>
        <w:tc>
          <w:tcPr>
            <w:tcW w:w="2410" w:type="dxa"/>
          </w:tcPr>
          <w:p w:rsidR="00F04EEF" w:rsidRDefault="0099351E">
            <w:pPr>
              <w:jc w:val="center"/>
            </w:pPr>
            <w:r>
              <w:t>29 février 2008</w:t>
            </w:r>
          </w:p>
        </w:tc>
        <w:tc>
          <w:tcPr>
            <w:tcW w:w="5528" w:type="dxa"/>
          </w:tcPr>
          <w:p w:rsidR="00F04EEF" w:rsidRDefault="00F42422">
            <w:hyperlink r:id="rId372" w:history="1">
              <w:r w:rsidR="0099351E">
                <w:rPr>
                  <w:rStyle w:val="Lienhypertexte"/>
                  <w:rFonts w:cs="Arial"/>
                </w:rPr>
                <w:t xml:space="preserve"> Circulaire de bonnes pratiques de collaboration et de communication entre les secteurs de l’enseignement au sens large et de l’aide à la jeunesse </w:t>
              </w:r>
            </w:hyperlink>
          </w:p>
        </w:tc>
      </w:tr>
      <w:tr w:rsidR="00F04EEF">
        <w:tc>
          <w:tcPr>
            <w:tcW w:w="1526" w:type="dxa"/>
          </w:tcPr>
          <w:p w:rsidR="00F04EEF" w:rsidRDefault="0099351E">
            <w:pPr>
              <w:jc w:val="center"/>
            </w:pPr>
            <w:r>
              <w:rPr>
                <w:iCs/>
              </w:rPr>
              <w:t>2226</w:t>
            </w:r>
          </w:p>
        </w:tc>
        <w:tc>
          <w:tcPr>
            <w:tcW w:w="2410" w:type="dxa"/>
          </w:tcPr>
          <w:p w:rsidR="00F04EEF" w:rsidRDefault="0099351E">
            <w:pPr>
              <w:jc w:val="center"/>
            </w:pPr>
            <w:r>
              <w:rPr>
                <w:iCs/>
              </w:rPr>
              <w:t>12 mars 2008</w:t>
            </w:r>
          </w:p>
        </w:tc>
        <w:tc>
          <w:tcPr>
            <w:tcW w:w="5528" w:type="dxa"/>
          </w:tcPr>
          <w:p w:rsidR="00F04EEF" w:rsidRDefault="00F42422">
            <w:pPr>
              <w:rPr>
                <w:rStyle w:val="Lienhypertexte"/>
                <w:rFonts w:cs="Arial"/>
                <w:iCs/>
              </w:rPr>
            </w:pPr>
            <w:hyperlink r:id="rId373" w:history="1">
              <w:r w:rsidR="0099351E">
                <w:rPr>
                  <w:rStyle w:val="Lienhypertexte"/>
                  <w:rFonts w:cs="Arial"/>
                  <w:iCs/>
                </w:rPr>
                <w:t>Dispositif favorisant un retour réussi à l’école des élèves ayant séjourné dans un service d’accrochage scolaire – demande de moyens humains supplémentaires </w:t>
              </w:r>
            </w:hyperlink>
          </w:p>
          <w:p w:rsidR="00F04EEF" w:rsidRDefault="0099351E">
            <w:r>
              <w:rPr>
                <w:rStyle w:val="Lienhypertexte"/>
                <w:rFonts w:cs="Arial"/>
                <w:iCs/>
                <w:color w:val="auto"/>
                <w:u w:val="none"/>
              </w:rPr>
              <w:t>Circulaire modifiée par la circulaire 4877</w:t>
            </w:r>
          </w:p>
        </w:tc>
      </w:tr>
      <w:tr w:rsidR="00F04EEF">
        <w:tc>
          <w:tcPr>
            <w:tcW w:w="1526" w:type="dxa"/>
          </w:tcPr>
          <w:p w:rsidR="00F04EEF" w:rsidRDefault="0099351E">
            <w:pPr>
              <w:jc w:val="center"/>
            </w:pPr>
            <w:r>
              <w:t>2327</w:t>
            </w:r>
          </w:p>
        </w:tc>
        <w:tc>
          <w:tcPr>
            <w:tcW w:w="2410" w:type="dxa"/>
          </w:tcPr>
          <w:p w:rsidR="00F04EEF" w:rsidRDefault="0099351E">
            <w:pPr>
              <w:jc w:val="center"/>
            </w:pPr>
            <w:r>
              <w:t>2 juin 2008</w:t>
            </w:r>
          </w:p>
        </w:tc>
        <w:tc>
          <w:tcPr>
            <w:tcW w:w="5528" w:type="dxa"/>
          </w:tcPr>
          <w:p w:rsidR="00F04EEF" w:rsidRDefault="00F42422">
            <w:hyperlink r:id="rId374" w:history="1">
              <w:r w:rsidR="0099351E">
                <w:rPr>
                  <w:rStyle w:val="Lienhypertexte"/>
                  <w:rFonts w:cs="Arial"/>
                </w:rPr>
                <w:t>Dispositions communes en matière de faits graves devant figurer dans le règlement d’ordre intérieur de chaque établissement d’enseignement subventionné ou organisé par la Communauté française </w:t>
              </w:r>
            </w:hyperlink>
          </w:p>
        </w:tc>
      </w:tr>
      <w:tr w:rsidR="00F04EEF">
        <w:tc>
          <w:tcPr>
            <w:tcW w:w="1526" w:type="dxa"/>
          </w:tcPr>
          <w:p w:rsidR="00F04EEF" w:rsidRDefault="0099351E">
            <w:pPr>
              <w:jc w:val="center"/>
            </w:pPr>
            <w:r>
              <w:t>3783</w:t>
            </w:r>
          </w:p>
        </w:tc>
        <w:tc>
          <w:tcPr>
            <w:tcW w:w="2410" w:type="dxa"/>
          </w:tcPr>
          <w:p w:rsidR="00F04EEF" w:rsidRDefault="0099351E">
            <w:pPr>
              <w:jc w:val="center"/>
            </w:pPr>
            <w:r>
              <w:t>28 octobre 2011</w:t>
            </w:r>
          </w:p>
        </w:tc>
        <w:tc>
          <w:tcPr>
            <w:tcW w:w="5528" w:type="dxa"/>
          </w:tcPr>
          <w:p w:rsidR="00F04EEF" w:rsidRDefault="00F42422">
            <w:hyperlink r:id="rId375" w:history="1">
              <w:r w:rsidR="0099351E">
                <w:rPr>
                  <w:rStyle w:val="Lienhypertexte"/>
                  <w:rFonts w:cs="Arial"/>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tc>
      </w:tr>
      <w:tr w:rsidR="00F04EEF">
        <w:tc>
          <w:tcPr>
            <w:tcW w:w="1526" w:type="dxa"/>
          </w:tcPr>
          <w:p w:rsidR="00F04EEF" w:rsidRDefault="0099351E">
            <w:pPr>
              <w:jc w:val="center"/>
            </w:pPr>
            <w:r>
              <w:t>3843</w:t>
            </w:r>
          </w:p>
        </w:tc>
        <w:tc>
          <w:tcPr>
            <w:tcW w:w="2410" w:type="dxa"/>
          </w:tcPr>
          <w:p w:rsidR="00F04EEF" w:rsidRDefault="0099351E">
            <w:pPr>
              <w:jc w:val="center"/>
            </w:pPr>
            <w:r>
              <w:t>11 janvier 2012</w:t>
            </w:r>
          </w:p>
        </w:tc>
        <w:tc>
          <w:tcPr>
            <w:tcW w:w="5528" w:type="dxa"/>
          </w:tcPr>
          <w:p w:rsidR="00F04EEF" w:rsidRDefault="00F42422">
            <w:hyperlink r:id="rId376" w:history="1">
              <w:r w:rsidR="0099351E">
                <w:rPr>
                  <w:rStyle w:val="Lienhypertexte"/>
                  <w:rFonts w:cs="Arial"/>
                </w:rPr>
                <w:t>Directives applicables en matière de paiement du droit spécifique dans l'enseignement secondaire spécialisé organisé ou subventionné par la Fédération Wallonie-Bruxelles </w:t>
              </w:r>
            </w:hyperlink>
          </w:p>
        </w:tc>
      </w:tr>
      <w:tr w:rsidR="00F04EEF">
        <w:tc>
          <w:tcPr>
            <w:tcW w:w="1526" w:type="dxa"/>
          </w:tcPr>
          <w:p w:rsidR="00F04EEF" w:rsidRDefault="0099351E">
            <w:pPr>
              <w:jc w:val="center"/>
            </w:pPr>
            <w:r>
              <w:t>3974</w:t>
            </w:r>
          </w:p>
        </w:tc>
        <w:tc>
          <w:tcPr>
            <w:tcW w:w="2410" w:type="dxa"/>
          </w:tcPr>
          <w:p w:rsidR="00F04EEF" w:rsidRDefault="0099351E">
            <w:pPr>
              <w:jc w:val="center"/>
            </w:pPr>
            <w:r>
              <w:t>25 avril 2012</w:t>
            </w:r>
          </w:p>
        </w:tc>
        <w:tc>
          <w:tcPr>
            <w:tcW w:w="5528" w:type="dxa"/>
          </w:tcPr>
          <w:p w:rsidR="00F04EEF" w:rsidRDefault="00F42422">
            <w:hyperlink r:id="rId377" w:history="1">
              <w:r w:rsidR="0099351E">
                <w:rPr>
                  <w:rStyle w:val="Lienhypertexte"/>
                  <w:rFonts w:cs="Arial"/>
                </w:rPr>
                <w:t>Règlement d’Ordre Intérieur (R.O.I) – Guide pratique </w:t>
              </w:r>
            </w:hyperlink>
          </w:p>
        </w:tc>
      </w:tr>
      <w:tr w:rsidR="00F04EEF">
        <w:tc>
          <w:tcPr>
            <w:tcW w:w="1526" w:type="dxa"/>
          </w:tcPr>
          <w:p w:rsidR="00F04EEF" w:rsidRDefault="0099351E">
            <w:pPr>
              <w:jc w:val="center"/>
            </w:pPr>
            <w:r>
              <w:t>4271</w:t>
            </w:r>
          </w:p>
        </w:tc>
        <w:tc>
          <w:tcPr>
            <w:tcW w:w="2410" w:type="dxa"/>
          </w:tcPr>
          <w:p w:rsidR="00F04EEF" w:rsidRDefault="0099351E">
            <w:pPr>
              <w:jc w:val="center"/>
            </w:pPr>
            <w:r>
              <w:t>17 janvier 2013</w:t>
            </w:r>
          </w:p>
        </w:tc>
        <w:tc>
          <w:tcPr>
            <w:tcW w:w="5528" w:type="dxa"/>
          </w:tcPr>
          <w:p w:rsidR="00F04EEF" w:rsidRDefault="00F42422">
            <w:hyperlink r:id="rId378" w:history="1">
              <w:r w:rsidR="0099351E">
                <w:rPr>
                  <w:rStyle w:val="Lienhypertexte"/>
                  <w:rFonts w:cs="Arial"/>
                </w:rPr>
                <w:t>Organisation des cours de natation dans l’enseignement spécialisé</w:t>
              </w:r>
            </w:hyperlink>
            <w:r w:rsidR="0099351E">
              <w:t> </w:t>
            </w:r>
          </w:p>
        </w:tc>
      </w:tr>
      <w:tr w:rsidR="00F04EEF">
        <w:tc>
          <w:tcPr>
            <w:tcW w:w="1526" w:type="dxa"/>
          </w:tcPr>
          <w:p w:rsidR="00F04EEF" w:rsidRDefault="0099351E">
            <w:pPr>
              <w:jc w:val="center"/>
            </w:pPr>
            <w:r>
              <w:t>4274</w:t>
            </w:r>
          </w:p>
        </w:tc>
        <w:tc>
          <w:tcPr>
            <w:tcW w:w="2410" w:type="dxa"/>
          </w:tcPr>
          <w:p w:rsidR="00F04EEF" w:rsidRDefault="0099351E">
            <w:pPr>
              <w:jc w:val="center"/>
            </w:pPr>
            <w:r>
              <w:t>21 janvier 2013</w:t>
            </w:r>
          </w:p>
        </w:tc>
        <w:tc>
          <w:tcPr>
            <w:tcW w:w="5528" w:type="dxa"/>
          </w:tcPr>
          <w:p w:rsidR="00F04EEF" w:rsidRDefault="00F42422">
            <w:pPr>
              <w:rPr>
                <w:color w:val="000080"/>
              </w:rPr>
            </w:pPr>
            <w:hyperlink r:id="rId379" w:history="1">
              <w:r w:rsidR="0099351E">
                <w:rPr>
                  <w:rStyle w:val="Lienhypertexte"/>
                  <w:rFonts w:cs="Arial"/>
                </w:rPr>
                <w:t>Adresse mail administrative des écoles </w:t>
              </w:r>
            </w:hyperlink>
            <w:r w:rsidR="0099351E">
              <w:rPr>
                <w:rStyle w:val="Lienhypertexte"/>
                <w:rFonts w:cs="Arial"/>
              </w:rPr>
              <w:t xml:space="preserve"> (circulaire modifiée par la 4363)</w:t>
            </w:r>
          </w:p>
        </w:tc>
      </w:tr>
      <w:tr w:rsidR="00F04EEF">
        <w:tc>
          <w:tcPr>
            <w:tcW w:w="1526" w:type="dxa"/>
          </w:tcPr>
          <w:p w:rsidR="00F04EEF" w:rsidRDefault="0099351E">
            <w:pPr>
              <w:jc w:val="center"/>
            </w:pPr>
            <w:r>
              <w:t>4363</w:t>
            </w:r>
          </w:p>
        </w:tc>
        <w:tc>
          <w:tcPr>
            <w:tcW w:w="2410" w:type="dxa"/>
          </w:tcPr>
          <w:p w:rsidR="00F04EEF" w:rsidRDefault="0099351E">
            <w:pPr>
              <w:jc w:val="center"/>
            </w:pPr>
            <w:r>
              <w:t>20 mars 2013</w:t>
            </w:r>
          </w:p>
        </w:tc>
        <w:tc>
          <w:tcPr>
            <w:tcW w:w="5528" w:type="dxa"/>
          </w:tcPr>
          <w:p w:rsidR="00F04EEF" w:rsidRDefault="00F42422">
            <w:hyperlink r:id="rId380" w:history="1">
              <w:r w:rsidR="0099351E">
                <w:rPr>
                  <w:rStyle w:val="Lienhypertexte"/>
                  <w:rFonts w:cs="Arial"/>
                </w:rPr>
                <w:t>Adresses mails administratives des écoles et des Pouvoirs organisateurs</w:t>
              </w:r>
            </w:hyperlink>
          </w:p>
        </w:tc>
      </w:tr>
      <w:tr w:rsidR="00F04EEF">
        <w:tc>
          <w:tcPr>
            <w:tcW w:w="1526" w:type="dxa"/>
          </w:tcPr>
          <w:p w:rsidR="00F04EEF" w:rsidRDefault="0099351E">
            <w:pPr>
              <w:jc w:val="center"/>
            </w:pPr>
            <w:r>
              <w:t>4392</w:t>
            </w:r>
          </w:p>
        </w:tc>
        <w:tc>
          <w:tcPr>
            <w:tcW w:w="2410" w:type="dxa"/>
          </w:tcPr>
          <w:p w:rsidR="00F04EEF" w:rsidRDefault="0099351E">
            <w:pPr>
              <w:jc w:val="center"/>
            </w:pPr>
            <w:r>
              <w:t>22 avril 2013</w:t>
            </w:r>
          </w:p>
        </w:tc>
        <w:tc>
          <w:tcPr>
            <w:tcW w:w="5528" w:type="dxa"/>
          </w:tcPr>
          <w:p w:rsidR="00F04EEF" w:rsidRDefault="00F42422">
            <w:pPr>
              <w:rPr>
                <w:color w:val="000080"/>
              </w:rPr>
            </w:pPr>
            <w:hyperlink r:id="rId381" w:history="1">
              <w:r w:rsidR="0099351E">
                <w:rPr>
                  <w:rStyle w:val="Lienhypertexte"/>
                  <w:rFonts w:cs="Arial"/>
                </w:rPr>
                <w:t>Rapport d’inscription dans l’enseignement spécialisé : Contenu et destinataires</w:t>
              </w:r>
            </w:hyperlink>
          </w:p>
        </w:tc>
      </w:tr>
      <w:tr w:rsidR="00F04EEF">
        <w:tc>
          <w:tcPr>
            <w:tcW w:w="1526" w:type="dxa"/>
          </w:tcPr>
          <w:p w:rsidR="00F04EEF" w:rsidRDefault="0099351E">
            <w:pPr>
              <w:jc w:val="center"/>
            </w:pPr>
            <w:r>
              <w:t>4516</w:t>
            </w:r>
          </w:p>
        </w:tc>
        <w:tc>
          <w:tcPr>
            <w:tcW w:w="2410" w:type="dxa"/>
          </w:tcPr>
          <w:p w:rsidR="00F04EEF" w:rsidRDefault="0099351E">
            <w:pPr>
              <w:jc w:val="center"/>
            </w:pPr>
            <w:r>
              <w:t>29 août 2013</w:t>
            </w:r>
          </w:p>
        </w:tc>
        <w:tc>
          <w:tcPr>
            <w:tcW w:w="5528" w:type="dxa"/>
          </w:tcPr>
          <w:p w:rsidR="00F04EEF" w:rsidRDefault="00F42422">
            <w:pPr>
              <w:rPr>
                <w:color w:val="000080"/>
              </w:rPr>
            </w:pPr>
            <w:hyperlink r:id="rId382" w:history="1">
              <w:r w:rsidR="0099351E">
                <w:rPr>
                  <w:rStyle w:val="Lienhypertexte"/>
                  <w:rFonts w:cs="Arial"/>
                </w:rPr>
                <w:t>Gratuité de l’accès à l’enseignement obligatoire </w:t>
              </w:r>
            </w:hyperlink>
          </w:p>
        </w:tc>
      </w:tr>
      <w:tr w:rsidR="00F04EEF">
        <w:tc>
          <w:tcPr>
            <w:tcW w:w="1526" w:type="dxa"/>
          </w:tcPr>
          <w:p w:rsidR="00F04EEF" w:rsidRDefault="0099351E">
            <w:pPr>
              <w:jc w:val="center"/>
            </w:pPr>
            <w:r>
              <w:t>4539</w:t>
            </w:r>
          </w:p>
        </w:tc>
        <w:tc>
          <w:tcPr>
            <w:tcW w:w="2410" w:type="dxa"/>
          </w:tcPr>
          <w:p w:rsidR="00F04EEF" w:rsidRDefault="0099351E">
            <w:pPr>
              <w:jc w:val="center"/>
            </w:pPr>
            <w:r>
              <w:t>6 septembre 2013</w:t>
            </w:r>
          </w:p>
        </w:tc>
        <w:tc>
          <w:tcPr>
            <w:tcW w:w="5528" w:type="dxa"/>
          </w:tcPr>
          <w:p w:rsidR="00F04EEF" w:rsidRDefault="00F42422">
            <w:hyperlink r:id="rId383" w:history="1">
              <w:r w:rsidR="0099351E">
                <w:rPr>
                  <w:rStyle w:val="Lienhypertexte"/>
                  <w:rFonts w:cs="Arial"/>
                </w:rPr>
                <w:t>Options de base groupées concernées par la CPU – Modèle des documents administratifs et pédagogiques – Sanction des études </w:t>
              </w:r>
            </w:hyperlink>
          </w:p>
        </w:tc>
      </w:tr>
      <w:tr w:rsidR="00F04EEF">
        <w:tc>
          <w:tcPr>
            <w:tcW w:w="1526" w:type="dxa"/>
          </w:tcPr>
          <w:p w:rsidR="00F04EEF" w:rsidRDefault="0099351E">
            <w:pPr>
              <w:jc w:val="center"/>
            </w:pPr>
            <w:r>
              <w:t>4606</w:t>
            </w:r>
          </w:p>
        </w:tc>
        <w:tc>
          <w:tcPr>
            <w:tcW w:w="2410" w:type="dxa"/>
          </w:tcPr>
          <w:p w:rsidR="00F04EEF" w:rsidRDefault="0099351E">
            <w:pPr>
              <w:jc w:val="center"/>
            </w:pPr>
            <w:r>
              <w:t>16 octobre 2013</w:t>
            </w:r>
          </w:p>
        </w:tc>
        <w:tc>
          <w:tcPr>
            <w:tcW w:w="5528" w:type="dxa"/>
          </w:tcPr>
          <w:p w:rsidR="00F04EEF" w:rsidRDefault="00F42422">
            <w:hyperlink r:id="rId384" w:history="1">
              <w:r w:rsidR="0099351E">
                <w:rPr>
                  <w:rStyle w:val="Lienhypertexte"/>
                  <w:rFonts w:cs="Arial"/>
                </w:rPr>
                <w:t>Prêt du matériel sportif aux écoles </w:t>
              </w:r>
            </w:hyperlink>
          </w:p>
        </w:tc>
      </w:tr>
      <w:tr w:rsidR="00F04EEF">
        <w:tc>
          <w:tcPr>
            <w:tcW w:w="1526" w:type="dxa"/>
          </w:tcPr>
          <w:p w:rsidR="00F04EEF" w:rsidRDefault="0099351E">
            <w:pPr>
              <w:jc w:val="center"/>
              <w:rPr>
                <w:color w:val="000000"/>
              </w:rPr>
            </w:pPr>
            <w:r>
              <w:rPr>
                <w:bCs/>
                <w:color w:val="000000"/>
                <w:spacing w:val="1"/>
              </w:rPr>
              <w:t>4857</w:t>
            </w:r>
          </w:p>
        </w:tc>
        <w:tc>
          <w:tcPr>
            <w:tcW w:w="2410" w:type="dxa"/>
          </w:tcPr>
          <w:p w:rsidR="00F04EEF" w:rsidRDefault="0099351E">
            <w:pPr>
              <w:jc w:val="center"/>
              <w:rPr>
                <w:color w:val="000000"/>
              </w:rPr>
            </w:pPr>
            <w:r>
              <w:rPr>
                <w:bCs/>
                <w:color w:val="000000"/>
                <w:spacing w:val="1"/>
              </w:rPr>
              <w:t>28 mai 2014</w:t>
            </w:r>
          </w:p>
        </w:tc>
        <w:tc>
          <w:tcPr>
            <w:tcW w:w="5528" w:type="dxa"/>
          </w:tcPr>
          <w:p w:rsidR="00F04EEF" w:rsidRDefault="00F42422">
            <w:hyperlink r:id="rId385" w:history="1">
              <w:r w:rsidR="0099351E">
                <w:rPr>
                  <w:rStyle w:val="Lienhypertexte"/>
                  <w:rFonts w:cs="Arial"/>
                  <w:bCs/>
                  <w:spacing w:val="1"/>
                </w:rPr>
                <w:t>Orientation en enseignement spécialisé. Comment ? Dans quel but ? Approche générale et repères pour un diagnostic différentiel </w:t>
              </w:r>
            </w:hyperlink>
          </w:p>
        </w:tc>
      </w:tr>
      <w:tr w:rsidR="00F04EEF">
        <w:tc>
          <w:tcPr>
            <w:tcW w:w="1526" w:type="dxa"/>
          </w:tcPr>
          <w:p w:rsidR="00F04EEF" w:rsidRDefault="0099351E">
            <w:pPr>
              <w:jc w:val="center"/>
              <w:rPr>
                <w:bCs/>
                <w:color w:val="000000"/>
                <w:spacing w:val="2"/>
              </w:rPr>
            </w:pPr>
            <w:r>
              <w:rPr>
                <w:bCs/>
                <w:color w:val="000000"/>
                <w:spacing w:val="2"/>
              </w:rPr>
              <w:t>4877</w:t>
            </w:r>
          </w:p>
        </w:tc>
        <w:tc>
          <w:tcPr>
            <w:tcW w:w="2410" w:type="dxa"/>
          </w:tcPr>
          <w:p w:rsidR="00F04EEF" w:rsidRDefault="0099351E">
            <w:pPr>
              <w:jc w:val="center"/>
              <w:rPr>
                <w:bCs/>
                <w:color w:val="000000"/>
                <w:spacing w:val="2"/>
              </w:rPr>
            </w:pPr>
            <w:r>
              <w:rPr>
                <w:bCs/>
                <w:color w:val="000000"/>
                <w:spacing w:val="2"/>
              </w:rPr>
              <w:t>13 juin 2014</w:t>
            </w:r>
          </w:p>
        </w:tc>
        <w:tc>
          <w:tcPr>
            <w:tcW w:w="5528" w:type="dxa"/>
          </w:tcPr>
          <w:p w:rsidR="00F04EEF" w:rsidRDefault="00F42422">
            <w:pPr>
              <w:rPr>
                <w:rStyle w:val="Lienhypertexte"/>
                <w:rFonts w:cs="Arial"/>
                <w:iCs/>
              </w:rPr>
            </w:pPr>
            <w:hyperlink r:id="rId386" w:history="1">
              <w:r w:rsidR="0099351E">
                <w:rPr>
                  <w:rStyle w:val="Lienhypertexte"/>
                  <w:rFonts w:cs="Arial"/>
                  <w:iCs/>
                </w:rPr>
                <w:t>Dispositif favorisant un retour réussi à l’école des élèves ayant séjourné dans un service d’accrochage scolaire – demande de moyens humains supplémentaires </w:t>
              </w:r>
            </w:hyperlink>
          </w:p>
        </w:tc>
      </w:tr>
      <w:tr w:rsidR="00F04EEF">
        <w:tc>
          <w:tcPr>
            <w:tcW w:w="1526" w:type="dxa"/>
          </w:tcPr>
          <w:p w:rsidR="00F04EEF" w:rsidRDefault="0099351E">
            <w:pPr>
              <w:jc w:val="center"/>
              <w:rPr>
                <w:bCs/>
                <w:color w:val="000000"/>
                <w:spacing w:val="1"/>
              </w:rPr>
            </w:pPr>
            <w:r>
              <w:rPr>
                <w:bCs/>
                <w:color w:val="000000"/>
                <w:spacing w:val="2"/>
              </w:rPr>
              <w:t>4888</w:t>
            </w:r>
          </w:p>
        </w:tc>
        <w:tc>
          <w:tcPr>
            <w:tcW w:w="2410" w:type="dxa"/>
          </w:tcPr>
          <w:p w:rsidR="00F04EEF" w:rsidRDefault="0099351E">
            <w:pPr>
              <w:jc w:val="center"/>
              <w:rPr>
                <w:bCs/>
                <w:color w:val="000000"/>
                <w:spacing w:val="1"/>
              </w:rPr>
            </w:pPr>
            <w:r>
              <w:rPr>
                <w:bCs/>
                <w:color w:val="000000"/>
                <w:spacing w:val="2"/>
              </w:rPr>
              <w:t>20 juin 2014</w:t>
            </w:r>
          </w:p>
        </w:tc>
        <w:tc>
          <w:tcPr>
            <w:tcW w:w="5528" w:type="dxa"/>
          </w:tcPr>
          <w:p w:rsidR="00F04EEF" w:rsidRDefault="00F42422">
            <w:pPr>
              <w:rPr>
                <w:bCs/>
                <w:color w:val="0000FF"/>
                <w:spacing w:val="1"/>
              </w:rPr>
            </w:pPr>
            <w:hyperlink r:id="rId387" w:history="1">
              <w:r w:rsidR="0099351E">
                <w:rPr>
                  <w:rStyle w:val="Lienhypertexte"/>
                  <w:rFonts w:cs="Arial"/>
                  <w:bCs/>
                  <w:spacing w:val="2"/>
                </w:rPr>
                <w:t>Soins et prises de médicaments pour les élèves accueillis en enseignement ordinaire et en enseignement spécialisé </w:t>
              </w:r>
            </w:hyperlink>
          </w:p>
        </w:tc>
      </w:tr>
      <w:tr w:rsidR="00F04EEF">
        <w:tc>
          <w:tcPr>
            <w:tcW w:w="1526" w:type="dxa"/>
          </w:tcPr>
          <w:p w:rsidR="00F04EEF" w:rsidRDefault="0099351E">
            <w:pPr>
              <w:jc w:val="center"/>
              <w:rPr>
                <w:bCs/>
                <w:color w:val="000000"/>
                <w:spacing w:val="1"/>
              </w:rPr>
            </w:pPr>
            <w:r>
              <w:rPr>
                <w:bCs/>
                <w:color w:val="000000"/>
                <w:spacing w:val="2"/>
              </w:rPr>
              <w:t>4961</w:t>
            </w:r>
          </w:p>
        </w:tc>
        <w:tc>
          <w:tcPr>
            <w:tcW w:w="2410" w:type="dxa"/>
          </w:tcPr>
          <w:p w:rsidR="00F04EEF" w:rsidRDefault="0099351E">
            <w:pPr>
              <w:jc w:val="center"/>
              <w:rPr>
                <w:bCs/>
                <w:color w:val="000000"/>
                <w:spacing w:val="1"/>
              </w:rPr>
            </w:pPr>
            <w:r>
              <w:rPr>
                <w:bCs/>
                <w:color w:val="000000"/>
                <w:spacing w:val="2"/>
              </w:rPr>
              <w:t>26 août 2014</w:t>
            </w:r>
          </w:p>
        </w:tc>
        <w:tc>
          <w:tcPr>
            <w:tcW w:w="5528" w:type="dxa"/>
          </w:tcPr>
          <w:p w:rsidR="00F04EEF" w:rsidRDefault="00F42422">
            <w:pPr>
              <w:rPr>
                <w:bCs/>
                <w:color w:val="0000FF"/>
                <w:spacing w:val="1"/>
              </w:rPr>
            </w:pPr>
            <w:hyperlink r:id="rId388" w:history="1">
              <w:r w:rsidR="0099351E">
                <w:rPr>
                  <w:rStyle w:val="Lienhypertexte"/>
                  <w:rFonts w:cs="Arial"/>
                  <w:bCs/>
                  <w:spacing w:val="2"/>
                </w:rPr>
                <w:t>Service de médiation scolaire et Service des équipes mobiles </w:t>
              </w:r>
            </w:hyperlink>
          </w:p>
        </w:tc>
      </w:tr>
      <w:tr w:rsidR="00F04EEF">
        <w:tc>
          <w:tcPr>
            <w:tcW w:w="1526" w:type="dxa"/>
          </w:tcPr>
          <w:p w:rsidR="00F04EEF" w:rsidRDefault="0099351E">
            <w:pPr>
              <w:jc w:val="center"/>
              <w:rPr>
                <w:bCs/>
                <w:color w:val="000000"/>
                <w:spacing w:val="2"/>
              </w:rPr>
            </w:pPr>
            <w:r>
              <w:rPr>
                <w:bCs/>
                <w:color w:val="000000"/>
                <w:spacing w:val="2"/>
              </w:rPr>
              <w:t>4964</w:t>
            </w:r>
          </w:p>
        </w:tc>
        <w:tc>
          <w:tcPr>
            <w:tcW w:w="2410" w:type="dxa"/>
          </w:tcPr>
          <w:p w:rsidR="00F04EEF" w:rsidRDefault="0099351E">
            <w:pPr>
              <w:jc w:val="center"/>
              <w:rPr>
                <w:bCs/>
                <w:color w:val="000000"/>
                <w:spacing w:val="2"/>
              </w:rPr>
            </w:pPr>
            <w:r>
              <w:rPr>
                <w:bCs/>
                <w:color w:val="000000"/>
                <w:spacing w:val="2"/>
              </w:rPr>
              <w:t>28 août 2014</w:t>
            </w:r>
          </w:p>
        </w:tc>
        <w:tc>
          <w:tcPr>
            <w:tcW w:w="5528" w:type="dxa"/>
          </w:tcPr>
          <w:p w:rsidR="00F04EEF" w:rsidRDefault="00F42422">
            <w:pPr>
              <w:rPr>
                <w:bCs/>
                <w:color w:val="0000FF"/>
                <w:spacing w:val="2"/>
              </w:rPr>
            </w:pPr>
            <w:hyperlink r:id="rId389" w:history="1">
              <w:r w:rsidR="0099351E">
                <w:rPr>
                  <w:rStyle w:val="Lienhypertexte"/>
                  <w:rFonts w:cs="Arial"/>
                  <w:bCs/>
                  <w:spacing w:val="2"/>
                </w:rPr>
                <w:t>Guide pratique relatif à la prévention et à la gestion des violences en milieu scolaire</w:t>
              </w:r>
            </w:hyperlink>
            <w:r w:rsidR="0099351E">
              <w:rPr>
                <w:bCs/>
                <w:color w:val="0000FF"/>
                <w:spacing w:val="2"/>
              </w:rPr>
              <w:t> </w:t>
            </w:r>
          </w:p>
        </w:tc>
      </w:tr>
      <w:tr w:rsidR="00F04EEF">
        <w:tc>
          <w:tcPr>
            <w:tcW w:w="1526" w:type="dxa"/>
          </w:tcPr>
          <w:p w:rsidR="00F04EEF" w:rsidRDefault="0099351E">
            <w:pPr>
              <w:jc w:val="center"/>
              <w:rPr>
                <w:bCs/>
                <w:color w:val="000000"/>
                <w:spacing w:val="1"/>
              </w:rPr>
            </w:pPr>
            <w:r>
              <w:rPr>
                <w:bCs/>
                <w:color w:val="000000"/>
                <w:spacing w:val="1"/>
              </w:rPr>
              <w:t>5088</w:t>
            </w:r>
          </w:p>
        </w:tc>
        <w:tc>
          <w:tcPr>
            <w:tcW w:w="2410" w:type="dxa"/>
          </w:tcPr>
          <w:p w:rsidR="00F04EEF" w:rsidRDefault="0099351E">
            <w:pPr>
              <w:jc w:val="center"/>
              <w:rPr>
                <w:bCs/>
                <w:color w:val="000000"/>
                <w:spacing w:val="1"/>
              </w:rPr>
            </w:pPr>
            <w:r>
              <w:rPr>
                <w:bCs/>
                <w:color w:val="000000"/>
                <w:spacing w:val="1"/>
              </w:rPr>
              <w:t>12 décembre 2014</w:t>
            </w:r>
          </w:p>
        </w:tc>
        <w:tc>
          <w:tcPr>
            <w:tcW w:w="5528" w:type="dxa"/>
          </w:tcPr>
          <w:p w:rsidR="00F04EEF" w:rsidRDefault="00F42422">
            <w:pPr>
              <w:rPr>
                <w:bCs/>
                <w:color w:val="0000FF"/>
                <w:spacing w:val="1"/>
              </w:rPr>
            </w:pPr>
            <w:hyperlink r:id="rId390" w:history="1">
              <w:r w:rsidR="0099351E">
                <w:rPr>
                  <w:rStyle w:val="Lienhypertexte"/>
                  <w:rFonts w:cs="Arial"/>
                  <w:bCs/>
                  <w:spacing w:val="1"/>
                </w:rPr>
                <w:t>Enseignement spécialisé de type 5 </w:t>
              </w:r>
            </w:hyperlink>
          </w:p>
        </w:tc>
      </w:tr>
      <w:tr w:rsidR="00F04EEF">
        <w:tc>
          <w:tcPr>
            <w:tcW w:w="1526" w:type="dxa"/>
          </w:tcPr>
          <w:p w:rsidR="00F04EEF" w:rsidRDefault="0099351E">
            <w:pPr>
              <w:jc w:val="center"/>
              <w:rPr>
                <w:bCs/>
                <w:color w:val="000000"/>
                <w:spacing w:val="2"/>
              </w:rPr>
            </w:pPr>
            <w:r>
              <w:rPr>
                <w:bCs/>
                <w:color w:val="000000"/>
                <w:spacing w:val="2"/>
              </w:rPr>
              <w:t>5105</w:t>
            </w:r>
          </w:p>
        </w:tc>
        <w:tc>
          <w:tcPr>
            <w:tcW w:w="2410" w:type="dxa"/>
          </w:tcPr>
          <w:p w:rsidR="00F04EEF" w:rsidRDefault="0099351E">
            <w:pPr>
              <w:jc w:val="center"/>
              <w:rPr>
                <w:bCs/>
                <w:color w:val="000000"/>
                <w:spacing w:val="2"/>
              </w:rPr>
            </w:pPr>
            <w:r>
              <w:rPr>
                <w:bCs/>
                <w:color w:val="000000"/>
                <w:spacing w:val="2"/>
              </w:rPr>
              <w:t>6 janvier 2015</w:t>
            </w:r>
          </w:p>
        </w:tc>
        <w:tc>
          <w:tcPr>
            <w:tcW w:w="5528" w:type="dxa"/>
          </w:tcPr>
          <w:p w:rsidR="00F04EEF" w:rsidRDefault="00F42422">
            <w:pPr>
              <w:rPr>
                <w:bCs/>
                <w:color w:val="0000FF"/>
                <w:spacing w:val="2"/>
              </w:rPr>
            </w:pPr>
            <w:hyperlink r:id="rId391" w:history="1">
              <w:r w:rsidR="0099351E">
                <w:rPr>
                  <w:rStyle w:val="Lienhypertexte"/>
                  <w:rFonts w:cs="Arial"/>
                  <w:bCs/>
                  <w:spacing w:val="2"/>
                </w:rPr>
                <w:t>Guide pratique « parents-école : comment mieux connaître l’école et s’y impliquer ? »</w:t>
              </w:r>
            </w:hyperlink>
          </w:p>
        </w:tc>
      </w:tr>
      <w:tr w:rsidR="00F04EEF">
        <w:tc>
          <w:tcPr>
            <w:tcW w:w="1526" w:type="dxa"/>
          </w:tcPr>
          <w:p w:rsidR="00F04EEF" w:rsidRDefault="0099351E">
            <w:pPr>
              <w:jc w:val="center"/>
              <w:rPr>
                <w:bCs/>
                <w:color w:val="000000"/>
                <w:spacing w:val="2"/>
              </w:rPr>
            </w:pPr>
            <w:r>
              <w:rPr>
                <w:bCs/>
                <w:color w:val="000000"/>
                <w:spacing w:val="2"/>
              </w:rPr>
              <w:t>5392</w:t>
            </w:r>
          </w:p>
        </w:tc>
        <w:tc>
          <w:tcPr>
            <w:tcW w:w="2410" w:type="dxa"/>
          </w:tcPr>
          <w:p w:rsidR="00F04EEF" w:rsidRDefault="0099351E">
            <w:pPr>
              <w:jc w:val="center"/>
              <w:rPr>
                <w:bCs/>
                <w:color w:val="000000"/>
                <w:spacing w:val="2"/>
              </w:rPr>
            </w:pPr>
            <w:r>
              <w:rPr>
                <w:bCs/>
                <w:color w:val="000000"/>
                <w:spacing w:val="2"/>
              </w:rPr>
              <w:t>2 septembre 2015</w:t>
            </w:r>
          </w:p>
        </w:tc>
        <w:tc>
          <w:tcPr>
            <w:tcW w:w="5528" w:type="dxa"/>
          </w:tcPr>
          <w:p w:rsidR="00F04EEF" w:rsidRDefault="00F42422">
            <w:pPr>
              <w:rPr>
                <w:color w:val="00B050"/>
              </w:rPr>
            </w:pPr>
            <w:hyperlink r:id="rId392" w:history="1">
              <w:r w:rsidR="0099351E">
                <w:rPr>
                  <w:rStyle w:val="Lienhypertexte"/>
                  <w:rFonts w:cs="Arial"/>
                  <w:bCs/>
                </w:rPr>
                <w:t>Contrat commun d’alternance</w:t>
              </w:r>
            </w:hyperlink>
          </w:p>
        </w:tc>
      </w:tr>
      <w:tr w:rsidR="00F04EEF">
        <w:trPr>
          <w:trHeight w:val="70"/>
        </w:trPr>
        <w:tc>
          <w:tcPr>
            <w:tcW w:w="1526" w:type="dxa"/>
          </w:tcPr>
          <w:p w:rsidR="00F04EEF" w:rsidRDefault="0099351E">
            <w:pPr>
              <w:jc w:val="center"/>
              <w:rPr>
                <w:bCs/>
                <w:color w:val="000000"/>
                <w:spacing w:val="2"/>
              </w:rPr>
            </w:pPr>
            <w:r>
              <w:rPr>
                <w:bCs/>
                <w:color w:val="000000"/>
                <w:spacing w:val="2"/>
              </w:rPr>
              <w:t>5643</w:t>
            </w:r>
          </w:p>
        </w:tc>
        <w:tc>
          <w:tcPr>
            <w:tcW w:w="2410" w:type="dxa"/>
          </w:tcPr>
          <w:p w:rsidR="00F04EEF" w:rsidRDefault="0099351E">
            <w:pPr>
              <w:jc w:val="center"/>
              <w:rPr>
                <w:bCs/>
                <w:color w:val="000000"/>
                <w:spacing w:val="2"/>
              </w:rPr>
            </w:pPr>
            <w:r>
              <w:rPr>
                <w:bCs/>
                <w:color w:val="000000"/>
                <w:spacing w:val="2"/>
              </w:rPr>
              <w:t>4 mars 2016</w:t>
            </w:r>
          </w:p>
        </w:tc>
        <w:tc>
          <w:tcPr>
            <w:tcW w:w="5528" w:type="dxa"/>
          </w:tcPr>
          <w:p w:rsidR="00F04EEF" w:rsidRDefault="00F42422">
            <w:hyperlink r:id="rId393" w:history="1">
              <w:r w:rsidR="0099351E">
                <w:rPr>
                  <w:rStyle w:val="Lienhypertexte"/>
                  <w:rFonts w:cs="Arial"/>
                </w:rPr>
                <w:t>Mesures de contention et d’isolement dans l’enseignement</w:t>
              </w:r>
            </w:hyperlink>
          </w:p>
        </w:tc>
      </w:tr>
      <w:tr w:rsidR="00F04EEF">
        <w:trPr>
          <w:trHeight w:val="70"/>
        </w:trPr>
        <w:tc>
          <w:tcPr>
            <w:tcW w:w="1526" w:type="dxa"/>
          </w:tcPr>
          <w:p w:rsidR="00F04EEF" w:rsidRDefault="0099351E">
            <w:pPr>
              <w:jc w:val="center"/>
              <w:rPr>
                <w:bCs/>
                <w:color w:val="000000"/>
                <w:spacing w:val="2"/>
              </w:rPr>
            </w:pPr>
            <w:r>
              <w:rPr>
                <w:bCs/>
                <w:color w:val="000000"/>
                <w:spacing w:val="2"/>
              </w:rPr>
              <w:t>6297</w:t>
            </w:r>
          </w:p>
        </w:tc>
        <w:tc>
          <w:tcPr>
            <w:tcW w:w="2410" w:type="dxa"/>
          </w:tcPr>
          <w:p w:rsidR="00F04EEF" w:rsidRDefault="0099351E">
            <w:pPr>
              <w:jc w:val="center"/>
              <w:rPr>
                <w:bCs/>
                <w:color w:val="000000"/>
                <w:spacing w:val="2"/>
              </w:rPr>
            </w:pPr>
            <w:r>
              <w:rPr>
                <w:bCs/>
                <w:color w:val="000000"/>
                <w:spacing w:val="2"/>
              </w:rPr>
              <w:t>9 août 2017</w:t>
            </w:r>
          </w:p>
        </w:tc>
        <w:tc>
          <w:tcPr>
            <w:tcW w:w="5528" w:type="dxa"/>
          </w:tcPr>
          <w:p w:rsidR="00F04EEF" w:rsidRDefault="0099351E">
            <w:pPr>
              <w:rPr>
                <w:b/>
              </w:rPr>
            </w:pPr>
            <w:r>
              <w:rPr>
                <w:rStyle w:val="Lienhypertexte"/>
                <w:rFonts w:eastAsia="Times New Roman"/>
              </w:rPr>
              <w:t>Formation en cours de carrière - demande de dérogation au nombre de jours de formation sur base volontaire pour un enseignant (enseignement spécialisé)</w:t>
            </w:r>
          </w:p>
        </w:tc>
      </w:tr>
      <w:tr w:rsidR="00F04EEF">
        <w:trPr>
          <w:trHeight w:val="70"/>
        </w:trPr>
        <w:tc>
          <w:tcPr>
            <w:tcW w:w="1526" w:type="dxa"/>
          </w:tcPr>
          <w:p w:rsidR="00F04EEF" w:rsidRDefault="0099351E">
            <w:pPr>
              <w:jc w:val="center"/>
              <w:rPr>
                <w:bCs/>
                <w:color w:val="000000"/>
                <w:spacing w:val="2"/>
              </w:rPr>
            </w:pPr>
            <w:r>
              <w:rPr>
                <w:bCs/>
                <w:color w:val="000000"/>
                <w:spacing w:val="2"/>
              </w:rPr>
              <w:t>6636</w:t>
            </w:r>
          </w:p>
        </w:tc>
        <w:tc>
          <w:tcPr>
            <w:tcW w:w="2410" w:type="dxa"/>
          </w:tcPr>
          <w:p w:rsidR="00F04EEF" w:rsidRDefault="0099351E">
            <w:pPr>
              <w:jc w:val="center"/>
              <w:rPr>
                <w:bCs/>
                <w:color w:val="000000"/>
                <w:spacing w:val="2"/>
              </w:rPr>
            </w:pPr>
            <w:r>
              <w:rPr>
                <w:bCs/>
                <w:color w:val="000000"/>
                <w:spacing w:val="2"/>
              </w:rPr>
              <w:t>4 mai 2018</w:t>
            </w:r>
          </w:p>
        </w:tc>
        <w:tc>
          <w:tcPr>
            <w:tcW w:w="5528" w:type="dxa"/>
          </w:tcPr>
          <w:p w:rsidR="00F04EEF" w:rsidRDefault="00F42422">
            <w:pPr>
              <w:rPr>
                <w:b/>
              </w:rPr>
            </w:pPr>
            <w:hyperlink r:id="rId394" w:history="1">
              <w:r w:rsidR="0099351E">
                <w:rPr>
                  <w:rStyle w:val="Lienhypertexte"/>
                  <w:rFonts w:eastAsia="Times New Roman"/>
                </w:rPr>
                <w:t>Mise en oeuvre des plans de pilotage et renforcement de l’encadrement en personnel éducatif et administratif des écoles secondaires spécialisées</w:t>
              </w:r>
            </w:hyperlink>
          </w:p>
        </w:tc>
      </w:tr>
      <w:tr w:rsidR="00F04EEF">
        <w:trPr>
          <w:trHeight w:val="70"/>
        </w:trPr>
        <w:tc>
          <w:tcPr>
            <w:tcW w:w="1526" w:type="dxa"/>
          </w:tcPr>
          <w:p w:rsidR="00F04EEF" w:rsidRDefault="0099351E">
            <w:pPr>
              <w:jc w:val="center"/>
              <w:rPr>
                <w:bCs/>
                <w:color w:val="000000"/>
                <w:spacing w:val="2"/>
              </w:rPr>
            </w:pPr>
            <w:r>
              <w:rPr>
                <w:bCs/>
                <w:color w:val="000000"/>
                <w:spacing w:val="2"/>
              </w:rPr>
              <w:t>6651</w:t>
            </w:r>
          </w:p>
        </w:tc>
        <w:tc>
          <w:tcPr>
            <w:tcW w:w="2410" w:type="dxa"/>
          </w:tcPr>
          <w:p w:rsidR="00F04EEF" w:rsidRDefault="0099351E">
            <w:pPr>
              <w:jc w:val="center"/>
              <w:rPr>
                <w:bCs/>
                <w:color w:val="000000"/>
                <w:spacing w:val="2"/>
              </w:rPr>
            </w:pPr>
            <w:r>
              <w:rPr>
                <w:bCs/>
                <w:color w:val="000000"/>
                <w:spacing w:val="2"/>
              </w:rPr>
              <w:t>14 mai 2018</w:t>
            </w:r>
          </w:p>
        </w:tc>
        <w:tc>
          <w:tcPr>
            <w:tcW w:w="5528" w:type="dxa"/>
          </w:tcPr>
          <w:p w:rsidR="00F04EEF" w:rsidRDefault="00F42422">
            <w:pPr>
              <w:rPr>
                <w:b/>
              </w:rPr>
            </w:pPr>
            <w:hyperlink r:id="rId395" w:history="1">
              <w:r w:rsidR="0099351E">
                <w:rPr>
                  <w:rStyle w:val="Lienhypertexte"/>
                  <w:rFonts w:eastAsia="Times New Roman"/>
                </w:rPr>
                <w:t>Certification par unité d’acquis d’apprentissage (cpu) enseignement secondaire spécialisé de forme 3</w:t>
              </w:r>
            </w:hyperlink>
          </w:p>
        </w:tc>
      </w:tr>
      <w:tr w:rsidR="00F04EEF">
        <w:trPr>
          <w:trHeight w:val="70"/>
        </w:trPr>
        <w:tc>
          <w:tcPr>
            <w:tcW w:w="1526" w:type="dxa"/>
          </w:tcPr>
          <w:p w:rsidR="00F04EEF" w:rsidRDefault="0099351E">
            <w:pPr>
              <w:jc w:val="center"/>
              <w:rPr>
                <w:bCs/>
                <w:color w:val="000000"/>
                <w:spacing w:val="2"/>
              </w:rPr>
            </w:pPr>
            <w:r>
              <w:rPr>
                <w:bCs/>
                <w:color w:val="000000"/>
                <w:spacing w:val="2"/>
              </w:rPr>
              <w:t>6652</w:t>
            </w:r>
          </w:p>
        </w:tc>
        <w:tc>
          <w:tcPr>
            <w:tcW w:w="2410" w:type="dxa"/>
          </w:tcPr>
          <w:p w:rsidR="00F04EEF" w:rsidRDefault="0099351E">
            <w:pPr>
              <w:jc w:val="center"/>
              <w:rPr>
                <w:bCs/>
                <w:color w:val="000000"/>
                <w:spacing w:val="2"/>
              </w:rPr>
            </w:pPr>
            <w:r>
              <w:rPr>
                <w:bCs/>
                <w:color w:val="000000"/>
                <w:spacing w:val="2"/>
              </w:rPr>
              <w:t>14 mai 2018</w:t>
            </w:r>
          </w:p>
        </w:tc>
        <w:tc>
          <w:tcPr>
            <w:tcW w:w="5528" w:type="dxa"/>
          </w:tcPr>
          <w:p w:rsidR="00F04EEF" w:rsidRDefault="00F42422">
            <w:pPr>
              <w:rPr>
                <w:b/>
              </w:rPr>
            </w:pPr>
            <w:hyperlink r:id="rId396" w:history="1">
              <w:r w:rsidR="0099351E">
                <w:rPr>
                  <w:rStyle w:val="Lienhypertexte"/>
                  <w:rFonts w:eastAsia="Times New Roman"/>
                </w:rPr>
                <w:t>Certification par unité d’acquis d’apprentissage (CPU) - enseignement secondaire ordinaire et spécialisé de forme 4 - de plein exercice et en alternance</w:t>
              </w:r>
            </w:hyperlink>
          </w:p>
        </w:tc>
      </w:tr>
      <w:tr w:rsidR="00F04EEF">
        <w:trPr>
          <w:trHeight w:val="70"/>
        </w:trPr>
        <w:tc>
          <w:tcPr>
            <w:tcW w:w="1526" w:type="dxa"/>
          </w:tcPr>
          <w:p w:rsidR="00F04EEF" w:rsidRDefault="0099351E">
            <w:pPr>
              <w:jc w:val="center"/>
              <w:rPr>
                <w:bCs/>
                <w:color w:val="000000"/>
                <w:spacing w:val="2"/>
              </w:rPr>
            </w:pPr>
            <w:r>
              <w:rPr>
                <w:bCs/>
                <w:color w:val="000000"/>
                <w:spacing w:val="2"/>
              </w:rPr>
              <w:t>7625</w:t>
            </w:r>
          </w:p>
        </w:tc>
        <w:tc>
          <w:tcPr>
            <w:tcW w:w="2410" w:type="dxa"/>
          </w:tcPr>
          <w:p w:rsidR="00F04EEF" w:rsidRDefault="0099351E">
            <w:pPr>
              <w:jc w:val="center"/>
              <w:rPr>
                <w:bCs/>
                <w:color w:val="000000"/>
                <w:spacing w:val="2"/>
              </w:rPr>
            </w:pPr>
            <w:r>
              <w:rPr>
                <w:bCs/>
                <w:color w:val="000000"/>
                <w:spacing w:val="2"/>
              </w:rPr>
              <w:t>24 juin 2020</w:t>
            </w:r>
          </w:p>
        </w:tc>
        <w:tc>
          <w:tcPr>
            <w:tcW w:w="5528" w:type="dxa"/>
          </w:tcPr>
          <w:p w:rsidR="00F04EEF" w:rsidRDefault="00F42422">
            <w:pPr>
              <w:rPr>
                <w:rStyle w:val="Lienhypertexte"/>
                <w:rFonts w:eastAsia="Times New Roman"/>
              </w:rPr>
            </w:pPr>
            <w:hyperlink r:id="rId397" w:history="1">
              <w:r w:rsidR="0099351E">
                <w:rPr>
                  <w:rStyle w:val="Lienhypertexte"/>
                  <w:rFonts w:eastAsia="Times New Roman"/>
                </w:rPr>
                <w:t>Circulaire 7625 du 24/06/2020 Définition d’une stratégie en vue de la rentrée de septembre 2020/2021 dans le contexte du Covid-19 - Enseignement secondaire</w:t>
              </w:r>
            </w:hyperlink>
          </w:p>
        </w:tc>
      </w:tr>
    </w:tbl>
    <w:p w:rsidR="00F04EEF" w:rsidRDefault="0099351E">
      <w:pPr>
        <w:rPr>
          <w:rFonts w:eastAsiaTheme="minorEastAsia"/>
          <w:lang w:eastAsia="fr-BE"/>
        </w:rPr>
      </w:pPr>
      <w:r>
        <w:rPr>
          <w:rFonts w:eastAsiaTheme="minorEastAsia"/>
          <w:noProof/>
          <w:lang w:eastAsia="fr-BE"/>
        </w:rPr>
        <mc:AlternateContent>
          <mc:Choice Requires="wps">
            <w:drawing>
              <wp:anchor distT="0" distB="0" distL="114300" distR="114300" simplePos="0" relativeHeight="252406784" behindDoc="0" locked="0" layoutInCell="1" allowOverlap="1">
                <wp:simplePos x="0" y="0"/>
                <wp:positionH relativeFrom="column">
                  <wp:posOffset>6300470</wp:posOffset>
                </wp:positionH>
                <wp:positionV relativeFrom="paragraph">
                  <wp:posOffset>-541655</wp:posOffset>
                </wp:positionV>
                <wp:extent cx="0" cy="514350"/>
                <wp:effectExtent l="0" t="0" r="19050" b="19050"/>
                <wp:wrapNone/>
                <wp:docPr id="5544" name="Connecteur droit 5544"/>
                <wp:cNvGraphicFramePr/>
                <a:graphic xmlns:a="http://schemas.openxmlformats.org/drawingml/2006/main">
                  <a:graphicData uri="http://schemas.microsoft.com/office/word/2010/wordprocessingShape">
                    <wps:wsp>
                      <wps:cNvCnPr/>
                      <wps:spPr>
                        <a:xfrm>
                          <a:off x="0" y="0"/>
                          <a:ext cx="0" cy="514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545506" id="Connecteur droit 5544" o:spid="_x0000_s1026" style="position:absolute;z-index:252406784;visibility:visible;mso-wrap-style:square;mso-wrap-distance-left:9pt;mso-wrap-distance-top:0;mso-wrap-distance-right:9pt;mso-wrap-distance-bottom:0;mso-position-horizontal:absolute;mso-position-horizontal-relative:text;mso-position-vertical:absolute;mso-position-vertical-relative:text" from="496.1pt,-42.65pt" to="496.1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" strokecolor="black [3213]"/>
            </w:pict>
          </mc:Fallback>
        </mc:AlternateContent>
      </w:r>
    </w:p>
    <w:p w:rsidR="00F04EEF" w:rsidRDefault="0099351E">
      <w:pPr>
        <w:rPr>
          <w:rFonts w:eastAsiaTheme="minorEastAsia"/>
          <w:lang w:eastAsia="fr-BE"/>
        </w:rPr>
      </w:pPr>
      <w:r>
        <w:rPr>
          <w:rFonts w:eastAsiaTheme="minorEastAsia"/>
          <w:lang w:eastAsia="fr-BE"/>
        </w:rPr>
        <w:br w:type="page"/>
      </w:r>
    </w:p>
    <w:p w:rsidR="00F04EEF" w:rsidRDefault="00F04EEF">
      <w:pPr>
        <w:rPr>
          <w:rFonts w:eastAsiaTheme="minorEastAsia"/>
          <w:lang w:eastAsia="fr-BE"/>
        </w:rPr>
      </w:pPr>
    </w:p>
    <w:p w:rsidR="00F04EEF" w:rsidRDefault="00F04EEF">
      <w:pPr>
        <w:rPr>
          <w:rFonts w:eastAsiaTheme="minorEastAsia"/>
          <w:lang w:eastAsia="fr-BE"/>
        </w:rPr>
      </w:pPr>
    </w:p>
    <w:p w:rsidR="00F04EEF" w:rsidRDefault="0099351E">
      <w:pPr>
        <w:pStyle w:val="Titre2"/>
      </w:pPr>
      <w:bookmarkStart w:id="4229" w:name="_Toc47708673"/>
      <w:r>
        <w:t>INDEX IV : Schéma de principe du processus administratif</w:t>
      </w:r>
      <w:bookmarkEnd w:id="4229"/>
    </w:p>
    <w:p w:rsidR="00F04EEF" w:rsidRDefault="00F04EEF"/>
    <w:p w:rsidR="00F04EEF" w:rsidRDefault="00F04EEF"/>
    <w:p w:rsidR="00F04EEF" w:rsidRDefault="00F04EEF">
      <w:pPr>
        <w:rPr>
          <w:rFonts w:eastAsiaTheme="minorEastAsia"/>
          <w:lang w:eastAsia="fr-BE"/>
        </w:rPr>
      </w:pPr>
    </w:p>
    <w:p w:rsidR="00F04EEF" w:rsidRDefault="00F04EEF">
      <w:pPr>
        <w:tabs>
          <w:tab w:val="left" w:pos="952"/>
        </w:tabs>
        <w:rPr>
          <w:rFonts w:eastAsiaTheme="minorEastAsia"/>
          <w:lang w:eastAsia="fr-BE"/>
        </w:rPr>
        <w:sectPr w:rsidR="00F04EEF">
          <w:headerReference w:type="even" r:id="rId398"/>
          <w:headerReference w:type="default" r:id="rId399"/>
          <w:footerReference w:type="even" r:id="rId400"/>
          <w:headerReference w:type="first" r:id="rId401"/>
          <w:type w:val="nextColumn"/>
          <w:pgSz w:w="11906" w:h="16838"/>
          <w:pgMar w:top="1134" w:right="1134" w:bottom="1134" w:left="1418" w:header="708" w:footer="743" w:gutter="0"/>
          <w:cols w:space="708"/>
          <w:titlePg/>
          <w:docGrid w:linePitch="360"/>
        </w:sectPr>
      </w:pPr>
    </w:p>
    <w:p w:rsidR="00F04EEF" w:rsidRDefault="0099351E">
      <w:pPr>
        <w:jc w:val="center"/>
      </w:pPr>
      <w:r>
        <w:t xml:space="preserve">Ce schéma reprend les principaux documents demandés aux établissements dans le cadre du calcul des capitaux-périodes (qui aboutit à la dépêche 101) et du contrôle de l’utilisation des capitaux-périodes (qui aboutit à la dépêche 102) </w:t>
      </w:r>
    </w:p>
    <w:p w:rsidR="00F04EEF" w:rsidRDefault="00F04EEF">
      <w:pPr>
        <w:pStyle w:val="Corpsdetexte"/>
        <w:rPr>
          <w:szCs w:val="22"/>
        </w:rPr>
      </w:pPr>
      <w:bookmarkStart w:id="4230" w:name="_Enseignement_fondamental"/>
      <w:bookmarkEnd w:id="4230"/>
    </w:p>
    <w:p w:rsidR="00F04EEF" w:rsidRDefault="0099351E">
      <w:r>
        <w:rPr>
          <w:noProof/>
          <w:lang w:eastAsia="fr-BE"/>
        </w:rPr>
        <mc:AlternateContent>
          <mc:Choice Requires="wps">
            <w:drawing>
              <wp:anchor distT="0" distB="0" distL="114300" distR="114300" simplePos="0" relativeHeight="251940864" behindDoc="0" locked="0" layoutInCell="1" allowOverlap="1">
                <wp:simplePos x="0" y="0"/>
                <wp:positionH relativeFrom="column">
                  <wp:posOffset>3199130</wp:posOffset>
                </wp:positionH>
                <wp:positionV relativeFrom="paragraph">
                  <wp:posOffset>55880</wp:posOffset>
                </wp:positionV>
                <wp:extent cx="3037205" cy="1443990"/>
                <wp:effectExtent l="19050" t="19050" r="10795" b="22860"/>
                <wp:wrapNone/>
                <wp:docPr id="65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7205" cy="1443990"/>
                        </a:xfrm>
                        <a:prstGeom prst="rect">
                          <a:avLst/>
                        </a:prstGeom>
                        <a:solidFill>
                          <a:srgbClr val="FFFFFF"/>
                        </a:solidFill>
                        <a:ln w="28575">
                          <a:solidFill>
                            <a:srgbClr val="3366FF"/>
                          </a:solidFill>
                          <a:miter lim="800000"/>
                          <a:headEnd/>
                          <a:tailEnd/>
                        </a:ln>
                      </wps:spPr>
                      <wps:txbx>
                        <w:txbxContent>
                          <w:p w:rsidR="00F04EEF" w:rsidRDefault="0099351E">
                            <w:pPr>
                              <w:jc w:val="center"/>
                              <w:rPr>
                                <w:b/>
                                <w:sz w:val="20"/>
                                <w:u w:val="single"/>
                              </w:rPr>
                            </w:pPr>
                            <w:r>
                              <w:rPr>
                                <w:b/>
                                <w:sz w:val="20"/>
                                <w:u w:val="single"/>
                              </w:rPr>
                              <w:t>Dépêche 101</w:t>
                            </w:r>
                          </w:p>
                          <w:p w:rsidR="00F04EEF" w:rsidRDefault="00F04EEF">
                            <w:pPr>
                              <w:jc w:val="both"/>
                              <w:rPr>
                                <w:b/>
                                <w:sz w:val="20"/>
                                <w:u w:val="single"/>
                              </w:rPr>
                            </w:pPr>
                          </w:p>
                          <w:p w:rsidR="00F04EEF" w:rsidRDefault="0099351E">
                            <w:pPr>
                              <w:jc w:val="both"/>
                              <w:rPr>
                                <w:sz w:val="20"/>
                              </w:rPr>
                            </w:pPr>
                            <w:r>
                              <w:rPr>
                                <w:b/>
                                <w:sz w:val="20"/>
                                <w:u w:val="single"/>
                              </w:rPr>
                              <w:t>But</w:t>
                            </w:r>
                            <w:r>
                              <w:rPr>
                                <w:sz w:val="20"/>
                              </w:rPr>
                              <w:t> : Communiquer le CPU auquel les établissements ont droit.</w:t>
                            </w:r>
                          </w:p>
                          <w:p w:rsidR="00F04EEF" w:rsidRDefault="00F04EEF">
                            <w:pPr>
                              <w:jc w:val="both"/>
                              <w:rPr>
                                <w:sz w:val="20"/>
                              </w:rPr>
                            </w:pPr>
                          </w:p>
                          <w:p w:rsidR="00F04EEF" w:rsidRDefault="0099351E">
                            <w:pPr>
                              <w:jc w:val="both"/>
                              <w:rPr>
                                <w:sz w:val="20"/>
                              </w:rPr>
                            </w:pPr>
                            <w:r>
                              <w:rPr>
                                <w:b/>
                                <w:sz w:val="20"/>
                                <w:u w:val="single"/>
                              </w:rPr>
                              <w:t>Enjeu</w:t>
                            </w:r>
                            <w:r>
                              <w:rPr>
                                <w:sz w:val="20"/>
                              </w:rPr>
                              <w:t> : Connaître toutes les informations nécessaires pour pouvoir organiser l’école de manière optimale.</w:t>
                            </w:r>
                          </w:p>
                          <w:p w:rsidR="00F04EEF" w:rsidRDefault="00F04E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76" type="#_x0000_t202" style="position:absolute;margin-left:251.9pt;margin-top:4.4pt;width:239.15pt;height:113.7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" strokecolor="#36f" strokeweight="2.25pt">
                <v:textbox>
                  <w:txbxContent>
                    <w:p>
                      <w:pPr>
                        <w:jc w:val="center"/>
                        <w:rPr>
                          <w:b/>
                          <w:sz w:val="20"/>
                          <w:u w:val="single"/>
                        </w:rPr>
                      </w:pPr>
                      <w:r>
                        <w:rPr>
                          <w:b/>
                          <w:sz w:val="20"/>
                          <w:u w:val="single"/>
                        </w:rPr>
                        <w:t>Dépêche 101</w:t>
                      </w:r>
                    </w:p>
                    <w:p>
                      <w:pPr>
                        <w:jc w:val="both"/>
                        <w:rPr>
                          <w:b/>
                          <w:sz w:val="20"/>
                          <w:u w:val="single"/>
                        </w:rPr>
                      </w:pPr>
                    </w:p>
                    <w:p>
                      <w:pPr>
                        <w:jc w:val="both"/>
                        <w:rPr>
                          <w:sz w:val="20"/>
                        </w:rPr>
                      </w:pPr>
                      <w:r>
                        <w:rPr>
                          <w:b/>
                          <w:sz w:val="20"/>
                          <w:u w:val="single"/>
                        </w:rPr>
                        <w:t>But</w:t>
                      </w:r>
                      <w:r>
                        <w:rPr>
                          <w:sz w:val="20"/>
                        </w:rPr>
                        <w:t> : Communiquer le CPU auquel les établissements ont droit.</w:t>
                      </w:r>
                    </w:p>
                    <w:p>
                      <w:pPr>
                        <w:jc w:val="both"/>
                        <w:rPr>
                          <w:sz w:val="20"/>
                        </w:rPr>
                      </w:pPr>
                    </w:p>
                    <w:p>
                      <w:pPr>
                        <w:jc w:val="both"/>
                        <w:rPr>
                          <w:sz w:val="20"/>
                        </w:rPr>
                      </w:pPr>
                      <w:r>
                        <w:rPr>
                          <w:b/>
                          <w:sz w:val="20"/>
                          <w:u w:val="single"/>
                        </w:rPr>
                        <w:t>Enjeu</w:t>
                      </w:r>
                      <w:r>
                        <w:rPr>
                          <w:sz w:val="20"/>
                        </w:rPr>
                        <w:t> : Connaître toutes les informations nécessaires pour pouvoir organiser l’école de manière optimale.</w:t>
                      </w:r>
                    </w:p>
                    <w:p/>
                  </w:txbxContent>
                </v:textbox>
              </v:shape>
            </w:pict>
          </mc:Fallback>
        </mc:AlternateContent>
      </w:r>
      <w:r>
        <w:rPr>
          <w:noProof/>
          <w:lang w:eastAsia="fr-BE"/>
        </w:rPr>
        <mc:AlternateContent>
          <mc:Choice Requires="wps">
            <w:drawing>
              <wp:anchor distT="0" distB="0" distL="114300" distR="114300" simplePos="0" relativeHeight="251937792" behindDoc="0" locked="0" layoutInCell="1" allowOverlap="1">
                <wp:simplePos x="0" y="0"/>
                <wp:positionH relativeFrom="column">
                  <wp:posOffset>-107950</wp:posOffset>
                </wp:positionH>
                <wp:positionV relativeFrom="paragraph">
                  <wp:posOffset>55880</wp:posOffset>
                </wp:positionV>
                <wp:extent cx="2999740" cy="1161415"/>
                <wp:effectExtent l="0" t="0" r="10160" b="19685"/>
                <wp:wrapNone/>
                <wp:docPr id="6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9740" cy="1161415"/>
                        </a:xfrm>
                        <a:prstGeom prst="rect">
                          <a:avLst/>
                        </a:prstGeom>
                        <a:solidFill>
                          <a:srgbClr val="FFFFFF"/>
                        </a:solidFill>
                        <a:ln w="9525">
                          <a:solidFill>
                            <a:srgbClr val="FF0000"/>
                          </a:solidFill>
                          <a:miter lim="800000"/>
                          <a:headEnd/>
                          <a:tailEnd/>
                        </a:ln>
                      </wps:spPr>
                      <wps:txbx>
                        <w:txbxContent>
                          <w:p w:rsidR="00F04EEF" w:rsidRDefault="0099351E">
                            <w:pPr>
                              <w:jc w:val="both"/>
                              <w:rPr>
                                <w:sz w:val="20"/>
                              </w:rPr>
                            </w:pPr>
                            <w:r>
                              <w:rPr>
                                <w:b/>
                                <w:sz w:val="20"/>
                              </w:rPr>
                              <w:t>But</w:t>
                            </w:r>
                            <w:r>
                              <w:rPr>
                                <w:sz w:val="20"/>
                              </w:rPr>
                              <w:t> : Communiquer les chiffres de la population scolaire au 30 septembre.</w:t>
                            </w:r>
                          </w:p>
                          <w:p w:rsidR="00F04EEF" w:rsidRDefault="00F04EEF">
                            <w:pPr>
                              <w:jc w:val="both"/>
                              <w:rPr>
                                <w:sz w:val="20"/>
                              </w:rPr>
                            </w:pPr>
                          </w:p>
                          <w:p w:rsidR="00F04EEF" w:rsidRDefault="0099351E">
                            <w:pPr>
                              <w:jc w:val="both"/>
                              <w:rPr>
                                <w:sz w:val="20"/>
                              </w:rPr>
                            </w:pPr>
                            <w:r>
                              <w:rPr>
                                <w:b/>
                                <w:sz w:val="20"/>
                              </w:rPr>
                              <w:t>Enjeux</w:t>
                            </w:r>
                            <w:r>
                              <w:rPr>
                                <w:sz w:val="20"/>
                              </w:rPr>
                              <w:t> : Préparation des documents de vérification et calcul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77" type="#_x0000_t202" style="position:absolute;margin-left:-8.5pt;margin-top:4.4pt;width:236.2pt;height:91.4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" strokecolor="red">
                <v:textbox>
                  <w:txbxContent>
                    <w:p>
                      <w:pPr>
                        <w:jc w:val="both"/>
                        <w:rPr>
                          <w:sz w:val="20"/>
                        </w:rPr>
                      </w:pPr>
                      <w:r>
                        <w:rPr>
                          <w:b/>
                          <w:sz w:val="20"/>
                        </w:rPr>
                        <w:t>But</w:t>
                      </w:r>
                      <w:r>
                        <w:rPr>
                          <w:sz w:val="20"/>
                        </w:rPr>
                        <w:t> : Communiquer les chiffres de la population scolaire au 30 septembre.</w:t>
                      </w:r>
                    </w:p>
                    <w:p>
                      <w:pPr>
                        <w:jc w:val="both"/>
                        <w:rPr>
                          <w:sz w:val="20"/>
                        </w:rPr>
                      </w:pPr>
                    </w:p>
                    <w:p>
                      <w:pPr>
                        <w:jc w:val="both"/>
                        <w:rPr>
                          <w:sz w:val="20"/>
                        </w:rPr>
                      </w:pPr>
                      <w:r>
                        <w:rPr>
                          <w:b/>
                          <w:sz w:val="20"/>
                        </w:rPr>
                        <w:t>Enjeux</w:t>
                      </w:r>
                      <w:r>
                        <w:rPr>
                          <w:sz w:val="20"/>
                        </w:rPr>
                        <w:t> : Préparation des documents de vérification et calcul du CPU.</w:t>
                      </w:r>
                    </w:p>
                  </w:txbxContent>
                </v:textbox>
              </v:shape>
            </w:pict>
          </mc:Fallback>
        </mc:AlternateContent>
      </w:r>
      <w:r>
        <w:rPr>
          <w:noProof/>
          <w:lang w:eastAsia="fr-BE"/>
        </w:rPr>
        <mc:AlternateContent>
          <mc:Choice Requires="wps">
            <w:drawing>
              <wp:anchor distT="0" distB="0" distL="114300" distR="114300" simplePos="0" relativeHeight="251941888" behindDoc="0" locked="0" layoutInCell="1" allowOverlap="1">
                <wp:simplePos x="0" y="0"/>
                <wp:positionH relativeFrom="column">
                  <wp:posOffset>6828155</wp:posOffset>
                </wp:positionH>
                <wp:positionV relativeFrom="paragraph">
                  <wp:posOffset>156210</wp:posOffset>
                </wp:positionV>
                <wp:extent cx="2705735" cy="1320165"/>
                <wp:effectExtent l="19050" t="19050" r="25400" b="11430"/>
                <wp:wrapNone/>
                <wp:docPr id="6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735" cy="1320165"/>
                        </a:xfrm>
                        <a:prstGeom prst="rect">
                          <a:avLst/>
                        </a:prstGeom>
                        <a:solidFill>
                          <a:srgbClr val="FFFFFF"/>
                        </a:solidFill>
                        <a:ln w="28575">
                          <a:solidFill>
                            <a:srgbClr val="800080"/>
                          </a:solidFill>
                          <a:miter lim="800000"/>
                          <a:headEnd/>
                          <a:tailEnd/>
                        </a:ln>
                      </wps:spPr>
                      <wps:txbx>
                        <w:txbxContent>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p w:rsidR="00F04EEF" w:rsidRDefault="00F04EEF"/>
                          <w:p w:rsidR="00F04EEF" w:rsidRDefault="0099351E">
                            <w:pPr>
                              <w:jc w:val="center"/>
                              <w:rPr>
                                <w:b/>
                                <w:sz w:val="19"/>
                                <w:szCs w:val="19"/>
                                <w:u w:val="single"/>
                              </w:rPr>
                            </w:pPr>
                            <w:r>
                              <w:rPr>
                                <w:b/>
                                <w:sz w:val="19"/>
                                <w:szCs w:val="19"/>
                                <w:u w:val="single"/>
                              </w:rPr>
                              <w:t>Dépêche 102</w:t>
                            </w:r>
                          </w:p>
                          <w:p w:rsidR="00F04EEF" w:rsidRDefault="00F04EEF">
                            <w:pPr>
                              <w:jc w:val="both"/>
                              <w:rPr>
                                <w:sz w:val="19"/>
                                <w:szCs w:val="19"/>
                              </w:rPr>
                            </w:pPr>
                          </w:p>
                          <w:p w:rsidR="00F04EEF" w:rsidRDefault="0099351E">
                            <w:pPr>
                              <w:jc w:val="both"/>
                              <w:rPr>
                                <w:sz w:val="19"/>
                                <w:szCs w:val="19"/>
                              </w:rPr>
                            </w:pPr>
                            <w:r>
                              <w:rPr>
                                <w:b/>
                                <w:sz w:val="19"/>
                                <w:szCs w:val="19"/>
                                <w:u w:val="single"/>
                              </w:rPr>
                              <w:t>But </w:t>
                            </w:r>
                            <w:r>
                              <w:rPr>
                                <w:sz w:val="19"/>
                                <w:szCs w:val="19"/>
                              </w:rPr>
                              <w:t>: Comparer les attributions au capital-périodes (dépêche 101).</w:t>
                            </w:r>
                          </w:p>
                          <w:p w:rsidR="00F04EEF" w:rsidRDefault="00F04EEF">
                            <w:pPr>
                              <w:jc w:val="both"/>
                              <w:rPr>
                                <w:sz w:val="19"/>
                                <w:szCs w:val="19"/>
                              </w:rPr>
                            </w:pPr>
                          </w:p>
                          <w:p w:rsidR="00F04EEF" w:rsidRDefault="0099351E">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F04EEF" w:rsidRDefault="00F04EEF">
                            <w:pPr>
                              <w:rPr>
                                <w:rFonts w:ascii="Verdana" w:hAnsi="Verdana"/>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78" type="#_x0000_t202" style="position:absolute;margin-left:537.65pt;margin-top:12.3pt;width:213.05pt;height:103.9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" strokecolor="purple" strokeweight="2.25pt">
                <v:textbox>
                  <w:txbxContent>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jc w:val="both"/>
                        <w:rPr>
                          <w:sz w:val="19"/>
                          <w:szCs w:val="19"/>
                        </w:rPr>
                      </w:pPr>
                    </w:p>
                    <w:p>
                      <w:pPr>
                        <w:jc w:val="both"/>
                        <w:rPr>
                          <w:sz w:val="19"/>
                          <w:szCs w:val="19"/>
                        </w:rPr>
                      </w:pPr>
                      <w:r>
                        <w:rPr>
                          <w:b/>
                          <w:sz w:val="19"/>
                          <w:szCs w:val="19"/>
                          <w:u w:val="single"/>
                        </w:rPr>
                        <w:t>But </w:t>
                      </w:r>
                      <w:r>
                        <w:rPr>
                          <w:sz w:val="19"/>
                          <w:szCs w:val="19"/>
                        </w:rPr>
                        <w:t>: Comparer les attributions au capital-périodes (dépêche 101).</w:t>
                      </w:r>
                    </w:p>
                    <w:p>
                      <w:pPr>
                        <w:jc w:val="both"/>
                        <w:rPr>
                          <w:sz w:val="19"/>
                          <w:szCs w:val="19"/>
                        </w:rPr>
                      </w:pPr>
                    </w:p>
                    <w:p>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txbxContent>
                </v:textbox>
              </v:shape>
            </w:pict>
          </mc:Fallback>
        </mc:AlternateContent>
      </w:r>
    </w:p>
    <w:p w:rsidR="00F04EEF" w:rsidRDefault="00F04EEF"/>
    <w:p w:rsidR="00F04EEF" w:rsidRDefault="00F04EEF"/>
    <w:p w:rsidR="00F04EEF" w:rsidRDefault="00F04EEF"/>
    <w:p w:rsidR="00F04EEF" w:rsidRDefault="00F04EEF"/>
    <w:p w:rsidR="00F04EEF" w:rsidRDefault="00F04EEF"/>
    <w:p w:rsidR="00F04EEF" w:rsidRDefault="00F04EEF"/>
    <w:p w:rsidR="00F04EEF" w:rsidRDefault="0099351E">
      <w:r>
        <w:rPr>
          <w:noProof/>
          <w:lang w:eastAsia="fr-BE"/>
        </w:rPr>
        <mc:AlternateContent>
          <mc:Choice Requires="wps">
            <w:drawing>
              <wp:anchor distT="0" distB="0" distL="114299" distR="114299" simplePos="0" relativeHeight="251942912" behindDoc="0" locked="0" layoutInCell="1" allowOverlap="1">
                <wp:simplePos x="0" y="0"/>
                <wp:positionH relativeFrom="column">
                  <wp:posOffset>8237854</wp:posOffset>
                </wp:positionH>
                <wp:positionV relativeFrom="paragraph">
                  <wp:posOffset>69850</wp:posOffset>
                </wp:positionV>
                <wp:extent cx="0" cy="546100"/>
                <wp:effectExtent l="76200" t="38100" r="57150" b="10160"/>
                <wp:wrapNone/>
                <wp:docPr id="65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46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flip:x y;z-index:251942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48.65pt,5.5pt" to="648.6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">
                <v:stroke endarrow="block"/>
              </v:line>
            </w:pict>
          </mc:Fallback>
        </mc:AlternateContent>
      </w:r>
      <w:r>
        <w:rPr>
          <w:noProof/>
          <w:lang w:eastAsia="fr-BE"/>
        </w:rPr>
        <mc:AlternateContent>
          <mc:Choice Requires="wps">
            <w:drawing>
              <wp:anchor distT="0" distB="0" distL="114299" distR="114299" simplePos="0" relativeHeight="251949056" behindDoc="0" locked="0" layoutInCell="1" allowOverlap="1">
                <wp:simplePos x="0" y="0"/>
                <wp:positionH relativeFrom="column">
                  <wp:posOffset>4571999</wp:posOffset>
                </wp:positionH>
                <wp:positionV relativeFrom="paragraph">
                  <wp:posOffset>41910</wp:posOffset>
                </wp:positionV>
                <wp:extent cx="0" cy="506730"/>
                <wp:effectExtent l="76200" t="38100" r="57150" b="12700"/>
                <wp:wrapNone/>
                <wp:docPr id="65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067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730BD6" id="Line 12" o:spid="_x0000_s1026" style="position:absolute;flip:y;z-index:251949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in,3.3pt" to="5in,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">
                <v:stroke endarrow="block"/>
              </v:line>
            </w:pict>
          </mc:Fallback>
        </mc:AlternateContent>
      </w:r>
    </w:p>
    <w:p w:rsidR="00F04EEF" w:rsidRDefault="0099351E">
      <w:pPr>
        <w:tabs>
          <w:tab w:val="left" w:pos="3435"/>
        </w:tabs>
      </w:pPr>
      <w:r>
        <w:tab/>
      </w:r>
    </w:p>
    <w:p w:rsidR="00F04EEF" w:rsidRDefault="0099351E">
      <w:r>
        <w:rPr>
          <w:noProof/>
          <w:lang w:eastAsia="fr-BE"/>
        </w:rPr>
        <mc:AlternateContent>
          <mc:Choice Requires="wps">
            <w:drawing>
              <wp:anchor distT="4294967295" distB="4294967295" distL="114300" distR="114300" simplePos="0" relativeHeight="251948032" behindDoc="0" locked="0" layoutInCell="1" allowOverlap="1">
                <wp:simplePos x="0" y="0"/>
                <wp:positionH relativeFrom="column">
                  <wp:posOffset>2135505</wp:posOffset>
                </wp:positionH>
                <wp:positionV relativeFrom="paragraph">
                  <wp:posOffset>640715</wp:posOffset>
                </wp:positionV>
                <wp:extent cx="1143000" cy="0"/>
                <wp:effectExtent l="0" t="76200" r="11430" b="95250"/>
                <wp:wrapNone/>
                <wp:docPr id="66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948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8.15pt,50.45pt" to="258.15pt,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">
                <v:stroke endarrow="block"/>
              </v:line>
            </w:pict>
          </mc:Fallback>
        </mc:AlternateContent>
      </w:r>
      <w:r>
        <w:rPr>
          <w:noProof/>
          <w:lang w:eastAsia="fr-BE"/>
        </w:rPr>
        <mc:AlternateContent>
          <mc:Choice Requires="wps">
            <w:drawing>
              <wp:anchor distT="0" distB="0" distL="114300" distR="114300" simplePos="0" relativeHeight="251943936" behindDoc="0" locked="0" layoutInCell="1" allowOverlap="1">
                <wp:simplePos x="0" y="0"/>
                <wp:positionH relativeFrom="column">
                  <wp:posOffset>244475</wp:posOffset>
                </wp:positionH>
                <wp:positionV relativeFrom="paragraph">
                  <wp:posOffset>266065</wp:posOffset>
                </wp:positionV>
                <wp:extent cx="1889760" cy="640080"/>
                <wp:effectExtent l="0" t="0" r="15240" b="26670"/>
                <wp:wrapTopAndBottom/>
                <wp:docPr id="6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9760" cy="640080"/>
                        </a:xfrm>
                        <a:prstGeom prst="roundRect">
                          <a:avLst>
                            <a:gd name="adj" fmla="val 16667"/>
                          </a:avLst>
                        </a:prstGeom>
                        <a:solidFill>
                          <a:srgbClr val="FFFFFF"/>
                        </a:solidFill>
                        <a:ln w="19050">
                          <a:solidFill>
                            <a:srgbClr val="FF0000"/>
                          </a:solidFill>
                          <a:round/>
                          <a:headEnd/>
                          <a:tailEnd/>
                        </a:ln>
                      </wps:spPr>
                      <wps:txbx>
                        <w:txbxContent>
                          <w:p w:rsidR="00F04EEF" w:rsidRDefault="0099351E">
                            <w:pPr>
                              <w:jc w:val="center"/>
                              <w:rPr>
                                <w:b/>
                                <w:szCs w:val="24"/>
                              </w:rPr>
                            </w:pPr>
                            <w:r>
                              <w:rPr>
                                <w:b/>
                                <w:szCs w:val="24"/>
                              </w:rPr>
                              <w:t>Interfaces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79" style="position:absolute;margin-left:19.25pt;margin-top:20.95pt;width:148.8pt;height:50.4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" strokecolor="red" strokeweight="1.5pt">
                <v:textbox>
                  <w:txbxContent>
                    <w:p>
                      <w:pPr>
                        <w:jc w:val="center"/>
                        <w:rPr>
                          <w:b/>
                          <w:szCs w:val="24"/>
                        </w:rPr>
                      </w:pPr>
                      <w:r>
                        <w:rPr>
                          <w:b/>
                          <w:szCs w:val="24"/>
                        </w:rPr>
                        <w:t>Interfaces population</w:t>
                      </w:r>
                    </w:p>
                  </w:txbxContent>
                </v:textbox>
                <w10:wrap type="topAndBottom"/>
              </v:roundrect>
            </w:pict>
          </mc:Fallback>
        </mc:AlternateContent>
      </w:r>
    </w:p>
    <w:p w:rsidR="00F04EEF" w:rsidRDefault="0099351E">
      <w:r>
        <w:rPr>
          <w:noProof/>
          <w:lang w:eastAsia="fr-BE"/>
        </w:rPr>
        <mc:AlternateContent>
          <mc:Choice Requires="wps">
            <w:drawing>
              <wp:anchor distT="0" distB="0" distL="114300" distR="114300" simplePos="0" relativeHeight="251947008" behindDoc="0" locked="0" layoutInCell="1" allowOverlap="1">
                <wp:simplePos x="0" y="0"/>
                <wp:positionH relativeFrom="column">
                  <wp:posOffset>1191260</wp:posOffset>
                </wp:positionH>
                <wp:positionV relativeFrom="paragraph">
                  <wp:posOffset>775970</wp:posOffset>
                </wp:positionV>
                <wp:extent cx="9525" cy="318135"/>
                <wp:effectExtent l="76200" t="38100" r="71120" b="19050"/>
                <wp:wrapNone/>
                <wp:docPr id="66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3181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 o:spid="_x0000_s1026" style="position:absolute;flip:x 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8pt,61.1pt" to="94.55pt,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">
                <v:stroke endarrow="block"/>
              </v:line>
            </w:pict>
          </mc:Fallback>
        </mc:AlternateContent>
      </w:r>
      <w:r>
        <w:rPr>
          <w:noProof/>
          <w:lang w:eastAsia="fr-BE"/>
        </w:rPr>
        <mc:AlternateContent>
          <mc:Choice Requires="wps">
            <w:drawing>
              <wp:anchor distT="0" distB="0" distL="114300" distR="114300" simplePos="0" relativeHeight="251944960" behindDoc="0" locked="0" layoutInCell="1" allowOverlap="1">
                <wp:simplePos x="0" y="0"/>
                <wp:positionH relativeFrom="column">
                  <wp:posOffset>3313430</wp:posOffset>
                </wp:positionH>
                <wp:positionV relativeFrom="paragraph">
                  <wp:posOffset>111125</wp:posOffset>
                </wp:positionV>
                <wp:extent cx="2628900" cy="624840"/>
                <wp:effectExtent l="0" t="0" r="19050" b="22860"/>
                <wp:wrapNone/>
                <wp:docPr id="66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624840"/>
                        </a:xfrm>
                        <a:prstGeom prst="roundRect">
                          <a:avLst>
                            <a:gd name="adj" fmla="val 16667"/>
                          </a:avLst>
                        </a:prstGeom>
                        <a:solidFill>
                          <a:srgbClr val="FFFFFF"/>
                        </a:solidFill>
                        <a:ln w="19050">
                          <a:solidFill>
                            <a:srgbClr val="3366FF"/>
                          </a:solidFill>
                          <a:round/>
                          <a:headEnd/>
                          <a:tailEnd/>
                        </a:ln>
                      </wps:spPr>
                      <wps:txbx>
                        <w:txbxContent>
                          <w:p w:rsidR="00F04EEF" w:rsidRDefault="0099351E">
                            <w:pPr>
                              <w:jc w:val="center"/>
                              <w:rPr>
                                <w:b/>
                                <w:szCs w:val="24"/>
                              </w:rPr>
                            </w:pPr>
                            <w:r>
                              <w:rPr>
                                <w:b/>
                                <w:szCs w:val="24"/>
                              </w:rPr>
                              <w:t>Calcul capital-périodes</w:t>
                            </w:r>
                          </w:p>
                          <w:p w:rsidR="00F04EEF" w:rsidRDefault="0099351E">
                            <w:pPr>
                              <w:jc w:val="center"/>
                              <w:rPr>
                                <w:b/>
                                <w:szCs w:val="24"/>
                              </w:rPr>
                            </w:pPr>
                            <w:r>
                              <w:rPr>
                                <w:b/>
                                <w:szCs w:val="24"/>
                              </w:rPr>
                              <w:t>(Après vérification)</w:t>
                            </w:r>
                          </w:p>
                          <w:p w:rsidR="00F04EEF" w:rsidRDefault="00F04EEF">
                            <w:pPr>
                              <w:jc w:val="center"/>
                              <w:rPr>
                                <w:b/>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80" style="position:absolute;margin-left:260.9pt;margin-top:8.75pt;width:207pt;height:49.2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" strokecolor="#36f" strokeweight="1.5pt">
                <v:textbox>
                  <w:txbxContent>
                    <w:p>
                      <w:pPr>
                        <w:jc w:val="center"/>
                        <w:rPr>
                          <w:b/>
                          <w:szCs w:val="24"/>
                        </w:rPr>
                      </w:pPr>
                      <w:r>
                        <w:rPr>
                          <w:b/>
                          <w:szCs w:val="24"/>
                        </w:rPr>
                        <w:t>Calcul capital-périodes</w:t>
                      </w:r>
                    </w:p>
                    <w:p>
                      <w:pPr>
                        <w:jc w:val="center"/>
                        <w:rPr>
                          <w:b/>
                          <w:szCs w:val="24"/>
                        </w:rPr>
                      </w:pPr>
                      <w:r>
                        <w:rPr>
                          <w:b/>
                          <w:szCs w:val="24"/>
                        </w:rPr>
                        <w:t>(Après vérification)</w:t>
                      </w:r>
                    </w:p>
                    <w:p>
                      <w:pPr>
                        <w:jc w:val="center"/>
                        <w:rPr>
                          <w:b/>
                          <w:szCs w:val="24"/>
                        </w:rPr>
                      </w:pPr>
                    </w:p>
                  </w:txbxContent>
                </v:textbox>
              </v:roundrect>
            </w:pict>
          </mc:Fallback>
        </mc:AlternateContent>
      </w:r>
      <w:r>
        <w:rPr>
          <w:noProof/>
          <w:lang w:eastAsia="fr-BE"/>
        </w:rPr>
        <mc:AlternateContent>
          <mc:Choice Requires="wps">
            <w:drawing>
              <wp:anchor distT="4294967295" distB="4294967295" distL="114300" distR="114300" simplePos="0" relativeHeight="251951104" behindDoc="0" locked="0" layoutInCell="1" allowOverlap="1">
                <wp:simplePos x="0" y="0"/>
                <wp:positionH relativeFrom="column">
                  <wp:posOffset>5875020</wp:posOffset>
                </wp:positionH>
                <wp:positionV relativeFrom="paragraph">
                  <wp:posOffset>429895</wp:posOffset>
                </wp:positionV>
                <wp:extent cx="1216025" cy="0"/>
                <wp:effectExtent l="0" t="76200" r="10160" b="95250"/>
                <wp:wrapNone/>
                <wp:docPr id="66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60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951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62.6pt,33.85pt" to="558.35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">
                <v:stroke endarrow="block"/>
              </v:line>
            </w:pict>
          </mc:Fallback>
        </mc:AlternateContent>
      </w:r>
      <w:r>
        <w:rPr>
          <w:noProof/>
          <w:lang w:eastAsia="fr-BE"/>
        </w:rPr>
        <mc:AlternateContent>
          <mc:Choice Requires="wps">
            <w:drawing>
              <wp:anchor distT="0" distB="0" distL="114300" distR="114300" simplePos="0" relativeHeight="251950080" behindDoc="0" locked="0" layoutInCell="1" allowOverlap="1">
                <wp:simplePos x="0" y="0"/>
                <wp:positionH relativeFrom="column">
                  <wp:posOffset>7159625</wp:posOffset>
                </wp:positionH>
                <wp:positionV relativeFrom="paragraph">
                  <wp:posOffset>113030</wp:posOffset>
                </wp:positionV>
                <wp:extent cx="2171700" cy="571500"/>
                <wp:effectExtent l="0" t="0" r="27940" b="15240"/>
                <wp:wrapNone/>
                <wp:docPr id="65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rgbClr val="FFFFFF"/>
                        </a:solidFill>
                        <a:ln w="19050">
                          <a:solidFill>
                            <a:srgbClr val="800080"/>
                          </a:solidFill>
                          <a:round/>
                          <a:headEnd/>
                          <a:tailEnd/>
                        </a:ln>
                      </wps:spPr>
                      <wps:txbx>
                        <w:txbxContent>
                          <w:p w:rsidR="00F04EEF" w:rsidRDefault="0099351E">
                            <w:pPr>
                              <w:jc w:val="center"/>
                              <w:rPr>
                                <w:b/>
                                <w:szCs w:val="24"/>
                              </w:rPr>
                            </w:pPr>
                            <w:r>
                              <w:rPr>
                                <w:b/>
                                <w:szCs w:val="24"/>
                              </w:rPr>
                              <w:t>Attributions</w:t>
                            </w:r>
                          </w:p>
                          <w:p w:rsidR="00F04EEF" w:rsidRDefault="0099351E">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81" style="position:absolute;margin-left:563.75pt;margin-top:8.9pt;width:171pt;height:4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" strokecolor="purple" strokeweight="1.5pt">
                <v:textbox>
                  <w:txbxContent>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txbxContent>
                </v:textbox>
              </v:roundrect>
            </w:pict>
          </mc:Fallback>
        </mc:AlternateContent>
      </w:r>
    </w:p>
    <w:p w:rsidR="00F04EEF" w:rsidRDefault="00F04EEF"/>
    <w:p w:rsidR="00F04EEF" w:rsidRDefault="0099351E">
      <w:r>
        <w:rPr>
          <w:noProof/>
          <w:lang w:eastAsia="fr-BE"/>
        </w:rPr>
        <mc:AlternateContent>
          <mc:Choice Requires="wps">
            <w:drawing>
              <wp:anchor distT="0" distB="0" distL="114300" distR="114300" simplePos="0" relativeHeight="251945984" behindDoc="0" locked="0" layoutInCell="1" allowOverlap="1">
                <wp:simplePos x="0" y="0"/>
                <wp:positionH relativeFrom="column">
                  <wp:posOffset>243840</wp:posOffset>
                </wp:positionH>
                <wp:positionV relativeFrom="paragraph">
                  <wp:posOffset>40640</wp:posOffset>
                </wp:positionV>
                <wp:extent cx="1828800" cy="342900"/>
                <wp:effectExtent l="0" t="0" r="22225" b="24765"/>
                <wp:wrapNone/>
                <wp:docPr id="66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roundRect">
                          <a:avLst>
                            <a:gd name="adj" fmla="val 16667"/>
                          </a:avLst>
                        </a:prstGeom>
                        <a:solidFill>
                          <a:srgbClr val="FFFFFF"/>
                        </a:solidFill>
                        <a:ln w="19050">
                          <a:solidFill>
                            <a:srgbClr val="339966"/>
                          </a:solidFill>
                          <a:round/>
                          <a:headEnd/>
                          <a:tailEnd/>
                        </a:ln>
                      </wps:spPr>
                      <wps:txbx>
                        <w:txbxContent>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p w:rsidR="00F04EEF" w:rsidRDefault="00F04EEF"/>
                          <w:p w:rsidR="00F04EEF" w:rsidRDefault="0099351E">
                            <w:pPr>
                              <w:jc w:val="center"/>
                              <w:rPr>
                                <w:b/>
                                <w:szCs w:val="24"/>
                              </w:rPr>
                            </w:pPr>
                            <w:r>
                              <w:rPr>
                                <w:b/>
                                <w:szCs w:val="24"/>
                              </w:rPr>
                              <w:t>Structures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 o:spid="_x0000_s1082" style="position:absolute;margin-left:19.2pt;margin-top:3.2pt;width:2in;height:27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" strokecolor="#396" strokeweight="1.5pt">
                <v:textbox>
                  <w:txbxContent>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txbxContent>
                </v:textbox>
              </v:roundrect>
            </w:pict>
          </mc:Fallback>
        </mc:AlternateContent>
      </w:r>
    </w:p>
    <w:p w:rsidR="00F04EEF" w:rsidRDefault="0099351E">
      <w:pPr>
        <w:tabs>
          <w:tab w:val="left" w:pos="4200"/>
          <w:tab w:val="left" w:pos="5655"/>
        </w:tabs>
      </w:pPr>
      <w:r>
        <w:tab/>
      </w:r>
      <w:r>
        <w:tab/>
      </w:r>
    </w:p>
    <w:p w:rsidR="00F04EEF" w:rsidRDefault="00F04EEF"/>
    <w:p w:rsidR="00F04EEF" w:rsidRDefault="0099351E">
      <w:r>
        <w:rPr>
          <w:noProof/>
          <w:lang w:eastAsia="fr-BE"/>
        </w:rPr>
        <mc:AlternateContent>
          <mc:Choice Requires="wps">
            <w:drawing>
              <wp:anchor distT="0" distB="0" distL="114300" distR="114300" simplePos="0" relativeHeight="251939840" behindDoc="0" locked="0" layoutInCell="1" allowOverlap="1">
                <wp:simplePos x="0" y="0"/>
                <wp:positionH relativeFrom="column">
                  <wp:posOffset>6923405</wp:posOffset>
                </wp:positionH>
                <wp:positionV relativeFrom="paragraph">
                  <wp:posOffset>108585</wp:posOffset>
                </wp:positionV>
                <wp:extent cx="2544445" cy="1065530"/>
                <wp:effectExtent l="0" t="0" r="17145" b="15240"/>
                <wp:wrapNone/>
                <wp:docPr id="66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4445" cy="1065530"/>
                        </a:xfrm>
                        <a:prstGeom prst="rect">
                          <a:avLst/>
                        </a:prstGeom>
                        <a:solidFill>
                          <a:srgbClr val="FFFFFF"/>
                        </a:solidFill>
                        <a:ln w="9525">
                          <a:solidFill>
                            <a:srgbClr val="800080"/>
                          </a:solidFill>
                          <a:miter lim="800000"/>
                          <a:headEnd/>
                          <a:tailEnd/>
                        </a:ln>
                      </wps:spPr>
                      <wps:txbx>
                        <w:txbxContent>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p w:rsidR="00F04EEF" w:rsidRDefault="00F04EEF"/>
                          <w:p w:rsidR="00F04EEF" w:rsidRDefault="0099351E">
                            <w:pPr>
                              <w:jc w:val="both"/>
                              <w:rPr>
                                <w:sz w:val="20"/>
                              </w:rPr>
                            </w:pPr>
                            <w:r>
                              <w:rPr>
                                <w:b/>
                                <w:sz w:val="20"/>
                                <w:u w:val="single"/>
                              </w:rPr>
                              <w:t>But</w:t>
                            </w:r>
                            <w:r>
                              <w:rPr>
                                <w:sz w:val="20"/>
                              </w:rPr>
                              <w:t xml:space="preserve"> : Communiquer la répartition des périodes. </w:t>
                            </w:r>
                          </w:p>
                          <w:p w:rsidR="00F04EEF" w:rsidRDefault="00F04EEF">
                            <w:pPr>
                              <w:jc w:val="both"/>
                              <w:rPr>
                                <w:sz w:val="20"/>
                              </w:rPr>
                            </w:pPr>
                          </w:p>
                          <w:p w:rsidR="00F04EEF" w:rsidRDefault="0099351E">
                            <w:pPr>
                              <w:jc w:val="both"/>
                              <w:rPr>
                                <w:sz w:val="20"/>
                              </w:rPr>
                            </w:pPr>
                            <w:r>
                              <w:rPr>
                                <w:b/>
                                <w:sz w:val="20"/>
                                <w:u w:val="single"/>
                              </w:rPr>
                              <w:t>Enjeux</w:t>
                            </w:r>
                            <w:r>
                              <w:rPr>
                                <w:sz w:val="20"/>
                              </w:rPr>
                              <w:t> : Travail final de toutes les démarches administratives de ce processus entreprises durant l’année. Utilisation optimale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83" type="#_x0000_t202" style="position:absolute;margin-left:545.15pt;margin-top:8.55pt;width:200.35pt;height:83.9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" strokecolor="purple">
                <v:textbox>
                  <w:txbxContent>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p/>
                    <w:p>
                      <w:pPr>
                        <w:jc w:val="both"/>
                        <w:rPr>
                          <w:sz w:val="20"/>
                        </w:rPr>
                      </w:pPr>
                      <w:r>
                        <w:rPr>
                          <w:b/>
                          <w:sz w:val="20"/>
                          <w:u w:val="single"/>
                        </w:rPr>
                        <w:t>But</w:t>
                      </w:r>
                      <w:r>
                        <w:rPr>
                          <w:sz w:val="20"/>
                        </w:rPr>
                        <w:t xml:space="preserve"> : Communiquer la répartition des périodes. </w:t>
                      </w:r>
                    </w:p>
                    <w:p>
                      <w:pPr>
                        <w:jc w:val="both"/>
                        <w:rPr>
                          <w:sz w:val="20"/>
                        </w:rPr>
                      </w:pPr>
                    </w:p>
                    <w:p>
                      <w:pPr>
                        <w:jc w:val="both"/>
                        <w:rPr>
                          <w:sz w:val="20"/>
                        </w:rPr>
                      </w:pPr>
                      <w:r>
                        <w:rPr>
                          <w:b/>
                          <w:sz w:val="20"/>
                          <w:u w:val="single"/>
                        </w:rPr>
                        <w:t>Enjeux</w:t>
                      </w:r>
                      <w:r>
                        <w:rPr>
                          <w:sz w:val="20"/>
                        </w:rPr>
                        <w:t> : Travail final de toutes les démarches administratives de ce processus entreprises durant l’année. Utilisation optimale du CPU.</w:t>
                      </w:r>
                    </w:p>
                  </w:txbxContent>
                </v:textbox>
              </v:shape>
            </w:pict>
          </mc:Fallback>
        </mc:AlternateContent>
      </w:r>
    </w:p>
    <w:p w:rsidR="00F04EEF" w:rsidRDefault="0099351E">
      <w:r>
        <w:rPr>
          <w:noProof/>
          <w:lang w:eastAsia="fr-BE"/>
        </w:rPr>
        <mc:AlternateContent>
          <mc:Choice Requires="wps">
            <w:drawing>
              <wp:anchor distT="0" distB="0" distL="114300" distR="114300" simplePos="0" relativeHeight="251938816" behindDoc="0" locked="0" layoutInCell="1" allowOverlap="1">
                <wp:simplePos x="0" y="0"/>
                <wp:positionH relativeFrom="margin">
                  <wp:align>left</wp:align>
                </wp:positionH>
                <wp:positionV relativeFrom="paragraph">
                  <wp:posOffset>10160</wp:posOffset>
                </wp:positionV>
                <wp:extent cx="2973705" cy="668020"/>
                <wp:effectExtent l="0" t="0" r="13970" b="20320"/>
                <wp:wrapNone/>
                <wp:docPr id="6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705" cy="668020"/>
                        </a:xfrm>
                        <a:prstGeom prst="rect">
                          <a:avLst/>
                        </a:prstGeom>
                        <a:solidFill>
                          <a:srgbClr val="FFFFFF"/>
                        </a:solidFill>
                        <a:ln w="9525">
                          <a:solidFill>
                            <a:srgbClr val="339966"/>
                          </a:solidFill>
                          <a:miter lim="800000"/>
                          <a:headEnd/>
                          <a:tailEnd/>
                        </a:ln>
                      </wps:spPr>
                      <wps:txbx>
                        <w:txbxContent>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p w:rsidR="00F04EEF" w:rsidRDefault="00F04EEF"/>
                          <w:p w:rsidR="00F04EEF" w:rsidRDefault="0099351E">
                            <w:pPr>
                              <w:jc w:val="both"/>
                              <w:rPr>
                                <w:sz w:val="20"/>
                              </w:rPr>
                            </w:pPr>
                            <w:r>
                              <w:rPr>
                                <w:sz w:val="20"/>
                              </w:rPr>
                              <w:t>Informer l’Administration des modifications au niveau de la structure de l’établissement et, pour le secondaire, des grilles-horaires.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84" type="#_x0000_t202" style="position:absolute;margin-left:0;margin-top:.8pt;width:234.15pt;height:52.6pt;z-index:251938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" strokecolor="#396">
                <v:textbox>
                  <w:txbxContent>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p/>
                    <w:p>
                      <w:pPr>
                        <w:jc w:val="both"/>
                        <w:rPr>
                          <w:sz w:val="20"/>
                        </w:rPr>
                      </w:pPr>
                      <w:r>
                        <w:rPr>
                          <w:sz w:val="20"/>
                        </w:rPr>
                        <w:t>Informer l’Administration des modifications au niveau de la structure de l’établissement et, pour le secondaire, des grilles-horaires.</w:t>
                      </w:r>
                    </w:p>
                  </w:txbxContent>
                </v:textbox>
                <w10:wrap anchorx="margin"/>
              </v:shape>
            </w:pict>
          </mc:Fallback>
        </mc:AlternateContent>
      </w:r>
    </w:p>
    <w:p w:rsidR="00F04EEF" w:rsidRDefault="00F04EEF"/>
    <w:p w:rsidR="00F04EEF" w:rsidRDefault="00F04EEF"/>
    <w:p w:rsidR="00F04EEF" w:rsidRDefault="00F04EEF"/>
    <w:p w:rsidR="00F04EEF" w:rsidRDefault="00F04EEF">
      <w:pPr>
        <w:pStyle w:val="Corpsdetexte"/>
        <w:rPr>
          <w:szCs w:val="22"/>
        </w:rPr>
      </w:pPr>
    </w:p>
    <w:p w:rsidR="00F04EEF" w:rsidRDefault="00F04EEF">
      <w:pPr>
        <w:tabs>
          <w:tab w:val="left" w:pos="952"/>
        </w:tabs>
        <w:rPr>
          <w:rFonts w:eastAsiaTheme="minorEastAsia"/>
          <w:lang w:eastAsia="fr-BE"/>
        </w:rPr>
      </w:pPr>
    </w:p>
    <w:sectPr w:rsidR="00F04EEF">
      <w:type w:val="nextColumn"/>
      <w:pgSz w:w="16838" w:h="11906" w:orient="landscape"/>
      <w:pgMar w:top="1134" w:right="1134" w:bottom="1134" w:left="1418" w:header="709" w:footer="145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04EEF" w:rsidRDefault="0099351E">
      <w:r>
        <w:separator/>
      </w:r>
    </w:p>
  </w:endnote>
  <w:endnote w:type="continuationSeparator" w:id="0">
    <w:p w:rsidR="00F04EEF" w:rsidRDefault="009935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OpenSymbol">
    <w:altName w:val="MS Gothic"/>
    <w:charset w:val="80"/>
    <w:family w:val="auto"/>
    <w:pitch w:val="default"/>
  </w:font>
  <w:font w:name="TimesNewRomanPSMT">
    <w:altName w:val="Times New Roman"/>
    <w:charset w:val="00"/>
    <w:family w:val="roman"/>
    <w:pitch w:val="default"/>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enturySchoolbook">
    <w:panose1 w:val="00000000000000000000"/>
    <w:charset w:val="00"/>
    <w:family w:val="roman"/>
    <w:notTrueType/>
    <w:pitch w:val="default"/>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enturySchoolbook-Italic">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Gothic UI Semibold">
    <w:panose1 w:val="020B0700000000000000"/>
    <w:charset w:val="80"/>
    <w:family w:val="swiss"/>
    <w:pitch w:val="variable"/>
    <w:sig w:usb0="E00002FF" w:usb1="2AC7FDFF" w:usb2="00000016" w:usb3="00000000" w:csb0="0002009F" w:csb1="00000000"/>
  </w:font>
  <w:font w:name="Wingdings 2">
    <w:panose1 w:val="05020102010507070707"/>
    <w:charset w:val="02"/>
    <w:family w:val="roman"/>
    <w:pitch w:val="variable"/>
    <w:sig w:usb0="00000000" w:usb1="10000000" w:usb2="00000000" w:usb3="00000000" w:csb0="8000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Cambria-Bold">
    <w:panose1 w:val="00000000000000000000"/>
    <w:charset w:val="00"/>
    <w:family w:val="swiss"/>
    <w:notTrueType/>
    <w:pitch w:val="default"/>
    <w:sig w:usb0="00000003" w:usb1="00000000" w:usb2="00000000" w:usb3="00000000" w:csb0="00000001" w:csb1="00000000"/>
  </w:font>
  <w:font w:name="CenturySchoolbook,Bold">
    <w:altName w:val="Times New Roman"/>
    <w:charset w:val="00"/>
    <w:family w:val="auto"/>
    <w:pitch w:val="default"/>
  </w:font>
  <w:font w:name="Roboto">
    <w:altName w:val="Times New Roman"/>
    <w:panose1 w:val="02000000000000000000"/>
    <w:charset w:val="00"/>
    <w:family w:val="auto"/>
    <w:pitch w:val="variable"/>
    <w:sig w:usb0="E0000AFF" w:usb1="5000217F" w:usb2="00000021" w:usb3="00000000" w:csb0="000001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97232167"/>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sidR="00F42422" w:rsidRPr="00F42422">
          <w:rPr>
            <w:noProof/>
            <w:lang w:val="fr-FR"/>
          </w:rPr>
          <w:t>5</w:t>
        </w:r>
        <w:r>
          <w:rPr>
            <w:noProof/>
            <w:lang w:val="fr-FR"/>
          </w:rPr>
          <w:fldChar w:fldCharType="end"/>
        </w:r>
      </w:p>
    </w:sdtContent>
  </w:sdt>
  <w:p w:rsidR="00F04EEF" w:rsidRDefault="00F04EEF">
    <w:pPr>
      <w:pStyle w:val="Pieddepag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9023571"/>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Pr>
            <w:noProof/>
            <w:lang w:val="fr-FR"/>
          </w:rPr>
          <w:t>306</w:t>
        </w:r>
        <w:r>
          <w:rPr>
            <w:noProof/>
            <w:lang w:val="fr-FR"/>
          </w:rPr>
          <w:fldChar w:fldCharType="end"/>
        </w:r>
      </w:p>
    </w:sdtContent>
  </w:sdt>
  <w:p w:rsidR="00F04EEF" w:rsidRDefault="00F04EEF">
    <w:pPr>
      <w:pStyle w:val="Pieddepage"/>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747885"/>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Pr>
            <w:noProof/>
            <w:lang w:val="fr-FR"/>
          </w:rPr>
          <w:t>463</w:t>
        </w:r>
        <w:r>
          <w:rPr>
            <w:noProof/>
            <w:lang w:val="fr-FR"/>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4574760"/>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sidR="00F42422" w:rsidRPr="00F42422">
          <w:rPr>
            <w:noProof/>
            <w:lang w:val="fr-FR"/>
          </w:rPr>
          <w:t>2</w:t>
        </w:r>
        <w:r>
          <w:rPr>
            <w:noProof/>
            <w:lang w:val="fr-FR"/>
          </w:rPr>
          <w:fldChar w:fldCharType="end"/>
        </w:r>
      </w:p>
    </w:sdtContent>
  </w:sdt>
  <w:p w:rsidR="00F04EEF" w:rsidRDefault="00F04EEF">
    <w:pPr>
      <w:pStyle w:val="Pieddepage"/>
      <w:tabs>
        <w:tab w:val="clear" w:pos="9071"/>
        <w:tab w:val="right" w:pos="9498"/>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96050831"/>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sidRPr="0099351E">
          <w:rPr>
            <w:noProof/>
            <w:lang w:val="fr-FR"/>
          </w:rPr>
          <w:t>77</w:t>
        </w:r>
        <w:r>
          <w:rPr>
            <w:noProof/>
            <w:lang w:val="fr-FR"/>
          </w:rPr>
          <w:fldChar w:fldCharType="end"/>
        </w:r>
      </w:p>
    </w:sdtContent>
  </w:sdt>
  <w:p w:rsidR="00F04EEF" w:rsidRDefault="00F04EEF">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pStyle w:val="Pieddepage"/>
      <w:tabs>
        <w:tab w:val="clear" w:pos="9071"/>
        <w:tab w:val="right" w:pos="9498"/>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6435224"/>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sidRPr="0099351E">
          <w:rPr>
            <w:noProof/>
            <w:lang w:val="fr-FR"/>
          </w:rPr>
          <w:t>148</w:t>
        </w:r>
        <w:r>
          <w:rPr>
            <w:noProof/>
            <w:lang w:val="fr-FR"/>
          </w:rPr>
          <w:fldChar w:fldCharType="end"/>
        </w:r>
      </w:p>
    </w:sdtContent>
  </w:sdt>
  <w:p w:rsidR="00F04EEF" w:rsidRDefault="00F04EEF">
    <w:pPr>
      <w:pStyle w:val="Pieddepag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6656781"/>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sidRPr="0099351E">
          <w:rPr>
            <w:noProof/>
            <w:lang w:val="fr-FR"/>
          </w:rPr>
          <w:t>78</w:t>
        </w:r>
        <w:r>
          <w:rPr>
            <w:noProof/>
            <w:lang w:val="fr-FR"/>
          </w:rPr>
          <w:fldChar w:fldCharType="end"/>
        </w:r>
      </w:p>
    </w:sdtContent>
  </w:sdt>
  <w:p w:rsidR="00F04EEF" w:rsidRDefault="00F04EEF">
    <w:pPr>
      <w:pStyle w:val="Pieddepage"/>
      <w:tabs>
        <w:tab w:val="clear" w:pos="9071"/>
        <w:tab w:val="right" w:pos="9498"/>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7323549"/>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Pr>
            <w:noProof/>
            <w:lang w:val="fr-FR"/>
          </w:rPr>
          <w:t>318</w:t>
        </w:r>
        <w:r>
          <w:rPr>
            <w:noProof/>
            <w:lang w:val="fr-FR"/>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488098"/>
      <w:docPartObj>
        <w:docPartGallery w:val="Page Numbers (Bottom of Page)"/>
        <w:docPartUnique/>
      </w:docPartObj>
    </w:sdtPr>
    <w:sdtEndPr/>
    <w:sdtContent>
      <w:p w:rsidR="00F04EEF" w:rsidRDefault="0099351E">
        <w:pPr>
          <w:pStyle w:val="Pieddepage"/>
          <w:jc w:val="right"/>
        </w:pPr>
        <w:r>
          <w:fldChar w:fldCharType="begin"/>
        </w:r>
        <w:r>
          <w:instrText>PAGE   \* MERGEFORMAT</w:instrText>
        </w:r>
        <w:r>
          <w:fldChar w:fldCharType="separate"/>
        </w:r>
        <w:r>
          <w:rPr>
            <w:noProof/>
            <w:lang w:val="fr-FR"/>
          </w:rPr>
          <w:t>289</w:t>
        </w:r>
        <w:r>
          <w:rPr>
            <w:noProof/>
            <w:lang w:val="fr-FR"/>
          </w:rPr>
          <w:fldChar w:fldCharType="end"/>
        </w:r>
      </w:p>
    </w:sdtContent>
  </w:sdt>
  <w:p w:rsidR="00F04EEF" w:rsidRDefault="00F04EE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04EEF" w:rsidRDefault="0099351E">
      <w:r>
        <w:separator/>
      </w:r>
    </w:p>
  </w:footnote>
  <w:footnote w:type="continuationSeparator" w:id="0">
    <w:p w:rsidR="00F04EEF" w:rsidRDefault="0099351E">
      <w:r>
        <w:continuationSeparator/>
      </w:r>
    </w:p>
  </w:footnote>
  <w:footnote w:id="1">
    <w:p w:rsidR="00F04EEF" w:rsidRDefault="0099351E">
      <w:pPr>
        <w:pStyle w:val="Notedebasdepage"/>
      </w:pPr>
      <w:r>
        <w:rPr>
          <w:rStyle w:val="Appelnotedebasdep"/>
        </w:rPr>
        <w:footnoteRef/>
      </w:r>
      <w:r>
        <w:t xml:space="preserve"> Le choix du réseau d’enseignement est laissé à l’appréciation des parents</w:t>
      </w:r>
    </w:p>
  </w:footnote>
  <w:footnote w:id="2">
    <w:p w:rsidR="00F04EEF" w:rsidRDefault="0099351E">
      <w:pPr>
        <w:pStyle w:val="Notedebasdepage"/>
      </w:pPr>
      <w:r>
        <w:rPr>
          <w:rStyle w:val="Caractresdenotedebasdepage"/>
        </w:rPr>
        <w:footnoteRef/>
      </w:r>
      <w:r>
        <w:rPr>
          <w:rStyle w:val="Caractresdenotedebasdepage"/>
        </w:rPr>
        <w:t xml:space="preserve"> </w:t>
      </w:r>
      <w:hyperlink r:id="rId1" w:history="1">
        <w:r>
          <w:rPr>
            <w:rStyle w:val="Lienhypertexte"/>
          </w:rPr>
          <w:t>Lois sur l’enseignement primaire, coordonnées le 20 août 1957</w:t>
        </w:r>
      </w:hyperlink>
      <w:r>
        <w:t>, article 8.</w:t>
      </w:r>
    </w:p>
  </w:footnote>
  <w:footnote w:id="3">
    <w:p w:rsidR="00F04EEF" w:rsidRDefault="0099351E">
      <w:pPr>
        <w:pStyle w:val="Notedebasdepage"/>
      </w:pPr>
      <w:r>
        <w:rPr>
          <w:rStyle w:val="Caractresdenotedebasdepage"/>
        </w:rPr>
        <w:footnoteRef/>
      </w:r>
      <w:r>
        <w:rPr>
          <w:rStyle w:val="Caractresdenotedebasdepage"/>
        </w:rPr>
        <w:t xml:space="preserve"> Article 76 du </w:t>
      </w:r>
      <w:hyperlink r:id="rId2" w:history="1">
        <w:r>
          <w:rPr>
            <w:rStyle w:val="Lienhypertexte"/>
          </w:rPr>
          <w:t>décret du 24 juillet 1997 définissant les missions prioritaires de l'enseignement fondamental et de l'enseignement secondaire et organisant les structures propres à les atteindre tel que modifié par le décret du 12 juillet 2012.</w:t>
        </w:r>
      </w:hyperlink>
    </w:p>
  </w:footnote>
  <w:footnote w:id="4">
    <w:p w:rsidR="00F04EEF" w:rsidRDefault="0099351E">
      <w:pPr>
        <w:pStyle w:val="Notedebasdepage"/>
      </w:pPr>
      <w:r>
        <w:rPr>
          <w:rStyle w:val="Appelnotedebasdep"/>
        </w:rPr>
        <w:footnoteRef/>
      </w:r>
      <w:r>
        <w:t xml:space="preserve"> </w:t>
      </w:r>
      <w:hyperlink r:id="rId3" w:history="1">
        <w:r>
          <w:rPr>
            <w:rStyle w:val="Lienhypertexte"/>
          </w:rPr>
          <w:t>Circulaire du 19 mars 2002 relative à l’exercice de l’autorité parentale en matière scolaire.</w:t>
        </w:r>
      </w:hyperlink>
    </w:p>
  </w:footnote>
  <w:footnote w:id="5">
    <w:p w:rsidR="00F04EEF" w:rsidRDefault="0099351E">
      <w:pPr>
        <w:pStyle w:val="Notedebasdepage"/>
        <w:rPr>
          <w:lang w:val="nl-BE"/>
        </w:rPr>
      </w:pPr>
      <w:r>
        <w:rPr>
          <w:rStyle w:val="Appelnotedebasdep"/>
        </w:rPr>
        <w:footnoteRef/>
      </w:r>
      <w:r>
        <w:rPr>
          <w:lang w:val="nl-BE"/>
        </w:rPr>
        <w:t xml:space="preserve"> </w:t>
      </w:r>
      <w:proofErr w:type="gramStart"/>
      <w:r>
        <w:rPr>
          <w:lang w:val="nl-BE"/>
        </w:rPr>
        <w:t>Ibidem</w:t>
      </w:r>
      <w:proofErr w:type="gramEnd"/>
      <w:r>
        <w:rPr>
          <w:lang w:val="nl-BE"/>
        </w:rPr>
        <w:t>, article 79, §1</w:t>
      </w:r>
      <w:r>
        <w:rPr>
          <w:vertAlign w:val="superscript"/>
          <w:lang w:val="nl-BE"/>
        </w:rPr>
        <w:t>er</w:t>
      </w:r>
      <w:r>
        <w:rPr>
          <w:lang w:val="nl-BE"/>
        </w:rPr>
        <w:t>, alinéa 1</w:t>
      </w:r>
      <w:r>
        <w:rPr>
          <w:vertAlign w:val="superscript"/>
          <w:lang w:val="nl-BE"/>
        </w:rPr>
        <w:t>er.</w:t>
      </w:r>
    </w:p>
  </w:footnote>
  <w:footnote w:id="6">
    <w:p w:rsidR="00F04EEF" w:rsidRDefault="0099351E">
      <w:pPr>
        <w:pStyle w:val="Notedebasdepage"/>
      </w:pPr>
      <w:r>
        <w:rPr>
          <w:rStyle w:val="Caractresdenotedebasdepage"/>
        </w:rPr>
        <w:footnoteRef/>
      </w:r>
      <w:r>
        <w:t xml:space="preserve"> </w:t>
      </w:r>
      <w:hyperlink r:id="rId4" w:history="1">
        <w:r>
          <w:rPr>
            <w:rStyle w:val="Lienhypertexte"/>
          </w:rPr>
          <w:t>Circulaire 1188 </w:t>
        </w:r>
      </w:hyperlink>
      <w:r>
        <w:t>: Modèle du protocole justificatif à délivrer par les centres psycho-médico-sociaux et les organismes habilités à délivrer le rapport d’inscription dans des types d’enseignement spécialisé – circulaire ministérielle modificative de celle du 14 mai 1995 concernant le même objet.</w:t>
      </w:r>
    </w:p>
  </w:footnote>
  <w:footnote w:id="7">
    <w:p w:rsidR="00F04EEF" w:rsidRDefault="0099351E">
      <w:pPr>
        <w:pStyle w:val="Notedebasdepage"/>
      </w:pPr>
      <w:r>
        <w:rPr>
          <w:rStyle w:val="Caractresdenotedebasdepage"/>
        </w:rPr>
        <w:footnoteRef/>
      </w:r>
      <w:r>
        <w:t xml:space="preserve"> Voir annexes 1, 2, 3, 4, 5, 6.</w:t>
      </w:r>
    </w:p>
  </w:footnote>
  <w:footnote w:id="8">
    <w:p w:rsidR="00F04EEF" w:rsidRDefault="0099351E">
      <w:pPr>
        <w:pStyle w:val="Notedebasdepage"/>
      </w:pPr>
      <w:r>
        <w:rPr>
          <w:rStyle w:val="Caractresdenotedebasdepage"/>
        </w:rPr>
        <w:footnoteRef/>
      </w:r>
      <w:r>
        <w:t xml:space="preserve"> Voir </w:t>
      </w:r>
      <w:hyperlink w:anchor="_Annexe_5_:_3" w:history="1">
        <w:r>
          <w:rPr>
            <w:rStyle w:val="Lienhypertexte"/>
          </w:rPr>
          <w:t>annexe 5</w:t>
        </w:r>
      </w:hyperlink>
      <w:r>
        <w:t xml:space="preserve"> et </w:t>
      </w:r>
      <w:hyperlink w:anchor="_Annexe_6_:_1" w:history="1">
        <w:r>
          <w:rPr>
            <w:rStyle w:val="Lienhypertexte"/>
            <w:rFonts w:cs="Arial"/>
          </w:rPr>
          <w:t>6</w:t>
        </w:r>
      </w:hyperlink>
      <w:r>
        <w:t xml:space="preserve"> </w:t>
      </w:r>
    </w:p>
  </w:footnote>
  <w:footnote w:id="9">
    <w:p w:rsidR="00F04EEF" w:rsidRDefault="0099351E">
      <w:pPr>
        <w:pStyle w:val="Notedebasdepage"/>
      </w:pPr>
      <w:r>
        <w:rPr>
          <w:rStyle w:val="Appelnotedebasdep"/>
        </w:rPr>
        <w:footnoteRef/>
      </w:r>
      <w:r>
        <w:t xml:space="preserve"> </w:t>
      </w:r>
      <w:hyperlink r:id="rId5" w:history="1">
        <w:r>
          <w:rPr>
            <w:rStyle w:val="Lienhypertexte"/>
            <w:rFonts w:cs="Arial"/>
          </w:rPr>
          <w:t>Arrêté  du 13 mars 2017 relatif aux conditions d’admission des élèves de l’enseignement secondaire ordinaire spécialisé de forme 3 dans l’enseignement secondaire ordinaire.</w:t>
        </w:r>
      </w:hyperlink>
      <w:r>
        <w:t xml:space="preserve"> </w:t>
      </w:r>
    </w:p>
  </w:footnote>
  <w:footnote w:id="10">
    <w:p w:rsidR="00F04EEF" w:rsidRDefault="0099351E">
      <w:pPr>
        <w:pStyle w:val="Paragraphedeliste2"/>
        <w:ind w:left="0"/>
        <w:jc w:val="both"/>
        <w:rPr>
          <w:rFonts w:asciiTheme="majorHAnsi" w:hAnsiTheme="majorHAnsi"/>
          <w:sz w:val="16"/>
          <w:szCs w:val="16"/>
        </w:rPr>
      </w:pPr>
      <w:r>
        <w:rPr>
          <w:rStyle w:val="Appelnotedebasdep"/>
          <w:rFonts w:asciiTheme="majorHAnsi" w:hAnsiTheme="majorHAnsi"/>
          <w:sz w:val="16"/>
          <w:szCs w:val="16"/>
        </w:rPr>
        <w:footnoteRef/>
      </w:r>
      <w:r>
        <w:rPr>
          <w:rFonts w:asciiTheme="majorHAnsi" w:hAnsiTheme="majorHAnsi"/>
          <w:sz w:val="16"/>
          <w:szCs w:val="16"/>
        </w:rP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11">
    <w:p w:rsidR="00F04EEF" w:rsidRDefault="0099351E">
      <w:pPr>
        <w:pStyle w:val="Notedebasdepage"/>
      </w:pPr>
      <w:r>
        <w:rPr>
          <w:rStyle w:val="Appelnotedebasdep"/>
        </w:rPr>
        <w:footnoteRef/>
      </w:r>
      <w:r>
        <w:t xml:space="preserve"> Cfr référence ci-dessus.</w:t>
      </w:r>
    </w:p>
  </w:footnote>
  <w:footnote w:id="12">
    <w:p w:rsidR="00F04EEF" w:rsidRDefault="0099351E">
      <w:pPr>
        <w:pStyle w:val="Notedebasdepage"/>
      </w:pPr>
      <w:r>
        <w:rPr>
          <w:rStyle w:val="Appelnotedebasdep"/>
        </w:rPr>
        <w:footnoteRef/>
      </w:r>
      <w:r>
        <w:t xml:space="preserve"> Cfr référence ci-dessus</w:t>
      </w:r>
    </w:p>
  </w:footnote>
  <w:footnote w:id="13">
    <w:p w:rsidR="00F04EEF" w:rsidRDefault="0099351E">
      <w:pPr>
        <w:pStyle w:val="Notedebasdepage"/>
      </w:pPr>
      <w:r>
        <w:rPr>
          <w:rStyle w:val="Appelnotedebasdep"/>
        </w:rPr>
        <w:footnoteRef/>
      </w:r>
      <w:r>
        <w:t xml:space="preserve"> Cfr référence ci-dessus</w:t>
      </w:r>
    </w:p>
  </w:footnote>
  <w:footnote w:id="14">
    <w:p w:rsidR="00F04EEF" w:rsidRDefault="0099351E">
      <w:pPr>
        <w:pStyle w:val="Paragraphedeliste2"/>
        <w:spacing w:line="276" w:lineRule="auto"/>
        <w:ind w:left="0"/>
        <w:jc w:val="both"/>
        <w:rPr>
          <w:rFonts w:asciiTheme="majorHAnsi" w:hAnsiTheme="majorHAnsi"/>
          <w:sz w:val="16"/>
          <w:szCs w:val="16"/>
        </w:rPr>
      </w:pPr>
      <w:r>
        <w:rPr>
          <w:rStyle w:val="Appelnotedebasdep"/>
          <w:rFonts w:asciiTheme="majorHAnsi" w:hAnsiTheme="majorHAnsi"/>
          <w:sz w:val="16"/>
          <w:szCs w:val="16"/>
        </w:rPr>
        <w:footnoteRef/>
      </w:r>
      <w:r>
        <w:rPr>
          <w:rFonts w:asciiTheme="majorHAnsi" w:hAnsiTheme="majorHAnsi"/>
          <w:sz w:val="16"/>
          <w:szCs w:val="16"/>
        </w:rPr>
        <w:t xml:space="preserve"> Article 7 du décret du 3 juillet 1991 « les jeunes ne peuvent être inscrits dans des formations qui conduisent à la délivrance de titres identiques ou équivalents à ceux dont ils sont déjà porteurs dans les mêmes orientations d’études ».</w:t>
      </w:r>
    </w:p>
  </w:footnote>
  <w:footnote w:id="15">
    <w:p w:rsidR="00F04EEF" w:rsidRDefault="0099351E">
      <w:pPr>
        <w:pStyle w:val="Notedebasdepage"/>
      </w:pPr>
      <w:r>
        <w:rPr>
          <w:rStyle w:val="Appelnotedebasdep"/>
        </w:rPr>
        <w:footnoteRef/>
      </w:r>
      <w:r>
        <w:t xml:space="preserve"> </w:t>
      </w:r>
      <w:hyperlink r:id="rId6" w:history="1">
        <w:r>
          <w:rPr>
            <w:rStyle w:val="Lienhypertexte"/>
            <w:rFonts w:cs="Arial"/>
          </w:rPr>
          <w:t>Voir Arrêté du Gouvernement de la Communauté Française du 4 mai 2016 déterminant les modalités d’inscription, de distribution, de passation, de correction et de sécurisation de l’épreuve externe commune octroyant le certificat d’études de base (C.E.B.) et la forme de ce certificat</w:t>
        </w:r>
      </w:hyperlink>
    </w:p>
  </w:footnote>
  <w:footnote w:id="16">
    <w:p w:rsidR="00F04EEF" w:rsidRDefault="0099351E">
      <w:pPr>
        <w:pStyle w:val="Notedebasdepage"/>
      </w:pPr>
      <w:r>
        <w:rPr>
          <w:rStyle w:val="Appelnotedebasdep"/>
        </w:rPr>
        <w:footnoteRef/>
      </w:r>
      <w:r>
        <w:t xml:space="preserve"> </w:t>
      </w:r>
      <w:hyperlink r:id="rId7" w:history="1">
        <w:r>
          <w:rPr>
            <w:rStyle w:val="Lienhypertexte"/>
            <w:rFonts w:cs="Arial"/>
          </w:rPr>
          <w:t>Arrêté  du 13 mars 2017 relatif aux conditions d’admission des élèves de l’enseignement secondaire ordinaire spécialisé de forme 3 dans l’enseignement secondaire ordinaire.</w:t>
        </w:r>
      </w:hyperlink>
    </w:p>
  </w:footnote>
  <w:footnote w:id="17">
    <w:p w:rsidR="00F04EEF" w:rsidRDefault="0099351E">
      <w:pPr>
        <w:pStyle w:val="Notedebasdepage"/>
      </w:pPr>
      <w:r>
        <w:rPr>
          <w:rStyle w:val="Appelnotedebasdep"/>
        </w:rPr>
        <w:footnoteRef/>
      </w:r>
      <w: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18">
    <w:p w:rsidR="00F04EEF" w:rsidRDefault="0099351E">
      <w:pPr>
        <w:pStyle w:val="Notedebasdepage"/>
      </w:pPr>
      <w:r>
        <w:rPr>
          <w:rStyle w:val="Appelnotedebasdep"/>
        </w:rPr>
        <w:footnoteRef/>
      </w:r>
      <w:r>
        <w:t xml:space="preserve"> Cfr référence  ci-dessus.</w:t>
      </w:r>
    </w:p>
  </w:footnote>
  <w:footnote w:id="19">
    <w:p w:rsidR="00F04EEF" w:rsidRDefault="0099351E">
      <w:pPr>
        <w:pStyle w:val="Notedebasdepage"/>
      </w:pPr>
      <w:r>
        <w:rPr>
          <w:rStyle w:val="Appelnotedebasdep"/>
        </w:rPr>
        <w:footnoteRef/>
      </w:r>
      <w:r>
        <w:t xml:space="preserve"> Cfr référence  ci-dessus</w:t>
      </w:r>
    </w:p>
  </w:footnote>
  <w:footnote w:id="20">
    <w:p w:rsidR="00F04EEF" w:rsidRDefault="0099351E">
      <w:pPr>
        <w:pStyle w:val="Notedebasdepage"/>
      </w:pPr>
      <w:r>
        <w:rPr>
          <w:rStyle w:val="Appelnotedebasdep"/>
        </w:rPr>
        <w:footnoteRef/>
      </w:r>
      <w:r>
        <w:t xml:space="preserve"> Cfr référence  ci-dessus</w:t>
      </w:r>
    </w:p>
  </w:footnote>
  <w:footnote w:id="21">
    <w:p w:rsidR="00F04EEF" w:rsidRDefault="0099351E">
      <w:pPr>
        <w:pStyle w:val="Notedebasdepage"/>
      </w:pPr>
      <w:r>
        <w:rPr>
          <w:rStyle w:val="Appelnotedebasdep"/>
        </w:rPr>
        <w:footnoteRef/>
      </w:r>
      <w:r>
        <w:t xml:space="preserve"> Cfr référence ci-dessus</w:t>
      </w:r>
    </w:p>
  </w:footnote>
  <w:footnote w:id="22">
    <w:p w:rsidR="00F04EEF" w:rsidRDefault="0099351E">
      <w:pPr>
        <w:pStyle w:val="Notedebasdepage"/>
      </w:pPr>
      <w:r>
        <w:rPr>
          <w:rStyle w:val="Appelnotedebasdep"/>
        </w:rPr>
        <w:footnoteRef/>
      </w:r>
      <w:r>
        <w:t xml:space="preserve"> Article 7 du </w:t>
      </w:r>
      <w:hyperlink r:id="rId8" w:history="1">
        <w:r>
          <w:rPr>
            <w:rStyle w:val="Lienhypertexte"/>
            <w:rFonts w:cs="Arial"/>
          </w:rPr>
          <w:t>Décret du 3 juillet 1991</w:t>
        </w:r>
      </w:hyperlink>
      <w:r>
        <w:t xml:space="preserve"> « les jeunes ne peuvent être inscrits dans des formations qui conduisent à la délivrance de titres identiques ou équivalents à ceux dont ils sont déjà porteurs dans les mêmes orientations d’études »</w:t>
      </w:r>
    </w:p>
  </w:footnote>
  <w:footnote w:id="23">
    <w:p w:rsidR="00F04EEF" w:rsidRDefault="0099351E">
      <w:pPr>
        <w:pStyle w:val="Notedebasdepage"/>
      </w:pPr>
      <w:r>
        <w:rPr>
          <w:vertAlign w:val="superscript"/>
        </w:rPr>
        <w:footnoteRef/>
      </w:r>
      <w:r>
        <w:rPr>
          <w:vertAlign w:val="superscript"/>
        </w:rPr>
        <w:t xml:space="preserve"> </w:t>
      </w:r>
      <w:hyperlink r:id="rId9" w:history="1">
        <w:r>
          <w:rPr>
            <w:rStyle w:val="Lienhypertexte"/>
            <w:rFonts w:cs="Arial"/>
          </w:rPr>
          <w:t>Circulaire 2743 concernant les Modèles de Certificat d’Etudes de base (C.E.B.)</w:t>
        </w:r>
      </w:hyperlink>
    </w:p>
  </w:footnote>
  <w:footnote w:id="24">
    <w:p w:rsidR="00F04EEF" w:rsidRDefault="0099351E">
      <w:pPr>
        <w:pStyle w:val="Notedebasdepage"/>
      </w:pPr>
      <w:r>
        <w:rPr>
          <w:rStyle w:val="Caractresdenotedebasdepage"/>
        </w:rPr>
        <w:footnoteRef/>
      </w:r>
      <w:r>
        <w:rPr>
          <w:rStyle w:val="Caractresdenotedebasdepage"/>
        </w:rPr>
        <w:t xml:space="preserve"> </w:t>
      </w:r>
      <w:hyperlink r:id="rId10" w:history="1">
        <w:r>
          <w:rPr>
            <w:rStyle w:val="Lienhypertexte"/>
          </w:rPr>
          <w:t>Décret du 24 juillet 1997 définissant les missions prioritaires de l’enseignement fondamental et de l’enseignement secondaire et organisant les structures propres à les atteindre</w:t>
        </w:r>
      </w:hyperlink>
      <w:r>
        <w:t>, article 8, 5.</w:t>
      </w:r>
    </w:p>
  </w:footnote>
  <w:footnote w:id="25">
    <w:p w:rsidR="00F04EEF" w:rsidRDefault="0099351E">
      <w:pPr>
        <w:pStyle w:val="Corpsdetexte"/>
        <w:jc w:val="both"/>
        <w:rPr>
          <w:sz w:val="16"/>
          <w:szCs w:val="16"/>
        </w:rPr>
      </w:pPr>
      <w:r>
        <w:rPr>
          <w:b w:val="0"/>
          <w:sz w:val="16"/>
          <w:szCs w:val="16"/>
        </w:rPr>
        <w:footnoteRef/>
      </w:r>
      <w:r>
        <w:rPr>
          <w:b w:val="0"/>
          <w:sz w:val="16"/>
          <w:szCs w:val="16"/>
        </w:rPr>
        <w:t xml:space="preserve">  Le degré de parenté est égal au nombre d’intermédiaires entre l’élève et le défunt plus un. Sont parents au premier degré de l’élève ses père et mère ainsi que ses enfants alors que ses frères et sœurs sont parents au deuxième degré. Les parents les plus éloignés pris en considération (sauf cohabitation) sont donc ses cousin(e)s, grands-oncles (grands-tantes) et les parents de ses arrière grands-parents. (Voir </w:t>
      </w:r>
      <w:hyperlink w:anchor="annexe21" w:history="1">
        <w:r>
          <w:rPr>
            <w:rStyle w:val="Lienhypertexte"/>
            <w:b w:val="0"/>
            <w:sz w:val="16"/>
            <w:szCs w:val="16"/>
          </w:rPr>
          <w:t>annexe 21</w:t>
        </w:r>
      </w:hyperlink>
      <w:r>
        <w:rPr>
          <w:b w:val="0"/>
          <w:sz w:val="16"/>
          <w:szCs w:val="16"/>
        </w:rPr>
        <w:t>).</w:t>
      </w:r>
    </w:p>
  </w:footnote>
  <w:footnote w:id="26">
    <w:p w:rsidR="00F04EEF" w:rsidRDefault="0099351E">
      <w:pPr>
        <w:pStyle w:val="Notedebasdepage"/>
      </w:pPr>
      <w:r>
        <w:rPr>
          <w:rStyle w:val="Caractresdenotedebasdepage"/>
        </w:rPr>
        <w:footnoteRef/>
      </w:r>
      <w:r>
        <w:rPr>
          <w:iCs/>
        </w:rPr>
        <w:t>;</w:t>
      </w:r>
      <w:r>
        <w:rPr>
          <w:color w:val="4A4A4A"/>
        </w:rPr>
        <w:t xml:space="preserve"> </w:t>
      </w:r>
      <w:hyperlink r:id="rId11" w:history="1">
        <w:r>
          <w:rPr>
            <w:rStyle w:val="Lienhypertexte"/>
            <w:rFonts w:cs="Arial"/>
          </w:rPr>
          <w:t>http://www.gallilex.cfwb.be/document/pdf/40870_000.pdf</w:t>
        </w:r>
      </w:hyperlink>
      <w:r>
        <w:rPr>
          <w:color w:val="4A4A4A"/>
        </w:rPr>
        <w:t xml:space="preserve"> </w:t>
      </w:r>
    </w:p>
  </w:footnote>
  <w:footnote w:id="27">
    <w:p w:rsidR="00F04EEF" w:rsidRDefault="0099351E">
      <w:pPr>
        <w:pStyle w:val="Notedebasdepage"/>
      </w:pPr>
      <w:r>
        <w:rPr>
          <w:rStyle w:val="Appelnotedebasdep"/>
        </w:rPr>
        <w:footnoteRef/>
      </w:r>
      <w:r>
        <w:t xml:space="preserve"> </w:t>
      </w:r>
      <w:hyperlink r:id="rId12" w:history="1">
        <w:r>
          <w:rPr>
            <w:rStyle w:val="Lienhypertexte"/>
          </w:rPr>
          <w:t>Arrêté du Gouvernement de la Communauté française du 18 mai 1993 déterminant les conditions auxquelles l’obligation scolaire peut être remplie dans le groupe des institutions publiques de protection de la jeunesse, à régimes ouvert et fermé, de la Communauté française.</w:t>
        </w:r>
      </w:hyperlink>
    </w:p>
  </w:footnote>
  <w:footnote w:id="28">
    <w:p w:rsidR="00F04EEF" w:rsidRDefault="0099351E">
      <w:pPr>
        <w:pStyle w:val="Notedebasdepage"/>
      </w:pPr>
      <w:r>
        <w:rPr>
          <w:rStyle w:val="Caractresdenotedebasdepage"/>
        </w:rPr>
        <w:footnoteRef/>
      </w:r>
      <w:r>
        <w:t>,</w:t>
      </w:r>
      <w:r>
        <w:rPr>
          <w:rStyle w:val="Lienhypertexte"/>
        </w:rPr>
        <w:t xml:space="preserve"> </w:t>
      </w:r>
      <w:hyperlink r:id="rId13" w:history="1">
        <w:r>
          <w:rPr>
            <w:rStyle w:val="Lienhypertexte"/>
          </w:rPr>
          <w:t>http://www.gallilex.cfwb.be/document/pdf/34604_000.pdf</w:t>
        </w:r>
      </w:hyperlink>
      <w:r>
        <w:rPr>
          <w:rStyle w:val="Lienhypertexte"/>
        </w:rPr>
        <w:t xml:space="preserve"> </w:t>
      </w:r>
    </w:p>
  </w:footnote>
  <w:footnote w:id="29">
    <w:p w:rsidR="00F04EEF" w:rsidRDefault="0099351E">
      <w:pPr>
        <w:pStyle w:val="Notedebasdepage"/>
      </w:pPr>
      <w:r>
        <w:rPr>
          <w:rStyle w:val="Caractresdenotedebasdepage"/>
        </w:rPr>
        <w:footnoteRef/>
      </w:r>
      <w:r>
        <w:rPr>
          <w:rStyle w:val="Caractresdenotedebasdepage"/>
        </w:rPr>
        <w:t xml:space="preserve"> </w:t>
      </w:r>
      <w:r>
        <w:t>Décret du 21 novembre 2013 organisant divers dispositifs scolaires favorisant le bien-être des jeunes à l’école, l’accrochage scolaire, la prévention de la violence à l’école et l’accompagnement des démarches d’orientation scolaire, article 23.</w:t>
      </w:r>
    </w:p>
  </w:footnote>
  <w:footnote w:id="30">
    <w:p w:rsidR="00F04EEF" w:rsidRDefault="0099351E">
      <w:pPr>
        <w:pStyle w:val="Notedebasdepage"/>
      </w:pPr>
      <w:r>
        <w:rPr>
          <w:rStyle w:val="Caractresdenotedebasdepage"/>
        </w:rPr>
        <w:footnoteRef/>
      </w:r>
      <w:r>
        <w:t xml:space="preserve"> Article 10 </w:t>
      </w:r>
      <w:hyperlink r:id="rId14" w:history="1">
        <w:r>
          <w:rPr>
            <w:rStyle w:val="Lienhypertexte"/>
          </w:rPr>
          <w:t>des lois sur l’enseignement primaire, coordonnées le 20 août 1957</w:t>
        </w:r>
      </w:hyperlink>
      <w:r>
        <w:rPr>
          <w:iCs/>
        </w:rPr>
        <w:t>.</w:t>
      </w:r>
    </w:p>
  </w:footnote>
  <w:footnote w:id="31">
    <w:p w:rsidR="00F04EEF" w:rsidRDefault="0099351E">
      <w:pPr>
        <w:jc w:val="both"/>
        <w:rPr>
          <w:rFonts w:ascii="Georgia" w:hAnsi="Georgia" w:cs="Arial"/>
          <w:sz w:val="18"/>
          <w:szCs w:val="18"/>
        </w:rPr>
      </w:pPr>
      <w:r>
        <w:rPr>
          <w:rStyle w:val="Appelnotedebasdep"/>
          <w:sz w:val="16"/>
          <w:szCs w:val="16"/>
        </w:rPr>
        <w:footnoteRef/>
      </w:r>
      <w:hyperlink r:id="rId15" w:history="1">
        <w:r>
          <w:rPr>
            <w:rStyle w:val="Lienhypertexte"/>
            <w:rFonts w:cstheme="minorBidi"/>
            <w:sz w:val="16"/>
            <w:szCs w:val="16"/>
          </w:rPr>
          <w:t xml:space="preserve"> </w:t>
        </w:r>
        <w:r>
          <w:rPr>
            <w:rStyle w:val="Lienhypertexte"/>
            <w:rFonts w:cs="Arial"/>
            <w:sz w:val="16"/>
            <w:szCs w:val="16"/>
          </w:rPr>
          <w:t>Circulaire n°3783 du 28 octobre 2011 </w:t>
        </w:r>
      </w:hyperlink>
      <w:r>
        <w:rPr>
          <w:rFonts w:cs="Arial"/>
          <w:sz w:val="16"/>
          <w:szCs w:val="16"/>
        </w:rPr>
        <w:t>«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r>
        <w:rPr>
          <w:rFonts w:ascii="Georgia" w:hAnsi="Georgia" w:cs="Arial"/>
          <w:sz w:val="16"/>
          <w:szCs w:val="18"/>
        </w:rPr>
        <w:t xml:space="preserve"> </w:t>
      </w:r>
    </w:p>
  </w:footnote>
  <w:footnote w:id="32">
    <w:p w:rsidR="00F04EEF" w:rsidRDefault="00F42422">
      <w:pPr>
        <w:pStyle w:val="Notedebasdepage"/>
      </w:pPr>
      <w:hyperlink r:id="rId16" w:history="1">
        <w:r w:rsidR="0099351E">
          <w:rPr>
            <w:rStyle w:val="Lienhypertexte"/>
            <w:vertAlign w:val="superscript"/>
          </w:rPr>
          <w:footnoteRef/>
        </w:r>
        <w:r w:rsidR="0099351E">
          <w:rPr>
            <w:rStyle w:val="Lienhypertexte"/>
            <w:rFonts w:cs="Arial"/>
          </w:rPr>
          <w:t xml:space="preserve"> 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w:t>
        </w:r>
      </w:hyperlink>
      <w:r w:rsidR="0099351E">
        <w:t xml:space="preserve"> </w:t>
      </w:r>
    </w:p>
  </w:footnote>
  <w:footnote w:id="33">
    <w:p w:rsidR="00F04EEF" w:rsidRDefault="0099351E">
      <w:pPr>
        <w:pStyle w:val="Notedebasdepage"/>
      </w:pPr>
      <w:r>
        <w:rPr>
          <w:rStyle w:val="Caractresdenotedebasdepage"/>
        </w:rPr>
        <w:footnoteRef/>
      </w:r>
      <w:r>
        <w:t xml:space="preserve"> </w:t>
      </w:r>
      <w:hyperlink r:id="rId17" w:history="1">
        <w:r>
          <w:rPr>
            <w:rStyle w:val="Lienhypertexte"/>
            <w:iCs/>
          </w:rPr>
          <w:t>Arrêté royal du 13 août 1962 organique des centres psycho-médico-sociaux.</w:t>
        </w:r>
      </w:hyperlink>
    </w:p>
  </w:footnote>
  <w:footnote w:id="34">
    <w:p w:rsidR="00F04EEF" w:rsidRDefault="0099351E">
      <w:pPr>
        <w:pStyle w:val="Notedebasdepage"/>
      </w:pPr>
      <w:r>
        <w:rPr>
          <w:rStyle w:val="Caractresdenotedebasdepage"/>
        </w:rPr>
        <w:footnoteRef/>
      </w:r>
      <w:r>
        <w:t xml:space="preserve"> </w:t>
      </w:r>
      <w:r>
        <w:rPr>
          <w:rStyle w:val="NotedebasdepageCar"/>
          <w:rFonts w:asciiTheme="majorHAnsi" w:hAnsiTheme="majorHAnsi" w:cs="Arial"/>
        </w:rPr>
        <w:t>Décret du 21 novembre 2013 organisant divers dispositifs scolaires favorisant le bien-être des jeunes à l’école, l’accrochage scolaire, la prévention de la violence à l’école et l’accompagnement des démarches d’orientation scolaire, articles 7 et 14 ;</w:t>
      </w:r>
    </w:p>
  </w:footnote>
  <w:footnote w:id="35">
    <w:p w:rsidR="00F04EEF" w:rsidRDefault="0099351E">
      <w:pPr>
        <w:pStyle w:val="Notedebasdepage"/>
      </w:pPr>
      <w:r>
        <w:rPr>
          <w:rStyle w:val="Caractresdenotedebasdepage"/>
        </w:rPr>
        <w:footnoteRef/>
      </w:r>
      <w:r>
        <w:t xml:space="preserve"> </w:t>
      </w:r>
      <w:r>
        <w:rPr>
          <w:rStyle w:val="NotedebasdepageCar"/>
          <w:rFonts w:asciiTheme="majorHAnsi" w:hAnsiTheme="majorHAnsi" w:cs="Arial"/>
        </w:rPr>
        <w:t xml:space="preserve">Op </w:t>
      </w:r>
      <w:proofErr w:type="gramStart"/>
      <w:r>
        <w:rPr>
          <w:rStyle w:val="NotedebasdepageCar"/>
          <w:rFonts w:asciiTheme="majorHAnsi" w:hAnsiTheme="majorHAnsi" w:cs="Arial"/>
        </w:rPr>
        <w:t>cit.,</w:t>
      </w:r>
      <w:proofErr w:type="gramEnd"/>
      <w:r>
        <w:rPr>
          <w:rStyle w:val="NotedebasdepageCar"/>
          <w:rFonts w:asciiTheme="majorHAnsi" w:hAnsiTheme="majorHAnsi" w:cs="Arial"/>
        </w:rPr>
        <w:t xml:space="preserve"> articles 31 à 34 – Voir liste : annexe 20 ;</w:t>
      </w:r>
    </w:p>
  </w:footnote>
  <w:footnote w:id="36">
    <w:p w:rsidR="00F04EEF" w:rsidRDefault="0099351E">
      <w:pPr>
        <w:pStyle w:val="Notedebasdepage"/>
      </w:pPr>
      <w:r>
        <w:rPr>
          <w:rStyle w:val="Caractresdenotedebasdepage"/>
        </w:rPr>
        <w:footnoteRef/>
      </w:r>
      <w:r>
        <w:t xml:space="preserve"> </w:t>
      </w:r>
      <w:r>
        <w:rPr>
          <w:rStyle w:val="NotedebasdepageCar"/>
          <w:rFonts w:asciiTheme="majorHAnsi" w:hAnsiTheme="majorHAnsi" w:cs="Arial"/>
        </w:rPr>
        <w:t>Décret du 03/05/19 portant les livres 1er et 2 du Code de l'enseignement fondamental et de l'enseignement secondaire, et mettant en place le tronc commun, articles 1.7.1-29 à 1.7.1-31– Voir liste : annexe 20 ;</w:t>
      </w:r>
    </w:p>
    <w:p w:rsidR="00F04EEF" w:rsidRDefault="0099351E">
      <w:pPr>
        <w:pStyle w:val="Notedebasdepage"/>
      </w:pPr>
      <w:r>
        <w:rPr>
          <w:rStyle w:val="Caractresdenotedebasdepage"/>
        </w:rPr>
        <w:footnoteRef/>
      </w:r>
      <w:r>
        <w:t xml:space="preserve"> Ibidem</w:t>
      </w:r>
      <w:proofErr w:type="gramStart"/>
      <w:r>
        <w:t>,;</w:t>
      </w:r>
      <w:proofErr w:type="gramEnd"/>
    </w:p>
  </w:footnote>
  <w:footnote w:id="37">
    <w:p w:rsidR="00F04EEF" w:rsidRDefault="00F42422">
      <w:pPr>
        <w:pStyle w:val="Notedebasdepage"/>
      </w:pPr>
      <w:hyperlink r:id="rId18" w:history="1">
        <w:r w:rsidR="0099351E">
          <w:rPr>
            <w:rStyle w:val="Lienhypertexte"/>
            <w:vertAlign w:val="superscript"/>
          </w:rPr>
          <w:footnoteRef/>
        </w:r>
        <w:r w:rsidR="0099351E">
          <w:rPr>
            <w:rStyle w:val="Lienhypertexte"/>
            <w:rFonts w:cs="Arial"/>
          </w:rPr>
          <w:t xml:space="preserve"> </w:t>
        </w:r>
        <w:r w:rsidR="0099351E">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38">
    <w:p w:rsidR="00F04EEF" w:rsidRDefault="0099351E">
      <w:pPr>
        <w:pStyle w:val="Notedebasdepage"/>
      </w:pPr>
      <w:r>
        <w:rPr>
          <w:rStyle w:val="Appelnotedebasdep"/>
        </w:rPr>
        <w:footnoteRef/>
      </w:r>
      <w:r>
        <w:t xml:space="preserve"> </w:t>
      </w:r>
      <w:r>
        <w:rPr>
          <w:rStyle w:val="NotedebasdepageCar"/>
          <w:rFonts w:asciiTheme="majorHAnsi" w:hAnsiTheme="majorHAnsi" w:cs="Arial"/>
        </w:rPr>
        <w:t xml:space="preserve">Op </w:t>
      </w:r>
      <w:proofErr w:type="gramStart"/>
      <w:r>
        <w:rPr>
          <w:rStyle w:val="NotedebasdepageCar"/>
          <w:rFonts w:asciiTheme="majorHAnsi" w:hAnsiTheme="majorHAnsi" w:cs="Arial"/>
        </w:rPr>
        <w:t>cit.,</w:t>
      </w:r>
      <w:proofErr w:type="gramEnd"/>
      <w:r>
        <w:rPr>
          <w:rStyle w:val="NotedebasdepageCar"/>
          <w:rFonts w:asciiTheme="majorHAnsi" w:hAnsiTheme="majorHAnsi" w:cs="Arial"/>
        </w:rPr>
        <w:t xml:space="preserve"> article 39</w:t>
      </w:r>
    </w:p>
  </w:footnote>
  <w:footnote w:id="39">
    <w:p w:rsidR="00F04EEF" w:rsidRDefault="0099351E">
      <w:pPr>
        <w:pStyle w:val="Notedebasdepage"/>
      </w:pPr>
      <w:r>
        <w:rPr>
          <w:rStyle w:val="NotedebasdepageCar"/>
          <w:rFonts w:asciiTheme="majorHAnsi" w:hAnsiTheme="majorHAnsi" w:cs="Arial"/>
          <w:vertAlign w:val="superscript"/>
        </w:rPr>
        <w:footnoteRef/>
      </w:r>
      <w:r>
        <w:rPr>
          <w:rStyle w:val="NotedebasdepageCar"/>
          <w:rFonts w:asciiTheme="majorHAnsi" w:hAnsiTheme="majorHAnsi" w:cs="Arial"/>
          <w:vertAlign w:val="superscript"/>
        </w:rPr>
        <w:t xml:space="preserve"> </w:t>
      </w:r>
      <w:r>
        <w:rPr>
          <w:rStyle w:val="NotedebasdepageCar"/>
          <w:rFonts w:asciiTheme="majorHAnsi" w:hAnsiTheme="majorHAnsi" w:cs="Arial"/>
        </w:rPr>
        <w:t>Ibidem, article 41</w:t>
      </w:r>
    </w:p>
  </w:footnote>
  <w:footnote w:id="40">
    <w:p w:rsidR="00F04EEF" w:rsidRDefault="0099351E">
      <w:pPr>
        <w:pStyle w:val="Notedebasdepage"/>
      </w:pPr>
      <w:r>
        <w:rPr>
          <w:rStyle w:val="Appelnotedebasdep"/>
        </w:rPr>
        <w:footnoteRef/>
      </w:r>
      <w:r>
        <w:rPr>
          <w:rStyle w:val="Appelnotedebasdep"/>
        </w:rPr>
        <w:t xml:space="preserve"> </w:t>
      </w:r>
      <w:hyperlink r:id="rId19" w:history="1">
        <w:r>
          <w:rPr>
            <w:rStyle w:val="Lienhypertexte"/>
            <w:lang w:val="fr-FR"/>
          </w:rPr>
          <w:t>Circulaire 4877 du 13/06/2014</w:t>
        </w:r>
      </w:hyperlink>
    </w:p>
  </w:footnote>
  <w:footnote w:id="41">
    <w:p w:rsidR="00F04EEF" w:rsidRDefault="00F42422">
      <w:pPr>
        <w:pStyle w:val="Notedebasdepage"/>
      </w:pPr>
      <w:hyperlink r:id="rId20" w:history="1">
        <w:r w:rsidR="0099351E">
          <w:rPr>
            <w:rStyle w:val="Lienhypertexte"/>
            <w:vertAlign w:val="superscript"/>
          </w:rPr>
          <w:footnoteRef/>
        </w:r>
        <w:r w:rsidR="0099351E">
          <w:rPr>
            <w:rStyle w:val="Lienhypertexte"/>
            <w:rFonts w:cs="Arial"/>
          </w:rPr>
          <w:t xml:space="preserve"> </w:t>
        </w:r>
        <w:r w:rsidR="0099351E">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42">
    <w:p w:rsidR="00F04EEF" w:rsidRDefault="0099351E">
      <w:pPr>
        <w:pStyle w:val="Notedebasdepage"/>
      </w:pPr>
      <w:r>
        <w:rPr>
          <w:rStyle w:val="Appelnotedebasdep"/>
        </w:rPr>
        <w:footnoteRef/>
      </w:r>
      <w:r>
        <w:t xml:space="preserve"> </w:t>
      </w:r>
      <w:hyperlink r:id="rId21" w:history="1">
        <w:r>
          <w:rPr>
            <w:rStyle w:val="Lienhypertexte"/>
            <w:rFonts w:cs="Arial"/>
            <w:lang w:val="fr-FR"/>
          </w:rPr>
          <w:t>http://www.gallilex.cfwb.be/document/pdf/39909_001.pdf</w:t>
        </w:r>
      </w:hyperlink>
      <w:r>
        <w:rPr>
          <w:rStyle w:val="NotedebasdepageCar"/>
          <w:rFonts w:asciiTheme="majorHAnsi" w:hAnsiTheme="majorHAnsi" w:cs="Arial"/>
        </w:rPr>
        <w:t xml:space="preserve"> articles 4 et 5 ;</w:t>
      </w:r>
    </w:p>
  </w:footnote>
  <w:footnote w:id="43">
    <w:p w:rsidR="00F04EEF" w:rsidRDefault="0099351E">
      <w:pPr>
        <w:pStyle w:val="Notedebasdepage"/>
      </w:pPr>
      <w:r>
        <w:rPr>
          <w:rStyle w:val="NotedebasdepageCar"/>
          <w:rFonts w:asciiTheme="majorHAnsi" w:hAnsiTheme="majorHAnsi" w:cs="Arial"/>
          <w:vertAlign w:val="superscript"/>
        </w:rPr>
        <w:footnoteRef/>
      </w:r>
      <w:r>
        <w:rPr>
          <w:rStyle w:val="NotedebasdepageCar"/>
          <w:rFonts w:asciiTheme="majorHAnsi" w:hAnsiTheme="majorHAnsi" w:cs="Arial"/>
        </w:rPr>
        <w:t xml:space="preserve"> Pour les missions, la composition et le fonctionnement des plates-formes de concertation entre les acteurs de l’Enseignement et ceux de l’Aide à la jeunesse, instituées par zone : v. articles 6 à 10 du décret précité.</w:t>
      </w:r>
    </w:p>
  </w:footnote>
  <w:footnote w:id="44">
    <w:p w:rsidR="00F04EEF" w:rsidRDefault="0099351E">
      <w:pPr>
        <w:pStyle w:val="Notedebasdepage"/>
      </w:pPr>
      <w:r>
        <w:rPr>
          <w:rStyle w:val="Caractresdenotedebasdepage"/>
        </w:rPr>
        <w:footnoteRef/>
      </w:r>
      <w:r>
        <w:t xml:space="preserve"> Voir </w:t>
      </w:r>
      <w:hyperlink w:anchor="_Annexe_10_:_1" w:history="1">
        <w:r>
          <w:rPr>
            <w:rStyle w:val="Lienhypertexte"/>
            <w:iCs/>
          </w:rPr>
          <w:t>annexe 7</w:t>
        </w:r>
      </w:hyperlink>
      <w:r>
        <w:rPr>
          <w:rStyle w:val="Lienhypertexte"/>
          <w:iCs/>
        </w:rPr>
        <w:t> </w:t>
      </w:r>
      <w:r>
        <w:t>: coordonnées des conseillers de l’Aide à la jeunesse.</w:t>
      </w:r>
    </w:p>
  </w:footnote>
  <w:footnote w:id="45">
    <w:p w:rsidR="00F04EEF" w:rsidRDefault="0099351E">
      <w:pPr>
        <w:pStyle w:val="Notedebasdepage"/>
      </w:pPr>
      <w:r>
        <w:rPr>
          <w:rStyle w:val="Caractresdenotedebasdepage"/>
        </w:rPr>
        <w:footnoteRef/>
      </w:r>
      <w:r>
        <w:rPr>
          <w:vertAlign w:val="superscript"/>
        </w:rPr>
        <w:t xml:space="preserve"> </w:t>
      </w:r>
      <w:r>
        <w:t xml:space="preserve">Un modèle de formulaire de signalement de l’élève mineur par Le (La) </w:t>
      </w:r>
      <w:proofErr w:type="gramStart"/>
      <w:r>
        <w:t>chef(</w:t>
      </w:r>
      <w:proofErr w:type="gramEnd"/>
      <w:r>
        <w:t xml:space="preserve">fe) d’établissement au conseiller de l’Aide à la Jeunesse est </w:t>
      </w:r>
      <w:r>
        <w:rPr>
          <w:u w:val="single"/>
        </w:rPr>
        <w:t>proposé</w:t>
      </w:r>
      <w:r>
        <w:t xml:space="preserve"> en </w:t>
      </w:r>
      <w:hyperlink w:anchor="_Annexe_8_:_1" w:history="1">
        <w:r>
          <w:rPr>
            <w:rStyle w:val="Lienhypertexte"/>
            <w:iCs/>
          </w:rPr>
          <w:t>annexe 6</w:t>
        </w:r>
      </w:hyperlink>
      <w:r>
        <w:t>.</w:t>
      </w:r>
    </w:p>
  </w:footnote>
  <w:footnote w:id="46">
    <w:p w:rsidR="00F04EEF" w:rsidRDefault="0099351E">
      <w:pPr>
        <w:pStyle w:val="Notedebasdepage"/>
      </w:pPr>
      <w:r>
        <w:rPr>
          <w:rStyle w:val="Caractresdenotedebasdepage"/>
        </w:rPr>
        <w:footnoteRef/>
      </w:r>
      <w:r>
        <w:t xml:space="preserve"> Voir la </w:t>
      </w:r>
      <w:hyperlink r:id="rId22" w:history="1">
        <w:r>
          <w:rPr>
            <w:rStyle w:val="Lienhypertexte"/>
            <w:iCs/>
          </w:rPr>
          <w:t>Circulaire n°2214 du 29 février 2008 relative aux bonnes pratiques de collaboration et de communication entre les secteurs de l’enseignement au sens large et de l’aide à la jeunesse</w:t>
        </w:r>
      </w:hyperlink>
      <w:r>
        <w:t>.</w:t>
      </w:r>
    </w:p>
  </w:footnote>
  <w:footnote w:id="47">
    <w:p w:rsidR="00F04EEF" w:rsidRDefault="0099351E">
      <w:pPr>
        <w:pStyle w:val="Notedebasdepage"/>
      </w:pPr>
      <w:r>
        <w:rPr>
          <w:rStyle w:val="Appelnotedebasdep"/>
        </w:rPr>
        <w:footnoteRef/>
      </w:r>
      <w:r>
        <w:t xml:space="preserve"> V. la </w:t>
      </w:r>
      <w:hyperlink r:id="rId23" w:history="1">
        <w:r>
          <w:rPr>
            <w:rStyle w:val="Lienhypertexte"/>
            <w:iCs/>
          </w:rPr>
          <w:t>circulaire n°3974 du 25 avril 2012</w:t>
        </w:r>
      </w:hyperlink>
      <w:r>
        <w:t xml:space="preserve"> « Règlement d’Ordre Intérieur (R.O.I.) – Guide pratique »</w:t>
      </w:r>
    </w:p>
  </w:footnote>
  <w:footnote w:id="48">
    <w:p w:rsidR="00F04EEF" w:rsidRDefault="00F42422">
      <w:pPr>
        <w:pStyle w:val="Notedebasdepage"/>
      </w:pPr>
      <w:hyperlink r:id="rId24" w:history="1">
        <w:r w:rsidR="0099351E">
          <w:rPr>
            <w:rStyle w:val="Lienhypertexte"/>
            <w:vertAlign w:val="superscript"/>
          </w:rPr>
          <w:footnoteRef/>
        </w:r>
        <w:r w:rsidR="0099351E">
          <w:rPr>
            <w:rStyle w:val="Lienhypertexte"/>
            <w:rFonts w:cs="Arial"/>
          </w:rPr>
          <w:t xml:space="preserve"> </w:t>
        </w:r>
        <w:r w:rsidR="0099351E">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49">
    <w:p w:rsidR="00F04EEF" w:rsidRDefault="0099351E">
      <w:pPr>
        <w:jc w:val="both"/>
        <w:rPr>
          <w:sz w:val="16"/>
          <w:szCs w:val="16"/>
          <w:lang w:val="fr-FR"/>
        </w:rPr>
      </w:pPr>
      <w:r>
        <w:rPr>
          <w:rStyle w:val="Caractresdenotedebasdepage"/>
          <w:szCs w:val="16"/>
        </w:rPr>
        <w:footnoteRef/>
      </w:r>
      <w:r>
        <w:rPr>
          <w:rStyle w:val="Caractresdenotedebasdepage"/>
          <w:rFonts w:cs="Arial"/>
          <w:szCs w:val="16"/>
        </w:rPr>
        <w:t xml:space="preserve"> </w:t>
      </w:r>
      <w:r>
        <w:rPr>
          <w:rStyle w:val="NotedebasdepageCar"/>
          <w:rFonts w:asciiTheme="majorHAnsi" w:hAnsiTheme="majorHAnsi" w:cs="Arial"/>
          <w:iCs/>
          <w:sz w:val="16"/>
          <w:szCs w:val="16"/>
        </w:rPr>
        <w:t>Modèles à utiliser pour les écoles organisées (pouvant servir d’exemple pour les écoles subventionnées)</w:t>
      </w:r>
      <w:r>
        <w:rPr>
          <w:rFonts w:cs="Arial"/>
          <w:sz w:val="16"/>
          <w:szCs w:val="16"/>
        </w:rPr>
        <w:t xml:space="preserve"> : </w:t>
      </w:r>
      <w:r>
        <w:rPr>
          <w:rStyle w:val="NotedebasdepageCar"/>
          <w:rFonts w:asciiTheme="majorHAnsi" w:hAnsiTheme="majorHAnsi" w:cs="Arial"/>
          <w:sz w:val="16"/>
          <w:szCs w:val="16"/>
        </w:rPr>
        <w:t xml:space="preserve">Un schéma de la procédure se trouve en </w:t>
      </w:r>
      <w:hyperlink w:anchor="_Annexe_13_:_1" w:history="1">
        <w:r>
          <w:rPr>
            <w:rStyle w:val="Lienhypertexte"/>
            <w:rFonts w:cs="Arial"/>
            <w:sz w:val="16"/>
            <w:szCs w:val="16"/>
            <w:lang w:val="fr-FR"/>
          </w:rPr>
          <w:t>annexe 13</w:t>
        </w:r>
      </w:hyperlink>
      <w:r>
        <w:rPr>
          <w:rStyle w:val="NotedebasdepageCar"/>
          <w:rFonts w:asciiTheme="majorHAnsi" w:hAnsiTheme="majorHAnsi" w:cs="Arial"/>
          <w:sz w:val="16"/>
          <w:szCs w:val="16"/>
        </w:rPr>
        <w:t xml:space="preserve">, des modèles de lettres de convocation des parents pour l’audition en </w:t>
      </w:r>
      <w:hyperlink w:anchor="_Annexe_14_:" w:history="1">
        <w:r>
          <w:rPr>
            <w:rStyle w:val="Lienhypertexte"/>
            <w:rFonts w:cs="Arial"/>
            <w:sz w:val="16"/>
            <w:szCs w:val="16"/>
            <w:lang w:val="fr-FR"/>
          </w:rPr>
          <w:t>annexe 14</w:t>
        </w:r>
      </w:hyperlink>
      <w:r>
        <w:rPr>
          <w:rStyle w:val="NotedebasdepageCar"/>
          <w:rFonts w:asciiTheme="majorHAnsi" w:hAnsiTheme="majorHAnsi" w:cs="Arial"/>
          <w:sz w:val="16"/>
          <w:szCs w:val="16"/>
        </w:rPr>
        <w:t xml:space="preserve"> et d’exclusion ou de refus de réinscription  en </w:t>
      </w:r>
      <w:hyperlink w:anchor="_Annexe_15_:_1" w:history="1">
        <w:r>
          <w:rPr>
            <w:rStyle w:val="Lienhypertexte"/>
            <w:rFonts w:cs="Arial"/>
            <w:sz w:val="16"/>
            <w:szCs w:val="16"/>
            <w:lang w:val="fr-FR"/>
          </w:rPr>
          <w:t>annexe 15</w:t>
        </w:r>
      </w:hyperlink>
      <w:r>
        <w:rPr>
          <w:rStyle w:val="NotedebasdepageCar"/>
          <w:rFonts w:asciiTheme="majorHAnsi" w:hAnsiTheme="majorHAnsi" w:cs="Arial"/>
          <w:sz w:val="16"/>
          <w:szCs w:val="16"/>
        </w:rPr>
        <w:t xml:space="preserve"> ou </w:t>
      </w:r>
      <w:hyperlink w:anchor="_Annexe_16_:_1" w:history="1">
        <w:r>
          <w:rPr>
            <w:rStyle w:val="Lienhypertexte"/>
            <w:rFonts w:cs="Arial"/>
            <w:sz w:val="16"/>
            <w:szCs w:val="16"/>
            <w:lang w:val="fr-FR"/>
          </w:rPr>
          <w:t>16</w:t>
        </w:r>
      </w:hyperlink>
      <w:r>
        <w:rPr>
          <w:rStyle w:val="NotedebasdepageCar"/>
          <w:rFonts w:asciiTheme="majorHAnsi" w:hAnsiTheme="majorHAnsi" w:cs="Arial"/>
          <w:sz w:val="16"/>
          <w:szCs w:val="16"/>
        </w:rPr>
        <w:t xml:space="preserve">, un modèle de procès-verbal de conseil de classe en </w:t>
      </w:r>
      <w:hyperlink w:anchor="_Annexe_17_:" w:history="1">
        <w:r>
          <w:rPr>
            <w:rStyle w:val="Lienhypertexte"/>
            <w:rFonts w:cs="Arial"/>
            <w:sz w:val="16"/>
            <w:szCs w:val="16"/>
            <w:lang w:val="fr-FR"/>
          </w:rPr>
          <w:t>annexe 17</w:t>
        </w:r>
      </w:hyperlink>
      <w:r>
        <w:rPr>
          <w:rStyle w:val="Lienhypertexte"/>
          <w:rFonts w:cs="Arial"/>
          <w:sz w:val="16"/>
          <w:szCs w:val="16"/>
          <w:lang w:val="fr-FR"/>
        </w:rPr>
        <w:t>.</w:t>
      </w:r>
    </w:p>
  </w:footnote>
  <w:footnote w:id="50">
    <w:p w:rsidR="00F04EEF" w:rsidRDefault="0099351E">
      <w:pPr>
        <w:pStyle w:val="Notedebasdepage"/>
      </w:pPr>
      <w:r>
        <w:rPr>
          <w:rStyle w:val="Caractresdenotedebasdepage"/>
        </w:rPr>
        <w:footnoteRef/>
      </w:r>
      <w:r>
        <w:t xml:space="preserve"> Précis = date, heure, fait(s) exact(s) et justification(s) légale(s).</w:t>
      </w:r>
    </w:p>
  </w:footnote>
  <w:footnote w:id="51">
    <w:p w:rsidR="00F04EEF" w:rsidRDefault="0099351E">
      <w:pPr>
        <w:pStyle w:val="Notedebasdepage"/>
      </w:pPr>
      <w:r>
        <w:rPr>
          <w:rStyle w:val="Caractresdenotedebasdepage"/>
        </w:rPr>
        <w:footnoteRef/>
      </w:r>
      <w:r>
        <w:t xml:space="preserve"> Voir </w:t>
      </w:r>
      <w:hyperlink w:anchor="_Annexe_18_:_1" w:history="1">
        <w:r>
          <w:rPr>
            <w:rStyle w:val="Lienhypertexte"/>
          </w:rPr>
          <w:t>annexe 15</w:t>
        </w:r>
      </w:hyperlink>
      <w:r>
        <w:t xml:space="preserve"> pour l’enseignement organisé par la Fédération Wallonie-Bruxelles.</w:t>
      </w:r>
    </w:p>
  </w:footnote>
  <w:footnote w:id="52">
    <w:p w:rsidR="00F04EEF" w:rsidRDefault="0099351E">
      <w:pPr>
        <w:pStyle w:val="Notedebasdepage"/>
      </w:pPr>
      <w:r>
        <w:rPr>
          <w:rStyle w:val="Caractresdenotedebasdepage"/>
        </w:rPr>
        <w:footnoteRef/>
      </w:r>
      <w:r>
        <w:rPr>
          <w:rStyle w:val="Caractresdenotedebasdepage"/>
        </w:rPr>
        <w:t xml:space="preserve">  </w:t>
      </w:r>
      <w:r>
        <w:t xml:space="preserve">Voir </w:t>
      </w:r>
      <w:hyperlink w:anchor="annexe18" w:history="1">
        <w:r>
          <w:rPr>
            <w:rStyle w:val="Lienhypertexte"/>
          </w:rPr>
          <w:t>annexe 18</w:t>
        </w:r>
      </w:hyperlink>
      <w:r>
        <w:t>.</w:t>
      </w:r>
    </w:p>
  </w:footnote>
  <w:footnote w:id="53">
    <w:p w:rsidR="00F04EEF" w:rsidRDefault="0099351E">
      <w:pPr>
        <w:pStyle w:val="Notedebasdepage"/>
      </w:pPr>
      <w:r>
        <w:rPr>
          <w:rStyle w:val="Appelnotedebasdep"/>
        </w:rPr>
        <w:footnoteRef/>
      </w:r>
      <w:r>
        <w:t xml:space="preserve"> Circulaire n°3783 du 28 octobre 2011 « </w:t>
      </w:r>
      <w:hyperlink r:id="rId25" w:history="1">
        <w:r>
          <w:rPr>
            <w:rStyle w:val="Lienhypertexte"/>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w:t>
        </w:r>
      </w:hyperlink>
      <w:r>
        <w:t xml:space="preserve"> »  </w:t>
      </w:r>
    </w:p>
  </w:footnote>
  <w:footnote w:id="54">
    <w:p w:rsidR="00F04EEF" w:rsidRDefault="0099351E">
      <w:pPr>
        <w:pStyle w:val="Notedebasdepage"/>
      </w:pPr>
      <w:r>
        <w:rPr>
          <w:rStyle w:val="Appelnotedebasdep"/>
        </w:rPr>
        <w:footnoteRef/>
      </w:r>
      <w:r>
        <w:t xml:space="preserve"> Circulaire, op cit.  </w:t>
      </w:r>
    </w:p>
  </w:footnote>
  <w:footnote w:id="55">
    <w:p w:rsidR="00F04EEF" w:rsidRDefault="0099351E">
      <w:pPr>
        <w:pStyle w:val="Notedebasdepage"/>
      </w:pPr>
      <w:r>
        <w:rPr>
          <w:rStyle w:val="Caractresdenotedebasdepage"/>
        </w:rPr>
        <w:footnoteRef/>
      </w:r>
      <w:r>
        <w:t xml:space="preserve"> Il s’agit d’une recommandation sans base légale.</w:t>
      </w:r>
    </w:p>
  </w:footnote>
  <w:footnote w:id="56">
    <w:p w:rsidR="00F04EEF" w:rsidRDefault="0099351E">
      <w:pPr>
        <w:pStyle w:val="Notedebasdepage"/>
      </w:pPr>
      <w:r>
        <w:rPr>
          <w:rStyle w:val="Caractresdenotedebasdepage"/>
        </w:rPr>
        <w:footnoteRef/>
      </w:r>
      <w:r>
        <w:t xml:space="preserve"> Voir </w:t>
      </w:r>
      <w:hyperlink w:anchor="_Annexe_16_:_1" w:history="1">
        <w:r>
          <w:rPr>
            <w:rStyle w:val="Lienhypertexte"/>
            <w:iCs/>
          </w:rPr>
          <w:t>annexe 16</w:t>
        </w:r>
      </w:hyperlink>
      <w:r>
        <w:t xml:space="preserve"> (Enseignement organisé par la Fédération Wallonie-Bruxelles).</w:t>
      </w:r>
    </w:p>
  </w:footnote>
  <w:footnote w:id="57">
    <w:p w:rsidR="00F04EEF" w:rsidRDefault="0099351E">
      <w:pPr>
        <w:pStyle w:val="Notedebasdepage"/>
      </w:pPr>
      <w:r>
        <w:rPr>
          <w:rStyle w:val="Caractresdenotedebasdepage"/>
        </w:rPr>
        <w:footnoteRef/>
      </w:r>
      <w:r>
        <w:t xml:space="preserve"> Voir </w:t>
      </w:r>
      <w:hyperlink w:anchor="_Annexe_15_:_1" w:history="1">
        <w:r>
          <w:rPr>
            <w:rStyle w:val="Lienhypertexte"/>
          </w:rPr>
          <w:t>annexe 15</w:t>
        </w:r>
      </w:hyperlink>
    </w:p>
  </w:footnote>
  <w:footnote w:id="58">
    <w:p w:rsidR="00F04EEF" w:rsidRDefault="0099351E">
      <w:pPr>
        <w:pStyle w:val="Notedebasdepage"/>
      </w:pPr>
      <w:r>
        <w:rPr>
          <w:rStyle w:val="Caractresdenotedebasdepage"/>
        </w:rPr>
        <w:footnoteRef/>
      </w:r>
      <w:r>
        <w:t xml:space="preserve"> Courrier à transmettre à la Direction générale de l’enseignement obligatoire, Ministère de la Fédération Wallonie-Bruxelles, Rue Adolphe Lavallée n°1 – 1080 BRUXELLES.</w:t>
      </w:r>
    </w:p>
  </w:footnote>
  <w:footnote w:id="59">
    <w:p w:rsidR="00F04EEF" w:rsidRDefault="0099351E">
      <w:pPr>
        <w:pStyle w:val="Notedebasdepage"/>
      </w:pPr>
      <w:r>
        <w:rPr>
          <w:rStyle w:val="Caractresdenotedebasdepage"/>
        </w:rPr>
        <w:footnoteRef/>
      </w:r>
      <w:r>
        <w:t xml:space="preserve"> Courrier à transmettre à la Direction générale de l’enseignement obligatoire, Ministère de la Fédération Wallonie-Bruxelles, Rue Adolphe Lavallée n°1 – 1080 BRUXELLES.</w:t>
      </w:r>
    </w:p>
  </w:footnote>
  <w:footnote w:id="60">
    <w:p w:rsidR="00F04EEF" w:rsidRDefault="0099351E">
      <w:pPr>
        <w:pStyle w:val="Notedebasdepage"/>
      </w:pPr>
      <w:r>
        <w:rPr>
          <w:rStyle w:val="Caractresdenotedebasdepage"/>
        </w:rPr>
        <w:footnoteRef/>
      </w:r>
      <w:r>
        <w:t xml:space="preserve"> </w:t>
      </w:r>
      <w:hyperlink r:id="rId26" w:history="1">
        <w:r>
          <w:rPr>
            <w:rStyle w:val="Lienhypertexte"/>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t xml:space="preserve">; </w:t>
      </w:r>
    </w:p>
    <w:p w:rsidR="00F04EEF" w:rsidRDefault="00F42422">
      <w:pPr>
        <w:pStyle w:val="Notedebasdepage"/>
      </w:pPr>
      <w:hyperlink r:id="rId27" w:history="1">
        <w:r w:rsidR="0099351E">
          <w:rPr>
            <w:rStyle w:val="Lienhypertexte"/>
            <w:rFonts w:cs="Arial"/>
          </w:rPr>
          <w:t>Circulaire n°2327 du 02 juin 2008 relative aux dispositions communes en matière de faits graves devant figurer dans le règlement d’ordre intérieur de chaque établissement subventionné ou organisé par la Communauté française.</w:t>
        </w:r>
      </w:hyperlink>
    </w:p>
  </w:footnote>
  <w:footnote w:id="61">
    <w:p w:rsidR="00F04EEF" w:rsidRDefault="0099351E">
      <w:pPr>
        <w:pStyle w:val="Notedebasdepage"/>
      </w:pPr>
      <w:r>
        <w:rPr>
          <w:rStyle w:val="Caractresdenotedebasdepage"/>
        </w:rPr>
        <w:footnoteRef/>
      </w:r>
      <w:r>
        <w:t xml:space="preserve"> 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p>
  </w:footnote>
  <w:footnote w:id="62">
    <w:p w:rsidR="00F04EEF" w:rsidRDefault="0099351E">
      <w:pPr>
        <w:pStyle w:val="Notedebasdepage"/>
      </w:pPr>
      <w:r>
        <w:rPr>
          <w:rStyle w:val="Appelnotedebasdep"/>
        </w:rPr>
        <w:footnoteRef/>
      </w:r>
      <w:r>
        <w:t xml:space="preserve"> </w:t>
      </w:r>
      <w:hyperlink r:id="rId28" w:history="1">
        <w:r>
          <w:rPr>
            <w:rStyle w:val="Lienhypertexte"/>
            <w:rFonts w:asciiTheme="majorHAnsi" w:hAnsiTheme="majorHAnsi" w:cs="Arial"/>
            <w:lang w:val="fr-FR"/>
          </w:rPr>
          <w:t>Décret du 21 novembre 2013</w:t>
        </w:r>
      </w:hyperlink>
      <w:r>
        <w:rPr>
          <w:rStyle w:val="NotedebasdepageCar"/>
          <w:rFonts w:asciiTheme="majorHAnsi" w:hAnsiTheme="majorHAnsi" w:cs="Arial"/>
        </w:rPr>
        <w:t xml:space="preserve"> organisant divers dispositifs scolaires favorisant le bien-être des jeunes à l’école, l’accrochage scolaire, la prévention de la violence à l’école et l’accompagnement des démarches d’orientation scolaire, article 6 §1</w:t>
      </w:r>
      <w:r>
        <w:rPr>
          <w:rStyle w:val="NotedebasdepageCar"/>
          <w:rFonts w:asciiTheme="majorHAnsi" w:hAnsiTheme="majorHAnsi" w:cs="Arial"/>
          <w:vertAlign w:val="superscript"/>
        </w:rPr>
        <w:t>er</w:t>
      </w:r>
      <w:r>
        <w:rPr>
          <w:rStyle w:val="NotedebasdepageCar"/>
          <w:rFonts w:asciiTheme="majorHAnsi" w:hAnsiTheme="majorHAnsi" w:cs="Arial"/>
        </w:rPr>
        <w:t xml:space="preserve"> et §2. </w:t>
      </w:r>
    </w:p>
  </w:footnote>
  <w:footnote w:id="63">
    <w:p w:rsidR="00F04EEF" w:rsidRDefault="0099351E">
      <w:pPr>
        <w:pStyle w:val="Notedebasdepage"/>
      </w:pPr>
      <w:r>
        <w:rPr>
          <w:rStyle w:val="Appelnotedebasdep"/>
        </w:rPr>
        <w:footnoteRef/>
      </w:r>
      <w:r>
        <w:t>Mesure du plan PAGAS (</w:t>
      </w:r>
      <w:r>
        <w:rPr>
          <w:b/>
        </w:rPr>
        <w:t>P</w:t>
      </w:r>
      <w:r>
        <w:t>lan d’</w:t>
      </w:r>
      <w:r>
        <w:rPr>
          <w:b/>
        </w:rPr>
        <w:t>A</w:t>
      </w:r>
      <w:r>
        <w:t xml:space="preserve">ctions visant à </w:t>
      </w:r>
      <w:r>
        <w:rPr>
          <w:b/>
        </w:rPr>
        <w:t>G</w:t>
      </w:r>
      <w:r>
        <w:t xml:space="preserve">arantir les conditions d’un </w:t>
      </w:r>
      <w:r>
        <w:rPr>
          <w:b/>
        </w:rPr>
        <w:t>A</w:t>
      </w:r>
      <w:r>
        <w:t xml:space="preserve">pprentissage </w:t>
      </w:r>
      <w:r>
        <w:rPr>
          <w:b/>
        </w:rPr>
        <w:t>S</w:t>
      </w:r>
      <w:r>
        <w:t>erein)</w:t>
      </w:r>
      <w:r>
        <w:rPr>
          <w:iCs/>
        </w:rPr>
        <w:t>, approuvé par le Gouvernement lors de sa séance du 26 mars 2009.</w:t>
      </w:r>
      <w:r>
        <w:t xml:space="preserve"> </w:t>
      </w:r>
    </w:p>
  </w:footnote>
  <w:footnote w:id="64">
    <w:p w:rsidR="00F04EEF" w:rsidRDefault="0099351E">
      <w:pPr>
        <w:pStyle w:val="Notedebasdepage"/>
      </w:pPr>
      <w:r>
        <w:rPr>
          <w:rStyle w:val="Appelnotedebasdep"/>
        </w:rPr>
        <w:footnoteRef/>
      </w:r>
      <w:r>
        <w:rPr>
          <w:rStyle w:val="Appelnotedebasdep"/>
        </w:rPr>
        <w:t xml:space="preserve"> </w:t>
      </w:r>
      <w:hyperlink r:id="rId29" w:history="1">
        <w:r>
          <w:rPr>
            <w:rStyle w:val="Lienhypertexte"/>
          </w:rPr>
          <w:t>Circulaire n°3783 du 28 octobre 2011 «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footnote>
  <w:footnote w:id="65">
    <w:p w:rsidR="00F04EEF" w:rsidRDefault="00F04EEF">
      <w:pPr>
        <w:tabs>
          <w:tab w:val="left" w:pos="1965"/>
        </w:tabs>
        <w:spacing w:line="200" w:lineRule="exact"/>
        <w:jc w:val="both"/>
        <w:rPr>
          <w:sz w:val="16"/>
          <w:szCs w:val="16"/>
        </w:rPr>
      </w:pPr>
    </w:p>
  </w:footnote>
  <w:footnote w:id="66">
    <w:p w:rsidR="00F04EEF" w:rsidRDefault="0099351E">
      <w:pPr>
        <w:pStyle w:val="Notedebasdepage"/>
      </w:pPr>
      <w:r>
        <w:rPr>
          <w:rStyle w:val="Caractresdenotedebasdepage"/>
        </w:rPr>
        <w:footnoteRef/>
      </w:r>
      <w:r>
        <w:t xml:space="preserve"> </w:t>
      </w:r>
      <w:hyperlink r:id="rId30" w:history="1">
        <w:r>
          <w:rPr>
            <w:rStyle w:val="Lienhypertexte"/>
            <w:rFonts w:cs="Arial"/>
          </w:rPr>
          <w:t xml:space="preserve">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w:t>
        </w:r>
        <w:proofErr w:type="gramStart"/>
        <w:r>
          <w:rPr>
            <w:rStyle w:val="Lienhypertexte"/>
            <w:rFonts w:cs="Arial"/>
          </w:rPr>
          <w:t>la</w:t>
        </w:r>
        <w:proofErr w:type="gramEnd"/>
        <w:r>
          <w:rPr>
            <w:rStyle w:val="Lienhypertexte"/>
            <w:rFonts w:cs="Arial"/>
          </w:rPr>
          <w:t xml:space="preserve"> circulaire n° 1721 du cabinet de Madame la Ministre ARENA du 4 janvier 2007</w:t>
        </w:r>
      </w:hyperlink>
      <w:r>
        <w:t>.</w:t>
      </w:r>
    </w:p>
  </w:footnote>
  <w:footnote w:id="67">
    <w:p w:rsidR="00F04EEF" w:rsidRDefault="0099351E">
      <w:pPr>
        <w:pStyle w:val="Notedebasdepage"/>
      </w:pPr>
      <w:r>
        <w:rPr>
          <w:rStyle w:val="Caractresdenotedebasdepage"/>
        </w:rPr>
        <w:footnoteRef/>
      </w:r>
      <w:r>
        <w:t xml:space="preserve"> Pour une meilleure compréhension de ce concept tel qu’il est utilisé en Belgique par les autorités, voyez la circulaire CP 1 du 27 mai 2003 concernant la définition de l’interprétation du Community policing applicable au service de police intégré, structuré à deux niveaux (M.B. 9 juillet 2003) ainsi que les documents disponibles sur le site </w:t>
      </w:r>
      <w:hyperlink r:id="rId31" w:history="1">
        <w:r>
          <w:rPr>
            <w:rStyle w:val="Lienhypertexte"/>
          </w:rPr>
          <w:t>www.infozone.be</w:t>
        </w:r>
      </w:hyperlink>
      <w:r>
        <w:t>.</w:t>
      </w:r>
    </w:p>
  </w:footnote>
  <w:footnote w:id="68">
    <w:p w:rsidR="00F04EEF" w:rsidRDefault="0099351E">
      <w:pPr>
        <w:pStyle w:val="Notedebasdepage"/>
      </w:pPr>
      <w:r>
        <w:rPr>
          <w:rStyle w:val="Caractresdenotedebasdepage"/>
        </w:rPr>
        <w:footnoteRef/>
      </w:r>
      <w:r>
        <w:t xml:space="preserve"> Article 29, alinéa 1</w:t>
      </w:r>
      <w:r>
        <w:rPr>
          <w:vertAlign w:val="superscript"/>
        </w:rPr>
        <w:t>er </w:t>
      </w:r>
      <w:r>
        <w:t>: « Toute autorité constituée, tout fonctionnaire ou officier public, qui, dans l’exercice de ses fonctions, acquerra la connaissance d’un crime ou d’un délit, sera tenu d’en donner avis sur-le-champ au procureur du Roi près le tribunal dans le ressort duquel ce crime ou délit aura été commis ou dans lequel l’inculpé pourrait être trouvé, et de transmettre à ce magistrat tous les renseignements, procès-verbaux et actes qui y sont relatifs ».</w:t>
      </w:r>
    </w:p>
    <w:p w:rsidR="00F04EEF" w:rsidRDefault="0099351E">
      <w:pPr>
        <w:pStyle w:val="Notedebasdepage"/>
      </w:pPr>
      <w:r>
        <w:t>Article 30 : « Toute personne qui aura été témoin d’un attentat, soit contre la sûreté publique, soit contre la vie ou la propriété d’un individu, sera pareillement tenue d’en donner avis au procureur du Roi, soit du lieu du crime ou délit, soit du lieu où l’inculpé pourra être trouvé ». On relèvera en outre que les modalités de la dénonciation sont déterminées par l’article 31 du même code.</w:t>
      </w:r>
    </w:p>
  </w:footnote>
  <w:footnote w:id="69">
    <w:p w:rsidR="00F04EEF" w:rsidRDefault="0099351E">
      <w:pPr>
        <w:jc w:val="both"/>
        <w:rPr>
          <w:sz w:val="16"/>
          <w:szCs w:val="16"/>
        </w:rPr>
      </w:pPr>
      <w:r>
        <w:rPr>
          <w:rStyle w:val="Caractresdenotedebasdepage"/>
          <w:szCs w:val="16"/>
        </w:rPr>
        <w:footnoteRef/>
      </w:r>
      <w:r>
        <w:rPr>
          <w:rFonts w:cs="Arial"/>
          <w:sz w:val="16"/>
          <w:szCs w:val="16"/>
        </w:rPr>
        <w:t xml:space="preserve"> </w:t>
      </w:r>
      <w:r>
        <w:rPr>
          <w:rFonts w:cs="Arial"/>
          <w:iCs/>
          <w:sz w:val="16"/>
          <w:szCs w:val="16"/>
        </w:rPr>
        <w:t xml:space="preserve">Vous trouverez un modèle de base de protocole de collaboration avec les services de police en </w:t>
      </w:r>
      <w:hyperlink w:anchor="_Annexe_22_:" w:history="1">
        <w:r>
          <w:rPr>
            <w:rStyle w:val="Lienhypertexte"/>
            <w:rFonts w:cs="Arial"/>
            <w:iCs/>
            <w:sz w:val="16"/>
            <w:szCs w:val="16"/>
          </w:rPr>
          <w:t>annexe 15</w:t>
        </w:r>
      </w:hyperlink>
      <w:r>
        <w:rPr>
          <w:rFonts w:cs="Arial"/>
          <w:iCs/>
          <w:sz w:val="16"/>
          <w:szCs w:val="16"/>
        </w:rPr>
        <w:t>.</w:t>
      </w:r>
    </w:p>
  </w:footnote>
  <w:footnote w:id="70">
    <w:p w:rsidR="00F04EEF" w:rsidRDefault="0099351E">
      <w:pPr>
        <w:pStyle w:val="Notedebasdepage"/>
      </w:pPr>
      <w:r>
        <w:rPr>
          <w:rStyle w:val="Caractresdenotedebasdepage"/>
        </w:rPr>
        <w:footnoteRef/>
      </w:r>
      <w:r>
        <w:t xml:space="preserve"> A l’attention de Monsieur AERTS-BANCKEN, Directeur général, Direction Générale de l’Enseignement Obligatoire, rue Adolphe Lavallée, 1 à 1080   BRUXELLES.</w:t>
      </w:r>
    </w:p>
  </w:footnote>
  <w:footnote w:id="71">
    <w:p w:rsidR="00F04EEF" w:rsidRDefault="0099351E">
      <w:pPr>
        <w:pStyle w:val="Notedebasdepage"/>
      </w:pPr>
      <w:r>
        <w:rPr>
          <w:rStyle w:val="Appelnotedebasdep"/>
        </w:rPr>
        <w:footnoteRef/>
      </w:r>
      <w:r>
        <w:t xml:space="preserve"> V. </w:t>
      </w:r>
      <w:r>
        <w:rPr>
          <w:rStyle w:val="Lienhypertexte"/>
        </w:rPr>
        <w:t xml:space="preserve"> Circulaire n°7136 du 17/05/2019 relative à la mise en œuvre de la gratuité scolaire au niveau secondaire</w:t>
      </w:r>
    </w:p>
  </w:footnote>
  <w:footnote w:id="72">
    <w:p w:rsidR="00F04EEF" w:rsidRDefault="0099351E">
      <w:pPr>
        <w:jc w:val="both"/>
        <w:rPr>
          <w:sz w:val="16"/>
          <w:szCs w:val="16"/>
        </w:rPr>
      </w:pPr>
      <w:r>
        <w:rPr>
          <w:rStyle w:val="Appelnotedebasdep"/>
          <w:rFonts w:eastAsia="Times New Roman"/>
          <w:sz w:val="16"/>
          <w:szCs w:val="16"/>
        </w:rPr>
        <w:footnoteRef/>
      </w:r>
      <w:r>
        <w:rPr>
          <w:rStyle w:val="Appelnotedebasdep"/>
          <w:rFonts w:eastAsia="Times New Roman"/>
          <w:sz w:val="16"/>
          <w:szCs w:val="16"/>
        </w:rPr>
        <w:t xml:space="preserve"> </w:t>
      </w:r>
      <w:r>
        <w:rPr>
          <w:sz w:val="16"/>
          <w:szCs w:val="16"/>
        </w:rPr>
        <w:t xml:space="preserve">Deux exceptions : l’une pour les élèves non soumis à l’obligation scolaire et non ressortissants des CE (cf. article 59, §1er, de la loi concernant l’enseignement du 21/06/1985) et la seconde pour les élèves en 7e année de l’enseignement secondaire général (article 12, §1er bis de </w:t>
      </w:r>
      <w:hyperlink r:id="rId32" w:history="1">
        <w:r>
          <w:rPr>
            <w:rStyle w:val="Lienhypertexte"/>
            <w:sz w:val="16"/>
            <w:szCs w:val="16"/>
          </w:rPr>
          <w:t>la loi dite du Pacte scolaire du 29/05/59</w:t>
        </w:r>
      </w:hyperlink>
      <w:r>
        <w:rPr>
          <w:sz w:val="16"/>
          <w:szCs w:val="16"/>
        </w:rPr>
        <w:t>).</w:t>
      </w:r>
    </w:p>
  </w:footnote>
  <w:footnote w:id="73">
    <w:p w:rsidR="00F04EEF" w:rsidRDefault="0099351E">
      <w:pPr>
        <w:pStyle w:val="Notedebasdepage"/>
      </w:pPr>
      <w:r>
        <w:rPr>
          <w:rStyle w:val="Appelnotedebasdep"/>
        </w:rPr>
        <w:footnoteRef/>
      </w:r>
      <w:r>
        <w:rPr>
          <w:rStyle w:val="Appelnotedebasdep"/>
        </w:rPr>
        <w:t xml:space="preserve"> </w:t>
      </w:r>
      <w:r>
        <w:t>Décret « Missions » du 24 juillet 1997, article 5, 43°</w:t>
      </w:r>
    </w:p>
  </w:footnote>
  <w:footnote w:id="74">
    <w:p w:rsidR="00F04EEF" w:rsidRDefault="0099351E">
      <w:pPr>
        <w:pStyle w:val="Notedebasdepage"/>
      </w:pPr>
      <w:r>
        <w:rPr>
          <w:rStyle w:val="Appelnotedebasdep"/>
          <w:szCs w:val="18"/>
        </w:rPr>
        <w:footnoteRef/>
      </w:r>
      <w:r>
        <w:t xml:space="preserve"> Le contrôle peut être réalisé par le Service des Vérificateurs comptables, par le Service Général de l’Inspection et par le Service Général du Pilotage des établissements.</w:t>
      </w:r>
    </w:p>
  </w:footnote>
  <w:footnote w:id="75">
    <w:p w:rsidR="00F04EEF" w:rsidRDefault="0099351E">
      <w:pPr>
        <w:pStyle w:val="Notedebasdepage"/>
      </w:pPr>
      <w:r>
        <w:rPr>
          <w:rStyle w:val="Appelnotedebasdep"/>
        </w:rPr>
        <w:footnoteRef/>
      </w:r>
      <w:r>
        <w:t xml:space="preserve"> Article 69 §1 du décret du 24 juillet 1997 définissant les missions prioritaires de l’enseignement fondamental et de l’enseignement secondaire et organisant les structures propres à les atteindre.</w:t>
      </w:r>
    </w:p>
    <w:p w:rsidR="00F04EEF" w:rsidRDefault="0099351E">
      <w:pPr>
        <w:pStyle w:val="Notedebasdepage"/>
      </w:pPr>
      <w:r>
        <w:t>Circulaires n° 4809 du 24 avril 2014 et n° 7014 du 28 février 2019 relatives au Conseil de participation.</w:t>
      </w:r>
    </w:p>
  </w:footnote>
  <w:footnote w:id="76">
    <w:p w:rsidR="00F04EEF" w:rsidRDefault="0099351E">
      <w:pPr>
        <w:pStyle w:val="Notedebasdepage"/>
      </w:pPr>
      <w:r>
        <w:rPr>
          <w:rStyle w:val="Appelnotedebasdep"/>
        </w:rPr>
        <w:footnoteRef/>
      </w:r>
      <w:hyperlink r:id="rId33" w:history="1">
        <w:r>
          <w:t>Décret du 21 novembre 2013 organisant divers dispositifs scolaires favorisant le bien-être des jeunes à l’école, l’accrochage scolaire, la prévention de la violence à l’école et l’accompagnement des démarches d’orientation scolaire</w:t>
        </w:r>
      </w:hyperlink>
      <w:r>
        <w:t xml:space="preserve">, articles 56 à 77. </w:t>
      </w:r>
    </w:p>
  </w:footnote>
  <w:footnote w:id="77">
    <w:p w:rsidR="00F04EEF" w:rsidRDefault="0099351E">
      <w:pPr>
        <w:pStyle w:val="Corpsdetexte21"/>
        <w:jc w:val="both"/>
        <w:rPr>
          <w:sz w:val="16"/>
          <w:szCs w:val="16"/>
        </w:rPr>
      </w:pPr>
      <w:r>
        <w:rPr>
          <w:rStyle w:val="Caractresdenotedebasdepage"/>
          <w:szCs w:val="16"/>
        </w:rPr>
        <w:footnoteRef/>
      </w:r>
      <w:r>
        <w:rPr>
          <w:rFonts w:asciiTheme="majorHAnsi" w:hAnsiTheme="majorHAnsi"/>
          <w:sz w:val="16"/>
          <w:szCs w:val="16"/>
        </w:rPr>
        <w:t xml:space="preserve"> Pour plus d’informations, voir le texte du </w:t>
      </w:r>
      <w:hyperlink r:id="rId34" w:history="1">
        <w:r>
          <w:rPr>
            <w:rStyle w:val="Lienhypertexte"/>
            <w:rFonts w:asciiTheme="majorHAnsi" w:hAnsiTheme="majorHAnsi"/>
            <w:sz w:val="16"/>
            <w:szCs w:val="16"/>
          </w:rPr>
          <w:t>Décret du 11 avril 2014 portant diverses dispositions en matière de statut des membres du personnel de l’enseignement</w:t>
        </w:r>
      </w:hyperlink>
      <w:r>
        <w:rPr>
          <w:sz w:val="16"/>
          <w:szCs w:val="16"/>
        </w:rPr>
        <w:t xml:space="preserve"> </w:t>
      </w:r>
    </w:p>
  </w:footnote>
  <w:footnote w:id="78">
    <w:p w:rsidR="00F04EEF" w:rsidRDefault="0099351E">
      <w:pPr>
        <w:pStyle w:val="Notedebasdepage"/>
      </w:pPr>
      <w:r>
        <w:rPr>
          <w:rStyle w:val="Caractresdenotedebasdepage"/>
        </w:rPr>
        <w:footnoteRef/>
      </w:r>
      <w:r>
        <w:t xml:space="preserve"> Les honoraires constituent le salaire de l’avocat, les frais sont les débours liés au dossier comme par exemple les photocopies et les frais de procédure sont par exemple les débours liés aux significations de jugement, droits de greffe etc.</w:t>
      </w:r>
    </w:p>
  </w:footnote>
  <w:footnote w:id="79">
    <w:p w:rsidR="00F04EEF" w:rsidRDefault="0099351E">
      <w:pPr>
        <w:pStyle w:val="Notedebasdepage"/>
      </w:pPr>
      <w:r>
        <w:rPr>
          <w:rStyle w:val="Caractresdenotedebasdepage"/>
        </w:rPr>
        <w:footnoteRef/>
      </w:r>
      <w:r>
        <w:t xml:space="preserve"> Direction des Affaires juridiques et contentieuses, dépendant de Monsieur ROTHSCHILD, Directeur général adjoint expert f.f,</w:t>
      </w:r>
      <w:r>
        <w:rPr>
          <w:b/>
        </w:rPr>
        <w:t xml:space="preserve"> </w:t>
      </w:r>
      <w:r>
        <w:t>Boulevard Léopold II, 44 à 1080 BRUXELLES</w:t>
      </w:r>
    </w:p>
  </w:footnote>
  <w:footnote w:id="80">
    <w:p w:rsidR="00F04EEF" w:rsidRDefault="0099351E">
      <w:pPr>
        <w:pStyle w:val="Corpsdetexte21"/>
        <w:jc w:val="both"/>
        <w:rPr>
          <w:rFonts w:asciiTheme="majorHAnsi" w:hAnsiTheme="majorHAnsi"/>
          <w:sz w:val="16"/>
          <w:szCs w:val="16"/>
        </w:rPr>
      </w:pPr>
      <w:r>
        <w:rPr>
          <w:rStyle w:val="Caractresdenotedebasdepage"/>
          <w:szCs w:val="16"/>
        </w:rPr>
        <w:footnoteRef/>
      </w:r>
      <w:r>
        <w:rPr>
          <w:rFonts w:asciiTheme="majorHAnsi" w:hAnsiTheme="majorHAnsi"/>
          <w:sz w:val="16"/>
          <w:szCs w:val="16"/>
        </w:rPr>
        <w:t>Direction Générale de l’Enseignement Obligatoire, Service des Inscriptions et de l’Assistance aux établissements scolaires, Rue Adolphe Lavallée, 1 à 1080 BRUXELLES.</w:t>
      </w:r>
    </w:p>
  </w:footnote>
  <w:footnote w:id="81">
    <w:p w:rsidR="00F04EEF" w:rsidRDefault="0099351E">
      <w:pPr>
        <w:pStyle w:val="Notedebasdepage"/>
      </w:pPr>
      <w:r>
        <w:rPr>
          <w:rStyle w:val="Appelnotedebasdep"/>
        </w:rPr>
        <w:footnoteRef/>
      </w:r>
      <w:r>
        <w:t xml:space="preserve"> Décret du 30 avril 2009 portant sur les associations de parents d’élèves et les Organisations représentatives d’associations de parents d’élèves en Communauté française, M.B. 6 août 2009 - </w:t>
      </w:r>
      <w:r>
        <w:rPr>
          <w:bCs/>
        </w:rPr>
        <w:t>Circulaire n° 4182 du 11 octobre 2012.</w:t>
      </w:r>
    </w:p>
  </w:footnote>
  <w:footnote w:id="82">
    <w:p w:rsidR="00F04EEF" w:rsidRDefault="0099351E">
      <w:pPr>
        <w:pStyle w:val="Notedebasdepage"/>
      </w:pPr>
      <w:r>
        <w:rPr>
          <w:rStyle w:val="Appelnotedebasdep"/>
        </w:rPr>
        <w:footnoteRef/>
      </w:r>
      <w:r>
        <w:t xml:space="preserve"> Le contenu des documents diffusés par l’Association de parents doit respecter les dispositions relatives à la protection de la vie privée, l’interdiction de propagande pour un parti politique, activité commerciale ou attitude relevant de la concurrence déloyale entre les établissements scolaires conformément à l’article 41 de la loi du 29 mai 1959 modifiant certaines dispositions de la législation de l’enseignement et doit respecter les décrets relatifs à la neutralité : le Décret du 31 mars 1994 définissant la neutralité dans l’enseignement de la Communauté et le Décret du 17 décembre 2003 organisant la neutralité inhérente à l’enseignement officiel subventionné et portant diverses mesures en matière d’enseignement.</w:t>
      </w:r>
    </w:p>
  </w:footnote>
  <w:footnote w:id="83">
    <w:p w:rsidR="00F04EEF" w:rsidRDefault="0099351E">
      <w:pPr>
        <w:pStyle w:val="Notedebasdepage"/>
      </w:pPr>
      <w:r>
        <w:rPr>
          <w:rStyle w:val="Caractresdenotedebasdepage"/>
        </w:rPr>
        <w:footnoteRef/>
      </w:r>
      <w:r>
        <w:t xml:space="preserve"> </w:t>
      </w:r>
      <w:hyperlink r:id="rId35" w:history="1">
        <w:r>
          <w:rPr>
            <w:rStyle w:val="Lienhypertexte"/>
          </w:rPr>
          <w:t>Loi du 29 juin 1983 concernant l’obligation scolaire</w:t>
        </w:r>
      </w:hyperlink>
      <w:r>
        <w:t>.</w:t>
      </w:r>
    </w:p>
  </w:footnote>
  <w:footnote w:id="84">
    <w:p w:rsidR="00F04EEF" w:rsidRDefault="0099351E">
      <w:pPr>
        <w:pStyle w:val="Notedebasdepage"/>
      </w:pPr>
      <w:r>
        <w:rPr>
          <w:rStyle w:val="Caractresdenotedebasdepage"/>
        </w:rPr>
        <w:footnoteRef/>
      </w:r>
      <w:r>
        <w:t xml:space="preserve"> La formation peut être reconnue comme répondant aux exigences de l’obligation scolaire à temps partiel, sur avis conforme de la Commission instituée par l'article 2 </w:t>
      </w:r>
      <w:hyperlink r:id="rId36" w:history="1">
        <w:r>
          <w:rPr>
            <w:rStyle w:val="Lienhypertexte"/>
          </w:rPr>
          <w:t>de la loi du 29 juin 1983 concernant l'obligation scolaire</w:t>
        </w:r>
      </w:hyperlink>
      <w:r>
        <w:t xml:space="preserve">, instituée à la Direction générale de l’enseignement obligatoire. Se référer à </w:t>
      </w:r>
      <w:hyperlink r:id="rId37" w:history="1">
        <w:r>
          <w:rPr>
            <w:rStyle w:val="Lienhypertexte"/>
          </w:rPr>
          <w:t>l'arrêté du Gouvernement de la Communauté française du 24 avril 1995 déterminant la composition et le fonctionnement de la Commission</w:t>
        </w:r>
        <w:r>
          <w:rPr>
            <w:rStyle w:val="Lienhypertexte"/>
            <w:rFonts w:cs="Arial"/>
          </w:rPr>
          <w:t>.</w:t>
        </w:r>
      </w:hyperlink>
    </w:p>
  </w:footnote>
  <w:footnote w:id="85">
    <w:p w:rsidR="00F04EEF" w:rsidRDefault="0099351E">
      <w:pPr>
        <w:pStyle w:val="Notedebasdepage"/>
      </w:pPr>
      <w:r>
        <w:rPr>
          <w:rStyle w:val="Caractresdenotedebasdepage"/>
        </w:rPr>
        <w:footnoteRef/>
      </w:r>
      <w:r>
        <w:t xml:space="preserve"> </w:t>
      </w:r>
      <w:hyperlink r:id="rId38" w:history="1">
        <w:r>
          <w:rPr>
            <w:rStyle w:val="Lienhypertexte"/>
          </w:rPr>
          <w:t>Lois sur l’enseignement primaire, coordonnées le 20 août 1957</w:t>
        </w:r>
      </w:hyperlink>
      <w:r>
        <w:t>, article 8.</w:t>
      </w:r>
    </w:p>
  </w:footnote>
  <w:footnote w:id="86">
    <w:p w:rsidR="00F04EEF" w:rsidRDefault="0099351E">
      <w:pPr>
        <w:pStyle w:val="Notedebasdepage"/>
      </w:pPr>
      <w:r>
        <w:footnoteRef/>
      </w:r>
      <w:r>
        <w:t xml:space="preserve"> Décret du 15 décembre 2006 renforçant le dispositif des « </w:t>
      </w:r>
      <w:hyperlink r:id="rId39" w:history="1">
        <w:r>
          <w:rPr>
            <w:rStyle w:val="Lienhypertexte"/>
          </w:rPr>
          <w:t>services d’accrochage scolaire » et portant diverses mesures en matière de règles de vie collective au sein des établissements scolaires</w:t>
        </w:r>
      </w:hyperlink>
      <w:r>
        <w:t>.</w:t>
      </w:r>
    </w:p>
  </w:footnote>
  <w:footnote w:id="87">
    <w:p w:rsidR="00F04EEF" w:rsidRDefault="0099351E">
      <w:pPr>
        <w:pStyle w:val="Notedebasdepage"/>
      </w:pPr>
      <w:r>
        <w:footnoteRef/>
      </w:r>
      <w:r>
        <w:t xml:space="preserve"> </w:t>
      </w:r>
      <w:hyperlink r:id="rId40" w:history="1">
        <w:r>
          <w:rPr>
            <w:rStyle w:val="Lienhypertexte"/>
          </w:rPr>
          <w:t>Décret du 17 juillet 2003 de la Commission communautaire française</w:t>
        </w:r>
      </w:hyperlink>
      <w:r>
        <w:t xml:space="preserve"> relatif à la création d’un service à gestion séparée chargé de la gestion et de la promotion de la formation permanente pour les classes moyennes et les petites et moyennes entreprises à Bruxelles et décret du 17 juillet 2003 de la Région wallonne portant constitution d’un Institut wallon de formation en alternance et des indépendants et petites et moyennes entreprises.</w:t>
      </w:r>
    </w:p>
  </w:footnote>
  <w:footnote w:id="88">
    <w:p w:rsidR="00F04EEF" w:rsidRDefault="0099351E">
      <w:pPr>
        <w:pStyle w:val="Notedebasdepage"/>
      </w:pPr>
      <w:r>
        <w:rPr>
          <w:rStyle w:val="Caractresdenotedebasdepage"/>
        </w:rPr>
        <w:footnoteRef/>
      </w:r>
      <w:r>
        <w:rPr>
          <w:rStyle w:val="Caractresdenotedebasdepage"/>
        </w:rPr>
        <w:t xml:space="preserve"> </w:t>
      </w:r>
      <w:r>
        <w:t>Institut wallon de Formation en Alternance et des indépendants et Petites et Moyennes Entreprise (IFAPME)</w:t>
      </w:r>
    </w:p>
  </w:footnote>
  <w:footnote w:id="89">
    <w:p w:rsidR="00F04EEF" w:rsidRDefault="0099351E">
      <w:pPr>
        <w:pStyle w:val="Notedebasdepage"/>
      </w:pPr>
      <w:r>
        <w:rPr>
          <w:rStyle w:val="Caractresdenotedebasdepage"/>
        </w:rPr>
        <w:footnoteRef/>
      </w:r>
      <w:r>
        <w:t xml:space="preserve"> Service de Formation des Petites et Moyennes Entreprises en Région bruxelloise (SFPME)</w:t>
      </w:r>
    </w:p>
  </w:footnote>
  <w:footnote w:id="90">
    <w:p w:rsidR="00F04EEF" w:rsidRDefault="0099351E">
      <w:pPr>
        <w:pStyle w:val="Notedebasdepage"/>
      </w:pPr>
      <w:r>
        <w:rPr>
          <w:rStyle w:val="Caractresdenotedebasdepage"/>
        </w:rPr>
        <w:footnoteRef/>
      </w:r>
      <w:r>
        <w:t xml:space="preserve"> </w:t>
      </w:r>
      <w:hyperlink r:id="rId41" w:history="1">
        <w:r>
          <w:rPr>
            <w:rStyle w:val="Lienhypertexte"/>
          </w:rPr>
          <w:t>Lois sur l’enseignement primaire, coordonnées le 20 août 1957</w:t>
        </w:r>
      </w:hyperlink>
      <w:r>
        <w:t>, article 8.</w:t>
      </w:r>
    </w:p>
  </w:footnote>
  <w:footnote w:id="91">
    <w:p w:rsidR="00F04EEF" w:rsidRDefault="0099351E">
      <w:pPr>
        <w:pStyle w:val="Notedebasdepage"/>
      </w:pPr>
      <w:r>
        <w:rPr>
          <w:rStyle w:val="Caractresdenotedebasdepage"/>
        </w:rPr>
        <w:footnoteRef/>
      </w:r>
      <w:r>
        <w:t xml:space="preserve"> 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Loi du 29/06/1983, article 1er, § 4bis, 4°</w:t>
      </w:r>
    </w:p>
  </w:footnote>
  <w:footnote w:id="92">
    <w:p w:rsidR="00F04EEF" w:rsidRDefault="0099351E">
      <w:pPr>
        <w:pStyle w:val="Notedebasdepage"/>
        <w:rPr>
          <w:color w:val="00B0F0"/>
        </w:rPr>
      </w:pPr>
      <w:r>
        <w:rPr>
          <w:rStyle w:val="Appelnotedebasdep"/>
        </w:rPr>
        <w:footnoteRef/>
      </w:r>
      <w:r>
        <w:t xml:space="preserve"> </w:t>
      </w:r>
      <w:hyperlink r:id="rId42" w:history="1">
        <w:r>
          <w:rPr>
            <w:rStyle w:val="Lienhypertexte"/>
          </w:rPr>
          <w:t>Le modèle de la convention se trouve en annexe de l’Arrêté du Gouvernement de la Communauté Française du 1/02/2017 fixant les modalités de la scolarisation à temps partiel visée au paragraphe 4bis, 4°, de l'article 1erde la loi du 29 juin 1983 concernant l'obligation scolaire.</w:t>
        </w:r>
      </w:hyperlink>
    </w:p>
  </w:footnote>
  <w:footnote w:id="93">
    <w:p w:rsidR="00F04EEF" w:rsidRDefault="0099351E">
      <w:pPr>
        <w:pStyle w:val="Notedebasdepage"/>
        <w:rPr>
          <w:rFonts w:cs="Times New Roman"/>
          <w:iCs/>
          <w:color w:val="0000FF"/>
          <w:u w:val="single"/>
        </w:rPr>
      </w:pPr>
      <w:r>
        <w:rPr>
          <w:rStyle w:val="Caractresdenotedebasdepage"/>
        </w:rPr>
        <w:footnoteRef/>
      </w:r>
      <w:r>
        <w:t xml:space="preserve"> </w:t>
      </w:r>
      <w:hyperlink r:id="rId43" w:history="1">
        <w:r>
          <w:rPr>
            <w:rStyle w:val="Lienhypertexte"/>
            <w:iCs/>
          </w:rPr>
          <w:t>Décret du 3 mars 2004 organisant l’enseignement spécialisé.</w:t>
        </w:r>
      </w:hyperlink>
    </w:p>
  </w:footnote>
  <w:footnote w:id="94">
    <w:p w:rsidR="00F04EEF" w:rsidRDefault="0099351E">
      <w:pPr>
        <w:pStyle w:val="Notedebasdepage"/>
      </w:pPr>
      <w:r>
        <w:rPr>
          <w:rStyle w:val="Caractresdenotedebasdepage"/>
        </w:rPr>
        <w:footnoteRef/>
      </w:r>
      <w:r>
        <w:rPr>
          <w:rStyle w:val="Caractresdenotedebasdepage"/>
        </w:rPr>
        <w:t xml:space="preserve"> </w:t>
      </w:r>
      <w:hyperlink r:id="rId44" w:history="1">
        <w:r>
          <w:rPr>
            <w:rStyle w:val="Lienhypertexte"/>
            <w:iCs/>
          </w:rPr>
          <w:t>Décret du 3 mars 2004 organisant l’enseignement spécialisé.</w:t>
        </w:r>
      </w:hyperlink>
      <w:r>
        <w:t>, chapitre XI.</w:t>
      </w:r>
    </w:p>
  </w:footnote>
  <w:footnote w:id="95">
    <w:p w:rsidR="00F04EEF" w:rsidRDefault="0099351E">
      <w:pPr>
        <w:pStyle w:val="Notedebasdepage"/>
      </w:pPr>
      <w:r>
        <w:rPr>
          <w:rStyle w:val="Caractresdenotedebasdepage"/>
        </w:rPr>
        <w:footnoteRef/>
      </w:r>
      <w:r>
        <w:rPr>
          <w:rStyle w:val="Caractresdenotedebasdepage"/>
        </w:rPr>
        <w:t xml:space="preserve"> </w:t>
      </w:r>
      <w:hyperlink r:id="rId45" w:history="1">
        <w:r>
          <w:rPr>
            <w:rStyle w:val="Lienhypertexte"/>
            <w:rFonts w:cs="Arial"/>
          </w:rPr>
          <w:t>Décret du 18 décembre 1984</w:t>
        </w:r>
      </w:hyperlink>
      <w:r>
        <w:t xml:space="preserve"> organisant l'enseignement à distance de la Communauté française.</w:t>
      </w:r>
    </w:p>
  </w:footnote>
  <w:footnote w:id="96">
    <w:p w:rsidR="00F04EEF" w:rsidRDefault="0099351E">
      <w:pPr>
        <w:pStyle w:val="Notedebasdepage"/>
      </w:pPr>
      <w:r>
        <w:rPr>
          <w:rStyle w:val="Caractresdenotedebasdepage"/>
        </w:rPr>
        <w:footnoteRef/>
      </w:r>
      <w:r>
        <w:rPr>
          <w:rStyle w:val="Caractresdenotedebasdepage"/>
        </w:rPr>
        <w:t xml:space="preserve"> </w:t>
      </w:r>
      <w:hyperlink r:id="rId46" w:history="1">
        <w:r>
          <w:rPr>
            <w:rStyle w:val="Lienhypertexte"/>
          </w:rPr>
          <w:t>Décret du 18 décembre 1984 organisant l'enseignement à distance de la Communauté française</w:t>
        </w:r>
      </w:hyperlink>
      <w:r>
        <w:t>.</w:t>
      </w:r>
    </w:p>
  </w:footnote>
  <w:footnote w:id="97">
    <w:p w:rsidR="00F04EEF" w:rsidRDefault="0099351E">
      <w:pPr>
        <w:pStyle w:val="Notedebasdepage"/>
      </w:pPr>
      <w:r>
        <w:rPr>
          <w:rStyle w:val="Caractresdenotedebasdepage"/>
        </w:rPr>
        <w:footnoteRef/>
      </w:r>
      <w:r>
        <w:t xml:space="preserve"> Décret du 3 mars 2004, article 125, 6.</w:t>
      </w:r>
    </w:p>
  </w:footnote>
  <w:footnote w:id="98">
    <w:p w:rsidR="00F04EEF" w:rsidRDefault="0099351E">
      <w:pPr>
        <w:pStyle w:val="Corpsdetexte"/>
        <w:jc w:val="both"/>
        <w:rPr>
          <w:b w:val="0"/>
          <w:sz w:val="16"/>
          <w:szCs w:val="16"/>
        </w:rPr>
      </w:pPr>
      <w:r>
        <w:rPr>
          <w:rStyle w:val="Caractresdenotedebasdepage"/>
          <w:b w:val="0"/>
          <w:szCs w:val="16"/>
        </w:rPr>
        <w:footnoteRef/>
      </w:r>
      <w:r>
        <w:rPr>
          <w:b w:val="0"/>
          <w:sz w:val="16"/>
          <w:szCs w:val="16"/>
        </w:rPr>
        <w:t xml:space="preserve"> </w:t>
      </w:r>
      <w:hyperlink r:id="rId47" w:history="1">
        <w:r>
          <w:rPr>
            <w:rStyle w:val="Lienhypertexte"/>
            <w:b w:val="0"/>
            <w:sz w:val="16"/>
            <w:szCs w:val="16"/>
          </w:rPr>
          <w:t>Lois sur l’enseignement primaire, coordonnées le 20 août 1957</w:t>
        </w:r>
      </w:hyperlink>
      <w:r>
        <w:rPr>
          <w:b w:val="0"/>
          <w:sz w:val="16"/>
          <w:szCs w:val="16"/>
        </w:rPr>
        <w:t>, articles 8 et 10.</w:t>
      </w:r>
    </w:p>
  </w:footnote>
  <w:footnote w:id="99">
    <w:p w:rsidR="00F04EEF" w:rsidRDefault="0099351E">
      <w:pPr>
        <w:pStyle w:val="Notedebasdepage"/>
        <w:rPr>
          <w:color w:val="FF00FF"/>
        </w:rPr>
      </w:pPr>
      <w:r>
        <w:rPr>
          <w:rStyle w:val="Appelnotedebasdep"/>
        </w:rPr>
        <w:footnoteRef/>
      </w:r>
      <w:r>
        <w:t xml:space="preserve"> </w:t>
      </w:r>
      <w:hyperlink r:id="rId48" w:history="1">
        <w:r>
          <w:rPr>
            <w:rStyle w:val="Lienhypertexte"/>
          </w:rPr>
          <w:t>https://www.ordomedic.be/fr/conseils-provinciaux/les-conseils-provinciaux/</w:t>
        </w:r>
      </w:hyperlink>
    </w:p>
  </w:footnote>
  <w:footnote w:id="100">
    <w:p w:rsidR="00F04EEF" w:rsidRDefault="0099351E">
      <w:pPr>
        <w:pStyle w:val="Notedebasdepage"/>
      </w:pPr>
      <w:r>
        <w:rPr>
          <w:rStyle w:val="Caractresdenotedebasdepage"/>
        </w:rPr>
        <w:footnoteRef/>
      </w:r>
      <w:r>
        <w:t xml:space="preserve"> </w:t>
      </w:r>
      <w:hyperlink r:id="rId49" w:history="1">
        <w:r>
          <w:rPr>
            <w:rStyle w:val="Lienhypertexte"/>
            <w:iCs/>
          </w:rPr>
          <w:t>Décret du 4 mars 1991 relatif à l’aide à la Jeunesse</w:t>
        </w:r>
      </w:hyperlink>
      <w:r>
        <w:t>, article 2.</w:t>
      </w:r>
    </w:p>
  </w:footnote>
  <w:footnote w:id="101">
    <w:p w:rsidR="00F04EEF" w:rsidRDefault="0099351E">
      <w:pPr>
        <w:pStyle w:val="Notedebasdepage"/>
      </w:pPr>
      <w:r>
        <w:rPr>
          <w:rStyle w:val="Caractresdenotedebasdepage"/>
          <w:sz w:val="18"/>
          <w:szCs w:val="18"/>
        </w:rPr>
        <w:footnoteRef/>
      </w:r>
      <w:r>
        <w:t xml:space="preserve"> </w:t>
      </w:r>
      <w:r>
        <w:rPr>
          <w:iCs/>
        </w:rPr>
        <w:t xml:space="preserve">La liste des services d’Aide en milieu ouvert se trouve sur le Site Internet : </w:t>
      </w:r>
      <w:hyperlink r:id="rId50" w:history="1">
        <w:r>
          <w:rPr>
            <w:rStyle w:val="Lienhypertexte"/>
            <w:szCs w:val="18"/>
          </w:rPr>
          <w:t>http://www.cfwb.be/aide-jeunesse/ct_amo.asp</w:t>
        </w:r>
      </w:hyperlink>
      <w:r>
        <w:rPr>
          <w:iCs/>
        </w:rPr>
        <w:t xml:space="preserve"> </w:t>
      </w:r>
    </w:p>
  </w:footnote>
  <w:footnote w:id="102">
    <w:p w:rsidR="00F04EEF" w:rsidRDefault="0099351E">
      <w:pPr>
        <w:pStyle w:val="Notedebasdepage"/>
      </w:pPr>
      <w:r>
        <w:rPr>
          <w:rStyle w:val="Caractresdenotedebasdepage"/>
        </w:rPr>
        <w:footnoteRef/>
      </w:r>
      <w:r>
        <w:t xml:space="preserve"> Voir la brochure « AMO et école, partenaires pour les jeunes »  – Editeur responsable : Direction générale de l’aide à la jeunesse, Boulevard Léopold II, n°44 à 1080 BRUXELLES.</w:t>
      </w:r>
    </w:p>
  </w:footnote>
  <w:footnote w:id="103">
    <w:p w:rsidR="00F04EEF" w:rsidRDefault="0099351E">
      <w:pPr>
        <w:pStyle w:val="Notedebasdepage"/>
      </w:pPr>
      <w:r>
        <w:rPr>
          <w:rStyle w:val="Caractresdenotedebasdepage"/>
        </w:rPr>
        <w:footnoteRef/>
      </w:r>
      <w:r>
        <w:t xml:space="preserve"> Inspiré de la circulaire de septembre 2006 de chaque procureur général relative au descriptif des fonctions des criminologues engagés en appui  des sections familles-jeunesse des parquets.</w:t>
      </w:r>
    </w:p>
  </w:footnote>
  <w:footnote w:id="104">
    <w:p w:rsidR="00F04EEF" w:rsidRDefault="0099351E">
      <w:pPr>
        <w:autoSpaceDE w:val="0"/>
        <w:jc w:val="both"/>
        <w:rPr>
          <w:rFonts w:cs="Arial"/>
          <w:sz w:val="16"/>
          <w:szCs w:val="16"/>
        </w:rPr>
      </w:pPr>
      <w:r>
        <w:rPr>
          <w:rStyle w:val="Caractresdenotedebasdepage"/>
          <w:szCs w:val="16"/>
        </w:rPr>
        <w:footnoteRef/>
      </w:r>
      <w:r>
        <w:rPr>
          <w:rFonts w:cs="Arial"/>
          <w:sz w:val="16"/>
          <w:szCs w:val="16"/>
        </w:rPr>
        <w:t xml:space="preserve"> Pour tout renseignement, contacter Fabienne DRUANT, criminologue-coordinatrice, Parquet général près la cour d'appel de BRUXELLES 1, Place Poelaert (Bureau M 291) 1000 Bruxelles, tél 02 508 64 68, E-mail : </w:t>
      </w:r>
      <w:hyperlink r:id="rId51" w:history="1">
        <w:r>
          <w:rPr>
            <w:rStyle w:val="Lienhypertexte"/>
            <w:sz w:val="16"/>
            <w:szCs w:val="16"/>
          </w:rPr>
          <w:t>fabienne.druant@just.fgov.be</w:t>
        </w:r>
      </w:hyperlink>
      <w:r>
        <w:rPr>
          <w:rFonts w:cs="Arial"/>
          <w:sz w:val="16"/>
          <w:szCs w:val="16"/>
        </w:rPr>
        <w:t>.</w:t>
      </w:r>
    </w:p>
  </w:footnote>
  <w:footnote w:id="105">
    <w:p w:rsidR="00F04EEF" w:rsidRDefault="0099351E">
      <w:pPr>
        <w:pStyle w:val="Notedebasdepage"/>
      </w:pPr>
      <w:r>
        <w:rPr>
          <w:rStyle w:val="Caractresdenotedebasdepage"/>
        </w:rPr>
        <w:footnoteRef/>
      </w:r>
      <w:r>
        <w:rPr>
          <w:iCs/>
        </w:rPr>
        <w:t xml:space="preserve"> </w:t>
      </w:r>
      <w:hyperlink r:id="rId52" w:history="1">
        <w:r>
          <w:rPr>
            <w:rStyle w:val="Lienhypertexte"/>
            <w:rFonts w:cs="Arial"/>
          </w:rPr>
          <w:t>Décret du 24 juillet 1997 définissant les missions prioritaires de l’enseignement fondamental et de l’enseignement secondaire</w:t>
        </w:r>
      </w:hyperlink>
      <w:r>
        <w:t>, articles 81 et 89.</w:t>
      </w:r>
    </w:p>
  </w:footnote>
  <w:footnote w:id="106">
    <w:p w:rsidR="00F04EEF" w:rsidRDefault="0099351E">
      <w:pPr>
        <w:pStyle w:val="Notedebasdepage"/>
      </w:pPr>
      <w:r>
        <w:rPr>
          <w:rStyle w:val="Caractresdenotedebasdepage"/>
        </w:rPr>
        <w:footnoteRef/>
      </w:r>
      <w:r>
        <w:t xml:space="preserve"> </w:t>
      </w:r>
      <w:hyperlink r:id="rId53" w:history="1">
        <w:r>
          <w:rPr>
            <w:rStyle w:val="Lienhypertexte"/>
            <w:rFonts w:cs="Arial"/>
            <w:lang w:val="fr-FR"/>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rPr>
        <w:t>, article 21</w:t>
      </w:r>
    </w:p>
  </w:footnote>
  <w:footnote w:id="107">
    <w:p w:rsidR="00F04EEF" w:rsidRDefault="0099351E">
      <w:pPr>
        <w:pStyle w:val="Notedebasdepage"/>
      </w:pPr>
      <w:r>
        <w:rPr>
          <w:rStyle w:val="Caractresdenotedebasdepage"/>
        </w:rPr>
        <w:footnoteRef/>
      </w:r>
      <w:r>
        <w:t xml:space="preserve"> Article 422 bis du Code pénal : « Sera puni d'un emprisonnement de huit jours à un an et d'une amende de cinquante à cinq cents francs ou d'une de ces peines seulement, celui qui s'abstient de venir en aide ou de procurer une aide à une personne exposée à un péril grave, soit qu'il ait constaté par lui-même la situation de cette personne, soit que cette situation lui soit décrite par ceux qui sollicitent son intervention ». La peine est aggravée lorsque la personne exposée au péril est mineure d’âge.</w:t>
      </w:r>
    </w:p>
  </w:footnote>
  <w:footnote w:id="108">
    <w:p w:rsidR="00F04EEF" w:rsidRDefault="0099351E">
      <w:pPr>
        <w:pStyle w:val="Notedebasdepage"/>
      </w:pPr>
      <w:r>
        <w:rPr>
          <w:vertAlign w:val="superscript"/>
        </w:rPr>
        <w:footnoteRef/>
      </w:r>
      <w:r>
        <w:rPr>
          <w:sz w:val="12"/>
          <w:vertAlign w:val="superscript"/>
        </w:rPr>
        <w:t xml:space="preserve"> </w:t>
      </w:r>
      <w:r>
        <w:t>Veuillez ne compléter que les cases concernées par la forme pour laquelle il n’y a plus de locaux disponibles.</w:t>
      </w:r>
    </w:p>
  </w:footnote>
  <w:footnote w:id="109">
    <w:p w:rsidR="00F04EEF" w:rsidRDefault="0099351E">
      <w:pPr>
        <w:pStyle w:val="Notedebasdepage"/>
      </w:pPr>
      <w:r>
        <w:rPr>
          <w:rStyle w:val="Caractresdenotedebasdepage"/>
          <w:sz w:val="18"/>
        </w:rPr>
        <w:footnoteRef/>
      </w:r>
      <w:r>
        <w:t xml:space="preserve"> Veuillez ne compléter que les cases concernées par la forme pour laquelle il n’y a plus de locaux disponibles.</w:t>
      </w:r>
    </w:p>
  </w:footnote>
  <w:footnote w:id="110">
    <w:p w:rsidR="00F04EEF" w:rsidRDefault="0099351E">
      <w:pPr>
        <w:jc w:val="both"/>
        <w:rPr>
          <w:sz w:val="16"/>
          <w:szCs w:val="16"/>
        </w:rPr>
      </w:pPr>
      <w:r>
        <w:rPr>
          <w:rStyle w:val="Appelnotedebasdep"/>
          <w:sz w:val="16"/>
          <w:szCs w:val="16"/>
        </w:rPr>
        <w:footnoteRef/>
      </w:r>
      <w:r>
        <w:rPr>
          <w:sz w:val="16"/>
          <w:szCs w:val="16"/>
        </w:rPr>
        <w:t xml:space="preserve"> </w:t>
      </w:r>
      <w:r>
        <w:rPr>
          <w:sz w:val="16"/>
          <w:szCs w:val="16"/>
          <w:u w:val="single"/>
        </w:rPr>
        <w:t>NB :</w:t>
      </w:r>
      <w:r>
        <w:rPr>
          <w:sz w:val="16"/>
          <w:szCs w:val="16"/>
        </w:rPr>
        <w:t xml:space="preserve"> L’arrondi : le résultat final est arrondi à l’unité supérieure lorsque la première décimale est égale ou supérieure à cinq.</w:t>
      </w:r>
    </w:p>
  </w:footnote>
  <w:footnote w:id="111">
    <w:p w:rsidR="00F04EEF" w:rsidRDefault="0099351E">
      <w:pPr>
        <w:autoSpaceDE w:val="0"/>
        <w:autoSpaceDN w:val="0"/>
        <w:jc w:val="both"/>
        <w:rPr>
          <w:rFonts w:cs="Georgia"/>
          <w:color w:val="000000"/>
          <w:sz w:val="16"/>
        </w:rPr>
      </w:pPr>
      <w:r>
        <w:rPr>
          <w:rFonts w:cs="Georgia"/>
          <w:color w:val="000000"/>
          <w:sz w:val="16"/>
          <w:vertAlign w:val="superscript"/>
        </w:rPr>
        <w:footnoteRef/>
      </w:r>
      <w:r>
        <w:rPr>
          <w:rFonts w:cs="Georgia"/>
          <w:color w:val="000000"/>
          <w:sz w:val="16"/>
        </w:rPr>
        <w:t xml:space="preserve"> Si ces élèves veulent entamer ou poursuivre une intégration dans l’enseignement secondaire ordinaire, ces élèves répondant aux conditions d’inscription de l’enseignement primaire spécialisé ne peuvent bénéficier que de l’intégration permanente totale. Ainsi, ils sont inscrits dans l’enseignement secondaire ordinaire et doivent être suivis par une école secondaire qui organise l’enseignement de forme 3.  </w:t>
      </w:r>
    </w:p>
  </w:footnote>
  <w:footnote w:id="112">
    <w:p w:rsidR="00F04EEF" w:rsidRDefault="0099351E">
      <w:pPr>
        <w:autoSpaceDE w:val="0"/>
        <w:autoSpaceDN w:val="0"/>
        <w:jc w:val="both"/>
        <w:rPr>
          <w:rFonts w:cs="Georgia"/>
          <w:color w:val="000000"/>
          <w:sz w:val="16"/>
        </w:rPr>
      </w:pPr>
      <w:r>
        <w:rPr>
          <w:rStyle w:val="Appelnotedebasdep"/>
          <w:sz w:val="16"/>
        </w:rPr>
        <w:footnoteRef/>
      </w:r>
      <w:r>
        <w:rPr>
          <w:sz w:val="16"/>
        </w:rPr>
        <w:t xml:space="preserve"> </w:t>
      </w:r>
      <w:r>
        <w:rPr>
          <w:rFonts w:cs="Georgia"/>
          <w:color w:val="000000"/>
          <w:sz w:val="16"/>
        </w:rPr>
        <w:t xml:space="preserve">En ce qui concerne les élèves qui étaient en intégration ou non dans l’enseignement primaire de type 8 et qui ont obtenu leur CEB, ces élèves ne peuvent pas fréquenter une école d’enseignement secondaire spécialisé de forme 3 type 8. </w:t>
      </w:r>
    </w:p>
  </w:footnote>
  <w:footnote w:id="113">
    <w:p w:rsidR="00F04EEF" w:rsidRDefault="0099351E">
      <w:pPr>
        <w:pStyle w:val="Notedebasdepage"/>
      </w:pPr>
      <w:r>
        <w:rPr>
          <w:rStyle w:val="Appelnotedebasdep"/>
        </w:rPr>
        <w:footnoteRef/>
      </w:r>
      <w:r>
        <w:t xml:space="preserve"> Ce chapitre concerne d’une part, la création de nouveaux établissements scolaires et d’autre part, la création de nouveaux types, formes et métiers </w:t>
      </w:r>
    </w:p>
  </w:footnote>
  <w:footnote w:id="114">
    <w:p w:rsidR="00F04EEF" w:rsidRDefault="0099351E">
      <w:pPr>
        <w:pStyle w:val="Notedebasdepage"/>
      </w:pPr>
      <w:r>
        <w:rPr>
          <w:rStyle w:val="Appelnotedebasdep"/>
        </w:rPr>
        <w:footnoteRef/>
      </w:r>
      <w:r>
        <w:t xml:space="preserve"> Hygiène pour les travailleurs et assimilés.</w:t>
      </w:r>
    </w:p>
  </w:footnote>
  <w:footnote w:id="115">
    <w:p w:rsidR="00F04EEF" w:rsidRDefault="0099351E">
      <w:pPr>
        <w:pStyle w:val="Notedebasdepage"/>
      </w:pPr>
      <w:r>
        <w:rPr>
          <w:rStyle w:val="Appelnotedebasdep"/>
        </w:rPr>
        <w:footnoteRef/>
      </w:r>
      <w:r>
        <w:t xml:space="preserve"> Hygiène pour les élèves.</w:t>
      </w:r>
    </w:p>
  </w:footnote>
  <w:footnote w:id="116">
    <w:p w:rsidR="00F04EEF" w:rsidRDefault="0099351E">
      <w:pPr>
        <w:pStyle w:val="Notedebasdepage"/>
      </w:pPr>
      <w:r>
        <w:rPr>
          <w:rStyle w:val="Appelnotedebasdep"/>
        </w:rPr>
        <w:footnoteRef/>
      </w:r>
      <w:r>
        <w:t xml:space="preserve"> Hygiène cuisine.</w:t>
      </w:r>
    </w:p>
  </w:footnote>
  <w:footnote w:id="117">
    <w:p w:rsidR="00F04EEF" w:rsidRDefault="0099351E">
      <w:pPr>
        <w:pStyle w:val="Notedebasdepage"/>
      </w:pPr>
      <w:r>
        <w:rPr>
          <w:rStyle w:val="Appelnotedebasdep"/>
          <w:szCs w:val="18"/>
        </w:rPr>
        <w:footnoteRef/>
      </w:r>
      <w:r>
        <w:t xml:space="preserve"> Cette demande d’admission aux subventions s’applique aussi bien aux personnes souhaitant ouvrir une nouvelle école qu’à celles organisant déjà une école privée et qui souhaiteraient bénéficier d’un financement public.</w:t>
      </w:r>
    </w:p>
  </w:footnote>
  <w:footnote w:id="118">
    <w:p w:rsidR="00F04EEF" w:rsidRDefault="0099351E">
      <w:pPr>
        <w:pStyle w:val="Notedebasdepage"/>
      </w:pPr>
      <w:r>
        <w:rPr>
          <w:vertAlign w:val="superscript"/>
        </w:rPr>
        <w:footnoteRef/>
      </w:r>
      <w:r>
        <w:rPr>
          <w:vertAlign w:val="superscript"/>
        </w:rPr>
        <w:t xml:space="preserve"> </w:t>
      </w:r>
      <w:r>
        <w:t>Sauf dérogation accordée par le Gouvernement, il faut organiser au moins deux types.</w:t>
      </w:r>
    </w:p>
  </w:footnote>
  <w:footnote w:id="119">
    <w:p w:rsidR="00F04EEF" w:rsidRDefault="0099351E">
      <w:pPr>
        <w:pStyle w:val="Notedebasdepage"/>
      </w:pPr>
      <w:r>
        <w:rPr>
          <w:vertAlign w:val="superscript"/>
        </w:rPr>
        <w:footnoteRef/>
      </w:r>
      <w:r>
        <w:rPr>
          <w:vertAlign w:val="superscript"/>
        </w:rPr>
        <w:t xml:space="preserve"> </w:t>
      </w:r>
      <w:r>
        <w:t>L’annexe de l’Arrêté du Gouvernement de la Communauté Française du 31 août 2016 relatif à la demande d’admission aux subventions des établissements scolaires devrait être modifiée en vue d’ajouter le type 8 pour la Forme 3</w:t>
      </w:r>
    </w:p>
  </w:footnote>
  <w:footnote w:id="120">
    <w:p w:rsidR="00F04EEF" w:rsidRDefault="0099351E">
      <w:pPr>
        <w:pStyle w:val="Notedebasdepage"/>
      </w:pPr>
      <w:r>
        <w:rPr>
          <w:rStyle w:val="Appelnotedebasdep"/>
          <w:rFonts w:cstheme="minorHAnsi"/>
        </w:rPr>
        <w:footnoteRef/>
      </w:r>
      <w:r>
        <w:rPr>
          <w:rFonts w:cstheme="minorHAnsi"/>
        </w:rPr>
        <w:t xml:space="preserve"> </w:t>
      </w:r>
      <w:r>
        <w:t>L’annexe de l’Arrêté du Gouvernement de la Communauté Française du 31 août 2016 relatif à la demande d’admission aux subventions des établissements scolaires devrait être modifiée en vue d’ajouter le 1</w:t>
      </w:r>
      <w:r>
        <w:rPr>
          <w:vertAlign w:val="superscript"/>
        </w:rPr>
        <w:t>er</w:t>
      </w:r>
      <w:r>
        <w:t xml:space="preserve"> degré différencié pour les types 3, 4</w:t>
      </w:r>
      <w:proofErr w:type="gramStart"/>
      <w:r>
        <w:t>,5,6</w:t>
      </w:r>
      <w:proofErr w:type="gramEnd"/>
      <w:r>
        <w:t xml:space="preserve"> et 7 de la Forme 4. </w:t>
      </w:r>
    </w:p>
  </w:footnote>
  <w:footnote w:id="121">
    <w:p w:rsidR="00F04EEF" w:rsidRDefault="0099351E">
      <w:pPr>
        <w:pStyle w:val="Notedebasdepage"/>
      </w:pPr>
      <w:r>
        <w:rPr>
          <w:rStyle w:val="Caractresdenotedebasdepage"/>
          <w:sz w:val="18"/>
          <w:szCs w:val="18"/>
        </w:rPr>
        <w:t>2</w:t>
      </w:r>
      <w:r>
        <w:t xml:space="preserve"> Biffer la(les) mention(s) inutile(s).</w:t>
      </w:r>
    </w:p>
  </w:footnote>
  <w:footnote w:id="122">
    <w:p w:rsidR="00F04EEF" w:rsidRDefault="0099351E">
      <w:pPr>
        <w:pStyle w:val="Notedebasdepage"/>
      </w:pPr>
      <w:r>
        <w:rPr>
          <w:rStyle w:val="Caractresdenotedebasdepage"/>
          <w:sz w:val="18"/>
          <w:szCs w:val="18"/>
        </w:rPr>
        <w:t xml:space="preserve">2 </w:t>
      </w:r>
      <w:r>
        <w:t>Biffer la(les) mention(s) inutile(s).</w:t>
      </w:r>
    </w:p>
  </w:footnote>
  <w:footnote w:id="123">
    <w:p w:rsidR="00F04EEF" w:rsidRDefault="0099351E">
      <w:pPr>
        <w:pStyle w:val="Notedebasdepage"/>
      </w:pPr>
      <w:r>
        <w:rPr>
          <w:rStyle w:val="Caractresdenotedebasdepage"/>
        </w:rPr>
        <w:t xml:space="preserve">3 </w:t>
      </w:r>
      <w:r>
        <w:t>Adresse des locaux scolaires.</w:t>
      </w:r>
    </w:p>
  </w:footnote>
  <w:footnote w:id="124">
    <w:p w:rsidR="00F04EEF" w:rsidRDefault="0099351E">
      <w:pPr>
        <w:pStyle w:val="Notedebasdepage"/>
      </w:pPr>
      <w:r>
        <w:rPr>
          <w:rStyle w:val="Caractresdenotedebasdepage"/>
        </w:rPr>
        <w:t>4</w:t>
      </w:r>
      <w:r>
        <w:t xml:space="preserve"> Préciser la référence du programme.</w:t>
      </w:r>
    </w:p>
  </w:footnote>
  <w:footnote w:id="125">
    <w:p w:rsidR="00F04EEF" w:rsidRDefault="0099351E">
      <w:pPr>
        <w:pStyle w:val="Notedebasdepage"/>
      </w:pPr>
      <w:r>
        <w:rPr>
          <w:rStyle w:val="Appelnotedebasdep"/>
        </w:rPr>
        <w:footnoteRef/>
      </w:r>
      <w:r>
        <w:t xml:space="preserve"> Biffer la mention inutile</w:t>
      </w:r>
    </w:p>
  </w:footnote>
  <w:footnote w:id="126">
    <w:p w:rsidR="00F04EEF" w:rsidRDefault="0099351E">
      <w:pPr>
        <w:pStyle w:val="Notedebasdepage"/>
      </w:pPr>
      <w:r>
        <w:rPr>
          <w:rStyle w:val="Appelnotedebasdep"/>
        </w:rPr>
        <w:footnoteRef/>
      </w:r>
      <w:r>
        <w:t xml:space="preserve"> Pour plus de détail, voir </w:t>
      </w:r>
      <w:hyperlink r:id="rId54" w:history="1">
        <w:r>
          <w:rPr>
            <w:rStyle w:val="Lienhypertexte"/>
            <w:rFonts w:cs="Arial"/>
          </w:rPr>
          <w:t>Circulaire 7167 du 03/06/2019</w:t>
        </w:r>
      </w:hyperlink>
      <w:r>
        <w:t xml:space="preserve"> portant sur la mise en œuvre du décret du 14 mars 2019</w:t>
      </w:r>
    </w:p>
  </w:footnote>
  <w:footnote w:id="127">
    <w:p w:rsidR="00F04EEF" w:rsidRDefault="0099351E">
      <w:pPr>
        <w:jc w:val="both"/>
        <w:rPr>
          <w:sz w:val="20"/>
          <w:szCs w:val="20"/>
        </w:rPr>
      </w:pPr>
      <w:r>
        <w:rPr>
          <w:rStyle w:val="Appelnotedebasdep"/>
          <w:sz w:val="16"/>
          <w:szCs w:val="20"/>
        </w:rPr>
        <w:footnoteRef/>
      </w:r>
      <w:r>
        <w:rPr>
          <w:sz w:val="16"/>
          <w:szCs w:val="20"/>
        </w:rPr>
        <w:t xml:space="preserve">Uniquement les élèves polyhandicapés et les élèves avec handicaps physiques lourds (...) mais disposant de compétences intellectuelles leur permettant d’accéder aux apprentissages scolaires. </w:t>
      </w:r>
    </w:p>
  </w:footnote>
  <w:footnote w:id="128">
    <w:p w:rsidR="00F04EEF" w:rsidRDefault="0099351E">
      <w:pPr>
        <w:pStyle w:val="Notedebasdepage"/>
      </w:pPr>
      <w:r>
        <w:rPr>
          <w:rStyle w:val="Caractresdenotedebasdepage"/>
        </w:rPr>
        <w:footnoteRef/>
      </w:r>
      <w:r>
        <w:t xml:space="preserve"> Dans le respect des règles statutaires, la fonction de comptable, dans l’enseignement organisé par la Fédération Wallonie-Bruxelles, n’est organisée que lors du départ définitif de l’éducateur-économe titulaire de l’emploi.</w:t>
      </w:r>
    </w:p>
  </w:footnote>
  <w:footnote w:id="129">
    <w:p w:rsidR="00F04EEF" w:rsidRDefault="0099351E">
      <w:pPr>
        <w:pStyle w:val="Notedebasdepage"/>
      </w:pPr>
      <w:r>
        <w:rPr>
          <w:rStyle w:val="Appelnotedebasdep"/>
        </w:rPr>
        <w:footnoteRef/>
      </w:r>
      <w:r>
        <w:t xml:space="preserve"> Décret du 30 avril 2009 concernant la comptabilité des écoles et l’accès à certaines fonctions de sélection et de promotion</w:t>
      </w:r>
    </w:p>
  </w:footnote>
  <w:footnote w:id="130">
    <w:p w:rsidR="00F04EEF" w:rsidRDefault="0099351E">
      <w:pPr>
        <w:pStyle w:val="Notedebasdepage"/>
      </w:pPr>
      <w:r>
        <w:rPr>
          <w:rStyle w:val="Appelnotedebasdep"/>
        </w:rPr>
        <w:footnoteRef/>
      </w:r>
      <w:r>
        <w:t xml:space="preserve"> Par « respect des dispositions statutaires », il faut entendre également le respect des obligations relatives à la mise en disponibilité et la réaffectation. Ainsi, si un commis définitif a été mis en disponibilité par défaut d’emploi suite à la disparition de son poste et que l’établissement repasse la barre des 240 élèves, l’établissement ne pourra passer à la nouvelle dévolution des emplois vu qu’il est tenu à l’obligation de reprendre son commis en disponibilité.</w:t>
      </w:r>
    </w:p>
  </w:footnote>
  <w:footnote w:id="131">
    <w:p w:rsidR="00F04EEF" w:rsidRDefault="00F42422">
      <w:pPr>
        <w:pStyle w:val="Notedebasdepage"/>
      </w:pPr>
      <w:hyperlink r:id="rId55" w:history="1">
        <w:r w:rsidR="0099351E">
          <w:rPr>
            <w:rStyle w:val="Lienhypertexte"/>
            <w:vertAlign w:val="superscript"/>
          </w:rPr>
          <w:footnoteRef/>
        </w:r>
        <w:r w:rsidR="0099351E">
          <w:rPr>
            <w:rStyle w:val="Lienhypertexte"/>
            <w:rFonts w:cs="Arial"/>
          </w:rPr>
          <w:t xml:space="preserve"> Circulaire 6275 du 06 juillet 2017 concernant </w:t>
        </w:r>
        <w:proofErr w:type="gramStart"/>
        <w:r w:rsidR="0099351E">
          <w:rPr>
            <w:rStyle w:val="Lienhypertexte"/>
            <w:rFonts w:cs="Arial"/>
          </w:rPr>
          <w:t>le</w:t>
        </w:r>
        <w:proofErr w:type="gramEnd"/>
        <w:r w:rsidR="0099351E">
          <w:rPr>
            <w:rStyle w:val="Lienhypertexte"/>
            <w:rFonts w:cs="Arial"/>
          </w:rPr>
          <w:t xml:space="preserve"> mise en œuvre des plans de pilotage et renforcement de l’encadrement en personnel éducatif et administratif des écoles secondaires spécialisées.</w:t>
        </w:r>
      </w:hyperlink>
      <w:r w:rsidR="0099351E">
        <w:t xml:space="preserve"> </w:t>
      </w:r>
    </w:p>
  </w:footnote>
  <w:footnote w:id="132">
    <w:p w:rsidR="00F04EEF" w:rsidRDefault="0099351E">
      <w:pPr>
        <w:pStyle w:val="Notedebasdepage"/>
      </w:pPr>
      <w:r>
        <w:rPr>
          <w:rStyle w:val="Caractresdenotedebasdepage"/>
        </w:rPr>
        <w:footnoteRef/>
      </w:r>
      <w:r>
        <w:t xml:space="preserve"> Les conditions de titres sont identiques à celles définies au secondaire</w:t>
      </w:r>
    </w:p>
  </w:footnote>
  <w:footnote w:id="133">
    <w:p w:rsidR="00F04EEF" w:rsidRDefault="0099351E">
      <w:pPr>
        <w:pStyle w:val="Notedebasdepage"/>
      </w:pPr>
      <w:r>
        <w:rPr>
          <w:rStyle w:val="Appelnotedebasdep"/>
          <w:rFonts w:eastAsiaTheme="majorEastAsia"/>
        </w:rPr>
        <w:footnoteRef/>
      </w:r>
      <w:r>
        <w:t xml:space="preserve"> </w:t>
      </w:r>
      <w:hyperlink r:id="rId56" w:history="1">
        <w:r>
          <w:rPr>
            <w:rStyle w:val="Lienhypertexte"/>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34">
    <w:p w:rsidR="00F04EEF" w:rsidRDefault="0099351E">
      <w:pPr>
        <w:autoSpaceDE w:val="0"/>
        <w:autoSpaceDN w:val="0"/>
        <w:adjustRightInd w:val="0"/>
        <w:rPr>
          <w:sz w:val="16"/>
          <w:szCs w:val="16"/>
        </w:rPr>
      </w:pPr>
      <w:r>
        <w:rPr>
          <w:rStyle w:val="Appelnotedebasdep"/>
        </w:rPr>
        <w:footnoteRef/>
      </w:r>
      <w:r>
        <w:t xml:space="preserve"> </w:t>
      </w:r>
      <w:hyperlink r:id="rId57" w:history="1">
        <w:r>
          <w:rPr>
            <w:rStyle w:val="Lienhypertexte"/>
            <w:sz w:val="16"/>
            <w:szCs w:val="16"/>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35">
    <w:p w:rsidR="00F04EEF" w:rsidRDefault="0099351E">
      <w:pPr>
        <w:pStyle w:val="Notedebasdepage"/>
      </w:pPr>
      <w:r>
        <w:rPr>
          <w:rStyle w:val="Appelnotedebasdep"/>
        </w:rPr>
        <w:footnoteRef/>
      </w:r>
      <w:r>
        <w:t xml:space="preserve"> Concernant l’enseignement fondamental spécialisé : l’année scolaire 2012-2013 est la première à prendre en compte.</w:t>
      </w:r>
    </w:p>
  </w:footnote>
  <w:footnote w:id="136">
    <w:p w:rsidR="00F04EEF" w:rsidRDefault="0099351E">
      <w:pPr>
        <w:pStyle w:val="Notedebasdepage"/>
      </w:pPr>
      <w:r>
        <w:rPr>
          <w:rStyle w:val="Caractresdenotedebasdepage"/>
        </w:rPr>
        <w:footnoteRef/>
      </w:r>
      <w:r>
        <w:t xml:space="preserve"> Préciser la  nature du reliquat</w:t>
      </w:r>
    </w:p>
  </w:footnote>
  <w:footnote w:id="137">
    <w:p w:rsidR="00F04EEF" w:rsidRDefault="0099351E">
      <w:pPr>
        <w:pStyle w:val="Notedebasdepage"/>
      </w:pPr>
      <w:r>
        <w:rPr>
          <w:rStyle w:val="Caractresdenotedebasdepage"/>
        </w:rPr>
        <w:footnoteRef/>
      </w:r>
      <w:r>
        <w:t xml:space="preserve"> Exemple : 12 périodes de reliquat enseignant = 12 : 24, soit 0,5 charge</w:t>
      </w:r>
    </w:p>
  </w:footnote>
  <w:footnote w:id="138">
    <w:p w:rsidR="00F04EEF" w:rsidRDefault="0099351E">
      <w:pPr>
        <w:pStyle w:val="Notedebasdepage"/>
      </w:pPr>
      <w:r>
        <w:rPr>
          <w:rStyle w:val="Appelnotedebasdep"/>
        </w:rPr>
        <w:footnoteRef/>
      </w:r>
      <w:r>
        <w:t xml:space="preserve"> Choisir la ou les périodes d’application du transfert parmi celles proposées.</w:t>
      </w:r>
    </w:p>
  </w:footnote>
  <w:footnote w:id="139">
    <w:p w:rsidR="00F04EEF" w:rsidRDefault="0099351E">
      <w:pPr>
        <w:pStyle w:val="Notedebasdepage"/>
      </w:pPr>
      <w:r>
        <w:rPr>
          <w:rStyle w:val="Appelnotedebasdep"/>
        </w:rPr>
        <w:footnoteRef/>
      </w:r>
      <w:r>
        <w:t xml:space="preserve"> Base réglementaire : arrêté ministériel du 1er juillet 2011 relatif aux modalités de transmission du Plan Individuel d’Apprentissage</w:t>
      </w:r>
    </w:p>
  </w:footnote>
  <w:footnote w:id="140">
    <w:p w:rsidR="00F04EEF" w:rsidRDefault="0099351E">
      <w:pPr>
        <w:jc w:val="both"/>
        <w:rPr>
          <w:sz w:val="16"/>
          <w:szCs w:val="16"/>
        </w:rPr>
      </w:pPr>
      <w:r>
        <w:rPr>
          <w:rStyle w:val="Caractresdenotedebasdepage"/>
          <w:rFonts w:cs="Arial"/>
          <w:szCs w:val="16"/>
        </w:rPr>
        <w:footnoteRef/>
      </w:r>
      <w:r>
        <w:rPr>
          <w:sz w:val="16"/>
          <w:szCs w:val="16"/>
        </w:rPr>
        <w:t xml:space="preserve"> Article 96 du </w:t>
      </w:r>
      <w:hyperlink r:id="rId58" w:history="1">
        <w:r>
          <w:rPr>
            <w:rStyle w:val="Lienhypertexte"/>
            <w:rFonts w:cs="Arial"/>
            <w:sz w:val="16"/>
            <w:szCs w:val="16"/>
          </w:rPr>
          <w:t>Décret-missions du 24 juillet 1997</w:t>
        </w:r>
      </w:hyperlink>
    </w:p>
  </w:footnote>
  <w:footnote w:id="141">
    <w:p w:rsidR="00F04EEF" w:rsidRDefault="0099351E">
      <w:pPr>
        <w:pStyle w:val="Notedebasdepage"/>
      </w:pPr>
      <w:r>
        <w:rPr>
          <w:rStyle w:val="Appelnotedebasdep"/>
        </w:rPr>
        <w:footnoteRef/>
      </w:r>
      <w:r>
        <w:t xml:space="preserve"> Articles 95 à 99 du </w:t>
      </w:r>
      <w:hyperlink r:id="rId59" w:history="1">
        <w:r>
          <w:rPr>
            <w:rStyle w:val="Lienhypertexte"/>
          </w:rPr>
          <w:t>Décret-missions du 24 juillet 1997,</w:t>
        </w:r>
      </w:hyperlink>
      <w:r>
        <w:t xml:space="preserve"> Arrêté du Gouvernement de la Communauté française du 21 janvier 2010 relatif à l’organisation et au fonctionnement des conseils de recours de l’enseignement secondaire spécialisé de plein exercice.</w:t>
      </w:r>
    </w:p>
  </w:footnote>
  <w:footnote w:id="142">
    <w:p w:rsidR="00F04EEF" w:rsidRDefault="0099351E">
      <w:pPr>
        <w:pStyle w:val="Notedebasdepage"/>
      </w:pPr>
      <w:r>
        <w:rPr>
          <w:rStyle w:val="Appelnotedebasdep"/>
        </w:rPr>
        <w:footnoteRef/>
      </w:r>
      <w:r>
        <w:t xml:space="preserve"> Base réglementaire : arrêté ministériel du 1er juillet 2011 relatif aux modalités de transmission du Plan Individuel d’Apprentissage</w:t>
      </w:r>
    </w:p>
  </w:footnote>
  <w:footnote w:id="143">
    <w:p w:rsidR="00F04EEF" w:rsidRDefault="0099351E">
      <w:pPr>
        <w:pStyle w:val="Notedebasdepage"/>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44">
    <w:p w:rsidR="00F04EEF" w:rsidRDefault="0099351E">
      <w:pPr>
        <w:jc w:val="both"/>
      </w:pPr>
      <w:r>
        <w:rPr>
          <w:rStyle w:val="Appelnotedebasdep"/>
          <w:sz w:val="16"/>
          <w:szCs w:val="16"/>
        </w:rPr>
        <w:footnoteRef/>
      </w:r>
      <w:r>
        <w:rPr>
          <w:sz w:val="16"/>
          <w:szCs w:val="16"/>
        </w:rPr>
        <w:t xml:space="preserve"> Arrêté royal portant rationalisation et programmation des internats de l'enseignement organisé ou subventionné par l'Etat</w:t>
      </w:r>
      <w:r>
        <w:rPr>
          <w:sz w:val="16"/>
          <w:szCs w:val="16"/>
          <w:lang w:val="fr-FR" w:eastAsia="fr-FR"/>
        </w:rPr>
        <w:t xml:space="preserve"> </w:t>
      </w:r>
    </w:p>
  </w:footnote>
  <w:footnote w:id="145">
    <w:p w:rsidR="00F04EEF" w:rsidRDefault="0099351E">
      <w:pPr>
        <w:pStyle w:val="Notedebasdepage"/>
      </w:pPr>
      <w:r>
        <w:rPr>
          <w:rStyle w:val="Caractresdenotedebasdepage"/>
        </w:rPr>
        <w:footnoteRef/>
      </w:r>
      <w:r>
        <w:t xml:space="preserve"> Seul un CPMS ou un organisme habilité peut attester qu’un élève a des besoins spécifiques.</w:t>
      </w:r>
    </w:p>
  </w:footnote>
  <w:footnote w:id="146">
    <w:p w:rsidR="00F04EEF" w:rsidRDefault="0099351E">
      <w:pPr>
        <w:pStyle w:val="Corpsdetexte"/>
        <w:tabs>
          <w:tab w:val="left" w:pos="1134"/>
        </w:tabs>
        <w:jc w:val="both"/>
        <w:rPr>
          <w:color w:val="FF0000"/>
          <w:sz w:val="16"/>
          <w:szCs w:val="16"/>
        </w:rPr>
      </w:pPr>
      <w:r>
        <w:rPr>
          <w:rStyle w:val="Caractresdenotedebasdepage"/>
          <w:b w:val="0"/>
          <w:color w:val="000000"/>
          <w:szCs w:val="16"/>
        </w:rPr>
        <w:footnoteRef/>
      </w:r>
      <w:r>
        <w:rPr>
          <w:b w:val="0"/>
          <w:color w:val="000000"/>
          <w:sz w:val="16"/>
          <w:szCs w:val="16"/>
        </w:rPr>
        <w:t xml:space="preserve"> </w:t>
      </w:r>
      <w:r>
        <w:rPr>
          <w:b w:val="0"/>
          <w:color w:val="000000" w:themeColor="text1"/>
          <w:sz w:val="16"/>
          <w:szCs w:val="16"/>
        </w:rPr>
        <w:t>Compétences SPW transport et COCOF</w:t>
      </w:r>
    </w:p>
  </w:footnote>
  <w:footnote w:id="147">
    <w:p w:rsidR="00F04EEF" w:rsidRDefault="0099351E">
      <w:pPr>
        <w:pStyle w:val="Notedebasdepage"/>
      </w:pPr>
      <w:r>
        <w:rPr>
          <w:rStyle w:val="Appelnotedebasdep"/>
        </w:rPr>
        <w:footnoteRef/>
      </w:r>
      <w:r>
        <w:t xml:space="preserve"> Les partenaires tendent à rallier l’unanimité</w:t>
      </w:r>
    </w:p>
  </w:footnote>
  <w:footnote w:id="148">
    <w:p w:rsidR="00F04EEF" w:rsidRDefault="0099351E">
      <w:pPr>
        <w:pStyle w:val="Notedebasdepage"/>
      </w:pPr>
      <w:r>
        <w:rPr>
          <w:rStyle w:val="Appelnotedebasdep"/>
        </w:rPr>
        <w:footnoteRef/>
      </w:r>
      <w:r>
        <w:t xml:space="preserve"> Les partenaires doivent tendre à rallier l’unanimité</w:t>
      </w:r>
    </w:p>
  </w:footnote>
  <w:footnote w:id="149">
    <w:p w:rsidR="00F04EEF" w:rsidRDefault="0099351E">
      <w:pPr>
        <w:pStyle w:val="Notedebasdepage"/>
      </w:pPr>
      <w:r>
        <w:rPr>
          <w:rStyle w:val="Caractresdenotedebasdepage"/>
        </w:rPr>
        <w:footnoteRef/>
      </w:r>
      <w:r>
        <w:t xml:space="preserve"> Article 142 al 2 Le membre du personnel de l’enseignement spécialisé chargé de l’accompagnement reste placé sous la seule autorité de la direction de l’établissement d’enseignement spécialisé dont il relève.</w:t>
      </w:r>
    </w:p>
  </w:footnote>
  <w:footnote w:id="150">
    <w:p w:rsidR="00F04EEF" w:rsidRDefault="0099351E">
      <w:pPr>
        <w:pStyle w:val="Notedebasdepage"/>
      </w:pPr>
      <w:r>
        <w:rPr>
          <w:rStyle w:val="Appelnotedebasdep"/>
        </w:rPr>
        <w:footnoteRef/>
      </w:r>
      <w:r>
        <w:t xml:space="preserve"> Ce document doit être inséré au protocole d’intégration.</w:t>
      </w:r>
    </w:p>
  </w:footnote>
  <w:footnote w:id="151">
    <w:p w:rsidR="00F04EEF" w:rsidRDefault="0099351E">
      <w:pPr>
        <w:pStyle w:val="Notedebasdepage"/>
      </w:pPr>
      <w:r>
        <w:rPr>
          <w:rStyle w:val="Appelnotedebasdep"/>
          <w:rFonts w:cs="Arial"/>
        </w:rPr>
        <w:footnoteRef/>
      </w:r>
      <w:r>
        <w:t xml:space="preserve"> Mentionner l’année d’étude et la date à laquelle l’intégration a commencé.</w:t>
      </w:r>
    </w:p>
  </w:footnote>
  <w:footnote w:id="152">
    <w:p w:rsidR="00F04EEF" w:rsidRDefault="0099351E">
      <w:pPr>
        <w:pStyle w:val="Notedebasdepage"/>
      </w:pPr>
      <w:r>
        <w:rPr>
          <w:rStyle w:val="Appelnotedebasdep"/>
          <w:rFonts w:cs="Arial"/>
        </w:rPr>
        <w:footnoteRef/>
      </w:r>
      <w:r>
        <w:t xml:space="preserve"> Exemples : retour dans l’école d’enseignement spécialisé, réorientation dans l’école d’enseignement ordinaire, fin de scolarité, …</w:t>
      </w:r>
    </w:p>
  </w:footnote>
  <w:footnote w:id="153">
    <w:p w:rsidR="00F04EEF" w:rsidRDefault="0099351E">
      <w:pPr>
        <w:pStyle w:val="Notedebasdepage"/>
      </w:pPr>
      <w:r>
        <w:rPr>
          <w:rStyle w:val="Appelnotedebasdep"/>
        </w:rPr>
        <w:footnoteRef/>
      </w:r>
      <w:r>
        <w:t xml:space="preserve"> Le choix du réseau d’enseignement est laissé à l’appréciation des parents</w:t>
      </w:r>
    </w:p>
  </w:footnote>
  <w:footnote w:id="154">
    <w:p w:rsidR="00F04EEF" w:rsidRDefault="0099351E">
      <w:pPr>
        <w:pStyle w:val="Notedebasdepage"/>
      </w:pPr>
      <w:r>
        <w:rPr>
          <w:rStyle w:val="Appelnotedebasdep"/>
        </w:rPr>
        <w:footnoteRef/>
      </w:r>
      <w:r>
        <w:t xml:space="preserve"> </w:t>
      </w:r>
      <w:r>
        <w:rPr>
          <w:rFonts w:ascii="Cambria" w:hAnsi="Cambria" w:cs="Calibri"/>
          <w:color w:val="000000"/>
          <w:lang w:eastAsia="fr-BE"/>
        </w:rPr>
        <w:t>Traitement et éducation des enfants autistes ou souffrants de handicaps de communication</w:t>
      </w:r>
    </w:p>
  </w:footnote>
  <w:footnote w:id="155">
    <w:p w:rsidR="00F04EEF" w:rsidRDefault="0099351E">
      <w:pPr>
        <w:pStyle w:val="Notedebasdepage"/>
      </w:pPr>
      <w:r>
        <w:rPr>
          <w:rStyle w:val="Appelnotedebasdep"/>
        </w:rPr>
        <w:footnoteRef/>
      </w:r>
      <w:r>
        <w:t xml:space="preserve"> </w:t>
      </w:r>
      <w:r>
        <w:rPr>
          <w:rFonts w:ascii="Cambria" w:hAnsi="Cambria" w:cs="Calibri"/>
          <w:color w:val="000000"/>
          <w:lang w:eastAsia="fr-BE"/>
        </w:rPr>
        <w:t>Technologies de l’information et de la communication pour l’enseignement</w:t>
      </w:r>
    </w:p>
  </w:footnote>
  <w:footnote w:id="156">
    <w:p w:rsidR="00F04EEF" w:rsidRDefault="0099351E">
      <w:pPr>
        <w:pStyle w:val="Notedebasdepage"/>
      </w:pPr>
      <w:r>
        <w:rPr>
          <w:rStyle w:val="Appelnotedebasdep"/>
        </w:rPr>
        <w:footnoteRef/>
      </w:r>
      <w:r>
        <w:t xml:space="preserve"> </w:t>
      </w:r>
      <w:r>
        <w:rPr>
          <w:rFonts w:ascii="Cambria" w:hAnsi="Cambria" w:cs="Calibri"/>
          <w:color w:val="000000"/>
          <w:lang w:eastAsia="fr-BE"/>
        </w:rPr>
        <w:t>Tableau blanc interactif</w:t>
      </w:r>
    </w:p>
  </w:footnote>
  <w:footnote w:id="157">
    <w:p w:rsidR="00F04EEF" w:rsidRDefault="0099351E">
      <w:pPr>
        <w:pStyle w:val="Notedebasdepage"/>
      </w:pPr>
      <w:r>
        <w:rPr>
          <w:rStyle w:val="Appelnotedebasdep"/>
        </w:rPr>
        <w:footnoteRef/>
      </w:r>
      <w:r>
        <w:t xml:space="preserve"> </w:t>
      </w:r>
      <w:r>
        <w:rPr>
          <w:rFonts w:ascii="Cambria" w:hAnsi="Cambria" w:cs="Calibri"/>
          <w:color w:val="000000"/>
          <w:lang w:eastAsia="fr-BE"/>
        </w:rPr>
        <w:t>Picture Exchange Communication System</w:t>
      </w:r>
    </w:p>
  </w:footnote>
  <w:footnote w:id="158">
    <w:p w:rsidR="00F04EEF" w:rsidRDefault="0099351E">
      <w:pPr>
        <w:autoSpaceDE w:val="0"/>
        <w:autoSpaceDN w:val="0"/>
        <w:adjustRightInd w:val="0"/>
        <w:rPr>
          <w:rFonts w:ascii="Cambria" w:hAnsi="Cambria" w:cs="Calibri"/>
          <w:color w:val="000000"/>
          <w:sz w:val="20"/>
          <w:szCs w:val="20"/>
          <w:lang w:eastAsia="fr-BE"/>
        </w:rPr>
      </w:pPr>
      <w:r>
        <w:rPr>
          <w:rStyle w:val="Appelnotedebasdep"/>
          <w:sz w:val="20"/>
        </w:rPr>
        <w:footnoteRef/>
      </w:r>
      <w:r>
        <w:rPr>
          <w:sz w:val="20"/>
          <w:szCs w:val="20"/>
        </w:rPr>
        <w:t xml:space="preserve"> </w:t>
      </w:r>
      <w:r>
        <w:rPr>
          <w:rFonts w:ascii="Cambria" w:hAnsi="Cambria" w:cs="Calibri"/>
          <w:color w:val="000000"/>
          <w:sz w:val="16"/>
          <w:szCs w:val="16"/>
          <w:lang w:eastAsia="fr-BE"/>
        </w:rPr>
        <w:t>A titre d’exemple, le nombre guide le plus élevé de l’enseignement primaire de type 2 est 7. Ainsi, il faut compter au moins une personne formée par tranche de 14 élèves de ce niveau.</w:t>
      </w:r>
    </w:p>
    <w:p w:rsidR="00F04EEF" w:rsidRDefault="00F04EEF">
      <w:pPr>
        <w:pStyle w:val="Notedebasdepage"/>
      </w:pPr>
    </w:p>
  </w:footnote>
  <w:footnote w:id="159">
    <w:p w:rsidR="00F04EEF" w:rsidRDefault="0099351E">
      <w:pPr>
        <w:autoSpaceDE w:val="0"/>
        <w:autoSpaceDN w:val="0"/>
        <w:adjustRightInd w:val="0"/>
        <w:jc w:val="both"/>
      </w:pPr>
      <w:r>
        <w:rPr>
          <w:rStyle w:val="Appelnotedebasdep"/>
          <w:sz w:val="18"/>
          <w:szCs w:val="18"/>
        </w:rPr>
        <w:footnoteRef/>
      </w:r>
      <w:r>
        <w:rPr>
          <w:rFonts w:ascii="Cambria" w:hAnsi="Cambria" w:cs="Calibri"/>
          <w:color w:val="000000"/>
          <w:sz w:val="18"/>
          <w:szCs w:val="18"/>
          <w:lang w:eastAsia="fr-BE"/>
        </w:rPr>
        <w:t xml:space="preserve">  Articles 200 et 201</w:t>
      </w:r>
      <w:r>
        <w:rPr>
          <w:rFonts w:ascii="Cambria" w:hAnsi="Cambria" w:cs="Calibri"/>
          <w:color w:val="000000"/>
          <w:sz w:val="24"/>
          <w:szCs w:val="24"/>
          <w:lang w:eastAsia="fr-BE"/>
        </w:rPr>
        <w:t>.</w:t>
      </w:r>
    </w:p>
  </w:footnote>
  <w:footnote w:id="160">
    <w:p w:rsidR="00F04EEF" w:rsidRDefault="0099351E">
      <w:pPr>
        <w:pStyle w:val="Notedebasdepage"/>
        <w:rPr>
          <w:rFonts w:ascii="Calibri Light" w:hAnsi="Calibri Light"/>
        </w:rPr>
      </w:pPr>
      <w:r>
        <w:rPr>
          <w:rStyle w:val="Caractresdenotedebasdepage"/>
          <w:rFonts w:eastAsiaTheme="majorEastAsia"/>
        </w:rPr>
        <w:footnoteRef/>
      </w:r>
      <w:r>
        <w:rPr>
          <w:rFonts w:ascii="Calibri Light" w:hAnsi="Calibri Light"/>
        </w:rPr>
        <w:t xml:space="preserve"> Biffer la mention inutile</w:t>
      </w:r>
    </w:p>
  </w:footnote>
  <w:footnote w:id="161">
    <w:p w:rsidR="00F04EEF" w:rsidRDefault="0099351E">
      <w:pPr>
        <w:pBdr>
          <w:right w:val="single" w:sz="4" w:space="4" w:color="auto"/>
        </w:pBdr>
        <w:jc w:val="both"/>
        <w:rPr>
          <w:rFonts w:cs="Arial"/>
          <w:sz w:val="16"/>
          <w:szCs w:val="16"/>
        </w:rPr>
      </w:pPr>
      <w:r>
        <w:rPr>
          <w:rStyle w:val="Appelnotedebasdep"/>
          <w:sz w:val="16"/>
          <w:szCs w:val="16"/>
        </w:rPr>
        <w:footnoteRef/>
      </w:r>
      <w:r>
        <w:rPr>
          <w:sz w:val="16"/>
          <w:szCs w:val="16"/>
        </w:rPr>
        <w:t xml:space="preserve"> La présence de cette attestation dans le dossier de l’élève est une obligation afin de vérifier, en cas de scolarité irrégulière de l’élève entre autres, que la validité de l’attestation d’orientation est de moins de 2 ans.  En effet, l</w:t>
      </w:r>
      <w:r>
        <w:rPr>
          <w:rFonts w:cs="Arial"/>
          <w:sz w:val="16"/>
          <w:szCs w:val="16"/>
        </w:rPr>
        <w:t xml:space="preserve">’article 12, § 3 du </w:t>
      </w:r>
      <w:hyperlink r:id="rId60" w:history="1">
        <w:r>
          <w:rPr>
            <w:rStyle w:val="Lienhypertexte"/>
            <w:rFonts w:cs="Arial"/>
            <w:sz w:val="16"/>
            <w:szCs w:val="16"/>
          </w:rPr>
          <w:t>Décret du 3 mars 2004 organisant l'Enseignement spécialisé</w:t>
        </w:r>
      </w:hyperlink>
      <w:r>
        <w:rPr>
          <w:sz w:val="16"/>
          <w:szCs w:val="16"/>
        </w:rPr>
        <w:t xml:space="preserve">, </w:t>
      </w:r>
      <w:r>
        <w:rPr>
          <w:rFonts w:cs="Arial"/>
          <w:sz w:val="16"/>
          <w:szCs w:val="16"/>
        </w:rPr>
        <w:t xml:space="preserve">stipule qu’un nouveau rapport d’inscription </w:t>
      </w:r>
      <w:r>
        <w:rPr>
          <w:rFonts w:cs="Arial"/>
          <w:sz w:val="16"/>
          <w:szCs w:val="16"/>
          <w:u w:val="single"/>
        </w:rPr>
        <w:t>ne doit pas nécessairement</w:t>
      </w:r>
      <w:r>
        <w:rPr>
          <w:rFonts w:cs="Arial"/>
          <w:sz w:val="16"/>
          <w:szCs w:val="16"/>
        </w:rPr>
        <w:t xml:space="preserve"> être établi pour un élève qui sollicite sa réinscription dans l’enseignement spécialisé dans un délai de moins de deux ans sauf si l’élève est orienté vers un type différent de celui figurant sur l’attestation initiale. </w:t>
      </w:r>
    </w:p>
    <w:p w:rsidR="00F04EEF" w:rsidRDefault="00F04EEF">
      <w:pPr>
        <w:pStyle w:val="Notedebasdepage"/>
      </w:pPr>
    </w:p>
  </w:footnote>
  <w:footnote w:id="162">
    <w:p w:rsidR="00F04EEF" w:rsidRDefault="0099351E">
      <w:pPr>
        <w:pStyle w:val="Notedebasdepage"/>
      </w:pPr>
      <w:r>
        <w:rPr>
          <w:rStyle w:val="Appelnotedebasdep"/>
        </w:rPr>
        <w:footnoteRef/>
      </w:r>
      <w:r>
        <w:t xml:space="preserve"> </w:t>
      </w:r>
      <w:hyperlink r:id="rId61" w:history="1">
        <w:r>
          <w:rPr>
            <w:rStyle w:val="Lienhypertexte"/>
          </w:rPr>
          <w:t>Arrêté du Gouvernement de la Communauté française du 23 juin 2006 fixant les modèles d’attestations délivrées dans l’enseignement spécialisé.</w:t>
        </w:r>
      </w:hyperlink>
    </w:p>
    <w:p w:rsidR="00F04EEF" w:rsidRDefault="00F04EEF">
      <w:pPr>
        <w:pStyle w:val="Notedebasdepage"/>
      </w:pPr>
    </w:p>
  </w:footnote>
  <w:footnote w:id="163">
    <w:p w:rsidR="00F04EEF" w:rsidRDefault="0099351E">
      <w:pPr>
        <w:pStyle w:val="Notedebasdepage"/>
      </w:pPr>
      <w:r>
        <w:rPr>
          <w:rStyle w:val="Appelnotedebasdep"/>
        </w:rPr>
        <w:footnoteRef/>
      </w:r>
      <w:r>
        <w:t xml:space="preserve"> </w:t>
      </w:r>
      <w:hyperlink r:id="rId62" w:history="1">
        <w:r>
          <w:rPr>
            <w:rStyle w:val="Lienhypertexte"/>
          </w:rPr>
          <w:t>Arrêté du Gouvernement de la Communauté française du 14 mars 2018 modifiant l’arrêté du Gouvernement de la Communauté française du 20 juillet 2005 fixant les modèles des attestations, des avis et du certificat de qualification délivrés dans l’enseignement spécialisé de forme 3.</w:t>
        </w:r>
      </w:hyperlink>
    </w:p>
  </w:footnote>
  <w:footnote w:id="164">
    <w:p w:rsidR="00F04EEF" w:rsidRDefault="0099351E">
      <w:pPr>
        <w:pStyle w:val="Titre3"/>
        <w:shd w:val="clear" w:color="auto" w:fill="FFFFFF"/>
        <w:spacing w:line="288" w:lineRule="atLeast"/>
        <w:jc w:val="both"/>
        <w:textAlignment w:val="baseline"/>
        <w:rPr>
          <w:rFonts w:ascii="Verdana" w:hAnsi="Verdana"/>
          <w:b w:val="0"/>
          <w:color w:val="0A0A0A"/>
          <w:spacing w:val="2"/>
          <w:sz w:val="30"/>
          <w:szCs w:val="30"/>
          <w:u w:val="none"/>
        </w:rPr>
      </w:pPr>
      <w:r>
        <w:rPr>
          <w:rFonts w:eastAsia="Times New Roman" w:cs="Arial"/>
          <w:b w:val="0"/>
          <w:sz w:val="16"/>
          <w:szCs w:val="16"/>
          <w:u w:val="none"/>
          <w:vertAlign w:val="superscript"/>
          <w:lang w:eastAsia="ar-SA"/>
        </w:rPr>
        <w:footnoteRef/>
      </w:r>
      <w:r>
        <w:rPr>
          <w:rFonts w:eastAsia="Times New Roman" w:cs="Arial"/>
          <w:b w:val="0"/>
          <w:sz w:val="16"/>
          <w:szCs w:val="16"/>
          <w:u w:val="none"/>
          <w:vertAlign w:val="superscript"/>
          <w:lang w:eastAsia="ar-SA"/>
        </w:rPr>
        <w:t xml:space="preserve"> </w:t>
      </w:r>
      <w:hyperlink r:id="rId63" w:history="1">
        <w:r>
          <w:rPr>
            <w:rStyle w:val="Lienhypertexte"/>
            <w:rFonts w:eastAsia="Times New Roman" w:cs="Arial"/>
            <w:sz w:val="16"/>
            <w:szCs w:val="16"/>
            <w:lang w:eastAsia="ar-SA"/>
          </w:rPr>
          <w:t>Circulaire n° 5880</w:t>
        </w:r>
        <w:r>
          <w:rPr>
            <w:rStyle w:val="Lienhypertexte"/>
            <w:sz w:val="16"/>
            <w:szCs w:val="16"/>
          </w:rPr>
          <w:t> </w:t>
        </w:r>
      </w:hyperlink>
      <w:r>
        <w:rPr>
          <w:b w:val="0"/>
          <w:sz w:val="16"/>
          <w:szCs w:val="16"/>
          <w:u w:val="none"/>
        </w:rPr>
        <w:t xml:space="preserve">: </w:t>
      </w:r>
      <w:r>
        <w:rPr>
          <w:rFonts w:eastAsia="Times New Roman" w:cs="Arial"/>
          <w:b w:val="0"/>
          <w:sz w:val="16"/>
          <w:szCs w:val="16"/>
          <w:u w:val="none"/>
          <w:lang w:eastAsia="ar-SA"/>
        </w:rPr>
        <w:t>Modification à la circulaire 2922 du 21 octobre 2009 relative aux directives applicables en matière de vérification et de paiement du droit d’inscription spécifique dans l’enseignement secondaire ordinaire organisé ou subventionné par la Communauté française</w:t>
      </w:r>
    </w:p>
  </w:footnote>
  <w:footnote w:id="165">
    <w:p w:rsidR="00F04EEF" w:rsidRDefault="0099351E">
      <w:pPr>
        <w:pStyle w:val="Notedebasdepage"/>
      </w:pPr>
      <w:r>
        <w:rPr>
          <w:rStyle w:val="Appelnotedebasdep"/>
          <w:rFonts w:ascii="Georgia" w:hAnsi="Georgia"/>
        </w:rPr>
        <w:footnoteRef/>
      </w:r>
      <w:r>
        <w:t xml:space="preserve"> Voir </w:t>
      </w:r>
      <w:hyperlink w:anchor="_Chapitre_14_:" w:history="1">
        <w:r>
          <w:rPr>
            <w:rStyle w:val="Lienhypertexte"/>
            <w:rFonts w:ascii="Georgia" w:hAnsi="Georgia" w:cs="Arial"/>
          </w:rPr>
          <w:t>chapitre 14</w:t>
        </w:r>
      </w:hyperlink>
    </w:p>
  </w:footnote>
  <w:footnote w:id="166">
    <w:p w:rsidR="00F04EEF" w:rsidRDefault="0099351E">
      <w:pPr>
        <w:pStyle w:val="Notedebasdepage"/>
      </w:pPr>
      <w:r>
        <w:rPr>
          <w:rStyle w:val="Appelnotedebasdep"/>
        </w:rPr>
        <w:footnoteRef/>
      </w:r>
      <w:r>
        <w:t xml:space="preserve"> Uniquement dans la situation où le Centre PMS qui a modifié l’attestation n’est pas le même que celui qui assure la guidance de l’établissement d’enseignement spécialisé fréquenté par l’élève</w:t>
      </w:r>
    </w:p>
  </w:footnote>
  <w:footnote w:id="167">
    <w:p w:rsidR="00F04EEF" w:rsidRDefault="0099351E">
      <w:pPr>
        <w:pStyle w:val="Notedebasdepage"/>
      </w:pPr>
      <w:r>
        <w:rPr>
          <w:rStyle w:val="Appelnotedebasdep"/>
        </w:rPr>
        <w:footnoteRef/>
      </w:r>
      <w:r>
        <w:t xml:space="preserve"> Il s’agit de la loi régissant le secteur des hôpitaux généraux, hôpitaux mono spécialisés, hôpitaux universitaires et hôpitaux psychiatriques.</w:t>
      </w:r>
    </w:p>
  </w:footnote>
  <w:footnote w:id="168">
    <w:p w:rsidR="00F04EEF" w:rsidRDefault="0099351E">
      <w:pPr>
        <w:pStyle w:val="Notedebasdepage"/>
      </w:pPr>
      <w:r>
        <w:rPr>
          <w:rStyle w:val="Appelnotedebasdep"/>
        </w:rPr>
        <w:footnoteRef/>
      </w:r>
      <w:r>
        <w:rPr>
          <w:rStyle w:val="Appelnotedebasdep"/>
        </w:rPr>
        <w:t xml:space="preserve"> </w:t>
      </w:r>
      <w:r>
        <w:t>Les prix de base sont fixés au 1er septembre 1976 en tenant  compte de l'indice appliqué aux rémunérations dans les services publics; ils sont adaptés deux fois l'an : le 1er janvier et le 1er septembre, en tenant compte de l'évolution de cet indice.  Le prix est indexé au 1</w:t>
      </w:r>
      <w:r>
        <w:rPr>
          <w:vertAlign w:val="superscript"/>
        </w:rPr>
        <w:t>er</w:t>
      </w:r>
      <w:r>
        <w:t xml:space="preserve"> janvier 2020</w:t>
      </w:r>
    </w:p>
  </w:footnote>
  <w:footnote w:id="169">
    <w:p w:rsidR="00F04EEF" w:rsidRDefault="0099351E">
      <w:pPr>
        <w:ind w:right="-45"/>
        <w:jc w:val="both"/>
      </w:pPr>
      <w:r>
        <w:rPr>
          <w:rStyle w:val="Appelnotedebasdep"/>
          <w:sz w:val="16"/>
          <w:szCs w:val="16"/>
        </w:rPr>
        <w:footnoteRef/>
      </w:r>
      <w:r>
        <w:rPr>
          <w:rStyle w:val="Appelnotedebasdep"/>
          <w:sz w:val="16"/>
          <w:szCs w:val="16"/>
        </w:rPr>
        <w:t xml:space="preserve"> </w:t>
      </w:r>
      <w:r>
        <w:rPr>
          <w:sz w:val="16"/>
          <w:szCs w:val="16"/>
        </w:rPr>
        <w:t>Indexé au 1er janvier 2020</w:t>
      </w:r>
    </w:p>
  </w:footnote>
  <w:footnote w:id="170">
    <w:p w:rsidR="00F04EEF" w:rsidRDefault="0099351E">
      <w:pPr>
        <w:ind w:right="-45"/>
        <w:jc w:val="both"/>
        <w:rPr>
          <w:sz w:val="16"/>
          <w:szCs w:val="16"/>
        </w:rPr>
      </w:pPr>
      <w:r>
        <w:rPr>
          <w:rStyle w:val="Appelnotedebasdep"/>
          <w:sz w:val="16"/>
          <w:szCs w:val="16"/>
        </w:rPr>
        <w:footnoteRef/>
      </w:r>
      <w:r>
        <w:rPr>
          <w:sz w:val="16"/>
          <w:szCs w:val="16"/>
        </w:rPr>
        <w:t xml:space="preserve"> Indexé au 1</w:t>
      </w:r>
      <w:r>
        <w:rPr>
          <w:sz w:val="16"/>
          <w:szCs w:val="16"/>
          <w:vertAlign w:val="superscript"/>
        </w:rPr>
        <w:t>er</w:t>
      </w:r>
      <w:r>
        <w:rPr>
          <w:sz w:val="16"/>
          <w:szCs w:val="16"/>
        </w:rPr>
        <w:t xml:space="preserve"> </w:t>
      </w:r>
      <w:r>
        <w:rPr>
          <w:noProof/>
          <w:sz w:val="16"/>
          <w:szCs w:val="16"/>
          <w:lang w:eastAsia="fr-BE"/>
        </w:rPr>
        <w:drawing>
          <wp:inline distT="0" distB="0" distL="0" distR="0">
            <wp:extent cx="9525" cy="161925"/>
            <wp:effectExtent l="0" t="0" r="9525" b="9525"/>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525" cy="161925"/>
                    </a:xfrm>
                    <a:prstGeom prst="rect">
                      <a:avLst/>
                    </a:prstGeom>
                    <a:noFill/>
                    <a:ln>
                      <a:noFill/>
                    </a:ln>
                  </pic:spPr>
                </pic:pic>
              </a:graphicData>
            </a:graphic>
          </wp:inline>
        </w:drawing>
      </w:r>
      <w:r>
        <w:rPr>
          <w:sz w:val="16"/>
          <w:szCs w:val="16"/>
        </w:rPr>
        <w:t>janvier 2020</w:t>
      </w:r>
    </w:p>
  </w:footnote>
  <w:footnote w:id="171">
    <w:p w:rsidR="00F04EEF" w:rsidRDefault="0099351E">
      <w:pPr>
        <w:pStyle w:val="Notedebasdepage"/>
      </w:pPr>
      <w:r>
        <w:rPr>
          <w:rStyle w:val="Appelnotedebasdep"/>
        </w:rPr>
        <w:footnoteRef/>
      </w:r>
      <w:r>
        <w:t xml:space="preserve"> Indexé au 1</w:t>
      </w:r>
      <w:r>
        <w:rPr>
          <w:vertAlign w:val="superscript"/>
        </w:rPr>
        <w:t>er</w:t>
      </w:r>
      <w:r>
        <w:t xml:space="preserve"> janvier 2020</w:t>
      </w:r>
    </w:p>
  </w:footnote>
  <w:footnote w:id="172">
    <w:p w:rsidR="00F04EEF" w:rsidRDefault="0099351E">
      <w:pPr>
        <w:pStyle w:val="Notedebasdepage"/>
      </w:pPr>
      <w:r>
        <w:rPr>
          <w:rStyle w:val="Appelnotedebasdep"/>
        </w:rPr>
        <w:footnoteRef/>
      </w:r>
      <w:r>
        <w:t xml:space="preserve"> Indexé au 1</w:t>
      </w:r>
      <w:r>
        <w:rPr>
          <w:vertAlign w:val="superscript"/>
        </w:rPr>
        <w:t>er</w:t>
      </w:r>
      <w:r>
        <w:t xml:space="preserve"> janvier 2020</w:t>
      </w:r>
    </w:p>
  </w:footnote>
  <w:footnote w:id="173">
    <w:p w:rsidR="00F04EEF" w:rsidRDefault="0099351E">
      <w:pPr>
        <w:pStyle w:val="Notedebasdepage"/>
        <w:rPr>
          <w:rFonts w:ascii="Calibri" w:hAnsi="Calibri" w:cs="Times New Roman"/>
        </w:rPr>
      </w:pPr>
      <w:r>
        <w:rPr>
          <w:rStyle w:val="Appelnotedebasdep"/>
          <w:rFonts w:eastAsiaTheme="minorEastAsia"/>
        </w:rPr>
        <w:footnoteRef/>
      </w:r>
      <w:r>
        <w:t xml:space="preserve"> (Règlement 679/2016)</w:t>
      </w:r>
    </w:p>
  </w:footnote>
  <w:footnote w:id="174">
    <w:p w:rsidR="00F04EEF" w:rsidRDefault="0099351E">
      <w:pPr>
        <w:pStyle w:val="Notedebasdepage"/>
      </w:pPr>
      <w:r>
        <w:rPr>
          <w:rStyle w:val="Appelnotedebasdep"/>
          <w:rFonts w:eastAsiaTheme="minorEastAsia"/>
        </w:rPr>
        <w:footnoteRef/>
      </w:r>
      <w:r>
        <w:t xml:space="preserve"> </w:t>
      </w:r>
      <w:hyperlink r:id="rId65" w:history="1">
        <w:r>
          <w:rPr>
            <w:rStyle w:val="Lienhypertexte"/>
          </w:rPr>
          <w:t>https://eur-lex.europa.eu/legal-content/FR/TXT/HTML/?uri=CELEX:32016R0679&amp;from=EN</w:t>
        </w:r>
      </w:hyperlink>
      <w:r>
        <w:t xml:space="preserve"> </w:t>
      </w:r>
    </w:p>
  </w:footnote>
  <w:footnote w:id="175">
    <w:p w:rsidR="00F04EEF" w:rsidRDefault="0099351E">
      <w:pPr>
        <w:pStyle w:val="Notedebasdepage"/>
        <w:rPr>
          <w:rFonts w:eastAsiaTheme="minorHAnsi"/>
          <w:szCs w:val="22"/>
        </w:rPr>
      </w:pPr>
      <w:r>
        <w:rPr>
          <w:rStyle w:val="Appelnotedebasdep"/>
          <w:rFonts w:eastAsiaTheme="minorEastAsia"/>
        </w:rPr>
        <w:footnoteRef/>
      </w:r>
      <w:r>
        <w:rPr>
          <w:lang w:val="fr-FR"/>
        </w:rPr>
        <w:t xml:space="preserve"> </w:t>
      </w:r>
      <w:r>
        <w:rPr>
          <w:rFonts w:eastAsiaTheme="minorHAnsi"/>
        </w:rPr>
        <w:t>L’article 30 du RGPD liste les informations visées</w:t>
      </w:r>
      <w:r>
        <w:rPr>
          <w:rFonts w:eastAsiaTheme="minorHAnsi"/>
          <w:szCs w:val="22"/>
        </w:rPr>
        <w:t>.</w:t>
      </w:r>
    </w:p>
  </w:footnote>
  <w:footnote w:id="176">
    <w:p w:rsidR="00F04EEF" w:rsidRDefault="0099351E">
      <w:pPr>
        <w:pStyle w:val="Notedebasdepage"/>
        <w:rPr>
          <w:rFonts w:eastAsiaTheme="minorHAnsi"/>
        </w:rPr>
      </w:pPr>
      <w:r>
        <w:rPr>
          <w:rStyle w:val="Appelnotedebasdep"/>
          <w:rFonts w:eastAsiaTheme="minorEastAsia"/>
        </w:rPr>
        <w:footnoteRef/>
      </w:r>
      <w:r>
        <w:t xml:space="preserve"> </w:t>
      </w:r>
      <w:r>
        <w:rPr>
          <w:rFonts w:eastAsiaTheme="minorHAnsi"/>
        </w:rPr>
        <w:t>Les informations relatives au traitement de données à caractères personnels peuvent être insérées dans le Règlement d’Ordre Intérieur pour ce qui concerne les élèves et leurs parents.</w:t>
      </w:r>
    </w:p>
  </w:footnote>
  <w:footnote w:id="177">
    <w:p w:rsidR="00F04EEF" w:rsidRDefault="0099351E">
      <w:pPr>
        <w:pStyle w:val="Notedebasdepage"/>
      </w:pPr>
      <w:r>
        <w:rPr>
          <w:rStyle w:val="Appelnotedebasdep"/>
          <w:rFonts w:eastAsiaTheme="minorEastAsia"/>
        </w:rPr>
        <w:footnoteRef/>
      </w:r>
      <w:r>
        <w:t xml:space="preserve"> Un modèle est disponible sur le site de l’Autorité de protection des données : </w:t>
      </w:r>
      <w:hyperlink r:id="rId66" w:history="1">
        <w:r>
          <w:rPr>
            <w:rStyle w:val="Lienhypertexte"/>
          </w:rPr>
          <w:t>https://www.autoriteprotectiondonnees.be/canevas-de-registre-des-activites-de-traitement</w:t>
        </w:r>
      </w:hyperlink>
      <w:r>
        <w:t xml:space="preserve"> </w:t>
      </w:r>
    </w:p>
  </w:footnote>
  <w:footnote w:id="178">
    <w:p w:rsidR="00F04EEF" w:rsidRDefault="0099351E">
      <w:pPr>
        <w:pStyle w:val="Notedebasdepage"/>
        <w:rPr>
          <w:rFonts w:eastAsiaTheme="minorHAnsi"/>
        </w:rPr>
      </w:pPr>
      <w:r>
        <w:rPr>
          <w:rFonts w:eastAsiaTheme="minorHAnsi"/>
        </w:rPr>
        <w:footnoteRef/>
      </w:r>
      <w:r>
        <w:rPr>
          <w:rFonts w:eastAsiaTheme="minorHAnsi"/>
        </w:rPr>
        <w:t xml:space="preserve"> Un seul « non » devrait empêcher la contractualisation.</w:t>
      </w:r>
    </w:p>
  </w:footnote>
  <w:footnote w:id="179">
    <w:p w:rsidR="00F04EEF" w:rsidRDefault="0099351E">
      <w:pPr>
        <w:pStyle w:val="Notedebasdepage"/>
      </w:pPr>
      <w:r>
        <w:rPr>
          <w:rStyle w:val="Appelnotedebasdep"/>
          <w:rFonts w:eastAsiaTheme="minorEastAsia"/>
        </w:rPr>
        <w:footnoteRef/>
      </w:r>
      <w:r>
        <w:t xml:space="preserve"> </w:t>
      </w:r>
      <w:hyperlink r:id="rId67" w:history="1">
        <w:r>
          <w:rPr>
            <w:rStyle w:val="Lienhypertexte"/>
          </w:rPr>
          <w:t>https://eur-lex.europa.eu/legal-content/FR/TXT/HTML/?uri=CELEX:32016R0679&amp;from=EN</w:t>
        </w:r>
      </w:hyperlink>
      <w:r>
        <w:t xml:space="preserve"> </w:t>
      </w:r>
    </w:p>
  </w:footnote>
  <w:footnote w:id="180">
    <w:p w:rsidR="00F04EEF" w:rsidRDefault="0099351E">
      <w:pPr>
        <w:pStyle w:val="Notedebasdepage"/>
      </w:pPr>
      <w:r>
        <w:rPr>
          <w:rStyle w:val="Appelnotedebasdep"/>
          <w:rFonts w:ascii="Verdana" w:hAnsi="Verdana"/>
        </w:rPr>
        <w:footnoteRef/>
      </w:r>
      <w:r>
        <w:t xml:space="preserve"> Ce projet alternatif peut être de nature différente (visite d’un musée, séance de cinéma, activité sportive, …) et ne comprend pas nécessairement de nuitées.</w:t>
      </w:r>
    </w:p>
  </w:footnote>
  <w:footnote w:id="181">
    <w:p w:rsidR="00F04EEF" w:rsidRDefault="0099351E">
      <w:pPr>
        <w:pStyle w:val="Notedebasdepage"/>
      </w:pPr>
      <w:r>
        <w:rPr>
          <w:rStyle w:val="Appelnotedebasdep"/>
          <w:rFonts w:ascii="Verdana" w:hAnsi="Verdana"/>
          <w:szCs w:val="18"/>
        </w:rPr>
        <w:footnoteRef/>
      </w:r>
      <w:r>
        <w:t xml:space="preserve"> Voir  </w:t>
      </w:r>
      <w:hyperlink w:anchor="_3.2.1._Catégories_d’accompagnateur(" w:history="1">
        <w:r>
          <w:rPr>
            <w:rStyle w:val="Lienhypertexte"/>
            <w:rFonts w:cs="Arial"/>
          </w:rPr>
          <w:t>point 3.2.1</w:t>
        </w:r>
      </w:hyperlink>
      <w:r>
        <w:t xml:space="preserve">.  Catégories </w:t>
      </w:r>
      <w:proofErr w:type="gramStart"/>
      <w:r>
        <w:t>d’accompagnateur(</w:t>
      </w:r>
      <w:proofErr w:type="gramEnd"/>
      <w:r>
        <w:t>trice)s.</w:t>
      </w:r>
    </w:p>
  </w:footnote>
  <w:footnote w:id="182">
    <w:p w:rsidR="00F04EEF" w:rsidRDefault="0099351E">
      <w:pPr>
        <w:pStyle w:val="Notedebasdepage"/>
      </w:pPr>
      <w:r>
        <w:rPr>
          <w:rStyle w:val="Appelnotedebasdep"/>
          <w:rFonts w:ascii="Verdana" w:hAnsi="Verdana"/>
          <w:szCs w:val="18"/>
        </w:rPr>
        <w:footnoteRef/>
      </w:r>
      <w:r>
        <w:t xml:space="preserve"> Voir </w:t>
      </w:r>
      <w:hyperlink r:id="rId68" w:history="1">
        <w:r>
          <w:rPr>
            <w:rStyle w:val="Lienhypertexte"/>
            <w:rFonts w:cs="Arial"/>
          </w:rPr>
          <w:t>circulaire n°4516 du 29/08/2013 relative à la gratuité de l’accès à l’Enseignement obligatoire</w:t>
        </w:r>
      </w:hyperlink>
      <w:r>
        <w:t>.</w:t>
      </w:r>
    </w:p>
  </w:footnote>
  <w:footnote w:id="183">
    <w:p w:rsidR="00F04EEF" w:rsidRDefault="0099351E">
      <w:pPr>
        <w:pStyle w:val="Notedebasdepage"/>
      </w:pPr>
      <w:r>
        <w:rPr>
          <w:rStyle w:val="Appelnotedebasdep"/>
          <w:rFonts w:ascii="Calibri" w:hAnsi="Calibri" w:cs="Calibri"/>
        </w:rPr>
        <w:footnoteRef/>
      </w:r>
      <w:r>
        <w:t xml:space="preserve"> En cas de départ échelonné, joindre un calendrier au présent formulaire.</w:t>
      </w:r>
    </w:p>
  </w:footnote>
  <w:footnote w:id="184">
    <w:p w:rsidR="00F04EEF" w:rsidRDefault="0099351E">
      <w:pPr>
        <w:pStyle w:val="Notedebasdepage"/>
      </w:pPr>
      <w:r>
        <w:rPr>
          <w:rStyle w:val="Appelnotedebasdep"/>
        </w:rPr>
        <w:footnoteRef/>
      </w:r>
      <w:r>
        <w:t xml:space="preserve"> CM = Compétence à maîtriser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pStyle w:val="En-tte"/>
      <w:rPr>
        <w:sz w:val="23"/>
        <w:szCs w:val="23"/>
      </w:rPr>
    </w:pPr>
  </w:p>
  <w:p w:rsidR="00F04EEF" w:rsidRDefault="00F04EEF">
    <w:pPr>
      <w:pStyle w:val="En-tte"/>
      <w:rPr>
        <w:sz w:val="23"/>
        <w:szCs w:val="23"/>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4EEF" w:rsidRDefault="00F04EEF">
    <w:pPr>
      <w:rPr>
        <w:sz w:val="23"/>
        <w:szCs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28CA3634"/>
    <w:lvl w:ilvl="0">
      <w:numFmt w:val="bullet"/>
      <w:lvlText w:val="*"/>
      <w:lvlJc w:val="left"/>
    </w:lvl>
  </w:abstractNum>
  <w:abstractNum w:abstractNumId="2"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3" w15:restartNumberingAfterBreak="0">
    <w:nsid w:val="00000003"/>
    <w:multiLevelType w:val="multilevel"/>
    <w:tmpl w:val="00000003"/>
    <w:lvl w:ilvl="0">
      <w:start w:val="2"/>
      <w:numFmt w:val="bullet"/>
      <w:lvlText w:val="-"/>
      <w:lvlJc w:val="left"/>
      <w:pPr>
        <w:ind w:left="360" w:hanging="360"/>
      </w:pPr>
      <w:rPr>
        <w:rFonts w:ascii="Calibri" w:hAnsi="Calibri"/>
      </w:rPr>
    </w:lvl>
    <w:lvl w:ilvl="1">
      <w:start w:val="1"/>
      <w:numFmt w:val="bullet"/>
      <w:lvlText w:val="o"/>
      <w:lvlJc w:val="left"/>
      <w:pPr>
        <w:ind w:left="1080" w:hanging="360"/>
      </w:pPr>
      <w:rPr>
        <w:rFonts w:ascii="Calibri" w:hAnsi="Calibri"/>
      </w:rPr>
    </w:lvl>
    <w:lvl w:ilvl="2">
      <w:start w:val="1"/>
      <w:numFmt w:val="bullet"/>
      <w:lvlText w:val=""/>
      <w:lvlJc w:val="left"/>
      <w:pPr>
        <w:ind w:left="1800" w:hanging="360"/>
      </w:pPr>
      <w:rPr>
        <w:rFonts w:ascii="Calibri" w:hAnsi="Calibri"/>
      </w:rPr>
    </w:lvl>
    <w:lvl w:ilvl="3">
      <w:start w:val="1"/>
      <w:numFmt w:val="bullet"/>
      <w:lvlText w:val=""/>
      <w:lvlJc w:val="left"/>
      <w:pPr>
        <w:ind w:left="2520" w:hanging="360"/>
      </w:pPr>
      <w:rPr>
        <w:rFonts w:ascii="Symbol" w:hAnsi="Symbol"/>
      </w:rPr>
    </w:lvl>
    <w:lvl w:ilvl="4">
      <w:start w:val="1"/>
      <w:numFmt w:val="bullet"/>
      <w:lvlText w:val="o"/>
      <w:lvlJc w:val="left"/>
      <w:pPr>
        <w:ind w:left="3240" w:hanging="360"/>
      </w:pPr>
      <w:rPr>
        <w:rFonts w:ascii="Calibri" w:hAnsi="Calibri"/>
      </w:rPr>
    </w:lvl>
    <w:lvl w:ilvl="5">
      <w:start w:val="1"/>
      <w:numFmt w:val="bullet"/>
      <w:lvlText w:val=""/>
      <w:lvlJc w:val="left"/>
      <w:pPr>
        <w:ind w:left="3960" w:hanging="360"/>
      </w:pPr>
      <w:rPr>
        <w:rFonts w:ascii="Calibri" w:hAnsi="Calibri"/>
      </w:rPr>
    </w:lvl>
    <w:lvl w:ilvl="6">
      <w:start w:val="1"/>
      <w:numFmt w:val="bullet"/>
      <w:lvlText w:val=""/>
      <w:lvlJc w:val="left"/>
      <w:pPr>
        <w:ind w:left="4680" w:hanging="360"/>
      </w:pPr>
      <w:rPr>
        <w:rFonts w:ascii="Symbol" w:hAnsi="Symbol"/>
      </w:rPr>
    </w:lvl>
    <w:lvl w:ilvl="7">
      <w:start w:val="1"/>
      <w:numFmt w:val="bullet"/>
      <w:lvlText w:val="o"/>
      <w:lvlJc w:val="left"/>
      <w:pPr>
        <w:ind w:left="5400" w:hanging="360"/>
      </w:pPr>
      <w:rPr>
        <w:rFonts w:ascii="Calibri" w:hAnsi="Calibri"/>
      </w:rPr>
    </w:lvl>
    <w:lvl w:ilvl="8">
      <w:start w:val="1"/>
      <w:numFmt w:val="bullet"/>
      <w:lvlText w:val=""/>
      <w:lvlJc w:val="left"/>
      <w:pPr>
        <w:ind w:left="6120" w:hanging="360"/>
      </w:pPr>
      <w:rPr>
        <w:rFonts w:ascii="Calibri" w:hAnsi="Calibri"/>
      </w:rPr>
    </w:lvl>
  </w:abstractNum>
  <w:abstractNum w:abstractNumId="4"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5"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7"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8"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9"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10"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11"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2"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3"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4"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5"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6"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8"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19"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0"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21"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2"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3"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4"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5"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6"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7"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8"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29"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30"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31"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2"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3"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4"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5"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7"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8"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39"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40"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41"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2"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3"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4"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5"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6"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7"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8"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49"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50"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51"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2"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3"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4"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7"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59"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61"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2"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3"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4"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5"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6"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7"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8"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9"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70"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71"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3"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5"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6"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7"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8"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79"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80"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81"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4"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6"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7"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8"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89"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90"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91"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2"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3"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4"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5"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6"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8"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99"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100"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101"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2"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3"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4"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5"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6"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7"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8"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10"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11"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2"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3"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4"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5"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6"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7"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8"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19"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20"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21"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4"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6"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7"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8" w15:restartNumberingAfterBreak="0">
    <w:nsid w:val="000000E1"/>
    <w:multiLevelType w:val="singleLevel"/>
    <w:tmpl w:val="000000E1"/>
    <w:lvl w:ilvl="0">
      <w:start w:val="1"/>
      <w:numFmt w:val="bullet"/>
      <w:lvlText w:val=""/>
      <w:lvlJc w:val="left"/>
      <w:pPr>
        <w:ind w:left="720" w:hanging="360"/>
      </w:pPr>
      <w:rPr>
        <w:rFonts w:ascii="Symbol" w:hAnsi="Symbol"/>
      </w:rPr>
    </w:lvl>
  </w:abstractNum>
  <w:abstractNum w:abstractNumId="129"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30"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1" w15:restartNumberingAfterBreak="0">
    <w:nsid w:val="000000E5"/>
    <w:multiLevelType w:val="multilevel"/>
    <w:tmpl w:val="065081A2"/>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b/>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3"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4"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5"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7"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8"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39"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40"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41"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2"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3"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5"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6"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7"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8"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49" w15:restartNumberingAfterBreak="0">
    <w:nsid w:val="00000109"/>
    <w:multiLevelType w:val="singleLevel"/>
    <w:tmpl w:val="00000109"/>
    <w:lvl w:ilvl="0">
      <w:start w:val="1"/>
      <w:numFmt w:val="bullet"/>
      <w:lvlText w:val=""/>
      <w:lvlJc w:val="left"/>
      <w:pPr>
        <w:tabs>
          <w:tab w:val="num" w:pos="357"/>
        </w:tabs>
        <w:ind w:left="340" w:hanging="340"/>
      </w:pPr>
      <w:rPr>
        <w:rFonts w:ascii="Wingdings" w:hAnsi="Wingdings"/>
      </w:rPr>
    </w:lvl>
  </w:abstractNum>
  <w:abstractNum w:abstractNumId="150"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51"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2"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53" w15:restartNumberingAfterBreak="0">
    <w:nsid w:val="02564F29"/>
    <w:multiLevelType w:val="hybridMultilevel"/>
    <w:tmpl w:val="E22097B0"/>
    <w:lvl w:ilvl="0" w:tplc="080C0011">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54" w15:restartNumberingAfterBreak="0">
    <w:nsid w:val="0292490F"/>
    <w:multiLevelType w:val="hybridMultilevel"/>
    <w:tmpl w:val="6E7ABAD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5" w15:restartNumberingAfterBreak="0">
    <w:nsid w:val="036620CC"/>
    <w:multiLevelType w:val="hybridMultilevel"/>
    <w:tmpl w:val="C0D8BD7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04ED1EA9"/>
    <w:multiLevelType w:val="hybridMultilevel"/>
    <w:tmpl w:val="C416157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052F1678"/>
    <w:multiLevelType w:val="hybridMultilevel"/>
    <w:tmpl w:val="763651C4"/>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8"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59" w15:restartNumberingAfterBreak="0">
    <w:nsid w:val="05A95CFF"/>
    <w:multiLevelType w:val="hybridMultilevel"/>
    <w:tmpl w:val="04D49B4C"/>
    <w:lvl w:ilvl="0" w:tplc="19D68662">
      <w:start w:val="1"/>
      <w:numFmt w:val="decimal"/>
      <w:lvlText w:val="%1)"/>
      <w:lvlJc w:val="left"/>
      <w:pPr>
        <w:ind w:left="720" w:hanging="360"/>
      </w:pPr>
      <w:rPr>
        <w:rFonts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0" w15:restartNumberingAfterBreak="0">
    <w:nsid w:val="068844AC"/>
    <w:multiLevelType w:val="hybridMultilevel"/>
    <w:tmpl w:val="2CD2C4CC"/>
    <w:lvl w:ilvl="0" w:tplc="4506528A">
      <w:start w:val="1"/>
      <w:numFmt w:val="decimal"/>
      <w:lvlText w:val="%1."/>
      <w:lvlJc w:val="left"/>
      <w:pPr>
        <w:ind w:left="360" w:hanging="360"/>
      </w:pPr>
      <w:rPr>
        <w:rFonts w:asciiTheme="majorHAnsi" w:hAnsiTheme="majorHAnsi" w:hint="default"/>
        <w:b w:val="0"/>
        <w:sz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1" w15:restartNumberingAfterBreak="0">
    <w:nsid w:val="06D077BC"/>
    <w:multiLevelType w:val="hybridMultilevel"/>
    <w:tmpl w:val="6284C2C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3" w15:restartNumberingAfterBreak="0">
    <w:nsid w:val="091D5D2E"/>
    <w:multiLevelType w:val="hybridMultilevel"/>
    <w:tmpl w:val="F98C1142"/>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5" w15:restartNumberingAfterBreak="0">
    <w:nsid w:val="0A201806"/>
    <w:multiLevelType w:val="hybridMultilevel"/>
    <w:tmpl w:val="937C836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0B027786"/>
    <w:multiLevelType w:val="hybridMultilevel"/>
    <w:tmpl w:val="30BE562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0B8B7532"/>
    <w:multiLevelType w:val="hybridMultilevel"/>
    <w:tmpl w:val="C3284F60"/>
    <w:lvl w:ilvl="0" w:tplc="080C0001">
      <w:start w:val="1"/>
      <w:numFmt w:val="bullet"/>
      <w:lvlText w:val=""/>
      <w:lvlJc w:val="left"/>
      <w:pPr>
        <w:ind w:left="1778" w:hanging="360"/>
      </w:pPr>
      <w:rPr>
        <w:rFonts w:ascii="Symbol" w:hAnsi="Symbol" w:hint="default"/>
      </w:rPr>
    </w:lvl>
    <w:lvl w:ilvl="1" w:tplc="080C0003" w:tentative="1">
      <w:start w:val="1"/>
      <w:numFmt w:val="bullet"/>
      <w:lvlText w:val="o"/>
      <w:lvlJc w:val="left"/>
      <w:pPr>
        <w:ind w:left="2498" w:hanging="360"/>
      </w:pPr>
      <w:rPr>
        <w:rFonts w:ascii="Courier New" w:hAnsi="Courier New" w:cs="Courier New" w:hint="default"/>
      </w:rPr>
    </w:lvl>
    <w:lvl w:ilvl="2" w:tplc="080C0005" w:tentative="1">
      <w:start w:val="1"/>
      <w:numFmt w:val="bullet"/>
      <w:lvlText w:val=""/>
      <w:lvlJc w:val="left"/>
      <w:pPr>
        <w:ind w:left="3218" w:hanging="360"/>
      </w:pPr>
      <w:rPr>
        <w:rFonts w:ascii="Wingdings" w:hAnsi="Wingdings" w:hint="default"/>
      </w:rPr>
    </w:lvl>
    <w:lvl w:ilvl="3" w:tplc="080C0001" w:tentative="1">
      <w:start w:val="1"/>
      <w:numFmt w:val="bullet"/>
      <w:lvlText w:val=""/>
      <w:lvlJc w:val="left"/>
      <w:pPr>
        <w:ind w:left="3938" w:hanging="360"/>
      </w:pPr>
      <w:rPr>
        <w:rFonts w:ascii="Symbol" w:hAnsi="Symbol" w:hint="default"/>
      </w:rPr>
    </w:lvl>
    <w:lvl w:ilvl="4" w:tplc="080C0003" w:tentative="1">
      <w:start w:val="1"/>
      <w:numFmt w:val="bullet"/>
      <w:lvlText w:val="o"/>
      <w:lvlJc w:val="left"/>
      <w:pPr>
        <w:ind w:left="4658" w:hanging="360"/>
      </w:pPr>
      <w:rPr>
        <w:rFonts w:ascii="Courier New" w:hAnsi="Courier New" w:cs="Courier New" w:hint="default"/>
      </w:rPr>
    </w:lvl>
    <w:lvl w:ilvl="5" w:tplc="080C0005" w:tentative="1">
      <w:start w:val="1"/>
      <w:numFmt w:val="bullet"/>
      <w:lvlText w:val=""/>
      <w:lvlJc w:val="left"/>
      <w:pPr>
        <w:ind w:left="5378" w:hanging="360"/>
      </w:pPr>
      <w:rPr>
        <w:rFonts w:ascii="Wingdings" w:hAnsi="Wingdings" w:hint="default"/>
      </w:rPr>
    </w:lvl>
    <w:lvl w:ilvl="6" w:tplc="080C0001" w:tentative="1">
      <w:start w:val="1"/>
      <w:numFmt w:val="bullet"/>
      <w:lvlText w:val=""/>
      <w:lvlJc w:val="left"/>
      <w:pPr>
        <w:ind w:left="6098" w:hanging="360"/>
      </w:pPr>
      <w:rPr>
        <w:rFonts w:ascii="Symbol" w:hAnsi="Symbol" w:hint="default"/>
      </w:rPr>
    </w:lvl>
    <w:lvl w:ilvl="7" w:tplc="080C0003" w:tentative="1">
      <w:start w:val="1"/>
      <w:numFmt w:val="bullet"/>
      <w:lvlText w:val="o"/>
      <w:lvlJc w:val="left"/>
      <w:pPr>
        <w:ind w:left="6818" w:hanging="360"/>
      </w:pPr>
      <w:rPr>
        <w:rFonts w:ascii="Courier New" w:hAnsi="Courier New" w:cs="Courier New" w:hint="default"/>
      </w:rPr>
    </w:lvl>
    <w:lvl w:ilvl="8" w:tplc="080C0005" w:tentative="1">
      <w:start w:val="1"/>
      <w:numFmt w:val="bullet"/>
      <w:lvlText w:val=""/>
      <w:lvlJc w:val="left"/>
      <w:pPr>
        <w:ind w:left="7538" w:hanging="360"/>
      </w:pPr>
      <w:rPr>
        <w:rFonts w:ascii="Wingdings" w:hAnsi="Wingdings" w:hint="default"/>
      </w:rPr>
    </w:lvl>
  </w:abstractNum>
  <w:abstractNum w:abstractNumId="168" w15:restartNumberingAfterBreak="0">
    <w:nsid w:val="0C0A0698"/>
    <w:multiLevelType w:val="hybridMultilevel"/>
    <w:tmpl w:val="6262E1B8"/>
    <w:lvl w:ilvl="0" w:tplc="061CD488">
      <w:start w:val="1"/>
      <w:numFmt w:val="decimal"/>
      <w:lvlText w:val="%1)"/>
      <w:lvlJc w:val="left"/>
      <w:pPr>
        <w:tabs>
          <w:tab w:val="num" w:pos="360"/>
        </w:tabs>
        <w:ind w:left="360" w:hanging="360"/>
      </w:pPr>
      <w:rPr>
        <w:rFonts w:cs="Times New Roman"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0" w15:restartNumberingAfterBreak="0">
    <w:nsid w:val="0C13634E"/>
    <w:multiLevelType w:val="hybridMultilevel"/>
    <w:tmpl w:val="45342AB6"/>
    <w:lvl w:ilvl="0" w:tplc="5C4C3BE6">
      <w:start w:val="3"/>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0C9B38E3"/>
    <w:multiLevelType w:val="hybridMultilevel"/>
    <w:tmpl w:val="4996923E"/>
    <w:lvl w:ilvl="0" w:tplc="2CAAF5BC">
      <w:start w:val="1"/>
      <w:numFmt w:val="decimal"/>
      <w:lvlText w:val="%1"/>
      <w:lvlJc w:val="left"/>
      <w:pPr>
        <w:tabs>
          <w:tab w:val="num" w:pos="720"/>
        </w:tabs>
        <w:ind w:left="720" w:hanging="360"/>
      </w:pPr>
      <w:rPr>
        <w:rFonts w:cs="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72" w15:restartNumberingAfterBreak="0">
    <w:nsid w:val="0CA547E2"/>
    <w:multiLevelType w:val="hybridMultilevel"/>
    <w:tmpl w:val="BCE2AACE"/>
    <w:lvl w:ilvl="0" w:tplc="2E2A8D56">
      <w:start w:val="1"/>
      <w:numFmt w:val="bullet"/>
      <w:lvlText w:val=""/>
      <w:lvlJc w:val="left"/>
      <w:pPr>
        <w:tabs>
          <w:tab w:val="num" w:pos="1077"/>
        </w:tabs>
        <w:ind w:left="1060" w:hanging="34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3"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74" w15:restartNumberingAfterBreak="0">
    <w:nsid w:val="0D220F60"/>
    <w:multiLevelType w:val="multilevel"/>
    <w:tmpl w:val="81B47D30"/>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5" w15:restartNumberingAfterBreak="0">
    <w:nsid w:val="0E005B32"/>
    <w:multiLevelType w:val="multilevel"/>
    <w:tmpl w:val="89E45152"/>
    <w:lvl w:ilvl="0">
      <w:start w:val="1"/>
      <w:numFmt w:val="decimal"/>
      <w:lvlText w:val="%1."/>
      <w:lvlJc w:val="left"/>
      <w:pPr>
        <w:ind w:left="720" w:hanging="360"/>
      </w:pPr>
      <w:rPr>
        <w:rFonts w:hint="default"/>
      </w:rPr>
    </w:lvl>
    <w:lvl w:ilvl="1">
      <w:start w:val="7"/>
      <w:numFmt w:val="decimal"/>
      <w:isLgl/>
      <w:lvlText w:val="%1.%2."/>
      <w:lvlJc w:val="left"/>
      <w:pPr>
        <w:ind w:left="957" w:hanging="39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6"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77" w15:restartNumberingAfterBreak="0">
    <w:nsid w:val="0EE16DBC"/>
    <w:multiLevelType w:val="hybridMultilevel"/>
    <w:tmpl w:val="B1D00CC2"/>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0F3C2A6E"/>
    <w:multiLevelType w:val="hybridMultilevel"/>
    <w:tmpl w:val="CCB25FE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9" w15:restartNumberingAfterBreak="0">
    <w:nsid w:val="0F3D5019"/>
    <w:multiLevelType w:val="hybridMultilevel"/>
    <w:tmpl w:val="3560FD80"/>
    <w:lvl w:ilvl="0" w:tplc="F62CA014">
      <w:start w:val="1"/>
      <w:numFmt w:val="bullet"/>
      <w:lvlText w:val=""/>
      <w:lvlJc w:val="left"/>
      <w:pPr>
        <w:ind w:left="1260" w:hanging="360"/>
      </w:pPr>
      <w:rPr>
        <w:rFonts w:ascii="Symbol" w:hAnsi="Symbol" w:hint="default"/>
      </w:rPr>
    </w:lvl>
    <w:lvl w:ilvl="1" w:tplc="080C0003" w:tentative="1">
      <w:start w:val="1"/>
      <w:numFmt w:val="bullet"/>
      <w:lvlText w:val="o"/>
      <w:lvlJc w:val="left"/>
      <w:pPr>
        <w:ind w:left="1980" w:hanging="360"/>
      </w:pPr>
      <w:rPr>
        <w:rFonts w:ascii="Courier New" w:hAnsi="Courier New" w:cs="Courier New" w:hint="default"/>
      </w:rPr>
    </w:lvl>
    <w:lvl w:ilvl="2" w:tplc="080C0005" w:tentative="1">
      <w:start w:val="1"/>
      <w:numFmt w:val="bullet"/>
      <w:lvlText w:val=""/>
      <w:lvlJc w:val="left"/>
      <w:pPr>
        <w:ind w:left="2700" w:hanging="360"/>
      </w:pPr>
      <w:rPr>
        <w:rFonts w:ascii="Wingdings" w:hAnsi="Wingdings" w:hint="default"/>
      </w:rPr>
    </w:lvl>
    <w:lvl w:ilvl="3" w:tplc="080C0001" w:tentative="1">
      <w:start w:val="1"/>
      <w:numFmt w:val="bullet"/>
      <w:lvlText w:val=""/>
      <w:lvlJc w:val="left"/>
      <w:pPr>
        <w:ind w:left="3420" w:hanging="360"/>
      </w:pPr>
      <w:rPr>
        <w:rFonts w:ascii="Symbol" w:hAnsi="Symbol" w:hint="default"/>
      </w:rPr>
    </w:lvl>
    <w:lvl w:ilvl="4" w:tplc="080C0003" w:tentative="1">
      <w:start w:val="1"/>
      <w:numFmt w:val="bullet"/>
      <w:lvlText w:val="o"/>
      <w:lvlJc w:val="left"/>
      <w:pPr>
        <w:ind w:left="4140" w:hanging="360"/>
      </w:pPr>
      <w:rPr>
        <w:rFonts w:ascii="Courier New" w:hAnsi="Courier New" w:cs="Courier New" w:hint="default"/>
      </w:rPr>
    </w:lvl>
    <w:lvl w:ilvl="5" w:tplc="080C0005" w:tentative="1">
      <w:start w:val="1"/>
      <w:numFmt w:val="bullet"/>
      <w:lvlText w:val=""/>
      <w:lvlJc w:val="left"/>
      <w:pPr>
        <w:ind w:left="4860" w:hanging="360"/>
      </w:pPr>
      <w:rPr>
        <w:rFonts w:ascii="Wingdings" w:hAnsi="Wingdings" w:hint="default"/>
      </w:rPr>
    </w:lvl>
    <w:lvl w:ilvl="6" w:tplc="080C0001" w:tentative="1">
      <w:start w:val="1"/>
      <w:numFmt w:val="bullet"/>
      <w:lvlText w:val=""/>
      <w:lvlJc w:val="left"/>
      <w:pPr>
        <w:ind w:left="5580" w:hanging="360"/>
      </w:pPr>
      <w:rPr>
        <w:rFonts w:ascii="Symbol" w:hAnsi="Symbol" w:hint="default"/>
      </w:rPr>
    </w:lvl>
    <w:lvl w:ilvl="7" w:tplc="080C0003" w:tentative="1">
      <w:start w:val="1"/>
      <w:numFmt w:val="bullet"/>
      <w:lvlText w:val="o"/>
      <w:lvlJc w:val="left"/>
      <w:pPr>
        <w:ind w:left="6300" w:hanging="360"/>
      </w:pPr>
      <w:rPr>
        <w:rFonts w:ascii="Courier New" w:hAnsi="Courier New" w:cs="Courier New" w:hint="default"/>
      </w:rPr>
    </w:lvl>
    <w:lvl w:ilvl="8" w:tplc="080C0005" w:tentative="1">
      <w:start w:val="1"/>
      <w:numFmt w:val="bullet"/>
      <w:lvlText w:val=""/>
      <w:lvlJc w:val="left"/>
      <w:pPr>
        <w:ind w:left="7020" w:hanging="360"/>
      </w:pPr>
      <w:rPr>
        <w:rFonts w:ascii="Wingdings" w:hAnsi="Wingdings" w:hint="default"/>
      </w:rPr>
    </w:lvl>
  </w:abstractNum>
  <w:abstractNum w:abstractNumId="180"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81"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2" w15:restartNumberingAfterBreak="0">
    <w:nsid w:val="131F35CB"/>
    <w:multiLevelType w:val="hybridMultilevel"/>
    <w:tmpl w:val="C890C43C"/>
    <w:lvl w:ilvl="0" w:tplc="080C000F">
      <w:start w:val="1"/>
      <w:numFmt w:val="decimal"/>
      <w:lvlText w:val="%1."/>
      <w:lvlJc w:val="left"/>
      <w:pPr>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4" w15:restartNumberingAfterBreak="0">
    <w:nsid w:val="1446708D"/>
    <w:multiLevelType w:val="hybridMultilevel"/>
    <w:tmpl w:val="5EA8BD74"/>
    <w:lvl w:ilvl="0" w:tplc="84622EFE">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1F22052">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2CA36A6">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AF24F86">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1BECB6C2">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D6947E0C">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18A83168">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D3F0286C">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20DCFAEA">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5"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86" w15:restartNumberingAfterBreak="0">
    <w:nsid w:val="15883577"/>
    <w:multiLevelType w:val="hybridMultilevel"/>
    <w:tmpl w:val="8DA0B9E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7"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88"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9" w15:restartNumberingAfterBreak="0">
    <w:nsid w:val="16E9297E"/>
    <w:multiLevelType w:val="multilevel"/>
    <w:tmpl w:val="FB4E628C"/>
    <w:lvl w:ilvl="0">
      <w:start w:val="1"/>
      <w:numFmt w:val="bullet"/>
      <w:lvlText w:val=""/>
      <w:lvlJc w:val="left"/>
      <w:pPr>
        <w:ind w:left="1068" w:hanging="360"/>
      </w:pPr>
      <w:rPr>
        <w:rFonts w:ascii="Symbol" w:hAnsi="Symbol" w:hint="default"/>
      </w:rPr>
    </w:lvl>
    <w:lvl w:ilvl="1">
      <w:start w:val="1"/>
      <w:numFmt w:val="decimal"/>
      <w:isLgl/>
      <w:lvlText w:val="%1.%2."/>
      <w:lvlJc w:val="left"/>
      <w:pPr>
        <w:ind w:left="1788" w:hanging="720"/>
      </w:pPr>
      <w:rPr>
        <w:rFonts w:cs="Times New Roman" w:hint="default"/>
      </w:rPr>
    </w:lvl>
    <w:lvl w:ilvl="2">
      <w:start w:val="1"/>
      <w:numFmt w:val="decimal"/>
      <w:isLgl/>
      <w:lvlText w:val="%1.%2.%3."/>
      <w:lvlJc w:val="left"/>
      <w:pPr>
        <w:ind w:left="2508" w:hanging="1080"/>
      </w:pPr>
      <w:rPr>
        <w:rFonts w:cs="Times New Roman" w:hint="default"/>
      </w:rPr>
    </w:lvl>
    <w:lvl w:ilvl="3">
      <w:start w:val="1"/>
      <w:numFmt w:val="decimal"/>
      <w:isLgl/>
      <w:lvlText w:val="%1.%2.%3.%4."/>
      <w:lvlJc w:val="left"/>
      <w:pPr>
        <w:ind w:left="2868" w:hanging="1080"/>
      </w:pPr>
      <w:rPr>
        <w:rFonts w:cs="Times New Roman" w:hint="default"/>
      </w:rPr>
    </w:lvl>
    <w:lvl w:ilvl="4">
      <w:start w:val="1"/>
      <w:numFmt w:val="decimal"/>
      <w:isLgl/>
      <w:lvlText w:val="%1.%2.%3.%4.%5."/>
      <w:lvlJc w:val="left"/>
      <w:pPr>
        <w:ind w:left="3588" w:hanging="1440"/>
      </w:pPr>
      <w:rPr>
        <w:rFonts w:cs="Times New Roman" w:hint="default"/>
      </w:rPr>
    </w:lvl>
    <w:lvl w:ilvl="5">
      <w:start w:val="1"/>
      <w:numFmt w:val="decimal"/>
      <w:isLgl/>
      <w:lvlText w:val="%1.%2.%3.%4.%5.%6."/>
      <w:lvlJc w:val="left"/>
      <w:pPr>
        <w:ind w:left="4308" w:hanging="1800"/>
      </w:pPr>
      <w:rPr>
        <w:rFonts w:cs="Times New Roman" w:hint="default"/>
      </w:rPr>
    </w:lvl>
    <w:lvl w:ilvl="6">
      <w:start w:val="1"/>
      <w:numFmt w:val="decimal"/>
      <w:isLgl/>
      <w:lvlText w:val="%1.%2.%3.%4.%5.%6.%7."/>
      <w:lvlJc w:val="left"/>
      <w:pPr>
        <w:ind w:left="5028" w:hanging="2160"/>
      </w:pPr>
      <w:rPr>
        <w:rFonts w:cs="Times New Roman" w:hint="default"/>
      </w:rPr>
    </w:lvl>
    <w:lvl w:ilvl="7">
      <w:start w:val="1"/>
      <w:numFmt w:val="decimal"/>
      <w:isLgl/>
      <w:lvlText w:val="%1.%2.%3.%4.%5.%6.%7.%8."/>
      <w:lvlJc w:val="left"/>
      <w:pPr>
        <w:ind w:left="5388" w:hanging="2160"/>
      </w:pPr>
      <w:rPr>
        <w:rFonts w:cs="Times New Roman" w:hint="default"/>
      </w:rPr>
    </w:lvl>
    <w:lvl w:ilvl="8">
      <w:start w:val="1"/>
      <w:numFmt w:val="decimal"/>
      <w:isLgl/>
      <w:lvlText w:val="%1.%2.%3.%4.%5.%6.%7.%8.%9."/>
      <w:lvlJc w:val="left"/>
      <w:pPr>
        <w:ind w:left="6108" w:hanging="2520"/>
      </w:pPr>
      <w:rPr>
        <w:rFonts w:cs="Times New Roman" w:hint="default"/>
      </w:rPr>
    </w:lvl>
  </w:abstractNum>
  <w:abstractNum w:abstractNumId="190" w15:restartNumberingAfterBreak="0">
    <w:nsid w:val="17762EC3"/>
    <w:multiLevelType w:val="hybridMultilevel"/>
    <w:tmpl w:val="69A07F4E"/>
    <w:lvl w:ilvl="0" w:tplc="080C0011">
      <w:start w:val="1"/>
      <w:numFmt w:val="decimal"/>
      <w:lvlText w:val="%1)"/>
      <w:lvlJc w:val="left"/>
      <w:pPr>
        <w:ind w:left="720" w:hanging="360"/>
      </w:pPr>
      <w:rPr>
        <w:rFonts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191"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2"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93" w15:restartNumberingAfterBreak="0">
    <w:nsid w:val="18400C43"/>
    <w:multiLevelType w:val="singleLevel"/>
    <w:tmpl w:val="24A06E48"/>
    <w:lvl w:ilvl="0">
      <w:start w:val="1"/>
      <w:numFmt w:val="decimal"/>
      <w:lvlText w:val="%1."/>
      <w:legacy w:legacy="1" w:legacySpace="0" w:legacyIndent="250"/>
      <w:lvlJc w:val="left"/>
      <w:rPr>
        <w:rFonts w:ascii="Times New Roman" w:hAnsi="Times New Roman" w:cs="Times New Roman" w:hint="default"/>
      </w:rPr>
    </w:lvl>
  </w:abstractNum>
  <w:abstractNum w:abstractNumId="194" w15:restartNumberingAfterBreak="0">
    <w:nsid w:val="18616E54"/>
    <w:multiLevelType w:val="hybridMultilevel"/>
    <w:tmpl w:val="370641D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18B22D5D"/>
    <w:multiLevelType w:val="hybridMultilevel"/>
    <w:tmpl w:val="E4B23B60"/>
    <w:lvl w:ilvl="0" w:tplc="080C0001">
      <w:start w:val="1"/>
      <w:numFmt w:val="bullet"/>
      <w:lvlText w:val=""/>
      <w:lvlJc w:val="left"/>
      <w:pPr>
        <w:tabs>
          <w:tab w:val="num" w:pos="1068"/>
        </w:tabs>
        <w:ind w:left="1068" w:hanging="360"/>
      </w:pPr>
      <w:rPr>
        <w:rFonts w:ascii="Symbol" w:hAnsi="Symbol" w:hint="default"/>
      </w:rPr>
    </w:lvl>
    <w:lvl w:ilvl="1" w:tplc="040C0005">
      <w:start w:val="1"/>
      <w:numFmt w:val="bullet"/>
      <w:lvlText w:val=""/>
      <w:lvlJc w:val="left"/>
      <w:pPr>
        <w:tabs>
          <w:tab w:val="num" w:pos="1428"/>
        </w:tabs>
        <w:ind w:left="1428" w:hanging="360"/>
      </w:pPr>
      <w:rPr>
        <w:rFonts w:ascii="Wingdings" w:hAnsi="Wingdings"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196" w15:restartNumberingAfterBreak="0">
    <w:nsid w:val="190D3555"/>
    <w:multiLevelType w:val="multilevel"/>
    <w:tmpl w:val="8D7C3172"/>
    <w:lvl w:ilvl="0">
      <w:start w:val="1"/>
      <w:numFmt w:val="decimal"/>
      <w:lvlText w:val="%1."/>
      <w:legacy w:legacy="1" w:legacySpace="0" w:legacyIndent="25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7" w15:restartNumberingAfterBreak="0">
    <w:nsid w:val="19115D16"/>
    <w:multiLevelType w:val="hybridMultilevel"/>
    <w:tmpl w:val="89D8C3DE"/>
    <w:lvl w:ilvl="0" w:tplc="040C0001">
      <w:start w:val="1"/>
      <w:numFmt w:val="bullet"/>
      <w:lvlText w:val=""/>
      <w:lvlJc w:val="left"/>
      <w:pPr>
        <w:tabs>
          <w:tab w:val="num" w:pos="1755"/>
        </w:tabs>
        <w:ind w:left="1755" w:hanging="360"/>
      </w:pPr>
      <w:rPr>
        <w:rFonts w:ascii="Symbol" w:hAnsi="Symbol" w:hint="default"/>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198" w15:restartNumberingAfterBreak="0">
    <w:nsid w:val="191D2EE8"/>
    <w:multiLevelType w:val="hybridMultilevel"/>
    <w:tmpl w:val="509269F6"/>
    <w:lvl w:ilvl="0" w:tplc="782C9568">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8EAF80C">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ABBE418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0BE631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080C1A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854660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86849AE">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0DC0F56C">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DF684E74">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99"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200" w15:restartNumberingAfterBreak="0">
    <w:nsid w:val="1B3A4066"/>
    <w:multiLevelType w:val="hybridMultilevel"/>
    <w:tmpl w:val="B1C8F3C8"/>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01"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2" w15:restartNumberingAfterBreak="0">
    <w:nsid w:val="1B676AD7"/>
    <w:multiLevelType w:val="hybridMultilevel"/>
    <w:tmpl w:val="12B03DDC"/>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3" w15:restartNumberingAfterBreak="0">
    <w:nsid w:val="1BF13365"/>
    <w:multiLevelType w:val="hybridMultilevel"/>
    <w:tmpl w:val="D6FAD356"/>
    <w:lvl w:ilvl="0" w:tplc="00000108">
      <w:start w:val="1"/>
      <w:numFmt w:val="bullet"/>
      <w:lvlText w:val=""/>
      <w:lvlJc w:val="left"/>
      <w:pPr>
        <w:ind w:left="1996" w:hanging="360"/>
      </w:pPr>
      <w:rPr>
        <w:rFonts w:ascii="Wingdings" w:hAnsi="Wingdings"/>
      </w:rPr>
    </w:lvl>
    <w:lvl w:ilvl="1" w:tplc="080C0003" w:tentative="1">
      <w:start w:val="1"/>
      <w:numFmt w:val="bullet"/>
      <w:lvlText w:val="o"/>
      <w:lvlJc w:val="left"/>
      <w:pPr>
        <w:ind w:left="2716" w:hanging="360"/>
      </w:pPr>
      <w:rPr>
        <w:rFonts w:ascii="Courier New" w:hAnsi="Courier New" w:cs="Courier New" w:hint="default"/>
      </w:rPr>
    </w:lvl>
    <w:lvl w:ilvl="2" w:tplc="080C0005" w:tentative="1">
      <w:start w:val="1"/>
      <w:numFmt w:val="bullet"/>
      <w:lvlText w:val=""/>
      <w:lvlJc w:val="left"/>
      <w:pPr>
        <w:ind w:left="3436" w:hanging="360"/>
      </w:pPr>
      <w:rPr>
        <w:rFonts w:ascii="Wingdings" w:hAnsi="Wingdings" w:hint="default"/>
      </w:rPr>
    </w:lvl>
    <w:lvl w:ilvl="3" w:tplc="080C0001" w:tentative="1">
      <w:start w:val="1"/>
      <w:numFmt w:val="bullet"/>
      <w:lvlText w:val=""/>
      <w:lvlJc w:val="left"/>
      <w:pPr>
        <w:ind w:left="4156" w:hanging="360"/>
      </w:pPr>
      <w:rPr>
        <w:rFonts w:ascii="Symbol" w:hAnsi="Symbol" w:hint="default"/>
      </w:rPr>
    </w:lvl>
    <w:lvl w:ilvl="4" w:tplc="080C0003" w:tentative="1">
      <w:start w:val="1"/>
      <w:numFmt w:val="bullet"/>
      <w:lvlText w:val="o"/>
      <w:lvlJc w:val="left"/>
      <w:pPr>
        <w:ind w:left="4876" w:hanging="360"/>
      </w:pPr>
      <w:rPr>
        <w:rFonts w:ascii="Courier New" w:hAnsi="Courier New" w:cs="Courier New" w:hint="default"/>
      </w:rPr>
    </w:lvl>
    <w:lvl w:ilvl="5" w:tplc="080C0005" w:tentative="1">
      <w:start w:val="1"/>
      <w:numFmt w:val="bullet"/>
      <w:lvlText w:val=""/>
      <w:lvlJc w:val="left"/>
      <w:pPr>
        <w:ind w:left="5596" w:hanging="360"/>
      </w:pPr>
      <w:rPr>
        <w:rFonts w:ascii="Wingdings" w:hAnsi="Wingdings" w:hint="default"/>
      </w:rPr>
    </w:lvl>
    <w:lvl w:ilvl="6" w:tplc="080C0001" w:tentative="1">
      <w:start w:val="1"/>
      <w:numFmt w:val="bullet"/>
      <w:lvlText w:val=""/>
      <w:lvlJc w:val="left"/>
      <w:pPr>
        <w:ind w:left="6316" w:hanging="360"/>
      </w:pPr>
      <w:rPr>
        <w:rFonts w:ascii="Symbol" w:hAnsi="Symbol" w:hint="default"/>
      </w:rPr>
    </w:lvl>
    <w:lvl w:ilvl="7" w:tplc="080C0003" w:tentative="1">
      <w:start w:val="1"/>
      <w:numFmt w:val="bullet"/>
      <w:lvlText w:val="o"/>
      <w:lvlJc w:val="left"/>
      <w:pPr>
        <w:ind w:left="7036" w:hanging="360"/>
      </w:pPr>
      <w:rPr>
        <w:rFonts w:ascii="Courier New" w:hAnsi="Courier New" w:cs="Courier New" w:hint="default"/>
      </w:rPr>
    </w:lvl>
    <w:lvl w:ilvl="8" w:tplc="080C0005" w:tentative="1">
      <w:start w:val="1"/>
      <w:numFmt w:val="bullet"/>
      <w:lvlText w:val=""/>
      <w:lvlJc w:val="left"/>
      <w:pPr>
        <w:ind w:left="7756" w:hanging="360"/>
      </w:pPr>
      <w:rPr>
        <w:rFonts w:ascii="Wingdings" w:hAnsi="Wingdings" w:hint="default"/>
      </w:rPr>
    </w:lvl>
  </w:abstractNum>
  <w:abstractNum w:abstractNumId="204" w15:restartNumberingAfterBreak="0">
    <w:nsid w:val="1C5D49E3"/>
    <w:multiLevelType w:val="hybridMultilevel"/>
    <w:tmpl w:val="7764C4F0"/>
    <w:lvl w:ilvl="0" w:tplc="D18694F2">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0926A3C">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B6EC6D8">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D2E066D8">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EA6A879A">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C11001A2">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60230CA">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12FCB050">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32D308">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5"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06" w15:restartNumberingAfterBreak="0">
    <w:nsid w:val="1C9247D2"/>
    <w:multiLevelType w:val="hybridMultilevel"/>
    <w:tmpl w:val="6B10DB6E"/>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07" w15:restartNumberingAfterBreak="0">
    <w:nsid w:val="1CE11DAD"/>
    <w:multiLevelType w:val="multilevel"/>
    <w:tmpl w:val="F72E3644"/>
    <w:numStyleLink w:val="Style5"/>
  </w:abstractNum>
  <w:abstractNum w:abstractNumId="208"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09" w15:restartNumberingAfterBreak="0">
    <w:nsid w:val="1D6D0F47"/>
    <w:multiLevelType w:val="hybridMultilevel"/>
    <w:tmpl w:val="A3D469B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0"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211" w15:restartNumberingAfterBreak="0">
    <w:nsid w:val="1F6A59FA"/>
    <w:multiLevelType w:val="hybridMultilevel"/>
    <w:tmpl w:val="194A7DB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212"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3" w15:restartNumberingAfterBreak="0">
    <w:nsid w:val="1F9603E3"/>
    <w:multiLevelType w:val="hybridMultilevel"/>
    <w:tmpl w:val="78AAAAA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4"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5" w15:restartNumberingAfterBreak="0">
    <w:nsid w:val="21E7506E"/>
    <w:multiLevelType w:val="hybridMultilevel"/>
    <w:tmpl w:val="F8A0AE4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6"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7"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8" w15:restartNumberingAfterBreak="0">
    <w:nsid w:val="243833DC"/>
    <w:multiLevelType w:val="hybridMultilevel"/>
    <w:tmpl w:val="AE6AC35A"/>
    <w:lvl w:ilvl="0" w:tplc="B5A61DE2">
      <w:start w:val="1"/>
      <w:numFmt w:val="decimal"/>
      <w:lvlText w:val="%1)"/>
      <w:lvlJc w:val="left"/>
      <w:pPr>
        <w:ind w:left="20" w:hanging="360"/>
      </w:pPr>
      <w:rPr>
        <w:rFonts w:hint="default"/>
        <w:b/>
      </w:rPr>
    </w:lvl>
    <w:lvl w:ilvl="1" w:tplc="080C0019" w:tentative="1">
      <w:start w:val="1"/>
      <w:numFmt w:val="lowerLetter"/>
      <w:lvlText w:val="%2."/>
      <w:lvlJc w:val="left"/>
      <w:pPr>
        <w:ind w:left="740" w:hanging="360"/>
      </w:pPr>
    </w:lvl>
    <w:lvl w:ilvl="2" w:tplc="080C001B" w:tentative="1">
      <w:start w:val="1"/>
      <w:numFmt w:val="lowerRoman"/>
      <w:lvlText w:val="%3."/>
      <w:lvlJc w:val="right"/>
      <w:pPr>
        <w:ind w:left="1460" w:hanging="180"/>
      </w:pPr>
    </w:lvl>
    <w:lvl w:ilvl="3" w:tplc="080C000F" w:tentative="1">
      <w:start w:val="1"/>
      <w:numFmt w:val="decimal"/>
      <w:lvlText w:val="%4."/>
      <w:lvlJc w:val="left"/>
      <w:pPr>
        <w:ind w:left="2180" w:hanging="360"/>
      </w:pPr>
    </w:lvl>
    <w:lvl w:ilvl="4" w:tplc="080C0019" w:tentative="1">
      <w:start w:val="1"/>
      <w:numFmt w:val="lowerLetter"/>
      <w:lvlText w:val="%5."/>
      <w:lvlJc w:val="left"/>
      <w:pPr>
        <w:ind w:left="2900" w:hanging="360"/>
      </w:pPr>
    </w:lvl>
    <w:lvl w:ilvl="5" w:tplc="080C001B" w:tentative="1">
      <w:start w:val="1"/>
      <w:numFmt w:val="lowerRoman"/>
      <w:lvlText w:val="%6."/>
      <w:lvlJc w:val="right"/>
      <w:pPr>
        <w:ind w:left="3620" w:hanging="180"/>
      </w:pPr>
    </w:lvl>
    <w:lvl w:ilvl="6" w:tplc="080C000F" w:tentative="1">
      <w:start w:val="1"/>
      <w:numFmt w:val="decimal"/>
      <w:lvlText w:val="%7."/>
      <w:lvlJc w:val="left"/>
      <w:pPr>
        <w:ind w:left="4340" w:hanging="360"/>
      </w:pPr>
    </w:lvl>
    <w:lvl w:ilvl="7" w:tplc="080C0019" w:tentative="1">
      <w:start w:val="1"/>
      <w:numFmt w:val="lowerLetter"/>
      <w:lvlText w:val="%8."/>
      <w:lvlJc w:val="left"/>
      <w:pPr>
        <w:ind w:left="5060" w:hanging="360"/>
      </w:pPr>
    </w:lvl>
    <w:lvl w:ilvl="8" w:tplc="080C001B" w:tentative="1">
      <w:start w:val="1"/>
      <w:numFmt w:val="lowerRoman"/>
      <w:lvlText w:val="%9."/>
      <w:lvlJc w:val="right"/>
      <w:pPr>
        <w:ind w:left="5780" w:hanging="180"/>
      </w:pPr>
    </w:lvl>
  </w:abstractNum>
  <w:abstractNum w:abstractNumId="219"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20" w15:restartNumberingAfterBreak="0">
    <w:nsid w:val="24D2364D"/>
    <w:multiLevelType w:val="hybridMultilevel"/>
    <w:tmpl w:val="B204D49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2" w15:restartNumberingAfterBreak="0">
    <w:nsid w:val="257C3F88"/>
    <w:multiLevelType w:val="hybridMultilevel"/>
    <w:tmpl w:val="2CD2C4CC"/>
    <w:lvl w:ilvl="0" w:tplc="4506528A">
      <w:start w:val="1"/>
      <w:numFmt w:val="decimal"/>
      <w:lvlText w:val="%1."/>
      <w:lvlJc w:val="left"/>
      <w:pPr>
        <w:ind w:left="360" w:hanging="360"/>
      </w:pPr>
      <w:rPr>
        <w:rFonts w:asciiTheme="majorHAnsi" w:hAnsiTheme="majorHAnsi" w:hint="default"/>
        <w:b w:val="0"/>
        <w:sz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23" w15:restartNumberingAfterBreak="0">
    <w:nsid w:val="26245FB9"/>
    <w:multiLevelType w:val="multilevel"/>
    <w:tmpl w:val="C1962F6E"/>
    <w:lvl w:ilvl="0">
      <w:start w:val="1"/>
      <w:numFmt w:val="decimal"/>
      <w:lvlText w:val="%1."/>
      <w:lvlJc w:val="left"/>
      <w:pPr>
        <w:tabs>
          <w:tab w:val="num" w:pos="720"/>
        </w:tabs>
        <w:ind w:left="720" w:hanging="360"/>
      </w:pPr>
      <w:rPr>
        <w:rFonts w:cs="Times New Roman"/>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4" w15:restartNumberingAfterBreak="0">
    <w:nsid w:val="26537239"/>
    <w:multiLevelType w:val="multilevel"/>
    <w:tmpl w:val="0DBE8A1A"/>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870"/>
        </w:tabs>
        <w:ind w:left="870" w:hanging="51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25" w15:restartNumberingAfterBreak="0">
    <w:nsid w:val="26AC4721"/>
    <w:multiLevelType w:val="hybridMultilevel"/>
    <w:tmpl w:val="0D4ECFA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26D60BA0"/>
    <w:multiLevelType w:val="hybridMultilevel"/>
    <w:tmpl w:val="7AA48128"/>
    <w:lvl w:ilvl="0" w:tplc="7EAC02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9523A2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3089932">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A76C598C">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B776E22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09A24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DA14B404">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76BC65C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E4C8A70">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7" w15:restartNumberingAfterBreak="0">
    <w:nsid w:val="26E71E8A"/>
    <w:multiLevelType w:val="multilevel"/>
    <w:tmpl w:val="18E4455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8"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29"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31" w15:restartNumberingAfterBreak="0">
    <w:nsid w:val="294A482D"/>
    <w:multiLevelType w:val="hybridMultilevel"/>
    <w:tmpl w:val="44ACF27A"/>
    <w:lvl w:ilvl="0" w:tplc="CB3A2A2C">
      <w:start w:val="1"/>
      <w:numFmt w:val="bullet"/>
      <w:lvlText w:val=""/>
      <w:lvlJc w:val="left"/>
      <w:pPr>
        <w:ind w:left="81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4FCF9B6">
      <w:start w:val="1"/>
      <w:numFmt w:val="bullet"/>
      <w:lvlText w:val="o"/>
      <w:lvlJc w:val="left"/>
      <w:pPr>
        <w:ind w:left="15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75FCA8C0">
      <w:start w:val="1"/>
      <w:numFmt w:val="bullet"/>
      <w:lvlText w:val="▪"/>
      <w:lvlJc w:val="left"/>
      <w:pPr>
        <w:ind w:left="22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E3426B6">
      <w:start w:val="1"/>
      <w:numFmt w:val="bullet"/>
      <w:lvlText w:val="•"/>
      <w:lvlJc w:val="left"/>
      <w:pPr>
        <w:ind w:left="29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7F28BACA">
      <w:start w:val="1"/>
      <w:numFmt w:val="bullet"/>
      <w:lvlText w:val="o"/>
      <w:lvlJc w:val="left"/>
      <w:pPr>
        <w:ind w:left="371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5386A7D6">
      <w:start w:val="1"/>
      <w:numFmt w:val="bullet"/>
      <w:lvlText w:val="▪"/>
      <w:lvlJc w:val="left"/>
      <w:pPr>
        <w:ind w:left="443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3E823DA">
      <w:start w:val="1"/>
      <w:numFmt w:val="bullet"/>
      <w:lvlText w:val="•"/>
      <w:lvlJc w:val="left"/>
      <w:pPr>
        <w:ind w:left="51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58BEF4">
      <w:start w:val="1"/>
      <w:numFmt w:val="bullet"/>
      <w:lvlText w:val="o"/>
      <w:lvlJc w:val="left"/>
      <w:pPr>
        <w:ind w:left="58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3CAE377C">
      <w:start w:val="1"/>
      <w:numFmt w:val="bullet"/>
      <w:lvlText w:val="▪"/>
      <w:lvlJc w:val="left"/>
      <w:pPr>
        <w:ind w:left="65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2" w15:restartNumberingAfterBreak="0">
    <w:nsid w:val="29805278"/>
    <w:multiLevelType w:val="hybridMultilevel"/>
    <w:tmpl w:val="4766754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3" w15:restartNumberingAfterBreak="0">
    <w:nsid w:val="2A437444"/>
    <w:multiLevelType w:val="hybridMultilevel"/>
    <w:tmpl w:val="5EE02FFE"/>
    <w:lvl w:ilvl="0" w:tplc="080C0001">
      <w:start w:val="1"/>
      <w:numFmt w:val="bullet"/>
      <w:lvlText w:val=""/>
      <w:lvlJc w:val="left"/>
      <w:pPr>
        <w:tabs>
          <w:tab w:val="num" w:pos="1068"/>
        </w:tabs>
        <w:ind w:left="1068" w:hanging="360"/>
      </w:pPr>
      <w:rPr>
        <w:rFonts w:ascii="Symbol" w:hAnsi="Symbol" w:hint="default"/>
      </w:rPr>
    </w:lvl>
    <w:lvl w:ilvl="1" w:tplc="040C0003" w:tentative="1">
      <w:start w:val="1"/>
      <w:numFmt w:val="bullet"/>
      <w:lvlText w:val="o"/>
      <w:lvlJc w:val="left"/>
      <w:pPr>
        <w:tabs>
          <w:tab w:val="num" w:pos="1428"/>
        </w:tabs>
        <w:ind w:left="1428" w:hanging="360"/>
      </w:pPr>
      <w:rPr>
        <w:rFonts w:ascii="Courier New" w:hAnsi="Courier New"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34" w15:restartNumberingAfterBreak="0">
    <w:nsid w:val="2AF65C32"/>
    <w:multiLevelType w:val="hybridMultilevel"/>
    <w:tmpl w:val="5E36B188"/>
    <w:lvl w:ilvl="0" w:tplc="080C0001">
      <w:start w:val="1"/>
      <w:numFmt w:val="bullet"/>
      <w:lvlText w:val=""/>
      <w:lvlJc w:val="left"/>
      <w:pPr>
        <w:ind w:left="2704" w:hanging="360"/>
      </w:pPr>
      <w:rPr>
        <w:rFonts w:ascii="Symbol" w:hAnsi="Symbol" w:hint="default"/>
      </w:rPr>
    </w:lvl>
    <w:lvl w:ilvl="1" w:tplc="080C0003" w:tentative="1">
      <w:start w:val="1"/>
      <w:numFmt w:val="bullet"/>
      <w:lvlText w:val="o"/>
      <w:lvlJc w:val="left"/>
      <w:pPr>
        <w:ind w:left="3424" w:hanging="360"/>
      </w:pPr>
      <w:rPr>
        <w:rFonts w:ascii="Courier New" w:hAnsi="Courier New" w:cs="Courier New" w:hint="default"/>
      </w:rPr>
    </w:lvl>
    <w:lvl w:ilvl="2" w:tplc="080C0005" w:tentative="1">
      <w:start w:val="1"/>
      <w:numFmt w:val="bullet"/>
      <w:lvlText w:val=""/>
      <w:lvlJc w:val="left"/>
      <w:pPr>
        <w:ind w:left="4144" w:hanging="360"/>
      </w:pPr>
      <w:rPr>
        <w:rFonts w:ascii="Wingdings" w:hAnsi="Wingdings" w:hint="default"/>
      </w:rPr>
    </w:lvl>
    <w:lvl w:ilvl="3" w:tplc="080C0001" w:tentative="1">
      <w:start w:val="1"/>
      <w:numFmt w:val="bullet"/>
      <w:lvlText w:val=""/>
      <w:lvlJc w:val="left"/>
      <w:pPr>
        <w:ind w:left="4864" w:hanging="360"/>
      </w:pPr>
      <w:rPr>
        <w:rFonts w:ascii="Symbol" w:hAnsi="Symbol" w:hint="default"/>
      </w:rPr>
    </w:lvl>
    <w:lvl w:ilvl="4" w:tplc="080C0003" w:tentative="1">
      <w:start w:val="1"/>
      <w:numFmt w:val="bullet"/>
      <w:lvlText w:val="o"/>
      <w:lvlJc w:val="left"/>
      <w:pPr>
        <w:ind w:left="5584" w:hanging="360"/>
      </w:pPr>
      <w:rPr>
        <w:rFonts w:ascii="Courier New" w:hAnsi="Courier New" w:cs="Courier New" w:hint="default"/>
      </w:rPr>
    </w:lvl>
    <w:lvl w:ilvl="5" w:tplc="080C0005" w:tentative="1">
      <w:start w:val="1"/>
      <w:numFmt w:val="bullet"/>
      <w:lvlText w:val=""/>
      <w:lvlJc w:val="left"/>
      <w:pPr>
        <w:ind w:left="6304" w:hanging="360"/>
      </w:pPr>
      <w:rPr>
        <w:rFonts w:ascii="Wingdings" w:hAnsi="Wingdings" w:hint="default"/>
      </w:rPr>
    </w:lvl>
    <w:lvl w:ilvl="6" w:tplc="080C0001" w:tentative="1">
      <w:start w:val="1"/>
      <w:numFmt w:val="bullet"/>
      <w:lvlText w:val=""/>
      <w:lvlJc w:val="left"/>
      <w:pPr>
        <w:ind w:left="7024" w:hanging="360"/>
      </w:pPr>
      <w:rPr>
        <w:rFonts w:ascii="Symbol" w:hAnsi="Symbol" w:hint="default"/>
      </w:rPr>
    </w:lvl>
    <w:lvl w:ilvl="7" w:tplc="080C0003" w:tentative="1">
      <w:start w:val="1"/>
      <w:numFmt w:val="bullet"/>
      <w:lvlText w:val="o"/>
      <w:lvlJc w:val="left"/>
      <w:pPr>
        <w:ind w:left="7744" w:hanging="360"/>
      </w:pPr>
      <w:rPr>
        <w:rFonts w:ascii="Courier New" w:hAnsi="Courier New" w:cs="Courier New" w:hint="default"/>
      </w:rPr>
    </w:lvl>
    <w:lvl w:ilvl="8" w:tplc="080C0005" w:tentative="1">
      <w:start w:val="1"/>
      <w:numFmt w:val="bullet"/>
      <w:lvlText w:val=""/>
      <w:lvlJc w:val="left"/>
      <w:pPr>
        <w:ind w:left="8464" w:hanging="360"/>
      </w:pPr>
      <w:rPr>
        <w:rFonts w:ascii="Wingdings" w:hAnsi="Wingdings" w:hint="default"/>
      </w:rPr>
    </w:lvl>
  </w:abstractNum>
  <w:abstractNum w:abstractNumId="235"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6" w15:restartNumberingAfterBreak="0">
    <w:nsid w:val="2B9653F9"/>
    <w:multiLevelType w:val="hybridMultilevel"/>
    <w:tmpl w:val="79DC50B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7"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8" w15:restartNumberingAfterBreak="0">
    <w:nsid w:val="2C1B45FE"/>
    <w:multiLevelType w:val="hybridMultilevel"/>
    <w:tmpl w:val="B97427A0"/>
    <w:lvl w:ilvl="0" w:tplc="00000108">
      <w:start w:val="1"/>
      <w:numFmt w:val="bullet"/>
      <w:lvlText w:val=""/>
      <w:lvlJc w:val="left"/>
      <w:pPr>
        <w:ind w:left="720" w:hanging="36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9" w15:restartNumberingAfterBreak="0">
    <w:nsid w:val="2CC70482"/>
    <w:multiLevelType w:val="hybridMultilevel"/>
    <w:tmpl w:val="614E4EC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1">
      <w:start w:val="1"/>
      <w:numFmt w:val="bullet"/>
      <w:lvlText w:val=""/>
      <w:lvlJc w:val="left"/>
      <w:pPr>
        <w:ind w:left="2160" w:hanging="360"/>
      </w:pPr>
      <w:rPr>
        <w:rFonts w:ascii="Symbol" w:hAnsi="Symbol"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0"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1" w15:restartNumberingAfterBreak="0">
    <w:nsid w:val="2DA250BF"/>
    <w:multiLevelType w:val="hybridMultilevel"/>
    <w:tmpl w:val="0980B2F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2" w15:restartNumberingAfterBreak="0">
    <w:nsid w:val="2DEE4CAF"/>
    <w:multiLevelType w:val="hybridMultilevel"/>
    <w:tmpl w:val="0F7A09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3" w15:restartNumberingAfterBreak="0">
    <w:nsid w:val="2E2A4663"/>
    <w:multiLevelType w:val="hybridMultilevel"/>
    <w:tmpl w:val="02F611CC"/>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5" w15:restartNumberingAfterBreak="0">
    <w:nsid w:val="2EB87A13"/>
    <w:multiLevelType w:val="hybridMultilevel"/>
    <w:tmpl w:val="58E4B88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6" w15:restartNumberingAfterBreak="0">
    <w:nsid w:val="2F6873B1"/>
    <w:multiLevelType w:val="hybridMultilevel"/>
    <w:tmpl w:val="32704710"/>
    <w:lvl w:ilvl="0" w:tplc="0000003E">
      <w:start w:val="1"/>
      <w:numFmt w:val="bullet"/>
      <w:lvlText w:val=""/>
      <w:lvlJc w:val="left"/>
      <w:pPr>
        <w:ind w:left="1069" w:hanging="360"/>
      </w:pPr>
      <w:rPr>
        <w:rFonts w:ascii="Wingdings" w:hAnsi="Wingdings"/>
      </w:rPr>
    </w:lvl>
    <w:lvl w:ilvl="1" w:tplc="080C0003" w:tentative="1">
      <w:start w:val="1"/>
      <w:numFmt w:val="bullet"/>
      <w:lvlText w:val="o"/>
      <w:lvlJc w:val="left"/>
      <w:pPr>
        <w:ind w:left="1789" w:hanging="360"/>
      </w:pPr>
      <w:rPr>
        <w:rFonts w:ascii="Courier New" w:hAnsi="Courier New" w:cs="Courier New" w:hint="default"/>
      </w:rPr>
    </w:lvl>
    <w:lvl w:ilvl="2" w:tplc="080C0005" w:tentative="1">
      <w:start w:val="1"/>
      <w:numFmt w:val="bullet"/>
      <w:lvlText w:val=""/>
      <w:lvlJc w:val="left"/>
      <w:pPr>
        <w:ind w:left="2509" w:hanging="360"/>
      </w:pPr>
      <w:rPr>
        <w:rFonts w:ascii="Wingdings" w:hAnsi="Wingdings" w:hint="default"/>
      </w:rPr>
    </w:lvl>
    <w:lvl w:ilvl="3" w:tplc="080C0001" w:tentative="1">
      <w:start w:val="1"/>
      <w:numFmt w:val="bullet"/>
      <w:lvlText w:val=""/>
      <w:lvlJc w:val="left"/>
      <w:pPr>
        <w:ind w:left="3229" w:hanging="360"/>
      </w:pPr>
      <w:rPr>
        <w:rFonts w:ascii="Symbol" w:hAnsi="Symbol" w:hint="default"/>
      </w:rPr>
    </w:lvl>
    <w:lvl w:ilvl="4" w:tplc="080C0003" w:tentative="1">
      <w:start w:val="1"/>
      <w:numFmt w:val="bullet"/>
      <w:lvlText w:val="o"/>
      <w:lvlJc w:val="left"/>
      <w:pPr>
        <w:ind w:left="3949" w:hanging="360"/>
      </w:pPr>
      <w:rPr>
        <w:rFonts w:ascii="Courier New" w:hAnsi="Courier New" w:cs="Courier New" w:hint="default"/>
      </w:rPr>
    </w:lvl>
    <w:lvl w:ilvl="5" w:tplc="080C0005" w:tentative="1">
      <w:start w:val="1"/>
      <w:numFmt w:val="bullet"/>
      <w:lvlText w:val=""/>
      <w:lvlJc w:val="left"/>
      <w:pPr>
        <w:ind w:left="4669" w:hanging="360"/>
      </w:pPr>
      <w:rPr>
        <w:rFonts w:ascii="Wingdings" w:hAnsi="Wingdings" w:hint="default"/>
      </w:rPr>
    </w:lvl>
    <w:lvl w:ilvl="6" w:tplc="080C0001" w:tentative="1">
      <w:start w:val="1"/>
      <w:numFmt w:val="bullet"/>
      <w:lvlText w:val=""/>
      <w:lvlJc w:val="left"/>
      <w:pPr>
        <w:ind w:left="5389" w:hanging="360"/>
      </w:pPr>
      <w:rPr>
        <w:rFonts w:ascii="Symbol" w:hAnsi="Symbol" w:hint="default"/>
      </w:rPr>
    </w:lvl>
    <w:lvl w:ilvl="7" w:tplc="080C0003" w:tentative="1">
      <w:start w:val="1"/>
      <w:numFmt w:val="bullet"/>
      <w:lvlText w:val="o"/>
      <w:lvlJc w:val="left"/>
      <w:pPr>
        <w:ind w:left="6109" w:hanging="360"/>
      </w:pPr>
      <w:rPr>
        <w:rFonts w:ascii="Courier New" w:hAnsi="Courier New" w:cs="Courier New" w:hint="default"/>
      </w:rPr>
    </w:lvl>
    <w:lvl w:ilvl="8" w:tplc="080C0005" w:tentative="1">
      <w:start w:val="1"/>
      <w:numFmt w:val="bullet"/>
      <w:lvlText w:val=""/>
      <w:lvlJc w:val="left"/>
      <w:pPr>
        <w:ind w:left="6829" w:hanging="360"/>
      </w:pPr>
      <w:rPr>
        <w:rFonts w:ascii="Wingdings" w:hAnsi="Wingdings" w:hint="default"/>
      </w:rPr>
    </w:lvl>
  </w:abstractNum>
  <w:abstractNum w:abstractNumId="247" w15:restartNumberingAfterBreak="0">
    <w:nsid w:val="306C604A"/>
    <w:multiLevelType w:val="hybridMultilevel"/>
    <w:tmpl w:val="5FAA542C"/>
    <w:lvl w:ilvl="0" w:tplc="7FC070AC">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D90C2ED0">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5062516">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C905C62">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970E63E2">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6A7228">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02468D18">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5906B58E">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A8462FB8">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8" w15:restartNumberingAfterBreak="0">
    <w:nsid w:val="3123566F"/>
    <w:multiLevelType w:val="hybridMultilevel"/>
    <w:tmpl w:val="5764066E"/>
    <w:lvl w:ilvl="0" w:tplc="00000109">
      <w:start w:val="1"/>
      <w:numFmt w:val="bullet"/>
      <w:lvlText w:val=""/>
      <w:lvlJc w:val="left"/>
      <w:pPr>
        <w:tabs>
          <w:tab w:val="num" w:pos="357"/>
        </w:tabs>
        <w:ind w:left="340" w:hanging="34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9" w15:restartNumberingAfterBreak="0">
    <w:nsid w:val="32830DF0"/>
    <w:multiLevelType w:val="hybridMultilevel"/>
    <w:tmpl w:val="A9E658B2"/>
    <w:lvl w:ilvl="0" w:tplc="080C000F">
      <w:start w:val="1"/>
      <w:numFmt w:val="decimal"/>
      <w:lvlText w:val="%1."/>
      <w:lvlJc w:val="left"/>
      <w:pPr>
        <w:ind w:left="1287" w:hanging="360"/>
      </w:pPr>
    </w:lvl>
    <w:lvl w:ilvl="1" w:tplc="080C0019" w:tentative="1">
      <w:start w:val="1"/>
      <w:numFmt w:val="lowerLetter"/>
      <w:lvlText w:val="%2."/>
      <w:lvlJc w:val="left"/>
      <w:pPr>
        <w:ind w:left="2007" w:hanging="360"/>
      </w:pPr>
    </w:lvl>
    <w:lvl w:ilvl="2" w:tplc="080C001B" w:tentative="1">
      <w:start w:val="1"/>
      <w:numFmt w:val="lowerRoman"/>
      <w:lvlText w:val="%3."/>
      <w:lvlJc w:val="right"/>
      <w:pPr>
        <w:ind w:left="2727" w:hanging="180"/>
      </w:pPr>
    </w:lvl>
    <w:lvl w:ilvl="3" w:tplc="080C000F" w:tentative="1">
      <w:start w:val="1"/>
      <w:numFmt w:val="decimal"/>
      <w:lvlText w:val="%4."/>
      <w:lvlJc w:val="left"/>
      <w:pPr>
        <w:ind w:left="3447" w:hanging="360"/>
      </w:pPr>
    </w:lvl>
    <w:lvl w:ilvl="4" w:tplc="080C0019" w:tentative="1">
      <w:start w:val="1"/>
      <w:numFmt w:val="lowerLetter"/>
      <w:lvlText w:val="%5."/>
      <w:lvlJc w:val="left"/>
      <w:pPr>
        <w:ind w:left="4167" w:hanging="360"/>
      </w:pPr>
    </w:lvl>
    <w:lvl w:ilvl="5" w:tplc="080C001B" w:tentative="1">
      <w:start w:val="1"/>
      <w:numFmt w:val="lowerRoman"/>
      <w:lvlText w:val="%6."/>
      <w:lvlJc w:val="right"/>
      <w:pPr>
        <w:ind w:left="4887" w:hanging="180"/>
      </w:pPr>
    </w:lvl>
    <w:lvl w:ilvl="6" w:tplc="080C000F" w:tentative="1">
      <w:start w:val="1"/>
      <w:numFmt w:val="decimal"/>
      <w:lvlText w:val="%7."/>
      <w:lvlJc w:val="left"/>
      <w:pPr>
        <w:ind w:left="5607" w:hanging="360"/>
      </w:pPr>
    </w:lvl>
    <w:lvl w:ilvl="7" w:tplc="080C0019" w:tentative="1">
      <w:start w:val="1"/>
      <w:numFmt w:val="lowerLetter"/>
      <w:lvlText w:val="%8."/>
      <w:lvlJc w:val="left"/>
      <w:pPr>
        <w:ind w:left="6327" w:hanging="360"/>
      </w:pPr>
    </w:lvl>
    <w:lvl w:ilvl="8" w:tplc="080C001B" w:tentative="1">
      <w:start w:val="1"/>
      <w:numFmt w:val="lowerRoman"/>
      <w:lvlText w:val="%9."/>
      <w:lvlJc w:val="right"/>
      <w:pPr>
        <w:ind w:left="7047" w:hanging="180"/>
      </w:pPr>
    </w:lvl>
  </w:abstractNum>
  <w:abstractNum w:abstractNumId="250"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51" w15:restartNumberingAfterBreak="0">
    <w:nsid w:val="34851405"/>
    <w:multiLevelType w:val="hybridMultilevel"/>
    <w:tmpl w:val="95009E24"/>
    <w:lvl w:ilvl="0" w:tplc="62C464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D7AE928">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34D641D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FA6B5C8">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D168FDC">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63307E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A53A1C36">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D6CC3FA">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F7F6393E">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2"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54" w15:restartNumberingAfterBreak="0">
    <w:nsid w:val="37F274E6"/>
    <w:multiLevelType w:val="multilevel"/>
    <w:tmpl w:val="E8A497A2"/>
    <w:lvl w:ilvl="0">
      <w:start w:val="1"/>
      <w:numFmt w:val="decimal"/>
      <w:pStyle w:val="Chapitre"/>
      <w:lvlText w:val="%1."/>
      <w:lvlJc w:val="left"/>
      <w:pPr>
        <w:ind w:left="720" w:hanging="360"/>
      </w:pPr>
      <w:rPr>
        <w:rFonts w:hint="default"/>
      </w:rPr>
    </w:lvl>
    <w:lvl w:ilvl="1">
      <w:start w:val="1"/>
      <w:numFmt w:val="decimal"/>
      <w:pStyle w:val="Sous-chapitre"/>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5" w15:restartNumberingAfterBreak="0">
    <w:nsid w:val="382810CC"/>
    <w:multiLevelType w:val="hybridMultilevel"/>
    <w:tmpl w:val="2ADC91D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6"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7" w15:restartNumberingAfterBreak="0">
    <w:nsid w:val="39327AB8"/>
    <w:multiLevelType w:val="hybridMultilevel"/>
    <w:tmpl w:val="5ACCCAD4"/>
    <w:lvl w:ilvl="0" w:tplc="AE0A2506">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A829962">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B56462FC">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4505890">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2B27A4A">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F07EA340">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0ECF264">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8A80B4">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10086F32">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8" w15:restartNumberingAfterBreak="0">
    <w:nsid w:val="39D7340F"/>
    <w:multiLevelType w:val="hybridMultilevel"/>
    <w:tmpl w:val="D0D4FF62"/>
    <w:lvl w:ilvl="0" w:tplc="443079E0">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9" w15:restartNumberingAfterBreak="0">
    <w:nsid w:val="39EE2C25"/>
    <w:multiLevelType w:val="hybridMultilevel"/>
    <w:tmpl w:val="CEDA2AA4"/>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60" w15:restartNumberingAfterBreak="0">
    <w:nsid w:val="3A60479E"/>
    <w:multiLevelType w:val="hybridMultilevel"/>
    <w:tmpl w:val="9438D2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1" w15:restartNumberingAfterBreak="0">
    <w:nsid w:val="3AE77F0E"/>
    <w:multiLevelType w:val="hybridMultilevel"/>
    <w:tmpl w:val="0484B544"/>
    <w:lvl w:ilvl="0" w:tplc="080C0001">
      <w:start w:val="1"/>
      <w:numFmt w:val="bullet"/>
      <w:lvlText w:val=""/>
      <w:lvlJc w:val="left"/>
      <w:pPr>
        <w:ind w:left="360" w:hanging="360"/>
      </w:pPr>
      <w:rPr>
        <w:rFonts w:ascii="Symbol" w:hAnsi="Symbol" w:hint="default"/>
      </w:rPr>
    </w:lvl>
    <w:lvl w:ilvl="1" w:tplc="080C0001">
      <w:start w:val="1"/>
      <w:numFmt w:val="bullet"/>
      <w:lvlText w:val=""/>
      <w:lvlJc w:val="left"/>
      <w:pPr>
        <w:ind w:left="1080" w:hanging="360"/>
      </w:pPr>
      <w:rPr>
        <w:rFonts w:ascii="Symbol" w:hAnsi="Symbol"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62"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3" w15:restartNumberingAfterBreak="0">
    <w:nsid w:val="3B2A02BD"/>
    <w:multiLevelType w:val="hybridMultilevel"/>
    <w:tmpl w:val="6428D130"/>
    <w:lvl w:ilvl="0" w:tplc="000000E1">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4" w15:restartNumberingAfterBreak="0">
    <w:nsid w:val="3C4D160B"/>
    <w:multiLevelType w:val="multilevel"/>
    <w:tmpl w:val="F72E3644"/>
    <w:numStyleLink w:val="Style5"/>
  </w:abstractNum>
  <w:abstractNum w:abstractNumId="265" w15:restartNumberingAfterBreak="0">
    <w:nsid w:val="3CB82103"/>
    <w:multiLevelType w:val="hybridMultilevel"/>
    <w:tmpl w:val="13C270E0"/>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3DC16235"/>
    <w:multiLevelType w:val="hybridMultilevel"/>
    <w:tmpl w:val="8C7609E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7" w15:restartNumberingAfterBreak="0">
    <w:nsid w:val="3DD2699D"/>
    <w:multiLevelType w:val="hybridMultilevel"/>
    <w:tmpl w:val="DB1C72EA"/>
    <w:lvl w:ilvl="0" w:tplc="211808DA">
      <w:start w:val="7"/>
      <w:numFmt w:val="bullet"/>
      <w:lvlText w:val="-"/>
      <w:lvlJc w:val="left"/>
      <w:pPr>
        <w:ind w:left="644" w:hanging="360"/>
      </w:pPr>
      <w:rPr>
        <w:rFonts w:ascii="Arial" w:eastAsia="Times New Roman" w:hAnsi="Arial" w:hint="default"/>
      </w:rPr>
    </w:lvl>
    <w:lvl w:ilvl="1" w:tplc="04090003">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8" w15:restartNumberingAfterBreak="0">
    <w:nsid w:val="3E0F734C"/>
    <w:multiLevelType w:val="hybridMultilevel"/>
    <w:tmpl w:val="E1D44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9" w15:restartNumberingAfterBreak="0">
    <w:nsid w:val="3F433538"/>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0"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71" w15:restartNumberingAfterBreak="0">
    <w:nsid w:val="401D6BBE"/>
    <w:multiLevelType w:val="hybridMultilevel"/>
    <w:tmpl w:val="44F6E01C"/>
    <w:lvl w:ilvl="0" w:tplc="4EDA9AB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7B3AF7A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89E6CE8">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966668F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C4DA9A90">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270D76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CE62658">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428E9E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4327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72" w15:restartNumberingAfterBreak="0">
    <w:nsid w:val="40250E88"/>
    <w:multiLevelType w:val="hybridMultilevel"/>
    <w:tmpl w:val="6858990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3"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4" w15:restartNumberingAfterBreak="0">
    <w:nsid w:val="4130161B"/>
    <w:multiLevelType w:val="hybridMultilevel"/>
    <w:tmpl w:val="A3B0F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5" w15:restartNumberingAfterBreak="0">
    <w:nsid w:val="414D60DB"/>
    <w:multiLevelType w:val="hybridMultilevel"/>
    <w:tmpl w:val="FA3434CE"/>
    <w:lvl w:ilvl="0" w:tplc="51AA6BE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C3E204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28C0B4AA">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C2075FE">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B42E8D6">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15E9164">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5DA054C">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85127D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D9EE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76" w15:restartNumberingAfterBreak="0">
    <w:nsid w:val="41577767"/>
    <w:multiLevelType w:val="hybridMultilevel"/>
    <w:tmpl w:val="F12485B4"/>
    <w:lvl w:ilvl="0" w:tplc="080C000B">
      <w:start w:val="1"/>
      <w:numFmt w:val="bullet"/>
      <w:lvlText w:val=""/>
      <w:lvlJc w:val="left"/>
      <w:pPr>
        <w:ind w:left="1384" w:hanging="360"/>
      </w:pPr>
      <w:rPr>
        <w:rFonts w:ascii="Wingdings" w:hAnsi="Wingdings" w:hint="default"/>
      </w:rPr>
    </w:lvl>
    <w:lvl w:ilvl="1" w:tplc="080C0003" w:tentative="1">
      <w:start w:val="1"/>
      <w:numFmt w:val="bullet"/>
      <w:lvlText w:val="o"/>
      <w:lvlJc w:val="left"/>
      <w:pPr>
        <w:ind w:left="2104" w:hanging="360"/>
      </w:pPr>
      <w:rPr>
        <w:rFonts w:ascii="Courier New" w:hAnsi="Courier New" w:hint="default"/>
      </w:rPr>
    </w:lvl>
    <w:lvl w:ilvl="2" w:tplc="080C0005" w:tentative="1">
      <w:start w:val="1"/>
      <w:numFmt w:val="bullet"/>
      <w:lvlText w:val=""/>
      <w:lvlJc w:val="left"/>
      <w:pPr>
        <w:ind w:left="2824" w:hanging="360"/>
      </w:pPr>
      <w:rPr>
        <w:rFonts w:ascii="Wingdings" w:hAnsi="Wingdings" w:hint="default"/>
      </w:rPr>
    </w:lvl>
    <w:lvl w:ilvl="3" w:tplc="080C0001" w:tentative="1">
      <w:start w:val="1"/>
      <w:numFmt w:val="bullet"/>
      <w:lvlText w:val=""/>
      <w:lvlJc w:val="left"/>
      <w:pPr>
        <w:ind w:left="3544" w:hanging="360"/>
      </w:pPr>
      <w:rPr>
        <w:rFonts w:ascii="Symbol" w:hAnsi="Symbol" w:hint="default"/>
      </w:rPr>
    </w:lvl>
    <w:lvl w:ilvl="4" w:tplc="080C0003" w:tentative="1">
      <w:start w:val="1"/>
      <w:numFmt w:val="bullet"/>
      <w:lvlText w:val="o"/>
      <w:lvlJc w:val="left"/>
      <w:pPr>
        <w:ind w:left="4264" w:hanging="360"/>
      </w:pPr>
      <w:rPr>
        <w:rFonts w:ascii="Courier New" w:hAnsi="Courier New" w:hint="default"/>
      </w:rPr>
    </w:lvl>
    <w:lvl w:ilvl="5" w:tplc="080C0005" w:tentative="1">
      <w:start w:val="1"/>
      <w:numFmt w:val="bullet"/>
      <w:lvlText w:val=""/>
      <w:lvlJc w:val="left"/>
      <w:pPr>
        <w:ind w:left="4984" w:hanging="360"/>
      </w:pPr>
      <w:rPr>
        <w:rFonts w:ascii="Wingdings" w:hAnsi="Wingdings" w:hint="default"/>
      </w:rPr>
    </w:lvl>
    <w:lvl w:ilvl="6" w:tplc="080C0001" w:tentative="1">
      <w:start w:val="1"/>
      <w:numFmt w:val="bullet"/>
      <w:lvlText w:val=""/>
      <w:lvlJc w:val="left"/>
      <w:pPr>
        <w:ind w:left="5704" w:hanging="360"/>
      </w:pPr>
      <w:rPr>
        <w:rFonts w:ascii="Symbol" w:hAnsi="Symbol" w:hint="default"/>
      </w:rPr>
    </w:lvl>
    <w:lvl w:ilvl="7" w:tplc="080C0003" w:tentative="1">
      <w:start w:val="1"/>
      <w:numFmt w:val="bullet"/>
      <w:lvlText w:val="o"/>
      <w:lvlJc w:val="left"/>
      <w:pPr>
        <w:ind w:left="6424" w:hanging="360"/>
      </w:pPr>
      <w:rPr>
        <w:rFonts w:ascii="Courier New" w:hAnsi="Courier New" w:hint="default"/>
      </w:rPr>
    </w:lvl>
    <w:lvl w:ilvl="8" w:tplc="080C0005" w:tentative="1">
      <w:start w:val="1"/>
      <w:numFmt w:val="bullet"/>
      <w:lvlText w:val=""/>
      <w:lvlJc w:val="left"/>
      <w:pPr>
        <w:ind w:left="7144" w:hanging="360"/>
      </w:pPr>
      <w:rPr>
        <w:rFonts w:ascii="Wingdings" w:hAnsi="Wingdings" w:hint="default"/>
      </w:rPr>
    </w:lvl>
  </w:abstractNum>
  <w:abstractNum w:abstractNumId="277" w15:restartNumberingAfterBreak="0">
    <w:nsid w:val="42433348"/>
    <w:multiLevelType w:val="hybridMultilevel"/>
    <w:tmpl w:val="C81698AE"/>
    <w:lvl w:ilvl="0" w:tplc="04090001">
      <w:start w:val="1"/>
      <w:numFmt w:val="bullet"/>
      <w:lvlText w:val=""/>
      <w:lvlJc w:val="left"/>
      <w:pPr>
        <w:ind w:left="968" w:hanging="360"/>
      </w:pPr>
      <w:rPr>
        <w:rFonts w:ascii="Symbol" w:hAnsi="Symbol" w:hint="default"/>
      </w:rPr>
    </w:lvl>
    <w:lvl w:ilvl="1" w:tplc="04090003" w:tentative="1">
      <w:start w:val="1"/>
      <w:numFmt w:val="bullet"/>
      <w:lvlText w:val="o"/>
      <w:lvlJc w:val="left"/>
      <w:pPr>
        <w:ind w:left="1688" w:hanging="360"/>
      </w:pPr>
      <w:rPr>
        <w:rFonts w:ascii="Courier New" w:hAnsi="Courier New" w:hint="default"/>
      </w:rPr>
    </w:lvl>
    <w:lvl w:ilvl="2" w:tplc="04090005" w:tentative="1">
      <w:start w:val="1"/>
      <w:numFmt w:val="bullet"/>
      <w:lvlText w:val=""/>
      <w:lvlJc w:val="left"/>
      <w:pPr>
        <w:ind w:left="2408" w:hanging="360"/>
      </w:pPr>
      <w:rPr>
        <w:rFonts w:ascii="Wingdings" w:hAnsi="Wingdings" w:hint="default"/>
      </w:rPr>
    </w:lvl>
    <w:lvl w:ilvl="3" w:tplc="04090001" w:tentative="1">
      <w:start w:val="1"/>
      <w:numFmt w:val="bullet"/>
      <w:lvlText w:val=""/>
      <w:lvlJc w:val="left"/>
      <w:pPr>
        <w:ind w:left="3128" w:hanging="360"/>
      </w:pPr>
      <w:rPr>
        <w:rFonts w:ascii="Symbol" w:hAnsi="Symbol" w:hint="default"/>
      </w:rPr>
    </w:lvl>
    <w:lvl w:ilvl="4" w:tplc="04090003" w:tentative="1">
      <w:start w:val="1"/>
      <w:numFmt w:val="bullet"/>
      <w:lvlText w:val="o"/>
      <w:lvlJc w:val="left"/>
      <w:pPr>
        <w:ind w:left="3848" w:hanging="360"/>
      </w:pPr>
      <w:rPr>
        <w:rFonts w:ascii="Courier New" w:hAnsi="Courier New" w:hint="default"/>
      </w:rPr>
    </w:lvl>
    <w:lvl w:ilvl="5" w:tplc="04090005" w:tentative="1">
      <w:start w:val="1"/>
      <w:numFmt w:val="bullet"/>
      <w:lvlText w:val=""/>
      <w:lvlJc w:val="left"/>
      <w:pPr>
        <w:ind w:left="4568" w:hanging="360"/>
      </w:pPr>
      <w:rPr>
        <w:rFonts w:ascii="Wingdings" w:hAnsi="Wingdings" w:hint="default"/>
      </w:rPr>
    </w:lvl>
    <w:lvl w:ilvl="6" w:tplc="04090001" w:tentative="1">
      <w:start w:val="1"/>
      <w:numFmt w:val="bullet"/>
      <w:lvlText w:val=""/>
      <w:lvlJc w:val="left"/>
      <w:pPr>
        <w:ind w:left="5288" w:hanging="360"/>
      </w:pPr>
      <w:rPr>
        <w:rFonts w:ascii="Symbol" w:hAnsi="Symbol" w:hint="default"/>
      </w:rPr>
    </w:lvl>
    <w:lvl w:ilvl="7" w:tplc="04090003" w:tentative="1">
      <w:start w:val="1"/>
      <w:numFmt w:val="bullet"/>
      <w:lvlText w:val="o"/>
      <w:lvlJc w:val="left"/>
      <w:pPr>
        <w:ind w:left="6008" w:hanging="360"/>
      </w:pPr>
      <w:rPr>
        <w:rFonts w:ascii="Courier New" w:hAnsi="Courier New" w:hint="default"/>
      </w:rPr>
    </w:lvl>
    <w:lvl w:ilvl="8" w:tplc="04090005" w:tentative="1">
      <w:start w:val="1"/>
      <w:numFmt w:val="bullet"/>
      <w:lvlText w:val=""/>
      <w:lvlJc w:val="left"/>
      <w:pPr>
        <w:ind w:left="6728" w:hanging="360"/>
      </w:pPr>
      <w:rPr>
        <w:rFonts w:ascii="Wingdings" w:hAnsi="Wingdings" w:hint="default"/>
      </w:rPr>
    </w:lvl>
  </w:abstractNum>
  <w:abstractNum w:abstractNumId="278" w15:restartNumberingAfterBreak="0">
    <w:nsid w:val="42E7651B"/>
    <w:multiLevelType w:val="hybridMultilevel"/>
    <w:tmpl w:val="1408ECA2"/>
    <w:lvl w:ilvl="0" w:tplc="8B0CBDD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9"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0" w15:restartNumberingAfterBreak="0">
    <w:nsid w:val="437513F1"/>
    <w:multiLevelType w:val="hybridMultilevel"/>
    <w:tmpl w:val="687E3B32"/>
    <w:lvl w:ilvl="0" w:tplc="443079E0">
      <w:start w:val="1"/>
      <w:numFmt w:val="bullet"/>
      <w:lvlText w:val=""/>
      <w:lvlJc w:val="left"/>
      <w:pPr>
        <w:tabs>
          <w:tab w:val="num" w:pos="357"/>
        </w:tabs>
        <w:ind w:left="340" w:hanging="34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43A66D39"/>
    <w:multiLevelType w:val="hybridMultilevel"/>
    <w:tmpl w:val="07EC3B7E"/>
    <w:lvl w:ilvl="0" w:tplc="C8AE38CA">
      <w:start w:val="1"/>
      <w:numFmt w:val="decimal"/>
      <w:lvlText w:val="%1)"/>
      <w:lvlJc w:val="left"/>
      <w:pPr>
        <w:ind w:left="360" w:hanging="360"/>
      </w:pPr>
      <w:rPr>
        <w:b w:val="0"/>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282" w15:restartNumberingAfterBreak="0">
    <w:nsid w:val="441E0615"/>
    <w:multiLevelType w:val="hybridMultilevel"/>
    <w:tmpl w:val="041CFDE6"/>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448A2DFA"/>
    <w:multiLevelType w:val="hybridMultilevel"/>
    <w:tmpl w:val="E47C226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4" w15:restartNumberingAfterBreak="0">
    <w:nsid w:val="449D70A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5"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5202601"/>
    <w:multiLevelType w:val="hybridMultilevel"/>
    <w:tmpl w:val="8086F9A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1800" w:hanging="360"/>
      </w:pPr>
      <w:rPr>
        <w:rFonts w:ascii="Courier New" w:hAnsi="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87" w15:restartNumberingAfterBreak="0">
    <w:nsid w:val="45452812"/>
    <w:multiLevelType w:val="hybridMultilevel"/>
    <w:tmpl w:val="B6845310"/>
    <w:lvl w:ilvl="0" w:tplc="573AD2F6">
      <w:numFmt w:val="bullet"/>
      <w:lvlText w:val=""/>
      <w:lvlJc w:val="left"/>
      <w:pPr>
        <w:ind w:left="1434" w:hanging="360"/>
      </w:pPr>
      <w:rPr>
        <w:rFonts w:ascii="Wingdings" w:eastAsia="Calibri" w:hAnsi="Wingdings" w:cs="Times New Roman" w:hint="default"/>
        <w:b/>
      </w:rPr>
    </w:lvl>
    <w:lvl w:ilvl="1" w:tplc="080C0003">
      <w:start w:val="1"/>
      <w:numFmt w:val="bullet"/>
      <w:lvlText w:val="o"/>
      <w:lvlJc w:val="left"/>
      <w:pPr>
        <w:ind w:left="2154" w:hanging="360"/>
      </w:pPr>
      <w:rPr>
        <w:rFonts w:ascii="Courier New" w:hAnsi="Courier New" w:cs="Courier New" w:hint="default"/>
      </w:rPr>
    </w:lvl>
    <w:lvl w:ilvl="2" w:tplc="080C0005">
      <w:start w:val="1"/>
      <w:numFmt w:val="bullet"/>
      <w:lvlText w:val=""/>
      <w:lvlJc w:val="left"/>
      <w:pPr>
        <w:ind w:left="2874" w:hanging="360"/>
      </w:pPr>
      <w:rPr>
        <w:rFonts w:ascii="Wingdings" w:hAnsi="Wingdings" w:hint="default"/>
      </w:rPr>
    </w:lvl>
    <w:lvl w:ilvl="3" w:tplc="080C0001">
      <w:start w:val="1"/>
      <w:numFmt w:val="bullet"/>
      <w:lvlText w:val=""/>
      <w:lvlJc w:val="left"/>
      <w:pPr>
        <w:ind w:left="3594" w:hanging="360"/>
      </w:pPr>
      <w:rPr>
        <w:rFonts w:ascii="Symbol" w:hAnsi="Symbol" w:hint="default"/>
      </w:rPr>
    </w:lvl>
    <w:lvl w:ilvl="4" w:tplc="080C0003">
      <w:start w:val="1"/>
      <w:numFmt w:val="bullet"/>
      <w:lvlText w:val="o"/>
      <w:lvlJc w:val="left"/>
      <w:pPr>
        <w:ind w:left="4314" w:hanging="360"/>
      </w:pPr>
      <w:rPr>
        <w:rFonts w:ascii="Courier New" w:hAnsi="Courier New" w:cs="Courier New" w:hint="default"/>
      </w:rPr>
    </w:lvl>
    <w:lvl w:ilvl="5" w:tplc="080C0005">
      <w:start w:val="1"/>
      <w:numFmt w:val="bullet"/>
      <w:lvlText w:val=""/>
      <w:lvlJc w:val="left"/>
      <w:pPr>
        <w:ind w:left="5034" w:hanging="360"/>
      </w:pPr>
      <w:rPr>
        <w:rFonts w:ascii="Wingdings" w:hAnsi="Wingdings" w:hint="default"/>
      </w:rPr>
    </w:lvl>
    <w:lvl w:ilvl="6" w:tplc="080C0001">
      <w:start w:val="1"/>
      <w:numFmt w:val="bullet"/>
      <w:lvlText w:val=""/>
      <w:lvlJc w:val="left"/>
      <w:pPr>
        <w:ind w:left="5754" w:hanging="360"/>
      </w:pPr>
      <w:rPr>
        <w:rFonts w:ascii="Symbol" w:hAnsi="Symbol" w:hint="default"/>
      </w:rPr>
    </w:lvl>
    <w:lvl w:ilvl="7" w:tplc="080C0003">
      <w:start w:val="1"/>
      <w:numFmt w:val="bullet"/>
      <w:lvlText w:val="o"/>
      <w:lvlJc w:val="left"/>
      <w:pPr>
        <w:ind w:left="6474" w:hanging="360"/>
      </w:pPr>
      <w:rPr>
        <w:rFonts w:ascii="Courier New" w:hAnsi="Courier New" w:cs="Courier New" w:hint="default"/>
      </w:rPr>
    </w:lvl>
    <w:lvl w:ilvl="8" w:tplc="080C0005">
      <w:start w:val="1"/>
      <w:numFmt w:val="bullet"/>
      <w:lvlText w:val=""/>
      <w:lvlJc w:val="left"/>
      <w:pPr>
        <w:ind w:left="7194" w:hanging="360"/>
      </w:pPr>
      <w:rPr>
        <w:rFonts w:ascii="Wingdings" w:hAnsi="Wingdings" w:hint="default"/>
      </w:rPr>
    </w:lvl>
  </w:abstractNum>
  <w:abstractNum w:abstractNumId="288"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89" w15:restartNumberingAfterBreak="0">
    <w:nsid w:val="45BB510B"/>
    <w:multiLevelType w:val="hybridMultilevel"/>
    <w:tmpl w:val="DA42BF1C"/>
    <w:lvl w:ilvl="0" w:tplc="080C0017">
      <w:start w:val="1"/>
      <w:numFmt w:val="lowerLetter"/>
      <w:lvlText w:val="%1)"/>
      <w:lvlJc w:val="left"/>
      <w:pPr>
        <w:ind w:left="720" w:hanging="360"/>
      </w:pPr>
    </w:lvl>
    <w:lvl w:ilvl="1" w:tplc="133409C0">
      <w:start w:val="1"/>
      <w:numFmt w:val="decimal"/>
      <w:lvlText w:val="%2."/>
      <w:lvlJc w:val="left"/>
      <w:pPr>
        <w:tabs>
          <w:tab w:val="num" w:pos="1353"/>
        </w:tabs>
        <w:ind w:left="1353" w:hanging="360"/>
      </w:pPr>
      <w:rPr>
        <w:b/>
      </w:r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90" w15:restartNumberingAfterBreak="0">
    <w:nsid w:val="46154FEB"/>
    <w:multiLevelType w:val="multilevel"/>
    <w:tmpl w:val="6F84AF5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91"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2" w15:restartNumberingAfterBreak="0">
    <w:nsid w:val="46CC3108"/>
    <w:multiLevelType w:val="hybridMultilevel"/>
    <w:tmpl w:val="830268E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712492C"/>
    <w:multiLevelType w:val="hybridMultilevel"/>
    <w:tmpl w:val="C748D16A"/>
    <w:lvl w:ilvl="0" w:tplc="040C000F">
      <w:start w:val="1"/>
      <w:numFmt w:val="decimal"/>
      <w:lvlText w:val="%1."/>
      <w:lvlJc w:val="left"/>
      <w:pPr>
        <w:tabs>
          <w:tab w:val="num" w:pos="720"/>
        </w:tabs>
        <w:ind w:left="720" w:hanging="360"/>
      </w:pPr>
      <w:rPr>
        <w:rFonts w:cs="Times New Roman"/>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4"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95" w15:restartNumberingAfterBreak="0">
    <w:nsid w:val="479B362E"/>
    <w:multiLevelType w:val="hybridMultilevel"/>
    <w:tmpl w:val="671C0AB4"/>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8E6595F"/>
    <w:multiLevelType w:val="hybridMultilevel"/>
    <w:tmpl w:val="D45EA892"/>
    <w:lvl w:ilvl="0" w:tplc="241455FA">
      <w:start w:val="1"/>
      <w:numFmt w:val="bullet"/>
      <w:lvlText w:val=""/>
      <w:lvlJc w:val="left"/>
      <w:pPr>
        <w:tabs>
          <w:tab w:val="num" w:pos="357"/>
        </w:tabs>
        <w:ind w:left="340" w:hanging="340"/>
      </w:pPr>
      <w:rPr>
        <w:rFonts w:ascii="Wingdings" w:hAnsi="Wingdings" w:hint="default"/>
      </w:rPr>
    </w:lvl>
    <w:lvl w:ilvl="1" w:tplc="040C0003">
      <w:start w:val="1"/>
      <w:numFmt w:val="bullet"/>
      <w:lvlText w:val=""/>
      <w:lvlJc w:val="left"/>
      <w:pPr>
        <w:tabs>
          <w:tab w:val="num" w:pos="0"/>
        </w:tabs>
      </w:pPr>
      <w:rPr>
        <w:rFonts w:ascii="Symbol" w:hAnsi="Symbol" w:hint="default"/>
        <w:color w:val="auto"/>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297" w15:restartNumberingAfterBreak="0">
    <w:nsid w:val="491F7951"/>
    <w:multiLevelType w:val="hybridMultilevel"/>
    <w:tmpl w:val="E53A62B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8" w15:restartNumberingAfterBreak="0">
    <w:nsid w:val="49B31B3C"/>
    <w:multiLevelType w:val="hybridMultilevel"/>
    <w:tmpl w:val="A12E0B82"/>
    <w:lvl w:ilvl="0" w:tplc="040C000F">
      <w:start w:val="1"/>
      <w:numFmt w:val="decimal"/>
      <w:lvlText w:val="%1."/>
      <w:lvlJc w:val="left"/>
      <w:pPr>
        <w:tabs>
          <w:tab w:val="num" w:pos="720"/>
        </w:tabs>
        <w:ind w:left="720" w:hanging="360"/>
      </w:pPr>
      <w:rPr>
        <w:rFonts w:cs="Times New Roman"/>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9FE67B2"/>
    <w:multiLevelType w:val="hybridMultilevel"/>
    <w:tmpl w:val="9130703A"/>
    <w:lvl w:ilvl="0" w:tplc="040C000F">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1" w15:restartNumberingAfterBreak="0">
    <w:nsid w:val="4A2F22ED"/>
    <w:multiLevelType w:val="hybridMultilevel"/>
    <w:tmpl w:val="2F8C783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2" w15:restartNumberingAfterBreak="0">
    <w:nsid w:val="4AB9713A"/>
    <w:multiLevelType w:val="hybridMultilevel"/>
    <w:tmpl w:val="5E5445C4"/>
    <w:lvl w:ilvl="0" w:tplc="228A7AAA">
      <w:numFmt w:val="bullet"/>
      <w:lvlText w:val="-"/>
      <w:lvlJc w:val="left"/>
      <w:pPr>
        <w:ind w:left="720" w:hanging="360"/>
      </w:pPr>
      <w:rPr>
        <w:rFonts w:ascii="Arial" w:eastAsia="Times New Roma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3" w15:restartNumberingAfterBreak="0">
    <w:nsid w:val="4AEA26F0"/>
    <w:multiLevelType w:val="hybridMultilevel"/>
    <w:tmpl w:val="020611AC"/>
    <w:lvl w:ilvl="0" w:tplc="7E5A9FBC">
      <w:start w:val="1"/>
      <w:numFmt w:val="bullet"/>
      <w:lvlText w:val=""/>
      <w:lvlJc w:val="left"/>
      <w:pPr>
        <w:tabs>
          <w:tab w:val="num" w:pos="360"/>
        </w:tabs>
        <w:ind w:left="360" w:hanging="360"/>
      </w:pPr>
      <w:rPr>
        <w:rFonts w:ascii="Symbol" w:hAnsi="Symbol" w:hint="default"/>
      </w:rPr>
    </w:lvl>
    <w:lvl w:ilvl="1" w:tplc="11A674EA">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4"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5" w15:restartNumberingAfterBreak="0">
    <w:nsid w:val="4BB47AE2"/>
    <w:multiLevelType w:val="hybridMultilevel"/>
    <w:tmpl w:val="1EFE726E"/>
    <w:lvl w:ilvl="0" w:tplc="080C0011">
      <w:start w:val="1"/>
      <w:numFmt w:val="decimal"/>
      <w:lvlText w:val="%1)"/>
      <w:lvlJc w:val="left"/>
      <w:pPr>
        <w:tabs>
          <w:tab w:val="num" w:pos="-360"/>
        </w:tabs>
        <w:ind w:left="360" w:hanging="360"/>
      </w:pPr>
      <w:rPr>
        <w:rFonts w:hint="default"/>
        <w:b/>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C2736B1"/>
    <w:multiLevelType w:val="hybridMultilevel"/>
    <w:tmpl w:val="ABA8DBCC"/>
    <w:lvl w:ilvl="0" w:tplc="080C0001">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07" w15:restartNumberingAfterBreak="0">
    <w:nsid w:val="4C2A2E7E"/>
    <w:multiLevelType w:val="hybridMultilevel"/>
    <w:tmpl w:val="6D2824D2"/>
    <w:lvl w:ilvl="0" w:tplc="A010036A">
      <w:start w:val="1"/>
      <w:numFmt w:val="bullet"/>
      <w:lvlText w:val=""/>
      <w:lvlJc w:val="left"/>
      <w:pPr>
        <w:tabs>
          <w:tab w:val="num" w:pos="360"/>
        </w:tabs>
        <w:ind w:left="360" w:hanging="360"/>
      </w:pPr>
      <w:rPr>
        <w:rFonts w:ascii="Symbol" w:hAnsi="Symbol" w:hint="default"/>
      </w:rPr>
    </w:lvl>
    <w:lvl w:ilvl="1" w:tplc="10F01926">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8" w15:restartNumberingAfterBreak="0">
    <w:nsid w:val="4CCD283D"/>
    <w:multiLevelType w:val="hybridMultilevel"/>
    <w:tmpl w:val="BE461478"/>
    <w:lvl w:ilvl="0" w:tplc="040C0001">
      <w:numFmt w:val="bullet"/>
      <w:lvlText w:val="-"/>
      <w:lvlJc w:val="left"/>
      <w:pPr>
        <w:tabs>
          <w:tab w:val="num" w:pos="720"/>
        </w:tabs>
        <w:ind w:left="720" w:hanging="360"/>
      </w:pPr>
      <w:rPr>
        <w:rFonts w:ascii="Arial" w:eastAsia="Times New Roman" w:hAnsi="Arial" w:hint="default"/>
      </w:rPr>
    </w:lvl>
    <w:lvl w:ilvl="1" w:tplc="11A674EA"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310" w15:restartNumberingAfterBreak="0">
    <w:nsid w:val="4D667B12"/>
    <w:multiLevelType w:val="hybridMultilevel"/>
    <w:tmpl w:val="5136057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1" w15:restartNumberingAfterBreak="0">
    <w:nsid w:val="4E5A0DF6"/>
    <w:multiLevelType w:val="multilevel"/>
    <w:tmpl w:val="91D89158"/>
    <w:lvl w:ilvl="0">
      <w:start w:val="1"/>
      <w:numFmt w:val="decimal"/>
      <w:lvlText w:val="%1"/>
      <w:lvlJc w:val="left"/>
      <w:pPr>
        <w:ind w:left="720" w:hanging="360"/>
      </w:pPr>
      <w:rPr>
        <w:rFonts w:hint="default"/>
      </w:rPr>
    </w:lvl>
    <w:lvl w:ilvl="1">
      <w:start w:val="2"/>
      <w:numFmt w:val="decimal"/>
      <w:isLgl/>
      <w:lvlText w:val="%1.%2."/>
      <w:lvlJc w:val="left"/>
      <w:pPr>
        <w:ind w:left="1125" w:hanging="765"/>
      </w:pPr>
      <w:rPr>
        <w:rFonts w:hint="default"/>
      </w:rPr>
    </w:lvl>
    <w:lvl w:ilvl="2">
      <w:start w:val="3"/>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2"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13"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4" w15:restartNumberingAfterBreak="0">
    <w:nsid w:val="4F54098F"/>
    <w:multiLevelType w:val="hybridMultilevel"/>
    <w:tmpl w:val="15362CB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360" w:hanging="360"/>
      </w:pPr>
      <w:rPr>
        <w:rFonts w:ascii="Courier New" w:hAnsi="Courier New" w:hint="default"/>
      </w:rPr>
    </w:lvl>
    <w:lvl w:ilvl="2" w:tplc="080C0005">
      <w:start w:val="1"/>
      <w:numFmt w:val="bullet"/>
      <w:lvlText w:val=""/>
      <w:lvlJc w:val="left"/>
      <w:pPr>
        <w:ind w:left="360" w:hanging="360"/>
      </w:pPr>
      <w:rPr>
        <w:rFonts w:ascii="Wingdings" w:hAnsi="Wingdings" w:hint="default"/>
      </w:rPr>
    </w:lvl>
    <w:lvl w:ilvl="3" w:tplc="080C0001">
      <w:start w:val="1"/>
      <w:numFmt w:val="bullet"/>
      <w:lvlText w:val=""/>
      <w:lvlJc w:val="left"/>
      <w:pPr>
        <w:ind w:left="1080" w:hanging="360"/>
      </w:pPr>
      <w:rPr>
        <w:rFonts w:ascii="Symbol" w:hAnsi="Symbol" w:hint="default"/>
      </w:rPr>
    </w:lvl>
    <w:lvl w:ilvl="4" w:tplc="080C0003" w:tentative="1">
      <w:start w:val="1"/>
      <w:numFmt w:val="bullet"/>
      <w:lvlText w:val="o"/>
      <w:lvlJc w:val="left"/>
      <w:pPr>
        <w:ind w:left="1800" w:hanging="360"/>
      </w:pPr>
      <w:rPr>
        <w:rFonts w:ascii="Courier New" w:hAnsi="Courier New" w:hint="default"/>
      </w:rPr>
    </w:lvl>
    <w:lvl w:ilvl="5" w:tplc="080C0005" w:tentative="1">
      <w:start w:val="1"/>
      <w:numFmt w:val="bullet"/>
      <w:lvlText w:val=""/>
      <w:lvlJc w:val="left"/>
      <w:pPr>
        <w:ind w:left="2520" w:hanging="360"/>
      </w:pPr>
      <w:rPr>
        <w:rFonts w:ascii="Wingdings" w:hAnsi="Wingdings" w:hint="default"/>
      </w:rPr>
    </w:lvl>
    <w:lvl w:ilvl="6" w:tplc="080C0001" w:tentative="1">
      <w:start w:val="1"/>
      <w:numFmt w:val="bullet"/>
      <w:lvlText w:val=""/>
      <w:lvlJc w:val="left"/>
      <w:pPr>
        <w:ind w:left="3240" w:hanging="360"/>
      </w:pPr>
      <w:rPr>
        <w:rFonts w:ascii="Symbol" w:hAnsi="Symbol" w:hint="default"/>
      </w:rPr>
    </w:lvl>
    <w:lvl w:ilvl="7" w:tplc="080C0003" w:tentative="1">
      <w:start w:val="1"/>
      <w:numFmt w:val="bullet"/>
      <w:lvlText w:val="o"/>
      <w:lvlJc w:val="left"/>
      <w:pPr>
        <w:ind w:left="3960" w:hanging="360"/>
      </w:pPr>
      <w:rPr>
        <w:rFonts w:ascii="Courier New" w:hAnsi="Courier New" w:hint="default"/>
      </w:rPr>
    </w:lvl>
    <w:lvl w:ilvl="8" w:tplc="080C0005" w:tentative="1">
      <w:start w:val="1"/>
      <w:numFmt w:val="bullet"/>
      <w:lvlText w:val=""/>
      <w:lvlJc w:val="left"/>
      <w:pPr>
        <w:ind w:left="4680" w:hanging="360"/>
      </w:pPr>
      <w:rPr>
        <w:rFonts w:ascii="Wingdings" w:hAnsi="Wingdings" w:hint="default"/>
      </w:rPr>
    </w:lvl>
  </w:abstractNum>
  <w:abstractNum w:abstractNumId="315"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16" w15:restartNumberingAfterBreak="0">
    <w:nsid w:val="50C431E7"/>
    <w:multiLevelType w:val="hybridMultilevel"/>
    <w:tmpl w:val="853CE402"/>
    <w:lvl w:ilvl="0" w:tplc="080C000F">
      <w:start w:val="13"/>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7" w15:restartNumberingAfterBreak="0">
    <w:nsid w:val="510608B4"/>
    <w:multiLevelType w:val="hybridMultilevel"/>
    <w:tmpl w:val="20E0A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8" w15:restartNumberingAfterBreak="0">
    <w:nsid w:val="513F24E0"/>
    <w:multiLevelType w:val="hybridMultilevel"/>
    <w:tmpl w:val="64F6C038"/>
    <w:lvl w:ilvl="0" w:tplc="FFF60ED8">
      <w:numFmt w:val="bullet"/>
      <w:lvlText w:val="-"/>
      <w:lvlJc w:val="left"/>
      <w:pPr>
        <w:tabs>
          <w:tab w:val="num" w:pos="663"/>
        </w:tabs>
        <w:ind w:left="663" w:hanging="360"/>
      </w:pPr>
      <w:rPr>
        <w:rFonts w:ascii="Calibri" w:eastAsia="Times New Roman" w:hAnsi="Calibri" w:hint="default"/>
      </w:rPr>
    </w:lvl>
    <w:lvl w:ilvl="1" w:tplc="040C0005">
      <w:start w:val="1"/>
      <w:numFmt w:val="bullet"/>
      <w:lvlText w:val=""/>
      <w:lvlJc w:val="left"/>
      <w:pPr>
        <w:tabs>
          <w:tab w:val="num" w:pos="1023"/>
        </w:tabs>
        <w:ind w:left="1023" w:hanging="360"/>
      </w:pPr>
      <w:rPr>
        <w:rFonts w:ascii="Wingdings" w:hAnsi="Wingdings" w:hint="default"/>
      </w:rPr>
    </w:lvl>
    <w:lvl w:ilvl="2" w:tplc="040C0005" w:tentative="1">
      <w:start w:val="1"/>
      <w:numFmt w:val="bullet"/>
      <w:lvlText w:val=""/>
      <w:lvlJc w:val="left"/>
      <w:pPr>
        <w:tabs>
          <w:tab w:val="num" w:pos="1743"/>
        </w:tabs>
        <w:ind w:left="1743" w:hanging="360"/>
      </w:pPr>
      <w:rPr>
        <w:rFonts w:ascii="Wingdings" w:hAnsi="Wingdings" w:hint="default"/>
      </w:rPr>
    </w:lvl>
    <w:lvl w:ilvl="3" w:tplc="040C0001" w:tentative="1">
      <w:start w:val="1"/>
      <w:numFmt w:val="bullet"/>
      <w:lvlText w:val=""/>
      <w:lvlJc w:val="left"/>
      <w:pPr>
        <w:tabs>
          <w:tab w:val="num" w:pos="2463"/>
        </w:tabs>
        <w:ind w:left="2463" w:hanging="360"/>
      </w:pPr>
      <w:rPr>
        <w:rFonts w:ascii="Symbol" w:hAnsi="Symbol" w:hint="default"/>
      </w:rPr>
    </w:lvl>
    <w:lvl w:ilvl="4" w:tplc="040C0003" w:tentative="1">
      <w:start w:val="1"/>
      <w:numFmt w:val="bullet"/>
      <w:lvlText w:val="o"/>
      <w:lvlJc w:val="left"/>
      <w:pPr>
        <w:tabs>
          <w:tab w:val="num" w:pos="3183"/>
        </w:tabs>
        <w:ind w:left="3183" w:hanging="360"/>
      </w:pPr>
      <w:rPr>
        <w:rFonts w:ascii="Courier New" w:hAnsi="Courier New" w:hint="default"/>
      </w:rPr>
    </w:lvl>
    <w:lvl w:ilvl="5" w:tplc="040C0005" w:tentative="1">
      <w:start w:val="1"/>
      <w:numFmt w:val="bullet"/>
      <w:lvlText w:val=""/>
      <w:lvlJc w:val="left"/>
      <w:pPr>
        <w:tabs>
          <w:tab w:val="num" w:pos="3903"/>
        </w:tabs>
        <w:ind w:left="3903" w:hanging="360"/>
      </w:pPr>
      <w:rPr>
        <w:rFonts w:ascii="Wingdings" w:hAnsi="Wingdings" w:hint="default"/>
      </w:rPr>
    </w:lvl>
    <w:lvl w:ilvl="6" w:tplc="040C0001" w:tentative="1">
      <w:start w:val="1"/>
      <w:numFmt w:val="bullet"/>
      <w:lvlText w:val=""/>
      <w:lvlJc w:val="left"/>
      <w:pPr>
        <w:tabs>
          <w:tab w:val="num" w:pos="4623"/>
        </w:tabs>
        <w:ind w:left="4623" w:hanging="360"/>
      </w:pPr>
      <w:rPr>
        <w:rFonts w:ascii="Symbol" w:hAnsi="Symbol" w:hint="default"/>
      </w:rPr>
    </w:lvl>
    <w:lvl w:ilvl="7" w:tplc="040C0003" w:tentative="1">
      <w:start w:val="1"/>
      <w:numFmt w:val="bullet"/>
      <w:lvlText w:val="o"/>
      <w:lvlJc w:val="left"/>
      <w:pPr>
        <w:tabs>
          <w:tab w:val="num" w:pos="5343"/>
        </w:tabs>
        <w:ind w:left="5343" w:hanging="360"/>
      </w:pPr>
      <w:rPr>
        <w:rFonts w:ascii="Courier New" w:hAnsi="Courier New" w:hint="default"/>
      </w:rPr>
    </w:lvl>
    <w:lvl w:ilvl="8" w:tplc="040C0005" w:tentative="1">
      <w:start w:val="1"/>
      <w:numFmt w:val="bullet"/>
      <w:lvlText w:val=""/>
      <w:lvlJc w:val="left"/>
      <w:pPr>
        <w:tabs>
          <w:tab w:val="num" w:pos="6063"/>
        </w:tabs>
        <w:ind w:left="6063" w:hanging="360"/>
      </w:pPr>
      <w:rPr>
        <w:rFonts w:ascii="Wingdings" w:hAnsi="Wingdings" w:hint="default"/>
      </w:rPr>
    </w:lvl>
  </w:abstractNum>
  <w:abstractNum w:abstractNumId="319" w15:restartNumberingAfterBreak="0">
    <w:nsid w:val="51946FC3"/>
    <w:multiLevelType w:val="hybridMultilevel"/>
    <w:tmpl w:val="C19E8616"/>
    <w:lvl w:ilvl="0" w:tplc="080C0017">
      <w:start w:val="1"/>
      <w:numFmt w:val="lowerLetter"/>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20" w15:restartNumberingAfterBreak="0">
    <w:nsid w:val="51F90D8A"/>
    <w:multiLevelType w:val="hybridMultilevel"/>
    <w:tmpl w:val="3E78D01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1" w15:restartNumberingAfterBreak="0">
    <w:nsid w:val="52721429"/>
    <w:multiLevelType w:val="hybridMultilevel"/>
    <w:tmpl w:val="3DD2EE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2" w15:restartNumberingAfterBreak="0">
    <w:nsid w:val="529A1231"/>
    <w:multiLevelType w:val="hybridMultilevel"/>
    <w:tmpl w:val="523C5B88"/>
    <w:lvl w:ilvl="0" w:tplc="080C0017">
      <w:start w:val="1"/>
      <w:numFmt w:val="lowerLetter"/>
      <w:lvlText w:val="%1)"/>
      <w:lvlJc w:val="left"/>
      <w:pPr>
        <w:ind w:left="840" w:hanging="360"/>
      </w:pPr>
      <w:rPr>
        <w:rFonts w:cs="Times New Roman"/>
      </w:rPr>
    </w:lvl>
    <w:lvl w:ilvl="1" w:tplc="080C0017">
      <w:start w:val="1"/>
      <w:numFmt w:val="lowerLetter"/>
      <w:lvlText w:val="%2)"/>
      <w:lvlJc w:val="left"/>
      <w:pPr>
        <w:ind w:left="1560" w:hanging="360"/>
      </w:pPr>
      <w:rPr>
        <w:rFonts w:cs="Times New Roman" w:hint="default"/>
      </w:rPr>
    </w:lvl>
    <w:lvl w:ilvl="2" w:tplc="9D0689B6">
      <w:start w:val="3"/>
      <w:numFmt w:val="decimal"/>
      <w:lvlText w:val="%3)"/>
      <w:lvlJc w:val="left"/>
      <w:pPr>
        <w:ind w:left="2460" w:hanging="360"/>
      </w:pPr>
      <w:rPr>
        <w:rFonts w:cs="Times New Roman" w:hint="default"/>
      </w:rPr>
    </w:lvl>
    <w:lvl w:ilvl="3" w:tplc="2CAAF5BC">
      <w:start w:val="1"/>
      <w:numFmt w:val="decimal"/>
      <w:lvlText w:val="%4"/>
      <w:lvlJc w:val="left"/>
      <w:pPr>
        <w:ind w:left="3000" w:hanging="360"/>
      </w:pPr>
      <w:rPr>
        <w:rFonts w:cs="Times New Roman" w:hint="default"/>
      </w:rPr>
    </w:lvl>
    <w:lvl w:ilvl="4" w:tplc="DD2683BC">
      <w:start w:val="1"/>
      <w:numFmt w:val="decimal"/>
      <w:lvlText w:val="(%5)"/>
      <w:lvlJc w:val="left"/>
      <w:pPr>
        <w:ind w:left="3720" w:hanging="360"/>
      </w:pPr>
      <w:rPr>
        <w:rFonts w:hint="default"/>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323" w15:restartNumberingAfterBreak="0">
    <w:nsid w:val="52E3191B"/>
    <w:multiLevelType w:val="hybridMultilevel"/>
    <w:tmpl w:val="87CE68D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4" w15:restartNumberingAfterBreak="0">
    <w:nsid w:val="52F546DC"/>
    <w:multiLevelType w:val="hybridMultilevel"/>
    <w:tmpl w:val="4268DCD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25" w15:restartNumberingAfterBreak="0">
    <w:nsid w:val="53150A36"/>
    <w:multiLevelType w:val="hybridMultilevel"/>
    <w:tmpl w:val="593A987A"/>
    <w:lvl w:ilvl="0" w:tplc="574C7232">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326" w15:restartNumberingAfterBreak="0">
    <w:nsid w:val="535D6B62"/>
    <w:multiLevelType w:val="hybridMultilevel"/>
    <w:tmpl w:val="947A7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7" w15:restartNumberingAfterBreak="0">
    <w:nsid w:val="54866189"/>
    <w:multiLevelType w:val="hybridMultilevel"/>
    <w:tmpl w:val="9472538E"/>
    <w:lvl w:ilvl="0" w:tplc="FC2CE3A0">
      <w:start w:val="1"/>
      <w:numFmt w:val="decimal"/>
      <w:lvlText w:val="%1."/>
      <w:lvlJc w:val="left"/>
      <w:pPr>
        <w:ind w:left="720" w:hanging="360"/>
      </w:pPr>
      <w:rPr>
        <w:rFonts w:asciiTheme="majorHAnsi" w:eastAsiaTheme="minorHAnsi" w:hAnsiTheme="majorHAnsi" w:cstheme="minorBid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CDC8F418">
      <w:start w:val="1"/>
      <w:numFmt w:val="decimal"/>
      <w:lvlText w:val="%4)"/>
      <w:lvlJc w:val="left"/>
      <w:pPr>
        <w:ind w:left="2880" w:hanging="360"/>
      </w:pPr>
      <w:rPr>
        <w:rFonts w:hint="default"/>
      </w:r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28" w15:restartNumberingAfterBreak="0">
    <w:nsid w:val="552412F0"/>
    <w:multiLevelType w:val="hybridMultilevel"/>
    <w:tmpl w:val="6680A5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15:restartNumberingAfterBreak="0">
    <w:nsid w:val="55BB2139"/>
    <w:multiLevelType w:val="hybridMultilevel"/>
    <w:tmpl w:val="5D5CF7EA"/>
    <w:lvl w:ilvl="0" w:tplc="080C0005">
      <w:start w:val="1"/>
      <w:numFmt w:val="bullet"/>
      <w:lvlText w:val=""/>
      <w:lvlJc w:val="left"/>
      <w:pPr>
        <w:ind w:left="1004" w:hanging="360"/>
      </w:pPr>
      <w:rPr>
        <w:rFonts w:ascii="Wingdings" w:hAnsi="Wingdings" w:hint="default"/>
      </w:rPr>
    </w:lvl>
    <w:lvl w:ilvl="1" w:tplc="080C0003" w:tentative="1">
      <w:start w:val="1"/>
      <w:numFmt w:val="bullet"/>
      <w:lvlText w:val="o"/>
      <w:lvlJc w:val="left"/>
      <w:pPr>
        <w:ind w:left="1724" w:hanging="360"/>
      </w:pPr>
      <w:rPr>
        <w:rFonts w:ascii="Courier New" w:hAnsi="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330" w15:restartNumberingAfterBreak="0">
    <w:nsid w:val="570B18AE"/>
    <w:multiLevelType w:val="hybridMultilevel"/>
    <w:tmpl w:val="02D2A15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1" w15:restartNumberingAfterBreak="0">
    <w:nsid w:val="572E4B5C"/>
    <w:multiLevelType w:val="hybridMultilevel"/>
    <w:tmpl w:val="76B224F2"/>
    <w:lvl w:ilvl="0" w:tplc="040C0001">
      <w:start w:val="1"/>
      <w:numFmt w:val="bullet"/>
      <w:lvlText w:val=""/>
      <w:lvlJc w:val="left"/>
      <w:pPr>
        <w:tabs>
          <w:tab w:val="num" w:pos="720"/>
        </w:tabs>
        <w:ind w:left="720" w:hanging="360"/>
      </w:pPr>
      <w:rPr>
        <w:rFonts w:ascii="Symbol" w:hAnsi="Symbol" w:hint="default"/>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333" w15:restartNumberingAfterBreak="0">
    <w:nsid w:val="590B437A"/>
    <w:multiLevelType w:val="hybridMultilevel"/>
    <w:tmpl w:val="ADD43ED4"/>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4" w15:restartNumberingAfterBreak="0">
    <w:nsid w:val="59352015"/>
    <w:multiLevelType w:val="hybridMultilevel"/>
    <w:tmpl w:val="FFA288C2"/>
    <w:lvl w:ilvl="0" w:tplc="080C0001">
      <w:start w:val="1"/>
      <w:numFmt w:val="bullet"/>
      <w:lvlText w:val=""/>
      <w:lvlJc w:val="left"/>
      <w:pPr>
        <w:ind w:left="1068" w:hanging="360"/>
      </w:pPr>
      <w:rPr>
        <w:rFonts w:ascii="Symbol" w:hAnsi="Symbol" w:hint="default"/>
      </w:rPr>
    </w:lvl>
    <w:lvl w:ilvl="1" w:tplc="080C0001">
      <w:start w:val="1"/>
      <w:numFmt w:val="bullet"/>
      <w:lvlText w:val=""/>
      <w:lvlJc w:val="left"/>
      <w:pPr>
        <w:ind w:left="1788" w:hanging="360"/>
      </w:pPr>
      <w:rPr>
        <w:rFonts w:ascii="Symbol" w:hAnsi="Symbol"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335" w15:restartNumberingAfterBreak="0">
    <w:nsid w:val="59695368"/>
    <w:multiLevelType w:val="hybridMultilevel"/>
    <w:tmpl w:val="CB18EB8C"/>
    <w:lvl w:ilvl="0" w:tplc="423A2BFC">
      <w:start w:val="1"/>
      <w:numFmt w:val="decimal"/>
      <w:lvlText w:val="%1."/>
      <w:lvlJc w:val="left"/>
      <w:pPr>
        <w:ind w:left="1069" w:hanging="360"/>
      </w:pPr>
      <w:rPr>
        <w:rFonts w:cs="Times New Roman" w:hint="default"/>
      </w:rPr>
    </w:lvl>
    <w:lvl w:ilvl="1" w:tplc="080C0019" w:tentative="1">
      <w:start w:val="1"/>
      <w:numFmt w:val="lowerLetter"/>
      <w:lvlText w:val="%2."/>
      <w:lvlJc w:val="left"/>
      <w:pPr>
        <w:ind w:left="1789" w:hanging="360"/>
      </w:pPr>
      <w:rPr>
        <w:rFonts w:cs="Times New Roman"/>
      </w:rPr>
    </w:lvl>
    <w:lvl w:ilvl="2" w:tplc="080C001B" w:tentative="1">
      <w:start w:val="1"/>
      <w:numFmt w:val="lowerRoman"/>
      <w:lvlText w:val="%3."/>
      <w:lvlJc w:val="right"/>
      <w:pPr>
        <w:ind w:left="2509" w:hanging="180"/>
      </w:pPr>
      <w:rPr>
        <w:rFonts w:cs="Times New Roman"/>
      </w:rPr>
    </w:lvl>
    <w:lvl w:ilvl="3" w:tplc="080C000F" w:tentative="1">
      <w:start w:val="1"/>
      <w:numFmt w:val="decimal"/>
      <w:lvlText w:val="%4."/>
      <w:lvlJc w:val="left"/>
      <w:pPr>
        <w:ind w:left="3229" w:hanging="360"/>
      </w:pPr>
      <w:rPr>
        <w:rFonts w:cs="Times New Roman"/>
      </w:rPr>
    </w:lvl>
    <w:lvl w:ilvl="4" w:tplc="080C0019" w:tentative="1">
      <w:start w:val="1"/>
      <w:numFmt w:val="lowerLetter"/>
      <w:lvlText w:val="%5."/>
      <w:lvlJc w:val="left"/>
      <w:pPr>
        <w:ind w:left="3949" w:hanging="360"/>
      </w:pPr>
      <w:rPr>
        <w:rFonts w:cs="Times New Roman"/>
      </w:rPr>
    </w:lvl>
    <w:lvl w:ilvl="5" w:tplc="080C001B" w:tentative="1">
      <w:start w:val="1"/>
      <w:numFmt w:val="lowerRoman"/>
      <w:lvlText w:val="%6."/>
      <w:lvlJc w:val="right"/>
      <w:pPr>
        <w:ind w:left="4669" w:hanging="180"/>
      </w:pPr>
      <w:rPr>
        <w:rFonts w:cs="Times New Roman"/>
      </w:rPr>
    </w:lvl>
    <w:lvl w:ilvl="6" w:tplc="080C000F" w:tentative="1">
      <w:start w:val="1"/>
      <w:numFmt w:val="decimal"/>
      <w:lvlText w:val="%7."/>
      <w:lvlJc w:val="left"/>
      <w:pPr>
        <w:ind w:left="5389" w:hanging="360"/>
      </w:pPr>
      <w:rPr>
        <w:rFonts w:cs="Times New Roman"/>
      </w:rPr>
    </w:lvl>
    <w:lvl w:ilvl="7" w:tplc="080C0019" w:tentative="1">
      <w:start w:val="1"/>
      <w:numFmt w:val="lowerLetter"/>
      <w:lvlText w:val="%8."/>
      <w:lvlJc w:val="left"/>
      <w:pPr>
        <w:ind w:left="6109" w:hanging="360"/>
      </w:pPr>
      <w:rPr>
        <w:rFonts w:cs="Times New Roman"/>
      </w:rPr>
    </w:lvl>
    <w:lvl w:ilvl="8" w:tplc="080C001B" w:tentative="1">
      <w:start w:val="1"/>
      <w:numFmt w:val="lowerRoman"/>
      <w:lvlText w:val="%9."/>
      <w:lvlJc w:val="right"/>
      <w:pPr>
        <w:ind w:left="6829" w:hanging="180"/>
      </w:pPr>
      <w:rPr>
        <w:rFonts w:cs="Times New Roman"/>
      </w:rPr>
    </w:lvl>
  </w:abstractNum>
  <w:abstractNum w:abstractNumId="336" w15:restartNumberingAfterBreak="0">
    <w:nsid w:val="5A443CAB"/>
    <w:multiLevelType w:val="hybridMultilevel"/>
    <w:tmpl w:val="584CE3B0"/>
    <w:lvl w:ilvl="0" w:tplc="080C0011">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337"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38"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9"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40" w15:restartNumberingAfterBreak="0">
    <w:nsid w:val="5D73429E"/>
    <w:multiLevelType w:val="hybridMultilevel"/>
    <w:tmpl w:val="77B82FE4"/>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1" w15:restartNumberingAfterBreak="0">
    <w:nsid w:val="5D915894"/>
    <w:multiLevelType w:val="hybridMultilevel"/>
    <w:tmpl w:val="D4B26D1A"/>
    <w:lvl w:ilvl="0" w:tplc="A336F76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2" w15:restartNumberingAfterBreak="0">
    <w:nsid w:val="5E983BA5"/>
    <w:multiLevelType w:val="hybridMultilevel"/>
    <w:tmpl w:val="9296085A"/>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43" w15:restartNumberingAfterBreak="0">
    <w:nsid w:val="5EC74E38"/>
    <w:multiLevelType w:val="hybridMultilevel"/>
    <w:tmpl w:val="9C447EEC"/>
    <w:lvl w:ilvl="0" w:tplc="FFFFFFFF">
      <w:start w:val="1"/>
      <w:numFmt w:val="bullet"/>
      <w:lvlText w:val=""/>
      <w:lvlJc w:val="left"/>
      <w:pPr>
        <w:tabs>
          <w:tab w:val="num" w:pos="1080"/>
        </w:tabs>
        <w:ind w:left="10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4" w15:restartNumberingAfterBreak="0">
    <w:nsid w:val="5FD070CA"/>
    <w:multiLevelType w:val="hybridMultilevel"/>
    <w:tmpl w:val="9C46D8B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5"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6" w15:restartNumberingAfterBreak="0">
    <w:nsid w:val="60473F5D"/>
    <w:multiLevelType w:val="multilevel"/>
    <w:tmpl w:val="25768D0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7" w15:restartNumberingAfterBreak="0">
    <w:nsid w:val="60A27B32"/>
    <w:multiLevelType w:val="hybridMultilevel"/>
    <w:tmpl w:val="F80C65EA"/>
    <w:lvl w:ilvl="0" w:tplc="47E21184">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55A22A6">
      <w:start w:val="1"/>
      <w:numFmt w:val="bullet"/>
      <w:lvlText w:val="o"/>
      <w:lvlJc w:val="left"/>
      <w:pPr>
        <w:ind w:left="10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98FA1FB0">
      <w:start w:val="1"/>
      <w:numFmt w:val="bullet"/>
      <w:lvlText w:val="▪"/>
      <w:lvlJc w:val="left"/>
      <w:pPr>
        <w:ind w:left="18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E868EA6">
      <w:start w:val="1"/>
      <w:numFmt w:val="bullet"/>
      <w:lvlText w:val="•"/>
      <w:lvlJc w:val="left"/>
      <w:pPr>
        <w:ind w:left="25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DF94B4F8">
      <w:start w:val="1"/>
      <w:numFmt w:val="bullet"/>
      <w:lvlText w:val="o"/>
      <w:lvlJc w:val="left"/>
      <w:pPr>
        <w:ind w:left="32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E85B06">
      <w:start w:val="1"/>
      <w:numFmt w:val="bullet"/>
      <w:lvlText w:val="▪"/>
      <w:lvlJc w:val="left"/>
      <w:pPr>
        <w:ind w:left="39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7C825AC">
      <w:start w:val="1"/>
      <w:numFmt w:val="bullet"/>
      <w:lvlText w:val="•"/>
      <w:lvlJc w:val="left"/>
      <w:pPr>
        <w:ind w:left="46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5EC1464">
      <w:start w:val="1"/>
      <w:numFmt w:val="bullet"/>
      <w:lvlText w:val="o"/>
      <w:lvlJc w:val="left"/>
      <w:pPr>
        <w:ind w:left="54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E4A40E">
      <w:start w:val="1"/>
      <w:numFmt w:val="bullet"/>
      <w:lvlText w:val="▪"/>
      <w:lvlJc w:val="left"/>
      <w:pPr>
        <w:ind w:left="61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48"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9" w15:restartNumberingAfterBreak="0">
    <w:nsid w:val="610F4DEF"/>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0" w15:restartNumberingAfterBreak="0">
    <w:nsid w:val="618D1D8D"/>
    <w:multiLevelType w:val="hybridMultilevel"/>
    <w:tmpl w:val="E9B2DF24"/>
    <w:lvl w:ilvl="0" w:tplc="080C000F">
      <w:start w:val="1"/>
      <w:numFmt w:val="decimal"/>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1" w15:restartNumberingAfterBreak="0">
    <w:nsid w:val="62192948"/>
    <w:multiLevelType w:val="hybridMultilevel"/>
    <w:tmpl w:val="B7A6E22C"/>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3" w15:restartNumberingAfterBreak="0">
    <w:nsid w:val="626D2A1F"/>
    <w:multiLevelType w:val="hybridMultilevel"/>
    <w:tmpl w:val="02D85C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4" w15:restartNumberingAfterBreak="0">
    <w:nsid w:val="626F08E8"/>
    <w:multiLevelType w:val="hybridMultilevel"/>
    <w:tmpl w:val="9A681280"/>
    <w:lvl w:ilvl="0" w:tplc="080C0011">
      <w:start w:val="1"/>
      <w:numFmt w:val="decimal"/>
      <w:lvlText w:val="%1)"/>
      <w:lvlJc w:val="left"/>
      <w:pPr>
        <w:ind w:left="1004" w:hanging="360"/>
      </w:pPr>
    </w:lvl>
    <w:lvl w:ilvl="1" w:tplc="080C0019" w:tentative="1">
      <w:start w:val="1"/>
      <w:numFmt w:val="lowerLetter"/>
      <w:lvlText w:val="%2."/>
      <w:lvlJc w:val="left"/>
      <w:pPr>
        <w:ind w:left="1724" w:hanging="360"/>
      </w:pPr>
    </w:lvl>
    <w:lvl w:ilvl="2" w:tplc="080C001B" w:tentative="1">
      <w:start w:val="1"/>
      <w:numFmt w:val="lowerRoman"/>
      <w:lvlText w:val="%3."/>
      <w:lvlJc w:val="right"/>
      <w:pPr>
        <w:ind w:left="2444" w:hanging="180"/>
      </w:pPr>
    </w:lvl>
    <w:lvl w:ilvl="3" w:tplc="080C000F" w:tentative="1">
      <w:start w:val="1"/>
      <w:numFmt w:val="decimal"/>
      <w:lvlText w:val="%4."/>
      <w:lvlJc w:val="left"/>
      <w:pPr>
        <w:ind w:left="3164" w:hanging="360"/>
      </w:pPr>
    </w:lvl>
    <w:lvl w:ilvl="4" w:tplc="080C0019" w:tentative="1">
      <w:start w:val="1"/>
      <w:numFmt w:val="lowerLetter"/>
      <w:lvlText w:val="%5."/>
      <w:lvlJc w:val="left"/>
      <w:pPr>
        <w:ind w:left="3884" w:hanging="360"/>
      </w:pPr>
    </w:lvl>
    <w:lvl w:ilvl="5" w:tplc="080C001B" w:tentative="1">
      <w:start w:val="1"/>
      <w:numFmt w:val="lowerRoman"/>
      <w:lvlText w:val="%6."/>
      <w:lvlJc w:val="right"/>
      <w:pPr>
        <w:ind w:left="4604" w:hanging="180"/>
      </w:pPr>
    </w:lvl>
    <w:lvl w:ilvl="6" w:tplc="080C000F" w:tentative="1">
      <w:start w:val="1"/>
      <w:numFmt w:val="decimal"/>
      <w:lvlText w:val="%7."/>
      <w:lvlJc w:val="left"/>
      <w:pPr>
        <w:ind w:left="5324" w:hanging="360"/>
      </w:pPr>
    </w:lvl>
    <w:lvl w:ilvl="7" w:tplc="080C0019" w:tentative="1">
      <w:start w:val="1"/>
      <w:numFmt w:val="lowerLetter"/>
      <w:lvlText w:val="%8."/>
      <w:lvlJc w:val="left"/>
      <w:pPr>
        <w:ind w:left="6044" w:hanging="360"/>
      </w:pPr>
    </w:lvl>
    <w:lvl w:ilvl="8" w:tplc="080C001B" w:tentative="1">
      <w:start w:val="1"/>
      <w:numFmt w:val="lowerRoman"/>
      <w:lvlText w:val="%9."/>
      <w:lvlJc w:val="right"/>
      <w:pPr>
        <w:ind w:left="6764" w:hanging="180"/>
      </w:pPr>
    </w:lvl>
  </w:abstractNum>
  <w:abstractNum w:abstractNumId="355" w15:restartNumberingAfterBreak="0">
    <w:nsid w:val="6401591F"/>
    <w:multiLevelType w:val="multilevel"/>
    <w:tmpl w:val="173A90FA"/>
    <w:lvl w:ilvl="0">
      <w:start w:val="1"/>
      <w:numFmt w:val="decimal"/>
      <w:lvlText w:val="%1."/>
      <w:lvlJc w:val="left"/>
      <w:pPr>
        <w:ind w:left="360" w:hanging="360"/>
      </w:pPr>
      <w:rPr>
        <w:rFonts w:asciiTheme="majorHAnsi" w:hAnsiTheme="majorHAnsi" w:hint="default"/>
        <w:b w:val="0"/>
        <w:sz w:val="22"/>
      </w:rPr>
    </w:lvl>
    <w:lvl w:ilvl="1">
      <w:start w:val="1"/>
      <w:numFmt w:val="decimal"/>
      <w:isLgl/>
      <w:lvlText w:val="%1.%2."/>
      <w:lvlJc w:val="left"/>
      <w:pPr>
        <w:ind w:left="1131" w:hanging="564"/>
      </w:pPr>
      <w:rPr>
        <w:rFonts w:hint="default"/>
      </w:rPr>
    </w:lvl>
    <w:lvl w:ilvl="2">
      <w:start w:val="2"/>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356" w15:restartNumberingAfterBreak="0">
    <w:nsid w:val="643D3CBA"/>
    <w:multiLevelType w:val="multilevel"/>
    <w:tmpl w:val="3396560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7"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8" w15:restartNumberingAfterBreak="0">
    <w:nsid w:val="64987404"/>
    <w:multiLevelType w:val="hybridMultilevel"/>
    <w:tmpl w:val="16FAF87A"/>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9" w15:restartNumberingAfterBreak="0">
    <w:nsid w:val="661160DC"/>
    <w:multiLevelType w:val="hybridMultilevel"/>
    <w:tmpl w:val="517C5128"/>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60" w15:restartNumberingAfterBreak="0">
    <w:nsid w:val="66161675"/>
    <w:multiLevelType w:val="hybridMultilevel"/>
    <w:tmpl w:val="7DF824B2"/>
    <w:lvl w:ilvl="0" w:tplc="13C4843A">
      <w:start w:val="1"/>
      <w:numFmt w:val="decimal"/>
      <w:lvlText w:val="%1°"/>
      <w:lvlJc w:val="left"/>
      <w:pPr>
        <w:ind w:left="192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61" w15:restartNumberingAfterBreak="0">
    <w:nsid w:val="66215077"/>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2" w15:restartNumberingAfterBreak="0">
    <w:nsid w:val="66F64538"/>
    <w:multiLevelType w:val="hybridMultilevel"/>
    <w:tmpl w:val="79D2F2A8"/>
    <w:lvl w:ilvl="0" w:tplc="ADF2C50C">
      <w:numFmt w:val="bullet"/>
      <w:lvlText w:val=""/>
      <w:lvlJc w:val="left"/>
      <w:pPr>
        <w:ind w:left="911" w:hanging="215"/>
      </w:pPr>
      <w:rPr>
        <w:rFonts w:ascii="Wingdings" w:eastAsia="Wingdings" w:hAnsi="Wingdings" w:cs="Wingdings" w:hint="default"/>
        <w:spacing w:val="-1"/>
        <w:w w:val="100"/>
        <w:sz w:val="22"/>
        <w:szCs w:val="22"/>
        <w:lang w:val="fr-FR" w:eastAsia="fr-FR" w:bidi="fr-FR"/>
      </w:rPr>
    </w:lvl>
    <w:lvl w:ilvl="1" w:tplc="EADA57D8">
      <w:numFmt w:val="bullet"/>
      <w:lvlText w:val="•"/>
      <w:lvlJc w:val="left"/>
      <w:pPr>
        <w:ind w:left="1876" w:hanging="215"/>
      </w:pPr>
      <w:rPr>
        <w:rFonts w:hint="default"/>
        <w:lang w:val="fr-FR" w:eastAsia="fr-FR" w:bidi="fr-FR"/>
      </w:rPr>
    </w:lvl>
    <w:lvl w:ilvl="2" w:tplc="867020B2">
      <w:numFmt w:val="bullet"/>
      <w:lvlText w:val="•"/>
      <w:lvlJc w:val="left"/>
      <w:pPr>
        <w:ind w:left="2833" w:hanging="215"/>
      </w:pPr>
      <w:rPr>
        <w:rFonts w:hint="default"/>
        <w:lang w:val="fr-FR" w:eastAsia="fr-FR" w:bidi="fr-FR"/>
      </w:rPr>
    </w:lvl>
    <w:lvl w:ilvl="3" w:tplc="A27C1126">
      <w:numFmt w:val="bullet"/>
      <w:lvlText w:val="•"/>
      <w:lvlJc w:val="left"/>
      <w:pPr>
        <w:ind w:left="3789" w:hanging="215"/>
      </w:pPr>
      <w:rPr>
        <w:rFonts w:hint="default"/>
        <w:lang w:val="fr-FR" w:eastAsia="fr-FR" w:bidi="fr-FR"/>
      </w:rPr>
    </w:lvl>
    <w:lvl w:ilvl="4" w:tplc="1FD457A8">
      <w:numFmt w:val="bullet"/>
      <w:lvlText w:val="•"/>
      <w:lvlJc w:val="left"/>
      <w:pPr>
        <w:ind w:left="4746" w:hanging="215"/>
      </w:pPr>
      <w:rPr>
        <w:rFonts w:hint="default"/>
        <w:lang w:val="fr-FR" w:eastAsia="fr-FR" w:bidi="fr-FR"/>
      </w:rPr>
    </w:lvl>
    <w:lvl w:ilvl="5" w:tplc="18BE95F6">
      <w:numFmt w:val="bullet"/>
      <w:lvlText w:val="•"/>
      <w:lvlJc w:val="left"/>
      <w:pPr>
        <w:ind w:left="5703" w:hanging="215"/>
      </w:pPr>
      <w:rPr>
        <w:rFonts w:hint="default"/>
        <w:lang w:val="fr-FR" w:eastAsia="fr-FR" w:bidi="fr-FR"/>
      </w:rPr>
    </w:lvl>
    <w:lvl w:ilvl="6" w:tplc="73501F28">
      <w:numFmt w:val="bullet"/>
      <w:lvlText w:val="•"/>
      <w:lvlJc w:val="left"/>
      <w:pPr>
        <w:ind w:left="6659" w:hanging="215"/>
      </w:pPr>
      <w:rPr>
        <w:rFonts w:hint="default"/>
        <w:lang w:val="fr-FR" w:eastAsia="fr-FR" w:bidi="fr-FR"/>
      </w:rPr>
    </w:lvl>
    <w:lvl w:ilvl="7" w:tplc="A7865B40">
      <w:numFmt w:val="bullet"/>
      <w:lvlText w:val="•"/>
      <w:lvlJc w:val="left"/>
      <w:pPr>
        <w:ind w:left="7616" w:hanging="215"/>
      </w:pPr>
      <w:rPr>
        <w:rFonts w:hint="default"/>
        <w:lang w:val="fr-FR" w:eastAsia="fr-FR" w:bidi="fr-FR"/>
      </w:rPr>
    </w:lvl>
    <w:lvl w:ilvl="8" w:tplc="0118604C">
      <w:numFmt w:val="bullet"/>
      <w:lvlText w:val="•"/>
      <w:lvlJc w:val="left"/>
      <w:pPr>
        <w:ind w:left="8573" w:hanging="215"/>
      </w:pPr>
      <w:rPr>
        <w:rFonts w:hint="default"/>
        <w:lang w:val="fr-FR" w:eastAsia="fr-FR" w:bidi="fr-FR"/>
      </w:rPr>
    </w:lvl>
  </w:abstractNum>
  <w:abstractNum w:abstractNumId="363"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4" w15:restartNumberingAfterBreak="0">
    <w:nsid w:val="68A30341"/>
    <w:multiLevelType w:val="hybridMultilevel"/>
    <w:tmpl w:val="C2A85F40"/>
    <w:lvl w:ilvl="0" w:tplc="A7469E3C">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5" w15:restartNumberingAfterBreak="0">
    <w:nsid w:val="68C75572"/>
    <w:multiLevelType w:val="hybridMultilevel"/>
    <w:tmpl w:val="959C089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6" w15:restartNumberingAfterBreak="0">
    <w:nsid w:val="697C0F21"/>
    <w:multiLevelType w:val="hybridMultilevel"/>
    <w:tmpl w:val="344E07EE"/>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67" w15:restartNumberingAfterBreak="0">
    <w:nsid w:val="69AE0577"/>
    <w:multiLevelType w:val="hybridMultilevel"/>
    <w:tmpl w:val="281AD35A"/>
    <w:lvl w:ilvl="0" w:tplc="5D727396">
      <w:start w:val="1"/>
      <w:numFmt w:val="decimal"/>
      <w:lvlText w:val="%1°"/>
      <w:lvlJc w:val="left"/>
      <w:pPr>
        <w:ind w:left="1211" w:hanging="360"/>
      </w:pPr>
    </w:lvl>
    <w:lvl w:ilvl="1" w:tplc="52947E6A">
      <w:start w:val="1"/>
      <w:numFmt w:val="lowerLetter"/>
      <w:lvlText w:val="%2."/>
      <w:lvlJc w:val="left"/>
      <w:pPr>
        <w:tabs>
          <w:tab w:val="num" w:pos="2291"/>
        </w:tabs>
        <w:ind w:left="2291" w:hanging="360"/>
      </w:pPr>
      <w:rPr>
        <w:rFonts w:ascii="Georgia" w:hAnsi="Georgia"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68" w15:restartNumberingAfterBreak="0">
    <w:nsid w:val="6A2E2510"/>
    <w:multiLevelType w:val="hybridMultilevel"/>
    <w:tmpl w:val="08503F3A"/>
    <w:lvl w:ilvl="0" w:tplc="A1CED84E">
      <w:start w:val="1"/>
      <w:numFmt w:val="bullet"/>
      <w:lvlText w:val=""/>
      <w:lvlJc w:val="left"/>
      <w:pPr>
        <w:ind w:left="1429"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9"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70" w15:restartNumberingAfterBreak="0">
    <w:nsid w:val="6B637F02"/>
    <w:multiLevelType w:val="hybridMultilevel"/>
    <w:tmpl w:val="8D0EB45E"/>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1" w15:restartNumberingAfterBreak="0">
    <w:nsid w:val="6C3D39EF"/>
    <w:multiLevelType w:val="hybridMultilevel"/>
    <w:tmpl w:val="143218BA"/>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2" w15:restartNumberingAfterBreak="0">
    <w:nsid w:val="6CB35C7E"/>
    <w:multiLevelType w:val="hybridMultilevel"/>
    <w:tmpl w:val="4560F20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3"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74" w15:restartNumberingAfterBreak="0">
    <w:nsid w:val="6D954446"/>
    <w:multiLevelType w:val="hybridMultilevel"/>
    <w:tmpl w:val="2CD2C4CC"/>
    <w:lvl w:ilvl="0" w:tplc="4506528A">
      <w:start w:val="1"/>
      <w:numFmt w:val="decimal"/>
      <w:lvlText w:val="%1."/>
      <w:lvlJc w:val="left"/>
      <w:pPr>
        <w:ind w:left="360" w:hanging="360"/>
      </w:pPr>
      <w:rPr>
        <w:rFonts w:asciiTheme="majorHAnsi" w:hAnsiTheme="majorHAnsi" w:hint="default"/>
        <w:b w:val="0"/>
        <w:sz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5" w15:restartNumberingAfterBreak="0">
    <w:nsid w:val="6E1F6681"/>
    <w:multiLevelType w:val="hybridMultilevel"/>
    <w:tmpl w:val="797E63A8"/>
    <w:lvl w:ilvl="0" w:tplc="7826DC7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6" w15:restartNumberingAfterBreak="0">
    <w:nsid w:val="6F5145FF"/>
    <w:multiLevelType w:val="hybridMultilevel"/>
    <w:tmpl w:val="31EEC3C2"/>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7" w15:restartNumberingAfterBreak="0">
    <w:nsid w:val="6FB379AD"/>
    <w:multiLevelType w:val="hybridMultilevel"/>
    <w:tmpl w:val="74F209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8" w15:restartNumberingAfterBreak="0">
    <w:nsid w:val="6FB37C39"/>
    <w:multiLevelType w:val="multilevel"/>
    <w:tmpl w:val="81B47D30"/>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9" w15:restartNumberingAfterBreak="0">
    <w:nsid w:val="6FBA0E63"/>
    <w:multiLevelType w:val="hybridMultilevel"/>
    <w:tmpl w:val="62F244F4"/>
    <w:lvl w:ilvl="0" w:tplc="C13A656A">
      <w:start w:val="1"/>
      <w:numFmt w:val="decimal"/>
      <w:lvlText w:val="%1."/>
      <w:lvlJc w:val="left"/>
      <w:pPr>
        <w:ind w:left="1416" w:hanging="360"/>
      </w:pPr>
      <w:rPr>
        <w:rFonts w:ascii="Arial" w:eastAsia="Arial" w:hAnsi="Arial" w:cs="Arial" w:hint="default"/>
        <w:b/>
        <w:bCs/>
        <w:spacing w:val="-2"/>
        <w:w w:val="99"/>
        <w:sz w:val="24"/>
        <w:szCs w:val="24"/>
        <w:lang w:val="fr-FR" w:eastAsia="fr-FR" w:bidi="fr-FR"/>
      </w:rPr>
    </w:lvl>
    <w:lvl w:ilvl="1" w:tplc="EF9E49B8">
      <w:numFmt w:val="bullet"/>
      <w:lvlText w:val=""/>
      <w:lvlJc w:val="left"/>
      <w:pPr>
        <w:ind w:left="3387" w:hanging="282"/>
      </w:pPr>
      <w:rPr>
        <w:rFonts w:ascii="Wingdings" w:eastAsia="Wingdings" w:hAnsi="Wingdings" w:cs="Wingdings" w:hint="default"/>
        <w:w w:val="100"/>
        <w:sz w:val="24"/>
        <w:szCs w:val="24"/>
        <w:lang w:val="fr-FR" w:eastAsia="fr-FR" w:bidi="fr-FR"/>
      </w:rPr>
    </w:lvl>
    <w:lvl w:ilvl="2" w:tplc="A1166F3C">
      <w:numFmt w:val="bullet"/>
      <w:lvlText w:val="•"/>
      <w:lvlJc w:val="left"/>
      <w:pPr>
        <w:ind w:left="4169" w:hanging="282"/>
      </w:pPr>
      <w:rPr>
        <w:rFonts w:hint="default"/>
        <w:lang w:val="fr-FR" w:eastAsia="fr-FR" w:bidi="fr-FR"/>
      </w:rPr>
    </w:lvl>
    <w:lvl w:ilvl="3" w:tplc="B0F05EE8">
      <w:numFmt w:val="bullet"/>
      <w:lvlText w:val="•"/>
      <w:lvlJc w:val="left"/>
      <w:pPr>
        <w:ind w:left="4959" w:hanging="282"/>
      </w:pPr>
      <w:rPr>
        <w:rFonts w:hint="default"/>
        <w:lang w:val="fr-FR" w:eastAsia="fr-FR" w:bidi="fr-FR"/>
      </w:rPr>
    </w:lvl>
    <w:lvl w:ilvl="4" w:tplc="5E36972E">
      <w:numFmt w:val="bullet"/>
      <w:lvlText w:val="•"/>
      <w:lvlJc w:val="left"/>
      <w:pPr>
        <w:ind w:left="5748" w:hanging="282"/>
      </w:pPr>
      <w:rPr>
        <w:rFonts w:hint="default"/>
        <w:lang w:val="fr-FR" w:eastAsia="fr-FR" w:bidi="fr-FR"/>
      </w:rPr>
    </w:lvl>
    <w:lvl w:ilvl="5" w:tplc="58A2AC58">
      <w:numFmt w:val="bullet"/>
      <w:lvlText w:val="•"/>
      <w:lvlJc w:val="left"/>
      <w:pPr>
        <w:ind w:left="6538" w:hanging="282"/>
      </w:pPr>
      <w:rPr>
        <w:rFonts w:hint="default"/>
        <w:lang w:val="fr-FR" w:eastAsia="fr-FR" w:bidi="fr-FR"/>
      </w:rPr>
    </w:lvl>
    <w:lvl w:ilvl="6" w:tplc="2EF02C50">
      <w:numFmt w:val="bullet"/>
      <w:lvlText w:val="•"/>
      <w:lvlJc w:val="left"/>
      <w:pPr>
        <w:ind w:left="7328" w:hanging="282"/>
      </w:pPr>
      <w:rPr>
        <w:rFonts w:hint="default"/>
        <w:lang w:val="fr-FR" w:eastAsia="fr-FR" w:bidi="fr-FR"/>
      </w:rPr>
    </w:lvl>
    <w:lvl w:ilvl="7" w:tplc="4E047EF8">
      <w:numFmt w:val="bullet"/>
      <w:lvlText w:val="•"/>
      <w:lvlJc w:val="left"/>
      <w:pPr>
        <w:ind w:left="8117" w:hanging="282"/>
      </w:pPr>
      <w:rPr>
        <w:rFonts w:hint="default"/>
        <w:lang w:val="fr-FR" w:eastAsia="fr-FR" w:bidi="fr-FR"/>
      </w:rPr>
    </w:lvl>
    <w:lvl w:ilvl="8" w:tplc="6AEC5CD4">
      <w:numFmt w:val="bullet"/>
      <w:lvlText w:val="•"/>
      <w:lvlJc w:val="left"/>
      <w:pPr>
        <w:ind w:left="8907" w:hanging="282"/>
      </w:pPr>
      <w:rPr>
        <w:rFonts w:hint="default"/>
        <w:lang w:val="fr-FR" w:eastAsia="fr-FR" w:bidi="fr-FR"/>
      </w:rPr>
    </w:lvl>
  </w:abstractNum>
  <w:abstractNum w:abstractNumId="380" w15:restartNumberingAfterBreak="0">
    <w:nsid w:val="6FBF4342"/>
    <w:multiLevelType w:val="hybridMultilevel"/>
    <w:tmpl w:val="E46A4936"/>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1" w15:restartNumberingAfterBreak="0">
    <w:nsid w:val="702A4FF4"/>
    <w:multiLevelType w:val="hybridMultilevel"/>
    <w:tmpl w:val="052E24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2" w15:restartNumberingAfterBreak="0">
    <w:nsid w:val="703D13AA"/>
    <w:multiLevelType w:val="hybridMultilevel"/>
    <w:tmpl w:val="2174D34C"/>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3" w15:restartNumberingAfterBreak="0">
    <w:nsid w:val="706652FC"/>
    <w:multiLevelType w:val="hybridMultilevel"/>
    <w:tmpl w:val="2332BBBA"/>
    <w:lvl w:ilvl="0" w:tplc="6EEAA088">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4"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5"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6" w15:restartNumberingAfterBreak="0">
    <w:nsid w:val="72CF4D64"/>
    <w:multiLevelType w:val="hybridMultilevel"/>
    <w:tmpl w:val="9B06D14C"/>
    <w:lvl w:ilvl="0" w:tplc="00000037">
      <w:start w:val="1"/>
      <w:numFmt w:val="bullet"/>
      <w:lvlText w:val=""/>
      <w:lvlJc w:val="left"/>
      <w:pPr>
        <w:tabs>
          <w:tab w:val="num" w:pos="720"/>
        </w:tabs>
        <w:ind w:left="72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7"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88"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89" w15:restartNumberingAfterBreak="0">
    <w:nsid w:val="74470B0C"/>
    <w:multiLevelType w:val="hybridMultilevel"/>
    <w:tmpl w:val="7D6E438E"/>
    <w:lvl w:ilvl="0" w:tplc="2B862920">
      <w:numFmt w:val="bullet"/>
      <w:lvlText w:val=""/>
      <w:lvlJc w:val="left"/>
      <w:pPr>
        <w:ind w:left="2148" w:hanging="360"/>
      </w:pPr>
      <w:rPr>
        <w:rFonts w:ascii="Wingdings" w:eastAsia="Calibri" w:hAnsi="Wingdings" w:cs="Times New Roman" w:hint="default"/>
        <w:sz w:val="24"/>
        <w:szCs w:val="24"/>
      </w:rPr>
    </w:lvl>
    <w:lvl w:ilvl="1" w:tplc="080C0003">
      <w:start w:val="1"/>
      <w:numFmt w:val="bullet"/>
      <w:lvlText w:val="o"/>
      <w:lvlJc w:val="left"/>
      <w:pPr>
        <w:ind w:left="2868" w:hanging="360"/>
      </w:pPr>
      <w:rPr>
        <w:rFonts w:ascii="Courier New" w:hAnsi="Courier New" w:cs="Courier New" w:hint="default"/>
      </w:rPr>
    </w:lvl>
    <w:lvl w:ilvl="2" w:tplc="080C0005">
      <w:start w:val="1"/>
      <w:numFmt w:val="bullet"/>
      <w:lvlText w:val=""/>
      <w:lvlJc w:val="left"/>
      <w:pPr>
        <w:ind w:left="3588" w:hanging="360"/>
      </w:pPr>
      <w:rPr>
        <w:rFonts w:ascii="Wingdings" w:hAnsi="Wingdings" w:hint="default"/>
      </w:rPr>
    </w:lvl>
    <w:lvl w:ilvl="3" w:tplc="080C0001">
      <w:start w:val="1"/>
      <w:numFmt w:val="bullet"/>
      <w:lvlText w:val=""/>
      <w:lvlJc w:val="left"/>
      <w:pPr>
        <w:ind w:left="4308" w:hanging="360"/>
      </w:pPr>
      <w:rPr>
        <w:rFonts w:ascii="Symbol" w:hAnsi="Symbol" w:hint="default"/>
      </w:rPr>
    </w:lvl>
    <w:lvl w:ilvl="4" w:tplc="080C0003">
      <w:start w:val="1"/>
      <w:numFmt w:val="bullet"/>
      <w:lvlText w:val="o"/>
      <w:lvlJc w:val="left"/>
      <w:pPr>
        <w:ind w:left="5028" w:hanging="360"/>
      </w:pPr>
      <w:rPr>
        <w:rFonts w:ascii="Courier New" w:hAnsi="Courier New" w:cs="Courier New" w:hint="default"/>
      </w:rPr>
    </w:lvl>
    <w:lvl w:ilvl="5" w:tplc="080C0005">
      <w:start w:val="1"/>
      <w:numFmt w:val="bullet"/>
      <w:lvlText w:val=""/>
      <w:lvlJc w:val="left"/>
      <w:pPr>
        <w:ind w:left="5748" w:hanging="360"/>
      </w:pPr>
      <w:rPr>
        <w:rFonts w:ascii="Wingdings" w:hAnsi="Wingdings" w:hint="default"/>
      </w:rPr>
    </w:lvl>
    <w:lvl w:ilvl="6" w:tplc="080C0001">
      <w:start w:val="1"/>
      <w:numFmt w:val="bullet"/>
      <w:lvlText w:val=""/>
      <w:lvlJc w:val="left"/>
      <w:pPr>
        <w:ind w:left="6468" w:hanging="360"/>
      </w:pPr>
      <w:rPr>
        <w:rFonts w:ascii="Symbol" w:hAnsi="Symbol" w:hint="default"/>
      </w:rPr>
    </w:lvl>
    <w:lvl w:ilvl="7" w:tplc="080C0003">
      <w:start w:val="1"/>
      <w:numFmt w:val="bullet"/>
      <w:lvlText w:val="o"/>
      <w:lvlJc w:val="left"/>
      <w:pPr>
        <w:ind w:left="7188" w:hanging="360"/>
      </w:pPr>
      <w:rPr>
        <w:rFonts w:ascii="Courier New" w:hAnsi="Courier New" w:cs="Courier New" w:hint="default"/>
      </w:rPr>
    </w:lvl>
    <w:lvl w:ilvl="8" w:tplc="080C0005">
      <w:start w:val="1"/>
      <w:numFmt w:val="bullet"/>
      <w:lvlText w:val=""/>
      <w:lvlJc w:val="left"/>
      <w:pPr>
        <w:ind w:left="7908" w:hanging="360"/>
      </w:pPr>
      <w:rPr>
        <w:rFonts w:ascii="Wingdings" w:hAnsi="Wingdings" w:hint="default"/>
      </w:rPr>
    </w:lvl>
  </w:abstractNum>
  <w:abstractNum w:abstractNumId="390" w15:restartNumberingAfterBreak="0">
    <w:nsid w:val="74510F4B"/>
    <w:multiLevelType w:val="hybridMultilevel"/>
    <w:tmpl w:val="322AE8BC"/>
    <w:lvl w:ilvl="0" w:tplc="34B2E97E">
      <w:start w:val="1"/>
      <w:numFmt w:val="upperLetter"/>
      <w:lvlText w:val="%1)"/>
      <w:lvlJc w:val="left"/>
      <w:pPr>
        <w:ind w:left="840" w:hanging="360"/>
      </w:pPr>
      <w:rPr>
        <w:rFonts w:cs="Times New Roman" w:hint="default"/>
        <w:b/>
      </w:rPr>
    </w:lvl>
    <w:lvl w:ilvl="1" w:tplc="080C0019" w:tentative="1">
      <w:start w:val="1"/>
      <w:numFmt w:val="lowerLetter"/>
      <w:lvlText w:val="%2."/>
      <w:lvlJc w:val="left"/>
      <w:pPr>
        <w:ind w:left="1560" w:hanging="360"/>
      </w:pPr>
      <w:rPr>
        <w:rFonts w:cs="Times New Roman"/>
      </w:rPr>
    </w:lvl>
    <w:lvl w:ilvl="2" w:tplc="080C001B" w:tentative="1">
      <w:start w:val="1"/>
      <w:numFmt w:val="lowerRoman"/>
      <w:lvlText w:val="%3."/>
      <w:lvlJc w:val="right"/>
      <w:pPr>
        <w:ind w:left="2280" w:hanging="180"/>
      </w:pPr>
      <w:rPr>
        <w:rFonts w:cs="Times New Roman"/>
      </w:rPr>
    </w:lvl>
    <w:lvl w:ilvl="3" w:tplc="080C000F" w:tentative="1">
      <w:start w:val="1"/>
      <w:numFmt w:val="decimal"/>
      <w:lvlText w:val="%4."/>
      <w:lvlJc w:val="left"/>
      <w:pPr>
        <w:ind w:left="3000" w:hanging="360"/>
      </w:pPr>
      <w:rPr>
        <w:rFonts w:cs="Times New Roman"/>
      </w:rPr>
    </w:lvl>
    <w:lvl w:ilvl="4" w:tplc="080C0019" w:tentative="1">
      <w:start w:val="1"/>
      <w:numFmt w:val="lowerLetter"/>
      <w:lvlText w:val="%5."/>
      <w:lvlJc w:val="left"/>
      <w:pPr>
        <w:ind w:left="3720" w:hanging="360"/>
      </w:pPr>
      <w:rPr>
        <w:rFonts w:cs="Times New Roman"/>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391" w15:restartNumberingAfterBreak="0">
    <w:nsid w:val="756025E7"/>
    <w:multiLevelType w:val="hybridMultilevel"/>
    <w:tmpl w:val="A4FA7A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2"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93"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4"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95" w15:restartNumberingAfterBreak="0">
    <w:nsid w:val="771B2056"/>
    <w:multiLevelType w:val="multilevel"/>
    <w:tmpl w:val="1BE69706"/>
    <w:lvl w:ilvl="0">
      <w:start w:val="1"/>
      <w:numFmt w:val="decimal"/>
      <w:lvlText w:val="%1."/>
      <w:lvlJc w:val="left"/>
      <w:pPr>
        <w:ind w:left="720" w:hanging="360"/>
      </w:pPr>
      <w:rPr>
        <w:rFonts w:hint="default"/>
      </w:rPr>
    </w:lvl>
    <w:lvl w:ilvl="1">
      <w:start w:val="1"/>
      <w:numFmt w:val="decimal"/>
      <w:isLgl/>
      <w:lvlText w:val="%1.%2."/>
      <w:lvlJc w:val="left"/>
      <w:pPr>
        <w:ind w:left="1125" w:hanging="765"/>
      </w:pPr>
      <w:rPr>
        <w:rFonts w:hint="default"/>
      </w:rPr>
    </w:lvl>
    <w:lvl w:ilvl="2">
      <w:start w:val="8"/>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6"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7" w15:restartNumberingAfterBreak="0">
    <w:nsid w:val="791568E0"/>
    <w:multiLevelType w:val="hybridMultilevel"/>
    <w:tmpl w:val="47E69200"/>
    <w:lvl w:ilvl="0" w:tplc="00000108">
      <w:start w:val="1"/>
      <w:numFmt w:val="bullet"/>
      <w:lvlText w:val=""/>
      <w:lvlJc w:val="left"/>
      <w:pPr>
        <w:ind w:left="1429" w:hanging="360"/>
      </w:pPr>
      <w:rPr>
        <w:rFonts w:ascii="Wingdings" w:hAnsi="Wingdings"/>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98" w15:restartNumberingAfterBreak="0">
    <w:nsid w:val="79DB0E9E"/>
    <w:multiLevelType w:val="multilevel"/>
    <w:tmpl w:val="6428B88E"/>
    <w:lvl w:ilvl="0">
      <w:start w:val="1"/>
      <w:numFmt w:val="decimal"/>
      <w:lvlText w:val="%1."/>
      <w:lvlJc w:val="left"/>
      <w:pPr>
        <w:ind w:left="36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9"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0"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01"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402" w15:restartNumberingAfterBreak="0">
    <w:nsid w:val="7C52162E"/>
    <w:multiLevelType w:val="hybridMultilevel"/>
    <w:tmpl w:val="1E0E7256"/>
    <w:lvl w:ilvl="0" w:tplc="B0729080">
      <w:start w:val="1"/>
      <w:numFmt w:val="bullet"/>
      <w:lvlText w:val=""/>
      <w:lvlJc w:val="left"/>
      <w:pPr>
        <w:ind w:left="941"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9FCEF88">
      <w:start w:val="1"/>
      <w:numFmt w:val="bullet"/>
      <w:lvlText w:val="o"/>
      <w:lvlJc w:val="left"/>
      <w:pPr>
        <w:ind w:left="16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C84163E">
      <w:start w:val="1"/>
      <w:numFmt w:val="bullet"/>
      <w:lvlText w:val="▪"/>
      <w:lvlJc w:val="left"/>
      <w:pPr>
        <w:ind w:left="23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BE88E3BE">
      <w:start w:val="1"/>
      <w:numFmt w:val="bullet"/>
      <w:lvlText w:val="•"/>
      <w:lvlJc w:val="left"/>
      <w:pPr>
        <w:ind w:left="30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6A7EC062">
      <w:start w:val="1"/>
      <w:numFmt w:val="bullet"/>
      <w:lvlText w:val="o"/>
      <w:lvlJc w:val="left"/>
      <w:pPr>
        <w:ind w:left="376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3FA995E">
      <w:start w:val="1"/>
      <w:numFmt w:val="bullet"/>
      <w:lvlText w:val="▪"/>
      <w:lvlJc w:val="left"/>
      <w:pPr>
        <w:ind w:left="448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4F8050C8">
      <w:start w:val="1"/>
      <w:numFmt w:val="bullet"/>
      <w:lvlText w:val="•"/>
      <w:lvlJc w:val="left"/>
      <w:pPr>
        <w:ind w:left="52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1A84E86">
      <w:start w:val="1"/>
      <w:numFmt w:val="bullet"/>
      <w:lvlText w:val="o"/>
      <w:lvlJc w:val="left"/>
      <w:pPr>
        <w:ind w:left="59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C13A7420">
      <w:start w:val="1"/>
      <w:numFmt w:val="bullet"/>
      <w:lvlText w:val="▪"/>
      <w:lvlJc w:val="left"/>
      <w:pPr>
        <w:ind w:left="66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403" w15:restartNumberingAfterBreak="0">
    <w:nsid w:val="7CCA3775"/>
    <w:multiLevelType w:val="hybridMultilevel"/>
    <w:tmpl w:val="6FCECD2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80"/>
        </w:tabs>
        <w:ind w:left="1480" w:hanging="360"/>
      </w:pPr>
      <w:rPr>
        <w:rFonts w:ascii="Courier New" w:hAnsi="Courier New" w:hint="default"/>
      </w:rPr>
    </w:lvl>
    <w:lvl w:ilvl="2" w:tplc="040C0005" w:tentative="1">
      <w:start w:val="1"/>
      <w:numFmt w:val="bullet"/>
      <w:lvlText w:val=""/>
      <w:lvlJc w:val="left"/>
      <w:pPr>
        <w:tabs>
          <w:tab w:val="num" w:pos="2200"/>
        </w:tabs>
        <w:ind w:left="2200" w:hanging="360"/>
      </w:pPr>
      <w:rPr>
        <w:rFonts w:ascii="Wingdings" w:hAnsi="Wingdings" w:hint="default"/>
      </w:rPr>
    </w:lvl>
    <w:lvl w:ilvl="3" w:tplc="040C0001" w:tentative="1">
      <w:start w:val="1"/>
      <w:numFmt w:val="bullet"/>
      <w:lvlText w:val=""/>
      <w:lvlJc w:val="left"/>
      <w:pPr>
        <w:tabs>
          <w:tab w:val="num" w:pos="2920"/>
        </w:tabs>
        <w:ind w:left="2920" w:hanging="360"/>
      </w:pPr>
      <w:rPr>
        <w:rFonts w:ascii="Symbol" w:hAnsi="Symbol" w:hint="default"/>
      </w:rPr>
    </w:lvl>
    <w:lvl w:ilvl="4" w:tplc="040C0003" w:tentative="1">
      <w:start w:val="1"/>
      <w:numFmt w:val="bullet"/>
      <w:lvlText w:val="o"/>
      <w:lvlJc w:val="left"/>
      <w:pPr>
        <w:tabs>
          <w:tab w:val="num" w:pos="3640"/>
        </w:tabs>
        <w:ind w:left="3640" w:hanging="360"/>
      </w:pPr>
      <w:rPr>
        <w:rFonts w:ascii="Courier New" w:hAnsi="Courier New" w:hint="default"/>
      </w:rPr>
    </w:lvl>
    <w:lvl w:ilvl="5" w:tplc="040C0005" w:tentative="1">
      <w:start w:val="1"/>
      <w:numFmt w:val="bullet"/>
      <w:lvlText w:val=""/>
      <w:lvlJc w:val="left"/>
      <w:pPr>
        <w:tabs>
          <w:tab w:val="num" w:pos="4360"/>
        </w:tabs>
        <w:ind w:left="4360" w:hanging="360"/>
      </w:pPr>
      <w:rPr>
        <w:rFonts w:ascii="Wingdings" w:hAnsi="Wingdings" w:hint="default"/>
      </w:rPr>
    </w:lvl>
    <w:lvl w:ilvl="6" w:tplc="040C0001" w:tentative="1">
      <w:start w:val="1"/>
      <w:numFmt w:val="bullet"/>
      <w:lvlText w:val=""/>
      <w:lvlJc w:val="left"/>
      <w:pPr>
        <w:tabs>
          <w:tab w:val="num" w:pos="5080"/>
        </w:tabs>
        <w:ind w:left="5080" w:hanging="360"/>
      </w:pPr>
      <w:rPr>
        <w:rFonts w:ascii="Symbol" w:hAnsi="Symbol" w:hint="default"/>
      </w:rPr>
    </w:lvl>
    <w:lvl w:ilvl="7" w:tplc="040C0003" w:tentative="1">
      <w:start w:val="1"/>
      <w:numFmt w:val="bullet"/>
      <w:lvlText w:val="o"/>
      <w:lvlJc w:val="left"/>
      <w:pPr>
        <w:tabs>
          <w:tab w:val="num" w:pos="5800"/>
        </w:tabs>
        <w:ind w:left="5800" w:hanging="360"/>
      </w:pPr>
      <w:rPr>
        <w:rFonts w:ascii="Courier New" w:hAnsi="Courier New" w:hint="default"/>
      </w:rPr>
    </w:lvl>
    <w:lvl w:ilvl="8" w:tplc="040C0005" w:tentative="1">
      <w:start w:val="1"/>
      <w:numFmt w:val="bullet"/>
      <w:lvlText w:val=""/>
      <w:lvlJc w:val="left"/>
      <w:pPr>
        <w:tabs>
          <w:tab w:val="num" w:pos="6520"/>
        </w:tabs>
        <w:ind w:left="6520" w:hanging="360"/>
      </w:pPr>
      <w:rPr>
        <w:rFonts w:ascii="Wingdings" w:hAnsi="Wingdings" w:hint="default"/>
      </w:rPr>
    </w:lvl>
  </w:abstractNum>
  <w:abstractNum w:abstractNumId="404" w15:restartNumberingAfterBreak="0">
    <w:nsid w:val="7D2F452B"/>
    <w:multiLevelType w:val="hybridMultilevel"/>
    <w:tmpl w:val="937A3102"/>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5"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06"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7" w15:restartNumberingAfterBreak="0">
    <w:nsid w:val="7E48596F"/>
    <w:multiLevelType w:val="hybridMultilevel"/>
    <w:tmpl w:val="78FCB668"/>
    <w:lvl w:ilvl="0" w:tplc="080C000F">
      <w:start w:val="1"/>
      <w:numFmt w:val="decimal"/>
      <w:lvlText w:val="%1."/>
      <w:lvlJc w:val="left"/>
      <w:pPr>
        <w:ind w:left="720" w:hanging="360"/>
      </w:pPr>
      <w:rPr>
        <w:rFonts w:cs="Times New Roman"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408" w15:restartNumberingAfterBreak="0">
    <w:nsid w:val="7ED61E96"/>
    <w:multiLevelType w:val="hybridMultilevel"/>
    <w:tmpl w:val="5E4E6768"/>
    <w:lvl w:ilvl="0" w:tplc="5DECAC80">
      <w:numFmt w:val="bullet"/>
      <w:lvlText w:val="-"/>
      <w:lvlJc w:val="left"/>
      <w:pPr>
        <w:tabs>
          <w:tab w:val="num" w:pos="720"/>
        </w:tabs>
        <w:ind w:left="720" w:hanging="360"/>
      </w:pPr>
      <w:rPr>
        <w:rFonts w:ascii="Georgia" w:eastAsia="Times New Roman" w:hAnsi="Georgia"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9"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0"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411" w15:restartNumberingAfterBreak="0">
    <w:nsid w:val="7FBC1FFF"/>
    <w:multiLevelType w:val="hybridMultilevel"/>
    <w:tmpl w:val="8A8CBDA0"/>
    <w:lvl w:ilvl="0" w:tplc="430A5708">
      <w:start w:val="1"/>
      <w:numFmt w:val="decimal"/>
      <w:lvlText w:val="%1."/>
      <w:lvlJc w:val="left"/>
      <w:pPr>
        <w:ind w:left="360" w:hanging="360"/>
      </w:pPr>
      <w:rPr>
        <w:rFonts w:asciiTheme="majorHAnsi" w:hAnsiTheme="majorHAnsi" w:hint="default"/>
        <w:sz w:val="22"/>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num w:numId="1">
    <w:abstractNumId w:val="128"/>
  </w:num>
  <w:num w:numId="2">
    <w:abstractNumId w:val="8"/>
  </w:num>
  <w:num w:numId="3">
    <w:abstractNumId w:val="11"/>
  </w:num>
  <w:num w:numId="4">
    <w:abstractNumId w:val="12"/>
  </w:num>
  <w:num w:numId="5">
    <w:abstractNumId w:val="15"/>
  </w:num>
  <w:num w:numId="6">
    <w:abstractNumId w:val="20"/>
  </w:num>
  <w:num w:numId="7">
    <w:abstractNumId w:val="21"/>
  </w:num>
  <w:num w:numId="8">
    <w:abstractNumId w:val="23"/>
  </w:num>
  <w:num w:numId="9">
    <w:abstractNumId w:val="26"/>
  </w:num>
  <w:num w:numId="10">
    <w:abstractNumId w:val="28"/>
  </w:num>
  <w:num w:numId="11">
    <w:abstractNumId w:val="32"/>
  </w:num>
  <w:num w:numId="12">
    <w:abstractNumId w:val="34"/>
  </w:num>
  <w:num w:numId="13">
    <w:abstractNumId w:val="42"/>
  </w:num>
  <w:num w:numId="14">
    <w:abstractNumId w:val="44"/>
  </w:num>
  <w:num w:numId="15">
    <w:abstractNumId w:val="48"/>
  </w:num>
  <w:num w:numId="16">
    <w:abstractNumId w:val="50"/>
  </w:num>
  <w:num w:numId="17">
    <w:abstractNumId w:val="53"/>
  </w:num>
  <w:num w:numId="18">
    <w:abstractNumId w:val="55"/>
  </w:num>
  <w:num w:numId="19">
    <w:abstractNumId w:val="56"/>
  </w:num>
  <w:num w:numId="20">
    <w:abstractNumId w:val="64"/>
  </w:num>
  <w:num w:numId="21">
    <w:abstractNumId w:val="72"/>
  </w:num>
  <w:num w:numId="22">
    <w:abstractNumId w:val="77"/>
  </w:num>
  <w:num w:numId="23">
    <w:abstractNumId w:val="81"/>
  </w:num>
  <w:num w:numId="24">
    <w:abstractNumId w:val="82"/>
  </w:num>
  <w:num w:numId="25">
    <w:abstractNumId w:val="84"/>
  </w:num>
  <w:num w:numId="26">
    <w:abstractNumId w:val="89"/>
  </w:num>
  <w:num w:numId="27">
    <w:abstractNumId w:val="92"/>
  </w:num>
  <w:num w:numId="28">
    <w:abstractNumId w:val="93"/>
  </w:num>
  <w:num w:numId="29">
    <w:abstractNumId w:val="94"/>
  </w:num>
  <w:num w:numId="30">
    <w:abstractNumId w:val="95"/>
  </w:num>
  <w:num w:numId="31">
    <w:abstractNumId w:val="99"/>
  </w:num>
  <w:num w:numId="32">
    <w:abstractNumId w:val="102"/>
  </w:num>
  <w:num w:numId="33">
    <w:abstractNumId w:val="107"/>
  </w:num>
  <w:num w:numId="34">
    <w:abstractNumId w:val="108"/>
  </w:num>
  <w:num w:numId="35">
    <w:abstractNumId w:val="113"/>
  </w:num>
  <w:num w:numId="36">
    <w:abstractNumId w:val="118"/>
  </w:num>
  <w:num w:numId="37">
    <w:abstractNumId w:val="120"/>
  </w:num>
  <w:num w:numId="38">
    <w:abstractNumId w:val="121"/>
  </w:num>
  <w:num w:numId="39">
    <w:abstractNumId w:val="135"/>
  </w:num>
  <w:num w:numId="40">
    <w:abstractNumId w:val="137"/>
  </w:num>
  <w:num w:numId="41">
    <w:abstractNumId w:val="145"/>
  </w:num>
  <w:num w:numId="42">
    <w:abstractNumId w:val="252"/>
  </w:num>
  <w:num w:numId="43">
    <w:abstractNumId w:val="176"/>
  </w:num>
  <w:num w:numId="44">
    <w:abstractNumId w:val="291"/>
  </w:num>
  <w:num w:numId="45">
    <w:abstractNumId w:val="170"/>
  </w:num>
  <w:num w:numId="46">
    <w:abstractNumId w:val="320"/>
  </w:num>
  <w:num w:numId="47">
    <w:abstractNumId w:val="307"/>
  </w:num>
  <w:num w:numId="48">
    <w:abstractNumId w:val="161"/>
  </w:num>
  <w:num w:numId="49">
    <w:abstractNumId w:val="166"/>
  </w:num>
  <w:num w:numId="50">
    <w:abstractNumId w:val="156"/>
  </w:num>
  <w:num w:numId="51">
    <w:abstractNumId w:val="177"/>
  </w:num>
  <w:num w:numId="52">
    <w:abstractNumId w:val="165"/>
  </w:num>
  <w:num w:numId="53">
    <w:abstractNumId w:val="220"/>
  </w:num>
  <w:num w:numId="54">
    <w:abstractNumId w:val="194"/>
  </w:num>
  <w:num w:numId="55">
    <w:abstractNumId w:val="173"/>
  </w:num>
  <w:num w:numId="56">
    <w:abstractNumId w:val="163"/>
  </w:num>
  <w:num w:numId="57">
    <w:abstractNumId w:val="205"/>
  </w:num>
  <w:num w:numId="58">
    <w:abstractNumId w:val="158"/>
  </w:num>
  <w:num w:numId="59">
    <w:abstractNumId w:val="240"/>
  </w:num>
  <w:num w:numId="60">
    <w:abstractNumId w:val="390"/>
  </w:num>
  <w:num w:numId="61">
    <w:abstractNumId w:val="329"/>
  </w:num>
  <w:num w:numId="62">
    <w:abstractNumId w:val="322"/>
  </w:num>
  <w:num w:numId="63">
    <w:abstractNumId w:val="296"/>
  </w:num>
  <w:num w:numId="64">
    <w:abstractNumId w:val="313"/>
  </w:num>
  <w:num w:numId="65">
    <w:abstractNumId w:val="384"/>
  </w:num>
  <w:num w:numId="66">
    <w:abstractNumId w:val="188"/>
  </w:num>
  <w:num w:numId="6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num>
  <w:num w:numId="69">
    <w:abstractNumId w:val="203"/>
  </w:num>
  <w:num w:numId="70">
    <w:abstractNumId w:val="238"/>
  </w:num>
  <w:num w:numId="71">
    <w:abstractNumId w:val="397"/>
  </w:num>
  <w:num w:numId="72">
    <w:abstractNumId w:val="0"/>
  </w:num>
  <w:num w:numId="73">
    <w:abstractNumId w:val="5"/>
  </w:num>
  <w:num w:numId="74">
    <w:abstractNumId w:val="9"/>
  </w:num>
  <w:num w:numId="75">
    <w:abstractNumId w:val="13"/>
  </w:num>
  <w:num w:numId="76">
    <w:abstractNumId w:val="25"/>
  </w:num>
  <w:num w:numId="77">
    <w:abstractNumId w:val="27"/>
  </w:num>
  <w:num w:numId="78">
    <w:abstractNumId w:val="29"/>
  </w:num>
  <w:num w:numId="79">
    <w:abstractNumId w:val="30"/>
  </w:num>
  <w:num w:numId="80">
    <w:abstractNumId w:val="33"/>
  </w:num>
  <w:num w:numId="81">
    <w:abstractNumId w:val="36"/>
  </w:num>
  <w:num w:numId="82">
    <w:abstractNumId w:val="39"/>
  </w:num>
  <w:num w:numId="83">
    <w:abstractNumId w:val="49"/>
  </w:num>
  <w:num w:numId="84">
    <w:abstractNumId w:val="51"/>
  </w:num>
  <w:num w:numId="85">
    <w:abstractNumId w:val="57"/>
  </w:num>
  <w:num w:numId="86">
    <w:abstractNumId w:val="58"/>
  </w:num>
  <w:num w:numId="87">
    <w:abstractNumId w:val="65"/>
  </w:num>
  <w:num w:numId="88">
    <w:abstractNumId w:val="70"/>
  </w:num>
  <w:num w:numId="89">
    <w:abstractNumId w:val="71"/>
  </w:num>
  <w:num w:numId="90">
    <w:abstractNumId w:val="85"/>
  </w:num>
  <w:num w:numId="91">
    <w:abstractNumId w:val="87"/>
  </w:num>
  <w:num w:numId="92">
    <w:abstractNumId w:val="90"/>
  </w:num>
  <w:num w:numId="93">
    <w:abstractNumId w:val="97"/>
  </w:num>
  <w:num w:numId="94">
    <w:abstractNumId w:val="100"/>
  </w:num>
  <w:num w:numId="95">
    <w:abstractNumId w:val="105"/>
  </w:num>
  <w:num w:numId="96">
    <w:abstractNumId w:val="106"/>
  </w:num>
  <w:num w:numId="97">
    <w:abstractNumId w:val="111"/>
  </w:num>
  <w:num w:numId="98">
    <w:abstractNumId w:val="114"/>
  </w:num>
  <w:num w:numId="99">
    <w:abstractNumId w:val="115"/>
  </w:num>
  <w:num w:numId="100">
    <w:abstractNumId w:val="119"/>
  </w:num>
  <w:num w:numId="101">
    <w:abstractNumId w:val="126"/>
  </w:num>
  <w:num w:numId="102">
    <w:abstractNumId w:val="131"/>
  </w:num>
  <w:num w:numId="103">
    <w:abstractNumId w:val="133"/>
  </w:num>
  <w:num w:numId="104">
    <w:abstractNumId w:val="134"/>
  </w:num>
  <w:num w:numId="105">
    <w:abstractNumId w:val="138"/>
  </w:num>
  <w:num w:numId="106">
    <w:abstractNumId w:val="141"/>
  </w:num>
  <w:num w:numId="107">
    <w:abstractNumId w:val="147"/>
  </w:num>
  <w:num w:numId="108">
    <w:abstractNumId w:val="149"/>
  </w:num>
  <w:num w:numId="109">
    <w:abstractNumId w:val="151"/>
  </w:num>
  <w:num w:numId="110">
    <w:abstractNumId w:val="206"/>
  </w:num>
  <w:num w:numId="111">
    <w:abstractNumId w:val="260"/>
  </w:num>
  <w:num w:numId="112">
    <w:abstractNumId w:val="386"/>
  </w:num>
  <w:num w:numId="113">
    <w:abstractNumId w:val="333"/>
  </w:num>
  <w:num w:numId="114">
    <w:abstractNumId w:val="293"/>
  </w:num>
  <w:num w:numId="115">
    <w:abstractNumId w:val="298"/>
  </w:num>
  <w:num w:numId="116">
    <w:abstractNumId w:val="331"/>
  </w:num>
  <w:num w:numId="117">
    <w:abstractNumId w:val="365"/>
  </w:num>
  <w:num w:numId="118">
    <w:abstractNumId w:val="213"/>
  </w:num>
  <w:num w:numId="119">
    <w:abstractNumId w:val="155"/>
  </w:num>
  <w:num w:numId="120">
    <w:abstractNumId w:val="403"/>
  </w:num>
  <w:num w:numId="121">
    <w:abstractNumId w:val="255"/>
  </w:num>
  <w:num w:numId="122">
    <w:abstractNumId w:val="301"/>
  </w:num>
  <w:num w:numId="123">
    <w:abstractNumId w:val="215"/>
  </w:num>
  <w:num w:numId="124">
    <w:abstractNumId w:val="73"/>
  </w:num>
  <w:num w:numId="125">
    <w:abstractNumId w:val="319"/>
  </w:num>
  <w:num w:numId="126">
    <w:abstractNumId w:val="335"/>
  </w:num>
  <w:num w:numId="127">
    <w:abstractNumId w:val="368"/>
  </w:num>
  <w:num w:numId="128">
    <w:abstractNumId w:val="358"/>
  </w:num>
  <w:num w:numId="129">
    <w:abstractNumId w:val="404"/>
  </w:num>
  <w:num w:numId="130">
    <w:abstractNumId w:val="342"/>
  </w:num>
  <w:num w:numId="131">
    <w:abstractNumId w:val="7"/>
  </w:num>
  <w:num w:numId="132">
    <w:abstractNumId w:val="39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9"/>
  </w:num>
  <w:num w:numId="135">
    <w:abstractNumId w:val="61"/>
  </w:num>
  <w:num w:numId="136">
    <w:abstractNumId w:val="80"/>
  </w:num>
  <w:num w:numId="137">
    <w:abstractNumId w:val="96"/>
  </w:num>
  <w:num w:numId="138">
    <w:abstractNumId w:val="17"/>
  </w:num>
  <w:num w:numId="139">
    <w:abstractNumId w:val="60"/>
  </w:num>
  <w:num w:numId="140">
    <w:abstractNumId w:val="75"/>
  </w:num>
  <w:num w:numId="141">
    <w:abstractNumId w:val="101"/>
  </w:num>
  <w:num w:numId="142">
    <w:abstractNumId w:val="103"/>
  </w:num>
  <w:num w:numId="143">
    <w:abstractNumId w:val="375"/>
  </w:num>
  <w:num w:numId="144">
    <w:abstractNumId w:val="10"/>
  </w:num>
  <w:num w:numId="145">
    <w:abstractNumId w:val="24"/>
  </w:num>
  <w:num w:numId="146">
    <w:abstractNumId w:val="38"/>
  </w:num>
  <w:num w:numId="147">
    <w:abstractNumId w:val="67"/>
  </w:num>
  <w:num w:numId="148">
    <w:abstractNumId w:val="79"/>
  </w:num>
  <w:num w:numId="149">
    <w:abstractNumId w:val="91"/>
  </w:num>
  <w:num w:numId="150">
    <w:abstractNumId w:val="144"/>
  </w:num>
  <w:num w:numId="151">
    <w:abstractNumId w:val="224"/>
  </w:num>
  <w:num w:numId="152">
    <w:abstractNumId w:val="253"/>
  </w:num>
  <w:num w:numId="153">
    <w:abstractNumId w:val="295"/>
  </w:num>
  <w:num w:numId="154">
    <w:abstractNumId w:val="359"/>
  </w:num>
  <w:num w:numId="155">
    <w:abstractNumId w:val="328"/>
  </w:num>
  <w:num w:numId="156">
    <w:abstractNumId w:val="277"/>
  </w:num>
  <w:num w:numId="157">
    <w:abstractNumId w:val="267"/>
  </w:num>
  <w:num w:numId="158">
    <w:abstractNumId w:val="351"/>
  </w:num>
  <w:num w:numId="159">
    <w:abstractNumId w:val="299"/>
  </w:num>
  <w:num w:numId="160">
    <w:abstractNumId w:val="336"/>
  </w:num>
  <w:num w:numId="161">
    <w:abstractNumId w:val="104"/>
  </w:num>
  <w:num w:numId="162">
    <w:abstractNumId w:val="117"/>
  </w:num>
  <w:num w:numId="163">
    <w:abstractNumId w:val="125"/>
  </w:num>
  <w:num w:numId="164">
    <w:abstractNumId w:val="130"/>
  </w:num>
  <w:num w:numId="165">
    <w:abstractNumId w:val="132"/>
  </w:num>
  <w:num w:numId="166">
    <w:abstractNumId w:val="139"/>
  </w:num>
  <w:num w:numId="167">
    <w:abstractNumId w:val="280"/>
  </w:num>
  <w:num w:numId="168">
    <w:abstractNumId w:val="258"/>
  </w:num>
  <w:num w:numId="169">
    <w:abstractNumId w:val="225"/>
  </w:num>
  <w:num w:numId="170">
    <w:abstractNumId w:val="168"/>
  </w:num>
  <w:num w:numId="171">
    <w:abstractNumId w:val="408"/>
  </w:num>
  <w:num w:numId="172">
    <w:abstractNumId w:val="318"/>
  </w:num>
  <w:num w:numId="173">
    <w:abstractNumId w:val="314"/>
  </w:num>
  <w:num w:numId="174">
    <w:abstractNumId w:val="233"/>
  </w:num>
  <w:num w:numId="175">
    <w:abstractNumId w:val="195"/>
  </w:num>
  <w:num w:numId="176">
    <w:abstractNumId w:val="407"/>
  </w:num>
  <w:num w:numId="177">
    <w:abstractNumId w:val="286"/>
  </w:num>
  <w:num w:numId="178">
    <w:abstractNumId w:val="189"/>
  </w:num>
  <w:num w:numId="179">
    <w:abstractNumId w:val="276"/>
  </w:num>
  <w:num w:numId="180">
    <w:abstractNumId w:val="182"/>
  </w:num>
  <w:num w:numId="181">
    <w:abstractNumId w:val="330"/>
  </w:num>
  <w:num w:numId="182">
    <w:abstractNumId w:val="197"/>
  </w:num>
  <w:num w:numId="183">
    <w:abstractNumId w:val="308"/>
  </w:num>
  <w:num w:numId="184">
    <w:abstractNumId w:val="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5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3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30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40"/>
    <w:lvlOverride w:ilvl="0">
      <w:startOverride w:val="1"/>
    </w:lvlOverride>
  </w:num>
  <w:num w:numId="190">
    <w:abstractNumId w:val="306"/>
  </w:num>
  <w:num w:numId="191">
    <w:abstractNumId w:val="245"/>
  </w:num>
  <w:num w:numId="192">
    <w:abstractNumId w:val="178"/>
  </w:num>
  <w:num w:numId="193">
    <w:abstractNumId w:val="154"/>
  </w:num>
  <w:num w:numId="194">
    <w:abstractNumId w:val="371"/>
  </w:num>
  <w:num w:numId="195">
    <w:abstractNumId w:val="360"/>
  </w:num>
  <w:num w:numId="196">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199"/>
  </w:num>
  <w:num w:numId="199">
    <w:abstractNumId w:val="406"/>
  </w:num>
  <w:num w:numId="200">
    <w:abstractNumId w:val="393"/>
  </w:num>
  <w:num w:numId="201">
    <w:abstractNumId w:val="208"/>
  </w:num>
  <w:num w:numId="202">
    <w:abstractNumId w:val="312"/>
  </w:num>
  <w:num w:numId="203">
    <w:abstractNumId w:val="385"/>
  </w:num>
  <w:num w:numId="204">
    <w:abstractNumId w:val="192"/>
  </w:num>
  <w:num w:numId="205">
    <w:abstractNumId w:val="367"/>
  </w:num>
  <w:num w:numId="206">
    <w:abstractNumId w:val="180"/>
  </w:num>
  <w:num w:numId="207">
    <w:abstractNumId w:val="369"/>
  </w:num>
  <w:num w:numId="208">
    <w:abstractNumId w:val="410"/>
  </w:num>
  <w:num w:numId="209">
    <w:abstractNumId w:val="273"/>
  </w:num>
  <w:num w:numId="210">
    <w:abstractNumId w:val="337"/>
  </w:num>
  <w:num w:numId="211">
    <w:abstractNumId w:val="250"/>
  </w:num>
  <w:num w:numId="212">
    <w:abstractNumId w:val="332"/>
  </w:num>
  <w:num w:numId="213">
    <w:abstractNumId w:val="340"/>
  </w:num>
  <w:num w:numId="214">
    <w:abstractNumId w:val="346"/>
  </w:num>
  <w:num w:numId="215">
    <w:abstractNumId w:val="223"/>
  </w:num>
  <w:num w:numId="216">
    <w:abstractNumId w:val="310"/>
  </w:num>
  <w:num w:numId="217">
    <w:abstractNumId w:val="350"/>
  </w:num>
  <w:num w:numId="218">
    <w:abstractNumId w:val="356"/>
  </w:num>
  <w:num w:numId="219">
    <w:abstractNumId w:val="395"/>
  </w:num>
  <w:num w:numId="220">
    <w:abstractNumId w:val="175"/>
  </w:num>
  <w:num w:numId="221">
    <w:abstractNumId w:val="283"/>
  </w:num>
  <w:num w:numId="222">
    <w:abstractNumId w:val="174"/>
  </w:num>
  <w:num w:numId="223">
    <w:abstractNumId w:val="249"/>
  </w:num>
  <w:num w:numId="224">
    <w:abstractNumId w:val="266"/>
  </w:num>
  <w:num w:numId="225">
    <w:abstractNumId w:val="218"/>
  </w:num>
  <w:num w:numId="226">
    <w:abstractNumId w:val="248"/>
  </w:num>
  <w:num w:numId="227">
    <w:abstractNumId w:val="305"/>
  </w:num>
  <w:num w:numId="228">
    <w:abstractNumId w:val="281"/>
  </w:num>
  <w:num w:numId="229">
    <w:abstractNumId w:val="190"/>
  </w:num>
  <w:num w:numId="230">
    <w:abstractNumId w:val="171"/>
  </w:num>
  <w:num w:numId="231">
    <w:abstractNumId w:val="201"/>
  </w:num>
  <w:num w:numId="232">
    <w:abstractNumId w:val="268"/>
  </w:num>
  <w:num w:numId="233">
    <w:abstractNumId w:val="274"/>
  </w:num>
  <w:num w:numId="234">
    <w:abstractNumId w:val="202"/>
  </w:num>
  <w:num w:numId="235">
    <w:abstractNumId w:val="272"/>
  </w:num>
  <w:num w:numId="236">
    <w:abstractNumId w:val="221"/>
  </w:num>
  <w:num w:numId="237">
    <w:abstractNumId w:val="256"/>
  </w:num>
  <w:num w:numId="238">
    <w:abstractNumId w:val="304"/>
  </w:num>
  <w:num w:numId="239">
    <w:abstractNumId w:val="185"/>
  </w:num>
  <w:num w:numId="240">
    <w:abstractNumId w:val="338"/>
  </w:num>
  <w:num w:numId="241">
    <w:abstractNumId w:val="232"/>
  </w:num>
  <w:num w:numId="242">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41"/>
  </w:num>
  <w:num w:numId="244">
    <w:abstractNumId w:val="377"/>
  </w:num>
  <w:num w:numId="245">
    <w:abstractNumId w:val="381"/>
  </w:num>
  <w:num w:numId="246">
    <w:abstractNumId w:val="391"/>
  </w:num>
  <w:num w:numId="247">
    <w:abstractNumId w:val="321"/>
  </w:num>
  <w:num w:numId="248">
    <w:abstractNumId w:val="326"/>
  </w:num>
  <w:num w:numId="249">
    <w:abstractNumId w:val="6"/>
  </w:num>
  <w:num w:numId="250">
    <w:abstractNumId w:val="3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1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3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398"/>
  </w:num>
  <w:num w:numId="255">
    <w:abstractNumId w:val="179"/>
  </w:num>
  <w:num w:numId="256">
    <w:abstractNumId w:val="159"/>
  </w:num>
  <w:num w:numId="257">
    <w:abstractNumId w:val="153"/>
  </w:num>
  <w:num w:numId="258">
    <w:abstractNumId w:val="243"/>
  </w:num>
  <w:num w:numId="259">
    <w:abstractNumId w:val="242"/>
  </w:num>
  <w:num w:numId="260">
    <w:abstractNumId w:val="282"/>
  </w:num>
  <w:num w:numId="261">
    <w:abstractNumId w:val="229"/>
  </w:num>
  <w:num w:numId="262">
    <w:abstractNumId w:val="207"/>
  </w:num>
  <w:num w:numId="263">
    <w:abstractNumId w:val="264"/>
  </w:num>
  <w:num w:numId="264">
    <w:abstractNumId w:val="364"/>
  </w:num>
  <w:num w:numId="265">
    <w:abstractNumId w:val="287"/>
  </w:num>
  <w:num w:numId="266">
    <w:abstractNumId w:val="389"/>
  </w:num>
  <w:num w:numId="267">
    <w:abstractNumId w:val="263"/>
  </w:num>
  <w:num w:numId="268">
    <w:abstractNumId w:val="3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348"/>
  </w:num>
  <w:num w:numId="270">
    <w:abstractNumId w:val="285"/>
  </w:num>
  <w:num w:numId="271">
    <w:abstractNumId w:val="237"/>
  </w:num>
  <w:num w:numId="272">
    <w:abstractNumId w:val="217"/>
  </w:num>
  <w:num w:numId="273">
    <w:abstractNumId w:val="357"/>
  </w:num>
  <w:num w:numId="274">
    <w:abstractNumId w:val="315"/>
  </w:num>
  <w:num w:numId="275">
    <w:abstractNumId w:val="352"/>
  </w:num>
  <w:num w:numId="276">
    <w:abstractNumId w:val="236"/>
  </w:num>
  <w:num w:numId="277">
    <w:abstractNumId w:val="254"/>
  </w:num>
  <w:num w:numId="278">
    <w:abstractNumId w:val="193"/>
  </w:num>
  <w:num w:numId="279">
    <w:abstractNumId w:val="196"/>
  </w:num>
  <w:num w:numId="280">
    <w:abstractNumId w:val="196"/>
    <w:lvlOverride w:ilvl="0">
      <w:lvl w:ilvl="0">
        <w:start w:val="1"/>
        <w:numFmt w:val="decimal"/>
        <w:lvlText w:val="%1."/>
        <w:legacy w:legacy="1" w:legacySpace="0" w:legacyIndent="249"/>
        <w:lvlJc w:val="left"/>
        <w:rPr>
          <w:rFonts w:ascii="Times New Roman" w:hAnsi="Times New Roman" w:cs="Times New Roman" w:hint="default"/>
        </w:rPr>
      </w:lvl>
    </w:lvlOverride>
  </w:num>
  <w:num w:numId="281">
    <w:abstractNumId w:val="1"/>
    <w:lvlOverride w:ilvl="0">
      <w:lvl w:ilvl="0">
        <w:start w:val="65535"/>
        <w:numFmt w:val="bullet"/>
        <w:lvlText w:val="-"/>
        <w:legacy w:legacy="1" w:legacySpace="0" w:legacyIndent="250"/>
        <w:lvlJc w:val="left"/>
        <w:rPr>
          <w:rFonts w:ascii="Times New Roman" w:hAnsi="Times New Roman" w:cs="Times New Roman" w:hint="default"/>
        </w:rPr>
      </w:lvl>
    </w:lvlOverride>
  </w:num>
  <w:num w:numId="282">
    <w:abstractNumId w:val="1"/>
    <w:lvlOverride w:ilvl="0">
      <w:lvl w:ilvl="0">
        <w:start w:val="65535"/>
        <w:numFmt w:val="bullet"/>
        <w:lvlText w:val="-"/>
        <w:legacy w:legacy="1" w:legacySpace="0" w:legacyIndent="134"/>
        <w:lvlJc w:val="left"/>
        <w:rPr>
          <w:rFonts w:ascii="Times New Roman" w:hAnsi="Times New Roman" w:cs="Times New Roman" w:hint="default"/>
        </w:rPr>
      </w:lvl>
    </w:lvlOverride>
  </w:num>
  <w:num w:numId="283">
    <w:abstractNumId w:val="1"/>
    <w:lvlOverride w:ilvl="0">
      <w:lvl w:ilvl="0">
        <w:start w:val="65535"/>
        <w:numFmt w:val="bullet"/>
        <w:lvlText w:val="-"/>
        <w:legacy w:legacy="1" w:legacySpace="0" w:legacyIndent="135"/>
        <w:lvlJc w:val="left"/>
        <w:rPr>
          <w:rFonts w:ascii="Times New Roman" w:hAnsi="Times New Roman" w:cs="Times New Roman" w:hint="default"/>
        </w:rPr>
      </w:lvl>
    </w:lvlOverride>
  </w:num>
  <w:num w:numId="284">
    <w:abstractNumId w:val="316"/>
  </w:num>
  <w:num w:numId="285">
    <w:abstractNumId w:val="311"/>
  </w:num>
  <w:num w:numId="286">
    <w:abstractNumId w:val="383"/>
  </w:num>
  <w:num w:numId="287">
    <w:abstractNumId w:val="278"/>
  </w:num>
  <w:num w:numId="288">
    <w:abstractNumId w:val="325"/>
  </w:num>
  <w:num w:numId="289">
    <w:abstractNumId w:val="191"/>
  </w:num>
  <w:num w:numId="290">
    <w:abstractNumId w:val="400"/>
  </w:num>
  <w:num w:numId="291">
    <w:abstractNumId w:val="265"/>
  </w:num>
  <w:num w:numId="292">
    <w:abstractNumId w:val="370"/>
  </w:num>
  <w:num w:numId="293">
    <w:abstractNumId w:val="164"/>
  </w:num>
  <w:num w:numId="294">
    <w:abstractNumId w:val="279"/>
  </w:num>
  <w:num w:numId="295">
    <w:abstractNumId w:val="262"/>
  </w:num>
  <w:num w:numId="296">
    <w:abstractNumId w:val="317"/>
  </w:num>
  <w:num w:numId="297">
    <w:abstractNumId w:val="353"/>
  </w:num>
  <w:num w:numId="298">
    <w:abstractNumId w:val="327"/>
  </w:num>
  <w:num w:numId="299">
    <w:abstractNumId w:val="269"/>
  </w:num>
  <w:num w:numId="300">
    <w:abstractNumId w:val="361"/>
  </w:num>
  <w:num w:numId="301">
    <w:abstractNumId w:val="271"/>
  </w:num>
  <w:num w:numId="302">
    <w:abstractNumId w:val="251"/>
  </w:num>
  <w:num w:numId="303">
    <w:abstractNumId w:val="184"/>
  </w:num>
  <w:num w:numId="304">
    <w:abstractNumId w:val="231"/>
  </w:num>
  <w:num w:numId="305">
    <w:abstractNumId w:val="402"/>
  </w:num>
  <w:num w:numId="306">
    <w:abstractNumId w:val="387"/>
  </w:num>
  <w:num w:numId="307">
    <w:abstractNumId w:val="339"/>
  </w:num>
  <w:num w:numId="308">
    <w:abstractNumId w:val="288"/>
  </w:num>
  <w:num w:numId="309">
    <w:abstractNumId w:val="347"/>
  </w:num>
  <w:num w:numId="310">
    <w:abstractNumId w:val="257"/>
  </w:num>
  <w:num w:numId="311">
    <w:abstractNumId w:val="204"/>
  </w:num>
  <w:num w:numId="312">
    <w:abstractNumId w:val="198"/>
  </w:num>
  <w:num w:numId="313">
    <w:abstractNumId w:val="226"/>
  </w:num>
  <w:num w:numId="314">
    <w:abstractNumId w:val="247"/>
  </w:num>
  <w:num w:numId="315">
    <w:abstractNumId w:val="275"/>
  </w:num>
  <w:num w:numId="316">
    <w:abstractNumId w:val="382"/>
  </w:num>
  <w:num w:numId="317">
    <w:abstractNumId w:val="297"/>
  </w:num>
  <w:num w:numId="318">
    <w:abstractNumId w:val="234"/>
  </w:num>
  <w:num w:numId="319">
    <w:abstractNumId w:val="362"/>
  </w:num>
  <w:num w:numId="320">
    <w:abstractNumId w:val="379"/>
  </w:num>
  <w:num w:numId="321">
    <w:abstractNumId w:val="376"/>
  </w:num>
  <w:num w:numId="322">
    <w:abstractNumId w:val="157"/>
  </w:num>
  <w:num w:numId="323">
    <w:abstractNumId w:val="219"/>
  </w:num>
  <w:num w:numId="324">
    <w:abstractNumId w:val="228"/>
  </w:num>
  <w:num w:numId="325">
    <w:abstractNumId w:val="396"/>
  </w:num>
  <w:num w:numId="326">
    <w:abstractNumId w:val="162"/>
  </w:num>
  <w:num w:numId="327">
    <w:abstractNumId w:val="363"/>
  </w:num>
  <w:num w:numId="328">
    <w:abstractNumId w:val="246"/>
  </w:num>
  <w:num w:numId="329">
    <w:abstractNumId w:val="183"/>
  </w:num>
  <w:num w:numId="330">
    <w:abstractNumId w:val="186"/>
  </w:num>
  <w:num w:numId="331">
    <w:abstractNumId w:val="344"/>
  </w:num>
  <w:num w:numId="332">
    <w:abstractNumId w:val="366"/>
  </w:num>
  <w:num w:numId="333">
    <w:abstractNumId w:val="334"/>
  </w:num>
  <w:num w:numId="334">
    <w:abstractNumId w:val="261"/>
  </w:num>
  <w:num w:numId="335">
    <w:abstractNumId w:val="216"/>
  </w:num>
  <w:num w:numId="336">
    <w:abstractNumId w:val="405"/>
    <w:lvlOverride w:ilvl="0">
      <w:startOverride w:val="1"/>
    </w:lvlOverride>
    <w:lvlOverride w:ilvl="1"/>
    <w:lvlOverride w:ilvl="2"/>
    <w:lvlOverride w:ilvl="3"/>
    <w:lvlOverride w:ilvl="4"/>
    <w:lvlOverride w:ilvl="5"/>
    <w:lvlOverride w:ilvl="6"/>
    <w:lvlOverride w:ilvl="7"/>
    <w:lvlOverride w:ilvl="8"/>
  </w:num>
  <w:num w:numId="337">
    <w:abstractNumId w:val="345"/>
  </w:num>
  <w:num w:numId="338">
    <w:abstractNumId w:val="235"/>
  </w:num>
  <w:num w:numId="339">
    <w:abstractNumId w:val="167"/>
  </w:num>
  <w:num w:numId="340">
    <w:abstractNumId w:val="411"/>
  </w:num>
  <w:num w:numId="341">
    <w:abstractNumId w:val="222"/>
  </w:num>
  <w:num w:numId="342">
    <w:abstractNumId w:val="355"/>
  </w:num>
  <w:num w:numId="343">
    <w:abstractNumId w:val="209"/>
  </w:num>
  <w:num w:numId="344">
    <w:abstractNumId w:val="380"/>
  </w:num>
  <w:num w:numId="345">
    <w:abstractNumId w:val="166"/>
  </w:num>
  <w:num w:numId="346">
    <w:abstractNumId w:val="292"/>
  </w:num>
  <w:num w:numId="347">
    <w:abstractNumId w:val="323"/>
  </w:num>
  <w:num w:numId="348">
    <w:abstractNumId w:val="181"/>
  </w:num>
  <w:num w:numId="349">
    <w:abstractNumId w:val="354"/>
  </w:num>
  <w:num w:numId="350">
    <w:abstractNumId w:val="409"/>
  </w:num>
  <w:num w:numId="351">
    <w:abstractNumId w:val="152"/>
  </w:num>
  <w:num w:numId="352">
    <w:abstractNumId w:val="214"/>
  </w:num>
  <w:num w:numId="353">
    <w:abstractNumId w:val="244"/>
  </w:num>
  <w:num w:numId="354">
    <w:abstractNumId w:val="169"/>
  </w:num>
  <w:num w:numId="355">
    <w:abstractNumId w:val="3"/>
  </w:num>
  <w:num w:numId="356">
    <w:abstractNumId w:val="4"/>
  </w:num>
  <w:num w:numId="357">
    <w:abstractNumId w:val="239"/>
  </w:num>
  <w:num w:numId="358">
    <w:abstractNumId w:val="284"/>
  </w:num>
  <w:num w:numId="359">
    <w:abstractNumId w:val="227"/>
  </w:num>
  <w:num w:numId="360">
    <w:abstractNumId w:val="378"/>
  </w:num>
  <w:num w:numId="361">
    <w:abstractNumId w:val="349"/>
  </w:num>
  <w:num w:numId="362">
    <w:abstractNumId w:val="290"/>
  </w:num>
  <w:num w:numId="363">
    <w:abstractNumId w:val="289"/>
  </w:num>
  <w:num w:numId="364">
    <w:abstractNumId w:val="372"/>
  </w:num>
  <w:num w:numId="365">
    <w:abstractNumId w:val="302"/>
  </w:num>
  <w:num w:numId="366">
    <w:abstractNumId w:val="341"/>
  </w:num>
  <w:num w:numId="367">
    <w:abstractNumId w:val="212"/>
  </w:num>
  <w:num w:numId="368">
    <w:abstractNumId w:val="160"/>
  </w:num>
  <w:num w:numId="369">
    <w:abstractNumId w:val="374"/>
  </w:num>
  <w:numIdMacAtCleanup w:val="3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hideSpellingErrors/>
  <w:hideGrammaticalErrors/>
  <w:proofState w:grammar="clean"/>
  <w:defaultTabStop w:val="709"/>
  <w:hyphenationZone w:val="425"/>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EEF"/>
    <w:rsid w:val="0099351E"/>
    <w:rsid w:val="00F04EEF"/>
    <w:rsid w:val="00F42422"/>
  </w:rsids>
  <m:mathPr>
    <m:mathFont m:val="Cambria Math"/>
    <m:brkBin m:val="before"/>
    <m:brkBinSub m:val="--"/>
    <m:smallFrac m:val="0"/>
    <m:dispDef/>
    <m:lMargin m:val="0"/>
    <m:rMargin m:val="0"/>
    <m:defJc m:val="centerGroup"/>
    <m:wrapIndent m:val="1440"/>
    <m:intLim m:val="subSup"/>
    <m:naryLim m:val="undOvr"/>
  </m:mathPr>
  <w:themeFontLang w:val="fr-BE" w:bidi="he-I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47105"/>
    <o:shapelayout v:ext="edit">
      <o:idmap v:ext="edit" data="1"/>
    </o:shapelayout>
  </w:shapeDefaults>
  <w:decimalSymbol w:val=","/>
  <w:listSeparator w:val=";"/>
  <w15:docId w15:val="{175907FB-C958-4074-98EE-143DD1D12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Jenny1"/>
    <w:next w:val="Normal"/>
    <w:link w:val="Titre1Car"/>
    <w:qFormat/>
    <w:pPr>
      <w:outlineLvl w:val="0"/>
    </w:pPr>
  </w:style>
  <w:style w:type="paragraph" w:styleId="Titre2">
    <w:name w:val="heading 2"/>
    <w:basedOn w:val="Sansinterligne"/>
    <w:next w:val="Normal"/>
    <w:link w:val="Titre2Car1"/>
    <w:qFormat/>
    <w:pPr>
      <w:spacing w:before="120"/>
      <w:jc w:val="both"/>
      <w:outlineLvl w:val="1"/>
    </w:pPr>
    <w:rPr>
      <w:rFonts w:asciiTheme="majorHAnsi" w:hAnsiTheme="majorHAnsi"/>
      <w:b/>
      <w:smallCaps/>
      <w:sz w:val="44"/>
    </w:rPr>
  </w:style>
  <w:style w:type="paragraph" w:styleId="Titre3">
    <w:name w:val="heading 3"/>
    <w:basedOn w:val="Normal"/>
    <w:next w:val="Normal"/>
    <w:link w:val="Titre3Car2"/>
    <w:qFormat/>
    <w:pPr>
      <w:outlineLvl w:val="2"/>
    </w:pPr>
    <w:rPr>
      <w:b/>
      <w:sz w:val="24"/>
      <w:szCs w:val="24"/>
      <w:u w:val="single"/>
    </w:rPr>
  </w:style>
  <w:style w:type="paragraph" w:styleId="Titre4">
    <w:name w:val="heading 4"/>
    <w:basedOn w:val="Titre3"/>
    <w:next w:val="Normal"/>
    <w:link w:val="Titre4Car1"/>
    <w:autoRedefine/>
    <w:uiPriority w:val="99"/>
    <w:qFormat/>
    <w:pPr>
      <w:tabs>
        <w:tab w:val="left" w:pos="567"/>
      </w:tabs>
      <w:ind w:left="567"/>
      <w:jc w:val="both"/>
      <w:outlineLvl w:val="3"/>
    </w:pPr>
    <w:rPr>
      <w:sz w:val="22"/>
      <w:szCs w:val="22"/>
    </w:rPr>
  </w:style>
  <w:style w:type="paragraph" w:styleId="Titre5">
    <w:name w:val="heading 5"/>
    <w:basedOn w:val="Normal"/>
    <w:next w:val="2"/>
    <w:link w:val="Titre5Car1"/>
    <w:autoRedefine/>
    <w:qFormat/>
    <w:pPr>
      <w:tabs>
        <w:tab w:val="left" w:pos="1134"/>
      </w:tabs>
      <w:suppressAutoHyphens/>
      <w:ind w:left="1134"/>
      <w:jc w:val="both"/>
      <w:outlineLvl w:val="4"/>
    </w:pPr>
    <w:rPr>
      <w:rFonts w:eastAsia="Times New Roman" w:cs="Arial"/>
      <w:b/>
      <w:u w:val="single"/>
      <w:lang w:eastAsia="ar-SA"/>
    </w:rPr>
  </w:style>
  <w:style w:type="paragraph" w:styleId="Titre6">
    <w:name w:val="heading 6"/>
    <w:basedOn w:val="Normal"/>
    <w:next w:val="Normal"/>
    <w:link w:val="Titre6Car"/>
    <w:autoRedefine/>
    <w:uiPriority w:val="99"/>
    <w:qFormat/>
    <w:pPr>
      <w:tabs>
        <w:tab w:val="num" w:pos="0"/>
        <w:tab w:val="left" w:pos="1134"/>
        <w:tab w:val="num" w:pos="1701"/>
      </w:tabs>
      <w:suppressAutoHyphens/>
      <w:ind w:left="708" w:firstLine="993"/>
      <w:jc w:val="both"/>
      <w:outlineLvl w:val="5"/>
    </w:pPr>
    <w:rPr>
      <w:rFonts w:eastAsia="Times New Roman" w:cs="Arial"/>
      <w:b/>
      <w:szCs w:val="20"/>
      <w:u w:val="single"/>
      <w:lang w:eastAsia="ar-SA"/>
    </w:rPr>
  </w:style>
  <w:style w:type="paragraph" w:styleId="Titre7">
    <w:name w:val="heading 7"/>
    <w:basedOn w:val="Normal"/>
    <w:next w:val="Normal"/>
    <w:link w:val="Titre7Car"/>
    <w:autoRedefine/>
    <w:uiPriority w:val="99"/>
    <w:qFormat/>
    <w:pPr>
      <w:keepNext/>
      <w:tabs>
        <w:tab w:val="num" w:pos="0"/>
        <w:tab w:val="left" w:pos="567"/>
        <w:tab w:val="left" w:pos="962"/>
        <w:tab w:val="left" w:pos="1303"/>
        <w:tab w:val="left" w:pos="1586"/>
        <w:tab w:val="left" w:pos="1813"/>
        <w:tab w:val="left" w:pos="3967"/>
      </w:tabs>
      <w:suppressAutoHyphens/>
      <w:ind w:left="1303" w:hanging="736"/>
      <w:jc w:val="both"/>
      <w:outlineLvl w:val="6"/>
    </w:pPr>
    <w:rPr>
      <w:rFonts w:eastAsia="Times New Roman" w:cs="Arial"/>
      <w:b/>
      <w:szCs w:val="20"/>
      <w:u w:val="single"/>
      <w:lang w:eastAsia="ar-SA"/>
    </w:rPr>
  </w:style>
  <w:style w:type="paragraph" w:styleId="Titre8">
    <w:name w:val="heading 8"/>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jc w:val="both"/>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Theme="majorHAnsi" w:eastAsiaTheme="majorEastAsia" w:hAnsiTheme="majorHAns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Theme="majorHAnsi" w:eastAsiaTheme="majorEastAsia" w:hAnsiTheme="majorHAns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basedOn w:val="Policepardfaut"/>
    <w:link w:val="Titre2"/>
    <w:locked/>
    <w:rPr>
      <w:rFonts w:asciiTheme="majorHAnsi" w:eastAsiaTheme="minorEastAsia" w:hAnsiTheme="majorHAnsi"/>
      <w:b/>
      <w:smallCaps/>
      <w:sz w:val="44"/>
      <w:lang w:eastAsia="fr-BE"/>
    </w:rPr>
  </w:style>
  <w:style w:type="character" w:customStyle="1" w:styleId="Titre3Car2">
    <w:name w:val="Titre 3 Car2"/>
    <w:basedOn w:val="Policepardfaut"/>
    <w:link w:val="Titre3"/>
    <w:locked/>
    <w:rPr>
      <w:rFonts w:asciiTheme="majorHAnsi" w:hAnsiTheme="majorHAnsi"/>
      <w:b/>
      <w:sz w:val="24"/>
      <w:szCs w:val="24"/>
      <w:u w:val="single"/>
    </w:rPr>
  </w:style>
  <w:style w:type="character" w:customStyle="1" w:styleId="Titre4Car1">
    <w:name w:val="Titre 4 Car1"/>
    <w:basedOn w:val="Policepardfaut"/>
    <w:link w:val="Titre4"/>
    <w:uiPriority w:val="99"/>
    <w:locked/>
    <w:rPr>
      <w:rFonts w:asciiTheme="majorHAnsi" w:hAnsiTheme="majorHAnsi"/>
      <w:b/>
      <w:u w:val="single"/>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basedOn w:val="Policepardfaut"/>
    <w:link w:val="Titre5"/>
    <w:locked/>
    <w:rPr>
      <w:rFonts w:asciiTheme="majorHAnsi" w:eastAsia="Times New Roman" w:hAnsiTheme="majorHAnsi" w:cs="Arial"/>
      <w:b/>
      <w:u w:val="single"/>
      <w:lang w:eastAsia="ar-SA"/>
    </w:rPr>
  </w:style>
  <w:style w:type="character" w:customStyle="1" w:styleId="Titre6Car">
    <w:name w:val="Titre 6 Car"/>
    <w:basedOn w:val="Policepardfaut"/>
    <w:link w:val="Titre6"/>
    <w:uiPriority w:val="99"/>
    <w:rPr>
      <w:rFonts w:asciiTheme="majorHAnsi" w:eastAsia="Times New Roman" w:hAnsiTheme="majorHAnsi" w:cs="Arial"/>
      <w:b/>
      <w:szCs w:val="20"/>
      <w:u w:val="single"/>
      <w:lang w:eastAsia="ar-SA"/>
    </w:rPr>
  </w:style>
  <w:style w:type="character" w:customStyle="1" w:styleId="Titre7Car">
    <w:name w:val="Titre 7 Car"/>
    <w:basedOn w:val="Policepardfaut"/>
    <w:link w:val="Titre7"/>
    <w:uiPriority w:val="99"/>
    <w:rPr>
      <w:rFonts w:asciiTheme="majorHAnsi" w:eastAsia="Times New Roman" w:hAnsiTheme="majorHAnsi" w:cs="Arial"/>
      <w:b/>
      <w:szCs w:val="20"/>
      <w:u w:val="single"/>
      <w:lang w:eastAsia="ar-SA"/>
    </w:rPr>
  </w:style>
  <w:style w:type="character" w:customStyle="1" w:styleId="Titre8Car">
    <w:name w:val="Titre 8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uiPriority w:val="99"/>
    <w:pPr>
      <w:suppressAutoHyphens/>
    </w:pPr>
    <w:rPr>
      <w:rFonts w:ascii="Georgia" w:eastAsia="Times New Roman" w:hAnsi="Georgia" w:cs="Arial"/>
      <w:sz w:val="28"/>
      <w:szCs w:val="20"/>
      <w:lang w:eastAsia="ar-SA"/>
    </w:rPr>
  </w:style>
  <w:style w:type="paragraph" w:styleId="Corpsdetexte">
    <w:name w:val="Body Text"/>
    <w:basedOn w:val="Normal"/>
    <w:link w:val="CorpsdetexteCar1"/>
    <w:qFormat/>
    <w:pPr>
      <w:widowControl w:val="0"/>
      <w:suppressAutoHyphens/>
    </w:pPr>
    <w:rPr>
      <w:rFonts w:eastAsia="Times New Roman" w:cs="Arial"/>
      <w:b/>
      <w:szCs w:val="20"/>
      <w:lang w:eastAsia="ar-SA"/>
    </w:rPr>
  </w:style>
  <w:style w:type="character" w:customStyle="1" w:styleId="CorpsdetexteCar1">
    <w:name w:val="Corps de texte Car1"/>
    <w:basedOn w:val="Policepardfaut"/>
    <w:link w:val="Corpsdetexte"/>
    <w:rPr>
      <w:rFonts w:asciiTheme="majorHAnsi" w:eastAsia="Times New Roman" w:hAnsiTheme="majorHAnsi" w:cs="Arial"/>
      <w:b/>
      <w:szCs w:val="20"/>
      <w:lang w:eastAsia="ar-SA"/>
    </w:rPr>
  </w:style>
  <w:style w:type="character" w:customStyle="1" w:styleId="CorpsdetexteCar">
    <w:name w:val="Corps de texte Car"/>
    <w:basedOn w:val="Policepardfaut"/>
    <w:rPr>
      <w:rFonts w:asciiTheme="majorHAnsi" w:hAnsiTheme="majorHAns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Policepardfaut1"/>
    <w:rPr>
      <w:rFonts w:asciiTheme="majorHAnsi" w:hAnsiTheme="majorHAnsi" w:cs="Times New Roman"/>
      <w:sz w:val="16"/>
      <w:vertAlign w:val="superscript"/>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uiPriority w:val="99"/>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basedOn w:val="Policepardfaut"/>
    <w:uiPriority w:val="99"/>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uiPriority w:val="99"/>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jc w:val="both"/>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rPr>
      <w:rFonts w:ascii="Times New Roman" w:eastAsia="Times New Roman" w:hAnsi="Times New Roman"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jc w:val="both"/>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jc w:val="both"/>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jc w:val="both"/>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jc w:val="both"/>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jc w:val="both"/>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jc w:val="both"/>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jc w:val="both"/>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jc w:val="both"/>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jc w:val="both"/>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jc w:val="both"/>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jc w:val="both"/>
    </w:pPr>
    <w:rPr>
      <w:rFonts w:eastAsia="Times New Roman" w:cs="Arial"/>
      <w:b/>
      <w:bCs/>
      <w:smallCaps/>
      <w:sz w:val="28"/>
      <w:szCs w:val="20"/>
      <w:lang w:eastAsia="ar-SA"/>
    </w:rPr>
  </w:style>
  <w:style w:type="paragraph" w:styleId="TM2">
    <w:name w:val="toc 2"/>
    <w:basedOn w:val="Normal"/>
    <w:next w:val="Normal"/>
    <w:uiPriority w:val="39"/>
    <w:pPr>
      <w:suppressAutoHyphens/>
      <w:jc w:val="both"/>
    </w:pPr>
    <w:rPr>
      <w:rFonts w:eastAsia="Times New Roman" w:cs="Arial"/>
      <w:b/>
      <w:iCs/>
      <w:szCs w:val="20"/>
      <w:lang w:eastAsia="ar-SA"/>
    </w:rPr>
  </w:style>
  <w:style w:type="paragraph" w:styleId="TM3">
    <w:name w:val="toc 3"/>
    <w:basedOn w:val="Normal"/>
    <w:next w:val="Normal"/>
    <w:uiPriority w:val="39"/>
    <w:pPr>
      <w:suppressAutoHyphens/>
      <w:jc w:val="both"/>
    </w:pPr>
    <w:rPr>
      <w:rFonts w:eastAsia="Times New Roman" w:cs="Arial"/>
      <w:szCs w:val="20"/>
      <w:lang w:eastAsia="ar-SA"/>
    </w:rPr>
  </w:style>
  <w:style w:type="paragraph" w:styleId="TM4">
    <w:name w:val="toc 4"/>
    <w:basedOn w:val="Normal"/>
    <w:next w:val="Normal"/>
    <w:uiPriority w:val="39"/>
    <w:pPr>
      <w:suppressAutoHyphens/>
      <w:ind w:left="709"/>
      <w:jc w:val="both"/>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jc w:val="both"/>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jc w:val="both"/>
    </w:pPr>
    <w:rPr>
      <w:rFonts w:ascii="Arial" w:hAnsi="Arial"/>
      <w:color w:val="000000"/>
      <w:sz w:val="16"/>
      <w:szCs w:val="16"/>
      <w:u w:val="single"/>
    </w:rPr>
  </w:style>
  <w:style w:type="paragraph" w:styleId="Notedebasdepage">
    <w:name w:val="footnote text"/>
    <w:basedOn w:val="Normal"/>
    <w:link w:val="NotedebasdepageCar1"/>
    <w:autoRedefine/>
    <w:uiPriority w:val="99"/>
    <w:qFormat/>
    <w:pPr>
      <w:suppressAutoHyphens/>
      <w:jc w:val="both"/>
    </w:pPr>
    <w:rPr>
      <w:rFonts w:eastAsia="Times New Roman" w:cs="Arial"/>
      <w:sz w:val="16"/>
      <w:szCs w:val="16"/>
      <w:lang w:eastAsia="ar-SA"/>
    </w:rPr>
  </w:style>
  <w:style w:type="character" w:customStyle="1" w:styleId="NotedebasdepageCar1">
    <w:name w:val="Note de bas de page Car1"/>
    <w:basedOn w:val="Policepardfaut"/>
    <w:link w:val="Notedebasdepage"/>
    <w:uiPriority w:val="99"/>
    <w:rPr>
      <w:rFonts w:asciiTheme="majorHAnsi" w:eastAsia="Times New Roman" w:hAnsiTheme="majorHAnsi" w:cs="Arial"/>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jc w:val="both"/>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Times New Roman" w:eastAsia="Calibri" w:hAnsi="Times New Roman" w:cs="Arial"/>
      <w:color w:val="000000"/>
      <w:sz w:val="24"/>
      <w:szCs w:val="24"/>
      <w:lang w:val="fr-FR" w:eastAsia="ar-SA"/>
    </w:rPr>
  </w:style>
  <w:style w:type="paragraph" w:customStyle="1" w:styleId="ddxbook">
    <w:name w:val="ddxbook"/>
    <w:basedOn w:val="Normal"/>
    <w:uiPriority w:val="99"/>
    <w:pPr>
      <w:suppressAutoHyphens/>
      <w:jc w:val="both"/>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widowControl/>
      <w:spacing w:after="120"/>
      <w:ind w:firstLine="210"/>
    </w:pPr>
    <w:rPr>
      <w:b w:val="0"/>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jc w:val="left"/>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pPr>
      <w:ind w:left="0"/>
    </w:pPr>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pPr>
      <w:ind w:left="0"/>
    </w:pPr>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widowControl/>
      <w:spacing w:after="120"/>
      <w:jc w:val="both"/>
    </w:pPr>
    <w:rPr>
      <w:rFonts w:ascii="Arial" w:hAnsi="Arial"/>
      <w:b w:val="0"/>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uiPriority w:val="99"/>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smallCaps/>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5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jc w:val="both"/>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rPr>
      <w:rFonts w:cs="Times New Roman"/>
      <w:sz w:val="16"/>
      <w:szCs w:val="16"/>
    </w:rPr>
  </w:style>
  <w:style w:type="paragraph" w:styleId="Commentaire">
    <w:name w:val="annotation text"/>
    <w:basedOn w:val="Normal"/>
    <w:link w:val="CommentaireCar"/>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ascii="Calibri" w:eastAsia="Times New Roman" w:hAnsi="Calibri"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72"/>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ascii="Times New Roman" w:eastAsia="Times New Roman" w:hAnsi="Times New Roman" w:cs="Times New Roman"/>
      <w:sz w:val="24"/>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261"/>
      </w:numPr>
    </w:pPr>
  </w:style>
  <w:style w:type="character" w:customStyle="1" w:styleId="apple-converted-space">
    <w:name w:val="apple-converted-space"/>
    <w:basedOn w:val="Policepardfaut"/>
  </w:style>
  <w:style w:type="character" w:customStyle="1" w:styleId="ParagraphedelisteCar">
    <w:name w:val="Paragraphe de liste Car"/>
    <w:aliases w:val="Bullet 1 Car,Liste Niveau 1 Car"/>
    <w:link w:val="Paragraphedeliste"/>
    <w:uiPriority w:val="34"/>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277"/>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Chapitre"/>
    <w:autoRedefine/>
    <w:qFormat/>
    <w:pPr>
      <w:numPr>
        <w:ilvl w:val="1"/>
      </w:numPr>
      <w:tabs>
        <w:tab w:val="num" w:pos="360"/>
      </w:tabs>
      <w:spacing w:before="360" w:after="240"/>
    </w:pPr>
    <w:rPr>
      <w:sz w:val="24"/>
      <w:u w:val="single"/>
    </w:r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
    <w:name w:val="Table Normal"/>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17097152">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90215153">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0604612">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657223395">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09371698">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28908293">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959409505">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995305736">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86748284">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90668340">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83969875">
      <w:bodyDiv w:val="1"/>
      <w:marLeft w:val="0"/>
      <w:marRight w:val="0"/>
      <w:marTop w:val="0"/>
      <w:marBottom w:val="0"/>
      <w:divBdr>
        <w:top w:val="none" w:sz="0" w:space="0" w:color="auto"/>
        <w:left w:val="none" w:sz="0" w:space="0" w:color="auto"/>
        <w:bottom w:val="none" w:sz="0" w:space="0" w:color="auto"/>
        <w:right w:val="none" w:sz="0" w:space="0" w:color="auto"/>
      </w:divBdr>
    </w:div>
    <w:div w:id="1700624304">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17463736">
      <w:bodyDiv w:val="1"/>
      <w:marLeft w:val="0"/>
      <w:marRight w:val="0"/>
      <w:marTop w:val="0"/>
      <w:marBottom w:val="0"/>
      <w:divBdr>
        <w:top w:val="none" w:sz="0" w:space="0" w:color="auto"/>
        <w:left w:val="none" w:sz="0" w:space="0" w:color="auto"/>
        <w:bottom w:val="none" w:sz="0" w:space="0" w:color="auto"/>
        <w:right w:val="none" w:sz="0" w:space="0" w:color="auto"/>
      </w:divBdr>
    </w:div>
    <w:div w:id="1733889043">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1973628493">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jpeg"/><Relationship Id="rId299" Type="http://schemas.openxmlformats.org/officeDocument/2006/relationships/hyperlink" Target="http://www.gallilex.cfwb.be/document/pdf/28737_031.pdf" TargetMode="External"/><Relationship Id="rId21" Type="http://schemas.openxmlformats.org/officeDocument/2006/relationships/hyperlink" Target="http://www.gallilex.cfwb.be/document/pdf/10450_004.pdf" TargetMode="External"/><Relationship Id="rId63" Type="http://schemas.openxmlformats.org/officeDocument/2006/relationships/hyperlink" Target="http://www.droitbelge.be/fiches_detail.asp?idcat=36&amp;id=318" TargetMode="External"/><Relationship Id="rId159" Type="http://schemas.openxmlformats.org/officeDocument/2006/relationships/hyperlink" Target="http://www.gallilex.cfwb.be/document/pdf/28737_022.pdf" TargetMode="External"/><Relationship Id="rId324" Type="http://schemas.openxmlformats.org/officeDocument/2006/relationships/hyperlink" Target="http://www.gallilex.cfwb.be/document/pdf/45059_000.pdf" TargetMode="External"/><Relationship Id="rId366" Type="http://schemas.openxmlformats.org/officeDocument/2006/relationships/hyperlink" Target="mailto:courrier@le-mediateur.be" TargetMode="External"/><Relationship Id="rId170" Type="http://schemas.openxmlformats.org/officeDocument/2006/relationships/hyperlink" Target="http://www.gallilex.cfwb.be/document/pdf/21557_000.pdf" TargetMode="External"/><Relationship Id="rId226" Type="http://schemas.openxmlformats.org/officeDocument/2006/relationships/hyperlink" Target="http://www.gallilex.cfwb.be/document/pdf/28737_031.pdf" TargetMode="External"/><Relationship Id="rId268" Type="http://schemas.openxmlformats.org/officeDocument/2006/relationships/hyperlink" Target="mailto:nathalie.dujardin@cfwb.be" TargetMode="External"/><Relationship Id="rId11" Type="http://schemas.openxmlformats.org/officeDocument/2006/relationships/hyperlink" Target="http://www.adm.cfwb.be/" TargetMode="External"/><Relationship Id="rId32" Type="http://schemas.openxmlformats.org/officeDocument/2006/relationships/hyperlink" Target="http://www.ejustice.just.fgov.be/cgi_loi/change_lg.pl?language=fr&amp;la=F&amp;table_name=loi&amp;cn=1808111730" TargetMode="External"/><Relationship Id="rId53" Type="http://schemas.openxmlformats.org/officeDocument/2006/relationships/hyperlink" Target="http://www.gallilex.cfwb.be/document/pdf/21557_000.pdf" TargetMode="External"/><Relationship Id="rId74" Type="http://schemas.openxmlformats.org/officeDocument/2006/relationships/hyperlink" Target="http://www.gallilex.cfwb.be/document/pdf/11328_000.pdf" TargetMode="External"/><Relationship Id="rId128" Type="http://schemas.openxmlformats.org/officeDocument/2006/relationships/hyperlink" Target="mailto:enseignement_specialise@cfwb.be" TargetMode="External"/><Relationship Id="rId149" Type="http://schemas.openxmlformats.org/officeDocument/2006/relationships/hyperlink" Target="http://www.enseignement.be/index.php?page=26823&amp;do_id=7411" TargetMode="External"/><Relationship Id="rId314" Type="http://schemas.openxmlformats.org/officeDocument/2006/relationships/hyperlink" Target="http://www.gallilex.cfwb.be/document/pdf/21557_000.pdf" TargetMode="External"/><Relationship Id="rId335" Type="http://schemas.openxmlformats.org/officeDocument/2006/relationships/hyperlink" Target="http://www.gallilex.cfwb.be/document/pdf/41372_000.pdf" TargetMode="External"/><Relationship Id="rId356" Type="http://schemas.openxmlformats.org/officeDocument/2006/relationships/hyperlink" Target="mailto:prenom.nom@cfwb.be" TargetMode="External"/><Relationship Id="rId377" Type="http://schemas.openxmlformats.org/officeDocument/2006/relationships/hyperlink" Target="http://www.gallilex.cfwb.be/document/pdf/37134_000.pdf" TargetMode="External"/><Relationship Id="rId398" Type="http://schemas.openxmlformats.org/officeDocument/2006/relationships/header" Target="header5.xml"/><Relationship Id="rId5" Type="http://schemas.openxmlformats.org/officeDocument/2006/relationships/settings" Target="settings.xml"/><Relationship Id="rId95" Type="http://schemas.openxmlformats.org/officeDocument/2006/relationships/hyperlink" Target="mailto:saj.liege@cfwb.be" TargetMode="External"/><Relationship Id="rId160" Type="http://schemas.openxmlformats.org/officeDocument/2006/relationships/hyperlink" Target="https://www.gallilex.cfwb.be/document/pdf/46287_000.pdf" TargetMode="External"/><Relationship Id="rId181" Type="http://schemas.openxmlformats.org/officeDocument/2006/relationships/hyperlink" Target="mailto:veronique.rombaut@cfwb.be" TargetMode="External"/><Relationship Id="rId216" Type="http://schemas.openxmlformats.org/officeDocument/2006/relationships/image" Target="media/image5.png"/><Relationship Id="rId237" Type="http://schemas.openxmlformats.org/officeDocument/2006/relationships/hyperlink" Target="http://www.enseignement.be/upload/circulaires/000000000002/FWB%20-%20Circulaire%204375%20(4592_20130404_161835).pdf" TargetMode="External"/><Relationship Id="rId402" Type="http://schemas.openxmlformats.org/officeDocument/2006/relationships/fontTable" Target="fontTable.xml"/><Relationship Id="rId258" Type="http://schemas.openxmlformats.org/officeDocument/2006/relationships/hyperlink" Target="mailto:veronique.rombaut@cfwb.be" TargetMode="External"/><Relationship Id="rId279" Type="http://schemas.openxmlformats.org/officeDocument/2006/relationships/hyperlink" Target="mailto:veronique.rombaut@cfwb.be" TargetMode="External"/><Relationship Id="rId22" Type="http://schemas.openxmlformats.org/officeDocument/2006/relationships/hyperlink" Target="http://www.gallilex.cfwb.be/document/pdf/28737_022.pdf" TargetMode="External"/><Relationship Id="rId43" Type="http://schemas.openxmlformats.org/officeDocument/2006/relationships/hyperlink" Target="http://www.gallilex.cfwb.be/document/pdf/09547_001.pdf" TargetMode="External"/><Relationship Id="rId64" Type="http://schemas.openxmlformats.org/officeDocument/2006/relationships/hyperlink" Target="http://www.gallilex.cfwb.be/document/pdf/28737_022.pdf" TargetMode="External"/><Relationship Id="rId118" Type="http://schemas.openxmlformats.org/officeDocument/2006/relationships/hyperlink" Target="mailto:paul-andre.leblanc@gov.cfwb.be" TargetMode="External"/><Relationship Id="rId139" Type="http://schemas.openxmlformats.org/officeDocument/2006/relationships/hyperlink" Target="mailto:veronique.rombaut@cfwb.be" TargetMode="External"/><Relationship Id="rId290" Type="http://schemas.openxmlformats.org/officeDocument/2006/relationships/hyperlink" Target="http://www.formulaire.cfwb.be/?declarationspn" TargetMode="External"/><Relationship Id="rId304" Type="http://schemas.openxmlformats.org/officeDocument/2006/relationships/hyperlink" Target="mailto:CQspecialise@cfwb.be" TargetMode="External"/><Relationship Id="rId325" Type="http://schemas.openxmlformats.org/officeDocument/2006/relationships/hyperlink" Target="https://wallex.wallonie.be/index.php?doc=29451&amp;rev=30976-20375" TargetMode="External"/><Relationship Id="rId346" Type="http://schemas.openxmlformats.org/officeDocument/2006/relationships/hyperlink" Target="mailto:denis.baton@cfwb.be" TargetMode="External"/><Relationship Id="rId367" Type="http://schemas.openxmlformats.org/officeDocument/2006/relationships/hyperlink" Target="http://www.gallilex.cfwb.be/document/pdf/31190_000.pdf" TargetMode="External"/><Relationship Id="rId388" Type="http://schemas.openxmlformats.org/officeDocument/2006/relationships/hyperlink" Target="http://www.gallilex.cfwb.be/document/pdf/40021_000.pdf" TargetMode="External"/><Relationship Id="rId85" Type="http://schemas.openxmlformats.org/officeDocument/2006/relationships/footer" Target="footer7.xml"/><Relationship Id="rId150" Type="http://schemas.openxmlformats.org/officeDocument/2006/relationships/hyperlink" Target="https://www.gallilex.cfwb.be/document/pdf/48192_000.pdf" TargetMode="External"/><Relationship Id="rId171" Type="http://schemas.openxmlformats.org/officeDocument/2006/relationships/hyperlink" Target="https://www.etaamb.be/fr/arrete-du-gouvernement-de-la-communaute-francaise-du-2_n2010029094.html" TargetMode="External"/><Relationship Id="rId192" Type="http://schemas.openxmlformats.org/officeDocument/2006/relationships/hyperlink" Target="https://www.gallilex.cfwb.be/document/pdf/05108_052.pdf" TargetMode="External"/><Relationship Id="rId206" Type="http://schemas.openxmlformats.org/officeDocument/2006/relationships/hyperlink" Target="mailto:integration_specialise@cfwb.be" TargetMode="External"/><Relationship Id="rId227" Type="http://schemas.openxmlformats.org/officeDocument/2006/relationships/hyperlink" Target="http://www.gallilex.cfwb.be/document/pdf/28737_022.pdf" TargetMode="External"/><Relationship Id="rId248" Type="http://schemas.openxmlformats.org/officeDocument/2006/relationships/hyperlink" Target="https://onderwijs.vlaanderen.be/" TargetMode="External"/><Relationship Id="rId269" Type="http://schemas.openxmlformats.org/officeDocument/2006/relationships/hyperlink" Target="mailto:nathalie.dujardin@cfwb.be" TargetMode="External"/><Relationship Id="rId12" Type="http://schemas.openxmlformats.org/officeDocument/2006/relationships/hyperlink" Target="http://www.gallilex.cfwb.be" TargetMode="External"/><Relationship Id="rId33" Type="http://schemas.openxmlformats.org/officeDocument/2006/relationships/hyperlink" Target="https://www.gallilex.cfwb.be/document/pdf/21557_042.pdf" TargetMode="External"/><Relationship Id="rId108" Type="http://schemas.openxmlformats.org/officeDocument/2006/relationships/hyperlink" Target="mailto:asbl.rebonds@gmail.com" TargetMode="External"/><Relationship Id="rId129" Type="http://schemas.openxmlformats.org/officeDocument/2006/relationships/hyperlink" Target="mailto:veronique.rombaut@cfwb.be" TargetMode="External"/><Relationship Id="rId280" Type="http://schemas.openxmlformats.org/officeDocument/2006/relationships/hyperlink" Target="mailto:christine.willems@cfwb.be" TargetMode="External"/><Relationship Id="rId315" Type="http://schemas.openxmlformats.org/officeDocument/2006/relationships/hyperlink" Target="http://www.gallilex.cfwb.be/document/pdf/17684_000.pdf" TargetMode="External"/><Relationship Id="rId336" Type="http://schemas.openxmlformats.org/officeDocument/2006/relationships/hyperlink" Target="http://www.gallilex.cfwb.be/document/pdf/21557_000.pdf" TargetMode="External"/><Relationship Id="rId357" Type="http://schemas.openxmlformats.org/officeDocument/2006/relationships/hyperlink" Target="mailto:CQspecialise@cfwb.be" TargetMode="External"/><Relationship Id="rId54" Type="http://schemas.openxmlformats.org/officeDocument/2006/relationships/hyperlink" Target="http://www.gallilex.cfwb.be/document/pdf/22229_008.pdf" TargetMode="External"/><Relationship Id="rId75" Type="http://schemas.openxmlformats.org/officeDocument/2006/relationships/hyperlink" Target="http://www.gallilex.cfwb.be/document/pdf/16630_000.pdf" TargetMode="External"/><Relationship Id="rId96" Type="http://schemas.openxmlformats.org/officeDocument/2006/relationships/hyperlink" Target="mailto:saj.marche@cfwb.be" TargetMode="External"/><Relationship Id="rId140" Type="http://schemas.openxmlformats.org/officeDocument/2006/relationships/hyperlink" Target="mailto:veronique.rombaut@cfwb.be" TargetMode="External"/><Relationship Id="rId161" Type="http://schemas.openxmlformats.org/officeDocument/2006/relationships/hyperlink" Target="http://www.gallilex.cfwb.be/document/pdf/34254_000.pdf" TargetMode="External"/><Relationship Id="rId182" Type="http://schemas.openxmlformats.org/officeDocument/2006/relationships/hyperlink" Target="http://www.gallilex.cfwb.be/document/pdf/09136_002.pdf" TargetMode="External"/><Relationship Id="rId217" Type="http://schemas.openxmlformats.org/officeDocument/2006/relationships/image" Target="media/image6.png"/><Relationship Id="rId378" Type="http://schemas.openxmlformats.org/officeDocument/2006/relationships/hyperlink" Target="http://www.gallilex.cfwb.be/document/pdf/38121_000.pdf" TargetMode="External"/><Relationship Id="rId399" Type="http://schemas.openxmlformats.org/officeDocument/2006/relationships/header" Target="header6.xml"/><Relationship Id="rId403"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hyperlink" Target="http://www.gallilex.cfwb.be/document/pdf/28737_031.pdf" TargetMode="External"/><Relationship Id="rId259" Type="http://schemas.openxmlformats.org/officeDocument/2006/relationships/hyperlink" Target="http://www.gallilex.cfwb.be/document/pdf/28737_031.pdf" TargetMode="External"/><Relationship Id="rId23" Type="http://schemas.openxmlformats.org/officeDocument/2006/relationships/hyperlink" Target="https://www.gallilex.cfwb.be/document/pdf/40870_000.pdf" TargetMode="External"/><Relationship Id="rId119" Type="http://schemas.openxmlformats.org/officeDocument/2006/relationships/hyperlink" Target="mailto:nathalie.dujardin@cfwb.be" TargetMode="External"/><Relationship Id="rId270" Type="http://schemas.openxmlformats.org/officeDocument/2006/relationships/hyperlink" Target="mailto:francis.vanremoortere@cfwb.be" TargetMode="External"/><Relationship Id="rId291" Type="http://schemas.openxmlformats.org/officeDocument/2006/relationships/hyperlink" Target="mailto:derogation.spn@cfwb.be" TargetMode="External"/><Relationship Id="rId305" Type="http://schemas.openxmlformats.org/officeDocument/2006/relationships/hyperlink" Target="mailto:caroline.depaepe@cfwb.be" TargetMode="External"/><Relationship Id="rId326" Type="http://schemas.openxmlformats.org/officeDocument/2006/relationships/hyperlink" Target="https://www.gallilex.cfwb.be/document/pdf/41372_000.pdf" TargetMode="External"/><Relationship Id="rId347" Type="http://schemas.openxmlformats.org/officeDocument/2006/relationships/hyperlink" Target="mailto:elodie.warnier@cfwb.be" TargetMode="External"/><Relationship Id="rId44" Type="http://schemas.openxmlformats.org/officeDocument/2006/relationships/hyperlink" Target="http://www.gallilex.cfwb.be/document/pdf/10886_000.pdf" TargetMode="External"/><Relationship Id="rId65" Type="http://schemas.openxmlformats.org/officeDocument/2006/relationships/hyperlink" Target="http://www.gallilex.cfwb.be/document/pdf/31007_000.pdf" TargetMode="External"/><Relationship Id="rId86" Type="http://schemas.openxmlformats.org/officeDocument/2006/relationships/header" Target="header3.xml"/><Relationship Id="rId130" Type="http://schemas.openxmlformats.org/officeDocument/2006/relationships/hyperlink" Target="mailto:veronique.rombaut@cfwb.be" TargetMode="External"/><Relationship Id="rId151" Type="http://schemas.openxmlformats.org/officeDocument/2006/relationships/hyperlink" Target="https://www.gallilex.cfwb.be/document/pdf/46758_000.pdf" TargetMode="External"/><Relationship Id="rId368" Type="http://schemas.openxmlformats.org/officeDocument/2006/relationships/hyperlink" Target="http://www.gallilex.cfwb.be/document/pdf/29261_000.pdf" TargetMode="External"/><Relationship Id="rId389" Type="http://schemas.openxmlformats.org/officeDocument/2006/relationships/hyperlink" Target="http://www.gallilex.cfwb.be/document/pdf/40024_000.pdf" TargetMode="External"/><Relationship Id="rId172" Type="http://schemas.openxmlformats.org/officeDocument/2006/relationships/hyperlink" Target="mailto:nathalie.dujardin@cfwb.be" TargetMode="External"/><Relationship Id="rId193" Type="http://schemas.openxmlformats.org/officeDocument/2006/relationships/hyperlink" Target="https://www.gallilex.cfwb.be/document/pdf/48192_000.pdf" TargetMode="External"/><Relationship Id="rId207" Type="http://schemas.openxmlformats.org/officeDocument/2006/relationships/hyperlink" Target="mailto:ecxxxxxx@adm.cfwb.be" TargetMode="External"/><Relationship Id="rId228" Type="http://schemas.openxmlformats.org/officeDocument/2006/relationships/hyperlink" Target="http://www.gallilex.cfwb.be/document/pdf/31929_003.pdf" TargetMode="External"/><Relationship Id="rId249" Type="http://schemas.openxmlformats.org/officeDocument/2006/relationships/header" Target="header4.xml"/><Relationship Id="rId13" Type="http://schemas.openxmlformats.org/officeDocument/2006/relationships/hyperlink" Target="http://www.enseignement.be/" TargetMode="External"/><Relationship Id="rId109" Type="http://schemas.openxmlformats.org/officeDocument/2006/relationships/hyperlink" Target="mailto:sens-sas@hotmail.com" TargetMode="External"/><Relationship Id="rId260" Type="http://schemas.openxmlformats.org/officeDocument/2006/relationships/hyperlink" Target="http://www.gallilex.cfwb.be/document/pdf/29067_000.pdf" TargetMode="External"/><Relationship Id="rId281" Type="http://schemas.openxmlformats.org/officeDocument/2006/relationships/hyperlink" Target="https://www.privacycommission.be/nl" TargetMode="External"/><Relationship Id="rId316" Type="http://schemas.openxmlformats.org/officeDocument/2006/relationships/hyperlink" Target="https://www.gallilex.cfwb.be/document/pdf/42686_002.pdf" TargetMode="External"/><Relationship Id="rId337" Type="http://schemas.openxmlformats.org/officeDocument/2006/relationships/hyperlink" Target="http://www.gallilex.cfwb.be/document/pdf/28737_031.pdf" TargetMode="External"/><Relationship Id="rId34" Type="http://schemas.openxmlformats.org/officeDocument/2006/relationships/hyperlink" Target="http://www.enseignement.be" TargetMode="External"/><Relationship Id="rId55" Type="http://schemas.openxmlformats.org/officeDocument/2006/relationships/hyperlink" Target="http://www.gallilex.cfwb.be/document/pdf/23710_000.pdf" TargetMode="External"/><Relationship Id="rId76" Type="http://schemas.openxmlformats.org/officeDocument/2006/relationships/footer" Target="footer1.xml"/><Relationship Id="rId97" Type="http://schemas.openxmlformats.org/officeDocument/2006/relationships/hyperlink" Target="mailto:saj.mons@cfwb.be" TargetMode="External"/><Relationship Id="rId120" Type="http://schemas.openxmlformats.org/officeDocument/2006/relationships/hyperlink" Target="mailto:nathalie.dujardin@cfwb.be" TargetMode="External"/><Relationship Id="rId141" Type="http://schemas.openxmlformats.org/officeDocument/2006/relationships/hyperlink" Target="http://www.gallilex.cfwb.be/document/pdf/28737_022.pdf" TargetMode="External"/><Relationship Id="rId358" Type="http://schemas.openxmlformats.org/officeDocument/2006/relationships/hyperlink" Target="mailto:gratuite.ensobligatoire@cfwb.be" TargetMode="External"/><Relationship Id="rId379" Type="http://schemas.openxmlformats.org/officeDocument/2006/relationships/hyperlink" Target="http://www.gallilex.cfwb.be/document/pdf/38213_000.pdf" TargetMode="External"/><Relationship Id="rId7" Type="http://schemas.openxmlformats.org/officeDocument/2006/relationships/footnotes" Target="footnotes.xml"/><Relationship Id="rId162" Type="http://schemas.openxmlformats.org/officeDocument/2006/relationships/hyperlink" Target="http://www.enseignement.be/index.php?page=26823&amp;do_id=7411" TargetMode="External"/><Relationship Id="rId183" Type="http://schemas.openxmlformats.org/officeDocument/2006/relationships/hyperlink" Target="http://www.ejustice.just.fgov.be/cgi/api2.pl?lg=fr&amp;pd=2012-11-30&amp;numac=2012029474" TargetMode="External"/><Relationship Id="rId218" Type="http://schemas.openxmlformats.org/officeDocument/2006/relationships/image" Target="media/image7.png"/><Relationship Id="rId239" Type="http://schemas.openxmlformats.org/officeDocument/2006/relationships/hyperlink" Target="http://www.gallilex.cfwb.be/document/pdf/10450_004.pdf" TargetMode="External"/><Relationship Id="rId390" Type="http://schemas.openxmlformats.org/officeDocument/2006/relationships/hyperlink" Target="http://www.gallilex.cfwb.be/document/pdf/40358_000.pdf" TargetMode="External"/><Relationship Id="rId250" Type="http://schemas.openxmlformats.org/officeDocument/2006/relationships/footer" Target="footer9.xml"/><Relationship Id="rId271" Type="http://schemas.openxmlformats.org/officeDocument/2006/relationships/hyperlink" Target="mailto:nathalie.dujardin@cfwb.be" TargetMode="External"/><Relationship Id="rId292" Type="http://schemas.openxmlformats.org/officeDocument/2006/relationships/hyperlink" Target="http://www.diplomatie.belgium.be" TargetMode="External"/><Relationship Id="rId306" Type="http://schemas.openxmlformats.org/officeDocument/2006/relationships/hyperlink" Target="http://www.am.cfwb.be" TargetMode="External"/><Relationship Id="rId24" Type="http://schemas.openxmlformats.org/officeDocument/2006/relationships/hyperlink" Target="http://www.am.cfwb.be/" TargetMode="External"/><Relationship Id="rId45" Type="http://schemas.openxmlformats.org/officeDocument/2006/relationships/hyperlink" Target="http://www.ejustice.just.fgov.be/cgi_loi/change_lg.pl?language=fr&amp;la=F&amp;cn=1990011930&amp;table_name=loi" TargetMode="External"/><Relationship Id="rId66" Type="http://schemas.openxmlformats.org/officeDocument/2006/relationships/hyperlink" Target="https://www.etaamb.be/fr/decret-du-05-fevrier-2009_n2009029183.html" TargetMode="External"/><Relationship Id="rId87" Type="http://schemas.openxmlformats.org/officeDocument/2006/relationships/footer" Target="footer8.xml"/><Relationship Id="rId110" Type="http://schemas.openxmlformats.org/officeDocument/2006/relationships/hyperlink" Target="mailto:sasauxsources@live.be" TargetMode="External"/><Relationship Id="rId131" Type="http://schemas.openxmlformats.org/officeDocument/2006/relationships/hyperlink" Target="mailto:veronique.rombaut@cfwb.be" TargetMode="External"/><Relationship Id="rId327" Type="http://schemas.openxmlformats.org/officeDocument/2006/relationships/hyperlink" Target="http://www.gallilex.cfwb.be/document/pdf/30867_000.pdf" TargetMode="External"/><Relationship Id="rId348" Type="http://schemas.openxmlformats.org/officeDocument/2006/relationships/hyperlink" Target="mailto:christine.petit-jean@cfwb.be" TargetMode="External"/><Relationship Id="rId369" Type="http://schemas.openxmlformats.org/officeDocument/2006/relationships/hyperlink" Target="http://www.gallilex.cfwb.be/document/pdf/31351_000.pdf" TargetMode="External"/><Relationship Id="rId152" Type="http://schemas.openxmlformats.org/officeDocument/2006/relationships/hyperlink" Target="https://www.gallilex.cfwb.be/document/pdf/47765_000.pdf" TargetMode="External"/><Relationship Id="rId173" Type="http://schemas.openxmlformats.org/officeDocument/2006/relationships/hyperlink" Target="http://www.enseignement.be/upload/circulaires/000000000002/4019_20111128_154403.pdf" TargetMode="External"/><Relationship Id="rId194" Type="http://schemas.openxmlformats.org/officeDocument/2006/relationships/hyperlink" Target="https://www.gallilex.cfwb.be/document/pdf/46758_000.pdf" TargetMode="External"/><Relationship Id="rId208" Type="http://schemas.openxmlformats.org/officeDocument/2006/relationships/hyperlink" Target="mailto:poxxxxxx@adm.cfwb.be" TargetMode="External"/><Relationship Id="rId229" Type="http://schemas.openxmlformats.org/officeDocument/2006/relationships/hyperlink" Target="http://www.gallilex.cfwb.be/document/pdf/31929_008.pdf" TargetMode="External"/><Relationship Id="rId380" Type="http://schemas.openxmlformats.org/officeDocument/2006/relationships/hyperlink" Target="http://www.gallilex.cfwb.be/document/pdf/38213_000.pdf" TargetMode="External"/><Relationship Id="rId240" Type="http://schemas.openxmlformats.org/officeDocument/2006/relationships/hyperlink" Target="http://www.gallilex.cfwb.be/document/pdf/28737_031.pdf" TargetMode="External"/><Relationship Id="rId261" Type="http://schemas.openxmlformats.org/officeDocument/2006/relationships/hyperlink" Target="http://www.gallilex.cfwb.be/document/pdf/34876_006.pdf" TargetMode="External"/><Relationship Id="rId14" Type="http://schemas.openxmlformats.org/officeDocument/2006/relationships/hyperlink" Target="http://www.enseignement.be/upload/circulaires/000000000003/FWB%20-%20Circulaire%207625%20(7878_20200624_165456).pdf" TargetMode="External"/><Relationship Id="rId35" Type="http://schemas.openxmlformats.org/officeDocument/2006/relationships/hyperlink" Target="http://www.enseignement.be/index.php?page=26823&amp;do_id=430" TargetMode="External"/><Relationship Id="rId56" Type="http://schemas.openxmlformats.org/officeDocument/2006/relationships/hyperlink" Target="http://www.gallilex.cfwb.be/document/pdf/28737_022.pdf" TargetMode="External"/><Relationship Id="rId77" Type="http://schemas.openxmlformats.org/officeDocument/2006/relationships/footer" Target="footer2.xml"/><Relationship Id="rId100" Type="http://schemas.openxmlformats.org/officeDocument/2006/relationships/hyperlink" Target="mailto:saj.tournai@cfwb.be" TargetMode="External"/><Relationship Id="rId282" Type="http://schemas.openxmlformats.org/officeDocument/2006/relationships/hyperlink" Target="https://www.privacycommission.be/nl" TargetMode="External"/><Relationship Id="rId317" Type="http://schemas.openxmlformats.org/officeDocument/2006/relationships/hyperlink" Target="http://www.gallilex.cfwb.be/document/pdf/30867_000.pdf" TargetMode="External"/><Relationship Id="rId338" Type="http://schemas.openxmlformats.org/officeDocument/2006/relationships/hyperlink" Target="http://www.gallilex.cfwb.be/document/pdf/39896_000.pdf" TargetMode="External"/><Relationship Id="rId359" Type="http://schemas.openxmlformats.org/officeDocument/2006/relationships/hyperlink" Target="mailto:exclusion-inscription@cfwb.be" TargetMode="External"/><Relationship Id="rId8" Type="http://schemas.openxmlformats.org/officeDocument/2006/relationships/endnotes" Target="endnotes.xml"/><Relationship Id="rId98" Type="http://schemas.openxmlformats.org/officeDocument/2006/relationships/hyperlink" Target="mailto:saj.namur@cfwb.be" TargetMode="External"/><Relationship Id="rId121" Type="http://schemas.openxmlformats.org/officeDocument/2006/relationships/image" Target="media/image3.png"/><Relationship Id="rId142" Type="http://schemas.openxmlformats.org/officeDocument/2006/relationships/hyperlink" Target="http://www.gallilex.cfwb.be/document/pdf/10330_000.pdf" TargetMode="External"/><Relationship Id="rId163" Type="http://schemas.openxmlformats.org/officeDocument/2006/relationships/hyperlink" Target="http://www.enseignement.be/index.php?page=26823&amp;do_id=7411" TargetMode="External"/><Relationship Id="rId184" Type="http://schemas.openxmlformats.org/officeDocument/2006/relationships/hyperlink" Target="http://www.gallilex.cfwb.be/document/pdf/12376_005.pdf" TargetMode="External"/><Relationship Id="rId219" Type="http://schemas.openxmlformats.org/officeDocument/2006/relationships/image" Target="media/image8.png"/><Relationship Id="rId370" Type="http://schemas.openxmlformats.org/officeDocument/2006/relationships/hyperlink" Target="http://www.gallilex.cfwb.be/document/pdf/31572_000.pdf" TargetMode="External"/><Relationship Id="rId391" Type="http://schemas.openxmlformats.org/officeDocument/2006/relationships/hyperlink" Target="http://www.gallilex.cfwb.be/document/pdf/40375_000.pdf" TargetMode="External"/><Relationship Id="rId230" Type="http://schemas.openxmlformats.org/officeDocument/2006/relationships/hyperlink" Target="http://www.enseignement.be/upload/circulaires/000000000003/FWB%20-%20Circulaire%206495%20(6739_20180116_113942).pdf" TargetMode="External"/><Relationship Id="rId251" Type="http://schemas.openxmlformats.org/officeDocument/2006/relationships/footer" Target="footer10.xml"/><Relationship Id="rId25" Type="http://schemas.openxmlformats.org/officeDocument/2006/relationships/hyperlink" Target="http://www.enseignement.be/index.php?page=26823&amp;do_id=5185" TargetMode="External"/><Relationship Id="rId46" Type="http://schemas.openxmlformats.org/officeDocument/2006/relationships/hyperlink" Target="http://www.gallilex.cfwb.be/document/pdf/16421_004.pdf" TargetMode="External"/><Relationship Id="rId67" Type="http://schemas.openxmlformats.org/officeDocument/2006/relationships/hyperlink" Target="http://www.gallilex.cfwb.be/document/pdf/39909_003.pdf" TargetMode="External"/><Relationship Id="rId272" Type="http://schemas.openxmlformats.org/officeDocument/2006/relationships/hyperlink" Target="mailto:pierre.fenaille@cfwb.be" TargetMode="External"/><Relationship Id="rId293" Type="http://schemas.openxmlformats.org/officeDocument/2006/relationships/hyperlink" Target="mailto:c1mail@diplobel.fed.be" TargetMode="External"/><Relationship Id="rId307" Type="http://schemas.openxmlformats.org/officeDocument/2006/relationships/hyperlink" Target="mailto:CQspecialise@cfwb.be" TargetMode="External"/><Relationship Id="rId328" Type="http://schemas.openxmlformats.org/officeDocument/2006/relationships/hyperlink" Target="https://www.gallilex.cfwb.be/document/pdf/41372_000.pdf" TargetMode="External"/><Relationship Id="rId349" Type="http://schemas.openxmlformats.org/officeDocument/2006/relationships/hyperlink" Target="mailto:yana.charlier@cfwb.be" TargetMode="External"/><Relationship Id="rId88" Type="http://schemas.openxmlformats.org/officeDocument/2006/relationships/hyperlink" Target="mailto:saj.arlon@cfwb.be" TargetMode="External"/><Relationship Id="rId111" Type="http://schemas.openxmlformats.org/officeDocument/2006/relationships/hyperlink" Target="http://www.sasauxsources.be/" TargetMode="External"/><Relationship Id="rId132" Type="http://schemas.openxmlformats.org/officeDocument/2006/relationships/hyperlink" Target="http://www.gallilex.cfwb.be/document/pdf/31929_003.pdf" TargetMode="External"/><Relationship Id="rId153" Type="http://schemas.openxmlformats.org/officeDocument/2006/relationships/hyperlink" Target="mailto:arlette.rusura@cfwb.be" TargetMode="External"/><Relationship Id="rId174" Type="http://schemas.openxmlformats.org/officeDocument/2006/relationships/hyperlink" Target="http://www.gallilex.cfwb.be/document/pdf/09136_002.pdf" TargetMode="External"/><Relationship Id="rId195" Type="http://schemas.openxmlformats.org/officeDocument/2006/relationships/hyperlink" Target="https://www.gallilex.cfwb.be/document/pdf/47765_000.pdf" TargetMode="External"/><Relationship Id="rId209" Type="http://schemas.openxmlformats.org/officeDocument/2006/relationships/hyperlink" Target="mailto:integration_specialise@cfwb.be" TargetMode="External"/><Relationship Id="rId360" Type="http://schemas.openxmlformats.org/officeDocument/2006/relationships/hyperlink" Target="mailto:inscription@cfwb.be" TargetMode="External"/><Relationship Id="rId381" Type="http://schemas.openxmlformats.org/officeDocument/2006/relationships/hyperlink" Target="http://www.gallilex.cfwb.be/document/pdf/38242_000.pdf" TargetMode="External"/><Relationship Id="rId220" Type="http://schemas.openxmlformats.org/officeDocument/2006/relationships/image" Target="media/image9.png"/><Relationship Id="rId241" Type="http://schemas.openxmlformats.org/officeDocument/2006/relationships/hyperlink" Target="http://www.enseignement.be/index.php?page=26823&amp;do_id=6750" TargetMode="External"/><Relationship Id="rId15" Type="http://schemas.openxmlformats.org/officeDocument/2006/relationships/hyperlink" Target="http://www.gallilex.cfwb.be/document/pdf/28737_022.pdf" TargetMode="External"/><Relationship Id="rId36" Type="http://schemas.openxmlformats.org/officeDocument/2006/relationships/hyperlink" Target="http://www.gallilex.cfwb.be/document/pdf/05108_013.pdf" TargetMode="External"/><Relationship Id="rId57" Type="http://schemas.openxmlformats.org/officeDocument/2006/relationships/hyperlink" Target="http://www.gallilex.cfwb.be/document/pdf/08527_000.pdf" TargetMode="External"/><Relationship Id="rId262" Type="http://schemas.openxmlformats.org/officeDocument/2006/relationships/hyperlink" Target="mailto:nathalie.dujardin@cfwb.be" TargetMode="External"/><Relationship Id="rId283" Type="http://schemas.openxmlformats.org/officeDocument/2006/relationships/hyperlink" Target="https://www.privacycommission.be/nl" TargetMode="External"/><Relationship Id="rId318" Type="http://schemas.openxmlformats.org/officeDocument/2006/relationships/hyperlink" Target="http://www.gallilex.cfwb.be/document/pdf/38200_000.pdf" TargetMode="External"/><Relationship Id="rId339" Type="http://schemas.openxmlformats.org/officeDocument/2006/relationships/hyperlink" Target="http://reflex.raadvst-consetat.be/reflex/pdf/Mbbs/2014/08/28/128980.pdf" TargetMode="External"/><Relationship Id="rId78" Type="http://schemas.openxmlformats.org/officeDocument/2006/relationships/hyperlink" Target="mailto:exclusion-inscription@cfwb.be" TargetMode="External"/><Relationship Id="rId99" Type="http://schemas.openxmlformats.org/officeDocument/2006/relationships/hyperlink" Target="mailto:saj.neufchateau@cfwb.be" TargetMode="External"/><Relationship Id="rId101" Type="http://schemas.openxmlformats.org/officeDocument/2006/relationships/hyperlink" Target="mailto:info@sas-parenthese.be" TargetMode="External"/><Relationship Id="rId122" Type="http://schemas.openxmlformats.org/officeDocument/2006/relationships/image" Target="media/image4.png"/><Relationship Id="rId143" Type="http://schemas.openxmlformats.org/officeDocument/2006/relationships/hyperlink" Target="mailto:veronique.rombaut@cfwb.be" TargetMode="External"/><Relationship Id="rId164" Type="http://schemas.openxmlformats.org/officeDocument/2006/relationships/hyperlink" Target="http://www.gallilex.cfwb.be/document/pdf/28737_022.pdf" TargetMode="External"/><Relationship Id="rId185" Type="http://schemas.openxmlformats.org/officeDocument/2006/relationships/hyperlink" Target="https://www.gallilex.cfwb.be/document/pdf/46287_000.pdf" TargetMode="External"/><Relationship Id="rId350" Type="http://schemas.openxmlformats.org/officeDocument/2006/relationships/hyperlink" Target="mailto:laurie.martin@cfwb.be" TargetMode="External"/><Relationship Id="rId371" Type="http://schemas.openxmlformats.org/officeDocument/2006/relationships/hyperlink" Target="http://www.gallilex.cfwb.be/document/pdf/32742_000.pdf" TargetMode="External"/><Relationship Id="rId9" Type="http://schemas.openxmlformats.org/officeDocument/2006/relationships/image" Target="media/image1.gif"/><Relationship Id="rId210"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392" Type="http://schemas.openxmlformats.org/officeDocument/2006/relationships/hyperlink" Target="http://www.gallilex.cfwb.be/document/pdf/41372_000.pdf" TargetMode="External"/><Relationship Id="rId26" Type="http://schemas.openxmlformats.org/officeDocument/2006/relationships/hyperlink" Target="mailto:sas@cfwb.be" TargetMode="External"/><Relationship Id="rId231" Type="http://schemas.openxmlformats.org/officeDocument/2006/relationships/hyperlink" Target="mailto:benoit.deneire@cfwb.be" TargetMode="External"/><Relationship Id="rId252" Type="http://schemas.openxmlformats.org/officeDocument/2006/relationships/image" Target="media/image12.jpeg"/><Relationship Id="rId273" Type="http://schemas.openxmlformats.org/officeDocument/2006/relationships/hyperlink" Target="mailto:pierre.fenaille@cfwb.be" TargetMode="External"/><Relationship Id="rId294" Type="http://schemas.openxmlformats.org/officeDocument/2006/relationships/hyperlink" Target="mailto:accidents.travail.enseignement@cfwb.be" TargetMode="External"/><Relationship Id="rId308" Type="http://schemas.openxmlformats.org/officeDocument/2006/relationships/hyperlink" Target="mailto:CQspecialise@cfwb.be" TargetMode="External"/><Relationship Id="rId329" Type="http://schemas.openxmlformats.org/officeDocument/2006/relationships/hyperlink" Target="https://www.gallilex.cfwb.be/document/pdf/21557_053.pdf" TargetMode="External"/><Relationship Id="rId47" Type="http://schemas.openxmlformats.org/officeDocument/2006/relationships/hyperlink" Target="http://www.gallilex.cfwb.be/document/pdf/19052_000.pdf" TargetMode="External"/><Relationship Id="rId68" Type="http://schemas.openxmlformats.org/officeDocument/2006/relationships/hyperlink" Target="http://www.gallilex.cfwb.be/document/pdf/40870_000.pdf" TargetMode="External"/><Relationship Id="rId89" Type="http://schemas.openxmlformats.org/officeDocument/2006/relationships/hyperlink" Target="mailto:saj.bruxelles@cfwb.be" TargetMode="External"/><Relationship Id="rId112" Type="http://schemas.openxmlformats.org/officeDocument/2006/relationships/hyperlink" Target="mailto:emergenceaccueil@gmail.be" TargetMode="External"/><Relationship Id="rId133" Type="http://schemas.openxmlformats.org/officeDocument/2006/relationships/hyperlink" Target="http://www.gallilex.cfwb.be/document/pdf/31929_003.pdf" TargetMode="External"/><Relationship Id="rId154" Type="http://schemas.openxmlformats.org/officeDocument/2006/relationships/hyperlink" Target="mailto:sabrina.montante@cfwb.be" TargetMode="External"/><Relationship Id="rId175" Type="http://schemas.openxmlformats.org/officeDocument/2006/relationships/hyperlink" Target="http://www.gallilex.cfwb.be/document/pdf/12376_005.pdf" TargetMode="External"/><Relationship Id="rId340" Type="http://schemas.openxmlformats.org/officeDocument/2006/relationships/hyperlink" Target="http://www.gallilex.cfwb.be/document/pdf/34307_001.pdf" TargetMode="External"/><Relationship Id="rId361" Type="http://schemas.openxmlformats.org/officeDocument/2006/relationships/hyperlink" Target="mailto:mediationscolaire@cfwb.be" TargetMode="External"/><Relationship Id="rId196" Type="http://schemas.openxmlformats.org/officeDocument/2006/relationships/hyperlink" Target="http://www.gallilex.cfwb.be/document/pdf/28737_022.pdf" TargetMode="External"/><Relationship Id="rId200" Type="http://schemas.openxmlformats.org/officeDocument/2006/relationships/hyperlink" Target="http://www.enseignement.be/index.php?page=26823&amp;do_id=6180" TargetMode="External"/><Relationship Id="rId382" Type="http://schemas.openxmlformats.org/officeDocument/2006/relationships/hyperlink" Target="http://www.gallilex.cfwb.be/document/pdf/38756_000.pdf" TargetMode="External"/><Relationship Id="rId16" Type="http://schemas.openxmlformats.org/officeDocument/2006/relationships/hyperlink" Target="http://www.gallilex.cfwb.be/document/pdf/28737_022.pdf" TargetMode="External"/><Relationship Id="rId221" Type="http://schemas.openxmlformats.org/officeDocument/2006/relationships/image" Target="media/image10.png"/><Relationship Id="rId242" Type="http://schemas.openxmlformats.org/officeDocument/2006/relationships/hyperlink" Target="http://www.gallilex.cfwb.be/document/pdf/28737_031.pdf" TargetMode="External"/><Relationship Id="rId263" Type="http://schemas.openxmlformats.org/officeDocument/2006/relationships/hyperlink" Target="mailto:nathalie.dujardin@cfwb.be" TargetMode="External"/><Relationship Id="rId284" Type="http://schemas.openxmlformats.org/officeDocument/2006/relationships/hyperlink" Target="http://www.ikbeslis.be/" TargetMode="External"/><Relationship Id="rId319" Type="http://schemas.openxmlformats.org/officeDocument/2006/relationships/hyperlink" Target="mailto:CQspecialise@cfwb.be" TargetMode="External"/><Relationship Id="rId37" Type="http://schemas.openxmlformats.org/officeDocument/2006/relationships/hyperlink" Target="http://www.gallilex.cfwb.be/document/pdf/21557_000.pdf" TargetMode="External"/><Relationship Id="rId58" Type="http://schemas.openxmlformats.org/officeDocument/2006/relationships/hyperlink" Target="http://www.gallilex.cfwb.be/document/pdf/10450_004.pdf" TargetMode="External"/><Relationship Id="rId79" Type="http://schemas.openxmlformats.org/officeDocument/2006/relationships/footer" Target="footer3.xml"/><Relationship Id="rId102" Type="http://schemas.openxmlformats.org/officeDocument/2006/relationships/hyperlink" Target="mailto:frederic.duprez@compas-format.eu" TargetMode="External"/><Relationship Id="rId123" Type="http://schemas.openxmlformats.org/officeDocument/2006/relationships/hyperlink" Target="https://www.gallilex.cfwb.be/document/pdf/28737_043.pdf" TargetMode="External"/><Relationship Id="rId144" Type="http://schemas.openxmlformats.org/officeDocument/2006/relationships/hyperlink" Target="mailto:veronique.rombaut@cfwb.be" TargetMode="External"/><Relationship Id="rId330" Type="http://schemas.openxmlformats.org/officeDocument/2006/relationships/hyperlink" Target="https://www.gallilex.cfwb.be/document/pdf/16421_017.pdf" TargetMode="External"/><Relationship Id="rId90" Type="http://schemas.openxmlformats.org/officeDocument/2006/relationships/hyperlink" Target="mailto:saj.charleroi@cfwb.be" TargetMode="External"/><Relationship Id="rId165" Type="http://schemas.openxmlformats.org/officeDocument/2006/relationships/hyperlink" Target="mailto:veronique.rombaut@cfwb.be" TargetMode="External"/><Relationship Id="rId186" Type="http://schemas.openxmlformats.org/officeDocument/2006/relationships/hyperlink" Target="https://www.gallilex.cfwb.be/document/pdf/48192_000.pdf" TargetMode="External"/><Relationship Id="rId351" Type="http://schemas.openxmlformats.org/officeDocument/2006/relationships/hyperlink" Target="mailto:dina.petit@cfwb.be" TargetMode="External"/><Relationship Id="rId372" Type="http://schemas.openxmlformats.org/officeDocument/2006/relationships/hyperlink" Target="http://www.gallilex.cfwb.be/document/pdf/32818_000.pdf" TargetMode="External"/><Relationship Id="rId393" Type="http://schemas.openxmlformats.org/officeDocument/2006/relationships/hyperlink" Target="http://www.gallilex.cfwb.be/document/pdf/41623_000.pdf" TargetMode="External"/><Relationship Id="rId211" Type="http://schemas.openxmlformats.org/officeDocument/2006/relationships/hyperlink" Target="mailto:integration_specialise@cfwb.be" TargetMode="External"/><Relationship Id="rId232" Type="http://schemas.openxmlformats.org/officeDocument/2006/relationships/hyperlink" Target="mailto:carine.cosaro@cfwb.be" TargetMode="External"/><Relationship Id="rId253" Type="http://schemas.openxmlformats.org/officeDocument/2006/relationships/image" Target="media/image13.png"/><Relationship Id="rId274" Type="http://schemas.openxmlformats.org/officeDocument/2006/relationships/hyperlink" Target="mailto:pierre.fenaille@cfwb.be" TargetMode="External"/><Relationship Id="rId295" Type="http://schemas.openxmlformats.org/officeDocument/2006/relationships/hyperlink" Target="mailto:cej_juridique@cfwb.be" TargetMode="External"/><Relationship Id="rId309" Type="http://schemas.openxmlformats.org/officeDocument/2006/relationships/hyperlink" Target="mailto:CQspecialise@cfwb.be" TargetMode="External"/><Relationship Id="rId27" Type="http://schemas.openxmlformats.org/officeDocument/2006/relationships/hyperlink" Target="http://www.gallilex.cfwb.be/document/pdf/10450_004.pdf" TargetMode="External"/><Relationship Id="rId48" Type="http://schemas.openxmlformats.org/officeDocument/2006/relationships/hyperlink" Target="http://www.gallilex.cfwb.be/document/pdf/28737_022.pdf" TargetMode="External"/><Relationship Id="rId69" Type="http://schemas.openxmlformats.org/officeDocument/2006/relationships/hyperlink" Target="http://www.gallilex.cfwb.be/document/pdf/21557_000.pdf" TargetMode="External"/><Relationship Id="rId113" Type="http://schemas.openxmlformats.org/officeDocument/2006/relationships/hyperlink" Target="mailto:sas-ho@live.be" TargetMode="External"/><Relationship Id="rId134" Type="http://schemas.openxmlformats.org/officeDocument/2006/relationships/hyperlink" Target="https://www.gallilex.cfwb.be/document/pdf/42156_001.pdf" TargetMode="External"/><Relationship Id="rId320" Type="http://schemas.openxmlformats.org/officeDocument/2006/relationships/hyperlink" Target="http://www.gallilex.cfwb.be/document/pdf/37913_006.pdf" TargetMode="External"/><Relationship Id="rId80" Type="http://schemas.openxmlformats.org/officeDocument/2006/relationships/footer" Target="footer4.xml"/><Relationship Id="rId155" Type="http://schemas.openxmlformats.org/officeDocument/2006/relationships/hyperlink" Target="http://www.enseignement.be/upload/circulaires/000000000003/FWB%20-%20Circulaire%206279%20(6514_20170712_091732).pdf" TargetMode="External"/><Relationship Id="rId176" Type="http://schemas.openxmlformats.org/officeDocument/2006/relationships/hyperlink" Target="http://www.ejustice.just.fgov.be/cgi/api2.pl?lg=fr&amp;pd=2012-11-30&amp;numac=2012029474" TargetMode="External"/><Relationship Id="rId197" Type="http://schemas.openxmlformats.org/officeDocument/2006/relationships/hyperlink" Target="http://www.gallilex.cfwb.be/document/pdf/28737_022.pdf" TargetMode="External"/><Relationship Id="rId341" Type="http://schemas.openxmlformats.org/officeDocument/2006/relationships/hyperlink" Target="http://www.gallilex.cfwb.be/document/pdf/28737_031.pdf" TargetMode="External"/><Relationship Id="rId362" Type="http://schemas.openxmlformats.org/officeDocument/2006/relationships/hyperlink" Target="mailto:equipemobile@cfwb.be" TargetMode="External"/><Relationship Id="rId383" Type="http://schemas.openxmlformats.org/officeDocument/2006/relationships/hyperlink" Target="http://www.gallilex.cfwb.be/document/pdf/38779_000.pdf" TargetMode="External"/><Relationship Id="rId201" Type="http://schemas.openxmlformats.org/officeDocument/2006/relationships/hyperlink" Target="https://www.gallilex.cfwb.be/document/pdf/48192_000.pdf" TargetMode="External"/><Relationship Id="rId222" Type="http://schemas.openxmlformats.org/officeDocument/2006/relationships/hyperlink" Target="mailto:integration_specialise@cfwb.be" TargetMode="External"/><Relationship Id="rId243" Type="http://schemas.openxmlformats.org/officeDocument/2006/relationships/hyperlink" Target="http://www.enseignement.be/upload/circulaires/000000000003/FWB%20-%20Circulaire%206495%20(6739_20180116_113942).pdf" TargetMode="External"/><Relationship Id="rId264" Type="http://schemas.openxmlformats.org/officeDocument/2006/relationships/footer" Target="footer11.xml"/><Relationship Id="rId285" Type="http://schemas.openxmlformats.org/officeDocument/2006/relationships/hyperlink" Target="http://www.ikbeslis.be/" TargetMode="External"/><Relationship Id="rId17" Type="http://schemas.openxmlformats.org/officeDocument/2006/relationships/hyperlink" Target="mailto:obsi@cfwb.be" TargetMode="External"/><Relationship Id="rId38" Type="http://schemas.openxmlformats.org/officeDocument/2006/relationships/hyperlink" Target="http://www.gallilex.cfwb.be/document/pdf/11328_000.pdf" TargetMode="External"/><Relationship Id="rId59" Type="http://schemas.openxmlformats.org/officeDocument/2006/relationships/hyperlink" Target="http://www.accueil-transition.be/doc/decret.pdf" TargetMode="External"/><Relationship Id="rId103" Type="http://schemas.openxmlformats.org/officeDocument/2006/relationships/hyperlink" Target="http://www.compas-format.eu" TargetMode="External"/><Relationship Id="rId124" Type="http://schemas.openxmlformats.org/officeDocument/2006/relationships/hyperlink" Target="http://www.ejustice.just.fgov.be/cgi_loi/change_lg.pl?language=fr&amp;la=F&amp;table_name=loi&amp;cn=1975120131" TargetMode="External"/><Relationship Id="rId310" Type="http://schemas.openxmlformats.org/officeDocument/2006/relationships/hyperlink" Target="mailto:ecXXXXXX@adm.cfwb.be" TargetMode="External"/><Relationship Id="rId70" Type="http://schemas.openxmlformats.org/officeDocument/2006/relationships/hyperlink" Target="http://www.gallilex.cfwb.be/document/pdf/22835_000.pdf" TargetMode="External"/><Relationship Id="rId91" Type="http://schemas.openxmlformats.org/officeDocument/2006/relationships/hyperlink" Target="mailto:saj.dinant@cfwb.be" TargetMode="External"/><Relationship Id="rId145" Type="http://schemas.openxmlformats.org/officeDocument/2006/relationships/hyperlink" Target="mailto:veronique.rombaut@cfwb.be" TargetMode="External"/><Relationship Id="rId166" Type="http://schemas.openxmlformats.org/officeDocument/2006/relationships/hyperlink" Target="http://www.gallilex.cfwb.be/document/pdf/28737_022.pdf" TargetMode="External"/><Relationship Id="rId187" Type="http://schemas.openxmlformats.org/officeDocument/2006/relationships/hyperlink" Target="https://www.gallilex.cfwb.be/document/pdf/46758_000.pdf" TargetMode="External"/><Relationship Id="rId331" Type="http://schemas.openxmlformats.org/officeDocument/2006/relationships/hyperlink" Target="mailto:patrick.malcotte@cfwb.be" TargetMode="External"/><Relationship Id="rId352" Type="http://schemas.openxmlformats.org/officeDocument/2006/relationships/hyperlink" Target="mailto:damien.gillot@cfwb.be" TargetMode="External"/><Relationship Id="rId373" Type="http://schemas.openxmlformats.org/officeDocument/2006/relationships/hyperlink" Target="http://www.gallilex.cfwb.be/document/pdf/39337_000.pdf" TargetMode="External"/><Relationship Id="rId394" Type="http://schemas.openxmlformats.org/officeDocument/2006/relationships/hyperlink" Target="http://www.gallilex.cfwb.be/document/pdf/44256_000.pdf" TargetMode="External"/><Relationship Id="rId1" Type="http://schemas.openxmlformats.org/officeDocument/2006/relationships/customXml" Target="../customXml/item1.xml"/><Relationship Id="rId212" Type="http://schemas.openxmlformats.org/officeDocument/2006/relationships/hyperlink" Target="mailto:integration_specialise@cfwb.be" TargetMode="External"/><Relationship Id="rId233" Type="http://schemas.openxmlformats.org/officeDocument/2006/relationships/hyperlink" Target="mailto:marie-francoise.boulonne@cfwb.be" TargetMode="External"/><Relationship Id="rId254" Type="http://schemas.openxmlformats.org/officeDocument/2006/relationships/hyperlink" Target="http://www.gallilex.cfwb.be/document/pdf/05108_013.pdf" TargetMode="External"/><Relationship Id="rId28" Type="http://schemas.openxmlformats.org/officeDocument/2006/relationships/hyperlink" Target="http://www.gallilex.cfwb.be/document/pdf/21557_010.pdf" TargetMode="External"/><Relationship Id="rId49" Type="http://schemas.openxmlformats.org/officeDocument/2006/relationships/hyperlink" Target="http://www.gallilex.cfwb.be/document/pdf/33036_000.pdf" TargetMode="External"/><Relationship Id="rId114" Type="http://schemas.openxmlformats.org/officeDocument/2006/relationships/hyperlink" Target="http://www.sasho.be/?page_id=161" TargetMode="External"/><Relationship Id="rId275" Type="http://schemas.openxmlformats.org/officeDocument/2006/relationships/image" Target="media/image15.png"/><Relationship Id="rId296" Type="http://schemas.openxmlformats.org/officeDocument/2006/relationships/hyperlink" Target="http://www.formulaire.cfwb.be/?declarationspn" TargetMode="External"/><Relationship Id="rId300" Type="http://schemas.openxmlformats.org/officeDocument/2006/relationships/hyperlink" Target="http://www.gallilex.cfwb.be/document/pdf/21557_000.pdf" TargetMode="External"/><Relationship Id="rId60" Type="http://schemas.openxmlformats.org/officeDocument/2006/relationships/hyperlink" Target="http://www.gallilex.cfwb.be/document/pdf/21557_000.pdf" TargetMode="External"/><Relationship Id="rId81" Type="http://schemas.openxmlformats.org/officeDocument/2006/relationships/footer" Target="footer5.xml"/><Relationship Id="rId135" Type="http://schemas.openxmlformats.org/officeDocument/2006/relationships/hyperlink" Target="https://www.gallilex.cfwb.be/document/pdf/44572_000.pdf" TargetMode="External"/><Relationship Id="rId156" Type="http://schemas.openxmlformats.org/officeDocument/2006/relationships/hyperlink" Target="http://www.gallilex.cfwb.be/document/pdf/10164_007.pdf" TargetMode="External"/><Relationship Id="rId177" Type="http://schemas.openxmlformats.org/officeDocument/2006/relationships/hyperlink" Target="https://www.gallilex.cfwb.be/document/pdf/46287_000.pdf" TargetMode="External"/><Relationship Id="rId198" Type="http://schemas.openxmlformats.org/officeDocument/2006/relationships/hyperlink" Target="https://www.gallilex.cfwb.be/document/pdf/48192_000.pdf" TargetMode="External"/><Relationship Id="rId321" Type="http://schemas.openxmlformats.org/officeDocument/2006/relationships/hyperlink" Target="http://www.gallilex.cfwb.be/document/pdf/28737_031.pdf" TargetMode="External"/><Relationship Id="rId342" Type="http://schemas.openxmlformats.org/officeDocument/2006/relationships/hyperlink" Target="http://www.gallilex.cfwb.be/document/pdf/28737_031.pdf" TargetMode="External"/><Relationship Id="rId363" Type="http://schemas.openxmlformats.org/officeDocument/2006/relationships/hyperlink" Target="mailto:obsi@cfwb.be" TargetMode="External"/><Relationship Id="rId384" Type="http://schemas.openxmlformats.org/officeDocument/2006/relationships/hyperlink" Target="http://www.gallilex.cfwb.be/document/pdf/38846_000.pdf" TargetMode="External"/><Relationship Id="rId202" Type="http://schemas.openxmlformats.org/officeDocument/2006/relationships/hyperlink" Target="https://www.gallilex.cfwb.be/document/pdf/46758_000.pdf" TargetMode="External"/><Relationship Id="rId223" Type="http://schemas.openxmlformats.org/officeDocument/2006/relationships/image" Target="media/image11.png"/><Relationship Id="rId244" Type="http://schemas.openxmlformats.org/officeDocument/2006/relationships/hyperlink" Target="mailto:marie.bormann@cfwb.be" TargetMode="External"/><Relationship Id="rId18" Type="http://schemas.openxmlformats.org/officeDocument/2006/relationships/hyperlink" Target="http://www.gallilex.cfwb.be/document/pdf/28737_022.pdf" TargetMode="External"/><Relationship Id="rId39" Type="http://schemas.openxmlformats.org/officeDocument/2006/relationships/hyperlink" Target="http://www.gallilex.cfwb.be/document/pdf/16630_000.pdf" TargetMode="External"/><Relationship Id="rId265" Type="http://schemas.openxmlformats.org/officeDocument/2006/relationships/hyperlink" Target="mailto:nathalie.dujardin@cfwb.be" TargetMode="External"/><Relationship Id="rId286" Type="http://schemas.openxmlformats.org/officeDocument/2006/relationships/hyperlink" Target="mailto:cindy.juvenois@cfwb.be" TargetMode="External"/><Relationship Id="rId50" Type="http://schemas.openxmlformats.org/officeDocument/2006/relationships/hyperlink" Target="http://www.gallilex.cfwb.be/document/pdf/43608_000.pdf" TargetMode="External"/><Relationship Id="rId104" Type="http://schemas.openxmlformats.org/officeDocument/2006/relationships/hyperlink" Target="mailto:lesasbruxellesmidi@hotmail.com" TargetMode="External"/><Relationship Id="rId125" Type="http://schemas.openxmlformats.org/officeDocument/2006/relationships/hyperlink" Target="http://www.gallilex.cfwb.be/document/pdf/42892_000.pdf" TargetMode="External"/><Relationship Id="rId146" Type="http://schemas.openxmlformats.org/officeDocument/2006/relationships/hyperlink" Target="http://www.gallilex.cfwb.be/document/pdf/28737_022.pdf" TargetMode="External"/><Relationship Id="rId167" Type="http://schemas.openxmlformats.org/officeDocument/2006/relationships/hyperlink" Target="mailto:veronique.rombaut@cfwb.be" TargetMode="External"/><Relationship Id="rId188" Type="http://schemas.openxmlformats.org/officeDocument/2006/relationships/hyperlink" Target="https://www.gallilex.cfwb.be/document/pdf/47765_000.pdf" TargetMode="External"/><Relationship Id="rId311" Type="http://schemas.openxmlformats.org/officeDocument/2006/relationships/hyperlink" Target="http://www.gallilex.cfwb.be/fr/cir_res_01.php?ncda=30867&amp;referant=c01" TargetMode="External"/><Relationship Id="rId332" Type="http://schemas.openxmlformats.org/officeDocument/2006/relationships/hyperlink" Target="mailto:william.fuchs@cfwb.be" TargetMode="External"/><Relationship Id="rId353" Type="http://schemas.openxmlformats.org/officeDocument/2006/relationships/hyperlink" Target="mailto:valentine.salerni@cfwb.be" TargetMode="External"/><Relationship Id="rId374" Type="http://schemas.openxmlformats.org/officeDocument/2006/relationships/hyperlink" Target="http://www.gallilex.cfwb.be/document/pdf/33176_000.pdf" TargetMode="External"/><Relationship Id="rId395" Type="http://schemas.openxmlformats.org/officeDocument/2006/relationships/hyperlink" Target="http://www.gallilex.cfwb.be/document/pdf/44271_000.pdf" TargetMode="External"/><Relationship Id="rId71" Type="http://schemas.openxmlformats.org/officeDocument/2006/relationships/hyperlink" Target="http://www.gallilex.cfwb.be/document/pdf/32771_000.pdf" TargetMode="External"/><Relationship Id="rId92" Type="http://schemas.openxmlformats.org/officeDocument/2006/relationships/hyperlink" Target="mailto:saj.huy@cfwb.be" TargetMode="External"/><Relationship Id="rId213" Type="http://schemas.openxmlformats.org/officeDocument/2006/relationships/hyperlink" Target="mailto:enseignement_specialise@cfwb.be" TargetMode="External"/><Relationship Id="rId234" Type="http://schemas.openxmlformats.org/officeDocument/2006/relationships/hyperlink" Target="mailto:samantha.mathaey@cfwb.be" TargetMode="External"/><Relationship Id="rId2" Type="http://schemas.openxmlformats.org/officeDocument/2006/relationships/customXml" Target="../customXml/item2.xml"/><Relationship Id="rId29" Type="http://schemas.openxmlformats.org/officeDocument/2006/relationships/hyperlink" Target="https://www.gallilex.cfwb.be/fr/leg_res_02.php?ncda=39909&amp;referant=l02" TargetMode="External"/><Relationship Id="rId255" Type="http://schemas.openxmlformats.org/officeDocument/2006/relationships/hyperlink" Target="http://admin.segec.be/documents/5295.pdf" TargetMode="External"/><Relationship Id="rId276" Type="http://schemas.openxmlformats.org/officeDocument/2006/relationships/hyperlink" Target="http://www.am.cfwb.be/" TargetMode="External"/><Relationship Id="rId297" Type="http://schemas.openxmlformats.org/officeDocument/2006/relationships/hyperlink" Target="mailto:derogation.spn@cfwb.be" TargetMode="External"/><Relationship Id="rId40" Type="http://schemas.openxmlformats.org/officeDocument/2006/relationships/hyperlink" Target="http://www.enseignement.be/upload/circulaires/000000000003/FWB%20-%20Circulaire%207136%20(7380_20190517_105702).pdf" TargetMode="External"/><Relationship Id="rId115" Type="http://schemas.openxmlformats.org/officeDocument/2006/relationships/hyperlink" Target="mailto:carrefour.accueil@wol.be" TargetMode="External"/><Relationship Id="rId136" Type="http://schemas.openxmlformats.org/officeDocument/2006/relationships/hyperlink" Target="http://www.enseignement.be/index.php?page=26823&amp;do_id=6229" TargetMode="External"/><Relationship Id="rId157" Type="http://schemas.openxmlformats.org/officeDocument/2006/relationships/hyperlink" Target="http://www.enseignement.be/upload/circulaires/000000000001/1585_20060405140414.pdf" TargetMode="External"/><Relationship Id="rId178" Type="http://schemas.openxmlformats.org/officeDocument/2006/relationships/hyperlink" Target="https://www.gallilex.cfwb.be/document/pdf/48192_000.pdf" TargetMode="External"/><Relationship Id="rId301" Type="http://schemas.openxmlformats.org/officeDocument/2006/relationships/hyperlink" Target="http://www.gallilex.cfwb.be/document/pdf/17684_000.pdf" TargetMode="External"/><Relationship Id="rId322" Type="http://schemas.openxmlformats.org/officeDocument/2006/relationships/hyperlink" Target="http://www.gallilex.cfwb.be/document/pdf/17684_000.pdf" TargetMode="External"/><Relationship Id="rId343" Type="http://schemas.openxmlformats.org/officeDocument/2006/relationships/hyperlink" Target="http://www.gallilex.cfwb.be/document/pdf/42057_000.pdf" TargetMode="External"/><Relationship Id="rId364" Type="http://schemas.openxmlformats.org/officeDocument/2006/relationships/hyperlink" Target="mailto:obsi_inscription@cfwb.be" TargetMode="External"/><Relationship Id="rId61" Type="http://schemas.openxmlformats.org/officeDocument/2006/relationships/hyperlink" Target="https://www.gallilex.cfwb.be/document/pdf/42759_002.pdf" TargetMode="External"/><Relationship Id="rId82" Type="http://schemas.openxmlformats.org/officeDocument/2006/relationships/footer" Target="footer6.xml"/><Relationship Id="rId199" Type="http://schemas.openxmlformats.org/officeDocument/2006/relationships/hyperlink" Target="http://www.gallilex.cfwb.be/fr/leg_res_01.php?ncda=21557&amp;" TargetMode="External"/><Relationship Id="rId203" Type="http://schemas.openxmlformats.org/officeDocument/2006/relationships/hyperlink" Target="https://www.gallilex.cfwb.be/document/pdf/47765_000.pdf" TargetMode="External"/><Relationship Id="rId385" Type="http://schemas.openxmlformats.org/officeDocument/2006/relationships/hyperlink" Target="http://www.gallilex.cfwb.be/document/pdf/39317_000.pdf" TargetMode="External"/><Relationship Id="rId19" Type="http://schemas.openxmlformats.org/officeDocument/2006/relationships/hyperlink" Target="mailto:nathalie.dujardin@cfwb.be" TargetMode="External"/><Relationship Id="rId224"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45" Type="http://schemas.openxmlformats.org/officeDocument/2006/relationships/hyperlink" Target="mailto:natalia.molano-vasquez@cfwb.be" TargetMode="External"/><Relationship Id="rId266" Type="http://schemas.openxmlformats.org/officeDocument/2006/relationships/hyperlink" Target="mailto:nathalie.dujardin@cfwb.be" TargetMode="External"/><Relationship Id="rId287" Type="http://schemas.openxmlformats.org/officeDocument/2006/relationships/hyperlink" Target="http://enseignement.be/index.php?page=26545&amp;se_id=2245" TargetMode="External"/><Relationship Id="rId30" Type="http://schemas.openxmlformats.org/officeDocument/2006/relationships/hyperlink" Target="http://www.gallilex.cfwb.be/document/pdf/32742_000.pdf" TargetMode="External"/><Relationship Id="rId105" Type="http://schemas.openxmlformats.org/officeDocument/2006/relationships/hyperlink" Target="mailto:samuel.palladino@compas-format.eu" TargetMode="External"/><Relationship Id="rId126" Type="http://schemas.openxmlformats.org/officeDocument/2006/relationships/hyperlink" Target="http://www.enseignement.be/index.php?page=26823&amp;do_id=6229" TargetMode="External"/><Relationship Id="rId147" Type="http://schemas.openxmlformats.org/officeDocument/2006/relationships/hyperlink" Target="https://www.gallilex.cfwb.be/document/pdf/46287_000.pdf" TargetMode="External"/><Relationship Id="rId168" Type="http://schemas.openxmlformats.org/officeDocument/2006/relationships/hyperlink" Target="http://www.gallilex.cfwb.be/document/pdf/28737_022.pdf" TargetMode="External"/><Relationship Id="rId312" Type="http://schemas.openxmlformats.org/officeDocument/2006/relationships/hyperlink" Target="http://www.gallilex.cfwb.be/document/pdf/37913_001.pdf" TargetMode="External"/><Relationship Id="rId333" Type="http://schemas.openxmlformats.org/officeDocument/2006/relationships/hyperlink" Target="mailto:pierre.fenaille@cfwb.be" TargetMode="External"/><Relationship Id="rId354" Type="http://schemas.openxmlformats.org/officeDocument/2006/relationships/hyperlink" Target="mailto:aurore.bisconti@cfwb.be" TargetMode="External"/><Relationship Id="rId51" Type="http://schemas.openxmlformats.org/officeDocument/2006/relationships/hyperlink" Target="&#8226;%09D&#233;cret%20du%208%20juillet%202020%20portant%20diverses%20dispositions%20en%20mati&#232;re%20d&#8217;enseignement%20obligatoire%20relatives%20&#224;%20l&#8217;abaissement%20&#224;%20cinq%20ans%20de%20l&#8217;&#226;ge%20du%20d&#233;but%20de%20l&#8217;obligation%20scolaire" TargetMode="External"/><Relationship Id="rId72" Type="http://schemas.openxmlformats.org/officeDocument/2006/relationships/hyperlink" Target="http://www.gallilex.cfwb.be/document/pdf/05108_013.pdf" TargetMode="External"/><Relationship Id="rId93" Type="http://schemas.openxmlformats.org/officeDocument/2006/relationships/hyperlink" Target="mailto:saj.nivelles@cfwb.be" TargetMode="External"/><Relationship Id="rId189" Type="http://schemas.openxmlformats.org/officeDocument/2006/relationships/hyperlink" Target="mailto:veronique.rombaut@cfwb.be" TargetMode="External"/><Relationship Id="rId375" Type="http://schemas.openxmlformats.org/officeDocument/2006/relationships/hyperlink" Target="http://www.gallilex.cfwb.be/document/pdf/36833_000.pdf" TargetMode="External"/><Relationship Id="rId396" Type="http://schemas.openxmlformats.org/officeDocument/2006/relationships/hyperlink" Target="http://www.gallilex.cfwb.be/document/pdf/44272_000.pdf" TargetMode="External"/><Relationship Id="rId3" Type="http://schemas.openxmlformats.org/officeDocument/2006/relationships/numbering" Target="numbering.xml"/><Relationship Id="rId214" Type="http://schemas.openxmlformats.org/officeDocument/2006/relationships/hyperlink" Target="http://www.adm.cfwb.be/" TargetMode="External"/><Relationship Id="rId235" Type="http://schemas.openxmlformats.org/officeDocument/2006/relationships/hyperlink" Target="mailto:william.fuchs@cfwb.be" TargetMode="External"/><Relationship Id="rId256" Type="http://schemas.openxmlformats.org/officeDocument/2006/relationships/hyperlink" Target="http://www.gallilex.cfwb.be/document/pdf/09009_001.pdf" TargetMode="External"/><Relationship Id="rId277" Type="http://schemas.openxmlformats.org/officeDocument/2006/relationships/hyperlink" Target="http://www.enseignement.be/index.php?page=26823&amp;do_id=5912" TargetMode="External"/><Relationship Id="rId298" Type="http://schemas.openxmlformats.org/officeDocument/2006/relationships/hyperlink" Target="http://www.gallilex.cfwb.be/document/pdf/37913_001.pdf" TargetMode="External"/><Relationship Id="rId400" Type="http://schemas.openxmlformats.org/officeDocument/2006/relationships/footer" Target="footer12.xml"/><Relationship Id="rId116" Type="http://schemas.openxmlformats.org/officeDocument/2006/relationships/hyperlink" Target="mailto:asblsasbw@gmail.com" TargetMode="External"/><Relationship Id="rId137" Type="http://schemas.openxmlformats.org/officeDocument/2006/relationships/hyperlink" Target="https://www.gallilex.cfwb.be/document/pdf/42156_001.pdf" TargetMode="External"/><Relationship Id="rId158" Type="http://schemas.openxmlformats.org/officeDocument/2006/relationships/hyperlink" Target="mailto:veronique.rombaut@cfwb.be" TargetMode="External"/><Relationship Id="rId302" Type="http://schemas.openxmlformats.org/officeDocument/2006/relationships/hyperlink" Target="https://www.gallilex.cfwb.be/document/pdf/42686_002.pdf" TargetMode="External"/><Relationship Id="rId323" Type="http://schemas.openxmlformats.org/officeDocument/2006/relationships/hyperlink" Target="http://www.gallilex.cfwb.be/document/pdf/16421_011.pdf" TargetMode="External"/><Relationship Id="rId344" Type="http://schemas.openxmlformats.org/officeDocument/2006/relationships/hyperlink" Target="http://www.gallilex.cfwb.be/document/pdf/40098_000.pdf" TargetMode="External"/><Relationship Id="rId20" Type="http://schemas.openxmlformats.org/officeDocument/2006/relationships/hyperlink" Target="mailto:obsi@cfwb.be" TargetMode="External"/><Relationship Id="rId41" Type="http://schemas.openxmlformats.org/officeDocument/2006/relationships/hyperlink" Target="http://www.const-court.be/fr/textes_base/constitution_de_la_belgique.pdf" TargetMode="External"/><Relationship Id="rId62" Type="http://schemas.openxmlformats.org/officeDocument/2006/relationships/hyperlink" Target="http://www.gallilex.cfwb.be/document/pdf/30024_000.pdf" TargetMode="External"/><Relationship Id="rId83" Type="http://schemas.openxmlformats.org/officeDocument/2006/relationships/header" Target="header1.xml"/><Relationship Id="rId179" Type="http://schemas.openxmlformats.org/officeDocument/2006/relationships/hyperlink" Target="https://www.gallilex.cfwb.be/document/pdf/46758_000.pdf" TargetMode="External"/><Relationship Id="rId365" Type="http://schemas.openxmlformats.org/officeDocument/2006/relationships/hyperlink" Target="mailto:obsi@cfwb.be" TargetMode="External"/><Relationship Id="rId386" Type="http://schemas.openxmlformats.org/officeDocument/2006/relationships/hyperlink" Target="http://www.gallilex.cfwb.be/document/pdf/39337_000.pdf" TargetMode="External"/><Relationship Id="rId190" Type="http://schemas.openxmlformats.org/officeDocument/2006/relationships/hyperlink" Target="http://www.gallilex.cfwb.be/document/pdf/28737_022.pdf" TargetMode="External"/><Relationship Id="rId204" Type="http://schemas.openxmlformats.org/officeDocument/2006/relationships/hyperlink" Target="mailto:integration_specialise@cfwb.be" TargetMode="External"/><Relationship Id="rId225"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46" Type="http://schemas.openxmlformats.org/officeDocument/2006/relationships/hyperlink" Target="http://www.gallilex.cfwb.be/document/pdf/38242_000.pdf" TargetMode="External"/><Relationship Id="rId267" Type="http://schemas.openxmlformats.org/officeDocument/2006/relationships/hyperlink" Target="mailto:nathalie.dujardin@cfwb.be" TargetMode="External"/><Relationship Id="rId288" Type="http://schemas.openxmlformats.org/officeDocument/2006/relationships/hyperlink" Target="https://dofi.ibz.be/sites/dvzoe/FR/Guidedesprocedures/Pages/Voyagesscolaires.aspx" TargetMode="External"/><Relationship Id="rId106" Type="http://schemas.openxmlformats.org/officeDocument/2006/relationships/hyperlink" Target="http://www.seuil.be" TargetMode="External"/><Relationship Id="rId127" Type="http://schemas.openxmlformats.org/officeDocument/2006/relationships/hyperlink" Target="https://gallilex.cfwb.be/document/pdf/17443_000.pdf" TargetMode="External"/><Relationship Id="rId313" Type="http://schemas.openxmlformats.org/officeDocument/2006/relationships/hyperlink" Target="http://www.gallilex.cfwb.be/document/pdf/28737_031.pdf" TargetMode="External"/><Relationship Id="rId10" Type="http://schemas.openxmlformats.org/officeDocument/2006/relationships/image" Target="media/image1.jpeg"/><Relationship Id="rId31" Type="http://schemas.openxmlformats.org/officeDocument/2006/relationships/hyperlink" Target="http://www.gallilex.cfwb.be/document/pdf/21557_010.pdf" TargetMode="External"/><Relationship Id="rId52" Type="http://schemas.openxmlformats.org/officeDocument/2006/relationships/hyperlink" Target="http://www.gallilex.cfwb.be/document/pdf/10450_004.pdf" TargetMode="External"/><Relationship Id="rId73" Type="http://schemas.openxmlformats.org/officeDocument/2006/relationships/hyperlink" Target="http://www.gallilex.cfwb.be/document/pdf/21557_000.pdf" TargetMode="External"/><Relationship Id="rId94" Type="http://schemas.openxmlformats.org/officeDocument/2006/relationships/hyperlink" Target="mailto:saj.verviers@cfwb.be" TargetMode="External"/><Relationship Id="rId148" Type="http://schemas.openxmlformats.org/officeDocument/2006/relationships/hyperlink" Target="http://www.enseignement.be/index.php?page=26823&amp;do_id=1585" TargetMode="External"/><Relationship Id="rId169" Type="http://schemas.openxmlformats.org/officeDocument/2006/relationships/hyperlink" Target="http://www.gallilex.cfwb.be/document/pdf/28737_022.pdf" TargetMode="External"/><Relationship Id="rId334" Type="http://schemas.openxmlformats.org/officeDocument/2006/relationships/hyperlink" Target="mailto:CQspecialise@cfwb.be" TargetMode="External"/><Relationship Id="rId355" Type="http://schemas.openxmlformats.org/officeDocument/2006/relationships/hyperlink" Target="http://www.adm.cfwb.be" TargetMode="External"/><Relationship Id="rId376" Type="http://schemas.openxmlformats.org/officeDocument/2006/relationships/hyperlink" Target="http://www.gallilex.cfwb.be/document/pdf/36893_000.pdf" TargetMode="External"/><Relationship Id="rId397" Type="http://schemas.openxmlformats.org/officeDocument/2006/relationships/hyperlink" Target="http://www.enseignement.be/upload/circulaires/000000000003/FWB%20-%20Circulaire%207625%20(7878_20200624_165456).pdf" TargetMode="External"/><Relationship Id="rId4" Type="http://schemas.openxmlformats.org/officeDocument/2006/relationships/styles" Target="styles.xml"/><Relationship Id="rId180" Type="http://schemas.openxmlformats.org/officeDocument/2006/relationships/hyperlink" Target="https://www.gallilex.cfwb.be/document/pdf/47765_000.pdf" TargetMode="External"/><Relationship Id="rId215"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36" Type="http://schemas.openxmlformats.org/officeDocument/2006/relationships/hyperlink" Target="http://www.enseignement.be/index.php?page=26823&amp;do_id=6537" TargetMode="External"/><Relationship Id="rId257" Type="http://schemas.openxmlformats.org/officeDocument/2006/relationships/hyperlink" Target="http://www.gallilex.cfwb.be/document/pdf/05108_032.pdf" TargetMode="External"/><Relationship Id="rId278" Type="http://schemas.openxmlformats.org/officeDocument/2006/relationships/hyperlink" Target="http://www.enseignement.be/upload/circulaires/000000000002/FWB%20-%20Circulaire%205527%20(5758_20151214_141414).pdf" TargetMode="External"/><Relationship Id="rId401" Type="http://schemas.openxmlformats.org/officeDocument/2006/relationships/header" Target="header7.xml"/><Relationship Id="rId303" Type="http://schemas.openxmlformats.org/officeDocument/2006/relationships/hyperlink" Target="http://www.gallilex.cfwb.be/document/pdf/30867_000.pdf" TargetMode="External"/><Relationship Id="rId42" Type="http://schemas.openxmlformats.org/officeDocument/2006/relationships/hyperlink" Target="http://www.gallilex.cfwb.be/document/pdf/09676_000.pdf" TargetMode="External"/><Relationship Id="rId84" Type="http://schemas.openxmlformats.org/officeDocument/2006/relationships/header" Target="header2.xml"/><Relationship Id="rId138" Type="http://schemas.openxmlformats.org/officeDocument/2006/relationships/hyperlink" Target="mailto:veronique.rombaut@cfwb.be" TargetMode="External"/><Relationship Id="rId345" Type="http://schemas.openxmlformats.org/officeDocument/2006/relationships/hyperlink" Target="http://www.gallilex.cfwb.be/document/pdf/41628_000.pdf" TargetMode="External"/><Relationship Id="rId387" Type="http://schemas.openxmlformats.org/officeDocument/2006/relationships/hyperlink" Target="http://www.gallilex.cfwb.be/document/pdf/39948_000.pdf" TargetMode="External"/><Relationship Id="rId191" Type="http://schemas.openxmlformats.org/officeDocument/2006/relationships/hyperlink" Target="http://www.enseignement.be/upload/circulaires/000000000002/FWB%20-%20Circulaire%205088%20(5312_20141212_143547).pdf" TargetMode="External"/><Relationship Id="rId205" Type="http://schemas.openxmlformats.org/officeDocument/2006/relationships/hyperlink" Target="mailto:integration_specialise@cfwb.be" TargetMode="External"/><Relationship Id="rId247" Type="http://schemas.openxmlformats.org/officeDocument/2006/relationships/hyperlink" Target="http://www.dglive.be/desktopdefault.aspx/tabid345/711_read-11518/" TargetMode="External"/><Relationship Id="rId107" Type="http://schemas.openxmlformats.org/officeDocument/2006/relationships/hyperlink" Target="mailto:" TargetMode="External"/><Relationship Id="rId289" Type="http://schemas.openxmlformats.org/officeDocument/2006/relationships/hyperlink" Target="mailto:asile.administration@ibz.fgov.be"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www.gallilex.cfwb.be/document/pdf/34604_000.pdf" TargetMode="External"/><Relationship Id="rId18" Type="http://schemas.openxmlformats.org/officeDocument/2006/relationships/hyperlink" Target="https://www.gallilex.cfwb.be/document/pdf/39910_004.pdf" TargetMode="External"/><Relationship Id="rId26" Type="http://schemas.openxmlformats.org/officeDocument/2006/relationships/hyperlink" Target="http://www.gallilex.cfwb.be/document/pdf/32771_000.pdf" TargetMode="External"/><Relationship Id="rId39" Type="http://schemas.openxmlformats.org/officeDocument/2006/relationships/hyperlink" Target="http://www.ecoles.cfwb.be/arizel/Robin/axe-peda/2006-12.pdf" TargetMode="External"/><Relationship Id="rId21" Type="http://schemas.openxmlformats.org/officeDocument/2006/relationships/hyperlink" Target="http://www.gallilex.cfwb.be/document/pdf/39909_001.pdf" TargetMode="External"/><Relationship Id="rId34" Type="http://schemas.openxmlformats.org/officeDocument/2006/relationships/hyperlink" Target="http://www.gallilex.cfwb.be/fr/leg_res_01.php?ncda=40252&amp;referant=l01" TargetMode="External"/><Relationship Id="rId42" Type="http://schemas.openxmlformats.org/officeDocument/2006/relationships/hyperlink" Target="http://www.gallilex.cfwb.be/document/pdf/43608_000.pdf" TargetMode="External"/><Relationship Id="rId47" Type="http://schemas.openxmlformats.org/officeDocument/2006/relationships/hyperlink" Target="http://www.gallilex.cfwb.be/document/pdf/09676_000.pdf" TargetMode="External"/><Relationship Id="rId50" Type="http://schemas.openxmlformats.org/officeDocument/2006/relationships/hyperlink" Target="http://www.cfwb.be/aide-jeunesse/ct_amo.asp" TargetMode="External"/><Relationship Id="rId55" Type="http://schemas.openxmlformats.org/officeDocument/2006/relationships/hyperlink" Target="http://www.enseignement.be/upload/circulaires/000000000003/FWB%20-%20Circulaire%206275%20(6510_20170706_165234).pdf" TargetMode="External"/><Relationship Id="rId63" Type="http://schemas.openxmlformats.org/officeDocument/2006/relationships/hyperlink" Target="http://www.enseignement.be/index.php?page=26823&amp;do_id=6111" TargetMode="External"/><Relationship Id="rId68" Type="http://schemas.openxmlformats.org/officeDocument/2006/relationships/hyperlink" Target="http://www.enseignement.be/upload/circulaires/000000000002/FWB%20-%20Circulaire%204516%20(4739_20130829_093714).pdf" TargetMode="External"/><Relationship Id="rId7" Type="http://schemas.openxmlformats.org/officeDocument/2006/relationships/hyperlink" Target="https://www.gallilex.cfwb.be/document/pdf/43637_000.pdf" TargetMode="External"/><Relationship Id="rId2" Type="http://schemas.openxmlformats.org/officeDocument/2006/relationships/hyperlink" Target="http://www.gallilex.cfwb.be/document/pdf/21557_024.pdf" TargetMode="External"/><Relationship Id="rId16" Type="http://schemas.openxmlformats.org/officeDocument/2006/relationships/hyperlink" Target="https://www.gallilex.cfwb.be/document/pdf/46817_000.pdf" TargetMode="External"/><Relationship Id="rId29" Type="http://schemas.openxmlformats.org/officeDocument/2006/relationships/hyperlink" Target="http://www.enseignement.be/index.php?page=26823&amp;do_id=3997" TargetMode="External"/><Relationship Id="rId1" Type="http://schemas.openxmlformats.org/officeDocument/2006/relationships/hyperlink" Target="http://www.gallilex.cfwb.be/document/pdf/09676_000.pdf" TargetMode="External"/><Relationship Id="rId6" Type="http://schemas.openxmlformats.org/officeDocument/2006/relationships/hyperlink" Target="https://www.gallilex.cfwb.be/document/pdf/42686_002.pdf" TargetMode="External"/><Relationship Id="rId11" Type="http://schemas.openxmlformats.org/officeDocument/2006/relationships/hyperlink" Target="http://www.gallilex.cfwb.be/document/pdf/40870_000.pdf" TargetMode="External"/><Relationship Id="rId24" Type="http://schemas.openxmlformats.org/officeDocument/2006/relationships/hyperlink" Target="https://www.gallilex.cfwb.be/document/pdf/39910_004.pdf" TargetMode="External"/><Relationship Id="rId32" Type="http://schemas.openxmlformats.org/officeDocument/2006/relationships/hyperlink" Target="https://www.gallilex.cfwb.be/document/pdf/05108_052.pdf" TargetMode="External"/><Relationship Id="rId37" Type="http://schemas.openxmlformats.org/officeDocument/2006/relationships/hyperlink" Target="http://www.gallilex.cfwb.be/document/pdf/19052_000.pdf" TargetMode="External"/><Relationship Id="rId40" Type="http://schemas.openxmlformats.org/officeDocument/2006/relationships/hyperlink" Target="http://www.ejustice.just.fgov.be/cgi/api2.pl?lg=fr&amp;pd=2003-08-20&amp;numac=2003031400" TargetMode="External"/><Relationship Id="rId45" Type="http://schemas.openxmlformats.org/officeDocument/2006/relationships/hyperlink" Target="https://www.gallilex.cfwb.be/document/pdf/20215_000.pdf" TargetMode="External"/><Relationship Id="rId53" Type="http://schemas.openxmlformats.org/officeDocument/2006/relationships/hyperlink" Target="https://www.gallilex.cfwb.be/document/pdf/39909_006.pdf" TargetMode="External"/><Relationship Id="rId58" Type="http://schemas.openxmlformats.org/officeDocument/2006/relationships/hyperlink" Target="http://www.gallilex.cfwb.be/document/pdf/21557_010.pdf" TargetMode="External"/><Relationship Id="rId66" Type="http://schemas.openxmlformats.org/officeDocument/2006/relationships/hyperlink" Target="https://www.autoriteprotectiondonnees.be/canevas-de-registre-des-activites-de-traitement" TargetMode="External"/><Relationship Id="rId5" Type="http://schemas.openxmlformats.org/officeDocument/2006/relationships/hyperlink" Target="https://www.gallilex.cfwb.be/document/pdf/43637_000.pdf" TargetMode="External"/><Relationship Id="rId15" Type="http://schemas.openxmlformats.org/officeDocument/2006/relationships/hyperlink" Target="http://www.enseignement.be/index.php?page=26823&amp;do_id=3997" TargetMode="External"/><Relationship Id="rId23" Type="http://schemas.openxmlformats.org/officeDocument/2006/relationships/hyperlink" Target="http://www.enseignement.be/upload/circulaires/000000000002/4189_20120425_092922.pdf" TargetMode="External"/><Relationship Id="rId28" Type="http://schemas.openxmlformats.org/officeDocument/2006/relationships/hyperlink" Target="https://www.gallilex.cfwb.be/document/pdf/39909_001.pdf" TargetMode="External"/><Relationship Id="rId36" Type="http://schemas.openxmlformats.org/officeDocument/2006/relationships/hyperlink" Target="http://www.gallilex.cfwb.be/document/pdf/09547_001.pdf" TargetMode="External"/><Relationship Id="rId49" Type="http://schemas.openxmlformats.org/officeDocument/2006/relationships/hyperlink" Target="http://www.accueil-transition.be/doc/decret.pdf" TargetMode="External"/><Relationship Id="rId57" Type="http://schemas.openxmlformats.org/officeDocument/2006/relationships/hyperlink" Target="https://www.gallilex.cfwb.be/document/pdf/01608_009.pdf" TargetMode="External"/><Relationship Id="rId61" Type="http://schemas.openxmlformats.org/officeDocument/2006/relationships/hyperlink" Target="https://www.gallilex.cfwb.be/document/pdf/30975_000.pdf" TargetMode="External"/><Relationship Id="rId10" Type="http://schemas.openxmlformats.org/officeDocument/2006/relationships/hyperlink" Target="http://www.gallilex.cfwb.be/document/pdf/21557_000.pdf" TargetMode="External"/><Relationship Id="rId19" Type="http://schemas.openxmlformats.org/officeDocument/2006/relationships/hyperlink" Target="http://www.enseignement.be/index.php?page=26823&amp;do_id=5101" TargetMode="External"/><Relationship Id="rId31" Type="http://schemas.openxmlformats.org/officeDocument/2006/relationships/hyperlink" Target="http://www.infozone.be/" TargetMode="External"/><Relationship Id="rId44" Type="http://schemas.openxmlformats.org/officeDocument/2006/relationships/hyperlink" Target="http://www.gallilex.cfwb.be/document/pdf/28737_011.pdf" TargetMode="External"/><Relationship Id="rId52" Type="http://schemas.openxmlformats.org/officeDocument/2006/relationships/hyperlink" Target="https://www.gallilex.cfwb.be/document/pdf/21557_042.pdf" TargetMode="External"/><Relationship Id="rId60" Type="http://schemas.openxmlformats.org/officeDocument/2006/relationships/hyperlink" Target="https://www.gallilex.cfwb.be/document/pdf/28737_043.pdf" TargetMode="External"/><Relationship Id="rId65" Type="http://schemas.openxmlformats.org/officeDocument/2006/relationships/hyperlink" Target="https://eur-lex.europa.eu/legal-content/FR/TXT/HTML/?uri=CELEX:32016R0679&amp;from=EN" TargetMode="External"/><Relationship Id="rId4" Type="http://schemas.openxmlformats.org/officeDocument/2006/relationships/hyperlink" Target="http://www.gallilex.cfwb.be/document/pdf/31175_000.pdf" TargetMode="External"/><Relationship Id="rId9" Type="http://schemas.openxmlformats.org/officeDocument/2006/relationships/hyperlink" Target="http://www.enseignement.be/index.php?page=26823&amp;do_id=2949" TargetMode="External"/><Relationship Id="rId14" Type="http://schemas.openxmlformats.org/officeDocument/2006/relationships/hyperlink" Target="http://www.gallilex.cfwb.be/document/pdf/09676_000.pdf" TargetMode="External"/><Relationship Id="rId22" Type="http://schemas.openxmlformats.org/officeDocument/2006/relationships/hyperlink" Target="http://www.enseignement.be/index.php?page=26823&amp;do_id=2405" TargetMode="External"/><Relationship Id="rId27" Type="http://schemas.openxmlformats.org/officeDocument/2006/relationships/hyperlink" Target="http://www.enseignement.be/upload/circulaires/000000000001/2519_20080604092758.pdf" TargetMode="External"/><Relationship Id="rId30" Type="http://schemas.openxmlformats.org/officeDocument/2006/relationships/hyperlink" Target="http://www.ejustice.just.fgov.be/cgi_loi/change_lg.pl?language=fr&amp;la=F&amp;cn=2006070737&amp;table_name=loi" TargetMode="External"/><Relationship Id="rId35" Type="http://schemas.openxmlformats.org/officeDocument/2006/relationships/hyperlink" Target="http://www.gallilex.cfwb.be/document/pdf/09547_001.pdf" TargetMode="External"/><Relationship Id="rId43" Type="http://schemas.openxmlformats.org/officeDocument/2006/relationships/hyperlink" Target="http://www.gallilex.cfwb.be/document/pdf/28737_011.pdf" TargetMode="External"/><Relationship Id="rId48" Type="http://schemas.openxmlformats.org/officeDocument/2006/relationships/hyperlink" Target="https://www.ordomedic.be/fr/conseils-provinciaux/les-conseils-provinciaux/" TargetMode="External"/><Relationship Id="rId56" Type="http://schemas.openxmlformats.org/officeDocument/2006/relationships/hyperlink" Target="https://www.gallilex.cfwb.be/document/pdf/01608_009.pdf" TargetMode="External"/><Relationship Id="rId64" Type="http://schemas.openxmlformats.org/officeDocument/2006/relationships/image" Target="media/image14.emf"/><Relationship Id="rId8" Type="http://schemas.openxmlformats.org/officeDocument/2006/relationships/hyperlink" Target="https://www.gallilex.cfwb.be/document/pdf/16421_013.pdf" TargetMode="External"/><Relationship Id="rId51" Type="http://schemas.openxmlformats.org/officeDocument/2006/relationships/hyperlink" Target="mailto:fabienne.druant@just.fgov.be" TargetMode="External"/><Relationship Id="rId3" Type="http://schemas.openxmlformats.org/officeDocument/2006/relationships/hyperlink" Target="http://www.enseignement.be/index.php?page=26823&amp;do_id=179" TargetMode="External"/><Relationship Id="rId12" Type="http://schemas.openxmlformats.org/officeDocument/2006/relationships/hyperlink" Target="http://www.gallilex.cfwb.be/document/pdf/18086_000.pdf" TargetMode="External"/><Relationship Id="rId17" Type="http://schemas.openxmlformats.org/officeDocument/2006/relationships/hyperlink" Target="http://www.gallilex.cfwb.be/fr/leg_res_01.php?ncda=8527&amp;referant=l01" TargetMode="External"/><Relationship Id="rId25" Type="http://schemas.openxmlformats.org/officeDocument/2006/relationships/hyperlink" Target="http://www.enseignement.be/index.php?page=26823&amp;do_id=3997" TargetMode="External"/><Relationship Id="rId33" Type="http://schemas.openxmlformats.org/officeDocument/2006/relationships/hyperlink" Target="http://www.gallilex.cfwb.be/document/pdf/39909_001.pdf" TargetMode="External"/><Relationship Id="rId38" Type="http://schemas.openxmlformats.org/officeDocument/2006/relationships/hyperlink" Target="http://www.gallilex.cfwb.be/document/pdf/09676_000.pdf" TargetMode="External"/><Relationship Id="rId46" Type="http://schemas.openxmlformats.org/officeDocument/2006/relationships/hyperlink" Target="http://www.gallilex.cfwb.be/document/pdf/10886_000.pdf" TargetMode="External"/><Relationship Id="rId59" Type="http://schemas.openxmlformats.org/officeDocument/2006/relationships/hyperlink" Target="http://www.gallilex.cfwb.be/document/pdf/21557_010.pdf" TargetMode="External"/><Relationship Id="rId67" Type="http://schemas.openxmlformats.org/officeDocument/2006/relationships/hyperlink" Target="https://eur-lex.europa.eu/legal-content/FR/TXT/HTML/?uri=CELEX:32016R0679&amp;from=EN" TargetMode="External"/><Relationship Id="rId20" Type="http://schemas.openxmlformats.org/officeDocument/2006/relationships/hyperlink" Target="https://www.gallilex.cfwb.be/document/pdf/39910_004.pdf" TargetMode="External"/><Relationship Id="rId41" Type="http://schemas.openxmlformats.org/officeDocument/2006/relationships/hyperlink" Target="http://www.gallilex.cfwb.be/document/pdf/09676_000.pdf" TargetMode="External"/><Relationship Id="rId54" Type="http://schemas.openxmlformats.org/officeDocument/2006/relationships/hyperlink" Target="http://www.enseignement.be/index.php?page=26823&amp;do_id=7411" TargetMode="External"/><Relationship Id="rId62" Type="http://schemas.openxmlformats.org/officeDocument/2006/relationships/hyperlink" Target="https://www.gallilex.cfwb.be/document/pdf/45060_000.pdf"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6619F15-0903-4583-9B94-B2875EFD2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TotalTime>
  <Pages>21</Pages>
  <Words>156739</Words>
  <Characters>862068</Characters>
  <Application>Microsoft Office Word</Application>
  <DocSecurity>0</DocSecurity>
  <Lines>7183</Lines>
  <Paragraphs>2033</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1016774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59</cp:revision>
  <cp:lastPrinted>2020-05-13T08:06:00Z</cp:lastPrinted>
  <dcterms:created xsi:type="dcterms:W3CDTF">2020-07-27T12:18:00Z</dcterms:created>
  <dcterms:modified xsi:type="dcterms:W3CDTF">2020-08-19T09:29:00Z</dcterms:modified>
  <cp:category>Chapitre</cp:category>
  <cp:contentStatus/>
</cp:coreProperties>
</file>